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AA519" w14:textId="77777777" w:rsidR="00C9304F" w:rsidRDefault="00C9304F" w:rsidP="00066780">
      <w:pPr>
        <w:widowControl/>
        <w:jc w:val="center"/>
        <w:rPr>
          <w:rFonts w:ascii="Times New Roman Bold" w:hAnsi="Times New Roman Bold"/>
          <w:b/>
          <w:kern w:val="0"/>
          <w:szCs w:val="22"/>
        </w:rPr>
      </w:pPr>
      <w:bookmarkStart w:id="0" w:name="_GoBack"/>
      <w:bookmarkEnd w:id="0"/>
    </w:p>
    <w:p w14:paraId="4BDC71F2" w14:textId="77777777" w:rsidR="00A000D8" w:rsidRDefault="00A000D8" w:rsidP="00066780">
      <w:pPr>
        <w:widowControl/>
        <w:jc w:val="center"/>
        <w:rPr>
          <w:b/>
        </w:rPr>
      </w:pPr>
      <w:r>
        <w:rPr>
          <w:rFonts w:ascii="Times New Roman Bold" w:hAnsi="Times New Roman Bold"/>
          <w:b/>
          <w:kern w:val="0"/>
          <w:szCs w:val="22"/>
        </w:rPr>
        <w:t>Before</w:t>
      </w:r>
      <w:r>
        <w:rPr>
          <w:b/>
        </w:rPr>
        <w:t xml:space="preserve"> the</w:t>
      </w:r>
    </w:p>
    <w:p w14:paraId="630C1DCA" w14:textId="77777777" w:rsidR="00A000D8" w:rsidRDefault="00A000D8" w:rsidP="00066780">
      <w:pPr>
        <w:pStyle w:val="StyleBoldCentered"/>
        <w:widowControl/>
      </w:pPr>
      <w:r>
        <w:t>F</w:t>
      </w:r>
      <w:r>
        <w:rPr>
          <w:caps w:val="0"/>
        </w:rPr>
        <w:t>ederal Communications Commission</w:t>
      </w:r>
    </w:p>
    <w:p w14:paraId="62DFB628" w14:textId="77777777" w:rsidR="00A000D8" w:rsidRDefault="00A000D8" w:rsidP="00066780">
      <w:pPr>
        <w:widowControl/>
        <w:jc w:val="center"/>
        <w:rPr>
          <w:b/>
          <w:bCs/>
        </w:rPr>
      </w:pPr>
      <w:r>
        <w:rPr>
          <w:b/>
          <w:bCs/>
        </w:rPr>
        <w:t>Washington, D.C. 20554</w:t>
      </w:r>
    </w:p>
    <w:p w14:paraId="3B5C0C53" w14:textId="77777777" w:rsidR="00A000D8" w:rsidRDefault="00A000D8" w:rsidP="00066780">
      <w:pPr>
        <w:widowControl/>
      </w:pPr>
    </w:p>
    <w:tbl>
      <w:tblPr>
        <w:tblW w:w="0" w:type="auto"/>
        <w:tblLayout w:type="fixed"/>
        <w:tblLook w:val="0000" w:firstRow="0" w:lastRow="0" w:firstColumn="0" w:lastColumn="0" w:noHBand="0" w:noVBand="0"/>
      </w:tblPr>
      <w:tblGrid>
        <w:gridCol w:w="4698"/>
        <w:gridCol w:w="630"/>
        <w:gridCol w:w="4248"/>
      </w:tblGrid>
      <w:tr w:rsidR="00A000D8" w14:paraId="5A1B8008" w14:textId="77777777">
        <w:tc>
          <w:tcPr>
            <w:tcW w:w="4698" w:type="dxa"/>
          </w:tcPr>
          <w:p w14:paraId="5551A64A" w14:textId="77777777" w:rsidR="00A000D8" w:rsidRDefault="00A000D8" w:rsidP="00066780">
            <w:pPr>
              <w:widowControl/>
              <w:tabs>
                <w:tab w:val="center" w:pos="4680"/>
              </w:tabs>
              <w:suppressAutoHyphens/>
              <w:rPr>
                <w:spacing w:val="-2"/>
              </w:rPr>
            </w:pPr>
            <w:r>
              <w:rPr>
                <w:spacing w:val="-2"/>
              </w:rPr>
              <w:t>In the Matter of</w:t>
            </w:r>
          </w:p>
          <w:p w14:paraId="3865526E" w14:textId="77777777" w:rsidR="00A000D8" w:rsidRDefault="00A000D8" w:rsidP="00066780">
            <w:pPr>
              <w:widowControl/>
              <w:tabs>
                <w:tab w:val="center" w:pos="4680"/>
              </w:tabs>
              <w:suppressAutoHyphens/>
              <w:rPr>
                <w:spacing w:val="-2"/>
              </w:rPr>
            </w:pPr>
          </w:p>
          <w:p w14:paraId="22180EDE" w14:textId="77777777" w:rsidR="00A000D8" w:rsidRDefault="00A000D8" w:rsidP="00066780">
            <w:pPr>
              <w:widowControl/>
              <w:ind w:right="-18"/>
            </w:pPr>
            <w:r>
              <w:t>Amendment of Parts 1, 21, 73, 74 and 101 of the Commission’s Rules to Facilitate the Provision of Fixed and Mobile Broadband Access, Educational and Other Advanced Services in the 2150-2162 and 2500-2690 MHz Bands</w:t>
            </w:r>
          </w:p>
        </w:tc>
        <w:tc>
          <w:tcPr>
            <w:tcW w:w="630" w:type="dxa"/>
          </w:tcPr>
          <w:p w14:paraId="0FFF2A60" w14:textId="77777777" w:rsidR="00A000D8" w:rsidRDefault="00A000D8" w:rsidP="00066780">
            <w:pPr>
              <w:widowControl/>
              <w:tabs>
                <w:tab w:val="center" w:pos="4680"/>
              </w:tabs>
              <w:suppressAutoHyphens/>
              <w:rPr>
                <w:b/>
                <w:spacing w:val="-2"/>
              </w:rPr>
            </w:pPr>
            <w:r>
              <w:rPr>
                <w:b/>
                <w:spacing w:val="-2"/>
              </w:rPr>
              <w:t>)</w:t>
            </w:r>
          </w:p>
          <w:p w14:paraId="4B09628A" w14:textId="77777777" w:rsidR="00A000D8" w:rsidRDefault="00A000D8" w:rsidP="00066780">
            <w:pPr>
              <w:widowControl/>
              <w:tabs>
                <w:tab w:val="center" w:pos="4680"/>
              </w:tabs>
              <w:suppressAutoHyphens/>
              <w:rPr>
                <w:b/>
                <w:spacing w:val="-2"/>
              </w:rPr>
            </w:pPr>
            <w:r>
              <w:rPr>
                <w:b/>
                <w:spacing w:val="-2"/>
              </w:rPr>
              <w:t>)</w:t>
            </w:r>
          </w:p>
          <w:p w14:paraId="421634C7" w14:textId="77777777" w:rsidR="00A000D8" w:rsidRDefault="00A000D8" w:rsidP="00066780">
            <w:pPr>
              <w:widowControl/>
              <w:tabs>
                <w:tab w:val="center" w:pos="4680"/>
              </w:tabs>
              <w:suppressAutoHyphens/>
              <w:rPr>
                <w:b/>
                <w:spacing w:val="-2"/>
              </w:rPr>
            </w:pPr>
            <w:r>
              <w:rPr>
                <w:b/>
                <w:spacing w:val="-2"/>
              </w:rPr>
              <w:t>)</w:t>
            </w:r>
          </w:p>
          <w:p w14:paraId="68F39EAA" w14:textId="77777777" w:rsidR="00A000D8" w:rsidRDefault="00A000D8" w:rsidP="00066780">
            <w:pPr>
              <w:widowControl/>
              <w:tabs>
                <w:tab w:val="center" w:pos="4680"/>
              </w:tabs>
              <w:suppressAutoHyphens/>
              <w:rPr>
                <w:b/>
                <w:spacing w:val="-2"/>
              </w:rPr>
            </w:pPr>
            <w:r>
              <w:rPr>
                <w:b/>
                <w:spacing w:val="-2"/>
              </w:rPr>
              <w:t>)</w:t>
            </w:r>
          </w:p>
          <w:p w14:paraId="651AE0EF" w14:textId="77777777" w:rsidR="00A000D8" w:rsidRDefault="00A000D8" w:rsidP="00066780">
            <w:pPr>
              <w:widowControl/>
              <w:tabs>
                <w:tab w:val="center" w:pos="4680"/>
              </w:tabs>
              <w:suppressAutoHyphens/>
              <w:rPr>
                <w:b/>
                <w:spacing w:val="-2"/>
              </w:rPr>
            </w:pPr>
            <w:r>
              <w:rPr>
                <w:b/>
                <w:spacing w:val="-2"/>
              </w:rPr>
              <w:t>)</w:t>
            </w:r>
          </w:p>
          <w:p w14:paraId="5334105B" w14:textId="77777777" w:rsidR="00A000D8" w:rsidRDefault="00A000D8" w:rsidP="00066780">
            <w:pPr>
              <w:widowControl/>
              <w:tabs>
                <w:tab w:val="center" w:pos="4680"/>
              </w:tabs>
              <w:suppressAutoHyphens/>
              <w:rPr>
                <w:b/>
                <w:spacing w:val="-2"/>
              </w:rPr>
            </w:pPr>
            <w:r>
              <w:rPr>
                <w:b/>
                <w:spacing w:val="-2"/>
              </w:rPr>
              <w:t>)</w:t>
            </w:r>
          </w:p>
          <w:p w14:paraId="0F64639B" w14:textId="77777777" w:rsidR="00A000D8" w:rsidRDefault="00A000D8" w:rsidP="00066780">
            <w:pPr>
              <w:widowControl/>
              <w:tabs>
                <w:tab w:val="center" w:pos="4680"/>
              </w:tabs>
              <w:suppressAutoHyphens/>
              <w:rPr>
                <w:b/>
                <w:spacing w:val="-2"/>
              </w:rPr>
            </w:pPr>
            <w:r>
              <w:rPr>
                <w:b/>
                <w:spacing w:val="-2"/>
              </w:rPr>
              <w:t>)</w:t>
            </w:r>
          </w:p>
          <w:p w14:paraId="194DDE0B" w14:textId="77777777" w:rsidR="00A000D8" w:rsidRDefault="00FF4F29" w:rsidP="00066780">
            <w:pPr>
              <w:widowControl/>
              <w:tabs>
                <w:tab w:val="center" w:pos="4680"/>
              </w:tabs>
              <w:suppressAutoHyphens/>
              <w:rPr>
                <w:b/>
                <w:spacing w:val="-2"/>
              </w:rPr>
            </w:pPr>
            <w:r>
              <w:rPr>
                <w:b/>
                <w:spacing w:val="-2"/>
              </w:rPr>
              <w:t>)</w:t>
            </w:r>
          </w:p>
        </w:tc>
        <w:tc>
          <w:tcPr>
            <w:tcW w:w="4248" w:type="dxa"/>
          </w:tcPr>
          <w:p w14:paraId="5B4C1054" w14:textId="77777777" w:rsidR="00A000D8" w:rsidRDefault="00A000D8" w:rsidP="00066780">
            <w:pPr>
              <w:widowControl/>
              <w:tabs>
                <w:tab w:val="center" w:pos="4680"/>
              </w:tabs>
              <w:suppressAutoHyphens/>
              <w:rPr>
                <w:spacing w:val="-2"/>
              </w:rPr>
            </w:pPr>
          </w:p>
          <w:p w14:paraId="101B5989" w14:textId="77777777" w:rsidR="00A000D8" w:rsidRDefault="00A000D8" w:rsidP="00066780">
            <w:pPr>
              <w:pStyle w:val="TOAHeading"/>
              <w:widowControl/>
              <w:tabs>
                <w:tab w:val="clear" w:pos="9360"/>
                <w:tab w:val="center" w:pos="4680"/>
              </w:tabs>
              <w:rPr>
                <w:spacing w:val="-2"/>
              </w:rPr>
            </w:pPr>
          </w:p>
          <w:p w14:paraId="04468948" w14:textId="77777777" w:rsidR="00A000D8" w:rsidRDefault="00A000D8" w:rsidP="00066780">
            <w:pPr>
              <w:widowControl/>
              <w:rPr>
                <w:spacing w:val="-2"/>
              </w:rPr>
            </w:pPr>
            <w:r>
              <w:rPr>
                <w:spacing w:val="-2"/>
              </w:rPr>
              <w:t>WT Docket No. 03-66</w:t>
            </w:r>
          </w:p>
          <w:p w14:paraId="210D3E97" w14:textId="77777777" w:rsidR="00A000D8" w:rsidRDefault="00A000D8" w:rsidP="00066780">
            <w:pPr>
              <w:widowControl/>
              <w:rPr>
                <w:spacing w:val="-2"/>
              </w:rPr>
            </w:pPr>
            <w:r>
              <w:rPr>
                <w:spacing w:val="-2"/>
              </w:rPr>
              <w:t>RM-11614</w:t>
            </w:r>
          </w:p>
          <w:p w14:paraId="1426D983" w14:textId="77777777" w:rsidR="00A000D8" w:rsidRDefault="00A000D8" w:rsidP="00066780">
            <w:pPr>
              <w:widowControl/>
              <w:tabs>
                <w:tab w:val="center" w:pos="4680"/>
              </w:tabs>
              <w:suppressAutoHyphens/>
              <w:rPr>
                <w:spacing w:val="-2"/>
              </w:rPr>
            </w:pPr>
          </w:p>
          <w:p w14:paraId="317321F9" w14:textId="77777777" w:rsidR="00A000D8" w:rsidRDefault="00A000D8" w:rsidP="00066780">
            <w:pPr>
              <w:widowControl/>
              <w:rPr>
                <w:spacing w:val="-2"/>
              </w:rPr>
            </w:pPr>
          </w:p>
          <w:p w14:paraId="28EB2DD1" w14:textId="77777777" w:rsidR="00A000D8" w:rsidRDefault="00A000D8" w:rsidP="00066780">
            <w:pPr>
              <w:widowControl/>
              <w:rPr>
                <w:spacing w:val="-2"/>
              </w:rPr>
            </w:pPr>
          </w:p>
          <w:p w14:paraId="61497507" w14:textId="77777777" w:rsidR="00A000D8" w:rsidRDefault="00A000D8" w:rsidP="00066780">
            <w:pPr>
              <w:widowControl/>
              <w:rPr>
                <w:spacing w:val="-2"/>
              </w:rPr>
            </w:pPr>
          </w:p>
        </w:tc>
      </w:tr>
    </w:tbl>
    <w:p w14:paraId="6C0BA1B9" w14:textId="77777777" w:rsidR="00A000D8" w:rsidRDefault="00A000D8" w:rsidP="00066780">
      <w:pPr>
        <w:widowControl/>
      </w:pPr>
    </w:p>
    <w:p w14:paraId="154828DA" w14:textId="77777777" w:rsidR="00A000D8" w:rsidRDefault="00A000D8" w:rsidP="00066780">
      <w:pPr>
        <w:pStyle w:val="StyleBoldCentered"/>
        <w:widowControl/>
      </w:pPr>
      <w:r>
        <w:t>Fifth Report and order</w:t>
      </w:r>
    </w:p>
    <w:p w14:paraId="59620C2D" w14:textId="77777777" w:rsidR="00FC4360" w:rsidRDefault="00FC4360" w:rsidP="00FC4360">
      <w:pPr>
        <w:tabs>
          <w:tab w:val="left" w:pos="-720"/>
        </w:tabs>
        <w:suppressAutoHyphens/>
        <w:spacing w:line="227" w:lineRule="auto"/>
        <w:rPr>
          <w:spacing w:val="-2"/>
        </w:rPr>
      </w:pPr>
    </w:p>
    <w:p w14:paraId="217A0F3D" w14:textId="2B6A9EAB" w:rsidR="00FC4360" w:rsidRDefault="00FC4360" w:rsidP="00FC4360">
      <w:pPr>
        <w:tabs>
          <w:tab w:val="left" w:pos="720"/>
          <w:tab w:val="right" w:pos="9360"/>
        </w:tabs>
        <w:suppressAutoHyphens/>
        <w:spacing w:line="227" w:lineRule="auto"/>
        <w:rPr>
          <w:spacing w:val="-2"/>
        </w:rPr>
      </w:pPr>
      <w:r>
        <w:rPr>
          <w:b/>
          <w:spacing w:val="-2"/>
        </w:rPr>
        <w:t>Adopted:  June 6, 2014</w:t>
      </w:r>
      <w:r>
        <w:rPr>
          <w:b/>
          <w:spacing w:val="-2"/>
        </w:rPr>
        <w:tab/>
        <w:t>Released:  June 9, 2014</w:t>
      </w:r>
    </w:p>
    <w:p w14:paraId="62A7586C" w14:textId="77777777" w:rsidR="00FC4360" w:rsidRDefault="00FC4360" w:rsidP="00FC4360"/>
    <w:p w14:paraId="3EAD540A" w14:textId="77777777" w:rsidR="00A000D8" w:rsidRDefault="00A000D8" w:rsidP="00066780">
      <w:pPr>
        <w:widowControl/>
        <w:rPr>
          <w:spacing w:val="-2"/>
        </w:rPr>
      </w:pPr>
      <w:r>
        <w:rPr>
          <w:spacing w:val="-2"/>
        </w:rPr>
        <w:t>By the Commission: </w:t>
      </w:r>
    </w:p>
    <w:p w14:paraId="1A7DD0E3" w14:textId="77777777" w:rsidR="00A000D8" w:rsidRDefault="00A000D8" w:rsidP="00066780">
      <w:pPr>
        <w:widowControl/>
        <w:rPr>
          <w:spacing w:val="-2"/>
        </w:rPr>
      </w:pPr>
    </w:p>
    <w:p w14:paraId="67C3525A" w14:textId="77777777" w:rsidR="00A000D8" w:rsidRDefault="00045A80" w:rsidP="00066780">
      <w:pPr>
        <w:pStyle w:val="Heading1"/>
        <w:widowControl/>
        <w:spacing w:after="220"/>
      </w:pPr>
      <w:r>
        <w:t>Introduction</w:t>
      </w:r>
    </w:p>
    <w:p w14:paraId="4B3B483F" w14:textId="13BA4AAF" w:rsidR="00A000D8" w:rsidRDefault="00A000D8" w:rsidP="00DE76DF">
      <w:pPr>
        <w:pStyle w:val="ParaNum"/>
        <w:ind w:left="0"/>
      </w:pPr>
      <w:r>
        <w:t xml:space="preserve">In this </w:t>
      </w:r>
      <w:r>
        <w:rPr>
          <w:i/>
        </w:rPr>
        <w:t>Fifth Report and Order</w:t>
      </w:r>
      <w:r>
        <w:t xml:space="preserve"> (“</w:t>
      </w:r>
      <w:r w:rsidRPr="003D053C">
        <w:rPr>
          <w:i/>
        </w:rPr>
        <w:t>BRS/EBS OOBE R&amp;O</w:t>
      </w:r>
      <w:r w:rsidRPr="00AD32FB">
        <w:t>”</w:t>
      </w:r>
      <w:r>
        <w:t>)</w:t>
      </w:r>
      <w:r w:rsidR="00C93A2C">
        <w:t>,</w:t>
      </w:r>
      <w:r>
        <w:t xml:space="preserve"> we </w:t>
      </w:r>
      <w:r w:rsidR="00226454">
        <w:t>relax</w:t>
      </w:r>
      <w:r>
        <w:t xml:space="preserve"> the out-of-band emission</w:t>
      </w:r>
      <w:r w:rsidR="00C93A2C">
        <w:t>s</w:t>
      </w:r>
      <w:r>
        <w:t xml:space="preserve"> (“OOBE”) limits for Broadband Radio Service (“BRS”) and Educational Broadband Service (“EBS”) digital mobile stations (“broadband mobile devices”) operating in the 2496-2690 MHz </w:t>
      </w:r>
      <w:r w:rsidR="001B0D3F">
        <w:t>radio frequency (</w:t>
      </w:r>
      <w:r w:rsidR="00E677D4">
        <w:t>“</w:t>
      </w:r>
      <w:r w:rsidR="001B0D3F">
        <w:t>RF</w:t>
      </w:r>
      <w:r w:rsidR="00E677D4">
        <w:t>”</w:t>
      </w:r>
      <w:r w:rsidR="001B0D3F">
        <w:t xml:space="preserve">) </w:t>
      </w:r>
      <w:r>
        <w:t xml:space="preserve">band (“2.5 GHz band”).  These changes will enable operators to use </w:t>
      </w:r>
      <w:r w:rsidR="00B1443C">
        <w:t xml:space="preserve">BRS and EBS </w:t>
      </w:r>
      <w:r>
        <w:t xml:space="preserve">spectrum more efficiently and provide higher data rates to consumers.  These changes </w:t>
      </w:r>
      <w:r w:rsidR="00C93A2C">
        <w:t xml:space="preserve">will </w:t>
      </w:r>
      <w:r>
        <w:t xml:space="preserve">also promote greater </w:t>
      </w:r>
      <w:r w:rsidR="0060703F">
        <w:t xml:space="preserve">consistency </w:t>
      </w:r>
      <w:r>
        <w:t>between</w:t>
      </w:r>
      <w:r w:rsidR="00B1443C">
        <w:t xml:space="preserve"> the</w:t>
      </w:r>
      <w:r>
        <w:t xml:space="preserve"> Commission</w:t>
      </w:r>
      <w:r w:rsidR="0025527E">
        <w:t>’s</w:t>
      </w:r>
      <w:r>
        <w:t xml:space="preserve"> </w:t>
      </w:r>
      <w:r w:rsidR="00B1443C">
        <w:t xml:space="preserve">BRS/EBS technical rules </w:t>
      </w:r>
      <w:r>
        <w:t>and global standards for broadband mobile devices in the 2.5</w:t>
      </w:r>
      <w:r w:rsidR="0025527E">
        <w:t> </w:t>
      </w:r>
      <w:r>
        <w:t xml:space="preserve">GHz band, potentially making equipment more affordable and furthering the </w:t>
      </w:r>
      <w:r w:rsidR="00101035">
        <w:t xml:space="preserve">proliferation </w:t>
      </w:r>
      <w:r>
        <w:t xml:space="preserve">of broadband </w:t>
      </w:r>
      <w:r w:rsidR="003123F7">
        <w:t xml:space="preserve">mobile </w:t>
      </w:r>
      <w:r>
        <w:t>devices, such as smartphones and tablets</w:t>
      </w:r>
      <w:r w:rsidR="00B1443C">
        <w:t>, that operate in the 2.5 GHz band</w:t>
      </w:r>
      <w:r>
        <w:t xml:space="preserve">.  </w:t>
      </w:r>
    </w:p>
    <w:p w14:paraId="3C4F74E6" w14:textId="77777777" w:rsidR="00A000D8" w:rsidRDefault="00045A80" w:rsidP="00066780">
      <w:pPr>
        <w:pStyle w:val="Heading1"/>
        <w:widowControl/>
        <w:spacing w:after="220"/>
      </w:pPr>
      <w:r>
        <w:t>Background</w:t>
      </w:r>
    </w:p>
    <w:p w14:paraId="4F44777E" w14:textId="03484F04" w:rsidR="00A000D8" w:rsidRDefault="00A000D8" w:rsidP="00DE76DF">
      <w:pPr>
        <w:pStyle w:val="ParaNum"/>
        <w:ind w:left="0"/>
      </w:pPr>
      <w:r w:rsidRPr="00405426">
        <w:rPr>
          <w:i/>
        </w:rPr>
        <w:t>General:</w:t>
      </w:r>
      <w:r>
        <w:t xml:space="preserve">  To enable commercial operators to develop and deploy new and innovative wireless services, </w:t>
      </w:r>
      <w:r w:rsidR="00C9304F">
        <w:t>in 2004</w:t>
      </w:r>
      <w:r w:rsidR="00C93A2C">
        <w:t>,</w:t>
      </w:r>
      <w:r w:rsidR="00C9304F">
        <w:t xml:space="preserve"> </w:t>
      </w:r>
      <w:r>
        <w:t xml:space="preserve">the Commission fundamentally transformed the licensing and technical rules for </w:t>
      </w:r>
      <w:r w:rsidR="00F248DD">
        <w:t xml:space="preserve">the </w:t>
      </w:r>
      <w:r>
        <w:t>BRS and EBS</w:t>
      </w:r>
      <w:r w:rsidR="00C9304F">
        <w:t>.  The Commission reconfigured the 2.5 GHz band into upper and lower-band segments (“UBS” and “LBS,” respectively) for new two-way low-power operations, such as mobile and fixed wireless broadband services, and a mid-band segment (“MBS”) for legacy one-way video high-power operations, such as long-distance learning.</w:t>
      </w:r>
      <w:r w:rsidR="00C9304F">
        <w:rPr>
          <w:rStyle w:val="FootnoteReference"/>
        </w:rPr>
        <w:footnoteReference w:id="2"/>
      </w:r>
      <w:r w:rsidR="00C9304F">
        <w:t xml:space="preserve">  In addition</w:t>
      </w:r>
      <w:r>
        <w:t xml:space="preserve">, </w:t>
      </w:r>
      <w:r w:rsidR="00C9304F">
        <w:t xml:space="preserve">the Commission </w:t>
      </w:r>
      <w:r w:rsidR="00E002AA">
        <w:t>re</w:t>
      </w:r>
      <w:r>
        <w:t xml:space="preserve">allocated </w:t>
      </w:r>
      <w:r w:rsidR="00E002AA">
        <w:t xml:space="preserve">and assigned </w:t>
      </w:r>
      <w:r>
        <w:t xml:space="preserve">an additional </w:t>
      </w:r>
      <w:r w:rsidR="005222FE">
        <w:t>5</w:t>
      </w:r>
      <w:r>
        <w:t xml:space="preserve"> megahertz to the </w:t>
      </w:r>
      <w:r w:rsidR="00E002AA">
        <w:t xml:space="preserve">BRS/EBS </w:t>
      </w:r>
      <w:r>
        <w:t>band at 2495-2500 MHz,</w:t>
      </w:r>
      <w:r w:rsidR="00304A7D">
        <w:t xml:space="preserve"> and</w:t>
      </w:r>
      <w:r>
        <w:t xml:space="preserve"> </w:t>
      </w:r>
      <w:r w:rsidR="00D370EC">
        <w:t>permitted</w:t>
      </w:r>
      <w:r>
        <w:t xml:space="preserve"> BRS and EBS services </w:t>
      </w:r>
      <w:r w:rsidR="00D370EC">
        <w:t xml:space="preserve">to </w:t>
      </w:r>
      <w:r>
        <w:t>share the 2495-2500 MHz portion of the band on a co-primary</w:t>
      </w:r>
      <w:r w:rsidR="001B39F7">
        <w:rPr>
          <w:rStyle w:val="FootnoteReference"/>
        </w:rPr>
        <w:footnoteReference w:id="3"/>
      </w:r>
      <w:r>
        <w:t xml:space="preserve"> basis with operators in the </w:t>
      </w:r>
      <w:r w:rsidR="008C15AA">
        <w:t xml:space="preserve">Part 25 </w:t>
      </w:r>
      <w:r>
        <w:t xml:space="preserve">Mobile </w:t>
      </w:r>
      <w:r>
        <w:lastRenderedPageBreak/>
        <w:t>Satellite Service (“MSS”)</w:t>
      </w:r>
      <w:r w:rsidR="007F106B">
        <w:t>, as well as</w:t>
      </w:r>
      <w:r w:rsidR="005F654C">
        <w:t xml:space="preserve"> grandfathered </w:t>
      </w:r>
      <w:r w:rsidR="008C15AA">
        <w:t xml:space="preserve">Part 74 </w:t>
      </w:r>
      <w:r>
        <w:t>Broadcast Auxiliary Service (“BAS”)</w:t>
      </w:r>
      <w:r w:rsidR="00C93A2C">
        <w:t xml:space="preserve"> and </w:t>
      </w:r>
      <w:r w:rsidR="003923E7">
        <w:t xml:space="preserve">Part 90 </w:t>
      </w:r>
      <w:r w:rsidR="008C15AA">
        <w:t>mobile service (</w:t>
      </w:r>
      <w:r w:rsidR="00E677D4">
        <w:t>“</w:t>
      </w:r>
      <w:r w:rsidR="008C15AA">
        <w:t>MS</w:t>
      </w:r>
      <w:r w:rsidR="00E677D4">
        <w:t>”</w:t>
      </w:r>
      <w:r w:rsidR="008C15AA">
        <w:t xml:space="preserve">) </w:t>
      </w:r>
      <w:r w:rsidR="003923E7">
        <w:t>and Part 101</w:t>
      </w:r>
      <w:r w:rsidR="008C15AA">
        <w:t xml:space="preserve"> fixed service (</w:t>
      </w:r>
      <w:r w:rsidR="00E677D4">
        <w:t>“</w:t>
      </w:r>
      <w:r w:rsidR="008C15AA">
        <w:t>FS</w:t>
      </w:r>
      <w:r w:rsidR="00E677D4">
        <w:t>”</w:t>
      </w:r>
      <w:r w:rsidR="008C15AA">
        <w:t>)</w:t>
      </w:r>
      <w:r w:rsidR="003923E7">
        <w:t xml:space="preserve"> </w:t>
      </w:r>
      <w:r w:rsidR="0025527E">
        <w:t>stations</w:t>
      </w:r>
      <w:r>
        <w:t>.</w:t>
      </w:r>
      <w:r>
        <w:rPr>
          <w:rStyle w:val="FootnoteReference"/>
        </w:rPr>
        <w:footnoteReference w:id="4"/>
      </w:r>
      <w:r>
        <w:t xml:space="preserve">  Under the new band plan, BRS</w:t>
      </w:r>
      <w:r w:rsidR="00C93A2C">
        <w:t xml:space="preserve"> Channel </w:t>
      </w:r>
      <w:r>
        <w:t>1</w:t>
      </w:r>
      <w:r w:rsidR="00C93A2C">
        <w:t xml:space="preserve"> (</w:t>
      </w:r>
      <w:r w:rsidR="00E677D4">
        <w:t>“</w:t>
      </w:r>
      <w:r w:rsidR="00C93A2C">
        <w:t>BRS1</w:t>
      </w:r>
      <w:r w:rsidR="00E677D4">
        <w:t>”</w:t>
      </w:r>
      <w:r w:rsidR="00C93A2C">
        <w:t>)</w:t>
      </w:r>
      <w:r>
        <w:t xml:space="preserve"> was relocated to 2496</w:t>
      </w:r>
      <w:r w:rsidR="003F2162">
        <w:noBreakHyphen/>
      </w:r>
      <w:r>
        <w:t xml:space="preserve">2502 MHz </w:t>
      </w:r>
      <w:r w:rsidR="001C04EC">
        <w:t>from 2150-2156 MHz</w:t>
      </w:r>
      <w:r w:rsidR="00D370EC">
        <w:t>.  BRS1</w:t>
      </w:r>
      <w:r>
        <w:t xml:space="preserve"> </w:t>
      </w:r>
      <w:r w:rsidR="00D370EC">
        <w:t>wa</w:t>
      </w:r>
      <w:r>
        <w:t xml:space="preserve">s the channel most affected by the Commission’s decision to allow </w:t>
      </w:r>
      <w:r w:rsidR="001B58B8">
        <w:t xml:space="preserve">BRS/EBS operators and </w:t>
      </w:r>
      <w:r>
        <w:t>MSS, BAS</w:t>
      </w:r>
      <w:r w:rsidR="00470B0F">
        <w:t xml:space="preserve"> </w:t>
      </w:r>
      <w:r>
        <w:t>channel A10,</w:t>
      </w:r>
      <w:r w:rsidR="003F2162">
        <w:t xml:space="preserve"> </w:t>
      </w:r>
      <w:r w:rsidR="008C15AA">
        <w:t>MS</w:t>
      </w:r>
      <w:r w:rsidR="001B58B8">
        <w:t xml:space="preserve">, and </w:t>
      </w:r>
      <w:r w:rsidR="008C15AA">
        <w:t xml:space="preserve">FS </w:t>
      </w:r>
      <w:r w:rsidR="008825EB">
        <w:t>radio service</w:t>
      </w:r>
      <w:r w:rsidR="000F35C9">
        <w:t>s</w:t>
      </w:r>
      <w:r>
        <w:t xml:space="preserve"> to share the 249</w:t>
      </w:r>
      <w:r w:rsidR="00076A2F">
        <w:t>6</w:t>
      </w:r>
      <w:r>
        <w:t xml:space="preserve">-2500 MHz portion of the </w:t>
      </w:r>
      <w:r w:rsidR="004F46FC">
        <w:t xml:space="preserve">2.5 GHz </w:t>
      </w:r>
      <w:r>
        <w:t xml:space="preserve">band.  To reduce the potential for </w:t>
      </w:r>
      <w:r w:rsidR="003155FC">
        <w:t xml:space="preserve">harmful </w:t>
      </w:r>
      <w:r>
        <w:t>interference</w:t>
      </w:r>
      <w:r w:rsidR="00273EBF">
        <w:t xml:space="preserve"> to</w:t>
      </w:r>
      <w:r>
        <w:t xml:space="preserve"> operations </w:t>
      </w:r>
      <w:r w:rsidR="00E00F5D">
        <w:t xml:space="preserve">above and </w:t>
      </w:r>
      <w:r>
        <w:t xml:space="preserve">below 2495 MHz, the Commission created a </w:t>
      </w:r>
      <w:r w:rsidR="00E677D4">
        <w:t xml:space="preserve">one </w:t>
      </w:r>
      <w:r>
        <w:t>megahertz guard band at 2495-2496 MHz.</w:t>
      </w:r>
      <w:r w:rsidR="001B58B8">
        <w:rPr>
          <w:rStyle w:val="FootnoteReference"/>
        </w:rPr>
        <w:footnoteReference w:id="5"/>
      </w:r>
      <w:r>
        <w:t xml:space="preserve">  </w:t>
      </w:r>
    </w:p>
    <w:p w14:paraId="10A8F1BF" w14:textId="4CC6EE9D" w:rsidR="00A000D8" w:rsidRDefault="00A000D8" w:rsidP="00DE76DF">
      <w:pPr>
        <w:pStyle w:val="ParaNum"/>
        <w:ind w:left="0"/>
      </w:pPr>
      <w:r>
        <w:t xml:space="preserve">To protect against adjacent channel interference and to </w:t>
      </w:r>
      <w:r w:rsidR="00C9304F">
        <w:t xml:space="preserve">facilitate </w:t>
      </w:r>
      <w:r>
        <w:t>mobile operations in the band, the Commission</w:t>
      </w:r>
      <w:r w:rsidR="002D2CB6">
        <w:t>’s 2004 decision also</w:t>
      </w:r>
      <w:r>
        <w:t xml:space="preserve"> revised the </w:t>
      </w:r>
      <w:r w:rsidR="003F2162">
        <w:t>OOBE</w:t>
      </w:r>
      <w:r>
        <w:t xml:space="preserve"> limits for BRS and EBS licensees operating in the LBS and UBS</w:t>
      </w:r>
      <w:r w:rsidR="003923E7">
        <w:t>,</w:t>
      </w:r>
      <w:r>
        <w:t xml:space="preserve"> consistent with a proposal made by a coalition of organizations representing BRS and EBS licensees.</w:t>
      </w:r>
      <w:r>
        <w:rPr>
          <w:rStyle w:val="FootnoteReference"/>
        </w:rPr>
        <w:footnoteReference w:id="6"/>
      </w:r>
      <w:r>
        <w:t xml:space="preserve">  The Commission retained the </w:t>
      </w:r>
      <w:r w:rsidR="003F2162">
        <w:t xml:space="preserve">existing </w:t>
      </w:r>
      <w:r w:rsidR="008445E2">
        <w:t>OOBE</w:t>
      </w:r>
      <w:r>
        <w:t xml:space="preserve"> limits for MBS analog operations, but applied the new </w:t>
      </w:r>
      <w:r w:rsidR="009704E2">
        <w:t>OOBE</w:t>
      </w:r>
      <w:r>
        <w:t xml:space="preserve"> limits to MBS digital operations </w:t>
      </w:r>
      <w:r w:rsidR="002D2CB6">
        <w:t xml:space="preserve">with the result </w:t>
      </w:r>
      <w:r>
        <w:t>that all digital operations throughout the 2.5</w:t>
      </w:r>
      <w:r w:rsidR="001950D2">
        <w:t xml:space="preserve"> </w:t>
      </w:r>
      <w:r>
        <w:t xml:space="preserve">GHz band would be subject to the same </w:t>
      </w:r>
      <w:r w:rsidR="008445E2">
        <w:t>OOBE</w:t>
      </w:r>
      <w:r>
        <w:t xml:space="preserve"> limits.</w:t>
      </w:r>
      <w:r>
        <w:rPr>
          <w:rStyle w:val="FootnoteReference"/>
        </w:rPr>
        <w:footnoteReference w:id="7"/>
      </w:r>
      <w:r>
        <w:t xml:space="preserve">  For mobile broadband devices, the Commission required that emissions outside the licensee’s channel, or channels if combined, be attenuated below the transmitter power (P) by a factor of 43 + 10 log (P) decibels (dB) at the channel’s edge, and 55 + 10 log (P) dB at 5.5 megahertz from the channel edge, where (P) is the transmitter power measured in </w:t>
      </w:r>
      <w:r w:rsidR="003F2162">
        <w:t>W</w:t>
      </w:r>
      <w:r>
        <w:t>atts.</w:t>
      </w:r>
      <w:r>
        <w:rPr>
          <w:rStyle w:val="FootnoteReference"/>
        </w:rPr>
        <w:footnoteReference w:id="8"/>
      </w:r>
      <w:r>
        <w:t xml:space="preserve">  The Commission noted that MSS licensees operating in the </w:t>
      </w:r>
      <w:r w:rsidR="00FC6185">
        <w:t>adjacent</w:t>
      </w:r>
      <w:r>
        <w:t xml:space="preserve"> band could seek </w:t>
      </w:r>
      <w:r w:rsidR="00A34690">
        <w:t>tighter OOBE</w:t>
      </w:r>
      <w:r>
        <w:t xml:space="preserve"> </w:t>
      </w:r>
      <w:r w:rsidR="00CC59AD">
        <w:t>limits</w:t>
      </w:r>
      <w:r>
        <w:t xml:space="preserve"> </w:t>
      </w:r>
      <w:r w:rsidR="009704E2">
        <w:t>for</w:t>
      </w:r>
      <w:r>
        <w:t xml:space="preserve"> BRS1 </w:t>
      </w:r>
      <w:r w:rsidR="009704E2">
        <w:t>operations</w:t>
      </w:r>
      <w:r>
        <w:t xml:space="preserve"> in cases of documented </w:t>
      </w:r>
      <w:r w:rsidR="003155FC">
        <w:t xml:space="preserve">harmful </w:t>
      </w:r>
      <w:r>
        <w:t>interference.</w:t>
      </w:r>
      <w:r>
        <w:rPr>
          <w:rStyle w:val="FootnoteReference"/>
        </w:rPr>
        <w:footnoteReference w:id="9"/>
      </w:r>
    </w:p>
    <w:p w14:paraId="3C4EDF1D" w14:textId="6CDE45A0" w:rsidR="00614131" w:rsidRPr="00614131" w:rsidRDefault="00A000D8" w:rsidP="00DE76DF">
      <w:pPr>
        <w:pStyle w:val="ParaNum"/>
        <w:ind w:left="0"/>
      </w:pPr>
      <w:r>
        <w:t xml:space="preserve">Since the Commission adopted these </w:t>
      </w:r>
      <w:r w:rsidR="009704E2">
        <w:t>OOBE</w:t>
      </w:r>
      <w:r>
        <w:t xml:space="preserve"> limits and other changes to the BRS/EBS services in 2004, Clearwire Corporation (“Clearwire”) has become the predomina</w:t>
      </w:r>
      <w:r w:rsidR="00CB13EA">
        <w:t>n</w:t>
      </w:r>
      <w:r>
        <w:t>t operator in the band.</w:t>
      </w:r>
      <w:r w:rsidR="00DF0F0D">
        <w:rPr>
          <w:rStyle w:val="FootnoteReference"/>
        </w:rPr>
        <w:footnoteReference w:id="10"/>
      </w:r>
      <w:r>
        <w:t xml:space="preserve">  Clearwire and other operators in the 2.5 GHz band use equipment designed according to the Worldwide Interoperability for Microwave Access (“WiMAX”) version 802.16e standard, a technology based on the Institute of Electrical and Electronics Engineers (“</w:t>
      </w:r>
      <w:r>
        <w:rPr>
          <w:bCs/>
        </w:rPr>
        <w:t>IEEE”</w:t>
      </w:r>
      <w:r>
        <w:t>) 802.16 standard, to provide wireless broadband service.</w:t>
      </w:r>
      <w:r>
        <w:rPr>
          <w:rStyle w:val="FootnoteReference"/>
        </w:rPr>
        <w:footnoteReference w:id="11"/>
      </w:r>
      <w:r>
        <w:t xml:space="preserve">  </w:t>
      </w:r>
      <w:r w:rsidR="006F4402">
        <w:rPr>
          <w:szCs w:val="22"/>
        </w:rPr>
        <w:t xml:space="preserve">Sprint, which now controls 100 percent of Clearwire, has announced its intent to deploy a Time </w:t>
      </w:r>
      <w:r w:rsidR="006F4402">
        <w:rPr>
          <w:szCs w:val="22"/>
        </w:rPr>
        <w:lastRenderedPageBreak/>
        <w:t xml:space="preserve">Division Duplex (“TDD”) system </w:t>
      </w:r>
      <w:r w:rsidR="00CF2228">
        <w:t xml:space="preserve">based on </w:t>
      </w:r>
      <w:r>
        <w:t>Long Term Evolution (</w:t>
      </w:r>
      <w:r w:rsidR="00183642">
        <w:t>“</w:t>
      </w:r>
      <w:r>
        <w:t>LTE</w:t>
      </w:r>
      <w:r w:rsidR="00183642">
        <w:t>”</w:t>
      </w:r>
      <w:r>
        <w:t xml:space="preserve">), another </w:t>
      </w:r>
      <w:r w:rsidR="0060703F">
        <w:t xml:space="preserve">global </w:t>
      </w:r>
      <w:r>
        <w:t xml:space="preserve">standard for wireless broadband technology, </w:t>
      </w:r>
      <w:r w:rsidR="006F4402">
        <w:rPr>
          <w:szCs w:val="22"/>
        </w:rPr>
        <w:t>in the 2.5 GHz band as part of its Sprint Spark service, which is currently available in 11 markets.</w:t>
      </w:r>
      <w:r w:rsidR="006F4402">
        <w:rPr>
          <w:rStyle w:val="FootnoteReference"/>
          <w:szCs w:val="22"/>
        </w:rPr>
        <w:footnoteReference w:id="12"/>
      </w:r>
      <w:r w:rsidR="006F4402">
        <w:rPr>
          <w:szCs w:val="22"/>
        </w:rPr>
        <w:t xml:space="preserve">  </w:t>
      </w:r>
      <w:r w:rsidR="00D370EC">
        <w:rPr>
          <w:szCs w:val="22"/>
        </w:rPr>
        <w:t>T</w:t>
      </w:r>
      <w:r w:rsidR="00D370EC">
        <w:t>he Third Generation Partnership Project (“3GPP”</w:t>
      </w:r>
      <w:r w:rsidR="00D370EC">
        <w:rPr>
          <w:szCs w:val="22"/>
        </w:rPr>
        <w:t>), a consensus-driven international partnership of telecommunications standards bodies,</w:t>
      </w:r>
      <w:r w:rsidR="00D370EC">
        <w:t xml:space="preserve"> developed </w:t>
      </w:r>
      <w:r w:rsidR="006F4402">
        <w:rPr>
          <w:szCs w:val="22"/>
        </w:rPr>
        <w:t xml:space="preserve">LTE </w:t>
      </w:r>
      <w:r>
        <w:rPr>
          <w:szCs w:val="22"/>
        </w:rPr>
        <w:t>.</w:t>
      </w:r>
      <w:r w:rsidR="006F4402">
        <w:rPr>
          <w:rStyle w:val="FootnoteReference"/>
          <w:szCs w:val="22"/>
        </w:rPr>
        <w:footnoteReference w:id="13"/>
      </w:r>
      <w:r>
        <w:rPr>
          <w:szCs w:val="22"/>
        </w:rPr>
        <w:t xml:space="preserve">  </w:t>
      </w:r>
      <w:r w:rsidR="00FF4F29">
        <w:rPr>
          <w:szCs w:val="22"/>
        </w:rPr>
        <w:t xml:space="preserve">3GPP has identified three band classes </w:t>
      </w:r>
      <w:r w:rsidR="006B2339">
        <w:rPr>
          <w:szCs w:val="22"/>
        </w:rPr>
        <w:t>for LTE applicable to the 2.5 GHz Band:</w:t>
      </w:r>
    </w:p>
    <w:p w14:paraId="38D23440" w14:textId="77777777" w:rsidR="00614131" w:rsidRPr="00D370EC" w:rsidRDefault="00614131" w:rsidP="00614131">
      <w:pPr>
        <w:pStyle w:val="ParaNum"/>
        <w:widowControl/>
        <w:numPr>
          <w:ilvl w:val="0"/>
          <w:numId w:val="29"/>
        </w:numPr>
        <w:ind w:left="720"/>
      </w:pPr>
      <w:r>
        <w:rPr>
          <w:szCs w:val="22"/>
        </w:rPr>
        <w:t xml:space="preserve">Band Class 7 (Frequency Division Duplex (“FDD”)) operation with uplink operation in 2500-2570 MHz and downlink operation in 2620-2690 MHz); </w:t>
      </w:r>
    </w:p>
    <w:p w14:paraId="732B577C" w14:textId="77777777" w:rsidR="00614131" w:rsidRPr="00D370EC" w:rsidRDefault="00614131" w:rsidP="00614131">
      <w:pPr>
        <w:pStyle w:val="ParaNum"/>
        <w:widowControl/>
        <w:numPr>
          <w:ilvl w:val="0"/>
          <w:numId w:val="29"/>
        </w:numPr>
        <w:ind w:left="720"/>
      </w:pPr>
      <w:r>
        <w:rPr>
          <w:szCs w:val="22"/>
        </w:rPr>
        <w:t xml:space="preserve">Band Class 38 TDD operation in 2570-2620 MHz); and </w:t>
      </w:r>
    </w:p>
    <w:p w14:paraId="60C820E3" w14:textId="77777777" w:rsidR="00614131" w:rsidRPr="00614131" w:rsidRDefault="00614131" w:rsidP="00614131">
      <w:pPr>
        <w:pStyle w:val="ParaNum"/>
        <w:widowControl/>
        <w:numPr>
          <w:ilvl w:val="0"/>
          <w:numId w:val="29"/>
        </w:numPr>
        <w:spacing w:after="220"/>
        <w:ind w:left="720"/>
      </w:pPr>
      <w:r>
        <w:rPr>
          <w:szCs w:val="22"/>
        </w:rPr>
        <w:t>Band Class 41 (TDD operation throughout the 2496-2690 MHz band).</w:t>
      </w:r>
      <w:r>
        <w:rPr>
          <w:rStyle w:val="FootnoteReference"/>
          <w:szCs w:val="22"/>
        </w:rPr>
        <w:footnoteReference w:id="14"/>
      </w:r>
      <w:r>
        <w:rPr>
          <w:szCs w:val="22"/>
        </w:rPr>
        <w:t xml:space="preserve">  </w:t>
      </w:r>
    </w:p>
    <w:p w14:paraId="78A29395" w14:textId="77777777" w:rsidR="00A000D8" w:rsidRDefault="000F0A1D" w:rsidP="00DE76DF">
      <w:pPr>
        <w:pStyle w:val="ParaNum"/>
        <w:ind w:left="0"/>
      </w:pPr>
      <w:r w:rsidRPr="00DF257B">
        <w:rPr>
          <w:rFonts w:eastAsia="ChronicleDeck-Roman"/>
          <w:kern w:val="0"/>
        </w:rPr>
        <w:t>Spri</w:t>
      </w:r>
      <w:r w:rsidRPr="00614131">
        <w:t>nt estimates that 100 million customers will have Sprint Spark or 2.5 GHz band coverage by the end of 2014</w:t>
      </w:r>
      <w:r w:rsidR="007E14CB" w:rsidRPr="00614131">
        <w:t>.</w:t>
      </w:r>
      <w:r w:rsidR="007E14CB">
        <w:rPr>
          <w:rStyle w:val="FootnoteReference"/>
          <w:szCs w:val="22"/>
        </w:rPr>
        <w:footnoteReference w:id="15"/>
      </w:r>
      <w:r w:rsidR="007E14CB" w:rsidRPr="00614131">
        <w:t xml:space="preserve">  </w:t>
      </w:r>
      <w:r w:rsidR="00A000D8" w:rsidRPr="00614131">
        <w:t xml:space="preserve">IEEE and 3GPP </w:t>
      </w:r>
      <w:r w:rsidR="00C9304F" w:rsidRPr="00614131">
        <w:t xml:space="preserve">state that they </w:t>
      </w:r>
      <w:r w:rsidR="00A000D8" w:rsidRPr="00614131">
        <w:t xml:space="preserve">are refining their respective standards into new versions: WiMAX 2 </w:t>
      </w:r>
      <w:r w:rsidR="00A000D8">
        <w:t>(based on the 802.16m standard)</w:t>
      </w:r>
      <w:r w:rsidR="00A000D8" w:rsidRPr="00614131">
        <w:t xml:space="preserve"> and</w:t>
      </w:r>
      <w:r w:rsidR="00A000D8">
        <w:t xml:space="preserve"> Advanced-LTE (3GPP Release 10 and beyond).</w:t>
      </w:r>
      <w:r w:rsidR="00A000D8">
        <w:rPr>
          <w:rStyle w:val="FootnoteReference"/>
        </w:rPr>
        <w:footnoteReference w:id="16"/>
      </w:r>
      <w:r w:rsidR="00A000D8">
        <w:t xml:space="preserve">   </w:t>
      </w:r>
    </w:p>
    <w:p w14:paraId="1004A348" w14:textId="77777777" w:rsidR="00A000D8" w:rsidRDefault="00A000D8" w:rsidP="00DE76DF">
      <w:pPr>
        <w:pStyle w:val="ParaNum"/>
        <w:ind w:left="0"/>
      </w:pPr>
      <w:r>
        <w:rPr>
          <w:rFonts w:eastAsia="ChronicleDeck-Roman"/>
          <w:snapToGrid/>
          <w:kern w:val="0"/>
        </w:rPr>
        <w:t xml:space="preserve">To cope with increased demand for </w:t>
      </w:r>
      <w:r w:rsidR="009704E2">
        <w:rPr>
          <w:rFonts w:eastAsia="ChronicleDeck-Roman"/>
          <w:snapToGrid/>
          <w:kern w:val="0"/>
        </w:rPr>
        <w:t>Fourth Generation (</w:t>
      </w:r>
      <w:r w:rsidR="00972318">
        <w:rPr>
          <w:rFonts w:eastAsia="ChronicleDeck-Roman"/>
          <w:snapToGrid/>
          <w:kern w:val="0"/>
        </w:rPr>
        <w:t>“</w:t>
      </w:r>
      <w:r>
        <w:rPr>
          <w:rFonts w:eastAsia="ChronicleDeck-Roman"/>
          <w:snapToGrid/>
          <w:kern w:val="0"/>
        </w:rPr>
        <w:t>4G</w:t>
      </w:r>
      <w:r w:rsidR="00972318">
        <w:rPr>
          <w:rFonts w:eastAsia="ChronicleDeck-Roman"/>
          <w:snapToGrid/>
          <w:kern w:val="0"/>
        </w:rPr>
        <w:t>”</w:t>
      </w:r>
      <w:r w:rsidR="009704E2">
        <w:rPr>
          <w:rFonts w:eastAsia="ChronicleDeck-Roman"/>
          <w:snapToGrid/>
          <w:kern w:val="0"/>
        </w:rPr>
        <w:t>)</w:t>
      </w:r>
      <w:r>
        <w:rPr>
          <w:rFonts w:eastAsia="ChronicleDeck-Roman"/>
          <w:snapToGrid/>
          <w:kern w:val="0"/>
        </w:rPr>
        <w:t xml:space="preserve"> services while using spectrum efficiently, WiMAX2 </w:t>
      </w:r>
      <w:r w:rsidR="00641BF2">
        <w:rPr>
          <w:rFonts w:eastAsia="ChronicleDeck-Roman"/>
          <w:snapToGrid/>
          <w:kern w:val="0"/>
        </w:rPr>
        <w:t xml:space="preserve">and </w:t>
      </w:r>
      <w:r>
        <w:rPr>
          <w:rFonts w:eastAsia="ChronicleDeck-Roman"/>
          <w:snapToGrid/>
          <w:kern w:val="0"/>
        </w:rPr>
        <w:t xml:space="preserve">LTE-Advanced </w:t>
      </w:r>
      <w:r w:rsidR="00641BF2">
        <w:rPr>
          <w:rFonts w:eastAsia="ChronicleDeck-Roman"/>
          <w:snapToGrid/>
          <w:kern w:val="0"/>
        </w:rPr>
        <w:t xml:space="preserve">equipment </w:t>
      </w:r>
      <w:r>
        <w:rPr>
          <w:rFonts w:eastAsia="ChronicleDeck-Roman"/>
          <w:snapToGrid/>
          <w:kern w:val="0"/>
        </w:rPr>
        <w:t xml:space="preserve">will use channels that have bandwidths </w:t>
      </w:r>
      <w:r>
        <w:t>up to 40-100</w:t>
      </w:r>
      <w:r w:rsidR="0034512D">
        <w:t> </w:t>
      </w:r>
      <w:r>
        <w:t>megahertz.</w:t>
      </w:r>
      <w:r>
        <w:rPr>
          <w:rStyle w:val="FootnoteReference"/>
          <w:szCs w:val="22"/>
        </w:rPr>
        <w:footnoteReference w:id="17"/>
      </w:r>
      <w:r>
        <w:t xml:space="preserve">  </w:t>
      </w:r>
      <w:r w:rsidR="009A1B6F">
        <w:t>In contrast, current WiMAX equipment typically uses channels that have a maximum bandwidth of 10 megahertz.</w:t>
      </w:r>
      <w:r w:rsidR="009A1B6F">
        <w:rPr>
          <w:rStyle w:val="FootnoteReference"/>
          <w:szCs w:val="22"/>
        </w:rPr>
        <w:footnoteReference w:id="18"/>
      </w:r>
      <w:r w:rsidR="009A1B6F">
        <w:t xml:space="preserve">  </w:t>
      </w:r>
      <w:r>
        <w:t xml:space="preserve">Although channels in the LBS and UBS, except for BRS1 and </w:t>
      </w:r>
      <w:r w:rsidR="009704E2">
        <w:t>BRS Channel</w:t>
      </w:r>
      <w:r w:rsidR="007F106B">
        <w:t> </w:t>
      </w:r>
      <w:r w:rsidR="009704E2">
        <w:t>2 (</w:t>
      </w:r>
      <w:r w:rsidR="00972318">
        <w:t>“</w:t>
      </w:r>
      <w:r>
        <w:t>BRS2</w:t>
      </w:r>
      <w:r w:rsidR="00972318">
        <w:t>”</w:t>
      </w:r>
      <w:r w:rsidR="009704E2">
        <w:t>)</w:t>
      </w:r>
      <w:r>
        <w:t xml:space="preserve">, are 5.5 megahertz, operators generally combine </w:t>
      </w:r>
      <w:r w:rsidR="00E91A04">
        <w:t xml:space="preserve">multiple </w:t>
      </w:r>
      <w:r>
        <w:t>channels to provide service.</w:t>
      </w:r>
      <w:r w:rsidR="002E4EE2">
        <w:rPr>
          <w:rStyle w:val="FootnoteReference"/>
        </w:rPr>
        <w:footnoteReference w:id="19"/>
      </w:r>
    </w:p>
    <w:p w14:paraId="1CF8C737" w14:textId="77777777" w:rsidR="00A000D8" w:rsidRPr="001950D2" w:rsidRDefault="00A000D8" w:rsidP="00DE76DF">
      <w:pPr>
        <w:pStyle w:val="ParaNum"/>
        <w:ind w:left="0"/>
        <w:rPr>
          <w:szCs w:val="22"/>
        </w:rPr>
      </w:pPr>
      <w:r w:rsidRPr="001950D2">
        <w:rPr>
          <w:i/>
        </w:rPr>
        <w:t>WCAI Petition</w:t>
      </w:r>
      <w:r>
        <w:t xml:space="preserve">:  To permit operators to realize the full benefits of 4G technologies, such as WiMAX2 and Advanced-LTE, </w:t>
      </w:r>
      <w:r w:rsidR="00C9003E">
        <w:t xml:space="preserve">which can use wider bandwidth technologies, </w:t>
      </w:r>
      <w:r w:rsidR="00641BF2">
        <w:t xml:space="preserve">on October 22, 2010, </w:t>
      </w:r>
      <w:r>
        <w:t>the Wireless Communications Association International (</w:t>
      </w:r>
      <w:r w:rsidR="00587320">
        <w:t>“</w:t>
      </w:r>
      <w:r>
        <w:t>WCAI</w:t>
      </w:r>
      <w:r w:rsidR="00587320">
        <w:t>”</w:t>
      </w:r>
      <w:r>
        <w:t xml:space="preserve">) filed a petition for rulemaking asking the Commission to revise the </w:t>
      </w:r>
      <w:r w:rsidR="008445E2">
        <w:t>OOBE</w:t>
      </w:r>
      <w:r>
        <w:t xml:space="preserve"> limits for mobile broadband devices operating in the 2.5 GHz band to accommodate channel bandwidths of 20</w:t>
      </w:r>
      <w:r w:rsidR="00DF0F0D">
        <w:t xml:space="preserve"> </w:t>
      </w:r>
      <w:r>
        <w:t>megahertz and wider.</w:t>
      </w:r>
      <w:r>
        <w:rPr>
          <w:rStyle w:val="FootnoteReference"/>
          <w:szCs w:val="22"/>
        </w:rPr>
        <w:footnoteReference w:id="20"/>
      </w:r>
      <w:r>
        <w:t xml:space="preserve">  </w:t>
      </w:r>
      <w:r w:rsidR="00FA495C">
        <w:t>WCAI stated that it</w:t>
      </w:r>
      <w:r w:rsidRPr="001950D2">
        <w:rPr>
          <w:snapToGrid/>
          <w:kern w:val="0"/>
        </w:rPr>
        <w:t xml:space="preserve"> is difficult for </w:t>
      </w:r>
      <w:r>
        <w:t>mobile broadband devices</w:t>
      </w:r>
      <w:r w:rsidRPr="001950D2">
        <w:rPr>
          <w:snapToGrid/>
          <w:kern w:val="0"/>
        </w:rPr>
        <w:t xml:space="preserve"> operating in the 2.5 GHz band to meet the </w:t>
      </w:r>
      <w:r w:rsidR="008445E2">
        <w:rPr>
          <w:snapToGrid/>
          <w:kern w:val="0"/>
        </w:rPr>
        <w:t>OOBE</w:t>
      </w:r>
      <w:r w:rsidRPr="001950D2">
        <w:rPr>
          <w:snapToGrid/>
          <w:kern w:val="0"/>
        </w:rPr>
        <w:t xml:space="preserve"> limits for 10</w:t>
      </w:r>
      <w:r w:rsidR="00557EB8">
        <w:rPr>
          <w:snapToGrid/>
          <w:kern w:val="0"/>
        </w:rPr>
        <w:t xml:space="preserve"> </w:t>
      </w:r>
      <w:r w:rsidRPr="001950D2">
        <w:rPr>
          <w:snapToGrid/>
          <w:kern w:val="0"/>
        </w:rPr>
        <w:t>megahertz channels because of the limits of power amplifier efficiency inherent in current technology.</w:t>
      </w:r>
      <w:r>
        <w:rPr>
          <w:rStyle w:val="FootnoteReference"/>
          <w:snapToGrid/>
          <w:kern w:val="0"/>
          <w:szCs w:val="22"/>
        </w:rPr>
        <w:footnoteReference w:id="21"/>
      </w:r>
      <w:r w:rsidRPr="001950D2">
        <w:rPr>
          <w:snapToGrid/>
          <w:kern w:val="0"/>
        </w:rPr>
        <w:t xml:space="preserve">  </w:t>
      </w:r>
      <w:r w:rsidR="00926FF2">
        <w:rPr>
          <w:snapToGrid/>
          <w:kern w:val="0"/>
        </w:rPr>
        <w:t>WCAI also asserted that it would be difficult or impossible to develop a smartphone that both complies with current out</w:t>
      </w:r>
      <w:r w:rsidR="008445E2">
        <w:rPr>
          <w:snapToGrid/>
          <w:kern w:val="0"/>
        </w:rPr>
        <w:t>-</w:t>
      </w:r>
      <w:r w:rsidR="00926FF2">
        <w:rPr>
          <w:snapToGrid/>
          <w:kern w:val="0"/>
        </w:rPr>
        <w:t>of</w:t>
      </w:r>
      <w:r w:rsidR="008445E2">
        <w:rPr>
          <w:snapToGrid/>
          <w:kern w:val="0"/>
        </w:rPr>
        <w:t>-</w:t>
      </w:r>
      <w:r w:rsidR="00926FF2">
        <w:rPr>
          <w:snapToGrid/>
          <w:kern w:val="0"/>
        </w:rPr>
        <w:t>band emissions standards and that could fully use a 20 megahertz channel bandwidth</w:t>
      </w:r>
      <w:r w:rsidRPr="001950D2">
        <w:rPr>
          <w:snapToGrid/>
          <w:kern w:val="0"/>
        </w:rPr>
        <w:t>.</w:t>
      </w:r>
      <w:r>
        <w:rPr>
          <w:rStyle w:val="FootnoteReference"/>
          <w:snapToGrid/>
          <w:kern w:val="0"/>
          <w:szCs w:val="22"/>
        </w:rPr>
        <w:footnoteReference w:id="22"/>
      </w:r>
      <w:r w:rsidRPr="001950D2">
        <w:rPr>
          <w:snapToGrid/>
          <w:kern w:val="0"/>
        </w:rPr>
        <w:t xml:space="preserve">  WCAI thus asked the Commission to </w:t>
      </w:r>
      <w:r w:rsidR="00576655">
        <w:rPr>
          <w:snapToGrid/>
          <w:kern w:val="0"/>
        </w:rPr>
        <w:t xml:space="preserve">relax </w:t>
      </w:r>
      <w:r w:rsidRPr="001950D2">
        <w:rPr>
          <w:snapToGrid/>
          <w:kern w:val="0"/>
        </w:rPr>
        <w:t xml:space="preserve">the </w:t>
      </w:r>
      <w:r w:rsidR="008445E2">
        <w:rPr>
          <w:snapToGrid/>
          <w:kern w:val="0"/>
        </w:rPr>
        <w:t>OOBE</w:t>
      </w:r>
      <w:r w:rsidRPr="001950D2">
        <w:rPr>
          <w:snapToGrid/>
          <w:kern w:val="0"/>
        </w:rPr>
        <w:t xml:space="preserve"> limits for mobile broadband devices operating in the 2.5 GHz band by modifying the attenuation factor</w:t>
      </w:r>
      <w:r w:rsidR="008825EB">
        <w:rPr>
          <w:snapToGrid/>
          <w:kern w:val="0"/>
        </w:rPr>
        <w:t>s</w:t>
      </w:r>
      <w:r w:rsidRPr="001950D2">
        <w:rPr>
          <w:snapToGrid/>
          <w:kern w:val="0"/>
        </w:rPr>
        <w:t xml:space="preserve"> that these devices must meet</w:t>
      </w:r>
      <w:r w:rsidR="00CF2228">
        <w:rPr>
          <w:snapToGrid/>
          <w:kern w:val="0"/>
        </w:rPr>
        <w:t>.</w:t>
      </w:r>
      <w:r w:rsidR="00CF2228">
        <w:rPr>
          <w:rStyle w:val="FootnoteReference"/>
          <w:snapToGrid/>
          <w:kern w:val="0"/>
        </w:rPr>
        <w:footnoteReference w:id="23"/>
      </w:r>
      <w:r w:rsidR="00CF2228">
        <w:rPr>
          <w:snapToGrid/>
          <w:kern w:val="0"/>
        </w:rPr>
        <w:t xml:space="preserve">  </w:t>
      </w:r>
      <w:r w:rsidR="002E4EE2">
        <w:rPr>
          <w:snapToGrid/>
          <w:kern w:val="0"/>
        </w:rPr>
        <w:t>WCAI argued that t</w:t>
      </w:r>
      <w:r w:rsidR="00CF2228">
        <w:rPr>
          <w:snapToGrid/>
          <w:kern w:val="0"/>
        </w:rPr>
        <w:t>his increase</w:t>
      </w:r>
      <w:r w:rsidRPr="001950D2">
        <w:rPr>
          <w:snapToGrid/>
          <w:kern w:val="0"/>
        </w:rPr>
        <w:t xml:space="preserve"> would allow operators to provide the full uplink capacity available in 20 megahertz or wider channels, and would </w:t>
      </w:r>
      <w:r w:rsidR="0060703F">
        <w:rPr>
          <w:snapToGrid/>
          <w:kern w:val="0"/>
        </w:rPr>
        <w:t xml:space="preserve">align </w:t>
      </w:r>
      <w:r w:rsidRPr="001950D2">
        <w:rPr>
          <w:snapToGrid/>
          <w:kern w:val="0"/>
        </w:rPr>
        <w:t xml:space="preserve">the Commission’s </w:t>
      </w:r>
      <w:r w:rsidR="008445E2">
        <w:rPr>
          <w:snapToGrid/>
          <w:kern w:val="0"/>
        </w:rPr>
        <w:t>OOBE</w:t>
      </w:r>
      <w:r w:rsidRPr="001950D2">
        <w:rPr>
          <w:snapToGrid/>
          <w:kern w:val="0"/>
        </w:rPr>
        <w:t xml:space="preserve"> limits with international standards developed by 3GPP for </w:t>
      </w:r>
      <w:r w:rsidR="008445E2">
        <w:rPr>
          <w:snapToGrid/>
          <w:kern w:val="0"/>
        </w:rPr>
        <w:t>OOBE</w:t>
      </w:r>
      <w:r w:rsidRPr="001950D2">
        <w:rPr>
          <w:snapToGrid/>
          <w:kern w:val="0"/>
        </w:rPr>
        <w:t xml:space="preserve"> limits in the 2.5 GHz band.</w:t>
      </w:r>
      <w:r>
        <w:rPr>
          <w:rStyle w:val="FootnoteReference"/>
          <w:snapToGrid/>
          <w:kern w:val="0"/>
          <w:szCs w:val="22"/>
        </w:rPr>
        <w:footnoteReference w:id="24"/>
      </w:r>
    </w:p>
    <w:p w14:paraId="0EFF5C74" w14:textId="77777777" w:rsidR="00A000D8" w:rsidRDefault="00603A4C" w:rsidP="00DE76DF">
      <w:pPr>
        <w:pStyle w:val="ParaNum"/>
        <w:ind w:left="0"/>
        <w:rPr>
          <w:szCs w:val="22"/>
        </w:rPr>
      </w:pPr>
      <w:r>
        <w:rPr>
          <w:i/>
        </w:rPr>
        <w:t xml:space="preserve">BRS/EBS OOBE </w:t>
      </w:r>
      <w:r w:rsidR="00A000D8" w:rsidRPr="004F2D88">
        <w:rPr>
          <w:i/>
        </w:rPr>
        <w:t>FNPRM:</w:t>
      </w:r>
      <w:r w:rsidR="00A000D8">
        <w:rPr>
          <w:i/>
        </w:rPr>
        <w:t xml:space="preserve">  </w:t>
      </w:r>
      <w:r w:rsidR="00A000D8" w:rsidRPr="00275411">
        <w:t xml:space="preserve">In response to WCAI’s petition, </w:t>
      </w:r>
      <w:r w:rsidR="006B2C09">
        <w:t xml:space="preserve">on May 27, 2011, </w:t>
      </w:r>
      <w:r w:rsidR="00A000D8" w:rsidRPr="00275411">
        <w:t>the Commission released the</w:t>
      </w:r>
      <w:r w:rsidR="00A000D8">
        <w:t xml:space="preserve"> </w:t>
      </w:r>
      <w:r>
        <w:rPr>
          <w:i/>
        </w:rPr>
        <w:t xml:space="preserve">BRS/EBS OOBE </w:t>
      </w:r>
      <w:r w:rsidR="00A000D8" w:rsidRPr="00164A3E">
        <w:rPr>
          <w:i/>
        </w:rPr>
        <w:t>FNPRM</w:t>
      </w:r>
      <w:r w:rsidR="00A000D8">
        <w:t>, in which it found that enabling the use of wider channels in the 2.5 GHz band would enhance spectrum efficiency and throughput of mobile broadband devices operating in the 2.5 GHz band</w:t>
      </w:r>
      <w:r w:rsidR="00EF611A">
        <w:t>,</w:t>
      </w:r>
      <w:r w:rsidR="00A000D8">
        <w:t xml:space="preserve"> and that </w:t>
      </w:r>
      <w:r w:rsidR="0060703F">
        <w:rPr>
          <w:snapToGrid/>
          <w:kern w:val="0"/>
        </w:rPr>
        <w:t xml:space="preserve">aligning </w:t>
      </w:r>
      <w:r w:rsidR="00A000D8">
        <w:rPr>
          <w:snapToGrid/>
          <w:kern w:val="0"/>
        </w:rPr>
        <w:t>the Commission’s rules with international standards could benefit both operators and consumers.</w:t>
      </w:r>
      <w:r w:rsidR="00A000D8">
        <w:rPr>
          <w:rStyle w:val="FootnoteReference"/>
          <w:snapToGrid/>
          <w:kern w:val="0"/>
        </w:rPr>
        <w:footnoteReference w:id="25"/>
      </w:r>
      <w:r w:rsidR="00A000D8">
        <w:t xml:space="preserve">  The Commission sought comment on whether </w:t>
      </w:r>
      <w:r w:rsidR="009C56E0">
        <w:t xml:space="preserve">it should modify </w:t>
      </w:r>
      <w:r w:rsidR="00A000D8">
        <w:t xml:space="preserve">the </w:t>
      </w:r>
      <w:r w:rsidR="008445E2">
        <w:t>OOBE</w:t>
      </w:r>
      <w:r w:rsidR="00A000D8">
        <w:t xml:space="preserve"> limits for </w:t>
      </w:r>
      <w:r w:rsidR="00A000D8">
        <w:rPr>
          <w:snapToGrid/>
          <w:kern w:val="0"/>
        </w:rPr>
        <w:t>mobile broadband devices</w:t>
      </w:r>
      <w:r w:rsidR="00A000D8">
        <w:t xml:space="preserve"> operating in the 2.5 GHz band</w:t>
      </w:r>
      <w:r w:rsidR="009C56E0">
        <w:t>, and specifically sought comments on the OOBE limits</w:t>
      </w:r>
      <w:r w:rsidR="00C77885">
        <w:t xml:space="preserve"> (</w:t>
      </w:r>
      <w:r w:rsidR="00C77885">
        <w:rPr>
          <w:i/>
        </w:rPr>
        <w:t>i.e.</w:t>
      </w:r>
      <w:r w:rsidR="00C77885">
        <w:t>, attenuation factors)</w:t>
      </w:r>
      <w:r w:rsidR="00A000D8">
        <w:t xml:space="preserve"> requested by WCAI</w:t>
      </w:r>
      <w:r w:rsidR="00CF2228">
        <w:t>, and outlined below</w:t>
      </w:r>
      <w:r w:rsidR="00A000D8">
        <w:t>.</w:t>
      </w:r>
      <w:r w:rsidR="00A000D8">
        <w:rPr>
          <w:rStyle w:val="FootnoteReference"/>
        </w:rPr>
        <w:footnoteReference w:id="26"/>
      </w:r>
      <w:r w:rsidR="00A000D8">
        <w:t xml:space="preserve">  </w:t>
      </w:r>
    </w:p>
    <w:p w14:paraId="758A8EF3" w14:textId="77777777" w:rsidR="00A000D8" w:rsidRPr="001B0D3F" w:rsidRDefault="00A000D8" w:rsidP="00F1568B">
      <w:pPr>
        <w:pStyle w:val="ParaNum"/>
        <w:widowControl/>
        <w:numPr>
          <w:ilvl w:val="0"/>
          <w:numId w:val="17"/>
        </w:numPr>
        <w:tabs>
          <w:tab w:val="num" w:pos="1440"/>
        </w:tabs>
        <w:rPr>
          <w:szCs w:val="22"/>
        </w:rPr>
      </w:pPr>
      <w:r w:rsidRPr="001B0D3F">
        <w:rPr>
          <w:snapToGrid/>
          <w:kern w:val="0"/>
        </w:rPr>
        <w:t xml:space="preserve">40 </w:t>
      </w:r>
      <w:r w:rsidR="002C5DB8">
        <w:rPr>
          <w:snapToGrid/>
          <w:kern w:val="0"/>
        </w:rPr>
        <w:t>+</w:t>
      </w:r>
      <w:r w:rsidRPr="00E232F9">
        <w:rPr>
          <w:snapToGrid/>
          <w:kern w:val="0"/>
        </w:rPr>
        <w:t xml:space="preserve"> </w:t>
      </w:r>
      <w:r w:rsidRPr="001B0D3F">
        <w:rPr>
          <w:snapToGrid/>
          <w:kern w:val="0"/>
        </w:rPr>
        <w:t xml:space="preserve">10 log (P) </w:t>
      </w:r>
      <w:r w:rsidR="004529B6" w:rsidRPr="001B0D3F">
        <w:rPr>
          <w:snapToGrid/>
          <w:kern w:val="0"/>
        </w:rPr>
        <w:t xml:space="preserve">(where (P) is the transmitter power in Watts) </w:t>
      </w:r>
      <w:r w:rsidRPr="001B0D3F">
        <w:rPr>
          <w:snapToGrid/>
          <w:kern w:val="0"/>
        </w:rPr>
        <w:t xml:space="preserve">dB at the channel edge, measured using a resolution bandwidth of </w:t>
      </w:r>
      <w:r w:rsidR="00C77885">
        <w:rPr>
          <w:snapToGrid/>
          <w:kern w:val="0"/>
        </w:rPr>
        <w:t>2</w:t>
      </w:r>
      <w:r w:rsidR="00DF0F0D">
        <w:rPr>
          <w:snapToGrid/>
          <w:kern w:val="0"/>
        </w:rPr>
        <w:t xml:space="preserve"> </w:t>
      </w:r>
      <w:r w:rsidRPr="001B0D3F">
        <w:rPr>
          <w:snapToGrid/>
          <w:kern w:val="0"/>
        </w:rPr>
        <w:t xml:space="preserve">percent of the emission bandwidth of the fundamental emission in the </w:t>
      </w:r>
      <w:r w:rsidR="00C77885">
        <w:rPr>
          <w:snapToGrid/>
          <w:kern w:val="0"/>
        </w:rPr>
        <w:t>1</w:t>
      </w:r>
      <w:r w:rsidR="00DF0F0D">
        <w:rPr>
          <w:snapToGrid/>
          <w:kern w:val="0"/>
        </w:rPr>
        <w:t xml:space="preserve"> </w:t>
      </w:r>
      <w:r w:rsidRPr="001B0D3F">
        <w:rPr>
          <w:snapToGrid/>
          <w:kern w:val="0"/>
        </w:rPr>
        <w:t>megahertz bands immediately outside and adjacent to the frequency block</w:t>
      </w:r>
      <w:r w:rsidR="001B0D3F">
        <w:rPr>
          <w:snapToGrid/>
          <w:kern w:val="0"/>
        </w:rPr>
        <w:t>;</w:t>
      </w:r>
    </w:p>
    <w:p w14:paraId="5F9B050C" w14:textId="77777777" w:rsidR="00A000D8" w:rsidRPr="001B0D3F" w:rsidRDefault="00A000D8" w:rsidP="00F1568B">
      <w:pPr>
        <w:pStyle w:val="ParaNum"/>
        <w:widowControl/>
        <w:numPr>
          <w:ilvl w:val="0"/>
          <w:numId w:val="17"/>
        </w:numPr>
        <w:tabs>
          <w:tab w:val="num" w:pos="1440"/>
        </w:tabs>
        <w:rPr>
          <w:snapToGrid/>
          <w:kern w:val="0"/>
        </w:rPr>
      </w:pPr>
      <w:r w:rsidRPr="001B0D3F">
        <w:rPr>
          <w:snapToGrid/>
          <w:kern w:val="0"/>
        </w:rPr>
        <w:t>43 + 10 log (P) dB beyond 5 megahertz from the channel edges</w:t>
      </w:r>
      <w:r w:rsidR="001B0D3F">
        <w:rPr>
          <w:snapToGrid/>
          <w:kern w:val="0"/>
        </w:rPr>
        <w:t>;</w:t>
      </w:r>
      <w:r w:rsidRPr="001B0D3F">
        <w:rPr>
          <w:snapToGrid/>
          <w:kern w:val="0"/>
        </w:rPr>
        <w:t xml:space="preserve"> and</w:t>
      </w:r>
    </w:p>
    <w:p w14:paraId="591D9877" w14:textId="77777777" w:rsidR="00A000D8" w:rsidRPr="008D5C14" w:rsidRDefault="00A000D8" w:rsidP="00F1568B">
      <w:pPr>
        <w:pStyle w:val="ParaNum"/>
        <w:widowControl/>
        <w:numPr>
          <w:ilvl w:val="0"/>
          <w:numId w:val="17"/>
        </w:numPr>
        <w:tabs>
          <w:tab w:val="num" w:pos="1440"/>
        </w:tabs>
        <w:rPr>
          <w:i/>
        </w:rPr>
      </w:pPr>
      <w:r w:rsidRPr="002C5DB8">
        <w:rPr>
          <w:snapToGrid/>
          <w:kern w:val="0"/>
        </w:rPr>
        <w:t xml:space="preserve">55 </w:t>
      </w:r>
      <w:r w:rsidRPr="00E232F9">
        <w:rPr>
          <w:snapToGrid/>
          <w:kern w:val="0"/>
        </w:rPr>
        <w:t xml:space="preserve">+ </w:t>
      </w:r>
      <w:r w:rsidRPr="001B0D3F">
        <w:rPr>
          <w:snapToGrid/>
          <w:kern w:val="0"/>
        </w:rPr>
        <w:t xml:space="preserve">10 log (P) dB attenuation factor at a </w:t>
      </w:r>
      <w:r w:rsidR="004559B6" w:rsidRPr="001B0D3F">
        <w:rPr>
          <w:snapToGrid/>
          <w:kern w:val="0"/>
        </w:rPr>
        <w:t xml:space="preserve">separation </w:t>
      </w:r>
      <w:r w:rsidRPr="001B0D3F">
        <w:rPr>
          <w:snapToGrid/>
          <w:kern w:val="0"/>
        </w:rPr>
        <w:t xml:space="preserve">of </w:t>
      </w:r>
      <w:r w:rsidR="00972318">
        <w:rPr>
          <w:snapToGrid/>
          <w:kern w:val="0"/>
        </w:rPr>
        <w:t>“</w:t>
      </w:r>
      <w:r w:rsidRPr="001B0D3F">
        <w:rPr>
          <w:snapToGrid/>
          <w:kern w:val="0"/>
        </w:rPr>
        <w:t>X</w:t>
      </w:r>
      <w:r w:rsidR="00972318">
        <w:rPr>
          <w:snapToGrid/>
          <w:kern w:val="0"/>
        </w:rPr>
        <w:t>”</w:t>
      </w:r>
      <w:r w:rsidR="00972318" w:rsidRPr="001B0D3F">
        <w:rPr>
          <w:snapToGrid/>
          <w:kern w:val="0"/>
        </w:rPr>
        <w:t xml:space="preserve"> </w:t>
      </w:r>
      <w:r w:rsidRPr="001B0D3F">
        <w:rPr>
          <w:snapToGrid/>
          <w:kern w:val="0"/>
        </w:rPr>
        <w:t xml:space="preserve">megahertz from the channel edges, where </w:t>
      </w:r>
      <w:r w:rsidR="00972318">
        <w:rPr>
          <w:snapToGrid/>
          <w:kern w:val="0"/>
        </w:rPr>
        <w:t>“</w:t>
      </w:r>
      <w:r w:rsidRPr="002C5DB8">
        <w:rPr>
          <w:snapToGrid/>
          <w:kern w:val="0"/>
        </w:rPr>
        <w:t>X</w:t>
      </w:r>
      <w:r w:rsidR="00972318">
        <w:rPr>
          <w:snapToGrid/>
          <w:kern w:val="0"/>
        </w:rPr>
        <w:t>”</w:t>
      </w:r>
      <w:r w:rsidRPr="002C5DB8">
        <w:rPr>
          <w:snapToGrid/>
          <w:kern w:val="0"/>
        </w:rPr>
        <w:t xml:space="preserve"> is the greater of 6 megahertz or the actual emission bandwidth as defined in Section 27.53(m)(6) of the Commission's rules.</w:t>
      </w:r>
      <w:r>
        <w:rPr>
          <w:rStyle w:val="FootnoteReference"/>
          <w:snapToGrid/>
          <w:kern w:val="0"/>
        </w:rPr>
        <w:footnoteReference w:id="27"/>
      </w:r>
    </w:p>
    <w:p w14:paraId="5F6EF7C7" w14:textId="77777777" w:rsidR="00614131" w:rsidRDefault="00A000D8" w:rsidP="00DE76DF">
      <w:pPr>
        <w:pStyle w:val="ParaNum"/>
        <w:ind w:left="0"/>
      </w:pPr>
      <w:r>
        <w:t xml:space="preserve">In addition to seeking comment on the </w:t>
      </w:r>
      <w:r w:rsidR="004A27CB">
        <w:t>specific OOBE limits proposed by WCAI</w:t>
      </w:r>
      <w:r>
        <w:t xml:space="preserve">, the Commission </w:t>
      </w:r>
      <w:r w:rsidR="005649AF">
        <w:t xml:space="preserve">also inquired about </w:t>
      </w:r>
      <w:r>
        <w:t xml:space="preserve">the following issues: </w:t>
      </w:r>
    </w:p>
    <w:p w14:paraId="3F24725F" w14:textId="77777777" w:rsidR="00614131" w:rsidRPr="00614131" w:rsidRDefault="00A000D8" w:rsidP="00614131">
      <w:pPr>
        <w:pStyle w:val="ParaNum"/>
        <w:widowControl/>
        <w:numPr>
          <w:ilvl w:val="0"/>
          <w:numId w:val="30"/>
        </w:numPr>
        <w:spacing w:after="220"/>
      </w:pPr>
      <w:r>
        <w:rPr>
          <w:snapToGrid/>
          <w:kern w:val="0"/>
        </w:rPr>
        <w:t>whether the proposed rule changes are necessary to permit mobile broadband devices to operate in the 2.5 GHz band using channel bandwidths wider than 10 megahertz;</w:t>
      </w:r>
      <w:r>
        <w:rPr>
          <w:rStyle w:val="FootnoteReference"/>
          <w:snapToGrid/>
          <w:kern w:val="0"/>
        </w:rPr>
        <w:footnoteReference w:id="28"/>
      </w:r>
      <w:r>
        <w:rPr>
          <w:snapToGrid/>
          <w:kern w:val="0"/>
        </w:rPr>
        <w:t xml:space="preserve"> </w:t>
      </w:r>
    </w:p>
    <w:p w14:paraId="7444819F" w14:textId="0258CFDB" w:rsidR="00614131" w:rsidRPr="00614131" w:rsidRDefault="00A000D8" w:rsidP="00614131">
      <w:pPr>
        <w:pStyle w:val="ParaNum"/>
        <w:widowControl/>
        <w:numPr>
          <w:ilvl w:val="0"/>
          <w:numId w:val="30"/>
        </w:numPr>
        <w:spacing w:after="220"/>
      </w:pPr>
      <w:r>
        <w:rPr>
          <w:snapToGrid/>
          <w:kern w:val="0"/>
        </w:rPr>
        <w:t xml:space="preserve">whether the proposed rule changes would result in insufficient protection against </w:t>
      </w:r>
      <w:r w:rsidR="003155FC">
        <w:rPr>
          <w:snapToGrid/>
          <w:kern w:val="0"/>
        </w:rPr>
        <w:t>harmful interference</w:t>
      </w:r>
      <w:r>
        <w:rPr>
          <w:snapToGrid/>
          <w:kern w:val="0"/>
        </w:rPr>
        <w:t xml:space="preserve"> within the 2.5 GHz band, and if so, whether additional protections against such </w:t>
      </w:r>
      <w:r w:rsidR="003155FC">
        <w:rPr>
          <w:snapToGrid/>
          <w:kern w:val="0"/>
        </w:rPr>
        <w:t>harmful interference</w:t>
      </w:r>
      <w:r>
        <w:rPr>
          <w:snapToGrid/>
          <w:kern w:val="0"/>
        </w:rPr>
        <w:t xml:space="preserve"> would be needed;</w:t>
      </w:r>
      <w:r>
        <w:rPr>
          <w:rStyle w:val="FootnoteReference"/>
          <w:snapToGrid/>
          <w:kern w:val="0"/>
        </w:rPr>
        <w:footnoteReference w:id="29"/>
      </w:r>
    </w:p>
    <w:p w14:paraId="032DAC2C" w14:textId="242ABF28" w:rsidR="00614131" w:rsidRPr="00614131" w:rsidRDefault="00A000D8" w:rsidP="00614131">
      <w:pPr>
        <w:pStyle w:val="ParaNum"/>
        <w:widowControl/>
        <w:numPr>
          <w:ilvl w:val="0"/>
          <w:numId w:val="30"/>
        </w:numPr>
        <w:spacing w:after="220"/>
      </w:pPr>
      <w:r>
        <w:rPr>
          <w:snapToGrid/>
          <w:kern w:val="0"/>
        </w:rPr>
        <w:t xml:space="preserve">whether the proposed rule changes would increase the potential for </w:t>
      </w:r>
      <w:r w:rsidR="003155FC">
        <w:rPr>
          <w:snapToGrid/>
          <w:kern w:val="0"/>
        </w:rPr>
        <w:t>harmful interference</w:t>
      </w:r>
      <w:r>
        <w:rPr>
          <w:snapToGrid/>
          <w:kern w:val="0"/>
        </w:rPr>
        <w:t xml:space="preserve"> into the MSS and BAS below 2</w:t>
      </w:r>
      <w:r w:rsidR="00C652EE">
        <w:rPr>
          <w:snapToGrid/>
          <w:kern w:val="0"/>
        </w:rPr>
        <w:t>4</w:t>
      </w:r>
      <w:r>
        <w:rPr>
          <w:snapToGrid/>
          <w:kern w:val="0"/>
        </w:rPr>
        <w:t>95 MHz;</w:t>
      </w:r>
      <w:r>
        <w:rPr>
          <w:rStyle w:val="FootnoteReference"/>
          <w:snapToGrid/>
          <w:kern w:val="0"/>
        </w:rPr>
        <w:footnoteReference w:id="30"/>
      </w:r>
    </w:p>
    <w:p w14:paraId="0A32CDC2" w14:textId="16F416A9" w:rsidR="00614131" w:rsidRPr="00614131" w:rsidRDefault="00A000D8" w:rsidP="00614131">
      <w:pPr>
        <w:pStyle w:val="ParaNum"/>
        <w:widowControl/>
        <w:numPr>
          <w:ilvl w:val="0"/>
          <w:numId w:val="30"/>
        </w:numPr>
        <w:spacing w:after="220"/>
      </w:pPr>
      <w:r>
        <w:rPr>
          <w:snapToGrid/>
          <w:kern w:val="0"/>
        </w:rPr>
        <w:t xml:space="preserve">whether the Commission should adopt a fixed limit </w:t>
      </w:r>
      <w:r w:rsidR="006B2C09">
        <w:rPr>
          <w:snapToGrid/>
          <w:kern w:val="0"/>
        </w:rPr>
        <w:t>for OOBE</w:t>
      </w:r>
      <w:r>
        <w:rPr>
          <w:snapToGrid/>
          <w:kern w:val="0"/>
        </w:rPr>
        <w:t xml:space="preserve"> below 2495 MHz or above 2690 MHz;</w:t>
      </w:r>
      <w:r>
        <w:rPr>
          <w:rStyle w:val="FootnoteReference"/>
          <w:snapToGrid/>
          <w:kern w:val="0"/>
        </w:rPr>
        <w:footnoteReference w:id="31"/>
      </w:r>
    </w:p>
    <w:p w14:paraId="5A0C40AD" w14:textId="2D16138F" w:rsidR="00614131" w:rsidRPr="00614131" w:rsidRDefault="00A000D8" w:rsidP="00614131">
      <w:pPr>
        <w:pStyle w:val="ParaNum"/>
        <w:widowControl/>
        <w:numPr>
          <w:ilvl w:val="0"/>
          <w:numId w:val="30"/>
        </w:numPr>
        <w:spacing w:after="220"/>
      </w:pPr>
      <w:r>
        <w:rPr>
          <w:snapToGrid/>
          <w:kern w:val="0"/>
        </w:rPr>
        <w:t xml:space="preserve">whether the proposed rule would work for channels wider than 20 megahertz without causing </w:t>
      </w:r>
      <w:r w:rsidR="003155FC">
        <w:rPr>
          <w:snapToGrid/>
          <w:kern w:val="0"/>
        </w:rPr>
        <w:t>harmful interference</w:t>
      </w:r>
      <w:r>
        <w:rPr>
          <w:snapToGrid/>
          <w:kern w:val="0"/>
        </w:rPr>
        <w:t xml:space="preserve"> to operations in adjacent bands;</w:t>
      </w:r>
      <w:r>
        <w:rPr>
          <w:rStyle w:val="FootnoteReference"/>
          <w:snapToGrid/>
          <w:kern w:val="0"/>
        </w:rPr>
        <w:footnoteReference w:id="32"/>
      </w:r>
    </w:p>
    <w:p w14:paraId="231A1C55" w14:textId="51C8E614" w:rsidR="00614131" w:rsidRPr="00614131" w:rsidRDefault="00A000D8" w:rsidP="00614131">
      <w:pPr>
        <w:pStyle w:val="ParaNum"/>
        <w:widowControl/>
        <w:numPr>
          <w:ilvl w:val="0"/>
          <w:numId w:val="30"/>
        </w:numPr>
        <w:spacing w:after="220"/>
      </w:pPr>
      <w:r>
        <w:rPr>
          <w:snapToGrid/>
          <w:kern w:val="0"/>
        </w:rPr>
        <w:t>whether the proposed rule changes would be consistent with IEEE’s continuing development of WiMAX2, as well as other evolving standards</w:t>
      </w:r>
      <w:r w:rsidR="00614131">
        <w:rPr>
          <w:snapToGrid/>
          <w:kern w:val="0"/>
        </w:rPr>
        <w:t>;</w:t>
      </w:r>
      <w:r>
        <w:rPr>
          <w:rStyle w:val="FootnoteReference"/>
          <w:snapToGrid/>
          <w:kern w:val="0"/>
        </w:rPr>
        <w:footnoteReference w:id="33"/>
      </w:r>
      <w:r w:rsidR="00614131">
        <w:rPr>
          <w:snapToGrid/>
          <w:kern w:val="0"/>
        </w:rPr>
        <w:t xml:space="preserve"> and</w:t>
      </w:r>
    </w:p>
    <w:p w14:paraId="3BBDBE39" w14:textId="77777777" w:rsidR="00A000D8" w:rsidRPr="00AD1316" w:rsidRDefault="00A000D8" w:rsidP="00DF257B">
      <w:pPr>
        <w:pStyle w:val="ParaNum"/>
        <w:widowControl/>
        <w:numPr>
          <w:ilvl w:val="0"/>
          <w:numId w:val="30"/>
        </w:numPr>
        <w:spacing w:after="220"/>
      </w:pPr>
      <w:r>
        <w:rPr>
          <w:snapToGrid/>
          <w:kern w:val="0"/>
        </w:rPr>
        <w:t>whether any additional changes to the OOBE limits applicable to digital mobile stations in the 2.5 GHz band are necessary or desirable to promote greater efficiency and flexibility in the provision of broadband services in these bands.</w:t>
      </w:r>
      <w:r>
        <w:rPr>
          <w:rStyle w:val="FootnoteReference"/>
          <w:snapToGrid/>
          <w:kern w:val="0"/>
        </w:rPr>
        <w:footnoteReference w:id="34"/>
      </w:r>
    </w:p>
    <w:p w14:paraId="79376646" w14:textId="6EACD04B" w:rsidR="00053B2C" w:rsidRPr="00AD32FB" w:rsidRDefault="009A48D8" w:rsidP="00DE76DF">
      <w:pPr>
        <w:pStyle w:val="ParaNum"/>
        <w:ind w:left="0"/>
        <w:rPr>
          <w:szCs w:val="22"/>
        </w:rPr>
      </w:pPr>
      <w:bookmarkStart w:id="1" w:name="_Ref341946982"/>
      <w:r>
        <w:rPr>
          <w:i/>
          <w:snapToGrid/>
        </w:rPr>
        <w:t xml:space="preserve">Comments and </w:t>
      </w:r>
      <w:bookmarkEnd w:id="1"/>
      <w:r w:rsidR="00741DBE">
        <w:rPr>
          <w:i/>
          <w:snapToGrid/>
        </w:rPr>
        <w:t>Clearwire Ex Parte</w:t>
      </w:r>
      <w:r w:rsidR="00741DBE">
        <w:rPr>
          <w:snapToGrid/>
        </w:rPr>
        <w:t xml:space="preserve">:  </w:t>
      </w:r>
      <w:r w:rsidR="00053B2C">
        <w:rPr>
          <w:snapToGrid/>
        </w:rPr>
        <w:t xml:space="preserve">Most commenters supported the </w:t>
      </w:r>
      <w:r w:rsidR="00053B2C">
        <w:rPr>
          <w:i/>
          <w:snapToGrid/>
        </w:rPr>
        <w:t>BRS/EBS OOBE FNPRM</w:t>
      </w:r>
      <w:r w:rsidR="00053B2C" w:rsidRPr="007F0CF0">
        <w:rPr>
          <w:snapToGrid/>
        </w:rPr>
        <w:t>’</w:t>
      </w:r>
      <w:r w:rsidR="00053B2C">
        <w:rPr>
          <w:i/>
          <w:snapToGrid/>
        </w:rPr>
        <w:t>s</w:t>
      </w:r>
      <w:r w:rsidR="00053B2C">
        <w:rPr>
          <w:snapToGrid/>
        </w:rPr>
        <w:t xml:space="preserve"> propos</w:t>
      </w:r>
      <w:r w:rsidR="00EF611A">
        <w:rPr>
          <w:snapToGrid/>
        </w:rPr>
        <w:t>ed rule changes</w:t>
      </w:r>
      <w:r w:rsidR="00053B2C">
        <w:rPr>
          <w:snapToGrid/>
        </w:rPr>
        <w:t>.</w:t>
      </w:r>
      <w:r w:rsidR="00053B2C">
        <w:rPr>
          <w:rStyle w:val="FootnoteReference"/>
          <w:snapToGrid/>
          <w:kern w:val="0"/>
        </w:rPr>
        <w:footnoteReference w:id="35"/>
      </w:r>
      <w:r w:rsidR="00053B2C">
        <w:rPr>
          <w:snapToGrid/>
        </w:rPr>
        <w:t xml:space="preserve">  They argue</w:t>
      </w:r>
      <w:r w:rsidR="00B153E1">
        <w:rPr>
          <w:snapToGrid/>
        </w:rPr>
        <w:t>d</w:t>
      </w:r>
      <w:r w:rsidR="00053B2C">
        <w:rPr>
          <w:snapToGrid/>
        </w:rPr>
        <w:t xml:space="preserve"> that the proposed changes to the OOBE standard would allow faster data rates in the 2.5 GHz band,</w:t>
      </w:r>
      <w:r w:rsidR="00053B2C">
        <w:rPr>
          <w:rStyle w:val="FootnoteReference"/>
          <w:snapToGrid/>
          <w:kern w:val="0"/>
        </w:rPr>
        <w:footnoteReference w:id="36"/>
      </w:r>
      <w:r w:rsidR="00053B2C">
        <w:rPr>
          <w:snapToGrid/>
        </w:rPr>
        <w:t xml:space="preserve"> </w:t>
      </w:r>
      <w:r w:rsidR="0060703F">
        <w:rPr>
          <w:snapToGrid/>
        </w:rPr>
        <w:t xml:space="preserve">align </w:t>
      </w:r>
      <w:r w:rsidR="00053B2C">
        <w:rPr>
          <w:snapToGrid/>
        </w:rPr>
        <w:t>the Commission’s rules with international standards,</w:t>
      </w:r>
      <w:r w:rsidR="00053B2C">
        <w:rPr>
          <w:rStyle w:val="FootnoteReference"/>
          <w:snapToGrid/>
          <w:kern w:val="0"/>
        </w:rPr>
        <w:footnoteReference w:id="37"/>
      </w:r>
      <w:r w:rsidR="00053B2C">
        <w:rPr>
          <w:snapToGrid/>
        </w:rPr>
        <w:t xml:space="preserve"> maximize spectral efficiency and broadband throughput,</w:t>
      </w:r>
      <w:r w:rsidR="00053B2C">
        <w:rPr>
          <w:rStyle w:val="FootnoteReference"/>
          <w:snapToGrid/>
          <w:kern w:val="0"/>
        </w:rPr>
        <w:footnoteReference w:id="38"/>
      </w:r>
      <w:r w:rsidR="00053B2C">
        <w:rPr>
          <w:snapToGrid/>
        </w:rPr>
        <w:t xml:space="preserve"> and permit manufacturers and network operators to realize enormous economies of scope and scale.</w:t>
      </w:r>
      <w:r w:rsidR="00053B2C">
        <w:rPr>
          <w:rStyle w:val="FootnoteReference"/>
          <w:snapToGrid/>
          <w:kern w:val="0"/>
        </w:rPr>
        <w:footnoteReference w:id="39"/>
      </w:r>
      <w:r w:rsidR="00053B2C">
        <w:rPr>
          <w:snapToGrid/>
        </w:rPr>
        <w:t xml:space="preserve">  However, four commenters opposed the propos</w:t>
      </w:r>
      <w:r w:rsidR="00EF611A">
        <w:rPr>
          <w:snapToGrid/>
        </w:rPr>
        <w:t>ed changes</w:t>
      </w:r>
      <w:r w:rsidR="00053B2C">
        <w:rPr>
          <w:snapToGrid/>
        </w:rPr>
        <w:t xml:space="preserve">, including </w:t>
      </w:r>
      <w:r w:rsidR="00053B2C" w:rsidRPr="00EC2D54">
        <w:rPr>
          <w:snapToGrid/>
        </w:rPr>
        <w:t>Globalstar Corporation (“Globalstar”)</w:t>
      </w:r>
      <w:r w:rsidR="00053B2C">
        <w:rPr>
          <w:snapToGrid/>
        </w:rPr>
        <w:t xml:space="preserve">, </w:t>
      </w:r>
      <w:r w:rsidR="00053B2C" w:rsidRPr="00EC2D54">
        <w:rPr>
          <w:snapToGrid/>
        </w:rPr>
        <w:t>the Engineers for the Integrity of Broadcast Auxiliary Services Spectrum (“EIBASS”)</w:t>
      </w:r>
      <w:r w:rsidR="00053B2C">
        <w:rPr>
          <w:snapToGrid/>
        </w:rPr>
        <w:t xml:space="preserve">, </w:t>
      </w:r>
      <w:r w:rsidR="00053B2C">
        <w:t xml:space="preserve">IP Wireless, Inc. (“IP Wireless”), </w:t>
      </w:r>
      <w:r w:rsidR="003F4430">
        <w:t xml:space="preserve">and </w:t>
      </w:r>
      <w:r w:rsidR="00053B2C">
        <w:t>Northrop Grumman Systems Corporation (“Northrop Grumman”).</w:t>
      </w:r>
      <w:r w:rsidR="00053B2C">
        <w:rPr>
          <w:rStyle w:val="FootnoteReference"/>
        </w:rPr>
        <w:footnoteReference w:id="40"/>
      </w:r>
      <w:r w:rsidR="00053B2C">
        <w:t xml:space="preserve"> </w:t>
      </w:r>
      <w:r w:rsidR="00CD24DD">
        <w:t xml:space="preserve"> </w:t>
      </w:r>
    </w:p>
    <w:p w14:paraId="5D5B75E7" w14:textId="77777777" w:rsidR="003752F6" w:rsidRDefault="003752F6" w:rsidP="00DE76DF">
      <w:pPr>
        <w:pStyle w:val="ParaNum"/>
        <w:ind w:left="0"/>
        <w:rPr>
          <w:szCs w:val="22"/>
        </w:rPr>
      </w:pPr>
      <w:r>
        <w:rPr>
          <w:snapToGrid/>
        </w:rPr>
        <w:t>O</w:t>
      </w:r>
      <w:r w:rsidRPr="00EC2D54">
        <w:rPr>
          <w:snapToGrid/>
        </w:rPr>
        <w:t xml:space="preserve">n October 18, 2012, in response to the </w:t>
      </w:r>
      <w:r>
        <w:rPr>
          <w:snapToGrid/>
        </w:rPr>
        <w:t xml:space="preserve">opposition </w:t>
      </w:r>
      <w:r w:rsidRPr="00EC2D54">
        <w:rPr>
          <w:snapToGrid/>
        </w:rPr>
        <w:t>comments of</w:t>
      </w:r>
      <w:r>
        <w:rPr>
          <w:snapToGrid/>
        </w:rPr>
        <w:t xml:space="preserve"> Globalstar and EIBASS</w:t>
      </w:r>
      <w:r w:rsidRPr="00EC2D54">
        <w:rPr>
          <w:snapToGrid/>
        </w:rPr>
        <w:t xml:space="preserve">, Clearwire proposed </w:t>
      </w:r>
      <w:r w:rsidR="004A3437">
        <w:rPr>
          <w:snapToGrid/>
        </w:rPr>
        <w:t xml:space="preserve">a modification of </w:t>
      </w:r>
      <w:r>
        <w:rPr>
          <w:snapToGrid/>
        </w:rPr>
        <w:t xml:space="preserve">the </w:t>
      </w:r>
      <w:r w:rsidR="00181087">
        <w:rPr>
          <w:i/>
          <w:snapToGrid/>
        </w:rPr>
        <w:t xml:space="preserve">BRS/EBS OOBE </w:t>
      </w:r>
      <w:r>
        <w:rPr>
          <w:i/>
          <w:snapToGrid/>
        </w:rPr>
        <w:t xml:space="preserve">FNPRM’s </w:t>
      </w:r>
      <w:r>
        <w:rPr>
          <w:snapToGrid/>
        </w:rPr>
        <w:t>proposal</w:t>
      </w:r>
      <w:r w:rsidRPr="00EC2D54">
        <w:rPr>
          <w:snapToGrid/>
        </w:rPr>
        <w:t>.</w:t>
      </w:r>
      <w:bookmarkStart w:id="2" w:name="_Ref340657541"/>
      <w:r>
        <w:rPr>
          <w:rStyle w:val="FootnoteReference"/>
          <w:snapToGrid/>
          <w:kern w:val="0"/>
        </w:rPr>
        <w:footnoteReference w:id="41"/>
      </w:r>
      <w:bookmarkEnd w:id="2"/>
      <w:r w:rsidRPr="00EC2D54">
        <w:rPr>
          <w:snapToGrid/>
        </w:rPr>
        <w:t xml:space="preserve">  Under Clearwire’s</w:t>
      </w:r>
      <w:r w:rsidR="00F32DCB">
        <w:rPr>
          <w:snapToGrid/>
        </w:rPr>
        <w:t xml:space="preserve"> suggested approach</w:t>
      </w:r>
      <w:r w:rsidRPr="00EC2D54">
        <w:rPr>
          <w:snapToGrid/>
        </w:rPr>
        <w:t xml:space="preserve">, </w:t>
      </w:r>
      <w:r w:rsidR="00787396" w:rsidRPr="00EC2D54">
        <w:rPr>
          <w:snapToGrid/>
        </w:rPr>
        <w:t xml:space="preserve">the </w:t>
      </w:r>
      <w:r w:rsidR="00787396">
        <w:rPr>
          <w:snapToGrid/>
        </w:rPr>
        <w:t xml:space="preserve">relaxation of the OOBE limits </w:t>
      </w:r>
      <w:r w:rsidR="00787396" w:rsidRPr="00EC2D54">
        <w:rPr>
          <w:snapToGrid/>
        </w:rPr>
        <w:t>proposed by WCAI would be implemented</w:t>
      </w:r>
      <w:r w:rsidR="00787396">
        <w:rPr>
          <w:snapToGrid/>
        </w:rPr>
        <w:t xml:space="preserve"> </w:t>
      </w:r>
      <w:r w:rsidRPr="00EC2D54">
        <w:rPr>
          <w:snapToGrid/>
        </w:rPr>
        <w:t xml:space="preserve">except </w:t>
      </w:r>
      <w:r w:rsidR="00EF611A">
        <w:rPr>
          <w:snapToGrid/>
        </w:rPr>
        <w:t xml:space="preserve">for </w:t>
      </w:r>
      <w:r w:rsidRPr="00EC2D54">
        <w:rPr>
          <w:snapToGrid/>
        </w:rPr>
        <w:t>at</w:t>
      </w:r>
      <w:r w:rsidR="0024381C">
        <w:rPr>
          <w:snapToGrid/>
        </w:rPr>
        <w:t xml:space="preserve"> and below</w:t>
      </w:r>
      <w:r w:rsidRPr="00EC2D54">
        <w:rPr>
          <w:snapToGrid/>
        </w:rPr>
        <w:t xml:space="preserve"> the lower band edge of the 2.5 GHz band</w:t>
      </w:r>
      <w:r w:rsidR="000F2A7C">
        <w:rPr>
          <w:snapToGrid/>
        </w:rPr>
        <w:t xml:space="preserve"> at 2496 MHz</w:t>
      </w:r>
      <w:r w:rsidR="001D3C20">
        <w:rPr>
          <w:snapToGrid/>
        </w:rPr>
        <w:t>,</w:t>
      </w:r>
      <w:r w:rsidRPr="00EC2D54">
        <w:rPr>
          <w:snapToGrid/>
        </w:rPr>
        <w:t xml:space="preserve"> </w:t>
      </w:r>
      <w:r w:rsidR="00645101">
        <w:rPr>
          <w:snapToGrid/>
        </w:rPr>
        <w:t xml:space="preserve">where </w:t>
      </w:r>
      <w:r w:rsidRPr="00EC2D54">
        <w:rPr>
          <w:snapToGrid/>
        </w:rPr>
        <w:t xml:space="preserve">the current </w:t>
      </w:r>
      <w:r w:rsidR="008445E2">
        <w:rPr>
          <w:snapToGrid/>
        </w:rPr>
        <w:t>OOBE</w:t>
      </w:r>
      <w:r>
        <w:rPr>
          <w:snapToGrid/>
        </w:rPr>
        <w:t xml:space="preserve"> limits</w:t>
      </w:r>
      <w:r w:rsidR="00EB71BB">
        <w:rPr>
          <w:snapToGrid/>
        </w:rPr>
        <w:t xml:space="preserve"> applicable to </w:t>
      </w:r>
      <w:r w:rsidR="00F334E7">
        <w:rPr>
          <w:snapToGrid/>
        </w:rPr>
        <w:t>a channel with a lower edge at 2496 MHz</w:t>
      </w:r>
      <w:r w:rsidRPr="00EC2D54">
        <w:rPr>
          <w:snapToGrid/>
        </w:rPr>
        <w:t xml:space="preserve"> would </w:t>
      </w:r>
      <w:r w:rsidR="00F32DCB">
        <w:rPr>
          <w:snapToGrid/>
        </w:rPr>
        <w:t>apply</w:t>
      </w:r>
      <w:r w:rsidR="00D51CE0">
        <w:rPr>
          <w:snapToGrid/>
        </w:rPr>
        <w:t xml:space="preserve"> to all BRS/EBS channels</w:t>
      </w:r>
      <w:r w:rsidRPr="00EC2D54">
        <w:rPr>
          <w:snapToGrid/>
        </w:rPr>
        <w:t>.</w:t>
      </w:r>
      <w:r>
        <w:rPr>
          <w:rStyle w:val="FootnoteReference"/>
          <w:snapToGrid/>
          <w:kern w:val="0"/>
        </w:rPr>
        <w:footnoteReference w:id="42"/>
      </w:r>
      <w:r>
        <w:rPr>
          <w:snapToGrid/>
        </w:rPr>
        <w:t xml:space="preserve">  Under this modified</w:t>
      </w:r>
      <w:r w:rsidR="00A06724">
        <w:rPr>
          <w:snapToGrid/>
        </w:rPr>
        <w:t xml:space="preserve"> </w:t>
      </w:r>
      <w:r w:rsidR="00F32DCB">
        <w:rPr>
          <w:snapToGrid/>
        </w:rPr>
        <w:t>approach</w:t>
      </w:r>
      <w:r>
        <w:rPr>
          <w:snapToGrid/>
        </w:rPr>
        <w:t xml:space="preserve">, the </w:t>
      </w:r>
      <w:r w:rsidR="00181087">
        <w:rPr>
          <w:snapToGrid/>
        </w:rPr>
        <w:t xml:space="preserve">attenuation </w:t>
      </w:r>
      <w:r w:rsidR="004C26BA">
        <w:rPr>
          <w:snapToGrid/>
        </w:rPr>
        <w:t>factors</w:t>
      </w:r>
      <w:r w:rsidR="00181087">
        <w:rPr>
          <w:snapToGrid/>
        </w:rPr>
        <w:t xml:space="preserve"> for </w:t>
      </w:r>
      <w:r>
        <w:rPr>
          <w:snapToGrid/>
        </w:rPr>
        <w:t xml:space="preserve">mobile broadband devices </w:t>
      </w:r>
      <w:r w:rsidR="00181087">
        <w:rPr>
          <w:snapToGrid/>
        </w:rPr>
        <w:t>operating in the 2.5 GHz band would be as follows</w:t>
      </w:r>
      <w:r>
        <w:rPr>
          <w:snapToGrid/>
        </w:rPr>
        <w:t xml:space="preserve">: </w:t>
      </w:r>
    </w:p>
    <w:p w14:paraId="18C6FD1B" w14:textId="77777777" w:rsidR="003752F6" w:rsidRPr="00F1568B" w:rsidRDefault="003752F6" w:rsidP="00066780">
      <w:pPr>
        <w:pStyle w:val="ParaNum"/>
        <w:widowControl/>
        <w:numPr>
          <w:ilvl w:val="0"/>
          <w:numId w:val="17"/>
        </w:numPr>
        <w:tabs>
          <w:tab w:val="num" w:pos="1440"/>
        </w:tabs>
        <w:rPr>
          <w:szCs w:val="22"/>
        </w:rPr>
      </w:pPr>
      <w:r w:rsidRPr="00F1568B">
        <w:rPr>
          <w:snapToGrid/>
          <w:kern w:val="0"/>
        </w:rPr>
        <w:t xml:space="preserve">40 </w:t>
      </w:r>
      <w:r w:rsidRPr="00850A05">
        <w:rPr>
          <w:snapToGrid/>
          <w:kern w:val="0"/>
        </w:rPr>
        <w:t xml:space="preserve">+ </w:t>
      </w:r>
      <w:r w:rsidRPr="00F1568B">
        <w:rPr>
          <w:snapToGrid/>
          <w:kern w:val="0"/>
        </w:rPr>
        <w:t xml:space="preserve">10 log (P) </w:t>
      </w:r>
      <w:r w:rsidR="004529B6" w:rsidRPr="00F1568B">
        <w:rPr>
          <w:snapToGrid/>
          <w:kern w:val="0"/>
        </w:rPr>
        <w:t xml:space="preserve">(where (P) is the transmitter power in Watts) </w:t>
      </w:r>
      <w:r w:rsidRPr="00F1568B">
        <w:rPr>
          <w:snapToGrid/>
          <w:kern w:val="0"/>
        </w:rPr>
        <w:t>dB at the channel edge;</w:t>
      </w:r>
    </w:p>
    <w:p w14:paraId="24E8B4A6" w14:textId="77777777" w:rsidR="003752F6" w:rsidRPr="00D173CE" w:rsidRDefault="003752F6" w:rsidP="00066780">
      <w:pPr>
        <w:pStyle w:val="ParaNum"/>
        <w:widowControl/>
        <w:numPr>
          <w:ilvl w:val="0"/>
          <w:numId w:val="17"/>
        </w:numPr>
        <w:tabs>
          <w:tab w:val="num" w:pos="1440"/>
        </w:tabs>
        <w:rPr>
          <w:szCs w:val="22"/>
        </w:rPr>
      </w:pPr>
      <w:r w:rsidRPr="001B58B8">
        <w:rPr>
          <w:snapToGrid/>
          <w:kern w:val="0"/>
        </w:rPr>
        <w:t>43 + 10 log (P) dB beyond 5 megahertz from the channel edges</w:t>
      </w:r>
      <w:r w:rsidR="002133FD" w:rsidRPr="00273EBF">
        <w:rPr>
          <w:snapToGrid/>
          <w:kern w:val="0"/>
        </w:rPr>
        <w:t>;</w:t>
      </w:r>
      <w:r w:rsidRPr="007B6F5F">
        <w:rPr>
          <w:snapToGrid/>
          <w:kern w:val="0"/>
        </w:rPr>
        <w:t xml:space="preserve"> </w:t>
      </w:r>
    </w:p>
    <w:p w14:paraId="0E6714DB" w14:textId="77777777" w:rsidR="006732C1" w:rsidRPr="00F1568B" w:rsidRDefault="003752F6" w:rsidP="00066780">
      <w:pPr>
        <w:pStyle w:val="ParaNum"/>
        <w:widowControl/>
        <w:numPr>
          <w:ilvl w:val="0"/>
          <w:numId w:val="17"/>
        </w:numPr>
        <w:tabs>
          <w:tab w:val="num" w:pos="1440"/>
        </w:tabs>
        <w:rPr>
          <w:snapToGrid/>
          <w:kern w:val="0"/>
        </w:rPr>
      </w:pPr>
      <w:r w:rsidRPr="00076A2F">
        <w:rPr>
          <w:snapToGrid/>
          <w:kern w:val="0"/>
        </w:rPr>
        <w:t xml:space="preserve">55 </w:t>
      </w:r>
      <w:r w:rsidRPr="00850A05">
        <w:rPr>
          <w:snapToGrid/>
          <w:kern w:val="0"/>
        </w:rPr>
        <w:t xml:space="preserve">+ </w:t>
      </w:r>
      <w:r w:rsidRPr="00F1568B">
        <w:rPr>
          <w:snapToGrid/>
          <w:kern w:val="0"/>
        </w:rPr>
        <w:t xml:space="preserve">10 log (P) dB attenuation factor at a </w:t>
      </w:r>
      <w:r w:rsidR="004559B6" w:rsidRPr="00F1568B">
        <w:rPr>
          <w:snapToGrid/>
          <w:kern w:val="0"/>
        </w:rPr>
        <w:t xml:space="preserve">separation </w:t>
      </w:r>
      <w:r w:rsidRPr="00F1568B">
        <w:rPr>
          <w:snapToGrid/>
          <w:kern w:val="0"/>
        </w:rPr>
        <w:t xml:space="preserve">of </w:t>
      </w:r>
      <w:r w:rsidR="00972318">
        <w:rPr>
          <w:snapToGrid/>
          <w:kern w:val="0"/>
        </w:rPr>
        <w:t>“</w:t>
      </w:r>
      <w:r w:rsidRPr="00F1568B">
        <w:rPr>
          <w:snapToGrid/>
          <w:kern w:val="0"/>
        </w:rPr>
        <w:t>X</w:t>
      </w:r>
      <w:r w:rsidR="00972318">
        <w:rPr>
          <w:snapToGrid/>
          <w:kern w:val="0"/>
        </w:rPr>
        <w:t>”</w:t>
      </w:r>
      <w:r w:rsidR="00972318" w:rsidRPr="00F1568B">
        <w:rPr>
          <w:snapToGrid/>
          <w:kern w:val="0"/>
        </w:rPr>
        <w:t xml:space="preserve"> </w:t>
      </w:r>
      <w:r w:rsidRPr="00F1568B">
        <w:rPr>
          <w:snapToGrid/>
          <w:kern w:val="0"/>
        </w:rPr>
        <w:t xml:space="preserve">megahertz from the channel edges, where </w:t>
      </w:r>
      <w:r w:rsidR="00972318">
        <w:rPr>
          <w:snapToGrid/>
          <w:kern w:val="0"/>
        </w:rPr>
        <w:t>“</w:t>
      </w:r>
      <w:r w:rsidRPr="00F1568B">
        <w:rPr>
          <w:snapToGrid/>
          <w:kern w:val="0"/>
        </w:rPr>
        <w:t>X</w:t>
      </w:r>
      <w:r w:rsidR="00972318">
        <w:rPr>
          <w:snapToGrid/>
          <w:kern w:val="0"/>
        </w:rPr>
        <w:t>”</w:t>
      </w:r>
      <w:r w:rsidRPr="00F1568B">
        <w:rPr>
          <w:snapToGrid/>
          <w:kern w:val="0"/>
        </w:rPr>
        <w:t xml:space="preserve"> is the greater of 6 megahertz or the actual emission bandwidth as defined in Section 27.53(m)(6) of the Commission's rules</w:t>
      </w:r>
      <w:r w:rsidR="002133FD" w:rsidRPr="00F1568B">
        <w:rPr>
          <w:snapToGrid/>
          <w:kern w:val="0"/>
        </w:rPr>
        <w:t>;</w:t>
      </w:r>
    </w:p>
    <w:p w14:paraId="2397D327" w14:textId="77777777" w:rsidR="001F0F28" w:rsidRDefault="001F0F28" w:rsidP="001F0F28">
      <w:pPr>
        <w:pStyle w:val="ParaNum"/>
        <w:widowControl/>
        <w:numPr>
          <w:ilvl w:val="0"/>
          <w:numId w:val="17"/>
        </w:numPr>
        <w:tabs>
          <w:tab w:val="num" w:pos="1440"/>
        </w:tabs>
        <w:rPr>
          <w:szCs w:val="22"/>
        </w:rPr>
      </w:pPr>
      <w:r w:rsidRPr="00F1568B">
        <w:rPr>
          <w:snapToGrid/>
          <w:kern w:val="0"/>
        </w:rPr>
        <w:t xml:space="preserve">43 </w:t>
      </w:r>
      <w:r w:rsidRPr="00B84CB0">
        <w:rPr>
          <w:snapToGrid/>
          <w:kern w:val="0"/>
        </w:rPr>
        <w:t xml:space="preserve">+ </w:t>
      </w:r>
      <w:r w:rsidRPr="00F1568B">
        <w:rPr>
          <w:snapToGrid/>
          <w:kern w:val="0"/>
        </w:rPr>
        <w:t>10 log (P) dB at 2496 MHz;</w:t>
      </w:r>
      <w:r w:rsidR="00F1568B">
        <w:rPr>
          <w:snapToGrid/>
          <w:kern w:val="0"/>
        </w:rPr>
        <w:t xml:space="preserve"> and</w:t>
      </w:r>
    </w:p>
    <w:p w14:paraId="128C3E7C" w14:textId="77777777" w:rsidR="003752F6" w:rsidRDefault="006732C1" w:rsidP="00B84CB0">
      <w:pPr>
        <w:pStyle w:val="ParaNum"/>
        <w:widowControl/>
        <w:numPr>
          <w:ilvl w:val="0"/>
          <w:numId w:val="17"/>
        </w:numPr>
        <w:tabs>
          <w:tab w:val="num" w:pos="1440"/>
        </w:tabs>
        <w:spacing w:after="220"/>
        <w:rPr>
          <w:szCs w:val="22"/>
        </w:rPr>
      </w:pPr>
      <w:r w:rsidRPr="006732C1">
        <w:rPr>
          <w:snapToGrid/>
          <w:kern w:val="0"/>
        </w:rPr>
        <w:t>55 + 10 log (P) dB at or below 2490.5 MHz</w:t>
      </w:r>
      <w:r>
        <w:rPr>
          <w:snapToGrid/>
          <w:kern w:val="0"/>
        </w:rPr>
        <w:t>.</w:t>
      </w:r>
      <w:r w:rsidR="003752F6">
        <w:rPr>
          <w:rStyle w:val="FootnoteReference"/>
          <w:snapToGrid/>
          <w:kern w:val="0"/>
          <w:szCs w:val="22"/>
        </w:rPr>
        <w:footnoteReference w:id="43"/>
      </w:r>
      <w:r w:rsidR="003752F6">
        <w:rPr>
          <w:snapToGrid/>
          <w:kern w:val="0"/>
        </w:rPr>
        <w:t xml:space="preserve">  </w:t>
      </w:r>
    </w:p>
    <w:p w14:paraId="2945E12E" w14:textId="77777777" w:rsidR="00741DBE" w:rsidRDefault="00057E3C" w:rsidP="00B84CB0">
      <w:pPr>
        <w:pStyle w:val="ParaNum"/>
        <w:widowControl/>
        <w:tabs>
          <w:tab w:val="clear" w:pos="990"/>
          <w:tab w:val="num" w:pos="1440"/>
        </w:tabs>
        <w:spacing w:after="220"/>
        <w:ind w:left="0"/>
      </w:pPr>
      <w:r w:rsidRPr="00CB1B22">
        <w:t xml:space="preserve">Clearwire also proposed </w:t>
      </w:r>
      <w:r w:rsidR="004A5276" w:rsidRPr="00CB1B22">
        <w:t xml:space="preserve">that </w:t>
      </w:r>
      <w:r w:rsidR="00DC5BA9" w:rsidRPr="00CB1B22">
        <w:t xml:space="preserve">the Commission </w:t>
      </w:r>
      <w:r w:rsidRPr="00CB1B22">
        <w:t xml:space="preserve">modify </w:t>
      </w:r>
      <w:r w:rsidR="00DA4105" w:rsidRPr="00CB1B22">
        <w:t xml:space="preserve">WCAI’s proposal to change the </w:t>
      </w:r>
      <w:r w:rsidRPr="00CB1B22">
        <w:t xml:space="preserve">way compliance with the </w:t>
      </w:r>
      <w:r w:rsidR="008445E2" w:rsidRPr="00CB1B22">
        <w:t>OOBE</w:t>
      </w:r>
      <w:r w:rsidRPr="00CB1B22">
        <w:t xml:space="preserve"> </w:t>
      </w:r>
      <w:r w:rsidR="009A1B6F" w:rsidRPr="00CB1B22">
        <w:t>limits</w:t>
      </w:r>
      <w:r w:rsidRPr="00CB1B22">
        <w:t xml:space="preserve"> </w:t>
      </w:r>
      <w:r w:rsidR="004A5276" w:rsidRPr="00CB1B22">
        <w:t>is</w:t>
      </w:r>
      <w:r w:rsidR="008445E2" w:rsidRPr="00CB1B22">
        <w:t xml:space="preserve"> </w:t>
      </w:r>
      <w:r w:rsidRPr="00CB1B22">
        <w:t>measured</w:t>
      </w:r>
      <w:r w:rsidR="004A5276" w:rsidRPr="00CB1B22">
        <w:t xml:space="preserve"> for BRS/EBS mobile digital stations</w:t>
      </w:r>
      <w:r w:rsidRPr="00CB1B22">
        <w:t xml:space="preserve">.  </w:t>
      </w:r>
      <w:r w:rsidR="0093024D" w:rsidRPr="00CB1B22">
        <w:t xml:space="preserve">Under </w:t>
      </w:r>
      <w:r w:rsidRPr="00CB1B22">
        <w:t xml:space="preserve">the Commission’s </w:t>
      </w:r>
      <w:r w:rsidR="0093024D" w:rsidRPr="00CB1B22">
        <w:t xml:space="preserve">current rules, compliance is </w:t>
      </w:r>
      <w:r w:rsidRPr="00CB1B22">
        <w:t xml:space="preserve">measured </w:t>
      </w:r>
      <w:r w:rsidR="0093024D" w:rsidRPr="00CB1B22">
        <w:t>us</w:t>
      </w:r>
      <w:r w:rsidRPr="00CB1B22">
        <w:t>ing</w:t>
      </w:r>
      <w:r w:rsidR="0093024D" w:rsidRPr="00CB1B22">
        <w:t xml:space="preserve"> a resolution bandwidth of </w:t>
      </w:r>
      <w:r w:rsidR="009B072C" w:rsidRPr="00CB1B22">
        <w:t>1</w:t>
      </w:r>
      <w:r w:rsidR="0093024D" w:rsidRPr="00CB1B22">
        <w:t xml:space="preserve"> megahertz or greater, except in the </w:t>
      </w:r>
      <w:r w:rsidR="009B072C" w:rsidRPr="00CB1B22">
        <w:t>1</w:t>
      </w:r>
      <w:r w:rsidR="00F1568B" w:rsidRPr="00CB1B22">
        <w:t> </w:t>
      </w:r>
      <w:r w:rsidR="0093024D" w:rsidRPr="00CB1B22">
        <w:t>meg</w:t>
      </w:r>
      <w:r w:rsidR="000409AA" w:rsidRPr="00CB1B22">
        <w:t>a</w:t>
      </w:r>
      <w:r w:rsidR="0093024D" w:rsidRPr="00CB1B22">
        <w:t>hertz bands immediately outside</w:t>
      </w:r>
      <w:r w:rsidR="000409AA" w:rsidRPr="00CB1B22">
        <w:t xml:space="preserve"> and adjacent to the frequency block, where a resolution bandwidth of at least </w:t>
      </w:r>
      <w:r w:rsidR="009B072C" w:rsidRPr="00CB1B22">
        <w:t>1</w:t>
      </w:r>
      <w:r w:rsidR="004A5276" w:rsidRPr="00CB1B22">
        <w:t> </w:t>
      </w:r>
      <w:r w:rsidR="000409AA" w:rsidRPr="00CB1B22">
        <w:t>percent of the transmitter’s fundamental emission may be used.</w:t>
      </w:r>
      <w:r w:rsidR="000409AA" w:rsidRPr="00CB1B22">
        <w:rPr>
          <w:vertAlign w:val="superscript"/>
        </w:rPr>
        <w:footnoteReference w:id="44"/>
      </w:r>
      <w:r w:rsidR="006124F6" w:rsidRPr="00CB1B22">
        <w:t xml:space="preserve">  </w:t>
      </w:r>
      <w:r w:rsidR="006146C0" w:rsidRPr="00CB1B22">
        <w:t>In</w:t>
      </w:r>
      <w:r w:rsidR="006146C0">
        <w:t xml:space="preserve"> it</w:t>
      </w:r>
      <w:r w:rsidR="006124F6">
        <w:t xml:space="preserve">s petition, WCAI </w:t>
      </w:r>
      <w:r w:rsidR="005D5B72">
        <w:t xml:space="preserve">had </w:t>
      </w:r>
      <w:r w:rsidR="006124F6">
        <w:t xml:space="preserve">requested that the resolution bandwidth be changed to </w:t>
      </w:r>
      <w:r w:rsidR="009B072C">
        <w:t>2</w:t>
      </w:r>
      <w:r w:rsidR="00AA0095">
        <w:t xml:space="preserve"> </w:t>
      </w:r>
      <w:r w:rsidR="006124F6">
        <w:t>percent in all portions of the 2.5 GHz band.</w:t>
      </w:r>
      <w:r w:rsidR="000409AA">
        <w:t xml:space="preserve">  Clearwire propose</w:t>
      </w:r>
      <w:r w:rsidR="00AC6EA1">
        <w:t>d</w:t>
      </w:r>
      <w:r w:rsidR="000409AA">
        <w:t xml:space="preserve"> </w:t>
      </w:r>
      <w:r w:rsidR="00F444CA">
        <w:t>that</w:t>
      </w:r>
      <w:r w:rsidR="00FF3946">
        <w:t xml:space="preserve">, except for the 2495-2496 MHz band, </w:t>
      </w:r>
      <w:r w:rsidR="000409AA">
        <w:rPr>
          <w:snapToGrid/>
          <w:kern w:val="0"/>
        </w:rPr>
        <w:t xml:space="preserve">in the </w:t>
      </w:r>
      <w:r w:rsidR="009B072C">
        <w:rPr>
          <w:snapToGrid/>
          <w:kern w:val="0"/>
        </w:rPr>
        <w:t>1</w:t>
      </w:r>
      <w:r w:rsidR="000409AA">
        <w:rPr>
          <w:snapToGrid/>
          <w:kern w:val="0"/>
        </w:rPr>
        <w:t xml:space="preserve"> megahertz bands immediately outside and adjacent to the frequency block</w:t>
      </w:r>
      <w:r w:rsidR="007B452E">
        <w:rPr>
          <w:snapToGrid/>
          <w:kern w:val="0"/>
        </w:rPr>
        <w:t xml:space="preserve"> under use</w:t>
      </w:r>
      <w:r w:rsidR="000409AA">
        <w:rPr>
          <w:snapToGrid/>
          <w:kern w:val="0"/>
        </w:rPr>
        <w:t xml:space="preserve">, a resolution bandwidth of at least </w:t>
      </w:r>
      <w:r w:rsidR="009B072C">
        <w:rPr>
          <w:snapToGrid/>
          <w:kern w:val="0"/>
        </w:rPr>
        <w:t>2</w:t>
      </w:r>
      <w:r w:rsidR="000409AA">
        <w:rPr>
          <w:snapToGrid/>
          <w:kern w:val="0"/>
        </w:rPr>
        <w:t xml:space="preserve"> percent of the fundamental </w:t>
      </w:r>
      <w:r w:rsidR="00F444CA">
        <w:rPr>
          <w:snapToGrid/>
          <w:kern w:val="0"/>
        </w:rPr>
        <w:t>emission be</w:t>
      </w:r>
      <w:r w:rsidR="0048269A">
        <w:rPr>
          <w:snapToGrid/>
          <w:kern w:val="0"/>
        </w:rPr>
        <w:t xml:space="preserve"> allowed</w:t>
      </w:r>
      <w:r w:rsidR="00F444CA">
        <w:rPr>
          <w:snapToGrid/>
          <w:kern w:val="0"/>
        </w:rPr>
        <w:t xml:space="preserve"> to measure compliance</w:t>
      </w:r>
      <w:r w:rsidR="000409AA">
        <w:rPr>
          <w:snapToGrid/>
          <w:kern w:val="0"/>
        </w:rPr>
        <w:t>.</w:t>
      </w:r>
      <w:r w:rsidR="000409AA">
        <w:rPr>
          <w:rStyle w:val="FootnoteReference"/>
          <w:snapToGrid/>
          <w:kern w:val="0"/>
        </w:rPr>
        <w:footnoteReference w:id="45"/>
      </w:r>
      <w:r w:rsidR="000409AA">
        <w:rPr>
          <w:snapToGrid/>
          <w:kern w:val="0"/>
        </w:rPr>
        <w:t xml:space="preserve">  </w:t>
      </w:r>
      <w:r w:rsidR="00FF3946">
        <w:rPr>
          <w:snapToGrid/>
          <w:kern w:val="0"/>
        </w:rPr>
        <w:t>I</w:t>
      </w:r>
      <w:r w:rsidR="000409AA">
        <w:rPr>
          <w:snapToGrid/>
          <w:kern w:val="0"/>
        </w:rPr>
        <w:t>n the 2495-2496 MHz</w:t>
      </w:r>
      <w:r w:rsidR="00F444CA">
        <w:rPr>
          <w:snapToGrid/>
          <w:kern w:val="0"/>
        </w:rPr>
        <w:t xml:space="preserve"> band</w:t>
      </w:r>
      <w:r w:rsidR="000409AA">
        <w:rPr>
          <w:snapToGrid/>
          <w:kern w:val="0"/>
        </w:rPr>
        <w:t xml:space="preserve">, </w:t>
      </w:r>
      <w:r w:rsidR="00FF3946">
        <w:rPr>
          <w:snapToGrid/>
          <w:kern w:val="0"/>
        </w:rPr>
        <w:t>t</w:t>
      </w:r>
      <w:r w:rsidR="00F444CA">
        <w:rPr>
          <w:snapToGrid/>
          <w:kern w:val="0"/>
        </w:rPr>
        <w:t xml:space="preserve">he </w:t>
      </w:r>
      <w:r w:rsidR="00FF3946">
        <w:rPr>
          <w:snapToGrid/>
          <w:kern w:val="0"/>
        </w:rPr>
        <w:t xml:space="preserve">existing resolution bandwidth requirement of </w:t>
      </w:r>
      <w:r w:rsidR="004A5276">
        <w:rPr>
          <w:snapToGrid/>
          <w:kern w:val="0"/>
        </w:rPr>
        <w:t xml:space="preserve">at least </w:t>
      </w:r>
      <w:r w:rsidR="009B072C">
        <w:rPr>
          <w:snapToGrid/>
          <w:kern w:val="0"/>
        </w:rPr>
        <w:t>1</w:t>
      </w:r>
      <w:r w:rsidR="00B43962">
        <w:rPr>
          <w:snapToGrid/>
          <w:kern w:val="0"/>
        </w:rPr>
        <w:t xml:space="preserve"> </w:t>
      </w:r>
      <w:r w:rsidR="00FF3946">
        <w:rPr>
          <w:snapToGrid/>
          <w:kern w:val="0"/>
        </w:rPr>
        <w:t>percent would still apply</w:t>
      </w:r>
      <w:r w:rsidR="000409AA">
        <w:rPr>
          <w:snapToGrid/>
          <w:kern w:val="0"/>
        </w:rPr>
        <w:t>.</w:t>
      </w:r>
      <w:r w:rsidR="000409AA">
        <w:rPr>
          <w:rStyle w:val="FootnoteReference"/>
          <w:snapToGrid/>
          <w:kern w:val="0"/>
        </w:rPr>
        <w:footnoteReference w:id="46"/>
      </w:r>
      <w:r w:rsidR="000409AA">
        <w:rPr>
          <w:snapToGrid/>
          <w:kern w:val="0"/>
        </w:rPr>
        <w:t xml:space="preserve">  </w:t>
      </w:r>
      <w:r w:rsidR="003752F6">
        <w:t xml:space="preserve">Globalstar </w:t>
      </w:r>
      <w:r w:rsidR="009A2D8C">
        <w:t xml:space="preserve">does </w:t>
      </w:r>
      <w:r w:rsidR="003752F6">
        <w:t>no</w:t>
      </w:r>
      <w:r w:rsidR="009A2D8C">
        <w:t>t</w:t>
      </w:r>
      <w:r w:rsidR="003752F6">
        <w:t xml:space="preserve"> object </w:t>
      </w:r>
      <w:r w:rsidR="009A2D8C">
        <w:t xml:space="preserve">to </w:t>
      </w:r>
      <w:r w:rsidR="003752F6">
        <w:t>the modified Clearwire proposal</w:t>
      </w:r>
      <w:r w:rsidR="00FF3946">
        <w:t>s</w:t>
      </w:r>
      <w:r w:rsidR="003752F6">
        <w:t>.</w:t>
      </w:r>
      <w:r w:rsidR="009A2D8C">
        <w:rPr>
          <w:rStyle w:val="FootnoteReference"/>
          <w:szCs w:val="22"/>
        </w:rPr>
        <w:footnoteReference w:id="47"/>
      </w:r>
      <w:r w:rsidR="00640E2D">
        <w:t xml:space="preserve">  </w:t>
      </w:r>
      <w:r w:rsidR="003A57B0" w:rsidRPr="003A57B0">
        <w:rPr>
          <w:color w:val="1F497D"/>
        </w:rPr>
        <w:t xml:space="preserve"> </w:t>
      </w:r>
      <w:r w:rsidR="003A57B0" w:rsidRPr="00284256">
        <w:t>No other commenting party objected to Clearwire’s proposed modification.</w:t>
      </w:r>
      <w:r w:rsidR="00640E2D">
        <w:t xml:space="preserve"> </w:t>
      </w:r>
      <w:r w:rsidR="00EB5867">
        <w:t xml:space="preserve">  </w:t>
      </w:r>
    </w:p>
    <w:p w14:paraId="78DC7C25" w14:textId="77777777" w:rsidR="00A000D8" w:rsidRDefault="00E27133" w:rsidP="00066780">
      <w:pPr>
        <w:pStyle w:val="Heading1"/>
        <w:widowControl/>
        <w:spacing w:after="220"/>
        <w:rPr>
          <w:rFonts w:ascii="Times New Roman" w:hAnsi="Times New Roman"/>
          <w:bCs/>
          <w:szCs w:val="22"/>
        </w:rPr>
      </w:pPr>
      <w:r>
        <w:rPr>
          <w:rFonts w:ascii="Times New Roman" w:hAnsi="Times New Roman"/>
          <w:bCs/>
          <w:szCs w:val="22"/>
        </w:rPr>
        <w:t>Discussion</w:t>
      </w:r>
    </w:p>
    <w:p w14:paraId="3D93A0DC" w14:textId="76BFC9A0" w:rsidR="004D28B2" w:rsidRDefault="00AC6EA1" w:rsidP="00DE76DF">
      <w:pPr>
        <w:pStyle w:val="ParaNum"/>
        <w:ind w:left="0"/>
        <w:rPr>
          <w:snapToGrid/>
        </w:rPr>
      </w:pPr>
      <w:r>
        <w:t xml:space="preserve">We find that </w:t>
      </w:r>
      <w:r w:rsidR="00A000D8">
        <w:t xml:space="preserve">the public interest </w:t>
      </w:r>
      <w:r>
        <w:t xml:space="preserve">will be served by a modification </w:t>
      </w:r>
      <w:r w:rsidR="007E6E5B">
        <w:t xml:space="preserve">of </w:t>
      </w:r>
      <w:r w:rsidR="00A000D8">
        <w:t xml:space="preserve">the </w:t>
      </w:r>
      <w:r w:rsidR="008445E2">
        <w:rPr>
          <w:snapToGrid/>
        </w:rPr>
        <w:t>OOBE</w:t>
      </w:r>
      <w:r w:rsidR="00A000D8" w:rsidRPr="00A6265B">
        <w:rPr>
          <w:snapToGrid/>
        </w:rPr>
        <w:t xml:space="preserve"> limits for BRS and EBS mobile broadband devices as </w:t>
      </w:r>
      <w:r w:rsidR="00C50EE1" w:rsidRPr="00A6265B">
        <w:rPr>
          <w:snapToGrid/>
        </w:rPr>
        <w:t xml:space="preserve">proposed in the </w:t>
      </w:r>
      <w:r w:rsidR="006E4CC4">
        <w:rPr>
          <w:i/>
          <w:snapToGrid/>
        </w:rPr>
        <w:t xml:space="preserve">BRS/EBS OOBE </w:t>
      </w:r>
      <w:r w:rsidR="00C50EE1" w:rsidRPr="00A6265B">
        <w:rPr>
          <w:i/>
          <w:snapToGrid/>
        </w:rPr>
        <w:t>FNPRM</w:t>
      </w:r>
      <w:r w:rsidR="00EF611A">
        <w:rPr>
          <w:snapToGrid/>
        </w:rPr>
        <w:t>,</w:t>
      </w:r>
      <w:r w:rsidR="00C50EE1" w:rsidRPr="00A6265B">
        <w:rPr>
          <w:i/>
          <w:snapToGrid/>
        </w:rPr>
        <w:t xml:space="preserve"> </w:t>
      </w:r>
      <w:r w:rsidR="00C50EE1" w:rsidRPr="00A6265B">
        <w:rPr>
          <w:snapToGrid/>
        </w:rPr>
        <w:t xml:space="preserve">with the modifications proposed </w:t>
      </w:r>
      <w:r w:rsidR="00A000D8" w:rsidRPr="00A6265B">
        <w:rPr>
          <w:snapToGrid/>
        </w:rPr>
        <w:t>by Clearwire.</w:t>
      </w:r>
      <w:r w:rsidR="001C7A54">
        <w:rPr>
          <w:rStyle w:val="FootnoteReference"/>
          <w:snapToGrid/>
        </w:rPr>
        <w:footnoteReference w:id="48"/>
      </w:r>
      <w:r w:rsidR="00A000D8" w:rsidRPr="00A6265B">
        <w:rPr>
          <w:snapToGrid/>
        </w:rPr>
        <w:t xml:space="preserve">  </w:t>
      </w:r>
      <w:r w:rsidR="00451FF7" w:rsidRPr="00A6265B">
        <w:rPr>
          <w:snapToGrid/>
        </w:rPr>
        <w:t xml:space="preserve">These changes </w:t>
      </w:r>
      <w:r w:rsidR="00EF611A">
        <w:rPr>
          <w:snapToGrid/>
        </w:rPr>
        <w:t xml:space="preserve">will </w:t>
      </w:r>
      <w:r w:rsidR="009B0FD6">
        <w:rPr>
          <w:snapToGrid/>
        </w:rPr>
        <w:t xml:space="preserve">produce </w:t>
      </w:r>
      <w:r w:rsidR="00451FF7" w:rsidRPr="00A6265B">
        <w:rPr>
          <w:snapToGrid/>
        </w:rPr>
        <w:t xml:space="preserve">several benefits </w:t>
      </w:r>
      <w:r w:rsidR="009B0FD6">
        <w:rPr>
          <w:snapToGrid/>
        </w:rPr>
        <w:t xml:space="preserve">for </w:t>
      </w:r>
      <w:r w:rsidR="00451FF7" w:rsidRPr="00A6265B">
        <w:rPr>
          <w:snapToGrid/>
        </w:rPr>
        <w:t xml:space="preserve">operators and consumers.  </w:t>
      </w:r>
    </w:p>
    <w:p w14:paraId="638EF6DB" w14:textId="3CE0AAD2" w:rsidR="00A000D8" w:rsidRPr="003C32EC" w:rsidRDefault="00451FF7" w:rsidP="00DE76DF">
      <w:pPr>
        <w:pStyle w:val="ParaNum"/>
        <w:ind w:left="0"/>
      </w:pPr>
      <w:r w:rsidRPr="004D28B2">
        <w:rPr>
          <w:snapToGrid/>
        </w:rPr>
        <w:t xml:space="preserve">First, by adjusting our OOBE standards, we can facilitate the use of wider channels, which </w:t>
      </w:r>
      <w:r w:rsidR="00EF611A">
        <w:rPr>
          <w:snapToGrid/>
        </w:rPr>
        <w:t>will</w:t>
      </w:r>
      <w:r w:rsidR="00EF611A" w:rsidRPr="004D28B2">
        <w:rPr>
          <w:snapToGrid/>
        </w:rPr>
        <w:t xml:space="preserve"> </w:t>
      </w:r>
      <w:r w:rsidRPr="004D28B2">
        <w:rPr>
          <w:snapToGrid/>
        </w:rPr>
        <w:t xml:space="preserve">result in faster data rates </w:t>
      </w:r>
      <w:r w:rsidR="0098667D" w:rsidRPr="004D28B2">
        <w:rPr>
          <w:snapToGrid/>
        </w:rPr>
        <w:t xml:space="preserve">and allow the use of advanced wireless technologies such as LTE-Advanced.  Commenters unanimously </w:t>
      </w:r>
      <w:r w:rsidR="00CE7231" w:rsidRPr="004D28B2">
        <w:rPr>
          <w:snapToGrid/>
        </w:rPr>
        <w:t>tout the benefits of wider channels.</w:t>
      </w:r>
      <w:r w:rsidR="00CE7231">
        <w:rPr>
          <w:rStyle w:val="FootnoteReference"/>
          <w:snapToGrid/>
          <w:kern w:val="0"/>
        </w:rPr>
        <w:footnoteReference w:id="49"/>
      </w:r>
      <w:r w:rsidR="00CE7231" w:rsidRPr="004D28B2">
        <w:rPr>
          <w:snapToGrid/>
        </w:rPr>
        <w:t xml:space="preserve"> </w:t>
      </w:r>
      <w:r w:rsidRPr="004D28B2">
        <w:rPr>
          <w:snapToGrid/>
        </w:rPr>
        <w:t xml:space="preserve"> </w:t>
      </w:r>
      <w:r w:rsidR="00AC6EA1">
        <w:rPr>
          <w:snapToGrid/>
          <w:kern w:val="0"/>
        </w:rPr>
        <w:t>T</w:t>
      </w:r>
      <w:r w:rsidR="00A6265B" w:rsidRPr="000A64BA">
        <w:rPr>
          <w:snapToGrid/>
          <w:kern w:val="0"/>
        </w:rPr>
        <w:t xml:space="preserve">he record shows that changes to our OOBE standards are necessary </w:t>
      </w:r>
      <w:r w:rsidR="007F2075" w:rsidRPr="000A64BA">
        <w:rPr>
          <w:snapToGrid/>
          <w:kern w:val="0"/>
        </w:rPr>
        <w:t>to</w:t>
      </w:r>
      <w:r w:rsidR="00A000D8" w:rsidRPr="000A64BA">
        <w:rPr>
          <w:snapToGrid/>
        </w:rPr>
        <w:t xml:space="preserve"> </w:t>
      </w:r>
      <w:r w:rsidR="00ED0B02">
        <w:rPr>
          <w:snapToGrid/>
        </w:rPr>
        <w:t xml:space="preserve">facilitate </w:t>
      </w:r>
      <w:r w:rsidR="007F2075" w:rsidRPr="000A64BA">
        <w:rPr>
          <w:snapToGrid/>
        </w:rPr>
        <w:t>develop</w:t>
      </w:r>
      <w:r w:rsidR="00ED0B02">
        <w:rPr>
          <w:snapToGrid/>
        </w:rPr>
        <w:t>ment of</w:t>
      </w:r>
      <w:r w:rsidR="007F2075" w:rsidRPr="000A64BA">
        <w:rPr>
          <w:snapToGrid/>
        </w:rPr>
        <w:t xml:space="preserve"> a device ecosystem that would full</w:t>
      </w:r>
      <w:r w:rsidR="00C633D9">
        <w:rPr>
          <w:snapToGrid/>
        </w:rPr>
        <w:t xml:space="preserve">y </w:t>
      </w:r>
      <w:r w:rsidR="007F2075" w:rsidRPr="000A64BA">
        <w:rPr>
          <w:snapToGrid/>
        </w:rPr>
        <w:t xml:space="preserve">take advantage of </w:t>
      </w:r>
      <w:r w:rsidR="00915C0E" w:rsidRPr="000A64BA">
        <w:rPr>
          <w:snapToGrid/>
        </w:rPr>
        <w:t xml:space="preserve">wider channels in the 2.5 GHz band.  </w:t>
      </w:r>
      <w:r w:rsidR="00093486">
        <w:rPr>
          <w:snapToGrid/>
        </w:rPr>
        <w:t>To that end, m</w:t>
      </w:r>
      <w:r w:rsidR="00915C0E" w:rsidRPr="000A64BA">
        <w:rPr>
          <w:snapToGrid/>
        </w:rPr>
        <w:t>ost equipment manufacturers</w:t>
      </w:r>
      <w:r w:rsidR="007B114C" w:rsidRPr="000A64BA">
        <w:rPr>
          <w:snapToGrid/>
        </w:rPr>
        <w:t xml:space="preserve"> support the proposed changes</w:t>
      </w:r>
      <w:r w:rsidR="008B30DA" w:rsidRPr="000A64BA">
        <w:rPr>
          <w:snapToGrid/>
        </w:rPr>
        <w:t>.</w:t>
      </w:r>
      <w:r w:rsidR="008B30DA">
        <w:rPr>
          <w:rStyle w:val="FootnoteReference"/>
          <w:snapToGrid/>
        </w:rPr>
        <w:footnoteReference w:id="50"/>
      </w:r>
      <w:r w:rsidR="008B30DA" w:rsidRPr="000A64BA">
        <w:rPr>
          <w:snapToGrid/>
        </w:rPr>
        <w:t xml:space="preserve">  While IP Wireless </w:t>
      </w:r>
      <w:r w:rsidR="006E4CC4">
        <w:rPr>
          <w:snapToGrid/>
        </w:rPr>
        <w:t xml:space="preserve">states that it </w:t>
      </w:r>
      <w:r w:rsidR="008B30DA" w:rsidRPr="000A64BA">
        <w:rPr>
          <w:snapToGrid/>
        </w:rPr>
        <w:t xml:space="preserve">has developed a </w:t>
      </w:r>
      <w:r w:rsidR="008825EB">
        <w:rPr>
          <w:snapToGrid/>
        </w:rPr>
        <w:t>universal serial bus (</w:t>
      </w:r>
      <w:r w:rsidR="00972318">
        <w:rPr>
          <w:snapToGrid/>
        </w:rPr>
        <w:t>“</w:t>
      </w:r>
      <w:r w:rsidR="008B30DA" w:rsidRPr="000A64BA">
        <w:rPr>
          <w:snapToGrid/>
        </w:rPr>
        <w:t>USB</w:t>
      </w:r>
      <w:r w:rsidR="00972318">
        <w:rPr>
          <w:snapToGrid/>
        </w:rPr>
        <w:t>”</w:t>
      </w:r>
      <w:r w:rsidR="008825EB">
        <w:rPr>
          <w:snapToGrid/>
        </w:rPr>
        <w:t>)</w:t>
      </w:r>
      <w:r w:rsidR="008B30DA" w:rsidRPr="000A64BA">
        <w:rPr>
          <w:snapToGrid/>
        </w:rPr>
        <w:t xml:space="preserve"> stick that can operate with 20 megahertz channels and comply with the existing OOBE requirements,</w:t>
      </w:r>
      <w:r w:rsidR="008B30DA">
        <w:rPr>
          <w:rStyle w:val="FootnoteReference"/>
          <w:snapToGrid/>
        </w:rPr>
        <w:footnoteReference w:id="51"/>
      </w:r>
      <w:r w:rsidR="000A64BA" w:rsidRPr="000A64BA">
        <w:rPr>
          <w:snapToGrid/>
        </w:rPr>
        <w:t xml:space="preserve"> it does not appear, given the state of current technology, that such performance can be</w:t>
      </w:r>
      <w:r w:rsidR="00E27133">
        <w:rPr>
          <w:snapToGrid/>
        </w:rPr>
        <w:t xml:space="preserve"> cost-effectively</w:t>
      </w:r>
      <w:r w:rsidR="000A64BA" w:rsidRPr="000A64BA">
        <w:rPr>
          <w:snapToGrid/>
        </w:rPr>
        <w:t xml:space="preserve"> replicated with highly mobile, highly integrated, multi</w:t>
      </w:r>
      <w:r w:rsidR="000A64BA" w:rsidRPr="000A64BA">
        <w:rPr>
          <w:rFonts w:ascii="Cambria Math" w:hAnsi="Cambria Math" w:cs="Cambria Math"/>
          <w:snapToGrid/>
        </w:rPr>
        <w:t>‐</w:t>
      </w:r>
      <w:r w:rsidR="000A64BA" w:rsidRPr="000A64BA">
        <w:rPr>
          <w:snapToGrid/>
        </w:rPr>
        <w:t>mode, multi</w:t>
      </w:r>
      <w:r w:rsidR="000A64BA" w:rsidRPr="000A64BA">
        <w:rPr>
          <w:rFonts w:ascii="Cambria Math" w:hAnsi="Cambria Math" w:cs="Cambria Math"/>
          <w:snapToGrid/>
        </w:rPr>
        <w:t>‐</w:t>
      </w:r>
      <w:r w:rsidR="000A64BA" w:rsidRPr="000A64BA">
        <w:rPr>
          <w:snapToGrid/>
        </w:rPr>
        <w:t>band smartphones</w:t>
      </w:r>
      <w:r w:rsidR="000A64BA">
        <w:rPr>
          <w:snapToGrid/>
        </w:rPr>
        <w:t>.</w:t>
      </w:r>
      <w:r w:rsidR="000A64BA">
        <w:rPr>
          <w:rStyle w:val="FootnoteReference"/>
          <w:snapToGrid/>
        </w:rPr>
        <w:footnoteReference w:id="52"/>
      </w:r>
      <w:r w:rsidR="003E4769">
        <w:rPr>
          <w:snapToGrid/>
        </w:rPr>
        <w:t xml:space="preserve">  Furthermore, there is a benefit in having a wide variety </w:t>
      </w:r>
      <w:r w:rsidR="003C32EC">
        <w:rPr>
          <w:snapToGrid/>
        </w:rPr>
        <w:t>of equipment manufacturers providing devices that can operate on wider channels.</w:t>
      </w:r>
    </w:p>
    <w:p w14:paraId="7EA10EB7" w14:textId="0AAFD0A9" w:rsidR="003C32EC" w:rsidRPr="00C63C6C" w:rsidRDefault="003C32EC" w:rsidP="000D5BD8">
      <w:pPr>
        <w:pStyle w:val="ParaNum"/>
        <w:widowControl/>
        <w:ind w:left="0"/>
      </w:pPr>
      <w:r>
        <w:rPr>
          <w:snapToGrid/>
        </w:rPr>
        <w:t xml:space="preserve">Second, </w:t>
      </w:r>
      <w:r w:rsidR="00F16B05">
        <w:rPr>
          <w:snapToGrid/>
        </w:rPr>
        <w:t xml:space="preserve">the changes </w:t>
      </w:r>
      <w:r w:rsidR="00490649">
        <w:rPr>
          <w:snapToGrid/>
        </w:rPr>
        <w:t xml:space="preserve">will conform our </w:t>
      </w:r>
      <w:r w:rsidR="00ED0B02">
        <w:rPr>
          <w:snapToGrid/>
        </w:rPr>
        <w:t>2.5 GHz</w:t>
      </w:r>
      <w:r w:rsidR="00C633D9">
        <w:rPr>
          <w:snapToGrid/>
        </w:rPr>
        <w:t xml:space="preserve"> </w:t>
      </w:r>
      <w:r w:rsidR="00ED0B02">
        <w:rPr>
          <w:snapToGrid/>
        </w:rPr>
        <w:t xml:space="preserve">band </w:t>
      </w:r>
      <w:r w:rsidR="00490649">
        <w:rPr>
          <w:snapToGrid/>
        </w:rPr>
        <w:t xml:space="preserve">OOBE </w:t>
      </w:r>
      <w:r w:rsidR="004C26BA">
        <w:rPr>
          <w:snapToGrid/>
        </w:rPr>
        <w:t>limits</w:t>
      </w:r>
      <w:r w:rsidR="00490649">
        <w:rPr>
          <w:snapToGrid/>
        </w:rPr>
        <w:t xml:space="preserve"> to the </w:t>
      </w:r>
      <w:r w:rsidR="003A709B">
        <w:rPr>
          <w:snapToGrid/>
        </w:rPr>
        <w:t xml:space="preserve">emission mask </w:t>
      </w:r>
      <w:r w:rsidR="00490649">
        <w:rPr>
          <w:snapToGrid/>
        </w:rPr>
        <w:t>standards established by 3GPP for 20 megahertz channels.</w:t>
      </w:r>
      <w:r w:rsidR="00490649">
        <w:rPr>
          <w:rStyle w:val="FootnoteReference"/>
          <w:snapToGrid/>
        </w:rPr>
        <w:footnoteReference w:id="53"/>
      </w:r>
      <w:r w:rsidR="003A709B">
        <w:rPr>
          <w:snapToGrid/>
        </w:rPr>
        <w:t xml:space="preserve">  Adopting </w:t>
      </w:r>
      <w:r w:rsidR="00DA5D17">
        <w:rPr>
          <w:snapToGrid/>
        </w:rPr>
        <w:t xml:space="preserve">internationally harmonized OOBE </w:t>
      </w:r>
      <w:r w:rsidR="003A709B">
        <w:rPr>
          <w:snapToGrid/>
        </w:rPr>
        <w:t xml:space="preserve">standards </w:t>
      </w:r>
      <w:r w:rsidR="00DA5D17">
        <w:rPr>
          <w:snapToGrid/>
        </w:rPr>
        <w:t xml:space="preserve">for the 2.5 GHz band </w:t>
      </w:r>
      <w:r w:rsidR="003A709B">
        <w:rPr>
          <w:snapToGrid/>
        </w:rPr>
        <w:t xml:space="preserve">will result in several advantages for </w:t>
      </w:r>
      <w:r w:rsidR="009851B4">
        <w:rPr>
          <w:snapToGrid/>
        </w:rPr>
        <w:t xml:space="preserve">manufacturers, </w:t>
      </w:r>
      <w:r w:rsidR="003A709B">
        <w:rPr>
          <w:snapToGrid/>
        </w:rPr>
        <w:t>operators</w:t>
      </w:r>
      <w:r w:rsidR="00D23055">
        <w:rPr>
          <w:snapToGrid/>
        </w:rPr>
        <w:t>,</w:t>
      </w:r>
      <w:r w:rsidR="003A709B">
        <w:rPr>
          <w:snapToGrid/>
        </w:rPr>
        <w:t xml:space="preserve"> and consumers.  </w:t>
      </w:r>
      <w:r w:rsidR="00DA5D17">
        <w:rPr>
          <w:snapToGrid/>
        </w:rPr>
        <w:t>For example, int</w:t>
      </w:r>
      <w:r w:rsidR="00D44971">
        <w:rPr>
          <w:snapToGrid/>
        </w:rPr>
        <w:t>e</w:t>
      </w:r>
      <w:r w:rsidR="00DA5D17">
        <w:rPr>
          <w:snapToGrid/>
        </w:rPr>
        <w:t xml:space="preserve">rnationally harmonized standards </w:t>
      </w:r>
      <w:r w:rsidR="009851B4">
        <w:rPr>
          <w:snapToGrid/>
        </w:rPr>
        <w:t>will allow manufacturers to produce equipment that can be used worldwide, lowering their development and production costs, thereby increasing consumer</w:t>
      </w:r>
      <w:r w:rsidR="00DA5D17">
        <w:rPr>
          <w:snapToGrid/>
        </w:rPr>
        <w:t xml:space="preserve"> choice and supply and decreas</w:t>
      </w:r>
      <w:r w:rsidR="009851B4">
        <w:rPr>
          <w:snapToGrid/>
        </w:rPr>
        <w:t>ing</w:t>
      </w:r>
      <w:r w:rsidR="00DA5D17">
        <w:rPr>
          <w:snapToGrid/>
        </w:rPr>
        <w:t xml:space="preserve"> the cost of mobile broadband devices available for use domestically.  In addition</w:t>
      </w:r>
      <w:r w:rsidR="00D07F98" w:rsidRPr="00C63C6C">
        <w:rPr>
          <w:snapToGrid/>
        </w:rPr>
        <w:t xml:space="preserve">, </w:t>
      </w:r>
      <w:r w:rsidR="00C63C6C">
        <w:rPr>
          <w:snapToGrid/>
        </w:rPr>
        <w:t xml:space="preserve">harmonizing the standards </w:t>
      </w:r>
      <w:r w:rsidR="0015291E" w:rsidRPr="00C63C6C">
        <w:rPr>
          <w:snapToGrid/>
        </w:rPr>
        <w:t xml:space="preserve">will facilitate international roaming </w:t>
      </w:r>
      <w:r w:rsidR="00D07F98" w:rsidRPr="00C63C6C">
        <w:rPr>
          <w:snapToGrid/>
        </w:rPr>
        <w:t>by consumers since there will be a consistent set of technical standards that will apply to broadband mobile devices.</w:t>
      </w:r>
    </w:p>
    <w:p w14:paraId="03BE768C" w14:textId="77777777" w:rsidR="00C63C6C" w:rsidRPr="001508F8" w:rsidRDefault="00C63C6C" w:rsidP="00DE76DF">
      <w:pPr>
        <w:pStyle w:val="ParaNum"/>
        <w:ind w:left="0"/>
      </w:pPr>
      <w:r>
        <w:rPr>
          <w:snapToGrid/>
        </w:rPr>
        <w:t xml:space="preserve">Third, our action will facilitate the continued development of </w:t>
      </w:r>
      <w:r w:rsidR="00DA5D17">
        <w:rPr>
          <w:snapToGrid/>
        </w:rPr>
        <w:t xml:space="preserve">mobile wireless broadband services in </w:t>
      </w:r>
      <w:r>
        <w:rPr>
          <w:snapToGrid/>
        </w:rPr>
        <w:t>the 2.5 GHz band</w:t>
      </w:r>
      <w:r w:rsidR="00C8120B">
        <w:rPr>
          <w:snapToGrid/>
        </w:rPr>
        <w:t>.</w:t>
      </w:r>
      <w:r w:rsidR="005021E3">
        <w:rPr>
          <w:snapToGrid/>
        </w:rPr>
        <w:t xml:space="preserve">  </w:t>
      </w:r>
      <w:r w:rsidR="00232D1F">
        <w:rPr>
          <w:snapToGrid/>
        </w:rPr>
        <w:t>T</w:t>
      </w:r>
      <w:r w:rsidR="00B5309C">
        <w:rPr>
          <w:snapToGrid/>
        </w:rPr>
        <w:t xml:space="preserve">hese changes will facilitate the use of TDD technologies, since TDD operations use </w:t>
      </w:r>
      <w:r w:rsidR="00ED0B02">
        <w:rPr>
          <w:snapToGrid/>
        </w:rPr>
        <w:t>a single</w:t>
      </w:r>
      <w:r w:rsidR="00B5309C">
        <w:rPr>
          <w:snapToGrid/>
        </w:rPr>
        <w:t xml:space="preserve"> wider channel, as opposed to the two narrower channels </w:t>
      </w:r>
      <w:r w:rsidR="00ED0B02">
        <w:rPr>
          <w:snapToGrid/>
        </w:rPr>
        <w:t xml:space="preserve">that are </w:t>
      </w:r>
      <w:r w:rsidR="00B5309C">
        <w:rPr>
          <w:snapToGrid/>
        </w:rPr>
        <w:t>used in FDD operation</w:t>
      </w:r>
      <w:r w:rsidR="00ED0B02">
        <w:rPr>
          <w:snapToGrid/>
        </w:rPr>
        <w:t>s</w:t>
      </w:r>
      <w:r w:rsidR="00B5309C">
        <w:rPr>
          <w:snapToGrid/>
        </w:rPr>
        <w:t xml:space="preserve">.  </w:t>
      </w:r>
      <w:r w:rsidR="00CA59B2">
        <w:rPr>
          <w:snapToGrid/>
        </w:rPr>
        <w:t xml:space="preserve">Our action will provide operators with additional flexibility to use the 2.5 GHz band more efficiently and </w:t>
      </w:r>
      <w:r w:rsidR="00B805E4">
        <w:rPr>
          <w:snapToGrid/>
        </w:rPr>
        <w:t xml:space="preserve">more intensively.  </w:t>
      </w:r>
    </w:p>
    <w:p w14:paraId="3CD69A46" w14:textId="15E49872" w:rsidR="005D0A9D" w:rsidRPr="00BB7879" w:rsidRDefault="00610748" w:rsidP="00DE76DF">
      <w:pPr>
        <w:pStyle w:val="ParaNum"/>
        <w:ind w:left="0"/>
      </w:pPr>
      <w:r>
        <w:rPr>
          <w:snapToGrid/>
          <w:kern w:val="0"/>
        </w:rPr>
        <w:t xml:space="preserve">Fourth, we can change our </w:t>
      </w:r>
      <w:r w:rsidR="007069E1">
        <w:rPr>
          <w:snapToGrid/>
          <w:kern w:val="0"/>
        </w:rPr>
        <w:t>2.5 GHz</w:t>
      </w:r>
      <w:r w:rsidR="00F32710">
        <w:rPr>
          <w:snapToGrid/>
          <w:kern w:val="0"/>
        </w:rPr>
        <w:t xml:space="preserve"> </w:t>
      </w:r>
      <w:r w:rsidR="007069E1">
        <w:rPr>
          <w:snapToGrid/>
          <w:kern w:val="0"/>
        </w:rPr>
        <w:t xml:space="preserve">band </w:t>
      </w:r>
      <w:r>
        <w:rPr>
          <w:snapToGrid/>
          <w:kern w:val="0"/>
        </w:rPr>
        <w:t>OOBE rules without materially increasing</w:t>
      </w:r>
      <w:r w:rsidR="00C55C98">
        <w:rPr>
          <w:snapToGrid/>
          <w:kern w:val="0"/>
        </w:rPr>
        <w:t xml:space="preserve"> the potential for</w:t>
      </w:r>
      <w:r>
        <w:rPr>
          <w:snapToGrid/>
          <w:kern w:val="0"/>
        </w:rPr>
        <w:t xml:space="preserve"> </w:t>
      </w:r>
      <w:r w:rsidR="003155FC">
        <w:rPr>
          <w:snapToGrid/>
          <w:kern w:val="0"/>
        </w:rPr>
        <w:t>harmful interference</w:t>
      </w:r>
      <w:r w:rsidR="00C55C98">
        <w:rPr>
          <w:snapToGrid/>
          <w:kern w:val="0"/>
        </w:rPr>
        <w:t xml:space="preserve"> to other authorized services in bands adjacent to the 2.5 GHz band</w:t>
      </w:r>
      <w:r w:rsidR="00244DA3">
        <w:rPr>
          <w:snapToGrid/>
          <w:kern w:val="0"/>
        </w:rPr>
        <w:t xml:space="preserve">. </w:t>
      </w:r>
      <w:r>
        <w:rPr>
          <w:snapToGrid/>
          <w:kern w:val="0"/>
        </w:rPr>
        <w:t xml:space="preserve"> </w:t>
      </w:r>
      <w:r w:rsidR="001A2BF5">
        <w:t xml:space="preserve">In the </w:t>
      </w:r>
      <w:r w:rsidR="00DA5D17">
        <w:rPr>
          <w:i/>
        </w:rPr>
        <w:t xml:space="preserve">BRS/EBS OOBE </w:t>
      </w:r>
      <w:r w:rsidR="001A2BF5" w:rsidRPr="009D4B0E">
        <w:rPr>
          <w:i/>
        </w:rPr>
        <w:t>FNPRM</w:t>
      </w:r>
      <w:r w:rsidR="001A2BF5">
        <w:t xml:space="preserve">, the Commission asked whether the proposed OOBE changes would </w:t>
      </w:r>
      <w:r w:rsidR="006B7D07">
        <w:t xml:space="preserve">materially </w:t>
      </w:r>
      <w:r w:rsidR="001A2BF5">
        <w:t xml:space="preserve">increase </w:t>
      </w:r>
      <w:r w:rsidR="003155FC">
        <w:t>harmful interference</w:t>
      </w:r>
      <w:r w:rsidR="001A2BF5">
        <w:t xml:space="preserve"> into the adjacent bands,</w:t>
      </w:r>
      <w:r w:rsidR="001A2BF5">
        <w:rPr>
          <w:rStyle w:val="FootnoteReference"/>
        </w:rPr>
        <w:footnoteReference w:id="54"/>
      </w:r>
      <w:r w:rsidR="001A2BF5">
        <w:t xml:space="preserve"> </w:t>
      </w:r>
      <w:r w:rsidR="00AA6FE8">
        <w:t>and</w:t>
      </w:r>
      <w:r w:rsidR="001A2BF5">
        <w:t>, if so, whether the Commission should establish a fixed limit on out-of-band emissions below 2495 MHz or above 2690 MHz.</w:t>
      </w:r>
      <w:r w:rsidR="001A2BF5">
        <w:rPr>
          <w:rStyle w:val="FootnoteReference"/>
        </w:rPr>
        <w:footnoteReference w:id="55"/>
      </w:r>
      <w:r w:rsidR="001A2BF5">
        <w:t xml:space="preserve">  In response, Globalstar and EIBASS originally argued that amending the BRS/EBS mobile OOBE rule would greatly increase the probability of harmful interference to Big LEO MSS </w:t>
      </w:r>
      <w:r w:rsidR="00DA5D17">
        <w:t xml:space="preserve">and BAS </w:t>
      </w:r>
      <w:r w:rsidR="001A2BF5">
        <w:t>operations below 2495</w:t>
      </w:r>
      <w:r w:rsidR="00ED0B02">
        <w:t> </w:t>
      </w:r>
      <w:r w:rsidR="001A2BF5">
        <w:t>MHz, especially in rural and remote areas.</w:t>
      </w:r>
      <w:r w:rsidR="001A2BF5">
        <w:rPr>
          <w:rStyle w:val="FootnoteReference"/>
        </w:rPr>
        <w:footnoteReference w:id="56"/>
      </w:r>
      <w:r w:rsidR="001A2BF5">
        <w:t xml:space="preserve">  Since that time, however, Clearwire proposed </w:t>
      </w:r>
      <w:r w:rsidR="00714A1C">
        <w:t xml:space="preserve">retaining the existing OOBE limits </w:t>
      </w:r>
      <w:r w:rsidR="00467266">
        <w:t xml:space="preserve">at and </w:t>
      </w:r>
      <w:r w:rsidR="00714A1C">
        <w:t>below 249</w:t>
      </w:r>
      <w:r w:rsidR="00ED0B02">
        <w:t>6</w:t>
      </w:r>
      <w:r w:rsidR="00714A1C">
        <w:t xml:space="preserve"> MHz</w:t>
      </w:r>
      <w:r w:rsidR="0098155A">
        <w:t>, which are currently applicable to a channel with a lower edge at 2496 MHz (</w:t>
      </w:r>
      <w:r w:rsidR="0098155A" w:rsidRPr="00DB31EC">
        <w:rPr>
          <w:i/>
        </w:rPr>
        <w:t>e.g.</w:t>
      </w:r>
      <w:r w:rsidR="0098155A">
        <w:t>, Channel BRS1),</w:t>
      </w:r>
      <w:r w:rsidR="00285252">
        <w:t xml:space="preserve"> </w:t>
      </w:r>
      <w:r w:rsidR="007E286C">
        <w:t xml:space="preserve">as “band edge” limits </w:t>
      </w:r>
      <w:r w:rsidR="00285252">
        <w:t>for all BRS/EBS channels</w:t>
      </w:r>
      <w:r w:rsidR="003242B4">
        <w:t>,</w:t>
      </w:r>
      <w:r w:rsidR="00FB6BE7">
        <w:rPr>
          <w:rStyle w:val="FootnoteReference"/>
        </w:rPr>
        <w:footnoteReference w:id="57"/>
      </w:r>
      <w:r w:rsidR="003242B4">
        <w:t xml:space="preserve"> and Globalstar has stated that it has no objection to that proposal</w:t>
      </w:r>
      <w:r w:rsidR="00714A1C">
        <w:t>.</w:t>
      </w:r>
      <w:r w:rsidR="00FB6BE7">
        <w:rPr>
          <w:rStyle w:val="FootnoteReference"/>
        </w:rPr>
        <w:footnoteReference w:id="58"/>
      </w:r>
      <w:r w:rsidR="00714A1C">
        <w:t xml:space="preserve">  </w:t>
      </w:r>
      <w:r w:rsidR="003242B4">
        <w:t xml:space="preserve">Retaining the existing </w:t>
      </w:r>
      <w:r w:rsidR="00C544FA">
        <w:t xml:space="preserve">Channel BRS1 </w:t>
      </w:r>
      <w:r w:rsidR="003242B4">
        <w:t>OOBE limits at and below 2496 MHz</w:t>
      </w:r>
      <w:r w:rsidR="00285252">
        <w:t xml:space="preserve"> for all BRS/EBS channels</w:t>
      </w:r>
      <w:r w:rsidR="003242B4">
        <w:t xml:space="preserve"> would also address EIBASS’ concerns about increased interference to BAS Channel A9 (2467-2483.5 MHz)</w:t>
      </w:r>
      <w:r w:rsidR="003242B4">
        <w:rPr>
          <w:rStyle w:val="FootnoteReference"/>
        </w:rPr>
        <w:footnoteReference w:id="59"/>
      </w:r>
      <w:r w:rsidR="003242B4">
        <w:t xml:space="preserve"> because BRS/EBS mobile units will not be allowed to increase OOBE below 2496 MHz</w:t>
      </w:r>
      <w:r w:rsidR="00310856">
        <w:t xml:space="preserve">. </w:t>
      </w:r>
      <w:r w:rsidR="00A3209E">
        <w:t xml:space="preserve"> </w:t>
      </w:r>
      <w:r w:rsidR="00AA6FE8">
        <w:t xml:space="preserve">While several parties had expressed concern that establishing different limits at lower edges of the </w:t>
      </w:r>
      <w:r w:rsidR="006146C0">
        <w:t xml:space="preserve">2.5 GHz </w:t>
      </w:r>
      <w:r w:rsidR="00AA6FE8">
        <w:t>band would negate many of the advantages of allowing wider channels,</w:t>
      </w:r>
      <w:r w:rsidR="00AA6FE8">
        <w:rPr>
          <w:rStyle w:val="FootnoteReference"/>
        </w:rPr>
        <w:footnoteReference w:id="60"/>
      </w:r>
      <w:r w:rsidR="00AA6FE8">
        <w:t xml:space="preserve"> we agree with Clearwire that the </w:t>
      </w:r>
      <w:r w:rsidR="0035421B">
        <w:t>revised OOBE limits that</w:t>
      </w:r>
      <w:r w:rsidR="00AA6FE8">
        <w:t xml:space="preserve"> we adopt today will allow licensees to </w:t>
      </w:r>
      <w:r w:rsidR="00273EBF">
        <w:t xml:space="preserve">provide enhanced broadband services to their subscribers by </w:t>
      </w:r>
      <w:r w:rsidR="00AA6FE8">
        <w:t>operat</w:t>
      </w:r>
      <w:r w:rsidR="00273EBF">
        <w:t>ing</w:t>
      </w:r>
      <w:r w:rsidR="00AA6FE8">
        <w:t xml:space="preserve"> with wider channels throughout most of the </w:t>
      </w:r>
      <w:r w:rsidR="00D35786">
        <w:t xml:space="preserve">2.5 GHz </w:t>
      </w:r>
      <w:r w:rsidR="00AA6FE8">
        <w:t>band</w:t>
      </w:r>
      <w:r w:rsidR="00273EBF">
        <w:t>, as well as</w:t>
      </w:r>
      <w:r w:rsidR="00AA6FE8">
        <w:t xml:space="preserve"> support international roaming</w:t>
      </w:r>
      <w:r w:rsidR="00273EBF">
        <w:t>,</w:t>
      </w:r>
      <w:r w:rsidR="00B153E1">
        <w:t xml:space="preserve"> without materially increasing</w:t>
      </w:r>
      <w:r w:rsidR="00273EBF">
        <w:t xml:space="preserve"> the potential for</w:t>
      </w:r>
      <w:r w:rsidR="00B153E1">
        <w:t xml:space="preserve"> </w:t>
      </w:r>
      <w:r w:rsidR="003155FC">
        <w:t>harmful interference</w:t>
      </w:r>
      <w:r w:rsidR="00273EBF">
        <w:t xml:space="preserve"> to other authorized services</w:t>
      </w:r>
      <w:r w:rsidR="006146C0">
        <w:t xml:space="preserve"> in adjacent bands</w:t>
      </w:r>
      <w:r w:rsidR="00AA6FE8">
        <w:t>.</w:t>
      </w:r>
      <w:r w:rsidR="00AA6FE8">
        <w:rPr>
          <w:rStyle w:val="FootnoteReference"/>
        </w:rPr>
        <w:footnoteReference w:id="61"/>
      </w:r>
      <w:r w:rsidR="00AA6FE8">
        <w:t xml:space="preserve">  </w:t>
      </w:r>
    </w:p>
    <w:p w14:paraId="0FE938DD" w14:textId="7DB917F7" w:rsidR="003242B4" w:rsidRPr="005D0A9D" w:rsidRDefault="003242B4" w:rsidP="00DE76DF">
      <w:pPr>
        <w:pStyle w:val="ParaNum"/>
        <w:ind w:left="0"/>
      </w:pPr>
      <w:r>
        <w:t>EIBASS also expresse</w:t>
      </w:r>
      <w:r w:rsidR="00166F6D">
        <w:t>d</w:t>
      </w:r>
      <w:r>
        <w:t xml:space="preserve"> concern about </w:t>
      </w:r>
      <w:r w:rsidR="00CA58E2">
        <w:t>increased interference to BAS Channel A10 (2483.5-2500 MHz).</w:t>
      </w:r>
      <w:r w:rsidR="00CA58E2">
        <w:rPr>
          <w:rStyle w:val="FootnoteReference"/>
        </w:rPr>
        <w:footnoteReference w:id="62"/>
      </w:r>
      <w:r w:rsidR="00CA58E2">
        <w:t xml:space="preserve">  With respect to the 249</w:t>
      </w:r>
      <w:r w:rsidR="007B5994">
        <w:t>1</w:t>
      </w:r>
      <w:r w:rsidR="00CA58E2">
        <w:t xml:space="preserve">-2500 MHz portion of that channel, that portion could, in theory, be subject to increased </w:t>
      </w:r>
      <w:r w:rsidR="007A1712">
        <w:t>interference</w:t>
      </w:r>
      <w:r w:rsidR="00CA58E2">
        <w:t xml:space="preserve"> from </w:t>
      </w:r>
      <w:r w:rsidR="00373462">
        <w:t xml:space="preserve">certain </w:t>
      </w:r>
      <w:r w:rsidR="00CA58E2">
        <w:t xml:space="preserve">adjacent channel </w:t>
      </w:r>
      <w:r w:rsidR="00BB7879">
        <w:t xml:space="preserve">BRS/EBS </w:t>
      </w:r>
      <w:r w:rsidR="00CA58E2">
        <w:t>mobile units</w:t>
      </w:r>
      <w:r w:rsidR="007A1712">
        <w:t>’</w:t>
      </w:r>
      <w:r w:rsidR="00D51CE0">
        <w:t xml:space="preserve"> </w:t>
      </w:r>
      <w:r w:rsidR="005E510A">
        <w:t xml:space="preserve">increased </w:t>
      </w:r>
      <w:r w:rsidR="00D51CE0">
        <w:t>OOBE</w:t>
      </w:r>
      <w:r w:rsidR="00BB7879">
        <w:t>.</w:t>
      </w:r>
      <w:r w:rsidR="00BB7879">
        <w:rPr>
          <w:rStyle w:val="FootnoteReference"/>
        </w:rPr>
        <w:footnoteReference w:id="63"/>
      </w:r>
      <w:r w:rsidR="00CA58E2">
        <w:t xml:space="preserve"> </w:t>
      </w:r>
      <w:r w:rsidR="00EE4841">
        <w:t xml:space="preserve"> </w:t>
      </w:r>
      <w:r w:rsidR="00B16B0A">
        <w:t>However, w</w:t>
      </w:r>
      <w:r w:rsidR="00EE4841">
        <w:t xml:space="preserve">e believe the chance of </w:t>
      </w:r>
      <w:r w:rsidR="00EF611A">
        <w:t xml:space="preserve">harmful </w:t>
      </w:r>
      <w:r w:rsidR="00EE4841">
        <w:t xml:space="preserve">interference to BAS Channel A10 is very low for several reasons.   First, </w:t>
      </w:r>
      <w:r w:rsidR="00495DE9">
        <w:t>we note that BAS Channel A10 is currently subject to OOBE</w:t>
      </w:r>
      <w:r w:rsidR="00D51CE0">
        <w:t xml:space="preserve"> </w:t>
      </w:r>
      <w:r w:rsidR="00495DE9">
        <w:t xml:space="preserve">from BRS/EBS </w:t>
      </w:r>
      <w:r w:rsidR="005E510A">
        <w:t>base</w:t>
      </w:r>
      <w:r w:rsidR="00495DE9">
        <w:t xml:space="preserve"> stations, which can operate at higher power than mobile units.</w:t>
      </w:r>
      <w:r w:rsidR="00011E11" w:rsidRPr="00011E11">
        <w:rPr>
          <w:rStyle w:val="FootnoteReference"/>
        </w:rPr>
        <w:t xml:space="preserve"> </w:t>
      </w:r>
      <w:r w:rsidR="00011E11">
        <w:rPr>
          <w:rStyle w:val="FootnoteReference"/>
        </w:rPr>
        <w:footnoteReference w:id="64"/>
      </w:r>
      <w:r w:rsidR="00495DE9">
        <w:t xml:space="preserve">  Notwithstanding </w:t>
      </w:r>
      <w:r w:rsidR="007A1712">
        <w:t>this</w:t>
      </w:r>
      <w:r w:rsidR="00495DE9">
        <w:t xml:space="preserve"> fact, we are unaware of any allegation or complaint that BRS/EBS operations have caused </w:t>
      </w:r>
      <w:r w:rsidR="00EF611A">
        <w:t xml:space="preserve">harmful </w:t>
      </w:r>
      <w:r w:rsidR="00495DE9">
        <w:t>interference to BAS Channel A10 operations.</w:t>
      </w:r>
      <w:r w:rsidR="004D5569">
        <w:rPr>
          <w:rStyle w:val="FootnoteReference"/>
        </w:rPr>
        <w:footnoteReference w:id="65"/>
      </w:r>
      <w:r w:rsidR="00495DE9">
        <w:t xml:space="preserve">  Second, </w:t>
      </w:r>
      <w:r w:rsidR="007F6A69">
        <w:t>there are many fewer operations on BAS Channel A10 (56 active licenses) than on any other BAS channel</w:t>
      </w:r>
      <w:r w:rsidR="00560AC5">
        <w:t>,</w:t>
      </w:r>
      <w:r w:rsidR="007F6A69">
        <w:rPr>
          <w:rStyle w:val="FootnoteReference"/>
        </w:rPr>
        <w:footnoteReference w:id="66"/>
      </w:r>
      <w:r w:rsidR="007E6581">
        <w:t xml:space="preserve"> and BRS/EBS mobile stations are unlikely to be operated in close proximity to BAS receiving antennas, which are typically located on the same</w:t>
      </w:r>
      <w:r w:rsidR="0072423B">
        <w:t xml:space="preserve"> or similar</w:t>
      </w:r>
      <w:r w:rsidR="007E6581">
        <w:t xml:space="preserve"> structures as TV broadcast</w:t>
      </w:r>
      <w:r w:rsidR="0072423B">
        <w:t>ing</w:t>
      </w:r>
      <w:r w:rsidR="007E6581">
        <w:t xml:space="preserve"> antennas.</w:t>
      </w:r>
      <w:r w:rsidR="004D5569">
        <w:t xml:space="preserve">  Third, because the primary use of the 2.5 GHz band is for TDD operations, we believe </w:t>
      </w:r>
      <w:r w:rsidR="0072423B">
        <w:t xml:space="preserve">BRS/EBS </w:t>
      </w:r>
      <w:r w:rsidR="004D5569">
        <w:t xml:space="preserve">operators are unlikely to use </w:t>
      </w:r>
      <w:r w:rsidR="007E6581">
        <w:t xml:space="preserve">channels at or near </w:t>
      </w:r>
      <w:r w:rsidR="004D5569">
        <w:t xml:space="preserve">the lower edge of the </w:t>
      </w:r>
      <w:r w:rsidR="00560AC5">
        <w:t xml:space="preserve">2.5 GHz </w:t>
      </w:r>
      <w:r w:rsidR="004D5569">
        <w:t>band in situations where base stations may cause</w:t>
      </w:r>
      <w:r w:rsidR="00EF611A">
        <w:t xml:space="preserve"> harmful</w:t>
      </w:r>
      <w:r w:rsidR="004D5569">
        <w:t xml:space="preserve"> interference to BAS or MSS operations.  </w:t>
      </w:r>
      <w:r w:rsidR="0076096B">
        <w:t xml:space="preserve">We therefore conclude that any potential increase in OOBE is highly unlikely to result in </w:t>
      </w:r>
      <w:r w:rsidR="007A1712">
        <w:t xml:space="preserve">harmful </w:t>
      </w:r>
      <w:r w:rsidR="0076096B">
        <w:t xml:space="preserve">interference </w:t>
      </w:r>
      <w:r w:rsidR="00560AC5">
        <w:t>to</w:t>
      </w:r>
      <w:r w:rsidR="0076096B">
        <w:t xml:space="preserve"> </w:t>
      </w:r>
      <w:r w:rsidR="00560AC5">
        <w:t xml:space="preserve">the </w:t>
      </w:r>
      <w:r w:rsidR="0076096B">
        <w:t>BAS.</w:t>
      </w:r>
    </w:p>
    <w:p w14:paraId="01372A11" w14:textId="77777777" w:rsidR="0043397C" w:rsidRPr="00056A01" w:rsidRDefault="00FA495C" w:rsidP="00DE76DF">
      <w:pPr>
        <w:pStyle w:val="ParaNum"/>
        <w:ind w:left="0"/>
      </w:pPr>
      <w:r>
        <w:t>Under</w:t>
      </w:r>
      <w:r w:rsidR="0043397C">
        <w:t xml:space="preserve"> Clearwire’s </w:t>
      </w:r>
      <w:r w:rsidR="009B0FD6">
        <w:t>suggested approach</w:t>
      </w:r>
      <w:r w:rsidR="00D35786">
        <w:t>,</w:t>
      </w:r>
      <w:r w:rsidR="0043397C">
        <w:t xml:space="preserve"> any </w:t>
      </w:r>
      <w:r w:rsidR="00BB5D08">
        <w:t xml:space="preserve">BRS or EBS </w:t>
      </w:r>
      <w:r w:rsidR="0043397C">
        <w:t xml:space="preserve">channel can operate under the </w:t>
      </w:r>
      <w:r w:rsidR="00EB71BB">
        <w:t>relaxed</w:t>
      </w:r>
      <w:r w:rsidR="0043397C">
        <w:t xml:space="preserve"> OOBE </w:t>
      </w:r>
      <w:r w:rsidR="004C26BA">
        <w:t>limits</w:t>
      </w:r>
      <w:r w:rsidR="00EB71BB">
        <w:t xml:space="preserve"> except at 2496 MHz</w:t>
      </w:r>
      <w:r w:rsidR="00073629">
        <w:t>,</w:t>
      </w:r>
      <w:r w:rsidR="00EB71BB">
        <w:t xml:space="preserve"> where the existing OOBE limits applicable to </w:t>
      </w:r>
      <w:r w:rsidR="00C45291">
        <w:t>a channel with a lower edge at 2496 MHz</w:t>
      </w:r>
      <w:r w:rsidR="00EB71BB">
        <w:t xml:space="preserve"> would apply</w:t>
      </w:r>
      <w:r w:rsidR="0043397C">
        <w:t>.</w:t>
      </w:r>
      <w:r w:rsidR="0043397C">
        <w:rPr>
          <w:rStyle w:val="FootnoteReference"/>
        </w:rPr>
        <w:footnoteReference w:id="67"/>
      </w:r>
      <w:r w:rsidR="007B5994">
        <w:t xml:space="preserve">  </w:t>
      </w:r>
      <w:r w:rsidR="0043397C">
        <w:t>Thus under the action</w:t>
      </w:r>
      <w:r w:rsidR="00300B54">
        <w:t>s</w:t>
      </w:r>
      <w:r w:rsidR="0043397C">
        <w:t xml:space="preserve"> we take today, the current </w:t>
      </w:r>
      <w:r w:rsidR="004C26BA">
        <w:t>OOBE</w:t>
      </w:r>
      <w:r w:rsidR="0043397C">
        <w:t xml:space="preserve"> limits</w:t>
      </w:r>
      <w:r w:rsidR="00285252">
        <w:t xml:space="preserve"> applicable to a channel with a lower edge at 2496 MHz </w:t>
      </w:r>
      <w:r w:rsidR="004C26BA">
        <w:t>will</w:t>
      </w:r>
      <w:r w:rsidR="0043397C">
        <w:t xml:space="preserve"> apply</w:t>
      </w:r>
      <w:r w:rsidR="00C544FA">
        <w:t xml:space="preserve">, </w:t>
      </w:r>
      <w:r w:rsidR="00C544FA">
        <w:rPr>
          <w:i/>
        </w:rPr>
        <w:t>in</w:t>
      </w:r>
      <w:r w:rsidR="00AC14B6">
        <w:rPr>
          <w:i/>
        </w:rPr>
        <w:t>t</w:t>
      </w:r>
      <w:r w:rsidR="00C544FA">
        <w:rPr>
          <w:i/>
        </w:rPr>
        <w:t>er alia</w:t>
      </w:r>
      <w:r w:rsidR="00C544FA">
        <w:t>,</w:t>
      </w:r>
      <w:r w:rsidR="0043397C">
        <w:t xml:space="preserve"> to channel BRS1</w:t>
      </w:r>
      <w:r w:rsidR="007635BB">
        <w:t xml:space="preserve"> and EBS Channels</w:t>
      </w:r>
      <w:r w:rsidR="0043397C">
        <w:t xml:space="preserve"> A1 and A2, assuming a channel with a bandwidth of 20 megahertz.</w:t>
      </w:r>
      <w:r w:rsidR="0043397C">
        <w:rPr>
          <w:rStyle w:val="FootnoteReference"/>
        </w:rPr>
        <w:footnoteReference w:id="68"/>
      </w:r>
      <w:r w:rsidR="0043397C">
        <w:t xml:space="preserve">  By adopting Clearwire’s </w:t>
      </w:r>
      <w:r w:rsidR="00C55C98">
        <w:t xml:space="preserve">proposed </w:t>
      </w:r>
      <w:r w:rsidR="0043397C">
        <w:t>modification, we ensure that Globalstar’s operations</w:t>
      </w:r>
      <w:r w:rsidR="00C55C98">
        <w:t>,</w:t>
      </w:r>
      <w:r w:rsidR="0043397C">
        <w:t xml:space="preserve"> BAS operations on channels A</w:t>
      </w:r>
      <w:r w:rsidR="006146C0">
        <w:t>9</w:t>
      </w:r>
      <w:r w:rsidR="0043397C">
        <w:t xml:space="preserve"> and A</w:t>
      </w:r>
      <w:r w:rsidR="006146C0">
        <w:t>10</w:t>
      </w:r>
      <w:r w:rsidR="00C55C98">
        <w:t xml:space="preserve">, and </w:t>
      </w:r>
      <w:r w:rsidR="006146C0">
        <w:t xml:space="preserve">Part 90 </w:t>
      </w:r>
      <w:r w:rsidR="0053225E">
        <w:t xml:space="preserve">MS </w:t>
      </w:r>
      <w:r w:rsidR="006146C0">
        <w:t>and Part 101</w:t>
      </w:r>
      <w:r w:rsidR="0053225E">
        <w:t xml:space="preserve"> FS</w:t>
      </w:r>
      <w:r w:rsidR="006146C0">
        <w:t xml:space="preserve"> stations</w:t>
      </w:r>
      <w:r w:rsidR="0043397C">
        <w:t xml:space="preserve"> </w:t>
      </w:r>
      <w:r w:rsidR="007635BB">
        <w:t xml:space="preserve">will </w:t>
      </w:r>
      <w:r w:rsidR="0043397C">
        <w:t>continue to be protected</w:t>
      </w:r>
      <w:r w:rsidR="00300B54">
        <w:t xml:space="preserve">, that </w:t>
      </w:r>
      <w:r w:rsidR="0043397C">
        <w:t>BRS</w:t>
      </w:r>
      <w:r w:rsidR="006146C0">
        <w:t xml:space="preserve"> and </w:t>
      </w:r>
      <w:r w:rsidR="0043397C">
        <w:t xml:space="preserve">EBS operators </w:t>
      </w:r>
      <w:r w:rsidR="00300B54">
        <w:t>may</w:t>
      </w:r>
      <w:r w:rsidR="0043397C">
        <w:t xml:space="preserve"> operate broadband mobile devices at optimal power</w:t>
      </w:r>
      <w:r w:rsidR="004C26BA">
        <w:t xml:space="preserve"> and</w:t>
      </w:r>
      <w:r w:rsidR="00E6258A">
        <w:t xml:space="preserve"> with</w:t>
      </w:r>
      <w:r w:rsidR="004C26BA">
        <w:t xml:space="preserve"> </w:t>
      </w:r>
      <w:r w:rsidR="00467266">
        <w:t xml:space="preserve">wider </w:t>
      </w:r>
      <w:r w:rsidR="004C26BA">
        <w:t>channel bandwidth</w:t>
      </w:r>
      <w:r w:rsidR="00467266">
        <w:t>s</w:t>
      </w:r>
      <w:r w:rsidR="0043397C">
        <w:t xml:space="preserve"> in</w:t>
      </w:r>
      <w:r w:rsidR="003E4BB2">
        <w:t xml:space="preserve"> </w:t>
      </w:r>
      <w:r w:rsidR="0043397C">
        <w:t>most of the 2.5</w:t>
      </w:r>
      <w:r w:rsidR="004C26BA">
        <w:t> </w:t>
      </w:r>
      <w:r w:rsidR="0043397C">
        <w:t>GHz band, and</w:t>
      </w:r>
      <w:r w:rsidR="00EF611A">
        <w:t xml:space="preserve"> that</w:t>
      </w:r>
      <w:r w:rsidR="0043397C">
        <w:t xml:space="preserve"> the 2.5 GHz band will be able to support international roamers.</w:t>
      </w:r>
      <w:r w:rsidR="0043397C">
        <w:rPr>
          <w:rStyle w:val="FootnoteReference"/>
        </w:rPr>
        <w:footnoteReference w:id="69"/>
      </w:r>
      <w:r w:rsidR="0043397C">
        <w:t xml:space="preserve">  </w:t>
      </w:r>
    </w:p>
    <w:p w14:paraId="3C556EFF" w14:textId="68D710C0" w:rsidR="00CD1D75" w:rsidRPr="00CD1D75" w:rsidRDefault="00F10A96" w:rsidP="00DE76DF">
      <w:pPr>
        <w:pStyle w:val="ParaNum"/>
        <w:ind w:left="0"/>
      </w:pPr>
      <w:r>
        <w:t>T</w:t>
      </w:r>
      <w:r w:rsidR="00A000D8">
        <w:t xml:space="preserve">he </w:t>
      </w:r>
      <w:r w:rsidR="00C544FA">
        <w:t>relaxed</w:t>
      </w:r>
      <w:r w:rsidR="00A000D8">
        <w:t xml:space="preserve"> </w:t>
      </w:r>
      <w:r w:rsidR="007635BB">
        <w:t>OOBE</w:t>
      </w:r>
      <w:r w:rsidR="00A000D8">
        <w:t xml:space="preserve"> limits for </w:t>
      </w:r>
      <w:r w:rsidR="00246C63">
        <w:t xml:space="preserve">broadband </w:t>
      </w:r>
      <w:r w:rsidR="00A000D8">
        <w:t xml:space="preserve">mobile equipment operating in the 2.5 GHz band </w:t>
      </w:r>
      <w:r w:rsidR="00246C63">
        <w:t xml:space="preserve">will not materially </w:t>
      </w:r>
      <w:r w:rsidR="00A000D8">
        <w:t xml:space="preserve">increase </w:t>
      </w:r>
      <w:r w:rsidR="0035421B">
        <w:t xml:space="preserve">the potential for </w:t>
      </w:r>
      <w:r w:rsidR="003155FC">
        <w:t>harmful interference</w:t>
      </w:r>
      <w:r w:rsidR="00A000D8">
        <w:t xml:space="preserve"> within the 2.5 GHz band.  </w:t>
      </w:r>
      <w:r w:rsidR="00D01780">
        <w:t xml:space="preserve">While we do not casually adopt looser OOBE standards, </w:t>
      </w:r>
      <w:r w:rsidR="005C3F54">
        <w:t xml:space="preserve">modest relaxing of our OOBE rules in </w:t>
      </w:r>
      <w:r w:rsidR="004B4709">
        <w:t xml:space="preserve">line </w:t>
      </w:r>
      <w:r w:rsidR="005C3F54">
        <w:t xml:space="preserve">with the 3GPP standards is not likely to </w:t>
      </w:r>
      <w:r w:rsidR="0035421B">
        <w:t xml:space="preserve">result in </w:t>
      </w:r>
      <w:r w:rsidR="003155FC">
        <w:t>harmful interference</w:t>
      </w:r>
      <w:r w:rsidR="00AC7EBD">
        <w:t xml:space="preserve"> </w:t>
      </w:r>
      <w:r w:rsidR="00467266">
        <w:t>to other BRS/EBS stations</w:t>
      </w:r>
      <w:r w:rsidR="00D01780">
        <w:t>.  Furthermore, as noted above, most operators and equipment manufacturers support the proposed standard.</w:t>
      </w:r>
      <w:r w:rsidR="00D01780">
        <w:rPr>
          <w:rStyle w:val="FootnoteReference"/>
        </w:rPr>
        <w:footnoteReference w:id="70"/>
      </w:r>
      <w:r w:rsidR="00D01780">
        <w:t xml:space="preserve">  </w:t>
      </w:r>
      <w:r w:rsidR="00A000D8">
        <w:t xml:space="preserve">IP Wireless </w:t>
      </w:r>
      <w:r w:rsidR="00640CDF">
        <w:t>is concerned about the coexistence of multiple unsynchronized TDD systems</w:t>
      </w:r>
      <w:r w:rsidR="0035421B">
        <w:t xml:space="preserve"> operating with </w:t>
      </w:r>
      <w:r w:rsidR="007A5CBC">
        <w:t xml:space="preserve">relaxed </w:t>
      </w:r>
      <w:r w:rsidR="0035421B">
        <w:t>OOBE</w:t>
      </w:r>
      <w:r w:rsidR="00640CDF">
        <w:t xml:space="preserve"> in the same area.</w:t>
      </w:r>
      <w:r w:rsidR="00640CDF">
        <w:rPr>
          <w:rStyle w:val="FootnoteReference"/>
        </w:rPr>
        <w:footnoteReference w:id="71"/>
      </w:r>
      <w:r w:rsidR="00640CDF">
        <w:t xml:space="preserve">  </w:t>
      </w:r>
      <w:r w:rsidR="00627B6A">
        <w:t xml:space="preserve">As </w:t>
      </w:r>
      <w:r w:rsidR="00640CDF">
        <w:t>WCAI point</w:t>
      </w:r>
      <w:r w:rsidR="00467266">
        <w:t>ed</w:t>
      </w:r>
      <w:r w:rsidR="00640CDF">
        <w:t xml:space="preserve"> out, however, the potential for </w:t>
      </w:r>
      <w:r w:rsidR="003155FC">
        <w:t>harmful interference</w:t>
      </w:r>
      <w:r w:rsidR="00640CDF">
        <w:t xml:space="preserve"> among uncoordinated TDD systems or between TDD and FDD systems already exists in the</w:t>
      </w:r>
      <w:r w:rsidR="00B661EF">
        <w:t xml:space="preserve"> 2.5 GHz</w:t>
      </w:r>
      <w:r w:rsidR="00640CDF">
        <w:t xml:space="preserve"> band because</w:t>
      </w:r>
      <w:r w:rsidR="0098619F">
        <w:t>,</w:t>
      </w:r>
      <w:r w:rsidR="00640CDF">
        <w:t xml:space="preserve"> </w:t>
      </w:r>
      <w:r w:rsidR="0035421B">
        <w:t xml:space="preserve">in the </w:t>
      </w:r>
      <w:r w:rsidR="0035421B">
        <w:rPr>
          <w:i/>
        </w:rPr>
        <w:t>BRS/EBS R&amp;</w:t>
      </w:r>
      <w:r w:rsidR="0035421B" w:rsidRPr="007A5CBC">
        <w:t>O</w:t>
      </w:r>
      <w:r w:rsidR="0035421B">
        <w:t xml:space="preserve">, </w:t>
      </w:r>
      <w:r w:rsidR="00640CDF" w:rsidRPr="0035421B">
        <w:t>the</w:t>
      </w:r>
      <w:r w:rsidR="00640CDF">
        <w:t xml:space="preserve"> Commission </w:t>
      </w:r>
      <w:r w:rsidR="00B5000D">
        <w:t xml:space="preserve">sought </w:t>
      </w:r>
      <w:r w:rsidR="00640CDF">
        <w:t xml:space="preserve">to maximize flexibility </w:t>
      </w:r>
      <w:r w:rsidR="005C3F54">
        <w:t xml:space="preserve">for licensees in the band </w:t>
      </w:r>
      <w:r w:rsidR="009E1CAA">
        <w:t xml:space="preserve">by allowing them </w:t>
      </w:r>
      <w:r w:rsidR="00640CDF">
        <w:t>to use the technology of their choice</w:t>
      </w:r>
      <w:r w:rsidR="00B661EF">
        <w:t xml:space="preserve">.  Furthermore, </w:t>
      </w:r>
      <w:r w:rsidR="009E1CAA">
        <w:t>WCAI</w:t>
      </w:r>
      <w:r w:rsidR="00303382">
        <w:t xml:space="preserve"> stated that </w:t>
      </w:r>
      <w:r w:rsidR="00640CDF">
        <w:t>the Commission has provided mechanisms for</w:t>
      </w:r>
      <w:r w:rsidR="009E1CAA">
        <w:t xml:space="preserve"> licensees to</w:t>
      </w:r>
      <w:r w:rsidR="00640CDF">
        <w:t xml:space="preserve"> resolv</w:t>
      </w:r>
      <w:r w:rsidR="009E1CAA">
        <w:t>e</w:t>
      </w:r>
      <w:r w:rsidR="00640CDF">
        <w:t xml:space="preserve"> documented interference complaints.</w:t>
      </w:r>
      <w:r w:rsidR="00640CDF">
        <w:rPr>
          <w:rStyle w:val="FootnoteReference"/>
        </w:rPr>
        <w:footnoteReference w:id="72"/>
      </w:r>
      <w:r w:rsidR="00640CDF">
        <w:t xml:space="preserve">  </w:t>
      </w:r>
      <w:r w:rsidR="00552081">
        <w:t xml:space="preserve">IP Wireless has not shown that increased OOBE in the 2.5 GHz band will materially change the interference environment for BRS and EBS stations.  In addition, </w:t>
      </w:r>
      <w:r w:rsidR="00CD1D75">
        <w:t xml:space="preserve">IP Wireless </w:t>
      </w:r>
      <w:r w:rsidR="00467266">
        <w:t>has</w:t>
      </w:r>
      <w:r w:rsidR="00CD1D75">
        <w:t xml:space="preserve"> not show</w:t>
      </w:r>
      <w:r w:rsidR="0035421B">
        <w:t>n</w:t>
      </w:r>
      <w:r w:rsidR="00CD1D75">
        <w:t xml:space="preserve"> that our existing rules</w:t>
      </w:r>
      <w:r w:rsidR="00552081">
        <w:t xml:space="preserve"> for interference resolution between BRS/EBS licensees</w:t>
      </w:r>
      <w:r w:rsidR="00CD1D75">
        <w:t xml:space="preserve">, </w:t>
      </w:r>
      <w:r w:rsidR="00172253">
        <w:t xml:space="preserve">which remain in place, </w:t>
      </w:r>
      <w:r w:rsidR="00CD1D75">
        <w:t xml:space="preserve">together with </w:t>
      </w:r>
      <w:r w:rsidR="0035421B">
        <w:t xml:space="preserve">coordination </w:t>
      </w:r>
      <w:r w:rsidR="00CD1D75">
        <w:t>practices</w:t>
      </w:r>
      <w:r w:rsidR="0035421B">
        <w:t xml:space="preserve"> developed</w:t>
      </w:r>
      <w:r w:rsidR="00B5000D">
        <w:t xml:space="preserve"> by BRS and EBS operators</w:t>
      </w:r>
      <w:r w:rsidR="00CD1D75">
        <w:t xml:space="preserve">, are </w:t>
      </w:r>
      <w:r w:rsidR="00552081">
        <w:t xml:space="preserve">not </w:t>
      </w:r>
      <w:r w:rsidR="00CD1D75">
        <w:t xml:space="preserve">sufficient to </w:t>
      </w:r>
      <w:r w:rsidR="007A5CBC">
        <w:t>allow</w:t>
      </w:r>
      <w:r w:rsidR="009E1CAA">
        <w:t xml:space="preserve"> licensees</w:t>
      </w:r>
      <w:r w:rsidR="00552081">
        <w:t xml:space="preserve"> to</w:t>
      </w:r>
      <w:r w:rsidR="009E1CAA">
        <w:t xml:space="preserve"> mitigate the</w:t>
      </w:r>
      <w:r w:rsidR="00CD1D75">
        <w:t xml:space="preserve"> potential</w:t>
      </w:r>
      <w:r w:rsidR="009E1CAA">
        <w:t xml:space="preserve"> for</w:t>
      </w:r>
      <w:r w:rsidR="00CD1D75">
        <w:t xml:space="preserve"> </w:t>
      </w:r>
      <w:r w:rsidR="003155FC">
        <w:t>harmful interference</w:t>
      </w:r>
      <w:r w:rsidR="00CD1D75">
        <w:t xml:space="preserve"> </w:t>
      </w:r>
      <w:r w:rsidR="009E1CAA">
        <w:t xml:space="preserve">that could result from increased OOBE in the 2.5 GHz band.  </w:t>
      </w:r>
      <w:r w:rsidR="00EF611A">
        <w:t>O</w:t>
      </w:r>
      <w:r w:rsidR="0035421B">
        <w:t>ur existing</w:t>
      </w:r>
      <w:r w:rsidR="00552081">
        <w:t xml:space="preserve"> rules and </w:t>
      </w:r>
      <w:r w:rsidR="0098619F">
        <w:t>indust</w:t>
      </w:r>
      <w:r w:rsidR="00552081">
        <w:t xml:space="preserve">ry practices together will enable BRS and EBS licensees to </w:t>
      </w:r>
      <w:r w:rsidR="0098619F">
        <w:t>mitigate any increase in the potential for harmful interference that results from increasing the OOBE limits for BRS/EBS digital mobile transmitters.</w:t>
      </w:r>
      <w:r w:rsidR="0035421B">
        <w:t xml:space="preserve"> </w:t>
      </w:r>
    </w:p>
    <w:p w14:paraId="348FF58B" w14:textId="77777777" w:rsidR="007B573F" w:rsidRPr="00A60CF5" w:rsidRDefault="00CD1D75" w:rsidP="00DE76DF">
      <w:pPr>
        <w:pStyle w:val="ParaNum"/>
        <w:ind w:left="0"/>
        <w:rPr>
          <w:snapToGrid/>
          <w:kern w:val="0"/>
        </w:rPr>
      </w:pPr>
      <w:r w:rsidRPr="00C4701A">
        <w:t xml:space="preserve">Northrop Grumman </w:t>
      </w:r>
      <w:r>
        <w:t xml:space="preserve">has experienced base-to-base adjacent channel interference, which was resolved </w:t>
      </w:r>
      <w:r w:rsidR="00467266">
        <w:t>by</w:t>
      </w:r>
      <w:r>
        <w:t xml:space="preserve"> </w:t>
      </w:r>
      <w:r w:rsidR="005C3F54">
        <w:t xml:space="preserve">adding supplementary </w:t>
      </w:r>
      <w:r>
        <w:t>filtering to the relevant base stations.</w:t>
      </w:r>
      <w:r>
        <w:rPr>
          <w:rStyle w:val="FootnoteReference"/>
        </w:rPr>
        <w:footnoteReference w:id="73"/>
      </w:r>
      <w:r w:rsidRPr="00C4701A">
        <w:t xml:space="preserve">  </w:t>
      </w:r>
      <w:r w:rsidR="00C4701A">
        <w:t>North</w:t>
      </w:r>
      <w:r w:rsidR="005C3F54">
        <w:t>ro</w:t>
      </w:r>
      <w:r w:rsidR="00C4701A">
        <w:t>p</w:t>
      </w:r>
      <w:r w:rsidR="005C3F54">
        <w:t xml:space="preserve"> </w:t>
      </w:r>
      <w:r w:rsidR="00C4701A">
        <w:t>Grumman expresse</w:t>
      </w:r>
      <w:r w:rsidR="00467266">
        <w:t>d</w:t>
      </w:r>
      <w:r w:rsidR="00C4701A">
        <w:t xml:space="preserve"> concern that </w:t>
      </w:r>
      <w:r w:rsidR="00D44971">
        <w:t>a</w:t>
      </w:r>
      <w:r w:rsidR="005C3F54">
        <w:t xml:space="preserve">s the customer base of the adjacent commercial carrier grows, </w:t>
      </w:r>
      <w:r w:rsidR="00C4701A">
        <w:t xml:space="preserve">the </w:t>
      </w:r>
      <w:r w:rsidR="005C3F54">
        <w:t xml:space="preserve">potential </w:t>
      </w:r>
      <w:r w:rsidR="00C4701A">
        <w:t>for commercial broadband mobile device</w:t>
      </w:r>
      <w:r w:rsidR="00F43C49">
        <w:t>s</w:t>
      </w:r>
      <w:r w:rsidR="00C4701A">
        <w:t xml:space="preserve"> to interfere with </w:t>
      </w:r>
      <w:r w:rsidR="006B7D07">
        <w:t>a system for which Northrop Grumman is the systems integrator</w:t>
      </w:r>
      <w:r w:rsidR="00C4701A">
        <w:t xml:space="preserve"> will increase significantly.</w:t>
      </w:r>
      <w:r w:rsidR="00C4701A">
        <w:rPr>
          <w:rStyle w:val="FootnoteReference"/>
        </w:rPr>
        <w:footnoteReference w:id="74"/>
      </w:r>
      <w:r w:rsidR="00C4701A">
        <w:t xml:space="preserve">  </w:t>
      </w:r>
      <w:r w:rsidR="007B573F">
        <w:t>We find Northrop Grumman’s concerns to be speculative</w:t>
      </w:r>
      <w:r w:rsidR="00C4701A">
        <w:t xml:space="preserve">.  </w:t>
      </w:r>
      <w:r w:rsidR="007B573F">
        <w:t xml:space="preserve">As </w:t>
      </w:r>
      <w:r w:rsidR="00C4701A">
        <w:t xml:space="preserve">WCAI </w:t>
      </w:r>
      <w:r w:rsidR="00467266">
        <w:t xml:space="preserve">has </w:t>
      </w:r>
      <w:r w:rsidR="007B573F">
        <w:t>point</w:t>
      </w:r>
      <w:r w:rsidR="00467266">
        <w:t>ed</w:t>
      </w:r>
      <w:r w:rsidR="007B573F">
        <w:t xml:space="preserve"> out, </w:t>
      </w:r>
      <w:r w:rsidR="00C4701A">
        <w:t xml:space="preserve">the practical output power limitations of industry transmitter designs for 4G mobile broadband devices mitigate the potential for </w:t>
      </w:r>
      <w:r w:rsidR="003155FC">
        <w:t>harmful interference</w:t>
      </w:r>
      <w:r w:rsidR="00C4701A">
        <w:t>.</w:t>
      </w:r>
      <w:r w:rsidR="00C4701A">
        <w:rPr>
          <w:rStyle w:val="FootnoteReference"/>
        </w:rPr>
        <w:footnoteReference w:id="75"/>
      </w:r>
      <w:r w:rsidR="00C4701A">
        <w:t xml:space="preserve">  Moreover, 4G mobile broadband devices using orthogonal frequency-division multiple access (“OFDMA”) technology will typically not be allocated all available bandwidth while at the same time operating at full transmit power.</w:t>
      </w:r>
      <w:r w:rsidR="00C4701A" w:rsidRPr="00640CDF">
        <w:rPr>
          <w:rStyle w:val="FootnoteReference"/>
          <w:snapToGrid/>
          <w:kern w:val="0"/>
        </w:rPr>
        <w:t xml:space="preserve"> </w:t>
      </w:r>
      <w:r w:rsidR="00C4701A">
        <w:rPr>
          <w:rStyle w:val="FootnoteReference"/>
          <w:snapToGrid/>
          <w:kern w:val="0"/>
        </w:rPr>
        <w:footnoteReference w:id="76"/>
      </w:r>
      <w:r w:rsidR="00C4701A">
        <w:t xml:space="preserve">  Motorola Mobility agree</w:t>
      </w:r>
      <w:r w:rsidR="00467266">
        <w:t>d</w:t>
      </w:r>
      <w:r w:rsidR="00C4701A">
        <w:t>, and argue</w:t>
      </w:r>
      <w:r w:rsidR="00467266">
        <w:t>d</w:t>
      </w:r>
      <w:r w:rsidR="00C4701A">
        <w:t xml:space="preserve"> that interference concerns are merely hypothetical because to maximize battery life and minimize intra-system interference</w:t>
      </w:r>
      <w:r w:rsidR="00467266">
        <w:t>,</w:t>
      </w:r>
      <w:r w:rsidR="00C4701A">
        <w:t xml:space="preserve"> 4G mobile broadband devices operate under stringent power control.</w:t>
      </w:r>
      <w:r w:rsidR="00C4701A">
        <w:rPr>
          <w:rStyle w:val="FootnoteReference"/>
          <w:snapToGrid/>
          <w:kern w:val="0"/>
        </w:rPr>
        <w:footnoteReference w:id="77"/>
      </w:r>
      <w:r w:rsidR="00C4701A">
        <w:t xml:space="preserve">  The likelihood of </w:t>
      </w:r>
      <w:r w:rsidR="003155FC">
        <w:t>harmful interference</w:t>
      </w:r>
      <w:r w:rsidR="00C4701A">
        <w:t xml:space="preserve"> actually occurring is very small, Motorola Mobility continues, because typical 4G system design specifications limit the bandwidth that is typically used at full power, which in turn limits</w:t>
      </w:r>
      <w:r w:rsidR="00467266">
        <w:t xml:space="preserve"> the</w:t>
      </w:r>
      <w:r w:rsidR="00C4701A">
        <w:t xml:space="preserve"> OOBE.</w:t>
      </w:r>
      <w:r w:rsidR="00C4701A">
        <w:rPr>
          <w:rStyle w:val="FootnoteReference"/>
          <w:snapToGrid/>
          <w:kern w:val="0"/>
        </w:rPr>
        <w:footnoteReference w:id="78"/>
      </w:r>
    </w:p>
    <w:p w14:paraId="11CBB0B0" w14:textId="16F531EF" w:rsidR="00D35786" w:rsidRDefault="00712460" w:rsidP="00DE76DF">
      <w:pPr>
        <w:pStyle w:val="ParaNum"/>
        <w:ind w:left="0"/>
      </w:pPr>
      <w:r w:rsidRPr="00712460">
        <w:t xml:space="preserve"> </w:t>
      </w:r>
      <w:r>
        <w:t xml:space="preserve">We also adopt Clearwire’s proposed changes to the procedures for measuring compliance with the OOBE limits.  </w:t>
      </w:r>
      <w:r w:rsidR="00EF55A2">
        <w:t>Revising the resolution bandwidth used for measuring compliance with the OOBE limits will help ensure that our limits are consistent with international standards.</w:t>
      </w:r>
      <w:r w:rsidR="00EF55A2">
        <w:rPr>
          <w:rStyle w:val="FootnoteReference"/>
        </w:rPr>
        <w:footnoteReference w:id="79"/>
      </w:r>
      <w:r w:rsidR="00EF55A2">
        <w:t xml:space="preserve">  </w:t>
      </w:r>
      <w:r>
        <w:t xml:space="preserve">Clearwire’s proposal was not opposed by any party.  Therefore, we will change the rules to specify that, except for the 2495-2496 MHz band, </w:t>
      </w:r>
      <w:r>
        <w:rPr>
          <w:snapToGrid/>
          <w:kern w:val="0"/>
        </w:rPr>
        <w:t>in the 1</w:t>
      </w:r>
      <w:r>
        <w:rPr>
          <w:snapToGrid/>
          <w:kern w:val="0"/>
        </w:rPr>
        <w:noBreakHyphen/>
        <w:t xml:space="preserve">megahertz bands immediately outside and adjacent to the frequency block under use, a resolution bandwidth of at least </w:t>
      </w:r>
      <w:r w:rsidR="005C0B6D">
        <w:rPr>
          <w:snapToGrid/>
          <w:kern w:val="0"/>
        </w:rPr>
        <w:t>2</w:t>
      </w:r>
      <w:r w:rsidR="00DF0F0D">
        <w:rPr>
          <w:snapToGrid/>
          <w:kern w:val="0"/>
        </w:rPr>
        <w:t xml:space="preserve"> </w:t>
      </w:r>
      <w:r>
        <w:rPr>
          <w:snapToGrid/>
          <w:kern w:val="0"/>
        </w:rPr>
        <w:t xml:space="preserve">percent of the fundamental emission be allowed to measure compliance.  In the 2495-2496 MHz band, the existing resolution bandwidth requirement of at least </w:t>
      </w:r>
      <w:r w:rsidR="005C0B6D">
        <w:rPr>
          <w:snapToGrid/>
          <w:kern w:val="0"/>
        </w:rPr>
        <w:t>1</w:t>
      </w:r>
      <w:r w:rsidR="00DF0F0D">
        <w:rPr>
          <w:snapToGrid/>
          <w:kern w:val="0"/>
        </w:rPr>
        <w:t xml:space="preserve"> </w:t>
      </w:r>
      <w:r>
        <w:rPr>
          <w:snapToGrid/>
          <w:kern w:val="0"/>
        </w:rPr>
        <w:t>percent would still apply.</w:t>
      </w:r>
      <w:r>
        <w:t xml:space="preserve">  </w:t>
      </w:r>
    </w:p>
    <w:p w14:paraId="4E460596" w14:textId="33253060" w:rsidR="000C179B" w:rsidRPr="007B573F" w:rsidRDefault="00A000D8" w:rsidP="00DE76DF">
      <w:pPr>
        <w:pStyle w:val="ParaNum"/>
        <w:ind w:left="0"/>
      </w:pPr>
      <w:r>
        <w:t xml:space="preserve">   </w:t>
      </w:r>
      <w:r w:rsidR="007015F3">
        <w:t>With respect to the re</w:t>
      </w:r>
      <w:r w:rsidR="000C179B">
        <w:t>maining question</w:t>
      </w:r>
      <w:r w:rsidR="001C10B8">
        <w:t>s</w:t>
      </w:r>
      <w:r w:rsidR="000C179B">
        <w:t xml:space="preserve"> raised in the </w:t>
      </w:r>
      <w:r w:rsidR="005C3F54">
        <w:rPr>
          <w:i/>
        </w:rPr>
        <w:t xml:space="preserve">BRS/EBS OOBE </w:t>
      </w:r>
      <w:r w:rsidR="000C179B">
        <w:rPr>
          <w:i/>
        </w:rPr>
        <w:t>FNPRM</w:t>
      </w:r>
      <w:r w:rsidR="000C179B">
        <w:t xml:space="preserve">, </w:t>
      </w:r>
      <w:r w:rsidR="001C10B8">
        <w:t>the answers to those questions support adopting the rule changes we make today.</w:t>
      </w:r>
      <w:r w:rsidR="005D0A9D">
        <w:rPr>
          <w:rStyle w:val="FootnoteReference"/>
        </w:rPr>
        <w:footnoteReference w:id="80"/>
      </w:r>
      <w:r w:rsidR="001C10B8">
        <w:t xml:space="preserve">  </w:t>
      </w:r>
      <w:r w:rsidR="003A54B9">
        <w:t xml:space="preserve">In response </w:t>
      </w:r>
      <w:r w:rsidR="001C10B8">
        <w:t xml:space="preserve">to the question of whether the changes </w:t>
      </w:r>
      <w:r w:rsidR="001C10B8">
        <w:rPr>
          <w:snapToGrid/>
          <w:kern w:val="0"/>
        </w:rPr>
        <w:t xml:space="preserve">would work for channels wider than 20 megahertz, every commenter </w:t>
      </w:r>
      <w:r w:rsidR="005C3F54">
        <w:rPr>
          <w:snapToGrid/>
          <w:kern w:val="0"/>
        </w:rPr>
        <w:t xml:space="preserve">that </w:t>
      </w:r>
      <w:r w:rsidR="001C10B8">
        <w:rPr>
          <w:snapToGrid/>
          <w:kern w:val="0"/>
        </w:rPr>
        <w:t>addressed the issue supported allowing channels wider than 20 megahertz.</w:t>
      </w:r>
      <w:r w:rsidR="001C10B8">
        <w:rPr>
          <w:rStyle w:val="FootnoteReference"/>
          <w:snapToGrid/>
          <w:kern w:val="0"/>
        </w:rPr>
        <w:footnoteReference w:id="81"/>
      </w:r>
      <w:r w:rsidR="006D424E">
        <w:rPr>
          <w:snapToGrid/>
          <w:kern w:val="0"/>
        </w:rPr>
        <w:t xml:space="preserve">  Moreover, keeping the existing protections to operations below 249</w:t>
      </w:r>
      <w:r w:rsidR="00D16EF7">
        <w:rPr>
          <w:snapToGrid/>
          <w:kern w:val="0"/>
        </w:rPr>
        <w:t>6</w:t>
      </w:r>
      <w:r w:rsidR="006D424E">
        <w:rPr>
          <w:snapToGrid/>
          <w:kern w:val="0"/>
        </w:rPr>
        <w:t xml:space="preserve"> MHz will eliminate any impact on adjacent channel licensees. </w:t>
      </w:r>
      <w:r w:rsidR="00DD6E50">
        <w:rPr>
          <w:snapToGrid/>
          <w:kern w:val="0"/>
        </w:rPr>
        <w:t xml:space="preserve"> </w:t>
      </w:r>
      <w:r w:rsidR="00DC5BA9">
        <w:rPr>
          <w:snapToGrid/>
          <w:kern w:val="0"/>
        </w:rPr>
        <w:t xml:space="preserve">Other than the Clearwire </w:t>
      </w:r>
      <w:r w:rsidR="00DC5BA9">
        <w:rPr>
          <w:i/>
          <w:snapToGrid/>
          <w:kern w:val="0"/>
        </w:rPr>
        <w:t xml:space="preserve">Ex </w:t>
      </w:r>
      <w:r w:rsidR="00DC5BA9" w:rsidRPr="00DC5BA9">
        <w:rPr>
          <w:i/>
          <w:snapToGrid/>
          <w:kern w:val="0"/>
        </w:rPr>
        <w:t>Parte</w:t>
      </w:r>
      <w:r w:rsidR="00DC5BA9">
        <w:rPr>
          <w:snapToGrid/>
          <w:kern w:val="0"/>
        </w:rPr>
        <w:t>, w</w:t>
      </w:r>
      <w:r w:rsidR="00DD6E50" w:rsidRPr="00DC5BA9">
        <w:rPr>
          <w:snapToGrid/>
          <w:kern w:val="0"/>
        </w:rPr>
        <w:t>e</w:t>
      </w:r>
      <w:r w:rsidR="00DD6E50">
        <w:rPr>
          <w:snapToGrid/>
          <w:kern w:val="0"/>
        </w:rPr>
        <w:t xml:space="preserve"> did not receive any proposals in response to our inquiry whether any additional changes to the OOBE limits applicable to digital mobile stations in the 2.5 GHz band </w:t>
      </w:r>
      <w:r w:rsidR="005343F2">
        <w:rPr>
          <w:snapToGrid/>
          <w:kern w:val="0"/>
        </w:rPr>
        <w:t>are</w:t>
      </w:r>
      <w:r w:rsidR="00DD6E50">
        <w:rPr>
          <w:snapToGrid/>
          <w:kern w:val="0"/>
        </w:rPr>
        <w:t xml:space="preserve"> necessary or desirable.</w:t>
      </w:r>
      <w:r w:rsidR="00DD6E50">
        <w:rPr>
          <w:rStyle w:val="FootnoteReference"/>
          <w:snapToGrid/>
          <w:kern w:val="0"/>
        </w:rPr>
        <w:footnoteReference w:id="82"/>
      </w:r>
    </w:p>
    <w:p w14:paraId="6F51276D" w14:textId="77777777" w:rsidR="00A000D8" w:rsidRDefault="00A000D8" w:rsidP="007F0CF0">
      <w:pPr>
        <w:pStyle w:val="Heading1"/>
        <w:widowControl/>
        <w:spacing w:after="220"/>
      </w:pPr>
      <w:r>
        <w:t>Procedural Matters</w:t>
      </w:r>
    </w:p>
    <w:p w14:paraId="17627BEF" w14:textId="77777777" w:rsidR="00A000D8" w:rsidRDefault="00A000D8" w:rsidP="00F72FD1">
      <w:pPr>
        <w:pStyle w:val="Heading2"/>
      </w:pPr>
      <w:r>
        <w:t>Final Regulatory Flexibility Analysis</w:t>
      </w:r>
    </w:p>
    <w:p w14:paraId="383932B4" w14:textId="77777777" w:rsidR="00A000D8" w:rsidRDefault="00A000D8" w:rsidP="00DE76DF">
      <w:pPr>
        <w:pStyle w:val="ParaNum"/>
        <w:ind w:left="0"/>
      </w:pPr>
      <w:r>
        <w:t>The Regulatory Flexibility Act (RFA)</w:t>
      </w:r>
      <w:r w:rsidRPr="003A232F">
        <w:rPr>
          <w:rStyle w:val="FootnoteReference"/>
        </w:rPr>
        <w:footnoteReference w:id="83"/>
      </w:r>
      <w:r>
        <w:t xml:space="preserve"> requires that an agency prepare a regulatory flexibility analysis for notice and comment rulemakings, unless the agency certifies that </w:t>
      </w:r>
      <w:r w:rsidR="005D0A9D">
        <w:t>“</w:t>
      </w:r>
      <w:r>
        <w:t>the rule will not, if promulgated, have a significant economic impact on a substantial number of small entities.</w:t>
      </w:r>
      <w:r w:rsidR="005D0A9D">
        <w:t>”</w:t>
      </w:r>
      <w:r w:rsidRPr="003A232F">
        <w:rPr>
          <w:rStyle w:val="FootnoteReference"/>
        </w:rPr>
        <w:footnoteReference w:id="84"/>
      </w:r>
      <w:r>
        <w:t xml:space="preserve"> Accordingly, we</w:t>
      </w:r>
      <w:r w:rsidRPr="004C7E12">
        <w:t xml:space="preserve"> have prepared a Final Regulatory Flexibility Analysis concerning the</w:t>
      </w:r>
      <w:r>
        <w:t xml:space="preserve"> possible</w:t>
      </w:r>
      <w:r w:rsidRPr="004C7E12">
        <w:t xml:space="preserve"> impact of the rule changes contained in this </w:t>
      </w:r>
      <w:r>
        <w:rPr>
          <w:i/>
        </w:rPr>
        <w:t>Fifth Report and Order</w:t>
      </w:r>
      <w:r w:rsidRPr="004C7E12">
        <w:t xml:space="preserve"> on small entities.  The Final Regulatory Flexibility Analysis is set forth in Appendix </w:t>
      </w:r>
      <w:r>
        <w:t>B</w:t>
      </w:r>
      <w:r w:rsidRPr="004C7E12">
        <w:t xml:space="preserve">.  </w:t>
      </w:r>
    </w:p>
    <w:p w14:paraId="055AE3AF" w14:textId="77777777" w:rsidR="00A000D8" w:rsidRDefault="00A000D8" w:rsidP="00F72FD1">
      <w:pPr>
        <w:pStyle w:val="Heading2"/>
      </w:pPr>
      <w:r>
        <w:t>Paperwork Reduction Analysis</w:t>
      </w:r>
    </w:p>
    <w:p w14:paraId="0ADD5E36" w14:textId="77777777" w:rsidR="00A000D8" w:rsidRDefault="00A000D8" w:rsidP="00DE76DF">
      <w:pPr>
        <w:pStyle w:val="ParaNum"/>
        <w:ind w:left="0"/>
      </w:pPr>
      <w:r>
        <w:t xml:space="preserve">This document does not contain proposed information collection requirements subject to the Paperwork Reduction Act of 1995, Public Law 104-13.  In addition, therefore, it does not contain any proposed information collection burden “for small business concerns with fewer than 25 employees,” pursuant to the Small Business Paperwork Relief Act of 2002, Public Law 107-198, </w:t>
      </w:r>
      <w:r>
        <w:rPr>
          <w:i/>
          <w:iCs/>
        </w:rPr>
        <w:t>see</w:t>
      </w:r>
      <w:r>
        <w:t xml:space="preserve"> 44 U.S.C. § 3506(c)(4).</w:t>
      </w:r>
    </w:p>
    <w:p w14:paraId="6973E27B" w14:textId="77777777" w:rsidR="00A000D8" w:rsidRDefault="00A000D8" w:rsidP="00F72FD1">
      <w:pPr>
        <w:pStyle w:val="Heading2"/>
      </w:pPr>
      <w:bookmarkStart w:id="3" w:name="_Toc112491217"/>
      <w:bookmarkStart w:id="4" w:name="_Toc112563557"/>
      <w:bookmarkStart w:id="5" w:name="_Toc112573877"/>
      <w:bookmarkStart w:id="6" w:name="_Toc114039877"/>
      <w:bookmarkStart w:id="7" w:name="_Toc114475871"/>
      <w:bookmarkStart w:id="8" w:name="_Toc115059105"/>
      <w:bookmarkStart w:id="9" w:name="_Toc115569549"/>
      <w:bookmarkStart w:id="10" w:name="_Toc115586169"/>
      <w:bookmarkStart w:id="11" w:name="_Toc116442646"/>
      <w:bookmarkStart w:id="12" w:name="_Toc117581209"/>
      <w:bookmarkStart w:id="13" w:name="_Toc118692062"/>
      <w:bookmarkStart w:id="14" w:name="_Toc119314890"/>
      <w:bookmarkStart w:id="15" w:name="_Toc119754048"/>
      <w:bookmarkStart w:id="16" w:name="_Toc119754822"/>
      <w:bookmarkStart w:id="17" w:name="_Toc119818399"/>
      <w:bookmarkStart w:id="18" w:name="_Toc119986084"/>
      <w:bookmarkStart w:id="19" w:name="_Toc120423889"/>
      <w:bookmarkStart w:id="20" w:name="_Toc120424124"/>
      <w:bookmarkStart w:id="21" w:name="_Toc121632988"/>
      <w:bookmarkStart w:id="22" w:name="_Toc127261178"/>
      <w:bookmarkStart w:id="23" w:name="_Toc127261305"/>
      <w:bookmarkStart w:id="24" w:name="_Toc130622084"/>
      <w:bookmarkStart w:id="25" w:name="_Toc130622205"/>
      <w:bookmarkStart w:id="26" w:name="_Toc130629936"/>
      <w:bookmarkStart w:id="27" w:name="_Toc130711861"/>
      <w:bookmarkStart w:id="28" w:name="_Toc130717942"/>
      <w:bookmarkStart w:id="29" w:name="_Toc130790458"/>
      <w:bookmarkStart w:id="30" w:name="_Toc130808173"/>
      <w:bookmarkStart w:id="31" w:name="_Toc132275635"/>
      <w:bookmarkStart w:id="32" w:name="_Toc132504622"/>
      <w:bookmarkStart w:id="33" w:name="_Toc132505090"/>
      <w:bookmarkStart w:id="34" w:name="_Toc132513087"/>
      <w:bookmarkStart w:id="35" w:name="_Toc132552474"/>
      <w:bookmarkStart w:id="36" w:name="_Toc133054373"/>
      <w:bookmarkStart w:id="37" w:name="_Toc133650425"/>
      <w:bookmarkStart w:id="38" w:name="_Toc156967158"/>
      <w:bookmarkStart w:id="39" w:name="_Toc156969077"/>
      <w:bookmarkStart w:id="40" w:name="_Toc156970168"/>
      <w:bookmarkStart w:id="41" w:name="_Toc156970268"/>
      <w:bookmarkStart w:id="42" w:name="_Toc156970368"/>
      <w:bookmarkStart w:id="43" w:name="_Toc156970468"/>
      <w:bookmarkStart w:id="44" w:name="_Toc156970973"/>
      <w:bookmarkStart w:id="45" w:name="_Toc156971073"/>
      <w:bookmarkStart w:id="46" w:name="_Toc156971199"/>
      <w:bookmarkStart w:id="47" w:name="_Toc156972517"/>
      <w:bookmarkStart w:id="48" w:name="_Toc156972781"/>
      <w:bookmarkStart w:id="49" w:name="_Toc156972996"/>
      <w:bookmarkStart w:id="50" w:name="_Toc160259125"/>
      <w:bookmarkStart w:id="51" w:name="_Toc160269458"/>
      <w:bookmarkStart w:id="52" w:name="_Toc160508079"/>
      <w:bookmarkStart w:id="53" w:name="_Toc160528787"/>
      <w:bookmarkStart w:id="54" w:name="_Toc161476038"/>
      <w:bookmarkStart w:id="55" w:name="_Toc161625588"/>
      <w:bookmarkStart w:id="56" w:name="_Toc161625966"/>
      <w:bookmarkStart w:id="57" w:name="_Toc161626035"/>
      <w:bookmarkStart w:id="58" w:name="_Toc162666141"/>
      <w:bookmarkStart w:id="59" w:name="_Toc162762857"/>
      <w:bookmarkStart w:id="60" w:name="_Toc162835599"/>
      <w:bookmarkStart w:id="61" w:name="_Toc162918166"/>
      <w:bookmarkStart w:id="62" w:name="_Toc164831266"/>
      <w:bookmarkStart w:id="63" w:name="_Toc169426157"/>
      <w:bookmarkStart w:id="64" w:name="_Toc174249348"/>
      <w:r>
        <w:t>Further Information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1DC4709D" w14:textId="67A8030B" w:rsidR="00A000D8" w:rsidRDefault="00A000D8" w:rsidP="00DE76DF">
      <w:pPr>
        <w:pStyle w:val="ParaNum"/>
        <w:ind w:left="0"/>
      </w:pPr>
      <w:r>
        <w:t xml:space="preserve">For further information contact Nancy M. Zaczek of the Wireless Telecommunications Bureau, Broadband Division, at 202-418-0274 or by e-mail to </w:t>
      </w:r>
      <w:hyperlink r:id="rId8" w:history="1">
        <w:r w:rsidRPr="00EF28AA">
          <w:rPr>
            <w:rStyle w:val="Hyperlink"/>
          </w:rPr>
          <w:t>Nancy.Zaczek@fcc.gov</w:t>
        </w:r>
      </w:hyperlink>
      <w:r>
        <w:t>.</w:t>
      </w:r>
    </w:p>
    <w:p w14:paraId="1420E80B" w14:textId="77777777" w:rsidR="00A000D8" w:rsidRDefault="00627B6A" w:rsidP="00066780">
      <w:pPr>
        <w:pStyle w:val="Heading1"/>
        <w:widowControl/>
        <w:spacing w:after="220"/>
      </w:pPr>
      <w:r>
        <w:t>Ordering Clauses</w:t>
      </w:r>
    </w:p>
    <w:p w14:paraId="4D729987" w14:textId="77777777" w:rsidR="00A000D8" w:rsidRDefault="00A000D8" w:rsidP="00DE76DF">
      <w:pPr>
        <w:pStyle w:val="ParaNum"/>
        <w:ind w:left="0"/>
      </w:pPr>
      <w:r>
        <w:t xml:space="preserve">Accordingly, IT IS ORDERED, pursuant to Sections 1, 2, 4(i), 7, 10, 201, 214, 301, 302, 303, 307, 308, 309, 310, 319, 324, 332, 333 and 706 of the Communications Act of 1934, 47 U.S.C. §§ 151, 152, 154(i), 157, 160, 201, 214, 301, 302, 303, 307, 308, 309, 310, 319, 324, 332, 333, and 706, that this </w:t>
      </w:r>
      <w:r>
        <w:rPr>
          <w:i/>
        </w:rPr>
        <w:t>Fifth Report and Order</w:t>
      </w:r>
      <w:r>
        <w:t xml:space="preserve"> is hereby ADOPTED.</w:t>
      </w:r>
    </w:p>
    <w:p w14:paraId="4078BE56" w14:textId="77777777" w:rsidR="00A000D8" w:rsidRDefault="00A000D8" w:rsidP="00FC4360">
      <w:pPr>
        <w:pStyle w:val="ParaNum"/>
        <w:widowControl/>
        <w:spacing w:after="0"/>
        <w:ind w:left="0"/>
      </w:pPr>
      <w:r>
        <w:rPr>
          <w:kern w:val="0"/>
        </w:rPr>
        <w:t xml:space="preserve">IT IS FURTHER ORDERED pursuant to Section 4(i) of the Communications Act of 1934, 47 U.S.C. § 154(i), that the Commission’s Consumer and Governmental Affairs Bureau, Reference Information Center, SHALL SEND a copy of this </w:t>
      </w:r>
      <w:r>
        <w:rPr>
          <w:i/>
          <w:kern w:val="0"/>
        </w:rPr>
        <w:t>Fifth Report and Order</w:t>
      </w:r>
      <w:r>
        <w:rPr>
          <w:kern w:val="0"/>
        </w:rPr>
        <w:t>, including the Final Regulatory Certification, to the Chief Counsel for Advocacy of the Small Business Administration.</w:t>
      </w:r>
    </w:p>
    <w:p w14:paraId="74FB5D1B" w14:textId="77777777" w:rsidR="00FC4360" w:rsidRDefault="00FC4360" w:rsidP="00066780">
      <w:pPr>
        <w:widowControl/>
        <w:ind w:left="3600" w:firstLine="720"/>
      </w:pPr>
    </w:p>
    <w:p w14:paraId="6A2FDCBA" w14:textId="77777777" w:rsidR="00FC4360" w:rsidRDefault="00FC4360" w:rsidP="00066780">
      <w:pPr>
        <w:widowControl/>
        <w:ind w:left="3600" w:firstLine="720"/>
      </w:pPr>
    </w:p>
    <w:p w14:paraId="4933B871" w14:textId="77777777" w:rsidR="00FC4360" w:rsidRDefault="00FC4360" w:rsidP="00066780">
      <w:pPr>
        <w:widowControl/>
        <w:ind w:left="3600" w:firstLine="720"/>
      </w:pPr>
    </w:p>
    <w:p w14:paraId="60379DF7" w14:textId="77777777" w:rsidR="00FC4360" w:rsidRDefault="00FC4360" w:rsidP="00066780">
      <w:pPr>
        <w:widowControl/>
        <w:ind w:left="3600" w:firstLine="720"/>
      </w:pPr>
    </w:p>
    <w:p w14:paraId="732AD177" w14:textId="77777777" w:rsidR="00A000D8" w:rsidRDefault="00A000D8" w:rsidP="00066780">
      <w:pPr>
        <w:widowControl/>
        <w:ind w:left="3600" w:firstLine="720"/>
      </w:pPr>
      <w:r>
        <w:t>FEDERAL COMMUNICATIONS COMMISSION</w:t>
      </w:r>
    </w:p>
    <w:p w14:paraId="4CB2B578" w14:textId="77777777" w:rsidR="00A000D8" w:rsidRDefault="00A000D8" w:rsidP="00066780">
      <w:pPr>
        <w:widowControl/>
      </w:pPr>
    </w:p>
    <w:p w14:paraId="7EE8A484" w14:textId="77777777" w:rsidR="00A000D8" w:rsidRDefault="00A000D8" w:rsidP="00066780">
      <w:pPr>
        <w:widowControl/>
      </w:pPr>
    </w:p>
    <w:p w14:paraId="3DFC59AF" w14:textId="77777777" w:rsidR="00A000D8" w:rsidRDefault="00A000D8" w:rsidP="00066780">
      <w:pPr>
        <w:widowControl/>
      </w:pPr>
    </w:p>
    <w:p w14:paraId="150960A0" w14:textId="77777777" w:rsidR="00A000D8" w:rsidRDefault="00A000D8" w:rsidP="00066780">
      <w:pPr>
        <w:widowControl/>
        <w:ind w:left="3600" w:firstLine="720"/>
      </w:pPr>
      <w:r>
        <w:t>Marlene H. Dortch</w:t>
      </w:r>
    </w:p>
    <w:p w14:paraId="23CC89A2" w14:textId="77777777" w:rsidR="00A000D8" w:rsidRDefault="00A000D8" w:rsidP="00066780">
      <w:pPr>
        <w:widowControl/>
        <w:ind w:left="3600" w:firstLine="720"/>
      </w:pPr>
      <w:r>
        <w:t>Secretary</w:t>
      </w:r>
    </w:p>
    <w:p w14:paraId="78C8C578" w14:textId="77777777" w:rsidR="00A000D8" w:rsidRDefault="00A000D8" w:rsidP="00066780">
      <w:pPr>
        <w:widowControl/>
        <w:jc w:val="center"/>
        <w:sectPr w:rsidR="00A000D8" w:rsidSect="004D0EA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p>
    <w:p w14:paraId="494C8095" w14:textId="77777777" w:rsidR="00A000D8" w:rsidRDefault="00A000D8" w:rsidP="00066780">
      <w:pPr>
        <w:widowControl/>
        <w:jc w:val="center"/>
        <w:rPr>
          <w:b/>
          <w:szCs w:val="22"/>
        </w:rPr>
      </w:pPr>
      <w:r>
        <w:rPr>
          <w:b/>
          <w:szCs w:val="22"/>
        </w:rPr>
        <w:t>APPENDIX A</w:t>
      </w:r>
    </w:p>
    <w:p w14:paraId="16EDB4DD" w14:textId="77777777" w:rsidR="00A000D8" w:rsidRDefault="00A000D8" w:rsidP="00066780">
      <w:pPr>
        <w:widowControl/>
        <w:jc w:val="center"/>
        <w:rPr>
          <w:b/>
          <w:szCs w:val="22"/>
        </w:rPr>
      </w:pPr>
    </w:p>
    <w:p w14:paraId="384048DE" w14:textId="77777777" w:rsidR="00A000D8" w:rsidRDefault="00A000D8" w:rsidP="00066780">
      <w:pPr>
        <w:widowControl/>
        <w:jc w:val="center"/>
        <w:rPr>
          <w:b/>
          <w:szCs w:val="22"/>
        </w:rPr>
      </w:pPr>
      <w:r>
        <w:rPr>
          <w:b/>
          <w:szCs w:val="22"/>
        </w:rPr>
        <w:t>Final Rules</w:t>
      </w:r>
    </w:p>
    <w:p w14:paraId="15384A89" w14:textId="77777777" w:rsidR="00A000D8" w:rsidRDefault="00A000D8" w:rsidP="00066780">
      <w:pPr>
        <w:widowControl/>
        <w:jc w:val="center"/>
        <w:rPr>
          <w:b/>
          <w:szCs w:val="22"/>
        </w:rPr>
      </w:pPr>
    </w:p>
    <w:p w14:paraId="2B90341A" w14:textId="77777777" w:rsidR="00A000D8" w:rsidRDefault="00A000D8" w:rsidP="00066780">
      <w:pPr>
        <w:widowControl/>
        <w:spacing w:after="220"/>
        <w:jc w:val="both"/>
        <w:rPr>
          <w:color w:val="000000"/>
        </w:rPr>
      </w:pPr>
      <w:r>
        <w:rPr>
          <w:color w:val="000000"/>
        </w:rPr>
        <w:t>For the reasons discussed in the preamble, the Federal Communications Commission amend</w:t>
      </w:r>
      <w:r w:rsidR="00AE2733">
        <w:rPr>
          <w:color w:val="000000"/>
        </w:rPr>
        <w:t>s</w:t>
      </w:r>
      <w:r>
        <w:rPr>
          <w:color w:val="000000"/>
        </w:rPr>
        <w:t xml:space="preserve"> Part 27 of Title 47 as follows: </w:t>
      </w:r>
    </w:p>
    <w:p w14:paraId="562B841D" w14:textId="77777777" w:rsidR="00A000D8" w:rsidRDefault="00A000D8" w:rsidP="00066780">
      <w:pPr>
        <w:widowControl/>
        <w:rPr>
          <w:b/>
          <w:szCs w:val="22"/>
        </w:rPr>
      </w:pPr>
      <w:r>
        <w:rPr>
          <w:b/>
          <w:szCs w:val="22"/>
        </w:rPr>
        <w:t>I.  PART 27 – MISCELLANEOUS WIRELESS COMMUNICATIONS SERVICES</w:t>
      </w:r>
    </w:p>
    <w:p w14:paraId="5E782EFD" w14:textId="77777777" w:rsidR="00A000D8" w:rsidRDefault="00A000D8" w:rsidP="00066780">
      <w:pPr>
        <w:widowControl/>
        <w:rPr>
          <w:b/>
          <w:szCs w:val="22"/>
        </w:rPr>
      </w:pPr>
    </w:p>
    <w:p w14:paraId="43AF93AD" w14:textId="77777777" w:rsidR="00A000D8" w:rsidRDefault="00A000D8" w:rsidP="00066780">
      <w:pPr>
        <w:widowControl/>
        <w:ind w:firstLine="360"/>
        <w:rPr>
          <w:szCs w:val="22"/>
        </w:rPr>
      </w:pPr>
      <w:r>
        <w:rPr>
          <w:szCs w:val="22"/>
        </w:rPr>
        <w:t>1.</w:t>
      </w:r>
      <w:r>
        <w:rPr>
          <w:szCs w:val="22"/>
        </w:rPr>
        <w:tab/>
        <w:t>The authority citation for Part 27 continues to read as follows:</w:t>
      </w:r>
    </w:p>
    <w:p w14:paraId="41C11FAD" w14:textId="77777777" w:rsidR="00A000D8" w:rsidRDefault="00A000D8" w:rsidP="00066780">
      <w:pPr>
        <w:widowControl/>
        <w:ind w:firstLine="720"/>
        <w:rPr>
          <w:szCs w:val="22"/>
        </w:rPr>
      </w:pPr>
    </w:p>
    <w:p w14:paraId="28E902CC" w14:textId="77777777" w:rsidR="00A000D8" w:rsidRDefault="00A000D8" w:rsidP="00066780">
      <w:pPr>
        <w:widowControl/>
        <w:ind w:firstLine="720"/>
        <w:rPr>
          <w:bCs/>
          <w:szCs w:val="22"/>
        </w:rPr>
      </w:pPr>
      <w:r>
        <w:rPr>
          <w:bCs/>
          <w:szCs w:val="22"/>
        </w:rPr>
        <w:t>AUTHORITY:  47 U.S.C. 154, 301, 302, 303, 307, 309, 332, 336, and 337 unless otherwise noted.</w:t>
      </w:r>
    </w:p>
    <w:p w14:paraId="0E1D0283" w14:textId="77777777" w:rsidR="00A000D8" w:rsidRDefault="00A000D8" w:rsidP="00066780">
      <w:pPr>
        <w:widowControl/>
        <w:ind w:firstLine="720"/>
        <w:rPr>
          <w:bCs/>
          <w:szCs w:val="22"/>
        </w:rPr>
      </w:pPr>
    </w:p>
    <w:p w14:paraId="09F60A20" w14:textId="77777777" w:rsidR="00A000D8" w:rsidRDefault="00A000D8" w:rsidP="00066780">
      <w:pPr>
        <w:widowControl/>
        <w:ind w:left="360"/>
        <w:rPr>
          <w:bCs/>
          <w:szCs w:val="22"/>
        </w:rPr>
      </w:pPr>
      <w:r>
        <w:rPr>
          <w:bCs/>
          <w:szCs w:val="22"/>
        </w:rPr>
        <w:t>2.</w:t>
      </w:r>
      <w:r>
        <w:rPr>
          <w:bCs/>
          <w:szCs w:val="22"/>
        </w:rPr>
        <w:tab/>
        <w:t>Amend § 27.53 by revising paragraphs (m)(4) and (m)(6) to read as follows:</w:t>
      </w:r>
    </w:p>
    <w:p w14:paraId="3EEF1962" w14:textId="77777777" w:rsidR="00A000D8" w:rsidRDefault="00A000D8" w:rsidP="00066780">
      <w:pPr>
        <w:widowControl/>
        <w:ind w:left="360"/>
        <w:rPr>
          <w:bCs/>
          <w:szCs w:val="22"/>
        </w:rPr>
      </w:pPr>
    </w:p>
    <w:p w14:paraId="75ADA16F" w14:textId="77777777" w:rsidR="00A000D8" w:rsidRDefault="00A000D8" w:rsidP="00066780">
      <w:pPr>
        <w:widowControl/>
        <w:ind w:firstLine="720"/>
        <w:rPr>
          <w:b/>
          <w:szCs w:val="22"/>
        </w:rPr>
      </w:pPr>
      <w:r>
        <w:rPr>
          <w:b/>
          <w:szCs w:val="22"/>
        </w:rPr>
        <w:t>§ 27.53 Emission Limits.</w:t>
      </w:r>
    </w:p>
    <w:p w14:paraId="2117218D" w14:textId="77777777" w:rsidR="00A000D8" w:rsidRDefault="00A000D8" w:rsidP="00066780">
      <w:pPr>
        <w:widowControl/>
        <w:ind w:firstLine="720"/>
        <w:rPr>
          <w:szCs w:val="22"/>
        </w:rPr>
      </w:pPr>
    </w:p>
    <w:p w14:paraId="0F6EEC60" w14:textId="77777777" w:rsidR="00A000D8" w:rsidRDefault="00A000D8" w:rsidP="00066780">
      <w:pPr>
        <w:widowControl/>
        <w:spacing w:after="220"/>
        <w:ind w:left="720"/>
        <w:rPr>
          <w:bCs/>
          <w:szCs w:val="22"/>
        </w:rPr>
      </w:pPr>
      <w:r>
        <w:rPr>
          <w:bCs/>
          <w:szCs w:val="22"/>
        </w:rPr>
        <w:t>*****</w:t>
      </w:r>
    </w:p>
    <w:p w14:paraId="2D6EE3A9" w14:textId="77777777" w:rsidR="00A000D8" w:rsidRDefault="00A000D8" w:rsidP="00066780">
      <w:pPr>
        <w:pStyle w:val="ParaNum"/>
        <w:widowControl/>
        <w:numPr>
          <w:ilvl w:val="0"/>
          <w:numId w:val="0"/>
        </w:numPr>
        <w:tabs>
          <w:tab w:val="left" w:pos="770"/>
        </w:tabs>
        <w:rPr>
          <w:szCs w:val="22"/>
        </w:rPr>
      </w:pPr>
      <w:r>
        <w:rPr>
          <w:szCs w:val="22"/>
        </w:rPr>
        <w:tab/>
        <w:t>(m) * * *</w:t>
      </w:r>
    </w:p>
    <w:p w14:paraId="12209A7F" w14:textId="77777777" w:rsidR="00A000D8" w:rsidRDefault="00A000D8" w:rsidP="00066780">
      <w:pPr>
        <w:widowControl/>
        <w:spacing w:after="220"/>
        <w:ind w:left="360" w:firstLine="1080"/>
        <w:rPr>
          <w:szCs w:val="22"/>
        </w:rPr>
      </w:pPr>
      <w:r>
        <w:rPr>
          <w:szCs w:val="22"/>
        </w:rPr>
        <w:t xml:space="preserve">(4)  For mobile digital stations, the attenuation factor shall be not less than 40 + 10 log (P) dB </w:t>
      </w:r>
      <w:r w:rsidR="00937ACB">
        <w:rPr>
          <w:szCs w:val="22"/>
        </w:rPr>
        <w:t xml:space="preserve">on all frequencies between </w:t>
      </w:r>
      <w:r>
        <w:rPr>
          <w:szCs w:val="22"/>
        </w:rPr>
        <w:t>the channel edge</w:t>
      </w:r>
      <w:r w:rsidR="00046B79">
        <w:rPr>
          <w:szCs w:val="22"/>
        </w:rPr>
        <w:t xml:space="preserve"> </w:t>
      </w:r>
      <w:r w:rsidR="00937ACB">
        <w:rPr>
          <w:szCs w:val="22"/>
        </w:rPr>
        <w:t>and</w:t>
      </w:r>
      <w:r w:rsidR="00046B79">
        <w:rPr>
          <w:szCs w:val="22"/>
        </w:rPr>
        <w:t xml:space="preserve"> 5 </w:t>
      </w:r>
      <w:r w:rsidR="005C0B6D">
        <w:rPr>
          <w:szCs w:val="22"/>
        </w:rPr>
        <w:t>megahertz</w:t>
      </w:r>
      <w:r w:rsidR="00B823EC">
        <w:rPr>
          <w:szCs w:val="22"/>
        </w:rPr>
        <w:t xml:space="preserve"> </w:t>
      </w:r>
      <w:r w:rsidR="00046B79">
        <w:rPr>
          <w:szCs w:val="22"/>
        </w:rPr>
        <w:t>from the channel ed</w:t>
      </w:r>
      <w:r w:rsidR="00AA224D">
        <w:rPr>
          <w:szCs w:val="22"/>
        </w:rPr>
        <w:t>g</w:t>
      </w:r>
      <w:r w:rsidR="00046B79">
        <w:rPr>
          <w:szCs w:val="22"/>
        </w:rPr>
        <w:t>e</w:t>
      </w:r>
      <w:r>
        <w:rPr>
          <w:szCs w:val="22"/>
        </w:rPr>
        <w:t xml:space="preserve">, 43 + 10 log (P) dB </w:t>
      </w:r>
      <w:r w:rsidR="00937ACB">
        <w:rPr>
          <w:szCs w:val="22"/>
        </w:rPr>
        <w:t xml:space="preserve">on all frequencies between </w:t>
      </w:r>
      <w:r>
        <w:rPr>
          <w:szCs w:val="22"/>
        </w:rPr>
        <w:t>5</w:t>
      </w:r>
      <w:r w:rsidR="00DD6E50">
        <w:rPr>
          <w:szCs w:val="22"/>
        </w:rPr>
        <w:t xml:space="preserve"> </w:t>
      </w:r>
      <w:r w:rsidR="005C0B6D">
        <w:rPr>
          <w:szCs w:val="22"/>
        </w:rPr>
        <w:t>megahertz</w:t>
      </w:r>
      <w:r w:rsidR="00B823EC">
        <w:rPr>
          <w:szCs w:val="22"/>
        </w:rPr>
        <w:t xml:space="preserve"> </w:t>
      </w:r>
      <w:r w:rsidR="00937ACB">
        <w:rPr>
          <w:szCs w:val="22"/>
        </w:rPr>
        <w:t xml:space="preserve">and X </w:t>
      </w:r>
      <w:r w:rsidR="005C0B6D">
        <w:rPr>
          <w:szCs w:val="22"/>
        </w:rPr>
        <w:t>megahertz</w:t>
      </w:r>
      <w:r w:rsidR="00B823EC">
        <w:rPr>
          <w:szCs w:val="22"/>
        </w:rPr>
        <w:t xml:space="preserve"> </w:t>
      </w:r>
      <w:r>
        <w:rPr>
          <w:szCs w:val="22"/>
        </w:rPr>
        <w:t xml:space="preserve">from the channel edge, and 55 + 10 log (P) dB </w:t>
      </w:r>
      <w:r w:rsidR="00937ACB">
        <w:rPr>
          <w:szCs w:val="22"/>
        </w:rPr>
        <w:t>on all frequencies more than</w:t>
      </w:r>
      <w:r w:rsidR="00AA224D">
        <w:rPr>
          <w:szCs w:val="22"/>
        </w:rPr>
        <w:t xml:space="preserve"> </w:t>
      </w:r>
      <w:r>
        <w:rPr>
          <w:szCs w:val="22"/>
        </w:rPr>
        <w:t xml:space="preserve">X </w:t>
      </w:r>
      <w:r w:rsidR="005C0B6D">
        <w:rPr>
          <w:szCs w:val="22"/>
        </w:rPr>
        <w:t>megahertz</w:t>
      </w:r>
      <w:r>
        <w:rPr>
          <w:szCs w:val="22"/>
        </w:rPr>
        <w:t xml:space="preserve"> from the channel edge, where X is the greater of 6 </w:t>
      </w:r>
      <w:r w:rsidR="00DD6E50">
        <w:rPr>
          <w:szCs w:val="22"/>
        </w:rPr>
        <w:t xml:space="preserve">megahertz </w:t>
      </w:r>
      <w:r>
        <w:rPr>
          <w:szCs w:val="22"/>
        </w:rPr>
        <w:t xml:space="preserve">or the actual emission bandwidth as defined in § 27.53(m)(6).  In addition, the attenuation factor shall not be less that 43 + 10 log (P) dB </w:t>
      </w:r>
      <w:r w:rsidR="00937ACB">
        <w:rPr>
          <w:szCs w:val="22"/>
        </w:rPr>
        <w:t>on all frequencies between</w:t>
      </w:r>
      <w:r w:rsidR="00937ACB" w:rsidDel="00937ACB">
        <w:rPr>
          <w:szCs w:val="22"/>
        </w:rPr>
        <w:t xml:space="preserve"> </w:t>
      </w:r>
      <w:r w:rsidR="00937ACB">
        <w:rPr>
          <w:szCs w:val="22"/>
        </w:rPr>
        <w:t>2</w:t>
      </w:r>
      <w:r w:rsidR="004B4709">
        <w:rPr>
          <w:szCs w:val="22"/>
        </w:rPr>
        <w:t>4</w:t>
      </w:r>
      <w:r w:rsidR="00937ACB">
        <w:rPr>
          <w:szCs w:val="22"/>
        </w:rPr>
        <w:t xml:space="preserve">90.5 MHz and </w:t>
      </w:r>
      <w:r>
        <w:rPr>
          <w:szCs w:val="22"/>
        </w:rPr>
        <w:t>2496 MHz and 55 + 10 log (P) dB at or below 2490.5 MHz.  Mobile Satellite Service licensees operating on frequencies below 2495 MHz may also submit a documented interference complaint against BRS licensees operating on channel BRS Channel 1 on the same terms and conditions as adjacent channel BRS or EBS licensees.</w:t>
      </w:r>
    </w:p>
    <w:p w14:paraId="07D3B449" w14:textId="77777777" w:rsidR="00A000D8" w:rsidRDefault="00A000D8" w:rsidP="00066780">
      <w:pPr>
        <w:widowControl/>
        <w:spacing w:after="220"/>
        <w:ind w:left="1440"/>
        <w:rPr>
          <w:szCs w:val="22"/>
        </w:rPr>
      </w:pPr>
      <w:r>
        <w:rPr>
          <w:szCs w:val="22"/>
        </w:rPr>
        <w:t>*****</w:t>
      </w:r>
    </w:p>
    <w:p w14:paraId="49E71D80" w14:textId="77777777" w:rsidR="00CE74E5" w:rsidRDefault="00A000D8" w:rsidP="00066780">
      <w:pPr>
        <w:widowControl/>
        <w:spacing w:after="220"/>
        <w:ind w:left="360" w:firstLine="1080"/>
        <w:rPr>
          <w:bCs/>
          <w:szCs w:val="22"/>
        </w:rPr>
      </w:pPr>
      <w:r w:rsidRPr="00991D1F">
        <w:rPr>
          <w:szCs w:val="22"/>
        </w:rPr>
        <w:t xml:space="preserve">(6)  </w:t>
      </w:r>
      <w:r w:rsidRPr="00991D1F">
        <w:rPr>
          <w:bCs/>
          <w:szCs w:val="22"/>
        </w:rPr>
        <w:t xml:space="preserve">Measurement procedure. </w:t>
      </w:r>
      <w:r>
        <w:rPr>
          <w:bCs/>
          <w:szCs w:val="22"/>
        </w:rPr>
        <w:t xml:space="preserve"> </w:t>
      </w:r>
      <w:r w:rsidRPr="00991D1F">
        <w:rPr>
          <w:bCs/>
          <w:szCs w:val="22"/>
        </w:rPr>
        <w:t xml:space="preserve">Compliance with these rules is based on the use of measurement instrumentation employing a resolution bandwidth of 1 </w:t>
      </w:r>
      <w:r w:rsidR="00DD6E50">
        <w:rPr>
          <w:bCs/>
          <w:szCs w:val="22"/>
        </w:rPr>
        <w:t xml:space="preserve">megahertz </w:t>
      </w:r>
      <w:r w:rsidRPr="00991D1F">
        <w:rPr>
          <w:bCs/>
          <w:szCs w:val="22"/>
        </w:rPr>
        <w:t xml:space="preserve">or greater. </w:t>
      </w:r>
      <w:r>
        <w:rPr>
          <w:bCs/>
          <w:szCs w:val="22"/>
        </w:rPr>
        <w:t xml:space="preserve"> </w:t>
      </w:r>
      <w:r w:rsidRPr="00991D1F">
        <w:rPr>
          <w:bCs/>
          <w:szCs w:val="22"/>
        </w:rPr>
        <w:t xml:space="preserve">However, in the 1 MHz bands immediately outside and adjacent to the frequency block a resolution bandwidth of at least one percent of the emission bandwidth of the fundamental emission of the transmitter may be employed; for mobile digital stations, in the 1 </w:t>
      </w:r>
      <w:r w:rsidR="00AE2733">
        <w:rPr>
          <w:bCs/>
          <w:szCs w:val="22"/>
        </w:rPr>
        <w:t xml:space="preserve">megahertz </w:t>
      </w:r>
      <w:r w:rsidRPr="00991D1F">
        <w:rPr>
          <w:bCs/>
          <w:szCs w:val="22"/>
        </w:rPr>
        <w:t xml:space="preserve">bands immediately outside and adjacent to the frequency block a resolution bandwidth of at least two percent may be employed, except when the 1 </w:t>
      </w:r>
      <w:r w:rsidR="00AE2733">
        <w:rPr>
          <w:bCs/>
          <w:szCs w:val="22"/>
        </w:rPr>
        <w:t xml:space="preserve">megahertz </w:t>
      </w:r>
      <w:r w:rsidRPr="00991D1F">
        <w:rPr>
          <w:bCs/>
          <w:szCs w:val="22"/>
        </w:rPr>
        <w:t>band is 2495</w:t>
      </w:r>
      <w:r w:rsidRPr="00991D1F">
        <w:rPr>
          <w:rFonts w:ascii="Cambria Math" w:hAnsi="Cambria Math" w:cs="Cambria Math"/>
          <w:bCs/>
          <w:szCs w:val="22"/>
        </w:rPr>
        <w:t>‐</w:t>
      </w:r>
      <w:r w:rsidRPr="00991D1F">
        <w:rPr>
          <w:bCs/>
          <w:szCs w:val="22"/>
        </w:rPr>
        <w:t xml:space="preserve">2496 MHz, in which case a resolution bandwidth of at least one percent may be employed. </w:t>
      </w:r>
      <w:r>
        <w:rPr>
          <w:bCs/>
          <w:szCs w:val="22"/>
        </w:rPr>
        <w:t xml:space="preserve"> </w:t>
      </w:r>
      <w:r w:rsidRPr="00991D1F">
        <w:rPr>
          <w:bCs/>
          <w:szCs w:val="22"/>
        </w:rPr>
        <w:t>A narrower resolution bandwidth is permitted in all cases to improve measurement accuracy provided the measured power is integrated over the full required measurement bandwidth (</w:t>
      </w:r>
      <w:r w:rsidRPr="000C3915">
        <w:rPr>
          <w:bCs/>
          <w:szCs w:val="22"/>
        </w:rPr>
        <w:t>i.e.</w:t>
      </w:r>
      <w:r w:rsidRPr="00991D1F">
        <w:rPr>
          <w:bCs/>
          <w:szCs w:val="22"/>
        </w:rPr>
        <w:t xml:space="preserve"> 1 </w:t>
      </w:r>
      <w:r w:rsidR="00B37290">
        <w:rPr>
          <w:bCs/>
          <w:szCs w:val="22"/>
        </w:rPr>
        <w:t xml:space="preserve">megahertz </w:t>
      </w:r>
      <w:r w:rsidRPr="00991D1F">
        <w:rPr>
          <w:bCs/>
          <w:szCs w:val="22"/>
        </w:rPr>
        <w:t xml:space="preserve">or 1 percent of emission bandwidth, as specified; or 1 </w:t>
      </w:r>
      <w:r w:rsidR="00B37290">
        <w:rPr>
          <w:bCs/>
          <w:szCs w:val="22"/>
        </w:rPr>
        <w:t xml:space="preserve">megahertz </w:t>
      </w:r>
      <w:r w:rsidRPr="00991D1F">
        <w:rPr>
          <w:bCs/>
          <w:szCs w:val="22"/>
        </w:rPr>
        <w:t>or 2 percent for mobile digital stations, except in the band 2495</w:t>
      </w:r>
      <w:r w:rsidRPr="00991D1F">
        <w:rPr>
          <w:rFonts w:ascii="Cambria Math" w:hAnsi="Cambria Math" w:cs="Cambria Math"/>
          <w:bCs/>
          <w:szCs w:val="22"/>
        </w:rPr>
        <w:t>‐</w:t>
      </w:r>
      <w:r w:rsidRPr="00991D1F">
        <w:rPr>
          <w:bCs/>
          <w:szCs w:val="22"/>
        </w:rPr>
        <w:t xml:space="preserve">2496 MHz). </w:t>
      </w:r>
      <w:r>
        <w:rPr>
          <w:bCs/>
          <w:szCs w:val="22"/>
        </w:rPr>
        <w:t xml:space="preserve"> </w:t>
      </w:r>
      <w:r w:rsidRPr="00991D1F">
        <w:rPr>
          <w:bCs/>
          <w:szCs w:val="22"/>
        </w:rPr>
        <w:t xml:space="preserve">The emission bandwidth is defined as the width of the signal between two points, one below the carrier center frequency and one above the carrier center frequency, outside of which all emissions are attenuated at least 26 dB below the transmitter power. </w:t>
      </w:r>
      <w:r w:rsidR="000C3915">
        <w:rPr>
          <w:bCs/>
          <w:szCs w:val="22"/>
        </w:rPr>
        <w:t xml:space="preserve"> </w:t>
      </w:r>
      <w:r w:rsidRPr="00991D1F">
        <w:rPr>
          <w:bCs/>
          <w:szCs w:val="22"/>
        </w:rPr>
        <w:t>With respect to television operations, measurements must be made of the</w:t>
      </w:r>
    </w:p>
    <w:p w14:paraId="0213398A" w14:textId="77777777" w:rsidR="00CE74E5" w:rsidRDefault="00CE74E5">
      <w:pPr>
        <w:widowControl/>
        <w:rPr>
          <w:bCs/>
          <w:szCs w:val="22"/>
        </w:rPr>
      </w:pPr>
      <w:r>
        <w:rPr>
          <w:bCs/>
          <w:szCs w:val="22"/>
        </w:rPr>
        <w:br w:type="page"/>
      </w:r>
    </w:p>
    <w:p w14:paraId="5FB80632" w14:textId="36930CB8" w:rsidR="00A000D8" w:rsidRPr="00991D1F" w:rsidRDefault="00A000D8" w:rsidP="00CE74E5">
      <w:pPr>
        <w:widowControl/>
        <w:spacing w:after="220"/>
        <w:ind w:left="360"/>
        <w:rPr>
          <w:szCs w:val="22"/>
        </w:rPr>
      </w:pPr>
      <w:r w:rsidRPr="00991D1F">
        <w:rPr>
          <w:bCs/>
          <w:szCs w:val="22"/>
        </w:rPr>
        <w:t>separate visual and aural operating powers at sufficiently frequent intervals to ensure compliance with the rules.</w:t>
      </w:r>
    </w:p>
    <w:p w14:paraId="31D2966A" w14:textId="77777777" w:rsidR="00A000D8" w:rsidRDefault="00A000D8" w:rsidP="00066780">
      <w:pPr>
        <w:widowControl/>
        <w:ind w:left="720"/>
        <w:rPr>
          <w:bCs/>
          <w:szCs w:val="22"/>
        </w:rPr>
      </w:pPr>
      <w:r>
        <w:rPr>
          <w:bCs/>
          <w:szCs w:val="22"/>
        </w:rPr>
        <w:t>*****</w:t>
      </w:r>
    </w:p>
    <w:p w14:paraId="76E129B6" w14:textId="77777777" w:rsidR="00A000D8" w:rsidRDefault="00A000D8" w:rsidP="00066780">
      <w:pPr>
        <w:pStyle w:val="Heading1"/>
        <w:widowControl/>
        <w:numPr>
          <w:ilvl w:val="0"/>
          <w:numId w:val="0"/>
        </w:numPr>
        <w:jc w:val="center"/>
        <w:rPr>
          <w:bCs/>
        </w:rPr>
      </w:pPr>
      <w:r>
        <w:rPr>
          <w:bCs/>
          <w:szCs w:val="22"/>
        </w:rPr>
        <w:br w:type="page"/>
      </w:r>
      <w:bookmarkStart w:id="65" w:name="_Toc206315233"/>
      <w:bookmarkStart w:id="66" w:name="_Toc229806129"/>
      <w:bookmarkStart w:id="67" w:name="_Toc229825778"/>
      <w:bookmarkStart w:id="68" w:name="_Toc229878894"/>
      <w:bookmarkStart w:id="69" w:name="_Toc233770634"/>
      <w:bookmarkStart w:id="70" w:name="_Toc234049064"/>
      <w:bookmarkStart w:id="71" w:name="_Toc264640464"/>
      <w:bookmarkStart w:id="72" w:name="_Toc265564355"/>
      <w:bookmarkStart w:id="73" w:name="_Toc266446189"/>
      <w:r>
        <w:rPr>
          <w:bCs/>
        </w:rPr>
        <w:t>APPENDIX B</w:t>
      </w:r>
      <w:bookmarkStart w:id="74" w:name="_Toc136832090"/>
      <w:bookmarkEnd w:id="65"/>
      <w:bookmarkEnd w:id="66"/>
      <w:bookmarkEnd w:id="67"/>
      <w:bookmarkEnd w:id="68"/>
      <w:bookmarkEnd w:id="69"/>
      <w:bookmarkEnd w:id="70"/>
      <w:bookmarkEnd w:id="71"/>
      <w:bookmarkEnd w:id="72"/>
      <w:bookmarkEnd w:id="73"/>
    </w:p>
    <w:p w14:paraId="370A16B7" w14:textId="77777777" w:rsidR="00A000D8" w:rsidRDefault="00A000D8" w:rsidP="00066780">
      <w:pPr>
        <w:widowControl/>
        <w:jc w:val="center"/>
        <w:rPr>
          <w:b/>
        </w:rPr>
      </w:pPr>
      <w:r>
        <w:rPr>
          <w:b/>
        </w:rPr>
        <w:t>Final Regulatory Flexib</w:t>
      </w:r>
      <w:bookmarkEnd w:id="74"/>
      <w:r>
        <w:rPr>
          <w:b/>
        </w:rPr>
        <w:t xml:space="preserve">ility Analysis </w:t>
      </w:r>
    </w:p>
    <w:p w14:paraId="19163E07" w14:textId="77777777" w:rsidR="00A000D8" w:rsidRDefault="00A000D8" w:rsidP="00066780">
      <w:pPr>
        <w:widowControl/>
      </w:pPr>
    </w:p>
    <w:p w14:paraId="05565A54" w14:textId="77777777" w:rsidR="00A92B03" w:rsidRDefault="00A000D8" w:rsidP="00066780">
      <w:pPr>
        <w:widowControl/>
        <w:numPr>
          <w:ilvl w:val="0"/>
          <w:numId w:val="28"/>
        </w:numPr>
        <w:spacing w:after="220"/>
        <w:ind w:left="0" w:firstLine="720"/>
        <w:rPr>
          <w:szCs w:val="22"/>
        </w:rPr>
      </w:pPr>
      <w:r w:rsidRPr="00F51157">
        <w:rPr>
          <w:szCs w:val="22"/>
        </w:rPr>
        <w:t>As required by the Regulatory Flexibility Act of 1980, as amended (</w:t>
      </w:r>
      <w:r w:rsidR="00F43C49">
        <w:rPr>
          <w:szCs w:val="22"/>
        </w:rPr>
        <w:t>“</w:t>
      </w:r>
      <w:r w:rsidRPr="00F51157">
        <w:rPr>
          <w:szCs w:val="22"/>
        </w:rPr>
        <w:t>RFA</w:t>
      </w:r>
      <w:r w:rsidR="00F43C49">
        <w:rPr>
          <w:szCs w:val="22"/>
        </w:rPr>
        <w:t>”</w:t>
      </w:r>
      <w:r w:rsidRPr="00F51157">
        <w:rPr>
          <w:szCs w:val="22"/>
        </w:rPr>
        <w:t>),</w:t>
      </w:r>
      <w:r w:rsidRPr="00F51157">
        <w:rPr>
          <w:rStyle w:val="FootnoteReference"/>
          <w:szCs w:val="22"/>
        </w:rPr>
        <w:footnoteReference w:id="85"/>
      </w:r>
      <w:r w:rsidRPr="00F51157">
        <w:rPr>
          <w:szCs w:val="22"/>
        </w:rPr>
        <w:t xml:space="preserve"> we incorporated an Initial Regulatory Flexibility Analysis (</w:t>
      </w:r>
      <w:r w:rsidR="00F43C49">
        <w:rPr>
          <w:szCs w:val="22"/>
        </w:rPr>
        <w:t>“</w:t>
      </w:r>
      <w:r w:rsidRPr="00F51157">
        <w:rPr>
          <w:szCs w:val="22"/>
        </w:rPr>
        <w:t>IRFA</w:t>
      </w:r>
      <w:r w:rsidR="00F43C49">
        <w:rPr>
          <w:szCs w:val="22"/>
        </w:rPr>
        <w:t>”</w:t>
      </w:r>
      <w:r w:rsidRPr="00F51157">
        <w:rPr>
          <w:szCs w:val="22"/>
        </w:rPr>
        <w:t xml:space="preserve">) of the possible significant economic impact on a substantial number of small entities by the policies and rules proposed in the </w:t>
      </w:r>
      <w:r w:rsidRPr="003B1CC2">
        <w:rPr>
          <w:i/>
          <w:szCs w:val="22"/>
        </w:rPr>
        <w:t xml:space="preserve">Fourth </w:t>
      </w:r>
      <w:r w:rsidRPr="00F51157">
        <w:rPr>
          <w:i/>
          <w:szCs w:val="22"/>
        </w:rPr>
        <w:t>Further Notice of Proposed Rule Making (</w:t>
      </w:r>
      <w:r w:rsidR="00F43C49">
        <w:rPr>
          <w:i/>
          <w:szCs w:val="22"/>
        </w:rPr>
        <w:t>“</w:t>
      </w:r>
      <w:r w:rsidRPr="00F51157">
        <w:rPr>
          <w:i/>
          <w:szCs w:val="22"/>
        </w:rPr>
        <w:t>FNPRM</w:t>
      </w:r>
      <w:r w:rsidR="00F43C49">
        <w:rPr>
          <w:i/>
          <w:szCs w:val="22"/>
        </w:rPr>
        <w:t>”</w:t>
      </w:r>
      <w:r w:rsidRPr="00F51157">
        <w:rPr>
          <w:i/>
          <w:szCs w:val="22"/>
        </w:rPr>
        <w:t>)</w:t>
      </w:r>
      <w:r w:rsidRPr="00F51157">
        <w:rPr>
          <w:szCs w:val="22"/>
        </w:rPr>
        <w:t xml:space="preserve">.  Because we amend the rules in this </w:t>
      </w:r>
      <w:r w:rsidRPr="003B1CC2">
        <w:rPr>
          <w:i/>
          <w:szCs w:val="22"/>
        </w:rPr>
        <w:t>Fifth</w:t>
      </w:r>
      <w:r>
        <w:rPr>
          <w:szCs w:val="22"/>
        </w:rPr>
        <w:t xml:space="preserve"> </w:t>
      </w:r>
      <w:r>
        <w:rPr>
          <w:i/>
          <w:szCs w:val="22"/>
        </w:rPr>
        <w:t>Report</w:t>
      </w:r>
      <w:r w:rsidRPr="00F51157">
        <w:rPr>
          <w:i/>
          <w:szCs w:val="22"/>
        </w:rPr>
        <w:t xml:space="preserve"> and Order</w:t>
      </w:r>
      <w:r w:rsidRPr="00F51157">
        <w:rPr>
          <w:szCs w:val="22"/>
        </w:rPr>
        <w:t>, we have included this Final Regulatory Flexibility Analysis (</w:t>
      </w:r>
      <w:r w:rsidR="00F43C49">
        <w:rPr>
          <w:szCs w:val="22"/>
        </w:rPr>
        <w:t>“</w:t>
      </w:r>
      <w:r w:rsidRPr="00F51157">
        <w:rPr>
          <w:szCs w:val="22"/>
        </w:rPr>
        <w:t>FRFA</w:t>
      </w:r>
      <w:r w:rsidR="00F43C49">
        <w:rPr>
          <w:szCs w:val="22"/>
        </w:rPr>
        <w:t>”</w:t>
      </w:r>
      <w:r w:rsidRPr="00F51157">
        <w:rPr>
          <w:szCs w:val="22"/>
        </w:rPr>
        <w:t>).  This present FRFA conforms to the RFA.</w:t>
      </w:r>
      <w:r w:rsidRPr="00F51157">
        <w:rPr>
          <w:rStyle w:val="FootnoteReference"/>
          <w:szCs w:val="22"/>
        </w:rPr>
        <w:footnoteReference w:id="86"/>
      </w:r>
    </w:p>
    <w:p w14:paraId="5CD3FC71" w14:textId="77777777" w:rsidR="00A92B03" w:rsidRDefault="00A92B03" w:rsidP="00F72FD1">
      <w:pPr>
        <w:pStyle w:val="Heading2"/>
      </w:pPr>
      <w:bookmarkStart w:id="75" w:name="_Toc91400897"/>
      <w:bookmarkStart w:id="76" w:name="_Toc95896077"/>
      <w:bookmarkStart w:id="77" w:name="_Toc136831818"/>
      <w:bookmarkStart w:id="78" w:name="_Toc136832091"/>
      <w:bookmarkStart w:id="79" w:name="_Toc206315234"/>
      <w:bookmarkStart w:id="80" w:name="_Toc229806130"/>
      <w:bookmarkStart w:id="81" w:name="_Toc229825779"/>
      <w:bookmarkStart w:id="82" w:name="_Toc229878895"/>
      <w:bookmarkStart w:id="83" w:name="_Toc233770635"/>
      <w:bookmarkStart w:id="84" w:name="_Toc234049065"/>
      <w:bookmarkStart w:id="85" w:name="_Toc264640465"/>
      <w:bookmarkStart w:id="86" w:name="_Toc265564356"/>
      <w:bookmarkStart w:id="87" w:name="_Toc266446190"/>
      <w:r>
        <w:t xml:space="preserve">Need for, </w:t>
      </w:r>
      <w:r>
        <w:rPr>
          <w:bCs/>
        </w:rPr>
        <w:t>and</w:t>
      </w:r>
      <w:r>
        <w:t xml:space="preserve"> </w:t>
      </w:r>
      <w:r>
        <w:rPr>
          <w:rFonts w:ascii="Times New Roman Bold" w:hAnsi="Times New Roman Bold"/>
        </w:rPr>
        <w:t>Objectives</w:t>
      </w:r>
      <w:r>
        <w:t xml:space="preserve"> of, the Proposed Rules</w:t>
      </w:r>
      <w:bookmarkEnd w:id="75"/>
      <w:bookmarkEnd w:id="76"/>
      <w:bookmarkEnd w:id="77"/>
      <w:bookmarkEnd w:id="78"/>
      <w:bookmarkEnd w:id="79"/>
      <w:bookmarkEnd w:id="80"/>
      <w:bookmarkEnd w:id="81"/>
      <w:bookmarkEnd w:id="82"/>
      <w:bookmarkEnd w:id="83"/>
      <w:bookmarkEnd w:id="84"/>
      <w:bookmarkEnd w:id="85"/>
      <w:bookmarkEnd w:id="86"/>
      <w:bookmarkEnd w:id="87"/>
    </w:p>
    <w:p w14:paraId="4B88502B" w14:textId="77777777" w:rsidR="00A92B03" w:rsidRPr="00A92B03" w:rsidRDefault="00A000D8" w:rsidP="00066780">
      <w:pPr>
        <w:widowControl/>
        <w:numPr>
          <w:ilvl w:val="0"/>
          <w:numId w:val="28"/>
        </w:numPr>
        <w:spacing w:after="220"/>
        <w:ind w:left="0" w:firstLine="720"/>
        <w:rPr>
          <w:szCs w:val="22"/>
        </w:rPr>
      </w:pPr>
      <w:r w:rsidRPr="00A92B03">
        <w:rPr>
          <w:bCs/>
          <w:szCs w:val="22"/>
        </w:rPr>
        <w:t xml:space="preserve">In this </w:t>
      </w:r>
      <w:r w:rsidRPr="00A92B03">
        <w:rPr>
          <w:bCs/>
          <w:i/>
          <w:szCs w:val="22"/>
        </w:rPr>
        <w:t>Fifth Report and Order</w:t>
      </w:r>
      <w:r w:rsidRPr="00A92B03">
        <w:rPr>
          <w:bCs/>
          <w:szCs w:val="22"/>
        </w:rPr>
        <w:t xml:space="preserve">, we </w:t>
      </w:r>
      <w:r w:rsidR="00DE5C2E">
        <w:rPr>
          <w:bCs/>
          <w:szCs w:val="22"/>
        </w:rPr>
        <w:t>relax</w:t>
      </w:r>
      <w:r w:rsidRPr="00A92B03">
        <w:rPr>
          <w:bCs/>
          <w:szCs w:val="22"/>
        </w:rPr>
        <w:t xml:space="preserve"> the out-of-band emission</w:t>
      </w:r>
      <w:r w:rsidR="007A1712">
        <w:rPr>
          <w:bCs/>
          <w:szCs w:val="22"/>
        </w:rPr>
        <w:t>s (OOBE)</w:t>
      </w:r>
      <w:r w:rsidRPr="00A92B03">
        <w:rPr>
          <w:bCs/>
          <w:szCs w:val="22"/>
        </w:rPr>
        <w:t xml:space="preserve"> limits</w:t>
      </w:r>
      <w:r w:rsidR="00DE5C2E">
        <w:rPr>
          <w:bCs/>
          <w:szCs w:val="22"/>
        </w:rPr>
        <w:t xml:space="preserve"> for mobile digital devices operating in the </w:t>
      </w:r>
      <w:r w:rsidR="00DE5C2E" w:rsidRPr="00A92B03">
        <w:rPr>
          <w:bCs/>
          <w:szCs w:val="22"/>
        </w:rPr>
        <w:t>Broadband Radio Service (</w:t>
      </w:r>
      <w:r w:rsidR="00DE5C2E">
        <w:rPr>
          <w:bCs/>
          <w:szCs w:val="22"/>
        </w:rPr>
        <w:t>“</w:t>
      </w:r>
      <w:r w:rsidR="00DE5C2E" w:rsidRPr="00A92B03">
        <w:rPr>
          <w:bCs/>
          <w:szCs w:val="22"/>
        </w:rPr>
        <w:t>BRS</w:t>
      </w:r>
      <w:r w:rsidR="00DE5C2E">
        <w:rPr>
          <w:bCs/>
          <w:szCs w:val="22"/>
        </w:rPr>
        <w:t>”</w:t>
      </w:r>
      <w:r w:rsidR="00DE5C2E" w:rsidRPr="00A92B03">
        <w:rPr>
          <w:bCs/>
          <w:szCs w:val="22"/>
        </w:rPr>
        <w:t>) and Educational Broadband Service (</w:t>
      </w:r>
      <w:r w:rsidR="00DE5C2E">
        <w:rPr>
          <w:bCs/>
          <w:szCs w:val="22"/>
        </w:rPr>
        <w:t>“</w:t>
      </w:r>
      <w:r w:rsidR="00DE5C2E" w:rsidRPr="00A92B03">
        <w:rPr>
          <w:bCs/>
          <w:szCs w:val="22"/>
        </w:rPr>
        <w:t>EBS</w:t>
      </w:r>
      <w:r w:rsidR="00DE5C2E">
        <w:rPr>
          <w:bCs/>
          <w:szCs w:val="22"/>
        </w:rPr>
        <w:t>”</w:t>
      </w:r>
      <w:r w:rsidR="00DE5C2E" w:rsidRPr="00A92B03">
        <w:rPr>
          <w:bCs/>
          <w:szCs w:val="22"/>
        </w:rPr>
        <w:t>) in the 2496-2690 MHz band (</w:t>
      </w:r>
      <w:r w:rsidR="00DE5C2E">
        <w:rPr>
          <w:bCs/>
          <w:szCs w:val="22"/>
        </w:rPr>
        <w:t>“</w:t>
      </w:r>
      <w:r w:rsidR="00DE5C2E" w:rsidRPr="00A92B03">
        <w:rPr>
          <w:bCs/>
          <w:szCs w:val="22"/>
        </w:rPr>
        <w:t>2.5 GHz band</w:t>
      </w:r>
      <w:r w:rsidR="00DE5C2E">
        <w:rPr>
          <w:bCs/>
          <w:szCs w:val="22"/>
        </w:rPr>
        <w:t>”</w:t>
      </w:r>
      <w:r w:rsidR="00DE5C2E" w:rsidRPr="00A92B03">
        <w:rPr>
          <w:bCs/>
          <w:szCs w:val="22"/>
        </w:rPr>
        <w:t>)</w:t>
      </w:r>
      <w:r w:rsidRPr="00A92B03">
        <w:rPr>
          <w:bCs/>
          <w:szCs w:val="22"/>
        </w:rPr>
        <w:t xml:space="preserve">, which limit the amount of energy that can be radiated outside a licensee’s authorized bandwidth, but retain the current </w:t>
      </w:r>
      <w:r w:rsidR="00DE5C2E">
        <w:rPr>
          <w:bCs/>
          <w:szCs w:val="22"/>
        </w:rPr>
        <w:t xml:space="preserve">OOBE </w:t>
      </w:r>
      <w:r w:rsidRPr="00A92B03">
        <w:rPr>
          <w:bCs/>
          <w:szCs w:val="22"/>
        </w:rPr>
        <w:t xml:space="preserve">rules for operations at the lower edge of the </w:t>
      </w:r>
      <w:r w:rsidR="007A1712">
        <w:rPr>
          <w:bCs/>
          <w:szCs w:val="22"/>
        </w:rPr>
        <w:t xml:space="preserve">2.5 GHz </w:t>
      </w:r>
      <w:r w:rsidRPr="00A92B03">
        <w:rPr>
          <w:bCs/>
          <w:szCs w:val="22"/>
        </w:rPr>
        <w:t>band</w:t>
      </w:r>
      <w:r w:rsidR="00DE5C2E">
        <w:rPr>
          <w:bCs/>
          <w:szCs w:val="22"/>
        </w:rPr>
        <w:t xml:space="preserve"> as “band edge” limits for all BRS/EBS channels</w:t>
      </w:r>
      <w:r w:rsidRPr="00A92B03">
        <w:rPr>
          <w:bCs/>
          <w:szCs w:val="22"/>
        </w:rPr>
        <w:t xml:space="preserve">.  </w:t>
      </w:r>
      <w:r>
        <w:t xml:space="preserve">This change will enable smartphone, tablet computers, and other mobile broadband devices to use wider channel bandwidths, which could potentially allow higher data rates and more efficient use of spectrum.  It would also increase the range of applications and devices that can benefit from mobile broadband connectivity, generating a corresponding increase in demand for mobile broadband service from consumers, businesses, public safety entities, health care institutions, educational institutions, and energy companies.  The change also harmonizes standards in the equipment market for mobile devices in the 2.5 GHz band, which would make equipment more affordable and further the development of advanced wireless broadband devices.  Retaining the current </w:t>
      </w:r>
      <w:r w:rsidR="00E44BB3">
        <w:t xml:space="preserve">OOBE </w:t>
      </w:r>
      <w:r>
        <w:t>rules</w:t>
      </w:r>
      <w:r w:rsidR="00D93DB3">
        <w:t xml:space="preserve"> </w:t>
      </w:r>
      <w:r w:rsidR="00DE5C2E">
        <w:t>applicable</w:t>
      </w:r>
      <w:r w:rsidR="00DD0B20">
        <w:t xml:space="preserve"> to</w:t>
      </w:r>
      <w:r w:rsidR="007A1712">
        <w:t xml:space="preserve"> operations</w:t>
      </w:r>
      <w:r w:rsidR="00DE5C2E">
        <w:t xml:space="preserve"> </w:t>
      </w:r>
      <w:r>
        <w:t>at</w:t>
      </w:r>
      <w:r w:rsidR="00664271">
        <w:t xml:space="preserve"> </w:t>
      </w:r>
      <w:r>
        <w:t xml:space="preserve">the lower edge of the </w:t>
      </w:r>
      <w:r w:rsidR="00DE5C2E">
        <w:t xml:space="preserve">2.5 GHz </w:t>
      </w:r>
      <w:r>
        <w:t>band</w:t>
      </w:r>
      <w:r w:rsidR="00DD0B20">
        <w:t xml:space="preserve"> for all BRS/EBS channels</w:t>
      </w:r>
      <w:r>
        <w:t xml:space="preserve">, however, </w:t>
      </w:r>
      <w:r w:rsidR="00E44BB3">
        <w:t xml:space="preserve">helps </w:t>
      </w:r>
      <w:r>
        <w:t>protect co-primary operations in</w:t>
      </w:r>
      <w:r w:rsidR="00D731CE">
        <w:t xml:space="preserve"> and adjacent to</w:t>
      </w:r>
      <w:r>
        <w:t xml:space="preserve"> the 2496-2500 MHz portion of the band.</w:t>
      </w:r>
    </w:p>
    <w:p w14:paraId="477868A6" w14:textId="77777777" w:rsidR="00A92B03" w:rsidRPr="003A3772" w:rsidRDefault="00A92B03" w:rsidP="00F72FD1">
      <w:pPr>
        <w:pStyle w:val="Heading2"/>
      </w:pPr>
      <w:r w:rsidRPr="003A3772">
        <w:t xml:space="preserve">Summary of Significant Issues Raised by Public Comments in Response to the </w:t>
      </w:r>
      <w:r>
        <w:t>I</w:t>
      </w:r>
      <w:r w:rsidRPr="003A3772">
        <w:t>RFA:</w:t>
      </w:r>
    </w:p>
    <w:p w14:paraId="715378C6" w14:textId="77777777" w:rsidR="00A92B03" w:rsidRDefault="00A000D8" w:rsidP="00066780">
      <w:pPr>
        <w:widowControl/>
        <w:numPr>
          <w:ilvl w:val="0"/>
          <w:numId w:val="28"/>
        </w:numPr>
        <w:spacing w:after="220"/>
        <w:ind w:left="0" w:firstLine="720"/>
        <w:rPr>
          <w:szCs w:val="22"/>
        </w:rPr>
      </w:pPr>
      <w:r w:rsidRPr="00A92B03">
        <w:rPr>
          <w:szCs w:val="22"/>
        </w:rPr>
        <w:t>No comments were submitted specifically in response to the IRFA.</w:t>
      </w:r>
    </w:p>
    <w:p w14:paraId="2A4D4748" w14:textId="77777777" w:rsidR="00A92B03" w:rsidRDefault="00A92B03" w:rsidP="00F72FD1">
      <w:pPr>
        <w:pStyle w:val="Heading2"/>
      </w:pPr>
      <w:bookmarkStart w:id="88" w:name="_Toc91400899"/>
      <w:bookmarkStart w:id="89" w:name="_Toc95896079"/>
      <w:bookmarkStart w:id="90" w:name="_Toc136831820"/>
      <w:bookmarkStart w:id="91" w:name="_Toc136832093"/>
      <w:bookmarkStart w:id="92" w:name="_Toc206315236"/>
      <w:bookmarkStart w:id="93" w:name="_Toc229806132"/>
      <w:bookmarkStart w:id="94" w:name="_Toc229825781"/>
      <w:bookmarkStart w:id="95" w:name="_Toc229878897"/>
      <w:bookmarkStart w:id="96" w:name="_Toc233770637"/>
      <w:bookmarkStart w:id="97" w:name="_Toc234049067"/>
      <w:bookmarkStart w:id="98" w:name="_Toc264640467"/>
      <w:bookmarkStart w:id="99" w:name="_Toc265564358"/>
      <w:bookmarkStart w:id="100" w:name="_Toc266446192"/>
      <w:r>
        <w:t>Description and Estimate of the Number of Small Entities To Which the Proposed Rules Will Apply</w:t>
      </w:r>
      <w:bookmarkEnd w:id="88"/>
      <w:bookmarkEnd w:id="89"/>
      <w:bookmarkEnd w:id="90"/>
      <w:bookmarkEnd w:id="91"/>
      <w:bookmarkEnd w:id="92"/>
      <w:bookmarkEnd w:id="93"/>
      <w:bookmarkEnd w:id="94"/>
      <w:bookmarkEnd w:id="95"/>
      <w:bookmarkEnd w:id="96"/>
      <w:bookmarkEnd w:id="97"/>
      <w:bookmarkEnd w:id="98"/>
      <w:bookmarkEnd w:id="99"/>
      <w:bookmarkEnd w:id="100"/>
    </w:p>
    <w:p w14:paraId="71B458AA" w14:textId="77777777" w:rsidR="00A92B03" w:rsidRDefault="00A000D8" w:rsidP="00066780">
      <w:pPr>
        <w:widowControl/>
        <w:numPr>
          <w:ilvl w:val="0"/>
          <w:numId w:val="28"/>
        </w:numPr>
        <w:spacing w:after="220"/>
        <w:ind w:left="0" w:firstLine="720"/>
        <w:rPr>
          <w:szCs w:val="22"/>
        </w:rPr>
      </w:pPr>
      <w:r w:rsidRPr="00A92B03">
        <w:rPr>
          <w:szCs w:val="22"/>
        </w:rPr>
        <w:t>The RFA directs agencies to provide a description of, and, where feasible, an estimate of the number of small entities that may be affected by the proposed rules and policies, if adopted.</w:t>
      </w:r>
      <w:r>
        <w:rPr>
          <w:rStyle w:val="FootnoteReference"/>
          <w:szCs w:val="22"/>
        </w:rPr>
        <w:footnoteReference w:id="87"/>
      </w:r>
      <w:r w:rsidRPr="00A92B03">
        <w:rPr>
          <w:szCs w:val="22"/>
        </w:rPr>
        <w:t xml:space="preserve">  The RFA generally defines the term “small entity” as having the same meaning as the terms “small business,” “small organization,” and “small governmental jurisdiction.”</w:t>
      </w:r>
      <w:r>
        <w:rPr>
          <w:rStyle w:val="FootnoteReference"/>
          <w:szCs w:val="22"/>
        </w:rPr>
        <w:footnoteReference w:id="88"/>
      </w:r>
      <w:r w:rsidRPr="00A92B03">
        <w:rPr>
          <w:szCs w:val="22"/>
        </w:rPr>
        <w:t xml:space="preserve">  In addition, the term “small business” has the same meaning as the term “small business concern” under the Small Business Act.</w:t>
      </w:r>
      <w:r>
        <w:rPr>
          <w:rStyle w:val="FootnoteReference"/>
          <w:szCs w:val="22"/>
        </w:rPr>
        <w:footnoteReference w:id="89"/>
      </w:r>
      <w:r w:rsidRPr="00A92B03">
        <w:rPr>
          <w:szCs w:val="22"/>
        </w:rPr>
        <w:t xml:space="preserve">  A “small business concern” is one which: (1) is independently owned and operated; (2) is not dominant in its field of operation; and (3) satisfies any additional criteria established by the SBA.</w:t>
      </w:r>
      <w:r>
        <w:rPr>
          <w:rStyle w:val="FootnoteReference"/>
          <w:szCs w:val="22"/>
        </w:rPr>
        <w:footnoteReference w:id="90"/>
      </w:r>
      <w:r w:rsidRPr="00A92B03">
        <w:rPr>
          <w:szCs w:val="22"/>
        </w:rPr>
        <w:t xml:space="preserve"> </w:t>
      </w:r>
      <w:bookmarkStart w:id="101" w:name="_Toc91400900"/>
      <w:bookmarkStart w:id="102" w:name="_Toc95896080"/>
      <w:bookmarkStart w:id="103" w:name="_Toc136831821"/>
      <w:bookmarkStart w:id="104" w:name="_Toc136832094"/>
      <w:bookmarkStart w:id="105" w:name="_Toc206315237"/>
      <w:bookmarkStart w:id="106" w:name="_Toc229806133"/>
      <w:bookmarkStart w:id="107" w:name="_Toc229825782"/>
      <w:bookmarkStart w:id="108" w:name="_Toc229878898"/>
      <w:bookmarkStart w:id="109" w:name="_Toc233770638"/>
      <w:bookmarkStart w:id="110" w:name="_Toc234049068"/>
      <w:bookmarkStart w:id="111" w:name="_Toc264640468"/>
      <w:bookmarkStart w:id="112" w:name="_Toc265564359"/>
      <w:bookmarkStart w:id="113" w:name="_Toc266446193"/>
      <w:r w:rsidR="000E65BA">
        <w:rPr>
          <w:szCs w:val="22"/>
        </w:rPr>
        <w:t xml:space="preserve"> Here, we describe the small entities to which the rule will apply.</w:t>
      </w:r>
    </w:p>
    <w:p w14:paraId="2EBA64D9" w14:textId="6AA924E2" w:rsidR="00A92B03" w:rsidRPr="00A92B03" w:rsidRDefault="00A000D8" w:rsidP="00066780">
      <w:pPr>
        <w:widowControl/>
        <w:numPr>
          <w:ilvl w:val="0"/>
          <w:numId w:val="28"/>
        </w:numPr>
        <w:spacing w:after="220"/>
        <w:ind w:left="0" w:firstLine="720"/>
        <w:rPr>
          <w:szCs w:val="22"/>
        </w:rPr>
      </w:pPr>
      <w:r w:rsidRPr="00A92B03">
        <w:rPr>
          <w:i/>
        </w:rPr>
        <w:t>Broadband Radio Service and Educational Broadband Service.</w:t>
      </w:r>
      <w:r>
        <w:t xml:space="preserve">  Broadband Radio Service systems, previously referred to as Multipoint Distribution Service (</w:t>
      </w:r>
      <w:r w:rsidR="00F43C49">
        <w:t>“</w:t>
      </w:r>
      <w:r>
        <w:t>MDS</w:t>
      </w:r>
      <w:r w:rsidR="00F43C49">
        <w:t>”</w:t>
      </w:r>
      <w:r>
        <w:t>) and Multichannel Multipoint Distribution Service (</w:t>
      </w:r>
      <w:r w:rsidR="00F43C49">
        <w:t>“</w:t>
      </w:r>
      <w:r>
        <w:t>MMDS</w:t>
      </w:r>
      <w:r w:rsidR="00F43C49">
        <w:t>”</w:t>
      </w:r>
      <w:r>
        <w:t>) systems, and “wireless cable,” transmit video programming to subscribers and provide two-way high speed data operations using the microwave frequencies of the Broadband Radio Service (</w:t>
      </w:r>
      <w:r w:rsidR="00F43C49">
        <w:t>“</w:t>
      </w:r>
      <w:r>
        <w:t>BRS</w:t>
      </w:r>
      <w:r w:rsidR="00F43C49">
        <w:t>”</w:t>
      </w:r>
      <w:r>
        <w:t>) and Educational Broadband Service (EBS) (previously referred to as the Instructional Television Fixed Service (</w:t>
      </w:r>
      <w:r w:rsidR="00F43C49">
        <w:t>“</w:t>
      </w:r>
      <w:r>
        <w:t>ITFS</w:t>
      </w:r>
      <w:r w:rsidR="00F43C49">
        <w:t>”</w:t>
      </w:r>
      <w:r>
        <w:t>)).</w:t>
      </w:r>
      <w:r>
        <w:rPr>
          <w:rStyle w:val="FootnoteReference"/>
          <w:szCs w:val="22"/>
        </w:rPr>
        <w:footnoteReference w:id="91"/>
      </w:r>
      <w:r>
        <w:t xml:space="preserve">  In connection with the 1996 BRS auction, the Commission established a small business size standard as an entity that had annual average gross revenues of no more than $40 million in the previous three calendar years.</w:t>
      </w:r>
      <w:r>
        <w:rPr>
          <w:rStyle w:val="FootnoteReference"/>
          <w:szCs w:val="22"/>
        </w:rPr>
        <w:footnoteReference w:id="92"/>
      </w:r>
      <w:r>
        <w:t xml:space="preserve">  The BRS auctions resulted in 67 successful bidders obtaining licensing opportunities for 493 Basic Trading Areas (</w:t>
      </w:r>
      <w:r w:rsidR="00F43C49">
        <w:t>“</w:t>
      </w:r>
      <w:r>
        <w:t>BTAs</w:t>
      </w:r>
      <w:r w:rsidR="00F43C49">
        <w:t>”</w:t>
      </w:r>
      <w:r>
        <w:t xml:space="preserve">).  Of the 67 auction winners, 61 met the definition of a small business.  BRS also includes licensees of stations authorized prior to the auction.  At this time, </w:t>
      </w:r>
      <w:r w:rsidR="000E65BA">
        <w:t xml:space="preserve">based on our review of licensing records, </w:t>
      </w:r>
      <w:r>
        <w:t xml:space="preserve">we estimate that of the 61 small business BRS auction winners, </w:t>
      </w:r>
      <w:r w:rsidR="000E65BA">
        <w:t xml:space="preserve">based on our review of licensing records, </w:t>
      </w:r>
      <w:r>
        <w:t xml:space="preserve">48 remain small business licensees.  In addition to the 48 small businesses that hold BTA authorizations, there are </w:t>
      </w:r>
      <w:r w:rsidRPr="00A92B03">
        <w:rPr>
          <w:szCs w:val="22"/>
        </w:rPr>
        <w:t>approximately</w:t>
      </w:r>
      <w:r>
        <w:t xml:space="preserve"> </w:t>
      </w:r>
      <w:r w:rsidR="00901341">
        <w:t>8</w:t>
      </w:r>
      <w:r w:rsidR="00534F64">
        <w:t>6</w:t>
      </w:r>
      <w:r>
        <w:t xml:space="preserve"> incumbent BRS licensees that are considered small entities</w:t>
      </w:r>
      <w:r w:rsidR="00534F64">
        <w:t xml:space="preserve"> (18 incumbent BRS licensees do not meet the small business size standard)</w:t>
      </w:r>
      <w:r>
        <w:t>.</w:t>
      </w:r>
      <w:r>
        <w:rPr>
          <w:rStyle w:val="FootnoteReference"/>
          <w:szCs w:val="22"/>
        </w:rPr>
        <w:footnoteReference w:id="93"/>
      </w:r>
      <w:r>
        <w:t xml:space="preserve">  After adding the number of small business auction licensees to the number of incumbent licensees not already counted, there are currently approximately </w:t>
      </w:r>
      <w:r w:rsidR="00901341">
        <w:t>133</w:t>
      </w:r>
      <w:r>
        <w:t xml:space="preserve"> BRS licensees that are defined as small businesses under either the SBA or the Commission’s rules.  In 2009, the Commission conducted Auction 86, the sale of 78 licenses in the BRS areas.</w:t>
      </w:r>
      <w:r>
        <w:rPr>
          <w:rStyle w:val="FootnoteReference"/>
          <w:szCs w:val="22"/>
        </w:rPr>
        <w:footnoteReference w:id="94"/>
      </w:r>
      <w:r>
        <w:t xml:space="preserve">  The Commission offered three levels of bidding credits: (i) a bidder with attributed average annual gross revenues that exceed $15 million and do not exceed $40 million for the preceding three years (small business) receive</w:t>
      </w:r>
      <w:r w:rsidR="001A4A54">
        <w:t>d</w:t>
      </w:r>
      <w:r>
        <w:t xml:space="preserve"> a 15 percent discount on its winning bid; (ii) a bidder with attributed average annual gross revenues that exceed $3 million and do not exceed $15 million for the preceding three years (very small business) receive</w:t>
      </w:r>
      <w:r w:rsidR="001A4A54">
        <w:t>d</w:t>
      </w:r>
      <w:r>
        <w:t xml:space="preserve"> a 25 percent discount on its winning bid; and (iii) a bidder with attributed average annual gross revenues that do not exceed $3 million for the preceding three years (entrepreneur) receive</w:t>
      </w:r>
      <w:r w:rsidR="001A4A54">
        <w:t>d</w:t>
      </w:r>
      <w:r>
        <w:t xml:space="preserve"> a 35 percent discount on its winning bid.</w:t>
      </w:r>
      <w:r>
        <w:rPr>
          <w:rStyle w:val="FootnoteReference"/>
          <w:szCs w:val="22"/>
        </w:rPr>
        <w:footnoteReference w:id="95"/>
      </w:r>
      <w:r>
        <w:t xml:space="preserve">  Auction 86 concluded in 2009 with the sale of 61 licenses.</w:t>
      </w:r>
      <w:r>
        <w:rPr>
          <w:rStyle w:val="FootnoteReference"/>
          <w:szCs w:val="22"/>
        </w:rPr>
        <w:footnoteReference w:id="96"/>
      </w:r>
      <w:r>
        <w:t xml:space="preserve">  Of the ten winning bidders, two bidders that claimed small business status won 4 licenses; one bidder that claimed very small business status won three licenses; and two bidders that claimed entrepreneur status won six licenses.</w:t>
      </w:r>
    </w:p>
    <w:p w14:paraId="3FBBB2AC" w14:textId="77777777" w:rsidR="00A92B03" w:rsidRPr="00A92B03" w:rsidRDefault="00A000D8" w:rsidP="00066780">
      <w:pPr>
        <w:widowControl/>
        <w:numPr>
          <w:ilvl w:val="0"/>
          <w:numId w:val="28"/>
        </w:numPr>
        <w:spacing w:after="220"/>
        <w:ind w:left="0" w:firstLine="720"/>
        <w:rPr>
          <w:szCs w:val="22"/>
        </w:rPr>
      </w:pPr>
      <w:r>
        <w:t xml:space="preserve">In addition, the SBA’s </w:t>
      </w:r>
      <w:r w:rsidR="00FA59BB">
        <w:t xml:space="preserve">placement of </w:t>
      </w:r>
      <w:r>
        <w:t xml:space="preserve">Cable Television Distribution Services </w:t>
      </w:r>
      <w:r w:rsidR="00FA59BB">
        <w:t xml:space="preserve">in the category of Wired Telecommunications Carriers </w:t>
      </w:r>
      <w:r>
        <w:t>is applicable to</w:t>
      </w:r>
      <w:r w:rsidR="00F32710">
        <w:t xml:space="preserve"> </w:t>
      </w:r>
      <w:r w:rsidR="00FA59BB">
        <w:t>cable-based educational broadcasting services</w:t>
      </w:r>
      <w:r>
        <w:t>.  Since 2007,</w:t>
      </w:r>
      <w:r w:rsidRPr="00A92B03">
        <w:rPr>
          <w:i/>
        </w:rPr>
        <w:t xml:space="preserve"> </w:t>
      </w:r>
      <w:r w:rsidR="00FA59BB">
        <w:t xml:space="preserve">Wired Telecommunications Carriers </w:t>
      </w:r>
      <w:r>
        <w:t xml:space="preserve">have been defined as follows:  “This industry comprises establishments primarily engaged in operating and/or providing access to transmission facilities and infrastructure that they own and/or </w:t>
      </w:r>
      <w:r w:rsidRPr="00A92B03">
        <w:rPr>
          <w:szCs w:val="22"/>
        </w:rPr>
        <w:t>lease</w:t>
      </w:r>
      <w:r>
        <w:t xml:space="preserve"> for the transmission of voice, data, text, sound, and video using wired telecommunications networks. Transmission facilities may be based on a single technology or a combination of technologies.”</w:t>
      </w:r>
      <w:r w:rsidR="00284256">
        <w:rPr>
          <w:rStyle w:val="FootnoteReference"/>
        </w:rPr>
        <w:footnoteReference w:id="97"/>
      </w:r>
      <w:r>
        <w:t xml:space="preserve">  </w:t>
      </w:r>
      <w:r w:rsidR="00E51D41">
        <w:t>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00E51D41">
        <w:rPr>
          <w:rStyle w:val="FootnoteReference"/>
        </w:rPr>
        <w:footnoteReference w:id="98"/>
      </w:r>
      <w:r w:rsidR="00E51D41">
        <w:t xml:space="preserve">  </w:t>
      </w:r>
      <w:r>
        <w:t>The SBA has developed a small business size standard for this category, which is</w:t>
      </w:r>
      <w:r w:rsidR="00E51D41">
        <w:t xml:space="preserve"> </w:t>
      </w:r>
      <w:r>
        <w:t>1,500 or fewer employees.</w:t>
      </w:r>
      <w:r w:rsidR="00E51D41">
        <w:rPr>
          <w:rStyle w:val="FootnoteReference"/>
        </w:rPr>
        <w:footnoteReference w:id="99"/>
      </w:r>
      <w:r>
        <w:t xml:space="preserve">  </w:t>
      </w:r>
      <w:r w:rsidR="00E51D41" w:rsidRPr="00E51D41">
        <w:t xml:space="preserve"> </w:t>
      </w:r>
      <w:r w:rsidR="00E51D41">
        <w:t>Of those 31,996, 1,818 operated with more than 100 employees, and 30,178 operated with fewer than 100 employees.</w:t>
      </w:r>
      <w:r w:rsidR="00E51D41">
        <w:rPr>
          <w:rStyle w:val="FootnoteReference"/>
        </w:rPr>
        <w:footnoteReference w:id="100"/>
      </w:r>
      <w:r w:rsidR="00E51D41">
        <w:t>  Thus under this category and the associated small business size standard, the majority of such firms can be considered small. In addition to Census data, the Commission’s Universal Licensing System indicates that as of</w:t>
      </w:r>
      <w:r w:rsidR="00C03C70">
        <w:t xml:space="preserve"> July 2013</w:t>
      </w:r>
      <w:r w:rsidR="00E51D41">
        <w:t>, there are 2,2</w:t>
      </w:r>
      <w:r w:rsidR="00C03C70">
        <w:t>36</w:t>
      </w:r>
      <w:r w:rsidR="00E51D41">
        <w:t xml:space="preserve"> active EBS licenses.  The Commission estimates that of these 2,2</w:t>
      </w:r>
      <w:r w:rsidR="00C03C70">
        <w:t>36</w:t>
      </w:r>
      <w:r w:rsidR="00E51D41">
        <w:t xml:space="preserve"> licenses, the majority are held by non-profit educational institutions and school districts, which are by statute defined as small businesses.</w:t>
      </w:r>
      <w:r w:rsidR="00E51D41">
        <w:rPr>
          <w:rStyle w:val="FootnoteReference"/>
        </w:rPr>
        <w:footnoteReference w:id="101"/>
      </w:r>
    </w:p>
    <w:p w14:paraId="1EC24229" w14:textId="77777777" w:rsidR="00A92B03" w:rsidRPr="00A92B03" w:rsidRDefault="00A92B03" w:rsidP="00F72FD1">
      <w:pPr>
        <w:pStyle w:val="Heading2"/>
      </w:pPr>
      <w:r>
        <w:t>Description</w:t>
      </w:r>
      <w:r>
        <w:rPr>
          <w:bCs/>
        </w:rPr>
        <w:t xml:space="preserve"> of Projected Reporting, </w:t>
      </w:r>
      <w:r>
        <w:t>Recordkeeping</w:t>
      </w:r>
      <w:r>
        <w:rPr>
          <w:bCs/>
        </w:rPr>
        <w:t xml:space="preserve">, and other </w:t>
      </w:r>
      <w:r>
        <w:t>Compliance</w:t>
      </w:r>
      <w:r>
        <w:rPr>
          <w:bCs/>
        </w:rPr>
        <w:t xml:space="preserve"> </w:t>
      </w:r>
      <w:r>
        <w:t>Requirements</w:t>
      </w:r>
    </w:p>
    <w:p w14:paraId="1D70D1EC" w14:textId="77777777" w:rsidR="00A92B03" w:rsidRPr="00A92B03" w:rsidRDefault="00A92B03" w:rsidP="00066780">
      <w:pPr>
        <w:widowControl/>
        <w:numPr>
          <w:ilvl w:val="0"/>
          <w:numId w:val="28"/>
        </w:numPr>
        <w:spacing w:after="220"/>
        <w:ind w:left="0" w:firstLine="720"/>
        <w:rPr>
          <w:szCs w:val="22"/>
        </w:rPr>
      </w:pPr>
      <w:r>
        <w:t xml:space="preserve">This </w:t>
      </w:r>
      <w:bookmarkEnd w:id="101"/>
      <w:bookmarkEnd w:id="102"/>
      <w:bookmarkEnd w:id="103"/>
      <w:bookmarkEnd w:id="104"/>
      <w:bookmarkEnd w:id="105"/>
      <w:bookmarkEnd w:id="106"/>
      <w:bookmarkEnd w:id="107"/>
      <w:bookmarkEnd w:id="108"/>
      <w:bookmarkEnd w:id="109"/>
      <w:bookmarkEnd w:id="110"/>
      <w:bookmarkEnd w:id="111"/>
      <w:bookmarkEnd w:id="112"/>
      <w:bookmarkEnd w:id="113"/>
      <w:r w:rsidR="00A000D8" w:rsidRPr="00A92B03">
        <w:rPr>
          <w:i/>
        </w:rPr>
        <w:t xml:space="preserve">Fifth Report and Order </w:t>
      </w:r>
      <w:r w:rsidR="00A000D8">
        <w:t>imposes no new reporting or recordkeeping requirements</w:t>
      </w:r>
      <w:r w:rsidR="000E65BA">
        <w:t xml:space="preserve"> and does not establish other compliance requirements</w:t>
      </w:r>
      <w:r w:rsidR="00A000D8">
        <w:t>.</w:t>
      </w:r>
    </w:p>
    <w:p w14:paraId="0C3218F7" w14:textId="77777777" w:rsidR="00A92B03" w:rsidRPr="00A92B03" w:rsidRDefault="00A92B03" w:rsidP="00F72FD1">
      <w:pPr>
        <w:pStyle w:val="Heading2"/>
      </w:pPr>
      <w:bookmarkStart w:id="114" w:name="_Toc91400901"/>
      <w:bookmarkStart w:id="115" w:name="_Toc95896081"/>
      <w:bookmarkStart w:id="116" w:name="_Toc136831822"/>
      <w:bookmarkStart w:id="117" w:name="_Toc136832095"/>
      <w:bookmarkStart w:id="118" w:name="_Toc206315238"/>
      <w:bookmarkStart w:id="119" w:name="_Toc229806134"/>
      <w:bookmarkStart w:id="120" w:name="_Toc229825783"/>
      <w:bookmarkStart w:id="121" w:name="_Toc229878899"/>
      <w:bookmarkStart w:id="122" w:name="_Toc233770639"/>
      <w:bookmarkStart w:id="123" w:name="_Toc234049069"/>
      <w:bookmarkStart w:id="124" w:name="_Toc264640469"/>
      <w:bookmarkStart w:id="125" w:name="_Toc265564360"/>
      <w:bookmarkStart w:id="126" w:name="_Toc266446194"/>
      <w:r>
        <w:t>Steps taken to Minimize Significant Economic Impact on Small Entities, and Significant Alternatives Considered</w:t>
      </w:r>
      <w:bookmarkEnd w:id="114"/>
      <w:bookmarkEnd w:id="115"/>
      <w:bookmarkEnd w:id="116"/>
      <w:bookmarkEnd w:id="117"/>
      <w:bookmarkEnd w:id="118"/>
      <w:bookmarkEnd w:id="119"/>
      <w:bookmarkEnd w:id="120"/>
      <w:bookmarkEnd w:id="121"/>
      <w:bookmarkEnd w:id="122"/>
      <w:bookmarkEnd w:id="123"/>
      <w:bookmarkEnd w:id="124"/>
      <w:bookmarkEnd w:id="125"/>
      <w:bookmarkEnd w:id="126"/>
    </w:p>
    <w:p w14:paraId="78F4611E" w14:textId="77777777" w:rsidR="00C51BD7" w:rsidRPr="00A92B03" w:rsidRDefault="00A000D8" w:rsidP="009D4927">
      <w:pPr>
        <w:widowControl/>
        <w:numPr>
          <w:ilvl w:val="0"/>
          <w:numId w:val="28"/>
        </w:numPr>
        <w:spacing w:after="220"/>
        <w:ind w:left="0" w:firstLine="720"/>
        <w:rPr>
          <w:szCs w:val="22"/>
        </w:rPr>
      </w:pPr>
      <w:r w:rsidRPr="00B04053">
        <w:t xml:space="preserve">The RFA requires an agency to describe </w:t>
      </w:r>
      <w:r w:rsidR="009D4927">
        <w:t xml:space="preserve">the steps it has taken to minimize </w:t>
      </w:r>
      <w:r w:rsidRPr="00B04053">
        <w:t xml:space="preserve">any significant </w:t>
      </w:r>
      <w:r w:rsidR="009D4927">
        <w:t>economic impact on small entities consistent with the stated objectives of applicable statutes.</w:t>
      </w:r>
      <w:r w:rsidR="009D4927">
        <w:rPr>
          <w:rStyle w:val="FootnoteReference"/>
        </w:rPr>
        <w:footnoteReference w:id="102"/>
      </w:r>
      <w:r w:rsidR="009D4927">
        <w:t xml:space="preserve"> </w:t>
      </w:r>
      <w:r w:rsidRPr="00B04053">
        <w:t xml:space="preserve"> </w:t>
      </w:r>
      <w:r w:rsidR="009D4927">
        <w:t xml:space="preserve">We see no </w:t>
      </w:r>
      <w:r w:rsidRPr="00B04053">
        <w:t xml:space="preserve">potential burden on small entities that hold BRS or EBS licenses.  We believe </w:t>
      </w:r>
      <w:r w:rsidR="009D4927">
        <w:t xml:space="preserve">our action today provides </w:t>
      </w:r>
      <w:r>
        <w:t xml:space="preserve">benefits to small businesses that hold BRS and EBS licensees, who would be able to use wider channel bandwidths to provide faster service and use their spectrum more efficiently. </w:t>
      </w:r>
    </w:p>
    <w:p w14:paraId="523EAE3D" w14:textId="77777777" w:rsidR="00A000D8" w:rsidRPr="00A92B03" w:rsidRDefault="00C51BD7" w:rsidP="00066780">
      <w:pPr>
        <w:widowControl/>
        <w:numPr>
          <w:ilvl w:val="0"/>
          <w:numId w:val="28"/>
        </w:numPr>
        <w:spacing w:after="220"/>
        <w:ind w:left="0" w:firstLine="720"/>
        <w:rPr>
          <w:szCs w:val="22"/>
        </w:rPr>
      </w:pPr>
      <w:r w:rsidRPr="00A92B03">
        <w:t xml:space="preserve">The main alternative </w:t>
      </w:r>
      <w:r w:rsidR="00240AD0" w:rsidRPr="00A92B03">
        <w:t>considered wa</w:t>
      </w:r>
      <w:r w:rsidRPr="00A92B03">
        <w:t xml:space="preserve">s to adopt the proposed rule changes without </w:t>
      </w:r>
      <w:r w:rsidR="00240AD0" w:rsidRPr="00A92B03">
        <w:t xml:space="preserve">maintaining the current level of interference protection to adjacent channel licensees below 2495 MHz.  </w:t>
      </w:r>
      <w:r w:rsidR="00A000D8">
        <w:t xml:space="preserve"> </w:t>
      </w:r>
      <w:r w:rsidR="006B181C" w:rsidRPr="00A92B03">
        <w:t xml:space="preserve">That alternative was rejected because it </w:t>
      </w:r>
      <w:r w:rsidR="009D4927">
        <w:t>c</w:t>
      </w:r>
      <w:r w:rsidR="006B181C" w:rsidRPr="00A92B03">
        <w:t xml:space="preserve">ould have increased the potential for </w:t>
      </w:r>
      <w:r w:rsidR="003155FC">
        <w:t>harmful interference</w:t>
      </w:r>
      <w:r w:rsidR="006B181C" w:rsidRPr="00A92B03">
        <w:t xml:space="preserve"> to licensees operating below 2495 MHz and because it is possible for licensees in the 2.5 GHz band to get the benefits of wider channel bandwidths in most of the band without changing the out-of-band emission limits that apply below 2495 MHz.</w:t>
      </w:r>
    </w:p>
    <w:p w14:paraId="49AF3B31" w14:textId="77777777" w:rsidR="00A92B03" w:rsidRPr="00A92B03" w:rsidRDefault="00A92B03" w:rsidP="00066780">
      <w:pPr>
        <w:widowControl/>
        <w:spacing w:after="220"/>
        <w:ind w:left="720"/>
        <w:rPr>
          <w:szCs w:val="22"/>
        </w:rPr>
      </w:pPr>
      <w:r w:rsidRPr="00F51157">
        <w:rPr>
          <w:b/>
          <w:szCs w:val="22"/>
        </w:rPr>
        <w:t>Report to Congress:</w:t>
      </w:r>
    </w:p>
    <w:p w14:paraId="627EA941" w14:textId="77777777" w:rsidR="00A000D8" w:rsidRPr="00A92B03" w:rsidRDefault="00A000D8" w:rsidP="00066780">
      <w:pPr>
        <w:widowControl/>
        <w:numPr>
          <w:ilvl w:val="0"/>
          <w:numId w:val="28"/>
        </w:numPr>
        <w:spacing w:after="220"/>
        <w:ind w:left="0" w:firstLine="720"/>
        <w:rPr>
          <w:szCs w:val="22"/>
        </w:rPr>
      </w:pPr>
      <w:r w:rsidRPr="00A92B03">
        <w:rPr>
          <w:szCs w:val="22"/>
        </w:rPr>
        <w:t xml:space="preserve">The Commission will send a copy of this </w:t>
      </w:r>
      <w:r w:rsidRPr="00A92B03">
        <w:rPr>
          <w:i/>
          <w:szCs w:val="22"/>
        </w:rPr>
        <w:t>Fifth Report and Order</w:t>
      </w:r>
      <w:r w:rsidRPr="00A92B03">
        <w:rPr>
          <w:szCs w:val="22"/>
        </w:rPr>
        <w:t>, including this FRFA, in a report to be sent to Congress and the Government Accountability Office pursuant to the Congressional Review Act.</w:t>
      </w:r>
      <w:r w:rsidRPr="00F51157">
        <w:rPr>
          <w:vertAlign w:val="superscript"/>
        </w:rPr>
        <w:footnoteReference w:id="103"/>
      </w:r>
      <w:r w:rsidRPr="00A92B03">
        <w:rPr>
          <w:szCs w:val="22"/>
        </w:rPr>
        <w:t xml:space="preserve">  In addition, the Commission will send a copy of this </w:t>
      </w:r>
      <w:r w:rsidRPr="00A92B03">
        <w:rPr>
          <w:i/>
          <w:szCs w:val="22"/>
        </w:rPr>
        <w:t>Fifth Report and Order</w:t>
      </w:r>
      <w:r w:rsidRPr="00A92B03">
        <w:rPr>
          <w:szCs w:val="22"/>
        </w:rPr>
        <w:t xml:space="preserve">, including this FRFA, to the Chief Counsel for Advocacy of the Small Business Administration.  A copy of this </w:t>
      </w:r>
      <w:r w:rsidRPr="00A92B03">
        <w:rPr>
          <w:i/>
          <w:szCs w:val="22"/>
        </w:rPr>
        <w:t>Fifth Report and Order</w:t>
      </w:r>
      <w:r w:rsidRPr="00A92B03">
        <w:rPr>
          <w:szCs w:val="22"/>
        </w:rPr>
        <w:t xml:space="preserve"> and FRFA (or summaries thereof) will also be published in the </w:t>
      </w:r>
      <w:r w:rsidRPr="00A92B03">
        <w:rPr>
          <w:i/>
          <w:szCs w:val="22"/>
        </w:rPr>
        <w:t>Federal Register</w:t>
      </w:r>
      <w:r w:rsidRPr="00A92B03">
        <w:rPr>
          <w:szCs w:val="22"/>
        </w:rPr>
        <w:t>.</w:t>
      </w:r>
      <w:bookmarkStart w:id="127" w:name="_Ref121707192"/>
      <w:r w:rsidRPr="00F51157">
        <w:rPr>
          <w:vertAlign w:val="superscript"/>
        </w:rPr>
        <w:footnoteReference w:id="104"/>
      </w:r>
      <w:bookmarkEnd w:id="127"/>
    </w:p>
    <w:p w14:paraId="30301661" w14:textId="77777777" w:rsidR="00A000D8" w:rsidRDefault="00A000D8" w:rsidP="00066780">
      <w:pPr>
        <w:pStyle w:val="NormalWeb"/>
        <w:spacing w:before="0" w:beforeAutospacing="0" w:after="220" w:afterAutospacing="0"/>
        <w:ind w:left="720"/>
        <w:jc w:val="center"/>
        <w:rPr>
          <w:b/>
          <w:sz w:val="22"/>
          <w:szCs w:val="22"/>
        </w:rPr>
      </w:pPr>
      <w:r>
        <w:br w:type="page"/>
      </w:r>
      <w:r>
        <w:rPr>
          <w:b/>
          <w:sz w:val="22"/>
          <w:szCs w:val="22"/>
        </w:rPr>
        <w:t>APPENDIX C</w:t>
      </w:r>
    </w:p>
    <w:p w14:paraId="3FD75311" w14:textId="77777777" w:rsidR="00A000D8" w:rsidRDefault="00A000D8" w:rsidP="00066780">
      <w:pPr>
        <w:widowControl/>
        <w:spacing w:after="220"/>
        <w:jc w:val="center"/>
        <w:rPr>
          <w:b/>
          <w:bCs/>
          <w:szCs w:val="22"/>
        </w:rPr>
      </w:pPr>
      <w:r>
        <w:rPr>
          <w:b/>
          <w:bCs/>
          <w:szCs w:val="22"/>
        </w:rPr>
        <w:t xml:space="preserve">List of Commenters </w:t>
      </w:r>
      <w:r w:rsidR="00A840B9">
        <w:rPr>
          <w:b/>
          <w:bCs/>
          <w:szCs w:val="22"/>
        </w:rPr>
        <w:t xml:space="preserve">to </w:t>
      </w:r>
      <w:r w:rsidR="00A840B9">
        <w:rPr>
          <w:b/>
          <w:bCs/>
          <w:i/>
          <w:szCs w:val="22"/>
        </w:rPr>
        <w:t xml:space="preserve">BRS/EBS </w:t>
      </w:r>
      <w:r w:rsidR="00BB53F1">
        <w:rPr>
          <w:b/>
          <w:bCs/>
          <w:i/>
          <w:szCs w:val="22"/>
        </w:rPr>
        <w:t xml:space="preserve">OOBE </w:t>
      </w:r>
      <w:r w:rsidRPr="00A215AD">
        <w:rPr>
          <w:b/>
          <w:bCs/>
          <w:i/>
          <w:szCs w:val="22"/>
        </w:rPr>
        <w:t>FNPRM</w:t>
      </w:r>
    </w:p>
    <w:p w14:paraId="429A861F" w14:textId="77777777" w:rsidR="00A000D8" w:rsidRDefault="00A000D8" w:rsidP="00066780">
      <w:pPr>
        <w:widowControl/>
        <w:rPr>
          <w:b/>
          <w:szCs w:val="22"/>
          <w:u w:val="single"/>
        </w:rPr>
      </w:pPr>
      <w:r>
        <w:rPr>
          <w:b/>
          <w:szCs w:val="22"/>
          <w:u w:val="single"/>
        </w:rPr>
        <w:t>Commenters</w:t>
      </w:r>
    </w:p>
    <w:p w14:paraId="3D183006" w14:textId="77777777" w:rsidR="00A000D8" w:rsidRDefault="00A000D8" w:rsidP="00066780">
      <w:pPr>
        <w:widowControl/>
        <w:rPr>
          <w:szCs w:val="22"/>
        </w:rPr>
      </w:pPr>
      <w:r>
        <w:rPr>
          <w:szCs w:val="22"/>
        </w:rPr>
        <w:t>Alcatel Lucent</w:t>
      </w:r>
    </w:p>
    <w:p w14:paraId="63F72B12" w14:textId="77777777" w:rsidR="00A000D8" w:rsidRDefault="00A000D8" w:rsidP="00066780">
      <w:pPr>
        <w:widowControl/>
        <w:rPr>
          <w:szCs w:val="22"/>
        </w:rPr>
      </w:pPr>
      <w:r>
        <w:rPr>
          <w:szCs w:val="22"/>
        </w:rPr>
        <w:t>Clearwire Corporation (Clearwire)</w:t>
      </w:r>
    </w:p>
    <w:p w14:paraId="1C3C4A07" w14:textId="77777777" w:rsidR="00A000D8" w:rsidRDefault="00A000D8" w:rsidP="00066780">
      <w:pPr>
        <w:widowControl/>
        <w:rPr>
          <w:szCs w:val="22"/>
        </w:rPr>
      </w:pPr>
      <w:r>
        <w:rPr>
          <w:szCs w:val="22"/>
        </w:rPr>
        <w:t>DigitalBridge Communications Corp. (DigitalBridge)</w:t>
      </w:r>
    </w:p>
    <w:p w14:paraId="4FF0A504" w14:textId="77777777" w:rsidR="00A000D8" w:rsidRDefault="00A000D8" w:rsidP="00066780">
      <w:pPr>
        <w:widowControl/>
        <w:rPr>
          <w:snapToGrid/>
          <w:kern w:val="0"/>
          <w:szCs w:val="22"/>
        </w:rPr>
      </w:pPr>
      <w:r>
        <w:rPr>
          <w:snapToGrid/>
          <w:kern w:val="0"/>
          <w:szCs w:val="22"/>
        </w:rPr>
        <w:t>Engineers for the Integrity of Broadcast Auxiliary Services Spectrum (EIBASS)</w:t>
      </w:r>
    </w:p>
    <w:p w14:paraId="5DF76650" w14:textId="77777777" w:rsidR="00A000D8" w:rsidRDefault="00A000D8" w:rsidP="00066780">
      <w:pPr>
        <w:widowControl/>
        <w:rPr>
          <w:snapToGrid/>
          <w:kern w:val="0"/>
          <w:szCs w:val="22"/>
        </w:rPr>
      </w:pPr>
      <w:r>
        <w:rPr>
          <w:snapToGrid/>
          <w:kern w:val="0"/>
          <w:szCs w:val="22"/>
        </w:rPr>
        <w:t>GCT Semiconductor</w:t>
      </w:r>
      <w:r w:rsidR="00A840B9">
        <w:rPr>
          <w:snapToGrid/>
          <w:kern w:val="0"/>
          <w:szCs w:val="22"/>
        </w:rPr>
        <w:t xml:space="preserve"> (GCT)</w:t>
      </w:r>
    </w:p>
    <w:p w14:paraId="771CFF6C" w14:textId="77777777" w:rsidR="00A000D8" w:rsidRDefault="00A000D8" w:rsidP="00066780">
      <w:pPr>
        <w:widowControl/>
        <w:rPr>
          <w:snapToGrid/>
          <w:kern w:val="0"/>
          <w:szCs w:val="22"/>
        </w:rPr>
      </w:pPr>
      <w:r>
        <w:rPr>
          <w:snapToGrid/>
          <w:kern w:val="0"/>
          <w:szCs w:val="22"/>
        </w:rPr>
        <w:t>Globalstar, Inc. (Globalstar)</w:t>
      </w:r>
    </w:p>
    <w:p w14:paraId="2E7FD5CF" w14:textId="77777777" w:rsidR="00A000D8" w:rsidRDefault="00A000D8" w:rsidP="00066780">
      <w:pPr>
        <w:widowControl/>
        <w:rPr>
          <w:snapToGrid/>
          <w:kern w:val="0"/>
          <w:szCs w:val="22"/>
        </w:rPr>
      </w:pPr>
      <w:r>
        <w:rPr>
          <w:snapToGrid/>
          <w:kern w:val="0"/>
          <w:szCs w:val="22"/>
        </w:rPr>
        <w:t>Huawei Technologies (USA) (Huawei)</w:t>
      </w:r>
    </w:p>
    <w:p w14:paraId="793A3E89" w14:textId="77777777" w:rsidR="00A000D8" w:rsidRDefault="00A000D8" w:rsidP="00066780">
      <w:pPr>
        <w:widowControl/>
        <w:rPr>
          <w:snapToGrid/>
          <w:kern w:val="0"/>
          <w:szCs w:val="22"/>
        </w:rPr>
      </w:pPr>
      <w:r>
        <w:rPr>
          <w:snapToGrid/>
          <w:kern w:val="0"/>
          <w:szCs w:val="22"/>
        </w:rPr>
        <w:t>IP Wireless, Inc. (IP Wireless)</w:t>
      </w:r>
    </w:p>
    <w:p w14:paraId="4A7E13E4" w14:textId="77777777" w:rsidR="00A000D8" w:rsidRDefault="00A000D8" w:rsidP="00066780">
      <w:pPr>
        <w:widowControl/>
        <w:rPr>
          <w:szCs w:val="22"/>
        </w:rPr>
      </w:pPr>
      <w:r>
        <w:rPr>
          <w:snapToGrid/>
          <w:kern w:val="0"/>
          <w:szCs w:val="22"/>
        </w:rPr>
        <w:t>Motorola Mobility, Inc. (Motorola)</w:t>
      </w:r>
    </w:p>
    <w:p w14:paraId="61CDF10F" w14:textId="77777777" w:rsidR="00A000D8" w:rsidRDefault="00A000D8" w:rsidP="00066780">
      <w:pPr>
        <w:widowControl/>
        <w:rPr>
          <w:szCs w:val="22"/>
        </w:rPr>
      </w:pPr>
      <w:r>
        <w:rPr>
          <w:szCs w:val="22"/>
        </w:rPr>
        <w:t>National EBS Association (NEBSA) and Catholic Television Network (CTN)</w:t>
      </w:r>
    </w:p>
    <w:p w14:paraId="34A5C77C" w14:textId="77777777" w:rsidR="00A000D8" w:rsidRDefault="00A000D8" w:rsidP="00066780">
      <w:pPr>
        <w:widowControl/>
        <w:autoSpaceDE w:val="0"/>
        <w:autoSpaceDN w:val="0"/>
        <w:adjustRightInd w:val="0"/>
        <w:rPr>
          <w:snapToGrid/>
          <w:kern w:val="0"/>
          <w:szCs w:val="22"/>
        </w:rPr>
      </w:pPr>
      <w:r>
        <w:rPr>
          <w:snapToGrid/>
          <w:kern w:val="0"/>
          <w:szCs w:val="22"/>
        </w:rPr>
        <w:t>Nokia Siemens Networks US LLC (Nokia Siemens Networks) and Nokia Inc. (Nokia)</w:t>
      </w:r>
    </w:p>
    <w:p w14:paraId="56E29D43" w14:textId="77777777" w:rsidR="00A000D8" w:rsidRDefault="00A000D8" w:rsidP="00066780">
      <w:pPr>
        <w:widowControl/>
        <w:autoSpaceDE w:val="0"/>
        <w:autoSpaceDN w:val="0"/>
        <w:adjustRightInd w:val="0"/>
        <w:rPr>
          <w:snapToGrid/>
          <w:kern w:val="0"/>
          <w:szCs w:val="22"/>
        </w:rPr>
      </w:pPr>
      <w:r>
        <w:rPr>
          <w:snapToGrid/>
          <w:kern w:val="0"/>
          <w:szCs w:val="22"/>
        </w:rPr>
        <w:t>SEQUANS Communications</w:t>
      </w:r>
    </w:p>
    <w:p w14:paraId="4EB7FC8A" w14:textId="77777777" w:rsidR="00A000D8" w:rsidRDefault="00A000D8" w:rsidP="00066780">
      <w:pPr>
        <w:widowControl/>
        <w:autoSpaceDE w:val="0"/>
        <w:autoSpaceDN w:val="0"/>
        <w:adjustRightInd w:val="0"/>
        <w:rPr>
          <w:szCs w:val="22"/>
        </w:rPr>
      </w:pPr>
      <w:r>
        <w:rPr>
          <w:snapToGrid/>
          <w:kern w:val="0"/>
          <w:szCs w:val="22"/>
        </w:rPr>
        <w:t>Telecommunications Industry Association (TIA)</w:t>
      </w:r>
    </w:p>
    <w:p w14:paraId="036014E0" w14:textId="77777777" w:rsidR="00A000D8" w:rsidRDefault="00A000D8" w:rsidP="00066780">
      <w:pPr>
        <w:widowControl/>
        <w:rPr>
          <w:szCs w:val="22"/>
        </w:rPr>
      </w:pPr>
      <w:r>
        <w:rPr>
          <w:szCs w:val="22"/>
        </w:rPr>
        <w:t>Wireless Communications Association International, Inc. (WCAI)</w:t>
      </w:r>
    </w:p>
    <w:p w14:paraId="180D8794" w14:textId="77777777" w:rsidR="00A000D8" w:rsidRDefault="00A000D8" w:rsidP="00066780">
      <w:pPr>
        <w:widowControl/>
        <w:rPr>
          <w:szCs w:val="22"/>
        </w:rPr>
      </w:pPr>
    </w:p>
    <w:p w14:paraId="5A170710" w14:textId="77777777" w:rsidR="00A000D8" w:rsidRDefault="00A000D8" w:rsidP="00066780">
      <w:pPr>
        <w:widowControl/>
        <w:rPr>
          <w:b/>
          <w:szCs w:val="22"/>
          <w:u w:val="single"/>
        </w:rPr>
      </w:pPr>
      <w:r>
        <w:rPr>
          <w:b/>
          <w:szCs w:val="22"/>
          <w:u w:val="single"/>
        </w:rPr>
        <w:t>Reply Commenters</w:t>
      </w:r>
    </w:p>
    <w:p w14:paraId="4076E9E6" w14:textId="77777777" w:rsidR="00A000D8" w:rsidRDefault="00A000D8" w:rsidP="00066780">
      <w:pPr>
        <w:widowControl/>
        <w:rPr>
          <w:snapToGrid/>
          <w:kern w:val="0"/>
          <w:szCs w:val="22"/>
        </w:rPr>
      </w:pPr>
      <w:r>
        <w:rPr>
          <w:snapToGrid/>
          <w:kern w:val="0"/>
          <w:szCs w:val="22"/>
        </w:rPr>
        <w:t>EIBASS</w:t>
      </w:r>
    </w:p>
    <w:p w14:paraId="2CF7E46A" w14:textId="77777777" w:rsidR="00A000D8" w:rsidRDefault="00A000D8" w:rsidP="00066780">
      <w:pPr>
        <w:widowControl/>
        <w:rPr>
          <w:snapToGrid/>
          <w:kern w:val="0"/>
          <w:szCs w:val="22"/>
        </w:rPr>
      </w:pPr>
      <w:r>
        <w:rPr>
          <w:snapToGrid/>
          <w:kern w:val="0"/>
          <w:szCs w:val="22"/>
        </w:rPr>
        <w:t>Globalstar</w:t>
      </w:r>
    </w:p>
    <w:p w14:paraId="3D027167" w14:textId="77777777" w:rsidR="00A000D8" w:rsidRDefault="00A000D8" w:rsidP="00066780">
      <w:pPr>
        <w:widowControl/>
        <w:rPr>
          <w:szCs w:val="22"/>
          <w:lang w:val="it-IT"/>
        </w:rPr>
      </w:pPr>
      <w:r>
        <w:rPr>
          <w:snapToGrid/>
          <w:kern w:val="0"/>
          <w:szCs w:val="22"/>
        </w:rPr>
        <w:t>Northrup-Grumman Systems Corporation (NGSC)</w:t>
      </w:r>
    </w:p>
    <w:p w14:paraId="21C54D6B" w14:textId="77777777" w:rsidR="00A000D8" w:rsidRDefault="00A000D8" w:rsidP="00066780">
      <w:pPr>
        <w:widowControl/>
        <w:rPr>
          <w:szCs w:val="22"/>
          <w:lang w:val="it-IT"/>
        </w:rPr>
      </w:pPr>
      <w:r>
        <w:rPr>
          <w:szCs w:val="22"/>
          <w:lang w:val="it-IT"/>
        </w:rPr>
        <w:t>WCAI</w:t>
      </w:r>
    </w:p>
    <w:p w14:paraId="2937C2E9" w14:textId="77777777" w:rsidR="00A000D8" w:rsidRDefault="00A000D8" w:rsidP="00066780">
      <w:pPr>
        <w:widowControl/>
        <w:rPr>
          <w:szCs w:val="22"/>
          <w:lang w:val="it-IT"/>
        </w:rPr>
      </w:pPr>
    </w:p>
    <w:p w14:paraId="5B3D3198" w14:textId="77777777" w:rsidR="00A000D8" w:rsidRDefault="00A000D8" w:rsidP="00066780">
      <w:pPr>
        <w:widowControl/>
        <w:rPr>
          <w:b/>
          <w:szCs w:val="22"/>
          <w:u w:val="single"/>
          <w:lang w:val="it-IT"/>
        </w:rPr>
      </w:pPr>
      <w:r>
        <w:rPr>
          <w:b/>
          <w:szCs w:val="22"/>
          <w:u w:val="single"/>
          <w:lang w:val="it-IT"/>
        </w:rPr>
        <w:t>Ex Parte</w:t>
      </w:r>
    </w:p>
    <w:p w14:paraId="55A482F6" w14:textId="77777777" w:rsidR="00A000D8" w:rsidRDefault="00A000D8" w:rsidP="00066780">
      <w:pPr>
        <w:widowControl/>
        <w:rPr>
          <w:szCs w:val="22"/>
          <w:lang w:val="it-IT"/>
        </w:rPr>
      </w:pPr>
      <w:r>
        <w:rPr>
          <w:szCs w:val="22"/>
          <w:lang w:val="it-IT"/>
        </w:rPr>
        <w:t>Clearwire</w:t>
      </w:r>
    </w:p>
    <w:p w14:paraId="2341030B" w14:textId="77777777" w:rsidR="00A000D8" w:rsidRDefault="00A000D8" w:rsidP="00066780">
      <w:pPr>
        <w:widowControl/>
        <w:rPr>
          <w:szCs w:val="22"/>
          <w:lang w:val="it-IT"/>
        </w:rPr>
      </w:pPr>
      <w:r>
        <w:rPr>
          <w:szCs w:val="22"/>
          <w:lang w:val="it-IT"/>
        </w:rPr>
        <w:t>Globalstar</w:t>
      </w:r>
    </w:p>
    <w:sectPr w:rsidR="00A000D8" w:rsidSect="006D38CA">
      <w:footnotePr>
        <w:numRestart w:val="eachSect"/>
      </w:footnotePr>
      <w:endnotePr>
        <w:numFmt w:val="decimal"/>
      </w:endnotePr>
      <w:pgSz w:w="12240" w:h="15840"/>
      <w:pgMar w:top="144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4C0E3" w14:textId="77777777" w:rsidR="00A92C1E" w:rsidRDefault="00A92C1E">
      <w:pPr>
        <w:spacing w:line="20" w:lineRule="exact"/>
      </w:pPr>
    </w:p>
  </w:endnote>
  <w:endnote w:type="continuationSeparator" w:id="0">
    <w:p w14:paraId="55C1FCB3" w14:textId="77777777" w:rsidR="00A92C1E" w:rsidRDefault="00A92C1E">
      <w:r>
        <w:t xml:space="preserve"> </w:t>
      </w:r>
    </w:p>
  </w:endnote>
  <w:endnote w:type="continuationNotice" w:id="1">
    <w:p w14:paraId="6D7D22AE" w14:textId="77777777" w:rsidR="00A92C1E" w:rsidRDefault="00A92C1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hronicleDeck-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05167" w14:textId="77777777" w:rsidR="001C7A54" w:rsidRDefault="00394D9F">
    <w:pPr>
      <w:pStyle w:val="Footer"/>
      <w:framePr w:wrap="around" w:vAnchor="text" w:hAnchor="margin" w:xAlign="center" w:y="1"/>
    </w:pPr>
    <w:r>
      <w:fldChar w:fldCharType="begin"/>
    </w:r>
    <w:r w:rsidR="001C7A54">
      <w:instrText xml:space="preserve">PAGE  </w:instrText>
    </w:r>
    <w:r>
      <w:fldChar w:fldCharType="end"/>
    </w:r>
  </w:p>
  <w:p w14:paraId="2FFF91C5" w14:textId="77777777" w:rsidR="001C7A54" w:rsidRDefault="001C7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3EFF1" w14:textId="77777777" w:rsidR="001C7A54" w:rsidRDefault="00394D9F">
    <w:pPr>
      <w:pStyle w:val="Footer"/>
      <w:framePr w:wrap="around" w:vAnchor="text" w:hAnchor="margin" w:xAlign="center" w:y="1"/>
    </w:pPr>
    <w:r>
      <w:fldChar w:fldCharType="begin"/>
    </w:r>
    <w:r w:rsidR="001C7A54">
      <w:instrText xml:space="preserve">PAGE  </w:instrText>
    </w:r>
    <w:r>
      <w:fldChar w:fldCharType="separate"/>
    </w:r>
    <w:r w:rsidR="003E6F9A">
      <w:rPr>
        <w:noProof/>
      </w:rPr>
      <w:t>2</w:t>
    </w:r>
    <w:r>
      <w:fldChar w:fldCharType="end"/>
    </w:r>
  </w:p>
  <w:p w14:paraId="5BCFB473" w14:textId="77777777" w:rsidR="001C7A54" w:rsidRDefault="001C7A5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51F52" w14:textId="77777777" w:rsidR="00070ED6" w:rsidRDefault="00070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7BA71" w14:textId="77777777" w:rsidR="00A92C1E" w:rsidRDefault="00A92C1E">
      <w:r>
        <w:separator/>
      </w:r>
    </w:p>
  </w:footnote>
  <w:footnote w:type="continuationSeparator" w:id="0">
    <w:p w14:paraId="3603B4A7" w14:textId="77777777" w:rsidR="00A92C1E" w:rsidRDefault="00A92C1E">
      <w:pPr>
        <w:rPr>
          <w:sz w:val="20"/>
        </w:rPr>
      </w:pPr>
      <w:r>
        <w:rPr>
          <w:sz w:val="20"/>
        </w:rPr>
        <w:t xml:space="preserve">(Continued from previous page)  </w:t>
      </w:r>
      <w:r>
        <w:rPr>
          <w:sz w:val="20"/>
        </w:rPr>
        <w:separator/>
      </w:r>
    </w:p>
  </w:footnote>
  <w:footnote w:type="continuationNotice" w:id="1">
    <w:p w14:paraId="0617961D" w14:textId="77777777" w:rsidR="00A92C1E" w:rsidRDefault="00A92C1E" w:rsidP="00CB1B22">
      <w:pPr>
        <w:jc w:val="right"/>
        <w:rPr>
          <w:sz w:val="20"/>
        </w:rPr>
      </w:pPr>
      <w:r>
        <w:rPr>
          <w:sz w:val="20"/>
        </w:rPr>
        <w:t>(continued….)</w:t>
      </w:r>
    </w:p>
  </w:footnote>
  <w:footnote w:id="2">
    <w:p w14:paraId="101E7126" w14:textId="77777777" w:rsidR="00C9304F" w:rsidRDefault="00C9304F" w:rsidP="00344347">
      <w:pPr>
        <w:pStyle w:val="FootnoteText"/>
      </w:pPr>
      <w:r>
        <w:rPr>
          <w:rStyle w:val="FootnoteReference"/>
        </w:rPr>
        <w:footnoteRef/>
      </w:r>
      <w:r>
        <w:t xml:space="preserve"> </w:t>
      </w:r>
      <w:r w:rsidR="003155FC">
        <w:rPr>
          <w:i/>
        </w:rPr>
        <w:t>See</w:t>
      </w:r>
      <w:r w:rsidR="003155FC">
        <w:t xml:space="preserve"> Amendment of Parts 1, 21, 73, 74 and 101 of the Commission’s Rules to Facilitate the Provision of Fixed and Mobile Broadband Access, Educational and Other Advanced Services in the 2150-2162 and 2500-2690 MHz Bands,</w:t>
      </w:r>
      <w:r w:rsidR="00BC74C9">
        <w:t xml:space="preserve"> WT Docket No. 03-66,</w:t>
      </w:r>
      <w:r w:rsidR="003155FC">
        <w:t xml:space="preserve"> </w:t>
      </w:r>
      <w:r w:rsidR="003155FC">
        <w:rPr>
          <w:i/>
        </w:rPr>
        <w:t>Report and Order and Further Notice of Proposed Rulemaking</w:t>
      </w:r>
      <w:r w:rsidR="003155FC">
        <w:t>, 19 FCC Rcd 14165</w:t>
      </w:r>
      <w:r w:rsidR="00235425">
        <w:t>, 14182</w:t>
      </w:r>
      <w:r w:rsidR="00235425">
        <w:noBreakHyphen/>
      </w:r>
      <w:r w:rsidR="00B9274E">
        <w:t>141</w:t>
      </w:r>
      <w:r w:rsidR="00235425">
        <w:t xml:space="preserve">88 ¶¶ 36-49 </w:t>
      </w:r>
      <w:r w:rsidR="003155FC">
        <w:t>(2004) (</w:t>
      </w:r>
      <w:r w:rsidR="007D0B5A">
        <w:t>“</w:t>
      </w:r>
      <w:r w:rsidR="003155FC">
        <w:rPr>
          <w:i/>
        </w:rPr>
        <w:t>BRS/EBS R&amp;O</w:t>
      </w:r>
      <w:r w:rsidR="007D0B5A">
        <w:t>”</w:t>
      </w:r>
      <w:r w:rsidR="003155FC">
        <w:t>)</w:t>
      </w:r>
      <w:r w:rsidR="00BC74C9">
        <w:t xml:space="preserve">; </w:t>
      </w:r>
      <w:r w:rsidR="003923E7">
        <w:rPr>
          <w:i/>
        </w:rPr>
        <w:t xml:space="preserve">see also </w:t>
      </w:r>
      <w:r w:rsidR="00BC74C9">
        <w:rPr>
          <w:i/>
        </w:rPr>
        <w:t>Order on Reconsideration and Fifth Memorandum Opinion and Order and Third Memorandum Opinion and Order and Second Report and Order</w:t>
      </w:r>
      <w:r w:rsidR="00BC74C9">
        <w:t>, 21 FCC Rcd 5606 (2006) (</w:t>
      </w:r>
      <w:r w:rsidR="007D0B5A">
        <w:t>“</w:t>
      </w:r>
      <w:r w:rsidR="00BC74C9">
        <w:rPr>
          <w:i/>
        </w:rPr>
        <w:t xml:space="preserve">BRS/EBS </w:t>
      </w:r>
      <w:r w:rsidR="000E72FC">
        <w:rPr>
          <w:i/>
        </w:rPr>
        <w:t>3</w:t>
      </w:r>
      <w:r w:rsidR="000E72FC" w:rsidRPr="00B9274E">
        <w:rPr>
          <w:i/>
          <w:vertAlign w:val="superscript"/>
        </w:rPr>
        <w:t>rd</w:t>
      </w:r>
      <w:r w:rsidR="000E72FC">
        <w:rPr>
          <w:i/>
        </w:rPr>
        <w:t xml:space="preserve"> MO&amp;O &amp; 2</w:t>
      </w:r>
      <w:r w:rsidR="000E72FC" w:rsidRPr="00B9274E">
        <w:rPr>
          <w:i/>
          <w:vertAlign w:val="superscript"/>
        </w:rPr>
        <w:t>nd</w:t>
      </w:r>
      <w:r w:rsidR="000E72FC">
        <w:rPr>
          <w:i/>
        </w:rPr>
        <w:t xml:space="preserve"> R&amp;O</w:t>
      </w:r>
      <w:r w:rsidR="007D0B5A">
        <w:t>”)</w:t>
      </w:r>
      <w:r w:rsidR="003155FC">
        <w:t>.</w:t>
      </w:r>
    </w:p>
  </w:footnote>
  <w:footnote w:id="3">
    <w:p w14:paraId="7AE78276" w14:textId="77777777" w:rsidR="001B39F7" w:rsidRPr="001B39F7" w:rsidRDefault="001B39F7">
      <w:pPr>
        <w:pStyle w:val="FootnoteText"/>
      </w:pPr>
      <w:r>
        <w:rPr>
          <w:rStyle w:val="FootnoteReference"/>
        </w:rPr>
        <w:footnoteRef/>
      </w:r>
      <w:r>
        <w:t xml:space="preserve"> Allocation of a given frequency band to a particular service on a primary basis entitles operators to protection against harmful interference from stations of “secondary” services.  Fur</w:t>
      </w:r>
      <w:r w:rsidR="00D01006">
        <w:t>t</w:t>
      </w:r>
      <w:r>
        <w:t xml:space="preserve">her, secondary services cannot claim protection from harmful interference caused by stations of a primary service.  </w:t>
      </w:r>
      <w:r>
        <w:rPr>
          <w:i/>
        </w:rPr>
        <w:t>See</w:t>
      </w:r>
      <w:r>
        <w:t xml:space="preserve"> 47 C.F.R §§ 2.104(d) and 2.105(c).  Co-primary means that the services share a frequency band on an equal basis, that facilities will be protected based on the order in which the license applications are coordinated and authorized, and that the services have equal rights of protection against harmful interference from stations of secondary services. </w:t>
      </w:r>
    </w:p>
  </w:footnote>
  <w:footnote w:id="4">
    <w:p w14:paraId="1E84E9E5" w14:textId="77777777" w:rsidR="001C7A54" w:rsidRDefault="001C7A54">
      <w:pPr>
        <w:pStyle w:val="FootnoteText"/>
      </w:pPr>
      <w:r w:rsidRPr="001230CD">
        <w:rPr>
          <w:rStyle w:val="FootnoteReference"/>
        </w:rPr>
        <w:footnoteRef/>
      </w:r>
      <w:r>
        <w:t xml:space="preserve"> </w:t>
      </w:r>
      <w:r w:rsidR="00FC6185" w:rsidRPr="00FC6185">
        <w:rPr>
          <w:i/>
        </w:rPr>
        <w:t>See</w:t>
      </w:r>
      <w:r w:rsidR="00FC6185">
        <w:t xml:space="preserve"> </w:t>
      </w:r>
      <w:r w:rsidR="00FC6185">
        <w:rPr>
          <w:i/>
        </w:rPr>
        <w:t>BRS/EBS R&amp;O</w:t>
      </w:r>
      <w:r w:rsidR="003155FC">
        <w:t xml:space="preserve"> at 14182-14187 ¶¶ </w:t>
      </w:r>
      <w:r w:rsidR="005F654C">
        <w:t>27</w:t>
      </w:r>
      <w:r w:rsidR="003155FC">
        <w:t>-47</w:t>
      </w:r>
      <w:r w:rsidR="006E041F">
        <w:t xml:space="preserve">.  </w:t>
      </w:r>
      <w:r w:rsidR="006E041F">
        <w:rPr>
          <w:i/>
        </w:rPr>
        <w:t>See also</w:t>
      </w:r>
      <w:r w:rsidR="006E041F">
        <w:t xml:space="preserve"> Review of the Spectrum Sharing Plan Among Non-Geostationary Satellite Orbit Mobile Satellite Service Systems in the 1.6/2.4 GHz Bands, Amendment of Part 2 of the Commission’s Rules to Allocate Spectrum Below 3 GHz for Mobile and Fixed Services to Support the Introduction of New Advanced Wireless Services, Including Third Generation Wireless Systems, IB Docket No. 02-364, ET Docket No. 00-258, </w:t>
      </w:r>
      <w:r w:rsidR="006E041F">
        <w:rPr>
          <w:i/>
        </w:rPr>
        <w:t>Report and Order</w:t>
      </w:r>
      <w:r w:rsidR="006E041F">
        <w:t xml:space="preserve">, </w:t>
      </w:r>
      <w:r w:rsidR="006E041F">
        <w:rPr>
          <w:i/>
        </w:rPr>
        <w:t>Fourth Report and Order and Further Notice of Proposed Rulemaking</w:t>
      </w:r>
      <w:r w:rsidR="006E041F">
        <w:t xml:space="preserve">, 19 FCC Rcd 13356, </w:t>
      </w:r>
      <w:r w:rsidR="00BD2D60">
        <w:t xml:space="preserve">13387  ¶¶ 69-74 </w:t>
      </w:r>
      <w:r w:rsidR="00BC74C9">
        <w:t>(2004) (</w:t>
      </w:r>
      <w:r w:rsidR="007D0B5A">
        <w:t>“</w:t>
      </w:r>
      <w:r w:rsidR="006E041F">
        <w:rPr>
          <w:i/>
        </w:rPr>
        <w:t>Big LEO Spectrum Sharing Order</w:t>
      </w:r>
      <w:r w:rsidR="007D0B5A">
        <w:t>”</w:t>
      </w:r>
      <w:r w:rsidR="006E041F">
        <w:t>)</w:t>
      </w:r>
      <w:r w:rsidR="003923E7">
        <w:t xml:space="preserve">; </w:t>
      </w:r>
      <w:r w:rsidR="00BC74C9">
        <w:rPr>
          <w:i/>
        </w:rPr>
        <w:t>Order on Reconsideration and Fifth Memorandum Opinion and Order and Third Memorandum Opinion and Order and Second Report and Order</w:t>
      </w:r>
      <w:r w:rsidR="00BC74C9">
        <w:t>, 21 FCC Rcd 5606</w:t>
      </w:r>
      <w:r w:rsidR="00235425">
        <w:t>, 5623- 26 ¶¶ 29-34; 5628-30 ¶¶ 38-42; 5631-32 ¶¶ 44-47</w:t>
      </w:r>
      <w:r w:rsidR="00BC74C9">
        <w:t xml:space="preserve"> (2006) (</w:t>
      </w:r>
      <w:r w:rsidR="007D0B5A">
        <w:t>“</w:t>
      </w:r>
      <w:r w:rsidR="00BC74C9">
        <w:rPr>
          <w:i/>
        </w:rPr>
        <w:t>Big LEO Spectrum Sharing Reconsideration Order</w:t>
      </w:r>
      <w:r w:rsidR="007D0B5A">
        <w:t>”</w:t>
      </w:r>
      <w:r w:rsidR="00BC74C9">
        <w:t xml:space="preserve">); </w:t>
      </w:r>
      <w:r w:rsidR="005F654C">
        <w:t>47 C.F.R. § 2.106 NG 147</w:t>
      </w:r>
      <w:r w:rsidR="003155FC">
        <w:t>.</w:t>
      </w:r>
      <w:r w:rsidR="00AC403E">
        <w:t xml:space="preserve"> </w:t>
      </w:r>
    </w:p>
  </w:footnote>
  <w:footnote w:id="5">
    <w:p w14:paraId="6C0DC7F0" w14:textId="77777777" w:rsidR="001B58B8" w:rsidRPr="00273EBF" w:rsidRDefault="001B58B8">
      <w:pPr>
        <w:pStyle w:val="FootnoteText"/>
      </w:pPr>
      <w:r>
        <w:rPr>
          <w:rStyle w:val="FootnoteReference"/>
        </w:rPr>
        <w:footnoteRef/>
      </w:r>
      <w:r>
        <w:t xml:space="preserve"> </w:t>
      </w:r>
      <w:r>
        <w:rPr>
          <w:i/>
        </w:rPr>
        <w:t>See B</w:t>
      </w:r>
      <w:r w:rsidR="009A1AA3">
        <w:rPr>
          <w:i/>
        </w:rPr>
        <w:t>ig LEO Spectrum Sharing Order</w:t>
      </w:r>
      <w:r>
        <w:t xml:space="preserve"> at</w:t>
      </w:r>
      <w:r w:rsidR="009A1AA3">
        <w:t xml:space="preserve"> </w:t>
      </w:r>
      <w:r w:rsidR="00273EBF">
        <w:t>13388-</w:t>
      </w:r>
      <w:r w:rsidR="001230CD">
        <w:t>133</w:t>
      </w:r>
      <w:r w:rsidR="00273EBF">
        <w:t>89 ¶¶ 72-74.</w:t>
      </w:r>
    </w:p>
  </w:footnote>
  <w:footnote w:id="6">
    <w:p w14:paraId="67BC228B" w14:textId="77777777" w:rsidR="001C7A54" w:rsidRDefault="001C7A54">
      <w:pPr>
        <w:pStyle w:val="FootnoteText"/>
      </w:pPr>
      <w:r>
        <w:rPr>
          <w:rStyle w:val="FootnoteReference"/>
        </w:rPr>
        <w:footnoteRef/>
      </w:r>
      <w:r>
        <w:rPr>
          <w:i/>
        </w:rPr>
        <w:t xml:space="preserve"> </w:t>
      </w:r>
      <w:r w:rsidR="00FC6185" w:rsidRPr="00FC6185">
        <w:rPr>
          <w:i/>
        </w:rPr>
        <w:t>See</w:t>
      </w:r>
      <w:r w:rsidR="00FC6185">
        <w:t xml:space="preserve"> </w:t>
      </w:r>
      <w:r w:rsidR="00FC6185">
        <w:rPr>
          <w:i/>
        </w:rPr>
        <w:t>BRS/EBS R&amp;O</w:t>
      </w:r>
      <w:r w:rsidR="001230CD">
        <w:t>, 19 FCC Rcd</w:t>
      </w:r>
      <w:r>
        <w:rPr>
          <w:i/>
        </w:rPr>
        <w:t xml:space="preserve"> </w:t>
      </w:r>
      <w:r>
        <w:t>at 14213-14215 ¶¶ 124-130.</w:t>
      </w:r>
    </w:p>
  </w:footnote>
  <w:footnote w:id="7">
    <w:p w14:paraId="37861F1D" w14:textId="77777777" w:rsidR="001C7A54" w:rsidRDefault="001C7A54">
      <w:pPr>
        <w:pStyle w:val="FootnoteText"/>
      </w:pPr>
      <w:r>
        <w:rPr>
          <w:rStyle w:val="FootnoteReference"/>
        </w:rPr>
        <w:footnoteRef/>
      </w:r>
      <w:r>
        <w:t xml:space="preserve"> </w:t>
      </w:r>
      <w:r>
        <w:rPr>
          <w:i/>
        </w:rPr>
        <w:t xml:space="preserve">Id. </w:t>
      </w:r>
      <w:r>
        <w:t>at 14215 ¶ 130.</w:t>
      </w:r>
    </w:p>
  </w:footnote>
  <w:footnote w:id="8">
    <w:p w14:paraId="2F64759A" w14:textId="77777777" w:rsidR="001C7A54" w:rsidRDefault="001C7A54">
      <w:pPr>
        <w:pStyle w:val="FootnoteText"/>
      </w:pPr>
      <w:r>
        <w:rPr>
          <w:rStyle w:val="FootnoteReference"/>
        </w:rPr>
        <w:footnoteRef/>
      </w:r>
      <w:r>
        <w:t xml:space="preserve"> </w:t>
      </w:r>
      <w:r>
        <w:rPr>
          <w:i/>
        </w:rPr>
        <w:t>Id.</w:t>
      </w:r>
      <w:r>
        <w:t xml:space="preserve"> at 14215 ¶ 128.  </w:t>
      </w:r>
      <w:r>
        <w:rPr>
          <w:i/>
        </w:rPr>
        <w:t>See also</w:t>
      </w:r>
      <w:r>
        <w:t xml:space="preserve"> 47 C.F.R. § 27.53(m)(4).</w:t>
      </w:r>
    </w:p>
  </w:footnote>
  <w:footnote w:id="9">
    <w:p w14:paraId="3C005529" w14:textId="77777777" w:rsidR="001C7A54" w:rsidRDefault="001C7A54" w:rsidP="00A000D8">
      <w:pPr>
        <w:pStyle w:val="FootnoteText"/>
      </w:pPr>
      <w:r>
        <w:rPr>
          <w:rStyle w:val="FootnoteReference"/>
        </w:rPr>
        <w:footnoteRef/>
      </w:r>
      <w:r>
        <w:t xml:space="preserve"> </w:t>
      </w:r>
      <w:r w:rsidR="00FC6185" w:rsidRPr="00FC6185">
        <w:rPr>
          <w:i/>
        </w:rPr>
        <w:t>See</w:t>
      </w:r>
      <w:r w:rsidR="00FC6185">
        <w:t xml:space="preserve"> </w:t>
      </w:r>
      <w:r w:rsidR="00FC6185">
        <w:rPr>
          <w:i/>
        </w:rPr>
        <w:t>BRS/EBS R&amp;</w:t>
      </w:r>
      <w:r w:rsidR="00FC6185" w:rsidRPr="00E232F9">
        <w:rPr>
          <w:i/>
        </w:rPr>
        <w:t>O</w:t>
      </w:r>
      <w:r w:rsidR="001230CD">
        <w:t>, 19 FCC Rcd</w:t>
      </w:r>
      <w:r w:rsidR="001230CD">
        <w:rPr>
          <w:i/>
        </w:rPr>
        <w:t xml:space="preserve"> </w:t>
      </w:r>
      <w:r w:rsidRPr="00823D88">
        <w:t>at 14215</w:t>
      </w:r>
      <w:r>
        <w:rPr>
          <w:i/>
        </w:rPr>
        <w:t xml:space="preserve"> </w:t>
      </w:r>
      <w:r>
        <w:t>¶ 129.</w:t>
      </w:r>
      <w:r w:rsidR="00EC6348">
        <w:t xml:space="preserve">  Under the Commission’s rules, harmful interference is defined as interference which endangers the functioning of a radionavigation service or of other safety services or seriously degrades, obstructs, or repeatedly interrupts a radiocommunication service operating in accordance with the International Telecommunication Union Radio Regulations.  47 C.F.R. § 2.1(c).</w:t>
      </w:r>
    </w:p>
  </w:footnote>
  <w:footnote w:id="10">
    <w:p w14:paraId="73CFD2EB" w14:textId="77777777" w:rsidR="00DF0F0D" w:rsidRPr="00DF0F0D" w:rsidRDefault="00DF0F0D">
      <w:pPr>
        <w:pStyle w:val="FootnoteText"/>
      </w:pPr>
      <w:r>
        <w:rPr>
          <w:rStyle w:val="FootnoteReference"/>
        </w:rPr>
        <w:footnoteRef/>
      </w:r>
      <w:r>
        <w:t xml:space="preserve"> Clearwire is now a wholly-owned subsidiary of Sprint Nextel Corporation.  </w:t>
      </w:r>
      <w:r>
        <w:rPr>
          <w:i/>
        </w:rPr>
        <w:t>See</w:t>
      </w:r>
      <w:r>
        <w:t xml:space="preserve"> </w:t>
      </w:r>
      <w:r w:rsidRPr="00DF0F0D">
        <w:t>Applications of SOFTBANK CORP., Starburst II, Inc., Sprint Nextel Corporation, and Clearwire Corporation</w:t>
      </w:r>
      <w:r>
        <w:t xml:space="preserve">, </w:t>
      </w:r>
      <w:r>
        <w:rPr>
          <w:i/>
        </w:rPr>
        <w:t>et al</w:t>
      </w:r>
      <w:r>
        <w:t xml:space="preserve">., IB Docket No. 12-343, </w:t>
      </w:r>
      <w:r w:rsidRPr="00DF0F0D">
        <w:rPr>
          <w:i/>
        </w:rPr>
        <w:t>Memorandum Opinion and Order, Declaratory Ruling, and Order on Reconsideration</w:t>
      </w:r>
      <w:r>
        <w:t>, 28 FCC Rcd 9642 (2013).</w:t>
      </w:r>
    </w:p>
  </w:footnote>
  <w:footnote w:id="11">
    <w:p w14:paraId="06DB7716" w14:textId="77777777" w:rsidR="001C7A54" w:rsidRDefault="001C7A54">
      <w:pPr>
        <w:pStyle w:val="FootnoteText"/>
      </w:pPr>
      <w:r>
        <w:rPr>
          <w:rStyle w:val="FootnoteReference"/>
        </w:rPr>
        <w:footnoteRef/>
      </w:r>
      <w:r>
        <w:t xml:space="preserve"> </w:t>
      </w:r>
      <w:r>
        <w:rPr>
          <w:i/>
        </w:rPr>
        <w:t>See</w:t>
      </w:r>
      <w:r>
        <w:t xml:space="preserve"> Comments of Clearwire Corporation, RM-11614 (filed Dec. 6, 2010) at 1-2.</w:t>
      </w:r>
    </w:p>
  </w:footnote>
  <w:footnote w:id="12">
    <w:p w14:paraId="2C744842" w14:textId="0762B1F7" w:rsidR="006F4402" w:rsidRPr="00B15CBE" w:rsidRDefault="006F4402" w:rsidP="006F4402">
      <w:pPr>
        <w:pStyle w:val="FootnoteText"/>
      </w:pPr>
      <w:r>
        <w:rPr>
          <w:rStyle w:val="FootnoteReference"/>
        </w:rPr>
        <w:footnoteRef/>
      </w:r>
      <w:r>
        <w:t xml:space="preserve"> </w:t>
      </w:r>
      <w:r>
        <w:rPr>
          <w:i/>
        </w:rPr>
        <w:t>See</w:t>
      </w:r>
      <w:r>
        <w:t xml:space="preserve"> </w:t>
      </w:r>
      <w:hyperlink r:id="rId1" w:history="1">
        <w:r w:rsidRPr="000F0A1D">
          <w:rPr>
            <w:rStyle w:val="Hyperlink"/>
          </w:rPr>
          <w:t>http://newsroom.sprint.com/presskits/sprint-spark.htm</w:t>
        </w:r>
      </w:hyperlink>
      <w:r>
        <w:t xml:space="preserve">.  </w:t>
      </w:r>
    </w:p>
  </w:footnote>
  <w:footnote w:id="13">
    <w:p w14:paraId="0404C779" w14:textId="77777777" w:rsidR="006F4402" w:rsidRDefault="006F4402">
      <w:pPr>
        <w:pStyle w:val="FootnoteText"/>
      </w:pPr>
      <w:r>
        <w:rPr>
          <w:rStyle w:val="FootnoteReference"/>
        </w:rPr>
        <w:footnoteRef/>
      </w:r>
      <w:r>
        <w:t xml:space="preserve"> </w:t>
      </w:r>
      <w:r>
        <w:rPr>
          <w:i/>
        </w:rPr>
        <w:t xml:space="preserve">See also </w:t>
      </w:r>
      <w:r>
        <w:t>Comments of the Wireless Communications Association International, Inc. (filed July 7, 2011) (“WCAI Comments”) at 3 and n.7.</w:t>
      </w:r>
    </w:p>
  </w:footnote>
  <w:footnote w:id="14">
    <w:p w14:paraId="466528F9" w14:textId="77777777" w:rsidR="00614131" w:rsidRPr="00183642" w:rsidRDefault="00614131" w:rsidP="00614131">
      <w:pPr>
        <w:pStyle w:val="FootnoteText"/>
      </w:pPr>
      <w:r>
        <w:rPr>
          <w:rStyle w:val="FootnoteReference"/>
        </w:rPr>
        <w:footnoteRef/>
      </w:r>
      <w:r>
        <w:t xml:space="preserve"> </w:t>
      </w:r>
      <w:r>
        <w:rPr>
          <w:i/>
        </w:rPr>
        <w:t xml:space="preserve">See </w:t>
      </w:r>
      <w:r w:rsidRPr="00183642">
        <w:t>LTE;</w:t>
      </w:r>
      <w:r>
        <w:t xml:space="preserve"> </w:t>
      </w:r>
      <w:r w:rsidRPr="00183642">
        <w:t>Evolved Universal Terrestrial Radio Access (E-UTRA);</w:t>
      </w:r>
      <w:r>
        <w:t xml:space="preserve"> </w:t>
      </w:r>
      <w:r w:rsidRPr="00183642">
        <w:t>User Equipment (UE) radio transmission and reception</w:t>
      </w:r>
      <w:r>
        <w:t xml:space="preserve"> </w:t>
      </w:r>
      <w:r w:rsidRPr="00183642">
        <w:t>(3GPP TS 36.101 version 10.8.0 Release 10)</w:t>
      </w:r>
      <w:r>
        <w:t xml:space="preserve"> (“LTE Release 10 Technical Standards”) at 20 (</w:t>
      </w:r>
      <w:r w:rsidRPr="00183642">
        <w:t>Table 5.5-1 E-UTRA operating bands</w:t>
      </w:r>
      <w:r>
        <w:t>).</w:t>
      </w:r>
    </w:p>
  </w:footnote>
  <w:footnote w:id="15">
    <w:p w14:paraId="31E1C541" w14:textId="75E37AA7" w:rsidR="001C7A54" w:rsidRPr="006F4402" w:rsidRDefault="001C7A54">
      <w:pPr>
        <w:pStyle w:val="FootnoteText"/>
      </w:pPr>
      <w:r>
        <w:rPr>
          <w:rStyle w:val="FootnoteReference"/>
        </w:rPr>
        <w:footnoteRef/>
      </w:r>
      <w:r w:rsidR="006F4402">
        <w:rPr>
          <w:i/>
        </w:rPr>
        <w:t xml:space="preserve"> See</w:t>
      </w:r>
      <w:r w:rsidR="006F4402">
        <w:t xml:space="preserve"> </w:t>
      </w:r>
      <w:hyperlink r:id="rId2" w:history="1">
        <w:r w:rsidR="006F4402" w:rsidRPr="000F0A1D">
          <w:rPr>
            <w:rStyle w:val="Hyperlink"/>
          </w:rPr>
          <w:t>http://newsroom.sprint.com/presskits/sprint-spark.htm</w:t>
        </w:r>
      </w:hyperlink>
      <w:r w:rsidR="006F4402">
        <w:t>.</w:t>
      </w:r>
    </w:p>
  </w:footnote>
  <w:footnote w:id="16">
    <w:p w14:paraId="3D591E90" w14:textId="7A98CFC3" w:rsidR="001C7A54" w:rsidRDefault="001C7A54">
      <w:pPr>
        <w:pStyle w:val="FootnoteText"/>
      </w:pPr>
      <w:r>
        <w:rPr>
          <w:rStyle w:val="FootnoteReference"/>
        </w:rPr>
        <w:footnoteRef/>
      </w:r>
      <w:r>
        <w:t xml:space="preserve"> </w:t>
      </w:r>
      <w:r>
        <w:rPr>
          <w:i/>
        </w:rPr>
        <w:t>See</w:t>
      </w:r>
      <w:r>
        <w:t xml:space="preserve"> Standards Development Working Group - </w:t>
      </w:r>
      <w:r w:rsidRPr="00BF0379">
        <w:t>WG802.16 - Broadband Wireless Access Working Group</w:t>
      </w:r>
      <w:r>
        <w:t xml:space="preserve"> (</w:t>
      </w:r>
      <w:hyperlink r:id="rId3" w:history="1">
        <w:r w:rsidR="00C9003E" w:rsidRPr="00C9003E">
          <w:rPr>
            <w:rStyle w:val="Hyperlink"/>
          </w:rPr>
          <w:t>http://standards.ieee.org/develop/wg/WG802.16.html</w:t>
        </w:r>
      </w:hyperlink>
      <w:r>
        <w:t>) and LTE Advanced  (</w:t>
      </w:r>
      <w:hyperlink r:id="rId4" w:history="1">
        <w:r>
          <w:rPr>
            <w:rStyle w:val="Hyperlink"/>
          </w:rPr>
          <w:t>http://www.4gamericas.org/index.cfm?fuseaction=page&amp;sectionid=352</w:t>
        </w:r>
      </w:hyperlink>
      <w:r>
        <w:t>).</w:t>
      </w:r>
    </w:p>
  </w:footnote>
  <w:footnote w:id="17">
    <w:p w14:paraId="1EF64CE3" w14:textId="09E6AD37" w:rsidR="001C7A54" w:rsidRDefault="001C7A54" w:rsidP="00A000D8">
      <w:pPr>
        <w:widowControl/>
        <w:autoSpaceDE w:val="0"/>
        <w:autoSpaceDN w:val="0"/>
        <w:adjustRightInd w:val="0"/>
        <w:spacing w:after="120"/>
        <w:rPr>
          <w:sz w:val="20"/>
        </w:rPr>
      </w:pPr>
      <w:r>
        <w:rPr>
          <w:rStyle w:val="FootnoteReference"/>
        </w:rPr>
        <w:footnoteRef/>
      </w:r>
      <w:r>
        <w:t xml:space="preserve"> </w:t>
      </w:r>
      <w:r>
        <w:rPr>
          <w:i/>
        </w:rPr>
        <w:t>See</w:t>
      </w:r>
      <w:r>
        <w:t xml:space="preserve"> </w:t>
      </w:r>
      <w:r>
        <w:rPr>
          <w:snapToGrid/>
          <w:kern w:val="0"/>
          <w:sz w:val="20"/>
        </w:rPr>
        <w:t>Report ITU-R M.2134, Requirements related to technical performance for IMT-Advanced radio interface(s)</w:t>
      </w:r>
      <w:r>
        <w:rPr>
          <w:sz w:val="20"/>
        </w:rPr>
        <w:t xml:space="preserve"> at 5 Section 4.3 (</w:t>
      </w:r>
      <w:r w:rsidR="004A3437">
        <w:rPr>
          <w:sz w:val="20"/>
        </w:rPr>
        <w:t xml:space="preserve">stating that </w:t>
      </w:r>
      <w:r>
        <w:rPr>
          <w:sz w:val="20"/>
        </w:rPr>
        <w:t xml:space="preserve">IMT Advanced Technologies “shall support a scalable bandwidth up to and including 40 MHz,” and encouraging operation in bandwidths up to 100 megahertz).  </w:t>
      </w:r>
      <w:r>
        <w:rPr>
          <w:i/>
          <w:sz w:val="20"/>
        </w:rPr>
        <w:t>See also</w:t>
      </w:r>
      <w:r>
        <w:rPr>
          <w:sz w:val="20"/>
        </w:rPr>
        <w:t xml:space="preserve"> ITU paves way for next-generation 4G mobile technologies; ITU IMT-R Advanced 4G standards to usher new era of mobile broadband communications, </w:t>
      </w:r>
      <w:r>
        <w:rPr>
          <w:i/>
          <w:sz w:val="20"/>
        </w:rPr>
        <w:t>Press Release</w:t>
      </w:r>
      <w:r>
        <w:rPr>
          <w:sz w:val="20"/>
        </w:rPr>
        <w:t xml:space="preserve"> (Oct. 21, 2010)</w:t>
      </w:r>
      <w:r w:rsidR="004A3437">
        <w:rPr>
          <w:sz w:val="20"/>
        </w:rPr>
        <w:t>,</w:t>
      </w:r>
      <w:r>
        <w:rPr>
          <w:sz w:val="20"/>
        </w:rPr>
        <w:t xml:space="preserve"> available at </w:t>
      </w:r>
      <w:hyperlink r:id="rId5" w:history="1">
        <w:r>
          <w:rPr>
            <w:rStyle w:val="Hyperlink"/>
            <w:sz w:val="20"/>
          </w:rPr>
          <w:t>http://www.itu.int/net/pressoffice/press_releases/2010/40.aspx</w:t>
        </w:r>
      </w:hyperlink>
      <w:r w:rsidR="00577492">
        <w:rPr>
          <w:rStyle w:val="Hyperlink"/>
          <w:sz w:val="20"/>
        </w:rPr>
        <w:t xml:space="preserve"> </w:t>
      </w:r>
      <w:r>
        <w:rPr>
          <w:sz w:val="20"/>
        </w:rPr>
        <w:t>(designating LTE-Advanced and WiMAX2 as IMT-Advanced technologies).</w:t>
      </w:r>
    </w:p>
  </w:footnote>
  <w:footnote w:id="18">
    <w:p w14:paraId="69F05A62" w14:textId="77777777" w:rsidR="009A1B6F" w:rsidRDefault="009A1B6F" w:rsidP="009A1B6F">
      <w:pPr>
        <w:pStyle w:val="FootnoteText"/>
      </w:pPr>
      <w:r>
        <w:rPr>
          <w:rStyle w:val="FootnoteReference"/>
        </w:rPr>
        <w:footnoteRef/>
      </w:r>
      <w:r>
        <w:t xml:space="preserve"> </w:t>
      </w:r>
      <w:r>
        <w:rPr>
          <w:i/>
        </w:rPr>
        <w:t>See</w:t>
      </w:r>
      <w:r>
        <w:t xml:space="preserve"> Petition for Rulemaking, Wireless Communications Association, International, RM-11614 (filed Oct. 22, 2010) (</w:t>
      </w:r>
      <w:r w:rsidR="004A3437">
        <w:t>“</w:t>
      </w:r>
      <w:r>
        <w:t>WCAI Petition</w:t>
      </w:r>
      <w:r w:rsidR="004A3437">
        <w:t>”</w:t>
      </w:r>
      <w:r>
        <w:t>) at 3.</w:t>
      </w:r>
    </w:p>
  </w:footnote>
  <w:footnote w:id="19">
    <w:p w14:paraId="44C84B1A" w14:textId="77777777" w:rsidR="002E4EE2" w:rsidRPr="002E4EE2" w:rsidRDefault="002E4EE2">
      <w:pPr>
        <w:pStyle w:val="FootnoteText"/>
      </w:pPr>
      <w:r>
        <w:rPr>
          <w:rStyle w:val="FootnoteReference"/>
        </w:rPr>
        <w:footnoteRef/>
      </w:r>
      <w:r>
        <w:t xml:space="preserve"> </w:t>
      </w:r>
      <w:r>
        <w:rPr>
          <w:i/>
        </w:rPr>
        <w:t>See id.</w:t>
      </w:r>
      <w:r>
        <w:t xml:space="preserve"> at 4. </w:t>
      </w:r>
    </w:p>
  </w:footnote>
  <w:footnote w:id="20">
    <w:p w14:paraId="52F5F4B1" w14:textId="77777777" w:rsidR="001C7A54" w:rsidRDefault="001C7A54">
      <w:pPr>
        <w:pStyle w:val="FootnoteText"/>
      </w:pPr>
      <w:r>
        <w:rPr>
          <w:rStyle w:val="FootnoteReference"/>
        </w:rPr>
        <w:footnoteRef/>
      </w:r>
      <w:r>
        <w:t xml:space="preserve"> </w:t>
      </w:r>
      <w:r w:rsidR="004A3437" w:rsidRPr="00AD32FB">
        <w:rPr>
          <w:i/>
        </w:rPr>
        <w:t>Id.</w:t>
      </w:r>
      <w:r>
        <w:t xml:space="preserve"> at 3.</w:t>
      </w:r>
    </w:p>
  </w:footnote>
  <w:footnote w:id="21">
    <w:p w14:paraId="40B918BF" w14:textId="77777777" w:rsidR="001C7A54" w:rsidRDefault="001C7A54" w:rsidP="00A000D8">
      <w:pPr>
        <w:pStyle w:val="FootnoteText"/>
      </w:pPr>
      <w:r>
        <w:rPr>
          <w:rStyle w:val="FootnoteReference"/>
        </w:rPr>
        <w:footnoteRef/>
      </w:r>
      <w:r>
        <w:t xml:space="preserve"> </w:t>
      </w:r>
      <w:r>
        <w:rPr>
          <w:i/>
        </w:rPr>
        <w:t xml:space="preserve">Id. </w:t>
      </w:r>
      <w:r>
        <w:t>at 4-5.  WCAI</w:t>
      </w:r>
      <w:r w:rsidR="00FC6185">
        <w:t xml:space="preserve"> states that</w:t>
      </w:r>
      <w:r>
        <w:t xml:space="preserve"> such a device would require additional filtering</w:t>
      </w:r>
      <w:r w:rsidR="00FC6185">
        <w:t>, which</w:t>
      </w:r>
      <w:r>
        <w:t xml:space="preserve"> would lessen battery life and generate additional heat </w:t>
      </w:r>
      <w:r w:rsidR="00FC6185">
        <w:t>that</w:t>
      </w:r>
      <w:r>
        <w:t xml:space="preserve"> would be difficult to dissipate.  </w:t>
      </w:r>
      <w:r>
        <w:rPr>
          <w:i/>
        </w:rPr>
        <w:t>Id</w:t>
      </w:r>
      <w:r w:rsidR="00FC6185">
        <w:t>.</w:t>
      </w:r>
      <w:r>
        <w:t xml:space="preserve"> at 5</w:t>
      </w:r>
      <w:r>
        <w:rPr>
          <w:i/>
        </w:rPr>
        <w:t>.</w:t>
      </w:r>
    </w:p>
  </w:footnote>
  <w:footnote w:id="22">
    <w:p w14:paraId="17F72730" w14:textId="77777777" w:rsidR="001C7A54" w:rsidRPr="00D47A17" w:rsidRDefault="001C7A54">
      <w:pPr>
        <w:pStyle w:val="FootnoteText"/>
      </w:pPr>
      <w:r>
        <w:rPr>
          <w:rStyle w:val="FootnoteReference"/>
        </w:rPr>
        <w:footnoteRef/>
      </w:r>
      <w:r>
        <w:t xml:space="preserve"> </w:t>
      </w:r>
      <w:r>
        <w:rPr>
          <w:i/>
        </w:rPr>
        <w:t>Id.</w:t>
      </w:r>
    </w:p>
  </w:footnote>
  <w:footnote w:id="23">
    <w:p w14:paraId="7FA72111" w14:textId="77777777" w:rsidR="00CF2228" w:rsidRPr="00CF2228" w:rsidRDefault="00CF2228">
      <w:pPr>
        <w:pStyle w:val="FootnoteText"/>
      </w:pPr>
      <w:r>
        <w:rPr>
          <w:rStyle w:val="FootnoteReference"/>
        </w:rPr>
        <w:footnoteRef/>
      </w:r>
      <w:r>
        <w:t xml:space="preserve"> </w:t>
      </w:r>
      <w:r>
        <w:rPr>
          <w:i/>
        </w:rPr>
        <w:t>Id.</w:t>
      </w:r>
      <w:r>
        <w:t xml:space="preserve"> at 6.</w:t>
      </w:r>
    </w:p>
  </w:footnote>
  <w:footnote w:id="24">
    <w:p w14:paraId="49AC9810" w14:textId="77777777" w:rsidR="001C7A54" w:rsidRDefault="001C7A54" w:rsidP="00A000D8">
      <w:pPr>
        <w:pStyle w:val="FootnoteText"/>
      </w:pPr>
      <w:r>
        <w:rPr>
          <w:rStyle w:val="FootnoteReference"/>
        </w:rPr>
        <w:footnoteRef/>
      </w:r>
      <w:r>
        <w:t xml:space="preserve"> </w:t>
      </w:r>
      <w:r>
        <w:rPr>
          <w:i/>
        </w:rPr>
        <w:t xml:space="preserve">Id. </w:t>
      </w:r>
      <w:r>
        <w:t>at 6.</w:t>
      </w:r>
    </w:p>
  </w:footnote>
  <w:footnote w:id="25">
    <w:p w14:paraId="7D5286A2" w14:textId="77777777" w:rsidR="001C7A54" w:rsidRDefault="001C7A54">
      <w:pPr>
        <w:pStyle w:val="FootnoteText"/>
      </w:pPr>
      <w:r>
        <w:rPr>
          <w:rStyle w:val="FootnoteReference"/>
        </w:rPr>
        <w:footnoteRef/>
      </w:r>
      <w:r>
        <w:t xml:space="preserve"> Amendment of Parts 1, 21, 73, 74 and 101 of the Commission’s Rules to Facilitate the Provision of Fixed and Mobile Broadband Access, Educational and Other Advanced Services in the 2150-2162 and 2500-2690 MHz Bands, </w:t>
      </w:r>
      <w:r>
        <w:rPr>
          <w:i/>
        </w:rPr>
        <w:t>Fourth Further Notice of Proposed Rulemaking,</w:t>
      </w:r>
      <w:r>
        <w:t xml:space="preserve"> WT Docket No. 03-66, 26 FCC Rcd 8133, 8138 ¶ 11 (2011) (</w:t>
      </w:r>
      <w:r>
        <w:rPr>
          <w:i/>
        </w:rPr>
        <w:t>BRS/EBS OOBE FNPRM</w:t>
      </w:r>
      <w:r>
        <w:t>).</w:t>
      </w:r>
    </w:p>
  </w:footnote>
  <w:footnote w:id="26">
    <w:p w14:paraId="6203F979" w14:textId="77777777" w:rsidR="001C7A54" w:rsidRPr="004537D3" w:rsidRDefault="001C7A54">
      <w:pPr>
        <w:pStyle w:val="FootnoteText"/>
      </w:pPr>
      <w:r>
        <w:rPr>
          <w:rStyle w:val="FootnoteReference"/>
        </w:rPr>
        <w:footnoteRef/>
      </w:r>
      <w:r>
        <w:t xml:space="preserve"> </w:t>
      </w:r>
      <w:r>
        <w:rPr>
          <w:i/>
        </w:rPr>
        <w:t>Id.</w:t>
      </w:r>
      <w:r>
        <w:t xml:space="preserve"> at</w:t>
      </w:r>
      <w:r w:rsidRPr="000650DA">
        <w:t xml:space="preserve"> 8138 ¶ 12.</w:t>
      </w:r>
      <w:r w:rsidR="004537D3">
        <w:t xml:space="preserve">  </w:t>
      </w:r>
      <w:r w:rsidR="004537D3">
        <w:rPr>
          <w:i/>
        </w:rPr>
        <w:t xml:space="preserve">See also </w:t>
      </w:r>
      <w:r w:rsidR="004537D3">
        <w:t>WCAI Petition at 2.</w:t>
      </w:r>
    </w:p>
  </w:footnote>
  <w:footnote w:id="27">
    <w:p w14:paraId="4D868447" w14:textId="77777777" w:rsidR="001C7A54" w:rsidRDefault="001C7A54">
      <w:pPr>
        <w:pStyle w:val="FootnoteText"/>
      </w:pPr>
      <w:r>
        <w:rPr>
          <w:rStyle w:val="FootnoteReference"/>
        </w:rPr>
        <w:footnoteRef/>
      </w:r>
      <w:r>
        <w:t xml:space="preserve"> </w:t>
      </w:r>
      <w:r>
        <w:rPr>
          <w:i/>
        </w:rPr>
        <w:t>Id</w:t>
      </w:r>
      <w:r w:rsidRPr="000650DA">
        <w:t>.</w:t>
      </w:r>
      <w:r>
        <w:t xml:space="preserve">  47 C.F.R. § 27.53(m)(6) defines the emission bandwidth “as the width of the signal between two points, one below the carrier center frequency and one above the carrier center frequency, outside of which all emissions are attenuated at least 26 dB below the transmitter power.”</w:t>
      </w:r>
    </w:p>
  </w:footnote>
  <w:footnote w:id="28">
    <w:p w14:paraId="3C8D7228" w14:textId="77777777" w:rsidR="001C7A54" w:rsidRDefault="001C7A54" w:rsidP="00A000D8">
      <w:pPr>
        <w:pStyle w:val="FootnoteText"/>
      </w:pPr>
      <w:r>
        <w:rPr>
          <w:rStyle w:val="FootnoteReference"/>
        </w:rPr>
        <w:footnoteRef/>
      </w:r>
      <w:r>
        <w:t xml:space="preserve"> </w:t>
      </w:r>
      <w:r>
        <w:rPr>
          <w:i/>
        </w:rPr>
        <w:t xml:space="preserve">BRS/EBS OOBE FNPRM, </w:t>
      </w:r>
      <w:r w:rsidRPr="000650DA">
        <w:t>26 FCC Rcd</w:t>
      </w:r>
      <w:r>
        <w:t xml:space="preserve"> at</w:t>
      </w:r>
      <w:r w:rsidRPr="000650DA">
        <w:t xml:space="preserve"> 8138 ¶ 1</w:t>
      </w:r>
      <w:r>
        <w:t>3</w:t>
      </w:r>
      <w:r w:rsidRPr="000650DA">
        <w:t>.</w:t>
      </w:r>
    </w:p>
  </w:footnote>
  <w:footnote w:id="29">
    <w:p w14:paraId="1961449F" w14:textId="77777777" w:rsidR="001C7A54" w:rsidRDefault="001C7A54" w:rsidP="00A000D8">
      <w:pPr>
        <w:pStyle w:val="FootnoteText"/>
      </w:pPr>
      <w:r>
        <w:rPr>
          <w:rStyle w:val="FootnoteReference"/>
        </w:rPr>
        <w:footnoteRef/>
      </w:r>
      <w:r>
        <w:t xml:space="preserve"> </w:t>
      </w:r>
      <w:r>
        <w:rPr>
          <w:i/>
        </w:rPr>
        <w:t>Id.</w:t>
      </w:r>
      <w:r>
        <w:t xml:space="preserve"> at</w:t>
      </w:r>
      <w:r w:rsidRPr="000650DA">
        <w:t xml:space="preserve"> 813</w:t>
      </w:r>
      <w:r>
        <w:t>9</w:t>
      </w:r>
      <w:r w:rsidRPr="000650DA">
        <w:t xml:space="preserve"> ¶ 1</w:t>
      </w:r>
      <w:r>
        <w:t>4</w:t>
      </w:r>
      <w:r w:rsidRPr="000650DA">
        <w:t>.</w:t>
      </w:r>
    </w:p>
  </w:footnote>
  <w:footnote w:id="30">
    <w:p w14:paraId="4392444E" w14:textId="77777777" w:rsidR="001C7A54" w:rsidRDefault="001C7A54" w:rsidP="00A000D8">
      <w:pPr>
        <w:pStyle w:val="FootnoteText"/>
      </w:pPr>
      <w:r>
        <w:rPr>
          <w:rStyle w:val="FootnoteReference"/>
        </w:rPr>
        <w:footnoteRef/>
      </w:r>
      <w:r>
        <w:t xml:space="preserve"> </w:t>
      </w:r>
      <w:r>
        <w:rPr>
          <w:i/>
        </w:rPr>
        <w:t>Id.</w:t>
      </w:r>
      <w:r>
        <w:t xml:space="preserve"> at</w:t>
      </w:r>
      <w:r w:rsidRPr="000650DA">
        <w:t xml:space="preserve"> 813</w:t>
      </w:r>
      <w:r>
        <w:t>9</w:t>
      </w:r>
      <w:r w:rsidRPr="000650DA">
        <w:t xml:space="preserve"> ¶ 1</w:t>
      </w:r>
      <w:r>
        <w:t>5</w:t>
      </w:r>
      <w:r w:rsidRPr="000650DA">
        <w:t>.</w:t>
      </w:r>
    </w:p>
  </w:footnote>
  <w:footnote w:id="31">
    <w:p w14:paraId="5D53352F" w14:textId="77777777" w:rsidR="001C7A54" w:rsidRDefault="001C7A54" w:rsidP="00A000D8">
      <w:pPr>
        <w:pStyle w:val="FootnoteText"/>
      </w:pPr>
      <w:r>
        <w:rPr>
          <w:rStyle w:val="FootnoteReference"/>
        </w:rPr>
        <w:footnoteRef/>
      </w:r>
      <w:r>
        <w:t xml:space="preserve"> </w:t>
      </w:r>
      <w:r>
        <w:rPr>
          <w:i/>
        </w:rPr>
        <w:t>Id.</w:t>
      </w:r>
      <w:r>
        <w:t xml:space="preserve"> at </w:t>
      </w:r>
      <w:r w:rsidRPr="000650DA">
        <w:t>81</w:t>
      </w:r>
      <w:r>
        <w:t>40</w:t>
      </w:r>
      <w:r w:rsidRPr="000650DA">
        <w:t xml:space="preserve"> ¶ 1</w:t>
      </w:r>
      <w:r>
        <w:t>6</w:t>
      </w:r>
      <w:r w:rsidRPr="000650DA">
        <w:t>.</w:t>
      </w:r>
    </w:p>
  </w:footnote>
  <w:footnote w:id="32">
    <w:p w14:paraId="5C2C258A" w14:textId="77777777" w:rsidR="001C7A54" w:rsidRDefault="001C7A54" w:rsidP="00A000D8">
      <w:pPr>
        <w:pStyle w:val="FootnoteText"/>
      </w:pPr>
      <w:r>
        <w:rPr>
          <w:rStyle w:val="FootnoteReference"/>
        </w:rPr>
        <w:footnoteRef/>
      </w:r>
      <w:r>
        <w:t xml:space="preserve"> </w:t>
      </w:r>
      <w:r>
        <w:rPr>
          <w:i/>
        </w:rPr>
        <w:t xml:space="preserve">Id. </w:t>
      </w:r>
      <w:r>
        <w:t>at</w:t>
      </w:r>
      <w:r w:rsidRPr="000650DA">
        <w:t xml:space="preserve"> </w:t>
      </w:r>
      <w:r>
        <w:t xml:space="preserve">8140 </w:t>
      </w:r>
      <w:r w:rsidRPr="000650DA">
        <w:t>¶ 1</w:t>
      </w:r>
      <w:r>
        <w:t>7</w:t>
      </w:r>
      <w:r w:rsidRPr="000650DA">
        <w:t>.</w:t>
      </w:r>
    </w:p>
  </w:footnote>
  <w:footnote w:id="33">
    <w:p w14:paraId="24A8F454" w14:textId="77777777" w:rsidR="001C7A54" w:rsidRDefault="001C7A54" w:rsidP="00A000D8">
      <w:pPr>
        <w:pStyle w:val="FootnoteText"/>
      </w:pPr>
      <w:r>
        <w:rPr>
          <w:rStyle w:val="FootnoteReference"/>
        </w:rPr>
        <w:footnoteRef/>
      </w:r>
      <w:r>
        <w:t xml:space="preserve"> </w:t>
      </w:r>
      <w:r>
        <w:rPr>
          <w:i/>
        </w:rPr>
        <w:t>Id.</w:t>
      </w:r>
    </w:p>
  </w:footnote>
  <w:footnote w:id="34">
    <w:p w14:paraId="00B20227" w14:textId="77777777" w:rsidR="001C7A54" w:rsidRDefault="001C7A54" w:rsidP="00A000D8">
      <w:pPr>
        <w:pStyle w:val="FootnoteText"/>
      </w:pPr>
      <w:r>
        <w:rPr>
          <w:rStyle w:val="FootnoteReference"/>
        </w:rPr>
        <w:footnoteRef/>
      </w:r>
      <w:r>
        <w:rPr>
          <w:i/>
        </w:rPr>
        <w:t xml:space="preserve"> Id</w:t>
      </w:r>
      <w:r>
        <w:t>.</w:t>
      </w:r>
    </w:p>
  </w:footnote>
  <w:footnote w:id="35">
    <w:p w14:paraId="48093828" w14:textId="77777777" w:rsidR="00053B2C" w:rsidRDefault="00053B2C" w:rsidP="00053B2C">
      <w:pPr>
        <w:pStyle w:val="FootnoteText"/>
      </w:pPr>
      <w:r>
        <w:rPr>
          <w:rStyle w:val="FootnoteReference"/>
        </w:rPr>
        <w:footnoteRef/>
      </w:r>
      <w:r>
        <w:t xml:space="preserve"> Comments of Alcatel Lucent (filed July 7, 2011) (“Alcatel Lucent Comments”) at 2; </w:t>
      </w:r>
      <w:r w:rsidRPr="000228AF">
        <w:t>Comments of Catholic Television Network and National EBS Association</w:t>
      </w:r>
      <w:r>
        <w:t xml:space="preserve"> (filed July 7, 2011) (“CTN/NEBSA Comments”); Comments of Clearwire Corporation (filed July 7, 2011) (“Clearwire Comments”); </w:t>
      </w:r>
      <w:r w:rsidRPr="000228AF">
        <w:t>Comments of GCT Semiconductor</w:t>
      </w:r>
      <w:r>
        <w:t xml:space="preserve"> (filed July 7, 2011) (“GCT Comments”); </w:t>
      </w:r>
      <w:r w:rsidRPr="00056BCD">
        <w:t>Comments of Huawei Technologies (USA)</w:t>
      </w:r>
      <w:r>
        <w:t xml:space="preserve"> (filed July 7, 2011) (“Huawei Comments”); Comments of Motorola Mobility, Inc. (filed July 7, 2011) (“Motorola Comments”); </w:t>
      </w:r>
      <w:r w:rsidRPr="00E50322">
        <w:t>Comments of Nokia Siemens Networks US LLC and Nokia Inc.</w:t>
      </w:r>
      <w:r>
        <w:t xml:space="preserve"> (filed July 7, 2011) (“Nokia Comments”); </w:t>
      </w:r>
      <w:r w:rsidRPr="00E50322">
        <w:t>Comments of</w:t>
      </w:r>
      <w:r>
        <w:t xml:space="preserve"> </w:t>
      </w:r>
      <w:r w:rsidRPr="00E50322">
        <w:t>SEQUANS Communications</w:t>
      </w:r>
      <w:r>
        <w:t xml:space="preserve"> (filed July 7, 2011) (“SEQUANS Comments”); Comments of the </w:t>
      </w:r>
      <w:r w:rsidRPr="00D0111A">
        <w:t>Telecommunications Industry Association</w:t>
      </w:r>
      <w:r>
        <w:t xml:space="preserve"> (filed July 7, 2011) (“TIA Comments”); WCAI Comments.</w:t>
      </w:r>
    </w:p>
  </w:footnote>
  <w:footnote w:id="36">
    <w:p w14:paraId="24BC33E5" w14:textId="77777777" w:rsidR="00053B2C" w:rsidRDefault="00053B2C" w:rsidP="00053B2C">
      <w:pPr>
        <w:pStyle w:val="FootnoteText"/>
      </w:pPr>
      <w:r>
        <w:rPr>
          <w:rStyle w:val="FootnoteReference"/>
        </w:rPr>
        <w:footnoteRef/>
      </w:r>
      <w:r>
        <w:t xml:space="preserve"> Clearwire Comments at 2 (describing tests Clearwire has conducted that achieve speeds of up to 90 Mbps using 20 megahertz channels); Motorola Comments at 2; TIA Comments at 3; WCAI Comments at 3.</w:t>
      </w:r>
    </w:p>
  </w:footnote>
  <w:footnote w:id="37">
    <w:p w14:paraId="631FA391" w14:textId="77777777" w:rsidR="00053B2C" w:rsidRDefault="00053B2C" w:rsidP="00053B2C">
      <w:pPr>
        <w:pStyle w:val="FootnoteText"/>
      </w:pPr>
      <w:r>
        <w:rPr>
          <w:rStyle w:val="FootnoteReference"/>
        </w:rPr>
        <w:footnoteRef/>
      </w:r>
      <w:r>
        <w:t xml:space="preserve"> Alcatel Lucent Comments at 2; CTN/NEBSA Comments at 2; Clearwire Comments at 3; GCI Comments at 2; Motorola Comments at 2; Huawei Comments at 2; Nokia Comments at 2-3; SEQUANS Comments at 2; TIA Comments at 3-4; WCAI Comments at 4.</w:t>
      </w:r>
    </w:p>
  </w:footnote>
  <w:footnote w:id="38">
    <w:p w14:paraId="4FD2E78A" w14:textId="77777777" w:rsidR="00053B2C" w:rsidRDefault="00053B2C" w:rsidP="00053B2C">
      <w:pPr>
        <w:pStyle w:val="FootnoteText"/>
      </w:pPr>
      <w:r>
        <w:rPr>
          <w:rStyle w:val="FootnoteReference"/>
        </w:rPr>
        <w:footnoteRef/>
      </w:r>
      <w:r>
        <w:t xml:space="preserve"> CTN/NEBSA Comments at 2; Clearwire Comments at 4; GCI Comments at 2; Huawei Comments at 2-3; Motorola Comments at 5; SEQUANS Comments at 2; WCAI Comments at 3.</w:t>
      </w:r>
    </w:p>
  </w:footnote>
  <w:footnote w:id="39">
    <w:p w14:paraId="69096841" w14:textId="77777777" w:rsidR="00053B2C" w:rsidRDefault="00053B2C" w:rsidP="00053B2C">
      <w:pPr>
        <w:pStyle w:val="FootnoteText"/>
      </w:pPr>
      <w:r>
        <w:rPr>
          <w:rStyle w:val="FootnoteReference"/>
        </w:rPr>
        <w:footnoteRef/>
      </w:r>
      <w:r>
        <w:t xml:space="preserve"> Alcatel Lucent Comments at 2; CTN/NEBSA Comments at 2; Clearwire Comments at 3; GCI Comments at 2; Huawei Comments at 2; Nokia Comments at 3; SEQUANS Comments at 2; WCAI Comments at 3.</w:t>
      </w:r>
    </w:p>
  </w:footnote>
  <w:footnote w:id="40">
    <w:p w14:paraId="28F17EA0" w14:textId="77777777" w:rsidR="00053B2C" w:rsidRDefault="00053B2C">
      <w:pPr>
        <w:pStyle w:val="FootnoteText"/>
      </w:pPr>
      <w:r>
        <w:rPr>
          <w:rStyle w:val="FootnoteReference"/>
        </w:rPr>
        <w:footnoteRef/>
      </w:r>
      <w:r>
        <w:t xml:space="preserve"> </w:t>
      </w:r>
      <w:r w:rsidR="00AA77D4">
        <w:t xml:space="preserve">Comments of Globalstar, Inc. (filed July 7, 2011) (“Globalstar, Inc. Comments”); Comments of EIBASS (filed July 7, 2011) (“EIBASS Comments); Comments of IP Wireless, Inc. (filed July 7, 2011) (“IP Wireless Comments”); Reply Comments, </w:t>
      </w:r>
      <w:r w:rsidR="00AA77D4" w:rsidRPr="00422EE1">
        <w:t>Northrop</w:t>
      </w:r>
      <w:r w:rsidR="00615389">
        <w:t xml:space="preserve"> </w:t>
      </w:r>
      <w:r w:rsidR="00AA77D4" w:rsidRPr="00422EE1">
        <w:t>Grumman Systems Corporation</w:t>
      </w:r>
      <w:r w:rsidR="00AA77D4">
        <w:t xml:space="preserve"> (filed July 22, 2011) (“Northrop</w:t>
      </w:r>
      <w:r w:rsidR="00615389">
        <w:t xml:space="preserve"> </w:t>
      </w:r>
      <w:r w:rsidR="00AA77D4">
        <w:t>Grumman Reply Comments”).</w:t>
      </w:r>
    </w:p>
  </w:footnote>
  <w:footnote w:id="41">
    <w:p w14:paraId="53938103" w14:textId="77777777" w:rsidR="001C7A54" w:rsidRDefault="001C7A54" w:rsidP="003752F6">
      <w:pPr>
        <w:pStyle w:val="FootnoteText"/>
      </w:pPr>
      <w:r>
        <w:rPr>
          <w:rStyle w:val="FootnoteReference"/>
        </w:rPr>
        <w:footnoteRef/>
      </w:r>
      <w:r>
        <w:t xml:space="preserve"> Letter from Cathleen A. Massey, Clearwire to Marlene H. Dortch, Federal Communications Commission at 1 (dated Oct. 19, 2012) (“Clearwire </w:t>
      </w:r>
      <w:r w:rsidRPr="007D60C8">
        <w:rPr>
          <w:i/>
        </w:rPr>
        <w:t>Ex Parte</w:t>
      </w:r>
      <w:r>
        <w:t xml:space="preserve">”).  </w:t>
      </w:r>
    </w:p>
  </w:footnote>
  <w:footnote w:id="42">
    <w:p w14:paraId="5CC93577" w14:textId="77777777" w:rsidR="001C7A54" w:rsidRDefault="001C7A54" w:rsidP="003752F6">
      <w:pPr>
        <w:pStyle w:val="FootnoteText"/>
      </w:pPr>
      <w:r>
        <w:rPr>
          <w:rStyle w:val="FootnoteReference"/>
        </w:rPr>
        <w:footnoteRef/>
      </w:r>
      <w:r>
        <w:t xml:space="preserve"> Clearwire </w:t>
      </w:r>
      <w:r>
        <w:rPr>
          <w:i/>
        </w:rPr>
        <w:t>Ex P</w:t>
      </w:r>
      <w:r w:rsidRPr="00C328A6">
        <w:rPr>
          <w:i/>
        </w:rPr>
        <w:t>arte</w:t>
      </w:r>
      <w:r>
        <w:t xml:space="preserve"> at 1</w:t>
      </w:r>
      <w:r w:rsidR="00204582">
        <w:t>; slide 6</w:t>
      </w:r>
      <w:r>
        <w:t>.</w:t>
      </w:r>
      <w:r w:rsidR="006207A1">
        <w:t xml:space="preserve">  Under our existing rules, a mobile broadband device using a 10 megahertz bandwidth</w:t>
      </w:r>
      <w:r w:rsidR="00A00896">
        <w:t xml:space="preserve"> channel</w:t>
      </w:r>
      <w:r w:rsidR="006207A1">
        <w:t xml:space="preserve"> in the 2496-2506 MHz band (the bottom of the 2.5 GHz band) must have an </w:t>
      </w:r>
      <w:r w:rsidR="00DB31EC" w:rsidRPr="00284256">
        <w:t>OOBE</w:t>
      </w:r>
      <w:r w:rsidR="00C45291">
        <w:t xml:space="preserve"> </w:t>
      </w:r>
      <w:r w:rsidR="006207A1">
        <w:t xml:space="preserve">attenuation factor below the transmitter power (P) by a factor of 43 + 10 log (P) dB at 2496 MHz (the channel edge), and 55 + 10 log (P) dB at 2490.5 MHz (5.5 megahertz below the channel edge).  </w:t>
      </w:r>
      <w:r w:rsidR="006207A1">
        <w:rPr>
          <w:i/>
        </w:rPr>
        <w:t>See</w:t>
      </w:r>
      <w:r w:rsidR="006207A1">
        <w:t xml:space="preserve"> 47 C.F.R. § 27.53(m)(4).</w:t>
      </w:r>
      <w:r w:rsidR="00A010E8">
        <w:t xml:space="preserve">  </w:t>
      </w:r>
    </w:p>
  </w:footnote>
  <w:footnote w:id="43">
    <w:p w14:paraId="2E150D38" w14:textId="77777777" w:rsidR="001C7A54" w:rsidRDefault="001C7A54" w:rsidP="003752F6">
      <w:pPr>
        <w:pStyle w:val="FootnoteText"/>
      </w:pPr>
      <w:r>
        <w:rPr>
          <w:rStyle w:val="FootnoteReference"/>
        </w:rPr>
        <w:footnoteRef/>
      </w:r>
      <w:r>
        <w:t xml:space="preserve"> </w:t>
      </w:r>
      <w:r>
        <w:rPr>
          <w:i/>
        </w:rPr>
        <w:t>Id</w:t>
      </w:r>
      <w:r>
        <w:t>. at slide 8.</w:t>
      </w:r>
    </w:p>
  </w:footnote>
  <w:footnote w:id="44">
    <w:p w14:paraId="78A8E1E6" w14:textId="77777777" w:rsidR="003524F0" w:rsidRDefault="001C7A54">
      <w:pPr>
        <w:pStyle w:val="FootnoteText"/>
      </w:pPr>
      <w:r>
        <w:rPr>
          <w:rStyle w:val="FootnoteReference"/>
        </w:rPr>
        <w:footnoteRef/>
      </w:r>
      <w:r>
        <w:t xml:space="preserve"> 47 C.F.R. § 27.53(m)(6).</w:t>
      </w:r>
    </w:p>
  </w:footnote>
  <w:footnote w:id="45">
    <w:p w14:paraId="01EF3C7B" w14:textId="77777777" w:rsidR="001C7A54" w:rsidRPr="000409AA" w:rsidRDefault="001C7A54">
      <w:pPr>
        <w:pStyle w:val="FootnoteText"/>
      </w:pPr>
      <w:r>
        <w:rPr>
          <w:rStyle w:val="FootnoteReference"/>
        </w:rPr>
        <w:footnoteRef/>
      </w:r>
      <w:r>
        <w:t xml:space="preserve"> Clearwire </w:t>
      </w:r>
      <w:r>
        <w:rPr>
          <w:i/>
        </w:rPr>
        <w:t>Ex Parte</w:t>
      </w:r>
      <w:r>
        <w:t xml:space="preserve"> at slide 8.</w:t>
      </w:r>
    </w:p>
  </w:footnote>
  <w:footnote w:id="46">
    <w:p w14:paraId="51EFDAFA" w14:textId="77777777" w:rsidR="001C7A54" w:rsidRPr="000409AA" w:rsidRDefault="001C7A54">
      <w:pPr>
        <w:pStyle w:val="FootnoteText"/>
      </w:pPr>
      <w:r>
        <w:rPr>
          <w:rStyle w:val="FootnoteReference"/>
        </w:rPr>
        <w:footnoteRef/>
      </w:r>
      <w:r>
        <w:t xml:space="preserve"> </w:t>
      </w:r>
      <w:r>
        <w:rPr>
          <w:i/>
        </w:rPr>
        <w:t>Id.</w:t>
      </w:r>
    </w:p>
  </w:footnote>
  <w:footnote w:id="47">
    <w:p w14:paraId="79B08DAC" w14:textId="77777777" w:rsidR="001C7A54" w:rsidRDefault="001C7A54">
      <w:pPr>
        <w:pStyle w:val="FootnoteText"/>
      </w:pPr>
      <w:r>
        <w:rPr>
          <w:rStyle w:val="FootnoteReference"/>
        </w:rPr>
        <w:footnoteRef/>
      </w:r>
      <w:r>
        <w:t xml:space="preserve"> Letter from L. Barbee Ponder IV, </w:t>
      </w:r>
      <w:r w:rsidRPr="009A2D8C">
        <w:t>General Counsel &amp; Vice President Regulatory Affairs</w:t>
      </w:r>
      <w:r>
        <w:t xml:space="preserve">, Globalstar Corporation to Marlene H. Dortch, Federal Communications Commission (dated Nov. 5, 2012) (“Globalstar </w:t>
      </w:r>
      <w:r w:rsidRPr="00F11E90">
        <w:rPr>
          <w:i/>
        </w:rPr>
        <w:t>Ex Parte</w:t>
      </w:r>
      <w:r>
        <w:t xml:space="preserve">”) at 1 (Globalstar states that is has “no objection” to Clearwire’s proposal).  </w:t>
      </w:r>
    </w:p>
  </w:footnote>
  <w:footnote w:id="48">
    <w:p w14:paraId="05380310" w14:textId="77777777" w:rsidR="001C7A54" w:rsidRDefault="001C7A54">
      <w:pPr>
        <w:pStyle w:val="FootnoteText"/>
      </w:pPr>
      <w:r>
        <w:rPr>
          <w:rStyle w:val="FootnoteReference"/>
        </w:rPr>
        <w:footnoteRef/>
      </w:r>
      <w:r>
        <w:t xml:space="preserve"> The rules we adopt today are slightly different than the rule</w:t>
      </w:r>
      <w:r w:rsidR="00860E03">
        <w:t>s</w:t>
      </w:r>
      <w:r>
        <w:t xml:space="preserve"> proposed by Clearwire.  The main purpose of the changes we make is to make clear where the OOBE standards apply over a range of frequencies.</w:t>
      </w:r>
      <w:r w:rsidR="004559B6">
        <w:t xml:space="preserve">  Specifically, while Clearwire proposes to adopt the 55 </w:t>
      </w:r>
      <w:r w:rsidR="004559B6">
        <w:rPr>
          <w:rFonts w:ascii="Arial" w:hAnsi="Arial" w:cs="Arial"/>
        </w:rPr>
        <w:t xml:space="preserve">+ </w:t>
      </w:r>
      <w:r w:rsidR="004559B6">
        <w:t xml:space="preserve">10 log (P) dB attenuation factor at a distance of </w:t>
      </w:r>
      <w:r w:rsidR="001345B0">
        <w:t>“</w:t>
      </w:r>
      <w:r w:rsidR="004559B6">
        <w:t>X</w:t>
      </w:r>
      <w:r w:rsidR="001345B0">
        <w:t xml:space="preserve">” </w:t>
      </w:r>
      <w:r w:rsidR="004559B6">
        <w:t xml:space="preserve">megahertz from the channel edges, the rule we adopt today applies that factor at </w:t>
      </w:r>
      <w:r w:rsidR="001345B0">
        <w:t>“X” megahertz</w:t>
      </w:r>
      <w:r w:rsidR="00DE1C80">
        <w:t xml:space="preserve"> </w:t>
      </w:r>
      <w:r w:rsidR="001345B0">
        <w:t>or more from the channel edges.</w:t>
      </w:r>
      <w:r w:rsidR="007635BB">
        <w:t xml:space="preserve"> </w:t>
      </w:r>
      <w:r w:rsidR="00ED0B02">
        <w:t xml:space="preserve"> </w:t>
      </w:r>
      <w:r w:rsidR="007635BB">
        <w:t xml:space="preserve"> </w:t>
      </w:r>
    </w:p>
  </w:footnote>
  <w:footnote w:id="49">
    <w:p w14:paraId="50DA2ECA" w14:textId="77777777" w:rsidR="001C7A54" w:rsidRPr="00CE7231" w:rsidRDefault="001C7A54">
      <w:pPr>
        <w:pStyle w:val="FootnoteText"/>
      </w:pPr>
      <w:r>
        <w:rPr>
          <w:rStyle w:val="FootnoteReference"/>
        </w:rPr>
        <w:footnoteRef/>
      </w:r>
      <w:r>
        <w:t xml:space="preserve"> Although IP Wireless opposes the specific changes proposed in the </w:t>
      </w:r>
      <w:r w:rsidR="00BB53F1">
        <w:rPr>
          <w:i/>
        </w:rPr>
        <w:t xml:space="preserve">BRS/EBS OOBE </w:t>
      </w:r>
      <w:r>
        <w:rPr>
          <w:i/>
        </w:rPr>
        <w:t>FNPRM</w:t>
      </w:r>
      <w:r>
        <w:t>, it supports the use of wider channels.  IP Wireless Comments at 2.</w:t>
      </w:r>
    </w:p>
  </w:footnote>
  <w:footnote w:id="50">
    <w:p w14:paraId="5D41DB24" w14:textId="77777777" w:rsidR="001C7A54" w:rsidRPr="008B30DA" w:rsidRDefault="001C7A54">
      <w:pPr>
        <w:pStyle w:val="FootnoteText"/>
      </w:pPr>
      <w:r>
        <w:rPr>
          <w:rStyle w:val="FootnoteReference"/>
        </w:rPr>
        <w:footnoteRef/>
      </w:r>
      <w:r>
        <w:t xml:space="preserve"> </w:t>
      </w:r>
      <w:r>
        <w:rPr>
          <w:i/>
        </w:rPr>
        <w:t>See</w:t>
      </w:r>
      <w:r>
        <w:t xml:space="preserve"> Alcatel Lucent Comments at 2; GCT Comments at 2; Huawei Comments at 2; Motorola Comments at 4; SEQUANS Comments at 2; TIA Comments at 2.</w:t>
      </w:r>
    </w:p>
  </w:footnote>
  <w:footnote w:id="51">
    <w:p w14:paraId="4280D32A" w14:textId="77777777" w:rsidR="001C7A54" w:rsidRPr="008B30DA" w:rsidRDefault="001C7A54" w:rsidP="004C26BA">
      <w:pPr>
        <w:pStyle w:val="FootnoteText"/>
      </w:pPr>
      <w:r>
        <w:rPr>
          <w:rStyle w:val="FootnoteReference"/>
        </w:rPr>
        <w:footnoteRef/>
      </w:r>
      <w:r>
        <w:t xml:space="preserve"> </w:t>
      </w:r>
      <w:r>
        <w:rPr>
          <w:i/>
        </w:rPr>
        <w:t>See</w:t>
      </w:r>
      <w:r>
        <w:t xml:space="preserve"> IP Wireless Comments at 3-4.</w:t>
      </w:r>
    </w:p>
  </w:footnote>
  <w:footnote w:id="52">
    <w:p w14:paraId="6331B8FD" w14:textId="77777777" w:rsidR="001C7A54" w:rsidRPr="000A64BA" w:rsidRDefault="001C7A54">
      <w:pPr>
        <w:pStyle w:val="FootnoteText"/>
      </w:pPr>
      <w:r>
        <w:rPr>
          <w:rStyle w:val="FootnoteReference"/>
        </w:rPr>
        <w:footnoteRef/>
      </w:r>
      <w:r>
        <w:t xml:space="preserve"> </w:t>
      </w:r>
      <w:r>
        <w:rPr>
          <w:i/>
        </w:rPr>
        <w:t>See</w:t>
      </w:r>
      <w:r>
        <w:t xml:space="preserve"> Reply Comments, Wireless Communications Association International, Inc. (filed July 22, 2011) (“WCAI Reply Comments”) at 14-15.</w:t>
      </w:r>
    </w:p>
  </w:footnote>
  <w:footnote w:id="53">
    <w:p w14:paraId="0592ADBC" w14:textId="77777777" w:rsidR="001C7A54" w:rsidRPr="003A709B" w:rsidRDefault="001C7A54">
      <w:pPr>
        <w:pStyle w:val="FootnoteText"/>
      </w:pPr>
      <w:r>
        <w:rPr>
          <w:rStyle w:val="FootnoteReference"/>
        </w:rPr>
        <w:footnoteRef/>
      </w:r>
      <w:r>
        <w:t xml:space="preserve"> Specifically, the rules we adopt today will make our OOBE standards consistent with the general OOBE standards adopted by 3GPP for 20 megahertz channels.  The 3GPP standards provide for an </w:t>
      </w:r>
      <w:r w:rsidR="004C26BA">
        <w:t>OOBE</w:t>
      </w:r>
      <w:r>
        <w:t xml:space="preserve"> power of -10 dBm</w:t>
      </w:r>
      <w:r w:rsidR="004C26BA">
        <w:t xml:space="preserve"> (</w:t>
      </w:r>
      <w:r w:rsidR="004C26BA">
        <w:noBreakHyphen/>
        <w:t>40 dBW)</w:t>
      </w:r>
      <w:r w:rsidR="00C34994">
        <w:t xml:space="preserve">, </w:t>
      </w:r>
      <w:r>
        <w:t xml:space="preserve">which corresponds to an OOBE </w:t>
      </w:r>
      <w:r w:rsidR="00D16EF7">
        <w:t xml:space="preserve">attenuation factor </w:t>
      </w:r>
      <w:r>
        <w:t>of 40 + 10 log</w:t>
      </w:r>
      <w:r w:rsidR="00D16EF7">
        <w:t xml:space="preserve"> </w:t>
      </w:r>
      <w:r>
        <w:t xml:space="preserve">(P) </w:t>
      </w:r>
      <w:r w:rsidR="00A3209E">
        <w:t xml:space="preserve">dB </w:t>
      </w:r>
      <w:r w:rsidR="00C34994">
        <w:t>(</w:t>
      </w:r>
      <w:r>
        <w:rPr>
          <w:i/>
        </w:rPr>
        <w:t>see</w:t>
      </w:r>
      <w:r>
        <w:t xml:space="preserve"> Alcatel Lucent Comments at 1) up to </w:t>
      </w:r>
      <w:r w:rsidR="0053225E">
        <w:t>5</w:t>
      </w:r>
      <w:r w:rsidR="00D64C18">
        <w:t xml:space="preserve"> </w:t>
      </w:r>
      <w:r>
        <w:t>megahertz away from the channel edge</w:t>
      </w:r>
      <w:r w:rsidR="00C34994">
        <w:t>,</w:t>
      </w:r>
      <w:r>
        <w:t xml:space="preserve"> and an </w:t>
      </w:r>
      <w:r w:rsidR="004C26BA">
        <w:t>OOBE</w:t>
      </w:r>
      <w:r>
        <w:t xml:space="preserve"> power of -13 dBm</w:t>
      </w:r>
      <w:r w:rsidR="004C26BA">
        <w:t xml:space="preserve"> (-43 dBW)</w:t>
      </w:r>
      <w:r w:rsidR="00C34994">
        <w:t>,</w:t>
      </w:r>
      <w:r>
        <w:t xml:space="preserve"> which corresponds to an OOBE </w:t>
      </w:r>
      <w:r w:rsidR="004C26BA">
        <w:t>attenuation factor</w:t>
      </w:r>
      <w:r>
        <w:t xml:space="preserve"> of 43 + 10 log</w:t>
      </w:r>
      <w:r w:rsidR="00D16EF7">
        <w:t xml:space="preserve"> </w:t>
      </w:r>
      <w:r>
        <w:t xml:space="preserve">(P) </w:t>
      </w:r>
      <w:r w:rsidR="00A3209E">
        <w:t xml:space="preserve">dB </w:t>
      </w:r>
      <w:r>
        <w:t xml:space="preserve">up to 20 megahertz away from the channel edge.  </w:t>
      </w:r>
      <w:r>
        <w:rPr>
          <w:i/>
        </w:rPr>
        <w:t>See</w:t>
      </w:r>
      <w:r>
        <w:t xml:space="preserve"> LTE Release 10.8.0 Technical Standards at 61, </w:t>
      </w:r>
      <w:r w:rsidRPr="003A709B">
        <w:t>Table 6.6.2.1.1-1: General E-UTRA spectrum emission mask</w:t>
      </w:r>
      <w:r>
        <w:t>.</w:t>
      </w:r>
    </w:p>
  </w:footnote>
  <w:footnote w:id="54">
    <w:p w14:paraId="671FC762" w14:textId="77777777" w:rsidR="001C7A54" w:rsidRDefault="001C7A54" w:rsidP="00D16EF7">
      <w:pPr>
        <w:pStyle w:val="FootnoteText"/>
      </w:pPr>
      <w:r>
        <w:rPr>
          <w:rStyle w:val="FootnoteReference"/>
        </w:rPr>
        <w:footnoteRef/>
      </w:r>
      <w:r>
        <w:t xml:space="preserve"> </w:t>
      </w:r>
      <w:r>
        <w:rPr>
          <w:i/>
        </w:rPr>
        <w:t xml:space="preserve">BRS/EBS OOBE FNPRM, </w:t>
      </w:r>
      <w:r w:rsidRPr="000650DA">
        <w:t>26 FCC Rcd</w:t>
      </w:r>
      <w:r>
        <w:t xml:space="preserve"> at</w:t>
      </w:r>
      <w:r w:rsidRPr="000650DA">
        <w:t xml:space="preserve"> 813</w:t>
      </w:r>
      <w:r>
        <w:t>9</w:t>
      </w:r>
      <w:r w:rsidRPr="000650DA">
        <w:t xml:space="preserve"> ¶ 1</w:t>
      </w:r>
      <w:r>
        <w:t>5</w:t>
      </w:r>
      <w:r w:rsidRPr="000650DA">
        <w:t>.</w:t>
      </w:r>
    </w:p>
  </w:footnote>
  <w:footnote w:id="55">
    <w:p w14:paraId="4930DC62" w14:textId="77777777" w:rsidR="001C7A54" w:rsidRDefault="001C7A54" w:rsidP="001A2BF5">
      <w:pPr>
        <w:pStyle w:val="FootnoteText"/>
      </w:pPr>
      <w:r>
        <w:rPr>
          <w:rStyle w:val="FootnoteReference"/>
        </w:rPr>
        <w:footnoteRef/>
      </w:r>
      <w:r>
        <w:t xml:space="preserve"> </w:t>
      </w:r>
      <w:r>
        <w:rPr>
          <w:i/>
        </w:rPr>
        <w:t xml:space="preserve">Id. </w:t>
      </w:r>
      <w:r>
        <w:t>at</w:t>
      </w:r>
      <w:r w:rsidRPr="000650DA">
        <w:t xml:space="preserve"> 81</w:t>
      </w:r>
      <w:r>
        <w:t>40</w:t>
      </w:r>
      <w:r w:rsidRPr="000650DA">
        <w:t xml:space="preserve"> ¶ 1</w:t>
      </w:r>
      <w:r>
        <w:t>6</w:t>
      </w:r>
      <w:r w:rsidRPr="000650DA">
        <w:t>.</w:t>
      </w:r>
    </w:p>
  </w:footnote>
  <w:footnote w:id="56">
    <w:p w14:paraId="72837703" w14:textId="77777777" w:rsidR="001C7A54" w:rsidRDefault="001C7A54" w:rsidP="001A2BF5">
      <w:pPr>
        <w:pStyle w:val="FootnoteText"/>
      </w:pPr>
      <w:r>
        <w:rPr>
          <w:rStyle w:val="FootnoteReference"/>
        </w:rPr>
        <w:footnoteRef/>
      </w:r>
      <w:r>
        <w:t xml:space="preserve"> Globalstar, Inc. Comments at 1; EIBASS Comments at 2.  </w:t>
      </w:r>
    </w:p>
  </w:footnote>
  <w:footnote w:id="57">
    <w:p w14:paraId="38799F02" w14:textId="77777777" w:rsidR="00FB6BE7" w:rsidRDefault="00FB6BE7">
      <w:pPr>
        <w:pStyle w:val="FootnoteText"/>
      </w:pPr>
      <w:r>
        <w:rPr>
          <w:rStyle w:val="FootnoteReference"/>
        </w:rPr>
        <w:footnoteRef/>
      </w:r>
      <w:r>
        <w:t xml:space="preserve"> Clearwire </w:t>
      </w:r>
      <w:r>
        <w:rPr>
          <w:i/>
        </w:rPr>
        <w:t>Ex Parte</w:t>
      </w:r>
      <w:r>
        <w:t xml:space="preserve"> at slide 8.</w:t>
      </w:r>
    </w:p>
  </w:footnote>
  <w:footnote w:id="58">
    <w:p w14:paraId="2CD5DF60" w14:textId="77777777" w:rsidR="00FB6BE7" w:rsidRDefault="00FB6BE7">
      <w:pPr>
        <w:pStyle w:val="FootnoteText"/>
      </w:pPr>
      <w:r>
        <w:rPr>
          <w:rStyle w:val="FootnoteReference"/>
        </w:rPr>
        <w:footnoteRef/>
      </w:r>
      <w:r>
        <w:t xml:space="preserve"> Globalstar </w:t>
      </w:r>
      <w:r w:rsidRPr="00F11E90">
        <w:rPr>
          <w:i/>
        </w:rPr>
        <w:t>Ex Parte</w:t>
      </w:r>
      <w:r>
        <w:t xml:space="preserve"> at 1.</w:t>
      </w:r>
    </w:p>
  </w:footnote>
  <w:footnote w:id="59">
    <w:p w14:paraId="23E742F0" w14:textId="77777777" w:rsidR="003242B4" w:rsidRPr="003242B4" w:rsidRDefault="003242B4">
      <w:pPr>
        <w:pStyle w:val="FootnoteText"/>
      </w:pPr>
      <w:r>
        <w:rPr>
          <w:rStyle w:val="FootnoteReference"/>
        </w:rPr>
        <w:footnoteRef/>
      </w:r>
      <w:r>
        <w:t xml:space="preserve"> </w:t>
      </w:r>
      <w:r>
        <w:rPr>
          <w:i/>
        </w:rPr>
        <w:t>See</w:t>
      </w:r>
      <w:r>
        <w:t xml:space="preserve"> EIBASS Comments at 2.</w:t>
      </w:r>
    </w:p>
  </w:footnote>
  <w:footnote w:id="60">
    <w:p w14:paraId="79FFBB97" w14:textId="77777777" w:rsidR="001C7A54" w:rsidRPr="001116FD" w:rsidRDefault="001C7A54">
      <w:pPr>
        <w:pStyle w:val="FootnoteText"/>
      </w:pPr>
      <w:r>
        <w:rPr>
          <w:rStyle w:val="FootnoteReference"/>
        </w:rPr>
        <w:footnoteRef/>
      </w:r>
      <w:r>
        <w:t xml:space="preserve"> </w:t>
      </w:r>
      <w:r>
        <w:rPr>
          <w:i/>
        </w:rPr>
        <w:t>See</w:t>
      </w:r>
      <w:r>
        <w:t xml:space="preserve"> GCT Comments at 3; Huawei Comments at 2; Nokia Comments at 3-4; SEQUANS Comments at 3; WCAI Comments at 5.</w:t>
      </w:r>
    </w:p>
  </w:footnote>
  <w:footnote w:id="61">
    <w:p w14:paraId="62CC77DB" w14:textId="77777777" w:rsidR="001C7A54" w:rsidRPr="00AA6FE8" w:rsidRDefault="001C7A54">
      <w:pPr>
        <w:pStyle w:val="FootnoteText"/>
      </w:pPr>
      <w:r>
        <w:rPr>
          <w:rStyle w:val="FootnoteReference"/>
        </w:rPr>
        <w:footnoteRef/>
      </w:r>
      <w:r>
        <w:t xml:space="preserve"> Clearwire </w:t>
      </w:r>
      <w:r>
        <w:rPr>
          <w:i/>
        </w:rPr>
        <w:t>Ex Parte</w:t>
      </w:r>
      <w:r>
        <w:t xml:space="preserve"> at Slide 7.</w:t>
      </w:r>
    </w:p>
  </w:footnote>
  <w:footnote w:id="62">
    <w:p w14:paraId="591EEAE4" w14:textId="77777777" w:rsidR="00CA58E2" w:rsidRPr="00CA58E2" w:rsidRDefault="00CA58E2">
      <w:pPr>
        <w:pStyle w:val="FootnoteText"/>
      </w:pPr>
      <w:r>
        <w:rPr>
          <w:rStyle w:val="FootnoteReference"/>
        </w:rPr>
        <w:footnoteRef/>
      </w:r>
      <w:r>
        <w:t xml:space="preserve"> EIBASS Comments at 2; </w:t>
      </w:r>
      <w:r>
        <w:rPr>
          <w:i/>
        </w:rPr>
        <w:t>see also</w:t>
      </w:r>
      <w:r>
        <w:t xml:space="preserve"> Reply Comments of EIBASS (filed July 22, 2011) </w:t>
      </w:r>
      <w:r w:rsidR="005C1656">
        <w:t xml:space="preserve">(“EIBASS Reply Comments”) </w:t>
      </w:r>
      <w:r>
        <w:t>at 1-3.</w:t>
      </w:r>
    </w:p>
  </w:footnote>
  <w:footnote w:id="63">
    <w:p w14:paraId="122620F8" w14:textId="77777777" w:rsidR="00BB7879" w:rsidRDefault="00BB7879">
      <w:pPr>
        <w:pStyle w:val="FootnoteText"/>
      </w:pPr>
      <w:r>
        <w:rPr>
          <w:rStyle w:val="FootnoteReference"/>
        </w:rPr>
        <w:footnoteRef/>
      </w:r>
      <w:r>
        <w:t xml:space="preserve"> </w:t>
      </w:r>
      <w:r w:rsidR="00673BE8">
        <w:t>Under Clearwire’s relaxed OOBE parameters, t</w:t>
      </w:r>
      <w:r>
        <w:t xml:space="preserve">he theoretical increase in </w:t>
      </w:r>
      <w:r w:rsidR="007A1712">
        <w:t>potential interference</w:t>
      </w:r>
      <w:r>
        <w:t xml:space="preserve"> would result because</w:t>
      </w:r>
      <w:r w:rsidR="007B5994">
        <w:t xml:space="preserve"> </w:t>
      </w:r>
      <w:r>
        <w:t xml:space="preserve">mobile units operating </w:t>
      </w:r>
      <w:r w:rsidR="00B16B0A">
        <w:t>with a 20 megahertz channel at</w:t>
      </w:r>
      <w:r>
        <w:t xml:space="preserve"> 2511-25</w:t>
      </w:r>
      <w:r w:rsidR="00B16B0A">
        <w:t>31</w:t>
      </w:r>
      <w:r>
        <w:t xml:space="preserve"> MHz would only be required to attenuate OOBE by a factor of 43 + 10 log</w:t>
      </w:r>
      <w:r w:rsidR="0016551A">
        <w:t xml:space="preserve"> </w:t>
      </w:r>
      <w:r>
        <w:t>(</w:t>
      </w:r>
      <w:r w:rsidR="00585E2B">
        <w:t>P</w:t>
      </w:r>
      <w:r>
        <w:t>)</w:t>
      </w:r>
      <w:r w:rsidR="00B97BE1">
        <w:t xml:space="preserve"> dB</w:t>
      </w:r>
      <w:r>
        <w:t xml:space="preserve"> above 249</w:t>
      </w:r>
      <w:r w:rsidR="00AD7651">
        <w:t>1</w:t>
      </w:r>
      <w:r>
        <w:t xml:space="preserve"> MHz, while under the current rules, </w:t>
      </w:r>
      <w:r w:rsidR="00EE4841">
        <w:t>they are required to attenuate OOBE by a factor of 55 + 10 log</w:t>
      </w:r>
      <w:r w:rsidR="0016551A">
        <w:t xml:space="preserve"> </w:t>
      </w:r>
      <w:r w:rsidR="00EE4841">
        <w:t>(</w:t>
      </w:r>
      <w:r w:rsidR="00585E2B">
        <w:t>P</w:t>
      </w:r>
      <w:r w:rsidR="00EE4841">
        <w:t>)</w:t>
      </w:r>
      <w:r w:rsidR="00B97BE1">
        <w:t xml:space="preserve"> dB</w:t>
      </w:r>
      <w:r w:rsidR="00EE4841">
        <w:t>.</w:t>
      </w:r>
      <w:r w:rsidR="00B16B0A">
        <w:t xml:space="preserve">  For mobile units operating </w:t>
      </w:r>
      <w:r w:rsidR="003B6441">
        <w:t>with a 20 megahertz channel at 250</w:t>
      </w:r>
      <w:r w:rsidR="00BB5D08">
        <w:t>2</w:t>
      </w:r>
      <w:r w:rsidR="003B6441">
        <w:t>-252</w:t>
      </w:r>
      <w:r w:rsidR="00BB5D08">
        <w:t>2</w:t>
      </w:r>
      <w:r w:rsidR="00B16B0A">
        <w:t xml:space="preserve"> MHz</w:t>
      </w:r>
      <w:r w:rsidR="003B6441">
        <w:t xml:space="preserve">, </w:t>
      </w:r>
      <w:r w:rsidR="0095115B">
        <w:t xml:space="preserve">a theoretical increase in </w:t>
      </w:r>
      <w:r w:rsidR="00C544FA">
        <w:t>potential interference</w:t>
      </w:r>
      <w:r w:rsidR="0095115B">
        <w:t xml:space="preserve"> would result because </w:t>
      </w:r>
      <w:r w:rsidR="003B6441">
        <w:t>they would only be required to attenuate OOBE by a factor of 40 + 10 log (P) dB from 2</w:t>
      </w:r>
      <w:r w:rsidR="00BB5D08">
        <w:t>497</w:t>
      </w:r>
      <w:r w:rsidR="003B6441">
        <w:t xml:space="preserve">-2500 MHz, while under the current rules they are required to </w:t>
      </w:r>
      <w:r w:rsidR="00C05150">
        <w:t xml:space="preserve">attenuate </w:t>
      </w:r>
      <w:r w:rsidR="003B6441">
        <w:t>OOBE by a factor of 43 + 10 log (P) dB from 249</w:t>
      </w:r>
      <w:r w:rsidR="00BB5D08">
        <w:t>7</w:t>
      </w:r>
      <w:r w:rsidR="00C05150">
        <w:t>-2500 MHz.</w:t>
      </w:r>
      <w:r w:rsidR="00B16B0A">
        <w:t xml:space="preserve">  </w:t>
      </w:r>
    </w:p>
  </w:footnote>
  <w:footnote w:id="64">
    <w:p w14:paraId="5BCB9266" w14:textId="77777777" w:rsidR="00011E11" w:rsidRPr="00495DE9" w:rsidRDefault="00011E11" w:rsidP="00011E11">
      <w:pPr>
        <w:pStyle w:val="FootnoteText"/>
      </w:pPr>
      <w:r>
        <w:rPr>
          <w:rStyle w:val="FootnoteReference"/>
        </w:rPr>
        <w:footnoteRef/>
      </w:r>
      <w:r>
        <w:t xml:space="preserve"> </w:t>
      </w:r>
      <w:r>
        <w:rPr>
          <w:i/>
        </w:rPr>
        <w:t>See</w:t>
      </w:r>
      <w:r>
        <w:t xml:space="preserve"> 47 C.F.R. § 27.53(m)(2).  This base station OOBE is attenuated by 43 +10 log</w:t>
      </w:r>
      <w:r w:rsidR="0016551A">
        <w:t xml:space="preserve"> </w:t>
      </w:r>
      <w:r>
        <w:t>(P)</w:t>
      </w:r>
      <w:r w:rsidR="006B6ABB">
        <w:t xml:space="preserve"> dB</w:t>
      </w:r>
      <w:r>
        <w:t>.</w:t>
      </w:r>
    </w:p>
  </w:footnote>
  <w:footnote w:id="65">
    <w:p w14:paraId="2BBC37C3" w14:textId="77777777" w:rsidR="004D5569" w:rsidRPr="005C1656" w:rsidRDefault="004D5569">
      <w:pPr>
        <w:pStyle w:val="FootnoteText"/>
      </w:pPr>
      <w:r>
        <w:rPr>
          <w:rStyle w:val="FootnoteReference"/>
        </w:rPr>
        <w:footnoteRef/>
      </w:r>
      <w:r>
        <w:t xml:space="preserve"> EIBASS expressed concern about a BRS license in Chicago and promised to </w:t>
      </w:r>
      <w:r w:rsidR="005C1656">
        <w:t xml:space="preserve">file an </w:t>
      </w:r>
      <w:r w:rsidR="005C1656">
        <w:rPr>
          <w:i/>
        </w:rPr>
        <w:t>ex parte</w:t>
      </w:r>
      <w:r w:rsidR="005C1656">
        <w:t xml:space="preserve"> reporting any interference to grandfathered BAS Channel A10 operations in Chicago.  EIBASS Reply Comments at 3.  EIBASS did not make any subsequent filings.</w:t>
      </w:r>
    </w:p>
  </w:footnote>
  <w:footnote w:id="66">
    <w:p w14:paraId="6EB3EC1C" w14:textId="77777777" w:rsidR="007F6A69" w:rsidRPr="007F6A69" w:rsidRDefault="007F6A69">
      <w:pPr>
        <w:pStyle w:val="FootnoteText"/>
      </w:pPr>
      <w:r>
        <w:rPr>
          <w:rStyle w:val="FootnoteReference"/>
        </w:rPr>
        <w:footnoteRef/>
      </w:r>
      <w:r>
        <w:t xml:space="preserve"> EIBASS is correct that multiple transmitters can be authorized under a single license.  </w:t>
      </w:r>
      <w:r>
        <w:rPr>
          <w:i/>
        </w:rPr>
        <w:t>See</w:t>
      </w:r>
      <w:r>
        <w:t xml:space="preserve"> EIBASS Comments at </w:t>
      </w:r>
      <w:r w:rsidR="004D5569">
        <w:t>5.  It is nonetheless true that BAS Channel A10 is much more lightly utilized than BAS Channel A9, which has 788 active BAS licenses.</w:t>
      </w:r>
    </w:p>
  </w:footnote>
  <w:footnote w:id="67">
    <w:p w14:paraId="0775D7D3" w14:textId="77777777" w:rsidR="001C7A54" w:rsidRPr="00791E99" w:rsidRDefault="001C7A54" w:rsidP="0043397C">
      <w:pPr>
        <w:pStyle w:val="FootnoteText"/>
      </w:pPr>
      <w:r>
        <w:rPr>
          <w:rStyle w:val="FootnoteReference"/>
        </w:rPr>
        <w:footnoteRef/>
      </w:r>
      <w:r>
        <w:t xml:space="preserve"> </w:t>
      </w:r>
      <w:r w:rsidRPr="00FD6ABD">
        <w:rPr>
          <w:i/>
        </w:rPr>
        <w:t>See</w:t>
      </w:r>
      <w:r>
        <w:t xml:space="preserve"> </w:t>
      </w:r>
      <w:r w:rsidR="00AD323B">
        <w:t xml:space="preserve">Clearwire </w:t>
      </w:r>
      <w:r w:rsidR="00AD323B">
        <w:rPr>
          <w:i/>
        </w:rPr>
        <w:t xml:space="preserve">Ex Parte </w:t>
      </w:r>
      <w:r>
        <w:t>at Slide 6.</w:t>
      </w:r>
      <w:r w:rsidR="00791E99">
        <w:t xml:space="preserve">  Under our existing rules, a mobile broadband device with a 10 megahertz bandwidth in the 2496-2506 MHz band (the bottom of the 2.5 GHz band) must </w:t>
      </w:r>
      <w:r w:rsidR="00791E99" w:rsidRPr="00084B99">
        <w:t xml:space="preserve">have an </w:t>
      </w:r>
      <w:r w:rsidR="00DB31EC" w:rsidRPr="00084B99">
        <w:t>OOBE</w:t>
      </w:r>
      <w:r w:rsidR="00C45291" w:rsidRPr="00084B99">
        <w:t xml:space="preserve"> </w:t>
      </w:r>
      <w:r w:rsidR="00791E99" w:rsidRPr="00084B99">
        <w:t>attenuation</w:t>
      </w:r>
      <w:r w:rsidR="00791E99">
        <w:t xml:space="preserve"> factor below the transmitter power (P) by a factor of 43 + 10 log (P) dB at 2496 MHz (the channel edge), and 55 + 10 log (P) dB at 2490.5 MHz (5.5 megahertz below the channel edge).  </w:t>
      </w:r>
      <w:r w:rsidR="00791E99">
        <w:rPr>
          <w:i/>
        </w:rPr>
        <w:t>See</w:t>
      </w:r>
      <w:r w:rsidR="00791E99">
        <w:t xml:space="preserve"> 47 C.F.R. § 27.53(m)(4).  Under the rules we adopt today, </w:t>
      </w:r>
      <w:r w:rsidR="007E4678">
        <w:t xml:space="preserve">all 2.5 GHz band </w:t>
      </w:r>
      <w:r w:rsidR="00791E99">
        <w:t xml:space="preserve">mobile broadband devices must maintain an </w:t>
      </w:r>
      <w:r w:rsidR="007A1712">
        <w:t xml:space="preserve">OOBE </w:t>
      </w:r>
      <w:r w:rsidR="00791E99">
        <w:rPr>
          <w:szCs w:val="22"/>
        </w:rPr>
        <w:t>attenuation factor of at least 43 + 10 log (P) dB on all frequencies between</w:t>
      </w:r>
      <w:r w:rsidR="00791E99" w:rsidDel="00937ACB">
        <w:rPr>
          <w:szCs w:val="22"/>
        </w:rPr>
        <w:t xml:space="preserve"> </w:t>
      </w:r>
      <w:r w:rsidR="00791E99">
        <w:rPr>
          <w:szCs w:val="22"/>
        </w:rPr>
        <w:t xml:space="preserve">2490.5 MHz and 2496 MHz and 55 + 10 log (P) dB at or below 2490.5 MHz.  </w:t>
      </w:r>
      <w:r w:rsidR="00B70A23">
        <w:rPr>
          <w:i/>
          <w:szCs w:val="22"/>
        </w:rPr>
        <w:t xml:space="preserve">See </w:t>
      </w:r>
      <w:r w:rsidR="00B70A23">
        <w:rPr>
          <w:szCs w:val="22"/>
        </w:rPr>
        <w:t xml:space="preserve">Appendix A.  </w:t>
      </w:r>
    </w:p>
  </w:footnote>
  <w:footnote w:id="68">
    <w:p w14:paraId="4EE571A0" w14:textId="77777777" w:rsidR="001C7A54" w:rsidRDefault="001C7A54" w:rsidP="0043397C">
      <w:pPr>
        <w:pStyle w:val="FootnoteText"/>
      </w:pPr>
      <w:r>
        <w:rPr>
          <w:rStyle w:val="FootnoteReference"/>
        </w:rPr>
        <w:footnoteRef/>
      </w:r>
      <w:r>
        <w:t xml:space="preserve"> </w:t>
      </w:r>
      <w:r w:rsidRPr="00FD6ABD">
        <w:rPr>
          <w:i/>
        </w:rPr>
        <w:t>See</w:t>
      </w:r>
      <w:r>
        <w:t xml:space="preserve"> </w:t>
      </w:r>
      <w:r>
        <w:rPr>
          <w:i/>
        </w:rPr>
        <w:t>id</w:t>
      </w:r>
      <w:r>
        <w:t>.</w:t>
      </w:r>
    </w:p>
  </w:footnote>
  <w:footnote w:id="69">
    <w:p w14:paraId="5344D4E6" w14:textId="77777777" w:rsidR="001C7A54" w:rsidRDefault="001C7A54" w:rsidP="0043397C">
      <w:pPr>
        <w:pStyle w:val="FootnoteText"/>
      </w:pPr>
      <w:r>
        <w:rPr>
          <w:rStyle w:val="FootnoteReference"/>
        </w:rPr>
        <w:footnoteRef/>
      </w:r>
      <w:r>
        <w:t xml:space="preserve"> </w:t>
      </w:r>
      <w:r w:rsidRPr="00FD6ABD">
        <w:rPr>
          <w:i/>
        </w:rPr>
        <w:t>See</w:t>
      </w:r>
      <w:r>
        <w:t xml:space="preserve"> </w:t>
      </w:r>
      <w:r>
        <w:rPr>
          <w:i/>
        </w:rPr>
        <w:t xml:space="preserve">id. </w:t>
      </w:r>
      <w:r>
        <w:t>at Slide 5.</w:t>
      </w:r>
    </w:p>
  </w:footnote>
  <w:footnote w:id="70">
    <w:p w14:paraId="12A86A3A" w14:textId="77777777" w:rsidR="001C7A54" w:rsidRPr="00D01780" w:rsidRDefault="001C7A54" w:rsidP="00D16EF7">
      <w:pPr>
        <w:pStyle w:val="FootnoteText"/>
      </w:pPr>
      <w:r>
        <w:rPr>
          <w:rStyle w:val="FootnoteReference"/>
        </w:rPr>
        <w:footnoteRef/>
      </w:r>
      <w:r>
        <w:t xml:space="preserve"> </w:t>
      </w:r>
      <w:r>
        <w:rPr>
          <w:i/>
        </w:rPr>
        <w:t xml:space="preserve">See </w:t>
      </w:r>
      <w:r>
        <w:t xml:space="preserve">¶ </w:t>
      </w:r>
      <w:r w:rsidR="00394D9F">
        <w:fldChar w:fldCharType="begin"/>
      </w:r>
      <w:r>
        <w:instrText xml:space="preserve"> REF _Ref341946982 \r \h </w:instrText>
      </w:r>
      <w:r w:rsidR="00394D9F">
        <w:fldChar w:fldCharType="separate"/>
      </w:r>
      <w:r w:rsidR="006C0ED7">
        <w:t>9</w:t>
      </w:r>
      <w:r w:rsidR="00394D9F">
        <w:fldChar w:fldCharType="end"/>
      </w:r>
      <w:r>
        <w:t xml:space="preserve">, </w:t>
      </w:r>
      <w:r>
        <w:rPr>
          <w:i/>
        </w:rPr>
        <w:t>supra</w:t>
      </w:r>
      <w:r>
        <w:t>.</w:t>
      </w:r>
    </w:p>
  </w:footnote>
  <w:footnote w:id="71">
    <w:p w14:paraId="61FFF169" w14:textId="77777777" w:rsidR="001C7A54" w:rsidRDefault="001C7A54">
      <w:pPr>
        <w:pStyle w:val="FootnoteText"/>
      </w:pPr>
      <w:r>
        <w:rPr>
          <w:rStyle w:val="FootnoteReference"/>
        </w:rPr>
        <w:footnoteRef/>
      </w:r>
      <w:r>
        <w:t xml:space="preserve"> IP Wireless Comments at 4.</w:t>
      </w:r>
    </w:p>
  </w:footnote>
  <w:footnote w:id="72">
    <w:p w14:paraId="32DD27C8" w14:textId="77777777" w:rsidR="001C7A54" w:rsidRPr="00640CDF" w:rsidRDefault="001C7A54">
      <w:pPr>
        <w:pStyle w:val="FootnoteText"/>
      </w:pPr>
      <w:r>
        <w:rPr>
          <w:rStyle w:val="FootnoteReference"/>
        </w:rPr>
        <w:footnoteRef/>
      </w:r>
      <w:r>
        <w:t xml:space="preserve"> </w:t>
      </w:r>
      <w:r>
        <w:rPr>
          <w:i/>
        </w:rPr>
        <w:t>See</w:t>
      </w:r>
      <w:r>
        <w:t xml:space="preserve"> WCAI Reply Comments at 13-14.</w:t>
      </w:r>
    </w:p>
  </w:footnote>
  <w:footnote w:id="73">
    <w:p w14:paraId="694BE6F1" w14:textId="77777777" w:rsidR="001C7A54" w:rsidRDefault="001C7A54" w:rsidP="00CD1D75">
      <w:pPr>
        <w:pStyle w:val="FootnoteText"/>
      </w:pPr>
      <w:r>
        <w:rPr>
          <w:rStyle w:val="FootnoteReference"/>
        </w:rPr>
        <w:footnoteRef/>
      </w:r>
      <w:r>
        <w:t xml:space="preserve"> Northrup-Grumman Reply Comments at 1.  </w:t>
      </w:r>
      <w:r w:rsidRPr="00C4701A">
        <w:t>We are not changing our OOBE standards for base stations in the 2.5 GHz band.</w:t>
      </w:r>
    </w:p>
  </w:footnote>
  <w:footnote w:id="74">
    <w:p w14:paraId="1FE789BD" w14:textId="77777777" w:rsidR="001C7A54" w:rsidRDefault="001C7A54" w:rsidP="00D16EF7">
      <w:pPr>
        <w:pStyle w:val="FootnoteText"/>
      </w:pPr>
      <w:r>
        <w:rPr>
          <w:rStyle w:val="FootnoteReference"/>
        </w:rPr>
        <w:footnoteRef/>
      </w:r>
      <w:r>
        <w:t xml:space="preserve"> </w:t>
      </w:r>
      <w:r w:rsidR="00B50D25">
        <w:rPr>
          <w:i/>
        </w:rPr>
        <w:t>Id.</w:t>
      </w:r>
      <w:r>
        <w:t xml:space="preserve"> at 2.</w:t>
      </w:r>
    </w:p>
  </w:footnote>
  <w:footnote w:id="75">
    <w:p w14:paraId="109BD781" w14:textId="77777777" w:rsidR="001C7A54" w:rsidRDefault="001C7A54" w:rsidP="00C4701A">
      <w:pPr>
        <w:pStyle w:val="FootnoteText"/>
      </w:pPr>
      <w:r>
        <w:rPr>
          <w:rStyle w:val="FootnoteReference"/>
        </w:rPr>
        <w:footnoteRef/>
      </w:r>
      <w:r>
        <w:t xml:space="preserve">  WCAI Comments at 6.  </w:t>
      </w:r>
      <w:r w:rsidRPr="00F207BA">
        <w:t xml:space="preserve">WCAI argues that although the maximum EIRP for mobile devices in the BRS/EBS band is 2 </w:t>
      </w:r>
      <w:r w:rsidR="007C22BF">
        <w:t>W</w:t>
      </w:r>
      <w:r w:rsidRPr="00F207BA">
        <w:t>atts (33dBm), based on battery life and thermal design constraints, mobile broadband devices such as laptop cards and smartphones are typically designed to operate at a maximum of only 200 milliwatts</w:t>
      </w:r>
      <w:r w:rsidR="0000239F">
        <w:t xml:space="preserve"> (23 dBm)</w:t>
      </w:r>
      <w:r w:rsidRPr="00F207BA">
        <w:t>.</w:t>
      </w:r>
      <w:r>
        <w:t xml:space="preserve">  WCAI Comments at 6.</w:t>
      </w:r>
    </w:p>
  </w:footnote>
  <w:footnote w:id="76">
    <w:p w14:paraId="45A71A0C" w14:textId="77777777" w:rsidR="001C7A54" w:rsidRDefault="001C7A54" w:rsidP="00C4701A">
      <w:pPr>
        <w:pStyle w:val="FootnoteText"/>
      </w:pPr>
      <w:r>
        <w:rPr>
          <w:rStyle w:val="FootnoteReference"/>
        </w:rPr>
        <w:footnoteRef/>
      </w:r>
      <w:r>
        <w:t xml:space="preserve"> WCAI Comments at 7.</w:t>
      </w:r>
    </w:p>
  </w:footnote>
  <w:footnote w:id="77">
    <w:p w14:paraId="369F2251" w14:textId="77777777" w:rsidR="001C7A54" w:rsidRDefault="001C7A54" w:rsidP="00C4701A">
      <w:pPr>
        <w:pStyle w:val="FootnoteText"/>
      </w:pPr>
      <w:r>
        <w:rPr>
          <w:rStyle w:val="FootnoteReference"/>
        </w:rPr>
        <w:footnoteRef/>
      </w:r>
      <w:r>
        <w:t xml:space="preserve"> Motorola Comments at 6.</w:t>
      </w:r>
    </w:p>
  </w:footnote>
  <w:footnote w:id="78">
    <w:p w14:paraId="11F43CBE" w14:textId="77777777" w:rsidR="001C7A54" w:rsidRDefault="001C7A54" w:rsidP="00C4701A">
      <w:pPr>
        <w:pStyle w:val="FootnoteText"/>
      </w:pPr>
      <w:r>
        <w:rPr>
          <w:rStyle w:val="FootnoteReference"/>
        </w:rPr>
        <w:footnoteRef/>
      </w:r>
      <w:r>
        <w:t xml:space="preserve"> </w:t>
      </w:r>
      <w:r>
        <w:rPr>
          <w:i/>
        </w:rPr>
        <w:t>Id</w:t>
      </w:r>
      <w:r>
        <w:t>.</w:t>
      </w:r>
    </w:p>
  </w:footnote>
  <w:footnote w:id="79">
    <w:p w14:paraId="57895A71" w14:textId="283F3146" w:rsidR="00EF55A2" w:rsidRDefault="00EF55A2">
      <w:pPr>
        <w:pStyle w:val="FootnoteText"/>
      </w:pPr>
      <w:r>
        <w:rPr>
          <w:rStyle w:val="FootnoteReference"/>
        </w:rPr>
        <w:footnoteRef/>
      </w:r>
      <w:r>
        <w:t xml:space="preserve"> </w:t>
      </w:r>
      <w:r>
        <w:rPr>
          <w:i/>
          <w:iCs/>
        </w:rPr>
        <w:t>See</w:t>
      </w:r>
      <w:r>
        <w:t xml:space="preserve"> Letter from Cathleen A. Massey, Vice President, Regulatory Affairs and Public Policy, Clearwire Corporation to Ms. Marlene H. Dortch, Secretary, Federal Communications Commission (filed Jan. 4, 2013).</w:t>
      </w:r>
    </w:p>
  </w:footnote>
  <w:footnote w:id="80">
    <w:p w14:paraId="61CB0B28" w14:textId="77777777" w:rsidR="005D0A9D" w:rsidRPr="00A8598F" w:rsidRDefault="005D0A9D">
      <w:pPr>
        <w:pStyle w:val="FootnoteText"/>
        <w:rPr>
          <w:i/>
        </w:rPr>
      </w:pPr>
      <w:r>
        <w:rPr>
          <w:rStyle w:val="FootnoteReference"/>
        </w:rPr>
        <w:footnoteRef/>
      </w:r>
      <w:r>
        <w:t xml:space="preserve"> </w:t>
      </w:r>
      <w:r w:rsidR="00EA221F">
        <w:rPr>
          <w:i/>
        </w:rPr>
        <w:t xml:space="preserve">See BRS/EBS OOBE FNPRM, </w:t>
      </w:r>
      <w:r w:rsidR="00EA221F" w:rsidRPr="000650DA">
        <w:t>26 FCC Rcd</w:t>
      </w:r>
      <w:r w:rsidR="00EA221F">
        <w:t xml:space="preserve"> at</w:t>
      </w:r>
      <w:r w:rsidR="00EA221F" w:rsidRPr="000650DA">
        <w:t xml:space="preserve"> 81</w:t>
      </w:r>
      <w:r w:rsidR="00EA221F">
        <w:t>40</w:t>
      </w:r>
      <w:r w:rsidR="00EA221F" w:rsidRPr="000650DA">
        <w:t xml:space="preserve"> ¶ 1</w:t>
      </w:r>
      <w:r w:rsidR="00EA221F">
        <w:t>7</w:t>
      </w:r>
      <w:r w:rsidR="00EA221F" w:rsidRPr="000650DA">
        <w:t>.</w:t>
      </w:r>
    </w:p>
  </w:footnote>
  <w:footnote w:id="81">
    <w:p w14:paraId="4577D7F8" w14:textId="77777777" w:rsidR="001C7A54" w:rsidRPr="001C10B8" w:rsidRDefault="001C7A54" w:rsidP="00D16EF7">
      <w:pPr>
        <w:pStyle w:val="FootnoteText"/>
      </w:pPr>
      <w:r>
        <w:rPr>
          <w:rStyle w:val="FootnoteReference"/>
        </w:rPr>
        <w:footnoteRef/>
      </w:r>
      <w:r>
        <w:t xml:space="preserve"> </w:t>
      </w:r>
      <w:r>
        <w:rPr>
          <w:i/>
        </w:rPr>
        <w:t>See</w:t>
      </w:r>
      <w:r>
        <w:t xml:space="preserve"> Clearwire Comments at 4; GCT Comments at 3; Huawei Comments at 3; Nokia Comments at 3; SEQUANS Comments at 3.</w:t>
      </w:r>
    </w:p>
  </w:footnote>
  <w:footnote w:id="82">
    <w:p w14:paraId="21A52827" w14:textId="77777777" w:rsidR="001C7A54" w:rsidRDefault="001C7A54">
      <w:pPr>
        <w:pStyle w:val="FootnoteText"/>
      </w:pPr>
      <w:r>
        <w:rPr>
          <w:rStyle w:val="FootnoteReference"/>
        </w:rPr>
        <w:footnoteRef/>
      </w:r>
      <w:r>
        <w:t xml:space="preserve"> </w:t>
      </w:r>
      <w:r>
        <w:rPr>
          <w:i/>
        </w:rPr>
        <w:t xml:space="preserve">BRS/EBS OOBE FNPRM, </w:t>
      </w:r>
      <w:r w:rsidRPr="000650DA">
        <w:t>26 FCC Rcd</w:t>
      </w:r>
      <w:r>
        <w:t xml:space="preserve"> at</w:t>
      </w:r>
      <w:r w:rsidRPr="000650DA">
        <w:t xml:space="preserve"> 81</w:t>
      </w:r>
      <w:r>
        <w:t>40</w:t>
      </w:r>
      <w:r w:rsidRPr="000650DA">
        <w:t xml:space="preserve"> ¶ 1</w:t>
      </w:r>
      <w:r>
        <w:t>7</w:t>
      </w:r>
      <w:r w:rsidRPr="000650DA">
        <w:t>.</w:t>
      </w:r>
    </w:p>
  </w:footnote>
  <w:footnote w:id="83">
    <w:p w14:paraId="58021896" w14:textId="77777777" w:rsidR="001C7A54" w:rsidRDefault="001C7A54" w:rsidP="00A8598F">
      <w:pPr>
        <w:pStyle w:val="Footnote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rStyle w:val="FootnoteReference"/>
          <w:sz w:val="20"/>
        </w:rPr>
        <w:footnoteRef/>
      </w:r>
      <w:r>
        <w:rPr>
          <w:sz w:val="20"/>
        </w:rPr>
        <w:t xml:space="preserve"> </w:t>
      </w:r>
      <w:r>
        <w:rPr>
          <w:i/>
          <w:sz w:val="20"/>
        </w:rPr>
        <w:t>See</w:t>
      </w:r>
      <w:r>
        <w:rPr>
          <w:sz w:val="20"/>
        </w:rPr>
        <w:t xml:space="preserve"> 5 U.S.C. § 601–612.  The RFA has been amended by the Small Business Regulatory Enforcement Fairness Act of 1996 (SBREFA), Pub. L. No. 104-121, Title II, 110 Stat. 857 (1996).</w:t>
      </w:r>
    </w:p>
  </w:footnote>
  <w:footnote w:id="84">
    <w:p w14:paraId="63762A13" w14:textId="77777777" w:rsidR="001C7A54" w:rsidRDefault="001C7A54" w:rsidP="00A8598F">
      <w:pPr>
        <w:pStyle w:val="Footnote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rStyle w:val="FootnoteReference"/>
          <w:sz w:val="20"/>
        </w:rPr>
        <w:footnoteRef/>
      </w:r>
      <w:r>
        <w:rPr>
          <w:sz w:val="20"/>
        </w:rPr>
        <w:t xml:space="preserve"> 5 U.S.C. § 605(b).</w:t>
      </w:r>
    </w:p>
  </w:footnote>
  <w:footnote w:id="85">
    <w:p w14:paraId="47391735" w14:textId="77777777" w:rsidR="001C7A54" w:rsidRDefault="001C7A54" w:rsidP="00D16EF7">
      <w:pPr>
        <w:pStyle w:val="FootnoteText"/>
      </w:pPr>
      <w:r>
        <w:rPr>
          <w:rStyle w:val="FootnoteReference"/>
          <w:color w:val="000000"/>
        </w:rPr>
        <w:footnoteRef/>
      </w:r>
      <w:r>
        <w:t xml:space="preserve"> </w:t>
      </w:r>
      <w:r>
        <w:rPr>
          <w:i/>
        </w:rPr>
        <w:t xml:space="preserve">See </w:t>
      </w:r>
      <w:r>
        <w:t xml:space="preserve">5 U.S.C. § 603.  The RFA, </w:t>
      </w:r>
      <w:r>
        <w:rPr>
          <w:i/>
        </w:rPr>
        <w:t>see</w:t>
      </w:r>
      <w:r>
        <w:t xml:space="preserve"> 5 U.S.C. § 601-612, has been amended by the Small Business Regulatory Enforcement Fairness Act of 1996, (SBREFA) Pub. L. No. 104-121, Title II, 110 Stat. 857 (1996). </w:t>
      </w:r>
    </w:p>
  </w:footnote>
  <w:footnote w:id="86">
    <w:p w14:paraId="743C3334" w14:textId="7011C602" w:rsidR="001C7A54" w:rsidRDefault="001C7A54" w:rsidP="00D16EF7">
      <w:pPr>
        <w:pStyle w:val="FootnoteText"/>
      </w:pPr>
      <w:r>
        <w:rPr>
          <w:rStyle w:val="FootnoteReference"/>
          <w:color w:val="000000"/>
        </w:rPr>
        <w:footnoteRef/>
      </w:r>
      <w:r>
        <w:t xml:space="preserve"> </w:t>
      </w:r>
      <w:r>
        <w:rPr>
          <w:i/>
        </w:rPr>
        <w:t xml:space="preserve">See </w:t>
      </w:r>
      <w:r>
        <w:t xml:space="preserve">5 </w:t>
      </w:r>
      <w:hyperlink r:id="rId6" w:history="1">
        <w:r>
          <w:t>U.S.C. § 604.</w:t>
        </w:r>
      </w:hyperlink>
    </w:p>
  </w:footnote>
  <w:footnote w:id="87">
    <w:p w14:paraId="448541C2" w14:textId="77777777" w:rsidR="001C7A54" w:rsidRDefault="001C7A54">
      <w:pPr>
        <w:pStyle w:val="FootnoteText"/>
        <w:rPr>
          <w:rStyle w:val="Footnote"/>
        </w:rPr>
      </w:pPr>
      <w:r>
        <w:rPr>
          <w:rStyle w:val="Footnote"/>
          <w:vertAlign w:val="superscript"/>
        </w:rPr>
        <w:footnoteRef/>
      </w:r>
      <w:r>
        <w:rPr>
          <w:rStyle w:val="Footnote"/>
          <w:vertAlign w:val="superscript"/>
        </w:rPr>
        <w:t xml:space="preserve"> </w:t>
      </w:r>
      <w:r>
        <w:rPr>
          <w:rStyle w:val="Footnote"/>
        </w:rPr>
        <w:t>5 U.S.C. § 60</w:t>
      </w:r>
      <w:r w:rsidR="00682247">
        <w:rPr>
          <w:rStyle w:val="Footnote"/>
        </w:rPr>
        <w:t>4</w:t>
      </w:r>
      <w:r>
        <w:rPr>
          <w:rStyle w:val="Footnote"/>
        </w:rPr>
        <w:t>(</w:t>
      </w:r>
      <w:r w:rsidR="00682247">
        <w:rPr>
          <w:rStyle w:val="Footnote"/>
        </w:rPr>
        <w:t>a</w:t>
      </w:r>
      <w:r>
        <w:rPr>
          <w:rStyle w:val="Footnote"/>
        </w:rPr>
        <w:t>)(</w:t>
      </w:r>
      <w:r w:rsidR="00682247">
        <w:rPr>
          <w:rStyle w:val="Footnote"/>
        </w:rPr>
        <w:t>4</w:t>
      </w:r>
      <w:r>
        <w:rPr>
          <w:rStyle w:val="Footnote"/>
        </w:rPr>
        <w:t>).</w:t>
      </w:r>
    </w:p>
  </w:footnote>
  <w:footnote w:id="88">
    <w:p w14:paraId="473890A9" w14:textId="77777777" w:rsidR="001C7A54" w:rsidRDefault="001C7A54" w:rsidP="00D16EF7">
      <w:pPr>
        <w:pStyle w:val="FootnoteText"/>
        <w:rPr>
          <w:rStyle w:val="Footnote"/>
        </w:rPr>
      </w:pPr>
      <w:r>
        <w:rPr>
          <w:rStyle w:val="Footnote"/>
          <w:vertAlign w:val="superscript"/>
        </w:rPr>
        <w:footnoteRef/>
      </w:r>
      <w:r>
        <w:rPr>
          <w:rStyle w:val="Footnote"/>
        </w:rPr>
        <w:t xml:space="preserve"> 5 U.S.C. § 601(6).</w:t>
      </w:r>
    </w:p>
  </w:footnote>
  <w:footnote w:id="89">
    <w:p w14:paraId="60126D6C" w14:textId="77777777" w:rsidR="001C7A54" w:rsidRDefault="001C7A54">
      <w:pPr>
        <w:pStyle w:val="FootnoteText"/>
        <w:rPr>
          <w:rStyle w:val="Footnote"/>
        </w:rPr>
      </w:pPr>
      <w:r>
        <w:rPr>
          <w:rStyle w:val="Footnote"/>
          <w:vertAlign w:val="superscript"/>
        </w:rPr>
        <w:footnoteRef/>
      </w:r>
      <w:r>
        <w:rPr>
          <w:rStyle w:val="Footnote"/>
        </w:rP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90">
    <w:p w14:paraId="3DFCB3C2" w14:textId="77777777" w:rsidR="001C7A54" w:rsidRDefault="001C7A54">
      <w:pPr>
        <w:pStyle w:val="FootnoteText"/>
        <w:rPr>
          <w:rStyle w:val="Footnote"/>
        </w:rPr>
      </w:pPr>
      <w:r>
        <w:rPr>
          <w:rStyle w:val="Footnote"/>
          <w:vertAlign w:val="superscript"/>
        </w:rPr>
        <w:footnoteRef/>
      </w:r>
      <w:r>
        <w:rPr>
          <w:rStyle w:val="Footnote"/>
        </w:rPr>
        <w:t xml:space="preserve"> 15 U.S.C. § 632.</w:t>
      </w:r>
    </w:p>
  </w:footnote>
  <w:footnote w:id="91">
    <w:p w14:paraId="2288E60E" w14:textId="77777777" w:rsidR="001C7A54" w:rsidRDefault="001C7A54">
      <w:pPr>
        <w:pStyle w:val="FootnoteText"/>
      </w:pPr>
      <w:r>
        <w:rPr>
          <w:rStyle w:val="FootnoteReference"/>
        </w:rPr>
        <w:footnoteRef/>
      </w:r>
      <w:r>
        <w:t xml:space="preserve"> </w:t>
      </w:r>
      <w:r>
        <w:rPr>
          <w:i/>
        </w:rPr>
        <w:t>Amendment of Parts 21 and 74 of the Commission’s Rules with Regard to Filing Procedures in the Multipoint Distribution Service and in the Instructional Television Fixed Service and Implementation of Section 309(j) of the Communications Act—Competitive Bidding</w:t>
      </w:r>
      <w:r>
        <w:t>, MM Docket No. 94-131, PP Docket No. 93-253, Report and Order, 10 FCC Rcd 9589,  9593 ¶ 7 (1995).</w:t>
      </w:r>
    </w:p>
  </w:footnote>
  <w:footnote w:id="92">
    <w:p w14:paraId="78EE72FC" w14:textId="77777777" w:rsidR="001C7A54" w:rsidRDefault="001C7A54">
      <w:pPr>
        <w:pStyle w:val="FootnoteText"/>
      </w:pPr>
      <w:r>
        <w:rPr>
          <w:rStyle w:val="FootnoteReference"/>
        </w:rPr>
        <w:footnoteRef/>
      </w:r>
      <w:r>
        <w:t xml:space="preserve"> 47 C.F.R. § 21.961(b)(1) (1996).</w:t>
      </w:r>
    </w:p>
  </w:footnote>
  <w:footnote w:id="93">
    <w:p w14:paraId="6EBE2DD2" w14:textId="77777777" w:rsidR="001C7A54" w:rsidRDefault="001C7A54">
      <w:pPr>
        <w:pStyle w:val="FootnoteText"/>
      </w:pPr>
      <w:r>
        <w:rPr>
          <w:rStyle w:val="FootnoteReference"/>
        </w:rPr>
        <w:footnoteRef/>
      </w:r>
      <w:r>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94">
    <w:p w14:paraId="10F0D04C" w14:textId="77777777" w:rsidR="001C7A54" w:rsidRDefault="001C7A54">
      <w:pPr>
        <w:pStyle w:val="FootnoteText"/>
      </w:pPr>
      <w:r>
        <w:rPr>
          <w:rStyle w:val="FootnoteReference"/>
        </w:rPr>
        <w:footnoteRef/>
      </w:r>
      <w:r>
        <w:t xml:space="preserve"> Auction of Broadband Radio Service (BRS) Licenses, Scheduled for October 27, 2009, Notice and Filing Requirements, Minimum Opening Bids, Upfront Payments, and Other Procedures for Auction 86, </w:t>
      </w:r>
      <w:r>
        <w:rPr>
          <w:i/>
        </w:rPr>
        <w:t>Public Notice</w:t>
      </w:r>
      <w:r>
        <w:t>, 24 FCC Rcd 8277 (2009).</w:t>
      </w:r>
    </w:p>
  </w:footnote>
  <w:footnote w:id="95">
    <w:p w14:paraId="0173A298" w14:textId="77777777" w:rsidR="001C7A54" w:rsidRDefault="001C7A54">
      <w:pPr>
        <w:pStyle w:val="FootnoteText"/>
      </w:pPr>
      <w:r>
        <w:rPr>
          <w:rStyle w:val="FootnoteReference"/>
        </w:rPr>
        <w:footnoteRef/>
      </w:r>
      <w:r>
        <w:t xml:space="preserve"> </w:t>
      </w:r>
      <w:r>
        <w:rPr>
          <w:i/>
        </w:rPr>
        <w:t>Id.</w:t>
      </w:r>
      <w:r>
        <w:t xml:space="preserve"> at 8296.</w:t>
      </w:r>
    </w:p>
  </w:footnote>
  <w:footnote w:id="96">
    <w:p w14:paraId="4C31506C" w14:textId="77777777" w:rsidR="001C7A54" w:rsidRDefault="001C7A54">
      <w:pPr>
        <w:pStyle w:val="FootnoteText"/>
      </w:pPr>
      <w:r>
        <w:rPr>
          <w:rStyle w:val="FootnoteReference"/>
        </w:rPr>
        <w:footnoteRef/>
      </w:r>
      <w:r>
        <w:t xml:space="preserve"> Auction of Broadband Radio Service Licenses Closes, Winning Bidders Announced for Auction 86, Down Payments Due November 23, 2009, Final Payments Due December 8, 2009, Ten-Day Petition to Deny Period, </w:t>
      </w:r>
      <w:r>
        <w:rPr>
          <w:i/>
        </w:rPr>
        <w:t>Public Notice</w:t>
      </w:r>
      <w:r>
        <w:t>, 24 FCC Rcd 13572 (2009).</w:t>
      </w:r>
    </w:p>
  </w:footnote>
  <w:footnote w:id="97">
    <w:p w14:paraId="1AE729B6" w14:textId="77777777" w:rsidR="00284256" w:rsidRDefault="00284256">
      <w:pPr>
        <w:pStyle w:val="FootnoteText"/>
      </w:pPr>
      <w:r>
        <w:rPr>
          <w:rStyle w:val="FootnoteReference"/>
        </w:rPr>
        <w:footnoteRef/>
      </w:r>
      <w:r>
        <w:t xml:space="preserve"> U.S. Census Bureau, 2007 NAICS Definitions, “</w:t>
      </w:r>
      <w:r>
        <w:rPr>
          <w:bCs/>
        </w:rPr>
        <w:t>517110 Wired Telecommunications Carriers,” (partial definition), www.census.gov/naics/2007/def/ND517110.HTM#N517110.</w:t>
      </w:r>
    </w:p>
  </w:footnote>
  <w:footnote w:id="98">
    <w:p w14:paraId="3137EE54" w14:textId="77777777" w:rsidR="00E51D41" w:rsidRPr="00284256" w:rsidRDefault="00E51D41">
      <w:pPr>
        <w:pStyle w:val="FootnoteText"/>
      </w:pPr>
      <w:r>
        <w:rPr>
          <w:rStyle w:val="FootnoteReference"/>
        </w:rPr>
        <w:footnoteRef/>
      </w:r>
      <w:r>
        <w:t xml:space="preserve"> </w:t>
      </w:r>
      <w:r w:rsidR="00284256">
        <w:rPr>
          <w:i/>
        </w:rPr>
        <w:t>Id.</w:t>
      </w:r>
    </w:p>
  </w:footnote>
  <w:footnote w:id="99">
    <w:p w14:paraId="49BEE3BB" w14:textId="77777777" w:rsidR="00E51D41" w:rsidRDefault="00E51D41">
      <w:pPr>
        <w:pStyle w:val="FootnoteText"/>
      </w:pPr>
      <w:r>
        <w:rPr>
          <w:rStyle w:val="FootnoteReference"/>
        </w:rPr>
        <w:footnoteRef/>
      </w:r>
      <w:r>
        <w:t xml:space="preserve"> </w:t>
      </w:r>
      <w:r>
        <w:rPr>
          <w:color w:val="000000"/>
        </w:rPr>
        <w:t>13 C.F.R. § 121.201, NAICS code 517110.</w:t>
      </w:r>
    </w:p>
  </w:footnote>
  <w:footnote w:id="100">
    <w:p w14:paraId="3B336742" w14:textId="1AEFDFD5" w:rsidR="00E51D41" w:rsidRDefault="00E51D41">
      <w:pPr>
        <w:pStyle w:val="FootnoteText"/>
      </w:pPr>
      <w:r>
        <w:rPr>
          <w:rStyle w:val="FootnoteReference"/>
        </w:rPr>
        <w:footnoteRef/>
      </w:r>
      <w:r>
        <w:t xml:space="preserve"> </w:t>
      </w:r>
      <w:r w:rsidR="00284256">
        <w:rPr>
          <w:i/>
        </w:rPr>
        <w:t xml:space="preserve">See </w:t>
      </w:r>
      <w:hyperlink r:id="rId7" w:history="1">
        <w:r>
          <w:rPr>
            <w:rStyle w:val="Hyperlink"/>
          </w:rPr>
          <w:t>http://factfinder2.census.gov/faces/tableservices/jsf/pages/productview.xhtml?pid=ECN_2007_US_51SSSZ2&amp;prodType=table</w:t>
        </w:r>
      </w:hyperlink>
      <w:r w:rsidR="00284256">
        <w:rPr>
          <w:rStyle w:val="Hyperlink"/>
        </w:rPr>
        <w:t>.</w:t>
      </w:r>
    </w:p>
  </w:footnote>
  <w:footnote w:id="101">
    <w:p w14:paraId="3E0D1F26" w14:textId="74F6451E" w:rsidR="00E51D41" w:rsidRDefault="00E51D41">
      <w:pPr>
        <w:pStyle w:val="FootnoteText"/>
      </w:pPr>
      <w:r>
        <w:rPr>
          <w:rStyle w:val="FootnoteReference"/>
        </w:rPr>
        <w:footnoteRef/>
      </w:r>
      <w:r>
        <w:t xml:space="preserve"> The term “small entity” within SBREFA applies to small organizations (nonprofits) and to small governmental jurisdictions (cities, counties, towns, townships, villages, school districts, and special districts with populations of less than 50,000). </w:t>
      </w:r>
      <w:hyperlink r:id="rId8" w:history="1">
        <w:r>
          <w:rPr>
            <w:rStyle w:val="Hyperlink"/>
          </w:rPr>
          <w:t>5 U.S.C. §§ 601(4)</w:t>
        </w:r>
      </w:hyperlink>
      <w:r>
        <w:t>-</w:t>
      </w:r>
      <w:hyperlink r:id="rId9" w:history="1">
        <w:r>
          <w:rPr>
            <w:rStyle w:val="Hyperlink"/>
          </w:rPr>
          <w:t>(6)</w:t>
        </w:r>
      </w:hyperlink>
      <w:r>
        <w:t>.</w:t>
      </w:r>
    </w:p>
  </w:footnote>
  <w:footnote w:id="102">
    <w:p w14:paraId="1870DC49" w14:textId="77777777" w:rsidR="009D4927" w:rsidRPr="009D4927" w:rsidRDefault="009D4927">
      <w:pPr>
        <w:pStyle w:val="FootnoteText"/>
      </w:pPr>
      <w:r>
        <w:rPr>
          <w:rStyle w:val="FootnoteReference"/>
        </w:rPr>
        <w:footnoteRef/>
      </w:r>
      <w:r>
        <w:t xml:space="preserve"> </w:t>
      </w:r>
      <w:r>
        <w:rPr>
          <w:i/>
        </w:rPr>
        <w:t>See</w:t>
      </w:r>
      <w:r>
        <w:t xml:space="preserve"> 5 U.S.C. § 604(a)(6).</w:t>
      </w:r>
    </w:p>
  </w:footnote>
  <w:footnote w:id="103">
    <w:p w14:paraId="3CBF8A14" w14:textId="77777777" w:rsidR="001C7A54" w:rsidRDefault="001C7A54" w:rsidP="00A000D8">
      <w:pPr>
        <w:pStyle w:val="FootnoteText"/>
      </w:pPr>
      <w:r>
        <w:rPr>
          <w:rStyle w:val="FootnoteReference"/>
        </w:rPr>
        <w:footnoteRef/>
      </w:r>
      <w:r>
        <w:t xml:space="preserve"> </w:t>
      </w:r>
      <w:r>
        <w:rPr>
          <w:i/>
        </w:rPr>
        <w:t xml:space="preserve">See generally, </w:t>
      </w:r>
      <w:r>
        <w:t>5 U.S.C. § 801 (a)(1)(A).</w:t>
      </w:r>
    </w:p>
  </w:footnote>
  <w:footnote w:id="104">
    <w:p w14:paraId="1B20E587" w14:textId="77777777" w:rsidR="001C7A54" w:rsidRDefault="001C7A54" w:rsidP="00A000D8">
      <w:pPr>
        <w:pStyle w:val="FootnoteText"/>
      </w:pPr>
      <w:r>
        <w:rPr>
          <w:rStyle w:val="FootnoteReference"/>
        </w:rPr>
        <w:footnoteRef/>
      </w:r>
      <w:r>
        <w:t xml:space="preserve"> </w:t>
      </w:r>
      <w:r>
        <w:rPr>
          <w:i/>
        </w:rPr>
        <w:t xml:space="preserve">See </w:t>
      </w:r>
      <w:r>
        <w:t>5 U.S.C. § 604(b).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04B64" w14:textId="77777777" w:rsidR="00070ED6" w:rsidRDefault="00070E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600BC" w14:textId="0CEDFB1F" w:rsidR="001C7A54" w:rsidRDefault="001C7A54">
    <w:pPr>
      <w:pStyle w:val="Header"/>
      <w:pBdr>
        <w:bottom w:val="single" w:sz="12" w:space="1" w:color="auto"/>
      </w:pBdr>
      <w:rPr>
        <w:b w:val="0"/>
      </w:rPr>
    </w:pPr>
    <w:r>
      <w:tab/>
      <w:t>Federal Communications Commission</w:t>
    </w:r>
    <w:r>
      <w:tab/>
      <w:t xml:space="preserve"> FCC 1</w:t>
    </w:r>
    <w:r w:rsidR="005B5CCB">
      <w:t>4</w:t>
    </w:r>
    <w:r>
      <w:t>-</w:t>
    </w:r>
    <w:r w:rsidR="00D449F3">
      <w:t>76</w:t>
    </w:r>
  </w:p>
  <w:p w14:paraId="0F36E279" w14:textId="0EBC3A26" w:rsidR="001C7A54" w:rsidRDefault="001C7A54">
    <w:pPr>
      <w:tabs>
        <w:tab w:val="left" w:pos="-720"/>
      </w:tabs>
      <w:suppressAutoHyphens/>
      <w:spacing w:line="19" w:lineRule="exact"/>
      <w:rPr>
        <w:spacing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83802" w14:textId="0935F527" w:rsidR="001C7A54" w:rsidRDefault="001C7A54">
    <w:pPr>
      <w:pStyle w:val="Header"/>
      <w:pBdr>
        <w:bottom w:val="single" w:sz="12" w:space="1" w:color="auto"/>
      </w:pBdr>
      <w:rPr>
        <w:b w:val="0"/>
      </w:rPr>
    </w:pPr>
    <w:r>
      <w:tab/>
      <w:t>Federal Communications Commission</w:t>
    </w:r>
    <w:r>
      <w:tab/>
    </w:r>
    <w:r>
      <w:rPr>
        <w:spacing w:val="-2"/>
      </w:rPr>
      <w:t>FCC 1</w:t>
    </w:r>
    <w:r w:rsidR="005B5CCB">
      <w:rPr>
        <w:spacing w:val="-2"/>
      </w:rPr>
      <w:t>4</w:t>
    </w:r>
    <w:r>
      <w:rPr>
        <w:spacing w:val="-2"/>
      </w:rPr>
      <w:t>-</w:t>
    </w:r>
    <w:r w:rsidR="00D449F3">
      <w:rPr>
        <w:spacing w:val="-2"/>
      </w:rPr>
      <w:t>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71C3"/>
    <w:multiLevelType w:val="hybridMultilevel"/>
    <w:tmpl w:val="1166D83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CB2146C"/>
    <w:multiLevelType w:val="hybridMultilevel"/>
    <w:tmpl w:val="86F03696"/>
    <w:lvl w:ilvl="0" w:tplc="D348FE9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5711142"/>
    <w:multiLevelType w:val="hybridMultilevel"/>
    <w:tmpl w:val="8A5EB2C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E06CBB"/>
    <w:multiLevelType w:val="multilevel"/>
    <w:tmpl w:val="A926B546"/>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i w:val="0"/>
      </w:r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30393D24"/>
    <w:multiLevelType w:val="hybridMultilevel"/>
    <w:tmpl w:val="9BC444CE"/>
    <w:lvl w:ilvl="0" w:tplc="5726C178">
      <w:start w:val="11"/>
      <w:numFmt w:val="decimal"/>
      <w:lvlText w:val="%1."/>
      <w:lvlJc w:val="left"/>
      <w:pPr>
        <w:tabs>
          <w:tab w:val="num" w:pos="1050"/>
        </w:tabs>
        <w:ind w:left="1050" w:hanging="390"/>
      </w:pPr>
      <w:rPr>
        <w:rFonts w:hint="default"/>
        <w:color w:val="000000"/>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8">
    <w:nsid w:val="33340125"/>
    <w:multiLevelType w:val="multilevel"/>
    <w:tmpl w:val="C7AEF74C"/>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lowerRoman"/>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9">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4230739F"/>
    <w:multiLevelType w:val="singleLevel"/>
    <w:tmpl w:val="239EA8FE"/>
    <w:lvl w:ilvl="0">
      <w:start w:val="1"/>
      <w:numFmt w:val="decimal"/>
      <w:lvlText w:val="%1."/>
      <w:lvlJc w:val="left"/>
      <w:pPr>
        <w:tabs>
          <w:tab w:val="num" w:pos="1008"/>
        </w:tabs>
        <w:ind w:left="0" w:firstLine="648"/>
      </w:p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0807E04"/>
    <w:multiLevelType w:val="hybridMultilevel"/>
    <w:tmpl w:val="5E007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B406A0D"/>
    <w:multiLevelType w:val="hybridMultilevel"/>
    <w:tmpl w:val="A258B040"/>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4">
    <w:nsid w:val="61182925"/>
    <w:multiLevelType w:val="singleLevel"/>
    <w:tmpl w:val="BD82D804"/>
    <w:lvl w:ilvl="0">
      <w:start w:val="1"/>
      <w:numFmt w:val="decimal"/>
      <w:pStyle w:val="ParaNum"/>
      <w:lvlText w:val="%1."/>
      <w:lvlJc w:val="left"/>
      <w:pPr>
        <w:tabs>
          <w:tab w:val="num" w:pos="990"/>
        </w:tabs>
        <w:ind w:left="-90" w:firstLine="720"/>
      </w:pPr>
      <w:rPr>
        <w:rFonts w:ascii="Times New Roman" w:hAnsi="Times New Roman" w:hint="default"/>
        <w:b w:val="0"/>
        <w:i w:val="0"/>
        <w:sz w:val="22"/>
      </w:rPr>
    </w:lvl>
  </w:abstractNum>
  <w:abstractNum w:abstractNumId="15">
    <w:nsid w:val="66564948"/>
    <w:multiLevelType w:val="hybridMultilevel"/>
    <w:tmpl w:val="153C0A18"/>
    <w:lvl w:ilvl="0" w:tplc="711CA6AA">
      <w:start w:val="2"/>
      <w:numFmt w:val="decimal"/>
      <w:lvlText w:val="(%1)"/>
      <w:lvlJc w:val="left"/>
      <w:pPr>
        <w:tabs>
          <w:tab w:val="num" w:pos="1095"/>
        </w:tabs>
        <w:ind w:left="1095" w:hanging="375"/>
      </w:pPr>
      <w:rPr>
        <w:rFonts w:hint="default"/>
      </w:rPr>
    </w:lvl>
    <w:lvl w:ilvl="1" w:tplc="51A6A8A6">
      <w:start w:val="1"/>
      <w:numFmt w:val="lowerLetter"/>
      <w:lvlText w:val="%2."/>
      <w:lvlJc w:val="left"/>
      <w:pPr>
        <w:tabs>
          <w:tab w:val="num" w:pos="1800"/>
        </w:tabs>
        <w:ind w:left="1800" w:hanging="360"/>
      </w:pPr>
    </w:lvl>
    <w:lvl w:ilvl="2" w:tplc="992A78AE" w:tentative="1">
      <w:start w:val="1"/>
      <w:numFmt w:val="lowerRoman"/>
      <w:lvlText w:val="%3."/>
      <w:lvlJc w:val="right"/>
      <w:pPr>
        <w:tabs>
          <w:tab w:val="num" w:pos="2520"/>
        </w:tabs>
        <w:ind w:left="2520" w:hanging="180"/>
      </w:pPr>
    </w:lvl>
    <w:lvl w:ilvl="3" w:tplc="17E88DAA" w:tentative="1">
      <w:start w:val="1"/>
      <w:numFmt w:val="decimal"/>
      <w:lvlText w:val="%4."/>
      <w:lvlJc w:val="left"/>
      <w:pPr>
        <w:tabs>
          <w:tab w:val="num" w:pos="3240"/>
        </w:tabs>
        <w:ind w:left="3240" w:hanging="360"/>
      </w:pPr>
    </w:lvl>
    <w:lvl w:ilvl="4" w:tplc="1FD2426A" w:tentative="1">
      <w:start w:val="1"/>
      <w:numFmt w:val="lowerLetter"/>
      <w:lvlText w:val="%5."/>
      <w:lvlJc w:val="left"/>
      <w:pPr>
        <w:tabs>
          <w:tab w:val="num" w:pos="3960"/>
        </w:tabs>
        <w:ind w:left="3960" w:hanging="360"/>
      </w:pPr>
    </w:lvl>
    <w:lvl w:ilvl="5" w:tplc="4F12BE90" w:tentative="1">
      <w:start w:val="1"/>
      <w:numFmt w:val="lowerRoman"/>
      <w:lvlText w:val="%6."/>
      <w:lvlJc w:val="right"/>
      <w:pPr>
        <w:tabs>
          <w:tab w:val="num" w:pos="4680"/>
        </w:tabs>
        <w:ind w:left="4680" w:hanging="180"/>
      </w:pPr>
    </w:lvl>
    <w:lvl w:ilvl="6" w:tplc="41863DA6" w:tentative="1">
      <w:start w:val="1"/>
      <w:numFmt w:val="decimal"/>
      <w:lvlText w:val="%7."/>
      <w:lvlJc w:val="left"/>
      <w:pPr>
        <w:tabs>
          <w:tab w:val="num" w:pos="5400"/>
        </w:tabs>
        <w:ind w:left="5400" w:hanging="360"/>
      </w:pPr>
    </w:lvl>
    <w:lvl w:ilvl="7" w:tplc="6D20F476" w:tentative="1">
      <w:start w:val="1"/>
      <w:numFmt w:val="lowerLetter"/>
      <w:lvlText w:val="%8."/>
      <w:lvlJc w:val="left"/>
      <w:pPr>
        <w:tabs>
          <w:tab w:val="num" w:pos="6120"/>
        </w:tabs>
        <w:ind w:left="6120" w:hanging="360"/>
      </w:pPr>
    </w:lvl>
    <w:lvl w:ilvl="8" w:tplc="0AF8348A" w:tentative="1">
      <w:start w:val="1"/>
      <w:numFmt w:val="lowerRoman"/>
      <w:lvlText w:val="%9."/>
      <w:lvlJc w:val="right"/>
      <w:pPr>
        <w:tabs>
          <w:tab w:val="num" w:pos="6840"/>
        </w:tabs>
        <w:ind w:left="6840" w:hanging="180"/>
      </w:pPr>
    </w:lvl>
  </w:abstractNum>
  <w:abstractNum w:abstractNumId="16">
    <w:nsid w:val="73072FE9"/>
    <w:multiLevelType w:val="hybridMultilevel"/>
    <w:tmpl w:val="48126C38"/>
    <w:lvl w:ilvl="0" w:tplc="7CD0CF08">
      <w:start w:val="1"/>
      <w:numFmt w:val="decimal"/>
      <w:lvlText w:val="%1."/>
      <w:lvlJc w:val="left"/>
      <w:pPr>
        <w:tabs>
          <w:tab w:val="num" w:pos="720"/>
        </w:tabs>
        <w:ind w:left="720" w:hanging="360"/>
      </w:pPr>
    </w:lvl>
    <w:lvl w:ilvl="1" w:tplc="0734B21A">
      <w:start w:val="6"/>
      <w:numFmt w:val="decimal"/>
      <w:lvlText w:val="(%2)"/>
      <w:lvlJc w:val="left"/>
      <w:pPr>
        <w:tabs>
          <w:tab w:val="num" w:pos="1440"/>
        </w:tabs>
        <w:ind w:left="1440" w:hanging="360"/>
      </w:pPr>
      <w:rPr>
        <w:rFonts w:hint="default"/>
      </w:rPr>
    </w:lvl>
    <w:lvl w:ilvl="2" w:tplc="08948B22" w:tentative="1">
      <w:start w:val="1"/>
      <w:numFmt w:val="lowerRoman"/>
      <w:lvlText w:val="%3."/>
      <w:lvlJc w:val="right"/>
      <w:pPr>
        <w:tabs>
          <w:tab w:val="num" w:pos="2160"/>
        </w:tabs>
        <w:ind w:left="2160" w:hanging="180"/>
      </w:pPr>
    </w:lvl>
    <w:lvl w:ilvl="3" w:tplc="38D6E9A6" w:tentative="1">
      <w:start w:val="1"/>
      <w:numFmt w:val="decimal"/>
      <w:lvlText w:val="%4."/>
      <w:lvlJc w:val="left"/>
      <w:pPr>
        <w:tabs>
          <w:tab w:val="num" w:pos="2880"/>
        </w:tabs>
        <w:ind w:left="2880" w:hanging="360"/>
      </w:pPr>
    </w:lvl>
    <w:lvl w:ilvl="4" w:tplc="13645554" w:tentative="1">
      <w:start w:val="1"/>
      <w:numFmt w:val="lowerLetter"/>
      <w:lvlText w:val="%5."/>
      <w:lvlJc w:val="left"/>
      <w:pPr>
        <w:tabs>
          <w:tab w:val="num" w:pos="3600"/>
        </w:tabs>
        <w:ind w:left="3600" w:hanging="360"/>
      </w:pPr>
    </w:lvl>
    <w:lvl w:ilvl="5" w:tplc="EF50609A" w:tentative="1">
      <w:start w:val="1"/>
      <w:numFmt w:val="lowerRoman"/>
      <w:lvlText w:val="%6."/>
      <w:lvlJc w:val="right"/>
      <w:pPr>
        <w:tabs>
          <w:tab w:val="num" w:pos="4320"/>
        </w:tabs>
        <w:ind w:left="4320" w:hanging="180"/>
      </w:pPr>
    </w:lvl>
    <w:lvl w:ilvl="6" w:tplc="54EAF388" w:tentative="1">
      <w:start w:val="1"/>
      <w:numFmt w:val="decimal"/>
      <w:lvlText w:val="%7."/>
      <w:lvlJc w:val="left"/>
      <w:pPr>
        <w:tabs>
          <w:tab w:val="num" w:pos="5040"/>
        </w:tabs>
        <w:ind w:left="5040" w:hanging="360"/>
      </w:pPr>
    </w:lvl>
    <w:lvl w:ilvl="7" w:tplc="5E681CEA" w:tentative="1">
      <w:start w:val="1"/>
      <w:numFmt w:val="lowerLetter"/>
      <w:lvlText w:val="%8."/>
      <w:lvlJc w:val="left"/>
      <w:pPr>
        <w:tabs>
          <w:tab w:val="num" w:pos="5760"/>
        </w:tabs>
        <w:ind w:left="5760" w:hanging="360"/>
      </w:pPr>
    </w:lvl>
    <w:lvl w:ilvl="8" w:tplc="A31C1268" w:tentative="1">
      <w:start w:val="1"/>
      <w:numFmt w:val="lowerRoman"/>
      <w:lvlText w:val="%9."/>
      <w:lvlJc w:val="right"/>
      <w:pPr>
        <w:tabs>
          <w:tab w:val="num" w:pos="6480"/>
        </w:tabs>
        <w:ind w:left="6480" w:hanging="180"/>
      </w:pPr>
    </w:lvl>
  </w:abstractNum>
  <w:abstractNum w:abstractNumId="17">
    <w:nsid w:val="785401B3"/>
    <w:multiLevelType w:val="hybridMultilevel"/>
    <w:tmpl w:val="CD90A8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imes New Roman Bold"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imes New Roman Bold"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imes New Roman Bold"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D6727AC"/>
    <w:multiLevelType w:val="hybridMultilevel"/>
    <w:tmpl w:val="49E67A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FE96454"/>
    <w:multiLevelType w:val="hybridMultilevel"/>
    <w:tmpl w:val="ECDE937A"/>
    <w:lvl w:ilvl="0" w:tplc="75D4C29C">
      <w:start w:val="1"/>
      <w:numFmt w:val="upperRoman"/>
      <w:lvlText w:val="%1."/>
      <w:lvlJc w:val="left"/>
      <w:pPr>
        <w:tabs>
          <w:tab w:val="num" w:pos="1080"/>
        </w:tabs>
        <w:ind w:left="1080" w:hanging="720"/>
      </w:pPr>
      <w:rPr>
        <w:rFonts w:hint="default"/>
      </w:rPr>
    </w:lvl>
    <w:lvl w:ilvl="1" w:tplc="5D0C0DEA">
      <w:start w:val="1"/>
      <w:numFmt w:val="lowerLetter"/>
      <w:lvlText w:val="%2."/>
      <w:lvlJc w:val="left"/>
      <w:pPr>
        <w:tabs>
          <w:tab w:val="num" w:pos="1440"/>
        </w:tabs>
        <w:ind w:left="1440" w:hanging="360"/>
      </w:pPr>
    </w:lvl>
    <w:lvl w:ilvl="2" w:tplc="4AF4F488">
      <w:start w:val="1"/>
      <w:numFmt w:val="upperLetter"/>
      <w:lvlText w:val="%3."/>
      <w:lvlJc w:val="left"/>
      <w:pPr>
        <w:tabs>
          <w:tab w:val="num" w:pos="2340"/>
        </w:tabs>
        <w:ind w:left="2340" w:hanging="360"/>
      </w:pPr>
      <w:rPr>
        <w:rFonts w:hint="default"/>
      </w:rPr>
    </w:lvl>
    <w:lvl w:ilvl="3" w:tplc="A4D067D8" w:tentative="1">
      <w:start w:val="1"/>
      <w:numFmt w:val="decimal"/>
      <w:lvlText w:val="%4."/>
      <w:lvlJc w:val="left"/>
      <w:pPr>
        <w:tabs>
          <w:tab w:val="num" w:pos="2880"/>
        </w:tabs>
        <w:ind w:left="2880" w:hanging="360"/>
      </w:pPr>
    </w:lvl>
    <w:lvl w:ilvl="4" w:tplc="2DE2B234" w:tentative="1">
      <w:start w:val="1"/>
      <w:numFmt w:val="lowerLetter"/>
      <w:lvlText w:val="%5."/>
      <w:lvlJc w:val="left"/>
      <w:pPr>
        <w:tabs>
          <w:tab w:val="num" w:pos="3600"/>
        </w:tabs>
        <w:ind w:left="3600" w:hanging="360"/>
      </w:pPr>
    </w:lvl>
    <w:lvl w:ilvl="5" w:tplc="E3668454" w:tentative="1">
      <w:start w:val="1"/>
      <w:numFmt w:val="lowerRoman"/>
      <w:lvlText w:val="%6."/>
      <w:lvlJc w:val="right"/>
      <w:pPr>
        <w:tabs>
          <w:tab w:val="num" w:pos="4320"/>
        </w:tabs>
        <w:ind w:left="4320" w:hanging="180"/>
      </w:pPr>
    </w:lvl>
    <w:lvl w:ilvl="6" w:tplc="021673E8" w:tentative="1">
      <w:start w:val="1"/>
      <w:numFmt w:val="decimal"/>
      <w:lvlText w:val="%7."/>
      <w:lvlJc w:val="left"/>
      <w:pPr>
        <w:tabs>
          <w:tab w:val="num" w:pos="5040"/>
        </w:tabs>
        <w:ind w:left="5040" w:hanging="360"/>
      </w:pPr>
    </w:lvl>
    <w:lvl w:ilvl="7" w:tplc="228CA152" w:tentative="1">
      <w:start w:val="1"/>
      <w:numFmt w:val="lowerLetter"/>
      <w:lvlText w:val="%8."/>
      <w:lvlJc w:val="left"/>
      <w:pPr>
        <w:tabs>
          <w:tab w:val="num" w:pos="5760"/>
        </w:tabs>
        <w:ind w:left="5760" w:hanging="360"/>
      </w:pPr>
    </w:lvl>
    <w:lvl w:ilvl="8" w:tplc="6C300814" w:tentative="1">
      <w:start w:val="1"/>
      <w:numFmt w:val="lowerRoman"/>
      <w:lvlText w:val="%9."/>
      <w:lvlJc w:val="right"/>
      <w:pPr>
        <w:tabs>
          <w:tab w:val="num" w:pos="6480"/>
        </w:tabs>
        <w:ind w:left="6480" w:hanging="180"/>
      </w:pPr>
    </w:lvl>
  </w:abstractNum>
  <w:num w:numId="1">
    <w:abstractNumId w:val="3"/>
  </w:num>
  <w:num w:numId="2">
    <w:abstractNumId w:val="14"/>
  </w:num>
  <w:num w:numId="3">
    <w:abstractNumId w:val="6"/>
  </w:num>
  <w:num w:numId="4">
    <w:abstractNumId w:val="11"/>
  </w:num>
  <w:num w:numId="5">
    <w:abstractNumId w:val="4"/>
  </w:num>
  <w:num w:numId="6">
    <w:abstractNumId w:val="1"/>
  </w:num>
  <w:num w:numId="7">
    <w:abstractNumId w:val="5"/>
  </w:num>
  <w:num w:numId="8">
    <w:abstractNumId w:val="19"/>
  </w:num>
  <w:num w:numId="9">
    <w:abstractNumId w:val="9"/>
  </w:num>
  <w:num w:numId="10">
    <w:abstractNumId w:val="16"/>
  </w:num>
  <w:num w:numId="11">
    <w:abstractNumId w:val="15"/>
  </w:num>
  <w:num w:numId="12">
    <w:abstractNumId w:val="2"/>
  </w:num>
  <w:num w:numId="13">
    <w:abstractNumId w:val="10"/>
  </w:num>
  <w:num w:numId="14">
    <w:abstractNumId w:val="14"/>
  </w:num>
  <w:num w:numId="15">
    <w:abstractNumId w:val="8"/>
  </w:num>
  <w:num w:numId="16">
    <w:abstractNumId w:val="7"/>
  </w:num>
  <w:num w:numId="17">
    <w:abstractNumId w:val="17"/>
  </w:num>
  <w:num w:numId="18">
    <w:abstractNumId w:val="8"/>
  </w:num>
  <w:num w:numId="19">
    <w:abstractNumId w:val="14"/>
  </w:num>
  <w:num w:numId="20">
    <w:abstractNumId w:val="14"/>
  </w:num>
  <w:num w:numId="21">
    <w:abstractNumId w:val="8"/>
  </w:num>
  <w:num w:numId="22">
    <w:abstractNumId w:val="14"/>
  </w:num>
  <w:num w:numId="23">
    <w:abstractNumId w:val="12"/>
  </w:num>
  <w:num w:numId="24">
    <w:abstractNumId w:val="14"/>
  </w:num>
  <w:num w:numId="25">
    <w:abstractNumId w:val="14"/>
  </w:num>
  <w:num w:numId="26">
    <w:abstractNumId w:val="14"/>
    <w:lvlOverride w:ilvl="0">
      <w:startOverride w:val="1"/>
    </w:lvlOverride>
  </w:num>
  <w:num w:numId="27">
    <w:abstractNumId w:val="14"/>
  </w:num>
  <w:num w:numId="28">
    <w:abstractNumId w:val="18"/>
  </w:num>
  <w:num w:numId="29">
    <w:abstractNumId w:val="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820"/>
    <w:rsid w:val="00000570"/>
    <w:rsid w:val="0000239F"/>
    <w:rsid w:val="0000306E"/>
    <w:rsid w:val="00011E11"/>
    <w:rsid w:val="00015234"/>
    <w:rsid w:val="00016D44"/>
    <w:rsid w:val="0001718B"/>
    <w:rsid w:val="00017BD4"/>
    <w:rsid w:val="000228AF"/>
    <w:rsid w:val="00026060"/>
    <w:rsid w:val="00035A91"/>
    <w:rsid w:val="00037B8A"/>
    <w:rsid w:val="000409AA"/>
    <w:rsid w:val="00040E7C"/>
    <w:rsid w:val="00045A80"/>
    <w:rsid w:val="00046B79"/>
    <w:rsid w:val="00053B2C"/>
    <w:rsid w:val="00056BCD"/>
    <w:rsid w:val="00057E3C"/>
    <w:rsid w:val="00066780"/>
    <w:rsid w:val="00070ED6"/>
    <w:rsid w:val="00073629"/>
    <w:rsid w:val="000752E3"/>
    <w:rsid w:val="00076A2F"/>
    <w:rsid w:val="00084141"/>
    <w:rsid w:val="00084B99"/>
    <w:rsid w:val="0009139E"/>
    <w:rsid w:val="00093486"/>
    <w:rsid w:val="000935AD"/>
    <w:rsid w:val="00097892"/>
    <w:rsid w:val="000A2AD0"/>
    <w:rsid w:val="000A64BA"/>
    <w:rsid w:val="000A7990"/>
    <w:rsid w:val="000B3A94"/>
    <w:rsid w:val="000C179B"/>
    <w:rsid w:val="000C22F6"/>
    <w:rsid w:val="000C3915"/>
    <w:rsid w:val="000C5A7C"/>
    <w:rsid w:val="000C6C9B"/>
    <w:rsid w:val="000D1D17"/>
    <w:rsid w:val="000D4BA2"/>
    <w:rsid w:val="000D5BD8"/>
    <w:rsid w:val="000E65BA"/>
    <w:rsid w:val="000E72FC"/>
    <w:rsid w:val="000F0A1D"/>
    <w:rsid w:val="000F2A7C"/>
    <w:rsid w:val="000F2FA2"/>
    <w:rsid w:val="000F35C9"/>
    <w:rsid w:val="00100846"/>
    <w:rsid w:val="00101035"/>
    <w:rsid w:val="00104D97"/>
    <w:rsid w:val="00104E2F"/>
    <w:rsid w:val="001112EB"/>
    <w:rsid w:val="001116FD"/>
    <w:rsid w:val="00122541"/>
    <w:rsid w:val="001230CD"/>
    <w:rsid w:val="00125425"/>
    <w:rsid w:val="0013437B"/>
    <w:rsid w:val="001345B0"/>
    <w:rsid w:val="00137DD9"/>
    <w:rsid w:val="00141C94"/>
    <w:rsid w:val="0015291E"/>
    <w:rsid w:val="00152926"/>
    <w:rsid w:val="00161C54"/>
    <w:rsid w:val="001632D5"/>
    <w:rsid w:val="0016551A"/>
    <w:rsid w:val="00166F6D"/>
    <w:rsid w:val="001721A4"/>
    <w:rsid w:val="00172253"/>
    <w:rsid w:val="00180387"/>
    <w:rsid w:val="00181087"/>
    <w:rsid w:val="00183642"/>
    <w:rsid w:val="00184169"/>
    <w:rsid w:val="00185C97"/>
    <w:rsid w:val="00192285"/>
    <w:rsid w:val="0019283A"/>
    <w:rsid w:val="001950D2"/>
    <w:rsid w:val="001A2BF5"/>
    <w:rsid w:val="001A44B9"/>
    <w:rsid w:val="001A4A54"/>
    <w:rsid w:val="001A6163"/>
    <w:rsid w:val="001B0D3F"/>
    <w:rsid w:val="001B39F7"/>
    <w:rsid w:val="001B58B8"/>
    <w:rsid w:val="001C000B"/>
    <w:rsid w:val="001C04EC"/>
    <w:rsid w:val="001C10B8"/>
    <w:rsid w:val="001C7A54"/>
    <w:rsid w:val="001D3C20"/>
    <w:rsid w:val="001E041E"/>
    <w:rsid w:val="001F043B"/>
    <w:rsid w:val="001F0F28"/>
    <w:rsid w:val="001F3BF2"/>
    <w:rsid w:val="00201A13"/>
    <w:rsid w:val="00204582"/>
    <w:rsid w:val="002133FD"/>
    <w:rsid w:val="002139FD"/>
    <w:rsid w:val="002179A8"/>
    <w:rsid w:val="00221087"/>
    <w:rsid w:val="00226454"/>
    <w:rsid w:val="00232D1F"/>
    <w:rsid w:val="00235425"/>
    <w:rsid w:val="00237BA8"/>
    <w:rsid w:val="00240AD0"/>
    <w:rsid w:val="00242919"/>
    <w:rsid w:val="0024381C"/>
    <w:rsid w:val="00244292"/>
    <w:rsid w:val="00244DA3"/>
    <w:rsid w:val="00246C63"/>
    <w:rsid w:val="00247036"/>
    <w:rsid w:val="00253BE0"/>
    <w:rsid w:val="0025527E"/>
    <w:rsid w:val="00256508"/>
    <w:rsid w:val="00256A86"/>
    <w:rsid w:val="00260D7D"/>
    <w:rsid w:val="00265719"/>
    <w:rsid w:val="00273EBF"/>
    <w:rsid w:val="002778CE"/>
    <w:rsid w:val="00283510"/>
    <w:rsid w:val="002835AE"/>
    <w:rsid w:val="00284256"/>
    <w:rsid w:val="00285252"/>
    <w:rsid w:val="002866A9"/>
    <w:rsid w:val="00291C46"/>
    <w:rsid w:val="00296CEA"/>
    <w:rsid w:val="002A3B95"/>
    <w:rsid w:val="002A658E"/>
    <w:rsid w:val="002B4735"/>
    <w:rsid w:val="002B566B"/>
    <w:rsid w:val="002C5DB8"/>
    <w:rsid w:val="002D0820"/>
    <w:rsid w:val="002D2CB6"/>
    <w:rsid w:val="002D63B1"/>
    <w:rsid w:val="002E48AB"/>
    <w:rsid w:val="002E4EE2"/>
    <w:rsid w:val="00300B54"/>
    <w:rsid w:val="00303382"/>
    <w:rsid w:val="00304A7D"/>
    <w:rsid w:val="00306183"/>
    <w:rsid w:val="00310856"/>
    <w:rsid w:val="003123F7"/>
    <w:rsid w:val="003155FC"/>
    <w:rsid w:val="00315B80"/>
    <w:rsid w:val="003224F3"/>
    <w:rsid w:val="003242B4"/>
    <w:rsid w:val="003259FA"/>
    <w:rsid w:val="00326971"/>
    <w:rsid w:val="003409C5"/>
    <w:rsid w:val="00344347"/>
    <w:rsid w:val="0034512D"/>
    <w:rsid w:val="003459E8"/>
    <w:rsid w:val="00346AE2"/>
    <w:rsid w:val="003524F0"/>
    <w:rsid w:val="0035421B"/>
    <w:rsid w:val="003641AA"/>
    <w:rsid w:val="00364FA1"/>
    <w:rsid w:val="003709FF"/>
    <w:rsid w:val="00373462"/>
    <w:rsid w:val="00373C90"/>
    <w:rsid w:val="003752F6"/>
    <w:rsid w:val="00384FFC"/>
    <w:rsid w:val="003923E7"/>
    <w:rsid w:val="00394D9F"/>
    <w:rsid w:val="00396FEA"/>
    <w:rsid w:val="003A54B9"/>
    <w:rsid w:val="003A57B0"/>
    <w:rsid w:val="003A709B"/>
    <w:rsid w:val="003B6441"/>
    <w:rsid w:val="003C32EC"/>
    <w:rsid w:val="003C6A91"/>
    <w:rsid w:val="003D388C"/>
    <w:rsid w:val="003E2C9F"/>
    <w:rsid w:val="003E4769"/>
    <w:rsid w:val="003E4BB2"/>
    <w:rsid w:val="003E6F9A"/>
    <w:rsid w:val="003F2162"/>
    <w:rsid w:val="003F4430"/>
    <w:rsid w:val="003F7BF9"/>
    <w:rsid w:val="00401402"/>
    <w:rsid w:val="00404230"/>
    <w:rsid w:val="00410ABC"/>
    <w:rsid w:val="00422EE1"/>
    <w:rsid w:val="00423DE3"/>
    <w:rsid w:val="0043397C"/>
    <w:rsid w:val="004379AE"/>
    <w:rsid w:val="00440FFC"/>
    <w:rsid w:val="00450A4F"/>
    <w:rsid w:val="00451FF7"/>
    <w:rsid w:val="004529B6"/>
    <w:rsid w:val="004537D3"/>
    <w:rsid w:val="004559B6"/>
    <w:rsid w:val="004628B4"/>
    <w:rsid w:val="00467266"/>
    <w:rsid w:val="00470B0F"/>
    <w:rsid w:val="00473358"/>
    <w:rsid w:val="0047378F"/>
    <w:rsid w:val="0048269A"/>
    <w:rsid w:val="00484872"/>
    <w:rsid w:val="00487833"/>
    <w:rsid w:val="00490649"/>
    <w:rsid w:val="00495DE9"/>
    <w:rsid w:val="004A27CB"/>
    <w:rsid w:val="004A3437"/>
    <w:rsid w:val="004A5276"/>
    <w:rsid w:val="004B316D"/>
    <w:rsid w:val="004B4709"/>
    <w:rsid w:val="004B6D43"/>
    <w:rsid w:val="004C26BA"/>
    <w:rsid w:val="004D066B"/>
    <w:rsid w:val="004D0EA1"/>
    <w:rsid w:val="004D28B2"/>
    <w:rsid w:val="004D4607"/>
    <w:rsid w:val="004D5569"/>
    <w:rsid w:val="004D631F"/>
    <w:rsid w:val="004E5561"/>
    <w:rsid w:val="004F1C9A"/>
    <w:rsid w:val="004F36A1"/>
    <w:rsid w:val="004F46FC"/>
    <w:rsid w:val="00501478"/>
    <w:rsid w:val="00501A41"/>
    <w:rsid w:val="005021E3"/>
    <w:rsid w:val="00504317"/>
    <w:rsid w:val="00516349"/>
    <w:rsid w:val="005205E8"/>
    <w:rsid w:val="00521662"/>
    <w:rsid w:val="005222FE"/>
    <w:rsid w:val="00525ECB"/>
    <w:rsid w:val="005321C7"/>
    <w:rsid w:val="0053225E"/>
    <w:rsid w:val="00532D36"/>
    <w:rsid w:val="005338AF"/>
    <w:rsid w:val="005343F2"/>
    <w:rsid w:val="00534F64"/>
    <w:rsid w:val="00536503"/>
    <w:rsid w:val="005445AF"/>
    <w:rsid w:val="00545038"/>
    <w:rsid w:val="005477E0"/>
    <w:rsid w:val="00547E57"/>
    <w:rsid w:val="00552081"/>
    <w:rsid w:val="00557999"/>
    <w:rsid w:val="00557EB8"/>
    <w:rsid w:val="00560AC5"/>
    <w:rsid w:val="005649AF"/>
    <w:rsid w:val="005733E6"/>
    <w:rsid w:val="00574BF0"/>
    <w:rsid w:val="00576655"/>
    <w:rsid w:val="00577492"/>
    <w:rsid w:val="00580144"/>
    <w:rsid w:val="00580653"/>
    <w:rsid w:val="00585E2B"/>
    <w:rsid w:val="00587320"/>
    <w:rsid w:val="00592DBE"/>
    <w:rsid w:val="00597F55"/>
    <w:rsid w:val="005A786F"/>
    <w:rsid w:val="005B5CCB"/>
    <w:rsid w:val="005C0B6D"/>
    <w:rsid w:val="005C1656"/>
    <w:rsid w:val="005C2288"/>
    <w:rsid w:val="005C3F54"/>
    <w:rsid w:val="005D0A9D"/>
    <w:rsid w:val="005D5B72"/>
    <w:rsid w:val="005E0EF9"/>
    <w:rsid w:val="005E510A"/>
    <w:rsid w:val="005E614E"/>
    <w:rsid w:val="005F32EF"/>
    <w:rsid w:val="005F4C8C"/>
    <w:rsid w:val="005F654C"/>
    <w:rsid w:val="00601B79"/>
    <w:rsid w:val="00603A4C"/>
    <w:rsid w:val="00606127"/>
    <w:rsid w:val="006068E2"/>
    <w:rsid w:val="0060703F"/>
    <w:rsid w:val="00610748"/>
    <w:rsid w:val="006124F6"/>
    <w:rsid w:val="00614131"/>
    <w:rsid w:val="006146C0"/>
    <w:rsid w:val="00615389"/>
    <w:rsid w:val="00616E6E"/>
    <w:rsid w:val="006207A1"/>
    <w:rsid w:val="0062193D"/>
    <w:rsid w:val="00627B6A"/>
    <w:rsid w:val="00631E38"/>
    <w:rsid w:val="00640CDF"/>
    <w:rsid w:val="00640E2D"/>
    <w:rsid w:val="00641BF2"/>
    <w:rsid w:val="00641DF0"/>
    <w:rsid w:val="00642DE0"/>
    <w:rsid w:val="00645101"/>
    <w:rsid w:val="00646BB2"/>
    <w:rsid w:val="0065096A"/>
    <w:rsid w:val="00657912"/>
    <w:rsid w:val="00662D4C"/>
    <w:rsid w:val="00664271"/>
    <w:rsid w:val="006652D4"/>
    <w:rsid w:val="006732C1"/>
    <w:rsid w:val="00673BE8"/>
    <w:rsid w:val="0067575C"/>
    <w:rsid w:val="00680ADE"/>
    <w:rsid w:val="00682247"/>
    <w:rsid w:val="00690E27"/>
    <w:rsid w:val="00692D8E"/>
    <w:rsid w:val="006A21F0"/>
    <w:rsid w:val="006A330D"/>
    <w:rsid w:val="006A63FF"/>
    <w:rsid w:val="006B0AEB"/>
    <w:rsid w:val="006B181C"/>
    <w:rsid w:val="006B2339"/>
    <w:rsid w:val="006B2C09"/>
    <w:rsid w:val="006B5E77"/>
    <w:rsid w:val="006B6ABB"/>
    <w:rsid w:val="006B7D07"/>
    <w:rsid w:val="006C0ED7"/>
    <w:rsid w:val="006C214C"/>
    <w:rsid w:val="006D04A3"/>
    <w:rsid w:val="006D37AB"/>
    <w:rsid w:val="006D38CA"/>
    <w:rsid w:val="006D41E4"/>
    <w:rsid w:val="006D424E"/>
    <w:rsid w:val="006E041F"/>
    <w:rsid w:val="006E4CC4"/>
    <w:rsid w:val="006F4402"/>
    <w:rsid w:val="007008A6"/>
    <w:rsid w:val="007015F3"/>
    <w:rsid w:val="0070416B"/>
    <w:rsid w:val="00705807"/>
    <w:rsid w:val="007069E1"/>
    <w:rsid w:val="00712460"/>
    <w:rsid w:val="00714A1C"/>
    <w:rsid w:val="007236EF"/>
    <w:rsid w:val="0072423B"/>
    <w:rsid w:val="00724E09"/>
    <w:rsid w:val="00731A00"/>
    <w:rsid w:val="00741DBE"/>
    <w:rsid w:val="00745DEF"/>
    <w:rsid w:val="0075093E"/>
    <w:rsid w:val="00756F2A"/>
    <w:rsid w:val="0076096B"/>
    <w:rsid w:val="007612E3"/>
    <w:rsid w:val="007635BB"/>
    <w:rsid w:val="0076666B"/>
    <w:rsid w:val="00773207"/>
    <w:rsid w:val="00781E13"/>
    <w:rsid w:val="00787396"/>
    <w:rsid w:val="00791E99"/>
    <w:rsid w:val="0079259D"/>
    <w:rsid w:val="007A0DF6"/>
    <w:rsid w:val="007A1712"/>
    <w:rsid w:val="007A5CBC"/>
    <w:rsid w:val="007A6CCF"/>
    <w:rsid w:val="007B114C"/>
    <w:rsid w:val="007B31AF"/>
    <w:rsid w:val="007B452E"/>
    <w:rsid w:val="007B573F"/>
    <w:rsid w:val="007B5994"/>
    <w:rsid w:val="007B6F5F"/>
    <w:rsid w:val="007B7742"/>
    <w:rsid w:val="007C22BF"/>
    <w:rsid w:val="007C49E3"/>
    <w:rsid w:val="007D0B5A"/>
    <w:rsid w:val="007E14CB"/>
    <w:rsid w:val="007E286C"/>
    <w:rsid w:val="007E2922"/>
    <w:rsid w:val="007E4678"/>
    <w:rsid w:val="007E6581"/>
    <w:rsid w:val="007E6E5B"/>
    <w:rsid w:val="007F02B4"/>
    <w:rsid w:val="007F0CF0"/>
    <w:rsid w:val="007F106B"/>
    <w:rsid w:val="007F2075"/>
    <w:rsid w:val="007F56F5"/>
    <w:rsid w:val="007F592B"/>
    <w:rsid w:val="007F6A69"/>
    <w:rsid w:val="00801C95"/>
    <w:rsid w:val="00803C7E"/>
    <w:rsid w:val="00810717"/>
    <w:rsid w:val="00817330"/>
    <w:rsid w:val="00822ACA"/>
    <w:rsid w:val="0082473B"/>
    <w:rsid w:val="00831F7F"/>
    <w:rsid w:val="008416A0"/>
    <w:rsid w:val="008445E2"/>
    <w:rsid w:val="00850A05"/>
    <w:rsid w:val="00851B4E"/>
    <w:rsid w:val="0085249B"/>
    <w:rsid w:val="008548D7"/>
    <w:rsid w:val="00854A65"/>
    <w:rsid w:val="0086004C"/>
    <w:rsid w:val="0086072A"/>
    <w:rsid w:val="008608BA"/>
    <w:rsid w:val="00860E03"/>
    <w:rsid w:val="00870BB0"/>
    <w:rsid w:val="00870CD8"/>
    <w:rsid w:val="0088036B"/>
    <w:rsid w:val="00882125"/>
    <w:rsid w:val="008822E2"/>
    <w:rsid w:val="00882509"/>
    <w:rsid w:val="008825EB"/>
    <w:rsid w:val="008834E8"/>
    <w:rsid w:val="008844A5"/>
    <w:rsid w:val="00887DF5"/>
    <w:rsid w:val="00891894"/>
    <w:rsid w:val="008A144F"/>
    <w:rsid w:val="008A183D"/>
    <w:rsid w:val="008B09F7"/>
    <w:rsid w:val="008B30DA"/>
    <w:rsid w:val="008C15AA"/>
    <w:rsid w:val="008C25A4"/>
    <w:rsid w:val="008C40B0"/>
    <w:rsid w:val="008F383B"/>
    <w:rsid w:val="008F582F"/>
    <w:rsid w:val="008F6DB0"/>
    <w:rsid w:val="00900E49"/>
    <w:rsid w:val="00901341"/>
    <w:rsid w:val="00902771"/>
    <w:rsid w:val="009039E2"/>
    <w:rsid w:val="00915880"/>
    <w:rsid w:val="009158D9"/>
    <w:rsid w:val="00915C0E"/>
    <w:rsid w:val="00916FA9"/>
    <w:rsid w:val="00921CA7"/>
    <w:rsid w:val="00922E57"/>
    <w:rsid w:val="00926FF2"/>
    <w:rsid w:val="0093024D"/>
    <w:rsid w:val="00934408"/>
    <w:rsid w:val="00937ACB"/>
    <w:rsid w:val="00937BC9"/>
    <w:rsid w:val="00946F36"/>
    <w:rsid w:val="0095115B"/>
    <w:rsid w:val="00954B15"/>
    <w:rsid w:val="00955B75"/>
    <w:rsid w:val="00957556"/>
    <w:rsid w:val="00957890"/>
    <w:rsid w:val="0096667C"/>
    <w:rsid w:val="009704E2"/>
    <w:rsid w:val="00970AAD"/>
    <w:rsid w:val="00972318"/>
    <w:rsid w:val="0098155A"/>
    <w:rsid w:val="009851B4"/>
    <w:rsid w:val="0098619F"/>
    <w:rsid w:val="0098667D"/>
    <w:rsid w:val="00987B73"/>
    <w:rsid w:val="00994DC2"/>
    <w:rsid w:val="00997B57"/>
    <w:rsid w:val="009A1AA3"/>
    <w:rsid w:val="009A1B6F"/>
    <w:rsid w:val="009A284C"/>
    <w:rsid w:val="009A2A4E"/>
    <w:rsid w:val="009A2D8C"/>
    <w:rsid w:val="009A48D8"/>
    <w:rsid w:val="009B072C"/>
    <w:rsid w:val="009B0A88"/>
    <w:rsid w:val="009B0DAB"/>
    <w:rsid w:val="009B0FD6"/>
    <w:rsid w:val="009B6D32"/>
    <w:rsid w:val="009C56E0"/>
    <w:rsid w:val="009C79E3"/>
    <w:rsid w:val="009D4927"/>
    <w:rsid w:val="009D5538"/>
    <w:rsid w:val="009E1CAA"/>
    <w:rsid w:val="009E3143"/>
    <w:rsid w:val="009E76D0"/>
    <w:rsid w:val="00A000D8"/>
    <w:rsid w:val="00A00896"/>
    <w:rsid w:val="00A010E8"/>
    <w:rsid w:val="00A038BA"/>
    <w:rsid w:val="00A06724"/>
    <w:rsid w:val="00A20C9B"/>
    <w:rsid w:val="00A2337E"/>
    <w:rsid w:val="00A24A6D"/>
    <w:rsid w:val="00A3209E"/>
    <w:rsid w:val="00A34690"/>
    <w:rsid w:val="00A402B7"/>
    <w:rsid w:val="00A53A92"/>
    <w:rsid w:val="00A54A69"/>
    <w:rsid w:val="00A555DC"/>
    <w:rsid w:val="00A60CF5"/>
    <w:rsid w:val="00A6179B"/>
    <w:rsid w:val="00A6265B"/>
    <w:rsid w:val="00A7135E"/>
    <w:rsid w:val="00A72483"/>
    <w:rsid w:val="00A75FF7"/>
    <w:rsid w:val="00A80DDD"/>
    <w:rsid w:val="00A840B9"/>
    <w:rsid w:val="00A84ADC"/>
    <w:rsid w:val="00A8598F"/>
    <w:rsid w:val="00A8749F"/>
    <w:rsid w:val="00A87FBF"/>
    <w:rsid w:val="00A91908"/>
    <w:rsid w:val="00A92B03"/>
    <w:rsid w:val="00A92C1E"/>
    <w:rsid w:val="00A96516"/>
    <w:rsid w:val="00A97FEF"/>
    <w:rsid w:val="00AA0095"/>
    <w:rsid w:val="00AA224D"/>
    <w:rsid w:val="00AA6FE8"/>
    <w:rsid w:val="00AA77D4"/>
    <w:rsid w:val="00AB1310"/>
    <w:rsid w:val="00AB73BF"/>
    <w:rsid w:val="00AC14B6"/>
    <w:rsid w:val="00AC23D8"/>
    <w:rsid w:val="00AC2B46"/>
    <w:rsid w:val="00AC403E"/>
    <w:rsid w:val="00AC6EA1"/>
    <w:rsid w:val="00AC7EBD"/>
    <w:rsid w:val="00AD323B"/>
    <w:rsid w:val="00AD32FB"/>
    <w:rsid w:val="00AD4B86"/>
    <w:rsid w:val="00AD4BB8"/>
    <w:rsid w:val="00AD56D9"/>
    <w:rsid w:val="00AD7651"/>
    <w:rsid w:val="00AD7C06"/>
    <w:rsid w:val="00AE2733"/>
    <w:rsid w:val="00AF1DA7"/>
    <w:rsid w:val="00AF4E81"/>
    <w:rsid w:val="00B06BBB"/>
    <w:rsid w:val="00B115B8"/>
    <w:rsid w:val="00B1443C"/>
    <w:rsid w:val="00B153E1"/>
    <w:rsid w:val="00B15CBE"/>
    <w:rsid w:val="00B16B0A"/>
    <w:rsid w:val="00B16FC9"/>
    <w:rsid w:val="00B22593"/>
    <w:rsid w:val="00B30C46"/>
    <w:rsid w:val="00B37290"/>
    <w:rsid w:val="00B433E7"/>
    <w:rsid w:val="00B4343E"/>
    <w:rsid w:val="00B43962"/>
    <w:rsid w:val="00B4510E"/>
    <w:rsid w:val="00B5000D"/>
    <w:rsid w:val="00B50D25"/>
    <w:rsid w:val="00B50D5D"/>
    <w:rsid w:val="00B515F2"/>
    <w:rsid w:val="00B51853"/>
    <w:rsid w:val="00B5309C"/>
    <w:rsid w:val="00B601E8"/>
    <w:rsid w:val="00B62F6B"/>
    <w:rsid w:val="00B661EF"/>
    <w:rsid w:val="00B6686C"/>
    <w:rsid w:val="00B66C7B"/>
    <w:rsid w:val="00B70A23"/>
    <w:rsid w:val="00B72553"/>
    <w:rsid w:val="00B805E4"/>
    <w:rsid w:val="00B823EC"/>
    <w:rsid w:val="00B84CB0"/>
    <w:rsid w:val="00B92342"/>
    <w:rsid w:val="00B9274E"/>
    <w:rsid w:val="00B93068"/>
    <w:rsid w:val="00B95A3C"/>
    <w:rsid w:val="00B97BE1"/>
    <w:rsid w:val="00BA101B"/>
    <w:rsid w:val="00BA41B3"/>
    <w:rsid w:val="00BA5C88"/>
    <w:rsid w:val="00BB0360"/>
    <w:rsid w:val="00BB53F1"/>
    <w:rsid w:val="00BB5D08"/>
    <w:rsid w:val="00BB7879"/>
    <w:rsid w:val="00BC4686"/>
    <w:rsid w:val="00BC74C9"/>
    <w:rsid w:val="00BD2D60"/>
    <w:rsid w:val="00BD2E78"/>
    <w:rsid w:val="00BD3A48"/>
    <w:rsid w:val="00BE511B"/>
    <w:rsid w:val="00BF0379"/>
    <w:rsid w:val="00BF329B"/>
    <w:rsid w:val="00C02624"/>
    <w:rsid w:val="00C03C70"/>
    <w:rsid w:val="00C05150"/>
    <w:rsid w:val="00C15E52"/>
    <w:rsid w:val="00C17A26"/>
    <w:rsid w:val="00C220A3"/>
    <w:rsid w:val="00C26197"/>
    <w:rsid w:val="00C31CCD"/>
    <w:rsid w:val="00C3300C"/>
    <w:rsid w:val="00C34994"/>
    <w:rsid w:val="00C44EE4"/>
    <w:rsid w:val="00C45291"/>
    <w:rsid w:val="00C4633E"/>
    <w:rsid w:val="00C4701A"/>
    <w:rsid w:val="00C479C7"/>
    <w:rsid w:val="00C50ADE"/>
    <w:rsid w:val="00C50EE1"/>
    <w:rsid w:val="00C51BD7"/>
    <w:rsid w:val="00C5242A"/>
    <w:rsid w:val="00C544FA"/>
    <w:rsid w:val="00C55C98"/>
    <w:rsid w:val="00C56940"/>
    <w:rsid w:val="00C62EC0"/>
    <w:rsid w:val="00C633D9"/>
    <w:rsid w:val="00C63C6C"/>
    <w:rsid w:val="00C652EE"/>
    <w:rsid w:val="00C77885"/>
    <w:rsid w:val="00C77E50"/>
    <w:rsid w:val="00C8120B"/>
    <w:rsid w:val="00C82237"/>
    <w:rsid w:val="00C863A5"/>
    <w:rsid w:val="00C8672C"/>
    <w:rsid w:val="00C9003E"/>
    <w:rsid w:val="00C9304F"/>
    <w:rsid w:val="00C93A2C"/>
    <w:rsid w:val="00C94145"/>
    <w:rsid w:val="00CA58E2"/>
    <w:rsid w:val="00CA59B2"/>
    <w:rsid w:val="00CB13EA"/>
    <w:rsid w:val="00CB1B22"/>
    <w:rsid w:val="00CC59AD"/>
    <w:rsid w:val="00CD1D75"/>
    <w:rsid w:val="00CD1F1F"/>
    <w:rsid w:val="00CD24DD"/>
    <w:rsid w:val="00CE23AB"/>
    <w:rsid w:val="00CE7231"/>
    <w:rsid w:val="00CE74E5"/>
    <w:rsid w:val="00CF2228"/>
    <w:rsid w:val="00CF70AC"/>
    <w:rsid w:val="00D01006"/>
    <w:rsid w:val="00D0111A"/>
    <w:rsid w:val="00D01780"/>
    <w:rsid w:val="00D07F98"/>
    <w:rsid w:val="00D11603"/>
    <w:rsid w:val="00D140B1"/>
    <w:rsid w:val="00D16EF7"/>
    <w:rsid w:val="00D173CE"/>
    <w:rsid w:val="00D22D72"/>
    <w:rsid w:val="00D23055"/>
    <w:rsid w:val="00D301E4"/>
    <w:rsid w:val="00D35786"/>
    <w:rsid w:val="00D36A6C"/>
    <w:rsid w:val="00D370EC"/>
    <w:rsid w:val="00D3772B"/>
    <w:rsid w:val="00D44971"/>
    <w:rsid w:val="00D449F3"/>
    <w:rsid w:val="00D47A17"/>
    <w:rsid w:val="00D51CE0"/>
    <w:rsid w:val="00D56FC5"/>
    <w:rsid w:val="00D57427"/>
    <w:rsid w:val="00D62250"/>
    <w:rsid w:val="00D64C18"/>
    <w:rsid w:val="00D65E67"/>
    <w:rsid w:val="00D667D3"/>
    <w:rsid w:val="00D676B5"/>
    <w:rsid w:val="00D71135"/>
    <w:rsid w:val="00D71820"/>
    <w:rsid w:val="00D721DD"/>
    <w:rsid w:val="00D731CE"/>
    <w:rsid w:val="00D74D22"/>
    <w:rsid w:val="00D93DB3"/>
    <w:rsid w:val="00DA4105"/>
    <w:rsid w:val="00DA460F"/>
    <w:rsid w:val="00DA5D17"/>
    <w:rsid w:val="00DB31EC"/>
    <w:rsid w:val="00DC24E0"/>
    <w:rsid w:val="00DC2AAB"/>
    <w:rsid w:val="00DC5BA9"/>
    <w:rsid w:val="00DD0B20"/>
    <w:rsid w:val="00DD62B5"/>
    <w:rsid w:val="00DD6E50"/>
    <w:rsid w:val="00DE1C80"/>
    <w:rsid w:val="00DE5A60"/>
    <w:rsid w:val="00DE5C2E"/>
    <w:rsid w:val="00DE5F2F"/>
    <w:rsid w:val="00DE76DF"/>
    <w:rsid w:val="00DF0829"/>
    <w:rsid w:val="00DF0F0D"/>
    <w:rsid w:val="00DF2135"/>
    <w:rsid w:val="00DF257B"/>
    <w:rsid w:val="00DF2F3C"/>
    <w:rsid w:val="00DF734A"/>
    <w:rsid w:val="00E002AA"/>
    <w:rsid w:val="00E00F5D"/>
    <w:rsid w:val="00E0433A"/>
    <w:rsid w:val="00E155A6"/>
    <w:rsid w:val="00E232F9"/>
    <w:rsid w:val="00E23572"/>
    <w:rsid w:val="00E27133"/>
    <w:rsid w:val="00E325DC"/>
    <w:rsid w:val="00E445D6"/>
    <w:rsid w:val="00E44A49"/>
    <w:rsid w:val="00E44BB3"/>
    <w:rsid w:val="00E46DBD"/>
    <w:rsid w:val="00E50322"/>
    <w:rsid w:val="00E50940"/>
    <w:rsid w:val="00E51D41"/>
    <w:rsid w:val="00E54602"/>
    <w:rsid w:val="00E55EB9"/>
    <w:rsid w:val="00E620E2"/>
    <w:rsid w:val="00E6258A"/>
    <w:rsid w:val="00E6452F"/>
    <w:rsid w:val="00E64FDF"/>
    <w:rsid w:val="00E662C8"/>
    <w:rsid w:val="00E677D4"/>
    <w:rsid w:val="00E71D7C"/>
    <w:rsid w:val="00E7573C"/>
    <w:rsid w:val="00E75C69"/>
    <w:rsid w:val="00E8165A"/>
    <w:rsid w:val="00E91A04"/>
    <w:rsid w:val="00E9582A"/>
    <w:rsid w:val="00EA0321"/>
    <w:rsid w:val="00EA221F"/>
    <w:rsid w:val="00EB2231"/>
    <w:rsid w:val="00EB5867"/>
    <w:rsid w:val="00EB71BB"/>
    <w:rsid w:val="00EC1682"/>
    <w:rsid w:val="00EC6348"/>
    <w:rsid w:val="00ED0B02"/>
    <w:rsid w:val="00ED64D9"/>
    <w:rsid w:val="00ED6DC8"/>
    <w:rsid w:val="00EE4841"/>
    <w:rsid w:val="00EF186B"/>
    <w:rsid w:val="00EF55A2"/>
    <w:rsid w:val="00EF5979"/>
    <w:rsid w:val="00EF611A"/>
    <w:rsid w:val="00F03934"/>
    <w:rsid w:val="00F03D61"/>
    <w:rsid w:val="00F10A96"/>
    <w:rsid w:val="00F1568B"/>
    <w:rsid w:val="00F16B05"/>
    <w:rsid w:val="00F248DD"/>
    <w:rsid w:val="00F265E9"/>
    <w:rsid w:val="00F27AB9"/>
    <w:rsid w:val="00F32710"/>
    <w:rsid w:val="00F32DCB"/>
    <w:rsid w:val="00F334E7"/>
    <w:rsid w:val="00F36E42"/>
    <w:rsid w:val="00F43C49"/>
    <w:rsid w:val="00F444CA"/>
    <w:rsid w:val="00F500FD"/>
    <w:rsid w:val="00F553DC"/>
    <w:rsid w:val="00F559E0"/>
    <w:rsid w:val="00F60E6D"/>
    <w:rsid w:val="00F61FA9"/>
    <w:rsid w:val="00F707BC"/>
    <w:rsid w:val="00F70CFC"/>
    <w:rsid w:val="00F72741"/>
    <w:rsid w:val="00F72FD1"/>
    <w:rsid w:val="00F76756"/>
    <w:rsid w:val="00F93E5D"/>
    <w:rsid w:val="00F9413F"/>
    <w:rsid w:val="00F96A5C"/>
    <w:rsid w:val="00FA495C"/>
    <w:rsid w:val="00FA59BB"/>
    <w:rsid w:val="00FB3BCC"/>
    <w:rsid w:val="00FB6BE7"/>
    <w:rsid w:val="00FC4360"/>
    <w:rsid w:val="00FC5619"/>
    <w:rsid w:val="00FC57F4"/>
    <w:rsid w:val="00FC6185"/>
    <w:rsid w:val="00FC74AC"/>
    <w:rsid w:val="00FC7B4E"/>
    <w:rsid w:val="00FD0B53"/>
    <w:rsid w:val="00FD2D65"/>
    <w:rsid w:val="00FD784A"/>
    <w:rsid w:val="00FE208A"/>
    <w:rsid w:val="00FF3946"/>
    <w:rsid w:val="00FF4F29"/>
    <w:rsid w:val="00FF6C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D38CA"/>
    <w:pPr>
      <w:widowControl w:val="0"/>
    </w:pPr>
    <w:rPr>
      <w:snapToGrid w:val="0"/>
      <w:kern w:val="28"/>
      <w:sz w:val="22"/>
    </w:rPr>
  </w:style>
  <w:style w:type="paragraph" w:styleId="Heading1">
    <w:name w:val="heading 1"/>
    <w:basedOn w:val="Normal"/>
    <w:next w:val="ParaNum"/>
    <w:qFormat/>
    <w:rsid w:val="006D38CA"/>
    <w:pPr>
      <w:keepNext/>
      <w:numPr>
        <w:numId w:val="15"/>
      </w:numPr>
      <w:suppressAutoHyphens/>
      <w:spacing w:after="120"/>
      <w:outlineLvl w:val="0"/>
    </w:pPr>
    <w:rPr>
      <w:rFonts w:ascii="Times New Roman Bold" w:hAnsi="Times New Roman Bold"/>
      <w:b/>
      <w:caps/>
    </w:rPr>
  </w:style>
  <w:style w:type="paragraph" w:styleId="Heading2">
    <w:name w:val="heading 2"/>
    <w:aliases w:val="Heading 2 Char,h2 Char,UNDERRUBRIK 1-2 Char"/>
    <w:basedOn w:val="Normal"/>
    <w:next w:val="ParaNum"/>
    <w:autoRedefine/>
    <w:qFormat/>
    <w:rsid w:val="00F72FD1"/>
    <w:pPr>
      <w:keepNext/>
      <w:widowControl/>
      <w:numPr>
        <w:ilvl w:val="1"/>
        <w:numId w:val="15"/>
      </w:numPr>
      <w:tabs>
        <w:tab w:val="clear" w:pos="1440"/>
        <w:tab w:val="num" w:pos="1380"/>
      </w:tabs>
      <w:spacing w:after="220"/>
      <w:ind w:left="0" w:firstLine="720"/>
      <w:outlineLvl w:val="1"/>
    </w:pPr>
    <w:rPr>
      <w:b/>
      <w:szCs w:val="22"/>
    </w:rPr>
  </w:style>
  <w:style w:type="paragraph" w:styleId="Heading3">
    <w:name w:val="heading 3"/>
    <w:aliases w:val="Heading 3 Char,3 Char,Titre 3 Char,1 Char,31 Char,Titre 31 Char,?? 3 Char,3,Titre 3,1,31,Titre 31,?? 3"/>
    <w:basedOn w:val="Normal"/>
    <w:next w:val="ParaNum"/>
    <w:qFormat/>
    <w:rsid w:val="006D38CA"/>
    <w:pPr>
      <w:keepNext/>
      <w:numPr>
        <w:ilvl w:val="2"/>
        <w:numId w:val="15"/>
      </w:numPr>
      <w:spacing w:after="120"/>
      <w:outlineLvl w:val="2"/>
    </w:pPr>
    <w:rPr>
      <w:b/>
    </w:rPr>
  </w:style>
  <w:style w:type="paragraph" w:styleId="Heading4">
    <w:name w:val="heading 4"/>
    <w:aliases w:val="Heading 4 Char,Heading 4 Char1 Char,Heading 4 Char2 Char Char1,Heading 4 Char Char1 Char Char1,Heading 4 Char1 Char Char Char Char1,Heading 4 Char Char Char Char Char Char1,Heading 4 Char1 Char1 Char Char1,Heading 4 Char Char Char1 Char Char1"/>
    <w:basedOn w:val="Normal"/>
    <w:next w:val="ParaNum"/>
    <w:qFormat/>
    <w:rsid w:val="006D38CA"/>
    <w:pPr>
      <w:keepNext/>
      <w:numPr>
        <w:ilvl w:val="3"/>
        <w:numId w:val="15"/>
      </w:numPr>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6D38CA"/>
    <w:pPr>
      <w:keepNext/>
      <w:numPr>
        <w:ilvl w:val="4"/>
        <w:numId w:val="15"/>
      </w:numPr>
      <w:suppressAutoHyphens/>
      <w:spacing w:after="120"/>
      <w:outlineLvl w:val="4"/>
    </w:pPr>
    <w:rPr>
      <w:b/>
    </w:rPr>
  </w:style>
  <w:style w:type="paragraph" w:styleId="Heading6">
    <w:name w:val="heading 6"/>
    <w:aliases w:val="Heading 6 Char2,Heading 6 Char1 Char,Heading 6 Char Char Char,Heading 6 Char Char1,Heading 6 Char1,Heading 6 Char Char,Heading 6 Char,h6"/>
    <w:basedOn w:val="Normal"/>
    <w:next w:val="ParaNum"/>
    <w:qFormat/>
    <w:rsid w:val="006D38CA"/>
    <w:pPr>
      <w:numPr>
        <w:ilvl w:val="5"/>
        <w:numId w:val="15"/>
      </w:numPr>
      <w:spacing w:after="120"/>
      <w:outlineLvl w:val="5"/>
    </w:pPr>
    <w:rPr>
      <w:b/>
    </w:rPr>
  </w:style>
  <w:style w:type="paragraph" w:styleId="Heading7">
    <w:name w:val="heading 7"/>
    <w:aliases w:val="Heading 7 Char"/>
    <w:basedOn w:val="Normal"/>
    <w:next w:val="ParaNum"/>
    <w:qFormat/>
    <w:rsid w:val="006D38CA"/>
    <w:pPr>
      <w:numPr>
        <w:ilvl w:val="6"/>
        <w:numId w:val="15"/>
      </w:numPr>
      <w:spacing w:after="120"/>
      <w:outlineLvl w:val="6"/>
    </w:pPr>
    <w:rPr>
      <w:b/>
    </w:rPr>
  </w:style>
  <w:style w:type="paragraph" w:styleId="Heading8">
    <w:name w:val="heading 8"/>
    <w:basedOn w:val="Normal"/>
    <w:next w:val="ParaNum"/>
    <w:qFormat/>
    <w:rsid w:val="006D38CA"/>
    <w:pPr>
      <w:numPr>
        <w:ilvl w:val="7"/>
        <w:numId w:val="15"/>
      </w:numPr>
      <w:tabs>
        <w:tab w:val="left" w:pos="5760"/>
      </w:tabs>
      <w:spacing w:after="120"/>
      <w:outlineLvl w:val="7"/>
    </w:pPr>
    <w:rPr>
      <w:b/>
    </w:rPr>
  </w:style>
  <w:style w:type="paragraph" w:styleId="Heading9">
    <w:name w:val="heading 9"/>
    <w:aliases w:val="Topic,table,t,9,Heading 9.table,Titre 9"/>
    <w:basedOn w:val="Normal"/>
    <w:next w:val="ParaNum"/>
    <w:qFormat/>
    <w:rsid w:val="006D38CA"/>
    <w:pPr>
      <w:numPr>
        <w:ilvl w:val="8"/>
        <w:numId w:val="15"/>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6D38CA"/>
    <w:pPr>
      <w:numPr>
        <w:numId w:val="2"/>
      </w:numPr>
      <w:spacing w:after="120"/>
    </w:pPr>
  </w:style>
  <w:style w:type="paragraph" w:styleId="EndnoteText">
    <w:name w:val="endnote text"/>
    <w:basedOn w:val="Normal"/>
    <w:semiHidden/>
    <w:rsid w:val="006D38CA"/>
    <w:rPr>
      <w:sz w:val="20"/>
    </w:rPr>
  </w:style>
  <w:style w:type="character" w:styleId="EndnoteReference">
    <w:name w:val="endnote reference"/>
    <w:semiHidden/>
    <w:rsid w:val="006D38CA"/>
    <w:rPr>
      <w:vertAlign w:val="superscript"/>
    </w:rPr>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ootnote Text Char,fn,f"/>
    <w:link w:val="FootnoteTextChar2"/>
    <w:semiHidden/>
    <w:rsid w:val="006D38CA"/>
    <w:pPr>
      <w:spacing w:after="120"/>
    </w:pPr>
  </w:style>
  <w:style w:type="character" w:styleId="FootnoteReference">
    <w:name w:val="footnote reference"/>
    <w:aliases w:val="Appel note de bas de p,Style 12,(NECG) Footnote Reference,Style 13,Style 124,fr,o,Style 3,FR,Style 17,Style 6,Footnote Reference/"/>
    <w:semiHidden/>
    <w:rsid w:val="006D38CA"/>
    <w:rPr>
      <w:rFonts w:ascii="Times New Roman" w:hAnsi="Times New Roman"/>
      <w:dstrike w:val="0"/>
      <w:color w:val="auto"/>
      <w:sz w:val="22"/>
      <w:vertAlign w:val="superscript"/>
    </w:rPr>
  </w:style>
  <w:style w:type="paragraph" w:styleId="TOC1">
    <w:name w:val="toc 1"/>
    <w:basedOn w:val="Normal"/>
    <w:next w:val="Normal"/>
    <w:semiHidden/>
    <w:rsid w:val="006D38C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D38CA"/>
    <w:pPr>
      <w:tabs>
        <w:tab w:val="left" w:pos="720"/>
        <w:tab w:val="right" w:leader="dot" w:pos="9360"/>
      </w:tabs>
      <w:suppressAutoHyphens/>
      <w:ind w:left="720" w:right="720" w:hanging="360"/>
    </w:pPr>
    <w:rPr>
      <w:noProof/>
    </w:rPr>
  </w:style>
  <w:style w:type="paragraph" w:styleId="TOC3">
    <w:name w:val="toc 3"/>
    <w:basedOn w:val="Normal"/>
    <w:next w:val="Normal"/>
    <w:semiHidden/>
    <w:rsid w:val="006D38C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D38C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D38C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D38C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D38C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D38C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D38C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D38CA"/>
    <w:pPr>
      <w:tabs>
        <w:tab w:val="right" w:pos="9360"/>
      </w:tabs>
      <w:suppressAutoHyphens/>
    </w:pPr>
  </w:style>
  <w:style w:type="character" w:customStyle="1" w:styleId="EquationCaption">
    <w:name w:val="_Equation Caption"/>
    <w:rsid w:val="006D38CA"/>
  </w:style>
  <w:style w:type="paragraph" w:styleId="Header">
    <w:name w:val="header"/>
    <w:basedOn w:val="Normal"/>
    <w:autoRedefine/>
    <w:rsid w:val="006D38CA"/>
    <w:pPr>
      <w:tabs>
        <w:tab w:val="center" w:pos="4680"/>
        <w:tab w:val="right" w:pos="9360"/>
      </w:tabs>
    </w:pPr>
    <w:rPr>
      <w:b/>
    </w:rPr>
  </w:style>
  <w:style w:type="paragraph" w:styleId="Footer">
    <w:name w:val="footer"/>
    <w:basedOn w:val="Normal"/>
    <w:rsid w:val="006D38CA"/>
    <w:pPr>
      <w:tabs>
        <w:tab w:val="center" w:pos="4320"/>
        <w:tab w:val="right" w:pos="8640"/>
      </w:tabs>
    </w:pPr>
  </w:style>
  <w:style w:type="character" w:styleId="PageNumber">
    <w:name w:val="page number"/>
    <w:basedOn w:val="DefaultParagraphFont"/>
    <w:rsid w:val="006D38CA"/>
  </w:style>
  <w:style w:type="paragraph" w:styleId="BlockText">
    <w:name w:val="Block Text"/>
    <w:basedOn w:val="Normal"/>
    <w:rsid w:val="006D38CA"/>
    <w:pPr>
      <w:spacing w:after="240"/>
      <w:ind w:left="1440" w:right="1440"/>
    </w:pPr>
  </w:style>
  <w:style w:type="paragraph" w:customStyle="1" w:styleId="Paratitle">
    <w:name w:val="Para title"/>
    <w:basedOn w:val="Normal"/>
    <w:rsid w:val="006D38CA"/>
    <w:pPr>
      <w:tabs>
        <w:tab w:val="center" w:pos="9270"/>
      </w:tabs>
      <w:spacing w:after="240"/>
    </w:pPr>
    <w:rPr>
      <w:spacing w:val="-2"/>
    </w:rPr>
  </w:style>
  <w:style w:type="paragraph" w:customStyle="1" w:styleId="Bullet">
    <w:name w:val="Bullet"/>
    <w:basedOn w:val="Normal"/>
    <w:rsid w:val="006D38CA"/>
    <w:pPr>
      <w:numPr>
        <w:numId w:val="1"/>
      </w:numPr>
      <w:tabs>
        <w:tab w:val="clear" w:pos="360"/>
        <w:tab w:val="left" w:pos="2160"/>
      </w:tabs>
      <w:spacing w:after="220"/>
      <w:ind w:left="2160" w:hanging="720"/>
    </w:pPr>
  </w:style>
  <w:style w:type="paragraph" w:customStyle="1" w:styleId="TableFormat">
    <w:name w:val="TableFormat"/>
    <w:basedOn w:val="Bullet"/>
    <w:rsid w:val="006D38CA"/>
    <w:pPr>
      <w:numPr>
        <w:numId w:val="0"/>
      </w:numPr>
      <w:tabs>
        <w:tab w:val="clear" w:pos="2160"/>
        <w:tab w:val="left" w:pos="5040"/>
      </w:tabs>
      <w:ind w:left="5040" w:hanging="3600"/>
    </w:pPr>
  </w:style>
  <w:style w:type="paragraph" w:customStyle="1" w:styleId="TOCTitle">
    <w:name w:val="TOC Title"/>
    <w:basedOn w:val="Normal"/>
    <w:rsid w:val="006D38C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D38CA"/>
    <w:pPr>
      <w:jc w:val="center"/>
    </w:pPr>
    <w:rPr>
      <w:rFonts w:ascii="Times New Roman Bold" w:hAnsi="Times New Roman Bold"/>
      <w:b/>
      <w:bCs/>
      <w:caps/>
      <w:szCs w:val="22"/>
    </w:rPr>
  </w:style>
  <w:style w:type="character" w:styleId="Hyperlink">
    <w:name w:val="Hyperlink"/>
    <w:uiPriority w:val="99"/>
    <w:rsid w:val="006D38CA"/>
    <w:rPr>
      <w:color w:val="0000FF"/>
      <w:u w:val="single"/>
    </w:rPr>
  </w:style>
  <w:style w:type="character" w:customStyle="1" w:styleId="FootnoteTextChar2">
    <w:name w:val="Footnote Text Char2"/>
    <w:aliases w:val="Footnote Text Char1 Char1,Footnote Text Char Char Char1,Footnote Text Char1 Char2 Char Char1,Footnote Text Char1 Char Char Char Char Char1,Footnote Text Char Char Char1 Char Char1,Footnote Text Char1 Char1 Char Char Char1,fn Char"/>
    <w:link w:val="FootnoteText"/>
    <w:semiHidden/>
    <w:rsid w:val="006D38CA"/>
    <w:rPr>
      <w:lang w:val="en-US" w:eastAsia="en-US" w:bidi="ar-SA"/>
    </w:rPr>
  </w:style>
  <w:style w:type="character" w:customStyle="1" w:styleId="FootnoteTextChar1Char">
    <w:name w:val="Footnote Text Char1 Char"/>
    <w:aliases w:val="Footnote Text Char Char Char,Footnote Text Char1 Char2 Char Char,Footnote Text Char1 Char Char Char Char Char,Footnote Text Char Char Char1 Char Char,Footnote Text Char1 Char1 Char Char Char,Footnote Text Char2 Char Char Char"/>
    <w:rsid w:val="006D38CA"/>
    <w:rPr>
      <w:lang w:val="en-US" w:eastAsia="en-US" w:bidi="ar-SA"/>
    </w:rPr>
  </w:style>
  <w:style w:type="paragraph" w:styleId="NormalWeb">
    <w:name w:val="Normal (Web)"/>
    <w:basedOn w:val="Normal"/>
    <w:rsid w:val="006D38CA"/>
    <w:pPr>
      <w:widowControl/>
      <w:spacing w:before="100" w:beforeAutospacing="1" w:after="100" w:afterAutospacing="1"/>
    </w:pPr>
    <w:rPr>
      <w:snapToGrid/>
      <w:kern w:val="0"/>
      <w:sz w:val="24"/>
      <w:szCs w:val="24"/>
    </w:rPr>
  </w:style>
  <w:style w:type="paragraph" w:styleId="BalloonText">
    <w:name w:val="Balloon Text"/>
    <w:basedOn w:val="Normal"/>
    <w:semiHidden/>
    <w:rsid w:val="006D38CA"/>
    <w:rPr>
      <w:rFonts w:ascii="Tahoma" w:hAnsi="Tahoma" w:cs="Tahoma"/>
      <w:sz w:val="16"/>
      <w:szCs w:val="16"/>
    </w:rPr>
  </w:style>
  <w:style w:type="paragraph" w:customStyle="1" w:styleId="Default">
    <w:name w:val="Default"/>
    <w:rsid w:val="006D38CA"/>
    <w:pPr>
      <w:autoSpaceDE w:val="0"/>
      <w:autoSpaceDN w:val="0"/>
      <w:adjustRightInd w:val="0"/>
    </w:pPr>
    <w:rPr>
      <w:color w:val="000000"/>
      <w:sz w:val="24"/>
      <w:szCs w:val="24"/>
    </w:rPr>
  </w:style>
  <w:style w:type="character" w:customStyle="1" w:styleId="DeltaViewDeletion">
    <w:name w:val="DeltaView Deletion"/>
    <w:rsid w:val="006D38CA"/>
    <w:rPr>
      <w:strike/>
      <w:color w:val="FF0000"/>
      <w:spacing w:val="0"/>
    </w:rPr>
  </w:style>
  <w:style w:type="character" w:styleId="Emphasis">
    <w:name w:val="Emphasis"/>
    <w:qFormat/>
    <w:rsid w:val="006D38CA"/>
    <w:rPr>
      <w:i/>
      <w:iCs/>
    </w:rPr>
  </w:style>
  <w:style w:type="paragraph" w:customStyle="1" w:styleId="ParaNumChar1">
    <w:name w:val="ParaNum Char1"/>
    <w:basedOn w:val="Normal"/>
    <w:rsid w:val="006D38CA"/>
    <w:pPr>
      <w:tabs>
        <w:tab w:val="num" w:pos="990"/>
      </w:tabs>
      <w:spacing w:after="220"/>
      <w:ind w:left="-90" w:firstLine="720"/>
      <w:jc w:val="both"/>
    </w:pPr>
    <w:rPr>
      <w:rFonts w:eastAsia="SimSun"/>
    </w:rPr>
  </w:style>
  <w:style w:type="character" w:styleId="CommentReference">
    <w:name w:val="annotation reference"/>
    <w:semiHidden/>
    <w:rsid w:val="006D38CA"/>
    <w:rPr>
      <w:sz w:val="16"/>
      <w:szCs w:val="16"/>
    </w:rPr>
  </w:style>
  <w:style w:type="paragraph" w:styleId="CommentText">
    <w:name w:val="annotation text"/>
    <w:basedOn w:val="Normal"/>
    <w:semiHidden/>
    <w:rsid w:val="006D38CA"/>
    <w:rPr>
      <w:sz w:val="20"/>
    </w:rPr>
  </w:style>
  <w:style w:type="paragraph" w:styleId="CommentSubject">
    <w:name w:val="annotation subject"/>
    <w:basedOn w:val="CommentText"/>
    <w:next w:val="CommentText"/>
    <w:semiHidden/>
    <w:rsid w:val="006D38CA"/>
    <w:rPr>
      <w:b/>
      <w:bCs/>
    </w:rPr>
  </w:style>
  <w:style w:type="character" w:customStyle="1" w:styleId="FootnoteTextChar1CharCharChar">
    <w:name w:val="Footnote Text Char1 Char Char Char"/>
    <w:aliases w:val="Footnote Text Char Char Char Char Char,Footnote Text Char1 Char2 Char Char Char Char,Footnote Text Char1 Char Char Char Char Char Char Char Char,Footnote Text Char2 Char Char1,Footnote Text Char1 Char Char Char1"/>
    <w:rsid w:val="006D38CA"/>
    <w:rPr>
      <w:lang w:val="en-US" w:eastAsia="en-US" w:bidi="ar-SA"/>
    </w:rPr>
  </w:style>
  <w:style w:type="character" w:styleId="FollowedHyperlink">
    <w:name w:val="FollowedHyperlink"/>
    <w:rsid w:val="006D38CA"/>
    <w:rPr>
      <w:color w:val="800080"/>
      <w:u w:val="single"/>
    </w:rPr>
  </w:style>
  <w:style w:type="paragraph" w:customStyle="1" w:styleId="ParaNumCharCharCharCharCharCharCharChar">
    <w:name w:val="ParaNum Char Char Char Char Char Char Char Char"/>
    <w:basedOn w:val="Normal"/>
    <w:link w:val="ParaNumCharCharCharCharCharCharCharCharChar"/>
    <w:rsid w:val="006D38CA"/>
    <w:pPr>
      <w:tabs>
        <w:tab w:val="num" w:pos="1180"/>
        <w:tab w:val="left" w:pos="1440"/>
      </w:tabs>
      <w:spacing w:after="220"/>
      <w:ind w:left="100" w:firstLine="780"/>
      <w:jc w:val="both"/>
    </w:pPr>
    <w:rPr>
      <w:snapToGrid/>
      <w:kern w:val="0"/>
    </w:rPr>
  </w:style>
  <w:style w:type="character" w:customStyle="1" w:styleId="ParaNumCharCharCharCharCharCharCharCharChar">
    <w:name w:val="ParaNum Char Char Char Char Char Char Char Char Char"/>
    <w:link w:val="ParaNumCharCharCharCharCharCharCharChar"/>
    <w:rsid w:val="006D38CA"/>
    <w:rPr>
      <w:sz w:val="22"/>
      <w:lang w:val="en-US" w:eastAsia="en-US" w:bidi="ar-SA"/>
    </w:rPr>
  </w:style>
  <w:style w:type="character" w:customStyle="1" w:styleId="Footnote">
    <w:name w:val="Footnote"/>
    <w:basedOn w:val="DefaultParagraphFont"/>
    <w:rsid w:val="006D38CA"/>
  </w:style>
  <w:style w:type="character" w:customStyle="1" w:styleId="ParaNumChar">
    <w:name w:val="ParaNum Char"/>
    <w:link w:val="ParaNum"/>
    <w:locked/>
    <w:rsid w:val="006D38CA"/>
    <w:rPr>
      <w:snapToGrid w:val="0"/>
      <w:kern w:val="28"/>
      <w:sz w:val="22"/>
    </w:rPr>
  </w:style>
  <w:style w:type="character" w:customStyle="1" w:styleId="FootnoteTextChar2Char1">
    <w:name w:val="Footnote Text Char2 Char1"/>
    <w:aliases w:val="Footnote Text Char1 Char1 Char2,Footnote Text Char Char Char Char1,Footnote Text Char1 Char Char Char Char1,Footnote Text Char2 Char Char Char Char Char1,Footnote Text Char Char Char Char Char Char Char1,f Char Char"/>
    <w:locked/>
    <w:rsid w:val="006D38CA"/>
    <w:rPr>
      <w:lang w:val="en-US" w:eastAsia="en-US" w:bidi="ar-SA"/>
    </w:rPr>
  </w:style>
  <w:style w:type="paragraph" w:styleId="Caption">
    <w:name w:val="caption"/>
    <w:basedOn w:val="Normal"/>
    <w:next w:val="Normal"/>
    <w:qFormat/>
    <w:rsid w:val="007422BB"/>
    <w:pPr>
      <w:widowControl/>
      <w:spacing w:before="120" w:after="120"/>
    </w:pPr>
    <w:rPr>
      <w:b/>
      <w:snapToGrid/>
      <w:kern w:val="0"/>
      <w:sz w:val="24"/>
      <w:szCs w:val="24"/>
    </w:rPr>
  </w:style>
  <w:style w:type="paragraph" w:customStyle="1" w:styleId="FootnoteTex">
    <w:name w:val="Footnote Tex"/>
    <w:basedOn w:val="Normal"/>
    <w:rsid w:val="00E24C86"/>
    <w:rPr>
      <w:rFonts w:eastAsia="SimSun"/>
      <w:kern w:val="0"/>
      <w:sz w:val="24"/>
    </w:rPr>
  </w:style>
  <w:style w:type="character" w:customStyle="1" w:styleId="StyleFootnoteReferenceStyle13Style12NECGFootnoteReferenc">
    <w:name w:val="Style Footnote ReferenceStyle 13Style 12(NECG) Footnote Referenc..."/>
    <w:rsid w:val="00FA59BB"/>
    <w:rPr>
      <w:rFonts w:ascii="Times New Roman" w:hAnsi="Times New Roman" w:cs="Times New Roman" w:hint="default"/>
      <w:strike w:val="0"/>
      <w:dstrike w:val="0"/>
      <w:color w:val="auto"/>
      <w:u w:val="none"/>
      <w:effect w:val="none"/>
      <w:vertAlign w:val="superscript"/>
    </w:rPr>
  </w:style>
  <w:style w:type="paragraph" w:styleId="Revision">
    <w:name w:val="Revision"/>
    <w:hidden/>
    <w:uiPriority w:val="71"/>
    <w:rsid w:val="00D370E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D38CA"/>
    <w:pPr>
      <w:widowControl w:val="0"/>
    </w:pPr>
    <w:rPr>
      <w:snapToGrid w:val="0"/>
      <w:kern w:val="28"/>
      <w:sz w:val="22"/>
    </w:rPr>
  </w:style>
  <w:style w:type="paragraph" w:styleId="Heading1">
    <w:name w:val="heading 1"/>
    <w:basedOn w:val="Normal"/>
    <w:next w:val="ParaNum"/>
    <w:qFormat/>
    <w:rsid w:val="006D38CA"/>
    <w:pPr>
      <w:keepNext/>
      <w:numPr>
        <w:numId w:val="15"/>
      </w:numPr>
      <w:suppressAutoHyphens/>
      <w:spacing w:after="120"/>
      <w:outlineLvl w:val="0"/>
    </w:pPr>
    <w:rPr>
      <w:rFonts w:ascii="Times New Roman Bold" w:hAnsi="Times New Roman Bold"/>
      <w:b/>
      <w:caps/>
    </w:rPr>
  </w:style>
  <w:style w:type="paragraph" w:styleId="Heading2">
    <w:name w:val="heading 2"/>
    <w:aliases w:val="Heading 2 Char,h2 Char,UNDERRUBRIK 1-2 Char"/>
    <w:basedOn w:val="Normal"/>
    <w:next w:val="ParaNum"/>
    <w:autoRedefine/>
    <w:qFormat/>
    <w:rsid w:val="00F72FD1"/>
    <w:pPr>
      <w:keepNext/>
      <w:widowControl/>
      <w:numPr>
        <w:ilvl w:val="1"/>
        <w:numId w:val="15"/>
      </w:numPr>
      <w:tabs>
        <w:tab w:val="clear" w:pos="1440"/>
        <w:tab w:val="num" w:pos="1380"/>
      </w:tabs>
      <w:spacing w:after="220"/>
      <w:ind w:left="0" w:firstLine="720"/>
      <w:outlineLvl w:val="1"/>
    </w:pPr>
    <w:rPr>
      <w:b/>
      <w:szCs w:val="22"/>
    </w:rPr>
  </w:style>
  <w:style w:type="paragraph" w:styleId="Heading3">
    <w:name w:val="heading 3"/>
    <w:aliases w:val="Heading 3 Char,3 Char,Titre 3 Char,1 Char,31 Char,Titre 31 Char,?? 3 Char,3,Titre 3,1,31,Titre 31,?? 3"/>
    <w:basedOn w:val="Normal"/>
    <w:next w:val="ParaNum"/>
    <w:qFormat/>
    <w:rsid w:val="006D38CA"/>
    <w:pPr>
      <w:keepNext/>
      <w:numPr>
        <w:ilvl w:val="2"/>
        <w:numId w:val="15"/>
      </w:numPr>
      <w:spacing w:after="120"/>
      <w:outlineLvl w:val="2"/>
    </w:pPr>
    <w:rPr>
      <w:b/>
    </w:rPr>
  </w:style>
  <w:style w:type="paragraph" w:styleId="Heading4">
    <w:name w:val="heading 4"/>
    <w:aliases w:val="Heading 4 Char,Heading 4 Char1 Char,Heading 4 Char2 Char Char1,Heading 4 Char Char1 Char Char1,Heading 4 Char1 Char Char Char Char1,Heading 4 Char Char Char Char Char Char1,Heading 4 Char1 Char1 Char Char1,Heading 4 Char Char Char1 Char Char1"/>
    <w:basedOn w:val="Normal"/>
    <w:next w:val="ParaNum"/>
    <w:qFormat/>
    <w:rsid w:val="006D38CA"/>
    <w:pPr>
      <w:keepNext/>
      <w:numPr>
        <w:ilvl w:val="3"/>
        <w:numId w:val="15"/>
      </w:numPr>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6D38CA"/>
    <w:pPr>
      <w:keepNext/>
      <w:numPr>
        <w:ilvl w:val="4"/>
        <w:numId w:val="15"/>
      </w:numPr>
      <w:suppressAutoHyphens/>
      <w:spacing w:after="120"/>
      <w:outlineLvl w:val="4"/>
    </w:pPr>
    <w:rPr>
      <w:b/>
    </w:rPr>
  </w:style>
  <w:style w:type="paragraph" w:styleId="Heading6">
    <w:name w:val="heading 6"/>
    <w:aliases w:val="Heading 6 Char2,Heading 6 Char1 Char,Heading 6 Char Char Char,Heading 6 Char Char1,Heading 6 Char1,Heading 6 Char Char,Heading 6 Char,h6"/>
    <w:basedOn w:val="Normal"/>
    <w:next w:val="ParaNum"/>
    <w:qFormat/>
    <w:rsid w:val="006D38CA"/>
    <w:pPr>
      <w:numPr>
        <w:ilvl w:val="5"/>
        <w:numId w:val="15"/>
      </w:numPr>
      <w:spacing w:after="120"/>
      <w:outlineLvl w:val="5"/>
    </w:pPr>
    <w:rPr>
      <w:b/>
    </w:rPr>
  </w:style>
  <w:style w:type="paragraph" w:styleId="Heading7">
    <w:name w:val="heading 7"/>
    <w:aliases w:val="Heading 7 Char"/>
    <w:basedOn w:val="Normal"/>
    <w:next w:val="ParaNum"/>
    <w:qFormat/>
    <w:rsid w:val="006D38CA"/>
    <w:pPr>
      <w:numPr>
        <w:ilvl w:val="6"/>
        <w:numId w:val="15"/>
      </w:numPr>
      <w:spacing w:after="120"/>
      <w:outlineLvl w:val="6"/>
    </w:pPr>
    <w:rPr>
      <w:b/>
    </w:rPr>
  </w:style>
  <w:style w:type="paragraph" w:styleId="Heading8">
    <w:name w:val="heading 8"/>
    <w:basedOn w:val="Normal"/>
    <w:next w:val="ParaNum"/>
    <w:qFormat/>
    <w:rsid w:val="006D38CA"/>
    <w:pPr>
      <w:numPr>
        <w:ilvl w:val="7"/>
        <w:numId w:val="15"/>
      </w:numPr>
      <w:tabs>
        <w:tab w:val="left" w:pos="5760"/>
      </w:tabs>
      <w:spacing w:after="120"/>
      <w:outlineLvl w:val="7"/>
    </w:pPr>
    <w:rPr>
      <w:b/>
    </w:rPr>
  </w:style>
  <w:style w:type="paragraph" w:styleId="Heading9">
    <w:name w:val="heading 9"/>
    <w:aliases w:val="Topic,table,t,9,Heading 9.table,Titre 9"/>
    <w:basedOn w:val="Normal"/>
    <w:next w:val="ParaNum"/>
    <w:qFormat/>
    <w:rsid w:val="006D38CA"/>
    <w:pPr>
      <w:numPr>
        <w:ilvl w:val="8"/>
        <w:numId w:val="15"/>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6D38CA"/>
    <w:pPr>
      <w:numPr>
        <w:numId w:val="2"/>
      </w:numPr>
      <w:spacing w:after="120"/>
    </w:pPr>
  </w:style>
  <w:style w:type="paragraph" w:styleId="EndnoteText">
    <w:name w:val="endnote text"/>
    <w:basedOn w:val="Normal"/>
    <w:semiHidden/>
    <w:rsid w:val="006D38CA"/>
    <w:rPr>
      <w:sz w:val="20"/>
    </w:rPr>
  </w:style>
  <w:style w:type="character" w:styleId="EndnoteReference">
    <w:name w:val="endnote reference"/>
    <w:semiHidden/>
    <w:rsid w:val="006D38CA"/>
    <w:rPr>
      <w:vertAlign w:val="superscript"/>
    </w:rPr>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ootnote Text Char,fn,f"/>
    <w:link w:val="FootnoteTextChar2"/>
    <w:semiHidden/>
    <w:rsid w:val="006D38CA"/>
    <w:pPr>
      <w:spacing w:after="120"/>
    </w:pPr>
  </w:style>
  <w:style w:type="character" w:styleId="FootnoteReference">
    <w:name w:val="footnote reference"/>
    <w:aliases w:val="Appel note de bas de p,Style 12,(NECG) Footnote Reference,Style 13,Style 124,fr,o,Style 3,FR,Style 17,Style 6,Footnote Reference/"/>
    <w:semiHidden/>
    <w:rsid w:val="006D38CA"/>
    <w:rPr>
      <w:rFonts w:ascii="Times New Roman" w:hAnsi="Times New Roman"/>
      <w:dstrike w:val="0"/>
      <w:color w:val="auto"/>
      <w:sz w:val="22"/>
      <w:vertAlign w:val="superscript"/>
    </w:rPr>
  </w:style>
  <w:style w:type="paragraph" w:styleId="TOC1">
    <w:name w:val="toc 1"/>
    <w:basedOn w:val="Normal"/>
    <w:next w:val="Normal"/>
    <w:semiHidden/>
    <w:rsid w:val="006D38C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D38CA"/>
    <w:pPr>
      <w:tabs>
        <w:tab w:val="left" w:pos="720"/>
        <w:tab w:val="right" w:leader="dot" w:pos="9360"/>
      </w:tabs>
      <w:suppressAutoHyphens/>
      <w:ind w:left="720" w:right="720" w:hanging="360"/>
    </w:pPr>
    <w:rPr>
      <w:noProof/>
    </w:rPr>
  </w:style>
  <w:style w:type="paragraph" w:styleId="TOC3">
    <w:name w:val="toc 3"/>
    <w:basedOn w:val="Normal"/>
    <w:next w:val="Normal"/>
    <w:semiHidden/>
    <w:rsid w:val="006D38C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D38C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D38C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D38C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D38C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D38C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D38C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D38CA"/>
    <w:pPr>
      <w:tabs>
        <w:tab w:val="right" w:pos="9360"/>
      </w:tabs>
      <w:suppressAutoHyphens/>
    </w:pPr>
  </w:style>
  <w:style w:type="character" w:customStyle="1" w:styleId="EquationCaption">
    <w:name w:val="_Equation Caption"/>
    <w:rsid w:val="006D38CA"/>
  </w:style>
  <w:style w:type="paragraph" w:styleId="Header">
    <w:name w:val="header"/>
    <w:basedOn w:val="Normal"/>
    <w:autoRedefine/>
    <w:rsid w:val="006D38CA"/>
    <w:pPr>
      <w:tabs>
        <w:tab w:val="center" w:pos="4680"/>
        <w:tab w:val="right" w:pos="9360"/>
      </w:tabs>
    </w:pPr>
    <w:rPr>
      <w:b/>
    </w:rPr>
  </w:style>
  <w:style w:type="paragraph" w:styleId="Footer">
    <w:name w:val="footer"/>
    <w:basedOn w:val="Normal"/>
    <w:rsid w:val="006D38CA"/>
    <w:pPr>
      <w:tabs>
        <w:tab w:val="center" w:pos="4320"/>
        <w:tab w:val="right" w:pos="8640"/>
      </w:tabs>
    </w:pPr>
  </w:style>
  <w:style w:type="character" w:styleId="PageNumber">
    <w:name w:val="page number"/>
    <w:basedOn w:val="DefaultParagraphFont"/>
    <w:rsid w:val="006D38CA"/>
  </w:style>
  <w:style w:type="paragraph" w:styleId="BlockText">
    <w:name w:val="Block Text"/>
    <w:basedOn w:val="Normal"/>
    <w:rsid w:val="006D38CA"/>
    <w:pPr>
      <w:spacing w:after="240"/>
      <w:ind w:left="1440" w:right="1440"/>
    </w:pPr>
  </w:style>
  <w:style w:type="paragraph" w:customStyle="1" w:styleId="Paratitle">
    <w:name w:val="Para title"/>
    <w:basedOn w:val="Normal"/>
    <w:rsid w:val="006D38CA"/>
    <w:pPr>
      <w:tabs>
        <w:tab w:val="center" w:pos="9270"/>
      </w:tabs>
      <w:spacing w:after="240"/>
    </w:pPr>
    <w:rPr>
      <w:spacing w:val="-2"/>
    </w:rPr>
  </w:style>
  <w:style w:type="paragraph" w:customStyle="1" w:styleId="Bullet">
    <w:name w:val="Bullet"/>
    <w:basedOn w:val="Normal"/>
    <w:rsid w:val="006D38CA"/>
    <w:pPr>
      <w:numPr>
        <w:numId w:val="1"/>
      </w:numPr>
      <w:tabs>
        <w:tab w:val="clear" w:pos="360"/>
        <w:tab w:val="left" w:pos="2160"/>
      </w:tabs>
      <w:spacing w:after="220"/>
      <w:ind w:left="2160" w:hanging="720"/>
    </w:pPr>
  </w:style>
  <w:style w:type="paragraph" w:customStyle="1" w:styleId="TableFormat">
    <w:name w:val="TableFormat"/>
    <w:basedOn w:val="Bullet"/>
    <w:rsid w:val="006D38CA"/>
    <w:pPr>
      <w:numPr>
        <w:numId w:val="0"/>
      </w:numPr>
      <w:tabs>
        <w:tab w:val="clear" w:pos="2160"/>
        <w:tab w:val="left" w:pos="5040"/>
      </w:tabs>
      <w:ind w:left="5040" w:hanging="3600"/>
    </w:pPr>
  </w:style>
  <w:style w:type="paragraph" w:customStyle="1" w:styleId="TOCTitle">
    <w:name w:val="TOC Title"/>
    <w:basedOn w:val="Normal"/>
    <w:rsid w:val="006D38C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D38CA"/>
    <w:pPr>
      <w:jc w:val="center"/>
    </w:pPr>
    <w:rPr>
      <w:rFonts w:ascii="Times New Roman Bold" w:hAnsi="Times New Roman Bold"/>
      <w:b/>
      <w:bCs/>
      <w:caps/>
      <w:szCs w:val="22"/>
    </w:rPr>
  </w:style>
  <w:style w:type="character" w:styleId="Hyperlink">
    <w:name w:val="Hyperlink"/>
    <w:uiPriority w:val="99"/>
    <w:rsid w:val="006D38CA"/>
    <w:rPr>
      <w:color w:val="0000FF"/>
      <w:u w:val="single"/>
    </w:rPr>
  </w:style>
  <w:style w:type="character" w:customStyle="1" w:styleId="FootnoteTextChar2">
    <w:name w:val="Footnote Text Char2"/>
    <w:aliases w:val="Footnote Text Char1 Char1,Footnote Text Char Char Char1,Footnote Text Char1 Char2 Char Char1,Footnote Text Char1 Char Char Char Char Char1,Footnote Text Char Char Char1 Char Char1,Footnote Text Char1 Char1 Char Char Char1,fn Char"/>
    <w:link w:val="FootnoteText"/>
    <w:semiHidden/>
    <w:rsid w:val="006D38CA"/>
    <w:rPr>
      <w:lang w:val="en-US" w:eastAsia="en-US" w:bidi="ar-SA"/>
    </w:rPr>
  </w:style>
  <w:style w:type="character" w:customStyle="1" w:styleId="FootnoteTextChar1Char">
    <w:name w:val="Footnote Text Char1 Char"/>
    <w:aliases w:val="Footnote Text Char Char Char,Footnote Text Char1 Char2 Char Char,Footnote Text Char1 Char Char Char Char Char,Footnote Text Char Char Char1 Char Char,Footnote Text Char1 Char1 Char Char Char,Footnote Text Char2 Char Char Char"/>
    <w:rsid w:val="006D38CA"/>
    <w:rPr>
      <w:lang w:val="en-US" w:eastAsia="en-US" w:bidi="ar-SA"/>
    </w:rPr>
  </w:style>
  <w:style w:type="paragraph" w:styleId="NormalWeb">
    <w:name w:val="Normal (Web)"/>
    <w:basedOn w:val="Normal"/>
    <w:rsid w:val="006D38CA"/>
    <w:pPr>
      <w:widowControl/>
      <w:spacing w:before="100" w:beforeAutospacing="1" w:after="100" w:afterAutospacing="1"/>
    </w:pPr>
    <w:rPr>
      <w:snapToGrid/>
      <w:kern w:val="0"/>
      <w:sz w:val="24"/>
      <w:szCs w:val="24"/>
    </w:rPr>
  </w:style>
  <w:style w:type="paragraph" w:styleId="BalloonText">
    <w:name w:val="Balloon Text"/>
    <w:basedOn w:val="Normal"/>
    <w:semiHidden/>
    <w:rsid w:val="006D38CA"/>
    <w:rPr>
      <w:rFonts w:ascii="Tahoma" w:hAnsi="Tahoma" w:cs="Tahoma"/>
      <w:sz w:val="16"/>
      <w:szCs w:val="16"/>
    </w:rPr>
  </w:style>
  <w:style w:type="paragraph" w:customStyle="1" w:styleId="Default">
    <w:name w:val="Default"/>
    <w:rsid w:val="006D38CA"/>
    <w:pPr>
      <w:autoSpaceDE w:val="0"/>
      <w:autoSpaceDN w:val="0"/>
      <w:adjustRightInd w:val="0"/>
    </w:pPr>
    <w:rPr>
      <w:color w:val="000000"/>
      <w:sz w:val="24"/>
      <w:szCs w:val="24"/>
    </w:rPr>
  </w:style>
  <w:style w:type="character" w:customStyle="1" w:styleId="DeltaViewDeletion">
    <w:name w:val="DeltaView Deletion"/>
    <w:rsid w:val="006D38CA"/>
    <w:rPr>
      <w:strike/>
      <w:color w:val="FF0000"/>
      <w:spacing w:val="0"/>
    </w:rPr>
  </w:style>
  <w:style w:type="character" w:styleId="Emphasis">
    <w:name w:val="Emphasis"/>
    <w:qFormat/>
    <w:rsid w:val="006D38CA"/>
    <w:rPr>
      <w:i/>
      <w:iCs/>
    </w:rPr>
  </w:style>
  <w:style w:type="paragraph" w:customStyle="1" w:styleId="ParaNumChar1">
    <w:name w:val="ParaNum Char1"/>
    <w:basedOn w:val="Normal"/>
    <w:rsid w:val="006D38CA"/>
    <w:pPr>
      <w:tabs>
        <w:tab w:val="num" w:pos="990"/>
      </w:tabs>
      <w:spacing w:after="220"/>
      <w:ind w:left="-90" w:firstLine="720"/>
      <w:jc w:val="both"/>
    </w:pPr>
    <w:rPr>
      <w:rFonts w:eastAsia="SimSun"/>
    </w:rPr>
  </w:style>
  <w:style w:type="character" w:styleId="CommentReference">
    <w:name w:val="annotation reference"/>
    <w:semiHidden/>
    <w:rsid w:val="006D38CA"/>
    <w:rPr>
      <w:sz w:val="16"/>
      <w:szCs w:val="16"/>
    </w:rPr>
  </w:style>
  <w:style w:type="paragraph" w:styleId="CommentText">
    <w:name w:val="annotation text"/>
    <w:basedOn w:val="Normal"/>
    <w:semiHidden/>
    <w:rsid w:val="006D38CA"/>
    <w:rPr>
      <w:sz w:val="20"/>
    </w:rPr>
  </w:style>
  <w:style w:type="paragraph" w:styleId="CommentSubject">
    <w:name w:val="annotation subject"/>
    <w:basedOn w:val="CommentText"/>
    <w:next w:val="CommentText"/>
    <w:semiHidden/>
    <w:rsid w:val="006D38CA"/>
    <w:rPr>
      <w:b/>
      <w:bCs/>
    </w:rPr>
  </w:style>
  <w:style w:type="character" w:customStyle="1" w:styleId="FootnoteTextChar1CharCharChar">
    <w:name w:val="Footnote Text Char1 Char Char Char"/>
    <w:aliases w:val="Footnote Text Char Char Char Char Char,Footnote Text Char1 Char2 Char Char Char Char,Footnote Text Char1 Char Char Char Char Char Char Char Char,Footnote Text Char2 Char Char1,Footnote Text Char1 Char Char Char1"/>
    <w:rsid w:val="006D38CA"/>
    <w:rPr>
      <w:lang w:val="en-US" w:eastAsia="en-US" w:bidi="ar-SA"/>
    </w:rPr>
  </w:style>
  <w:style w:type="character" w:styleId="FollowedHyperlink">
    <w:name w:val="FollowedHyperlink"/>
    <w:rsid w:val="006D38CA"/>
    <w:rPr>
      <w:color w:val="800080"/>
      <w:u w:val="single"/>
    </w:rPr>
  </w:style>
  <w:style w:type="paragraph" w:customStyle="1" w:styleId="ParaNumCharCharCharCharCharCharCharChar">
    <w:name w:val="ParaNum Char Char Char Char Char Char Char Char"/>
    <w:basedOn w:val="Normal"/>
    <w:link w:val="ParaNumCharCharCharCharCharCharCharCharChar"/>
    <w:rsid w:val="006D38CA"/>
    <w:pPr>
      <w:tabs>
        <w:tab w:val="num" w:pos="1180"/>
        <w:tab w:val="left" w:pos="1440"/>
      </w:tabs>
      <w:spacing w:after="220"/>
      <w:ind w:left="100" w:firstLine="780"/>
      <w:jc w:val="both"/>
    </w:pPr>
    <w:rPr>
      <w:snapToGrid/>
      <w:kern w:val="0"/>
    </w:rPr>
  </w:style>
  <w:style w:type="character" w:customStyle="1" w:styleId="ParaNumCharCharCharCharCharCharCharCharChar">
    <w:name w:val="ParaNum Char Char Char Char Char Char Char Char Char"/>
    <w:link w:val="ParaNumCharCharCharCharCharCharCharChar"/>
    <w:rsid w:val="006D38CA"/>
    <w:rPr>
      <w:sz w:val="22"/>
      <w:lang w:val="en-US" w:eastAsia="en-US" w:bidi="ar-SA"/>
    </w:rPr>
  </w:style>
  <w:style w:type="character" w:customStyle="1" w:styleId="Footnote">
    <w:name w:val="Footnote"/>
    <w:basedOn w:val="DefaultParagraphFont"/>
    <w:rsid w:val="006D38CA"/>
  </w:style>
  <w:style w:type="character" w:customStyle="1" w:styleId="ParaNumChar">
    <w:name w:val="ParaNum Char"/>
    <w:link w:val="ParaNum"/>
    <w:locked/>
    <w:rsid w:val="006D38CA"/>
    <w:rPr>
      <w:snapToGrid w:val="0"/>
      <w:kern w:val="28"/>
      <w:sz w:val="22"/>
    </w:rPr>
  </w:style>
  <w:style w:type="character" w:customStyle="1" w:styleId="FootnoteTextChar2Char1">
    <w:name w:val="Footnote Text Char2 Char1"/>
    <w:aliases w:val="Footnote Text Char1 Char1 Char2,Footnote Text Char Char Char Char1,Footnote Text Char1 Char Char Char Char1,Footnote Text Char2 Char Char Char Char Char1,Footnote Text Char Char Char Char Char Char Char1,f Char Char"/>
    <w:locked/>
    <w:rsid w:val="006D38CA"/>
    <w:rPr>
      <w:lang w:val="en-US" w:eastAsia="en-US" w:bidi="ar-SA"/>
    </w:rPr>
  </w:style>
  <w:style w:type="paragraph" w:styleId="Caption">
    <w:name w:val="caption"/>
    <w:basedOn w:val="Normal"/>
    <w:next w:val="Normal"/>
    <w:qFormat/>
    <w:rsid w:val="007422BB"/>
    <w:pPr>
      <w:widowControl/>
      <w:spacing w:before="120" w:after="120"/>
    </w:pPr>
    <w:rPr>
      <w:b/>
      <w:snapToGrid/>
      <w:kern w:val="0"/>
      <w:sz w:val="24"/>
      <w:szCs w:val="24"/>
    </w:rPr>
  </w:style>
  <w:style w:type="paragraph" w:customStyle="1" w:styleId="FootnoteTex">
    <w:name w:val="Footnote Tex"/>
    <w:basedOn w:val="Normal"/>
    <w:rsid w:val="00E24C86"/>
    <w:rPr>
      <w:rFonts w:eastAsia="SimSun"/>
      <w:kern w:val="0"/>
      <w:sz w:val="24"/>
    </w:rPr>
  </w:style>
  <w:style w:type="character" w:customStyle="1" w:styleId="StyleFootnoteReferenceStyle13Style12NECGFootnoteReferenc">
    <w:name w:val="Style Footnote ReferenceStyle 13Style 12(NECG) Footnote Referenc..."/>
    <w:rsid w:val="00FA59BB"/>
    <w:rPr>
      <w:rFonts w:ascii="Times New Roman" w:hAnsi="Times New Roman" w:cs="Times New Roman" w:hint="default"/>
      <w:strike w:val="0"/>
      <w:dstrike w:val="0"/>
      <w:color w:val="auto"/>
      <w:u w:val="none"/>
      <w:effect w:val="none"/>
      <w:vertAlign w:val="superscript"/>
    </w:rPr>
  </w:style>
  <w:style w:type="paragraph" w:styleId="Revision">
    <w:name w:val="Revision"/>
    <w:hidden/>
    <w:uiPriority w:val="71"/>
    <w:rsid w:val="00D370E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648293">
      <w:bodyDiv w:val="1"/>
      <w:marLeft w:val="0"/>
      <w:marRight w:val="0"/>
      <w:marTop w:val="0"/>
      <w:marBottom w:val="0"/>
      <w:divBdr>
        <w:top w:val="none" w:sz="0" w:space="0" w:color="auto"/>
        <w:left w:val="none" w:sz="0" w:space="0" w:color="auto"/>
        <w:bottom w:val="none" w:sz="0" w:space="0" w:color="auto"/>
        <w:right w:val="none" w:sz="0" w:space="0" w:color="auto"/>
      </w:divBdr>
    </w:div>
    <w:div w:id="524058003">
      <w:bodyDiv w:val="1"/>
      <w:marLeft w:val="0"/>
      <w:marRight w:val="0"/>
      <w:marTop w:val="0"/>
      <w:marBottom w:val="0"/>
      <w:divBdr>
        <w:top w:val="none" w:sz="0" w:space="0" w:color="auto"/>
        <w:left w:val="none" w:sz="0" w:space="0" w:color="auto"/>
        <w:bottom w:val="none" w:sz="0" w:space="0" w:color="auto"/>
        <w:right w:val="none" w:sz="0" w:space="0" w:color="auto"/>
      </w:divBdr>
      <w:divsChild>
        <w:div w:id="133497226">
          <w:marLeft w:val="0"/>
          <w:marRight w:val="0"/>
          <w:marTop w:val="0"/>
          <w:marBottom w:val="0"/>
          <w:divBdr>
            <w:top w:val="none" w:sz="0" w:space="0" w:color="auto"/>
            <w:left w:val="none" w:sz="0" w:space="0" w:color="auto"/>
            <w:bottom w:val="none" w:sz="0" w:space="0" w:color="auto"/>
            <w:right w:val="none" w:sz="0" w:space="0" w:color="auto"/>
          </w:divBdr>
          <w:divsChild>
            <w:div w:id="664170471">
              <w:marLeft w:val="0"/>
              <w:marRight w:val="0"/>
              <w:marTop w:val="0"/>
              <w:marBottom w:val="0"/>
              <w:divBdr>
                <w:top w:val="none" w:sz="0" w:space="0" w:color="auto"/>
                <w:left w:val="none" w:sz="0" w:space="0" w:color="auto"/>
                <w:bottom w:val="none" w:sz="0" w:space="0" w:color="auto"/>
                <w:right w:val="none" w:sz="0" w:space="0" w:color="auto"/>
              </w:divBdr>
              <w:divsChild>
                <w:div w:id="767889533">
                  <w:marLeft w:val="0"/>
                  <w:marRight w:val="0"/>
                  <w:marTop w:val="0"/>
                  <w:marBottom w:val="0"/>
                  <w:divBdr>
                    <w:top w:val="none" w:sz="0" w:space="0" w:color="auto"/>
                    <w:left w:val="none" w:sz="0" w:space="0" w:color="auto"/>
                    <w:bottom w:val="none" w:sz="0" w:space="0" w:color="auto"/>
                    <w:right w:val="none" w:sz="0" w:space="0" w:color="auto"/>
                  </w:divBdr>
                  <w:divsChild>
                    <w:div w:id="15869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039108">
      <w:bodyDiv w:val="1"/>
      <w:marLeft w:val="0"/>
      <w:marRight w:val="0"/>
      <w:marTop w:val="0"/>
      <w:marBottom w:val="0"/>
      <w:divBdr>
        <w:top w:val="none" w:sz="0" w:space="0" w:color="auto"/>
        <w:left w:val="none" w:sz="0" w:space="0" w:color="auto"/>
        <w:bottom w:val="none" w:sz="0" w:space="0" w:color="auto"/>
        <w:right w:val="none" w:sz="0" w:space="0" w:color="auto"/>
      </w:divBdr>
    </w:div>
    <w:div w:id="841167625">
      <w:bodyDiv w:val="1"/>
      <w:marLeft w:val="0"/>
      <w:marRight w:val="0"/>
      <w:marTop w:val="0"/>
      <w:marBottom w:val="0"/>
      <w:divBdr>
        <w:top w:val="none" w:sz="0" w:space="0" w:color="auto"/>
        <w:left w:val="none" w:sz="0" w:space="0" w:color="auto"/>
        <w:bottom w:val="none" w:sz="0" w:space="0" w:color="auto"/>
        <w:right w:val="none" w:sz="0" w:space="0" w:color="auto"/>
      </w:divBdr>
      <w:divsChild>
        <w:div w:id="1395422688">
          <w:marLeft w:val="0"/>
          <w:marRight w:val="0"/>
          <w:marTop w:val="0"/>
          <w:marBottom w:val="0"/>
          <w:divBdr>
            <w:top w:val="none" w:sz="0" w:space="0" w:color="auto"/>
            <w:left w:val="none" w:sz="0" w:space="0" w:color="auto"/>
            <w:bottom w:val="none" w:sz="0" w:space="0" w:color="auto"/>
            <w:right w:val="none" w:sz="0" w:space="0" w:color="auto"/>
          </w:divBdr>
        </w:div>
      </w:divsChild>
    </w:div>
    <w:div w:id="1137648585">
      <w:bodyDiv w:val="1"/>
      <w:marLeft w:val="0"/>
      <w:marRight w:val="0"/>
      <w:marTop w:val="0"/>
      <w:marBottom w:val="0"/>
      <w:divBdr>
        <w:top w:val="none" w:sz="0" w:space="0" w:color="auto"/>
        <w:left w:val="none" w:sz="0" w:space="0" w:color="auto"/>
        <w:bottom w:val="none" w:sz="0" w:space="0" w:color="auto"/>
        <w:right w:val="none" w:sz="0" w:space="0" w:color="auto"/>
      </w:divBdr>
      <w:divsChild>
        <w:div w:id="364216007">
          <w:marLeft w:val="0"/>
          <w:marRight w:val="0"/>
          <w:marTop w:val="0"/>
          <w:marBottom w:val="0"/>
          <w:divBdr>
            <w:top w:val="none" w:sz="0" w:space="0" w:color="auto"/>
            <w:left w:val="none" w:sz="0" w:space="0" w:color="auto"/>
            <w:bottom w:val="none" w:sz="0" w:space="0" w:color="auto"/>
            <w:right w:val="none" w:sz="0" w:space="0" w:color="auto"/>
          </w:divBdr>
          <w:divsChild>
            <w:div w:id="20738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530366">
      <w:bodyDiv w:val="1"/>
      <w:marLeft w:val="0"/>
      <w:marRight w:val="0"/>
      <w:marTop w:val="0"/>
      <w:marBottom w:val="0"/>
      <w:divBdr>
        <w:top w:val="none" w:sz="0" w:space="0" w:color="auto"/>
        <w:left w:val="none" w:sz="0" w:space="0" w:color="auto"/>
        <w:bottom w:val="none" w:sz="0" w:space="0" w:color="auto"/>
        <w:right w:val="none" w:sz="0" w:space="0" w:color="auto"/>
      </w:divBdr>
      <w:divsChild>
        <w:div w:id="1154880195">
          <w:marLeft w:val="0"/>
          <w:marRight w:val="0"/>
          <w:marTop w:val="0"/>
          <w:marBottom w:val="0"/>
          <w:divBdr>
            <w:top w:val="none" w:sz="0" w:space="0" w:color="auto"/>
            <w:left w:val="none" w:sz="0" w:space="0" w:color="auto"/>
            <w:bottom w:val="none" w:sz="0" w:space="0" w:color="auto"/>
            <w:right w:val="none" w:sz="0" w:space="0" w:color="auto"/>
          </w:divBdr>
          <w:divsChild>
            <w:div w:id="7108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93946">
      <w:bodyDiv w:val="1"/>
      <w:marLeft w:val="0"/>
      <w:marRight w:val="0"/>
      <w:marTop w:val="0"/>
      <w:marBottom w:val="135"/>
      <w:divBdr>
        <w:top w:val="none" w:sz="0" w:space="0" w:color="auto"/>
        <w:left w:val="none" w:sz="0" w:space="0" w:color="auto"/>
        <w:bottom w:val="none" w:sz="0" w:space="0" w:color="auto"/>
        <w:right w:val="none" w:sz="0" w:space="0" w:color="auto"/>
      </w:divBdr>
      <w:divsChild>
        <w:div w:id="86772023">
          <w:marLeft w:val="0"/>
          <w:marRight w:val="0"/>
          <w:marTop w:val="0"/>
          <w:marBottom w:val="0"/>
          <w:divBdr>
            <w:top w:val="none" w:sz="0" w:space="0" w:color="auto"/>
            <w:left w:val="none" w:sz="0" w:space="0" w:color="auto"/>
            <w:bottom w:val="none" w:sz="0" w:space="0" w:color="auto"/>
            <w:right w:val="none" w:sz="0" w:space="0" w:color="auto"/>
          </w:divBdr>
          <w:divsChild>
            <w:div w:id="1658194097">
              <w:marLeft w:val="0"/>
              <w:marRight w:val="0"/>
              <w:marTop w:val="0"/>
              <w:marBottom w:val="0"/>
              <w:divBdr>
                <w:top w:val="none" w:sz="0" w:space="0" w:color="auto"/>
                <w:left w:val="none" w:sz="0" w:space="0" w:color="auto"/>
                <w:bottom w:val="none" w:sz="0" w:space="0" w:color="auto"/>
                <w:right w:val="none" w:sz="0" w:space="0" w:color="auto"/>
              </w:divBdr>
              <w:divsChild>
                <w:div w:id="1797916738">
                  <w:marLeft w:val="0"/>
                  <w:marRight w:val="0"/>
                  <w:marTop w:val="0"/>
                  <w:marBottom w:val="0"/>
                  <w:divBdr>
                    <w:top w:val="none" w:sz="0" w:space="0" w:color="auto"/>
                    <w:left w:val="none" w:sz="0" w:space="0" w:color="auto"/>
                    <w:bottom w:val="none" w:sz="0" w:space="0" w:color="auto"/>
                    <w:right w:val="none" w:sz="0" w:space="0" w:color="auto"/>
                  </w:divBdr>
                  <w:divsChild>
                    <w:div w:id="1227258187">
                      <w:marLeft w:val="0"/>
                      <w:marRight w:val="0"/>
                      <w:marTop w:val="0"/>
                      <w:marBottom w:val="0"/>
                      <w:divBdr>
                        <w:top w:val="none" w:sz="0" w:space="0" w:color="auto"/>
                        <w:left w:val="none" w:sz="0" w:space="0" w:color="auto"/>
                        <w:bottom w:val="none" w:sz="0" w:space="0" w:color="auto"/>
                        <w:right w:val="none" w:sz="0" w:space="0" w:color="auto"/>
                      </w:divBdr>
                      <w:divsChild>
                        <w:div w:id="1373265815">
                          <w:marLeft w:val="3150"/>
                          <w:marRight w:val="0"/>
                          <w:marTop w:val="0"/>
                          <w:marBottom w:val="0"/>
                          <w:divBdr>
                            <w:top w:val="none" w:sz="0" w:space="0" w:color="auto"/>
                            <w:left w:val="none" w:sz="0" w:space="0" w:color="auto"/>
                            <w:bottom w:val="none" w:sz="0" w:space="0" w:color="auto"/>
                            <w:right w:val="none" w:sz="0" w:space="0" w:color="auto"/>
                          </w:divBdr>
                          <w:divsChild>
                            <w:div w:id="684988963">
                              <w:marLeft w:val="-225"/>
                              <w:marRight w:val="-225"/>
                              <w:marTop w:val="0"/>
                              <w:marBottom w:val="45"/>
                              <w:divBdr>
                                <w:top w:val="none" w:sz="0" w:space="0" w:color="auto"/>
                                <w:left w:val="single" w:sz="6" w:space="11" w:color="FFFFFF"/>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Zaczek@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0bd500007a412&amp;rs=WLW12.07" TargetMode="External"/><Relationship Id="rId3" Type="http://schemas.openxmlformats.org/officeDocument/2006/relationships/hyperlink" Target="http://standards.ieee.org/develop/wg/WG802.16.html" TargetMode="External"/><Relationship Id="rId7" Type="http://schemas.openxmlformats.org/officeDocument/2006/relationships/hyperlink" Target="http://factfinder2.census.gov/faces/tableservices/jsf/pages/productview.xhtml?pid=ECN_2007_US_51SSSZ2&amp;prodType=table" TargetMode="External"/><Relationship Id="rId2" Type="http://schemas.openxmlformats.org/officeDocument/2006/relationships/hyperlink" Target="http://newsroom.sprint.com/presskits/sprint-spark.htm" TargetMode="External"/><Relationship Id="rId1" Type="http://schemas.openxmlformats.org/officeDocument/2006/relationships/hyperlink" Target="http://newsroom.sprint.com/presskits/sprint-spark.htm" TargetMode="External"/><Relationship Id="rId6" Type="http://schemas.openxmlformats.org/officeDocument/2006/relationships/hyperlink" Target="http://www4.law.cornell.edu/uscode/5/603.html" TargetMode="External"/><Relationship Id="rId5" Type="http://schemas.openxmlformats.org/officeDocument/2006/relationships/hyperlink" Target="http://www.itu.int/net/pressoffice/press_releases/2010/40.aspx" TargetMode="External"/><Relationship Id="rId4" Type="http://schemas.openxmlformats.org/officeDocument/2006/relationships/hyperlink" Target="http://www.4gamericas.org/index.cfm?fuseaction=page&amp;sectionid=352" TargetMode="External"/><Relationship Id="rId9"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1e9a0000fd6a3&amp;rs=WLW12.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6050</Words>
  <Characters>33029</Characters>
  <Application>Microsoft Office Word</Application>
  <DocSecurity>0</DocSecurity>
  <Lines>523</Lines>
  <Paragraphs>133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39148</CharactersWithSpaces>
  <SharedDoc>false</SharedDoc>
  <HyperlinkBase> </HyperlinkBase>
  <HLinks>
    <vt:vector size="66" baseType="variant">
      <vt:variant>
        <vt:i4>327796</vt:i4>
      </vt:variant>
      <vt:variant>
        <vt:i4>0</vt:i4>
      </vt:variant>
      <vt:variant>
        <vt:i4>0</vt:i4>
      </vt:variant>
      <vt:variant>
        <vt:i4>5</vt:i4>
      </vt:variant>
      <vt:variant>
        <vt:lpwstr>mailto:Nancy.Zaczek@fcc.gov</vt:lpwstr>
      </vt:variant>
      <vt:variant>
        <vt:lpwstr/>
      </vt:variant>
      <vt:variant>
        <vt:i4>5308535</vt:i4>
      </vt:variant>
      <vt:variant>
        <vt:i4>30</vt:i4>
      </vt:variant>
      <vt:variant>
        <vt:i4>0</vt:i4>
      </vt:variant>
      <vt:variant>
        <vt:i4>5</vt:i4>
      </vt:variant>
      <vt:variant>
        <vt:lpwstr>http://web2.westlaw.com/find/default.wl?mt=122&amp;db=1000546&amp;docname=5USCAS601&amp;rp=%2ffind%2fdefault.wl&amp;findtype=L&amp;ordoc=2028756128&amp;tc=-1&amp;vr=2.0&amp;fn=_top&amp;sv=Split&amp;tf=-1&amp;referencepositiontype=T&amp;pbc=548C6C6F&amp;referenceposition=SP%3b1e9a0000fd6a3&amp;rs=WLW12.07</vt:lpwstr>
      </vt:variant>
      <vt:variant>
        <vt:lpwstr/>
      </vt:variant>
      <vt:variant>
        <vt:i4>5701753</vt:i4>
      </vt:variant>
      <vt:variant>
        <vt:i4>27</vt:i4>
      </vt:variant>
      <vt:variant>
        <vt:i4>0</vt:i4>
      </vt:variant>
      <vt:variant>
        <vt:i4>5</vt:i4>
      </vt:variant>
      <vt:variant>
        <vt:lpwstr>http://web2.westlaw.com/find/default.wl?mt=122&amp;db=1000546&amp;docname=5USCAS601&amp;rp=%2ffind%2fdefault.wl&amp;findtype=L&amp;ordoc=2028756128&amp;tc=-1&amp;vr=2.0&amp;fn=_top&amp;sv=Split&amp;tf=-1&amp;referencepositiontype=T&amp;pbc=548C6C6F&amp;referenceposition=SP%3b0bd500007a412&amp;rs=WLW12.07</vt:lpwstr>
      </vt:variant>
      <vt:variant>
        <vt:lpwstr/>
      </vt:variant>
      <vt:variant>
        <vt:i4>4456490</vt:i4>
      </vt:variant>
      <vt:variant>
        <vt:i4>24</vt:i4>
      </vt:variant>
      <vt:variant>
        <vt:i4>0</vt:i4>
      </vt:variant>
      <vt:variant>
        <vt:i4>5</vt:i4>
      </vt:variant>
      <vt:variant>
        <vt:lpwstr>http://factfinder2.census.gov/faces/tableservices/jsf/pages/productview.xhtml?pid=ECN_2007_US_51SSSZ2&amp;prodType=table</vt:lpwstr>
      </vt:variant>
      <vt:variant>
        <vt:lpwstr/>
      </vt:variant>
      <vt:variant>
        <vt:i4>917569</vt:i4>
      </vt:variant>
      <vt:variant>
        <vt:i4>21</vt:i4>
      </vt:variant>
      <vt:variant>
        <vt:i4>0</vt:i4>
      </vt:variant>
      <vt:variant>
        <vt:i4>5</vt:i4>
      </vt:variant>
      <vt:variant>
        <vt:lpwstr>http://www4.law.cornell.edu/uscode/5/603.html</vt:lpwstr>
      </vt:variant>
      <vt:variant>
        <vt:lpwstr/>
      </vt:variant>
      <vt:variant>
        <vt:i4>8257558</vt:i4>
      </vt:variant>
      <vt:variant>
        <vt:i4>15</vt:i4>
      </vt:variant>
      <vt:variant>
        <vt:i4>0</vt:i4>
      </vt:variant>
      <vt:variant>
        <vt:i4>5</vt:i4>
      </vt:variant>
      <vt:variant>
        <vt:lpwstr>http://www.itu.int/net/pressoffice/press_releases/2010/40.aspx</vt:lpwstr>
      </vt:variant>
      <vt:variant>
        <vt:lpwstr/>
      </vt:variant>
      <vt:variant>
        <vt:i4>6553726</vt:i4>
      </vt:variant>
      <vt:variant>
        <vt:i4>12</vt:i4>
      </vt:variant>
      <vt:variant>
        <vt:i4>0</vt:i4>
      </vt:variant>
      <vt:variant>
        <vt:i4>5</vt:i4>
      </vt:variant>
      <vt:variant>
        <vt:lpwstr>http://www.fiercewireless.com/story/clearwire-usage-our-network-increased-705-year-over-year/2012-03-22%23ixzz2CghTuz1z</vt:lpwstr>
      </vt:variant>
      <vt:variant>
        <vt:lpwstr/>
      </vt:variant>
      <vt:variant>
        <vt:i4>2097205</vt:i4>
      </vt:variant>
      <vt:variant>
        <vt:i4>9</vt:i4>
      </vt:variant>
      <vt:variant>
        <vt:i4>0</vt:i4>
      </vt:variant>
      <vt:variant>
        <vt:i4>5</vt:i4>
      </vt:variant>
      <vt:variant>
        <vt:lpwstr>http://gigaom.com/2010/03/12/clearwires-big-bet-on-our-broadband-addiction/</vt:lpwstr>
      </vt:variant>
      <vt:variant>
        <vt:lpwstr/>
      </vt:variant>
      <vt:variant>
        <vt:i4>4587613</vt:i4>
      </vt:variant>
      <vt:variant>
        <vt:i4>6</vt:i4>
      </vt:variant>
      <vt:variant>
        <vt:i4>0</vt:i4>
      </vt:variant>
      <vt:variant>
        <vt:i4>5</vt:i4>
      </vt:variant>
      <vt:variant>
        <vt:lpwstr>http://www.4gamericas.org/index.cfm?fuseaction=page&amp;sectionid=352</vt:lpwstr>
      </vt:variant>
      <vt:variant>
        <vt:lpwstr/>
      </vt:variant>
      <vt:variant>
        <vt:i4>8257580</vt:i4>
      </vt:variant>
      <vt:variant>
        <vt:i4>3</vt:i4>
      </vt:variant>
      <vt:variant>
        <vt:i4>0</vt:i4>
      </vt:variant>
      <vt:variant>
        <vt:i4>5</vt:i4>
      </vt:variant>
      <vt:variant>
        <vt:lpwstr>http://standards.ieee.org/develop/wg/WG802.16.html</vt:lpwstr>
      </vt:variant>
      <vt:variant>
        <vt:lpwstr/>
      </vt:variant>
      <vt:variant>
        <vt:i4>7798899</vt:i4>
      </vt:variant>
      <vt:variant>
        <vt:i4>0</vt:i4>
      </vt:variant>
      <vt:variant>
        <vt:i4>0</vt:i4>
      </vt:variant>
      <vt:variant>
        <vt:i4>5</vt:i4>
      </vt:variant>
      <vt:variant>
        <vt:lpwstr>http://www.clearwire.com/company/featured-story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2014-01-28T12:32:00Z</cp:lastPrinted>
  <dcterms:created xsi:type="dcterms:W3CDTF">2014-06-09T16:58:00Z</dcterms:created>
  <dcterms:modified xsi:type="dcterms:W3CDTF">2014-06-09T16:58:00Z</dcterms:modified>
  <cp:category> </cp:category>
  <cp:contentStatus> </cp:contentStatus>
</cp:coreProperties>
</file>