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36" w:rsidRDefault="00981036" w:rsidP="004C1F72">
      <w:pPr>
        <w:tabs>
          <w:tab w:val="left" w:pos="2070"/>
        </w:tabs>
        <w:jc w:val="center"/>
        <w:rPr>
          <w:b/>
        </w:rPr>
      </w:pPr>
      <w:bookmarkStart w:id="0" w:name="_GoBack"/>
      <w:bookmarkEnd w:id="0"/>
      <w:r>
        <w:rPr>
          <w:b/>
        </w:rPr>
        <w:t>Before the</w:t>
      </w:r>
    </w:p>
    <w:p w:rsidR="00981036" w:rsidRDefault="00981036">
      <w:pPr>
        <w:jc w:val="center"/>
        <w:rPr>
          <w:b/>
        </w:rPr>
      </w:pPr>
      <w:r>
        <w:rPr>
          <w:b/>
        </w:rPr>
        <w:t>Federal Communications Commission</w:t>
      </w:r>
    </w:p>
    <w:p w:rsidR="00981036" w:rsidRDefault="00981036">
      <w:pPr>
        <w:jc w:val="center"/>
        <w:rPr>
          <w:b/>
        </w:rPr>
      </w:pPr>
      <w:r>
        <w:rPr>
          <w:b/>
        </w:rPr>
        <w:t>Washington, D.C. 20554</w:t>
      </w:r>
    </w:p>
    <w:p w:rsidR="00981036" w:rsidRDefault="00981036"/>
    <w:p w:rsidR="00981036" w:rsidRDefault="00981036"/>
    <w:tbl>
      <w:tblPr>
        <w:tblW w:w="0" w:type="auto"/>
        <w:tblLayout w:type="fixed"/>
        <w:tblLook w:val="0000" w:firstRow="0" w:lastRow="0" w:firstColumn="0" w:lastColumn="0" w:noHBand="0" w:noVBand="0"/>
      </w:tblPr>
      <w:tblGrid>
        <w:gridCol w:w="4698"/>
        <w:gridCol w:w="720"/>
        <w:gridCol w:w="4230"/>
      </w:tblGrid>
      <w:tr w:rsidR="00981036">
        <w:tc>
          <w:tcPr>
            <w:tcW w:w="4698" w:type="dxa"/>
          </w:tcPr>
          <w:p w:rsidR="00981036" w:rsidRDefault="00524723">
            <w:pPr>
              <w:ind w:right="-18"/>
            </w:pPr>
            <w:r>
              <w:t>In the Matter of</w:t>
            </w:r>
            <w:r w:rsidR="00981036">
              <w:t xml:space="preserve"> </w:t>
            </w:r>
          </w:p>
          <w:p w:rsidR="00981036" w:rsidRDefault="00981036">
            <w:pPr>
              <w:ind w:right="-18"/>
            </w:pPr>
          </w:p>
          <w:p w:rsidR="00981036" w:rsidRDefault="00981036">
            <w:pPr>
              <w:ind w:right="-18"/>
            </w:pPr>
            <w:r>
              <w:t>T-Mobile License LLC</w:t>
            </w:r>
          </w:p>
          <w:p w:rsidR="00981036" w:rsidRDefault="00981036">
            <w:pPr>
              <w:ind w:right="-18"/>
            </w:pPr>
            <w:r>
              <w:t>AT&amp;T Mobility Spectrum LLC</w:t>
            </w:r>
          </w:p>
          <w:p w:rsidR="00981036" w:rsidRDefault="00981036" w:rsidP="000A04E3">
            <w:pPr>
              <w:ind w:right="-18"/>
            </w:pPr>
            <w:r>
              <w:t>New Cingular Wireless PCS LLC</w:t>
            </w:r>
          </w:p>
        </w:tc>
        <w:tc>
          <w:tcPr>
            <w:tcW w:w="720" w:type="dxa"/>
          </w:tcPr>
          <w:p w:rsidR="00981036" w:rsidRDefault="00981036">
            <w:pPr>
              <w:rPr>
                <w:b/>
              </w:rPr>
            </w:pPr>
            <w:r>
              <w:rPr>
                <w:b/>
              </w:rPr>
              <w:t>)</w:t>
            </w:r>
          </w:p>
          <w:p w:rsidR="00981036" w:rsidRDefault="00981036">
            <w:pPr>
              <w:rPr>
                <w:b/>
              </w:rPr>
            </w:pPr>
            <w:r>
              <w:rPr>
                <w:b/>
              </w:rPr>
              <w:t>)</w:t>
            </w:r>
          </w:p>
          <w:p w:rsidR="00981036" w:rsidRDefault="00981036">
            <w:pPr>
              <w:rPr>
                <w:b/>
              </w:rPr>
            </w:pPr>
            <w:r>
              <w:rPr>
                <w:b/>
              </w:rPr>
              <w:t>)</w:t>
            </w:r>
          </w:p>
          <w:p w:rsidR="00981036" w:rsidRDefault="00981036">
            <w:pPr>
              <w:rPr>
                <w:b/>
              </w:rPr>
            </w:pPr>
            <w:r>
              <w:rPr>
                <w:b/>
              </w:rPr>
              <w:t>)</w:t>
            </w:r>
          </w:p>
          <w:p w:rsidR="00981036" w:rsidRDefault="00981036">
            <w:pPr>
              <w:rPr>
                <w:b/>
              </w:rPr>
            </w:pPr>
            <w:r>
              <w:rPr>
                <w:b/>
              </w:rPr>
              <w:t>)</w:t>
            </w:r>
          </w:p>
          <w:p w:rsidR="00981036" w:rsidRDefault="000A0615" w:rsidP="00981036">
            <w:pPr>
              <w:rPr>
                <w:b/>
              </w:rPr>
            </w:pPr>
            <w:r>
              <w:rPr>
                <w:b/>
              </w:rPr>
              <w:t>)</w:t>
            </w:r>
          </w:p>
        </w:tc>
        <w:tc>
          <w:tcPr>
            <w:tcW w:w="4230" w:type="dxa"/>
          </w:tcPr>
          <w:p w:rsidR="00981036" w:rsidRDefault="00981036"/>
          <w:p w:rsidR="00981036" w:rsidRDefault="00981036"/>
          <w:p w:rsidR="00981036" w:rsidRDefault="00981036">
            <w:pPr>
              <w:rPr>
                <w:spacing w:val="-2"/>
              </w:rPr>
            </w:pPr>
            <w:r>
              <w:t>WT Docket No. 12-21</w:t>
            </w:r>
          </w:p>
          <w:p w:rsidR="00981036" w:rsidRDefault="00981036">
            <w:pPr>
              <w:rPr>
                <w:spacing w:val="-2"/>
              </w:rPr>
            </w:pPr>
          </w:p>
          <w:p w:rsidR="00981036" w:rsidRDefault="00981036">
            <w:pPr>
              <w:rPr>
                <w:spacing w:val="-2"/>
              </w:rPr>
            </w:pPr>
          </w:p>
          <w:p w:rsidR="00981036" w:rsidRDefault="00981036"/>
        </w:tc>
      </w:tr>
    </w:tbl>
    <w:p w:rsidR="00981036" w:rsidRDefault="00981036" w:rsidP="00981036">
      <w:pPr>
        <w:spacing w:before="120"/>
        <w:jc w:val="center"/>
        <w:rPr>
          <w:b/>
        </w:rPr>
      </w:pPr>
      <w:r>
        <w:rPr>
          <w:b/>
          <w:spacing w:val="-2"/>
        </w:rPr>
        <w:t>M</w:t>
      </w:r>
      <w:r w:rsidR="000362F1">
        <w:rPr>
          <w:b/>
          <w:spacing w:val="-2"/>
        </w:rPr>
        <w:t>EMORANDUM OPINION AND ORDER</w:t>
      </w:r>
    </w:p>
    <w:p w:rsidR="00981036" w:rsidRDefault="00981036" w:rsidP="00981036"/>
    <w:p w:rsidR="00981036" w:rsidRDefault="00981036" w:rsidP="00981036">
      <w:pPr>
        <w:tabs>
          <w:tab w:val="left" w:pos="5760"/>
        </w:tabs>
        <w:rPr>
          <w:b/>
        </w:rPr>
      </w:pPr>
      <w:r>
        <w:rPr>
          <w:b/>
        </w:rPr>
        <w:t xml:space="preserve">Adopted:  </w:t>
      </w:r>
      <w:r w:rsidR="0054284B">
        <w:rPr>
          <w:b/>
        </w:rPr>
        <w:t xml:space="preserve">June </w:t>
      </w:r>
      <w:r w:rsidR="00717FF4">
        <w:rPr>
          <w:b/>
        </w:rPr>
        <w:t>6</w:t>
      </w:r>
      <w:r>
        <w:rPr>
          <w:b/>
          <w:spacing w:val="-2"/>
        </w:rPr>
        <w:t>, 201</w:t>
      </w:r>
      <w:r w:rsidR="00FA3FF6">
        <w:rPr>
          <w:b/>
          <w:spacing w:val="-2"/>
        </w:rPr>
        <w:t>4</w:t>
      </w:r>
      <w:r>
        <w:rPr>
          <w:b/>
        </w:rPr>
        <w:tab/>
      </w:r>
      <w:r w:rsidR="00912F2D">
        <w:rPr>
          <w:b/>
        </w:rPr>
        <w:t xml:space="preserve">                   </w:t>
      </w:r>
      <w:r>
        <w:rPr>
          <w:b/>
        </w:rPr>
        <w:t xml:space="preserve">Released:  </w:t>
      </w:r>
      <w:r w:rsidR="0054284B">
        <w:rPr>
          <w:b/>
        </w:rPr>
        <w:t xml:space="preserve">June </w:t>
      </w:r>
      <w:r w:rsidR="00C150D0">
        <w:rPr>
          <w:b/>
        </w:rPr>
        <w:t>6</w:t>
      </w:r>
      <w:r>
        <w:rPr>
          <w:b/>
          <w:spacing w:val="-2"/>
        </w:rPr>
        <w:t>, 201</w:t>
      </w:r>
      <w:r w:rsidR="00FA3FF6">
        <w:rPr>
          <w:b/>
          <w:spacing w:val="-2"/>
        </w:rPr>
        <w:t>4</w:t>
      </w:r>
    </w:p>
    <w:p w:rsidR="00981036" w:rsidRDefault="00981036" w:rsidP="00981036">
      <w:pPr>
        <w:tabs>
          <w:tab w:val="left" w:pos="5760"/>
        </w:tabs>
        <w:rPr>
          <w:b/>
        </w:rPr>
      </w:pPr>
    </w:p>
    <w:p w:rsidR="00981036" w:rsidRDefault="00981036" w:rsidP="00981036">
      <w:pPr>
        <w:tabs>
          <w:tab w:val="left" w:pos="5760"/>
        </w:tabs>
      </w:pPr>
      <w:r>
        <w:t>By the Commission</w:t>
      </w:r>
      <w:r>
        <w:rPr>
          <w:spacing w:val="-2"/>
        </w:rPr>
        <w:t>:</w:t>
      </w:r>
    </w:p>
    <w:p w:rsidR="00981036" w:rsidRDefault="00981036" w:rsidP="00981036">
      <w:pPr>
        <w:tabs>
          <w:tab w:val="left" w:pos="5760"/>
        </w:tabs>
        <w:rPr>
          <w:b/>
        </w:rPr>
      </w:pPr>
    </w:p>
    <w:p w:rsidR="00981036" w:rsidRDefault="00981036" w:rsidP="00981036">
      <w:pPr>
        <w:pStyle w:val="Heading1"/>
        <w:widowControl/>
      </w:pPr>
      <w:bookmarkStart w:id="1" w:name="_Toc201370691"/>
      <w:r>
        <w:t>Introduction</w:t>
      </w:r>
      <w:bookmarkEnd w:id="1"/>
    </w:p>
    <w:p w:rsidR="00981036" w:rsidRDefault="00E845CA" w:rsidP="0028587E">
      <w:pPr>
        <w:pStyle w:val="ParaNum"/>
        <w:widowControl/>
      </w:pPr>
      <w:r>
        <w:t>On April 18, 2012, t</w:t>
      </w:r>
      <w:r w:rsidR="00981036">
        <w:t>he Wireless Telecommunications Bureau (</w:t>
      </w:r>
      <w:r w:rsidR="00171B4F">
        <w:t>“</w:t>
      </w:r>
      <w:r w:rsidR="00981036">
        <w:t>Bureau”) dismiss</w:t>
      </w:r>
      <w:r>
        <w:t>ed</w:t>
      </w:r>
      <w:r w:rsidR="00981036">
        <w:t xml:space="preserve"> </w:t>
      </w:r>
      <w:r w:rsidR="000362F1">
        <w:t xml:space="preserve">a petition </w:t>
      </w:r>
      <w:r w:rsidR="008B19E4">
        <w:t xml:space="preserve">by the </w:t>
      </w:r>
      <w:r>
        <w:t>Diogenes Telecommunications Project</w:t>
      </w:r>
      <w:r w:rsidR="008B19E4">
        <w:t xml:space="preserve"> (“</w:t>
      </w:r>
      <w:r w:rsidR="00EB01DE">
        <w:t>Diogenes</w:t>
      </w:r>
      <w:r w:rsidR="008B19E4">
        <w:t>”)</w:t>
      </w:r>
      <w:r>
        <w:t xml:space="preserve"> </w:t>
      </w:r>
      <w:r w:rsidR="00EB01DE">
        <w:t xml:space="preserve">to deny </w:t>
      </w:r>
      <w:r w:rsidR="000362F1">
        <w:t>assignment applications</w:t>
      </w:r>
      <w:r>
        <w:t xml:space="preserve"> filed by AT&amp;T and Deutsche Telekom AG</w:t>
      </w:r>
      <w:r w:rsidR="00EB01DE">
        <w:t xml:space="preserve"> (“DT”)</w:t>
      </w:r>
      <w:r>
        <w:t>.</w:t>
      </w:r>
      <w:r w:rsidR="000362F1">
        <w:t xml:space="preserve"> </w:t>
      </w:r>
      <w:r w:rsidR="00EB01DE">
        <w:t xml:space="preserve"> </w:t>
      </w:r>
      <w:r w:rsidR="008B19E4">
        <w:t>On May 1, 2012, Diogenes</w:t>
      </w:r>
      <w:r w:rsidR="00EB01DE">
        <w:t xml:space="preserve"> filed an Application for Review seeking to overturn the Bureau’s decision.  We affirm.</w:t>
      </w:r>
    </w:p>
    <w:p w:rsidR="0028587E" w:rsidRDefault="00981036" w:rsidP="0028587E">
      <w:pPr>
        <w:pStyle w:val="Heading1"/>
        <w:widowControl/>
      </w:pPr>
      <w:bookmarkStart w:id="2" w:name="_Toc201370692"/>
      <w:r>
        <w:t>background</w:t>
      </w:r>
      <w:bookmarkEnd w:id="2"/>
    </w:p>
    <w:p w:rsidR="0099779F" w:rsidRDefault="00981036" w:rsidP="0028587E">
      <w:pPr>
        <w:pStyle w:val="ParaNum"/>
        <w:widowControl/>
      </w:pPr>
      <w:r>
        <w:t>On March 20, 2011, AT&amp;T and Deutsche Telekom AG entered into a Stock Purchase Agreement to sell DT’s wholly-owned subsidiary T-Mobile USA, Inc. (“T-Mobile”) and T-Mobile’s wholly-owned subsidiaries to AT&amp;T.</w:t>
      </w:r>
      <w:r w:rsidR="00FB5CEA">
        <w:rPr>
          <w:rStyle w:val="FootnoteReference"/>
        </w:rPr>
        <w:footnoteReference w:id="2"/>
      </w:r>
      <w:r>
        <w:t xml:space="preserve">  A month later, AT&amp;T filed applications seeking consent to the transfer of control of the licenses and authorizations held by T-Mobile USA, Inc. and its wholly-owned subsidiaries from DT to AT&amp;T.</w:t>
      </w:r>
      <w:r w:rsidR="000D008B">
        <w:rPr>
          <w:rStyle w:val="FootnoteReference"/>
        </w:rPr>
        <w:footnoteReference w:id="3"/>
      </w:r>
      <w:r>
        <w:t xml:space="preserve">  On May 31, 2011, Diogenes </w:t>
      </w:r>
      <w:r w:rsidR="000362F1">
        <w:t xml:space="preserve">Telecommunications Project (“Diogenes”) </w:t>
      </w:r>
      <w:r>
        <w:t xml:space="preserve">filed a </w:t>
      </w:r>
      <w:r w:rsidR="000362F1">
        <w:t>p</w:t>
      </w:r>
      <w:r>
        <w:t xml:space="preserve">etition to </w:t>
      </w:r>
      <w:r w:rsidR="000362F1">
        <w:t>d</w:t>
      </w:r>
      <w:r>
        <w:t>eny the applications alleging that AT&amp;T and DT did not have the necessary character qualifications to be Commission licensees.</w:t>
      </w:r>
      <w:r w:rsidR="00A656BF">
        <w:rPr>
          <w:rStyle w:val="FootnoteReference"/>
        </w:rPr>
        <w:footnoteReference w:id="4"/>
      </w:r>
      <w:r>
        <w:t xml:space="preserve">  </w:t>
      </w:r>
      <w:r w:rsidR="0099779F">
        <w:t>Diogenes premised its claim of standing on the fact that one of its members, Scott Karren, “w</w:t>
      </w:r>
      <w:r w:rsidR="000C2E58">
        <w:t>ish[es]</w:t>
      </w:r>
      <w:r w:rsidR="0099779F">
        <w:t xml:space="preserve"> to stay a customer of T-Mobile</w:t>
      </w:r>
      <w:r w:rsidR="000C2E58">
        <w:t>”</w:t>
      </w:r>
      <w:r w:rsidR="0099779F">
        <w:t xml:space="preserve"> and had been “[e]xtremely dissatisfied” as a former AT&amp;T customer.</w:t>
      </w:r>
      <w:r w:rsidR="0099779F">
        <w:rPr>
          <w:rStyle w:val="FootnoteReference"/>
        </w:rPr>
        <w:footnoteReference w:id="5"/>
      </w:r>
      <w:r w:rsidR="0099779F">
        <w:t xml:space="preserve">  </w:t>
      </w:r>
    </w:p>
    <w:p w:rsidR="00981036" w:rsidRDefault="00865B9B" w:rsidP="0028587E">
      <w:pPr>
        <w:pStyle w:val="ParaNum"/>
        <w:widowControl/>
      </w:pPr>
      <w:r>
        <w:t>On November 22, 2011</w:t>
      </w:r>
      <w:r w:rsidR="00981036">
        <w:t>, the Bureau circulated an order for consideration by the Commission to designate the proposed transaction for an administrative hearing; that circulation was publicly announced.</w:t>
      </w:r>
      <w:bookmarkStart w:id="3" w:name="_Ref383775994"/>
      <w:r w:rsidR="00B736C2">
        <w:rPr>
          <w:rStyle w:val="FootnoteReference"/>
        </w:rPr>
        <w:footnoteReference w:id="6"/>
      </w:r>
      <w:bookmarkEnd w:id="3"/>
      <w:r w:rsidR="00981036">
        <w:t xml:space="preserve">  On the next day, November 2</w:t>
      </w:r>
      <w:r w:rsidR="003002FD">
        <w:t>3</w:t>
      </w:r>
      <w:r w:rsidR="00981036">
        <w:t xml:space="preserve">, 2011, AT&amp;T and DT filed a letter stating that they </w:t>
      </w:r>
      <w:r w:rsidR="00981036">
        <w:lastRenderedPageBreak/>
        <w:t>were withdrawing all of the pending applications regarding the transaction.</w:t>
      </w:r>
      <w:r>
        <w:rPr>
          <w:rStyle w:val="FootnoteReference"/>
        </w:rPr>
        <w:footnoteReference w:id="7"/>
      </w:r>
      <w:r w:rsidR="00981036">
        <w:t xml:space="preserve">  On November 29, 2011, the Bureau dismissed the applications without prejudice.</w:t>
      </w:r>
      <w:r w:rsidR="00B736C2">
        <w:rPr>
          <w:rStyle w:val="FootnoteReference"/>
        </w:rPr>
        <w:footnoteReference w:id="8"/>
      </w:r>
    </w:p>
    <w:p w:rsidR="00981036" w:rsidRDefault="00981036" w:rsidP="0028587E">
      <w:pPr>
        <w:pStyle w:val="ParaNum"/>
        <w:widowControl/>
      </w:pPr>
      <w:r>
        <w:t xml:space="preserve">On December 27, 2011, Diogenes filed an </w:t>
      </w:r>
      <w:r w:rsidR="00012438">
        <w:t>a</w:t>
      </w:r>
      <w:r>
        <w:t xml:space="preserve">pplication for </w:t>
      </w:r>
      <w:r w:rsidR="00012438">
        <w:t>r</w:t>
      </w:r>
      <w:r>
        <w:t>eview</w:t>
      </w:r>
      <w:r w:rsidR="00012438">
        <w:t xml:space="preserve"> </w:t>
      </w:r>
      <w:r w:rsidR="00864B99">
        <w:t xml:space="preserve">of the AT&amp;T-T-Mobile Dismissal Order </w:t>
      </w:r>
      <w:r>
        <w:t>arguing that the Bureau failed to resolve character issues that had been raised in the merger proceeding.</w:t>
      </w:r>
      <w:r w:rsidR="00A31C81">
        <w:rPr>
          <w:rStyle w:val="FootnoteReference"/>
        </w:rPr>
        <w:footnoteReference w:id="9"/>
      </w:r>
      <w:r w:rsidR="00A31C81">
        <w:t xml:space="preserve"> </w:t>
      </w:r>
      <w:r>
        <w:t xml:space="preserve"> On April 16, 2012, the Commission dismissed Diogenes</w:t>
      </w:r>
      <w:r w:rsidR="0099779F">
        <w:t>’</w:t>
      </w:r>
      <w:r>
        <w:t xml:space="preserve"> First AFR because </w:t>
      </w:r>
      <w:r w:rsidR="00D03835">
        <w:t xml:space="preserve">(a) </w:t>
      </w:r>
      <w:r>
        <w:t xml:space="preserve">Diogenes </w:t>
      </w:r>
      <w:r w:rsidR="0099779F">
        <w:t xml:space="preserve">had </w:t>
      </w:r>
      <w:r>
        <w:t>failed to demonstrate standing</w:t>
      </w:r>
      <w:r w:rsidR="0099779F">
        <w:t xml:space="preserve"> </w:t>
      </w:r>
      <w:r w:rsidR="001F64A2">
        <w:t xml:space="preserve">based upon </w:t>
      </w:r>
      <w:r w:rsidR="0099779F">
        <w:t>Mr. Karren’s desire to remain a T-Mobile customer</w:t>
      </w:r>
      <w:r>
        <w:t xml:space="preserve">, </w:t>
      </w:r>
      <w:r w:rsidR="00D03835">
        <w:t xml:space="preserve">(b) </w:t>
      </w:r>
      <w:r>
        <w:t xml:space="preserve">the issues it raised were rendered moot by the dismissal of the applications, and </w:t>
      </w:r>
      <w:r w:rsidR="00D03835">
        <w:t xml:space="preserve">(c) </w:t>
      </w:r>
      <w:r>
        <w:t>the revocation of AT&amp;T’s and DT’s existing licenses was beyond the scope of the merger proceeding.</w:t>
      </w:r>
      <w:r w:rsidR="003075A9">
        <w:rPr>
          <w:rStyle w:val="FootnoteReference"/>
        </w:rPr>
        <w:footnoteReference w:id="10"/>
      </w:r>
      <w:r>
        <w:t xml:space="preserve">  </w:t>
      </w:r>
    </w:p>
    <w:p w:rsidR="00981036" w:rsidRDefault="00981036" w:rsidP="0028587E">
      <w:pPr>
        <w:pStyle w:val="ParaNum"/>
        <w:widowControl/>
      </w:pPr>
      <w:r>
        <w:t>On January 20, 2012, as part of a breakup provision of the Stock Purchase Agreement, AT&amp;T subsidiaries AT&amp;T Mobility and New Cingular Wireless,</w:t>
      </w:r>
      <w:r w:rsidR="000A572E">
        <w:rPr>
          <w:rStyle w:val="FootnoteReference"/>
          <w:szCs w:val="22"/>
        </w:rPr>
        <w:footnoteReference w:id="11"/>
      </w:r>
      <w:r w:rsidR="000A572E">
        <w:t xml:space="preserve"> </w:t>
      </w:r>
      <w:r>
        <w:t>and T-Mobile USA’s wholly-owned subsidiary, T-Mobile License</w:t>
      </w:r>
      <w:r w:rsidR="000A572E">
        <w:rPr>
          <w:rStyle w:val="FootnoteReference"/>
          <w:szCs w:val="22"/>
        </w:rPr>
        <w:footnoteReference w:id="12"/>
      </w:r>
      <w:r>
        <w:t xml:space="preserve"> (collectively the “Applicants”)</w:t>
      </w:r>
      <w:r w:rsidR="00D17F5F">
        <w:t>,</w:t>
      </w:r>
      <w:r>
        <w:t xml:space="preserve"> filed applications (“Assignment Applications”) seeking the Commission’s consent to assign </w:t>
      </w:r>
      <w:r w:rsidR="00D17F5F">
        <w:t xml:space="preserve">(1) </w:t>
      </w:r>
      <w:r>
        <w:t>13 AWS-1 licenses and partitioned portions of 23 AWS-1 licenses from AT&amp;T Mobility to T-Mobile License</w:t>
      </w:r>
      <w:r w:rsidR="000A572E">
        <w:rPr>
          <w:rStyle w:val="FootnoteReference"/>
          <w:szCs w:val="22"/>
        </w:rPr>
        <w:footnoteReference w:id="13"/>
      </w:r>
      <w:r>
        <w:t xml:space="preserve"> and</w:t>
      </w:r>
      <w:r w:rsidR="00D17F5F">
        <w:t xml:space="preserve"> (2)</w:t>
      </w:r>
      <w:r>
        <w:t xml:space="preserve"> seven AWS-1 licenses and partitioned portions of four AWS-1 licenses from New Cingular Wireless to T-Mobile License.</w:t>
      </w:r>
      <w:r w:rsidR="000A572E">
        <w:rPr>
          <w:rStyle w:val="FootnoteReference"/>
          <w:szCs w:val="22"/>
        </w:rPr>
        <w:footnoteReference w:id="14"/>
      </w:r>
      <w:r>
        <w:t xml:space="preserve">  </w:t>
      </w:r>
    </w:p>
    <w:p w:rsidR="00981036" w:rsidRDefault="00981036" w:rsidP="0028587E">
      <w:pPr>
        <w:pStyle w:val="ParaNum"/>
        <w:widowControl/>
      </w:pPr>
      <w:r>
        <w:t xml:space="preserve">On January 26, 2012, the Commission released a </w:t>
      </w:r>
      <w:r w:rsidR="00487797">
        <w:t>p</w:t>
      </w:r>
      <w:r>
        <w:t xml:space="preserve">ublic </w:t>
      </w:r>
      <w:r w:rsidR="00487797">
        <w:t>n</w:t>
      </w:r>
      <w:r>
        <w:t>otice seeking comment on the  Assignment Applications.</w:t>
      </w:r>
      <w:r w:rsidR="000A572E" w:rsidRPr="000A572E">
        <w:rPr>
          <w:rStyle w:val="FootnoteReference"/>
          <w:szCs w:val="22"/>
        </w:rPr>
        <w:footnoteReference w:id="15"/>
      </w:r>
      <w:r w:rsidRPr="000A572E">
        <w:rPr>
          <w:rStyle w:val="FootnoteReference"/>
          <w:szCs w:val="22"/>
        </w:rPr>
        <w:t xml:space="preserve">  </w:t>
      </w:r>
      <w:r>
        <w:t xml:space="preserve">The </w:t>
      </w:r>
      <w:r w:rsidR="00487797">
        <w:t xml:space="preserve">Comment </w:t>
      </w:r>
      <w:r>
        <w:t xml:space="preserve">Public Notice stated that </w:t>
      </w:r>
      <w:r w:rsidR="00D366E9">
        <w:t>p</w:t>
      </w:r>
      <w:r>
        <w:t xml:space="preserve">etitions to </w:t>
      </w:r>
      <w:r w:rsidR="00D366E9">
        <w:t>d</w:t>
      </w:r>
      <w:r>
        <w:t xml:space="preserve">eny were due on or before February 27, 2012, </w:t>
      </w:r>
      <w:r w:rsidR="00D366E9">
        <w:t>o</w:t>
      </w:r>
      <w:r>
        <w:t xml:space="preserve">ppositions were due on or before March 8, 2012, and that </w:t>
      </w:r>
      <w:r w:rsidR="00D366E9">
        <w:t>r</w:t>
      </w:r>
      <w:r>
        <w:t>eplies were due on or before March 19, 2012.</w:t>
      </w:r>
      <w:r w:rsidR="00BB784E">
        <w:rPr>
          <w:rStyle w:val="FootnoteReference"/>
        </w:rPr>
        <w:footnoteReference w:id="16"/>
      </w:r>
      <w:r>
        <w:t xml:space="preserve">  The </w:t>
      </w:r>
      <w:r w:rsidR="00D366E9">
        <w:t xml:space="preserve">Comment </w:t>
      </w:r>
      <w:r>
        <w:t>Publ</w:t>
      </w:r>
      <w:r w:rsidR="00187641">
        <w:t>i</w:t>
      </w:r>
      <w:r>
        <w:t xml:space="preserve">c Notice also </w:t>
      </w:r>
      <w:r w:rsidR="00D17F5F">
        <w:t>emphasized, in bold type</w:t>
      </w:r>
      <w:r w:rsidR="00865B9B">
        <w:t>:</w:t>
      </w:r>
      <w:r>
        <w:t xml:space="preserve"> </w:t>
      </w:r>
    </w:p>
    <w:p w:rsidR="00981036" w:rsidRPr="001D3D9F" w:rsidRDefault="001C2E91" w:rsidP="001D3D9F">
      <w:pPr>
        <w:ind w:left="720" w:right="720"/>
        <w:rPr>
          <w:szCs w:val="22"/>
        </w:rPr>
      </w:pPr>
      <w:r w:rsidRPr="001D3D9F">
        <w:rPr>
          <w:szCs w:val="22"/>
        </w:rPr>
        <w:t>T</w:t>
      </w:r>
      <w:r w:rsidR="00981036" w:rsidRPr="001D3D9F">
        <w:rPr>
          <w:szCs w:val="22"/>
        </w:rPr>
        <w:t>o allow the Commission to consider fully all substantive issues regarding the Applications in as timely and efficient a manner as possible, petitioners and commenters should raise all issues in their initial filings.  New issues may not be raised in responses or replies.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981036" w:rsidRPr="001D3D9F">
        <w:rPr>
          <w:b/>
          <w:szCs w:val="22"/>
        </w:rPr>
        <w:t>.</w:t>
      </w:r>
      <w:r w:rsidR="00BB784E" w:rsidRPr="001D3D9F">
        <w:rPr>
          <w:rStyle w:val="FootnoteReference"/>
          <w:sz w:val="22"/>
          <w:szCs w:val="22"/>
        </w:rPr>
        <w:footnoteReference w:id="17"/>
      </w:r>
    </w:p>
    <w:p w:rsidR="005D6FCD" w:rsidRPr="00B9243C" w:rsidRDefault="00981036" w:rsidP="005D6FCD">
      <w:pPr>
        <w:autoSpaceDE w:val="0"/>
        <w:autoSpaceDN w:val="0"/>
        <w:adjustRightInd w:val="0"/>
        <w:rPr>
          <w:szCs w:val="22"/>
        </w:rPr>
      </w:pPr>
      <w:r>
        <w:lastRenderedPageBreak/>
        <w:t>Diogenes filed a Petition to Deny on February 23, 2012, in which it requested that the Commission commence an evidentiary hearin</w:t>
      </w:r>
      <w:r w:rsidR="00171B4F">
        <w:t>g on whether the Applicants had</w:t>
      </w:r>
      <w:r>
        <w:t xml:space="preserve"> the requisite character and qualifications to hold licenses and revoke their FCC licenses</w:t>
      </w:r>
      <w:r w:rsidR="001F64A2">
        <w:t xml:space="preserve"> if they were found to lack the basic qualifications to remain licensees</w:t>
      </w:r>
      <w:r>
        <w:t>.</w:t>
      </w:r>
      <w:r w:rsidR="00BB784E">
        <w:rPr>
          <w:rStyle w:val="FootnoteReference"/>
        </w:rPr>
        <w:footnoteReference w:id="18"/>
      </w:r>
      <w:r>
        <w:t xml:space="preserve">  </w:t>
      </w:r>
      <w:r w:rsidR="00D17F5F">
        <w:t xml:space="preserve">Although these applications proposed to assign licenses </w:t>
      </w:r>
      <w:r w:rsidR="00D17F5F">
        <w:rPr>
          <w:i/>
        </w:rPr>
        <w:t xml:space="preserve">to </w:t>
      </w:r>
      <w:r w:rsidR="00D17F5F">
        <w:t xml:space="preserve">T-Mobile’s license subsidiary, rather than to transfer control </w:t>
      </w:r>
      <w:r w:rsidR="00D17F5F">
        <w:rPr>
          <w:i/>
        </w:rPr>
        <w:t xml:space="preserve">from </w:t>
      </w:r>
      <w:r w:rsidR="00D17F5F">
        <w:t xml:space="preserve">T-Mobile to AT&amp;T, Diogenes </w:t>
      </w:r>
      <w:r w:rsidR="00D03835">
        <w:t xml:space="preserve">again </w:t>
      </w:r>
      <w:r w:rsidR="001F64A2">
        <w:t>sought to establish standing based upon</w:t>
      </w:r>
      <w:r w:rsidR="00EC11EC">
        <w:t xml:space="preserve"> </w:t>
      </w:r>
      <w:r w:rsidR="00D17F5F">
        <w:t>Mr. Karren</w:t>
      </w:r>
      <w:r w:rsidR="00D03835">
        <w:t>’s status as</w:t>
      </w:r>
      <w:r w:rsidR="00D17F5F">
        <w:t xml:space="preserve"> a T-Mobile</w:t>
      </w:r>
      <w:r w:rsidR="005D6FCD">
        <w:t xml:space="preserve"> customer</w:t>
      </w:r>
      <w:r w:rsidR="00D17F5F">
        <w:t xml:space="preserve">.  </w:t>
      </w:r>
      <w:r w:rsidR="001F64A2">
        <w:t xml:space="preserve">In addition, </w:t>
      </w:r>
      <w:r w:rsidR="00D03835">
        <w:t xml:space="preserve">Diogenes </w:t>
      </w:r>
      <w:r w:rsidR="001F64A2">
        <w:t xml:space="preserve">argued that it had </w:t>
      </w:r>
      <w:r w:rsidR="00D17F5F">
        <w:t xml:space="preserve">standing </w:t>
      </w:r>
      <w:r w:rsidR="001F64A2">
        <w:t xml:space="preserve">because </w:t>
      </w:r>
      <w:r w:rsidR="00D17F5F">
        <w:t>another of its members, Irene Laschuk, who is an AT&amp;T rather than a T-Mobile customer</w:t>
      </w:r>
      <w:r w:rsidR="00EB01DE">
        <w:t>, might be harmed by the transaction</w:t>
      </w:r>
      <w:r w:rsidR="00D17F5F">
        <w:t>.</w:t>
      </w:r>
      <w:r w:rsidR="00D17F5F">
        <w:rPr>
          <w:rStyle w:val="FootnoteReference"/>
        </w:rPr>
        <w:footnoteReference w:id="19"/>
      </w:r>
      <w:r w:rsidR="00D17F5F">
        <w:t xml:space="preserve">  </w:t>
      </w:r>
      <w:r w:rsidR="008E720B">
        <w:t>O</w:t>
      </w:r>
      <w:r>
        <w:t>n April 16, 2012, Diogenes filed a Supplement to its Petition to Deny.</w:t>
      </w:r>
      <w:r w:rsidR="00346A39">
        <w:rPr>
          <w:rStyle w:val="FootnoteReference"/>
        </w:rPr>
        <w:footnoteReference w:id="20"/>
      </w:r>
      <w:r w:rsidR="008E720B">
        <w:t xml:space="preserve">  Diogenes reported in the Supplement that</w:t>
      </w:r>
      <w:r w:rsidR="00D03835" w:rsidRPr="00D03835">
        <w:t xml:space="preserve"> </w:t>
      </w:r>
      <w:r w:rsidR="00D03835">
        <w:t xml:space="preserve">on March 22, 2012, three days after the comment period closed, </w:t>
      </w:r>
      <w:r w:rsidR="008E720B">
        <w:t>the Department of Justice filed a complaint against AT&amp;T under the False Claims Act for conduct related to AT&amp;T’s provision of Internet Protocol (“IP”) Relay services.</w:t>
      </w:r>
      <w:r w:rsidR="008E720B">
        <w:rPr>
          <w:rStyle w:val="FootnoteReference"/>
        </w:rPr>
        <w:footnoteReference w:id="21"/>
      </w:r>
      <w:r w:rsidR="001F64A2">
        <w:t xml:space="preserve">  </w:t>
      </w:r>
      <w:r w:rsidR="00EB01DE">
        <w:t xml:space="preserve">In the Supplement, </w:t>
      </w:r>
      <w:r w:rsidR="001F64A2">
        <w:t xml:space="preserve">Diogenes claimed </w:t>
      </w:r>
      <w:r w:rsidR="00EB01DE">
        <w:t xml:space="preserve">that </w:t>
      </w:r>
      <w:r w:rsidR="005D6FCD">
        <w:t xml:space="preserve">the DOJ complaint showed that AT&amp;T had engaged in fraudulent misconduct and was </w:t>
      </w:r>
      <w:r w:rsidR="005D6FCD" w:rsidRPr="00B9243C">
        <w:rPr>
          <w:szCs w:val="22"/>
        </w:rPr>
        <w:t>“further proof that AT&amp;T is not qualified to be an FCC</w:t>
      </w:r>
    </w:p>
    <w:p w:rsidR="00981036" w:rsidRDefault="005D6FCD" w:rsidP="005D6FCD">
      <w:pPr>
        <w:spacing w:after="220"/>
      </w:pPr>
      <w:r w:rsidRPr="00B9243C">
        <w:rPr>
          <w:szCs w:val="22"/>
        </w:rPr>
        <w:t>licensee.”</w:t>
      </w:r>
      <w:r>
        <w:rPr>
          <w:rStyle w:val="FootnoteReference"/>
          <w:sz w:val="23"/>
          <w:szCs w:val="23"/>
        </w:rPr>
        <w:footnoteReference w:id="22"/>
      </w:r>
    </w:p>
    <w:p w:rsidR="00981036" w:rsidRDefault="00617804" w:rsidP="0028587E">
      <w:pPr>
        <w:pStyle w:val="ParaNum"/>
        <w:widowControl/>
      </w:pPr>
      <w:r>
        <w:t>T</w:t>
      </w:r>
      <w:r w:rsidR="00981036">
        <w:t>he Bureau found that Diogenes lacked standing to contest the Assignment Applications and dismissed Diogenes’ Petition to Deny.</w:t>
      </w:r>
      <w:r w:rsidR="002A79A6">
        <w:rPr>
          <w:rStyle w:val="FootnoteReference"/>
        </w:rPr>
        <w:footnoteReference w:id="23"/>
      </w:r>
      <w:r w:rsidR="00981036">
        <w:t xml:space="preserve">  </w:t>
      </w:r>
      <w:r>
        <w:t>T</w:t>
      </w:r>
      <w:r w:rsidR="00981036">
        <w:t xml:space="preserve">he Bureau held that Diogenes did not show </w:t>
      </w:r>
      <w:r>
        <w:t>how</w:t>
      </w:r>
      <w:r w:rsidR="00981036">
        <w:t xml:space="preserve"> Mr</w:t>
      </w:r>
      <w:r w:rsidR="00171B4F">
        <w:rPr>
          <w:sz w:val="24"/>
        </w:rPr>
        <w:t>. </w:t>
      </w:r>
      <w:r w:rsidR="00981036">
        <w:t>Karren</w:t>
      </w:r>
      <w:r>
        <w:t>, as a T-Mobile customer previously concerned about a potential transfer of control to AT&amp;T,</w:t>
      </w:r>
      <w:r w:rsidR="00981036">
        <w:t xml:space="preserve"> </w:t>
      </w:r>
      <w:r>
        <w:t>could be</w:t>
      </w:r>
      <w:r w:rsidR="00981036">
        <w:t xml:space="preserve"> harmed by the </w:t>
      </w:r>
      <w:r>
        <w:t xml:space="preserve">new </w:t>
      </w:r>
      <w:r w:rsidR="00981036">
        <w:t xml:space="preserve">transaction </w:t>
      </w:r>
      <w:r>
        <w:t xml:space="preserve">to assign licenses </w:t>
      </w:r>
      <w:r>
        <w:rPr>
          <w:i/>
        </w:rPr>
        <w:t xml:space="preserve">to </w:t>
      </w:r>
      <w:r>
        <w:t>T-Mobile’s license</w:t>
      </w:r>
      <w:r w:rsidR="00D03835">
        <w:t>d</w:t>
      </w:r>
      <w:r>
        <w:t xml:space="preserve"> subsidiary, much less how any such injury would be redressed by delaying or denying the Assignment Applications.  With respect to Ms. Laschuk, the Bureau held that the mere fact of her status as an AT&amp;T customer did not establish standing either</w:t>
      </w:r>
      <w:r w:rsidR="00ED020A">
        <w:t xml:space="preserve">, because the Petition to Deny included no facts establishing how granting the assignments of license from AT&amp;T would injure her or how denying them would redress any injury.  While Diogenes had subsequently argued that the assignments would impair AT&amp;T’s ability to roll out LTE and thereby harm Ms. Laschuk, </w:t>
      </w:r>
      <w:r w:rsidR="00ED020A">
        <w:rPr>
          <w:rStyle w:val="FootnoteReference"/>
        </w:rPr>
        <w:footnoteReference w:id="24"/>
      </w:r>
      <w:r w:rsidR="00ED020A">
        <w:t xml:space="preserve"> the Bureau concluded that it need not address the question whether Diogenes could establish the injury required to establish standing because the re</w:t>
      </w:r>
      <w:r w:rsidR="000C2E58">
        <w:t>medy</w:t>
      </w:r>
      <w:r w:rsidR="00ED020A">
        <w:t xml:space="preserve"> it sought – a designation for hearing and possible revocation of all of the applicants’ licenses </w:t>
      </w:r>
      <w:r w:rsidR="00397854">
        <w:t>–</w:t>
      </w:r>
      <w:r w:rsidR="00ED020A">
        <w:t xml:space="preserve"> </w:t>
      </w:r>
      <w:r w:rsidR="00397854">
        <w:t>would not provide their customers with any relief</w:t>
      </w:r>
      <w:r w:rsidR="00981036">
        <w:t>.</w:t>
      </w:r>
      <w:r w:rsidR="00B65FEB">
        <w:rPr>
          <w:rStyle w:val="FootnoteReference"/>
        </w:rPr>
        <w:footnoteReference w:id="25"/>
      </w:r>
      <w:r w:rsidR="00981036">
        <w:t xml:space="preserve">  The Bureau further held that it would not consider the Supplement filed by Diogenes on April 16, 2012</w:t>
      </w:r>
      <w:r>
        <w:t>,</w:t>
      </w:r>
      <w:r w:rsidR="00981036">
        <w:t xml:space="preserve"> because it did not comply with the requirements for </w:t>
      </w:r>
      <w:r>
        <w:t>prompt filing with respect to new or newly discovered facts set forth</w:t>
      </w:r>
      <w:r w:rsidR="00981036">
        <w:t xml:space="preserve"> in the Comment Public Notice.</w:t>
      </w:r>
      <w:r w:rsidR="00B65FEB">
        <w:rPr>
          <w:rStyle w:val="FootnoteReference"/>
        </w:rPr>
        <w:footnoteReference w:id="26"/>
      </w:r>
    </w:p>
    <w:p w:rsidR="00981036" w:rsidRDefault="00981036" w:rsidP="0028587E">
      <w:pPr>
        <w:pStyle w:val="ParaNum"/>
        <w:widowControl/>
      </w:pPr>
      <w:r>
        <w:t>On May 1, 2012</w:t>
      </w:r>
      <w:r w:rsidR="0061357B">
        <w:t>,</w:t>
      </w:r>
      <w:r>
        <w:t xml:space="preserve"> Diogenes filed an </w:t>
      </w:r>
      <w:r w:rsidR="0061357B">
        <w:t>a</w:t>
      </w:r>
      <w:r>
        <w:t xml:space="preserve">pplication for </w:t>
      </w:r>
      <w:r w:rsidR="0061357B">
        <w:t>r</w:t>
      </w:r>
      <w:r>
        <w:t>eview</w:t>
      </w:r>
      <w:r w:rsidR="00891EAA">
        <w:t xml:space="preserve"> </w:t>
      </w:r>
      <w:r>
        <w:t>of the</w:t>
      </w:r>
      <w:r w:rsidR="000362F1">
        <w:t xml:space="preserve"> Diogenes Order</w:t>
      </w:r>
      <w:r>
        <w:t>.</w:t>
      </w:r>
      <w:r w:rsidR="00022E65">
        <w:rPr>
          <w:rStyle w:val="FootnoteReference"/>
        </w:rPr>
        <w:footnoteReference w:id="27"/>
      </w:r>
      <w:r>
        <w:t xml:space="preserve">  Diogenes argues that the Bureau erred when it denied Diogenes standing to contest the Assignment Applications, when it found that Diogenes’s Supplement was untimely filed, and when it dismissed Diogenes’s Supplement.</w:t>
      </w:r>
      <w:r w:rsidR="000D6126">
        <w:rPr>
          <w:rStyle w:val="FootnoteReference"/>
        </w:rPr>
        <w:footnoteReference w:id="28"/>
      </w:r>
      <w:r>
        <w:t xml:space="preserve">  AT&amp;T and T-Mobile jointly argue that the Bureau properly found that Diogenes lacks standing, that the Bureau properly found that Diogenes’s Supplement was untimely filed, and that Diogenes impermissibly raises a new </w:t>
      </w:r>
      <w:r w:rsidR="000A3D8F">
        <w:t xml:space="preserve">argument </w:t>
      </w:r>
      <w:r>
        <w:t>for standing in its Second AFR.</w:t>
      </w:r>
      <w:r w:rsidR="000D6126">
        <w:rPr>
          <w:rStyle w:val="FootnoteReference"/>
        </w:rPr>
        <w:footnoteReference w:id="29"/>
      </w:r>
      <w:r w:rsidR="00386473">
        <w:t xml:space="preserve">  They also argue that the</w:t>
      </w:r>
      <w:r w:rsidR="00D50620">
        <w:t xml:space="preserve"> mere conclusion </w:t>
      </w:r>
      <w:r w:rsidR="00386473">
        <w:t xml:space="preserve">in the </w:t>
      </w:r>
      <w:r w:rsidR="00DF533C">
        <w:t>S</w:t>
      </w:r>
      <w:r w:rsidR="00386473">
        <w:t>taff Analysis</w:t>
      </w:r>
      <w:r w:rsidR="001B1D16">
        <w:t xml:space="preserve"> and Findings</w:t>
      </w:r>
      <w:r w:rsidR="005D6FCD">
        <w:rPr>
          <w:rStyle w:val="FootnoteReference"/>
        </w:rPr>
        <w:footnoteReference w:id="30"/>
      </w:r>
      <w:r w:rsidR="00386473">
        <w:t xml:space="preserve"> </w:t>
      </w:r>
      <w:r w:rsidR="00D50620">
        <w:t>of insufficient support for</w:t>
      </w:r>
      <w:r w:rsidR="00386473">
        <w:t xml:space="preserve"> </w:t>
      </w:r>
      <w:r w:rsidR="00D50620">
        <w:t xml:space="preserve">their claims relating to </w:t>
      </w:r>
      <w:r w:rsidR="00386473">
        <w:t xml:space="preserve">AT&amp;T’s spectrum needs </w:t>
      </w:r>
      <w:r w:rsidR="00D50620">
        <w:t>provides no basis for departing from the Commission’s repeated conclusion that AT&amp;T is qualified to control Commission licensees.</w:t>
      </w:r>
      <w:r w:rsidR="00D50620">
        <w:rPr>
          <w:rStyle w:val="FootnoteReference"/>
        </w:rPr>
        <w:footnoteReference w:id="31"/>
      </w:r>
      <w:r w:rsidR="00386473">
        <w:t xml:space="preserve"> </w:t>
      </w:r>
    </w:p>
    <w:p w:rsidR="00981036" w:rsidRDefault="00981036" w:rsidP="0028587E">
      <w:pPr>
        <w:pStyle w:val="Heading1"/>
        <w:widowControl/>
      </w:pPr>
      <w:bookmarkStart w:id="4" w:name="_Toc201370693"/>
      <w:r>
        <w:t>discussion</w:t>
      </w:r>
      <w:bookmarkEnd w:id="4"/>
    </w:p>
    <w:p w:rsidR="00981036" w:rsidRDefault="00CA68F9" w:rsidP="0028587E">
      <w:pPr>
        <w:pStyle w:val="Heading2"/>
      </w:pPr>
      <w:r>
        <w:t xml:space="preserve">Dismissal of the </w:t>
      </w:r>
      <w:r w:rsidR="00981036">
        <w:t>Supplement</w:t>
      </w:r>
    </w:p>
    <w:p w:rsidR="00981036" w:rsidRDefault="000A3D8F" w:rsidP="0028587E">
      <w:pPr>
        <w:pStyle w:val="ParaNum"/>
        <w:widowControl/>
      </w:pPr>
      <w:r>
        <w:t xml:space="preserve">As an initial matter, we find that </w:t>
      </w:r>
      <w:r w:rsidR="001B28C3">
        <w:t>Diogenes has no</w:t>
      </w:r>
      <w:r>
        <w:t>t</w:t>
      </w:r>
      <w:r w:rsidR="001B28C3">
        <w:t xml:space="preserve"> </w:t>
      </w:r>
      <w:r>
        <w:t xml:space="preserve">provided a </w:t>
      </w:r>
      <w:r w:rsidR="001B28C3">
        <w:t xml:space="preserve">basis for concluding </w:t>
      </w:r>
      <w:r w:rsidR="00981036">
        <w:t>that the Bureau</w:t>
      </w:r>
      <w:r w:rsidR="001B28C3">
        <w:t xml:space="preserve"> erred in dismissing</w:t>
      </w:r>
      <w:r w:rsidR="00981036">
        <w:t xml:space="preserve"> the Supplement as untimely filed.  </w:t>
      </w:r>
      <w:r w:rsidR="005D72E3">
        <w:t>T</w:t>
      </w:r>
      <w:r w:rsidR="00E3196B">
        <w:t xml:space="preserve">he filing of the </w:t>
      </w:r>
      <w:r w:rsidR="008E720B">
        <w:t xml:space="preserve">Department of Justice </w:t>
      </w:r>
      <w:r w:rsidR="00E3196B">
        <w:t xml:space="preserve">complaint </w:t>
      </w:r>
      <w:r w:rsidR="008E720B">
        <w:t>against AT&amp;T</w:t>
      </w:r>
      <w:r w:rsidR="00891EAA">
        <w:t xml:space="preserve"> </w:t>
      </w:r>
      <w:r w:rsidR="00E3196B">
        <w:t xml:space="preserve">was widely reported </w:t>
      </w:r>
      <w:r w:rsidR="00A656BF">
        <w:t>on</w:t>
      </w:r>
      <w:r w:rsidR="001B28C3">
        <w:t xml:space="preserve"> March 22, 2012, </w:t>
      </w:r>
      <w:r w:rsidR="00A656BF">
        <w:t>the day it was filed</w:t>
      </w:r>
      <w:r w:rsidR="00E3196B">
        <w:t>.</w:t>
      </w:r>
      <w:r w:rsidR="00E3196B">
        <w:rPr>
          <w:rStyle w:val="FootnoteReference"/>
        </w:rPr>
        <w:footnoteReference w:id="32"/>
      </w:r>
      <w:r w:rsidR="00E3196B">
        <w:t xml:space="preserve">  </w:t>
      </w:r>
      <w:r w:rsidR="00EC6ABA">
        <w:t xml:space="preserve">As noted above, the Comment Public Notice </w:t>
      </w:r>
      <w:r w:rsidR="00C82459">
        <w:t>emphasized the importance  of raising</w:t>
      </w:r>
      <w:r w:rsidR="00EC6ABA">
        <w:t xml:space="preserve"> any new issues o</w:t>
      </w:r>
      <w:r w:rsidR="00C82459">
        <w:t>r</w:t>
      </w:r>
      <w:r w:rsidR="00EC6ABA">
        <w:t xml:space="preserve"> new facts within 15 days after such facts were discovered.</w:t>
      </w:r>
      <w:r w:rsidR="00981036">
        <w:t xml:space="preserve"> </w:t>
      </w:r>
      <w:r w:rsidR="00C82459">
        <w:t xml:space="preserve"> </w:t>
      </w:r>
      <w:r w:rsidR="00981036">
        <w:t>Diogenes did not file the Supplement until April 16, 2012</w:t>
      </w:r>
      <w:r>
        <w:t xml:space="preserve"> –</w:t>
      </w:r>
      <w:r w:rsidR="00B9243C">
        <w:t xml:space="preserve"> </w:t>
      </w:r>
      <w:r w:rsidR="005D6FCD">
        <w:t xml:space="preserve">25 </w:t>
      </w:r>
      <w:r>
        <w:t>days after DOJ’s complaint was filed</w:t>
      </w:r>
      <w:r w:rsidR="00EC6ABA">
        <w:t xml:space="preserve">.  </w:t>
      </w:r>
      <w:r>
        <w:t>Moreover, t</w:t>
      </w:r>
      <w:r w:rsidR="00195D55">
        <w:t>he Supplement consists in large part of a summary of the allegations in the DOJ Complaint</w:t>
      </w:r>
      <w:r>
        <w:t xml:space="preserve"> and does not </w:t>
      </w:r>
      <w:r w:rsidR="00114B89">
        <w:t xml:space="preserve">provide evidence of </w:t>
      </w:r>
      <w:r>
        <w:t>discovery of any new facts</w:t>
      </w:r>
      <w:r w:rsidR="00195D55">
        <w:t>.  Diogenes</w:t>
      </w:r>
      <w:r w:rsidR="0010334C">
        <w:t xml:space="preserve"> made no attempt </w:t>
      </w:r>
      <w:r w:rsidR="00D03835">
        <w:t xml:space="preserve">in its submissions to </w:t>
      </w:r>
      <w:r w:rsidR="00EC6ABA">
        <w:t xml:space="preserve">the Bureau to disclose when it became aware of the filing of </w:t>
      </w:r>
      <w:r>
        <w:t xml:space="preserve">the DOJ </w:t>
      </w:r>
      <w:r w:rsidR="00EC6ABA">
        <w:t>complaint</w:t>
      </w:r>
      <w:r w:rsidR="000C160D">
        <w:t xml:space="preserve"> or the period of time necessary for Diogenes to review it</w:t>
      </w:r>
      <w:r w:rsidR="00195D55">
        <w:t xml:space="preserve"> or prepare the Supplement</w:t>
      </w:r>
      <w:r w:rsidR="00EC6ABA">
        <w:t xml:space="preserve">; rather, </w:t>
      </w:r>
      <w:r w:rsidR="000C160D">
        <w:t>Diogenes</w:t>
      </w:r>
      <w:r w:rsidR="00981036">
        <w:t xml:space="preserve"> state</w:t>
      </w:r>
      <w:r w:rsidR="00891EAA">
        <w:t>d</w:t>
      </w:r>
      <w:r w:rsidR="00981036">
        <w:t xml:space="preserve"> </w:t>
      </w:r>
      <w:r w:rsidR="000C160D">
        <w:t xml:space="preserve">merely </w:t>
      </w:r>
      <w:r w:rsidR="00981036">
        <w:t xml:space="preserve">that “the Commission should consider the time </w:t>
      </w:r>
      <w:r>
        <w:t>[Diogen</w:t>
      </w:r>
      <w:r w:rsidR="009E3A0F">
        <w:t>e</w:t>
      </w:r>
      <w:r>
        <w:t xml:space="preserve">s] </w:t>
      </w:r>
      <w:r w:rsidR="00981036">
        <w:t>took to review and analyze the DOJ Complaint.”</w:t>
      </w:r>
      <w:r w:rsidR="00232D01">
        <w:rPr>
          <w:rStyle w:val="FootnoteReference"/>
        </w:rPr>
        <w:footnoteReference w:id="33"/>
      </w:r>
      <w:r w:rsidR="00981036">
        <w:t xml:space="preserve">  </w:t>
      </w:r>
      <w:r w:rsidR="00093190">
        <w:t xml:space="preserve">Diogenes’ current argument </w:t>
      </w:r>
      <w:r w:rsidR="006B3BB1">
        <w:t xml:space="preserve">simply repeats </w:t>
      </w:r>
      <w:r w:rsidR="00114B89">
        <w:t xml:space="preserve">the </w:t>
      </w:r>
      <w:r w:rsidR="006B3BB1">
        <w:t xml:space="preserve">claim that the issues </w:t>
      </w:r>
      <w:r w:rsidR="00114B89">
        <w:t xml:space="preserve">in the Supplement </w:t>
      </w:r>
      <w:r w:rsidR="006B3BB1">
        <w:t>“were new and newly discovered.”</w:t>
      </w:r>
      <w:r w:rsidR="006B3BB1">
        <w:rPr>
          <w:rStyle w:val="FootnoteReference"/>
        </w:rPr>
        <w:footnoteReference w:id="34"/>
      </w:r>
      <w:r w:rsidR="006B3BB1">
        <w:t xml:space="preserve">  </w:t>
      </w:r>
      <w:r w:rsidR="00114B89">
        <w:t xml:space="preserve">We reject this characterization: The issues raised in the Supplement were neither new nor newly discovered.  </w:t>
      </w:r>
      <w:r w:rsidR="006B3BB1">
        <w:t xml:space="preserve">Given Diogenes’ failure to demonstrate reasonable diligence in complying with our rules designed to ensure timely </w:t>
      </w:r>
      <w:r w:rsidR="00195D55">
        <w:t xml:space="preserve">Commission </w:t>
      </w:r>
      <w:r w:rsidR="006B3BB1">
        <w:t xml:space="preserve">consideration of </w:t>
      </w:r>
      <w:r w:rsidR="00195D55">
        <w:t xml:space="preserve">and action with respect to pending </w:t>
      </w:r>
      <w:r w:rsidR="006B3BB1">
        <w:t xml:space="preserve">transactions, we find no reason to disturb the Bureau’s determination to dismiss the Supplement as untimely filed.  </w:t>
      </w:r>
    </w:p>
    <w:p w:rsidR="00981036" w:rsidRDefault="009E3A0F" w:rsidP="0028587E">
      <w:pPr>
        <w:pStyle w:val="ParaNum"/>
        <w:widowControl/>
      </w:pPr>
      <w:r>
        <w:t>Further</w:t>
      </w:r>
      <w:r w:rsidR="006B3BB1">
        <w:t xml:space="preserve">, and as </w:t>
      </w:r>
      <w:r w:rsidR="00795278">
        <w:t xml:space="preserve">an </w:t>
      </w:r>
      <w:r w:rsidR="006B3BB1">
        <w:t>independent ground for our decision, we determine that Diogenes</w:t>
      </w:r>
      <w:r>
        <w:t>’s Supplement</w:t>
      </w:r>
      <w:r w:rsidR="006B3BB1">
        <w:t xml:space="preserve"> </w:t>
      </w:r>
      <w:r>
        <w:t xml:space="preserve">did not establish standing </w:t>
      </w:r>
      <w:r w:rsidR="006B3BB1">
        <w:t xml:space="preserve">to </w:t>
      </w:r>
      <w:r w:rsidR="00795278">
        <w:t xml:space="preserve">challenge the grant of the Applications </w:t>
      </w:r>
      <w:r w:rsidR="00981036">
        <w:t xml:space="preserve">based on </w:t>
      </w:r>
      <w:r w:rsidR="00093190">
        <w:t xml:space="preserve">AT&amp;T’s </w:t>
      </w:r>
      <w:r w:rsidR="00981036">
        <w:t>alleged violations</w:t>
      </w:r>
      <w:r w:rsidR="00981036" w:rsidRPr="00D658EA">
        <w:t xml:space="preserve"> </w:t>
      </w:r>
      <w:r w:rsidR="00981036">
        <w:t>of the False Claims Act</w:t>
      </w:r>
      <w:r w:rsidR="00195D55">
        <w:t>.  The relief requested by Diogenes in the Supplement was to “immediately stop processing all AT&amp;T applications, and designate AT&amp;T for hearing to determine if it retains the basic qualifications to remain an FCC licensee.”</w:t>
      </w:r>
      <w:r w:rsidR="00195D55">
        <w:rPr>
          <w:rStyle w:val="FootnoteReference"/>
        </w:rPr>
        <w:footnoteReference w:id="35"/>
      </w:r>
      <w:r w:rsidR="00195D55">
        <w:t xml:space="preserve">  As noted below, to the extent it relates to these Assignment Applications, </w:t>
      </w:r>
      <w:r w:rsidR="00E40566">
        <w:t>such relief might ultimately serve to deprive Ms. Laschuk of service as an AT&amp;T customer</w:t>
      </w:r>
      <w:r>
        <w:t xml:space="preserve"> by putting AT&amp;T</w:t>
      </w:r>
      <w:r w:rsidR="00CA68F9">
        <w:t xml:space="preserve"> out of the wireless business</w:t>
      </w:r>
      <w:r w:rsidR="00922D97">
        <w:t>.  D</w:t>
      </w:r>
      <w:r w:rsidR="00E40566">
        <w:t xml:space="preserve">iogenes has </w:t>
      </w:r>
      <w:r w:rsidR="00CA68F9">
        <w:t xml:space="preserve">not </w:t>
      </w:r>
      <w:r w:rsidR="00E40566">
        <w:t>show</w:t>
      </w:r>
      <w:r w:rsidR="00CA68F9">
        <w:t>n</w:t>
      </w:r>
      <w:r w:rsidR="00E40566">
        <w:t xml:space="preserve"> how </w:t>
      </w:r>
      <w:r w:rsidR="00CA68F9">
        <w:t xml:space="preserve">this </w:t>
      </w:r>
      <w:r w:rsidR="00D03835">
        <w:t xml:space="preserve">relief </w:t>
      </w:r>
      <w:r w:rsidR="00E40566">
        <w:t>would</w:t>
      </w:r>
      <w:r w:rsidR="00195D55">
        <w:t xml:space="preserve"> address any</w:t>
      </w:r>
      <w:r w:rsidR="00E40566">
        <w:t xml:space="preserve"> injury to </w:t>
      </w:r>
      <w:r w:rsidR="00CA68F9">
        <w:t xml:space="preserve">Ms. Laschuk </w:t>
      </w:r>
      <w:r w:rsidR="00E40566">
        <w:t>that is cognizable under the Communications Act</w:t>
      </w:r>
      <w:r w:rsidR="00195D55">
        <w:t xml:space="preserve">. </w:t>
      </w:r>
      <w:r w:rsidR="00826A7D">
        <w:t xml:space="preserve"> Here, as in a similar claim by Diogenes that the Commission addressed in connection with the Verizon Wireless-SpectrumCo-Cox and associated applications, </w:t>
      </w:r>
      <w:r w:rsidR="00195D55">
        <w:t xml:space="preserve"> </w:t>
      </w:r>
      <w:r w:rsidR="00826A7D">
        <w:t>its “assertions of harm are wholly speculative, and its underlying premise, even if it were accepted as true, is founded on past events that have no relation to the transactions at issue here.”</w:t>
      </w:r>
      <w:r w:rsidR="00826A7D">
        <w:rPr>
          <w:rStyle w:val="FootnoteReference"/>
        </w:rPr>
        <w:footnoteReference w:id="36"/>
      </w:r>
    </w:p>
    <w:p w:rsidR="00795278" w:rsidRDefault="00795278" w:rsidP="005D6FCD">
      <w:pPr>
        <w:pStyle w:val="ParaNum"/>
        <w:widowControl/>
      </w:pPr>
      <w:r>
        <w:t>Finally, and as a further independent ground for our decision</w:t>
      </w:r>
      <w:r w:rsidR="000C46DF">
        <w:t xml:space="preserve"> to dismiss Diogenes’ Supplement</w:t>
      </w:r>
      <w:r>
        <w:t xml:space="preserve">, we note that the Enforcement Bureau has carefully considered the conduct of AT&amp;T that is the subject of </w:t>
      </w:r>
      <w:r w:rsidR="001539ED">
        <w:t xml:space="preserve">the allegations in the DOJ Complaint described in </w:t>
      </w:r>
      <w:r>
        <w:t>Diogenes’ Supplement</w:t>
      </w:r>
      <w:r w:rsidR="001539ED">
        <w:t xml:space="preserve">, and its effect upon AT&amp;T’s basic qualifications.  </w:t>
      </w:r>
      <w:r w:rsidR="0037731A">
        <w:t>O</w:t>
      </w:r>
      <w:r w:rsidR="001539ED">
        <w:t xml:space="preserve">n May </w:t>
      </w:r>
      <w:r w:rsidR="0037731A">
        <w:t xml:space="preserve">7, </w:t>
      </w:r>
      <w:r w:rsidR="001539ED">
        <w:t xml:space="preserve">2013, the Enforcement Bureau </w:t>
      </w:r>
      <w:r w:rsidR="00E8342D">
        <w:t xml:space="preserve">and AT&amp;T </w:t>
      </w:r>
      <w:r w:rsidR="001539ED">
        <w:t>entered into a Consent Decree.</w:t>
      </w:r>
      <w:r w:rsidR="001539ED">
        <w:rPr>
          <w:rStyle w:val="FootnoteReference"/>
        </w:rPr>
        <w:footnoteReference w:id="37"/>
      </w:r>
      <w:r w:rsidR="001539ED">
        <w:t xml:space="preserve">  That decree notes that it “does not constitute an admission or concession by either party . . . with respect to any claim, allegation, fact, or defense that has or may be asserted, or any relief that has been or may be sought, in” the DOJ Complaint.</w:t>
      </w:r>
      <w:r w:rsidR="004637B0">
        <w:rPr>
          <w:rStyle w:val="FootnoteReference"/>
        </w:rPr>
        <w:footnoteReference w:id="38"/>
      </w:r>
      <w:r w:rsidR="001539ED">
        <w:t xml:space="preserve">  Based on the record of its investigation, and in the absence of material new evidence,</w:t>
      </w:r>
      <w:r w:rsidR="004637B0">
        <w:t xml:space="preserve"> the Enforcement Bureau also issued an order in which</w:t>
      </w:r>
      <w:r w:rsidR="001539ED">
        <w:t xml:space="preserve"> it “conclude[d] that the . . . investigation raises no substantial or material questions of fact as to whether AT&amp;T possesses the basic qualification</w:t>
      </w:r>
      <w:r w:rsidR="00AF550C">
        <w:t>s</w:t>
      </w:r>
      <w:r w:rsidR="001539ED">
        <w:t xml:space="preserve">, including those related to character, to hold or obtain any Commission license or </w:t>
      </w:r>
      <w:r w:rsidR="001539ED" w:rsidRPr="00B9243C">
        <w:t>authorization</w:t>
      </w:r>
      <w:r w:rsidR="001539ED" w:rsidRPr="00B9243C">
        <w:rPr>
          <w:b/>
        </w:rPr>
        <w:t>.”</w:t>
      </w:r>
      <w:r w:rsidR="004637B0" w:rsidRPr="00B9243C">
        <w:rPr>
          <w:rStyle w:val="FootnoteReference"/>
          <w:b/>
        </w:rPr>
        <w:footnoteReference w:id="39"/>
      </w:r>
      <w:r w:rsidR="004637B0" w:rsidRPr="00B9243C">
        <w:rPr>
          <w:b/>
        </w:rPr>
        <w:t xml:space="preserve"> </w:t>
      </w:r>
      <w:r w:rsidR="00E805A5">
        <w:t xml:space="preserve"> </w:t>
      </w:r>
      <w:r w:rsidR="0049785C">
        <w:t>T</w:t>
      </w:r>
      <w:r w:rsidR="00143E02">
        <w:t xml:space="preserve">he Commission will not entertain </w:t>
      </w:r>
      <w:r w:rsidR="0049785C">
        <w:t>what amounts to a</w:t>
      </w:r>
      <w:r w:rsidR="00CA68F9">
        <w:t xml:space="preserve"> </w:t>
      </w:r>
      <w:r w:rsidR="00143E02">
        <w:t>collateral attack against the Order and Consent Decree</w:t>
      </w:r>
      <w:r w:rsidR="0049785C">
        <w:t>.</w:t>
      </w:r>
      <w:r w:rsidR="00AF550C">
        <w:rPr>
          <w:rStyle w:val="FootnoteReference"/>
        </w:rPr>
        <w:footnoteReference w:id="40"/>
      </w:r>
      <w:r w:rsidR="00AF550C">
        <w:t xml:space="preserve">  </w:t>
      </w:r>
      <w:r w:rsidR="00143E02">
        <w:t xml:space="preserve">And </w:t>
      </w:r>
      <w:r w:rsidR="00DA053A">
        <w:t>e</w:t>
      </w:r>
      <w:r w:rsidR="007E7D30">
        <w:t xml:space="preserve">ven if Diogenes’ collateral attack were not foreclosed, Diogenes has never identified any facts beyond those alleged in the DOJ Complaint or identified any other basis for revisiting the </w:t>
      </w:r>
      <w:r w:rsidR="0049785C">
        <w:t>Bureau’s</w:t>
      </w:r>
      <w:r w:rsidR="007E7D30">
        <w:t xml:space="preserve"> considered decision with respect to AT&amp;T’s basic qualifications.</w:t>
      </w:r>
      <w:r w:rsidR="007E7D30">
        <w:rPr>
          <w:rStyle w:val="FootnoteReference"/>
        </w:rPr>
        <w:footnoteReference w:id="41"/>
      </w:r>
      <w:r w:rsidR="00E8342D">
        <w:t xml:space="preserve">  </w:t>
      </w:r>
    </w:p>
    <w:p w:rsidR="00981036" w:rsidRPr="005D3154" w:rsidRDefault="001B28C3" w:rsidP="005D6FCD">
      <w:pPr>
        <w:pStyle w:val="Heading2"/>
      </w:pPr>
      <w:r>
        <w:t xml:space="preserve"> </w:t>
      </w:r>
      <w:r w:rsidR="00981036" w:rsidRPr="005D3154">
        <w:t>Standing</w:t>
      </w:r>
      <w:r w:rsidR="00CA68F9">
        <w:t xml:space="preserve"> to Challenge the Assignment Applications</w:t>
      </w:r>
    </w:p>
    <w:p w:rsidR="00892A14" w:rsidRDefault="00981036" w:rsidP="0028587E">
      <w:pPr>
        <w:pStyle w:val="ParaNum"/>
        <w:widowControl/>
      </w:pPr>
      <w:r>
        <w:t xml:space="preserve">We </w:t>
      </w:r>
      <w:r w:rsidR="00891EAA">
        <w:t xml:space="preserve">agree with </w:t>
      </w:r>
      <w:r>
        <w:t xml:space="preserve">the Bureau </w:t>
      </w:r>
      <w:r w:rsidR="00891EAA">
        <w:t xml:space="preserve">that </w:t>
      </w:r>
      <w:r>
        <w:t xml:space="preserve">Diogenes </w:t>
      </w:r>
      <w:r w:rsidR="00891EAA">
        <w:t xml:space="preserve">has not met its burden of establishing </w:t>
      </w:r>
      <w:r>
        <w:t xml:space="preserve">standing to challenge the Assignment Applications.  </w:t>
      </w:r>
      <w:r w:rsidR="003F0B67">
        <w:t>The Communications Act of 1934, as amended, and the Commission’s rules require that a petition to deny must contain specific allegations of fact sufficient to show that the petitioner is a party in interest.</w:t>
      </w:r>
      <w:r w:rsidR="003F0B67">
        <w:rPr>
          <w:rStyle w:val="FootnoteReference"/>
        </w:rPr>
        <w:footnoteReference w:id="42"/>
      </w:r>
      <w:r w:rsidR="003F0B67">
        <w:t xml:space="preserve">  </w:t>
      </w:r>
      <w:r w:rsidR="00892A14">
        <w:rPr>
          <w:szCs w:val="22"/>
        </w:rPr>
        <w:t>To establish party-in-interest standing to challenge an application, a petitioner must allege facts sufficient to demonstrate that grant of the application would cause it to suffer a direct injury.</w:t>
      </w:r>
      <w:bookmarkStart w:id="5" w:name="_Ref386016382"/>
      <w:r w:rsidR="00892A14">
        <w:rPr>
          <w:rStyle w:val="FootnoteReference"/>
          <w:szCs w:val="22"/>
        </w:rPr>
        <w:footnoteReference w:id="43"/>
      </w:r>
      <w:bookmarkEnd w:id="5"/>
      <w:r w:rsidR="00892A14">
        <w:rPr>
          <w:szCs w:val="22"/>
        </w:rPr>
        <w:t xml:space="preserve">  In addition, petitioners must demonstrate a causal link between the claimed injury and the challenged action.</w:t>
      </w:r>
      <w:r w:rsidR="00892A14">
        <w:rPr>
          <w:rStyle w:val="FootnoteReference"/>
          <w:szCs w:val="22"/>
        </w:rPr>
        <w:footnoteReference w:id="44"/>
      </w:r>
      <w:r w:rsidR="00892A14">
        <w:rPr>
          <w:szCs w:val="22"/>
        </w:rPr>
        <w:t xml:space="preserve">  To demonstrate a causal link, petitioners must establish that the injury can be traced to the challenged action and </w:t>
      </w:r>
      <w:r w:rsidR="00FF5DC3">
        <w:rPr>
          <w:szCs w:val="22"/>
        </w:rPr>
        <w:t xml:space="preserve">that </w:t>
      </w:r>
      <w:r w:rsidR="00892A14">
        <w:rPr>
          <w:szCs w:val="22"/>
        </w:rPr>
        <w:t>the injury would be prevented or redressed by the relief requested.</w:t>
      </w:r>
      <w:r w:rsidR="00892A14">
        <w:rPr>
          <w:rStyle w:val="FootnoteReference"/>
          <w:szCs w:val="22"/>
        </w:rPr>
        <w:footnoteReference w:id="45"/>
      </w:r>
      <w:r w:rsidR="00892A14">
        <w:rPr>
          <w:szCs w:val="22"/>
        </w:rPr>
        <w:t xml:space="preserve">  </w:t>
      </w:r>
      <w:r w:rsidR="00FF5DC3">
        <w:rPr>
          <w:szCs w:val="22"/>
        </w:rPr>
        <w:t>For these purposes, an injury must be both “concrete and particularized” and “actual or imminent, not conjectural or hypothetical.”</w:t>
      </w:r>
      <w:r w:rsidR="00FF5DC3">
        <w:rPr>
          <w:rStyle w:val="FootnoteReference"/>
          <w:szCs w:val="22"/>
        </w:rPr>
        <w:footnoteReference w:id="46"/>
      </w:r>
      <w:r w:rsidR="00FF5DC3">
        <w:rPr>
          <w:szCs w:val="22"/>
        </w:rPr>
        <w:t xml:space="preserve">  </w:t>
      </w:r>
      <w:r w:rsidR="008F1577">
        <w:rPr>
          <w:szCs w:val="22"/>
        </w:rPr>
        <w:t>There must be more than an “objectively reasonable likelihood” of threatened injury; such injury must be “certainly impending.”</w:t>
      </w:r>
      <w:r w:rsidR="008F1577">
        <w:rPr>
          <w:rStyle w:val="FootnoteReference"/>
          <w:szCs w:val="22"/>
        </w:rPr>
        <w:footnoteReference w:id="47"/>
      </w:r>
      <w:r w:rsidR="008F1577">
        <w:rPr>
          <w:szCs w:val="22"/>
        </w:rPr>
        <w:t xml:space="preserve">  </w:t>
      </w:r>
      <w:r w:rsidR="00892A14">
        <w:rPr>
          <w:szCs w:val="22"/>
        </w:rPr>
        <w:t>An organization may meet these standards in its own right or may demonstrate that one or more of its members meets these requirements.</w:t>
      </w:r>
      <w:r w:rsidR="00892A14">
        <w:rPr>
          <w:rStyle w:val="FootnoteReference"/>
          <w:szCs w:val="22"/>
        </w:rPr>
        <w:footnoteReference w:id="48"/>
      </w:r>
    </w:p>
    <w:p w:rsidR="001825B0" w:rsidRDefault="00981036" w:rsidP="0028587E">
      <w:pPr>
        <w:pStyle w:val="ParaNum"/>
        <w:widowControl/>
      </w:pPr>
      <w:r>
        <w:t xml:space="preserve">At the time Diogenes filed its Petition to Deny, it asserted that it had established standing in the AT&amp;T/DT merger proceeding </w:t>
      </w:r>
      <w:r w:rsidR="00CA68F9">
        <w:t xml:space="preserve">in </w:t>
      </w:r>
      <w:r w:rsidR="0001697C">
        <w:t>2011</w:t>
      </w:r>
      <w:r w:rsidR="00CA68F9">
        <w:t xml:space="preserve"> </w:t>
      </w:r>
      <w:r>
        <w:t xml:space="preserve">and that that demonstration </w:t>
      </w:r>
      <w:r w:rsidR="00CA68F9">
        <w:t xml:space="preserve">should be </w:t>
      </w:r>
      <w:r>
        <w:t>“incorporated-by-reference” into this proceeding</w:t>
      </w:r>
      <w:r w:rsidR="00CA68F9">
        <w:t xml:space="preserve"> to establish standing here</w:t>
      </w:r>
      <w:r>
        <w:t>.</w:t>
      </w:r>
      <w:r w:rsidR="00892A14">
        <w:rPr>
          <w:rStyle w:val="FootnoteReference"/>
        </w:rPr>
        <w:footnoteReference w:id="49"/>
      </w:r>
      <w:r>
        <w:t xml:space="preserve"> </w:t>
      </w:r>
      <w:r w:rsidR="00093190">
        <w:t xml:space="preserve"> </w:t>
      </w:r>
      <w:r w:rsidR="00CA68F9">
        <w:t>T</w:t>
      </w:r>
      <w:r>
        <w:t>he Commission</w:t>
      </w:r>
      <w:r w:rsidR="00CA68F9">
        <w:t>, however,</w:t>
      </w:r>
      <w:r>
        <w:t xml:space="preserve"> ruled that Diogenes did not have standing to challenge the AT&amp;T/DT merger proceeding.</w:t>
      </w:r>
      <w:r w:rsidR="00892A14">
        <w:rPr>
          <w:rStyle w:val="FootnoteReference"/>
        </w:rPr>
        <w:footnoteReference w:id="50"/>
      </w:r>
      <w:r>
        <w:t xml:space="preserve">  </w:t>
      </w:r>
      <w:r w:rsidR="00CA68F9">
        <w:t>T</w:t>
      </w:r>
      <w:r w:rsidR="001825B0">
        <w:t xml:space="preserve">herefore </w:t>
      </w:r>
      <w:r w:rsidR="00CA68F9">
        <w:t xml:space="preserve">there is no basis for </w:t>
      </w:r>
      <w:r w:rsidR="005C4BAB">
        <w:t xml:space="preserve">Diogenes’s </w:t>
      </w:r>
      <w:r w:rsidR="00CA68F9">
        <w:t xml:space="preserve">claim that its filings in the </w:t>
      </w:r>
      <w:r w:rsidR="005C4BAB">
        <w:t xml:space="preserve">AT&amp;T/DT merger </w:t>
      </w:r>
      <w:r w:rsidR="00CA68F9">
        <w:t xml:space="preserve">serve </w:t>
      </w:r>
      <w:r w:rsidR="005C4BAB">
        <w:t xml:space="preserve">as a </w:t>
      </w:r>
      <w:r w:rsidR="001825B0">
        <w:t xml:space="preserve">basis for </w:t>
      </w:r>
      <w:r w:rsidR="005C4BAB">
        <w:t xml:space="preserve">establishing </w:t>
      </w:r>
      <w:r w:rsidR="001825B0">
        <w:t>standing</w:t>
      </w:r>
      <w:r w:rsidR="005C4BAB">
        <w:t xml:space="preserve"> here</w:t>
      </w:r>
      <w:r w:rsidR="001825B0">
        <w:t>.</w:t>
      </w:r>
    </w:p>
    <w:p w:rsidR="00172F3C" w:rsidRDefault="001825B0" w:rsidP="005C4BAB">
      <w:pPr>
        <w:pStyle w:val="ParaNum"/>
        <w:widowControl/>
      </w:pPr>
      <w:r>
        <w:t>We also find that Diogenes failed to establish standing based on injury to its members</w:t>
      </w:r>
      <w:r w:rsidR="005C4BAB">
        <w:t xml:space="preserve"> for the following reasons</w:t>
      </w:r>
      <w:r>
        <w:t>.  First</w:t>
      </w:r>
      <w:r w:rsidR="00981036">
        <w:t xml:space="preserve">, the Bureau correctly held that Diogenes did not establish </w:t>
      </w:r>
      <w:r w:rsidR="00172F3C">
        <w:t xml:space="preserve">how </w:t>
      </w:r>
      <w:r w:rsidR="00981036">
        <w:t>Mr. Karren</w:t>
      </w:r>
      <w:r w:rsidR="00FF5DC3">
        <w:t xml:space="preserve">, a T-Mobile customer, </w:t>
      </w:r>
      <w:r w:rsidR="00172F3C">
        <w:t xml:space="preserve">would </w:t>
      </w:r>
      <w:r w:rsidR="00981036">
        <w:t>suffe</w:t>
      </w:r>
      <w:r w:rsidR="000717D0">
        <w:t>r</w:t>
      </w:r>
      <w:r w:rsidR="00981036">
        <w:t xml:space="preserve"> a direct injury as a consequence of </w:t>
      </w:r>
      <w:r w:rsidR="00FF5DC3">
        <w:t xml:space="preserve">granting </w:t>
      </w:r>
      <w:r w:rsidR="00981036">
        <w:t>AT&amp;T</w:t>
      </w:r>
      <w:r w:rsidR="00FF5DC3">
        <w:t>’s</w:t>
      </w:r>
      <w:r w:rsidR="00981036">
        <w:t xml:space="preserve"> </w:t>
      </w:r>
      <w:r w:rsidR="00FF5DC3">
        <w:t xml:space="preserve">application to </w:t>
      </w:r>
      <w:r w:rsidR="00981036">
        <w:t>assign spectrum to T-Mobile.</w:t>
      </w:r>
      <w:r w:rsidR="009F443E">
        <w:rPr>
          <w:rStyle w:val="FootnoteReference"/>
        </w:rPr>
        <w:footnoteReference w:id="51"/>
      </w:r>
      <w:r w:rsidR="00981036">
        <w:t xml:space="preserve">  </w:t>
      </w:r>
      <w:r w:rsidR="00CA68F9">
        <w:t>Without a showing of direct injury, Diogenes failed to meet its burden to establish standing on Mr. Karren’s behalf.</w:t>
      </w:r>
      <w:r w:rsidR="00CA68F9" w:rsidRPr="00CA68F9">
        <w:rPr>
          <w:rStyle w:val="FootnoteReference"/>
          <w:szCs w:val="22"/>
        </w:rPr>
        <w:t xml:space="preserve"> </w:t>
      </w:r>
      <w:r w:rsidR="00CA68F9">
        <w:rPr>
          <w:rStyle w:val="FootnoteReference"/>
          <w:szCs w:val="22"/>
        </w:rPr>
        <w:footnoteReference w:id="52"/>
      </w:r>
    </w:p>
    <w:p w:rsidR="00981036" w:rsidRDefault="00CA68F9" w:rsidP="004F5A39">
      <w:pPr>
        <w:pStyle w:val="ParaNum"/>
      </w:pPr>
      <w:r>
        <w:t>Second, t</w:t>
      </w:r>
      <w:r w:rsidR="00981036">
        <w:t>he Bureau also correctly found that Diogenes did not demonstrate</w:t>
      </w:r>
      <w:r w:rsidR="000C46DF">
        <w:t xml:space="preserve"> </w:t>
      </w:r>
      <w:r w:rsidR="00981036">
        <w:t>that Ms</w:t>
      </w:r>
      <w:r w:rsidR="00FF5DC3">
        <w:t>.</w:t>
      </w:r>
      <w:r w:rsidR="00171B4F">
        <w:t> </w:t>
      </w:r>
      <w:r w:rsidR="00981036">
        <w:t xml:space="preserve">Laschuk </w:t>
      </w:r>
      <w:r w:rsidR="00283AB3">
        <w:t>would be</w:t>
      </w:r>
      <w:r w:rsidR="00981036">
        <w:t xml:space="preserve"> harmed by </w:t>
      </w:r>
      <w:r w:rsidR="00283AB3">
        <w:t xml:space="preserve">Commission approval of </w:t>
      </w:r>
      <w:r w:rsidR="00981036">
        <w:t>the transaction merely because she is an AT&amp;T customer.</w:t>
      </w:r>
      <w:r w:rsidR="00BF5361">
        <w:rPr>
          <w:rStyle w:val="FootnoteReference"/>
        </w:rPr>
        <w:footnoteReference w:id="53"/>
      </w:r>
      <w:r w:rsidR="00981036">
        <w:t xml:space="preserve"> </w:t>
      </w:r>
      <w:r w:rsidR="000717D0">
        <w:t xml:space="preserve"> Diogenes argued in its March Reply that AT&amp;T’s “give away” of valuable spectrum would adversely affect its LTE deployment plan, impairing its ability “to rollout LTE (at least partially)” and thereby cause harm to Ms. Laschuk as an AT&amp;T customer.</w:t>
      </w:r>
      <w:r w:rsidR="000717D0">
        <w:rPr>
          <w:rStyle w:val="FootnoteReference"/>
        </w:rPr>
        <w:footnoteReference w:id="54"/>
      </w:r>
      <w:r w:rsidR="000717D0">
        <w:t xml:space="preserve">  T</w:t>
      </w:r>
      <w:r w:rsidR="000717D0" w:rsidRPr="000717D0">
        <w:t>he Bureau held that</w:t>
      </w:r>
      <w:r w:rsidR="000717D0">
        <w:t>, assuming that Diogenes could meet the injury-in-fact</w:t>
      </w:r>
      <w:r w:rsidR="000717D0" w:rsidRPr="000717D0">
        <w:t xml:space="preserve"> </w:t>
      </w:r>
      <w:r w:rsidR="000717D0">
        <w:t>and causation prongs of the standing test</w:t>
      </w:r>
      <w:r w:rsidR="00487797">
        <w:t xml:space="preserve"> under this argument</w:t>
      </w:r>
      <w:r w:rsidR="000717D0">
        <w:t xml:space="preserve">, </w:t>
      </w:r>
      <w:r w:rsidR="000717D0" w:rsidRPr="000717D0">
        <w:t>Diogenes did not demonstrate</w:t>
      </w:r>
      <w:r w:rsidR="000717D0">
        <w:t xml:space="preserve"> </w:t>
      </w:r>
      <w:r w:rsidR="000717D0" w:rsidRPr="000717D0">
        <w:t>how an injury to Ms. Laschuk would be redressed by holding an evidentiary hearing to determine whether AT&amp;T and T-Mobile possess the requisite character qualifications to remain FCC licensees</w:t>
      </w:r>
      <w:r w:rsidR="000717D0">
        <w:t>.</w:t>
      </w:r>
      <w:r w:rsidR="000717D0">
        <w:rPr>
          <w:rStyle w:val="FootnoteReference"/>
        </w:rPr>
        <w:footnoteReference w:id="55"/>
      </w:r>
      <w:r w:rsidR="000717D0">
        <w:t xml:space="preserve">  The Bureau noted, “The requested hearing and potential revocation of all licenses held by AT&amp;T and T-Mobile USA would potentially put both AT&amp;T and T</w:t>
      </w:r>
      <w:r w:rsidR="00171B4F">
        <w:noBreakHyphen/>
      </w:r>
      <w:r w:rsidR="000717D0">
        <w:t>Mobile out of the wireless business in the United States, a result that would not provide any relief for the alleged injuries to Diogenes’ members.”</w:t>
      </w:r>
      <w:r w:rsidR="000717D0">
        <w:rPr>
          <w:rStyle w:val="FootnoteReference"/>
        </w:rPr>
        <w:footnoteReference w:id="56"/>
      </w:r>
      <w:r w:rsidR="005C4BAB">
        <w:t xml:space="preserve">  </w:t>
      </w:r>
      <w:r>
        <w:t xml:space="preserve">We agree with this conclusion.  </w:t>
      </w:r>
      <w:r w:rsidR="005C4BAB">
        <w:t>Because Diogenes did not show how alleged injury to Ms. Laschuk could be redressed</w:t>
      </w:r>
      <w:r>
        <w:t xml:space="preserve"> with the relief it sought</w:t>
      </w:r>
      <w:r w:rsidR="005C4BAB">
        <w:t xml:space="preserve">, </w:t>
      </w:r>
      <w:r w:rsidR="009E3A0F">
        <w:t xml:space="preserve">the Bureau </w:t>
      </w:r>
      <w:r>
        <w:t xml:space="preserve">correctly </w:t>
      </w:r>
      <w:r w:rsidR="009E3A0F">
        <w:t xml:space="preserve">found </w:t>
      </w:r>
      <w:r>
        <w:t xml:space="preserve">that </w:t>
      </w:r>
      <w:r w:rsidR="005C4BAB">
        <w:t>Diogenes failed to establish standing</w:t>
      </w:r>
      <w:r w:rsidR="009E3A0F">
        <w:t xml:space="preserve"> on her behalf.</w:t>
      </w:r>
    </w:p>
    <w:p w:rsidR="00981036" w:rsidRDefault="009E3A0F" w:rsidP="0028587E">
      <w:pPr>
        <w:pStyle w:val="ParaNum"/>
        <w:widowControl/>
      </w:pPr>
      <w:r>
        <w:t xml:space="preserve">In response, </w:t>
      </w:r>
      <w:r w:rsidR="00981036">
        <w:t xml:space="preserve">Diogenes argues that the Bureau’s logic is flawed because the Bureau considered only one outcome of an evidentiary hearing – license revocation – while Diogenes argues that revocation of AT&amp;T’s and T-Mobile’s licenses is </w:t>
      </w:r>
      <w:r w:rsidR="001A3A4E">
        <w:t xml:space="preserve">not the only possible </w:t>
      </w:r>
      <w:r w:rsidR="00981036">
        <w:t>outcome of an evidentiary hearing.</w:t>
      </w:r>
      <w:r w:rsidR="00690F87">
        <w:rPr>
          <w:rStyle w:val="FootnoteReference"/>
        </w:rPr>
        <w:footnoteReference w:id="57"/>
      </w:r>
      <w:r w:rsidR="00981036">
        <w:t xml:space="preserve">  </w:t>
      </w:r>
      <w:r w:rsidR="00283AB3">
        <w:t>However, where the requested relief centers on Commission action that allows third parties allegedly to injure Diogenes, it has a heightened burden to adduce facts that demonstrate the causal link, showing that its claimed injury will likely be redeemed by the relief sought.</w:t>
      </w:r>
      <w:r w:rsidR="00283AB3">
        <w:rPr>
          <w:rStyle w:val="FootnoteReference"/>
        </w:rPr>
        <w:footnoteReference w:id="58"/>
      </w:r>
      <w:r w:rsidR="00283AB3">
        <w:t xml:space="preserve">  Thus</w:t>
      </w:r>
      <w:r w:rsidR="00981036">
        <w:t xml:space="preserve">, the burden is on Diogenes to show </w:t>
      </w:r>
      <w:r w:rsidR="00283AB3">
        <w:t>why it is likely that a particular outcome</w:t>
      </w:r>
      <w:r w:rsidR="00981036">
        <w:t xml:space="preserve"> of an evidentiary hearing </w:t>
      </w:r>
      <w:r w:rsidR="00A656BF">
        <w:t xml:space="preserve">could </w:t>
      </w:r>
      <w:r w:rsidR="00981036">
        <w:t>redress Ms.</w:t>
      </w:r>
      <w:r w:rsidR="00171B4F">
        <w:t> </w:t>
      </w:r>
      <w:r w:rsidR="00981036">
        <w:t>Laschuk’s</w:t>
      </w:r>
      <w:r w:rsidR="00A656BF">
        <w:t xml:space="preserve"> </w:t>
      </w:r>
      <w:r w:rsidR="00283AB3">
        <w:t>alleged</w:t>
      </w:r>
      <w:r w:rsidR="00981036">
        <w:t xml:space="preserve"> injury</w:t>
      </w:r>
      <w:r w:rsidR="00A656BF">
        <w:t xml:space="preserve"> </w:t>
      </w:r>
      <w:r w:rsidR="00283AB3">
        <w:t>relating to</w:t>
      </w:r>
      <w:r w:rsidR="00A656BF">
        <w:t xml:space="preserve"> AT&amp;T’s </w:t>
      </w:r>
      <w:r w:rsidR="00283AB3">
        <w:t xml:space="preserve">future </w:t>
      </w:r>
      <w:r w:rsidR="00A656BF">
        <w:t>LTE deployment</w:t>
      </w:r>
      <w:r w:rsidR="00981036">
        <w:t>.</w:t>
      </w:r>
      <w:r w:rsidR="00C704F7">
        <w:rPr>
          <w:rStyle w:val="FootnoteReference"/>
          <w:szCs w:val="22"/>
        </w:rPr>
        <w:footnoteReference w:id="59"/>
      </w:r>
      <w:r w:rsidR="00981036">
        <w:t xml:space="preserve">  Diogenes does not do so.  </w:t>
      </w:r>
      <w:r w:rsidR="00E7006B">
        <w:t>It argues only that “a variety of outcomes was possible.”</w:t>
      </w:r>
      <w:r w:rsidR="00E7006B">
        <w:rPr>
          <w:rStyle w:val="FootnoteReference"/>
        </w:rPr>
        <w:footnoteReference w:id="60"/>
      </w:r>
      <w:r w:rsidR="00E7006B">
        <w:t xml:space="preserve">  </w:t>
      </w:r>
      <w:r w:rsidR="000C46DF">
        <w:t>Thus, w</w:t>
      </w:r>
      <w:r w:rsidR="00981036">
        <w:t>e agree with the Bureau that revoking AT&amp;T’s and T-Mobile’s licenses would not provide any redress to Mr. Karren or Ms. Laschuk</w:t>
      </w:r>
      <w:r w:rsidR="005F620B">
        <w:t>, and</w:t>
      </w:r>
      <w:r w:rsidR="00E7006B">
        <w:t xml:space="preserve"> conclude</w:t>
      </w:r>
      <w:r w:rsidR="005F620B">
        <w:t xml:space="preserve"> that</w:t>
      </w:r>
      <w:r w:rsidR="00E7006B">
        <w:t xml:space="preserve"> </w:t>
      </w:r>
      <w:r w:rsidR="005F620B">
        <w:t xml:space="preserve">Diogenes has failed to satisfy its burden of demonstrating that grant of </w:t>
      </w:r>
      <w:r w:rsidR="00E7006B">
        <w:t xml:space="preserve">some form of </w:t>
      </w:r>
      <w:r w:rsidR="005F620B">
        <w:t>the relief it expressly requested would address its alleged injury</w:t>
      </w:r>
      <w:r w:rsidR="00AF52F2">
        <w:t>.</w:t>
      </w:r>
      <w:r w:rsidR="000717D0">
        <w:t xml:space="preserve"> </w:t>
      </w:r>
    </w:p>
    <w:p w:rsidR="000A0615" w:rsidRDefault="00C27FA7" w:rsidP="000717D0">
      <w:pPr>
        <w:pStyle w:val="ParaNum"/>
        <w:widowControl/>
      </w:pPr>
      <w:r>
        <w:t>T</w:t>
      </w:r>
      <w:r w:rsidR="000A0615">
        <w:t xml:space="preserve">he Bureau did not </w:t>
      </w:r>
      <w:r w:rsidR="005D72E3">
        <w:t xml:space="preserve">decide </w:t>
      </w:r>
      <w:r w:rsidR="000A0615">
        <w:t>whether Diogenes showed a direct injury</w:t>
      </w:r>
      <w:r>
        <w:t>-in-fact</w:t>
      </w:r>
      <w:r w:rsidR="000A0615">
        <w:t>.</w:t>
      </w:r>
      <w:r>
        <w:rPr>
          <w:rStyle w:val="FootnoteReference"/>
        </w:rPr>
        <w:footnoteReference w:id="61"/>
      </w:r>
      <w:r w:rsidR="000A0615">
        <w:t xml:space="preserve">  </w:t>
      </w:r>
      <w:r>
        <w:t xml:space="preserve">After reviewing the record, we conclude that Diogenes </w:t>
      </w:r>
      <w:r w:rsidR="000717D0">
        <w:t xml:space="preserve">also </w:t>
      </w:r>
      <w:r>
        <w:t xml:space="preserve">failed to meet its burden of demonstrating an injury-in-fact.  </w:t>
      </w:r>
      <w:r w:rsidR="005F620B">
        <w:t>As noted above, a</w:t>
      </w:r>
      <w:r>
        <w:t xml:space="preserve"> petition to deny must contain specific allegations of fact sufficient to </w:t>
      </w:r>
      <w:r w:rsidR="005F620B">
        <w:t>show</w:t>
      </w:r>
      <w:r>
        <w:t xml:space="preserve"> that the petitioner is a party in interest.  Those factual allegations must be supported by affidavits of a person with personal knowledge of the facts, unless official notice can be taken of the facts in question.</w:t>
      </w:r>
      <w:r>
        <w:rPr>
          <w:rStyle w:val="FootnoteReference"/>
        </w:rPr>
        <w:footnoteReference w:id="62"/>
      </w:r>
      <w:r>
        <w:t xml:space="preserve">  </w:t>
      </w:r>
      <w:r w:rsidR="00A656BF">
        <w:t>As noted above, i</w:t>
      </w:r>
      <w:r w:rsidR="000A0615">
        <w:t xml:space="preserve">n its March </w:t>
      </w:r>
      <w:r w:rsidR="000A0615" w:rsidRPr="00346A39">
        <w:t>Reply</w:t>
      </w:r>
      <w:r w:rsidR="000A0615">
        <w:t>, Diogenes argued that Ms. Laschuk would be harmed by AT&amp;T “giving away” valuable spectrum because this “give away” of spectrum would adversely affect AT&amp;T’s LTE deployment plan and impair its ability to rollout LTE (at least partially).</w:t>
      </w:r>
      <w:r w:rsidR="000A0615">
        <w:rPr>
          <w:rStyle w:val="FootnoteReference"/>
        </w:rPr>
        <w:footnoteReference w:id="63"/>
      </w:r>
      <w:r w:rsidR="000A0615">
        <w:t xml:space="preserve">  We find</w:t>
      </w:r>
      <w:r>
        <w:t xml:space="preserve"> that these claims are insufficiently supported to demonstrate a direct injury-in-fact.  In her declaration, Ms. Laschuk merely states that she lives in Colts Neck, New Jersey and that she is an AT&amp;T subscriber.</w:t>
      </w:r>
      <w:r>
        <w:rPr>
          <w:rStyle w:val="FootnoteReference"/>
        </w:rPr>
        <w:footnoteReference w:id="64"/>
      </w:r>
      <w:r>
        <w:t xml:space="preserve">  </w:t>
      </w:r>
      <w:r w:rsidR="008E720B">
        <w:t xml:space="preserve">Ms. Laschuk </w:t>
      </w:r>
      <w:r>
        <w:t>does not claim that she uses AT&amp;T service in an area covered by any of the licenses in question</w:t>
      </w:r>
      <w:r w:rsidR="008E720B">
        <w:t>, and she does not express any interest in obtaining LTE service from AT&amp;T</w:t>
      </w:r>
      <w:r>
        <w:t>.</w:t>
      </w:r>
      <w:r>
        <w:rPr>
          <w:rStyle w:val="FootnoteReference"/>
        </w:rPr>
        <w:footnoteReference w:id="65"/>
      </w:r>
      <w:r>
        <w:t xml:space="preserve">  </w:t>
      </w:r>
      <w:r w:rsidR="00AF52F2">
        <w:t>As the Bureau also noted, Diogenes’ only basis for concluding that the assignment of AT&amp;T’s licenses might injure Ms.</w:t>
      </w:r>
      <w:r w:rsidR="00171B4F">
        <w:t> </w:t>
      </w:r>
      <w:r w:rsidR="00AF52F2">
        <w:t>Laschuk was the argument that AT&amp;T was facing a spectrum crunch that threatened to prevent it from deploying LTE throughout all of its footprint.</w:t>
      </w:r>
      <w:r w:rsidR="00AF52F2">
        <w:rPr>
          <w:rStyle w:val="FootnoteReference"/>
        </w:rPr>
        <w:footnoteReference w:id="66"/>
      </w:r>
      <w:r w:rsidR="00AF52F2">
        <w:t xml:space="preserve">  But at the same time Diogenes itself expressly repudiated that view.</w:t>
      </w:r>
      <w:r w:rsidR="00AF52F2">
        <w:rPr>
          <w:rStyle w:val="FootnoteReference"/>
        </w:rPr>
        <w:footnoteReference w:id="67"/>
      </w:r>
      <w:r w:rsidR="00AF52F2">
        <w:t xml:space="preserve">  In any event, the question of whether AT&amp;T faced a spectrum crunch in seeking to acquire T-Mobile is a very different one from whether its subsequent agreement to assign specific AWS-1 licenses to T-Mobile’s license subsidiary would affect its LTE capability in the particular areas served by those licenses.</w:t>
      </w:r>
      <w:r w:rsidR="00880885">
        <w:t xml:space="preserve">  In these circumstances</w:t>
      </w:r>
      <w:r w:rsidR="000A0615">
        <w:t xml:space="preserve">, we conclude that Diogenes </w:t>
      </w:r>
      <w:r w:rsidR="00E7006B">
        <w:t xml:space="preserve">also </w:t>
      </w:r>
      <w:r w:rsidR="000717D0">
        <w:t>failed to meet its burden of establishing a</w:t>
      </w:r>
      <w:r w:rsidR="001567C1">
        <w:t xml:space="preserve"> “certainly impending”</w:t>
      </w:r>
      <w:r w:rsidR="000717D0">
        <w:t xml:space="preserve"> injury-in-fact </w:t>
      </w:r>
      <w:r w:rsidR="00563CDE">
        <w:t>to Ms. Laschuk</w:t>
      </w:r>
      <w:r w:rsidR="007D5A2A">
        <w:t xml:space="preserve">, </w:t>
      </w:r>
      <w:r w:rsidR="001567C1">
        <w:t>or even an “objectively reasonable likelihood”</w:t>
      </w:r>
      <w:r w:rsidR="00880885">
        <w:t xml:space="preserve"> of one.</w:t>
      </w:r>
      <w:r w:rsidR="001567C1">
        <w:rPr>
          <w:rStyle w:val="FootnoteReference"/>
        </w:rPr>
        <w:footnoteReference w:id="68"/>
      </w:r>
    </w:p>
    <w:p w:rsidR="00981036" w:rsidRDefault="00981036" w:rsidP="0028587E">
      <w:pPr>
        <w:pStyle w:val="Heading1"/>
        <w:widowControl/>
      </w:pPr>
      <w:bookmarkStart w:id="6" w:name="_Toc201370694"/>
      <w:r>
        <w:t>conclusion and ordering clauses</w:t>
      </w:r>
      <w:bookmarkEnd w:id="6"/>
    </w:p>
    <w:p w:rsidR="0054284B" w:rsidRDefault="00BF4BB6" w:rsidP="0028587E">
      <w:pPr>
        <w:pStyle w:val="ParaNum"/>
        <w:widowControl/>
      </w:pPr>
      <w:r>
        <w:t>For the reasons stated above, we affirm t</w:t>
      </w:r>
      <w:r w:rsidR="00981036">
        <w:t xml:space="preserve">he </w:t>
      </w:r>
      <w:r>
        <w:t xml:space="preserve">Bureau’s </w:t>
      </w:r>
      <w:r w:rsidR="00981036">
        <w:t>decision to dismiss Diogenes’s Petition to Deny</w:t>
      </w:r>
      <w:r>
        <w:t>, and</w:t>
      </w:r>
      <w:r w:rsidR="00A656BF">
        <w:t xml:space="preserve"> the Bureau’s decision to dismiss Diogenes’ Supplement.  </w:t>
      </w:r>
      <w:r w:rsidR="00981036">
        <w:t>Accordingly</w:t>
      </w:r>
      <w:r w:rsidR="00981036" w:rsidRPr="00131DBB">
        <w:t xml:space="preserve">, we </w:t>
      </w:r>
      <w:r w:rsidR="00981036">
        <w:t>deny</w:t>
      </w:r>
      <w:r w:rsidR="00981036" w:rsidRPr="00131DBB">
        <w:t xml:space="preserve"> </w:t>
      </w:r>
      <w:r w:rsidR="00981036">
        <w:t xml:space="preserve">the Diogenes </w:t>
      </w:r>
      <w:r w:rsidR="0061357B">
        <w:t>a</w:t>
      </w:r>
      <w:r w:rsidR="00981036">
        <w:t xml:space="preserve">pplication for </w:t>
      </w:r>
      <w:r w:rsidR="0061357B">
        <w:t>r</w:t>
      </w:r>
      <w:r w:rsidR="00981036">
        <w:t>eview.</w:t>
      </w:r>
    </w:p>
    <w:p w:rsidR="0054284B" w:rsidRDefault="0054284B">
      <w:pPr>
        <w:widowControl/>
      </w:pPr>
      <w:r>
        <w:br w:type="page"/>
      </w:r>
    </w:p>
    <w:p w:rsidR="00981036" w:rsidRPr="0028587E" w:rsidRDefault="00487797" w:rsidP="0028587E">
      <w:pPr>
        <w:pStyle w:val="ParaNum"/>
        <w:widowControl/>
        <w:rPr>
          <w:szCs w:val="22"/>
        </w:rPr>
      </w:pPr>
      <w:r>
        <w:t xml:space="preserve">ACCORDINGLY, IT IS ORDERED that pursuant to Section 4(i) and 5(c)(5) of the Communications Act of 1934, as amended, 47 U.S.C. §§ 154(i), 155(c)(5), and Section 1.115 of the Commission’s Rules, 47 C.F.R. § 1.115, the Application for Review </w:t>
      </w:r>
      <w:r w:rsidR="00EB5D0A">
        <w:t>filed by t</w:t>
      </w:r>
      <w:r w:rsidR="00981036">
        <w:t xml:space="preserve">he Diogenes Telecommunications Project on </w:t>
      </w:r>
      <w:r>
        <w:t>May 1</w:t>
      </w:r>
      <w:r w:rsidR="00981036">
        <w:t>, 2012</w:t>
      </w:r>
      <w:r w:rsidR="00BF4BB6">
        <w:t>,</w:t>
      </w:r>
      <w:r>
        <w:t xml:space="preserve"> IS DENIED</w:t>
      </w:r>
      <w:r w:rsidR="00981036">
        <w:t>.</w:t>
      </w:r>
    </w:p>
    <w:p w:rsidR="0028587E" w:rsidRPr="008233DA" w:rsidRDefault="0028587E" w:rsidP="0028587E">
      <w:pPr>
        <w:pStyle w:val="ParaNum"/>
        <w:widowControl/>
        <w:numPr>
          <w:ilvl w:val="0"/>
          <w:numId w:val="0"/>
        </w:numPr>
        <w:rPr>
          <w:szCs w:val="22"/>
        </w:rPr>
      </w:pPr>
    </w:p>
    <w:p w:rsidR="00EB2CDE" w:rsidRDefault="00981036" w:rsidP="0017296B">
      <w:r>
        <w:tab/>
      </w:r>
      <w:r>
        <w:tab/>
      </w:r>
      <w:r>
        <w:tab/>
      </w:r>
      <w:r>
        <w:tab/>
      </w:r>
      <w:r>
        <w:tab/>
      </w:r>
      <w:r>
        <w:tab/>
      </w:r>
      <w:r w:rsidR="00EB2CDE">
        <w:tab/>
      </w:r>
      <w:r w:rsidR="00EB2CDE">
        <w:tab/>
      </w:r>
      <w:r w:rsidR="00EB2CDE">
        <w:tab/>
      </w:r>
      <w:r w:rsidR="00EB2CDE">
        <w:tab/>
      </w:r>
      <w:r w:rsidR="00EB2CDE">
        <w:tab/>
      </w:r>
      <w:r w:rsidR="00EB2CDE">
        <w:tab/>
      </w:r>
      <w:r w:rsidR="00EB2CDE">
        <w:tab/>
      </w:r>
      <w:r w:rsidR="00EB2CDE">
        <w:tab/>
      </w:r>
      <w:r w:rsidR="00EB2CDE">
        <w:tab/>
      </w:r>
      <w:r w:rsidR="00EB2CDE">
        <w:tab/>
      </w:r>
      <w:r w:rsidR="00EB2CDE">
        <w:tab/>
      </w:r>
      <w:r w:rsidR="00EB2CDE">
        <w:tab/>
        <w:t>FEDERAL COMMUNICATIONS COMMISSION</w:t>
      </w:r>
    </w:p>
    <w:p w:rsidR="00EB2CDE" w:rsidRDefault="00EB2CDE" w:rsidP="0017296B"/>
    <w:p w:rsidR="00EB2CDE" w:rsidRDefault="00EB2CDE" w:rsidP="0017296B"/>
    <w:p w:rsidR="00EB2CDE" w:rsidRDefault="00EB2CDE" w:rsidP="0017296B"/>
    <w:p w:rsidR="00EB2CDE" w:rsidRDefault="00EB2CDE" w:rsidP="0017296B"/>
    <w:p w:rsidR="00EB2CDE" w:rsidRDefault="00EB2CDE" w:rsidP="0017296B">
      <w:r>
        <w:tab/>
      </w:r>
      <w:r>
        <w:tab/>
      </w:r>
      <w:r>
        <w:tab/>
      </w:r>
      <w:r>
        <w:tab/>
      </w:r>
      <w:r>
        <w:tab/>
        <w:t>Marlene H. Dortch</w:t>
      </w:r>
    </w:p>
    <w:p w:rsidR="00EB2CDE" w:rsidRDefault="00EB2CDE" w:rsidP="0017296B">
      <w:r>
        <w:tab/>
      </w:r>
      <w:r>
        <w:tab/>
      </w:r>
      <w:r>
        <w:tab/>
      </w:r>
      <w:r>
        <w:tab/>
      </w:r>
      <w:r>
        <w:tab/>
        <w:t>Secretary</w:t>
      </w:r>
    </w:p>
    <w:p w:rsidR="00981036" w:rsidRDefault="00981036" w:rsidP="001D3D9F"/>
    <w:sectPr w:rsidR="0098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DD" w:rsidRDefault="00FD13DD">
      <w:r>
        <w:separator/>
      </w:r>
    </w:p>
  </w:endnote>
  <w:endnote w:type="continuationSeparator" w:id="0">
    <w:p w:rsidR="00FD13DD" w:rsidRDefault="00F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01" w:rsidRDefault="00CD4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91" w:rsidRDefault="001C2E91">
    <w:pPr>
      <w:pStyle w:val="Footer"/>
      <w:jc w:val="center"/>
    </w:pPr>
    <w:r>
      <w:rPr>
        <w:rStyle w:val="PageNumber"/>
      </w:rPr>
      <w:fldChar w:fldCharType="begin"/>
    </w:r>
    <w:r>
      <w:rPr>
        <w:rStyle w:val="PageNumber"/>
      </w:rPr>
      <w:instrText xml:space="preserve"> PAGE </w:instrText>
    </w:r>
    <w:r>
      <w:rPr>
        <w:rStyle w:val="PageNumber"/>
      </w:rPr>
      <w:fldChar w:fldCharType="separate"/>
    </w:r>
    <w:r w:rsidR="00DA5F6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01" w:rsidRDefault="00CD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DD" w:rsidRDefault="00FD13DD">
      <w:pPr>
        <w:rPr>
          <w:sz w:val="20"/>
        </w:rPr>
      </w:pPr>
      <w:r>
        <w:rPr>
          <w:sz w:val="20"/>
        </w:rPr>
        <w:separator/>
      </w:r>
    </w:p>
  </w:footnote>
  <w:footnote w:type="continuationSeparator" w:id="0">
    <w:p w:rsidR="00FD13DD" w:rsidRDefault="00FD13DD">
      <w:pPr>
        <w:rPr>
          <w:sz w:val="20"/>
        </w:rPr>
      </w:pPr>
      <w:r>
        <w:rPr>
          <w:sz w:val="20"/>
        </w:rPr>
        <w:separator/>
      </w:r>
    </w:p>
    <w:p w:rsidR="00FD13DD" w:rsidRDefault="00FD13DD">
      <w:pPr>
        <w:rPr>
          <w:sz w:val="20"/>
        </w:rPr>
      </w:pPr>
      <w:r>
        <w:rPr>
          <w:sz w:val="20"/>
        </w:rPr>
        <w:t>(...continued from previous page)</w:t>
      </w:r>
    </w:p>
  </w:footnote>
  <w:footnote w:type="continuationNotice" w:id="1">
    <w:p w:rsidR="00FD13DD" w:rsidRDefault="00FD13DD">
      <w:pPr>
        <w:jc w:val="right"/>
        <w:rPr>
          <w:sz w:val="20"/>
        </w:rPr>
      </w:pPr>
      <w:r>
        <w:rPr>
          <w:sz w:val="20"/>
        </w:rPr>
        <w:t>(continued....)</w:t>
      </w:r>
    </w:p>
  </w:footnote>
  <w:footnote w:id="2">
    <w:p w:rsidR="001C2E91" w:rsidRDefault="001C2E91" w:rsidP="00807503">
      <w:pPr>
        <w:pStyle w:val="FootnoteText"/>
      </w:pPr>
      <w:r>
        <w:rPr>
          <w:rStyle w:val="FootnoteReference"/>
        </w:rPr>
        <w:footnoteRef/>
      </w:r>
      <w:r>
        <w:t xml:space="preserve"> </w:t>
      </w:r>
      <w:r>
        <w:rPr>
          <w:i/>
        </w:rPr>
        <w:t xml:space="preserve">See </w:t>
      </w:r>
      <w:r w:rsidRPr="00012438">
        <w:t>WT Docket No. 11-65</w:t>
      </w:r>
      <w:r>
        <w:t xml:space="preserve">.  </w:t>
      </w:r>
    </w:p>
  </w:footnote>
  <w:footnote w:id="3">
    <w:p w:rsidR="001C2E91" w:rsidRDefault="001C2E91">
      <w:pPr>
        <w:pStyle w:val="FootnoteText"/>
      </w:pPr>
      <w:r>
        <w:rPr>
          <w:rStyle w:val="FootnoteReference"/>
        </w:rPr>
        <w:footnoteRef/>
      </w:r>
      <w:r>
        <w:t xml:space="preserve"> </w:t>
      </w:r>
      <w:r>
        <w:rPr>
          <w:i/>
        </w:rPr>
        <w:t xml:space="preserve">See </w:t>
      </w:r>
      <w:r>
        <w:t xml:space="preserve">Applications of AT&amp;T Inc. and Deutsche Telecom AG, WT Docket No. 11-65, </w:t>
      </w:r>
      <w:r>
        <w:rPr>
          <w:i/>
        </w:rPr>
        <w:t xml:space="preserve"> Order, </w:t>
      </w:r>
      <w:r>
        <w:t xml:space="preserve">26 FCC Rcd 16184 ¶ </w:t>
      </w:r>
      <w:r w:rsidR="00864B99">
        <w:t>1</w:t>
      </w:r>
      <w:r>
        <w:t xml:space="preserve"> (WTB 2011) (“AT&amp;T-T-Mobile Dismissal Order”).</w:t>
      </w:r>
    </w:p>
  </w:footnote>
  <w:footnote w:id="4">
    <w:p w:rsidR="001C2E91" w:rsidRDefault="001C2E91">
      <w:pPr>
        <w:pStyle w:val="FootnoteText"/>
      </w:pPr>
      <w:r>
        <w:rPr>
          <w:rStyle w:val="FootnoteReference"/>
        </w:rPr>
        <w:footnoteRef/>
      </w:r>
      <w:r>
        <w:t xml:space="preserve"> Petition to Deny, The Diogenes Telecommunications Project</w:t>
      </w:r>
      <w:r w:rsidR="0061357B">
        <w:t>, WT Docket No. 11-65</w:t>
      </w:r>
      <w:r>
        <w:t xml:space="preserve"> (filed May 31, 2011).</w:t>
      </w:r>
    </w:p>
  </w:footnote>
  <w:footnote w:id="5">
    <w:p w:rsidR="0099779F" w:rsidRPr="0099779F" w:rsidRDefault="0099779F">
      <w:pPr>
        <w:pStyle w:val="FootnoteText"/>
      </w:pPr>
      <w:r>
        <w:rPr>
          <w:rStyle w:val="FootnoteReference"/>
        </w:rPr>
        <w:footnoteRef/>
      </w:r>
      <w:r>
        <w:t xml:space="preserve"> </w:t>
      </w:r>
      <w:r>
        <w:rPr>
          <w:i/>
        </w:rPr>
        <w:t>Id.</w:t>
      </w:r>
      <w:r w:rsidR="000C2E58">
        <w:rPr>
          <w:i/>
        </w:rPr>
        <w:t xml:space="preserve"> </w:t>
      </w:r>
      <w:r w:rsidR="000C2E58">
        <w:t>(</w:t>
      </w:r>
      <w:r>
        <w:t>Declaration of Scott Karren at 1</w:t>
      </w:r>
      <w:r w:rsidR="000C2E58">
        <w:t>)</w:t>
      </w:r>
      <w:r>
        <w:t>.</w:t>
      </w:r>
    </w:p>
  </w:footnote>
  <w:footnote w:id="6">
    <w:p w:rsidR="001C2E91" w:rsidRPr="00DF533C" w:rsidRDefault="001C2E91" w:rsidP="0028587E">
      <w:pPr>
        <w:pStyle w:val="FootnoteText"/>
      </w:pPr>
      <w:r>
        <w:rPr>
          <w:rStyle w:val="FootnoteReference"/>
        </w:rPr>
        <w:footnoteRef/>
      </w:r>
      <w:r w:rsidR="00864B99">
        <w:rPr>
          <w:snapToGrid w:val="0"/>
        </w:rPr>
        <w:t xml:space="preserve"> </w:t>
      </w:r>
      <w:r w:rsidR="00B1146D">
        <w:rPr>
          <w:i/>
          <w:snapToGrid w:val="0"/>
        </w:rPr>
        <w:t xml:space="preserve">See </w:t>
      </w:r>
      <w:r w:rsidR="00864B99">
        <w:rPr>
          <w:snapToGrid w:val="0"/>
        </w:rPr>
        <w:t>AT&amp;T-T-Mobile Dismissal Order, 26 FCC Rcd at 16184 ¶ 2.</w:t>
      </w:r>
      <w:r w:rsidR="00DF533C">
        <w:rPr>
          <w:snapToGrid w:val="0"/>
        </w:rPr>
        <w:t xml:space="preserve">  The proposed order was accompanied by a document entitled “Staff Analysis and Findings,” which detailed the staff’s evaluation of the arguments in the record.  </w:t>
      </w:r>
      <w:r w:rsidR="00DF533C">
        <w:rPr>
          <w:i/>
          <w:snapToGrid w:val="0"/>
        </w:rPr>
        <w:t xml:space="preserve">Id.  </w:t>
      </w:r>
    </w:p>
  </w:footnote>
  <w:footnote w:id="7">
    <w:p w:rsidR="001C2E91" w:rsidRDefault="001C2E91">
      <w:pPr>
        <w:pStyle w:val="FootnoteText"/>
      </w:pPr>
      <w:r>
        <w:rPr>
          <w:rStyle w:val="FootnoteReference"/>
        </w:rPr>
        <w:footnoteRef/>
      </w:r>
      <w:r>
        <w:t xml:space="preserve"> </w:t>
      </w:r>
      <w:r>
        <w:rPr>
          <w:i/>
        </w:rPr>
        <w:t>See</w:t>
      </w:r>
      <w:r>
        <w:rPr>
          <w:snapToGrid w:val="0"/>
        </w:rPr>
        <w:t xml:space="preserve"> Letter from Patrick J. Grant, Arnold &amp; Porter LLP, and</w:t>
      </w:r>
      <w:r>
        <w:t xml:space="preserve"> </w:t>
      </w:r>
      <w:r>
        <w:rPr>
          <w:snapToGrid w:val="0"/>
        </w:rPr>
        <w:t>Nancy J. Victory, Wiley Rein LLP, to Marlene H. Dortch, Secretary, FCC, WT Docket No. 11-65 (Nov. 23, 2011).</w:t>
      </w:r>
    </w:p>
  </w:footnote>
  <w:footnote w:id="8">
    <w:p w:rsidR="001C2E91" w:rsidRDefault="001C2E91" w:rsidP="0028587E">
      <w:pPr>
        <w:pStyle w:val="FootnoteText"/>
      </w:pPr>
      <w:r>
        <w:rPr>
          <w:rStyle w:val="FootnoteReference"/>
        </w:rPr>
        <w:footnoteRef/>
      </w:r>
      <w:r>
        <w:t xml:space="preserve"> AT&amp;T-T-Mobile Dismissal Order.</w:t>
      </w:r>
    </w:p>
  </w:footnote>
  <w:footnote w:id="9">
    <w:p w:rsidR="001C2E91" w:rsidRDefault="001C2E91" w:rsidP="0028587E">
      <w:pPr>
        <w:pStyle w:val="FootnoteText"/>
      </w:pPr>
      <w:r>
        <w:rPr>
          <w:rStyle w:val="FootnoteReference"/>
        </w:rPr>
        <w:footnoteRef/>
      </w:r>
      <w:r>
        <w:t xml:space="preserve"> Diogenes Telecommunications Project Application for Review (filed Dec. 27, 2011) (“First AFR”).</w:t>
      </w:r>
    </w:p>
  </w:footnote>
  <w:footnote w:id="10">
    <w:p w:rsidR="001C2E91" w:rsidRDefault="001C2E91" w:rsidP="0028587E">
      <w:pPr>
        <w:pStyle w:val="FootnoteText"/>
      </w:pPr>
      <w:r>
        <w:rPr>
          <w:rStyle w:val="FootnoteReference"/>
        </w:rPr>
        <w:footnoteRef/>
      </w:r>
      <w:r>
        <w:t xml:space="preserve"> </w:t>
      </w:r>
      <w:r>
        <w:rPr>
          <w:i/>
        </w:rPr>
        <w:t xml:space="preserve">See </w:t>
      </w:r>
      <w:r>
        <w:t xml:space="preserve">Applications of AT&amp;T Inc. and Deutsche Telecom AG, WT Docket No. 11-65, </w:t>
      </w:r>
      <w:r>
        <w:rPr>
          <w:i/>
        </w:rPr>
        <w:t xml:space="preserve">Order, </w:t>
      </w:r>
      <w:r>
        <w:t>27 FCC Rcd 4423 (2012) (“First AFR Order”).</w:t>
      </w:r>
    </w:p>
  </w:footnote>
  <w:footnote w:id="11">
    <w:p w:rsidR="001C2E91" w:rsidRDefault="001C2E91" w:rsidP="0028587E">
      <w:pPr>
        <w:pStyle w:val="FootnoteText"/>
      </w:pPr>
      <w:r>
        <w:rPr>
          <w:rStyle w:val="FootnoteReference"/>
        </w:rPr>
        <w:footnoteRef/>
      </w:r>
      <w:r>
        <w:t xml:space="preserve"> AT&amp;T Mobility and New Cingular Wireless are subsidiaries of AT&amp;T Inc. (collectively with its subsidiaries and affiliates, “AT&amp;T”).  </w:t>
      </w:r>
      <w:r>
        <w:rPr>
          <w:i/>
        </w:rPr>
        <w:t>See</w:t>
      </w:r>
      <w:r>
        <w:t xml:space="preserve"> File No. 0005005682, Public Interest Statement at 1.  </w:t>
      </w:r>
    </w:p>
  </w:footnote>
  <w:footnote w:id="12">
    <w:p w:rsidR="001C2E91" w:rsidRPr="00763FDE" w:rsidRDefault="001C2E91" w:rsidP="00763FDE">
      <w:pPr>
        <w:pStyle w:val="FootnoteText"/>
      </w:pPr>
      <w:r>
        <w:rPr>
          <w:rStyle w:val="FootnoteReference"/>
        </w:rPr>
        <w:footnoteRef/>
      </w:r>
      <w:r>
        <w:t xml:space="preserve"> </w:t>
      </w:r>
      <w:r w:rsidRPr="00763FDE">
        <w:t xml:space="preserve">T-Mobile License LLC is a wholly-owned subsidiary of T-Mobile USA, Inc. (“T-Mobile USA”).  T-Mobile USA in turn is a wholly-owned subsidiary of Deutsche Telekom AG (“DT”).  </w:t>
      </w:r>
      <w:r w:rsidRPr="00763FDE">
        <w:rPr>
          <w:i/>
        </w:rPr>
        <w:t>See</w:t>
      </w:r>
      <w:r w:rsidRPr="00763FDE">
        <w:t xml:space="preserve"> File No. 0005005682, Public Interest Statement at 1.</w:t>
      </w:r>
      <w:r w:rsidRPr="00487797">
        <w:t xml:space="preserve">  </w:t>
      </w:r>
    </w:p>
  </w:footnote>
  <w:footnote w:id="13">
    <w:p w:rsidR="001C2E91" w:rsidRDefault="001C2E91" w:rsidP="0028587E">
      <w:pPr>
        <w:pStyle w:val="FootnoteText"/>
      </w:pPr>
      <w:r>
        <w:rPr>
          <w:rStyle w:val="FootnoteReference"/>
        </w:rPr>
        <w:footnoteRef/>
      </w:r>
      <w:r>
        <w:t xml:space="preserve"> </w:t>
      </w:r>
      <w:r>
        <w:rPr>
          <w:i/>
        </w:rPr>
        <w:t>See</w:t>
      </w:r>
      <w:r>
        <w:t xml:space="preserve"> File Nos. 0005005685 and 0005005682.</w:t>
      </w:r>
    </w:p>
  </w:footnote>
  <w:footnote w:id="14">
    <w:p w:rsidR="001C2E91" w:rsidRDefault="001C2E91" w:rsidP="0028587E">
      <w:pPr>
        <w:pStyle w:val="FootnoteText"/>
      </w:pPr>
      <w:r>
        <w:rPr>
          <w:rStyle w:val="FootnoteReference"/>
        </w:rPr>
        <w:footnoteRef/>
      </w:r>
      <w:r>
        <w:t xml:space="preserve"> </w:t>
      </w:r>
      <w:r>
        <w:rPr>
          <w:i/>
        </w:rPr>
        <w:t xml:space="preserve">See </w:t>
      </w:r>
      <w:r>
        <w:t>File Nos. 0005005687 and 0005016840.</w:t>
      </w:r>
    </w:p>
  </w:footnote>
  <w:footnote w:id="15">
    <w:p w:rsidR="001C2E91" w:rsidRDefault="001C2E91" w:rsidP="0028587E">
      <w:pPr>
        <w:pStyle w:val="FootnoteText"/>
      </w:pPr>
      <w:r>
        <w:rPr>
          <w:rStyle w:val="FootnoteReference"/>
        </w:rPr>
        <w:footnoteRef/>
      </w:r>
      <w:r>
        <w:t xml:space="preserve"> </w:t>
      </w:r>
      <w:r>
        <w:rPr>
          <w:iCs/>
        </w:rPr>
        <w:t>T-Mobile License LLC, AT&amp;T Mobility Spectrum LLC, and New Cingular Wireless PCS, LLC Seek FCC Consent to the Assignment of AWS-1 Licenses</w:t>
      </w:r>
      <w:r>
        <w:t xml:space="preserve">, WT Docket No. 12-21, </w:t>
      </w:r>
      <w:r w:rsidRPr="00BB784E">
        <w:rPr>
          <w:i/>
        </w:rPr>
        <w:t>Public Notice</w:t>
      </w:r>
      <w:r>
        <w:t>, 27 FCC Rcd 435 (rel. Jan. 26, 2012) (“</w:t>
      </w:r>
      <w:r w:rsidRPr="00D366E9">
        <w:t xml:space="preserve">Comment </w:t>
      </w:r>
      <w:r w:rsidRPr="00D366E9">
        <w:rPr>
          <w:iCs/>
        </w:rPr>
        <w:t>Public Notice</w:t>
      </w:r>
      <w:r>
        <w:t>”).</w:t>
      </w:r>
    </w:p>
  </w:footnote>
  <w:footnote w:id="16">
    <w:p w:rsidR="001C2E91" w:rsidRDefault="001C2E91" w:rsidP="0028587E">
      <w:pPr>
        <w:pStyle w:val="FootnoteText"/>
      </w:pPr>
      <w:r>
        <w:rPr>
          <w:rStyle w:val="FootnoteReference"/>
        </w:rPr>
        <w:footnoteRef/>
      </w:r>
      <w:r>
        <w:t xml:space="preserve"> </w:t>
      </w:r>
      <w:r w:rsidRPr="00D366E9">
        <w:t>Comment Public Notice</w:t>
      </w:r>
      <w:r>
        <w:t>, 27 FCC Rcd at 435.</w:t>
      </w:r>
    </w:p>
  </w:footnote>
  <w:footnote w:id="17">
    <w:p w:rsidR="001C2E91" w:rsidRDefault="001C2E91" w:rsidP="0028587E">
      <w:pPr>
        <w:pStyle w:val="FootnoteText"/>
      </w:pPr>
      <w:r>
        <w:rPr>
          <w:rStyle w:val="FootnoteReference"/>
        </w:rPr>
        <w:footnoteRef/>
      </w:r>
      <w:r>
        <w:t xml:space="preserve"> </w:t>
      </w:r>
      <w:r w:rsidRPr="00F15B7B">
        <w:t>Comment Public Notice</w:t>
      </w:r>
      <w:r>
        <w:t xml:space="preserve">, 27 FCC Rcd at 437 (emphasis </w:t>
      </w:r>
      <w:r w:rsidR="00D17F5F">
        <w:t>deleted</w:t>
      </w:r>
      <w:r>
        <w:t>)</w:t>
      </w:r>
      <w:r w:rsidR="00D17F5F">
        <w:t xml:space="preserve"> (footnotes omitted)</w:t>
      </w:r>
      <w:r>
        <w:t>.</w:t>
      </w:r>
    </w:p>
  </w:footnote>
  <w:footnote w:id="18">
    <w:p w:rsidR="001C2E91" w:rsidRDefault="001C2E91" w:rsidP="0028587E">
      <w:pPr>
        <w:pStyle w:val="FootnoteText"/>
      </w:pPr>
      <w:r>
        <w:rPr>
          <w:rStyle w:val="FootnoteReference"/>
        </w:rPr>
        <w:footnoteRef/>
      </w:r>
      <w:r>
        <w:t xml:space="preserve"> Petition to Deny of the Diogenes Telecommunications Project (filed Feb. 23, 2012) (“Petition to Deny”) at 27.</w:t>
      </w:r>
    </w:p>
  </w:footnote>
  <w:footnote w:id="19">
    <w:p w:rsidR="00D17F5F" w:rsidRPr="00D17F5F" w:rsidRDefault="00D17F5F">
      <w:pPr>
        <w:pStyle w:val="FootnoteText"/>
      </w:pPr>
      <w:r>
        <w:rPr>
          <w:rStyle w:val="FootnoteReference"/>
        </w:rPr>
        <w:footnoteRef/>
      </w:r>
      <w:r>
        <w:t xml:space="preserve"> </w:t>
      </w:r>
      <w:r>
        <w:rPr>
          <w:i/>
        </w:rPr>
        <w:t xml:space="preserve">Id. </w:t>
      </w:r>
      <w:r>
        <w:t xml:space="preserve">at </w:t>
      </w:r>
      <w:r w:rsidR="00617804">
        <w:t>2 &amp; Declaration of Irene Laschuk.</w:t>
      </w:r>
    </w:p>
  </w:footnote>
  <w:footnote w:id="20">
    <w:p w:rsidR="001C2E91" w:rsidRDefault="001C2E91" w:rsidP="0028587E">
      <w:pPr>
        <w:pStyle w:val="FootnoteText"/>
      </w:pPr>
      <w:r>
        <w:rPr>
          <w:rStyle w:val="FootnoteReference"/>
        </w:rPr>
        <w:footnoteRef/>
      </w:r>
      <w:r>
        <w:t xml:space="preserve"> Supplement to Petition to Deny (filed Apr. 16, 2012) (“Supplement”).</w:t>
      </w:r>
    </w:p>
  </w:footnote>
  <w:footnote w:id="21">
    <w:p w:rsidR="001C2E91" w:rsidRDefault="001C2E91" w:rsidP="008E720B">
      <w:pPr>
        <w:pStyle w:val="FootnoteText"/>
      </w:pPr>
      <w:r>
        <w:rPr>
          <w:rStyle w:val="FootnoteReference"/>
        </w:rPr>
        <w:footnoteRef/>
      </w:r>
      <w:r>
        <w:t xml:space="preserve"> Supplement at 2.</w:t>
      </w:r>
    </w:p>
  </w:footnote>
  <w:footnote w:id="22">
    <w:p w:rsidR="005D6FCD" w:rsidRDefault="005D6FCD">
      <w:pPr>
        <w:pStyle w:val="FootnoteText"/>
      </w:pPr>
      <w:r>
        <w:rPr>
          <w:rStyle w:val="FootnoteReference"/>
        </w:rPr>
        <w:footnoteRef/>
      </w:r>
      <w:r>
        <w:t xml:space="preserve"> Supplement at 2.</w:t>
      </w:r>
    </w:p>
  </w:footnote>
  <w:footnote w:id="23">
    <w:p w:rsidR="001C2E91" w:rsidRDefault="001C2E91" w:rsidP="0028587E">
      <w:pPr>
        <w:pStyle w:val="FootnoteText"/>
      </w:pPr>
      <w:r>
        <w:rPr>
          <w:rStyle w:val="FootnoteReference"/>
        </w:rPr>
        <w:footnoteRef/>
      </w:r>
      <w:r>
        <w:t xml:space="preserve">  Applications of T-Mobile License LLC, AT&amp;T Mobility Spectrum LLC and New Cingular Wireless PCS, LLC for consent to assign AWS-1 Licenses, WT Docket No. 12-21, </w:t>
      </w:r>
      <w:r w:rsidRPr="00483939">
        <w:rPr>
          <w:i/>
        </w:rPr>
        <w:t>Order</w:t>
      </w:r>
      <w:r>
        <w:t>, 27 FCC Rcd 4124, 4127 ¶ 10 (WTB 2012) (“Diogenes Order”).</w:t>
      </w:r>
    </w:p>
  </w:footnote>
  <w:footnote w:id="24">
    <w:p w:rsidR="00ED020A" w:rsidRDefault="00ED020A">
      <w:pPr>
        <w:pStyle w:val="FootnoteText"/>
      </w:pPr>
      <w:r>
        <w:rPr>
          <w:rStyle w:val="FootnoteReference"/>
        </w:rPr>
        <w:footnoteRef/>
      </w:r>
      <w:r>
        <w:t xml:space="preserve"> Reply to Joint Opposition of AT&amp;T and T-Mobile at 3-4 (filed Mar. 19, 2012).</w:t>
      </w:r>
    </w:p>
  </w:footnote>
  <w:footnote w:id="25">
    <w:p w:rsidR="001C2E91" w:rsidRDefault="001C2E91" w:rsidP="0028587E">
      <w:pPr>
        <w:pStyle w:val="FootnoteText"/>
      </w:pPr>
      <w:r>
        <w:rPr>
          <w:rStyle w:val="FootnoteReference"/>
        </w:rPr>
        <w:footnoteRef/>
      </w:r>
      <w:r>
        <w:t xml:space="preserve"> Diogenes Order, 27 FCC Rcd at 4126-4127 ¶¶ 8-10.</w:t>
      </w:r>
    </w:p>
  </w:footnote>
  <w:footnote w:id="26">
    <w:p w:rsidR="001C2E91" w:rsidRDefault="001C2E91" w:rsidP="0028587E">
      <w:pPr>
        <w:pStyle w:val="FootnoteText"/>
      </w:pPr>
      <w:r>
        <w:rPr>
          <w:rStyle w:val="FootnoteReference"/>
        </w:rPr>
        <w:footnoteRef/>
      </w:r>
      <w:r>
        <w:t xml:space="preserve"> Diogenes Order, 27 FCC Rcd at 4126 n.15.</w:t>
      </w:r>
    </w:p>
  </w:footnote>
  <w:footnote w:id="27">
    <w:p w:rsidR="001C2E91" w:rsidRDefault="001C2E91" w:rsidP="0028587E">
      <w:pPr>
        <w:pStyle w:val="FootnoteText"/>
      </w:pPr>
      <w:r>
        <w:rPr>
          <w:rStyle w:val="FootnoteReference"/>
        </w:rPr>
        <w:footnoteRef/>
      </w:r>
      <w:r>
        <w:t xml:space="preserve"> Application for Review, </w:t>
      </w:r>
      <w:r w:rsidR="0061357B">
        <w:t xml:space="preserve">The </w:t>
      </w:r>
      <w:r>
        <w:t>Diogenes Telecommunications Project (filed May 1, 2012) (“Second AFR”).</w:t>
      </w:r>
    </w:p>
  </w:footnote>
  <w:footnote w:id="28">
    <w:p w:rsidR="001C2E91" w:rsidRDefault="001C2E91" w:rsidP="0028587E">
      <w:pPr>
        <w:pStyle w:val="FootnoteText"/>
      </w:pPr>
      <w:r>
        <w:rPr>
          <w:rStyle w:val="FootnoteReference"/>
        </w:rPr>
        <w:footnoteRef/>
      </w:r>
      <w:r>
        <w:t xml:space="preserve"> Second AFR at 1.</w:t>
      </w:r>
    </w:p>
  </w:footnote>
  <w:footnote w:id="29">
    <w:p w:rsidR="001C2E91" w:rsidRPr="0037731A" w:rsidRDefault="001C2E91" w:rsidP="0028587E">
      <w:pPr>
        <w:pStyle w:val="FootnoteText"/>
        <w:rPr>
          <w:b/>
        </w:rPr>
      </w:pPr>
      <w:r>
        <w:rPr>
          <w:rStyle w:val="FootnoteReference"/>
        </w:rPr>
        <w:footnoteRef/>
      </w:r>
      <w:r>
        <w:t xml:space="preserve"> Joint Opposition of AT&amp;T Inc. and T-Mobile USA, Inc. to Petition to Deny (filed May 16, 2012) (“May Joint Opposition”).  We reject Diogenes’s argument that AT&amp;T Inc. and T-Mobile USA, Inc. served the May Joint Opposition on Diogenes one day late.  </w:t>
      </w:r>
      <w:r>
        <w:rPr>
          <w:i/>
        </w:rPr>
        <w:t xml:space="preserve">See </w:t>
      </w:r>
      <w:r>
        <w:t>Reply to Joint Opposition of AT&amp;T Inc. and T-Mobile USA, Inc. to Application</w:t>
      </w:r>
      <w:r w:rsidR="0061357B">
        <w:t>s [sic]</w:t>
      </w:r>
      <w:r>
        <w:t xml:space="preserve"> for Review at 3-4 (filed May 29, 2012) (“May Reply”) at 1-2.  Diogenes correctly notes that our rules require a party to serve any document on or before the day on which the document is filed.  </w:t>
      </w:r>
      <w:r w:rsidRPr="0093140F">
        <w:rPr>
          <w:i/>
        </w:rPr>
        <w:t>See</w:t>
      </w:r>
      <w:r>
        <w:t xml:space="preserve"> 47 C.F.R. § 1.47(b).  In this case, AT&amp;T Inc. and T-Mobile USA filed the May Joint Opposition on May 16, 2012.  Thus, AT&amp;T and T-Mobile were required to serve Diogenes on or before May 16, 2012.  </w:t>
      </w:r>
      <w:r w:rsidR="00E40566">
        <w:t xml:space="preserve">Pursuant to 47 C.F.R. § 1.47(g), they attached to their filing a certificate of service certifying that on that date they caused  a copy of their filing to be sent by U.S. mail to counsel for Diogenes.  </w:t>
      </w:r>
      <w:r>
        <w:t>Diogenes provides a photocopy of the envelope</w:t>
      </w:r>
      <w:r w:rsidR="00E40566">
        <w:t xml:space="preserve"> </w:t>
      </w:r>
      <w:r>
        <w:t>postmarked on May 17, 2012</w:t>
      </w:r>
      <w:r w:rsidR="00E40566">
        <w:t>,</w:t>
      </w:r>
      <w:r>
        <w:t xml:space="preserve"> as evidence that it was served a day late.  Under the Commissi</w:t>
      </w:r>
      <w:r w:rsidRPr="0093140F">
        <w:t xml:space="preserve">on’s Rules, however, “[s]ervice by mail is complete upon mailing” and not when the envelope </w:t>
      </w:r>
      <w:r>
        <w:t xml:space="preserve">is </w:t>
      </w:r>
      <w:r w:rsidRPr="0093140F">
        <w:t>postmarked.</w:t>
      </w:r>
      <w:r>
        <w:t xml:space="preserve">  </w:t>
      </w:r>
      <w:r w:rsidRPr="0093140F">
        <w:rPr>
          <w:i/>
        </w:rPr>
        <w:t>See</w:t>
      </w:r>
      <w:r>
        <w:t xml:space="preserve"> 47 C.F.R. § 1.47(f)</w:t>
      </w:r>
      <w:r w:rsidR="004806B3">
        <w:t xml:space="preserve">; </w:t>
      </w:r>
      <w:r w:rsidR="004806B3" w:rsidRPr="0037731A">
        <w:t>Paging Systems, Inc.,</w:t>
      </w:r>
      <w:r w:rsidR="004806B3">
        <w:rPr>
          <w:i/>
        </w:rPr>
        <w:t xml:space="preserve"> Memorandum Opinion and Order, </w:t>
      </w:r>
      <w:r w:rsidR="004806B3">
        <w:t>25 FCC Rcd 450</w:t>
      </w:r>
      <w:r w:rsidR="00EA4F8A">
        <w:t>, 453</w:t>
      </w:r>
      <w:r w:rsidR="004806B3">
        <w:t xml:space="preserve"> ¶ 6 n.32 (2010)</w:t>
      </w:r>
      <w:r>
        <w:t>.</w:t>
      </w:r>
      <w:r w:rsidR="004806B3">
        <w:t xml:space="preserve">  </w:t>
      </w:r>
    </w:p>
  </w:footnote>
  <w:footnote w:id="30">
    <w:p w:rsidR="005D6FCD" w:rsidRPr="005D6FCD" w:rsidRDefault="005D6FCD">
      <w:pPr>
        <w:pStyle w:val="FootnoteText"/>
      </w:pPr>
      <w:r>
        <w:rPr>
          <w:rStyle w:val="FootnoteReference"/>
        </w:rPr>
        <w:footnoteRef/>
      </w:r>
      <w:r>
        <w:t xml:space="preserve"> </w:t>
      </w:r>
      <w:r>
        <w:rPr>
          <w:i/>
        </w:rPr>
        <w:t>See</w:t>
      </w:r>
      <w:r>
        <w:t xml:space="preserve"> n.</w:t>
      </w:r>
      <w:r>
        <w:fldChar w:fldCharType="begin"/>
      </w:r>
      <w:r>
        <w:instrText xml:space="preserve"> NOTEREF _Ref383775994 \h </w:instrText>
      </w:r>
      <w:r>
        <w:fldChar w:fldCharType="separate"/>
      </w:r>
      <w:r>
        <w:t>5</w:t>
      </w:r>
      <w:r>
        <w:fldChar w:fldCharType="end"/>
      </w:r>
      <w:r>
        <w:t xml:space="preserve">, </w:t>
      </w:r>
      <w:r>
        <w:rPr>
          <w:i/>
        </w:rPr>
        <w:t>supra</w:t>
      </w:r>
      <w:r>
        <w:t>.</w:t>
      </w:r>
    </w:p>
  </w:footnote>
  <w:footnote w:id="31">
    <w:p w:rsidR="00D50620" w:rsidRPr="00516129" w:rsidRDefault="00D50620">
      <w:pPr>
        <w:pStyle w:val="FootnoteText"/>
      </w:pPr>
      <w:r>
        <w:rPr>
          <w:rStyle w:val="FootnoteReference"/>
        </w:rPr>
        <w:footnoteRef/>
      </w:r>
      <w:r>
        <w:t xml:space="preserve"> May Joint Opposition at 11-14.</w:t>
      </w:r>
      <w:r w:rsidR="00151580">
        <w:t xml:space="preserve">  </w:t>
      </w:r>
      <w:r w:rsidR="00516129">
        <w:t xml:space="preserve">Because we dismiss Diogenes’ petition for lack of standing, we have no need to reach the merits of </w:t>
      </w:r>
      <w:r w:rsidR="001B1D16">
        <w:t>its</w:t>
      </w:r>
      <w:r w:rsidR="00516129">
        <w:t xml:space="preserve"> claim.  </w:t>
      </w:r>
      <w:r w:rsidR="001B1D16">
        <w:t>We note, however, that our disagreement with the applicants’ arguments concerning the AT&amp;T/T-Mobile transaction</w:t>
      </w:r>
      <w:r w:rsidR="000C2E58">
        <w:t xml:space="preserve"> </w:t>
      </w:r>
      <w:r w:rsidR="00922D97">
        <w:t xml:space="preserve">at issue in the earlier docket </w:t>
      </w:r>
      <w:r w:rsidR="000C2E58">
        <w:t xml:space="preserve">cannot be distilled into </w:t>
      </w:r>
      <w:r w:rsidR="00D563F6">
        <w:t xml:space="preserve">the simple question of whether AT&amp;T “was facing an imminent spectrum shortage and needed T-Mobile’s spectrum to meet customer demand.”  Application for Review at 4.  Rather, </w:t>
      </w:r>
      <w:r w:rsidR="001B1D16">
        <w:t>that proceeding</w:t>
      </w:r>
      <w:r w:rsidR="00D563F6">
        <w:t xml:space="preserve"> involved</w:t>
      </w:r>
      <w:r w:rsidR="001B1D16">
        <w:t xml:space="preserve">, </w:t>
      </w:r>
      <w:r w:rsidR="001B1D16">
        <w:rPr>
          <w:i/>
        </w:rPr>
        <w:t>inter alia,</w:t>
      </w:r>
      <w:r w:rsidR="00D563F6">
        <w:t xml:space="preserve"> a complex analysis of whether AT&amp;T and T-Mobile had satisfied their burden of showing that the proffered benefits from meeting those needs could be “achievable through means other than the elimination of a competitor,” or were outweighed by the significant harms to competition, “primari</w:t>
      </w:r>
      <w:r w:rsidR="001B1D16">
        <w:t>l</w:t>
      </w:r>
      <w:r w:rsidR="00D563F6">
        <w:t xml:space="preserve">y in the form of increased prices for consumers, reduced incentives for innovation, and decreased consumer choice.”  Applications of AT&amp;T Inc. and Deutsche Telekom AG, </w:t>
      </w:r>
      <w:r w:rsidR="00D563F6">
        <w:rPr>
          <w:i/>
        </w:rPr>
        <w:t xml:space="preserve">Order, </w:t>
      </w:r>
      <w:r w:rsidR="00D563F6">
        <w:t>26 FCC Rcd 16184, 16298</w:t>
      </w:r>
      <w:r w:rsidR="000C2E58">
        <w:t xml:space="preserve"> </w:t>
      </w:r>
      <w:r w:rsidR="00D563F6">
        <w:t>(WTB 2011).</w:t>
      </w:r>
      <w:r w:rsidR="001B1D16">
        <w:t xml:space="preserve">  While “[t]he integrity of the [C]ommission’s processes cannot be maintained without honest dealing with the Commis[s]ion by licensees,” </w:t>
      </w:r>
      <w:r w:rsidR="001B1D16">
        <w:rPr>
          <w:i/>
        </w:rPr>
        <w:t xml:space="preserve">Policy Regarding Character Qualifications in Broadcast Licensing, </w:t>
      </w:r>
      <w:r w:rsidR="001B1D16">
        <w:t xml:space="preserve">102 F.C.C.2d, 1179, 1121 (1986), we </w:t>
      </w:r>
      <w:r w:rsidR="00922D97">
        <w:t>would</w:t>
      </w:r>
      <w:r w:rsidR="001B1D16">
        <w:t xml:space="preserve"> not view </w:t>
      </w:r>
      <w:r w:rsidR="00922D97">
        <w:t xml:space="preserve">mere </w:t>
      </w:r>
      <w:r w:rsidR="001B1D16">
        <w:t xml:space="preserve">disagreements with the applicants’ arguments and model inputs set forth in the Bureau’s Staff Analysis and Findings, which were never resolved by the Commission, </w:t>
      </w:r>
      <w:r w:rsidR="00D62A29">
        <w:t xml:space="preserve">as suggesting in any way a violation </w:t>
      </w:r>
      <w:r w:rsidR="00C9590A">
        <w:t>of this</w:t>
      </w:r>
      <w:r w:rsidR="001B1D16">
        <w:t xml:space="preserve"> </w:t>
      </w:r>
      <w:r w:rsidR="001B1D16">
        <w:rPr>
          <w:i/>
        </w:rPr>
        <w:t>Policy</w:t>
      </w:r>
      <w:r w:rsidR="001B1D16">
        <w:t>.</w:t>
      </w:r>
    </w:p>
  </w:footnote>
  <w:footnote w:id="32">
    <w:p w:rsidR="001C2E91" w:rsidRPr="001C2E91" w:rsidRDefault="001C2E91">
      <w:pPr>
        <w:pStyle w:val="FootnoteText"/>
      </w:pPr>
      <w:r>
        <w:rPr>
          <w:rStyle w:val="FootnoteReference"/>
        </w:rPr>
        <w:footnoteRef/>
      </w:r>
      <w:r>
        <w:t xml:space="preserve"> </w:t>
      </w:r>
      <w:r>
        <w:rPr>
          <w:i/>
        </w:rPr>
        <w:t>See</w:t>
      </w:r>
      <w:r>
        <w:t xml:space="preserve">, </w:t>
      </w:r>
      <w:r>
        <w:rPr>
          <w:i/>
        </w:rPr>
        <w:t>e.g.</w:t>
      </w:r>
      <w:r>
        <w:t xml:space="preserve">, </w:t>
      </w:r>
      <w:r w:rsidRPr="001C2E91">
        <w:t>United States Files Lawsuit Against AT&amp;T in Telecommunications Relay Services Fraud Case</w:t>
      </w:r>
      <w:r>
        <w:t xml:space="preserve">, Department of Justice Office of Public Affairs, </w:t>
      </w:r>
      <w:r>
        <w:rPr>
          <w:i/>
        </w:rPr>
        <w:t>Press Release</w:t>
      </w:r>
      <w:r>
        <w:t xml:space="preserve"> (Mar. 22, 2012).</w:t>
      </w:r>
    </w:p>
  </w:footnote>
  <w:footnote w:id="33">
    <w:p w:rsidR="001C2E91" w:rsidRPr="005D72E3" w:rsidRDefault="001C2E91" w:rsidP="0028587E">
      <w:pPr>
        <w:pStyle w:val="FootnoteText"/>
      </w:pPr>
      <w:r>
        <w:rPr>
          <w:rStyle w:val="FootnoteReference"/>
        </w:rPr>
        <w:footnoteRef/>
      </w:r>
      <w:r>
        <w:t xml:space="preserve"> </w:t>
      </w:r>
      <w:r>
        <w:rPr>
          <w:i/>
        </w:rPr>
        <w:t>See</w:t>
      </w:r>
      <w:r>
        <w:t xml:space="preserve"> May Reply at 4.</w:t>
      </w:r>
    </w:p>
  </w:footnote>
  <w:footnote w:id="34">
    <w:p w:rsidR="006B3BB1" w:rsidRDefault="006B3BB1">
      <w:pPr>
        <w:pStyle w:val="FootnoteText"/>
      </w:pPr>
      <w:r>
        <w:rPr>
          <w:rStyle w:val="FootnoteReference"/>
        </w:rPr>
        <w:footnoteRef/>
      </w:r>
      <w:r>
        <w:t xml:space="preserve"> Second AFR at 9.</w:t>
      </w:r>
    </w:p>
  </w:footnote>
  <w:footnote w:id="35">
    <w:p w:rsidR="00195D55" w:rsidRDefault="00195D55">
      <w:pPr>
        <w:pStyle w:val="FootnoteText"/>
      </w:pPr>
      <w:r>
        <w:rPr>
          <w:rStyle w:val="FootnoteReference"/>
        </w:rPr>
        <w:footnoteRef/>
      </w:r>
      <w:r>
        <w:t xml:space="preserve"> Supplement at 10.</w:t>
      </w:r>
    </w:p>
  </w:footnote>
  <w:footnote w:id="36">
    <w:p w:rsidR="00826A7D" w:rsidRPr="00826A7D" w:rsidRDefault="00826A7D">
      <w:pPr>
        <w:pStyle w:val="FootnoteText"/>
      </w:pPr>
      <w:r>
        <w:rPr>
          <w:rStyle w:val="FootnoteReference"/>
        </w:rPr>
        <w:footnoteRef/>
      </w:r>
      <w:r>
        <w:t xml:space="preserve"> Applications of Cellco Partnership d/b/a Verizon Wireless and SpectrumCo LLC and Cox TMI, LLC for Consent To Assign AWS-1 Licenses, </w:t>
      </w:r>
      <w:r>
        <w:rPr>
          <w:i/>
        </w:rPr>
        <w:t xml:space="preserve">Memorandum Opinion and Order and Declaratory Ruling, </w:t>
      </w:r>
      <w:r>
        <w:t>27 FCC Rcd 10698</w:t>
      </w:r>
      <w:r w:rsidR="005D6FCD">
        <w:t>, 10713</w:t>
      </w:r>
      <w:r>
        <w:t xml:space="preserve"> ¶ 38 (2012) (</w:t>
      </w:r>
      <w:r>
        <w:rPr>
          <w:i/>
        </w:rPr>
        <w:t>Cellco Partnership</w:t>
      </w:r>
      <w:r>
        <w:t>).</w:t>
      </w:r>
    </w:p>
  </w:footnote>
  <w:footnote w:id="37">
    <w:p w:rsidR="001539ED" w:rsidRPr="004637B0" w:rsidRDefault="001539ED">
      <w:pPr>
        <w:pStyle w:val="FootnoteText"/>
      </w:pPr>
      <w:r>
        <w:rPr>
          <w:rStyle w:val="FootnoteReference"/>
        </w:rPr>
        <w:footnoteRef/>
      </w:r>
      <w:r>
        <w:t xml:space="preserve"> </w:t>
      </w:r>
      <w:r w:rsidR="004637B0">
        <w:t xml:space="preserve">AT&amp;T Inc., </w:t>
      </w:r>
      <w:r w:rsidR="004637B0">
        <w:rPr>
          <w:i/>
        </w:rPr>
        <w:t>Order</w:t>
      </w:r>
      <w:r w:rsidR="004637B0">
        <w:t>, 28 FCC Rcd 5994, 5996 (EB 2013).</w:t>
      </w:r>
    </w:p>
  </w:footnote>
  <w:footnote w:id="38">
    <w:p w:rsidR="004637B0" w:rsidRPr="004637B0" w:rsidRDefault="004637B0">
      <w:pPr>
        <w:pStyle w:val="FootnoteText"/>
      </w:pPr>
      <w:r>
        <w:rPr>
          <w:rStyle w:val="FootnoteReference"/>
        </w:rPr>
        <w:footnoteRef/>
      </w:r>
      <w:r>
        <w:t xml:space="preserve"> </w:t>
      </w:r>
      <w:r>
        <w:rPr>
          <w:i/>
        </w:rPr>
        <w:t xml:space="preserve">Id., </w:t>
      </w:r>
      <w:r>
        <w:t>28 FCC Rcd at 6000.</w:t>
      </w:r>
    </w:p>
  </w:footnote>
  <w:footnote w:id="39">
    <w:p w:rsidR="004637B0" w:rsidRPr="00CF7871" w:rsidRDefault="004637B0">
      <w:pPr>
        <w:pStyle w:val="FootnoteText"/>
        <w:rPr>
          <w:b/>
        </w:rPr>
      </w:pPr>
      <w:r>
        <w:rPr>
          <w:rStyle w:val="FootnoteReference"/>
        </w:rPr>
        <w:footnoteRef/>
      </w:r>
      <w:r>
        <w:t xml:space="preserve"> </w:t>
      </w:r>
      <w:r>
        <w:rPr>
          <w:i/>
        </w:rPr>
        <w:t xml:space="preserve">Id. </w:t>
      </w:r>
      <w:r>
        <w:t>at 5994.</w:t>
      </w:r>
      <w:r w:rsidR="00E85662">
        <w:t xml:space="preserve">  </w:t>
      </w:r>
      <w:r w:rsidR="00E32605">
        <w:rPr>
          <w:i/>
        </w:rPr>
        <w:t xml:space="preserve">See also </w:t>
      </w:r>
      <w:r w:rsidR="00E32605">
        <w:t xml:space="preserve">Viacom, Inc., </w:t>
      </w:r>
      <w:r w:rsidR="00E32605">
        <w:rPr>
          <w:i/>
        </w:rPr>
        <w:t xml:space="preserve">Order on Reconsideration, </w:t>
      </w:r>
      <w:r w:rsidR="00E32605">
        <w:t>21 FCC Rcd 12223, 12226-</w:t>
      </w:r>
      <w:r w:rsidR="006C7808">
        <w:t>122</w:t>
      </w:r>
      <w:r w:rsidR="00E32605">
        <w:t>27 &amp; nn.18-19 (2006) (citing cases holding unreviewable the Commission’s “broad discretion” to settle enforcement actions).</w:t>
      </w:r>
      <w:r w:rsidR="00AA1670">
        <w:t xml:space="preserve"> </w:t>
      </w:r>
      <w:r w:rsidR="0049785C">
        <w:t xml:space="preserve"> The Commission has dismissed Diogenes’ application for review of that Enforcement Bureau order for lack of standing.  </w:t>
      </w:r>
      <w:r w:rsidR="0054284B">
        <w:rPr>
          <w:i/>
        </w:rPr>
        <w:t>See</w:t>
      </w:r>
      <w:r w:rsidR="0054284B">
        <w:t xml:space="preserve"> Application for Review of an Order and Consent Decree of the Enforcement Bureau by the Diogenes Telecommunications Project, </w:t>
      </w:r>
      <w:r w:rsidR="0054284B">
        <w:rPr>
          <w:i/>
        </w:rPr>
        <w:t>Order</w:t>
      </w:r>
      <w:r w:rsidR="0054284B">
        <w:t>, FCC 14-70 (rel</w:t>
      </w:r>
      <w:r w:rsidR="00EE6AAC" w:rsidRPr="00EE6AAC">
        <w:t>.</w:t>
      </w:r>
      <w:r w:rsidR="0054284B">
        <w:t xml:space="preserve"> June 4, 2014).</w:t>
      </w:r>
      <w:r w:rsidR="0049785C">
        <w:rPr>
          <w:b/>
        </w:rPr>
        <w:t xml:space="preserve">  </w:t>
      </w:r>
    </w:p>
  </w:footnote>
  <w:footnote w:id="40">
    <w:p w:rsidR="00AF550C" w:rsidRDefault="00AF550C">
      <w:pPr>
        <w:pStyle w:val="FootnoteText"/>
      </w:pPr>
      <w:r>
        <w:rPr>
          <w:rStyle w:val="FootnoteReference"/>
        </w:rPr>
        <w:footnoteRef/>
      </w:r>
      <w:r>
        <w:t xml:space="preserve"> Viacom, Inc., </w:t>
      </w:r>
      <w:r w:rsidR="006C7808">
        <w:rPr>
          <w:i/>
        </w:rPr>
        <w:t>supra</w:t>
      </w:r>
      <w:r w:rsidR="006C7808">
        <w:t xml:space="preserve">, </w:t>
      </w:r>
      <w:r>
        <w:t>21 FCC Rcd</w:t>
      </w:r>
      <w:r w:rsidR="006C7808">
        <w:t xml:space="preserve"> at</w:t>
      </w:r>
      <w:r w:rsidR="008D1476">
        <w:t xml:space="preserve"> 1222</w:t>
      </w:r>
      <w:r w:rsidR="008D07B2">
        <w:t>6-12227</w:t>
      </w:r>
      <w:r>
        <w:t xml:space="preserve"> ¶¶ 6-7. </w:t>
      </w:r>
      <w:r w:rsidR="00763FDE">
        <w:t xml:space="preserve"> </w:t>
      </w:r>
      <w:r w:rsidR="00134833">
        <w:rPr>
          <w:i/>
        </w:rPr>
        <w:t xml:space="preserve">See also </w:t>
      </w:r>
      <w:r w:rsidR="00826A7D">
        <w:rPr>
          <w:i/>
        </w:rPr>
        <w:t>Cellco Partn</w:t>
      </w:r>
      <w:r w:rsidR="00922D97">
        <w:rPr>
          <w:i/>
        </w:rPr>
        <w:t>er</w:t>
      </w:r>
      <w:r w:rsidR="00826A7D">
        <w:rPr>
          <w:i/>
        </w:rPr>
        <w:t xml:space="preserve">ship, </w:t>
      </w:r>
      <w:r w:rsidR="006C7808">
        <w:rPr>
          <w:i/>
        </w:rPr>
        <w:t>supra</w:t>
      </w:r>
      <w:r w:rsidR="006C7808">
        <w:t>,</w:t>
      </w:r>
      <w:r w:rsidR="006C7808">
        <w:rPr>
          <w:i/>
        </w:rPr>
        <w:t xml:space="preserve"> </w:t>
      </w:r>
      <w:r w:rsidR="00826A7D">
        <w:t>2</w:t>
      </w:r>
      <w:r w:rsidR="005D6FCD">
        <w:t>7</w:t>
      </w:r>
      <w:r w:rsidR="00826A7D">
        <w:t xml:space="preserve"> FCC Rcd at </w:t>
      </w:r>
      <w:r w:rsidR="005D6FCD">
        <w:t>10714</w:t>
      </w:r>
      <w:r w:rsidR="00826A7D">
        <w:t xml:space="preserve"> ¶ 39 (rejecting similar Diogenes claim on the merits in light of </w:t>
      </w:r>
      <w:r w:rsidR="008F1577">
        <w:t>Enforcement Bureau’s entry into consent decree relating to Verizon Wireless data usage charges)</w:t>
      </w:r>
      <w:r w:rsidR="007E7D30">
        <w:t>.</w:t>
      </w:r>
      <w:r w:rsidR="00BE16AF">
        <w:t xml:space="preserve">  </w:t>
      </w:r>
    </w:p>
  </w:footnote>
  <w:footnote w:id="41">
    <w:p w:rsidR="007E7D30" w:rsidRDefault="007E7D30">
      <w:pPr>
        <w:pStyle w:val="FootnoteText"/>
      </w:pPr>
      <w:r>
        <w:rPr>
          <w:rStyle w:val="FootnoteReference"/>
        </w:rPr>
        <w:footnoteRef/>
      </w:r>
      <w:r>
        <w:t xml:space="preserve"> We note that the court has also dismissed the DOJ Complaint with prejudice, “based on the terms of the settlement agreement that was recently executed between the parties to this case.”  </w:t>
      </w:r>
      <w:r>
        <w:rPr>
          <w:i/>
        </w:rPr>
        <w:t xml:space="preserve">United States ex rel. Lyttle v. AT&amp;T Corp., </w:t>
      </w:r>
      <w:r>
        <w:t xml:space="preserve">Civil Action No. 2:10-cv-01376-NBF-RCM (W.D. Pa. Dec. 6, 2013).  </w:t>
      </w:r>
    </w:p>
  </w:footnote>
  <w:footnote w:id="42">
    <w:p w:rsidR="003F0B67" w:rsidRDefault="003F0B67">
      <w:pPr>
        <w:pStyle w:val="FootnoteText"/>
      </w:pPr>
      <w:r>
        <w:rPr>
          <w:rStyle w:val="FootnoteReference"/>
        </w:rPr>
        <w:footnoteRef/>
      </w:r>
      <w:r>
        <w:t xml:space="preserve"> 47 U.S.C. § 309(d)(1); 47 C.F.R. § 1.939(d).</w:t>
      </w:r>
    </w:p>
  </w:footnote>
  <w:footnote w:id="43">
    <w:p w:rsidR="001C2E91" w:rsidRPr="00FF5DC3" w:rsidRDefault="001C2E91" w:rsidP="0028587E">
      <w:pPr>
        <w:pStyle w:val="FootnoteText"/>
      </w:pPr>
      <w:r>
        <w:rPr>
          <w:rStyle w:val="FootnoteReference"/>
        </w:rPr>
        <w:footnoteRef/>
      </w:r>
      <w:r>
        <w:t xml:space="preserve"> </w:t>
      </w:r>
      <w:r w:rsidR="003F0B67">
        <w:rPr>
          <w:i/>
        </w:rPr>
        <w:t xml:space="preserve">See, e.g., </w:t>
      </w:r>
      <w:r w:rsidR="003F0B67">
        <w:t xml:space="preserve">Applications of AT&amp;T Mobility Spectrum LLC, </w:t>
      </w:r>
      <w:r w:rsidR="003F0B67">
        <w:rPr>
          <w:i/>
        </w:rPr>
        <w:t xml:space="preserve">Memorandum Opinion and Order, </w:t>
      </w:r>
      <w:r w:rsidR="003F0B67">
        <w:t>27 FCC Rcd 16459</w:t>
      </w:r>
      <w:r w:rsidR="006C7808">
        <w:t>, 16465</w:t>
      </w:r>
      <w:r w:rsidR="003F0B67">
        <w:t xml:space="preserve"> ¶ 16 (2012); </w:t>
      </w:r>
      <w:r>
        <w:t xml:space="preserve">Wireless Co., L.P., </w:t>
      </w:r>
      <w:r>
        <w:rPr>
          <w:i/>
        </w:rPr>
        <w:t>Order</w:t>
      </w:r>
      <w:r>
        <w:t>, 10 FCC Rcd 13233, 13235 ¶ 7 (WTB 1995) (“</w:t>
      </w:r>
      <w:r>
        <w:rPr>
          <w:i/>
        </w:rPr>
        <w:t>Wireless Co</w:t>
      </w:r>
      <w:r>
        <w:t xml:space="preserve">.”), </w:t>
      </w:r>
      <w:r w:rsidRPr="0061357B">
        <w:rPr>
          <w:i/>
        </w:rPr>
        <w:t>citing</w:t>
      </w:r>
      <w:r>
        <w:t xml:space="preserve"> </w:t>
      </w:r>
      <w:r>
        <w:rPr>
          <w:i/>
        </w:rPr>
        <w:t>Sierra Club v</w:t>
      </w:r>
      <w:r>
        <w:t xml:space="preserve">. </w:t>
      </w:r>
      <w:r>
        <w:rPr>
          <w:i/>
        </w:rPr>
        <w:t>Morton</w:t>
      </w:r>
      <w:r>
        <w:t>, 405 U.S. 727, 733 (1972).</w:t>
      </w:r>
      <w:r w:rsidR="00FF5DC3">
        <w:t xml:space="preserve">  </w:t>
      </w:r>
      <w:r w:rsidR="00FF5DC3">
        <w:rPr>
          <w:i/>
        </w:rPr>
        <w:t xml:space="preserve">See also New World Radio, Inc. v. FCC, </w:t>
      </w:r>
      <w:r w:rsidR="00FF5DC3">
        <w:t>294 F.3d 164 (D.C. Cir. 2002).</w:t>
      </w:r>
    </w:p>
  </w:footnote>
  <w:footnote w:id="44">
    <w:p w:rsidR="001C2E91" w:rsidRDefault="001C2E91" w:rsidP="0028587E">
      <w:pPr>
        <w:pStyle w:val="FootnoteText"/>
      </w:pPr>
      <w:r>
        <w:rPr>
          <w:rStyle w:val="FootnoteReference"/>
        </w:rPr>
        <w:footnoteRef/>
      </w:r>
      <w:r>
        <w:t xml:space="preserve"> </w:t>
      </w:r>
      <w:r>
        <w:rPr>
          <w:i/>
        </w:rPr>
        <w:t>Wireless Co</w:t>
      </w:r>
      <w:r>
        <w:t>., 10 FCC Rcd at 13235 ¶ 7.</w:t>
      </w:r>
    </w:p>
  </w:footnote>
  <w:footnote w:id="45">
    <w:p w:rsidR="001C2E91" w:rsidRDefault="001C2E91" w:rsidP="0028587E">
      <w:pPr>
        <w:pStyle w:val="FootnoteText"/>
      </w:pPr>
      <w:r>
        <w:rPr>
          <w:rStyle w:val="FootnoteReference"/>
        </w:rPr>
        <w:footnoteRef/>
      </w:r>
      <w:r>
        <w:t xml:space="preserve"> </w:t>
      </w:r>
      <w:r>
        <w:rPr>
          <w:i/>
        </w:rPr>
        <w:t>Id</w:t>
      </w:r>
      <w:r>
        <w:t>.</w:t>
      </w:r>
      <w:r w:rsidR="0026236B">
        <w:t xml:space="preserve">  Because “a licensing proceeding before the Commission is not an Article III proceeding,” the Commission may determine in the public interest to allow participation by parties pursuant to Section 309(d) of the Communications Act who would lack Article III </w:t>
      </w:r>
      <w:r w:rsidR="00763FDE">
        <w:t xml:space="preserve">standing.  </w:t>
      </w:r>
      <w:r w:rsidR="0026236B">
        <w:t xml:space="preserve">Channel 32 Hispanic Broadcasters, Ltd., </w:t>
      </w:r>
      <w:r w:rsidR="0026236B">
        <w:rPr>
          <w:i/>
        </w:rPr>
        <w:t xml:space="preserve">Order, </w:t>
      </w:r>
      <w:r w:rsidR="0026236B">
        <w:t>15 FCC Rcd 22649</w:t>
      </w:r>
      <w:r w:rsidR="005C18B2">
        <w:t>, 22651</w:t>
      </w:r>
      <w:r w:rsidR="0026236B">
        <w:t xml:space="preserve"> ¶ 7 (2000), </w:t>
      </w:r>
      <w:r w:rsidR="0026236B">
        <w:rPr>
          <w:i/>
        </w:rPr>
        <w:t xml:space="preserve">aff’d per curiam, </w:t>
      </w:r>
      <w:r w:rsidR="0026236B">
        <w:t>22 Fed. Appx. 12 (2001).  However, wireless applications have generally been reviewed using the fo</w:t>
      </w:r>
      <w:r w:rsidR="00763FDE">
        <w:t xml:space="preserve">regoing Article III standard.  </w:t>
      </w:r>
      <w:r w:rsidR="0026236B">
        <w:t xml:space="preserve">Rockne Educational Television, Inc., </w:t>
      </w:r>
      <w:r w:rsidR="0026236B">
        <w:rPr>
          <w:i/>
        </w:rPr>
        <w:t>Memorandum Opinion and Order</w:t>
      </w:r>
      <w:r w:rsidR="0026236B">
        <w:t>, 26 FCC Rcd 14402</w:t>
      </w:r>
      <w:r w:rsidR="00EA4F8A">
        <w:t>, 14405</w:t>
      </w:r>
      <w:r w:rsidR="0026236B">
        <w:t xml:space="preserve"> ¶ 7 (</w:t>
      </w:r>
      <w:r w:rsidR="008E5E58">
        <w:t xml:space="preserve">WTB </w:t>
      </w:r>
      <w:r w:rsidR="00EA4F8A">
        <w:t xml:space="preserve">BD </w:t>
      </w:r>
      <w:r w:rsidR="0026236B">
        <w:t>2011).</w:t>
      </w:r>
      <w:r w:rsidR="004F0F2B">
        <w:t xml:space="preserve">  </w:t>
      </w:r>
      <w:r w:rsidR="004F0F2B">
        <w:rPr>
          <w:i/>
        </w:rPr>
        <w:t xml:space="preserve">See, e.g., Cellco Partnership, </w:t>
      </w:r>
      <w:r w:rsidR="004F0F2B">
        <w:t xml:space="preserve">27 FCC Rcd </w:t>
      </w:r>
      <w:r w:rsidR="00EA4F8A">
        <w:t xml:space="preserve">at </w:t>
      </w:r>
      <w:r w:rsidR="004F0F2B">
        <w:t>10</w:t>
      </w:r>
      <w:r w:rsidR="00EA4F8A">
        <w:t>713</w:t>
      </w:r>
      <w:r w:rsidR="004F0F2B">
        <w:t xml:space="preserve"> ¶ 36.  For the reasons stated above, we find no public interest reason to depart from this practice here.  </w:t>
      </w:r>
      <w:r w:rsidR="004F0F2B">
        <w:rPr>
          <w:i/>
        </w:rPr>
        <w:t xml:space="preserve">See </w:t>
      </w:r>
      <w:r w:rsidR="004F0F2B">
        <w:t xml:space="preserve">Airadigm Communications, Inc. , </w:t>
      </w:r>
      <w:r w:rsidR="004F0F2B">
        <w:rPr>
          <w:i/>
        </w:rPr>
        <w:t xml:space="preserve">Order on Reconsideration, </w:t>
      </w:r>
      <w:r w:rsidR="004F0F2B">
        <w:t>21 FCC Rcd 3893</w:t>
      </w:r>
      <w:r w:rsidR="008D07B2">
        <w:t>, 3897</w:t>
      </w:r>
      <w:r w:rsidR="004F0F2B">
        <w:t xml:space="preserve"> ¶ 14 &amp; n.30 (WTB 2006)</w:t>
      </w:r>
      <w:r w:rsidR="00E84F49">
        <w:t xml:space="preserve">, </w:t>
      </w:r>
      <w:r w:rsidR="00E84F49">
        <w:rPr>
          <w:i/>
        </w:rPr>
        <w:t xml:space="preserve">review dismissed, </w:t>
      </w:r>
      <w:r w:rsidR="008E5E58">
        <w:t xml:space="preserve">26 FCC Rcd 6739 (WTB 2011).  </w:t>
      </w:r>
      <w:r w:rsidR="0026236B">
        <w:t xml:space="preserve"> </w:t>
      </w:r>
    </w:p>
  </w:footnote>
  <w:footnote w:id="46">
    <w:p w:rsidR="00FF5DC3" w:rsidRPr="00FF5DC3" w:rsidRDefault="00FF5DC3">
      <w:pPr>
        <w:pStyle w:val="FootnoteText"/>
      </w:pPr>
      <w:r>
        <w:rPr>
          <w:rStyle w:val="FootnoteReference"/>
        </w:rPr>
        <w:footnoteRef/>
      </w:r>
      <w:r>
        <w:t xml:space="preserve"> </w:t>
      </w:r>
      <w:r>
        <w:rPr>
          <w:i/>
        </w:rPr>
        <w:t xml:space="preserve">Conference Group, LLC v. FCC, </w:t>
      </w:r>
      <w:r>
        <w:t xml:space="preserve">720 F.3d 956 (D.C. Cir. 2013), </w:t>
      </w:r>
      <w:r>
        <w:rPr>
          <w:i/>
        </w:rPr>
        <w:t xml:space="preserve">quoting Lujan v. Defenders of Wildlife, </w:t>
      </w:r>
      <w:r>
        <w:t>504 U.S. 555, 560 (1992).</w:t>
      </w:r>
    </w:p>
  </w:footnote>
  <w:footnote w:id="47">
    <w:p w:rsidR="008F1577" w:rsidRPr="008F1577" w:rsidRDefault="008F1577">
      <w:pPr>
        <w:pStyle w:val="FootnoteText"/>
      </w:pPr>
      <w:r>
        <w:rPr>
          <w:rStyle w:val="FootnoteReference"/>
        </w:rPr>
        <w:footnoteRef/>
      </w:r>
      <w:r>
        <w:t xml:space="preserve"> </w:t>
      </w:r>
      <w:r>
        <w:rPr>
          <w:i/>
        </w:rPr>
        <w:t xml:space="preserve">Clapper v. Amnesty International USA, </w:t>
      </w:r>
      <w:r>
        <w:t>133 S. Ct. 1138, 1147-48 (2013).</w:t>
      </w:r>
    </w:p>
  </w:footnote>
  <w:footnote w:id="48">
    <w:p w:rsidR="001C2E91" w:rsidRDefault="001C2E91" w:rsidP="0028587E">
      <w:pPr>
        <w:pStyle w:val="FootnoteText"/>
      </w:pPr>
      <w:r>
        <w:rPr>
          <w:rStyle w:val="FootnoteReference"/>
        </w:rPr>
        <w:footnoteRef/>
      </w:r>
      <w:r>
        <w:t xml:space="preserve"> </w:t>
      </w:r>
      <w:r>
        <w:rPr>
          <w:i/>
        </w:rPr>
        <w:t xml:space="preserve">See, e.g., </w:t>
      </w:r>
      <w:r w:rsidRPr="000A0615">
        <w:t>Friends of the Earth, Inc.</w:t>
      </w:r>
      <w:r>
        <w:rPr>
          <w:i/>
        </w:rPr>
        <w:t xml:space="preserve">, </w:t>
      </w:r>
      <w:r w:rsidRPr="000A0615">
        <w:rPr>
          <w:i/>
        </w:rPr>
        <w:t>Memorandum Opinion and Order</w:t>
      </w:r>
      <w:r>
        <w:t>, 18 FCC Rcd 23622, 23622-23623 ¶¶ 2-3 (2003).</w:t>
      </w:r>
    </w:p>
  </w:footnote>
  <w:footnote w:id="49">
    <w:p w:rsidR="001C2E91" w:rsidRDefault="001C2E91" w:rsidP="0028587E">
      <w:pPr>
        <w:pStyle w:val="FootnoteText"/>
      </w:pPr>
      <w:r>
        <w:rPr>
          <w:rStyle w:val="FootnoteReference"/>
        </w:rPr>
        <w:footnoteRef/>
      </w:r>
      <w:r>
        <w:t xml:space="preserve"> Petition to Deny at 2.</w:t>
      </w:r>
    </w:p>
  </w:footnote>
  <w:footnote w:id="50">
    <w:p w:rsidR="001C2E91" w:rsidRDefault="001C2E91" w:rsidP="0028587E">
      <w:pPr>
        <w:pStyle w:val="FootnoteText"/>
      </w:pPr>
      <w:r>
        <w:rPr>
          <w:rStyle w:val="FootnoteReference"/>
        </w:rPr>
        <w:footnoteRef/>
      </w:r>
      <w:r>
        <w:t xml:space="preserve"> First AFR Order, 27 FCC Rcd at 442</w:t>
      </w:r>
      <w:r w:rsidR="00B1146D">
        <w:t>5</w:t>
      </w:r>
      <w:r>
        <w:t>-44</w:t>
      </w:r>
      <w:r w:rsidR="00B1146D">
        <w:t>26</w:t>
      </w:r>
      <w:r>
        <w:t xml:space="preserve"> ¶¶ 8-11.</w:t>
      </w:r>
    </w:p>
  </w:footnote>
  <w:footnote w:id="51">
    <w:p w:rsidR="001C2E91" w:rsidRDefault="001C2E91" w:rsidP="0028587E">
      <w:pPr>
        <w:pStyle w:val="FootnoteText"/>
      </w:pPr>
      <w:r>
        <w:rPr>
          <w:rStyle w:val="FootnoteReference"/>
        </w:rPr>
        <w:footnoteRef/>
      </w:r>
      <w:r>
        <w:t xml:space="preserve"> Diogenes Order, 27 FCC Rcd at 4126 ¶ 8.</w:t>
      </w:r>
    </w:p>
  </w:footnote>
  <w:footnote w:id="52">
    <w:p w:rsidR="00CA68F9" w:rsidRPr="007A1D43" w:rsidRDefault="00CA68F9" w:rsidP="00CA68F9">
      <w:pPr>
        <w:pStyle w:val="FootnoteText"/>
      </w:pPr>
      <w:r>
        <w:rPr>
          <w:rStyle w:val="FootnoteReference"/>
        </w:rPr>
        <w:footnoteRef/>
      </w:r>
      <w:r>
        <w:t xml:space="preserve"> </w:t>
      </w:r>
      <w:r>
        <w:rPr>
          <w:i/>
        </w:rPr>
        <w:t>See</w:t>
      </w:r>
      <w:r w:rsidR="007A1D43">
        <w:rPr>
          <w:i/>
        </w:rPr>
        <w:t xml:space="preserve"> </w:t>
      </w:r>
      <w:r w:rsidR="007A1D43">
        <w:t>n.</w:t>
      </w:r>
      <w:r w:rsidR="007A1D43">
        <w:fldChar w:fldCharType="begin"/>
      </w:r>
      <w:r w:rsidR="007A1D43">
        <w:instrText xml:space="preserve"> NOTEREF _Ref386016382 \h </w:instrText>
      </w:r>
      <w:r w:rsidR="007A1D43">
        <w:fldChar w:fldCharType="separate"/>
      </w:r>
      <w:r w:rsidR="007A1D43">
        <w:t>43</w:t>
      </w:r>
      <w:r w:rsidR="007A1D43">
        <w:fldChar w:fldCharType="end"/>
      </w:r>
      <w:r w:rsidR="007A1D43">
        <w:t xml:space="preserve">, </w:t>
      </w:r>
      <w:r w:rsidR="007A1D43">
        <w:rPr>
          <w:i/>
        </w:rPr>
        <w:t>supra</w:t>
      </w:r>
      <w:r w:rsidR="007A1D43">
        <w:t>.</w:t>
      </w:r>
    </w:p>
  </w:footnote>
  <w:footnote w:id="53">
    <w:p w:rsidR="001C2E91" w:rsidRDefault="001C2E91" w:rsidP="0028587E">
      <w:pPr>
        <w:pStyle w:val="FootnoteText"/>
      </w:pPr>
      <w:r>
        <w:rPr>
          <w:rStyle w:val="FootnoteReference"/>
        </w:rPr>
        <w:footnoteRef/>
      </w:r>
      <w:r>
        <w:t xml:space="preserve"> Diogenes Order, 27 FCC Rcd at 4126-4127 ¶ 8.</w:t>
      </w:r>
    </w:p>
  </w:footnote>
  <w:footnote w:id="54">
    <w:p w:rsidR="001C2E91" w:rsidRDefault="001C2E91">
      <w:pPr>
        <w:pStyle w:val="FootnoteText"/>
      </w:pPr>
      <w:r>
        <w:rPr>
          <w:rStyle w:val="FootnoteReference"/>
        </w:rPr>
        <w:footnoteRef/>
      </w:r>
      <w:r>
        <w:t xml:space="preserve"> March Reply at 3-4.</w:t>
      </w:r>
    </w:p>
  </w:footnote>
  <w:footnote w:id="55">
    <w:p w:rsidR="001C2E91" w:rsidRDefault="001C2E91">
      <w:pPr>
        <w:pStyle w:val="FootnoteText"/>
      </w:pPr>
      <w:r>
        <w:rPr>
          <w:rStyle w:val="FootnoteReference"/>
        </w:rPr>
        <w:footnoteRef/>
      </w:r>
      <w:r>
        <w:t xml:space="preserve"> Diogenes Order, 27 FCC Rcd at 4127 ¶ 10.</w:t>
      </w:r>
    </w:p>
  </w:footnote>
  <w:footnote w:id="56">
    <w:p w:rsidR="001C2E91" w:rsidRDefault="001C2E91">
      <w:pPr>
        <w:pStyle w:val="FootnoteText"/>
      </w:pPr>
      <w:r>
        <w:rPr>
          <w:rStyle w:val="FootnoteReference"/>
        </w:rPr>
        <w:footnoteRef/>
      </w:r>
      <w:r>
        <w:t xml:space="preserve"> Diogenes Order, 27 FCC Rcd at 4127 ¶ 10.</w:t>
      </w:r>
    </w:p>
  </w:footnote>
  <w:footnote w:id="57">
    <w:p w:rsidR="001C2E91" w:rsidRDefault="001C2E91" w:rsidP="0028587E">
      <w:pPr>
        <w:pStyle w:val="FootnoteText"/>
      </w:pPr>
      <w:r>
        <w:rPr>
          <w:rStyle w:val="FootnoteReference"/>
        </w:rPr>
        <w:footnoteRef/>
      </w:r>
      <w:r>
        <w:t xml:space="preserve"> Second AFR at 6-8.</w:t>
      </w:r>
    </w:p>
  </w:footnote>
  <w:footnote w:id="58">
    <w:p w:rsidR="00283AB3" w:rsidRPr="00283AB3" w:rsidRDefault="00283AB3">
      <w:pPr>
        <w:pStyle w:val="FootnoteText"/>
      </w:pPr>
      <w:r>
        <w:rPr>
          <w:rStyle w:val="FootnoteReference"/>
        </w:rPr>
        <w:footnoteRef/>
      </w:r>
      <w:r>
        <w:t xml:space="preserve"> </w:t>
      </w:r>
      <w:r>
        <w:rPr>
          <w:i/>
        </w:rPr>
        <w:t xml:space="preserve">Telephone &amp; Data Systems, Inc. v. FCC, </w:t>
      </w:r>
      <w:r>
        <w:t xml:space="preserve">19 F.3d 42, </w:t>
      </w:r>
      <w:r w:rsidR="00912F2D">
        <w:t>46-47</w:t>
      </w:r>
      <w:r>
        <w:t xml:space="preserve"> (D.C. Cir. 1994).</w:t>
      </w:r>
    </w:p>
  </w:footnote>
  <w:footnote w:id="59">
    <w:p w:rsidR="00C704F7" w:rsidRDefault="00C704F7" w:rsidP="00C704F7">
      <w:pPr>
        <w:pStyle w:val="FootnoteText"/>
      </w:pPr>
      <w:r>
        <w:rPr>
          <w:rStyle w:val="FootnoteReference"/>
        </w:rPr>
        <w:footnoteRef/>
      </w:r>
      <w:r>
        <w:t xml:space="preserve"> </w:t>
      </w:r>
      <w:r>
        <w:rPr>
          <w:i/>
        </w:rPr>
        <w:t>Id</w:t>
      </w:r>
      <w:r>
        <w:t xml:space="preserve">.     </w:t>
      </w:r>
    </w:p>
  </w:footnote>
  <w:footnote w:id="60">
    <w:p w:rsidR="00E7006B" w:rsidRDefault="00E7006B">
      <w:pPr>
        <w:pStyle w:val="FootnoteText"/>
      </w:pPr>
      <w:r>
        <w:rPr>
          <w:rStyle w:val="FootnoteReference"/>
        </w:rPr>
        <w:footnoteRef/>
      </w:r>
      <w:r>
        <w:t xml:space="preserve"> Second AFR at 6.</w:t>
      </w:r>
    </w:p>
  </w:footnote>
  <w:footnote w:id="61">
    <w:p w:rsidR="001C2E91" w:rsidRDefault="001C2E91">
      <w:pPr>
        <w:pStyle w:val="FootnoteText"/>
      </w:pPr>
      <w:r>
        <w:rPr>
          <w:rStyle w:val="FootnoteReference"/>
        </w:rPr>
        <w:footnoteRef/>
      </w:r>
      <w:r>
        <w:t xml:space="preserve"> Diogenes Order, 27 FCC Rcd at 4127 ¶ 10.</w:t>
      </w:r>
    </w:p>
  </w:footnote>
  <w:footnote w:id="62">
    <w:p w:rsidR="001C2E91" w:rsidRDefault="001C2E91">
      <w:pPr>
        <w:pStyle w:val="FootnoteText"/>
      </w:pPr>
      <w:r>
        <w:rPr>
          <w:rStyle w:val="FootnoteReference"/>
        </w:rPr>
        <w:footnoteRef/>
      </w:r>
      <w:r>
        <w:t xml:space="preserve"> 47 U.S.C. §309(</w:t>
      </w:r>
      <w:r w:rsidR="005F620B">
        <w:t>d)(1)</w:t>
      </w:r>
      <w:r>
        <w:t>, 47 C.F.R. § 1.939(d).</w:t>
      </w:r>
    </w:p>
  </w:footnote>
  <w:footnote w:id="63">
    <w:p w:rsidR="001C2E91" w:rsidRDefault="001C2E91" w:rsidP="000A0615">
      <w:pPr>
        <w:pStyle w:val="FootnoteText"/>
      </w:pPr>
      <w:r>
        <w:rPr>
          <w:rStyle w:val="FootnoteReference"/>
        </w:rPr>
        <w:footnoteRef/>
      </w:r>
      <w:r>
        <w:t xml:space="preserve"> March Reply at 3-4.</w:t>
      </w:r>
    </w:p>
  </w:footnote>
  <w:footnote w:id="64">
    <w:p w:rsidR="001C2E91" w:rsidRDefault="001C2E91">
      <w:pPr>
        <w:pStyle w:val="FootnoteText"/>
      </w:pPr>
      <w:r>
        <w:rPr>
          <w:rStyle w:val="FootnoteReference"/>
        </w:rPr>
        <w:footnoteRef/>
      </w:r>
      <w:r>
        <w:t xml:space="preserve"> Petition to Deny, Declaration of Irene Laschuk.</w:t>
      </w:r>
    </w:p>
  </w:footnote>
  <w:footnote w:id="65">
    <w:p w:rsidR="001C2E91" w:rsidRDefault="001C2E91">
      <w:pPr>
        <w:pStyle w:val="FootnoteText"/>
      </w:pPr>
      <w:r>
        <w:rPr>
          <w:rStyle w:val="FootnoteReference"/>
        </w:rPr>
        <w:footnoteRef/>
      </w:r>
      <w:r>
        <w:t xml:space="preserve"> None of the licenses that are subject to the instant transaction cover New Jersey.</w:t>
      </w:r>
    </w:p>
  </w:footnote>
  <w:footnote w:id="66">
    <w:p w:rsidR="00AF52F2" w:rsidRDefault="00AF52F2" w:rsidP="00AF52F2">
      <w:pPr>
        <w:pStyle w:val="FootnoteText"/>
      </w:pPr>
      <w:r>
        <w:rPr>
          <w:rStyle w:val="FootnoteReference"/>
        </w:rPr>
        <w:footnoteRef/>
      </w:r>
      <w:r>
        <w:t xml:space="preserve"> Reply at 3-4.</w:t>
      </w:r>
    </w:p>
  </w:footnote>
  <w:footnote w:id="67">
    <w:p w:rsidR="00AF52F2" w:rsidRPr="008B1F18" w:rsidRDefault="00AF52F2" w:rsidP="00AF52F2">
      <w:pPr>
        <w:pStyle w:val="FootnoteText"/>
      </w:pPr>
      <w:r>
        <w:rPr>
          <w:rStyle w:val="FootnoteReference"/>
        </w:rPr>
        <w:footnoteRef/>
      </w:r>
      <w:r>
        <w:t xml:space="preserve"> </w:t>
      </w:r>
      <w:r>
        <w:rPr>
          <w:i/>
        </w:rPr>
        <w:t xml:space="preserve">Id. </w:t>
      </w:r>
      <w:r>
        <w:t>at 4 (“There is only one possible conclusion, AT&amp;T was not facing a spectrum crunch; it was making a grab at T-Mobile customer base.”).</w:t>
      </w:r>
    </w:p>
  </w:footnote>
  <w:footnote w:id="68">
    <w:p w:rsidR="001567C1" w:rsidRPr="007A1D43" w:rsidRDefault="001567C1">
      <w:pPr>
        <w:pStyle w:val="FootnoteText"/>
      </w:pPr>
      <w:r>
        <w:rPr>
          <w:rStyle w:val="FootnoteReference"/>
        </w:rPr>
        <w:footnoteRef/>
      </w:r>
      <w:r>
        <w:t xml:space="preserve"> </w:t>
      </w:r>
      <w:r w:rsidR="00AE1B61">
        <w:rPr>
          <w:i/>
        </w:rPr>
        <w:t>Cf.</w:t>
      </w:r>
      <w:r>
        <w:rPr>
          <w:i/>
        </w:rPr>
        <w:t xml:space="preserve"> Clapper, </w:t>
      </w:r>
      <w:r w:rsidR="00E11BCC">
        <w:t xml:space="preserve">133 S. Ct. at 1155-60 (Breyer, Ginsburg, Sotomayor, and Kagan, JJ., dissenting) (requiring </w:t>
      </w:r>
      <w:r w:rsidR="00AE1B61">
        <w:t>more</w:t>
      </w:r>
      <w:r w:rsidR="00DA1574">
        <w:t xml:space="preserve"> </w:t>
      </w:r>
      <w:r w:rsidR="00AE1B61">
        <w:t>than “speculative”</w:t>
      </w:r>
      <w:r w:rsidR="00E11BCC">
        <w:t xml:space="preserve"> claim of injury</w:t>
      </w:r>
      <w:r w:rsidR="00AE1B61">
        <w:t>, informed by</w:t>
      </w:r>
      <w:r w:rsidR="00E11BCC">
        <w:t xml:space="preserve"> motive and past behavior</w:t>
      </w:r>
      <w:r w:rsidR="00AE1B61">
        <w:t>)</w:t>
      </w:r>
      <w:r w:rsidR="00E11BCC">
        <w:t xml:space="preserve">.  In this case, Diogenes has made no effort to demonstrate </w:t>
      </w:r>
      <w:r w:rsidR="00C42621">
        <w:t xml:space="preserve">why AT&amp;T would not have had every motivation, based on its prior record, to identify AWS-1 licenses for assignment to T-Mobile </w:t>
      </w:r>
      <w:r w:rsidR="00524E72">
        <w:t>under the break-up provision of the Stock Purchase Agreement so as to minimize any risk of inadequate LTE</w:t>
      </w:r>
      <w:r w:rsidR="00C42621">
        <w:t xml:space="preserve"> service in the area of New Jersey covering Ms. Laschuk</w:t>
      </w:r>
      <w:r w:rsidR="00524E72">
        <w:t xml:space="preserve"> and to acquire additional spectrum and deploy additional facilities to continue to be capable of doing so</w:t>
      </w:r>
      <w:r w:rsidR="00C42621">
        <w:t>.</w:t>
      </w:r>
      <w:r w:rsidR="00880885">
        <w:t xml:space="preserve">  Diogenes has advanced nothing more than a “speculative chain of possibilities” supported only by “guesswork as to how independent decisionmakers will exercise their judgment.”  </w:t>
      </w:r>
      <w:r w:rsidR="00880885">
        <w:rPr>
          <w:i/>
        </w:rPr>
        <w:t xml:space="preserve">Id. </w:t>
      </w:r>
      <w:r w:rsidR="00880885">
        <w:t>at 1148-50.</w:t>
      </w:r>
      <w:r w:rsidR="007A1D43">
        <w:t xml:space="preserve">  Such a catch-all assertion, without more, cannot establish standing.  Particularly in these circumstances, “[i]t is just not possible for a litigant to prove in advance that the [licensing process] will lead to any particular result in [its] case.”  </w:t>
      </w:r>
      <w:r w:rsidR="007A1D43">
        <w:rPr>
          <w:i/>
        </w:rPr>
        <w:t>See</w:t>
      </w:r>
      <w:r w:rsidR="007A1D43">
        <w:t xml:space="preserve"> </w:t>
      </w:r>
      <w:r w:rsidR="007A1D43">
        <w:rPr>
          <w:i/>
        </w:rPr>
        <w:t xml:space="preserve">Clapper, </w:t>
      </w:r>
      <w:r w:rsidR="007A1D43">
        <w:t xml:space="preserve">133 S. Ct. at 1150 (quoting </w:t>
      </w:r>
      <w:r w:rsidR="007A1D43">
        <w:rPr>
          <w:i/>
        </w:rPr>
        <w:t xml:space="preserve">Whitmore v. Arkansas, </w:t>
      </w:r>
      <w:r w:rsidR="007A1D43">
        <w:t>495 U.S. 149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01" w:rsidRDefault="00CD4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91" w:rsidRDefault="001C2E91">
    <w:pPr>
      <w:pStyle w:val="Header"/>
      <w:rPr>
        <w:b w:val="0"/>
      </w:rPr>
    </w:pPr>
    <w:r>
      <w:tab/>
      <w:t>Federal Communications Commission</w:t>
    </w:r>
    <w:r>
      <w:tab/>
      <w:t>FCC 1</w:t>
    </w:r>
    <w:r w:rsidR="00F3569D">
      <w:t>4</w:t>
    </w:r>
    <w:r>
      <w:t>-</w:t>
    </w:r>
    <w:r w:rsidR="00753199">
      <w:t>77</w:t>
    </w:r>
    <w:r>
      <w:t xml:space="preserve"> </w:t>
    </w:r>
  </w:p>
  <w:p w:rsidR="001C2E91" w:rsidRDefault="00B855BA">
    <w:pPr>
      <w:pStyle w:val="Header"/>
    </w:pPr>
    <w:r>
      <w:rPr>
        <w:noProof/>
      </w:rPr>
      <mc:AlternateContent>
        <mc:Choice Requires="wps">
          <w:drawing>
            <wp:anchor distT="0" distB="0" distL="114300" distR="114300" simplePos="0" relativeHeight="251658240" behindDoc="0" locked="0" layoutInCell="0" allowOverlap="1" wp14:anchorId="274F5EB8" wp14:editId="2AF1740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C2E91" w:rsidRDefault="001C2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91" w:rsidRDefault="001C2E91">
    <w:pPr>
      <w:pStyle w:val="Header"/>
      <w:rPr>
        <w:b w:val="0"/>
      </w:rPr>
    </w:pPr>
    <w:r>
      <w:tab/>
      <w:t>Federal Communications Commission</w:t>
    </w:r>
    <w:r>
      <w:tab/>
      <w:t>FCC 1</w:t>
    </w:r>
    <w:r w:rsidR="00F3569D">
      <w:t>4</w:t>
    </w:r>
    <w:r>
      <w:t>-</w:t>
    </w:r>
    <w:r w:rsidR="00753199">
      <w:t>77</w:t>
    </w:r>
    <w:r>
      <w:t xml:space="preserve"> </w:t>
    </w:r>
  </w:p>
  <w:p w:rsidR="001C2E91" w:rsidRDefault="00B855BA">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15"/>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5"/>
  </w:num>
  <w:num w:numId="43">
    <w:abstractNumId w:val="24"/>
  </w:num>
  <w:num w:numId="44">
    <w:abstractNumId w:val="7"/>
  </w:num>
  <w:num w:numId="45">
    <w:abstractNumId w:val="18"/>
  </w:num>
  <w:num w:numId="46">
    <w:abstractNumId w:val="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F3"/>
    <w:rsid w:val="000074A9"/>
    <w:rsid w:val="00012438"/>
    <w:rsid w:val="0001697C"/>
    <w:rsid w:val="00022E65"/>
    <w:rsid w:val="000237EB"/>
    <w:rsid w:val="00030346"/>
    <w:rsid w:val="00031C7E"/>
    <w:rsid w:val="000362F1"/>
    <w:rsid w:val="00037396"/>
    <w:rsid w:val="00051F4C"/>
    <w:rsid w:val="000717D0"/>
    <w:rsid w:val="00073376"/>
    <w:rsid w:val="0007366A"/>
    <w:rsid w:val="00087477"/>
    <w:rsid w:val="00092226"/>
    <w:rsid w:val="00093190"/>
    <w:rsid w:val="000A04E3"/>
    <w:rsid w:val="000A0615"/>
    <w:rsid w:val="000A3D8F"/>
    <w:rsid w:val="000A572E"/>
    <w:rsid w:val="000A66D0"/>
    <w:rsid w:val="000C160D"/>
    <w:rsid w:val="000C2E58"/>
    <w:rsid w:val="000C46DF"/>
    <w:rsid w:val="000D008B"/>
    <w:rsid w:val="000D6126"/>
    <w:rsid w:val="0010334C"/>
    <w:rsid w:val="00114B89"/>
    <w:rsid w:val="0012223F"/>
    <w:rsid w:val="00134833"/>
    <w:rsid w:val="001407BF"/>
    <w:rsid w:val="00140D2A"/>
    <w:rsid w:val="00142894"/>
    <w:rsid w:val="00143E02"/>
    <w:rsid w:val="00151580"/>
    <w:rsid w:val="001539ED"/>
    <w:rsid w:val="001567C1"/>
    <w:rsid w:val="0016121B"/>
    <w:rsid w:val="00171B4F"/>
    <w:rsid w:val="00172F3C"/>
    <w:rsid w:val="001825B0"/>
    <w:rsid w:val="00187641"/>
    <w:rsid w:val="00195D55"/>
    <w:rsid w:val="001A3A4E"/>
    <w:rsid w:val="001A7232"/>
    <w:rsid w:val="001B1D16"/>
    <w:rsid w:val="001B28C3"/>
    <w:rsid w:val="001C2E91"/>
    <w:rsid w:val="001D06CE"/>
    <w:rsid w:val="001D3D9F"/>
    <w:rsid w:val="001E03C0"/>
    <w:rsid w:val="001F64A2"/>
    <w:rsid w:val="0020643D"/>
    <w:rsid w:val="002109AC"/>
    <w:rsid w:val="00232D01"/>
    <w:rsid w:val="002357B5"/>
    <w:rsid w:val="0024789F"/>
    <w:rsid w:val="0026236B"/>
    <w:rsid w:val="00280525"/>
    <w:rsid w:val="00280A53"/>
    <w:rsid w:val="00283AB3"/>
    <w:rsid w:val="0028587E"/>
    <w:rsid w:val="002A79A6"/>
    <w:rsid w:val="002C530F"/>
    <w:rsid w:val="002D25FF"/>
    <w:rsid w:val="002E34F8"/>
    <w:rsid w:val="002E71CB"/>
    <w:rsid w:val="002F402C"/>
    <w:rsid w:val="003002FD"/>
    <w:rsid w:val="003034FF"/>
    <w:rsid w:val="003075A9"/>
    <w:rsid w:val="00346A39"/>
    <w:rsid w:val="00365937"/>
    <w:rsid w:val="00370A4C"/>
    <w:rsid w:val="00370AE3"/>
    <w:rsid w:val="0037731A"/>
    <w:rsid w:val="00386473"/>
    <w:rsid w:val="00397854"/>
    <w:rsid w:val="003B0727"/>
    <w:rsid w:val="003C6E9F"/>
    <w:rsid w:val="003E6F23"/>
    <w:rsid w:val="003F07B1"/>
    <w:rsid w:val="003F0B67"/>
    <w:rsid w:val="00416B70"/>
    <w:rsid w:val="00430CB3"/>
    <w:rsid w:val="004637B0"/>
    <w:rsid w:val="004806B3"/>
    <w:rsid w:val="00483939"/>
    <w:rsid w:val="00487797"/>
    <w:rsid w:val="00490691"/>
    <w:rsid w:val="0049785C"/>
    <w:rsid w:val="004C1F72"/>
    <w:rsid w:val="004E1A92"/>
    <w:rsid w:val="004F0F2B"/>
    <w:rsid w:val="004F5A39"/>
    <w:rsid w:val="00516129"/>
    <w:rsid w:val="00524723"/>
    <w:rsid w:val="00524E72"/>
    <w:rsid w:val="005335A2"/>
    <w:rsid w:val="0054284B"/>
    <w:rsid w:val="005504E5"/>
    <w:rsid w:val="00563CDE"/>
    <w:rsid w:val="00575DAB"/>
    <w:rsid w:val="00575F3D"/>
    <w:rsid w:val="005B00B2"/>
    <w:rsid w:val="005C18B2"/>
    <w:rsid w:val="005C4BAB"/>
    <w:rsid w:val="005D6FCD"/>
    <w:rsid w:val="005D72E3"/>
    <w:rsid w:val="005F620B"/>
    <w:rsid w:val="0061357B"/>
    <w:rsid w:val="00617804"/>
    <w:rsid w:val="00632241"/>
    <w:rsid w:val="00655A44"/>
    <w:rsid w:val="00676F5B"/>
    <w:rsid w:val="00690F87"/>
    <w:rsid w:val="006B3BB1"/>
    <w:rsid w:val="006B5C48"/>
    <w:rsid w:val="006C7808"/>
    <w:rsid w:val="00717F57"/>
    <w:rsid w:val="00717FF4"/>
    <w:rsid w:val="0075295E"/>
    <w:rsid w:val="00753199"/>
    <w:rsid w:val="00763FDE"/>
    <w:rsid w:val="00766A00"/>
    <w:rsid w:val="00780B29"/>
    <w:rsid w:val="00795278"/>
    <w:rsid w:val="007A1D43"/>
    <w:rsid w:val="007C3B4A"/>
    <w:rsid w:val="007C5EB9"/>
    <w:rsid w:val="007D5A2A"/>
    <w:rsid w:val="007E7D30"/>
    <w:rsid w:val="007F75BB"/>
    <w:rsid w:val="00807503"/>
    <w:rsid w:val="00826A7D"/>
    <w:rsid w:val="00826C78"/>
    <w:rsid w:val="00831BFD"/>
    <w:rsid w:val="00834E16"/>
    <w:rsid w:val="008420AF"/>
    <w:rsid w:val="00864B99"/>
    <w:rsid w:val="00865B9B"/>
    <w:rsid w:val="00880885"/>
    <w:rsid w:val="00891EAA"/>
    <w:rsid w:val="00892A14"/>
    <w:rsid w:val="008B0B9C"/>
    <w:rsid w:val="008B19E4"/>
    <w:rsid w:val="008B1F18"/>
    <w:rsid w:val="008B737A"/>
    <w:rsid w:val="008D07B2"/>
    <w:rsid w:val="008D1476"/>
    <w:rsid w:val="008E5E58"/>
    <w:rsid w:val="008E720B"/>
    <w:rsid w:val="008F1577"/>
    <w:rsid w:val="00907444"/>
    <w:rsid w:val="00911002"/>
    <w:rsid w:val="00912F2D"/>
    <w:rsid w:val="00917D10"/>
    <w:rsid w:val="00922D97"/>
    <w:rsid w:val="0093140F"/>
    <w:rsid w:val="00960C92"/>
    <w:rsid w:val="00981036"/>
    <w:rsid w:val="00983193"/>
    <w:rsid w:val="00993CAA"/>
    <w:rsid w:val="0099779F"/>
    <w:rsid w:val="009C6B23"/>
    <w:rsid w:val="009C7FF3"/>
    <w:rsid w:val="009D5ABA"/>
    <w:rsid w:val="009E3A0F"/>
    <w:rsid w:val="009F443E"/>
    <w:rsid w:val="00A16B66"/>
    <w:rsid w:val="00A31C81"/>
    <w:rsid w:val="00A4388D"/>
    <w:rsid w:val="00A60377"/>
    <w:rsid w:val="00A610C9"/>
    <w:rsid w:val="00A656BF"/>
    <w:rsid w:val="00A76B1B"/>
    <w:rsid w:val="00A866E8"/>
    <w:rsid w:val="00AA1670"/>
    <w:rsid w:val="00AB20AD"/>
    <w:rsid w:val="00AB390F"/>
    <w:rsid w:val="00AE1B61"/>
    <w:rsid w:val="00AE1C6F"/>
    <w:rsid w:val="00AF52F2"/>
    <w:rsid w:val="00AF550C"/>
    <w:rsid w:val="00B0297A"/>
    <w:rsid w:val="00B1146D"/>
    <w:rsid w:val="00B5127A"/>
    <w:rsid w:val="00B65FEB"/>
    <w:rsid w:val="00B71485"/>
    <w:rsid w:val="00B736C2"/>
    <w:rsid w:val="00B855BA"/>
    <w:rsid w:val="00B9243C"/>
    <w:rsid w:val="00BB38AA"/>
    <w:rsid w:val="00BB784E"/>
    <w:rsid w:val="00BD628D"/>
    <w:rsid w:val="00BE16AF"/>
    <w:rsid w:val="00BF2AB5"/>
    <w:rsid w:val="00BF450E"/>
    <w:rsid w:val="00BF4BB6"/>
    <w:rsid w:val="00BF5361"/>
    <w:rsid w:val="00C150D0"/>
    <w:rsid w:val="00C27FA7"/>
    <w:rsid w:val="00C37ED7"/>
    <w:rsid w:val="00C42621"/>
    <w:rsid w:val="00C704F7"/>
    <w:rsid w:val="00C70929"/>
    <w:rsid w:val="00C82459"/>
    <w:rsid w:val="00C9590A"/>
    <w:rsid w:val="00CA0508"/>
    <w:rsid w:val="00CA4C9F"/>
    <w:rsid w:val="00CA5A66"/>
    <w:rsid w:val="00CA68F9"/>
    <w:rsid w:val="00CD4B01"/>
    <w:rsid w:val="00CF7871"/>
    <w:rsid w:val="00D03835"/>
    <w:rsid w:val="00D05F97"/>
    <w:rsid w:val="00D1210F"/>
    <w:rsid w:val="00D17F5F"/>
    <w:rsid w:val="00D23A09"/>
    <w:rsid w:val="00D366E9"/>
    <w:rsid w:val="00D444B2"/>
    <w:rsid w:val="00D470C2"/>
    <w:rsid w:val="00D50620"/>
    <w:rsid w:val="00D50BC4"/>
    <w:rsid w:val="00D563F6"/>
    <w:rsid w:val="00D6061E"/>
    <w:rsid w:val="00D62A29"/>
    <w:rsid w:val="00DA053A"/>
    <w:rsid w:val="00DA1574"/>
    <w:rsid w:val="00DA5F6B"/>
    <w:rsid w:val="00DB48F6"/>
    <w:rsid w:val="00DE5AA9"/>
    <w:rsid w:val="00DF533C"/>
    <w:rsid w:val="00DF7625"/>
    <w:rsid w:val="00E10648"/>
    <w:rsid w:val="00E11BCC"/>
    <w:rsid w:val="00E132D5"/>
    <w:rsid w:val="00E3196B"/>
    <w:rsid w:val="00E32605"/>
    <w:rsid w:val="00E40566"/>
    <w:rsid w:val="00E7006B"/>
    <w:rsid w:val="00E805A5"/>
    <w:rsid w:val="00E8342D"/>
    <w:rsid w:val="00E845CA"/>
    <w:rsid w:val="00E84F49"/>
    <w:rsid w:val="00E85662"/>
    <w:rsid w:val="00EA4F8A"/>
    <w:rsid w:val="00EB01DE"/>
    <w:rsid w:val="00EB2CDE"/>
    <w:rsid w:val="00EB5D0A"/>
    <w:rsid w:val="00EC11EC"/>
    <w:rsid w:val="00EC6ABA"/>
    <w:rsid w:val="00ED020A"/>
    <w:rsid w:val="00EE3B4D"/>
    <w:rsid w:val="00EE6AAC"/>
    <w:rsid w:val="00F15B7B"/>
    <w:rsid w:val="00F3123B"/>
    <w:rsid w:val="00F3569D"/>
    <w:rsid w:val="00F35848"/>
    <w:rsid w:val="00F63242"/>
    <w:rsid w:val="00F7242F"/>
    <w:rsid w:val="00F8466D"/>
    <w:rsid w:val="00FA3FF6"/>
    <w:rsid w:val="00FB0003"/>
    <w:rsid w:val="00FB5CEA"/>
    <w:rsid w:val="00FC0788"/>
    <w:rsid w:val="00FD13DD"/>
    <w:rsid w:val="00FF194E"/>
    <w:rsid w:val="00FF3AC7"/>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5F6B"/>
    <w:pPr>
      <w:widowControl w:val="0"/>
    </w:pPr>
    <w:rPr>
      <w:snapToGrid w:val="0"/>
      <w:kern w:val="28"/>
      <w:sz w:val="22"/>
    </w:rPr>
  </w:style>
  <w:style w:type="paragraph" w:styleId="Heading1">
    <w:name w:val="heading 1"/>
    <w:basedOn w:val="Normal"/>
    <w:next w:val="ParaNum"/>
    <w:qFormat/>
    <w:rsid w:val="00DA5F6B"/>
    <w:pPr>
      <w:keepNext/>
      <w:numPr>
        <w:numId w:val="4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5F6B"/>
    <w:pPr>
      <w:keepNext/>
      <w:numPr>
        <w:ilvl w:val="1"/>
        <w:numId w:val="44"/>
      </w:numPr>
      <w:spacing w:after="120"/>
      <w:outlineLvl w:val="1"/>
    </w:pPr>
    <w:rPr>
      <w:b/>
    </w:rPr>
  </w:style>
  <w:style w:type="paragraph" w:styleId="Heading3">
    <w:name w:val="heading 3"/>
    <w:basedOn w:val="Normal"/>
    <w:next w:val="ParaNum"/>
    <w:qFormat/>
    <w:rsid w:val="00DA5F6B"/>
    <w:pPr>
      <w:keepNext/>
      <w:numPr>
        <w:ilvl w:val="2"/>
        <w:numId w:val="44"/>
      </w:numPr>
      <w:tabs>
        <w:tab w:val="left" w:pos="2160"/>
      </w:tabs>
      <w:spacing w:after="120"/>
      <w:outlineLvl w:val="2"/>
    </w:pPr>
    <w:rPr>
      <w:b/>
    </w:rPr>
  </w:style>
  <w:style w:type="paragraph" w:styleId="Heading4">
    <w:name w:val="heading 4"/>
    <w:basedOn w:val="Normal"/>
    <w:next w:val="ParaNum"/>
    <w:qFormat/>
    <w:rsid w:val="00DA5F6B"/>
    <w:pPr>
      <w:keepNext/>
      <w:numPr>
        <w:ilvl w:val="3"/>
        <w:numId w:val="44"/>
      </w:numPr>
      <w:tabs>
        <w:tab w:val="left" w:pos="2880"/>
      </w:tabs>
      <w:spacing w:after="120"/>
      <w:outlineLvl w:val="3"/>
    </w:pPr>
    <w:rPr>
      <w:b/>
    </w:rPr>
  </w:style>
  <w:style w:type="paragraph" w:styleId="Heading5">
    <w:name w:val="heading 5"/>
    <w:basedOn w:val="Normal"/>
    <w:next w:val="ParaNum"/>
    <w:qFormat/>
    <w:rsid w:val="00DA5F6B"/>
    <w:pPr>
      <w:keepNext/>
      <w:numPr>
        <w:ilvl w:val="4"/>
        <w:numId w:val="44"/>
      </w:numPr>
      <w:tabs>
        <w:tab w:val="left" w:pos="3600"/>
      </w:tabs>
      <w:suppressAutoHyphens/>
      <w:spacing w:after="120"/>
      <w:outlineLvl w:val="4"/>
    </w:pPr>
    <w:rPr>
      <w:b/>
    </w:rPr>
  </w:style>
  <w:style w:type="paragraph" w:styleId="Heading6">
    <w:name w:val="heading 6"/>
    <w:basedOn w:val="Normal"/>
    <w:next w:val="ParaNum"/>
    <w:qFormat/>
    <w:rsid w:val="00DA5F6B"/>
    <w:pPr>
      <w:numPr>
        <w:ilvl w:val="5"/>
        <w:numId w:val="44"/>
      </w:numPr>
      <w:tabs>
        <w:tab w:val="left" w:pos="4320"/>
      </w:tabs>
      <w:spacing w:after="120"/>
      <w:outlineLvl w:val="5"/>
    </w:pPr>
    <w:rPr>
      <w:b/>
    </w:rPr>
  </w:style>
  <w:style w:type="paragraph" w:styleId="Heading7">
    <w:name w:val="heading 7"/>
    <w:basedOn w:val="Normal"/>
    <w:next w:val="ParaNum"/>
    <w:qFormat/>
    <w:rsid w:val="00DA5F6B"/>
    <w:pPr>
      <w:numPr>
        <w:ilvl w:val="6"/>
        <w:numId w:val="44"/>
      </w:numPr>
      <w:tabs>
        <w:tab w:val="left" w:pos="5040"/>
      </w:tabs>
      <w:spacing w:after="120"/>
      <w:ind w:left="5040" w:hanging="720"/>
      <w:outlineLvl w:val="6"/>
    </w:pPr>
    <w:rPr>
      <w:b/>
    </w:rPr>
  </w:style>
  <w:style w:type="paragraph" w:styleId="Heading8">
    <w:name w:val="heading 8"/>
    <w:basedOn w:val="Normal"/>
    <w:next w:val="ParaNum"/>
    <w:qFormat/>
    <w:rsid w:val="00DA5F6B"/>
    <w:pPr>
      <w:numPr>
        <w:ilvl w:val="7"/>
        <w:numId w:val="44"/>
      </w:numPr>
      <w:tabs>
        <w:tab w:val="clear" w:pos="5400"/>
        <w:tab w:val="left" w:pos="5760"/>
      </w:tabs>
      <w:spacing w:after="120"/>
      <w:ind w:left="5760" w:hanging="720"/>
      <w:outlineLvl w:val="7"/>
    </w:pPr>
    <w:rPr>
      <w:b/>
    </w:rPr>
  </w:style>
  <w:style w:type="paragraph" w:styleId="Heading9">
    <w:name w:val="heading 9"/>
    <w:basedOn w:val="Normal"/>
    <w:next w:val="ParaNum"/>
    <w:qFormat/>
    <w:rsid w:val="00DA5F6B"/>
    <w:pPr>
      <w:numPr>
        <w:ilvl w:val="8"/>
        <w:numId w:val="4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5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F6B"/>
  </w:style>
  <w:style w:type="paragraph" w:styleId="Caption">
    <w:name w:val="caption"/>
    <w:basedOn w:val="Normal"/>
    <w:next w:val="Normal"/>
    <w:qFormat/>
    <w:pPr>
      <w:spacing w:before="120" w:after="120"/>
    </w:pPr>
    <w:rPr>
      <w:b/>
    </w:rPr>
  </w:style>
  <w:style w:type="paragraph" w:customStyle="1" w:styleId="ParaNum">
    <w:name w:val="ParaNum"/>
    <w:basedOn w:val="Normal"/>
    <w:rsid w:val="00DA5F6B"/>
    <w:pPr>
      <w:numPr>
        <w:numId w:val="43"/>
      </w:numPr>
      <w:tabs>
        <w:tab w:val="clear" w:pos="1080"/>
        <w:tab w:val="num" w:pos="1440"/>
      </w:tabs>
      <w:spacing w:after="120"/>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DA5F6B"/>
    <w:pPr>
      <w:spacing w:after="120"/>
    </w:pPr>
  </w:style>
  <w:style w:type="paragraph" w:customStyle="1" w:styleId="Bullet">
    <w:name w:val="Bullet"/>
    <w:basedOn w:val="Normal"/>
    <w:rsid w:val="00DA5F6B"/>
    <w:pPr>
      <w:tabs>
        <w:tab w:val="left" w:pos="2160"/>
      </w:tabs>
      <w:spacing w:after="220"/>
      <w:ind w:left="2160" w:hanging="720"/>
    </w:pPr>
  </w:style>
  <w:style w:type="paragraph" w:styleId="BlockText">
    <w:name w:val="Block Text"/>
    <w:basedOn w:val="Normal"/>
    <w:rsid w:val="00DA5F6B"/>
    <w:pPr>
      <w:spacing w:after="240"/>
      <w:ind w:left="1440" w:right="1440"/>
    </w:pPr>
  </w:style>
  <w:style w:type="paragraph" w:customStyle="1" w:styleId="TableFormat">
    <w:name w:val="TableFormat"/>
    <w:basedOn w:val="Bullet"/>
    <w:rsid w:val="00DA5F6B"/>
    <w:pPr>
      <w:tabs>
        <w:tab w:val="clear" w:pos="2160"/>
        <w:tab w:val="left" w:pos="5040"/>
      </w:tabs>
      <w:ind w:left="5040" w:hanging="3600"/>
    </w:pPr>
  </w:style>
  <w:style w:type="character" w:styleId="FootnoteReference">
    <w:name w:val="footnote reference"/>
    <w:aliases w:val="o,fr,Style 3,Appel note de bas de p,(NECG) Footnote Reference,Style 17,FR,Style 12,Style 124,Style 13,Style 6,Footnote Reference/"/>
    <w:rsid w:val="00DA5F6B"/>
    <w:rPr>
      <w:rFonts w:ascii="Times New Roman" w:hAnsi="Times New Roman"/>
      <w:dstrike w:val="0"/>
      <w:color w:val="auto"/>
      <w:sz w:val="20"/>
      <w:vertAlign w:val="superscript"/>
    </w:rPr>
  </w:style>
  <w:style w:type="paragraph" w:styleId="Header">
    <w:name w:val="header"/>
    <w:basedOn w:val="Normal"/>
    <w:autoRedefine/>
    <w:rsid w:val="00DA5F6B"/>
    <w:pPr>
      <w:tabs>
        <w:tab w:val="center" w:pos="4680"/>
        <w:tab w:val="right" w:pos="9360"/>
      </w:tabs>
    </w:pPr>
    <w:rPr>
      <w:b/>
    </w:rPr>
  </w:style>
  <w:style w:type="paragraph" w:styleId="Footer">
    <w:name w:val="footer"/>
    <w:basedOn w:val="Normal"/>
    <w:rsid w:val="00DA5F6B"/>
    <w:pPr>
      <w:tabs>
        <w:tab w:val="center" w:pos="4320"/>
        <w:tab w:val="right" w:pos="8640"/>
      </w:tabs>
    </w:pPr>
  </w:style>
  <w:style w:type="paragraph" w:styleId="TOC2">
    <w:name w:val="toc 2"/>
    <w:basedOn w:val="Normal"/>
    <w:next w:val="Normal"/>
    <w:semiHidden/>
    <w:rsid w:val="00DA5F6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DA5F6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A5F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5F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5F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5F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5F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5F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5F6B"/>
    <w:pPr>
      <w:tabs>
        <w:tab w:val="left" w:pos="3240"/>
        <w:tab w:val="right" w:leader="dot" w:pos="9360"/>
      </w:tabs>
      <w:suppressAutoHyphens/>
      <w:ind w:left="3240" w:hanging="360"/>
    </w:pPr>
    <w:rPr>
      <w:noProof/>
    </w:rPr>
  </w:style>
  <w:style w:type="character" w:styleId="PageNumber">
    <w:name w:val="page number"/>
    <w:basedOn w:val="DefaultParagraphFont"/>
    <w:rsid w:val="00DA5F6B"/>
  </w:style>
  <w:style w:type="paragraph" w:styleId="Title">
    <w:name w:val="Title"/>
    <w:basedOn w:val="Normal"/>
    <w:qFormat/>
    <w:pPr>
      <w:jc w:val="center"/>
    </w:pPr>
    <w:rPr>
      <w:b/>
    </w:rPr>
  </w:style>
  <w:style w:type="character" w:customStyle="1" w:styleId="h21">
    <w:name w:val="h21"/>
    <w:rsid w:val="00B816B7"/>
    <w:rPr>
      <w:rFonts w:ascii="Verdana" w:hAnsi="Verdana" w:hint="default"/>
      <w:b/>
      <w:bCs/>
      <w:color w:val="000099"/>
      <w:sz w:val="27"/>
      <w:szCs w:val="27"/>
    </w:rPr>
  </w:style>
  <w:style w:type="paragraph" w:styleId="BalloonText">
    <w:name w:val="Balloon Text"/>
    <w:basedOn w:val="Normal"/>
    <w:semiHidden/>
    <w:rsid w:val="007F3D86"/>
    <w:rPr>
      <w:rFonts w:ascii="Tahoma" w:hAnsi="Tahoma" w:cs="Tahoma"/>
      <w:sz w:val="16"/>
      <w:szCs w:val="16"/>
    </w:rPr>
  </w:style>
  <w:style w:type="paragraph" w:styleId="TOCHeading">
    <w:name w:val="TOC Heading"/>
    <w:basedOn w:val="Heading1"/>
    <w:next w:val="Normal"/>
    <w:uiPriority w:val="39"/>
    <w:qFormat/>
    <w:rsid w:val="00CD28A6"/>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sz w:val="28"/>
      <w:szCs w:val="2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EF6117"/>
  </w:style>
  <w:style w:type="character" w:customStyle="1" w:styleId="StyleFootnoteReferenceofrAppelnotedebasdepStyle12NECG">
    <w:name w:val="Style Footnote ReferenceofrAppel note de bas de pStyle 12(NECG..."/>
    <w:rsid w:val="000A572E"/>
    <w:rPr>
      <w:rFonts w:ascii="Times New Roman" w:hAnsi="Times New Roman"/>
      <w:dstrike w:val="0"/>
      <w:color w:val="000000"/>
      <w:sz w:val="22"/>
      <w:vertAlign w:val="superscript"/>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0A572E"/>
  </w:style>
  <w:style w:type="character" w:styleId="CommentReference">
    <w:name w:val="annotation reference"/>
    <w:semiHidden/>
    <w:unhideWhenUsed/>
    <w:rsid w:val="000A572E"/>
    <w:rPr>
      <w:sz w:val="16"/>
      <w:szCs w:val="16"/>
    </w:rPr>
  </w:style>
  <w:style w:type="paragraph" w:styleId="CommentText">
    <w:name w:val="annotation text"/>
    <w:basedOn w:val="Normal"/>
    <w:link w:val="CommentTextChar"/>
    <w:rsid w:val="00D03835"/>
    <w:rPr>
      <w:sz w:val="20"/>
    </w:rPr>
  </w:style>
  <w:style w:type="character" w:customStyle="1" w:styleId="CommentTextChar">
    <w:name w:val="Comment Text Char"/>
    <w:basedOn w:val="DefaultParagraphFont"/>
    <w:link w:val="CommentText"/>
    <w:rsid w:val="00D03835"/>
  </w:style>
  <w:style w:type="paragraph" w:styleId="CommentSubject">
    <w:name w:val="annotation subject"/>
    <w:basedOn w:val="CommentText"/>
    <w:next w:val="CommentText"/>
    <w:link w:val="CommentSubjectChar"/>
    <w:rsid w:val="00D03835"/>
    <w:rPr>
      <w:b/>
      <w:bCs/>
    </w:rPr>
  </w:style>
  <w:style w:type="character" w:customStyle="1" w:styleId="CommentSubjectChar">
    <w:name w:val="Comment Subject Char"/>
    <w:basedOn w:val="CommentTextChar"/>
    <w:link w:val="CommentSubject"/>
    <w:rsid w:val="00D03835"/>
    <w:rPr>
      <w:b/>
      <w:bCs/>
    </w:rPr>
  </w:style>
  <w:style w:type="paragraph" w:styleId="EndnoteText">
    <w:name w:val="endnote text"/>
    <w:basedOn w:val="Normal"/>
    <w:link w:val="EndnoteTextChar"/>
    <w:rsid w:val="00DA5F6B"/>
    <w:rPr>
      <w:sz w:val="20"/>
    </w:rPr>
  </w:style>
  <w:style w:type="character" w:customStyle="1" w:styleId="EndnoteTextChar">
    <w:name w:val="Endnote Text Char"/>
    <w:basedOn w:val="DefaultParagraphFont"/>
    <w:link w:val="EndnoteText"/>
    <w:rsid w:val="00960C92"/>
    <w:rPr>
      <w:snapToGrid w:val="0"/>
      <w:kern w:val="28"/>
    </w:rPr>
  </w:style>
  <w:style w:type="character" w:styleId="EndnoteReference">
    <w:name w:val="endnote reference"/>
    <w:rsid w:val="00DA5F6B"/>
    <w:rPr>
      <w:vertAlign w:val="superscript"/>
    </w:rPr>
  </w:style>
  <w:style w:type="paragraph" w:styleId="TOAHeading">
    <w:name w:val="toa heading"/>
    <w:basedOn w:val="Normal"/>
    <w:next w:val="Normal"/>
    <w:rsid w:val="00DA5F6B"/>
    <w:pPr>
      <w:tabs>
        <w:tab w:val="right" w:pos="9360"/>
      </w:tabs>
      <w:suppressAutoHyphens/>
    </w:pPr>
  </w:style>
  <w:style w:type="character" w:customStyle="1" w:styleId="EquationCaption">
    <w:name w:val="_Equation Caption"/>
    <w:rsid w:val="00DA5F6B"/>
  </w:style>
  <w:style w:type="paragraph" w:customStyle="1" w:styleId="Paratitle">
    <w:name w:val="Para title"/>
    <w:basedOn w:val="Normal"/>
    <w:rsid w:val="00DA5F6B"/>
    <w:pPr>
      <w:tabs>
        <w:tab w:val="center" w:pos="9270"/>
      </w:tabs>
      <w:spacing w:after="240"/>
    </w:pPr>
    <w:rPr>
      <w:spacing w:val="-2"/>
    </w:rPr>
  </w:style>
  <w:style w:type="paragraph" w:customStyle="1" w:styleId="TOCTitle">
    <w:name w:val="TOC Title"/>
    <w:basedOn w:val="Normal"/>
    <w:rsid w:val="00DA5F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5F6B"/>
    <w:pPr>
      <w:jc w:val="center"/>
    </w:pPr>
    <w:rPr>
      <w:rFonts w:ascii="Times New Roman Bold" w:hAnsi="Times New Roman Bold"/>
      <w:b/>
      <w:bCs/>
      <w:caps/>
      <w:szCs w:val="22"/>
    </w:rPr>
  </w:style>
  <w:style w:type="character" w:styleId="Hyperlink">
    <w:name w:val="Hyperlink"/>
    <w:rsid w:val="00DA5F6B"/>
    <w:rPr>
      <w:color w:val="0000FF"/>
      <w:u w:val="single"/>
    </w:rPr>
  </w:style>
  <w:style w:type="paragraph" w:styleId="Revision">
    <w:name w:val="Revision"/>
    <w:hidden/>
    <w:uiPriority w:val="99"/>
    <w:semiHidden/>
    <w:rsid w:val="0052472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5F6B"/>
    <w:pPr>
      <w:widowControl w:val="0"/>
    </w:pPr>
    <w:rPr>
      <w:snapToGrid w:val="0"/>
      <w:kern w:val="28"/>
      <w:sz w:val="22"/>
    </w:rPr>
  </w:style>
  <w:style w:type="paragraph" w:styleId="Heading1">
    <w:name w:val="heading 1"/>
    <w:basedOn w:val="Normal"/>
    <w:next w:val="ParaNum"/>
    <w:qFormat/>
    <w:rsid w:val="00DA5F6B"/>
    <w:pPr>
      <w:keepNext/>
      <w:numPr>
        <w:numId w:val="4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5F6B"/>
    <w:pPr>
      <w:keepNext/>
      <w:numPr>
        <w:ilvl w:val="1"/>
        <w:numId w:val="44"/>
      </w:numPr>
      <w:spacing w:after="120"/>
      <w:outlineLvl w:val="1"/>
    </w:pPr>
    <w:rPr>
      <w:b/>
    </w:rPr>
  </w:style>
  <w:style w:type="paragraph" w:styleId="Heading3">
    <w:name w:val="heading 3"/>
    <w:basedOn w:val="Normal"/>
    <w:next w:val="ParaNum"/>
    <w:qFormat/>
    <w:rsid w:val="00DA5F6B"/>
    <w:pPr>
      <w:keepNext/>
      <w:numPr>
        <w:ilvl w:val="2"/>
        <w:numId w:val="44"/>
      </w:numPr>
      <w:tabs>
        <w:tab w:val="left" w:pos="2160"/>
      </w:tabs>
      <w:spacing w:after="120"/>
      <w:outlineLvl w:val="2"/>
    </w:pPr>
    <w:rPr>
      <w:b/>
    </w:rPr>
  </w:style>
  <w:style w:type="paragraph" w:styleId="Heading4">
    <w:name w:val="heading 4"/>
    <w:basedOn w:val="Normal"/>
    <w:next w:val="ParaNum"/>
    <w:qFormat/>
    <w:rsid w:val="00DA5F6B"/>
    <w:pPr>
      <w:keepNext/>
      <w:numPr>
        <w:ilvl w:val="3"/>
        <w:numId w:val="44"/>
      </w:numPr>
      <w:tabs>
        <w:tab w:val="left" w:pos="2880"/>
      </w:tabs>
      <w:spacing w:after="120"/>
      <w:outlineLvl w:val="3"/>
    </w:pPr>
    <w:rPr>
      <w:b/>
    </w:rPr>
  </w:style>
  <w:style w:type="paragraph" w:styleId="Heading5">
    <w:name w:val="heading 5"/>
    <w:basedOn w:val="Normal"/>
    <w:next w:val="ParaNum"/>
    <w:qFormat/>
    <w:rsid w:val="00DA5F6B"/>
    <w:pPr>
      <w:keepNext/>
      <w:numPr>
        <w:ilvl w:val="4"/>
        <w:numId w:val="44"/>
      </w:numPr>
      <w:tabs>
        <w:tab w:val="left" w:pos="3600"/>
      </w:tabs>
      <w:suppressAutoHyphens/>
      <w:spacing w:after="120"/>
      <w:outlineLvl w:val="4"/>
    </w:pPr>
    <w:rPr>
      <w:b/>
    </w:rPr>
  </w:style>
  <w:style w:type="paragraph" w:styleId="Heading6">
    <w:name w:val="heading 6"/>
    <w:basedOn w:val="Normal"/>
    <w:next w:val="ParaNum"/>
    <w:qFormat/>
    <w:rsid w:val="00DA5F6B"/>
    <w:pPr>
      <w:numPr>
        <w:ilvl w:val="5"/>
        <w:numId w:val="44"/>
      </w:numPr>
      <w:tabs>
        <w:tab w:val="left" w:pos="4320"/>
      </w:tabs>
      <w:spacing w:after="120"/>
      <w:outlineLvl w:val="5"/>
    </w:pPr>
    <w:rPr>
      <w:b/>
    </w:rPr>
  </w:style>
  <w:style w:type="paragraph" w:styleId="Heading7">
    <w:name w:val="heading 7"/>
    <w:basedOn w:val="Normal"/>
    <w:next w:val="ParaNum"/>
    <w:qFormat/>
    <w:rsid w:val="00DA5F6B"/>
    <w:pPr>
      <w:numPr>
        <w:ilvl w:val="6"/>
        <w:numId w:val="44"/>
      </w:numPr>
      <w:tabs>
        <w:tab w:val="left" w:pos="5040"/>
      </w:tabs>
      <w:spacing w:after="120"/>
      <w:ind w:left="5040" w:hanging="720"/>
      <w:outlineLvl w:val="6"/>
    </w:pPr>
    <w:rPr>
      <w:b/>
    </w:rPr>
  </w:style>
  <w:style w:type="paragraph" w:styleId="Heading8">
    <w:name w:val="heading 8"/>
    <w:basedOn w:val="Normal"/>
    <w:next w:val="ParaNum"/>
    <w:qFormat/>
    <w:rsid w:val="00DA5F6B"/>
    <w:pPr>
      <w:numPr>
        <w:ilvl w:val="7"/>
        <w:numId w:val="44"/>
      </w:numPr>
      <w:tabs>
        <w:tab w:val="clear" w:pos="5400"/>
        <w:tab w:val="left" w:pos="5760"/>
      </w:tabs>
      <w:spacing w:after="120"/>
      <w:ind w:left="5760" w:hanging="720"/>
      <w:outlineLvl w:val="7"/>
    </w:pPr>
    <w:rPr>
      <w:b/>
    </w:rPr>
  </w:style>
  <w:style w:type="paragraph" w:styleId="Heading9">
    <w:name w:val="heading 9"/>
    <w:basedOn w:val="Normal"/>
    <w:next w:val="ParaNum"/>
    <w:qFormat/>
    <w:rsid w:val="00DA5F6B"/>
    <w:pPr>
      <w:numPr>
        <w:ilvl w:val="8"/>
        <w:numId w:val="4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5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F6B"/>
  </w:style>
  <w:style w:type="paragraph" w:styleId="Caption">
    <w:name w:val="caption"/>
    <w:basedOn w:val="Normal"/>
    <w:next w:val="Normal"/>
    <w:qFormat/>
    <w:pPr>
      <w:spacing w:before="120" w:after="120"/>
    </w:pPr>
    <w:rPr>
      <w:b/>
    </w:rPr>
  </w:style>
  <w:style w:type="paragraph" w:customStyle="1" w:styleId="ParaNum">
    <w:name w:val="ParaNum"/>
    <w:basedOn w:val="Normal"/>
    <w:rsid w:val="00DA5F6B"/>
    <w:pPr>
      <w:numPr>
        <w:numId w:val="43"/>
      </w:numPr>
      <w:tabs>
        <w:tab w:val="clear" w:pos="1080"/>
        <w:tab w:val="num" w:pos="1440"/>
      </w:tabs>
      <w:spacing w:after="120"/>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DA5F6B"/>
    <w:pPr>
      <w:spacing w:after="120"/>
    </w:pPr>
  </w:style>
  <w:style w:type="paragraph" w:customStyle="1" w:styleId="Bullet">
    <w:name w:val="Bullet"/>
    <w:basedOn w:val="Normal"/>
    <w:rsid w:val="00DA5F6B"/>
    <w:pPr>
      <w:tabs>
        <w:tab w:val="left" w:pos="2160"/>
      </w:tabs>
      <w:spacing w:after="220"/>
      <w:ind w:left="2160" w:hanging="720"/>
    </w:pPr>
  </w:style>
  <w:style w:type="paragraph" w:styleId="BlockText">
    <w:name w:val="Block Text"/>
    <w:basedOn w:val="Normal"/>
    <w:rsid w:val="00DA5F6B"/>
    <w:pPr>
      <w:spacing w:after="240"/>
      <w:ind w:left="1440" w:right="1440"/>
    </w:pPr>
  </w:style>
  <w:style w:type="paragraph" w:customStyle="1" w:styleId="TableFormat">
    <w:name w:val="TableFormat"/>
    <w:basedOn w:val="Bullet"/>
    <w:rsid w:val="00DA5F6B"/>
    <w:pPr>
      <w:tabs>
        <w:tab w:val="clear" w:pos="2160"/>
        <w:tab w:val="left" w:pos="5040"/>
      </w:tabs>
      <w:ind w:left="5040" w:hanging="3600"/>
    </w:pPr>
  </w:style>
  <w:style w:type="character" w:styleId="FootnoteReference">
    <w:name w:val="footnote reference"/>
    <w:aliases w:val="o,fr,Style 3,Appel note de bas de p,(NECG) Footnote Reference,Style 17,FR,Style 12,Style 124,Style 13,Style 6,Footnote Reference/"/>
    <w:rsid w:val="00DA5F6B"/>
    <w:rPr>
      <w:rFonts w:ascii="Times New Roman" w:hAnsi="Times New Roman"/>
      <w:dstrike w:val="0"/>
      <w:color w:val="auto"/>
      <w:sz w:val="20"/>
      <w:vertAlign w:val="superscript"/>
    </w:rPr>
  </w:style>
  <w:style w:type="paragraph" w:styleId="Header">
    <w:name w:val="header"/>
    <w:basedOn w:val="Normal"/>
    <w:autoRedefine/>
    <w:rsid w:val="00DA5F6B"/>
    <w:pPr>
      <w:tabs>
        <w:tab w:val="center" w:pos="4680"/>
        <w:tab w:val="right" w:pos="9360"/>
      </w:tabs>
    </w:pPr>
    <w:rPr>
      <w:b/>
    </w:rPr>
  </w:style>
  <w:style w:type="paragraph" w:styleId="Footer">
    <w:name w:val="footer"/>
    <w:basedOn w:val="Normal"/>
    <w:rsid w:val="00DA5F6B"/>
    <w:pPr>
      <w:tabs>
        <w:tab w:val="center" w:pos="4320"/>
        <w:tab w:val="right" w:pos="8640"/>
      </w:tabs>
    </w:pPr>
  </w:style>
  <w:style w:type="paragraph" w:styleId="TOC2">
    <w:name w:val="toc 2"/>
    <w:basedOn w:val="Normal"/>
    <w:next w:val="Normal"/>
    <w:semiHidden/>
    <w:rsid w:val="00DA5F6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DA5F6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A5F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5F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5F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5F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5F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5F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5F6B"/>
    <w:pPr>
      <w:tabs>
        <w:tab w:val="left" w:pos="3240"/>
        <w:tab w:val="right" w:leader="dot" w:pos="9360"/>
      </w:tabs>
      <w:suppressAutoHyphens/>
      <w:ind w:left="3240" w:hanging="360"/>
    </w:pPr>
    <w:rPr>
      <w:noProof/>
    </w:rPr>
  </w:style>
  <w:style w:type="character" w:styleId="PageNumber">
    <w:name w:val="page number"/>
    <w:basedOn w:val="DefaultParagraphFont"/>
    <w:rsid w:val="00DA5F6B"/>
  </w:style>
  <w:style w:type="paragraph" w:styleId="Title">
    <w:name w:val="Title"/>
    <w:basedOn w:val="Normal"/>
    <w:qFormat/>
    <w:pPr>
      <w:jc w:val="center"/>
    </w:pPr>
    <w:rPr>
      <w:b/>
    </w:rPr>
  </w:style>
  <w:style w:type="character" w:customStyle="1" w:styleId="h21">
    <w:name w:val="h21"/>
    <w:rsid w:val="00B816B7"/>
    <w:rPr>
      <w:rFonts w:ascii="Verdana" w:hAnsi="Verdana" w:hint="default"/>
      <w:b/>
      <w:bCs/>
      <w:color w:val="000099"/>
      <w:sz w:val="27"/>
      <w:szCs w:val="27"/>
    </w:rPr>
  </w:style>
  <w:style w:type="paragraph" w:styleId="BalloonText">
    <w:name w:val="Balloon Text"/>
    <w:basedOn w:val="Normal"/>
    <w:semiHidden/>
    <w:rsid w:val="007F3D86"/>
    <w:rPr>
      <w:rFonts w:ascii="Tahoma" w:hAnsi="Tahoma" w:cs="Tahoma"/>
      <w:sz w:val="16"/>
      <w:szCs w:val="16"/>
    </w:rPr>
  </w:style>
  <w:style w:type="paragraph" w:styleId="TOCHeading">
    <w:name w:val="TOC Heading"/>
    <w:basedOn w:val="Heading1"/>
    <w:next w:val="Normal"/>
    <w:uiPriority w:val="39"/>
    <w:qFormat/>
    <w:rsid w:val="00CD28A6"/>
    <w:pPr>
      <w:keepLines/>
      <w:widowControl/>
      <w:numPr>
        <w:numId w:val="0"/>
      </w:numPr>
      <w:tabs>
        <w:tab w:val="left" w:pos="720"/>
      </w:tabs>
      <w:suppressAutoHyphens w:val="0"/>
      <w:spacing w:before="480" w:after="0" w:line="276" w:lineRule="auto"/>
      <w:outlineLvl w:val="9"/>
    </w:pPr>
    <w:rPr>
      <w:rFonts w:ascii="Calibri" w:eastAsia="MS Gothic" w:hAnsi="Calibri"/>
      <w:bCs/>
      <w:caps w:val="0"/>
      <w:color w:val="365F91"/>
      <w:sz w:val="28"/>
      <w:szCs w:val="2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EF6117"/>
  </w:style>
  <w:style w:type="character" w:customStyle="1" w:styleId="StyleFootnoteReferenceofrAppelnotedebasdepStyle12NECG">
    <w:name w:val="Style Footnote ReferenceofrAppel note de bas de pStyle 12(NECG..."/>
    <w:rsid w:val="000A572E"/>
    <w:rPr>
      <w:rFonts w:ascii="Times New Roman" w:hAnsi="Times New Roman"/>
      <w:dstrike w:val="0"/>
      <w:color w:val="000000"/>
      <w:sz w:val="22"/>
      <w:vertAlign w:val="superscript"/>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0A572E"/>
  </w:style>
  <w:style w:type="character" w:styleId="CommentReference">
    <w:name w:val="annotation reference"/>
    <w:semiHidden/>
    <w:unhideWhenUsed/>
    <w:rsid w:val="000A572E"/>
    <w:rPr>
      <w:sz w:val="16"/>
      <w:szCs w:val="16"/>
    </w:rPr>
  </w:style>
  <w:style w:type="paragraph" w:styleId="CommentText">
    <w:name w:val="annotation text"/>
    <w:basedOn w:val="Normal"/>
    <w:link w:val="CommentTextChar"/>
    <w:rsid w:val="00D03835"/>
    <w:rPr>
      <w:sz w:val="20"/>
    </w:rPr>
  </w:style>
  <w:style w:type="character" w:customStyle="1" w:styleId="CommentTextChar">
    <w:name w:val="Comment Text Char"/>
    <w:basedOn w:val="DefaultParagraphFont"/>
    <w:link w:val="CommentText"/>
    <w:rsid w:val="00D03835"/>
  </w:style>
  <w:style w:type="paragraph" w:styleId="CommentSubject">
    <w:name w:val="annotation subject"/>
    <w:basedOn w:val="CommentText"/>
    <w:next w:val="CommentText"/>
    <w:link w:val="CommentSubjectChar"/>
    <w:rsid w:val="00D03835"/>
    <w:rPr>
      <w:b/>
      <w:bCs/>
    </w:rPr>
  </w:style>
  <w:style w:type="character" w:customStyle="1" w:styleId="CommentSubjectChar">
    <w:name w:val="Comment Subject Char"/>
    <w:basedOn w:val="CommentTextChar"/>
    <w:link w:val="CommentSubject"/>
    <w:rsid w:val="00D03835"/>
    <w:rPr>
      <w:b/>
      <w:bCs/>
    </w:rPr>
  </w:style>
  <w:style w:type="paragraph" w:styleId="EndnoteText">
    <w:name w:val="endnote text"/>
    <w:basedOn w:val="Normal"/>
    <w:link w:val="EndnoteTextChar"/>
    <w:rsid w:val="00DA5F6B"/>
    <w:rPr>
      <w:sz w:val="20"/>
    </w:rPr>
  </w:style>
  <w:style w:type="character" w:customStyle="1" w:styleId="EndnoteTextChar">
    <w:name w:val="Endnote Text Char"/>
    <w:basedOn w:val="DefaultParagraphFont"/>
    <w:link w:val="EndnoteText"/>
    <w:rsid w:val="00960C92"/>
    <w:rPr>
      <w:snapToGrid w:val="0"/>
      <w:kern w:val="28"/>
    </w:rPr>
  </w:style>
  <w:style w:type="character" w:styleId="EndnoteReference">
    <w:name w:val="endnote reference"/>
    <w:rsid w:val="00DA5F6B"/>
    <w:rPr>
      <w:vertAlign w:val="superscript"/>
    </w:rPr>
  </w:style>
  <w:style w:type="paragraph" w:styleId="TOAHeading">
    <w:name w:val="toa heading"/>
    <w:basedOn w:val="Normal"/>
    <w:next w:val="Normal"/>
    <w:rsid w:val="00DA5F6B"/>
    <w:pPr>
      <w:tabs>
        <w:tab w:val="right" w:pos="9360"/>
      </w:tabs>
      <w:suppressAutoHyphens/>
    </w:pPr>
  </w:style>
  <w:style w:type="character" w:customStyle="1" w:styleId="EquationCaption">
    <w:name w:val="_Equation Caption"/>
    <w:rsid w:val="00DA5F6B"/>
  </w:style>
  <w:style w:type="paragraph" w:customStyle="1" w:styleId="Paratitle">
    <w:name w:val="Para title"/>
    <w:basedOn w:val="Normal"/>
    <w:rsid w:val="00DA5F6B"/>
    <w:pPr>
      <w:tabs>
        <w:tab w:val="center" w:pos="9270"/>
      </w:tabs>
      <w:spacing w:after="240"/>
    </w:pPr>
    <w:rPr>
      <w:spacing w:val="-2"/>
    </w:rPr>
  </w:style>
  <w:style w:type="paragraph" w:customStyle="1" w:styleId="TOCTitle">
    <w:name w:val="TOC Title"/>
    <w:basedOn w:val="Normal"/>
    <w:rsid w:val="00DA5F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5F6B"/>
    <w:pPr>
      <w:jc w:val="center"/>
    </w:pPr>
    <w:rPr>
      <w:rFonts w:ascii="Times New Roman Bold" w:hAnsi="Times New Roman Bold"/>
      <w:b/>
      <w:bCs/>
      <w:caps/>
      <w:szCs w:val="22"/>
    </w:rPr>
  </w:style>
  <w:style w:type="character" w:styleId="Hyperlink">
    <w:name w:val="Hyperlink"/>
    <w:rsid w:val="00DA5F6B"/>
    <w:rPr>
      <w:color w:val="0000FF"/>
      <w:u w:val="single"/>
    </w:rPr>
  </w:style>
  <w:style w:type="paragraph" w:styleId="Revision">
    <w:name w:val="Revision"/>
    <w:hidden/>
    <w:uiPriority w:val="99"/>
    <w:semiHidden/>
    <w:rsid w:val="0052472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1399">
      <w:bodyDiv w:val="1"/>
      <w:marLeft w:val="0"/>
      <w:marRight w:val="0"/>
      <w:marTop w:val="0"/>
      <w:marBottom w:val="0"/>
      <w:divBdr>
        <w:top w:val="none" w:sz="0" w:space="0" w:color="auto"/>
        <w:left w:val="none" w:sz="0" w:space="0" w:color="auto"/>
        <w:bottom w:val="none" w:sz="0" w:space="0" w:color="auto"/>
        <w:right w:val="none" w:sz="0" w:space="0" w:color="auto"/>
      </w:divBdr>
    </w:div>
    <w:div w:id="1549949843">
      <w:bodyDiv w:val="1"/>
      <w:marLeft w:val="0"/>
      <w:marRight w:val="0"/>
      <w:marTop w:val="0"/>
      <w:marBottom w:val="0"/>
      <w:divBdr>
        <w:top w:val="none" w:sz="0" w:space="0" w:color="auto"/>
        <w:left w:val="none" w:sz="0" w:space="0" w:color="auto"/>
        <w:bottom w:val="none" w:sz="0" w:space="0" w:color="auto"/>
        <w:right w:val="none" w:sz="0" w:space="0" w:color="auto"/>
      </w:divBdr>
      <w:divsChild>
        <w:div w:id="2086493503">
          <w:marLeft w:val="0"/>
          <w:marRight w:val="0"/>
          <w:marTop w:val="0"/>
          <w:marBottom w:val="0"/>
          <w:divBdr>
            <w:top w:val="none" w:sz="0" w:space="0" w:color="auto"/>
            <w:left w:val="none" w:sz="0" w:space="0" w:color="auto"/>
            <w:bottom w:val="none" w:sz="0" w:space="0" w:color="auto"/>
            <w:right w:val="none" w:sz="0" w:space="0" w:color="auto"/>
          </w:divBdr>
          <w:divsChild>
            <w:div w:id="1454207698">
              <w:marLeft w:val="0"/>
              <w:marRight w:val="0"/>
              <w:marTop w:val="0"/>
              <w:marBottom w:val="0"/>
              <w:divBdr>
                <w:top w:val="none" w:sz="0" w:space="0" w:color="auto"/>
                <w:left w:val="none" w:sz="0" w:space="0" w:color="auto"/>
                <w:bottom w:val="none" w:sz="0" w:space="0" w:color="auto"/>
                <w:right w:val="none" w:sz="0" w:space="0" w:color="auto"/>
              </w:divBdr>
              <w:divsChild>
                <w:div w:id="1050152066">
                  <w:marLeft w:val="0"/>
                  <w:marRight w:val="0"/>
                  <w:marTop w:val="0"/>
                  <w:marBottom w:val="0"/>
                  <w:divBdr>
                    <w:top w:val="none" w:sz="0" w:space="0" w:color="auto"/>
                    <w:left w:val="none" w:sz="0" w:space="0" w:color="auto"/>
                    <w:bottom w:val="none" w:sz="0" w:space="0" w:color="auto"/>
                    <w:right w:val="none" w:sz="0" w:space="0" w:color="auto"/>
                  </w:divBdr>
                  <w:divsChild>
                    <w:div w:id="1536692086">
                      <w:marLeft w:val="0"/>
                      <w:marRight w:val="0"/>
                      <w:marTop w:val="0"/>
                      <w:marBottom w:val="0"/>
                      <w:divBdr>
                        <w:top w:val="none" w:sz="0" w:space="0" w:color="auto"/>
                        <w:left w:val="none" w:sz="0" w:space="0" w:color="auto"/>
                        <w:bottom w:val="none" w:sz="0" w:space="0" w:color="auto"/>
                        <w:right w:val="none" w:sz="0" w:space="0" w:color="auto"/>
                      </w:divBdr>
                      <w:divsChild>
                        <w:div w:id="1948731343">
                          <w:marLeft w:val="0"/>
                          <w:marRight w:val="0"/>
                          <w:marTop w:val="0"/>
                          <w:marBottom w:val="0"/>
                          <w:divBdr>
                            <w:top w:val="none" w:sz="0" w:space="0" w:color="auto"/>
                            <w:left w:val="none" w:sz="0" w:space="0" w:color="auto"/>
                            <w:bottom w:val="none" w:sz="0" w:space="0" w:color="auto"/>
                            <w:right w:val="none" w:sz="0" w:space="0" w:color="auto"/>
                          </w:divBdr>
                          <w:divsChild>
                            <w:div w:id="1826816964">
                              <w:marLeft w:val="0"/>
                              <w:marRight w:val="0"/>
                              <w:marTop w:val="0"/>
                              <w:marBottom w:val="0"/>
                              <w:divBdr>
                                <w:top w:val="none" w:sz="0" w:space="0" w:color="auto"/>
                                <w:left w:val="none" w:sz="0" w:space="0" w:color="auto"/>
                                <w:bottom w:val="none" w:sz="0" w:space="0" w:color="auto"/>
                                <w:right w:val="none" w:sz="0" w:space="0" w:color="auto"/>
                              </w:divBdr>
                              <w:divsChild>
                                <w:div w:id="6012561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3062</Words>
  <Characters>16316</Characters>
  <Application>Microsoft Office Word</Application>
  <DocSecurity>0</DocSecurity>
  <Lines>247</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2012-06-28T19:36:00Z</cp:lastPrinted>
  <dcterms:created xsi:type="dcterms:W3CDTF">2014-06-06T19:17:00Z</dcterms:created>
  <dcterms:modified xsi:type="dcterms:W3CDTF">2014-06-06T19:17:00Z</dcterms:modified>
  <cp:category> </cp:category>
  <cp:contentStatus> </cp:contentStatus>
</cp:coreProperties>
</file>