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E66A17" w:rsidRPr="00595BF9">
        <w:tc>
          <w:tcPr>
            <w:tcW w:w="4698" w:type="dxa"/>
          </w:tcPr>
          <w:p w:rsidR="00E66A17" w:rsidRPr="00595BF9" w:rsidRDefault="00E66A17" w:rsidP="00DB6BF4">
            <w:pPr>
              <w:ind w:right="-18"/>
              <w:rPr>
                <w:szCs w:val="22"/>
              </w:rPr>
            </w:pPr>
            <w:r w:rsidRPr="00595BF9">
              <w:rPr>
                <w:szCs w:val="22"/>
              </w:rPr>
              <w:t xml:space="preserve">In the Matter of  </w:t>
            </w:r>
          </w:p>
          <w:p w:rsidR="00E66A17" w:rsidRPr="00595BF9" w:rsidRDefault="00E66A17" w:rsidP="00DB6BF4">
            <w:pPr>
              <w:ind w:right="-18"/>
              <w:rPr>
                <w:szCs w:val="22"/>
              </w:rPr>
            </w:pPr>
          </w:p>
          <w:p w:rsidR="00E66A17" w:rsidRPr="00595BF9" w:rsidRDefault="009C0956" w:rsidP="00DB6BF4">
            <w:pPr>
              <w:ind w:right="-18"/>
              <w:rPr>
                <w:b/>
                <w:szCs w:val="22"/>
              </w:rPr>
            </w:pPr>
            <w:r w:rsidRPr="00595BF9">
              <w:rPr>
                <w:b/>
                <w:szCs w:val="22"/>
              </w:rPr>
              <w:t>New Jersey Public Broadcasting Authority</w:t>
            </w:r>
          </w:p>
          <w:p w:rsidR="00E66A17" w:rsidRPr="00595BF9" w:rsidRDefault="00E66A17" w:rsidP="00DB6BF4">
            <w:pPr>
              <w:ind w:right="-18"/>
              <w:rPr>
                <w:b/>
                <w:szCs w:val="22"/>
              </w:rPr>
            </w:pPr>
          </w:p>
          <w:p w:rsidR="00E66A17" w:rsidRPr="00595BF9" w:rsidRDefault="00E66A17" w:rsidP="00DB6BF4">
            <w:pPr>
              <w:ind w:right="-18"/>
              <w:rPr>
                <w:szCs w:val="22"/>
              </w:rPr>
            </w:pPr>
            <w:r w:rsidRPr="00595BF9">
              <w:rPr>
                <w:szCs w:val="22"/>
              </w:rPr>
              <w:t>Application for a New NCE FM Station at</w:t>
            </w:r>
          </w:p>
          <w:p w:rsidR="00E66A17" w:rsidRPr="00595BF9" w:rsidRDefault="009C0956" w:rsidP="00DB6BF4">
            <w:pPr>
              <w:ind w:right="-18"/>
              <w:rPr>
                <w:szCs w:val="22"/>
              </w:rPr>
            </w:pPr>
            <w:r w:rsidRPr="00595BF9">
              <w:rPr>
                <w:szCs w:val="22"/>
              </w:rPr>
              <w:t>Bernardsville, New Jersey</w:t>
            </w:r>
          </w:p>
          <w:p w:rsidR="00E66A17" w:rsidRPr="00595BF9" w:rsidRDefault="00E66A17" w:rsidP="00DB6BF4">
            <w:pPr>
              <w:ind w:right="-18"/>
              <w:rPr>
                <w:szCs w:val="22"/>
              </w:rPr>
            </w:pPr>
          </w:p>
          <w:p w:rsidR="00E66A17" w:rsidRPr="00595BF9" w:rsidRDefault="00E66A17" w:rsidP="00DB6BF4">
            <w:pPr>
              <w:ind w:right="-18"/>
              <w:rPr>
                <w:szCs w:val="22"/>
              </w:rPr>
            </w:pPr>
            <w:r w:rsidRPr="00595BF9">
              <w:rPr>
                <w:szCs w:val="22"/>
              </w:rPr>
              <w:t>and</w:t>
            </w:r>
          </w:p>
          <w:p w:rsidR="00E66A17" w:rsidRPr="00595BF9" w:rsidRDefault="00E66A17" w:rsidP="00DB6BF4">
            <w:pPr>
              <w:ind w:right="-18"/>
              <w:rPr>
                <w:szCs w:val="22"/>
              </w:rPr>
            </w:pPr>
          </w:p>
          <w:p w:rsidR="00E66A17" w:rsidRPr="00595BF9" w:rsidRDefault="009C0956" w:rsidP="00DB6BF4">
            <w:pPr>
              <w:ind w:right="-18"/>
              <w:rPr>
                <w:b/>
                <w:szCs w:val="22"/>
              </w:rPr>
            </w:pPr>
            <w:r w:rsidRPr="00595BF9">
              <w:rPr>
                <w:b/>
                <w:szCs w:val="22"/>
              </w:rPr>
              <w:t>World Revivals, Inc.</w:t>
            </w:r>
          </w:p>
          <w:p w:rsidR="00E66A17" w:rsidRPr="00595BF9" w:rsidRDefault="00E66A17" w:rsidP="00DB6BF4">
            <w:pPr>
              <w:ind w:right="-18"/>
              <w:rPr>
                <w:szCs w:val="22"/>
              </w:rPr>
            </w:pPr>
          </w:p>
          <w:p w:rsidR="00E66A17" w:rsidRPr="00595BF9" w:rsidRDefault="00E66A17" w:rsidP="00DB6BF4">
            <w:pPr>
              <w:ind w:right="-18"/>
              <w:rPr>
                <w:szCs w:val="22"/>
              </w:rPr>
            </w:pPr>
            <w:r w:rsidRPr="00595BF9">
              <w:rPr>
                <w:szCs w:val="22"/>
              </w:rPr>
              <w:t>Application for a New NCE FM Station at</w:t>
            </w:r>
          </w:p>
          <w:p w:rsidR="00E66A17" w:rsidRPr="00595BF9" w:rsidRDefault="009C0956" w:rsidP="00DB6BF4">
            <w:pPr>
              <w:ind w:right="-18"/>
              <w:rPr>
                <w:szCs w:val="22"/>
              </w:rPr>
            </w:pPr>
            <w:r w:rsidRPr="00595BF9">
              <w:rPr>
                <w:szCs w:val="22"/>
              </w:rPr>
              <w:t>Chatham, New Jersey</w:t>
            </w:r>
          </w:p>
          <w:p w:rsidR="00E66A17" w:rsidRPr="00595BF9" w:rsidRDefault="00E66A17" w:rsidP="00DB6BF4">
            <w:pPr>
              <w:ind w:right="-18"/>
              <w:rPr>
                <w:b/>
                <w:szCs w:val="22"/>
              </w:rPr>
            </w:pPr>
            <w:r w:rsidRPr="00595BF9">
              <w:rPr>
                <w:szCs w:val="22"/>
              </w:rPr>
              <w:t xml:space="preserve">                                            </w:t>
            </w:r>
          </w:p>
        </w:tc>
        <w:tc>
          <w:tcPr>
            <w:tcW w:w="630" w:type="dxa"/>
          </w:tcPr>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w:t>
            </w:r>
          </w:p>
          <w:p w:rsidR="00E66A17" w:rsidRPr="00595BF9" w:rsidRDefault="00E66A17" w:rsidP="00DB6BF4">
            <w:pPr>
              <w:rPr>
                <w:b/>
                <w:szCs w:val="22"/>
              </w:rPr>
            </w:pPr>
            <w:r w:rsidRPr="00595BF9">
              <w:rPr>
                <w:b/>
                <w:szCs w:val="22"/>
              </w:rPr>
              <w:t xml:space="preserve">) </w:t>
            </w:r>
          </w:p>
        </w:tc>
        <w:tc>
          <w:tcPr>
            <w:tcW w:w="4248" w:type="dxa"/>
          </w:tcPr>
          <w:p w:rsidR="00E66A17" w:rsidRPr="00595BF9" w:rsidRDefault="00E66A17" w:rsidP="00DB6BF4">
            <w:pPr>
              <w:rPr>
                <w:szCs w:val="22"/>
              </w:rPr>
            </w:pPr>
          </w:p>
          <w:p w:rsidR="00E66A17" w:rsidRPr="00595BF9" w:rsidRDefault="00E66A17" w:rsidP="00DB6BF4">
            <w:pPr>
              <w:rPr>
                <w:szCs w:val="22"/>
              </w:rPr>
            </w:pPr>
          </w:p>
          <w:p w:rsidR="00E66A17" w:rsidRPr="00595BF9" w:rsidRDefault="00E66A17" w:rsidP="00DB6BF4">
            <w:pPr>
              <w:rPr>
                <w:szCs w:val="22"/>
              </w:rPr>
            </w:pPr>
            <w:r w:rsidRPr="00595BF9">
              <w:rPr>
                <w:szCs w:val="22"/>
              </w:rPr>
              <w:t xml:space="preserve">NCE MX Group No. </w:t>
            </w:r>
            <w:r w:rsidR="00CD337D" w:rsidRPr="00595BF9">
              <w:rPr>
                <w:szCs w:val="22"/>
              </w:rPr>
              <w:t>980911</w:t>
            </w:r>
          </w:p>
          <w:p w:rsidR="00E66A17" w:rsidRPr="00595BF9" w:rsidRDefault="00E66A17" w:rsidP="00DB6BF4">
            <w:pPr>
              <w:rPr>
                <w:szCs w:val="22"/>
              </w:rPr>
            </w:pPr>
          </w:p>
          <w:p w:rsidR="00E66A17" w:rsidRPr="00595BF9" w:rsidRDefault="00E66A17" w:rsidP="00DB6BF4">
            <w:pPr>
              <w:rPr>
                <w:szCs w:val="22"/>
              </w:rPr>
            </w:pPr>
            <w:r w:rsidRPr="00595BF9">
              <w:rPr>
                <w:szCs w:val="22"/>
              </w:rPr>
              <w:t xml:space="preserve">File No. </w:t>
            </w:r>
            <w:r w:rsidR="00CD337D" w:rsidRPr="00595BF9">
              <w:rPr>
                <w:szCs w:val="22"/>
              </w:rPr>
              <w:t>BPED-19990716MB</w:t>
            </w:r>
          </w:p>
          <w:p w:rsidR="00E66A17" w:rsidRPr="00595BF9" w:rsidRDefault="00E66A17" w:rsidP="00DB6BF4">
            <w:pPr>
              <w:rPr>
                <w:szCs w:val="22"/>
              </w:rPr>
            </w:pPr>
            <w:r w:rsidRPr="00595BF9">
              <w:rPr>
                <w:szCs w:val="22"/>
              </w:rPr>
              <w:t xml:space="preserve">Facility I.D. No. </w:t>
            </w:r>
            <w:r w:rsidR="00CD337D" w:rsidRPr="00595BF9">
              <w:rPr>
                <w:szCs w:val="22"/>
              </w:rPr>
              <w:t>93886</w:t>
            </w:r>
            <w:r w:rsidRPr="00595BF9">
              <w:rPr>
                <w:szCs w:val="22"/>
              </w:rPr>
              <w:t xml:space="preserve">              </w:t>
            </w:r>
          </w:p>
          <w:p w:rsidR="00E66A17" w:rsidRPr="00595BF9" w:rsidRDefault="00E66A17" w:rsidP="00DB6BF4">
            <w:pPr>
              <w:rPr>
                <w:szCs w:val="22"/>
              </w:rPr>
            </w:pPr>
          </w:p>
          <w:p w:rsidR="00E66A17" w:rsidRPr="00595BF9" w:rsidRDefault="00E66A17" w:rsidP="00DB6BF4">
            <w:pPr>
              <w:rPr>
                <w:szCs w:val="22"/>
              </w:rPr>
            </w:pPr>
          </w:p>
          <w:p w:rsidR="00E66A17" w:rsidRPr="00595BF9" w:rsidRDefault="00E66A17" w:rsidP="00DB6BF4">
            <w:pPr>
              <w:rPr>
                <w:szCs w:val="22"/>
              </w:rPr>
            </w:pPr>
          </w:p>
          <w:p w:rsidR="00E66A17" w:rsidRPr="00595BF9" w:rsidRDefault="00E66A17" w:rsidP="00DB6BF4">
            <w:pPr>
              <w:rPr>
                <w:szCs w:val="22"/>
              </w:rPr>
            </w:pPr>
          </w:p>
          <w:p w:rsidR="00E66A17" w:rsidRPr="00595BF9" w:rsidRDefault="00E66A17" w:rsidP="00DB6BF4">
            <w:pPr>
              <w:rPr>
                <w:szCs w:val="22"/>
              </w:rPr>
            </w:pPr>
          </w:p>
          <w:p w:rsidR="00E66A17" w:rsidRPr="00595BF9" w:rsidRDefault="00E66A17" w:rsidP="00DB6BF4">
            <w:pPr>
              <w:rPr>
                <w:szCs w:val="22"/>
              </w:rPr>
            </w:pPr>
            <w:r w:rsidRPr="00595BF9">
              <w:rPr>
                <w:szCs w:val="22"/>
              </w:rPr>
              <w:t xml:space="preserve">File No. </w:t>
            </w:r>
            <w:r w:rsidR="00CD337D" w:rsidRPr="00595BF9">
              <w:rPr>
                <w:szCs w:val="22"/>
              </w:rPr>
              <w:t>BPED-19980923MB</w:t>
            </w:r>
          </w:p>
          <w:p w:rsidR="00E66A17" w:rsidRPr="00595BF9" w:rsidRDefault="00E66A17" w:rsidP="00DB6BF4">
            <w:pPr>
              <w:rPr>
                <w:szCs w:val="22"/>
              </w:rPr>
            </w:pPr>
            <w:r w:rsidRPr="00595BF9">
              <w:rPr>
                <w:szCs w:val="22"/>
              </w:rPr>
              <w:t xml:space="preserve">Facility ID No. </w:t>
            </w:r>
            <w:r w:rsidR="00CD337D" w:rsidRPr="00595BF9">
              <w:rPr>
                <w:szCs w:val="22"/>
              </w:rPr>
              <w:t>91708</w:t>
            </w:r>
          </w:p>
          <w:p w:rsidR="00E66A17" w:rsidRPr="00595BF9" w:rsidRDefault="00E66A17" w:rsidP="00DB6BF4">
            <w:pPr>
              <w:rPr>
                <w:szCs w:val="22"/>
              </w:rPr>
            </w:pPr>
          </w:p>
        </w:tc>
      </w:tr>
    </w:tbl>
    <w:p w:rsidR="00841AB1" w:rsidRPr="00595BF9" w:rsidRDefault="00E66A17" w:rsidP="00F021FA">
      <w:pPr>
        <w:pStyle w:val="StyleBoldCentered"/>
        <w:rPr>
          <w:rFonts w:ascii="Times New Roman" w:hAnsi="Times New Roman"/>
        </w:rPr>
      </w:pPr>
      <w:r w:rsidRPr="00595BF9">
        <w:rPr>
          <w:rFonts w:ascii="Times New Roman" w:hAnsi="Times New Roman"/>
        </w:rPr>
        <w:t>MEMORANDUM OPINION AND ORDER</w:t>
      </w:r>
    </w:p>
    <w:p w:rsidR="004C2EE3" w:rsidRPr="00595BF9" w:rsidRDefault="004C2EE3">
      <w:pPr>
        <w:tabs>
          <w:tab w:val="left" w:pos="-720"/>
        </w:tabs>
        <w:suppressAutoHyphens/>
        <w:spacing w:line="227" w:lineRule="auto"/>
        <w:rPr>
          <w:spacing w:val="-2"/>
        </w:rPr>
      </w:pPr>
    </w:p>
    <w:p w:rsidR="004C2EE3" w:rsidRPr="00595BF9" w:rsidRDefault="004C2EE3" w:rsidP="00133F79">
      <w:pPr>
        <w:tabs>
          <w:tab w:val="left" w:pos="720"/>
          <w:tab w:val="right" w:pos="9360"/>
        </w:tabs>
        <w:suppressAutoHyphens/>
        <w:spacing w:line="227" w:lineRule="auto"/>
        <w:rPr>
          <w:spacing w:val="-2"/>
        </w:rPr>
      </w:pPr>
      <w:r w:rsidRPr="00595BF9">
        <w:rPr>
          <w:b/>
          <w:spacing w:val="-2"/>
        </w:rPr>
        <w:t xml:space="preserve">Adopted:  </w:t>
      </w:r>
      <w:r w:rsidR="00291226">
        <w:rPr>
          <w:b/>
          <w:spacing w:val="-2"/>
        </w:rPr>
        <w:t>June 9, 2014</w:t>
      </w:r>
      <w:r w:rsidRPr="00595BF9">
        <w:rPr>
          <w:b/>
          <w:spacing w:val="-2"/>
        </w:rPr>
        <w:tab/>
      </w:r>
      <w:r w:rsidR="00822CE0" w:rsidRPr="00595BF9">
        <w:rPr>
          <w:b/>
          <w:spacing w:val="-2"/>
        </w:rPr>
        <w:t>Released</w:t>
      </w:r>
      <w:r w:rsidRPr="00595BF9">
        <w:rPr>
          <w:b/>
          <w:spacing w:val="-2"/>
        </w:rPr>
        <w:t>:</w:t>
      </w:r>
      <w:r w:rsidR="00822CE0" w:rsidRPr="00595BF9">
        <w:rPr>
          <w:b/>
          <w:spacing w:val="-2"/>
        </w:rPr>
        <w:t xml:space="preserve"> </w:t>
      </w:r>
      <w:r w:rsidRPr="00595BF9">
        <w:rPr>
          <w:b/>
          <w:spacing w:val="-2"/>
        </w:rPr>
        <w:t xml:space="preserve"> </w:t>
      </w:r>
      <w:r w:rsidR="00291226">
        <w:rPr>
          <w:b/>
          <w:spacing w:val="-2"/>
        </w:rPr>
        <w:t>June 10, 2014</w:t>
      </w:r>
    </w:p>
    <w:p w:rsidR="00822CE0" w:rsidRPr="00595BF9" w:rsidRDefault="00822CE0"/>
    <w:p w:rsidR="004C2EE3" w:rsidRPr="00595BF9" w:rsidRDefault="004C2EE3">
      <w:pPr>
        <w:rPr>
          <w:spacing w:val="-2"/>
        </w:rPr>
      </w:pPr>
      <w:r w:rsidRPr="00595BF9">
        <w:t xml:space="preserve">By </w:t>
      </w:r>
      <w:r w:rsidR="004E4A22" w:rsidRPr="00595BF9">
        <w:t>the</w:t>
      </w:r>
      <w:r w:rsidR="002A2D2E" w:rsidRPr="00595BF9">
        <w:t xml:space="preserve"> </w:t>
      </w:r>
      <w:r w:rsidR="00E66A17" w:rsidRPr="00595BF9">
        <w:rPr>
          <w:spacing w:val="-2"/>
        </w:rPr>
        <w:t>Commission</w:t>
      </w:r>
      <w:r w:rsidRPr="00595BF9">
        <w:rPr>
          <w:spacing w:val="-2"/>
        </w:rPr>
        <w:t>:</w:t>
      </w:r>
    </w:p>
    <w:p w:rsidR="00822CE0" w:rsidRDefault="00822CE0">
      <w:pPr>
        <w:rPr>
          <w:spacing w:val="-2"/>
        </w:rPr>
      </w:pPr>
    </w:p>
    <w:p w:rsidR="00B332CC" w:rsidRPr="009C5BEF" w:rsidRDefault="00E66A17" w:rsidP="00DF3BE1">
      <w:pPr>
        <w:pStyle w:val="ParaNum"/>
      </w:pPr>
      <w:r w:rsidRPr="009C5BEF">
        <w:t xml:space="preserve">The Commission has before it </w:t>
      </w:r>
      <w:r w:rsidR="00E73963" w:rsidRPr="009C5BEF">
        <w:t>the</w:t>
      </w:r>
      <w:r w:rsidRPr="009C5BEF">
        <w:t xml:space="preserve"> Application for Review (“AFR”) filed by </w:t>
      </w:r>
      <w:r w:rsidR="005C7DDE" w:rsidRPr="009C5BEF">
        <w:t>World Revivals, Inc.</w:t>
      </w:r>
      <w:r w:rsidRPr="009C5BEF">
        <w:t xml:space="preserve"> (“</w:t>
      </w:r>
      <w:r w:rsidR="005C7DDE" w:rsidRPr="009C5BEF">
        <w:t>WRI</w:t>
      </w:r>
      <w:r w:rsidRPr="009C5BEF">
        <w:t>”)</w:t>
      </w:r>
      <w:r w:rsidR="005C7DDE" w:rsidRPr="009C5BEF">
        <w:t>,</w:t>
      </w:r>
      <w:r w:rsidRPr="009C5BEF">
        <w:t xml:space="preserve"> on </w:t>
      </w:r>
      <w:r w:rsidR="005C7DDE" w:rsidRPr="009C5BEF">
        <w:t>October 13, 2011</w:t>
      </w:r>
      <w:r w:rsidRPr="009C5BEF">
        <w:t xml:space="preserve">.  In the AFR, </w:t>
      </w:r>
      <w:r w:rsidR="005C7DDE" w:rsidRPr="009C5BEF">
        <w:t xml:space="preserve">WRI </w:t>
      </w:r>
      <w:r w:rsidRPr="009C5BEF">
        <w:t xml:space="preserve">seeks review of a </w:t>
      </w:r>
      <w:r w:rsidR="009E6AE0" w:rsidRPr="009C5BEF">
        <w:t xml:space="preserve">September 30, 2011, </w:t>
      </w:r>
      <w:r w:rsidR="009106B2" w:rsidRPr="009C5BEF">
        <w:t xml:space="preserve">Media </w:t>
      </w:r>
      <w:r w:rsidRPr="009C5BEF">
        <w:t>Bureau</w:t>
      </w:r>
      <w:r w:rsidR="009106B2" w:rsidRPr="009C5BEF">
        <w:t xml:space="preserve"> (“Bureau”)</w:t>
      </w:r>
      <w:r w:rsidRPr="009C5BEF">
        <w:t xml:space="preserve"> decision</w:t>
      </w:r>
      <w:r w:rsidR="009106B2" w:rsidRPr="00595BF9">
        <w:rPr>
          <w:rStyle w:val="FootnoteReference"/>
          <w:sz w:val="22"/>
          <w:szCs w:val="22"/>
        </w:rPr>
        <w:footnoteReference w:id="2"/>
      </w:r>
      <w:r w:rsidRPr="009C5BEF">
        <w:t xml:space="preserve"> that </w:t>
      </w:r>
      <w:r w:rsidR="00626BAD" w:rsidRPr="009C5BEF">
        <w:t xml:space="preserve">affirmed a prior </w:t>
      </w:r>
      <w:r w:rsidR="00E077A7" w:rsidRPr="009C5BEF">
        <w:t>decision</w:t>
      </w:r>
      <w:r w:rsidR="004A1A4E" w:rsidRPr="00595BF9">
        <w:rPr>
          <w:rStyle w:val="FootnoteReference"/>
          <w:sz w:val="22"/>
          <w:szCs w:val="22"/>
        </w:rPr>
        <w:footnoteReference w:id="3"/>
      </w:r>
      <w:r w:rsidR="00E077A7" w:rsidRPr="009C5BEF">
        <w:t xml:space="preserve"> </w:t>
      </w:r>
      <w:r w:rsidR="004A1A4E" w:rsidRPr="009C5BEF">
        <w:t>that</w:t>
      </w:r>
      <w:r w:rsidR="00626BAD" w:rsidRPr="009C5BEF">
        <w:t>: 1)</w:t>
      </w:r>
      <w:r w:rsidR="004A1A4E" w:rsidRPr="009C5BEF">
        <w:t xml:space="preserve"> denied</w:t>
      </w:r>
      <w:r w:rsidR="00E077A7" w:rsidRPr="009C5BEF">
        <w:t xml:space="preserve"> </w:t>
      </w:r>
      <w:r w:rsidR="004A1A4E" w:rsidRPr="009C5BEF">
        <w:t>WRI’s Petition to Deny</w:t>
      </w:r>
      <w:r w:rsidR="00EF7D44" w:rsidRPr="009C5BEF">
        <w:t xml:space="preserve"> (“Petition”)</w:t>
      </w:r>
      <w:r w:rsidR="004A1A4E" w:rsidRPr="009C5BEF">
        <w:t xml:space="preserve"> the application of New Jersey Public Broadcasting Authority (“NJ</w:t>
      </w:r>
      <w:r w:rsidR="003968CD" w:rsidRPr="009C5BEF">
        <w:t>P</w:t>
      </w:r>
      <w:r w:rsidR="004A1A4E" w:rsidRPr="009C5BEF">
        <w:t xml:space="preserve">BA”) for a new noncommercial </w:t>
      </w:r>
      <w:r w:rsidR="0057176D">
        <w:t xml:space="preserve">educational </w:t>
      </w:r>
      <w:r w:rsidR="004A1A4E" w:rsidRPr="009C5BEF">
        <w:t>FM station at Bernardsville, New Jersey</w:t>
      </w:r>
      <w:r w:rsidR="003968CD" w:rsidRPr="009C5BEF">
        <w:t xml:space="preserve"> (“NJPBA Application”)</w:t>
      </w:r>
      <w:r w:rsidR="004A1A4E" w:rsidRPr="009C5BEF">
        <w:t xml:space="preserve">; </w:t>
      </w:r>
      <w:r w:rsidR="00626BAD" w:rsidRPr="009C5BEF">
        <w:t>2) granted the NJPBA Application;</w:t>
      </w:r>
      <w:r w:rsidR="004A1A4E" w:rsidRPr="009C5BEF">
        <w:t xml:space="preserve"> and </w:t>
      </w:r>
      <w:r w:rsidR="00626BAD" w:rsidRPr="009C5BEF">
        <w:t xml:space="preserve">3) </w:t>
      </w:r>
      <w:r w:rsidR="004A1A4E" w:rsidRPr="009C5BEF">
        <w:t xml:space="preserve">dismissed </w:t>
      </w:r>
      <w:r w:rsidR="0057176D">
        <w:t xml:space="preserve">WRI’s competing application for </w:t>
      </w:r>
      <w:r w:rsidR="004A1A4E" w:rsidRPr="009C5BEF">
        <w:t>a new station at Chatham, New Jersey.</w:t>
      </w:r>
      <w:r w:rsidR="009C5BEF" w:rsidRPr="009C5BEF">
        <w:t xml:space="preserve">  </w:t>
      </w:r>
      <w:r w:rsidR="00D02441" w:rsidRPr="009C5BEF">
        <w:t xml:space="preserve">In the AFR, WRI </w:t>
      </w:r>
      <w:r w:rsidR="009C5BEF">
        <w:t xml:space="preserve">again </w:t>
      </w:r>
      <w:r w:rsidR="00D02441" w:rsidRPr="009C5BEF">
        <w:t xml:space="preserve">argues that </w:t>
      </w:r>
      <w:r w:rsidR="009C5BEF" w:rsidRPr="009C5BEF">
        <w:t xml:space="preserve">Bureau erred in finding that </w:t>
      </w:r>
      <w:r w:rsidR="00D02441" w:rsidRPr="009C5BEF">
        <w:t xml:space="preserve">NJPBA </w:t>
      </w:r>
      <w:r w:rsidR="009C5BEF" w:rsidRPr="009C5BEF">
        <w:t>had</w:t>
      </w:r>
      <w:r w:rsidR="00D02441" w:rsidRPr="009C5BEF">
        <w:t xml:space="preserve"> reasonable assurance of site availability </w:t>
      </w:r>
      <w:r w:rsidR="009C5BEF" w:rsidRPr="009C5BEF">
        <w:t>at the time it filed its application.</w:t>
      </w:r>
      <w:r w:rsidR="009C5BEF">
        <w:rPr>
          <w:rStyle w:val="FootnoteReference"/>
          <w:szCs w:val="22"/>
        </w:rPr>
        <w:footnoteReference w:id="4"/>
      </w:r>
      <w:r w:rsidR="00D02441" w:rsidRPr="009C5BEF">
        <w:t xml:space="preserve">  </w:t>
      </w:r>
      <w:r w:rsidR="009C5BEF" w:rsidRPr="009C5BEF">
        <w:t xml:space="preserve">WRI argues that the NJPBA Application should be denied and its own application granted.  </w:t>
      </w:r>
    </w:p>
    <w:p w:rsidR="003D3850" w:rsidRDefault="003D3850" w:rsidP="00DF3BE1">
      <w:pPr>
        <w:pStyle w:val="ParaNum"/>
      </w:pPr>
      <w:r w:rsidRPr="00595BF9">
        <w:t xml:space="preserve">Upon review of </w:t>
      </w:r>
      <w:r w:rsidR="00DE0C4B">
        <w:t>the AFR</w:t>
      </w:r>
      <w:r w:rsidR="00B332CC" w:rsidRPr="00595BF9">
        <w:t xml:space="preserve"> and the entire record</w:t>
      </w:r>
      <w:r w:rsidR="00DE0C4B">
        <w:t>,</w:t>
      </w:r>
      <w:r w:rsidR="00B332CC" w:rsidRPr="00595BF9">
        <w:t xml:space="preserve"> we</w:t>
      </w:r>
      <w:r w:rsidR="0090297A" w:rsidRPr="00595BF9">
        <w:t xml:space="preserve"> </w:t>
      </w:r>
      <w:r w:rsidR="009815B1">
        <w:t xml:space="preserve">conclude that WRI has failed to demonstrate that the Bureau erred.  </w:t>
      </w:r>
      <w:r w:rsidRPr="00595BF9">
        <w:t xml:space="preserve">We </w:t>
      </w:r>
      <w:r w:rsidR="00B332CC" w:rsidRPr="00595BF9">
        <w:t xml:space="preserve">thus </w:t>
      </w:r>
      <w:r w:rsidRPr="00595BF9">
        <w:t xml:space="preserve">uphold the Bureau’s decisions for the reasons stated in the </w:t>
      </w:r>
      <w:r w:rsidRPr="00595BF9">
        <w:rPr>
          <w:i/>
        </w:rPr>
        <w:t>Staff Decision</w:t>
      </w:r>
      <w:r w:rsidRPr="00595BF9">
        <w:t xml:space="preserve"> and the </w:t>
      </w:r>
      <w:r w:rsidRPr="00595BF9">
        <w:rPr>
          <w:i/>
        </w:rPr>
        <w:t>Reconsideration Decision</w:t>
      </w:r>
      <w:r w:rsidRPr="00595BF9">
        <w:t>.</w:t>
      </w:r>
      <w:r w:rsidR="00867AB1">
        <w:rPr>
          <w:rStyle w:val="FootnoteReference"/>
          <w:szCs w:val="22"/>
        </w:rPr>
        <w:footnoteReference w:id="5"/>
      </w:r>
    </w:p>
    <w:p w:rsidR="00ED1C63" w:rsidRPr="00595BF9" w:rsidRDefault="00ED1C63" w:rsidP="00DF3BE1">
      <w:pPr>
        <w:pStyle w:val="ParaNum"/>
      </w:pPr>
      <w:r w:rsidRPr="00595BF9">
        <w:lastRenderedPageBreak/>
        <w:t>ACCORDINGLY, IT IS ORDERED that, pursuant to Section 5(c)(5) of the Communications Act of 1934, as amended,</w:t>
      </w:r>
      <w:r w:rsidRPr="00595BF9">
        <w:rPr>
          <w:rStyle w:val="FootnoteReference"/>
          <w:sz w:val="22"/>
          <w:szCs w:val="22"/>
        </w:rPr>
        <w:footnoteReference w:id="6"/>
      </w:r>
      <w:r w:rsidRPr="00595BF9">
        <w:t xml:space="preserve"> and Section 1.115(g) of the Commission’s Rules</w:t>
      </w:r>
      <w:r w:rsidR="00953FDF">
        <w:t>,</w:t>
      </w:r>
      <w:r w:rsidRPr="00595BF9">
        <w:rPr>
          <w:rStyle w:val="FootnoteReference"/>
          <w:sz w:val="22"/>
          <w:szCs w:val="22"/>
        </w:rPr>
        <w:footnoteReference w:id="7"/>
      </w:r>
      <w:r w:rsidRPr="00595BF9">
        <w:t xml:space="preserve"> the Application for Review filed by World Revivals, Inc., IS DENIED. </w:t>
      </w:r>
    </w:p>
    <w:p w:rsidR="00E66A17" w:rsidRPr="006358C3" w:rsidRDefault="00E66A17" w:rsidP="00E66A17">
      <w:r w:rsidRPr="006358C3">
        <w:tab/>
      </w:r>
      <w:r w:rsidRPr="006358C3">
        <w:tab/>
      </w:r>
      <w:r w:rsidRPr="006358C3">
        <w:tab/>
      </w:r>
      <w:r w:rsidRPr="006358C3">
        <w:tab/>
      </w:r>
      <w:r w:rsidRPr="006358C3">
        <w:tab/>
      </w:r>
      <w:r w:rsidRPr="006358C3">
        <w:tab/>
        <w:t>FEDERAL COMMUNICATIONS COMMISSION</w:t>
      </w:r>
    </w:p>
    <w:p w:rsidR="00E66A17" w:rsidRDefault="00E66A17" w:rsidP="00E66A17"/>
    <w:p w:rsidR="00E66A17" w:rsidRDefault="00E66A17" w:rsidP="00E66A17"/>
    <w:p w:rsidR="00E66A17" w:rsidRPr="006358C3" w:rsidRDefault="00E66A17" w:rsidP="00E66A17"/>
    <w:p w:rsidR="00E66A17" w:rsidRPr="006358C3" w:rsidRDefault="00E66A17" w:rsidP="00E66A17">
      <w:r>
        <w:t xml:space="preserve"> </w:t>
      </w:r>
      <w:r>
        <w:tab/>
      </w:r>
      <w:r>
        <w:tab/>
      </w:r>
      <w:r>
        <w:tab/>
      </w:r>
      <w:r>
        <w:tab/>
      </w:r>
      <w:r>
        <w:tab/>
      </w:r>
      <w:r>
        <w:tab/>
      </w:r>
      <w:r w:rsidRPr="006358C3">
        <w:t>Marlene H. Dortch</w:t>
      </w:r>
    </w:p>
    <w:p w:rsidR="00E66A17" w:rsidRPr="006358C3" w:rsidRDefault="00E66A17" w:rsidP="00E66A17">
      <w:r>
        <w:t xml:space="preserve"> </w:t>
      </w:r>
      <w:r>
        <w:tab/>
      </w:r>
      <w:r>
        <w:tab/>
      </w:r>
      <w:r>
        <w:tab/>
      </w:r>
      <w:r>
        <w:tab/>
      </w:r>
      <w:r>
        <w:tab/>
      </w:r>
      <w:r>
        <w:tab/>
      </w:r>
      <w:r w:rsidRPr="006358C3">
        <w:t>Secretary</w:t>
      </w:r>
    </w:p>
    <w:sectPr w:rsidR="00E66A17" w:rsidRPr="006358C3"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B1" w:rsidRDefault="00867AB1">
      <w:pPr>
        <w:spacing w:line="20" w:lineRule="exact"/>
      </w:pPr>
    </w:p>
  </w:endnote>
  <w:endnote w:type="continuationSeparator" w:id="0">
    <w:p w:rsidR="00867AB1" w:rsidRDefault="00867AB1">
      <w:r>
        <w:t xml:space="preserve"> </w:t>
      </w:r>
    </w:p>
  </w:endnote>
  <w:endnote w:type="continuationNotice" w:id="1">
    <w:p w:rsidR="00867AB1" w:rsidRDefault="00867A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B1" w:rsidRDefault="00867AB1" w:rsidP="0055614C">
    <w:pPr>
      <w:pStyle w:val="Footer"/>
      <w:framePr w:wrap="around" w:vAnchor="text" w:hAnchor="margin" w:xAlign="center" w:y="1"/>
    </w:pPr>
    <w:r>
      <w:fldChar w:fldCharType="begin"/>
    </w:r>
    <w:r>
      <w:instrText xml:space="preserve">PAGE  </w:instrText>
    </w:r>
    <w:r>
      <w:fldChar w:fldCharType="end"/>
    </w:r>
  </w:p>
  <w:p w:rsidR="00867AB1" w:rsidRDefault="00867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B1" w:rsidRDefault="00867AB1" w:rsidP="0055614C">
    <w:pPr>
      <w:pStyle w:val="Footer"/>
      <w:framePr w:wrap="around" w:vAnchor="text" w:hAnchor="margin" w:xAlign="center" w:y="1"/>
    </w:pPr>
    <w:r>
      <w:fldChar w:fldCharType="begin"/>
    </w:r>
    <w:r>
      <w:instrText xml:space="preserve">PAGE  </w:instrText>
    </w:r>
    <w:r>
      <w:fldChar w:fldCharType="separate"/>
    </w:r>
    <w:r w:rsidR="00B70E49">
      <w:rPr>
        <w:noProof/>
      </w:rPr>
      <w:t>2</w:t>
    </w:r>
    <w:r>
      <w:fldChar w:fldCharType="end"/>
    </w:r>
  </w:p>
  <w:p w:rsidR="00867AB1" w:rsidRDefault="00867AB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B1" w:rsidRDefault="00867AB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B1" w:rsidRDefault="00867AB1">
      <w:r>
        <w:separator/>
      </w:r>
    </w:p>
  </w:footnote>
  <w:footnote w:type="continuationSeparator" w:id="0">
    <w:p w:rsidR="00867AB1" w:rsidRDefault="00867AB1" w:rsidP="00C721AC">
      <w:pPr>
        <w:spacing w:before="120"/>
        <w:rPr>
          <w:sz w:val="20"/>
        </w:rPr>
      </w:pPr>
      <w:r>
        <w:rPr>
          <w:sz w:val="20"/>
        </w:rPr>
        <w:t xml:space="preserve">(Continued from previous page)  </w:t>
      </w:r>
      <w:r>
        <w:rPr>
          <w:sz w:val="20"/>
        </w:rPr>
        <w:separator/>
      </w:r>
    </w:p>
  </w:footnote>
  <w:footnote w:type="continuationNotice" w:id="1">
    <w:p w:rsidR="00867AB1" w:rsidRDefault="00867AB1" w:rsidP="00C721AC">
      <w:pPr>
        <w:jc w:val="right"/>
        <w:rPr>
          <w:sz w:val="20"/>
        </w:rPr>
      </w:pPr>
      <w:r>
        <w:rPr>
          <w:sz w:val="20"/>
        </w:rPr>
        <w:t>(continued….)</w:t>
      </w:r>
    </w:p>
  </w:footnote>
  <w:footnote w:id="2">
    <w:p w:rsidR="00867AB1" w:rsidRPr="007C017E" w:rsidRDefault="00867AB1" w:rsidP="009106B2">
      <w:pPr>
        <w:pStyle w:val="FootnoteText"/>
      </w:pPr>
      <w:r w:rsidRPr="00FD5A10">
        <w:rPr>
          <w:rStyle w:val="FootnoteReference"/>
        </w:rPr>
        <w:footnoteRef/>
      </w:r>
      <w:r w:rsidRPr="00FD5A10">
        <w:t xml:space="preserve"> </w:t>
      </w:r>
      <w:r>
        <w:rPr>
          <w:i/>
        </w:rPr>
        <w:t>NCE MX Group 980911</w:t>
      </w:r>
      <w:r w:rsidRPr="00FD5A10">
        <w:t>, Letter, Ref. 1800B3-</w:t>
      </w:r>
      <w:r>
        <w:t>SS</w:t>
      </w:r>
      <w:r w:rsidRPr="00FD5A10">
        <w:t xml:space="preserve"> (MB </w:t>
      </w:r>
      <w:r>
        <w:t>Sept</w:t>
      </w:r>
      <w:r w:rsidRPr="00FD5A10">
        <w:t xml:space="preserve">. </w:t>
      </w:r>
      <w:r>
        <w:t>30</w:t>
      </w:r>
      <w:r w:rsidRPr="00FD5A10">
        <w:t>, 201</w:t>
      </w:r>
      <w:r>
        <w:t>1</w:t>
      </w:r>
      <w:r w:rsidRPr="00FD5A10">
        <w:t>) (“</w:t>
      </w:r>
      <w:r>
        <w:rPr>
          <w:i/>
        </w:rPr>
        <w:t xml:space="preserve">Reconsideration </w:t>
      </w:r>
      <w:r w:rsidRPr="00FD5A10">
        <w:rPr>
          <w:i/>
        </w:rPr>
        <w:t>Decision</w:t>
      </w:r>
      <w:r w:rsidRPr="00FD5A10">
        <w:t xml:space="preserve">”).  </w:t>
      </w:r>
      <w:r w:rsidRPr="00FD5A10">
        <w:rPr>
          <w:i/>
        </w:rPr>
        <w:t>See also Broadcast Actions</w:t>
      </w:r>
      <w:r w:rsidRPr="00FD5A10">
        <w:t>, Report No. 47368 (MB Nov. 23, 2010).</w:t>
      </w:r>
      <w:r>
        <w:t xml:space="preserve">  </w:t>
      </w:r>
    </w:p>
  </w:footnote>
  <w:footnote w:id="3">
    <w:p w:rsidR="00867AB1" w:rsidRPr="009C5BEF" w:rsidRDefault="00867AB1">
      <w:pPr>
        <w:pStyle w:val="FootnoteText"/>
      </w:pPr>
      <w:r>
        <w:rPr>
          <w:rStyle w:val="FootnoteReference"/>
        </w:rPr>
        <w:footnoteRef/>
      </w:r>
      <w:r>
        <w:t xml:space="preserve"> </w:t>
      </w:r>
      <w:r>
        <w:rPr>
          <w:i/>
        </w:rPr>
        <w:t>NCE MX Group 980911</w:t>
      </w:r>
      <w:r>
        <w:t>, Letter, 24 FCC Rcd 2835 (MB 2009) (“</w:t>
      </w:r>
      <w:r>
        <w:rPr>
          <w:i/>
        </w:rPr>
        <w:t>Staff Decision</w:t>
      </w:r>
      <w:r>
        <w:t xml:space="preserve">”).  </w:t>
      </w:r>
    </w:p>
  </w:footnote>
  <w:footnote w:id="4">
    <w:p w:rsidR="00867AB1" w:rsidRPr="0013473E" w:rsidRDefault="00867AB1">
      <w:pPr>
        <w:pStyle w:val="FootnoteText"/>
      </w:pPr>
      <w:r>
        <w:rPr>
          <w:rStyle w:val="FootnoteReference"/>
        </w:rPr>
        <w:footnoteRef/>
      </w:r>
      <w:r>
        <w:t xml:space="preserve"> The Bureau rejected WRI’s argument based on the </w:t>
      </w:r>
      <w:r>
        <w:rPr>
          <w:szCs w:val="22"/>
        </w:rPr>
        <w:t xml:space="preserve">declaration of Charles W. Loughery, NJPBA’s System Manager, and the accompanying supporting documents, which outline the steps NJPBA took to obtain permission to use the tower site identified in the NJPBA Application.  </w:t>
      </w:r>
      <w:r>
        <w:rPr>
          <w:i/>
          <w:szCs w:val="22"/>
        </w:rPr>
        <w:t>Staff Decision</w:t>
      </w:r>
      <w:r>
        <w:rPr>
          <w:szCs w:val="22"/>
        </w:rPr>
        <w:t>, 25 FCC Rcd</w:t>
      </w:r>
      <w:r>
        <w:rPr>
          <w:i/>
          <w:szCs w:val="22"/>
        </w:rPr>
        <w:t xml:space="preserve"> </w:t>
      </w:r>
      <w:r>
        <w:t xml:space="preserve">at 2840; </w:t>
      </w:r>
      <w:r>
        <w:rPr>
          <w:i/>
        </w:rPr>
        <w:t xml:space="preserve">Reconsideration Decision </w:t>
      </w:r>
      <w:r>
        <w:t>at 3-4.</w:t>
      </w:r>
    </w:p>
  </w:footnote>
  <w:footnote w:id="5">
    <w:p w:rsidR="00867AB1" w:rsidRDefault="00867AB1">
      <w:pPr>
        <w:pStyle w:val="FootnoteText"/>
      </w:pPr>
      <w:r>
        <w:rPr>
          <w:rStyle w:val="FootnoteReference"/>
        </w:rPr>
        <w:footnoteRef/>
      </w:r>
      <w:r>
        <w:t xml:space="preserve"> As noted in the </w:t>
      </w:r>
      <w:r w:rsidRPr="00853C77">
        <w:rPr>
          <w:i/>
        </w:rPr>
        <w:t>Staff Decision</w:t>
      </w:r>
      <w:r>
        <w:t xml:space="preserve"> and the </w:t>
      </w:r>
      <w:r w:rsidRPr="00853C77">
        <w:rPr>
          <w:i/>
        </w:rPr>
        <w:t>Reconsideration Decision</w:t>
      </w:r>
      <w:r>
        <w:t xml:space="preserve">, the </w:t>
      </w:r>
      <w:r w:rsidR="00D133EE">
        <w:t xml:space="preserve">sworn </w:t>
      </w:r>
      <w:r>
        <w:t xml:space="preserve">declaration of Mr. Loughery </w:t>
      </w:r>
      <w:r w:rsidR="00D133EE">
        <w:t xml:space="preserve">as to reasonable assurance for the tower site proposed in the NJPBA Application </w:t>
      </w:r>
      <w:r>
        <w:t xml:space="preserve">was partially corroborated by other evidence in the record, whereas WRI failed to provide any probative evidence to counter Mr. Loughery’s declaration.  </w:t>
      </w:r>
      <w:r w:rsidRPr="00853C77">
        <w:rPr>
          <w:i/>
        </w:rPr>
        <w:t>See Staff Decision</w:t>
      </w:r>
      <w:r>
        <w:t xml:space="preserve">, 24 FCC Rcd at 2890; </w:t>
      </w:r>
      <w:r w:rsidRPr="00853C77">
        <w:rPr>
          <w:i/>
        </w:rPr>
        <w:t>Reconsideration Decision</w:t>
      </w:r>
      <w:r>
        <w:t xml:space="preserve"> at 3 nn.21- 22.  The subsequent change in circumstances by which NJPBA lost its reasonable assurance for the site in 2010, a year after the NJPBA Application was granted, does not present a question as to the propriety of that grant.</w:t>
      </w:r>
      <w:r w:rsidR="00D133EE">
        <w:t xml:space="preserve">  </w:t>
      </w:r>
      <w:r w:rsidR="00D133EE" w:rsidRPr="00853C77">
        <w:rPr>
          <w:i/>
        </w:rPr>
        <w:t>See Reconsideration Decision</w:t>
      </w:r>
      <w:r w:rsidR="00D133EE">
        <w:t xml:space="preserve"> at 3-4.</w:t>
      </w:r>
    </w:p>
  </w:footnote>
  <w:footnote w:id="6">
    <w:p w:rsidR="00867AB1" w:rsidRPr="00E501BB" w:rsidRDefault="00867AB1" w:rsidP="00ED1C63">
      <w:pPr>
        <w:pStyle w:val="FootnoteText"/>
      </w:pPr>
      <w:r w:rsidRPr="00E501BB">
        <w:rPr>
          <w:rStyle w:val="FootnoteReference"/>
        </w:rPr>
        <w:footnoteRef/>
      </w:r>
      <w:r w:rsidRPr="00E501BB">
        <w:t xml:space="preserve"> 47 U.S.C. § 155(c)(5).</w:t>
      </w:r>
    </w:p>
  </w:footnote>
  <w:footnote w:id="7">
    <w:p w:rsidR="00867AB1" w:rsidRPr="00E501BB" w:rsidRDefault="00867AB1" w:rsidP="00ED1C63">
      <w:pPr>
        <w:pStyle w:val="FootnoteText"/>
      </w:pPr>
      <w:r w:rsidRPr="00E501BB">
        <w:rPr>
          <w:rStyle w:val="FootnoteReference"/>
        </w:rPr>
        <w:footnoteRef/>
      </w:r>
      <w:r w:rsidRPr="00E501BB">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55" w:rsidRDefault="00D92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B1" w:rsidRDefault="00867AB1" w:rsidP="00810B6F">
    <w:pPr>
      <w:pStyle w:val="Header"/>
      <w:rPr>
        <w:b w:val="0"/>
      </w:rPr>
    </w:pPr>
    <w:r>
      <w:tab/>
      <w:t>Federal Communications Commission</w:t>
    </w:r>
    <w:r>
      <w:tab/>
    </w:r>
    <w:r w:rsidR="00245D25">
      <w:t>FCC 14-78</w:t>
    </w:r>
  </w:p>
  <w:p w:rsidR="00867AB1" w:rsidRDefault="00867AB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10EAAD3" wp14:editId="3ABC3FF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867AB1" w:rsidRDefault="00867AB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B1" w:rsidRDefault="00867AB1"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5984ECB3" wp14:editId="5B7976F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245D25">
      <w:rPr>
        <w:spacing w:val="-2"/>
      </w:rPr>
      <w:t>FCC 14-78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820646"/>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3A14"/>
    <w:rsid w:val="000875BF"/>
    <w:rsid w:val="00096D8C"/>
    <w:rsid w:val="000B5C39"/>
    <w:rsid w:val="000C0B65"/>
    <w:rsid w:val="000C64E7"/>
    <w:rsid w:val="000C7B27"/>
    <w:rsid w:val="000E05FE"/>
    <w:rsid w:val="000E3D42"/>
    <w:rsid w:val="00122925"/>
    <w:rsid w:val="00122BD5"/>
    <w:rsid w:val="00133F79"/>
    <w:rsid w:val="0013473E"/>
    <w:rsid w:val="001478D1"/>
    <w:rsid w:val="00162E75"/>
    <w:rsid w:val="00194A66"/>
    <w:rsid w:val="001B17C4"/>
    <w:rsid w:val="001B6FB8"/>
    <w:rsid w:val="001C5D39"/>
    <w:rsid w:val="001D1DEA"/>
    <w:rsid w:val="001D6BCF"/>
    <w:rsid w:val="001E01CA"/>
    <w:rsid w:val="001F4889"/>
    <w:rsid w:val="00214A92"/>
    <w:rsid w:val="00245D25"/>
    <w:rsid w:val="00250ECE"/>
    <w:rsid w:val="00255FFF"/>
    <w:rsid w:val="00275CF5"/>
    <w:rsid w:val="0028301F"/>
    <w:rsid w:val="00285017"/>
    <w:rsid w:val="00291226"/>
    <w:rsid w:val="002A2D2E"/>
    <w:rsid w:val="002C00E8"/>
    <w:rsid w:val="002C360E"/>
    <w:rsid w:val="00305272"/>
    <w:rsid w:val="00343749"/>
    <w:rsid w:val="00352CFE"/>
    <w:rsid w:val="003623F1"/>
    <w:rsid w:val="003660ED"/>
    <w:rsid w:val="00366768"/>
    <w:rsid w:val="00387346"/>
    <w:rsid w:val="003962B4"/>
    <w:rsid w:val="003968CD"/>
    <w:rsid w:val="003B0550"/>
    <w:rsid w:val="003B694F"/>
    <w:rsid w:val="003B7597"/>
    <w:rsid w:val="003D3850"/>
    <w:rsid w:val="003D5F07"/>
    <w:rsid w:val="003E5E0F"/>
    <w:rsid w:val="003F171C"/>
    <w:rsid w:val="004042F9"/>
    <w:rsid w:val="00411BDE"/>
    <w:rsid w:val="00412FC5"/>
    <w:rsid w:val="00422276"/>
    <w:rsid w:val="004242F1"/>
    <w:rsid w:val="00424690"/>
    <w:rsid w:val="00442D1C"/>
    <w:rsid w:val="00445A00"/>
    <w:rsid w:val="00451B0F"/>
    <w:rsid w:val="004558FB"/>
    <w:rsid w:val="0046523E"/>
    <w:rsid w:val="0047735D"/>
    <w:rsid w:val="004A1A4E"/>
    <w:rsid w:val="004C2EE3"/>
    <w:rsid w:val="004E3673"/>
    <w:rsid w:val="004E4A22"/>
    <w:rsid w:val="00507B8C"/>
    <w:rsid w:val="00511968"/>
    <w:rsid w:val="0055614C"/>
    <w:rsid w:val="005668F8"/>
    <w:rsid w:val="0057176D"/>
    <w:rsid w:val="00595BF9"/>
    <w:rsid w:val="005B614D"/>
    <w:rsid w:val="005C1A39"/>
    <w:rsid w:val="005C7DDE"/>
    <w:rsid w:val="005D168F"/>
    <w:rsid w:val="005E14C2"/>
    <w:rsid w:val="005E4A6F"/>
    <w:rsid w:val="005E7473"/>
    <w:rsid w:val="00607BA5"/>
    <w:rsid w:val="0061180A"/>
    <w:rsid w:val="00626BAD"/>
    <w:rsid w:val="00626EB6"/>
    <w:rsid w:val="00634355"/>
    <w:rsid w:val="00655D03"/>
    <w:rsid w:val="00683388"/>
    <w:rsid w:val="00683F84"/>
    <w:rsid w:val="006A6A81"/>
    <w:rsid w:val="006C6FEF"/>
    <w:rsid w:val="006D4665"/>
    <w:rsid w:val="006F7393"/>
    <w:rsid w:val="0070224F"/>
    <w:rsid w:val="007115F7"/>
    <w:rsid w:val="00734E43"/>
    <w:rsid w:val="00781C8B"/>
    <w:rsid w:val="007822E9"/>
    <w:rsid w:val="00785689"/>
    <w:rsid w:val="00785CD1"/>
    <w:rsid w:val="0079367E"/>
    <w:rsid w:val="0079754B"/>
    <w:rsid w:val="007A1E6D"/>
    <w:rsid w:val="007B0EB2"/>
    <w:rsid w:val="007C017E"/>
    <w:rsid w:val="007D0AC0"/>
    <w:rsid w:val="007F4B30"/>
    <w:rsid w:val="00810B6F"/>
    <w:rsid w:val="00813483"/>
    <w:rsid w:val="00822CE0"/>
    <w:rsid w:val="00830F22"/>
    <w:rsid w:val="00841AB1"/>
    <w:rsid w:val="00853C77"/>
    <w:rsid w:val="00867AB1"/>
    <w:rsid w:val="008C68F1"/>
    <w:rsid w:val="008D2177"/>
    <w:rsid w:val="008F183B"/>
    <w:rsid w:val="0090297A"/>
    <w:rsid w:val="009106B2"/>
    <w:rsid w:val="00921803"/>
    <w:rsid w:val="00926503"/>
    <w:rsid w:val="00953FDF"/>
    <w:rsid w:val="009675E2"/>
    <w:rsid w:val="009726D8"/>
    <w:rsid w:val="009815B1"/>
    <w:rsid w:val="009923EB"/>
    <w:rsid w:val="009B1C46"/>
    <w:rsid w:val="009C0956"/>
    <w:rsid w:val="009C5BEF"/>
    <w:rsid w:val="009E14C9"/>
    <w:rsid w:val="009E6AE0"/>
    <w:rsid w:val="009F06F1"/>
    <w:rsid w:val="009F119E"/>
    <w:rsid w:val="009F76DB"/>
    <w:rsid w:val="00A0401B"/>
    <w:rsid w:val="00A25911"/>
    <w:rsid w:val="00A32C3B"/>
    <w:rsid w:val="00A45F4F"/>
    <w:rsid w:val="00A600A9"/>
    <w:rsid w:val="00A62F0A"/>
    <w:rsid w:val="00A71B74"/>
    <w:rsid w:val="00AA55B7"/>
    <w:rsid w:val="00AA5B9E"/>
    <w:rsid w:val="00AB2407"/>
    <w:rsid w:val="00AB53DF"/>
    <w:rsid w:val="00AD4DA5"/>
    <w:rsid w:val="00B04B79"/>
    <w:rsid w:val="00B04C63"/>
    <w:rsid w:val="00B07E5C"/>
    <w:rsid w:val="00B11696"/>
    <w:rsid w:val="00B14807"/>
    <w:rsid w:val="00B332CC"/>
    <w:rsid w:val="00B70E49"/>
    <w:rsid w:val="00B811F7"/>
    <w:rsid w:val="00BA5DC6"/>
    <w:rsid w:val="00BA6196"/>
    <w:rsid w:val="00BC6D8C"/>
    <w:rsid w:val="00BD33A4"/>
    <w:rsid w:val="00BE7A5F"/>
    <w:rsid w:val="00BF2FD3"/>
    <w:rsid w:val="00C10C79"/>
    <w:rsid w:val="00C133EE"/>
    <w:rsid w:val="00C22099"/>
    <w:rsid w:val="00C320E1"/>
    <w:rsid w:val="00C34006"/>
    <w:rsid w:val="00C34932"/>
    <w:rsid w:val="00C426B1"/>
    <w:rsid w:val="00C619EF"/>
    <w:rsid w:val="00C66160"/>
    <w:rsid w:val="00C721AC"/>
    <w:rsid w:val="00C90D6A"/>
    <w:rsid w:val="00CA247E"/>
    <w:rsid w:val="00CA5513"/>
    <w:rsid w:val="00CC72B6"/>
    <w:rsid w:val="00CD337D"/>
    <w:rsid w:val="00CE467E"/>
    <w:rsid w:val="00CF0D91"/>
    <w:rsid w:val="00D015B1"/>
    <w:rsid w:val="00D0218D"/>
    <w:rsid w:val="00D02441"/>
    <w:rsid w:val="00D04632"/>
    <w:rsid w:val="00D133EE"/>
    <w:rsid w:val="00D1781A"/>
    <w:rsid w:val="00D25FB5"/>
    <w:rsid w:val="00D44223"/>
    <w:rsid w:val="00D902AD"/>
    <w:rsid w:val="00D92B55"/>
    <w:rsid w:val="00DA2529"/>
    <w:rsid w:val="00DB130A"/>
    <w:rsid w:val="00DB2EBB"/>
    <w:rsid w:val="00DB6BF4"/>
    <w:rsid w:val="00DC0E91"/>
    <w:rsid w:val="00DC10A1"/>
    <w:rsid w:val="00DC19F9"/>
    <w:rsid w:val="00DC655F"/>
    <w:rsid w:val="00DD0B59"/>
    <w:rsid w:val="00DD7EBD"/>
    <w:rsid w:val="00DE0C4B"/>
    <w:rsid w:val="00DF3BE1"/>
    <w:rsid w:val="00DF62B6"/>
    <w:rsid w:val="00DF7F26"/>
    <w:rsid w:val="00E07225"/>
    <w:rsid w:val="00E077A7"/>
    <w:rsid w:val="00E5409F"/>
    <w:rsid w:val="00E66A17"/>
    <w:rsid w:val="00E73963"/>
    <w:rsid w:val="00EB4BD1"/>
    <w:rsid w:val="00ED1C63"/>
    <w:rsid w:val="00EE569A"/>
    <w:rsid w:val="00EE6488"/>
    <w:rsid w:val="00EF1FC0"/>
    <w:rsid w:val="00EF7D44"/>
    <w:rsid w:val="00F021FA"/>
    <w:rsid w:val="00F315CA"/>
    <w:rsid w:val="00F318F3"/>
    <w:rsid w:val="00F60D82"/>
    <w:rsid w:val="00F62E97"/>
    <w:rsid w:val="00F64209"/>
    <w:rsid w:val="00F65E61"/>
    <w:rsid w:val="00F70BAE"/>
    <w:rsid w:val="00F84455"/>
    <w:rsid w:val="00F92188"/>
    <w:rsid w:val="00F93BF5"/>
    <w:rsid w:val="00FD1A3B"/>
    <w:rsid w:val="00FD64EB"/>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E49"/>
    <w:pPr>
      <w:widowControl w:val="0"/>
    </w:pPr>
    <w:rPr>
      <w:snapToGrid w:val="0"/>
      <w:kern w:val="28"/>
      <w:sz w:val="22"/>
    </w:rPr>
  </w:style>
  <w:style w:type="paragraph" w:styleId="Heading1">
    <w:name w:val="heading 1"/>
    <w:basedOn w:val="Normal"/>
    <w:next w:val="ParaNum"/>
    <w:qFormat/>
    <w:rsid w:val="00B70E4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70E49"/>
    <w:pPr>
      <w:keepNext/>
      <w:numPr>
        <w:ilvl w:val="1"/>
        <w:numId w:val="3"/>
      </w:numPr>
      <w:spacing w:after="120"/>
      <w:outlineLvl w:val="1"/>
    </w:pPr>
    <w:rPr>
      <w:b/>
    </w:rPr>
  </w:style>
  <w:style w:type="paragraph" w:styleId="Heading3">
    <w:name w:val="heading 3"/>
    <w:basedOn w:val="Normal"/>
    <w:next w:val="ParaNum"/>
    <w:qFormat/>
    <w:rsid w:val="00B70E49"/>
    <w:pPr>
      <w:keepNext/>
      <w:numPr>
        <w:ilvl w:val="2"/>
        <w:numId w:val="3"/>
      </w:numPr>
      <w:tabs>
        <w:tab w:val="left" w:pos="2160"/>
      </w:tabs>
      <w:spacing w:after="120"/>
      <w:outlineLvl w:val="2"/>
    </w:pPr>
    <w:rPr>
      <w:b/>
    </w:rPr>
  </w:style>
  <w:style w:type="paragraph" w:styleId="Heading4">
    <w:name w:val="heading 4"/>
    <w:basedOn w:val="Normal"/>
    <w:next w:val="ParaNum"/>
    <w:qFormat/>
    <w:rsid w:val="00B70E49"/>
    <w:pPr>
      <w:keepNext/>
      <w:numPr>
        <w:ilvl w:val="3"/>
        <w:numId w:val="3"/>
      </w:numPr>
      <w:tabs>
        <w:tab w:val="left" w:pos="2880"/>
      </w:tabs>
      <w:spacing w:after="120"/>
      <w:outlineLvl w:val="3"/>
    </w:pPr>
    <w:rPr>
      <w:b/>
    </w:rPr>
  </w:style>
  <w:style w:type="paragraph" w:styleId="Heading5">
    <w:name w:val="heading 5"/>
    <w:basedOn w:val="Normal"/>
    <w:next w:val="ParaNum"/>
    <w:qFormat/>
    <w:rsid w:val="00B70E4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70E49"/>
    <w:pPr>
      <w:numPr>
        <w:ilvl w:val="5"/>
        <w:numId w:val="3"/>
      </w:numPr>
      <w:tabs>
        <w:tab w:val="left" w:pos="4320"/>
      </w:tabs>
      <w:spacing w:after="120"/>
      <w:outlineLvl w:val="5"/>
    </w:pPr>
    <w:rPr>
      <w:b/>
    </w:rPr>
  </w:style>
  <w:style w:type="paragraph" w:styleId="Heading7">
    <w:name w:val="heading 7"/>
    <w:basedOn w:val="Normal"/>
    <w:next w:val="ParaNum"/>
    <w:qFormat/>
    <w:rsid w:val="00B70E4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70E4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70E4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70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0E49"/>
  </w:style>
  <w:style w:type="paragraph" w:customStyle="1" w:styleId="ParaNum">
    <w:name w:val="ParaNum"/>
    <w:basedOn w:val="Normal"/>
    <w:link w:val="ParaNumChar"/>
    <w:rsid w:val="00B70E49"/>
    <w:pPr>
      <w:numPr>
        <w:numId w:val="2"/>
      </w:numPr>
      <w:tabs>
        <w:tab w:val="clear" w:pos="1080"/>
        <w:tab w:val="num" w:pos="1440"/>
      </w:tabs>
      <w:spacing w:after="120"/>
    </w:pPr>
  </w:style>
  <w:style w:type="paragraph" w:styleId="EndnoteText">
    <w:name w:val="endnote text"/>
    <w:basedOn w:val="Normal"/>
    <w:semiHidden/>
    <w:rsid w:val="00B70E49"/>
    <w:rPr>
      <w:sz w:val="20"/>
    </w:rPr>
  </w:style>
  <w:style w:type="character" w:styleId="EndnoteReference">
    <w:name w:val="endnote reference"/>
    <w:semiHidden/>
    <w:rsid w:val="00B70E49"/>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B70E49"/>
    <w:pPr>
      <w:spacing w:after="120"/>
    </w:pPr>
  </w:style>
  <w:style w:type="character" w:styleId="FootnoteReference">
    <w:name w:val="footnote reference"/>
    <w:aliases w:val="Style 12,(NECG) Footnote Reference,Appel note de bas de p,Style 124,o,fr,Style 3,Style 13"/>
    <w:rsid w:val="00B70E49"/>
    <w:rPr>
      <w:rFonts w:ascii="Times New Roman" w:hAnsi="Times New Roman"/>
      <w:dstrike w:val="0"/>
      <w:color w:val="auto"/>
      <w:sz w:val="20"/>
      <w:vertAlign w:val="superscript"/>
    </w:rPr>
  </w:style>
  <w:style w:type="paragraph" w:styleId="TOC1">
    <w:name w:val="toc 1"/>
    <w:basedOn w:val="Normal"/>
    <w:next w:val="Normal"/>
    <w:semiHidden/>
    <w:rsid w:val="00B70E4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70E49"/>
    <w:pPr>
      <w:tabs>
        <w:tab w:val="left" w:pos="720"/>
        <w:tab w:val="right" w:leader="dot" w:pos="9360"/>
      </w:tabs>
      <w:suppressAutoHyphens/>
      <w:ind w:left="720" w:right="720" w:hanging="360"/>
    </w:pPr>
    <w:rPr>
      <w:noProof/>
    </w:rPr>
  </w:style>
  <w:style w:type="paragraph" w:styleId="TOC3">
    <w:name w:val="toc 3"/>
    <w:basedOn w:val="Normal"/>
    <w:next w:val="Normal"/>
    <w:semiHidden/>
    <w:rsid w:val="00B70E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70E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70E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70E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70E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70E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70E4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70E49"/>
    <w:pPr>
      <w:tabs>
        <w:tab w:val="right" w:pos="9360"/>
      </w:tabs>
      <w:suppressAutoHyphens/>
    </w:pPr>
  </w:style>
  <w:style w:type="character" w:customStyle="1" w:styleId="EquationCaption">
    <w:name w:val="_Equation Caption"/>
    <w:rsid w:val="00B70E49"/>
  </w:style>
  <w:style w:type="paragraph" w:styleId="Header">
    <w:name w:val="header"/>
    <w:basedOn w:val="Normal"/>
    <w:autoRedefine/>
    <w:rsid w:val="00B70E49"/>
    <w:pPr>
      <w:tabs>
        <w:tab w:val="center" w:pos="4680"/>
        <w:tab w:val="right" w:pos="9360"/>
      </w:tabs>
    </w:pPr>
    <w:rPr>
      <w:b/>
    </w:rPr>
  </w:style>
  <w:style w:type="paragraph" w:styleId="Footer">
    <w:name w:val="footer"/>
    <w:basedOn w:val="Normal"/>
    <w:rsid w:val="00B70E49"/>
    <w:pPr>
      <w:tabs>
        <w:tab w:val="center" w:pos="4320"/>
        <w:tab w:val="right" w:pos="8640"/>
      </w:tabs>
    </w:pPr>
  </w:style>
  <w:style w:type="character" w:styleId="PageNumber">
    <w:name w:val="page number"/>
    <w:basedOn w:val="DefaultParagraphFont"/>
    <w:rsid w:val="00B70E49"/>
  </w:style>
  <w:style w:type="paragraph" w:styleId="BlockText">
    <w:name w:val="Block Text"/>
    <w:basedOn w:val="Normal"/>
    <w:rsid w:val="00B70E49"/>
    <w:pPr>
      <w:spacing w:after="240"/>
      <w:ind w:left="1440" w:right="1440"/>
    </w:pPr>
  </w:style>
  <w:style w:type="paragraph" w:customStyle="1" w:styleId="Paratitle">
    <w:name w:val="Para title"/>
    <w:basedOn w:val="Normal"/>
    <w:rsid w:val="00B70E49"/>
    <w:pPr>
      <w:tabs>
        <w:tab w:val="center" w:pos="9270"/>
      </w:tabs>
      <w:spacing w:after="240"/>
    </w:pPr>
    <w:rPr>
      <w:spacing w:val="-2"/>
    </w:rPr>
  </w:style>
  <w:style w:type="paragraph" w:customStyle="1" w:styleId="Bullet">
    <w:name w:val="Bullet"/>
    <w:basedOn w:val="Normal"/>
    <w:rsid w:val="00B70E49"/>
    <w:pPr>
      <w:tabs>
        <w:tab w:val="left" w:pos="2160"/>
      </w:tabs>
      <w:spacing w:after="220"/>
      <w:ind w:left="2160" w:hanging="720"/>
    </w:pPr>
  </w:style>
  <w:style w:type="paragraph" w:customStyle="1" w:styleId="TableFormat">
    <w:name w:val="TableFormat"/>
    <w:basedOn w:val="Bullet"/>
    <w:rsid w:val="00B70E49"/>
    <w:pPr>
      <w:tabs>
        <w:tab w:val="clear" w:pos="2160"/>
        <w:tab w:val="left" w:pos="5040"/>
      </w:tabs>
      <w:ind w:left="5040" w:hanging="3600"/>
    </w:pPr>
  </w:style>
  <w:style w:type="paragraph" w:customStyle="1" w:styleId="TOCTitle">
    <w:name w:val="TOC Title"/>
    <w:basedOn w:val="Normal"/>
    <w:rsid w:val="00B70E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70E49"/>
    <w:pPr>
      <w:jc w:val="center"/>
    </w:pPr>
    <w:rPr>
      <w:rFonts w:ascii="Times New Roman Bold" w:hAnsi="Times New Roman Bold"/>
      <w:b/>
      <w:bCs/>
      <w:caps/>
      <w:szCs w:val="22"/>
    </w:rPr>
  </w:style>
  <w:style w:type="character" w:styleId="Hyperlink">
    <w:name w:val="Hyperlink"/>
    <w:rsid w:val="00B70E49"/>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D133EE"/>
    <w:rPr>
      <w:rFonts w:ascii="Tahoma" w:hAnsi="Tahoma"/>
      <w:sz w:val="16"/>
      <w:szCs w:val="16"/>
    </w:rPr>
  </w:style>
  <w:style w:type="character" w:customStyle="1" w:styleId="BalloonTextChar">
    <w:name w:val="Balloon Text Char"/>
    <w:basedOn w:val="DefaultParagraphFont"/>
    <w:link w:val="BalloonText"/>
    <w:rsid w:val="00D133EE"/>
    <w:rPr>
      <w:rFonts w:ascii="Tahoma" w:hAnsi="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E49"/>
    <w:pPr>
      <w:widowControl w:val="0"/>
    </w:pPr>
    <w:rPr>
      <w:snapToGrid w:val="0"/>
      <w:kern w:val="28"/>
      <w:sz w:val="22"/>
    </w:rPr>
  </w:style>
  <w:style w:type="paragraph" w:styleId="Heading1">
    <w:name w:val="heading 1"/>
    <w:basedOn w:val="Normal"/>
    <w:next w:val="ParaNum"/>
    <w:qFormat/>
    <w:rsid w:val="00B70E4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70E49"/>
    <w:pPr>
      <w:keepNext/>
      <w:numPr>
        <w:ilvl w:val="1"/>
        <w:numId w:val="3"/>
      </w:numPr>
      <w:spacing w:after="120"/>
      <w:outlineLvl w:val="1"/>
    </w:pPr>
    <w:rPr>
      <w:b/>
    </w:rPr>
  </w:style>
  <w:style w:type="paragraph" w:styleId="Heading3">
    <w:name w:val="heading 3"/>
    <w:basedOn w:val="Normal"/>
    <w:next w:val="ParaNum"/>
    <w:qFormat/>
    <w:rsid w:val="00B70E49"/>
    <w:pPr>
      <w:keepNext/>
      <w:numPr>
        <w:ilvl w:val="2"/>
        <w:numId w:val="3"/>
      </w:numPr>
      <w:tabs>
        <w:tab w:val="left" w:pos="2160"/>
      </w:tabs>
      <w:spacing w:after="120"/>
      <w:outlineLvl w:val="2"/>
    </w:pPr>
    <w:rPr>
      <w:b/>
    </w:rPr>
  </w:style>
  <w:style w:type="paragraph" w:styleId="Heading4">
    <w:name w:val="heading 4"/>
    <w:basedOn w:val="Normal"/>
    <w:next w:val="ParaNum"/>
    <w:qFormat/>
    <w:rsid w:val="00B70E49"/>
    <w:pPr>
      <w:keepNext/>
      <w:numPr>
        <w:ilvl w:val="3"/>
        <w:numId w:val="3"/>
      </w:numPr>
      <w:tabs>
        <w:tab w:val="left" w:pos="2880"/>
      </w:tabs>
      <w:spacing w:after="120"/>
      <w:outlineLvl w:val="3"/>
    </w:pPr>
    <w:rPr>
      <w:b/>
    </w:rPr>
  </w:style>
  <w:style w:type="paragraph" w:styleId="Heading5">
    <w:name w:val="heading 5"/>
    <w:basedOn w:val="Normal"/>
    <w:next w:val="ParaNum"/>
    <w:qFormat/>
    <w:rsid w:val="00B70E4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70E49"/>
    <w:pPr>
      <w:numPr>
        <w:ilvl w:val="5"/>
        <w:numId w:val="3"/>
      </w:numPr>
      <w:tabs>
        <w:tab w:val="left" w:pos="4320"/>
      </w:tabs>
      <w:spacing w:after="120"/>
      <w:outlineLvl w:val="5"/>
    </w:pPr>
    <w:rPr>
      <w:b/>
    </w:rPr>
  </w:style>
  <w:style w:type="paragraph" w:styleId="Heading7">
    <w:name w:val="heading 7"/>
    <w:basedOn w:val="Normal"/>
    <w:next w:val="ParaNum"/>
    <w:qFormat/>
    <w:rsid w:val="00B70E4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70E4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70E4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70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0E49"/>
  </w:style>
  <w:style w:type="paragraph" w:customStyle="1" w:styleId="ParaNum">
    <w:name w:val="ParaNum"/>
    <w:basedOn w:val="Normal"/>
    <w:link w:val="ParaNumChar"/>
    <w:rsid w:val="00B70E49"/>
    <w:pPr>
      <w:numPr>
        <w:numId w:val="2"/>
      </w:numPr>
      <w:tabs>
        <w:tab w:val="clear" w:pos="1080"/>
        <w:tab w:val="num" w:pos="1440"/>
      </w:tabs>
      <w:spacing w:after="120"/>
    </w:pPr>
  </w:style>
  <w:style w:type="paragraph" w:styleId="EndnoteText">
    <w:name w:val="endnote text"/>
    <w:basedOn w:val="Normal"/>
    <w:semiHidden/>
    <w:rsid w:val="00B70E49"/>
    <w:rPr>
      <w:sz w:val="20"/>
    </w:rPr>
  </w:style>
  <w:style w:type="character" w:styleId="EndnoteReference">
    <w:name w:val="endnote reference"/>
    <w:semiHidden/>
    <w:rsid w:val="00B70E49"/>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B70E49"/>
    <w:pPr>
      <w:spacing w:after="120"/>
    </w:pPr>
  </w:style>
  <w:style w:type="character" w:styleId="FootnoteReference">
    <w:name w:val="footnote reference"/>
    <w:aliases w:val="Style 12,(NECG) Footnote Reference,Appel note de bas de p,Style 124,o,fr,Style 3,Style 13"/>
    <w:rsid w:val="00B70E49"/>
    <w:rPr>
      <w:rFonts w:ascii="Times New Roman" w:hAnsi="Times New Roman"/>
      <w:dstrike w:val="0"/>
      <w:color w:val="auto"/>
      <w:sz w:val="20"/>
      <w:vertAlign w:val="superscript"/>
    </w:rPr>
  </w:style>
  <w:style w:type="paragraph" w:styleId="TOC1">
    <w:name w:val="toc 1"/>
    <w:basedOn w:val="Normal"/>
    <w:next w:val="Normal"/>
    <w:semiHidden/>
    <w:rsid w:val="00B70E4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70E49"/>
    <w:pPr>
      <w:tabs>
        <w:tab w:val="left" w:pos="720"/>
        <w:tab w:val="right" w:leader="dot" w:pos="9360"/>
      </w:tabs>
      <w:suppressAutoHyphens/>
      <w:ind w:left="720" w:right="720" w:hanging="360"/>
    </w:pPr>
    <w:rPr>
      <w:noProof/>
    </w:rPr>
  </w:style>
  <w:style w:type="paragraph" w:styleId="TOC3">
    <w:name w:val="toc 3"/>
    <w:basedOn w:val="Normal"/>
    <w:next w:val="Normal"/>
    <w:semiHidden/>
    <w:rsid w:val="00B70E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70E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70E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70E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70E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70E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70E4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70E49"/>
    <w:pPr>
      <w:tabs>
        <w:tab w:val="right" w:pos="9360"/>
      </w:tabs>
      <w:suppressAutoHyphens/>
    </w:pPr>
  </w:style>
  <w:style w:type="character" w:customStyle="1" w:styleId="EquationCaption">
    <w:name w:val="_Equation Caption"/>
    <w:rsid w:val="00B70E49"/>
  </w:style>
  <w:style w:type="paragraph" w:styleId="Header">
    <w:name w:val="header"/>
    <w:basedOn w:val="Normal"/>
    <w:autoRedefine/>
    <w:rsid w:val="00B70E49"/>
    <w:pPr>
      <w:tabs>
        <w:tab w:val="center" w:pos="4680"/>
        <w:tab w:val="right" w:pos="9360"/>
      </w:tabs>
    </w:pPr>
    <w:rPr>
      <w:b/>
    </w:rPr>
  </w:style>
  <w:style w:type="paragraph" w:styleId="Footer">
    <w:name w:val="footer"/>
    <w:basedOn w:val="Normal"/>
    <w:rsid w:val="00B70E49"/>
    <w:pPr>
      <w:tabs>
        <w:tab w:val="center" w:pos="4320"/>
        <w:tab w:val="right" w:pos="8640"/>
      </w:tabs>
    </w:pPr>
  </w:style>
  <w:style w:type="character" w:styleId="PageNumber">
    <w:name w:val="page number"/>
    <w:basedOn w:val="DefaultParagraphFont"/>
    <w:rsid w:val="00B70E49"/>
  </w:style>
  <w:style w:type="paragraph" w:styleId="BlockText">
    <w:name w:val="Block Text"/>
    <w:basedOn w:val="Normal"/>
    <w:rsid w:val="00B70E49"/>
    <w:pPr>
      <w:spacing w:after="240"/>
      <w:ind w:left="1440" w:right="1440"/>
    </w:pPr>
  </w:style>
  <w:style w:type="paragraph" w:customStyle="1" w:styleId="Paratitle">
    <w:name w:val="Para title"/>
    <w:basedOn w:val="Normal"/>
    <w:rsid w:val="00B70E49"/>
    <w:pPr>
      <w:tabs>
        <w:tab w:val="center" w:pos="9270"/>
      </w:tabs>
      <w:spacing w:after="240"/>
    </w:pPr>
    <w:rPr>
      <w:spacing w:val="-2"/>
    </w:rPr>
  </w:style>
  <w:style w:type="paragraph" w:customStyle="1" w:styleId="Bullet">
    <w:name w:val="Bullet"/>
    <w:basedOn w:val="Normal"/>
    <w:rsid w:val="00B70E49"/>
    <w:pPr>
      <w:tabs>
        <w:tab w:val="left" w:pos="2160"/>
      </w:tabs>
      <w:spacing w:after="220"/>
      <w:ind w:left="2160" w:hanging="720"/>
    </w:pPr>
  </w:style>
  <w:style w:type="paragraph" w:customStyle="1" w:styleId="TableFormat">
    <w:name w:val="TableFormat"/>
    <w:basedOn w:val="Bullet"/>
    <w:rsid w:val="00B70E49"/>
    <w:pPr>
      <w:tabs>
        <w:tab w:val="clear" w:pos="2160"/>
        <w:tab w:val="left" w:pos="5040"/>
      </w:tabs>
      <w:ind w:left="5040" w:hanging="3600"/>
    </w:pPr>
  </w:style>
  <w:style w:type="paragraph" w:customStyle="1" w:styleId="TOCTitle">
    <w:name w:val="TOC Title"/>
    <w:basedOn w:val="Normal"/>
    <w:rsid w:val="00B70E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70E49"/>
    <w:pPr>
      <w:jc w:val="center"/>
    </w:pPr>
    <w:rPr>
      <w:rFonts w:ascii="Times New Roman Bold" w:hAnsi="Times New Roman Bold"/>
      <w:b/>
      <w:bCs/>
      <w:caps/>
      <w:szCs w:val="22"/>
    </w:rPr>
  </w:style>
  <w:style w:type="character" w:styleId="Hyperlink">
    <w:name w:val="Hyperlink"/>
    <w:rsid w:val="00B70E49"/>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D133EE"/>
    <w:rPr>
      <w:rFonts w:ascii="Tahoma" w:hAnsi="Tahoma"/>
      <w:sz w:val="16"/>
      <w:szCs w:val="16"/>
    </w:rPr>
  </w:style>
  <w:style w:type="character" w:customStyle="1" w:styleId="BalloonTextChar">
    <w:name w:val="Balloon Text Char"/>
    <w:basedOn w:val="DefaultParagraphFont"/>
    <w:link w:val="BalloonText"/>
    <w:rsid w:val="00D133EE"/>
    <w:rPr>
      <w:rFonts w:ascii="Tahoma" w:hAnsi="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303</Words>
  <Characters>1574</Characters>
  <Application>Microsoft Office Word</Application>
  <DocSecurity>0</DocSecurity>
  <Lines>73</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1929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2014-05-22T14:44:00Z</cp:lastPrinted>
  <dcterms:created xsi:type="dcterms:W3CDTF">2014-06-10T13:45:00Z</dcterms:created>
  <dcterms:modified xsi:type="dcterms:W3CDTF">2014-06-10T13:45:00Z</dcterms:modified>
  <cp:category> </cp:category>
  <cp:contentStatus> </cp:contentStatus>
</cp:coreProperties>
</file>