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7E" w:rsidRPr="0096584C" w:rsidRDefault="00EF2C7E" w:rsidP="0096584C">
      <w:pPr>
        <w:jc w:val="center"/>
        <w:rPr>
          <w:b/>
        </w:rPr>
      </w:pPr>
      <w:bookmarkStart w:id="0" w:name="_GoBack"/>
      <w:bookmarkEnd w:id="0"/>
      <w:r w:rsidRPr="0096584C">
        <w:rPr>
          <w:b/>
        </w:rPr>
        <w:t>Befor</w:t>
      </w:r>
      <w:r w:rsidR="001C3F67" w:rsidRPr="0096584C">
        <w:rPr>
          <w:b/>
        </w:rPr>
        <w:t>e the</w:t>
      </w:r>
    </w:p>
    <w:p w:rsidR="00EF2C7E" w:rsidRPr="0096584C" w:rsidRDefault="00EF2C7E" w:rsidP="0096584C">
      <w:pPr>
        <w:jc w:val="center"/>
        <w:rPr>
          <w:b/>
        </w:rPr>
      </w:pPr>
      <w:r w:rsidRPr="0096584C">
        <w:rPr>
          <w:b/>
        </w:rPr>
        <w:t>Federal Communications Commission</w:t>
      </w:r>
    </w:p>
    <w:p w:rsidR="00EF2C7E" w:rsidRPr="0096584C" w:rsidRDefault="006E49F1" w:rsidP="0096584C">
      <w:pPr>
        <w:jc w:val="center"/>
        <w:rPr>
          <w:b/>
        </w:rPr>
      </w:pPr>
      <w:r>
        <w:rPr>
          <w:rFonts w:ascii="Times New Roman Bold" w:hAnsi="Times New Roman Bold"/>
          <w:b/>
        </w:rPr>
        <w:t>Washington</w:t>
      </w:r>
      <w:r w:rsidR="00EF2C7E" w:rsidRPr="0096584C">
        <w:rPr>
          <w:b/>
        </w:rPr>
        <w:t>, D.C. 20554</w:t>
      </w:r>
    </w:p>
    <w:p w:rsidR="00EF2C7E" w:rsidRPr="001C3F67" w:rsidRDefault="00EF2C7E" w:rsidP="00EF2C7E"/>
    <w:p w:rsidR="00EF2C7E" w:rsidRPr="001C3F67" w:rsidRDefault="00EF2C7E" w:rsidP="00EF2C7E"/>
    <w:tbl>
      <w:tblPr>
        <w:tblW w:w="0" w:type="auto"/>
        <w:tblLayout w:type="fixed"/>
        <w:tblLook w:val="0000" w:firstRow="0" w:lastRow="0" w:firstColumn="0" w:lastColumn="0" w:noHBand="0" w:noVBand="0"/>
      </w:tblPr>
      <w:tblGrid>
        <w:gridCol w:w="4698"/>
        <w:gridCol w:w="630"/>
        <w:gridCol w:w="4248"/>
      </w:tblGrid>
      <w:tr w:rsidR="00EF2C7E" w:rsidRPr="001C3F67">
        <w:tc>
          <w:tcPr>
            <w:tcW w:w="4698" w:type="dxa"/>
          </w:tcPr>
          <w:p w:rsidR="00EF2C7E" w:rsidRPr="001C3F67" w:rsidRDefault="00EF2C7E">
            <w:pPr>
              <w:tabs>
                <w:tab w:val="center" w:pos="4680"/>
              </w:tabs>
              <w:suppressAutoHyphens/>
              <w:rPr>
                <w:spacing w:val="-2"/>
              </w:rPr>
            </w:pPr>
            <w:r w:rsidRPr="001C3F67">
              <w:rPr>
                <w:spacing w:val="-2"/>
              </w:rPr>
              <w:t>In the Matter of</w:t>
            </w:r>
          </w:p>
          <w:p w:rsidR="00EF2C7E" w:rsidRPr="001C3F67" w:rsidRDefault="00EF2C7E">
            <w:pPr>
              <w:tabs>
                <w:tab w:val="center" w:pos="4680"/>
              </w:tabs>
              <w:suppressAutoHyphens/>
              <w:rPr>
                <w:spacing w:val="-2"/>
              </w:rPr>
            </w:pPr>
          </w:p>
          <w:p w:rsidR="00EF2C7E" w:rsidRPr="001C3F67" w:rsidRDefault="00EF2C7E" w:rsidP="00EF2C7E">
            <w:pPr>
              <w:tabs>
                <w:tab w:val="center" w:pos="4680"/>
              </w:tabs>
              <w:suppressAutoHyphens/>
              <w:rPr>
                <w:spacing w:val="-2"/>
              </w:rPr>
            </w:pPr>
            <w:r w:rsidRPr="001C3F67">
              <w:rPr>
                <w:spacing w:val="-2"/>
              </w:rPr>
              <w:t>Amendment of the Commission’s Part 90 Rules in the 904-909.75 and 919.75-928 MHz Bands</w:t>
            </w:r>
          </w:p>
        </w:tc>
        <w:tc>
          <w:tcPr>
            <w:tcW w:w="630" w:type="dxa"/>
          </w:tcPr>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b/>
                <w:spacing w:val="-2"/>
              </w:rPr>
            </w:pPr>
            <w:r w:rsidRPr="001C3F67">
              <w:rPr>
                <w:b/>
                <w:spacing w:val="-2"/>
              </w:rPr>
              <w:t>)</w:t>
            </w:r>
          </w:p>
          <w:p w:rsidR="00EF2C7E" w:rsidRPr="001C3F67" w:rsidRDefault="00EF2C7E">
            <w:pPr>
              <w:tabs>
                <w:tab w:val="center" w:pos="4680"/>
              </w:tabs>
              <w:suppressAutoHyphens/>
              <w:rPr>
                <w:spacing w:val="-2"/>
              </w:rPr>
            </w:pPr>
            <w:r w:rsidRPr="001C3F67">
              <w:rPr>
                <w:b/>
                <w:spacing w:val="-2"/>
              </w:rPr>
              <w:t>)</w:t>
            </w:r>
          </w:p>
        </w:tc>
        <w:tc>
          <w:tcPr>
            <w:tcW w:w="4248" w:type="dxa"/>
          </w:tcPr>
          <w:p w:rsidR="00EF2C7E" w:rsidRPr="001C3F67" w:rsidRDefault="00EF2C7E">
            <w:pPr>
              <w:tabs>
                <w:tab w:val="center" w:pos="4680"/>
              </w:tabs>
              <w:suppressAutoHyphens/>
              <w:rPr>
                <w:spacing w:val="-2"/>
              </w:rPr>
            </w:pPr>
          </w:p>
          <w:p w:rsidR="00EF2C7E" w:rsidRPr="001C3F67" w:rsidRDefault="00EF2C7E">
            <w:pPr>
              <w:pStyle w:val="TOAHeading"/>
              <w:tabs>
                <w:tab w:val="clear" w:pos="9360"/>
                <w:tab w:val="center" w:pos="4680"/>
              </w:tabs>
              <w:rPr>
                <w:spacing w:val="-2"/>
              </w:rPr>
            </w:pPr>
          </w:p>
          <w:p w:rsidR="00EF2C7E" w:rsidRPr="001C3F67" w:rsidRDefault="00EF2C7E">
            <w:pPr>
              <w:tabs>
                <w:tab w:val="center" w:pos="4680"/>
              </w:tabs>
              <w:suppressAutoHyphens/>
              <w:rPr>
                <w:spacing w:val="-2"/>
              </w:rPr>
            </w:pPr>
            <w:r w:rsidRPr="001C3F67">
              <w:rPr>
                <w:spacing w:val="-2"/>
              </w:rPr>
              <w:t>WT Docket No. 06-49</w:t>
            </w:r>
          </w:p>
          <w:p w:rsidR="00EF2C7E" w:rsidRPr="001C3F67" w:rsidRDefault="00EF2C7E">
            <w:pPr>
              <w:tabs>
                <w:tab w:val="center" w:pos="4680"/>
              </w:tabs>
              <w:suppressAutoHyphens/>
              <w:rPr>
                <w:spacing w:val="-2"/>
              </w:rPr>
            </w:pPr>
            <w:r w:rsidRPr="001C3F67">
              <w:rPr>
                <w:spacing w:val="-2"/>
              </w:rPr>
              <w:t>(Terminated)</w:t>
            </w:r>
          </w:p>
        </w:tc>
      </w:tr>
    </w:tbl>
    <w:p w:rsidR="00EF2C7E" w:rsidRPr="001C3F67" w:rsidRDefault="00EF2C7E" w:rsidP="00EF2C7E"/>
    <w:p w:rsidR="00EF2C7E" w:rsidRPr="0096584C" w:rsidRDefault="0096584C" w:rsidP="0096584C">
      <w:pPr>
        <w:jc w:val="center"/>
        <w:rPr>
          <w:b/>
        </w:rPr>
      </w:pPr>
      <w:r>
        <w:rPr>
          <w:b/>
        </w:rPr>
        <w:t>ORDER</w:t>
      </w:r>
    </w:p>
    <w:p w:rsidR="00EF2C7E" w:rsidRPr="001C3F67" w:rsidRDefault="00EF2C7E">
      <w:pPr>
        <w:tabs>
          <w:tab w:val="left" w:pos="-720"/>
        </w:tabs>
        <w:suppressAutoHyphens/>
        <w:spacing w:line="227" w:lineRule="auto"/>
        <w:rPr>
          <w:spacing w:val="-2"/>
        </w:rPr>
      </w:pPr>
    </w:p>
    <w:p w:rsidR="00EF2C7E" w:rsidRPr="001C3F67" w:rsidRDefault="00EF2C7E" w:rsidP="00272D12">
      <w:pPr>
        <w:tabs>
          <w:tab w:val="left" w:pos="720"/>
          <w:tab w:val="left" w:pos="7020"/>
        </w:tabs>
        <w:suppressAutoHyphens/>
        <w:spacing w:line="227" w:lineRule="auto"/>
        <w:rPr>
          <w:spacing w:val="-2"/>
        </w:rPr>
      </w:pPr>
      <w:r w:rsidRPr="001C3F67">
        <w:rPr>
          <w:b/>
          <w:spacing w:val="-2"/>
        </w:rPr>
        <w:t xml:space="preserve">Adopted:  </w:t>
      </w:r>
      <w:r w:rsidR="004F456C" w:rsidRPr="001C3F67">
        <w:rPr>
          <w:b/>
          <w:spacing w:val="-2"/>
        </w:rPr>
        <w:t>June</w:t>
      </w:r>
      <w:r w:rsidR="001C3F67" w:rsidRPr="001C3F67">
        <w:rPr>
          <w:b/>
          <w:spacing w:val="-2"/>
        </w:rPr>
        <w:t xml:space="preserve"> 9</w:t>
      </w:r>
      <w:r w:rsidR="00677507" w:rsidRPr="001C3F67">
        <w:rPr>
          <w:b/>
          <w:spacing w:val="-2"/>
        </w:rPr>
        <w:t>, 2014</w:t>
      </w:r>
      <w:r w:rsidRPr="001C3F67">
        <w:rPr>
          <w:b/>
          <w:spacing w:val="-2"/>
        </w:rPr>
        <w:tab/>
        <w:t xml:space="preserve">Released:  </w:t>
      </w:r>
      <w:r w:rsidR="004F456C" w:rsidRPr="001C3F67">
        <w:rPr>
          <w:b/>
          <w:spacing w:val="-2"/>
        </w:rPr>
        <w:t>June</w:t>
      </w:r>
      <w:r w:rsidR="001C3F67" w:rsidRPr="001C3F67">
        <w:rPr>
          <w:b/>
          <w:spacing w:val="-2"/>
        </w:rPr>
        <w:t xml:space="preserve"> 10,</w:t>
      </w:r>
      <w:r w:rsidR="00677507" w:rsidRPr="001C3F67">
        <w:rPr>
          <w:b/>
          <w:spacing w:val="-2"/>
        </w:rPr>
        <w:t xml:space="preserve"> 2014</w:t>
      </w:r>
    </w:p>
    <w:p w:rsidR="00EF2C7E" w:rsidRPr="001C3F67" w:rsidRDefault="00EF2C7E"/>
    <w:p w:rsidR="00EF2C7E" w:rsidRPr="001C3F67" w:rsidRDefault="00EF2C7E">
      <w:pPr>
        <w:rPr>
          <w:spacing w:val="-2"/>
        </w:rPr>
      </w:pPr>
      <w:r w:rsidRPr="001C3F67">
        <w:t xml:space="preserve">By the </w:t>
      </w:r>
      <w:r w:rsidRPr="001C3F67">
        <w:rPr>
          <w:spacing w:val="-2"/>
        </w:rPr>
        <w:t>Commission:</w:t>
      </w:r>
    </w:p>
    <w:p w:rsidR="00EF2C7E" w:rsidRPr="001C3F67" w:rsidRDefault="00EF2C7E">
      <w:pPr>
        <w:rPr>
          <w:spacing w:val="-2"/>
        </w:rPr>
      </w:pPr>
    </w:p>
    <w:p w:rsidR="00EF2C7E" w:rsidRPr="001C3F67" w:rsidRDefault="00EF2C7E" w:rsidP="001C3F67">
      <w:pPr>
        <w:pStyle w:val="Heading1"/>
        <w:rPr>
          <w:rFonts w:ascii="Times New Roman" w:hAnsi="Times New Roman"/>
        </w:rPr>
      </w:pPr>
      <w:r w:rsidRPr="001C3F67">
        <w:rPr>
          <w:rFonts w:ascii="Times New Roman" w:hAnsi="Times New Roman"/>
        </w:rPr>
        <w:t>introduction</w:t>
      </w:r>
    </w:p>
    <w:p w:rsidR="0096584C" w:rsidRPr="0096584C" w:rsidRDefault="00EF2C7E" w:rsidP="0096584C">
      <w:pPr>
        <w:pStyle w:val="ParaNum"/>
      </w:pPr>
      <w:r w:rsidRPr="001C3F67">
        <w:t xml:space="preserve">By this Order, we terminate the above-captioned </w:t>
      </w:r>
      <w:r w:rsidR="00733C02" w:rsidRPr="001C3F67">
        <w:t>M</w:t>
      </w:r>
      <w:r w:rsidRPr="001C3F67">
        <w:t>ultilateration Location and Monitoring Service (M-LMS) rulemaking proceeding</w:t>
      </w:r>
      <w:r w:rsidR="001406B1" w:rsidRPr="001C3F67">
        <w:t>, and conclude that the various proposals for broad revisions of the applicable rules do not merit further consideration at this time</w:t>
      </w:r>
      <w:r w:rsidRPr="001C3F67">
        <w:t>.</w:t>
      </w:r>
      <w:r w:rsidRPr="001C3F67">
        <w:rPr>
          <w:rStyle w:val="FootnoteReference"/>
        </w:rPr>
        <w:footnoteReference w:id="2"/>
      </w:r>
    </w:p>
    <w:p w:rsidR="00EF2C7E" w:rsidRPr="001C3F67" w:rsidRDefault="00EF2C7E" w:rsidP="00EF2C7E">
      <w:pPr>
        <w:pStyle w:val="Heading1"/>
        <w:rPr>
          <w:rFonts w:ascii="Times New Roman" w:hAnsi="Times New Roman"/>
        </w:rPr>
      </w:pPr>
      <w:r w:rsidRPr="001C3F67">
        <w:rPr>
          <w:rFonts w:ascii="Times New Roman" w:hAnsi="Times New Roman"/>
        </w:rPr>
        <w:t>Background</w:t>
      </w:r>
    </w:p>
    <w:p w:rsidR="00EF2C7E" w:rsidRPr="001C3F67" w:rsidRDefault="00EF2C7E" w:rsidP="001C3F67">
      <w:pPr>
        <w:pStyle w:val="ParaNum"/>
        <w:widowControl/>
      </w:pPr>
      <w:r w:rsidRPr="001C3F67">
        <w:t>In 1995, the Commission established Location and Monitoring Service (LMS) as a new radio service to be licensed in the 902-928 MHz band.</w:t>
      </w:r>
      <w:r w:rsidRPr="001C3F67">
        <w:rPr>
          <w:rStyle w:val="FootnoteReference"/>
        </w:rPr>
        <w:footnoteReference w:id="3"/>
      </w:r>
      <w:r w:rsidRPr="001C3F67">
        <w:t xml:space="preserve">  LMS shares this band with a variety of users:  Federal radiolocation systems</w:t>
      </w:r>
      <w:r w:rsidR="00733C02" w:rsidRPr="001C3F67">
        <w:t>;</w:t>
      </w:r>
      <w:r w:rsidRPr="001C3F67">
        <w:t xml:space="preserve"> Industrial, Scientific, and Medical (ISM) equipment use</w:t>
      </w:r>
      <w:r w:rsidR="00733C02" w:rsidRPr="001C3F67">
        <w:t>;</w:t>
      </w:r>
      <w:r w:rsidRPr="001C3F67">
        <w:rPr>
          <w:rStyle w:val="FootnoteReference"/>
        </w:rPr>
        <w:footnoteReference w:id="4"/>
      </w:r>
      <w:r w:rsidRPr="001C3F67">
        <w:t xml:space="preserve"> amateur operations</w:t>
      </w:r>
      <w:r w:rsidR="00733C02" w:rsidRPr="001C3F67">
        <w:t>;</w:t>
      </w:r>
      <w:r w:rsidRPr="001C3F67">
        <w:t xml:space="preserve"> and Part 15 devices.  LMS is secondary to Federal users and to ISM devices and may not cause interference to and must tolerate interference from these users and devices.</w:t>
      </w:r>
      <w:r w:rsidRPr="001C3F67">
        <w:rPr>
          <w:rStyle w:val="FootnoteReference"/>
        </w:rPr>
        <w:footnoteReference w:id="5"/>
      </w:r>
      <w:r w:rsidRPr="001C3F67">
        <w:t xml:space="preserve">  Amateur radio operations are secondary to LMS.</w:t>
      </w:r>
      <w:r w:rsidRPr="001C3F67">
        <w:rPr>
          <w:rStyle w:val="FootnoteReference"/>
        </w:rPr>
        <w:footnoteReference w:id="6"/>
      </w:r>
      <w:r w:rsidRPr="001C3F67">
        <w:t xml:space="preserve">  Unlicensed Part 15 devices are also authorized in the 902-928 MHz band, although such devices are not afforded interference protection rights and may not cause harmful interference to any licensed systems.</w:t>
      </w:r>
      <w:r w:rsidRPr="001C3F67">
        <w:rPr>
          <w:rStyle w:val="FootnoteReference"/>
        </w:rPr>
        <w:footnoteReference w:id="7"/>
      </w:r>
      <w:r w:rsidRPr="001C3F67">
        <w:t xml:space="preserve"> </w:t>
      </w:r>
    </w:p>
    <w:p w:rsidR="00EF2C7E" w:rsidRPr="001C3F67" w:rsidRDefault="00EF2C7E" w:rsidP="001C3F67">
      <w:pPr>
        <w:pStyle w:val="ParaNum"/>
      </w:pPr>
      <w:r w:rsidRPr="001C3F67">
        <w:rPr>
          <w:szCs w:val="22"/>
        </w:rPr>
        <w:lastRenderedPageBreak/>
        <w:t>In establishing M-LMS,</w:t>
      </w:r>
      <w:r w:rsidRPr="001C3F67">
        <w:rPr>
          <w:rStyle w:val="FootnoteReference"/>
          <w:szCs w:val="22"/>
        </w:rPr>
        <w:footnoteReference w:id="8"/>
      </w:r>
      <w:r w:rsidRPr="001C3F67">
        <w:rPr>
          <w:szCs w:val="22"/>
        </w:rPr>
        <w:t xml:space="preserve"> the Commission placed certain limitations on M-LMS operations to facilitate sharing of the 902-928 MHz band by multiple licensed services as well as unlicensed devices.</w:t>
      </w:r>
      <w:r w:rsidRPr="001C3F67">
        <w:rPr>
          <w:rStyle w:val="FootnoteReference"/>
          <w:szCs w:val="22"/>
        </w:rPr>
        <w:footnoteReference w:id="9"/>
      </w:r>
      <w:r w:rsidRPr="001C3F67">
        <w:rPr>
          <w:szCs w:val="22"/>
        </w:rPr>
        <w:t xml:space="preserve">  </w:t>
      </w:r>
      <w:r w:rsidRPr="001C3F67">
        <w:rPr>
          <w:color w:val="000000"/>
          <w:szCs w:val="22"/>
        </w:rPr>
        <w:t>The Commission also adopted certain provisions to facilitate the co-existence of M-LMS operations and Part 15 devices in the 902-928 MHz band.</w:t>
      </w:r>
      <w:r w:rsidRPr="001C3F67">
        <w:rPr>
          <w:rStyle w:val="FootnoteReference"/>
          <w:szCs w:val="22"/>
        </w:rPr>
        <w:footnoteReference w:id="10"/>
      </w:r>
      <w:r w:rsidRPr="001C3F67">
        <w:rPr>
          <w:color w:val="000000"/>
          <w:szCs w:val="22"/>
        </w:rPr>
        <w:t xml:space="preserve">  In particular, the Commission adopted a safe harbor rule for unlicensed devices and amateur operations in the band</w:t>
      </w:r>
      <w:r w:rsidRPr="001C3F67">
        <w:rPr>
          <w:color w:val="000000"/>
          <w:szCs w:val="22"/>
          <w:vertAlign w:val="superscript"/>
        </w:rPr>
        <w:footnoteReference w:id="11"/>
      </w:r>
      <w:r w:rsidRPr="001C3F67">
        <w:rPr>
          <w:color w:val="000000"/>
          <w:szCs w:val="22"/>
        </w:rPr>
        <w:t xml:space="preserve"> and required that M-LMS licensees demonstrate through actual field tests that “their systems do not cause unacceptable levels of interference to Part 15 devices.”</w:t>
      </w:r>
      <w:r w:rsidRPr="001C3F67">
        <w:rPr>
          <w:color w:val="000000"/>
          <w:szCs w:val="22"/>
          <w:vertAlign w:val="superscript"/>
        </w:rPr>
        <w:footnoteReference w:id="12"/>
      </w:r>
      <w:r w:rsidRPr="001C3F67">
        <w:rPr>
          <w:color w:val="000000"/>
          <w:szCs w:val="22"/>
        </w:rPr>
        <w:t xml:space="preserve">  </w:t>
      </w:r>
      <w:r w:rsidRPr="001C3F67">
        <w:t>In 1999 and 2001, the Commission auctioned M-LMS licenses</w:t>
      </w:r>
      <w:r w:rsidRPr="001C3F67">
        <w:rPr>
          <w:szCs w:val="22"/>
        </w:rPr>
        <w:t>.</w:t>
      </w:r>
      <w:r w:rsidRPr="001C3F67">
        <w:rPr>
          <w:rStyle w:val="FootnoteReference"/>
          <w:szCs w:val="22"/>
        </w:rPr>
        <w:footnoteReference w:id="13"/>
      </w:r>
      <w:r w:rsidRPr="001C3F67">
        <w:rPr>
          <w:szCs w:val="22"/>
        </w:rPr>
        <w:t xml:space="preserve"> </w:t>
      </w:r>
    </w:p>
    <w:p w:rsidR="0026307B" w:rsidRPr="001C3F67" w:rsidRDefault="00EF2C7E" w:rsidP="001C3F67">
      <w:pPr>
        <w:pStyle w:val="ParaNum"/>
      </w:pPr>
      <w:r w:rsidRPr="001C3F67">
        <w:t>In 2006, noting that there had been “very limited development of M-LMS service under the existing rules,” the Commission initiated the instant proceeding to examine various new approaches that potentially could make for more effective use of the M-LMS spectrum in the 904-909.75 and 919.75-928 MHz portions of the 902-928 MHz band.</w:t>
      </w:r>
      <w:r w:rsidRPr="001C3F67">
        <w:rPr>
          <w:rStyle w:val="FootnoteReference"/>
        </w:rPr>
        <w:footnoteReference w:id="14"/>
      </w:r>
      <w:r w:rsidRPr="001C3F67">
        <w:t xml:space="preserve">  The Commission sought to evaluate whether to </w:t>
      </w:r>
      <w:r w:rsidR="00B14070" w:rsidRPr="001C3F67">
        <w:t xml:space="preserve">revise </w:t>
      </w:r>
      <w:r w:rsidRPr="001C3F67">
        <w:t>rules</w:t>
      </w:r>
      <w:r w:rsidR="00B14070" w:rsidRPr="001C3F67">
        <w:t xml:space="preserve"> applicable to </w:t>
      </w:r>
      <w:r w:rsidRPr="001C3F67">
        <w:t>M-LMS operations and provide licensees greater flexibility to respond to market conditions while continuing to protect federal and other licensed users and also avoiding any significant increased interference to unlicensed users in the band.</w:t>
      </w:r>
      <w:r w:rsidRPr="001C3F67">
        <w:rPr>
          <w:rStyle w:val="FootnoteReference"/>
        </w:rPr>
        <w:footnoteReference w:id="15"/>
      </w:r>
      <w:r w:rsidRPr="001C3F67">
        <w:t xml:space="preserve">  </w:t>
      </w:r>
      <w:r w:rsidRPr="001C3F67">
        <w:rPr>
          <w:szCs w:val="22"/>
        </w:rPr>
        <w:t>The record in this proceeding closed on June 30, 2006.</w:t>
      </w:r>
      <w:r w:rsidR="00055635" w:rsidRPr="001C3F67">
        <w:rPr>
          <w:rStyle w:val="FootnoteReference"/>
          <w:szCs w:val="22"/>
        </w:rPr>
        <w:footnoteReference w:id="16"/>
      </w:r>
      <w:r w:rsidRPr="001C3F67">
        <w:rPr>
          <w:szCs w:val="22"/>
        </w:rPr>
        <w:t xml:space="preserve">  </w:t>
      </w:r>
    </w:p>
    <w:p w:rsidR="00EF2C7E" w:rsidRPr="001C3F67" w:rsidRDefault="00EF2C7E" w:rsidP="00272D12">
      <w:pPr>
        <w:pStyle w:val="ParaNum"/>
        <w:widowControl/>
      </w:pPr>
      <w:r w:rsidRPr="001C3F67">
        <w:rPr>
          <w:szCs w:val="22"/>
        </w:rPr>
        <w:lastRenderedPageBreak/>
        <w:t>Most M-LMS licensees supported having additional flexibility to provide services</w:t>
      </w:r>
      <w:r w:rsidRPr="001C3F67">
        <w:rPr>
          <w:rStyle w:val="FootnoteReference"/>
          <w:szCs w:val="22"/>
        </w:rPr>
        <w:footnoteReference w:id="17"/>
      </w:r>
      <w:r w:rsidRPr="001C3F67">
        <w:rPr>
          <w:szCs w:val="22"/>
        </w:rPr>
        <w:t xml:space="preserve"> and opposed any reduction in the power levels in which they could operate,</w:t>
      </w:r>
      <w:r w:rsidRPr="001C3F67">
        <w:rPr>
          <w:rStyle w:val="FootnoteReference"/>
          <w:szCs w:val="22"/>
        </w:rPr>
        <w:footnoteReference w:id="18"/>
      </w:r>
      <w:r w:rsidRPr="001C3F67">
        <w:rPr>
          <w:szCs w:val="22"/>
        </w:rPr>
        <w:t xml:space="preserve"> and some sought modification or elimination of the field testing requirement.</w:t>
      </w:r>
      <w:r w:rsidRPr="001C3F67">
        <w:rPr>
          <w:rStyle w:val="FootnoteReference"/>
          <w:szCs w:val="22"/>
        </w:rPr>
        <w:footnoteReference w:id="19"/>
      </w:r>
      <w:r w:rsidRPr="001C3F67">
        <w:rPr>
          <w:szCs w:val="22"/>
        </w:rPr>
        <w:t xml:space="preserve">  Commenters representing other users expressed concerns about allowing M-LMS operations additional flexibility,</w:t>
      </w:r>
      <w:r w:rsidRPr="001C3F67">
        <w:rPr>
          <w:rStyle w:val="FootnoteReference"/>
          <w:szCs w:val="22"/>
        </w:rPr>
        <w:footnoteReference w:id="20"/>
      </w:r>
      <w:r w:rsidRPr="001C3F67">
        <w:rPr>
          <w:szCs w:val="22"/>
        </w:rPr>
        <w:t xml:space="preserve"> generally supported reductions in the power levels for such operations but not in conjunction with an increase in flexibility,</w:t>
      </w:r>
      <w:r w:rsidRPr="001C3F67">
        <w:rPr>
          <w:rStyle w:val="FootnoteReference"/>
          <w:szCs w:val="22"/>
        </w:rPr>
        <w:footnoteReference w:id="21"/>
      </w:r>
      <w:r w:rsidRPr="001C3F67">
        <w:rPr>
          <w:szCs w:val="22"/>
        </w:rPr>
        <w:t xml:space="preserve"> and opposed elimination or supported retention of the </w:t>
      </w:r>
      <w:r w:rsidR="00321748" w:rsidRPr="001C3F67">
        <w:rPr>
          <w:szCs w:val="22"/>
        </w:rPr>
        <w:t xml:space="preserve">Section 90.353(d) </w:t>
      </w:r>
      <w:r w:rsidRPr="001C3F67">
        <w:rPr>
          <w:szCs w:val="22"/>
        </w:rPr>
        <w:t>field testing requirement.</w:t>
      </w:r>
      <w:r w:rsidRPr="001C3F67">
        <w:rPr>
          <w:rStyle w:val="FootnoteReference"/>
          <w:szCs w:val="22"/>
        </w:rPr>
        <w:footnoteReference w:id="22"/>
      </w:r>
      <w:r w:rsidRPr="001C3F67">
        <w:rPr>
          <w:szCs w:val="22"/>
        </w:rPr>
        <w:t xml:space="preserve">  </w:t>
      </w:r>
    </w:p>
    <w:p w:rsidR="00EF2C7E" w:rsidRPr="0096584C" w:rsidRDefault="00EF2C7E" w:rsidP="001C3F67">
      <w:pPr>
        <w:pStyle w:val="ParaNum"/>
        <w:rPr>
          <w:i/>
        </w:rPr>
      </w:pPr>
      <w:r w:rsidRPr="001C3F67">
        <w:rPr>
          <w:i/>
          <w:szCs w:val="22"/>
        </w:rPr>
        <w:t xml:space="preserve">Recent M-LMS developments.  </w:t>
      </w:r>
      <w:r w:rsidRPr="001C3F67">
        <w:rPr>
          <w:szCs w:val="22"/>
        </w:rPr>
        <w:t>Over the past few years, Progeny LMS, LLC (Progeny), which holds multiple M-LMS licenses,</w:t>
      </w:r>
      <w:r w:rsidRPr="001C3F67">
        <w:rPr>
          <w:rStyle w:val="FootnoteReference"/>
          <w:szCs w:val="22"/>
        </w:rPr>
        <w:footnoteReference w:id="23"/>
      </w:r>
      <w:r w:rsidRPr="001C3F67">
        <w:rPr>
          <w:szCs w:val="22"/>
        </w:rPr>
        <w:t xml:space="preserve"> developed</w:t>
      </w:r>
      <w:r w:rsidR="00321748" w:rsidRPr="001C3F67">
        <w:rPr>
          <w:szCs w:val="22"/>
        </w:rPr>
        <w:t xml:space="preserve"> equipment and offers</w:t>
      </w:r>
      <w:r w:rsidRPr="001C3F67">
        <w:rPr>
          <w:szCs w:val="22"/>
        </w:rPr>
        <w:t xml:space="preserve"> a service that operate</w:t>
      </w:r>
      <w:r w:rsidR="009E3013" w:rsidRPr="001C3F67">
        <w:rPr>
          <w:szCs w:val="22"/>
        </w:rPr>
        <w:t>s</w:t>
      </w:r>
      <w:r w:rsidRPr="001C3F67">
        <w:rPr>
          <w:szCs w:val="22"/>
        </w:rPr>
        <w:t xml:space="preserve"> </w:t>
      </w:r>
      <w:r w:rsidR="00321748" w:rsidRPr="001C3F67">
        <w:rPr>
          <w:szCs w:val="22"/>
        </w:rPr>
        <w:t xml:space="preserve">in a manner generally </w:t>
      </w:r>
      <w:r w:rsidRPr="001C3F67">
        <w:rPr>
          <w:szCs w:val="22"/>
        </w:rPr>
        <w:t>consistent with the existing M-LMS framework.</w:t>
      </w:r>
      <w:r w:rsidRPr="001C3F67">
        <w:rPr>
          <w:i/>
          <w:szCs w:val="22"/>
        </w:rPr>
        <w:t xml:space="preserve">  </w:t>
      </w:r>
      <w:r w:rsidRPr="001C3F67">
        <w:rPr>
          <w:szCs w:val="22"/>
        </w:rPr>
        <w:t>In March 2011, Progeny filed a petition seeking waiver of two existing M-LMS service rules to enable it to deploy an M-LMS network that utilizes a beacon system and advanced technologies not available when the M-LMS rules were adopted in 1995.</w:t>
      </w:r>
      <w:r w:rsidRPr="001C3F67">
        <w:rPr>
          <w:szCs w:val="22"/>
          <w:vertAlign w:val="superscript"/>
        </w:rPr>
        <w:footnoteReference w:id="24"/>
      </w:r>
      <w:r w:rsidRPr="001C3F67">
        <w:rPr>
          <w:szCs w:val="22"/>
        </w:rPr>
        <w:t xml:space="preserve">  In December 2011, the Wireless Telecommunications Bureau and the Office of Engineering and Technology granted a limited waiver to permit Progeny to continue developing its proposed location service, based, in part, on the public interest benefits of facilitating the deployment of a multilateration location service that can provide more accurate location determinations, including more precise location information that can improve delivery of E911 emergency services.</w:t>
      </w:r>
      <w:r w:rsidRPr="001C3F67">
        <w:rPr>
          <w:szCs w:val="22"/>
          <w:vertAlign w:val="superscript"/>
        </w:rPr>
        <w:footnoteReference w:id="25"/>
      </w:r>
      <w:r w:rsidRPr="001C3F67">
        <w:rPr>
          <w:szCs w:val="22"/>
        </w:rPr>
        <w:t xml:space="preserve">  The </w:t>
      </w:r>
      <w:r w:rsidRPr="001C3F67">
        <w:rPr>
          <w:i/>
          <w:szCs w:val="22"/>
        </w:rPr>
        <w:t>Limited Waiver Order</w:t>
      </w:r>
      <w:r w:rsidRPr="001C3F67">
        <w:rPr>
          <w:szCs w:val="22"/>
        </w:rPr>
        <w:t xml:space="preserve"> applied the existing interference rules governing M-LMS operations in the 902-928 MHz </w:t>
      </w:r>
      <w:r w:rsidRPr="001C3F67">
        <w:rPr>
          <w:szCs w:val="22"/>
        </w:rPr>
        <w:lastRenderedPageBreak/>
        <w:t>band and required Progeny to satisfy the field testing requirement by submitting field testing for Commission review prior to commencing commercial operations.</w:t>
      </w:r>
      <w:r w:rsidRPr="001C3F67">
        <w:rPr>
          <w:szCs w:val="22"/>
          <w:vertAlign w:val="superscript"/>
        </w:rPr>
        <w:footnoteReference w:id="26"/>
      </w:r>
      <w:r w:rsidRPr="001C3F67">
        <w:rPr>
          <w:szCs w:val="22"/>
        </w:rPr>
        <w:t xml:space="preserve">  </w:t>
      </w:r>
      <w:r w:rsidRPr="001C3F67">
        <w:t>In June 2013, following review of field tests submitted by Progeny in January and October of 2012, the Commission concluded that Progeny could commence commercial operations of its position location service network.</w:t>
      </w:r>
      <w:r w:rsidRPr="001C3F67">
        <w:rPr>
          <w:rStyle w:val="FootnoteReference"/>
        </w:rPr>
        <w:footnoteReference w:id="27"/>
      </w:r>
      <w:r w:rsidRPr="001C3F67">
        <w:t xml:space="preserve"> </w:t>
      </w:r>
      <w:r w:rsidR="005201B3" w:rsidRPr="001C3F67">
        <w:t xml:space="preserve"> In approving these M-LMS operations in the 902-928 MHz band, the Commission applied the original M-LMS framework – including the interference-related requirements, the power limits permitted licensed M-LMS operations, and the field testing requirement – that the Commission established when it authorized the service in 1995.</w:t>
      </w:r>
      <w:r w:rsidR="005201B3" w:rsidRPr="001C3F67">
        <w:rPr>
          <w:vertAlign w:val="superscript"/>
        </w:rPr>
        <w:footnoteReference w:id="28"/>
      </w:r>
    </w:p>
    <w:p w:rsidR="00EF2C7E" w:rsidRPr="001C3F67" w:rsidRDefault="00EF2C7E" w:rsidP="00EF2C7E">
      <w:pPr>
        <w:pStyle w:val="Heading1"/>
        <w:rPr>
          <w:rFonts w:ascii="Times New Roman" w:hAnsi="Times New Roman"/>
        </w:rPr>
      </w:pPr>
      <w:r w:rsidRPr="001C3F67">
        <w:rPr>
          <w:rFonts w:ascii="Times New Roman" w:hAnsi="Times New Roman"/>
        </w:rPr>
        <w:t xml:space="preserve">discussion </w:t>
      </w:r>
    </w:p>
    <w:p w:rsidR="00EF2C7E" w:rsidRPr="001C3F67" w:rsidRDefault="00EF2C7E" w:rsidP="001C3F67">
      <w:pPr>
        <w:pStyle w:val="ParaNum"/>
      </w:pPr>
      <w:r w:rsidRPr="001C3F67">
        <w:t xml:space="preserve">Based on the record before us, and on recent developments pertaining to M-LMS operations in the 902-928 MHz band, we conclude that the various proposals for </w:t>
      </w:r>
      <w:r w:rsidR="00A448EE" w:rsidRPr="001C3F67">
        <w:t xml:space="preserve">wholesale </w:t>
      </w:r>
      <w:r w:rsidRPr="001C3F67">
        <w:t>revisions of the applicable rules do not merit further consideration at this time.  Accordingly, we terminate this proceeding.</w:t>
      </w:r>
    </w:p>
    <w:p w:rsidR="00932D8F" w:rsidRPr="001C3F67" w:rsidRDefault="005201B3" w:rsidP="001C3F67">
      <w:pPr>
        <w:pStyle w:val="ParaNum"/>
      </w:pPr>
      <w:r w:rsidRPr="001C3F67">
        <w:t>In initiating the rulemaking in 2006, the Commission sought to evaluate whether to make various significant changes of the rules applicable to M-LMS to ensure that this service can be deployed in an effective and efficient manner.  T</w:t>
      </w:r>
      <w:r w:rsidRPr="001C3F67">
        <w:rPr>
          <w:szCs w:val="22"/>
        </w:rPr>
        <w:t>he Commission stated that “[o]ur goal in this proceeding is to consider whether greater opportunity can be afforded M-LMS licensees to provide services while ensuring continued access for other licensed and unlicensed uses that share this band.”</w:t>
      </w:r>
      <w:r w:rsidRPr="001C3F67">
        <w:rPr>
          <w:szCs w:val="22"/>
          <w:vertAlign w:val="superscript"/>
        </w:rPr>
        <w:footnoteReference w:id="29"/>
      </w:r>
      <w:r w:rsidRPr="001C3F67">
        <w:rPr>
          <w:szCs w:val="22"/>
        </w:rPr>
        <w:t xml:space="preserve">  </w:t>
      </w:r>
      <w:r w:rsidR="000835CE" w:rsidRPr="001C3F67">
        <w:t>W</w:t>
      </w:r>
      <w:r w:rsidR="00811A66" w:rsidRPr="001C3F67">
        <w:t xml:space="preserve">e find that wholesale changes to existing M-LMS </w:t>
      </w:r>
      <w:r w:rsidR="002A3DAC" w:rsidRPr="001C3F67">
        <w:t xml:space="preserve">framework </w:t>
      </w:r>
      <w:r w:rsidR="00811A66" w:rsidRPr="001C3F67">
        <w:t xml:space="preserve">that the Commission sought comment upon in the </w:t>
      </w:r>
      <w:r w:rsidR="00811A66" w:rsidRPr="001C3F67">
        <w:rPr>
          <w:i/>
        </w:rPr>
        <w:t>M-LMS NPRM</w:t>
      </w:r>
      <w:r w:rsidR="00811A66" w:rsidRPr="001C3F67">
        <w:t xml:space="preserve"> are no</w:t>
      </w:r>
      <w:r w:rsidR="00FE7937" w:rsidRPr="001C3F67">
        <w:t xml:space="preserve">t </w:t>
      </w:r>
      <w:r w:rsidR="00B32EF3" w:rsidRPr="001C3F67">
        <w:t>warranted</w:t>
      </w:r>
      <w:r w:rsidR="00811A66" w:rsidRPr="001C3F67">
        <w:t xml:space="preserve"> </w:t>
      </w:r>
      <w:r w:rsidR="001C3E81" w:rsidRPr="001C3F67">
        <w:t xml:space="preserve">and </w:t>
      </w:r>
      <w:r w:rsidR="005C2B19" w:rsidRPr="001C3F67">
        <w:t xml:space="preserve">that the types of revisions </w:t>
      </w:r>
      <w:r w:rsidR="000835CE" w:rsidRPr="001C3F67">
        <w:t xml:space="preserve">that the Commission sought comment </w:t>
      </w:r>
      <w:r w:rsidR="005C2B19" w:rsidRPr="001C3F67">
        <w:t>are</w:t>
      </w:r>
      <w:r w:rsidR="00A448EE" w:rsidRPr="001C3F67">
        <w:t xml:space="preserve"> </w:t>
      </w:r>
      <w:r w:rsidR="00626BAA" w:rsidRPr="001C3F67">
        <w:t>not necessary</w:t>
      </w:r>
      <w:r w:rsidR="005C2B19" w:rsidRPr="001C3F67">
        <w:t xml:space="preserve"> to </w:t>
      </w:r>
      <w:r w:rsidR="00A448EE" w:rsidRPr="001C3F67">
        <w:t xml:space="preserve">provide </w:t>
      </w:r>
      <w:r w:rsidR="005C2B19" w:rsidRPr="001C3F67">
        <w:t xml:space="preserve">sufficient </w:t>
      </w:r>
      <w:r w:rsidR="00A448EE" w:rsidRPr="001C3F67">
        <w:t>flexibility to M-LMS licensees</w:t>
      </w:r>
      <w:r w:rsidR="005C2B19" w:rsidRPr="001C3F67">
        <w:t xml:space="preserve"> to provide their location services</w:t>
      </w:r>
      <w:r w:rsidR="00A448EE" w:rsidRPr="001C3F67">
        <w:t xml:space="preserve">.  </w:t>
      </w:r>
      <w:r w:rsidR="001C3E81" w:rsidRPr="001C3F67">
        <w:t>Based on recent developments pertaining to M-LMS operations in the 902-928 MHz band, w</w:t>
      </w:r>
      <w:r w:rsidR="00811A66" w:rsidRPr="001C3F67">
        <w:t xml:space="preserve">e </w:t>
      </w:r>
      <w:r w:rsidR="005C2B19" w:rsidRPr="001C3F67">
        <w:t>believe</w:t>
      </w:r>
      <w:r w:rsidR="00811A66" w:rsidRPr="001C3F67">
        <w:t xml:space="preserve"> that </w:t>
      </w:r>
      <w:r w:rsidR="00EF2C7E" w:rsidRPr="001C3F67">
        <w:t>the existing M-LMS framework</w:t>
      </w:r>
      <w:r w:rsidR="00F50827" w:rsidRPr="001C3F67">
        <w:t xml:space="preserve"> </w:t>
      </w:r>
      <w:r w:rsidR="00811A66" w:rsidRPr="001C3F67">
        <w:t xml:space="preserve">can provide M-LMS licensees with sufficient opportunities to </w:t>
      </w:r>
      <w:r w:rsidR="006C2DA1" w:rsidRPr="001C3F67">
        <w:t>provide</w:t>
      </w:r>
      <w:r w:rsidR="00811A66" w:rsidRPr="001C3F67">
        <w:t xml:space="preserve"> service offerings.</w:t>
      </w:r>
      <w:r w:rsidR="00321748" w:rsidRPr="001C3F67">
        <w:t xml:space="preserve"> </w:t>
      </w:r>
      <w:r w:rsidR="00811A66" w:rsidRPr="001C3F67">
        <w:t xml:space="preserve"> </w:t>
      </w:r>
      <w:r w:rsidR="00DF072B" w:rsidRPr="001C3F67">
        <w:t>As discussed above</w:t>
      </w:r>
      <w:r w:rsidR="00F410D1" w:rsidRPr="001C3F67">
        <w:t xml:space="preserve">, the Commission concluded that Progeny could commence commercial operations of its </w:t>
      </w:r>
      <w:r w:rsidR="00DF072B" w:rsidRPr="001C3F67">
        <w:t xml:space="preserve">M-LMS </w:t>
      </w:r>
      <w:r w:rsidR="00F410D1" w:rsidRPr="001C3F67">
        <w:t>position location service network</w:t>
      </w:r>
      <w:r w:rsidR="00DF072B" w:rsidRPr="001C3F67">
        <w:t xml:space="preserve">, </w:t>
      </w:r>
      <w:r w:rsidR="00626BAA" w:rsidRPr="001C3F67">
        <w:t>within the</w:t>
      </w:r>
      <w:r w:rsidR="00DF072B" w:rsidRPr="001C3F67">
        <w:t xml:space="preserve"> framework that the Commission initially had established to promote the co-existence of M-LMS operations and unlicensed operations in the band</w:t>
      </w:r>
      <w:r w:rsidR="00F410D1" w:rsidRPr="001C3F67">
        <w:t>.</w:t>
      </w:r>
      <w:r w:rsidR="002650DA" w:rsidRPr="001C3F67">
        <w:rPr>
          <w:rStyle w:val="FootnoteReference"/>
        </w:rPr>
        <w:footnoteReference w:id="30"/>
      </w:r>
      <w:r w:rsidR="00F410D1" w:rsidRPr="001C3F67">
        <w:t xml:space="preserve">  </w:t>
      </w:r>
      <w:r w:rsidR="00EF2C7E" w:rsidRPr="001C3F67">
        <w:t>Accordingly, we conclude that terminating this rulemaking serves the public interest at this time.</w:t>
      </w:r>
      <w:r w:rsidR="00932D8F" w:rsidRPr="001C3F67">
        <w:br w:type="page"/>
      </w:r>
    </w:p>
    <w:p w:rsidR="00EF2C7E" w:rsidRPr="001C3F67" w:rsidRDefault="00EF2C7E" w:rsidP="00EF2C7E">
      <w:pPr>
        <w:pStyle w:val="Heading1"/>
        <w:rPr>
          <w:rFonts w:ascii="Times New Roman" w:hAnsi="Times New Roman"/>
        </w:rPr>
      </w:pPr>
      <w:r w:rsidRPr="001C3F67">
        <w:rPr>
          <w:rFonts w:ascii="Times New Roman" w:hAnsi="Times New Roman"/>
        </w:rPr>
        <w:lastRenderedPageBreak/>
        <w:t>ordering clause</w:t>
      </w:r>
    </w:p>
    <w:p w:rsidR="00EF2C7E" w:rsidRPr="001C3F67" w:rsidRDefault="00EF2C7E" w:rsidP="001C3F67">
      <w:pPr>
        <w:pStyle w:val="ParaNum"/>
      </w:pPr>
      <w:r w:rsidRPr="001C3F67">
        <w:t>Accordingly, IT IS ORDERED, pursuant to the authority contained in Sections 4(i) and 4(j) of the Communications Act, as amended, 47 U.S.C. §§ 154(i) and (j), that the proceeding in WT Docket No. 06-49 is HEREBY TERMINATED.</w:t>
      </w:r>
    </w:p>
    <w:p w:rsidR="00EF2C7E" w:rsidRPr="001C3F67" w:rsidRDefault="00EF2C7E" w:rsidP="0096584C"/>
    <w:p w:rsidR="00EF2C7E" w:rsidRPr="001C3F67" w:rsidRDefault="00EF2C7E" w:rsidP="0096584C">
      <w:pPr>
        <w:ind w:left="3600"/>
      </w:pPr>
      <w:r w:rsidRPr="001C3F67">
        <w:t>FEDERAL COMMUNICATIONS COMMISSION</w:t>
      </w:r>
    </w:p>
    <w:p w:rsidR="00EF2C7E" w:rsidRPr="001C3F67" w:rsidRDefault="00EF2C7E" w:rsidP="0096584C">
      <w:pPr>
        <w:ind w:left="3600"/>
      </w:pPr>
    </w:p>
    <w:p w:rsidR="00EF2C7E" w:rsidRPr="001C3F67" w:rsidRDefault="00EF2C7E" w:rsidP="0096584C">
      <w:pPr>
        <w:ind w:left="3600"/>
      </w:pPr>
    </w:p>
    <w:p w:rsidR="00EF2C7E" w:rsidRPr="001C3F67" w:rsidRDefault="00EF2C7E" w:rsidP="0096584C">
      <w:pPr>
        <w:ind w:left="3600"/>
      </w:pPr>
    </w:p>
    <w:p w:rsidR="00EF2C7E" w:rsidRPr="001C3F67" w:rsidRDefault="00EF2C7E" w:rsidP="0096584C">
      <w:pPr>
        <w:ind w:left="3600"/>
      </w:pPr>
      <w:r w:rsidRPr="001C3F67">
        <w:t>Marlene H. Dortch</w:t>
      </w:r>
    </w:p>
    <w:p w:rsidR="00EF2C7E" w:rsidRPr="001C3F67" w:rsidRDefault="00EF2C7E" w:rsidP="0096584C">
      <w:pPr>
        <w:ind w:left="3600"/>
      </w:pPr>
      <w:r w:rsidRPr="001C3F67">
        <w:t>Secretary</w:t>
      </w:r>
    </w:p>
    <w:p w:rsidR="00EF2C7E" w:rsidRPr="001C3F67" w:rsidRDefault="00EF2C7E" w:rsidP="0096584C"/>
    <w:p w:rsidR="00EF2C7E" w:rsidRPr="001C3F67" w:rsidRDefault="00EF2C7E" w:rsidP="0096584C"/>
    <w:sectPr w:rsidR="00EF2C7E" w:rsidRPr="001C3F67" w:rsidSect="001C3F6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91" w:rsidRDefault="00794791">
      <w:pPr>
        <w:spacing w:line="20" w:lineRule="exact"/>
      </w:pPr>
    </w:p>
  </w:endnote>
  <w:endnote w:type="continuationSeparator" w:id="0">
    <w:p w:rsidR="00794791" w:rsidRDefault="00794791">
      <w:r>
        <w:t xml:space="preserve"> </w:t>
      </w:r>
    </w:p>
  </w:endnote>
  <w:endnote w:type="continuationNotice" w:id="1">
    <w:p w:rsidR="00794791" w:rsidRDefault="007947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7E" w:rsidRDefault="00EF2C7E" w:rsidP="00EF2C7E">
    <w:pPr>
      <w:pStyle w:val="Footer"/>
      <w:framePr w:wrap="around" w:vAnchor="text" w:hAnchor="margin" w:xAlign="center" w:y="1"/>
    </w:pPr>
    <w:r>
      <w:fldChar w:fldCharType="begin"/>
    </w:r>
    <w:r>
      <w:instrText xml:space="preserve">PAGE  </w:instrText>
    </w:r>
    <w:r>
      <w:fldChar w:fldCharType="end"/>
    </w:r>
  </w:p>
  <w:p w:rsidR="00EF2C7E" w:rsidRDefault="00EF2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7E" w:rsidRDefault="00EF2C7E" w:rsidP="00EF2C7E">
    <w:pPr>
      <w:pStyle w:val="Footer"/>
      <w:framePr w:wrap="around" w:vAnchor="text" w:hAnchor="margin" w:xAlign="center" w:y="1"/>
    </w:pPr>
    <w:r>
      <w:fldChar w:fldCharType="begin"/>
    </w:r>
    <w:r>
      <w:instrText xml:space="preserve">PAGE  </w:instrText>
    </w:r>
    <w:r>
      <w:fldChar w:fldCharType="separate"/>
    </w:r>
    <w:r w:rsidR="00F5051D">
      <w:rPr>
        <w:noProof/>
      </w:rPr>
      <w:t>4</w:t>
    </w:r>
    <w:r>
      <w:fldChar w:fldCharType="end"/>
    </w:r>
  </w:p>
  <w:p w:rsidR="00EF2C7E" w:rsidRDefault="00EF2C7E">
    <w:pPr>
      <w:spacing w:before="140" w:line="100" w:lineRule="exact"/>
      <w:rPr>
        <w:sz w:val="10"/>
      </w:rPr>
    </w:pPr>
  </w:p>
  <w:p w:rsidR="00EF2C7E" w:rsidRDefault="00EF2C7E">
    <w:pPr>
      <w:suppressAutoHyphens/>
      <w:spacing w:line="227" w:lineRule="auto"/>
    </w:pPr>
  </w:p>
  <w:p w:rsidR="00EF2C7E" w:rsidRDefault="00EF2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05424"/>
      <w:docPartObj>
        <w:docPartGallery w:val="Page Numbers (Bottom of Page)"/>
        <w:docPartUnique/>
      </w:docPartObj>
    </w:sdtPr>
    <w:sdtEndPr>
      <w:rPr>
        <w:noProof/>
      </w:rPr>
    </w:sdtEndPr>
    <w:sdtContent>
      <w:p w:rsidR="001C3F67" w:rsidRDefault="001C3F67">
        <w:pPr>
          <w:pStyle w:val="Footer"/>
          <w:jc w:val="center"/>
        </w:pPr>
        <w:r>
          <w:fldChar w:fldCharType="begin"/>
        </w:r>
        <w:r>
          <w:instrText xml:space="preserve"> PAGE   \* MERGEFORMAT </w:instrText>
        </w:r>
        <w:r>
          <w:fldChar w:fldCharType="separate"/>
        </w:r>
        <w:r w:rsidR="00F5051D">
          <w:rPr>
            <w:noProof/>
          </w:rPr>
          <w:t>1</w:t>
        </w:r>
        <w:r>
          <w:rPr>
            <w:noProof/>
          </w:rPr>
          <w:fldChar w:fldCharType="end"/>
        </w:r>
      </w:p>
    </w:sdtContent>
  </w:sdt>
  <w:p w:rsidR="00EF2C7E" w:rsidRDefault="00EF2C7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91" w:rsidRDefault="00794791">
      <w:r>
        <w:separator/>
      </w:r>
    </w:p>
  </w:footnote>
  <w:footnote w:type="continuationSeparator" w:id="0">
    <w:p w:rsidR="00794791" w:rsidRDefault="00794791">
      <w:pPr>
        <w:rPr>
          <w:sz w:val="20"/>
        </w:rPr>
      </w:pPr>
      <w:r>
        <w:rPr>
          <w:sz w:val="20"/>
        </w:rPr>
        <w:t xml:space="preserve">(Continued from previous page)  </w:t>
      </w:r>
      <w:r>
        <w:rPr>
          <w:sz w:val="20"/>
        </w:rPr>
        <w:separator/>
      </w:r>
    </w:p>
  </w:footnote>
  <w:footnote w:type="continuationNotice" w:id="1">
    <w:p w:rsidR="00794791" w:rsidRDefault="00794791" w:rsidP="001C3F67">
      <w:pPr>
        <w:jc w:val="right"/>
        <w:rPr>
          <w:sz w:val="20"/>
        </w:rPr>
      </w:pPr>
      <w:r>
        <w:rPr>
          <w:sz w:val="20"/>
        </w:rPr>
        <w:t>(continued….)</w:t>
      </w:r>
    </w:p>
  </w:footnote>
  <w:footnote w:id="2">
    <w:p w:rsidR="00EF2C7E" w:rsidRDefault="00EF2C7E" w:rsidP="00EF2C7E">
      <w:pPr>
        <w:pStyle w:val="FootnoteText"/>
      </w:pPr>
      <w:r>
        <w:rPr>
          <w:rStyle w:val="FootnoteReference"/>
        </w:rPr>
        <w:footnoteRef/>
      </w:r>
      <w:r>
        <w:t xml:space="preserve"> </w:t>
      </w:r>
      <w:r w:rsidRPr="00D37340">
        <w:rPr>
          <w:i/>
        </w:rPr>
        <w:t>See generally</w:t>
      </w:r>
      <w:r>
        <w:t xml:space="preserve"> Amendment of the Commission’s Part 90 Rules in the 904-909.75 and 919.75-928 MHz Bands, WT Docket No. 06-49, </w:t>
      </w:r>
      <w:r w:rsidRPr="00D37340">
        <w:rPr>
          <w:i/>
        </w:rPr>
        <w:t>Notice of Proposed Rulemaking</w:t>
      </w:r>
      <w:r>
        <w:t>, 21 FCC Rcd 2809 (2006) (</w:t>
      </w:r>
      <w:r w:rsidRPr="00D37340">
        <w:rPr>
          <w:i/>
        </w:rPr>
        <w:t>M-LMS NPRM</w:t>
      </w:r>
      <w:r>
        <w:t>).</w:t>
      </w:r>
    </w:p>
  </w:footnote>
  <w:footnote w:id="3">
    <w:p w:rsidR="00EF2C7E" w:rsidRDefault="00EF2C7E" w:rsidP="00EF2C7E">
      <w:pPr>
        <w:pStyle w:val="FootnoteText"/>
      </w:pPr>
      <w:r>
        <w:rPr>
          <w:rStyle w:val="FootnoteReference"/>
        </w:rPr>
        <w:footnoteRef/>
      </w:r>
      <w:r>
        <w:t xml:space="preserve"> </w:t>
      </w:r>
      <w:r>
        <w:rPr>
          <w:i/>
        </w:rPr>
        <w:t xml:space="preserve">See </w:t>
      </w:r>
      <w:r>
        <w:t xml:space="preserve">Amendment of Part 90 of the Commission’s Rules to Adopt Regulations for Automatic Vehicle Monitoring Systems, PR Docket No. 93-61, </w:t>
      </w:r>
      <w:r>
        <w:rPr>
          <w:i/>
        </w:rPr>
        <w:t>Report and Order</w:t>
      </w:r>
      <w:r>
        <w:t>, 10 FCC Rcd 4695 (1995) (</w:t>
      </w:r>
      <w:r>
        <w:rPr>
          <w:i/>
        </w:rPr>
        <w:t>LMS Report and Order</w:t>
      </w:r>
      <w:r>
        <w:t xml:space="preserve">); Amendment of Part 90 of the Commission’s Rules to Adopt Regulations for Automatic Vehicle Monitoring Systems, PR Docket No. 93-61, </w:t>
      </w:r>
      <w:r>
        <w:rPr>
          <w:i/>
        </w:rPr>
        <w:t>Order on Reconsideration</w:t>
      </w:r>
      <w:r>
        <w:t>, 11 FCC Rcd 16905 (1996) (</w:t>
      </w:r>
      <w:r>
        <w:rPr>
          <w:i/>
        </w:rPr>
        <w:t>LMS Order on Reconsideration</w:t>
      </w:r>
      <w:r>
        <w:t xml:space="preserve">); Amendment of Part 90 of the Commission’s Rules to Adopt Regulations for Automatic Vehicle Monitoring Systems, PR Docket No. 93-61, </w:t>
      </w:r>
      <w:r>
        <w:rPr>
          <w:i/>
        </w:rPr>
        <w:t>Memorandum Opinion and Order and Further Notice of Proposed Rule Making</w:t>
      </w:r>
      <w:r>
        <w:t>, 12 FCC Rcd 13942 (1997) (</w:t>
      </w:r>
      <w:r>
        <w:rPr>
          <w:i/>
        </w:rPr>
        <w:t>LMS MO&amp;O</w:t>
      </w:r>
      <w:r>
        <w:t xml:space="preserve">).  </w:t>
      </w:r>
      <w:r>
        <w:rPr>
          <w:i/>
        </w:rPr>
        <w:t>See also M-LMS NPRM</w:t>
      </w:r>
      <w:r>
        <w:t>, 21 FCC Rcd at 2811-14 ¶¶</w:t>
      </w:r>
      <w:r w:rsidDel="00B90B51">
        <w:t xml:space="preserve"> </w:t>
      </w:r>
      <w:r>
        <w:t xml:space="preserve">5-9.  </w:t>
      </w:r>
    </w:p>
  </w:footnote>
  <w:footnote w:id="4">
    <w:p w:rsidR="00EF2C7E" w:rsidRDefault="00EF2C7E" w:rsidP="00EF2C7E">
      <w:pPr>
        <w:pStyle w:val="FootnoteText"/>
      </w:pPr>
      <w:r>
        <w:rPr>
          <w:rStyle w:val="FootnoteReference"/>
        </w:rPr>
        <w:footnoteRef/>
      </w:r>
      <w:r>
        <w:t xml:space="preserve"> 47 C.F.R. §§ 2.106, 18.301, 18.111(c).</w:t>
      </w:r>
    </w:p>
  </w:footnote>
  <w:footnote w:id="5">
    <w:p w:rsidR="00EF2C7E" w:rsidRDefault="00EF2C7E" w:rsidP="00EF2C7E">
      <w:pPr>
        <w:pStyle w:val="FootnoteText"/>
      </w:pPr>
      <w:r>
        <w:rPr>
          <w:rStyle w:val="FootnoteReference"/>
        </w:rPr>
        <w:footnoteRef/>
      </w:r>
      <w:r>
        <w:t xml:space="preserve"> </w:t>
      </w:r>
      <w:r>
        <w:rPr>
          <w:i/>
        </w:rPr>
        <w:t>Id</w:t>
      </w:r>
      <w:r>
        <w:t>. § 90.353(a).</w:t>
      </w:r>
      <w:r w:rsidRPr="00211B1D">
        <w:rPr>
          <w:snapToGrid w:val="0"/>
          <w:kern w:val="28"/>
          <w:sz w:val="22"/>
          <w:szCs w:val="22"/>
        </w:rPr>
        <w:t xml:space="preserve"> </w:t>
      </w:r>
      <w:r>
        <w:rPr>
          <w:snapToGrid w:val="0"/>
          <w:kern w:val="28"/>
          <w:sz w:val="22"/>
          <w:szCs w:val="22"/>
        </w:rPr>
        <w:t xml:space="preserve"> </w:t>
      </w:r>
    </w:p>
  </w:footnote>
  <w:footnote w:id="6">
    <w:p w:rsidR="00EF2C7E" w:rsidRDefault="00EF2C7E" w:rsidP="00EF2C7E">
      <w:pPr>
        <w:pStyle w:val="FootnoteText"/>
      </w:pPr>
      <w:r>
        <w:rPr>
          <w:rStyle w:val="FootnoteReference"/>
        </w:rPr>
        <w:footnoteRef/>
      </w:r>
      <w:r>
        <w:rPr>
          <w:i/>
        </w:rPr>
        <w:t xml:space="preserve"> </w:t>
      </w:r>
      <w:r>
        <w:t>47 C.F.R. § 97.301.</w:t>
      </w:r>
    </w:p>
  </w:footnote>
  <w:footnote w:id="7">
    <w:p w:rsidR="00EF2C7E" w:rsidRDefault="00EF2C7E" w:rsidP="00EF2C7E">
      <w:pPr>
        <w:pStyle w:val="FootnoteText"/>
      </w:pPr>
      <w:r>
        <w:rPr>
          <w:rStyle w:val="FootnoteReference"/>
        </w:rPr>
        <w:footnoteRef/>
      </w:r>
      <w:r>
        <w:t xml:space="preserve"> </w:t>
      </w:r>
      <w:r>
        <w:rPr>
          <w:i/>
        </w:rPr>
        <w:t>See</w:t>
      </w:r>
      <w:r>
        <w:t xml:space="preserve"> 47 C.F.R. § 90.361.</w:t>
      </w:r>
      <w:r w:rsidRPr="003174CE">
        <w:t xml:space="preserve"> </w:t>
      </w:r>
    </w:p>
  </w:footnote>
  <w:footnote w:id="8">
    <w:p w:rsidR="00EF2C7E" w:rsidRDefault="00EF2C7E">
      <w:pPr>
        <w:pStyle w:val="FootnoteText"/>
      </w:pPr>
      <w:r>
        <w:rPr>
          <w:rStyle w:val="FootnoteReference"/>
        </w:rPr>
        <w:footnoteRef/>
      </w:r>
      <w:r>
        <w:t xml:space="preserve"> </w:t>
      </w:r>
      <w:r>
        <w:rPr>
          <w:i/>
        </w:rPr>
        <w:t xml:space="preserve">See generally LMS Report and Order, </w:t>
      </w:r>
      <w:r>
        <w:t xml:space="preserve">10 FCC Rcd 4695. There are two types of LMS systems, M-LMS and non-multilateration LMS.  M-LMS systems have been envisioned to track and locate objects over a wide geographic area by measuring the difference in time of arrival or phase of signals transmitted from a unit to a number of fixed points, or from a number of fixed points to the unit that is to be located, and are licensed on a geographic area basis.  </w:t>
      </w:r>
      <w:r w:rsidRPr="00D55C13">
        <w:rPr>
          <w:i/>
        </w:rPr>
        <w:t>See</w:t>
      </w:r>
      <w:r>
        <w:t xml:space="preserve"> 47 C.F.R. §§ 90.7, 90.353(d).  Non-multilateration LMS systems transmit data to and from objects passing through particular locations, and are licensed site-by-site.  </w:t>
      </w:r>
      <w:r w:rsidRPr="00D55C13">
        <w:rPr>
          <w:i/>
        </w:rPr>
        <w:t>See</w:t>
      </w:r>
      <w:r>
        <w:t xml:space="preserve"> 47 C.F.R. §§ 90.7, 90.353(i).</w:t>
      </w:r>
    </w:p>
  </w:footnote>
  <w:footnote w:id="9">
    <w:p w:rsidR="00EF2C7E" w:rsidRDefault="00EF2C7E">
      <w:pPr>
        <w:pStyle w:val="FootnoteText"/>
      </w:pPr>
      <w:r>
        <w:rPr>
          <w:rStyle w:val="FootnoteReference"/>
        </w:rPr>
        <w:footnoteRef/>
      </w:r>
      <w:r>
        <w:rPr>
          <w:i/>
        </w:rPr>
        <w:t xml:space="preserve"> See</w:t>
      </w:r>
      <w:r>
        <w:t xml:space="preserve"> </w:t>
      </w:r>
      <w:r>
        <w:rPr>
          <w:i/>
        </w:rPr>
        <w:t>LMS</w:t>
      </w:r>
      <w:r>
        <w:t xml:space="preserve"> </w:t>
      </w:r>
      <w:r>
        <w:rPr>
          <w:i/>
        </w:rPr>
        <w:t>Report and Order,</w:t>
      </w:r>
      <w:r>
        <w:t xml:space="preserve"> 10 FCC Rcd 4695</w:t>
      </w:r>
      <w:r>
        <w:rPr>
          <w:szCs w:val="22"/>
        </w:rPr>
        <w:t>.</w:t>
      </w:r>
    </w:p>
  </w:footnote>
  <w:footnote w:id="10">
    <w:p w:rsidR="00EF2C7E" w:rsidRDefault="00EF2C7E">
      <w:pPr>
        <w:pStyle w:val="FootnoteText"/>
      </w:pPr>
      <w:r>
        <w:rPr>
          <w:rStyle w:val="FootnoteReference"/>
        </w:rPr>
        <w:footnoteRef/>
      </w:r>
      <w:r>
        <w:t xml:space="preserve"> </w:t>
      </w:r>
      <w:r>
        <w:rPr>
          <w:i/>
        </w:rPr>
        <w:t>See M-LMS NPRM</w:t>
      </w:r>
      <w:r>
        <w:t>, 21 FCC Rcd at 2813 ¶ 9.</w:t>
      </w:r>
    </w:p>
  </w:footnote>
  <w:footnote w:id="11">
    <w:p w:rsidR="00EF2C7E" w:rsidRDefault="00EF2C7E" w:rsidP="00EF2C7E">
      <w:pPr>
        <w:pStyle w:val="FootnoteText"/>
      </w:pPr>
      <w:r w:rsidRPr="009C695F">
        <w:rPr>
          <w:rStyle w:val="FootnoteReference"/>
        </w:rPr>
        <w:footnoteRef/>
      </w:r>
      <w:r>
        <w:t xml:space="preserve"> </w:t>
      </w:r>
      <w:r>
        <w:rPr>
          <w:i/>
        </w:rPr>
        <w:t>See</w:t>
      </w:r>
      <w:r>
        <w:t xml:space="preserve"> 47 C.F.R. § 90.361; </w:t>
      </w:r>
      <w:r>
        <w:rPr>
          <w:i/>
        </w:rPr>
        <w:t>LMS Report and Order</w:t>
      </w:r>
      <w:r>
        <w:t>, 10 FCC Rcd</w:t>
      </w:r>
      <w:r>
        <w:rPr>
          <w:i/>
        </w:rPr>
        <w:t xml:space="preserve"> </w:t>
      </w:r>
      <w:r>
        <w:t>at 4715-16 ¶ 36 (adopting rules “that define and clarify what constitutes harmful interference from . . . secondary operations”).</w:t>
      </w:r>
    </w:p>
  </w:footnote>
  <w:footnote w:id="12">
    <w:p w:rsidR="00EF2C7E" w:rsidRDefault="00EF2C7E" w:rsidP="00EF2C7E">
      <w:pPr>
        <w:pStyle w:val="FootnoteText"/>
      </w:pPr>
      <w:r w:rsidRPr="009C695F">
        <w:rPr>
          <w:rStyle w:val="FootnoteReference"/>
        </w:rPr>
        <w:footnoteRef/>
      </w:r>
      <w:r w:rsidRPr="003A2E94">
        <w:rPr>
          <w:i/>
        </w:rPr>
        <w:t>LMS Report and Order</w:t>
      </w:r>
      <w:r>
        <w:t>, 10 FCC Rcd</w:t>
      </w:r>
      <w:r w:rsidRPr="003A2E94">
        <w:rPr>
          <w:i/>
        </w:rPr>
        <w:t xml:space="preserve"> </w:t>
      </w:r>
      <w:r>
        <w:t xml:space="preserve">at 4737 ¶ 82; </w:t>
      </w:r>
      <w:r w:rsidR="00321748">
        <w:t>47 C.F.R. §</w:t>
      </w:r>
      <w:r w:rsidR="006354E4">
        <w:t xml:space="preserve"> </w:t>
      </w:r>
      <w:r w:rsidR="00321748">
        <w:t>90.353(d) (codifying the field testing requirement).  S</w:t>
      </w:r>
      <w:r>
        <w:rPr>
          <w:i/>
        </w:rPr>
        <w:t xml:space="preserve">ee also </w:t>
      </w:r>
      <w:r w:rsidRPr="001A71AE">
        <w:rPr>
          <w:i/>
        </w:rPr>
        <w:t>LMS Order on Reconsideration</w:t>
      </w:r>
      <w:r w:rsidRPr="001A71AE">
        <w:t xml:space="preserve">, 11 FCC Rcd </w:t>
      </w:r>
      <w:r>
        <w:t xml:space="preserve">at 16912 ¶ 16; </w:t>
      </w:r>
      <w:r w:rsidRPr="008E08D4">
        <w:rPr>
          <w:i/>
        </w:rPr>
        <w:t>LMS MO&amp;O</w:t>
      </w:r>
      <w:r w:rsidRPr="008E08D4">
        <w:t xml:space="preserve">, 12 FCC Rcd </w:t>
      </w:r>
      <w:r>
        <w:t>at</w:t>
      </w:r>
      <w:r w:rsidRPr="008E08D4">
        <w:t xml:space="preserve"> </w:t>
      </w:r>
      <w:r>
        <w:t xml:space="preserve">13968 ¶ 69; </w:t>
      </w:r>
      <w:r w:rsidRPr="003A2E94">
        <w:rPr>
          <w:i/>
        </w:rPr>
        <w:t>M-LMS NPRM</w:t>
      </w:r>
      <w:r>
        <w:t>, 21 FCC Rcd</w:t>
      </w:r>
      <w:r w:rsidRPr="003A2E94">
        <w:rPr>
          <w:i/>
        </w:rPr>
        <w:t xml:space="preserve"> </w:t>
      </w:r>
      <w:r w:rsidRPr="003A2E94">
        <w:t>at</w:t>
      </w:r>
      <w:r>
        <w:t xml:space="preserve"> 2813-14</w:t>
      </w:r>
      <w:r w:rsidRPr="003A2E94">
        <w:t xml:space="preserve"> ¶ 9</w:t>
      </w:r>
      <w:r w:rsidR="00321748">
        <w:t>.</w:t>
      </w:r>
    </w:p>
  </w:footnote>
  <w:footnote w:id="13">
    <w:p w:rsidR="00EF2C7E" w:rsidRPr="00902C68" w:rsidRDefault="00EF2C7E">
      <w:pPr>
        <w:pStyle w:val="FootnoteText"/>
      </w:pPr>
      <w:r>
        <w:rPr>
          <w:rStyle w:val="FootnoteReference"/>
        </w:rPr>
        <w:footnoteRef/>
      </w:r>
      <w:r>
        <w:t xml:space="preserve"> </w:t>
      </w:r>
      <w:r w:rsidRPr="00F35B88">
        <w:t xml:space="preserve">“VHF Public Coast and Location and Monitoring Service Spectrum Auction Closes, Winning Bidders Announced,” </w:t>
      </w:r>
      <w:r>
        <w:rPr>
          <w:i/>
        </w:rPr>
        <w:t>Public Notice</w:t>
      </w:r>
      <w:r>
        <w:t xml:space="preserve">, 16 FCC Rcd 12509 </w:t>
      </w:r>
      <w:r w:rsidRPr="00F35B88">
        <w:t>(2001)</w:t>
      </w:r>
      <w:r>
        <w:t xml:space="preserve"> (</w:t>
      </w:r>
      <w:r w:rsidRPr="006F43D3">
        <w:rPr>
          <w:i/>
        </w:rPr>
        <w:t>Au</w:t>
      </w:r>
      <w:r>
        <w:rPr>
          <w:i/>
        </w:rPr>
        <w:t>ction 39</w:t>
      </w:r>
      <w:r w:rsidRPr="006F43D3">
        <w:rPr>
          <w:i/>
        </w:rPr>
        <w:t xml:space="preserve"> Winning Bidders Public Notice</w:t>
      </w:r>
      <w:r>
        <w:t>)</w:t>
      </w:r>
      <w:r w:rsidRPr="00F35B88">
        <w:t>.</w:t>
      </w:r>
      <w:r>
        <w:t xml:space="preserve">  </w:t>
      </w:r>
      <w:r>
        <w:rPr>
          <w:i/>
        </w:rPr>
        <w:t>See also M-LMS NPRM</w:t>
      </w:r>
      <w:r>
        <w:t>, 21 FCC Rcd at 2814 ¶ 10.</w:t>
      </w:r>
      <w:r>
        <w:rPr>
          <w:i/>
        </w:rPr>
        <w:t xml:space="preserve"> </w:t>
      </w:r>
    </w:p>
  </w:footnote>
  <w:footnote w:id="14">
    <w:p w:rsidR="00EF2C7E" w:rsidRDefault="00EF2C7E" w:rsidP="00EF2C7E">
      <w:pPr>
        <w:pStyle w:val="FootnoteText"/>
      </w:pPr>
      <w:r>
        <w:rPr>
          <w:rStyle w:val="FootnoteReference"/>
        </w:rPr>
        <w:footnoteRef/>
      </w:r>
      <w:r>
        <w:t xml:space="preserve"> </w:t>
      </w:r>
      <w:r w:rsidRPr="00D018DC">
        <w:rPr>
          <w:i/>
        </w:rPr>
        <w:t>M-LMS NPRM</w:t>
      </w:r>
      <w:r>
        <w:t xml:space="preserve">, 21 FCC Rcd at 2810 ¶ 1.  The Commission noted that, at the time the instance proceeding was initiated, none of the six M-LMS license holders of the auctioned licenses were providing M-LMS services using their spectrum.  </w:t>
      </w:r>
      <w:r>
        <w:rPr>
          <w:i/>
        </w:rPr>
        <w:t>Id.</w:t>
      </w:r>
      <w:r>
        <w:t xml:space="preserve"> at 2814 ¶ 11.  </w:t>
      </w:r>
    </w:p>
  </w:footnote>
  <w:footnote w:id="15">
    <w:p w:rsidR="00EF2C7E" w:rsidRDefault="00EF2C7E">
      <w:pPr>
        <w:pStyle w:val="FootnoteText"/>
      </w:pPr>
      <w:r>
        <w:rPr>
          <w:rStyle w:val="FootnoteReference"/>
        </w:rPr>
        <w:footnoteRef/>
      </w:r>
      <w:r>
        <w:t xml:space="preserve"> </w:t>
      </w:r>
      <w:r>
        <w:rPr>
          <w:i/>
        </w:rPr>
        <w:t>Id.</w:t>
      </w:r>
      <w:r>
        <w:t xml:space="preserve"> at 2810-14 ¶¶ 1-4.</w:t>
      </w:r>
    </w:p>
  </w:footnote>
  <w:footnote w:id="16">
    <w:p w:rsidR="00055635" w:rsidRDefault="00055635">
      <w:pPr>
        <w:pStyle w:val="FootnoteText"/>
      </w:pPr>
      <w:r>
        <w:rPr>
          <w:rStyle w:val="FootnoteReference"/>
        </w:rPr>
        <w:footnoteRef/>
      </w:r>
      <w:r>
        <w:t xml:space="preserve"> </w:t>
      </w:r>
      <w:r w:rsidRPr="00055635">
        <w:t xml:space="preserve">We note that </w:t>
      </w:r>
      <w:r>
        <w:t xml:space="preserve">in a separate proceeding, the Commission </w:t>
      </w:r>
      <w:r w:rsidR="00154ABC">
        <w:t>stated  that</w:t>
      </w:r>
      <w:r>
        <w:t xml:space="preserve"> Warren </w:t>
      </w:r>
      <w:r w:rsidRPr="00055635">
        <w:t xml:space="preserve">Havens </w:t>
      </w:r>
      <w:r w:rsidR="00154ABC">
        <w:t xml:space="preserve">has had the opportunity </w:t>
      </w:r>
      <w:r w:rsidRPr="00055635">
        <w:t>to present his concerns relating to potential revisions to the M-LMS rules, including the operational relationship between M-LMS devices and Part 15 unlicensed d</w:t>
      </w:r>
      <w:r>
        <w:t xml:space="preserve">evices, in the M-LMS rulemaking.  </w:t>
      </w:r>
      <w:r w:rsidRPr="00055635">
        <w:rPr>
          <w:i/>
        </w:rPr>
        <w:t xml:space="preserve">See Modification of Parts 2 and 15 of the Commission’s Rules for Unlicensed Devices and Equipment Approval, Memorandum Opinion and Order and Further Notice of Proposed Rulemaking, </w:t>
      </w:r>
      <w:r w:rsidRPr="00055635">
        <w:t>ET Docket No. 03-201, 22 FCC Rcd 11383, 11387 ¶ 12 (2007)</w:t>
      </w:r>
      <w:r>
        <w:t xml:space="preserve">.  </w:t>
      </w:r>
      <w:r w:rsidR="00154ABC">
        <w:t xml:space="preserve">  Havens has submitted a number of documents into the record in this proceeding.  However, in those filings Havens in a large part discusses the public interest benefits of M-LMS under the Commission’s existing rules, and he does not propose any specific revisions to the rules applicable to Part 15 users operating in the 902-928 MHz band.  </w:t>
      </w:r>
    </w:p>
  </w:footnote>
  <w:footnote w:id="17">
    <w:p w:rsidR="00EF2C7E" w:rsidRPr="001E79B4" w:rsidRDefault="00EF2C7E">
      <w:pPr>
        <w:pStyle w:val="FootnoteText"/>
      </w:pPr>
      <w:r>
        <w:rPr>
          <w:rStyle w:val="FootnoteReference"/>
        </w:rPr>
        <w:footnoteRef/>
      </w:r>
      <w:r>
        <w:t xml:space="preserve"> </w:t>
      </w:r>
      <w:r>
        <w:rPr>
          <w:i/>
        </w:rPr>
        <w:t>See, e.g.</w:t>
      </w:r>
      <w:r>
        <w:t>, Progeny LMS, LLC (Progeny) Comments at 4-5; FCR, Inc. (FCR) Comments at 3; PCS Partners, LP (PCS Partners) Reply Comments at 2; Helen Wong-Armijo Comments at 2.  Teletrac, Inc. (Teletrac) does not object to geographic-based M-LMS licensees offering a wider scope of services as long as site-based licensees can continue operations under the current rules.  Teletrac Comments at 2,</w:t>
      </w:r>
      <w:r w:rsidR="00321748">
        <w:t xml:space="preserve"> </w:t>
      </w:r>
      <w:r>
        <w:t>4; Teletrac Reply Comments at 1</w:t>
      </w:r>
      <w:r w:rsidR="00B32EF3">
        <w:t>, 6</w:t>
      </w:r>
      <w:r>
        <w:t>.</w:t>
      </w:r>
    </w:p>
  </w:footnote>
  <w:footnote w:id="18">
    <w:p w:rsidR="00EF2C7E" w:rsidRDefault="00EF2C7E">
      <w:pPr>
        <w:pStyle w:val="FootnoteText"/>
      </w:pPr>
      <w:r>
        <w:rPr>
          <w:rStyle w:val="FootnoteReference"/>
        </w:rPr>
        <w:footnoteRef/>
      </w:r>
      <w:r>
        <w:t xml:space="preserve"> </w:t>
      </w:r>
      <w:r w:rsidRPr="00B72A74">
        <w:rPr>
          <w:i/>
        </w:rPr>
        <w:t>See, e.g.</w:t>
      </w:r>
      <w:r w:rsidRPr="00B72A74">
        <w:t xml:space="preserve">, </w:t>
      </w:r>
      <w:r>
        <w:t>Progeny Comments at 23-25; FCR Reply Comments at 4; PCS Partners Reply Comments at 5-6</w:t>
      </w:r>
      <w:r w:rsidRPr="00B72A74">
        <w:t>.</w:t>
      </w:r>
    </w:p>
  </w:footnote>
  <w:footnote w:id="19">
    <w:p w:rsidR="00EF2C7E" w:rsidRDefault="00EF2C7E">
      <w:pPr>
        <w:pStyle w:val="FootnoteText"/>
      </w:pPr>
      <w:r>
        <w:rPr>
          <w:rStyle w:val="FootnoteReference"/>
        </w:rPr>
        <w:footnoteRef/>
      </w:r>
      <w:r>
        <w:t xml:space="preserve"> </w:t>
      </w:r>
      <w:r w:rsidRPr="00B72A74">
        <w:rPr>
          <w:i/>
        </w:rPr>
        <w:t>See, e.g.</w:t>
      </w:r>
      <w:r w:rsidRPr="00B72A74">
        <w:t xml:space="preserve">, </w:t>
      </w:r>
      <w:r>
        <w:t>Progeny Comments at 41-42; PCS Partners Reply Comments at 6</w:t>
      </w:r>
      <w:r w:rsidRPr="00B72A74">
        <w:t>.</w:t>
      </w:r>
      <w:r>
        <w:t xml:space="preserve"> </w:t>
      </w:r>
      <w:r w:rsidRPr="00F876B1">
        <w:t>One M-LMS licensee, Telesaurus Holdings GB LLC, filed comments in response to the M-LMS NPRM and opposed changes to the M-LMS rules to allow a wider scope of service and reduction in power.</w:t>
      </w:r>
      <w:r>
        <w:t xml:space="preserve">  </w:t>
      </w:r>
      <w:r w:rsidRPr="00F876B1">
        <w:t>Telesaurus Holdings GB LLC (Telesaurus) Amended Comments at 8-10 &amp; n.5, 17-19.</w:t>
      </w:r>
      <w:r w:rsidR="00055635">
        <w:t xml:space="preserve">  </w:t>
      </w:r>
    </w:p>
  </w:footnote>
  <w:footnote w:id="20">
    <w:p w:rsidR="00EF2C7E" w:rsidRDefault="00EF2C7E">
      <w:pPr>
        <w:pStyle w:val="FootnoteText"/>
      </w:pPr>
      <w:r>
        <w:rPr>
          <w:rStyle w:val="FootnoteReference"/>
        </w:rPr>
        <w:footnoteRef/>
      </w:r>
      <w:r>
        <w:t xml:space="preserve"> </w:t>
      </w:r>
      <w:r w:rsidRPr="00B72A74">
        <w:rPr>
          <w:i/>
        </w:rPr>
        <w:t>See, e.g.</w:t>
      </w:r>
      <w:r w:rsidRPr="00B72A74">
        <w:t xml:space="preserve">, </w:t>
      </w:r>
      <w:r>
        <w:t xml:space="preserve">American Water Works Association (AAWA) Comments at 1; Cellnet Technology, Inc. (Cellnet) Comments at 3; Piedmont Natural Gas Co. Comments at 3; Consumer Electronics Association (CEA) Comments at 2-5; FreeWave Technologies, Inc. (FreeWave) Reply Comments at 1-2; IEEE 802.18 Radio Regulatory Technical Advisory Group (IEEE 802.18) Comments at 2; Itron, Inc. (Itron) Comments at 5-6; </w:t>
      </w:r>
      <w:r w:rsidRPr="00762EB5">
        <w:t>Motorola, Inc. (Motorola)</w:t>
      </w:r>
      <w:r>
        <w:t xml:space="preserve"> Comments at 4-5,8; Silver Spring Comments at 1; Mt. Vernon Net, Inc. (Mt. Vernon Net) Comments at 2-3; Southern Company Services, Inc. (Southern Company) Comments at 3,8-9; Telecommunications Industry Association (TIA) Comments at 7; Wireless Internet Service Providers Association (WISPA) Comments at 1</w:t>
      </w:r>
      <w:r w:rsidRPr="00B72A74">
        <w:t>.</w:t>
      </w:r>
    </w:p>
  </w:footnote>
  <w:footnote w:id="21">
    <w:p w:rsidR="00EF2C7E" w:rsidRDefault="00EF2C7E">
      <w:pPr>
        <w:pStyle w:val="FootnoteText"/>
      </w:pPr>
      <w:r>
        <w:rPr>
          <w:rStyle w:val="FootnoteReference"/>
        </w:rPr>
        <w:footnoteRef/>
      </w:r>
      <w:r>
        <w:t xml:space="preserve"> </w:t>
      </w:r>
      <w:r w:rsidRPr="00B72A74">
        <w:rPr>
          <w:i/>
        </w:rPr>
        <w:t>See, e.g.</w:t>
      </w:r>
      <w:r w:rsidRPr="00B72A74">
        <w:t xml:space="preserve">, </w:t>
      </w:r>
      <w:r>
        <w:t xml:space="preserve">Bay State Gas Co. (Bay State Gas) Comments at 3; CEA Comments at 5-6; Motorola Comments at 6; United Telecom Council (UTC) Reply Comments at 2-3; </w:t>
      </w:r>
      <w:r w:rsidRPr="00A80477">
        <w:rPr>
          <w:i/>
        </w:rPr>
        <w:t>see also</w:t>
      </w:r>
      <w:r>
        <w:t xml:space="preserve"> Mt Vernon Net Comments at 2-4 (commenting that M-LMS licensees should operate under Part 15 rules or Part 15 operators should be given a chance to operate at a higher power)</w:t>
      </w:r>
      <w:r w:rsidRPr="00B72A74">
        <w:t>.</w:t>
      </w:r>
    </w:p>
  </w:footnote>
  <w:footnote w:id="22">
    <w:p w:rsidR="00EF2C7E" w:rsidRDefault="00EF2C7E">
      <w:pPr>
        <w:pStyle w:val="FootnoteText"/>
      </w:pPr>
      <w:r>
        <w:rPr>
          <w:rStyle w:val="FootnoteReference"/>
        </w:rPr>
        <w:footnoteRef/>
      </w:r>
      <w:r>
        <w:t xml:space="preserve"> </w:t>
      </w:r>
      <w:r w:rsidRPr="00B72A74">
        <w:rPr>
          <w:i/>
        </w:rPr>
        <w:t>See, e.g.</w:t>
      </w:r>
      <w:r w:rsidRPr="00B72A74">
        <w:t xml:space="preserve">, </w:t>
      </w:r>
      <w:r>
        <w:t>Cellnet Comments at 1-2; CEA Comments at 8; Itron Comments at 13; Motorola Comments at 6; Silver Spring Networks, Inc. (Silver Spring) Comments at 1; TriSquare Communications, Inc. (TriSquare) Comments at 4</w:t>
      </w:r>
      <w:r w:rsidRPr="00B72A74">
        <w:t>.</w:t>
      </w:r>
    </w:p>
  </w:footnote>
  <w:footnote w:id="23">
    <w:p w:rsidR="00EF2C7E" w:rsidRPr="00400F1D" w:rsidRDefault="00EF2C7E" w:rsidP="00EF2C7E">
      <w:pPr>
        <w:pStyle w:val="FootnoteText"/>
      </w:pPr>
      <w:r>
        <w:rPr>
          <w:rStyle w:val="FootnoteReference"/>
        </w:rPr>
        <w:footnoteRef/>
      </w:r>
      <w:r>
        <w:t xml:space="preserve"> Progeny has significant M-LMS holdings.  It is one of six M-LMS licensees that obtained licenses auctioned in 1999 and 2001, and holds 228 of the 614 M-LMS licenses.  </w:t>
      </w:r>
      <w:r>
        <w:rPr>
          <w:i/>
        </w:rPr>
        <w:t xml:space="preserve">See </w:t>
      </w:r>
      <w:r>
        <w:t xml:space="preserve">Request by Progeny LMS, LLC for Waiver of Certain Multilateration Location and Monitoring Service Rules, WT Docket No. 11-49, </w:t>
      </w:r>
      <w:r w:rsidRPr="00902C68">
        <w:rPr>
          <w:i/>
        </w:rPr>
        <w:t>Order</w:t>
      </w:r>
      <w:r>
        <w:rPr>
          <w:i/>
        </w:rPr>
        <w:t>,</w:t>
      </w:r>
      <w:r>
        <w:t xml:space="preserve"> 26 FCC Rcd 16878, 16880 ¶ 5 (WTB/OET 2011) (</w:t>
      </w:r>
      <w:r w:rsidRPr="00902C68">
        <w:rPr>
          <w:i/>
        </w:rPr>
        <w:t>Limited</w:t>
      </w:r>
      <w:r>
        <w:rPr>
          <w:i/>
        </w:rPr>
        <w:t xml:space="preserve"> Waiver Order</w:t>
      </w:r>
      <w:r>
        <w:t>).</w:t>
      </w:r>
    </w:p>
  </w:footnote>
  <w:footnote w:id="24">
    <w:p w:rsidR="00EF2C7E" w:rsidRDefault="00EF2C7E" w:rsidP="00EF2C7E">
      <w:pPr>
        <w:pStyle w:val="FootnoteText"/>
      </w:pPr>
      <w:r>
        <w:rPr>
          <w:rStyle w:val="FootnoteReference"/>
        </w:rPr>
        <w:footnoteRef/>
      </w:r>
      <w:r>
        <w:t xml:space="preserve"> </w:t>
      </w:r>
      <w:r>
        <w:rPr>
          <w:i/>
        </w:rPr>
        <w:t xml:space="preserve">See </w:t>
      </w:r>
      <w:r>
        <w:t xml:space="preserve">Petition for Waiver of the Rules and Request for Expedited Treatment, Progeny LMS, LLC, WT Docket No. 11-49 (Mar. 8, 2011).    </w:t>
      </w:r>
    </w:p>
  </w:footnote>
  <w:footnote w:id="25">
    <w:p w:rsidR="00EF2C7E" w:rsidRPr="009A0746" w:rsidRDefault="00EF2C7E" w:rsidP="00EF2C7E">
      <w:pPr>
        <w:pStyle w:val="FootnoteText"/>
      </w:pPr>
      <w:r>
        <w:rPr>
          <w:rStyle w:val="FootnoteReference"/>
        </w:rPr>
        <w:footnoteRef/>
      </w:r>
      <w:r>
        <w:t xml:space="preserve"> </w:t>
      </w:r>
      <w:r>
        <w:rPr>
          <w:i/>
        </w:rPr>
        <w:t>See generally Limited Waiver Order</w:t>
      </w:r>
      <w:r>
        <w:t>, 26 FCC Rcd 16878.</w:t>
      </w:r>
    </w:p>
  </w:footnote>
  <w:footnote w:id="26">
    <w:p w:rsidR="00EF2C7E" w:rsidRDefault="00EF2C7E" w:rsidP="00EF2C7E">
      <w:pPr>
        <w:pStyle w:val="FootnoteText"/>
      </w:pPr>
      <w:r>
        <w:rPr>
          <w:rStyle w:val="FootnoteReference"/>
        </w:rPr>
        <w:footnoteRef/>
      </w:r>
      <w:r>
        <w:t xml:space="preserve"> </w:t>
      </w:r>
      <w:r>
        <w:rPr>
          <w:i/>
        </w:rPr>
        <w:t>See id.</w:t>
      </w:r>
      <w:r>
        <w:t xml:space="preserve"> </w:t>
      </w:r>
      <w:r w:rsidRPr="002F4815">
        <w:t xml:space="preserve">at </w:t>
      </w:r>
      <w:r>
        <w:t>16887-89</w:t>
      </w:r>
      <w:r w:rsidRPr="002F4815">
        <w:t xml:space="preserve"> ¶¶ </w:t>
      </w:r>
      <w:r>
        <w:t>24</w:t>
      </w:r>
      <w:r w:rsidRPr="002F4815">
        <w:t>-</w:t>
      </w:r>
      <w:r>
        <w:t>29.</w:t>
      </w:r>
      <w:r w:rsidRPr="00624A43">
        <w:rPr>
          <w:snapToGrid w:val="0"/>
          <w:kern w:val="28"/>
          <w:sz w:val="22"/>
        </w:rPr>
        <w:t xml:space="preserve"> </w:t>
      </w:r>
      <w:r>
        <w:rPr>
          <w:snapToGrid w:val="0"/>
          <w:kern w:val="28"/>
          <w:sz w:val="22"/>
        </w:rPr>
        <w:t xml:space="preserve"> </w:t>
      </w:r>
      <w:r w:rsidRPr="00624A43">
        <w:t xml:space="preserve">The order also established a </w:t>
      </w:r>
      <w:r>
        <w:t xml:space="preserve">specific </w:t>
      </w:r>
      <w:r w:rsidRPr="00624A43">
        <w:t xml:space="preserve">process </w:t>
      </w:r>
      <w:r>
        <w:t xml:space="preserve">by which Progeny would submit its field testing </w:t>
      </w:r>
      <w:r w:rsidR="00321748">
        <w:t xml:space="preserve">results </w:t>
      </w:r>
      <w:r>
        <w:t xml:space="preserve">for Commission review prior </w:t>
      </w:r>
      <w:r w:rsidRPr="00624A43">
        <w:t xml:space="preserve">to </w:t>
      </w:r>
      <w:r>
        <w:t xml:space="preserve">being allowed to </w:t>
      </w:r>
      <w:r w:rsidRPr="00624A43">
        <w:t>commenc</w:t>
      </w:r>
      <w:r>
        <w:t>e</w:t>
      </w:r>
      <w:r w:rsidRPr="00624A43">
        <w:t xml:space="preserve"> commercial operations.</w:t>
      </w:r>
      <w:r w:rsidRPr="00624A43">
        <w:rPr>
          <w:i/>
          <w:snapToGrid w:val="0"/>
          <w:kern w:val="28"/>
          <w:sz w:val="22"/>
        </w:rPr>
        <w:t xml:space="preserve"> </w:t>
      </w:r>
      <w:r>
        <w:rPr>
          <w:i/>
          <w:snapToGrid w:val="0"/>
          <w:kern w:val="28"/>
          <w:sz w:val="22"/>
        </w:rPr>
        <w:t xml:space="preserve"> </w:t>
      </w:r>
      <w:r w:rsidRPr="00624A43">
        <w:rPr>
          <w:i/>
        </w:rPr>
        <w:t>Id.</w:t>
      </w:r>
      <w:r w:rsidRPr="00624A43">
        <w:t xml:space="preserve"> at 16889 ¶ 29</w:t>
      </w:r>
      <w:r>
        <w:t>.</w:t>
      </w:r>
    </w:p>
  </w:footnote>
  <w:footnote w:id="27">
    <w:p w:rsidR="00EF2C7E" w:rsidRPr="0045531D" w:rsidRDefault="00EF2C7E">
      <w:pPr>
        <w:pStyle w:val="FootnoteText"/>
      </w:pPr>
      <w:r>
        <w:rPr>
          <w:rStyle w:val="FootnoteReference"/>
        </w:rPr>
        <w:footnoteRef/>
      </w:r>
      <w:r>
        <w:t xml:space="preserve"> </w:t>
      </w:r>
      <w:r>
        <w:rPr>
          <w:i/>
        </w:rPr>
        <w:t xml:space="preserve">See generally </w:t>
      </w:r>
      <w:r>
        <w:t xml:space="preserve">Request by Progeny LMS, LLC for Waiver of Certain Multilateration Location and Monitoring Service Rules; Progeny LMS, LLC Demonstration of Compliance with Section 90.353(d) of the Commission’s Rules, WT Docket No. 11-49, </w:t>
      </w:r>
      <w:r w:rsidRPr="00E761AC">
        <w:rPr>
          <w:i/>
        </w:rPr>
        <w:t>Order</w:t>
      </w:r>
      <w:r>
        <w:t>, 28 FCC Rcd 8555 (2013) (</w:t>
      </w:r>
      <w:r w:rsidRPr="00E761AC">
        <w:rPr>
          <w:i/>
        </w:rPr>
        <w:t xml:space="preserve">Progeny </w:t>
      </w:r>
      <w:r>
        <w:rPr>
          <w:i/>
        </w:rPr>
        <w:t>Order</w:t>
      </w:r>
      <w:r>
        <w:t xml:space="preserve">).  </w:t>
      </w:r>
    </w:p>
  </w:footnote>
  <w:footnote w:id="28">
    <w:p w:rsidR="005201B3" w:rsidRPr="0045531D" w:rsidRDefault="005201B3" w:rsidP="005201B3">
      <w:pPr>
        <w:pStyle w:val="FootnoteText"/>
      </w:pPr>
      <w:r>
        <w:rPr>
          <w:rStyle w:val="FootnoteReference"/>
        </w:rPr>
        <w:footnoteRef/>
      </w:r>
      <w:r>
        <w:t xml:space="preserve"> </w:t>
      </w:r>
      <w:r>
        <w:rPr>
          <w:i/>
        </w:rPr>
        <w:t>Progeny Order</w:t>
      </w:r>
      <w:r>
        <w:t>, 28 FCC at 8557-69, ¶¶ 4-31.</w:t>
      </w:r>
      <w:r w:rsidRPr="00FC41EC">
        <w:t xml:space="preserve"> </w:t>
      </w:r>
      <w:r>
        <w:t xml:space="preserve"> </w:t>
      </w:r>
    </w:p>
  </w:footnote>
  <w:footnote w:id="29">
    <w:p w:rsidR="005201B3" w:rsidRDefault="005201B3" w:rsidP="005201B3">
      <w:pPr>
        <w:pStyle w:val="FootnoteText"/>
      </w:pPr>
      <w:r>
        <w:rPr>
          <w:rStyle w:val="FootnoteReference"/>
        </w:rPr>
        <w:footnoteRef/>
      </w:r>
      <w:r>
        <w:t xml:space="preserve"> </w:t>
      </w:r>
      <w:r>
        <w:rPr>
          <w:i/>
        </w:rPr>
        <w:t>M-LMS NPRM</w:t>
      </w:r>
      <w:r>
        <w:t>, 21 FCC Rcd at 2811 ¶ 4.</w:t>
      </w:r>
    </w:p>
  </w:footnote>
  <w:footnote w:id="30">
    <w:p w:rsidR="002650DA" w:rsidRPr="0045531D" w:rsidRDefault="002650DA" w:rsidP="002650DA">
      <w:pPr>
        <w:pStyle w:val="FootnoteText"/>
      </w:pPr>
      <w:r>
        <w:rPr>
          <w:rStyle w:val="FootnoteReference"/>
        </w:rPr>
        <w:footnoteRef/>
      </w:r>
      <w:r>
        <w:t xml:space="preserve"> </w:t>
      </w:r>
      <w:r>
        <w:rPr>
          <w:i/>
        </w:rPr>
        <w:t xml:space="preserve">See generally </w:t>
      </w:r>
      <w:r w:rsidRPr="00E761AC">
        <w:rPr>
          <w:i/>
        </w:rPr>
        <w:t xml:space="preserve">Progeny </w:t>
      </w:r>
      <w:r>
        <w:rPr>
          <w:i/>
        </w:rPr>
        <w:t>Order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1" w:rsidRDefault="00093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7E" w:rsidRDefault="00EF2C7E">
    <w:pPr>
      <w:pStyle w:val="Header"/>
      <w:pBdr>
        <w:bottom w:val="single" w:sz="12" w:space="1" w:color="auto"/>
      </w:pBdr>
      <w:rPr>
        <w:b w:val="0"/>
      </w:rPr>
    </w:pPr>
    <w:r>
      <w:tab/>
      <w:t>Federal Communications Commission</w:t>
    </w:r>
    <w:r>
      <w:tab/>
    </w:r>
    <w:r w:rsidR="0096584C">
      <w:t xml:space="preserve">FCC </w:t>
    </w:r>
    <w:r w:rsidR="001C3F67">
      <w:t>14-79</w:t>
    </w:r>
  </w:p>
  <w:p w:rsidR="00EF2C7E" w:rsidRDefault="00864802">
    <w:pPr>
      <w:tabs>
        <w:tab w:val="left" w:pos="-720"/>
      </w:tabs>
      <w:suppressAutoHyphens/>
      <w:spacing w:line="19" w:lineRule="exact"/>
      <w:rPr>
        <w:spacing w:val="-2"/>
      </w:rPr>
    </w:pPr>
    <w:r>
      <w:rPr>
        <w:noProof/>
        <w:snapToGrid/>
      </w:rPr>
      <mc:AlternateContent>
        <mc:Choice Requires="wpg">
          <w:drawing>
            <wp:anchor distT="0" distB="0" distL="114300" distR="114300" simplePos="0" relativeHeight="251657728" behindDoc="1" locked="0" layoutInCell="1" allowOverlap="1" wp14:anchorId="224E03D4" wp14:editId="25F5994F">
              <wp:simplePos x="0" y="0"/>
              <wp:positionH relativeFrom="column">
                <wp:posOffset>-914400</wp:posOffset>
              </wp:positionH>
              <wp:positionV relativeFrom="paragraph">
                <wp:posOffset>-649605</wp:posOffset>
              </wp:positionV>
              <wp:extent cx="635" cy="6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635"/>
                        <a:chOff x="10" y="6"/>
                        <a:chExt cx="10" cy="10"/>
                      </a:xfrm>
                    </wpg:grpSpPr>
                    <wps:wsp>
                      <wps:cNvPr id="2" name="Rectangle 1"/>
                      <wps:cNvSpPr>
                        <a:spLocks noChangeArrowheads="1"/>
                      </wps:cNvSpPr>
                      <wps:spPr bwMode="auto">
                        <a:xfrm>
                          <a:off x="0" y="0"/>
                          <a:ext cx="0" cy="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51.15pt;width:.05pt;height:.05pt;z-index:-251658752" coordorigin="10,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">
              <v:rect id="Rectangle 1" o:spid="_x0000_s1027"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fksIA&#10;AADaAAAADwAAAGRycy9kb3ducmV2LnhtbESPzW7CMBCE70h9B2sr9YLAgUNTQgyqEK3okdAHWOzN&#10;D43Xke1C+vZ1pUocRzPzjabcjrYXV/Khc6xgMc9AEGtnOm4UfJ7eZi8gQkQ22DsmBT8UYLt5mJRY&#10;GHfjI12r2IgE4VCggjbGoZAy6JYshrkbiJNXO28xJukbaTzeEtz2cpllz9Jix2mhxYF2Lemv6tsq&#10;kKug8/f9ZbqI7nzQH7nHc50r9fQ4vq5BRBrjPfzfPhgFS/i7km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t+SwgAAANoAAAAPAAAAAAAAAAAAAAAAAJgCAABkcnMvZG93&#10;bnJldi54bWxQSwUGAAAAAAQABAD1AAAAhwMAAAAA&#10;" fillcolor="black" stroked="f" strokeweight=".05pt"/>
            </v:group>
          </w:pict>
        </mc:Fallback>
      </mc:AlternateContent>
    </w:r>
  </w:p>
  <w:p w:rsidR="00EF2C7E" w:rsidRDefault="00EF2C7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7E" w:rsidRDefault="00EF2C7E">
    <w:pPr>
      <w:pStyle w:val="Header"/>
      <w:pBdr>
        <w:bottom w:val="single" w:sz="12" w:space="1" w:color="auto"/>
      </w:pBdr>
      <w:rPr>
        <w:b w:val="0"/>
      </w:rPr>
    </w:pPr>
    <w:r>
      <w:tab/>
      <w:t>Federal Communications Commission</w:t>
    </w:r>
    <w:r>
      <w:tab/>
    </w:r>
    <w:r w:rsidR="00677507">
      <w:rPr>
        <w:spacing w:val="-2"/>
      </w:rPr>
      <w:t>FCC 14-</w:t>
    </w:r>
    <w:r w:rsidR="001C3F67">
      <w:rPr>
        <w:spacing w:val="-2"/>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945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lvlOverride w:ilvl="0">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58"/>
    <w:rsid w:val="00034017"/>
    <w:rsid w:val="00055635"/>
    <w:rsid w:val="000835CE"/>
    <w:rsid w:val="00093D11"/>
    <w:rsid w:val="00095C9A"/>
    <w:rsid w:val="000C2576"/>
    <w:rsid w:val="000E2DE9"/>
    <w:rsid w:val="001406B1"/>
    <w:rsid w:val="00154ABC"/>
    <w:rsid w:val="001B76B8"/>
    <w:rsid w:val="001C3E81"/>
    <w:rsid w:val="001C3F67"/>
    <w:rsid w:val="001E01CD"/>
    <w:rsid w:val="002221C1"/>
    <w:rsid w:val="0026307B"/>
    <w:rsid w:val="002650DA"/>
    <w:rsid w:val="00272D12"/>
    <w:rsid w:val="002A3DAC"/>
    <w:rsid w:val="002A429B"/>
    <w:rsid w:val="002B69D0"/>
    <w:rsid w:val="002C49E1"/>
    <w:rsid w:val="002D382A"/>
    <w:rsid w:val="00321748"/>
    <w:rsid w:val="00370A02"/>
    <w:rsid w:val="003730A1"/>
    <w:rsid w:val="003B2FF5"/>
    <w:rsid w:val="003D5F6F"/>
    <w:rsid w:val="00400491"/>
    <w:rsid w:val="004366E2"/>
    <w:rsid w:val="004502E4"/>
    <w:rsid w:val="0047036E"/>
    <w:rsid w:val="004F1650"/>
    <w:rsid w:val="004F456C"/>
    <w:rsid w:val="004F616F"/>
    <w:rsid w:val="005201B3"/>
    <w:rsid w:val="00524339"/>
    <w:rsid w:val="00546CC8"/>
    <w:rsid w:val="00562178"/>
    <w:rsid w:val="005665F9"/>
    <w:rsid w:val="005C2B19"/>
    <w:rsid w:val="005D261E"/>
    <w:rsid w:val="00626BAA"/>
    <w:rsid w:val="006354E4"/>
    <w:rsid w:val="00640836"/>
    <w:rsid w:val="00651511"/>
    <w:rsid w:val="00651812"/>
    <w:rsid w:val="00677507"/>
    <w:rsid w:val="00690A2F"/>
    <w:rsid w:val="006C2DA1"/>
    <w:rsid w:val="006E49F1"/>
    <w:rsid w:val="0072564B"/>
    <w:rsid w:val="00733C02"/>
    <w:rsid w:val="00750DC9"/>
    <w:rsid w:val="00794791"/>
    <w:rsid w:val="007B346E"/>
    <w:rsid w:val="007C036F"/>
    <w:rsid w:val="007F702A"/>
    <w:rsid w:val="00811A66"/>
    <w:rsid w:val="00864802"/>
    <w:rsid w:val="00892EFB"/>
    <w:rsid w:val="008A64DF"/>
    <w:rsid w:val="008C006E"/>
    <w:rsid w:val="008D1671"/>
    <w:rsid w:val="00900A9B"/>
    <w:rsid w:val="00903C58"/>
    <w:rsid w:val="009200BB"/>
    <w:rsid w:val="00925059"/>
    <w:rsid w:val="00932D8F"/>
    <w:rsid w:val="0096584C"/>
    <w:rsid w:val="0097737D"/>
    <w:rsid w:val="00982E7A"/>
    <w:rsid w:val="009B1070"/>
    <w:rsid w:val="009B2B41"/>
    <w:rsid w:val="009B5671"/>
    <w:rsid w:val="009E3013"/>
    <w:rsid w:val="00A03F38"/>
    <w:rsid w:val="00A368C5"/>
    <w:rsid w:val="00A448EE"/>
    <w:rsid w:val="00A558CB"/>
    <w:rsid w:val="00A628C5"/>
    <w:rsid w:val="00AE6F7C"/>
    <w:rsid w:val="00B14070"/>
    <w:rsid w:val="00B15F36"/>
    <w:rsid w:val="00B32EF3"/>
    <w:rsid w:val="00B53E80"/>
    <w:rsid w:val="00B86732"/>
    <w:rsid w:val="00BA2BC1"/>
    <w:rsid w:val="00BA585C"/>
    <w:rsid w:val="00C341FA"/>
    <w:rsid w:val="00C37C9D"/>
    <w:rsid w:val="00C54129"/>
    <w:rsid w:val="00CB0C59"/>
    <w:rsid w:val="00CE5942"/>
    <w:rsid w:val="00D66AFC"/>
    <w:rsid w:val="00D70B26"/>
    <w:rsid w:val="00D74E4B"/>
    <w:rsid w:val="00D77489"/>
    <w:rsid w:val="00D9128D"/>
    <w:rsid w:val="00DA2FE6"/>
    <w:rsid w:val="00DC00DD"/>
    <w:rsid w:val="00DC44C4"/>
    <w:rsid w:val="00DC626E"/>
    <w:rsid w:val="00DF072B"/>
    <w:rsid w:val="00E06C8C"/>
    <w:rsid w:val="00E11C39"/>
    <w:rsid w:val="00E27891"/>
    <w:rsid w:val="00E851E7"/>
    <w:rsid w:val="00E9281E"/>
    <w:rsid w:val="00EF2C7E"/>
    <w:rsid w:val="00F06A82"/>
    <w:rsid w:val="00F153EA"/>
    <w:rsid w:val="00F26BAE"/>
    <w:rsid w:val="00F408A6"/>
    <w:rsid w:val="00F410D1"/>
    <w:rsid w:val="00F42A17"/>
    <w:rsid w:val="00F5051D"/>
    <w:rsid w:val="00F50827"/>
    <w:rsid w:val="00FA7378"/>
    <w:rsid w:val="00FE469B"/>
    <w:rsid w:val="00FE7937"/>
    <w:rsid w:val="00FF1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2"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51D"/>
    <w:pPr>
      <w:widowControl w:val="0"/>
    </w:pPr>
    <w:rPr>
      <w:snapToGrid w:val="0"/>
      <w:kern w:val="28"/>
      <w:sz w:val="22"/>
    </w:rPr>
  </w:style>
  <w:style w:type="paragraph" w:styleId="Heading1">
    <w:name w:val="heading 1"/>
    <w:basedOn w:val="Normal"/>
    <w:next w:val="ParaNum"/>
    <w:qFormat/>
    <w:rsid w:val="00F505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051D"/>
    <w:pPr>
      <w:keepNext/>
      <w:numPr>
        <w:ilvl w:val="1"/>
        <w:numId w:val="3"/>
      </w:numPr>
      <w:spacing w:after="120"/>
      <w:outlineLvl w:val="1"/>
    </w:pPr>
    <w:rPr>
      <w:b/>
    </w:rPr>
  </w:style>
  <w:style w:type="paragraph" w:styleId="Heading3">
    <w:name w:val="heading 3"/>
    <w:basedOn w:val="Normal"/>
    <w:next w:val="ParaNum"/>
    <w:qFormat/>
    <w:rsid w:val="00F5051D"/>
    <w:pPr>
      <w:keepNext/>
      <w:numPr>
        <w:ilvl w:val="2"/>
        <w:numId w:val="3"/>
      </w:numPr>
      <w:tabs>
        <w:tab w:val="left" w:pos="2160"/>
      </w:tabs>
      <w:spacing w:after="120"/>
      <w:outlineLvl w:val="2"/>
    </w:pPr>
    <w:rPr>
      <w:b/>
    </w:rPr>
  </w:style>
  <w:style w:type="paragraph" w:styleId="Heading4">
    <w:name w:val="heading 4"/>
    <w:basedOn w:val="Normal"/>
    <w:next w:val="ParaNum"/>
    <w:qFormat/>
    <w:rsid w:val="00F5051D"/>
    <w:pPr>
      <w:keepNext/>
      <w:numPr>
        <w:ilvl w:val="3"/>
        <w:numId w:val="3"/>
      </w:numPr>
      <w:tabs>
        <w:tab w:val="left" w:pos="2880"/>
      </w:tabs>
      <w:spacing w:after="120"/>
      <w:outlineLvl w:val="3"/>
    </w:pPr>
    <w:rPr>
      <w:b/>
    </w:rPr>
  </w:style>
  <w:style w:type="paragraph" w:styleId="Heading5">
    <w:name w:val="heading 5"/>
    <w:basedOn w:val="Normal"/>
    <w:next w:val="ParaNum"/>
    <w:qFormat/>
    <w:rsid w:val="00F505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051D"/>
    <w:pPr>
      <w:numPr>
        <w:ilvl w:val="5"/>
        <w:numId w:val="3"/>
      </w:numPr>
      <w:tabs>
        <w:tab w:val="left" w:pos="4320"/>
      </w:tabs>
      <w:spacing w:after="120"/>
      <w:outlineLvl w:val="5"/>
    </w:pPr>
    <w:rPr>
      <w:b/>
    </w:rPr>
  </w:style>
  <w:style w:type="paragraph" w:styleId="Heading7">
    <w:name w:val="heading 7"/>
    <w:basedOn w:val="Normal"/>
    <w:next w:val="ParaNum"/>
    <w:qFormat/>
    <w:rsid w:val="00F505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05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05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05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51D"/>
  </w:style>
  <w:style w:type="paragraph" w:styleId="BalloonText">
    <w:name w:val="Balloon Text"/>
    <w:basedOn w:val="Normal"/>
    <w:link w:val="BalloonTextChar1"/>
    <w:rsid w:val="0073258C"/>
    <w:rPr>
      <w:rFonts w:ascii="Tahoma" w:hAnsi="Tahoma"/>
      <w:sz w:val="16"/>
      <w:szCs w:val="16"/>
      <w:lang w:val="x-none" w:eastAsia="x-none"/>
    </w:rPr>
  </w:style>
  <w:style w:type="character" w:customStyle="1" w:styleId="BalloonTextChar">
    <w:name w:val="Balloon Text Char"/>
    <w:uiPriority w:val="99"/>
    <w:semiHidden/>
    <w:rsid w:val="00B17371"/>
    <w:rPr>
      <w:rFonts w:ascii="Lucida Grande" w:hAnsi="Lucida Grande"/>
      <w:sz w:val="18"/>
      <w:szCs w:val="18"/>
    </w:rPr>
  </w:style>
  <w:style w:type="character" w:customStyle="1" w:styleId="BalloonTextChar2">
    <w:name w:val="Balloon Text Char2"/>
    <w:uiPriority w:val="99"/>
    <w:semiHidden/>
    <w:rsid w:val="00E152E1"/>
    <w:rPr>
      <w:rFonts w:ascii="Lucida Grande" w:hAnsi="Lucida Grande"/>
      <w:sz w:val="18"/>
      <w:szCs w:val="18"/>
    </w:rPr>
  </w:style>
  <w:style w:type="paragraph" w:customStyle="1" w:styleId="ParaNum">
    <w:name w:val="ParaNum"/>
    <w:basedOn w:val="Normal"/>
    <w:link w:val="ParaNumChar1"/>
    <w:rsid w:val="00F5051D"/>
    <w:pPr>
      <w:numPr>
        <w:numId w:val="2"/>
      </w:numPr>
      <w:tabs>
        <w:tab w:val="clear" w:pos="1080"/>
        <w:tab w:val="num" w:pos="1440"/>
      </w:tabs>
      <w:spacing w:after="120"/>
    </w:pPr>
  </w:style>
  <w:style w:type="paragraph" w:styleId="EndnoteText">
    <w:name w:val="endnote text"/>
    <w:basedOn w:val="Normal"/>
    <w:semiHidden/>
    <w:rsid w:val="00F5051D"/>
    <w:rPr>
      <w:sz w:val="20"/>
    </w:rPr>
  </w:style>
  <w:style w:type="character" w:styleId="EndnoteReference">
    <w:name w:val="endnote reference"/>
    <w:semiHidden/>
    <w:rsid w:val="00F5051D"/>
    <w:rPr>
      <w:vertAlign w:val="superscript"/>
    </w:rPr>
  </w:style>
  <w:style w:type="paragraph" w:styleId="FootnoteText">
    <w:name w:val="footnote text"/>
    <w:aliases w:val="Footnote Text Char1,Footnote Text Char Char,Footnote Text Char1 Char Char,Footnote Text Char Char Char Char1,Footnote Text Char1 Char Char Char Char,Footnote Text Char Char Char Char1 Char Char,Footnote Text Char2,Footnote Text Char"/>
    <w:link w:val="FootnoteTextChar3"/>
    <w:rsid w:val="00F5051D"/>
    <w:pPr>
      <w:spacing w:after="120"/>
    </w:pPr>
  </w:style>
  <w:style w:type="character" w:styleId="FootnoteReference">
    <w:name w:val="footnote reference"/>
    <w:aliases w:val="Appel note de bas de p,Style 12,(NECG) Footnote Reference,Style 124,o,fr,Style 3,Style 17,FR,Style 13"/>
    <w:rsid w:val="00F5051D"/>
    <w:rPr>
      <w:rFonts w:ascii="Times New Roman" w:hAnsi="Times New Roman"/>
      <w:dstrike w:val="0"/>
      <w:color w:val="auto"/>
      <w:sz w:val="20"/>
      <w:vertAlign w:val="superscript"/>
    </w:rPr>
  </w:style>
  <w:style w:type="paragraph" w:styleId="TOC1">
    <w:name w:val="toc 1"/>
    <w:basedOn w:val="Normal"/>
    <w:next w:val="Normal"/>
    <w:semiHidden/>
    <w:rsid w:val="00F505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051D"/>
    <w:pPr>
      <w:tabs>
        <w:tab w:val="left" w:pos="720"/>
        <w:tab w:val="right" w:leader="dot" w:pos="9360"/>
      </w:tabs>
      <w:suppressAutoHyphens/>
      <w:ind w:left="720" w:right="720" w:hanging="360"/>
    </w:pPr>
    <w:rPr>
      <w:noProof/>
    </w:rPr>
  </w:style>
  <w:style w:type="paragraph" w:styleId="TOC3">
    <w:name w:val="toc 3"/>
    <w:basedOn w:val="Normal"/>
    <w:next w:val="Normal"/>
    <w:semiHidden/>
    <w:rsid w:val="00F505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05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05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05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05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05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05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051D"/>
    <w:pPr>
      <w:tabs>
        <w:tab w:val="right" w:pos="9360"/>
      </w:tabs>
      <w:suppressAutoHyphens/>
    </w:pPr>
  </w:style>
  <w:style w:type="character" w:customStyle="1" w:styleId="EquationCaption">
    <w:name w:val="_Equation Caption"/>
    <w:rsid w:val="00F5051D"/>
  </w:style>
  <w:style w:type="paragraph" w:styleId="Header">
    <w:name w:val="header"/>
    <w:basedOn w:val="Normal"/>
    <w:autoRedefine/>
    <w:rsid w:val="00F5051D"/>
    <w:pPr>
      <w:tabs>
        <w:tab w:val="center" w:pos="4680"/>
        <w:tab w:val="right" w:pos="9360"/>
      </w:tabs>
    </w:pPr>
    <w:rPr>
      <w:b/>
    </w:rPr>
  </w:style>
  <w:style w:type="paragraph" w:styleId="Footer">
    <w:name w:val="footer"/>
    <w:basedOn w:val="Normal"/>
    <w:link w:val="FooterChar"/>
    <w:rsid w:val="00F5051D"/>
    <w:pPr>
      <w:tabs>
        <w:tab w:val="center" w:pos="4320"/>
        <w:tab w:val="right" w:pos="8640"/>
      </w:tabs>
    </w:pPr>
  </w:style>
  <w:style w:type="character" w:styleId="PageNumber">
    <w:name w:val="page number"/>
    <w:basedOn w:val="DefaultParagraphFont"/>
    <w:rsid w:val="00F5051D"/>
  </w:style>
  <w:style w:type="paragraph" w:styleId="BlockText">
    <w:name w:val="Block Text"/>
    <w:basedOn w:val="Normal"/>
    <w:rsid w:val="00F5051D"/>
    <w:pPr>
      <w:spacing w:after="240"/>
      <w:ind w:left="1440" w:right="1440"/>
    </w:pPr>
  </w:style>
  <w:style w:type="paragraph" w:customStyle="1" w:styleId="Paratitle">
    <w:name w:val="Para title"/>
    <w:basedOn w:val="Normal"/>
    <w:rsid w:val="00F5051D"/>
    <w:pPr>
      <w:tabs>
        <w:tab w:val="center" w:pos="9270"/>
      </w:tabs>
      <w:spacing w:after="240"/>
    </w:pPr>
    <w:rPr>
      <w:spacing w:val="-2"/>
    </w:rPr>
  </w:style>
  <w:style w:type="paragraph" w:customStyle="1" w:styleId="Bullet">
    <w:name w:val="Bullet"/>
    <w:basedOn w:val="Normal"/>
    <w:rsid w:val="00F5051D"/>
    <w:pPr>
      <w:tabs>
        <w:tab w:val="left" w:pos="2160"/>
      </w:tabs>
      <w:spacing w:after="220"/>
      <w:ind w:left="2160" w:hanging="720"/>
    </w:pPr>
  </w:style>
  <w:style w:type="paragraph" w:customStyle="1" w:styleId="TableFormat">
    <w:name w:val="TableFormat"/>
    <w:basedOn w:val="Bullet"/>
    <w:rsid w:val="00F5051D"/>
    <w:pPr>
      <w:tabs>
        <w:tab w:val="clear" w:pos="2160"/>
        <w:tab w:val="left" w:pos="5040"/>
      </w:tabs>
      <w:ind w:left="5040" w:hanging="3600"/>
    </w:pPr>
  </w:style>
  <w:style w:type="paragraph" w:customStyle="1" w:styleId="TOCTitle">
    <w:name w:val="TOC Title"/>
    <w:basedOn w:val="Normal"/>
    <w:rsid w:val="00F505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051D"/>
    <w:pPr>
      <w:jc w:val="center"/>
    </w:pPr>
    <w:rPr>
      <w:rFonts w:ascii="Times New Roman Bold" w:hAnsi="Times New Roman Bold"/>
      <w:b/>
      <w:bCs/>
      <w:caps/>
      <w:szCs w:val="22"/>
    </w:rPr>
  </w:style>
  <w:style w:type="character" w:styleId="Hyperlink">
    <w:name w:val="Hyperlink"/>
    <w:rsid w:val="00F5051D"/>
    <w:rPr>
      <w:color w:val="0000FF"/>
      <w:u w:val="single"/>
    </w:rPr>
  </w:style>
  <w:style w:type="character" w:customStyle="1" w:styleId="FootnoteTextChar3">
    <w:name w:val="Footnote Text Char3"/>
    <w:aliases w:val="Footnote Text Char1 Char,Footnote Text Char Char Char,Footnote Text Char1 Char Char Char,Footnote Text Char Char Char Char1 Char,Footnote Text Char1 Char Char Char Char Char,Footnote Text Char Char Char Char1 Char Char Char"/>
    <w:link w:val="FootnoteText"/>
    <w:rsid w:val="00D8380C"/>
  </w:style>
  <w:style w:type="character" w:customStyle="1" w:styleId="BalloonTextChar1">
    <w:name w:val="Balloon Text Char1"/>
    <w:link w:val="BalloonText"/>
    <w:rsid w:val="0073258C"/>
    <w:rPr>
      <w:rFonts w:ascii="Tahoma" w:hAnsi="Tahoma" w:cs="Tahoma"/>
      <w:snapToGrid w:val="0"/>
      <w:kern w:val="28"/>
      <w:sz w:val="16"/>
      <w:szCs w:val="16"/>
    </w:rPr>
  </w:style>
  <w:style w:type="character" w:customStyle="1" w:styleId="ParaNumChar1">
    <w:name w:val="ParaNum Char1"/>
    <w:link w:val="ParaNum"/>
    <w:rsid w:val="005D09FD"/>
    <w:rPr>
      <w:snapToGrid w:val="0"/>
      <w:kern w:val="28"/>
      <w:sz w:val="22"/>
    </w:rPr>
  </w:style>
  <w:style w:type="character" w:styleId="CommentReference">
    <w:name w:val="annotation reference"/>
    <w:semiHidden/>
    <w:rsid w:val="0097754A"/>
    <w:rPr>
      <w:sz w:val="16"/>
      <w:szCs w:val="16"/>
    </w:rPr>
  </w:style>
  <w:style w:type="paragraph" w:styleId="CommentText">
    <w:name w:val="annotation text"/>
    <w:basedOn w:val="Normal"/>
    <w:semiHidden/>
    <w:rsid w:val="0097754A"/>
    <w:rPr>
      <w:sz w:val="20"/>
    </w:rPr>
  </w:style>
  <w:style w:type="paragraph" w:styleId="CommentSubject">
    <w:name w:val="annotation subject"/>
    <w:basedOn w:val="CommentText"/>
    <w:next w:val="CommentText"/>
    <w:semiHidden/>
    <w:rsid w:val="0097754A"/>
    <w:rPr>
      <w:b/>
      <w:bCs/>
    </w:rPr>
  </w:style>
  <w:style w:type="paragraph" w:customStyle="1" w:styleId="ColorfulShading-Accent11">
    <w:name w:val="Colorful Shading - Accent 11"/>
    <w:hidden/>
    <w:uiPriority w:val="66"/>
    <w:rsid w:val="00855780"/>
    <w:rPr>
      <w:snapToGrid w:val="0"/>
      <w:kern w:val="28"/>
      <w:sz w:val="22"/>
    </w:rPr>
  </w:style>
  <w:style w:type="character" w:customStyle="1" w:styleId="FooterChar">
    <w:name w:val="Footer Char"/>
    <w:basedOn w:val="DefaultParagraphFont"/>
    <w:link w:val="Footer"/>
    <w:rsid w:val="001C3F6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2"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51D"/>
    <w:pPr>
      <w:widowControl w:val="0"/>
    </w:pPr>
    <w:rPr>
      <w:snapToGrid w:val="0"/>
      <w:kern w:val="28"/>
      <w:sz w:val="22"/>
    </w:rPr>
  </w:style>
  <w:style w:type="paragraph" w:styleId="Heading1">
    <w:name w:val="heading 1"/>
    <w:basedOn w:val="Normal"/>
    <w:next w:val="ParaNum"/>
    <w:qFormat/>
    <w:rsid w:val="00F505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051D"/>
    <w:pPr>
      <w:keepNext/>
      <w:numPr>
        <w:ilvl w:val="1"/>
        <w:numId w:val="3"/>
      </w:numPr>
      <w:spacing w:after="120"/>
      <w:outlineLvl w:val="1"/>
    </w:pPr>
    <w:rPr>
      <w:b/>
    </w:rPr>
  </w:style>
  <w:style w:type="paragraph" w:styleId="Heading3">
    <w:name w:val="heading 3"/>
    <w:basedOn w:val="Normal"/>
    <w:next w:val="ParaNum"/>
    <w:qFormat/>
    <w:rsid w:val="00F5051D"/>
    <w:pPr>
      <w:keepNext/>
      <w:numPr>
        <w:ilvl w:val="2"/>
        <w:numId w:val="3"/>
      </w:numPr>
      <w:tabs>
        <w:tab w:val="left" w:pos="2160"/>
      </w:tabs>
      <w:spacing w:after="120"/>
      <w:outlineLvl w:val="2"/>
    </w:pPr>
    <w:rPr>
      <w:b/>
    </w:rPr>
  </w:style>
  <w:style w:type="paragraph" w:styleId="Heading4">
    <w:name w:val="heading 4"/>
    <w:basedOn w:val="Normal"/>
    <w:next w:val="ParaNum"/>
    <w:qFormat/>
    <w:rsid w:val="00F5051D"/>
    <w:pPr>
      <w:keepNext/>
      <w:numPr>
        <w:ilvl w:val="3"/>
        <w:numId w:val="3"/>
      </w:numPr>
      <w:tabs>
        <w:tab w:val="left" w:pos="2880"/>
      </w:tabs>
      <w:spacing w:after="120"/>
      <w:outlineLvl w:val="3"/>
    </w:pPr>
    <w:rPr>
      <w:b/>
    </w:rPr>
  </w:style>
  <w:style w:type="paragraph" w:styleId="Heading5">
    <w:name w:val="heading 5"/>
    <w:basedOn w:val="Normal"/>
    <w:next w:val="ParaNum"/>
    <w:qFormat/>
    <w:rsid w:val="00F505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051D"/>
    <w:pPr>
      <w:numPr>
        <w:ilvl w:val="5"/>
        <w:numId w:val="3"/>
      </w:numPr>
      <w:tabs>
        <w:tab w:val="left" w:pos="4320"/>
      </w:tabs>
      <w:spacing w:after="120"/>
      <w:outlineLvl w:val="5"/>
    </w:pPr>
    <w:rPr>
      <w:b/>
    </w:rPr>
  </w:style>
  <w:style w:type="paragraph" w:styleId="Heading7">
    <w:name w:val="heading 7"/>
    <w:basedOn w:val="Normal"/>
    <w:next w:val="ParaNum"/>
    <w:qFormat/>
    <w:rsid w:val="00F505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05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05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05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51D"/>
  </w:style>
  <w:style w:type="paragraph" w:styleId="BalloonText">
    <w:name w:val="Balloon Text"/>
    <w:basedOn w:val="Normal"/>
    <w:link w:val="BalloonTextChar1"/>
    <w:rsid w:val="0073258C"/>
    <w:rPr>
      <w:rFonts w:ascii="Tahoma" w:hAnsi="Tahoma"/>
      <w:sz w:val="16"/>
      <w:szCs w:val="16"/>
      <w:lang w:val="x-none" w:eastAsia="x-none"/>
    </w:rPr>
  </w:style>
  <w:style w:type="character" w:customStyle="1" w:styleId="BalloonTextChar">
    <w:name w:val="Balloon Text Char"/>
    <w:uiPriority w:val="99"/>
    <w:semiHidden/>
    <w:rsid w:val="00B17371"/>
    <w:rPr>
      <w:rFonts w:ascii="Lucida Grande" w:hAnsi="Lucida Grande"/>
      <w:sz w:val="18"/>
      <w:szCs w:val="18"/>
    </w:rPr>
  </w:style>
  <w:style w:type="character" w:customStyle="1" w:styleId="BalloonTextChar2">
    <w:name w:val="Balloon Text Char2"/>
    <w:uiPriority w:val="99"/>
    <w:semiHidden/>
    <w:rsid w:val="00E152E1"/>
    <w:rPr>
      <w:rFonts w:ascii="Lucida Grande" w:hAnsi="Lucida Grande"/>
      <w:sz w:val="18"/>
      <w:szCs w:val="18"/>
    </w:rPr>
  </w:style>
  <w:style w:type="paragraph" w:customStyle="1" w:styleId="ParaNum">
    <w:name w:val="ParaNum"/>
    <w:basedOn w:val="Normal"/>
    <w:link w:val="ParaNumChar1"/>
    <w:rsid w:val="00F5051D"/>
    <w:pPr>
      <w:numPr>
        <w:numId w:val="2"/>
      </w:numPr>
      <w:tabs>
        <w:tab w:val="clear" w:pos="1080"/>
        <w:tab w:val="num" w:pos="1440"/>
      </w:tabs>
      <w:spacing w:after="120"/>
    </w:pPr>
  </w:style>
  <w:style w:type="paragraph" w:styleId="EndnoteText">
    <w:name w:val="endnote text"/>
    <w:basedOn w:val="Normal"/>
    <w:semiHidden/>
    <w:rsid w:val="00F5051D"/>
    <w:rPr>
      <w:sz w:val="20"/>
    </w:rPr>
  </w:style>
  <w:style w:type="character" w:styleId="EndnoteReference">
    <w:name w:val="endnote reference"/>
    <w:semiHidden/>
    <w:rsid w:val="00F5051D"/>
    <w:rPr>
      <w:vertAlign w:val="superscript"/>
    </w:rPr>
  </w:style>
  <w:style w:type="paragraph" w:styleId="FootnoteText">
    <w:name w:val="footnote text"/>
    <w:aliases w:val="Footnote Text Char1,Footnote Text Char Char,Footnote Text Char1 Char Char,Footnote Text Char Char Char Char1,Footnote Text Char1 Char Char Char Char,Footnote Text Char Char Char Char1 Char Char,Footnote Text Char2,Footnote Text Char"/>
    <w:link w:val="FootnoteTextChar3"/>
    <w:rsid w:val="00F5051D"/>
    <w:pPr>
      <w:spacing w:after="120"/>
    </w:pPr>
  </w:style>
  <w:style w:type="character" w:styleId="FootnoteReference">
    <w:name w:val="footnote reference"/>
    <w:aliases w:val="Appel note de bas de p,Style 12,(NECG) Footnote Reference,Style 124,o,fr,Style 3,Style 17,FR,Style 13"/>
    <w:rsid w:val="00F5051D"/>
    <w:rPr>
      <w:rFonts w:ascii="Times New Roman" w:hAnsi="Times New Roman"/>
      <w:dstrike w:val="0"/>
      <w:color w:val="auto"/>
      <w:sz w:val="20"/>
      <w:vertAlign w:val="superscript"/>
    </w:rPr>
  </w:style>
  <w:style w:type="paragraph" w:styleId="TOC1">
    <w:name w:val="toc 1"/>
    <w:basedOn w:val="Normal"/>
    <w:next w:val="Normal"/>
    <w:semiHidden/>
    <w:rsid w:val="00F505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051D"/>
    <w:pPr>
      <w:tabs>
        <w:tab w:val="left" w:pos="720"/>
        <w:tab w:val="right" w:leader="dot" w:pos="9360"/>
      </w:tabs>
      <w:suppressAutoHyphens/>
      <w:ind w:left="720" w:right="720" w:hanging="360"/>
    </w:pPr>
    <w:rPr>
      <w:noProof/>
    </w:rPr>
  </w:style>
  <w:style w:type="paragraph" w:styleId="TOC3">
    <w:name w:val="toc 3"/>
    <w:basedOn w:val="Normal"/>
    <w:next w:val="Normal"/>
    <w:semiHidden/>
    <w:rsid w:val="00F505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05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05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05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05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05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05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051D"/>
    <w:pPr>
      <w:tabs>
        <w:tab w:val="right" w:pos="9360"/>
      </w:tabs>
      <w:suppressAutoHyphens/>
    </w:pPr>
  </w:style>
  <w:style w:type="character" w:customStyle="1" w:styleId="EquationCaption">
    <w:name w:val="_Equation Caption"/>
    <w:rsid w:val="00F5051D"/>
  </w:style>
  <w:style w:type="paragraph" w:styleId="Header">
    <w:name w:val="header"/>
    <w:basedOn w:val="Normal"/>
    <w:autoRedefine/>
    <w:rsid w:val="00F5051D"/>
    <w:pPr>
      <w:tabs>
        <w:tab w:val="center" w:pos="4680"/>
        <w:tab w:val="right" w:pos="9360"/>
      </w:tabs>
    </w:pPr>
    <w:rPr>
      <w:b/>
    </w:rPr>
  </w:style>
  <w:style w:type="paragraph" w:styleId="Footer">
    <w:name w:val="footer"/>
    <w:basedOn w:val="Normal"/>
    <w:link w:val="FooterChar"/>
    <w:rsid w:val="00F5051D"/>
    <w:pPr>
      <w:tabs>
        <w:tab w:val="center" w:pos="4320"/>
        <w:tab w:val="right" w:pos="8640"/>
      </w:tabs>
    </w:pPr>
  </w:style>
  <w:style w:type="character" w:styleId="PageNumber">
    <w:name w:val="page number"/>
    <w:basedOn w:val="DefaultParagraphFont"/>
    <w:rsid w:val="00F5051D"/>
  </w:style>
  <w:style w:type="paragraph" w:styleId="BlockText">
    <w:name w:val="Block Text"/>
    <w:basedOn w:val="Normal"/>
    <w:rsid w:val="00F5051D"/>
    <w:pPr>
      <w:spacing w:after="240"/>
      <w:ind w:left="1440" w:right="1440"/>
    </w:pPr>
  </w:style>
  <w:style w:type="paragraph" w:customStyle="1" w:styleId="Paratitle">
    <w:name w:val="Para title"/>
    <w:basedOn w:val="Normal"/>
    <w:rsid w:val="00F5051D"/>
    <w:pPr>
      <w:tabs>
        <w:tab w:val="center" w:pos="9270"/>
      </w:tabs>
      <w:spacing w:after="240"/>
    </w:pPr>
    <w:rPr>
      <w:spacing w:val="-2"/>
    </w:rPr>
  </w:style>
  <w:style w:type="paragraph" w:customStyle="1" w:styleId="Bullet">
    <w:name w:val="Bullet"/>
    <w:basedOn w:val="Normal"/>
    <w:rsid w:val="00F5051D"/>
    <w:pPr>
      <w:tabs>
        <w:tab w:val="left" w:pos="2160"/>
      </w:tabs>
      <w:spacing w:after="220"/>
      <w:ind w:left="2160" w:hanging="720"/>
    </w:pPr>
  </w:style>
  <w:style w:type="paragraph" w:customStyle="1" w:styleId="TableFormat">
    <w:name w:val="TableFormat"/>
    <w:basedOn w:val="Bullet"/>
    <w:rsid w:val="00F5051D"/>
    <w:pPr>
      <w:tabs>
        <w:tab w:val="clear" w:pos="2160"/>
        <w:tab w:val="left" w:pos="5040"/>
      </w:tabs>
      <w:ind w:left="5040" w:hanging="3600"/>
    </w:pPr>
  </w:style>
  <w:style w:type="paragraph" w:customStyle="1" w:styleId="TOCTitle">
    <w:name w:val="TOC Title"/>
    <w:basedOn w:val="Normal"/>
    <w:rsid w:val="00F505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051D"/>
    <w:pPr>
      <w:jc w:val="center"/>
    </w:pPr>
    <w:rPr>
      <w:rFonts w:ascii="Times New Roman Bold" w:hAnsi="Times New Roman Bold"/>
      <w:b/>
      <w:bCs/>
      <w:caps/>
      <w:szCs w:val="22"/>
    </w:rPr>
  </w:style>
  <w:style w:type="character" w:styleId="Hyperlink">
    <w:name w:val="Hyperlink"/>
    <w:rsid w:val="00F5051D"/>
    <w:rPr>
      <w:color w:val="0000FF"/>
      <w:u w:val="single"/>
    </w:rPr>
  </w:style>
  <w:style w:type="character" w:customStyle="1" w:styleId="FootnoteTextChar3">
    <w:name w:val="Footnote Text Char3"/>
    <w:aliases w:val="Footnote Text Char1 Char,Footnote Text Char Char Char,Footnote Text Char1 Char Char Char,Footnote Text Char Char Char Char1 Char,Footnote Text Char1 Char Char Char Char Char,Footnote Text Char Char Char Char1 Char Char Char"/>
    <w:link w:val="FootnoteText"/>
    <w:rsid w:val="00D8380C"/>
  </w:style>
  <w:style w:type="character" w:customStyle="1" w:styleId="BalloonTextChar1">
    <w:name w:val="Balloon Text Char1"/>
    <w:link w:val="BalloonText"/>
    <w:rsid w:val="0073258C"/>
    <w:rPr>
      <w:rFonts w:ascii="Tahoma" w:hAnsi="Tahoma" w:cs="Tahoma"/>
      <w:snapToGrid w:val="0"/>
      <w:kern w:val="28"/>
      <w:sz w:val="16"/>
      <w:szCs w:val="16"/>
    </w:rPr>
  </w:style>
  <w:style w:type="character" w:customStyle="1" w:styleId="ParaNumChar1">
    <w:name w:val="ParaNum Char1"/>
    <w:link w:val="ParaNum"/>
    <w:rsid w:val="005D09FD"/>
    <w:rPr>
      <w:snapToGrid w:val="0"/>
      <w:kern w:val="28"/>
      <w:sz w:val="22"/>
    </w:rPr>
  </w:style>
  <w:style w:type="character" w:styleId="CommentReference">
    <w:name w:val="annotation reference"/>
    <w:semiHidden/>
    <w:rsid w:val="0097754A"/>
    <w:rPr>
      <w:sz w:val="16"/>
      <w:szCs w:val="16"/>
    </w:rPr>
  </w:style>
  <w:style w:type="paragraph" w:styleId="CommentText">
    <w:name w:val="annotation text"/>
    <w:basedOn w:val="Normal"/>
    <w:semiHidden/>
    <w:rsid w:val="0097754A"/>
    <w:rPr>
      <w:sz w:val="20"/>
    </w:rPr>
  </w:style>
  <w:style w:type="paragraph" w:styleId="CommentSubject">
    <w:name w:val="annotation subject"/>
    <w:basedOn w:val="CommentText"/>
    <w:next w:val="CommentText"/>
    <w:semiHidden/>
    <w:rsid w:val="0097754A"/>
    <w:rPr>
      <w:b/>
      <w:bCs/>
    </w:rPr>
  </w:style>
  <w:style w:type="paragraph" w:customStyle="1" w:styleId="ColorfulShading-Accent11">
    <w:name w:val="Colorful Shading - Accent 11"/>
    <w:hidden/>
    <w:uiPriority w:val="66"/>
    <w:rsid w:val="00855780"/>
    <w:rPr>
      <w:snapToGrid w:val="0"/>
      <w:kern w:val="28"/>
      <w:sz w:val="22"/>
    </w:rPr>
  </w:style>
  <w:style w:type="character" w:customStyle="1" w:styleId="FooterChar">
    <w:name w:val="Footer Char"/>
    <w:basedOn w:val="DefaultParagraphFont"/>
    <w:link w:val="Footer"/>
    <w:rsid w:val="001C3F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951">
      <w:bodyDiv w:val="1"/>
      <w:marLeft w:val="0"/>
      <w:marRight w:val="0"/>
      <w:marTop w:val="0"/>
      <w:marBottom w:val="0"/>
      <w:divBdr>
        <w:top w:val="none" w:sz="0" w:space="0" w:color="auto"/>
        <w:left w:val="none" w:sz="0" w:space="0" w:color="auto"/>
        <w:bottom w:val="none" w:sz="0" w:space="0" w:color="auto"/>
        <w:right w:val="none" w:sz="0" w:space="0" w:color="auto"/>
      </w:divBdr>
    </w:div>
    <w:div w:id="1161390800">
      <w:bodyDiv w:val="1"/>
      <w:marLeft w:val="0"/>
      <w:marRight w:val="0"/>
      <w:marTop w:val="0"/>
      <w:marBottom w:val="0"/>
      <w:divBdr>
        <w:top w:val="none" w:sz="0" w:space="0" w:color="auto"/>
        <w:left w:val="none" w:sz="0" w:space="0" w:color="auto"/>
        <w:bottom w:val="none" w:sz="0" w:space="0" w:color="auto"/>
        <w:right w:val="none" w:sz="0" w:space="0" w:color="auto"/>
      </w:divBdr>
    </w:div>
    <w:div w:id="1447197105">
      <w:bodyDiv w:val="1"/>
      <w:marLeft w:val="0"/>
      <w:marRight w:val="0"/>
      <w:marTop w:val="0"/>
      <w:marBottom w:val="0"/>
      <w:divBdr>
        <w:top w:val="none" w:sz="0" w:space="0" w:color="auto"/>
        <w:left w:val="none" w:sz="0" w:space="0" w:color="auto"/>
        <w:bottom w:val="none" w:sz="0" w:space="0" w:color="auto"/>
        <w:right w:val="none" w:sz="0" w:space="0" w:color="auto"/>
      </w:divBdr>
    </w:div>
    <w:div w:id="2056395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1055</Words>
  <Characters>6023</Characters>
  <Application>Microsoft Office Word</Application>
  <DocSecurity>0</DocSecurity>
  <Lines>114</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7077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2014-05-20T14:09:00Z</cp:lastPrinted>
  <dcterms:created xsi:type="dcterms:W3CDTF">2014-06-10T15:37:00Z</dcterms:created>
  <dcterms:modified xsi:type="dcterms:W3CDTF">2014-06-10T15:37:00Z</dcterms:modified>
  <cp:category> </cp:category>
  <cp:contentStatus> </cp:contentStatus>
</cp:coreProperties>
</file>