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Pr="00884D28" w:rsidRDefault="00580A1E" w:rsidP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884D28">
              <w:rPr>
                <w:b/>
                <w:spacing w:val="-2"/>
              </w:rPr>
              <w:t>6 Johnson Road Licenses, Inc., Assignor</w:t>
            </w:r>
          </w:p>
          <w:p w:rsidR="004E37B4" w:rsidRDefault="004E37B4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4D28" w:rsidRDefault="00884D28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and</w:t>
            </w:r>
          </w:p>
          <w:p w:rsidR="00884D28" w:rsidRDefault="00884D28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80A1E" w:rsidRPr="00884D28" w:rsidRDefault="00580A1E" w:rsidP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884D28">
              <w:rPr>
                <w:b/>
                <w:spacing w:val="-2"/>
              </w:rPr>
              <w:t>Cumulus Licensing LLC, Assignee</w:t>
            </w:r>
          </w:p>
          <w:p w:rsidR="007C52AC" w:rsidRPr="007C52AC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5FCA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C52AC">
              <w:rPr>
                <w:spacing w:val="-2"/>
              </w:rPr>
              <w:t>Application</w:t>
            </w:r>
            <w:r w:rsidR="009A6BDE">
              <w:rPr>
                <w:spacing w:val="-2"/>
              </w:rPr>
              <w:t>s</w:t>
            </w:r>
            <w:r w:rsidRPr="007C52AC">
              <w:rPr>
                <w:spacing w:val="-2"/>
              </w:rPr>
              <w:t xml:space="preserve"> for </w:t>
            </w:r>
            <w:r w:rsidR="00580A1E">
              <w:rPr>
                <w:spacing w:val="-2"/>
              </w:rPr>
              <w:t>Assignment of Stations WMEZ(FM), Pensacola, F</w:t>
            </w:r>
            <w:r w:rsidR="00506ECB">
              <w:rPr>
                <w:spacing w:val="-2"/>
              </w:rPr>
              <w:t>lorida</w:t>
            </w:r>
            <w:r w:rsidR="00580A1E">
              <w:rPr>
                <w:spacing w:val="-2"/>
              </w:rPr>
              <w:t xml:space="preserve"> and WXBM-FM, Milton, F</w:t>
            </w:r>
            <w:r w:rsidR="00506ECB">
              <w:rPr>
                <w:spacing w:val="-2"/>
              </w:rPr>
              <w:t>lorida</w:t>
            </w:r>
          </w:p>
          <w:p w:rsidR="00CE2DD8" w:rsidRDefault="00CE2DD8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80A1E" w:rsidRDefault="00580A1E" w:rsidP="007115F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884D28">
              <w:rPr>
                <w:b/>
                <w:spacing w:val="-2"/>
              </w:rPr>
              <w:t>Educational Media Foundation, Assignor</w:t>
            </w:r>
          </w:p>
          <w:p w:rsidR="00884D28" w:rsidRDefault="00884D28" w:rsidP="007115F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  <w:p w:rsidR="00884D28" w:rsidRPr="00884D28" w:rsidRDefault="00884D2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84D28">
              <w:rPr>
                <w:spacing w:val="-2"/>
              </w:rPr>
              <w:t>and</w:t>
            </w:r>
          </w:p>
          <w:p w:rsidR="004E37B4" w:rsidRDefault="004E37B4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80A1E" w:rsidRPr="00884D28" w:rsidRDefault="00580A1E" w:rsidP="007115F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884D28">
              <w:rPr>
                <w:b/>
                <w:spacing w:val="-2"/>
              </w:rPr>
              <w:t>Cumulus Licensing LLC, Assignee</w:t>
            </w:r>
          </w:p>
          <w:p w:rsidR="00397542" w:rsidRDefault="00397542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80A1E" w:rsidRPr="007115F7" w:rsidRDefault="00580A1E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Application for Assignment of Station WABD(FM), Mobile, Alabama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54590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545909">
              <w:rPr>
                <w:b/>
                <w:spacing w:val="-2"/>
              </w:rPr>
              <w:t>)</w:t>
            </w:r>
          </w:p>
          <w:p w:rsidR="009A6BDE" w:rsidRDefault="009A6BD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9A6BDE" w:rsidRDefault="009A6BD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9A6BDE" w:rsidRDefault="009A6BD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580A1E" w:rsidRDefault="00580A1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580A1E" w:rsidRDefault="00580A1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580A1E" w:rsidRDefault="00580A1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580A1E" w:rsidRDefault="00580A1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580A1E" w:rsidRDefault="00580A1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E37B4" w:rsidRDefault="004E37B4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E37B4" w:rsidRDefault="004E37B4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884D28" w:rsidRDefault="00884D28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884D28" w:rsidRDefault="00884D28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884D28" w:rsidRDefault="00884D28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884D28" w:rsidRPr="00545909" w:rsidRDefault="00884D28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580A1E" w:rsidRDefault="00580A1E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BALH-20120509AER</w:t>
            </w:r>
          </w:p>
          <w:p w:rsidR="00580A1E" w:rsidRDefault="00580A1E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Facility ID No. 73256</w:t>
            </w:r>
          </w:p>
          <w:p w:rsidR="00580A1E" w:rsidRDefault="00580A1E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80A1E" w:rsidRDefault="00580A1E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BALH-20120509AES</w:t>
            </w:r>
          </w:p>
          <w:p w:rsidR="00580A1E" w:rsidRDefault="00580A1E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Facility ID No. 32946</w:t>
            </w:r>
          </w:p>
          <w:p w:rsidR="00580A1E" w:rsidRDefault="00580A1E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80A1E" w:rsidRDefault="00580A1E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E37B4" w:rsidRDefault="004E37B4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4D28" w:rsidRDefault="00884D28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4D28" w:rsidRDefault="00884D28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80A1E" w:rsidRDefault="00580A1E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File No. </w:t>
            </w:r>
            <w:r w:rsidR="00B036D1">
              <w:rPr>
                <w:spacing w:val="-2"/>
              </w:rPr>
              <w:t>BALH-20120709AFX</w:t>
            </w:r>
          </w:p>
          <w:p w:rsidR="00506ECB" w:rsidRDefault="00506ECB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Facility ID No. 70657</w:t>
            </w:r>
          </w:p>
        </w:tc>
      </w:tr>
      <w:tr w:rsidR="007C52AC">
        <w:tc>
          <w:tcPr>
            <w:tcW w:w="4698" w:type="dxa"/>
          </w:tcPr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841AB1" w:rsidRDefault="007C52AC" w:rsidP="00F021FA">
      <w:pPr>
        <w:pStyle w:val="StyleBoldCentered"/>
      </w:pPr>
      <w:r>
        <w:t>Memorandum Opinion and order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C636A6">
        <w:rPr>
          <w:b/>
          <w:spacing w:val="-2"/>
        </w:rPr>
        <w:t>June 9, 2014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C636A6">
        <w:rPr>
          <w:b/>
          <w:spacing w:val="-2"/>
        </w:rPr>
        <w:t>June 10, 2014</w:t>
      </w:r>
    </w:p>
    <w:p w:rsidR="00822CE0" w:rsidRDefault="00822CE0"/>
    <w:p w:rsidR="00E7792D" w:rsidRDefault="004C2EE3" w:rsidP="00E7792D">
      <w:pPr>
        <w:spacing w:after="120"/>
        <w:rPr>
          <w:spacing w:val="-2"/>
        </w:rPr>
      </w:pPr>
      <w:r>
        <w:t xml:space="preserve">By </w:t>
      </w:r>
      <w:r w:rsidR="004E4A22">
        <w:t>th</w:t>
      </w:r>
      <w:r w:rsidR="007C52AC">
        <w:t>e Commission</w:t>
      </w:r>
      <w:r>
        <w:rPr>
          <w:spacing w:val="-2"/>
        </w:rPr>
        <w:t>:</w:t>
      </w:r>
    </w:p>
    <w:p w:rsidR="002712C8" w:rsidRDefault="00BB78FC" w:rsidP="00733DC8">
      <w:pPr>
        <w:pStyle w:val="ParaNum"/>
        <w:rPr>
          <w:snapToGrid/>
        </w:rPr>
      </w:pPr>
      <w:r w:rsidRPr="00E7792D">
        <w:rPr>
          <w:snapToGrid/>
          <w:kern w:val="0"/>
        </w:rPr>
        <w:t xml:space="preserve">In this Memorandum Opinion and Order, we deny the </w:t>
      </w:r>
      <w:r w:rsidR="007C52AC" w:rsidRPr="00E7792D">
        <w:rPr>
          <w:snapToGrid/>
        </w:rPr>
        <w:t xml:space="preserve">Application for Review filed by </w:t>
      </w:r>
      <w:r w:rsidR="00B036D1">
        <w:rPr>
          <w:snapToGrid/>
        </w:rPr>
        <w:t>ADX Communications of Escambia and ADX Communications of Pensacola (collectively, “ADX”)</w:t>
      </w:r>
      <w:r w:rsidRPr="00E7792D">
        <w:rPr>
          <w:snapToGrid/>
        </w:rPr>
        <w:t xml:space="preserve"> on </w:t>
      </w:r>
      <w:r w:rsidR="009A6BDE">
        <w:rPr>
          <w:snapToGrid/>
        </w:rPr>
        <w:t xml:space="preserve">February </w:t>
      </w:r>
      <w:r w:rsidR="00B036D1">
        <w:rPr>
          <w:snapToGrid/>
        </w:rPr>
        <w:t>1, 2013</w:t>
      </w:r>
      <w:r w:rsidR="00D953BB" w:rsidRPr="00E7792D">
        <w:rPr>
          <w:snapToGrid/>
        </w:rPr>
        <w:t xml:space="preserve">.  </w:t>
      </w:r>
      <w:r w:rsidR="00B036D1">
        <w:rPr>
          <w:snapToGrid/>
        </w:rPr>
        <w:t>ADX</w:t>
      </w:r>
      <w:r w:rsidR="004750B9" w:rsidRPr="00E7792D">
        <w:rPr>
          <w:snapToGrid/>
        </w:rPr>
        <w:t xml:space="preserve"> seeks review of a </w:t>
      </w:r>
      <w:r w:rsidR="00B036D1">
        <w:rPr>
          <w:snapToGrid/>
        </w:rPr>
        <w:t>January 2, 2013</w:t>
      </w:r>
      <w:r w:rsidR="00136EA4" w:rsidRPr="00E7792D">
        <w:rPr>
          <w:snapToGrid/>
        </w:rPr>
        <w:t xml:space="preserve">, action by the Media Bureau </w:t>
      </w:r>
      <w:r w:rsidR="00D953BB" w:rsidRPr="00E7792D">
        <w:rPr>
          <w:snapToGrid/>
        </w:rPr>
        <w:t>(“Bureau”)</w:t>
      </w:r>
      <w:r w:rsidR="00714E37" w:rsidRPr="00E7792D">
        <w:t xml:space="preserve">, which </w:t>
      </w:r>
      <w:r w:rsidR="00B036D1">
        <w:t>granted the above-captioned</w:t>
      </w:r>
      <w:r w:rsidR="001204B8">
        <w:t xml:space="preserve"> applications for</w:t>
      </w:r>
      <w:r w:rsidR="00B036D1">
        <w:t xml:space="preserve">: (1) </w:t>
      </w:r>
      <w:r w:rsidR="001204B8" w:rsidRPr="001204B8">
        <w:t>assignment of the licenses for stations WMEZ(FM), Pensacola, Florida, and WXMB-FM,</w:t>
      </w:r>
      <w:r w:rsidR="004761B0">
        <w:t xml:space="preserve"> Milton, Florida</w:t>
      </w:r>
      <w:r w:rsidR="001204B8" w:rsidRPr="001204B8">
        <w:t>, from 6 Johnson Road L</w:t>
      </w:r>
      <w:r w:rsidR="004761B0">
        <w:t>icenses, Inc.</w:t>
      </w:r>
      <w:r w:rsidR="001204B8" w:rsidRPr="001204B8">
        <w:t xml:space="preserve"> to Cumulus Licensing LLC (“Cumu</w:t>
      </w:r>
      <w:r w:rsidR="004761B0">
        <w:t>lus”)</w:t>
      </w:r>
      <w:r w:rsidR="001204B8" w:rsidRPr="001204B8">
        <w:t>; and (2) assignment of the license for station WABD(FM) (formerly WLVM(FM)), Mobile, Alabama, fro</w:t>
      </w:r>
      <w:r w:rsidR="004761B0">
        <w:t xml:space="preserve">m Educational Media Foundation </w:t>
      </w:r>
      <w:r w:rsidR="001204B8" w:rsidRPr="001204B8">
        <w:t>t</w:t>
      </w:r>
      <w:r w:rsidR="004761B0">
        <w:t>o Cumulus</w:t>
      </w:r>
      <w:r w:rsidR="001204B8" w:rsidRPr="001204B8">
        <w:t xml:space="preserve"> </w:t>
      </w:r>
      <w:r w:rsidR="00314F91">
        <w:rPr>
          <w:snapToGrid/>
        </w:rPr>
        <w:t xml:space="preserve">(collectively, </w:t>
      </w:r>
      <w:r w:rsidR="004761B0">
        <w:rPr>
          <w:snapToGrid/>
        </w:rPr>
        <w:t xml:space="preserve">the </w:t>
      </w:r>
      <w:r w:rsidR="00314F91">
        <w:rPr>
          <w:snapToGrid/>
        </w:rPr>
        <w:t>“Applications”)</w:t>
      </w:r>
      <w:r w:rsidR="00D953BB" w:rsidRPr="00E7792D">
        <w:rPr>
          <w:snapToGrid/>
        </w:rPr>
        <w:t>.</w:t>
      </w:r>
      <w:r w:rsidR="00D901BD" w:rsidRPr="00E7792D">
        <w:rPr>
          <w:rStyle w:val="FootnoteReference"/>
          <w:snapToGrid/>
          <w:sz w:val="22"/>
          <w:szCs w:val="22"/>
        </w:rPr>
        <w:footnoteReference w:id="2"/>
      </w:r>
      <w:r w:rsidR="003E1A1E" w:rsidRPr="00E7792D">
        <w:rPr>
          <w:snapToGrid/>
        </w:rPr>
        <w:t xml:space="preserve"> </w:t>
      </w:r>
    </w:p>
    <w:p w:rsidR="008E5F14" w:rsidRPr="008E5F14" w:rsidRDefault="0075313A" w:rsidP="00733DC8">
      <w:pPr>
        <w:pStyle w:val="ParaNum"/>
        <w:rPr>
          <w:snapToGrid/>
          <w:kern w:val="0"/>
        </w:rPr>
      </w:pPr>
      <w:r w:rsidRPr="0075313A">
        <w:rPr>
          <w:snapToGrid/>
        </w:rPr>
        <w:t xml:space="preserve">ADX raises two issues on review, </w:t>
      </w:r>
      <w:r w:rsidR="00A969FF">
        <w:rPr>
          <w:snapToGrid/>
        </w:rPr>
        <w:t xml:space="preserve">both of </w:t>
      </w:r>
      <w:r w:rsidRPr="0075313A">
        <w:rPr>
          <w:snapToGrid/>
        </w:rPr>
        <w:t>which it also argued below</w:t>
      </w:r>
      <w:r w:rsidR="00140DE6">
        <w:rPr>
          <w:snapToGrid/>
        </w:rPr>
        <w:t>.  First, it contends</w:t>
      </w:r>
      <w:r w:rsidR="00FF41D1">
        <w:rPr>
          <w:snapToGrid/>
        </w:rPr>
        <w:t xml:space="preserve"> that </w:t>
      </w:r>
      <w:r w:rsidR="00581DDF">
        <w:rPr>
          <w:snapToGrid/>
        </w:rPr>
        <w:t xml:space="preserve">the </w:t>
      </w:r>
      <w:r w:rsidR="0094079D">
        <w:rPr>
          <w:snapToGrid/>
        </w:rPr>
        <w:t xml:space="preserve">Bureau erred by “mechanically” applying </w:t>
      </w:r>
      <w:r w:rsidR="00506ECB">
        <w:rPr>
          <w:snapToGrid/>
        </w:rPr>
        <w:t>an</w:t>
      </w:r>
      <w:r w:rsidR="0094079D">
        <w:rPr>
          <w:snapToGrid/>
        </w:rPr>
        <w:t xml:space="preserve"> </w:t>
      </w:r>
      <w:r w:rsidR="006F43F5">
        <w:rPr>
          <w:snapToGrid/>
        </w:rPr>
        <w:t>Arbitron-Metro-</w:t>
      </w:r>
      <w:r w:rsidR="0096038B">
        <w:rPr>
          <w:snapToGrid/>
        </w:rPr>
        <w:t xml:space="preserve">based </w:t>
      </w:r>
      <w:r w:rsidR="000E6F1A">
        <w:rPr>
          <w:snapToGrid/>
        </w:rPr>
        <w:t xml:space="preserve">local radio </w:t>
      </w:r>
      <w:r w:rsidR="0096038B">
        <w:rPr>
          <w:snapToGrid/>
        </w:rPr>
        <w:t xml:space="preserve">market definition to the </w:t>
      </w:r>
      <w:r w:rsidR="00581DDF">
        <w:rPr>
          <w:snapToGrid/>
        </w:rPr>
        <w:t>Mobile</w:t>
      </w:r>
      <w:r w:rsidR="006447E6">
        <w:rPr>
          <w:snapToGrid/>
        </w:rPr>
        <w:t xml:space="preserve"> </w:t>
      </w:r>
      <w:r w:rsidR="00581DDF">
        <w:rPr>
          <w:snapToGrid/>
        </w:rPr>
        <w:t>and Pensacola</w:t>
      </w:r>
      <w:r w:rsidR="00506F78">
        <w:rPr>
          <w:snapToGrid/>
        </w:rPr>
        <w:t xml:space="preserve"> area</w:t>
      </w:r>
      <w:r w:rsidR="00506ECB">
        <w:rPr>
          <w:snapToGrid/>
        </w:rPr>
        <w:t>s</w:t>
      </w:r>
      <w:r w:rsidR="00FF41D1">
        <w:rPr>
          <w:snapToGrid/>
        </w:rPr>
        <w:t>.</w:t>
      </w:r>
      <w:r w:rsidR="00FF41D1">
        <w:rPr>
          <w:rStyle w:val="FootnoteReference"/>
          <w:snapToGrid/>
          <w:szCs w:val="22"/>
        </w:rPr>
        <w:footnoteReference w:id="3"/>
      </w:r>
      <w:r w:rsidR="00FF41D1">
        <w:rPr>
          <w:snapToGrid/>
        </w:rPr>
        <w:t xml:space="preserve">  </w:t>
      </w:r>
      <w:r w:rsidR="005D2CEA">
        <w:rPr>
          <w:snapToGrid/>
        </w:rPr>
        <w:t>Th</w:t>
      </w:r>
      <w:r w:rsidR="00966DB9">
        <w:rPr>
          <w:snapToGrid/>
        </w:rPr>
        <w:t>i</w:t>
      </w:r>
      <w:r w:rsidR="005D2CEA">
        <w:rPr>
          <w:snapToGrid/>
        </w:rPr>
        <w:t>s</w:t>
      </w:r>
      <w:r w:rsidR="000566C4">
        <w:rPr>
          <w:snapToGrid/>
        </w:rPr>
        <w:t xml:space="preserve"> </w:t>
      </w:r>
      <w:r w:rsidR="00F34C77">
        <w:rPr>
          <w:snapToGrid/>
        </w:rPr>
        <w:t xml:space="preserve">Arbitron-based </w:t>
      </w:r>
      <w:r w:rsidR="0094079D">
        <w:rPr>
          <w:snapToGrid/>
        </w:rPr>
        <w:t>definition</w:t>
      </w:r>
      <w:r w:rsidR="00C96749">
        <w:rPr>
          <w:snapToGrid/>
        </w:rPr>
        <w:t xml:space="preserve"> </w:t>
      </w:r>
      <w:r w:rsidR="0094079D">
        <w:rPr>
          <w:snapToGrid/>
        </w:rPr>
        <w:t>fails</w:t>
      </w:r>
      <w:r w:rsidR="00C96749">
        <w:rPr>
          <w:snapToGrid/>
        </w:rPr>
        <w:t xml:space="preserve"> to capture </w:t>
      </w:r>
      <w:r w:rsidR="00506ECB">
        <w:rPr>
          <w:snapToGrid/>
        </w:rPr>
        <w:t xml:space="preserve">the unique </w:t>
      </w:r>
      <w:r w:rsidR="00C96749">
        <w:rPr>
          <w:snapToGrid/>
        </w:rPr>
        <w:t xml:space="preserve">market </w:t>
      </w:r>
      <w:r w:rsidR="00C96749">
        <w:rPr>
          <w:snapToGrid/>
        </w:rPr>
        <w:lastRenderedPageBreak/>
        <w:t>realities i</w:t>
      </w:r>
      <w:r w:rsidR="00506F78">
        <w:rPr>
          <w:snapToGrid/>
        </w:rPr>
        <w:t xml:space="preserve">n </w:t>
      </w:r>
      <w:r w:rsidR="00966DB9">
        <w:rPr>
          <w:snapToGrid/>
        </w:rPr>
        <w:t>t</w:t>
      </w:r>
      <w:r w:rsidR="00C213E5">
        <w:rPr>
          <w:snapToGrid/>
        </w:rPr>
        <w:t>his case</w:t>
      </w:r>
      <w:r w:rsidR="00140DE6">
        <w:rPr>
          <w:snapToGrid/>
        </w:rPr>
        <w:t>, according to ADX</w:t>
      </w:r>
      <w:r w:rsidR="00FF41D1">
        <w:rPr>
          <w:snapToGrid/>
        </w:rPr>
        <w:t>, because</w:t>
      </w:r>
      <w:r w:rsidR="00FF41D1" w:rsidRPr="00FF41D1">
        <w:rPr>
          <w:snapToGrid/>
        </w:rPr>
        <w:t xml:space="preserve">: (1) </w:t>
      </w:r>
      <w:r w:rsidR="00FF41D1">
        <w:rPr>
          <w:snapToGrid/>
        </w:rPr>
        <w:t xml:space="preserve">the </w:t>
      </w:r>
      <w:r w:rsidR="000566C4">
        <w:rPr>
          <w:snapToGrid/>
        </w:rPr>
        <w:t>Mobile and Pensacola</w:t>
      </w:r>
      <w:r w:rsidR="00506F78">
        <w:rPr>
          <w:snapToGrid/>
        </w:rPr>
        <w:t xml:space="preserve"> </w:t>
      </w:r>
      <w:r w:rsidR="00506ECB">
        <w:rPr>
          <w:snapToGrid/>
        </w:rPr>
        <w:t xml:space="preserve">Arbitron </w:t>
      </w:r>
      <w:r w:rsidR="00FF41D1">
        <w:rPr>
          <w:snapToGrid/>
        </w:rPr>
        <w:t>Metros</w:t>
      </w:r>
      <w:r w:rsidR="00FF41D1" w:rsidRPr="00FF41D1">
        <w:rPr>
          <w:snapToGrid/>
        </w:rPr>
        <w:t xml:space="preserve"> are physically adjacent</w:t>
      </w:r>
      <w:r w:rsidR="00140DE6">
        <w:rPr>
          <w:snapToGrid/>
        </w:rPr>
        <w:t>; and (2) each</w:t>
      </w:r>
      <w:r w:rsidR="00FF41D1" w:rsidRPr="00FF41D1">
        <w:rPr>
          <w:snapToGrid/>
        </w:rPr>
        <w:t xml:space="preserve"> of the Class C, C0, </w:t>
      </w:r>
      <w:r w:rsidR="00966DB9">
        <w:rPr>
          <w:snapToGrid/>
        </w:rPr>
        <w:t>and C1</w:t>
      </w:r>
      <w:r w:rsidR="00FF41D1" w:rsidRPr="00FF41D1">
        <w:rPr>
          <w:snapToGrid/>
        </w:rPr>
        <w:t xml:space="preserve"> stations that are</w:t>
      </w:r>
      <w:r w:rsidR="00506ECB">
        <w:rPr>
          <w:snapToGrid/>
        </w:rPr>
        <w:t xml:space="preserve"> listed by Arbitron as</w:t>
      </w:r>
      <w:r w:rsidR="00FF41D1" w:rsidRPr="00FF41D1">
        <w:rPr>
          <w:snapToGrid/>
        </w:rPr>
        <w:t xml:space="preserve"> “home” to either </w:t>
      </w:r>
      <w:r w:rsidR="0002280B">
        <w:rPr>
          <w:snapToGrid/>
        </w:rPr>
        <w:t>Metro</w:t>
      </w:r>
      <w:r w:rsidR="00FF41D1" w:rsidRPr="00FF41D1">
        <w:rPr>
          <w:snapToGrid/>
        </w:rPr>
        <w:t xml:space="preserve"> </w:t>
      </w:r>
      <w:r w:rsidR="0002280B">
        <w:rPr>
          <w:snapToGrid/>
        </w:rPr>
        <w:t xml:space="preserve">also </w:t>
      </w:r>
      <w:r w:rsidR="00FF41D1" w:rsidRPr="00FF41D1">
        <w:rPr>
          <w:snapToGrid/>
        </w:rPr>
        <w:t>provid</w:t>
      </w:r>
      <w:r w:rsidR="00FF41D1">
        <w:rPr>
          <w:snapToGrid/>
        </w:rPr>
        <w:t>e</w:t>
      </w:r>
      <w:r w:rsidR="00140DE6">
        <w:rPr>
          <w:snapToGrid/>
        </w:rPr>
        <w:t>s</w:t>
      </w:r>
      <w:r w:rsidR="00FF41D1">
        <w:rPr>
          <w:snapToGrid/>
        </w:rPr>
        <w:t xml:space="preserve"> </w:t>
      </w:r>
      <w:r w:rsidR="00140DE6">
        <w:rPr>
          <w:snapToGrid/>
        </w:rPr>
        <w:t xml:space="preserve">substantial </w:t>
      </w:r>
      <w:r w:rsidR="00FF41D1">
        <w:rPr>
          <w:snapToGrid/>
        </w:rPr>
        <w:t xml:space="preserve">signal coverage </w:t>
      </w:r>
      <w:r w:rsidR="00140DE6">
        <w:rPr>
          <w:snapToGrid/>
        </w:rPr>
        <w:t>to</w:t>
      </w:r>
      <w:r w:rsidR="0002280B">
        <w:rPr>
          <w:snapToGrid/>
        </w:rPr>
        <w:t xml:space="preserve"> the </w:t>
      </w:r>
      <w:r w:rsidR="00674E42">
        <w:rPr>
          <w:snapToGrid/>
        </w:rPr>
        <w:t>other</w:t>
      </w:r>
      <w:r w:rsidR="000566C4">
        <w:rPr>
          <w:snapToGrid/>
        </w:rPr>
        <w:t xml:space="preserve"> Metro</w:t>
      </w:r>
      <w:r w:rsidR="00140DE6">
        <w:rPr>
          <w:snapToGrid/>
        </w:rPr>
        <w:t>,</w:t>
      </w:r>
      <w:r w:rsidR="00FF41D1">
        <w:rPr>
          <w:snapToGrid/>
        </w:rPr>
        <w:t xml:space="preserve"> </w:t>
      </w:r>
      <w:r w:rsidR="00506ECB">
        <w:rPr>
          <w:snapToGrid/>
        </w:rPr>
        <w:t xml:space="preserve">by virtue of </w:t>
      </w:r>
      <w:r w:rsidR="00FF41D1" w:rsidRPr="00FF41D1">
        <w:rPr>
          <w:snapToGrid/>
        </w:rPr>
        <w:t>centrally located transmitter</w:t>
      </w:r>
      <w:r w:rsidR="00966DB9">
        <w:rPr>
          <w:snapToGrid/>
        </w:rPr>
        <w:t>s</w:t>
      </w:r>
      <w:r w:rsidR="00FF41D1" w:rsidRPr="00FF41D1">
        <w:rPr>
          <w:snapToGrid/>
        </w:rPr>
        <w:t xml:space="preserve">.  </w:t>
      </w:r>
      <w:r w:rsidR="00506ECB">
        <w:rPr>
          <w:snapToGrid/>
        </w:rPr>
        <w:t>Because the use of Arbitron Me</w:t>
      </w:r>
      <w:r w:rsidR="00F34C77">
        <w:rPr>
          <w:snapToGrid/>
        </w:rPr>
        <w:t>tros is in</w:t>
      </w:r>
      <w:r w:rsidR="00D570EB">
        <w:rPr>
          <w:snapToGrid/>
        </w:rPr>
        <w:t>appropriate in this</w:t>
      </w:r>
      <w:r w:rsidR="00506ECB">
        <w:rPr>
          <w:snapToGrid/>
        </w:rPr>
        <w:t xml:space="preserve"> circumstance</w:t>
      </w:r>
      <w:r w:rsidR="00FF41D1">
        <w:rPr>
          <w:snapToGrid/>
        </w:rPr>
        <w:t xml:space="preserve">, ADX urges, </w:t>
      </w:r>
      <w:r w:rsidR="006447E6">
        <w:rPr>
          <w:snapToGrid/>
        </w:rPr>
        <w:t xml:space="preserve">Cumulus should </w:t>
      </w:r>
      <w:r w:rsidR="00506F78">
        <w:rPr>
          <w:snapToGrid/>
        </w:rPr>
        <w:t xml:space="preserve">be required to </w:t>
      </w:r>
      <w:r w:rsidR="006447E6">
        <w:rPr>
          <w:snapToGrid/>
        </w:rPr>
        <w:t>demonstrate compliance with the</w:t>
      </w:r>
      <w:r w:rsidR="00FF41D1">
        <w:rPr>
          <w:snapToGrid/>
        </w:rPr>
        <w:t xml:space="preserve"> multiple ownership </w:t>
      </w:r>
      <w:r w:rsidR="006447E6">
        <w:rPr>
          <w:snapToGrid/>
        </w:rPr>
        <w:t xml:space="preserve">rules </w:t>
      </w:r>
      <w:r w:rsidR="00FF41D1">
        <w:rPr>
          <w:snapToGrid/>
        </w:rPr>
        <w:t>using the i</w:t>
      </w:r>
      <w:r w:rsidR="00C96749">
        <w:rPr>
          <w:snapToGrid/>
        </w:rPr>
        <w:t>nterim contour-based methodology</w:t>
      </w:r>
      <w:r w:rsidR="00966DB9">
        <w:rPr>
          <w:snapToGrid/>
        </w:rPr>
        <w:t xml:space="preserve">, which is </w:t>
      </w:r>
      <w:r w:rsidR="00674E42">
        <w:rPr>
          <w:snapToGrid/>
        </w:rPr>
        <w:t>usually</w:t>
      </w:r>
      <w:r w:rsidR="0002280B">
        <w:rPr>
          <w:snapToGrid/>
        </w:rPr>
        <w:t xml:space="preserve"> </w:t>
      </w:r>
      <w:r w:rsidR="00FF41D1">
        <w:rPr>
          <w:snapToGrid/>
        </w:rPr>
        <w:t>applicable</w:t>
      </w:r>
      <w:r w:rsidR="0002280B">
        <w:rPr>
          <w:snapToGrid/>
        </w:rPr>
        <w:t xml:space="preserve"> </w:t>
      </w:r>
      <w:r w:rsidR="00140DE6">
        <w:rPr>
          <w:snapToGrid/>
        </w:rPr>
        <w:t xml:space="preserve">only </w:t>
      </w:r>
      <w:r w:rsidR="006447E6">
        <w:rPr>
          <w:snapToGrid/>
        </w:rPr>
        <w:t>to stations located</w:t>
      </w:r>
      <w:r w:rsidR="00FF41D1">
        <w:rPr>
          <w:snapToGrid/>
        </w:rPr>
        <w:t xml:space="preserve"> outside the boundaries of an Arbitron Metro.</w:t>
      </w:r>
      <w:r w:rsidR="00A06EB6">
        <w:rPr>
          <w:rStyle w:val="FootnoteReference"/>
          <w:snapToGrid/>
          <w:szCs w:val="22"/>
        </w:rPr>
        <w:footnoteReference w:id="4"/>
      </w:r>
      <w:r w:rsidR="00FF41D1">
        <w:rPr>
          <w:snapToGrid/>
        </w:rPr>
        <w:t xml:space="preserve">  </w:t>
      </w:r>
    </w:p>
    <w:p w:rsidR="00874DBD" w:rsidRPr="00FA4457" w:rsidRDefault="00297001" w:rsidP="00733DC8">
      <w:pPr>
        <w:pStyle w:val="ParaNum"/>
        <w:rPr>
          <w:snapToGrid/>
          <w:kern w:val="0"/>
        </w:rPr>
      </w:pPr>
      <w:r>
        <w:rPr>
          <w:snapToGrid/>
        </w:rPr>
        <w:t>Second, ADX argues that</w:t>
      </w:r>
      <w:r w:rsidR="009D10BB">
        <w:rPr>
          <w:snapToGrid/>
        </w:rPr>
        <w:t xml:space="preserve"> </w:t>
      </w:r>
      <w:r w:rsidR="006870C0">
        <w:rPr>
          <w:snapToGrid/>
        </w:rPr>
        <w:t>the</w:t>
      </w:r>
      <w:r w:rsidR="00BA330E">
        <w:rPr>
          <w:snapToGrid/>
        </w:rPr>
        <w:t xml:space="preserve"> </w:t>
      </w:r>
      <w:r w:rsidR="009C23D9">
        <w:rPr>
          <w:snapToGrid/>
        </w:rPr>
        <w:t>Bureau erred in</w:t>
      </w:r>
      <w:r>
        <w:rPr>
          <w:snapToGrid/>
        </w:rPr>
        <w:t xml:space="preserve"> </w:t>
      </w:r>
      <w:r w:rsidR="00140DE6">
        <w:rPr>
          <w:snapToGrid/>
        </w:rPr>
        <w:t>hol</w:t>
      </w:r>
      <w:r>
        <w:rPr>
          <w:snapToGrid/>
        </w:rPr>
        <w:t>ding</w:t>
      </w:r>
      <w:r w:rsidR="009C23D9">
        <w:rPr>
          <w:snapToGrid/>
        </w:rPr>
        <w:t xml:space="preserve"> that the </w:t>
      </w:r>
      <w:r w:rsidR="00BA330E">
        <w:rPr>
          <w:snapToGrid/>
        </w:rPr>
        <w:t>May</w:t>
      </w:r>
      <w:r w:rsidR="006870C0">
        <w:rPr>
          <w:snapToGrid/>
        </w:rPr>
        <w:t xml:space="preserve"> 7,</w:t>
      </w:r>
      <w:r w:rsidR="00BA330E">
        <w:rPr>
          <w:snapToGrid/>
        </w:rPr>
        <w:t xml:space="preserve"> 2012</w:t>
      </w:r>
      <w:r w:rsidR="006870C0">
        <w:rPr>
          <w:snapToGrid/>
        </w:rPr>
        <w:t>,</w:t>
      </w:r>
      <w:r w:rsidR="00BA330E">
        <w:rPr>
          <w:snapToGrid/>
        </w:rPr>
        <w:t xml:space="preserve"> </w:t>
      </w:r>
      <w:r w:rsidR="006870C0">
        <w:rPr>
          <w:snapToGrid/>
        </w:rPr>
        <w:t xml:space="preserve">grant of a </w:t>
      </w:r>
      <w:r w:rsidR="00BA330E">
        <w:rPr>
          <w:snapToGrid/>
        </w:rPr>
        <w:t xml:space="preserve">community of license change for </w:t>
      </w:r>
      <w:r w:rsidR="0079614B">
        <w:rPr>
          <w:snapToGrid/>
        </w:rPr>
        <w:t xml:space="preserve">Cumulus-owned </w:t>
      </w:r>
      <w:r w:rsidR="00BA330E">
        <w:rPr>
          <w:snapToGrid/>
        </w:rPr>
        <w:t>Station WDLT-FM</w:t>
      </w:r>
      <w:r w:rsidR="00581DDF">
        <w:rPr>
          <w:snapToGrid/>
        </w:rPr>
        <w:t xml:space="preserve"> </w:t>
      </w:r>
      <w:r w:rsidR="00BA330E">
        <w:rPr>
          <w:snapToGrid/>
        </w:rPr>
        <w:t xml:space="preserve">from Atmore, Alabama (located outside any </w:t>
      </w:r>
      <w:r w:rsidR="006B103A">
        <w:rPr>
          <w:snapToGrid/>
        </w:rPr>
        <w:t xml:space="preserve">Arbitron </w:t>
      </w:r>
      <w:r w:rsidR="00BA330E">
        <w:rPr>
          <w:snapToGrid/>
        </w:rPr>
        <w:t>Metro market) to Saraland, Alabama (locate</w:t>
      </w:r>
      <w:r w:rsidR="00140DE6">
        <w:rPr>
          <w:snapToGrid/>
        </w:rPr>
        <w:t>d within the Mobile Metro</w:t>
      </w:r>
      <w:r w:rsidR="00BA330E">
        <w:rPr>
          <w:snapToGrid/>
        </w:rPr>
        <w:t xml:space="preserve">) </w:t>
      </w:r>
      <w:r>
        <w:rPr>
          <w:snapToGrid/>
        </w:rPr>
        <w:t>did not trigger</w:t>
      </w:r>
      <w:r w:rsidR="009C23D9" w:rsidRPr="009C23D9">
        <w:rPr>
          <w:snapToGrid/>
        </w:rPr>
        <w:t xml:space="preserve"> the </w:t>
      </w:r>
      <w:r w:rsidR="0002280B">
        <w:rPr>
          <w:snapToGrid/>
        </w:rPr>
        <w:t>requirement</w:t>
      </w:r>
      <w:r w:rsidR="00BA7304">
        <w:rPr>
          <w:snapToGrid/>
        </w:rPr>
        <w:t xml:space="preserve"> that a licensee</w:t>
      </w:r>
      <w:r w:rsidR="009C23D9" w:rsidRPr="009C23D9">
        <w:rPr>
          <w:snapToGrid/>
        </w:rPr>
        <w:t xml:space="preserve"> must wait two years before taking advantage of a change in an Arbitron </w:t>
      </w:r>
      <w:r w:rsidR="009C23D9">
        <w:rPr>
          <w:snapToGrid/>
        </w:rPr>
        <w:t>market</w:t>
      </w:r>
      <w:r w:rsidR="00BA330E">
        <w:rPr>
          <w:snapToGrid/>
        </w:rPr>
        <w:t>.</w:t>
      </w:r>
      <w:r w:rsidR="00BA330E">
        <w:rPr>
          <w:rStyle w:val="FootnoteReference"/>
          <w:snapToGrid/>
          <w:szCs w:val="22"/>
        </w:rPr>
        <w:footnoteReference w:id="5"/>
      </w:r>
      <w:r w:rsidR="00141383">
        <w:rPr>
          <w:snapToGrid/>
        </w:rPr>
        <w:t xml:space="preserve"> </w:t>
      </w:r>
      <w:r w:rsidR="00634FFC">
        <w:rPr>
          <w:snapToGrid/>
        </w:rPr>
        <w:t xml:space="preserve"> </w:t>
      </w:r>
      <w:r w:rsidR="00594578">
        <w:rPr>
          <w:snapToGrid/>
        </w:rPr>
        <w:t>Rather, according to ADX,</w:t>
      </w:r>
      <w:r w:rsidR="0079614B">
        <w:rPr>
          <w:snapToGrid/>
        </w:rPr>
        <w:t xml:space="preserve"> this</w:t>
      </w:r>
      <w:r w:rsidR="00594578">
        <w:rPr>
          <w:snapToGrid/>
        </w:rPr>
        <w:t xml:space="preserve"> community of license change </w:t>
      </w:r>
      <w:r w:rsidR="00E43B02">
        <w:rPr>
          <w:snapToGrid/>
        </w:rPr>
        <w:t>is subject to the two-year waiting period under</w:t>
      </w:r>
      <w:r w:rsidR="00634FFC">
        <w:rPr>
          <w:snapToGrid/>
        </w:rPr>
        <w:t xml:space="preserve"> the “Commission’s general policy prohibiting manipulation of the multiple ownership rules”</w:t>
      </w:r>
      <w:r w:rsidR="003E46DF">
        <w:rPr>
          <w:snapToGrid/>
        </w:rPr>
        <w:t xml:space="preserve"> </w:t>
      </w:r>
      <w:r w:rsidR="00D868F1">
        <w:rPr>
          <w:snapToGrid/>
        </w:rPr>
        <w:t>b</w:t>
      </w:r>
      <w:r w:rsidR="003E46DF">
        <w:rPr>
          <w:snapToGrid/>
        </w:rPr>
        <w:t xml:space="preserve">ecause, “before </w:t>
      </w:r>
      <w:r w:rsidR="00B441A5">
        <w:rPr>
          <w:snapToGrid/>
        </w:rPr>
        <w:t>the city-of-license change, [Cumulus</w:t>
      </w:r>
      <w:r w:rsidR="003E46DF">
        <w:rPr>
          <w:snapToGrid/>
        </w:rPr>
        <w:t>] was required to satisfy the con</w:t>
      </w:r>
      <w:r w:rsidR="001B3D54">
        <w:rPr>
          <w:snapToGrid/>
        </w:rPr>
        <w:t>t</w:t>
      </w:r>
      <w:r w:rsidR="003E46DF">
        <w:rPr>
          <w:snapToGrid/>
        </w:rPr>
        <w:t xml:space="preserve">our overlap standard </w:t>
      </w:r>
      <w:r w:rsidR="003E46DF">
        <w:rPr>
          <w:i/>
          <w:snapToGrid/>
        </w:rPr>
        <w:t xml:space="preserve">as well as </w:t>
      </w:r>
      <w:r w:rsidR="003E46DF">
        <w:rPr>
          <w:snapToGrid/>
        </w:rPr>
        <w:t xml:space="preserve">the Arbitron standard; after the city-of-license change, it suddenly, instantaneously, wishes to be required </w:t>
      </w:r>
      <w:r w:rsidR="003E46DF">
        <w:rPr>
          <w:i/>
          <w:snapToGrid/>
        </w:rPr>
        <w:t xml:space="preserve">only </w:t>
      </w:r>
      <w:r w:rsidR="003E46DF">
        <w:rPr>
          <w:snapToGrid/>
        </w:rPr>
        <w:t>to satisfy the Arbitron standard.”</w:t>
      </w:r>
      <w:r w:rsidR="00634FFC">
        <w:rPr>
          <w:rStyle w:val="FootnoteReference"/>
          <w:snapToGrid/>
          <w:kern w:val="0"/>
          <w:szCs w:val="22"/>
        </w:rPr>
        <w:footnoteReference w:id="6"/>
      </w:r>
    </w:p>
    <w:p w:rsidR="005D2CEA" w:rsidRDefault="00C84DAC" w:rsidP="00733DC8">
      <w:pPr>
        <w:pStyle w:val="ParaNum"/>
        <w:rPr>
          <w:snapToGrid/>
        </w:rPr>
      </w:pPr>
      <w:r>
        <w:rPr>
          <w:snapToGrid/>
        </w:rPr>
        <w:t xml:space="preserve">In the </w:t>
      </w:r>
      <w:r w:rsidR="00A53006">
        <w:rPr>
          <w:i/>
          <w:snapToGrid/>
        </w:rPr>
        <w:t>Letter</w:t>
      </w:r>
      <w:r>
        <w:rPr>
          <w:i/>
          <w:snapToGrid/>
        </w:rPr>
        <w:t xml:space="preserve"> Decision</w:t>
      </w:r>
      <w:r>
        <w:rPr>
          <w:snapToGrid/>
        </w:rPr>
        <w:t>, the Bureau fully addressed</w:t>
      </w:r>
      <w:r w:rsidR="00DB0797">
        <w:rPr>
          <w:snapToGrid/>
        </w:rPr>
        <w:t xml:space="preserve"> both of these issues</w:t>
      </w:r>
      <w:r>
        <w:rPr>
          <w:snapToGrid/>
        </w:rPr>
        <w:t>.</w:t>
      </w:r>
      <w:r>
        <w:rPr>
          <w:i/>
          <w:snapToGrid/>
        </w:rPr>
        <w:t xml:space="preserve"> </w:t>
      </w:r>
      <w:r w:rsidR="00DB0797">
        <w:rPr>
          <w:snapToGrid/>
        </w:rPr>
        <w:t>Regarding ADX’s arguments that</w:t>
      </w:r>
      <w:r w:rsidR="00D570EB">
        <w:rPr>
          <w:snapToGrid/>
        </w:rPr>
        <w:t xml:space="preserve"> an</w:t>
      </w:r>
      <w:r w:rsidR="00DB0797">
        <w:rPr>
          <w:snapToGrid/>
        </w:rPr>
        <w:t xml:space="preserve"> </w:t>
      </w:r>
      <w:r w:rsidR="006B103A">
        <w:rPr>
          <w:snapToGrid/>
        </w:rPr>
        <w:t>Arbitron-</w:t>
      </w:r>
      <w:r w:rsidR="00DB0797">
        <w:rPr>
          <w:snapToGrid/>
        </w:rPr>
        <w:t xml:space="preserve">Metro-based ownership analysis should not apply to the Mobile and Pensacola markets, </w:t>
      </w:r>
      <w:r w:rsidR="000566C4">
        <w:rPr>
          <w:snapToGrid/>
        </w:rPr>
        <w:t xml:space="preserve">the Bureau </w:t>
      </w:r>
      <w:r w:rsidR="0079614B">
        <w:rPr>
          <w:snapToGrid/>
        </w:rPr>
        <w:t>observed</w:t>
      </w:r>
      <w:r w:rsidR="0043472C">
        <w:rPr>
          <w:snapToGrid/>
        </w:rPr>
        <w:t xml:space="preserve"> </w:t>
      </w:r>
      <w:r w:rsidR="000566C4">
        <w:rPr>
          <w:snapToGrid/>
        </w:rPr>
        <w:t>that there</w:t>
      </w:r>
      <w:r w:rsidR="000566C4" w:rsidRPr="00B24CA3">
        <w:rPr>
          <w:snapToGrid/>
        </w:rPr>
        <w:t xml:space="preserve"> is nothing </w:t>
      </w:r>
      <w:r w:rsidR="00797771">
        <w:rPr>
          <w:snapToGrid/>
        </w:rPr>
        <w:t xml:space="preserve">new or unique </w:t>
      </w:r>
      <w:r w:rsidR="000566C4" w:rsidRPr="00B24CA3">
        <w:rPr>
          <w:snapToGrid/>
        </w:rPr>
        <w:t>about</w:t>
      </w:r>
      <w:r w:rsidR="000566C4">
        <w:rPr>
          <w:snapToGrid/>
        </w:rPr>
        <w:t xml:space="preserve"> </w:t>
      </w:r>
      <w:r w:rsidR="0079614B">
        <w:rPr>
          <w:snapToGrid/>
        </w:rPr>
        <w:t xml:space="preserve">two adjacent </w:t>
      </w:r>
      <w:r w:rsidR="006B103A">
        <w:rPr>
          <w:snapToGrid/>
        </w:rPr>
        <w:t xml:space="preserve">Arbitron </w:t>
      </w:r>
      <w:r w:rsidR="0079614B">
        <w:rPr>
          <w:snapToGrid/>
        </w:rPr>
        <w:t>Metro markets “sharing” numerous stations—i.e., each Metro receiving substantial signal coverage from stations that are “home” to the neighboring Metro</w:t>
      </w:r>
      <w:r w:rsidR="00382805">
        <w:rPr>
          <w:snapToGrid/>
        </w:rPr>
        <w:t>.</w:t>
      </w:r>
      <w:r w:rsidR="001705E8">
        <w:rPr>
          <w:rStyle w:val="FootnoteReference"/>
          <w:snapToGrid/>
          <w:kern w:val="0"/>
        </w:rPr>
        <w:footnoteReference w:id="7"/>
      </w:r>
      <w:r w:rsidR="00382805">
        <w:rPr>
          <w:snapToGrid/>
        </w:rPr>
        <w:t xml:space="preserve">  </w:t>
      </w:r>
      <w:r w:rsidR="00733DC8">
        <w:rPr>
          <w:snapToGrid/>
        </w:rPr>
        <w:t>Furthermore, w</w:t>
      </w:r>
      <w:r w:rsidR="001705E8">
        <w:rPr>
          <w:snapToGrid/>
        </w:rPr>
        <w:t>e</w:t>
      </w:r>
      <w:r w:rsidR="00797771">
        <w:rPr>
          <w:snapToGrid/>
        </w:rPr>
        <w:t xml:space="preserve"> agree with the Bureau that </w:t>
      </w:r>
      <w:r w:rsidR="006A5D6A">
        <w:rPr>
          <w:snapToGrid/>
        </w:rPr>
        <w:t>redefin</w:t>
      </w:r>
      <w:r w:rsidR="006B103A">
        <w:rPr>
          <w:snapToGrid/>
        </w:rPr>
        <w:t>ing</w:t>
      </w:r>
      <w:r w:rsidR="00674E42">
        <w:rPr>
          <w:snapToGrid/>
        </w:rPr>
        <w:t xml:space="preserve"> the</w:t>
      </w:r>
      <w:r w:rsidR="00797771">
        <w:rPr>
          <w:snapToGrid/>
        </w:rPr>
        <w:t>se</w:t>
      </w:r>
      <w:r w:rsidR="0079614B">
        <w:rPr>
          <w:snapToGrid/>
        </w:rPr>
        <w:t xml:space="preserve"> two</w:t>
      </w:r>
      <w:r w:rsidR="00674E42">
        <w:rPr>
          <w:snapToGrid/>
        </w:rPr>
        <w:t xml:space="preserve"> markets </w:t>
      </w:r>
      <w:r w:rsidR="000B3BD1">
        <w:rPr>
          <w:snapToGrid/>
        </w:rPr>
        <w:t xml:space="preserve">based </w:t>
      </w:r>
      <w:r w:rsidR="00AF0489">
        <w:rPr>
          <w:snapToGrid/>
        </w:rPr>
        <w:t xml:space="preserve">solely </w:t>
      </w:r>
      <w:r w:rsidR="00506F78">
        <w:rPr>
          <w:snapToGrid/>
        </w:rPr>
        <w:t>on</w:t>
      </w:r>
      <w:r w:rsidR="00674E42">
        <w:rPr>
          <w:snapToGrid/>
        </w:rPr>
        <w:t xml:space="preserve"> </w:t>
      </w:r>
      <w:r w:rsidR="00F37364">
        <w:rPr>
          <w:snapToGrid/>
        </w:rPr>
        <w:t>transmitter location</w:t>
      </w:r>
      <w:r w:rsidR="00A969FF">
        <w:rPr>
          <w:snapToGrid/>
        </w:rPr>
        <w:t>s</w:t>
      </w:r>
      <w:r w:rsidR="006A5D6A">
        <w:rPr>
          <w:snapToGrid/>
        </w:rPr>
        <w:t xml:space="preserve"> and signal contours would be</w:t>
      </w:r>
      <w:r w:rsidR="00F37364">
        <w:rPr>
          <w:snapToGrid/>
        </w:rPr>
        <w:t xml:space="preserve"> precisely the</w:t>
      </w:r>
      <w:r w:rsidR="00E112B8">
        <w:rPr>
          <w:snapToGrid/>
        </w:rPr>
        <w:t xml:space="preserve"> approach</w:t>
      </w:r>
      <w:r w:rsidR="00F37364">
        <w:rPr>
          <w:snapToGrid/>
        </w:rPr>
        <w:t xml:space="preserve"> that the Commission rejected when it adopted </w:t>
      </w:r>
      <w:r w:rsidR="00674E42">
        <w:rPr>
          <w:snapToGrid/>
        </w:rPr>
        <w:t xml:space="preserve">the </w:t>
      </w:r>
      <w:r w:rsidR="000B3BD1">
        <w:rPr>
          <w:snapToGrid/>
        </w:rPr>
        <w:t>Arbitron Metro standard</w:t>
      </w:r>
      <w:r w:rsidR="00674E42">
        <w:rPr>
          <w:snapToGrid/>
        </w:rPr>
        <w:t xml:space="preserve"> in 2003</w:t>
      </w:r>
      <w:r w:rsidR="0075313A">
        <w:rPr>
          <w:snapToGrid/>
        </w:rPr>
        <w:t>.</w:t>
      </w:r>
      <w:r w:rsidR="0075313A">
        <w:rPr>
          <w:rStyle w:val="FootnoteReference"/>
          <w:snapToGrid/>
          <w:kern w:val="0"/>
        </w:rPr>
        <w:footnoteReference w:id="8"/>
      </w:r>
      <w:r w:rsidR="0075313A">
        <w:rPr>
          <w:snapToGrid/>
        </w:rPr>
        <w:t xml:space="preserve"> </w:t>
      </w:r>
      <w:r w:rsidR="00F37364">
        <w:rPr>
          <w:snapToGrid/>
        </w:rPr>
        <w:t xml:space="preserve"> </w:t>
      </w:r>
      <w:r w:rsidR="00802521">
        <w:rPr>
          <w:snapToGrid/>
        </w:rPr>
        <w:t>Finally, c</w:t>
      </w:r>
      <w:r w:rsidR="005D2CEA">
        <w:rPr>
          <w:snapToGrid/>
        </w:rPr>
        <w:t xml:space="preserve">ontrary to ADX’s assertions, the Bureau </w:t>
      </w:r>
      <w:r w:rsidR="00AF0489">
        <w:rPr>
          <w:snapToGrid/>
        </w:rPr>
        <w:t>did not “mechanically” apply the numerical ownership limit</w:t>
      </w:r>
      <w:r>
        <w:rPr>
          <w:snapToGrid/>
        </w:rPr>
        <w:t>s</w:t>
      </w:r>
      <w:r w:rsidR="00DB0797">
        <w:rPr>
          <w:snapToGrid/>
        </w:rPr>
        <w:t>;</w:t>
      </w:r>
      <w:r w:rsidR="00AF0489">
        <w:rPr>
          <w:snapToGrid/>
        </w:rPr>
        <w:t xml:space="preserve"> </w:t>
      </w:r>
      <w:r>
        <w:rPr>
          <w:snapToGrid/>
        </w:rPr>
        <w:t>rather</w:t>
      </w:r>
      <w:r w:rsidR="00DB0797">
        <w:rPr>
          <w:snapToGrid/>
        </w:rPr>
        <w:t>, it</w:t>
      </w:r>
      <w:r>
        <w:rPr>
          <w:snapToGrid/>
        </w:rPr>
        <w:t xml:space="preserve"> </w:t>
      </w:r>
      <w:r w:rsidR="00AF0489">
        <w:rPr>
          <w:snapToGrid/>
        </w:rPr>
        <w:t xml:space="preserve">conducted a full public </w:t>
      </w:r>
      <w:r w:rsidR="001705E8">
        <w:rPr>
          <w:snapToGrid/>
        </w:rPr>
        <w:t>interest analysis</w:t>
      </w:r>
      <w:r w:rsidR="00DB0797">
        <w:rPr>
          <w:snapToGrid/>
        </w:rPr>
        <w:t xml:space="preserve"> and </w:t>
      </w:r>
      <w:r w:rsidR="00E43B02">
        <w:rPr>
          <w:snapToGrid/>
        </w:rPr>
        <w:t>concluded</w:t>
      </w:r>
      <w:r w:rsidR="00DB0797">
        <w:rPr>
          <w:snapToGrid/>
        </w:rPr>
        <w:t xml:space="preserve"> that, post-transaction,</w:t>
      </w:r>
      <w:r w:rsidR="001705E8">
        <w:rPr>
          <w:snapToGrid/>
        </w:rPr>
        <w:t xml:space="preserve"> </w:t>
      </w:r>
      <w:r>
        <w:rPr>
          <w:snapToGrid/>
        </w:rPr>
        <w:t>competition for liste</w:t>
      </w:r>
      <w:r w:rsidR="00DB0797">
        <w:rPr>
          <w:snapToGrid/>
        </w:rPr>
        <w:t>ners would be preserved in the Mobile and Pensacola</w:t>
      </w:r>
      <w:r>
        <w:rPr>
          <w:snapToGrid/>
        </w:rPr>
        <w:t xml:space="preserve"> markets</w:t>
      </w:r>
      <w:r w:rsidR="001705E8">
        <w:rPr>
          <w:snapToGrid/>
        </w:rPr>
        <w:t>.</w:t>
      </w:r>
      <w:r w:rsidR="001705E8">
        <w:rPr>
          <w:rStyle w:val="FootnoteReference"/>
          <w:snapToGrid/>
          <w:kern w:val="0"/>
        </w:rPr>
        <w:footnoteReference w:id="9"/>
      </w:r>
      <w:r>
        <w:rPr>
          <w:snapToGrid/>
        </w:rPr>
        <w:t xml:space="preserve">  We agree</w:t>
      </w:r>
      <w:r w:rsidR="00E43B02">
        <w:rPr>
          <w:snapToGrid/>
        </w:rPr>
        <w:t xml:space="preserve"> with this conclusion</w:t>
      </w:r>
      <w:r w:rsidR="001705E8">
        <w:rPr>
          <w:snapToGrid/>
        </w:rPr>
        <w:t xml:space="preserve">. </w:t>
      </w:r>
    </w:p>
    <w:p w:rsidR="00C84DAC" w:rsidRDefault="00E43B02" w:rsidP="00733DC8">
      <w:pPr>
        <w:pStyle w:val="ParaNum"/>
        <w:rPr>
          <w:snapToGrid/>
        </w:rPr>
      </w:pPr>
      <w:r>
        <w:rPr>
          <w:snapToGrid/>
        </w:rPr>
        <w:t>Regarding</w:t>
      </w:r>
      <w:r w:rsidR="00DB0797">
        <w:rPr>
          <w:snapToGrid/>
        </w:rPr>
        <w:t xml:space="preserve"> the two-year waiting period</w:t>
      </w:r>
      <w:r w:rsidR="00743AE2">
        <w:rPr>
          <w:snapToGrid/>
        </w:rPr>
        <w:t>, we</w:t>
      </w:r>
      <w:r w:rsidR="00C1079D">
        <w:rPr>
          <w:snapToGrid/>
        </w:rPr>
        <w:t xml:space="preserve"> </w:t>
      </w:r>
      <w:r w:rsidR="0075313A">
        <w:rPr>
          <w:snapToGrid/>
        </w:rPr>
        <w:t>uphold</w:t>
      </w:r>
      <w:r w:rsidR="00743AE2">
        <w:rPr>
          <w:snapToGrid/>
        </w:rPr>
        <w:t xml:space="preserve"> th</w:t>
      </w:r>
      <w:r w:rsidR="00F37364">
        <w:rPr>
          <w:snapToGrid/>
        </w:rPr>
        <w:t>e Bureau</w:t>
      </w:r>
      <w:r w:rsidR="00743AE2">
        <w:rPr>
          <w:snapToGrid/>
        </w:rPr>
        <w:t>’s decision not</w:t>
      </w:r>
      <w:r w:rsidR="00F37364">
        <w:rPr>
          <w:snapToGrid/>
        </w:rPr>
        <w:t xml:space="preserve"> to </w:t>
      </w:r>
      <w:r w:rsidR="00802521">
        <w:rPr>
          <w:snapToGrid/>
        </w:rPr>
        <w:t>expand</w:t>
      </w:r>
      <w:r w:rsidR="00F37364">
        <w:rPr>
          <w:snapToGrid/>
        </w:rPr>
        <w:t xml:space="preserve"> the</w:t>
      </w:r>
      <w:r w:rsidR="00382805">
        <w:rPr>
          <w:snapToGrid/>
        </w:rPr>
        <w:t xml:space="preserve"> established categories of </w:t>
      </w:r>
      <w:r w:rsidR="00743AE2">
        <w:rPr>
          <w:snapToGrid/>
        </w:rPr>
        <w:t xml:space="preserve">changes </w:t>
      </w:r>
      <w:r w:rsidR="00802521">
        <w:rPr>
          <w:snapToGrid/>
        </w:rPr>
        <w:t>covered by</w:t>
      </w:r>
      <w:r w:rsidR="00382805">
        <w:rPr>
          <w:snapToGrid/>
        </w:rPr>
        <w:t xml:space="preserve"> the </w:t>
      </w:r>
      <w:r w:rsidR="00802521">
        <w:rPr>
          <w:snapToGrid/>
        </w:rPr>
        <w:t>r</w:t>
      </w:r>
      <w:r w:rsidR="006B103A">
        <w:rPr>
          <w:snapToGrid/>
        </w:rPr>
        <w:t>estriction</w:t>
      </w:r>
      <w:r w:rsidR="00F37364">
        <w:rPr>
          <w:snapToGrid/>
        </w:rPr>
        <w:t xml:space="preserve"> to </w:t>
      </w:r>
      <w:r w:rsidR="00382805">
        <w:rPr>
          <w:snapToGrid/>
        </w:rPr>
        <w:t xml:space="preserve">include </w:t>
      </w:r>
      <w:r w:rsidR="00056833">
        <w:rPr>
          <w:snapToGrid/>
        </w:rPr>
        <w:t xml:space="preserve">the </w:t>
      </w:r>
      <w:r w:rsidR="00F37364">
        <w:rPr>
          <w:snapToGrid/>
        </w:rPr>
        <w:t>community of license change</w:t>
      </w:r>
      <w:r w:rsidR="00056833">
        <w:rPr>
          <w:snapToGrid/>
        </w:rPr>
        <w:t xml:space="preserve"> at issue here</w:t>
      </w:r>
      <w:r>
        <w:rPr>
          <w:snapToGrid/>
        </w:rPr>
        <w:t>.</w:t>
      </w:r>
      <w:r>
        <w:rPr>
          <w:rStyle w:val="FootnoteReference"/>
          <w:snapToGrid/>
          <w:kern w:val="0"/>
        </w:rPr>
        <w:footnoteReference w:id="10"/>
      </w:r>
      <w:r>
        <w:rPr>
          <w:snapToGrid/>
        </w:rPr>
        <w:t xml:space="preserve">  As the </w:t>
      </w:r>
      <w:r w:rsidR="00A53006">
        <w:rPr>
          <w:i/>
          <w:snapToGrid/>
        </w:rPr>
        <w:t>Letter</w:t>
      </w:r>
      <w:r>
        <w:rPr>
          <w:i/>
          <w:snapToGrid/>
        </w:rPr>
        <w:t xml:space="preserve"> Decision</w:t>
      </w:r>
      <w:r>
        <w:rPr>
          <w:i/>
        </w:rPr>
        <w:t xml:space="preserve"> </w:t>
      </w:r>
      <w:r>
        <w:t>makes clear,</w:t>
      </w:r>
      <w:r>
        <w:rPr>
          <w:snapToGrid/>
        </w:rPr>
        <w:t xml:space="preserve"> </w:t>
      </w:r>
      <w:r w:rsidR="000E587A">
        <w:rPr>
          <w:snapToGrid/>
        </w:rPr>
        <w:t xml:space="preserve">such </w:t>
      </w:r>
      <w:r>
        <w:rPr>
          <w:snapToGrid/>
        </w:rPr>
        <w:t>community of license</w:t>
      </w:r>
      <w:r w:rsidR="00C1079D">
        <w:rPr>
          <w:snapToGrid/>
        </w:rPr>
        <w:t xml:space="preserve"> changes</w:t>
      </w:r>
      <w:r w:rsidR="00F37364">
        <w:rPr>
          <w:snapToGrid/>
        </w:rPr>
        <w:t xml:space="preserve"> do not “implicate the Commission’s underlying concern regarding the malleability of Arbitron </w:t>
      </w:r>
      <w:r w:rsidR="00056833">
        <w:rPr>
          <w:snapToGrid/>
        </w:rPr>
        <w:t xml:space="preserve">Metro </w:t>
      </w:r>
      <w:r w:rsidR="00F37364">
        <w:rPr>
          <w:snapToGrid/>
        </w:rPr>
        <w:t>market definitions.”</w:t>
      </w:r>
      <w:r w:rsidR="00743AE2">
        <w:rPr>
          <w:rStyle w:val="FootnoteReference"/>
          <w:snapToGrid/>
          <w:kern w:val="0"/>
        </w:rPr>
        <w:footnoteReference w:id="11"/>
      </w:r>
      <w:r w:rsidR="00056833">
        <w:rPr>
          <w:snapToGrid/>
        </w:rPr>
        <w:t xml:space="preserve">  </w:t>
      </w:r>
      <w:r w:rsidR="00D15FF4">
        <w:rPr>
          <w:snapToGrid/>
        </w:rPr>
        <w:t>In this case</w:t>
      </w:r>
      <w:r w:rsidR="00CB3BC8">
        <w:rPr>
          <w:snapToGrid/>
        </w:rPr>
        <w:t>, where the</w:t>
      </w:r>
      <w:r w:rsidR="00C92290">
        <w:rPr>
          <w:snapToGrid/>
        </w:rPr>
        <w:t xml:space="preserve"> Applicant satisfies the numerical limits set out in Section 73.3555 </w:t>
      </w:r>
      <w:r w:rsidR="00C92290">
        <w:rPr>
          <w:snapToGrid/>
        </w:rPr>
        <w:lastRenderedPageBreak/>
        <w:t>of the Rules, the</w:t>
      </w:r>
      <w:r w:rsidR="00CB3BC8">
        <w:rPr>
          <w:snapToGrid/>
        </w:rPr>
        <w:t xml:space="preserve"> </w:t>
      </w:r>
      <w:r w:rsidR="008E5F14">
        <w:rPr>
          <w:snapToGrid/>
        </w:rPr>
        <w:t xml:space="preserve">defined </w:t>
      </w:r>
      <w:r w:rsidR="00CB3BC8">
        <w:rPr>
          <w:snapToGrid/>
        </w:rPr>
        <w:t xml:space="preserve">Arbitron Metro has not changed, the station is </w:t>
      </w:r>
      <w:r w:rsidR="00061E85">
        <w:rPr>
          <w:snapToGrid/>
        </w:rPr>
        <w:t xml:space="preserve">already </w:t>
      </w:r>
      <w:r w:rsidR="00B441A5">
        <w:rPr>
          <w:snapToGrid/>
        </w:rPr>
        <w:t xml:space="preserve">designated as </w:t>
      </w:r>
      <w:r w:rsidR="00CB3BC8">
        <w:rPr>
          <w:snapToGrid/>
        </w:rPr>
        <w:t>“home”</w:t>
      </w:r>
      <w:r w:rsidR="00D15FF4">
        <w:rPr>
          <w:snapToGrid/>
        </w:rPr>
        <w:t xml:space="preserve"> to the relevant</w:t>
      </w:r>
      <w:r w:rsidR="000C318B">
        <w:rPr>
          <w:snapToGrid/>
        </w:rPr>
        <w:t xml:space="preserve"> Metro</w:t>
      </w:r>
      <w:r w:rsidR="00311AA3">
        <w:rPr>
          <w:snapToGrid/>
        </w:rPr>
        <w:t>, an</w:t>
      </w:r>
      <w:r w:rsidR="00311AA3" w:rsidRPr="00F2275C">
        <w:rPr>
          <w:snapToGrid/>
        </w:rPr>
        <w:t xml:space="preserve">d </w:t>
      </w:r>
      <w:r w:rsidR="008721D3" w:rsidRPr="00F2275C">
        <w:t>the Applicant has not manipulated</w:t>
      </w:r>
      <w:r w:rsidR="00311AA3" w:rsidRPr="00F2275C">
        <w:t xml:space="preserve"> the Arbitron market definition</w:t>
      </w:r>
      <w:r w:rsidR="000C318B" w:rsidRPr="00F2275C">
        <w:rPr>
          <w:snapToGrid/>
        </w:rPr>
        <w:t>,</w:t>
      </w:r>
      <w:r w:rsidR="008721D3" w:rsidRPr="00F2275C">
        <w:rPr>
          <w:rStyle w:val="FootnoteReference"/>
          <w:snapToGrid/>
        </w:rPr>
        <w:t xml:space="preserve"> </w:t>
      </w:r>
      <w:r w:rsidR="008721D3" w:rsidRPr="00F2275C">
        <w:rPr>
          <w:rStyle w:val="FootnoteReference"/>
          <w:snapToGrid/>
        </w:rPr>
        <w:footnoteReference w:id="12"/>
      </w:r>
      <w:r w:rsidR="000C318B" w:rsidRPr="00F2275C">
        <w:rPr>
          <w:snapToGrid/>
        </w:rPr>
        <w:t xml:space="preserve"> the</w:t>
      </w:r>
      <w:r w:rsidR="00D15FF4" w:rsidRPr="00F2275C">
        <w:rPr>
          <w:snapToGrid/>
        </w:rPr>
        <w:t xml:space="preserve"> </w:t>
      </w:r>
      <w:r w:rsidR="00D15FF4">
        <w:rPr>
          <w:snapToGrid/>
        </w:rPr>
        <w:t>basic conditions are present that the Commission has determined will protect against excessive market concentration in “virtually all cases.”</w:t>
      </w:r>
      <w:r w:rsidR="00D15FF4">
        <w:rPr>
          <w:rStyle w:val="FootnoteReference"/>
          <w:snapToGrid/>
        </w:rPr>
        <w:footnoteReference w:id="13"/>
      </w:r>
      <w:r w:rsidR="00D15FF4">
        <w:rPr>
          <w:snapToGrid/>
        </w:rPr>
        <w:t xml:space="preserve">  </w:t>
      </w:r>
      <w:r w:rsidR="008E5F14">
        <w:rPr>
          <w:snapToGrid/>
        </w:rPr>
        <w:t>Therefore</w:t>
      </w:r>
      <w:r w:rsidR="00D15FF4">
        <w:rPr>
          <w:snapToGrid/>
        </w:rPr>
        <w:t xml:space="preserve">, </w:t>
      </w:r>
      <w:r w:rsidR="000F17E5">
        <w:rPr>
          <w:snapToGrid/>
        </w:rPr>
        <w:t xml:space="preserve">the Bureau properly </w:t>
      </w:r>
      <w:r w:rsidR="00132BD6">
        <w:rPr>
          <w:snapToGrid/>
        </w:rPr>
        <w:t>authorized</w:t>
      </w:r>
      <w:r w:rsidR="000F17E5">
        <w:rPr>
          <w:snapToGrid/>
        </w:rPr>
        <w:t xml:space="preserve"> Cumulus </w:t>
      </w:r>
      <w:r w:rsidR="00132BD6">
        <w:rPr>
          <w:snapToGrid/>
        </w:rPr>
        <w:t>to</w:t>
      </w:r>
      <w:r w:rsidR="000F17E5">
        <w:rPr>
          <w:snapToGrid/>
        </w:rPr>
        <w:t xml:space="preserve"> immediately acquire an additional station in the Mobile Metro market, relying </w:t>
      </w:r>
      <w:r w:rsidR="001B3D54">
        <w:rPr>
          <w:snapToGrid/>
        </w:rPr>
        <w:t xml:space="preserve">only </w:t>
      </w:r>
      <w:r w:rsidR="000F17E5">
        <w:rPr>
          <w:snapToGrid/>
        </w:rPr>
        <w:t>on its Arbitron-based ownership analysis</w:t>
      </w:r>
      <w:r w:rsidR="00C778BA">
        <w:rPr>
          <w:snapToGrid/>
        </w:rPr>
        <w:t>.</w:t>
      </w:r>
      <w:r w:rsidR="004C0268">
        <w:rPr>
          <w:rStyle w:val="FootnoteReference"/>
          <w:snapToGrid/>
        </w:rPr>
        <w:footnoteReference w:id="14"/>
      </w:r>
    </w:p>
    <w:p w:rsidR="00DD50B9" w:rsidRPr="00DD50B9" w:rsidRDefault="00C84DAC" w:rsidP="00733DC8">
      <w:pPr>
        <w:pStyle w:val="ParaNum"/>
        <w:rPr>
          <w:snapToGrid/>
        </w:rPr>
      </w:pPr>
      <w:r w:rsidRPr="00C84DAC">
        <w:rPr>
          <w:snapToGrid/>
        </w:rPr>
        <w:t xml:space="preserve">Upon review of the Application for Review and the entire record, we conclude that ADX has not demonstrated that the Bureau erred.  </w:t>
      </w:r>
      <w:r w:rsidR="00DD50B9" w:rsidRPr="00A4030F">
        <w:rPr>
          <w:snapToGrid/>
        </w:rPr>
        <w:t xml:space="preserve">The Bureau, in the </w:t>
      </w:r>
      <w:r w:rsidR="00A53006">
        <w:rPr>
          <w:i/>
          <w:snapToGrid/>
        </w:rPr>
        <w:t>Letter</w:t>
      </w:r>
      <w:r w:rsidR="00DD50B9" w:rsidRPr="00A4030F">
        <w:rPr>
          <w:i/>
          <w:snapToGrid/>
        </w:rPr>
        <w:t xml:space="preserve"> Decision</w:t>
      </w:r>
      <w:r w:rsidR="00DD50B9" w:rsidRPr="00A4030F">
        <w:rPr>
          <w:snapToGrid/>
        </w:rPr>
        <w:t>, properly decide</w:t>
      </w:r>
      <w:r w:rsidR="00DD50B9" w:rsidRPr="00DD50B9">
        <w:rPr>
          <w:snapToGrid/>
        </w:rPr>
        <w:t>d the matters raised, and we uphold its decision for the reasons stated therein.</w:t>
      </w:r>
    </w:p>
    <w:p w:rsidR="00BC7287" w:rsidRPr="00BC7287" w:rsidRDefault="0040710F" w:rsidP="00BC7287">
      <w:pPr>
        <w:pStyle w:val="ParaNum"/>
        <w:widowControl/>
        <w:rPr>
          <w:snapToGrid/>
        </w:rPr>
      </w:pPr>
      <w:r w:rsidRPr="0040710F">
        <w:rPr>
          <w:snapToGrid/>
        </w:rPr>
        <w:t>ACCORDINGLY, IT IS ORDERED that, pursuant to Section 5(c)(5) of the Communications Act of 1934, as amended,</w:t>
      </w:r>
      <w:r w:rsidRPr="0040710F">
        <w:rPr>
          <w:snapToGrid/>
          <w:vertAlign w:val="superscript"/>
        </w:rPr>
        <w:footnoteReference w:id="15"/>
      </w:r>
      <w:r w:rsidRPr="0040710F">
        <w:rPr>
          <w:snapToGrid/>
        </w:rPr>
        <w:t xml:space="preserve"> and Section 1.115(g) of the Commission’s rules,</w:t>
      </w:r>
      <w:r w:rsidRPr="0040710F">
        <w:rPr>
          <w:snapToGrid/>
          <w:vertAlign w:val="superscript"/>
        </w:rPr>
        <w:footnoteReference w:id="16"/>
      </w:r>
      <w:r w:rsidRPr="0040710F">
        <w:rPr>
          <w:snapToGrid/>
        </w:rPr>
        <w:t xml:space="preserve"> the Application for Review IS DENIED.  </w:t>
      </w:r>
    </w:p>
    <w:p w:rsidR="00BC7287" w:rsidRDefault="00BC7287" w:rsidP="00397542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BC7287" w:rsidRDefault="00BC7287" w:rsidP="0017296B"/>
    <w:p w:rsidR="00BC7287" w:rsidRDefault="00BC7287" w:rsidP="0017296B"/>
    <w:p w:rsidR="00BC7287" w:rsidRDefault="00BC7287" w:rsidP="0017296B"/>
    <w:p w:rsidR="00BC7287" w:rsidRDefault="00BC7287" w:rsidP="0017296B"/>
    <w:p w:rsidR="00BC7287" w:rsidRDefault="00BC7287" w:rsidP="0017296B">
      <w:r>
        <w:tab/>
      </w:r>
      <w:r>
        <w:tab/>
      </w:r>
      <w:r>
        <w:tab/>
      </w:r>
      <w:r>
        <w:tab/>
      </w:r>
      <w:r>
        <w:tab/>
      </w:r>
      <w:r>
        <w:tab/>
        <w:t>Marlene H. Dortch</w:t>
      </w:r>
    </w:p>
    <w:p w:rsidR="00BC7287" w:rsidRDefault="00BC7287" w:rsidP="0017296B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71794E" w:rsidRDefault="0071794E" w:rsidP="0040710F">
      <w:pPr>
        <w:widowControl/>
        <w:ind w:right="-18"/>
      </w:pPr>
    </w:p>
    <w:sectPr w:rsidR="0071794E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84" w:rsidRDefault="00751584">
      <w:pPr>
        <w:spacing w:line="20" w:lineRule="exact"/>
      </w:pPr>
    </w:p>
  </w:endnote>
  <w:endnote w:type="continuationSeparator" w:id="0">
    <w:p w:rsidR="00751584" w:rsidRDefault="00751584">
      <w:r>
        <w:t xml:space="preserve"> </w:t>
      </w:r>
    </w:p>
  </w:endnote>
  <w:endnote w:type="continuationNotice" w:id="1">
    <w:p w:rsidR="00751584" w:rsidRDefault="007515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F404A">
      <w:rPr>
        <w:noProof/>
      </w:rPr>
      <w:t>3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84" w:rsidRDefault="00751584">
      <w:r>
        <w:separator/>
      </w:r>
    </w:p>
  </w:footnote>
  <w:footnote w:type="continuationSeparator" w:id="0">
    <w:p w:rsidR="00751584" w:rsidRDefault="0075158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751584" w:rsidRDefault="0075158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D901BD" w:rsidRPr="00BB78FC" w:rsidRDefault="00D901BD" w:rsidP="00D901B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581DDF">
        <w:rPr>
          <w:i/>
        </w:rPr>
        <w:t>Dan J. Alpert, Esq.</w:t>
      </w:r>
      <w:r w:rsidR="00581DDF">
        <w:t>, Letter, 28 FCC Rcd 20</w:t>
      </w:r>
      <w:r w:rsidRPr="00BB78FC">
        <w:t xml:space="preserve"> </w:t>
      </w:r>
      <w:r>
        <w:t>(MB 201</w:t>
      </w:r>
      <w:r w:rsidR="00506ECB">
        <w:t>3</w:t>
      </w:r>
      <w:r>
        <w:t xml:space="preserve">) </w:t>
      </w:r>
      <w:r w:rsidRPr="00BB78FC">
        <w:t>(“</w:t>
      </w:r>
      <w:r w:rsidR="00A53006">
        <w:rPr>
          <w:i/>
        </w:rPr>
        <w:t>Letter</w:t>
      </w:r>
      <w:r w:rsidR="00A53006" w:rsidRPr="00BB78FC">
        <w:rPr>
          <w:i/>
        </w:rPr>
        <w:t xml:space="preserve"> </w:t>
      </w:r>
      <w:r w:rsidRPr="00BB78FC">
        <w:rPr>
          <w:i/>
        </w:rPr>
        <w:t>Decision</w:t>
      </w:r>
      <w:r w:rsidRPr="00BB78FC">
        <w:t>”)</w:t>
      </w:r>
      <w:r>
        <w:t>.</w:t>
      </w:r>
      <w:r w:rsidR="00925F71">
        <w:t xml:space="preserve">  On February 25, 2013, Cumulus filed an Opposition to the Application for Review (“Opposition”).  On March 18, 2013, ADX filed a Reply to the Opposition to the Application for Review. </w:t>
      </w:r>
    </w:p>
  </w:footnote>
  <w:footnote w:id="3">
    <w:p w:rsidR="00FF41D1" w:rsidRDefault="00FF41D1" w:rsidP="00FF41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6F43F5">
        <w:rPr>
          <w:i/>
        </w:rPr>
        <w:t>2002 Biennial Regulatory Review – Review of the Commission's Broadcast Ownership Rules and Other Rules Adopted Pursuant to Section 202 of the Telecommunications Act of 1996</w:t>
      </w:r>
      <w:r w:rsidRPr="006F43F5">
        <w:t>, Report and Order and Notice of Proposed Rulemaking, 18 FCC Rcd 13620 (2003) (“</w:t>
      </w:r>
      <w:r w:rsidRPr="006F43F5">
        <w:rPr>
          <w:i/>
        </w:rPr>
        <w:t>Ownership Order</w:t>
      </w:r>
      <w:r w:rsidRPr="006F43F5">
        <w:t xml:space="preserve">”), </w:t>
      </w:r>
      <w:r w:rsidRPr="006F43F5">
        <w:rPr>
          <w:i/>
        </w:rPr>
        <w:t>aff'd in part and remanded in part sub nom., Prometheus Radio Project v. FCC</w:t>
      </w:r>
      <w:r w:rsidRPr="006F43F5">
        <w:t xml:space="preserve">, 373 F.3d 372 (2004), </w:t>
      </w:r>
      <w:r w:rsidRPr="006F43F5">
        <w:rPr>
          <w:i/>
        </w:rPr>
        <w:t>cert. denied</w:t>
      </w:r>
      <w:r w:rsidRPr="006F43F5">
        <w:t>, 545 U.S. 1123 (2005).</w:t>
      </w:r>
    </w:p>
  </w:footnote>
  <w:footnote w:id="4">
    <w:p w:rsidR="00A06EB6" w:rsidRDefault="00A06EB6">
      <w:pPr>
        <w:pStyle w:val="FootnoteText"/>
      </w:pPr>
      <w:r>
        <w:rPr>
          <w:rStyle w:val="FootnoteReference"/>
        </w:rPr>
        <w:footnoteRef/>
      </w:r>
      <w:r>
        <w:t xml:space="preserve"> Application for Review at </w:t>
      </w:r>
      <w:r w:rsidR="006447E6">
        <w:t>20</w:t>
      </w:r>
      <w:r w:rsidR="004C7647">
        <w:t xml:space="preserve">; </w:t>
      </w:r>
      <w:r w:rsidR="004C7647">
        <w:rPr>
          <w:i/>
        </w:rPr>
        <w:t>see also Ownership Order</w:t>
      </w:r>
      <w:r w:rsidR="004C7647">
        <w:t>, 18 FCC Rcd at 13729-30</w:t>
      </w:r>
      <w:r w:rsidR="006447E6">
        <w:t>.</w:t>
      </w:r>
    </w:p>
  </w:footnote>
  <w:footnote w:id="5">
    <w:p w:rsidR="00BA330E" w:rsidRDefault="00BA33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40DE6">
        <w:t>Application for Review at 20-23;</w:t>
      </w:r>
      <w:r w:rsidR="00E43B02">
        <w:t xml:space="preserve"> </w:t>
      </w:r>
      <w:r w:rsidR="00140DE6">
        <w:rPr>
          <w:i/>
        </w:rPr>
        <w:t>s</w:t>
      </w:r>
      <w:r w:rsidR="006870C0">
        <w:rPr>
          <w:i/>
        </w:rPr>
        <w:t xml:space="preserve">ee </w:t>
      </w:r>
      <w:r w:rsidR="006870C0">
        <w:t xml:space="preserve">File No. BPH-20120131AJS; </w:t>
      </w:r>
      <w:r w:rsidR="006F43F5">
        <w:rPr>
          <w:i/>
        </w:rPr>
        <w:t>Ownership Order</w:t>
      </w:r>
      <w:r w:rsidR="006F43F5">
        <w:t xml:space="preserve">, 18 </w:t>
      </w:r>
      <w:r w:rsidR="00674E42">
        <w:t xml:space="preserve">FCC Rcd </w:t>
      </w:r>
      <w:r w:rsidR="006F43F5">
        <w:t>at</w:t>
      </w:r>
      <w:r w:rsidR="00140DE6">
        <w:t xml:space="preserve"> 13726</w:t>
      </w:r>
      <w:r w:rsidRPr="00BA330E">
        <w:t>.</w:t>
      </w:r>
    </w:p>
  </w:footnote>
  <w:footnote w:id="6">
    <w:p w:rsidR="00634FFC" w:rsidRDefault="00634FFC">
      <w:pPr>
        <w:pStyle w:val="FootnoteText"/>
      </w:pPr>
      <w:r>
        <w:rPr>
          <w:rStyle w:val="FootnoteReference"/>
        </w:rPr>
        <w:footnoteRef/>
      </w:r>
      <w:r>
        <w:t xml:space="preserve"> Application for Review at 21</w:t>
      </w:r>
      <w:r w:rsidR="003E46DF">
        <w:t>-23</w:t>
      </w:r>
      <w:r>
        <w:t>.</w:t>
      </w:r>
    </w:p>
  </w:footnote>
  <w:footnote w:id="7">
    <w:p w:rsidR="001705E8" w:rsidRDefault="001705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778BA">
        <w:rPr>
          <w:i/>
        </w:rPr>
        <w:t xml:space="preserve">Letter </w:t>
      </w:r>
      <w:r>
        <w:rPr>
          <w:i/>
        </w:rPr>
        <w:t>Decision</w:t>
      </w:r>
      <w:r>
        <w:t xml:space="preserve">, 28 FCC Rcd at 27.  </w:t>
      </w:r>
      <w:r w:rsidR="00925F71">
        <w:t>For example, in its Opposition, Cumulus points out that the Orlando, Florida, and Melbourne-Titusville-Cocoa, Florida</w:t>
      </w:r>
      <w:r w:rsidR="00D15FF4">
        <w:t>,</w:t>
      </w:r>
      <w:r w:rsidR="00925F71">
        <w:t xml:space="preserve"> Arbitron Metros share many of the characteristics of the Mobile and Pensacola Metros.  Opposition at 10-12, Exhibit B.</w:t>
      </w:r>
    </w:p>
  </w:footnote>
  <w:footnote w:id="8">
    <w:p w:rsidR="0075313A" w:rsidRPr="00674E42" w:rsidRDefault="0075313A" w:rsidP="007531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778BA">
        <w:rPr>
          <w:i/>
        </w:rPr>
        <w:t xml:space="preserve">Letter </w:t>
      </w:r>
      <w:r>
        <w:rPr>
          <w:i/>
        </w:rPr>
        <w:t>Decision</w:t>
      </w:r>
      <w:r>
        <w:t xml:space="preserve">, 28 FCC Rcd at 27.  </w:t>
      </w:r>
    </w:p>
  </w:footnote>
  <w:footnote w:id="9">
    <w:p w:rsidR="001705E8" w:rsidRPr="001705E8" w:rsidRDefault="001705E8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E43B02">
        <w:rPr>
          <w:i/>
        </w:rPr>
        <w:t>Id</w:t>
      </w:r>
      <w:r w:rsidR="00E43B02" w:rsidRPr="00E43B02">
        <w:t>.</w:t>
      </w:r>
      <w:r>
        <w:t xml:space="preserve"> at 25</w:t>
      </w:r>
      <w:r w:rsidRPr="001705E8">
        <w:t xml:space="preserve">.  </w:t>
      </w:r>
    </w:p>
  </w:footnote>
  <w:footnote w:id="10">
    <w:p w:rsidR="00E43B02" w:rsidRDefault="00E43B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3B02">
        <w:rPr>
          <w:i/>
        </w:rPr>
        <w:t>Id</w:t>
      </w:r>
      <w:r w:rsidRPr="00E43B02">
        <w:t>. at 26 (explaining that the established categories include a change in the boundaries of the Arbitron Metro, a change in a station</w:t>
      </w:r>
      <w:r w:rsidR="00733DC8">
        <w:t>’s “home” designation status, and</w:t>
      </w:r>
      <w:r w:rsidRPr="00E43B02">
        <w:t xml:space="preserve"> the creation or elimination of an entire Metro).</w:t>
      </w:r>
    </w:p>
  </w:footnote>
  <w:footnote w:id="11">
    <w:p w:rsidR="00743AE2" w:rsidRPr="00061E85" w:rsidRDefault="00743AE2" w:rsidP="006B10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43B02">
        <w:rPr>
          <w:i/>
        </w:rPr>
        <w:t>Id</w:t>
      </w:r>
      <w:r w:rsidR="00E43B02">
        <w:t>.</w:t>
      </w:r>
      <w:r w:rsidR="006B106A">
        <w:t xml:space="preserve"> </w:t>
      </w:r>
      <w:r w:rsidR="00F2275C">
        <w:t xml:space="preserve">(citing </w:t>
      </w:r>
      <w:r w:rsidR="00F2275C" w:rsidRPr="00F2275C">
        <w:rPr>
          <w:i/>
          <w:iCs/>
        </w:rPr>
        <w:t>Clear Channel Broadcasting Licenses, Inc.</w:t>
      </w:r>
      <w:r w:rsidR="00F2275C" w:rsidRPr="00F2275C">
        <w:t>, Memorandum Opinion and Order and Notice of Apparent Liability for Forfeiture, 24 FCC Rcd 14078, 14085 (MB 2009)</w:t>
      </w:r>
      <w:r w:rsidR="00F2275C">
        <w:t>.</w:t>
      </w:r>
      <w:r w:rsidR="006B106A">
        <w:t xml:space="preserve"> </w:t>
      </w:r>
      <w:r w:rsidR="00F2275C">
        <w:t xml:space="preserve"> </w:t>
      </w:r>
      <w:r w:rsidR="006B106A">
        <w:t xml:space="preserve">The Commission has recently expressed concern, however, that </w:t>
      </w:r>
      <w:r w:rsidR="000E587A">
        <w:t>“</w:t>
      </w:r>
      <w:r w:rsidR="006B106A">
        <w:t>the licensee of a station currently located in an Arbitron Metro could</w:t>
      </w:r>
      <w:r w:rsidR="00061E85">
        <w:t xml:space="preserve"> . . .</w:t>
      </w:r>
      <w:r w:rsidR="006B106A">
        <w:t xml:space="preserve"> reduce the nu</w:t>
      </w:r>
      <w:r w:rsidR="000E587A">
        <w:t>mber of its stations listed as ‘home’</w:t>
      </w:r>
      <w:r w:rsidR="006B106A">
        <w:t xml:space="preserve"> to that Metro, without triggering the two-year waiting period and without any change in physical coverage or market competition, merely by specifying a new community of license located outside the Metro.” </w:t>
      </w:r>
      <w:r w:rsidR="006B106A" w:rsidRPr="006B106A">
        <w:t xml:space="preserve"> </w:t>
      </w:r>
      <w:r w:rsidR="006B106A" w:rsidRPr="008E5F14">
        <w:rPr>
          <w:i/>
        </w:rPr>
        <w:t>2014 Quadrenn</w:t>
      </w:r>
      <w:r w:rsidR="00061E85" w:rsidRPr="00061E85">
        <w:rPr>
          <w:i/>
        </w:rPr>
        <w:t>ial Regulatory Review</w:t>
      </w:r>
      <w:r w:rsidR="00061E85">
        <w:rPr>
          <w:i/>
        </w:rPr>
        <w:t>—</w:t>
      </w:r>
      <w:r w:rsidR="006B106A" w:rsidRPr="008E5F14">
        <w:rPr>
          <w:i/>
        </w:rPr>
        <w:t>Review of the Commission's Broadcast Ownership Rules and Other Rules Adopted Pursuant to Section 202 of t</w:t>
      </w:r>
      <w:r w:rsidR="001B3D54">
        <w:rPr>
          <w:i/>
        </w:rPr>
        <w:t>he Telecommunications Act o</w:t>
      </w:r>
      <w:r w:rsidR="006B106A" w:rsidRPr="008E5F14">
        <w:rPr>
          <w:i/>
        </w:rPr>
        <w:t>f 1996</w:t>
      </w:r>
      <w:r w:rsidR="006B106A">
        <w:t xml:space="preserve">, </w:t>
      </w:r>
      <w:r w:rsidR="006B106A" w:rsidRPr="008E5F14">
        <w:t>Further Notice of Proposed Rulemaking and Report and Order</w:t>
      </w:r>
      <w:r w:rsidR="006B106A">
        <w:t>, FCC 14-28, ¶ 95 (rel</w:t>
      </w:r>
      <w:r w:rsidR="00061E85">
        <w:t>.</w:t>
      </w:r>
      <w:r w:rsidR="006B106A">
        <w:t xml:space="preserve"> April 15, 2014).</w:t>
      </w:r>
      <w:r w:rsidR="00061E85">
        <w:t xml:space="preserve">  Therefore, the Commission proposes to clarify that </w:t>
      </w:r>
      <w:r w:rsidR="008E5F14">
        <w:t>the two-year waiting period</w:t>
      </w:r>
      <w:r w:rsidR="00061E85">
        <w:t xml:space="preserve"> </w:t>
      </w:r>
      <w:r w:rsidR="008E5F14">
        <w:t xml:space="preserve">applies </w:t>
      </w:r>
      <w:r w:rsidR="00061E85">
        <w:t xml:space="preserve">in  </w:t>
      </w:r>
      <w:r w:rsidR="004A7BEF">
        <w:t xml:space="preserve">those </w:t>
      </w:r>
      <w:r w:rsidR="00061E85">
        <w:t xml:space="preserve">circumstances.  </w:t>
      </w:r>
      <w:r w:rsidR="00061E85">
        <w:rPr>
          <w:i/>
        </w:rPr>
        <w:t>Id</w:t>
      </w:r>
      <w:r w:rsidR="00061E85">
        <w:t xml:space="preserve">. </w:t>
      </w:r>
    </w:p>
  </w:footnote>
  <w:footnote w:id="12">
    <w:p w:rsidR="008721D3" w:rsidRDefault="008721D3" w:rsidP="008721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1EB0">
        <w:rPr>
          <w:i/>
        </w:rPr>
        <w:t>See Letter Decision,</w:t>
      </w:r>
      <w:r>
        <w:t xml:space="preserve"> 28 FCC Rcd at 25; </w:t>
      </w:r>
      <w:r w:rsidRPr="00AE1EB0">
        <w:rPr>
          <w:i/>
        </w:rPr>
        <w:t>Ownership Order.</w:t>
      </w:r>
      <w:r>
        <w:t xml:space="preserve"> 18 FCC 2d at 13726.</w:t>
      </w:r>
    </w:p>
  </w:footnote>
  <w:footnote w:id="13">
    <w:p w:rsidR="00D15FF4" w:rsidRPr="00D15FF4" w:rsidRDefault="00D15F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92290">
        <w:rPr>
          <w:i/>
        </w:rPr>
        <w:t xml:space="preserve">See </w:t>
      </w:r>
      <w:r w:rsidR="00C92290">
        <w:t xml:space="preserve">47 C.F.R. § 73.3555(a); </w:t>
      </w:r>
      <w:r>
        <w:rPr>
          <w:i/>
        </w:rPr>
        <w:t>Ownership Order</w:t>
      </w:r>
      <w:r>
        <w:t>, 18 FCC Rcd at 13813.</w:t>
      </w:r>
      <w:r w:rsidR="00C778BA">
        <w:t xml:space="preserve"> </w:t>
      </w:r>
    </w:p>
  </w:footnote>
  <w:footnote w:id="14">
    <w:p w:rsidR="004C0268" w:rsidRPr="004C0268" w:rsidRDefault="004C02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41A5">
        <w:t>Nothing in this decision affects</w:t>
      </w:r>
      <w:r>
        <w:t xml:space="preserve"> the basic rule that</w:t>
      </w:r>
      <w:r w:rsidR="003E46DF">
        <w:t xml:space="preserve"> an applicant must satisfy the </w:t>
      </w:r>
      <w:r w:rsidR="00B441A5">
        <w:t xml:space="preserve">numerical </w:t>
      </w:r>
      <w:r w:rsidR="003E46DF">
        <w:t>ownership limits in both the A</w:t>
      </w:r>
      <w:r w:rsidR="00B441A5">
        <w:t>rbitron Metro market in which a station</w:t>
      </w:r>
      <w:r w:rsidR="003E46DF">
        <w:t xml:space="preserve"> is listed as “home” </w:t>
      </w:r>
      <w:r w:rsidR="003E46DF" w:rsidRPr="00D868F1">
        <w:rPr>
          <w:i/>
        </w:rPr>
        <w:t>and</w:t>
      </w:r>
      <w:r w:rsidR="00B441A5">
        <w:t xml:space="preserve"> the market in which </w:t>
      </w:r>
      <w:r w:rsidR="008F0C9C">
        <w:t>that</w:t>
      </w:r>
      <w:r w:rsidR="00B441A5">
        <w:t xml:space="preserve"> station’s</w:t>
      </w:r>
      <w:r w:rsidR="003E46DF">
        <w:t xml:space="preserve"> community of license is located, if </w:t>
      </w:r>
      <w:r w:rsidR="000F17E5">
        <w:t>different</w:t>
      </w:r>
      <w:r w:rsidR="003E46DF">
        <w:t>.</w:t>
      </w:r>
      <w:r>
        <w:t xml:space="preserve">  </w:t>
      </w:r>
      <w:r>
        <w:rPr>
          <w:i/>
        </w:rPr>
        <w:t>See Ownership Order</w:t>
      </w:r>
      <w:r>
        <w:t>, 18 FCC Rcd</w:t>
      </w:r>
      <w:r w:rsidR="003E46DF">
        <w:t xml:space="preserve"> at 137</w:t>
      </w:r>
      <w:r w:rsidR="00D32E5D">
        <w:t>2</w:t>
      </w:r>
      <w:r w:rsidR="003E46DF">
        <w:t>8</w:t>
      </w:r>
      <w:r w:rsidR="00B970E0">
        <w:t xml:space="preserve"> </w:t>
      </w:r>
      <w:r w:rsidR="003E46DF">
        <w:t xml:space="preserve"> n.595.</w:t>
      </w:r>
    </w:p>
  </w:footnote>
  <w:footnote w:id="15">
    <w:p w:rsidR="0040710F" w:rsidRPr="00320BF6" w:rsidRDefault="0040710F" w:rsidP="0040710F">
      <w:pPr>
        <w:pStyle w:val="FootnoteText"/>
      </w:pPr>
      <w:r w:rsidRPr="00320BF6">
        <w:rPr>
          <w:rStyle w:val="FootnoteReference"/>
        </w:rPr>
        <w:footnoteRef/>
      </w:r>
      <w:r w:rsidRPr="00320BF6">
        <w:t xml:space="preserve"> 47 U.S.C. § 155(c)(5).</w:t>
      </w:r>
    </w:p>
  </w:footnote>
  <w:footnote w:id="16">
    <w:p w:rsidR="0040710F" w:rsidRPr="00320BF6" w:rsidRDefault="0040710F" w:rsidP="0040710F">
      <w:pPr>
        <w:pStyle w:val="FootnoteText"/>
      </w:pPr>
      <w:r w:rsidRPr="00320BF6">
        <w:rPr>
          <w:rStyle w:val="FootnoteReference"/>
        </w:rPr>
        <w:footnoteRef/>
      </w:r>
      <w:r w:rsidRPr="00320BF6">
        <w:t xml:space="preserve"> 47 C.F.R. § 1.115(g).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6A" w:rsidRDefault="00386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C636A6">
      <w:t>FCC 14-82</w:t>
    </w:r>
  </w:p>
  <w:p w:rsidR="00D25FB5" w:rsidRDefault="003E1A1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BA2C2CE" wp14:editId="2E18443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3E1A1E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C636A6">
      <w:rPr>
        <w:spacing w:val="-2"/>
      </w:rPr>
      <w:t>FCC 14-82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50B613A"/>
    <w:multiLevelType w:val="hybridMultilevel"/>
    <w:tmpl w:val="CB1EEC0A"/>
    <w:lvl w:ilvl="0" w:tplc="B8F4E8D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10"/>
    <w:rsid w:val="00011679"/>
    <w:rsid w:val="00011DA6"/>
    <w:rsid w:val="000130E8"/>
    <w:rsid w:val="0002280B"/>
    <w:rsid w:val="000301D6"/>
    <w:rsid w:val="00033996"/>
    <w:rsid w:val="00036039"/>
    <w:rsid w:val="00037F90"/>
    <w:rsid w:val="000407DE"/>
    <w:rsid w:val="00041231"/>
    <w:rsid w:val="000452E2"/>
    <w:rsid w:val="00045C78"/>
    <w:rsid w:val="000566C4"/>
    <w:rsid w:val="00056833"/>
    <w:rsid w:val="00061E85"/>
    <w:rsid w:val="00072B97"/>
    <w:rsid w:val="0007640B"/>
    <w:rsid w:val="00085EDC"/>
    <w:rsid w:val="000875BF"/>
    <w:rsid w:val="00087E7D"/>
    <w:rsid w:val="00096D8C"/>
    <w:rsid w:val="000B3BD1"/>
    <w:rsid w:val="000C0B65"/>
    <w:rsid w:val="000C12A4"/>
    <w:rsid w:val="000C318B"/>
    <w:rsid w:val="000C68EF"/>
    <w:rsid w:val="000E05FE"/>
    <w:rsid w:val="000E3D42"/>
    <w:rsid w:val="000E587A"/>
    <w:rsid w:val="000E6F1A"/>
    <w:rsid w:val="000F17E5"/>
    <w:rsid w:val="00117DDF"/>
    <w:rsid w:val="001204B8"/>
    <w:rsid w:val="00122BD5"/>
    <w:rsid w:val="001254B7"/>
    <w:rsid w:val="00132BD6"/>
    <w:rsid w:val="00133F79"/>
    <w:rsid w:val="00136EA4"/>
    <w:rsid w:val="00140DE6"/>
    <w:rsid w:val="00141383"/>
    <w:rsid w:val="00144B74"/>
    <w:rsid w:val="0015195A"/>
    <w:rsid w:val="001705E8"/>
    <w:rsid w:val="001831E7"/>
    <w:rsid w:val="00194A66"/>
    <w:rsid w:val="00195236"/>
    <w:rsid w:val="001B3D54"/>
    <w:rsid w:val="001B54CB"/>
    <w:rsid w:val="001C1E4A"/>
    <w:rsid w:val="001D0A3B"/>
    <w:rsid w:val="001D6BCF"/>
    <w:rsid w:val="001E01CA"/>
    <w:rsid w:val="0021469D"/>
    <w:rsid w:val="00246DD2"/>
    <w:rsid w:val="002639CC"/>
    <w:rsid w:val="00270904"/>
    <w:rsid w:val="002712C8"/>
    <w:rsid w:val="00275CF5"/>
    <w:rsid w:val="0028301F"/>
    <w:rsid w:val="00285017"/>
    <w:rsid w:val="0028564D"/>
    <w:rsid w:val="00297001"/>
    <w:rsid w:val="002A2D2E"/>
    <w:rsid w:val="00311AA3"/>
    <w:rsid w:val="003136BA"/>
    <w:rsid w:val="00314F91"/>
    <w:rsid w:val="0032033B"/>
    <w:rsid w:val="00326D00"/>
    <w:rsid w:val="00343749"/>
    <w:rsid w:val="003470A2"/>
    <w:rsid w:val="00365153"/>
    <w:rsid w:val="003660ED"/>
    <w:rsid w:val="00371280"/>
    <w:rsid w:val="00373ED4"/>
    <w:rsid w:val="00382805"/>
    <w:rsid w:val="0038646A"/>
    <w:rsid w:val="00386ADC"/>
    <w:rsid w:val="00387F0E"/>
    <w:rsid w:val="00397542"/>
    <w:rsid w:val="003B0550"/>
    <w:rsid w:val="003B694F"/>
    <w:rsid w:val="003D4C30"/>
    <w:rsid w:val="003E1A1E"/>
    <w:rsid w:val="003E3366"/>
    <w:rsid w:val="003E46DF"/>
    <w:rsid w:val="003F171C"/>
    <w:rsid w:val="00404FAB"/>
    <w:rsid w:val="0040533D"/>
    <w:rsid w:val="0040710F"/>
    <w:rsid w:val="00412FC5"/>
    <w:rsid w:val="00415E95"/>
    <w:rsid w:val="00422276"/>
    <w:rsid w:val="004242F1"/>
    <w:rsid w:val="0042547E"/>
    <w:rsid w:val="004345D5"/>
    <w:rsid w:val="0043472C"/>
    <w:rsid w:val="00437F07"/>
    <w:rsid w:val="00445A00"/>
    <w:rsid w:val="00451B0F"/>
    <w:rsid w:val="004737CF"/>
    <w:rsid w:val="004750B9"/>
    <w:rsid w:val="004761B0"/>
    <w:rsid w:val="00481DE7"/>
    <w:rsid w:val="004A7BEF"/>
    <w:rsid w:val="004B056E"/>
    <w:rsid w:val="004C0268"/>
    <w:rsid w:val="004C2EE3"/>
    <w:rsid w:val="004C4C20"/>
    <w:rsid w:val="004C7647"/>
    <w:rsid w:val="004E2FFB"/>
    <w:rsid w:val="004E37B4"/>
    <w:rsid w:val="004E4A22"/>
    <w:rsid w:val="005059E4"/>
    <w:rsid w:val="00505FCA"/>
    <w:rsid w:val="00506ECB"/>
    <w:rsid w:val="00506F78"/>
    <w:rsid w:val="00511968"/>
    <w:rsid w:val="00545909"/>
    <w:rsid w:val="00552B84"/>
    <w:rsid w:val="0055614C"/>
    <w:rsid w:val="00580A1E"/>
    <w:rsid w:val="00581DDF"/>
    <w:rsid w:val="00594578"/>
    <w:rsid w:val="005B0123"/>
    <w:rsid w:val="005B4DE0"/>
    <w:rsid w:val="005B54C0"/>
    <w:rsid w:val="005C3E4D"/>
    <w:rsid w:val="005C5FCA"/>
    <w:rsid w:val="005D2CEA"/>
    <w:rsid w:val="005D3BAF"/>
    <w:rsid w:val="005E01D2"/>
    <w:rsid w:val="005E14C2"/>
    <w:rsid w:val="005F404A"/>
    <w:rsid w:val="00607BA5"/>
    <w:rsid w:val="006238E9"/>
    <w:rsid w:val="00626EB6"/>
    <w:rsid w:val="0063426F"/>
    <w:rsid w:val="00634FFC"/>
    <w:rsid w:val="006368FC"/>
    <w:rsid w:val="006447E6"/>
    <w:rsid w:val="00655D03"/>
    <w:rsid w:val="00666D15"/>
    <w:rsid w:val="00674E42"/>
    <w:rsid w:val="0068087A"/>
    <w:rsid w:val="00683388"/>
    <w:rsid w:val="00683F84"/>
    <w:rsid w:val="006870C0"/>
    <w:rsid w:val="0069177D"/>
    <w:rsid w:val="00696D5A"/>
    <w:rsid w:val="006A5D6A"/>
    <w:rsid w:val="006A6A81"/>
    <w:rsid w:val="006B103A"/>
    <w:rsid w:val="006B106A"/>
    <w:rsid w:val="006D37D3"/>
    <w:rsid w:val="006F43F5"/>
    <w:rsid w:val="006F7393"/>
    <w:rsid w:val="0070224F"/>
    <w:rsid w:val="007115F7"/>
    <w:rsid w:val="00714E37"/>
    <w:rsid w:val="0071779D"/>
    <w:rsid w:val="0071794E"/>
    <w:rsid w:val="007333FB"/>
    <w:rsid w:val="00733DC8"/>
    <w:rsid w:val="00743AE2"/>
    <w:rsid w:val="00751584"/>
    <w:rsid w:val="0075313A"/>
    <w:rsid w:val="00755EAA"/>
    <w:rsid w:val="007578AB"/>
    <w:rsid w:val="00785689"/>
    <w:rsid w:val="00792A80"/>
    <w:rsid w:val="0079614B"/>
    <w:rsid w:val="0079754B"/>
    <w:rsid w:val="00797771"/>
    <w:rsid w:val="007A1E6D"/>
    <w:rsid w:val="007B0BBE"/>
    <w:rsid w:val="007B0EB2"/>
    <w:rsid w:val="007C52AC"/>
    <w:rsid w:val="007F365B"/>
    <w:rsid w:val="00802521"/>
    <w:rsid w:val="00803583"/>
    <w:rsid w:val="00810B6F"/>
    <w:rsid w:val="008206DA"/>
    <w:rsid w:val="00822CE0"/>
    <w:rsid w:val="008242CB"/>
    <w:rsid w:val="00841AB1"/>
    <w:rsid w:val="00856EE6"/>
    <w:rsid w:val="008721D3"/>
    <w:rsid w:val="00872F45"/>
    <w:rsid w:val="00874DBD"/>
    <w:rsid w:val="00876208"/>
    <w:rsid w:val="00883580"/>
    <w:rsid w:val="00884D28"/>
    <w:rsid w:val="00885EA7"/>
    <w:rsid w:val="008B6E2B"/>
    <w:rsid w:val="008C68F1"/>
    <w:rsid w:val="008E242F"/>
    <w:rsid w:val="008E5F14"/>
    <w:rsid w:val="008F0C9C"/>
    <w:rsid w:val="00921803"/>
    <w:rsid w:val="00925F71"/>
    <w:rsid w:val="00926503"/>
    <w:rsid w:val="0094079D"/>
    <w:rsid w:val="00943B37"/>
    <w:rsid w:val="00945793"/>
    <w:rsid w:val="0096038B"/>
    <w:rsid w:val="0096191A"/>
    <w:rsid w:val="009633E9"/>
    <w:rsid w:val="00966DB9"/>
    <w:rsid w:val="009726D8"/>
    <w:rsid w:val="0097471F"/>
    <w:rsid w:val="009A6BDE"/>
    <w:rsid w:val="009A6D5A"/>
    <w:rsid w:val="009C23D9"/>
    <w:rsid w:val="009D10BB"/>
    <w:rsid w:val="009F50AD"/>
    <w:rsid w:val="009F76DB"/>
    <w:rsid w:val="00A06EB6"/>
    <w:rsid w:val="00A17FB6"/>
    <w:rsid w:val="00A32C3B"/>
    <w:rsid w:val="00A375AC"/>
    <w:rsid w:val="00A378F0"/>
    <w:rsid w:val="00A4030F"/>
    <w:rsid w:val="00A43BFD"/>
    <w:rsid w:val="00A43ED6"/>
    <w:rsid w:val="00A45F4F"/>
    <w:rsid w:val="00A50CFB"/>
    <w:rsid w:val="00A53006"/>
    <w:rsid w:val="00A600A9"/>
    <w:rsid w:val="00A67FCE"/>
    <w:rsid w:val="00A84347"/>
    <w:rsid w:val="00A92ED2"/>
    <w:rsid w:val="00A969FF"/>
    <w:rsid w:val="00AA55B7"/>
    <w:rsid w:val="00AA5B9E"/>
    <w:rsid w:val="00AB2407"/>
    <w:rsid w:val="00AB53DF"/>
    <w:rsid w:val="00AD420F"/>
    <w:rsid w:val="00AE45D1"/>
    <w:rsid w:val="00AF0489"/>
    <w:rsid w:val="00B036D1"/>
    <w:rsid w:val="00B07E5C"/>
    <w:rsid w:val="00B23E39"/>
    <w:rsid w:val="00B24CA3"/>
    <w:rsid w:val="00B24FBE"/>
    <w:rsid w:val="00B441A5"/>
    <w:rsid w:val="00B44A6C"/>
    <w:rsid w:val="00B466DD"/>
    <w:rsid w:val="00B811F7"/>
    <w:rsid w:val="00B9385C"/>
    <w:rsid w:val="00B970E0"/>
    <w:rsid w:val="00BA1497"/>
    <w:rsid w:val="00BA330E"/>
    <w:rsid w:val="00BA5DC6"/>
    <w:rsid w:val="00BA6196"/>
    <w:rsid w:val="00BA7304"/>
    <w:rsid w:val="00BB78FC"/>
    <w:rsid w:val="00BC6D8C"/>
    <w:rsid w:val="00BC7287"/>
    <w:rsid w:val="00BD4223"/>
    <w:rsid w:val="00BF6ED8"/>
    <w:rsid w:val="00C1079D"/>
    <w:rsid w:val="00C126C1"/>
    <w:rsid w:val="00C17495"/>
    <w:rsid w:val="00C213E5"/>
    <w:rsid w:val="00C225DC"/>
    <w:rsid w:val="00C30C8E"/>
    <w:rsid w:val="00C34006"/>
    <w:rsid w:val="00C426B1"/>
    <w:rsid w:val="00C636A6"/>
    <w:rsid w:val="00C66160"/>
    <w:rsid w:val="00C721AC"/>
    <w:rsid w:val="00C778BA"/>
    <w:rsid w:val="00C84110"/>
    <w:rsid w:val="00C84DAC"/>
    <w:rsid w:val="00C90D6A"/>
    <w:rsid w:val="00C92290"/>
    <w:rsid w:val="00C96749"/>
    <w:rsid w:val="00CA247E"/>
    <w:rsid w:val="00CB3BC8"/>
    <w:rsid w:val="00CB570B"/>
    <w:rsid w:val="00CC002D"/>
    <w:rsid w:val="00CC15F0"/>
    <w:rsid w:val="00CC72B6"/>
    <w:rsid w:val="00CD565C"/>
    <w:rsid w:val="00CE2DD8"/>
    <w:rsid w:val="00CF4B3D"/>
    <w:rsid w:val="00D0218D"/>
    <w:rsid w:val="00D043D1"/>
    <w:rsid w:val="00D15FF4"/>
    <w:rsid w:val="00D17B06"/>
    <w:rsid w:val="00D25FB5"/>
    <w:rsid w:val="00D32E5D"/>
    <w:rsid w:val="00D44223"/>
    <w:rsid w:val="00D570EB"/>
    <w:rsid w:val="00D663FC"/>
    <w:rsid w:val="00D7304B"/>
    <w:rsid w:val="00D868F1"/>
    <w:rsid w:val="00D901BD"/>
    <w:rsid w:val="00D953BB"/>
    <w:rsid w:val="00DA2529"/>
    <w:rsid w:val="00DB0797"/>
    <w:rsid w:val="00DB130A"/>
    <w:rsid w:val="00DB2EBB"/>
    <w:rsid w:val="00DC10A1"/>
    <w:rsid w:val="00DC655F"/>
    <w:rsid w:val="00DD0B59"/>
    <w:rsid w:val="00DD50B9"/>
    <w:rsid w:val="00DD7EBD"/>
    <w:rsid w:val="00DE6A03"/>
    <w:rsid w:val="00DF5F02"/>
    <w:rsid w:val="00DF62B6"/>
    <w:rsid w:val="00E03269"/>
    <w:rsid w:val="00E07225"/>
    <w:rsid w:val="00E112B8"/>
    <w:rsid w:val="00E14CDB"/>
    <w:rsid w:val="00E43B02"/>
    <w:rsid w:val="00E5409F"/>
    <w:rsid w:val="00E54A92"/>
    <w:rsid w:val="00E60481"/>
    <w:rsid w:val="00E7334E"/>
    <w:rsid w:val="00E7792D"/>
    <w:rsid w:val="00E8409E"/>
    <w:rsid w:val="00E90D98"/>
    <w:rsid w:val="00E9262B"/>
    <w:rsid w:val="00EA462B"/>
    <w:rsid w:val="00EC1527"/>
    <w:rsid w:val="00EE6488"/>
    <w:rsid w:val="00EF66D3"/>
    <w:rsid w:val="00F00FDB"/>
    <w:rsid w:val="00F021FA"/>
    <w:rsid w:val="00F02BC1"/>
    <w:rsid w:val="00F11D03"/>
    <w:rsid w:val="00F2275C"/>
    <w:rsid w:val="00F34C77"/>
    <w:rsid w:val="00F37364"/>
    <w:rsid w:val="00F55F79"/>
    <w:rsid w:val="00F62C4A"/>
    <w:rsid w:val="00F62E97"/>
    <w:rsid w:val="00F64209"/>
    <w:rsid w:val="00F75C25"/>
    <w:rsid w:val="00F8403B"/>
    <w:rsid w:val="00F92B4B"/>
    <w:rsid w:val="00F93BF5"/>
    <w:rsid w:val="00FA4189"/>
    <w:rsid w:val="00FA4457"/>
    <w:rsid w:val="00FD08F7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04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5F404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5F404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5F404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5F404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F404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5F404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5F404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5F404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5F404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F40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404A"/>
  </w:style>
  <w:style w:type="paragraph" w:customStyle="1" w:styleId="ParaNum">
    <w:name w:val="ParaNum"/>
    <w:basedOn w:val="Normal"/>
    <w:rsid w:val="005F404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5F404A"/>
    <w:rPr>
      <w:sz w:val="20"/>
    </w:rPr>
  </w:style>
  <w:style w:type="character" w:styleId="EndnoteReference">
    <w:name w:val="endnote reference"/>
    <w:semiHidden/>
    <w:rsid w:val="005F404A"/>
    <w:rPr>
      <w:vertAlign w:val="superscript"/>
    </w:rPr>
  </w:style>
  <w:style w:type="paragraph" w:styleId="FootnoteText">
    <w:name w:val="footnote text"/>
    <w:rsid w:val="005F404A"/>
    <w:pPr>
      <w:spacing w:after="120"/>
    </w:pPr>
  </w:style>
  <w:style w:type="character" w:styleId="FootnoteReference">
    <w:name w:val="footnote reference"/>
    <w:rsid w:val="005F404A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5F404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5F404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5F404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F404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F404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F404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F404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F404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F404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5F404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F404A"/>
  </w:style>
  <w:style w:type="paragraph" w:styleId="Header">
    <w:name w:val="header"/>
    <w:basedOn w:val="Normal"/>
    <w:autoRedefine/>
    <w:rsid w:val="005F404A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5F40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04A"/>
  </w:style>
  <w:style w:type="paragraph" w:styleId="BlockText">
    <w:name w:val="Block Text"/>
    <w:basedOn w:val="Normal"/>
    <w:rsid w:val="005F404A"/>
    <w:pPr>
      <w:spacing w:after="240"/>
      <w:ind w:left="1440" w:right="1440"/>
    </w:pPr>
  </w:style>
  <w:style w:type="paragraph" w:customStyle="1" w:styleId="Paratitle">
    <w:name w:val="Para title"/>
    <w:basedOn w:val="Normal"/>
    <w:rsid w:val="005F404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5F404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5F404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5F404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F404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5F404A"/>
    <w:rPr>
      <w:color w:val="0000FF"/>
      <w:u w:val="single"/>
    </w:rPr>
  </w:style>
  <w:style w:type="paragraph" w:styleId="BodyText">
    <w:name w:val="Body Text"/>
    <w:basedOn w:val="Normal"/>
    <w:link w:val="BodyTextChar"/>
    <w:rsid w:val="00DD50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50B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856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E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EE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56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EE6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856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EE6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04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5F404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5F404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5F404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5F404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F404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5F404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5F404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5F404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5F404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F40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404A"/>
  </w:style>
  <w:style w:type="paragraph" w:customStyle="1" w:styleId="ParaNum">
    <w:name w:val="ParaNum"/>
    <w:basedOn w:val="Normal"/>
    <w:rsid w:val="005F404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5F404A"/>
    <w:rPr>
      <w:sz w:val="20"/>
    </w:rPr>
  </w:style>
  <w:style w:type="character" w:styleId="EndnoteReference">
    <w:name w:val="endnote reference"/>
    <w:semiHidden/>
    <w:rsid w:val="005F404A"/>
    <w:rPr>
      <w:vertAlign w:val="superscript"/>
    </w:rPr>
  </w:style>
  <w:style w:type="paragraph" w:styleId="FootnoteText">
    <w:name w:val="footnote text"/>
    <w:rsid w:val="005F404A"/>
    <w:pPr>
      <w:spacing w:after="120"/>
    </w:pPr>
  </w:style>
  <w:style w:type="character" w:styleId="FootnoteReference">
    <w:name w:val="footnote reference"/>
    <w:rsid w:val="005F404A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5F404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5F404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5F404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F404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F404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F404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F404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F404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F404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5F404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F404A"/>
  </w:style>
  <w:style w:type="paragraph" w:styleId="Header">
    <w:name w:val="header"/>
    <w:basedOn w:val="Normal"/>
    <w:autoRedefine/>
    <w:rsid w:val="005F404A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5F40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04A"/>
  </w:style>
  <w:style w:type="paragraph" w:styleId="BlockText">
    <w:name w:val="Block Text"/>
    <w:basedOn w:val="Normal"/>
    <w:rsid w:val="005F404A"/>
    <w:pPr>
      <w:spacing w:after="240"/>
      <w:ind w:left="1440" w:right="1440"/>
    </w:pPr>
  </w:style>
  <w:style w:type="paragraph" w:customStyle="1" w:styleId="Paratitle">
    <w:name w:val="Para title"/>
    <w:basedOn w:val="Normal"/>
    <w:rsid w:val="005F404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5F404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5F404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5F404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F404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5F404A"/>
    <w:rPr>
      <w:color w:val="0000FF"/>
      <w:u w:val="single"/>
    </w:rPr>
  </w:style>
  <w:style w:type="paragraph" w:styleId="BodyText">
    <w:name w:val="Body Text"/>
    <w:basedOn w:val="Normal"/>
    <w:link w:val="BodyTextChar"/>
    <w:rsid w:val="00DD50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50B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856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E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EE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56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EE6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856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EE6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3</Pages>
  <Words>857</Words>
  <Characters>4853</Characters>
  <Application>Microsoft Office Word</Application>
  <DocSecurity>0</DocSecurity>
  <Lines>129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5696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2014-04-21T18:32:00Z</cp:lastPrinted>
  <dcterms:created xsi:type="dcterms:W3CDTF">2014-06-10T15:11:00Z</dcterms:created>
  <dcterms:modified xsi:type="dcterms:W3CDTF">2014-06-10T15:11:00Z</dcterms:modified>
  <cp:category> </cp:category>
  <cp:contentStatus> </cp:contentStatus>
</cp:coreProperties>
</file>