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6D72E" w14:textId="77777777" w:rsidR="0041388A" w:rsidRPr="00BD179C" w:rsidRDefault="0041388A" w:rsidP="00CC43EF">
      <w:pPr>
        <w:jc w:val="center"/>
        <w:rPr>
          <w:b/>
          <w:szCs w:val="22"/>
        </w:rPr>
      </w:pPr>
      <w:bookmarkStart w:id="0" w:name="_GoBack"/>
      <w:bookmarkEnd w:id="0"/>
      <w:r w:rsidRPr="00BD179C">
        <w:rPr>
          <w:b/>
          <w:szCs w:val="22"/>
        </w:rPr>
        <w:t>Before the</w:t>
      </w:r>
    </w:p>
    <w:p w14:paraId="1AC9C5EC" w14:textId="77777777" w:rsidR="0041388A" w:rsidRPr="00BD179C" w:rsidRDefault="0041388A" w:rsidP="00CC43EF">
      <w:pPr>
        <w:jc w:val="center"/>
        <w:rPr>
          <w:b/>
          <w:szCs w:val="22"/>
        </w:rPr>
      </w:pPr>
      <w:r w:rsidRPr="00BD179C">
        <w:rPr>
          <w:b/>
          <w:szCs w:val="22"/>
        </w:rPr>
        <w:t>Federal Communications Commission</w:t>
      </w:r>
    </w:p>
    <w:p w14:paraId="49BAA9C7" w14:textId="77777777" w:rsidR="0041388A" w:rsidRPr="00BD179C" w:rsidRDefault="0041388A" w:rsidP="00CC43EF">
      <w:pPr>
        <w:jc w:val="center"/>
        <w:rPr>
          <w:szCs w:val="22"/>
        </w:rPr>
      </w:pPr>
      <w:r w:rsidRPr="00BD179C">
        <w:rPr>
          <w:b/>
          <w:szCs w:val="22"/>
        </w:rPr>
        <w:t>Washington, D.C.  20554</w:t>
      </w:r>
    </w:p>
    <w:p w14:paraId="1910163B" w14:textId="77777777" w:rsidR="0041388A" w:rsidRPr="00BD179C" w:rsidRDefault="0041388A" w:rsidP="00CC43EF">
      <w:pPr>
        <w:jc w:val="center"/>
        <w:rPr>
          <w:szCs w:val="22"/>
        </w:rPr>
      </w:pPr>
    </w:p>
    <w:p w14:paraId="19318E3B" w14:textId="77777777" w:rsidR="0041388A" w:rsidRPr="00BD179C" w:rsidRDefault="0041388A" w:rsidP="00CC43EF">
      <w:pPr>
        <w:rPr>
          <w:szCs w:val="22"/>
        </w:rPr>
      </w:pPr>
    </w:p>
    <w:tbl>
      <w:tblPr>
        <w:tblW w:w="0" w:type="auto"/>
        <w:tblLayout w:type="fixed"/>
        <w:tblLook w:val="0000" w:firstRow="0" w:lastRow="0" w:firstColumn="0" w:lastColumn="0" w:noHBand="0" w:noVBand="0"/>
      </w:tblPr>
      <w:tblGrid>
        <w:gridCol w:w="4698"/>
        <w:gridCol w:w="720"/>
        <w:gridCol w:w="4230"/>
      </w:tblGrid>
      <w:tr w:rsidR="0041388A" w:rsidRPr="003E1C58" w14:paraId="556B169E" w14:textId="77777777">
        <w:tc>
          <w:tcPr>
            <w:tcW w:w="4698" w:type="dxa"/>
          </w:tcPr>
          <w:p w14:paraId="1D2A3B23" w14:textId="77777777" w:rsidR="0041388A" w:rsidRPr="003E1C58" w:rsidRDefault="0041388A" w:rsidP="00BD6323">
            <w:pPr>
              <w:ind w:right="-18"/>
              <w:rPr>
                <w:szCs w:val="22"/>
              </w:rPr>
            </w:pPr>
            <w:r w:rsidRPr="003E1C58">
              <w:rPr>
                <w:szCs w:val="22"/>
              </w:rPr>
              <w:t>In the Matter of</w:t>
            </w:r>
          </w:p>
          <w:p w14:paraId="782B6F0D" w14:textId="77777777" w:rsidR="0041388A" w:rsidRPr="003E1C58" w:rsidRDefault="0041388A" w:rsidP="00BD6323">
            <w:pPr>
              <w:ind w:right="-18"/>
              <w:rPr>
                <w:szCs w:val="22"/>
              </w:rPr>
            </w:pPr>
          </w:p>
          <w:p w14:paraId="35502E8C" w14:textId="77777777" w:rsidR="0041388A" w:rsidRPr="003E1C58" w:rsidRDefault="0041388A" w:rsidP="00BD6323">
            <w:pPr>
              <w:ind w:right="-18"/>
              <w:rPr>
                <w:szCs w:val="22"/>
              </w:rPr>
            </w:pPr>
            <w:r w:rsidRPr="003E1C58">
              <w:rPr>
                <w:szCs w:val="22"/>
              </w:rPr>
              <w:t xml:space="preserve">Urban Radio I, L.L.C., Debtor-in-Possession </w:t>
            </w:r>
          </w:p>
          <w:p w14:paraId="60168F31" w14:textId="77777777" w:rsidR="0041388A" w:rsidRPr="003E1C58" w:rsidRDefault="0041388A" w:rsidP="00BD6323">
            <w:pPr>
              <w:ind w:right="-18"/>
              <w:rPr>
                <w:szCs w:val="22"/>
              </w:rPr>
            </w:pPr>
            <w:r w:rsidRPr="003E1C58">
              <w:rPr>
                <w:szCs w:val="22"/>
              </w:rPr>
              <w:t>and YMF Media, New York Licensee LLC for Consent to Assign Licenses</w:t>
            </w:r>
          </w:p>
          <w:p w14:paraId="5C803EF0" w14:textId="77777777" w:rsidR="0041388A" w:rsidRPr="003E1C58" w:rsidRDefault="0041388A" w:rsidP="00BD6323">
            <w:pPr>
              <w:ind w:right="-18"/>
              <w:rPr>
                <w:b/>
                <w:szCs w:val="22"/>
              </w:rPr>
            </w:pPr>
          </w:p>
          <w:p w14:paraId="3EFB6BDB" w14:textId="77777777" w:rsidR="0041388A" w:rsidRPr="003E1C58" w:rsidRDefault="0041388A" w:rsidP="00BD6323">
            <w:pPr>
              <w:ind w:right="-18"/>
              <w:rPr>
                <w:szCs w:val="22"/>
              </w:rPr>
            </w:pPr>
            <w:r w:rsidRPr="003E1C58">
              <w:rPr>
                <w:szCs w:val="22"/>
              </w:rPr>
              <w:t>WBLS(FM), New York, NY</w:t>
            </w:r>
          </w:p>
          <w:p w14:paraId="4E659543" w14:textId="77777777" w:rsidR="0041388A" w:rsidRPr="003E1C58" w:rsidRDefault="0041388A" w:rsidP="00BD6323">
            <w:pPr>
              <w:ind w:right="-18"/>
              <w:rPr>
                <w:szCs w:val="22"/>
              </w:rPr>
            </w:pPr>
            <w:r w:rsidRPr="003E1C58">
              <w:rPr>
                <w:szCs w:val="22"/>
              </w:rPr>
              <w:t>WLIB(AM), New York, NY</w:t>
            </w:r>
            <w:r w:rsidRPr="003E1C58">
              <w:rPr>
                <w:rStyle w:val="FootnoteReference"/>
                <w:szCs w:val="22"/>
              </w:rPr>
              <w:footnoteReference w:id="2"/>
            </w:r>
          </w:p>
          <w:p w14:paraId="6BB7937B" w14:textId="08448E24" w:rsidR="0041388A" w:rsidRPr="003E1C58" w:rsidRDefault="0041388A" w:rsidP="00840743">
            <w:pPr>
              <w:ind w:right="-18"/>
              <w:rPr>
                <w:szCs w:val="22"/>
              </w:rPr>
            </w:pPr>
          </w:p>
        </w:tc>
        <w:tc>
          <w:tcPr>
            <w:tcW w:w="720" w:type="dxa"/>
          </w:tcPr>
          <w:p w14:paraId="7CA1C912" w14:textId="77777777" w:rsidR="0041388A" w:rsidRPr="003E1C58" w:rsidRDefault="0041388A" w:rsidP="00BD6323">
            <w:pPr>
              <w:rPr>
                <w:b/>
                <w:szCs w:val="22"/>
              </w:rPr>
            </w:pPr>
            <w:r w:rsidRPr="003E1C58">
              <w:rPr>
                <w:b/>
                <w:szCs w:val="22"/>
              </w:rPr>
              <w:t>)</w:t>
            </w:r>
          </w:p>
          <w:p w14:paraId="65ABAD40" w14:textId="77777777" w:rsidR="0041388A" w:rsidRPr="003E1C58" w:rsidRDefault="0041388A" w:rsidP="00BD6323">
            <w:pPr>
              <w:rPr>
                <w:b/>
                <w:szCs w:val="22"/>
              </w:rPr>
            </w:pPr>
            <w:r w:rsidRPr="003E1C58">
              <w:rPr>
                <w:b/>
                <w:szCs w:val="22"/>
              </w:rPr>
              <w:t>)</w:t>
            </w:r>
          </w:p>
          <w:p w14:paraId="062257E1" w14:textId="77777777" w:rsidR="0041388A" w:rsidRPr="003E1C58" w:rsidRDefault="0041388A" w:rsidP="00BD6323">
            <w:pPr>
              <w:rPr>
                <w:b/>
                <w:szCs w:val="22"/>
              </w:rPr>
            </w:pPr>
            <w:r w:rsidRPr="003E1C58">
              <w:rPr>
                <w:b/>
                <w:szCs w:val="22"/>
              </w:rPr>
              <w:t>)</w:t>
            </w:r>
          </w:p>
          <w:p w14:paraId="6E920E3B" w14:textId="77777777" w:rsidR="0041388A" w:rsidRPr="003E1C58" w:rsidRDefault="0041388A" w:rsidP="00BD6323">
            <w:pPr>
              <w:rPr>
                <w:b/>
                <w:szCs w:val="22"/>
              </w:rPr>
            </w:pPr>
            <w:r w:rsidRPr="003E1C58">
              <w:rPr>
                <w:b/>
                <w:szCs w:val="22"/>
              </w:rPr>
              <w:t>)</w:t>
            </w:r>
          </w:p>
          <w:p w14:paraId="7438CFD0" w14:textId="77777777" w:rsidR="0041388A" w:rsidRPr="003E1C58" w:rsidRDefault="0041388A" w:rsidP="00BD6323">
            <w:pPr>
              <w:rPr>
                <w:b/>
                <w:szCs w:val="22"/>
              </w:rPr>
            </w:pPr>
            <w:r w:rsidRPr="003E1C58">
              <w:rPr>
                <w:b/>
                <w:szCs w:val="22"/>
              </w:rPr>
              <w:t>)</w:t>
            </w:r>
          </w:p>
          <w:p w14:paraId="42894B6F" w14:textId="77777777" w:rsidR="0041388A" w:rsidRPr="003E1C58" w:rsidRDefault="0041388A" w:rsidP="00BD6323">
            <w:pPr>
              <w:rPr>
                <w:b/>
                <w:szCs w:val="22"/>
              </w:rPr>
            </w:pPr>
            <w:r w:rsidRPr="003E1C58">
              <w:rPr>
                <w:b/>
                <w:szCs w:val="22"/>
              </w:rPr>
              <w:t>)</w:t>
            </w:r>
          </w:p>
          <w:p w14:paraId="281FB851" w14:textId="77777777" w:rsidR="0041388A" w:rsidRPr="003E1C58" w:rsidRDefault="0041388A" w:rsidP="00BD6323">
            <w:pPr>
              <w:rPr>
                <w:b/>
                <w:szCs w:val="22"/>
              </w:rPr>
            </w:pPr>
            <w:r w:rsidRPr="003E1C58">
              <w:rPr>
                <w:b/>
                <w:szCs w:val="22"/>
              </w:rPr>
              <w:t>)</w:t>
            </w:r>
          </w:p>
          <w:p w14:paraId="63EED0D8" w14:textId="77777777" w:rsidR="0041388A" w:rsidRPr="003E1C58" w:rsidRDefault="0041388A" w:rsidP="00BD6323">
            <w:pPr>
              <w:rPr>
                <w:b/>
                <w:szCs w:val="22"/>
              </w:rPr>
            </w:pPr>
            <w:r w:rsidRPr="003E1C58">
              <w:rPr>
                <w:b/>
                <w:szCs w:val="22"/>
              </w:rPr>
              <w:t>)</w:t>
            </w:r>
          </w:p>
          <w:p w14:paraId="19FB173A" w14:textId="3BF423BE" w:rsidR="0041388A" w:rsidRPr="003E1C58" w:rsidRDefault="0041388A" w:rsidP="00BD6323">
            <w:pPr>
              <w:rPr>
                <w:b/>
                <w:szCs w:val="22"/>
              </w:rPr>
            </w:pPr>
          </w:p>
        </w:tc>
        <w:tc>
          <w:tcPr>
            <w:tcW w:w="4230" w:type="dxa"/>
          </w:tcPr>
          <w:p w14:paraId="50B6DD38" w14:textId="77777777" w:rsidR="0041388A" w:rsidRPr="003E1C58" w:rsidRDefault="0041388A" w:rsidP="00BD6323">
            <w:pPr>
              <w:rPr>
                <w:szCs w:val="22"/>
              </w:rPr>
            </w:pPr>
          </w:p>
          <w:p w14:paraId="12517C52" w14:textId="77777777" w:rsidR="0041388A" w:rsidRPr="003E1C58" w:rsidRDefault="0041388A" w:rsidP="00BD6323">
            <w:pPr>
              <w:rPr>
                <w:szCs w:val="22"/>
              </w:rPr>
            </w:pPr>
          </w:p>
          <w:p w14:paraId="5B1B1A7F" w14:textId="77777777" w:rsidR="0041388A" w:rsidRPr="003E1C58" w:rsidRDefault="0041388A" w:rsidP="00BD6323">
            <w:pPr>
              <w:rPr>
                <w:spacing w:val="-2"/>
                <w:szCs w:val="22"/>
              </w:rPr>
            </w:pPr>
          </w:p>
          <w:p w14:paraId="39D469A1" w14:textId="77777777" w:rsidR="0041388A" w:rsidRPr="003E1C58" w:rsidRDefault="0041388A" w:rsidP="00BD6323">
            <w:pPr>
              <w:rPr>
                <w:spacing w:val="-2"/>
                <w:szCs w:val="22"/>
              </w:rPr>
            </w:pPr>
          </w:p>
          <w:p w14:paraId="24E52A1E" w14:textId="4FA9E585" w:rsidR="0041388A" w:rsidRPr="003E1C58" w:rsidRDefault="0041388A" w:rsidP="00542725">
            <w:pPr>
              <w:rPr>
                <w:spacing w:val="-2"/>
                <w:szCs w:val="22"/>
              </w:rPr>
            </w:pPr>
            <w:r w:rsidRPr="003E1C58">
              <w:rPr>
                <w:spacing w:val="-2"/>
                <w:szCs w:val="22"/>
              </w:rPr>
              <w:t>File No</w:t>
            </w:r>
            <w:r w:rsidR="00A46442">
              <w:rPr>
                <w:spacing w:val="-2"/>
                <w:szCs w:val="22"/>
              </w:rPr>
              <w:t>s</w:t>
            </w:r>
            <w:r w:rsidRPr="003E1C58">
              <w:rPr>
                <w:spacing w:val="-2"/>
                <w:szCs w:val="22"/>
              </w:rPr>
              <w:t xml:space="preserve">. BAL-20120430ADH, </w:t>
            </w:r>
            <w:r w:rsidRPr="003E1C58">
              <w:rPr>
                <w:i/>
                <w:spacing w:val="-2"/>
                <w:szCs w:val="22"/>
              </w:rPr>
              <w:t>et seq</w:t>
            </w:r>
            <w:r w:rsidRPr="003E1C58">
              <w:rPr>
                <w:spacing w:val="-2"/>
                <w:szCs w:val="22"/>
              </w:rPr>
              <w:t>.</w:t>
            </w:r>
          </w:p>
          <w:p w14:paraId="068D9892" w14:textId="77777777" w:rsidR="0041388A" w:rsidRPr="003E1C58" w:rsidRDefault="0041388A" w:rsidP="00BD6323">
            <w:pPr>
              <w:rPr>
                <w:szCs w:val="22"/>
              </w:rPr>
            </w:pPr>
          </w:p>
          <w:p w14:paraId="0122BA16" w14:textId="77777777" w:rsidR="0041388A" w:rsidRPr="003E1C58" w:rsidRDefault="0041388A" w:rsidP="00BD6323">
            <w:pPr>
              <w:rPr>
                <w:szCs w:val="22"/>
              </w:rPr>
            </w:pPr>
            <w:r w:rsidRPr="003E1C58">
              <w:rPr>
                <w:szCs w:val="22"/>
              </w:rPr>
              <w:t>Facility ID No. 28203</w:t>
            </w:r>
          </w:p>
          <w:p w14:paraId="6E6EBB59" w14:textId="0EED9140" w:rsidR="0041388A" w:rsidRPr="003E1C58" w:rsidRDefault="0041388A" w:rsidP="00956986">
            <w:pPr>
              <w:rPr>
                <w:szCs w:val="22"/>
              </w:rPr>
            </w:pPr>
            <w:r w:rsidRPr="003E1C58">
              <w:rPr>
                <w:szCs w:val="22"/>
              </w:rPr>
              <w:t>Facility ID No. 28204</w:t>
            </w:r>
          </w:p>
          <w:p w14:paraId="29163E91" w14:textId="77777777" w:rsidR="00871456" w:rsidRPr="003E1C58" w:rsidRDefault="00871456" w:rsidP="00956986">
            <w:pPr>
              <w:rPr>
                <w:szCs w:val="22"/>
              </w:rPr>
            </w:pPr>
          </w:p>
        </w:tc>
      </w:tr>
    </w:tbl>
    <w:p w14:paraId="084F925B" w14:textId="77777777" w:rsidR="0041388A" w:rsidRPr="003E1C58" w:rsidRDefault="0041388A" w:rsidP="00F33B10">
      <w:pPr>
        <w:spacing w:before="120"/>
        <w:jc w:val="center"/>
        <w:rPr>
          <w:b/>
          <w:szCs w:val="22"/>
        </w:rPr>
      </w:pPr>
      <w:r w:rsidRPr="003E1C58">
        <w:rPr>
          <w:b/>
          <w:spacing w:val="-2"/>
          <w:szCs w:val="22"/>
        </w:rPr>
        <w:t>MEMORANDUM OPINION AND ORDER</w:t>
      </w:r>
    </w:p>
    <w:p w14:paraId="6FAE5033" w14:textId="77777777" w:rsidR="0041388A" w:rsidRPr="003E1C58" w:rsidRDefault="0041388A" w:rsidP="00BD6323">
      <w:pPr>
        <w:rPr>
          <w:szCs w:val="22"/>
        </w:rPr>
      </w:pPr>
    </w:p>
    <w:p w14:paraId="0D4795A3" w14:textId="7E370D23" w:rsidR="0041388A" w:rsidRPr="003E1C58" w:rsidRDefault="0041388A" w:rsidP="00C675CC">
      <w:pPr>
        <w:tabs>
          <w:tab w:val="left" w:pos="5760"/>
        </w:tabs>
        <w:rPr>
          <w:b/>
          <w:szCs w:val="22"/>
        </w:rPr>
      </w:pPr>
      <w:r w:rsidRPr="003E1C58">
        <w:rPr>
          <w:b/>
          <w:szCs w:val="22"/>
        </w:rPr>
        <w:t xml:space="preserve">Adopted:  </w:t>
      </w:r>
      <w:r w:rsidR="00E66659">
        <w:rPr>
          <w:b/>
          <w:szCs w:val="22"/>
        </w:rPr>
        <w:t>June 9</w:t>
      </w:r>
      <w:r w:rsidRPr="003E1C58">
        <w:rPr>
          <w:b/>
          <w:spacing w:val="-2"/>
          <w:szCs w:val="22"/>
        </w:rPr>
        <w:t>, 2014</w:t>
      </w:r>
      <w:r w:rsidRPr="003E1C58">
        <w:rPr>
          <w:b/>
          <w:spacing w:val="-2"/>
          <w:szCs w:val="22"/>
        </w:rPr>
        <w:tab/>
      </w:r>
      <w:r w:rsidRPr="003E1C58">
        <w:rPr>
          <w:b/>
          <w:spacing w:val="-2"/>
          <w:szCs w:val="22"/>
        </w:rPr>
        <w:tab/>
      </w:r>
      <w:r w:rsidRPr="003E1C58">
        <w:rPr>
          <w:b/>
          <w:szCs w:val="22"/>
        </w:rPr>
        <w:t xml:space="preserve">Released: </w:t>
      </w:r>
      <w:r w:rsidR="008A4A38">
        <w:rPr>
          <w:b/>
          <w:szCs w:val="22"/>
        </w:rPr>
        <w:t xml:space="preserve"> </w:t>
      </w:r>
      <w:r w:rsidR="00E66659">
        <w:rPr>
          <w:b/>
          <w:szCs w:val="22"/>
        </w:rPr>
        <w:t>June 10</w:t>
      </w:r>
      <w:r w:rsidRPr="003E1C58">
        <w:rPr>
          <w:b/>
          <w:spacing w:val="-2"/>
          <w:szCs w:val="22"/>
        </w:rPr>
        <w:t>, 2014</w:t>
      </w:r>
    </w:p>
    <w:p w14:paraId="0E445147" w14:textId="77777777" w:rsidR="0041388A" w:rsidRPr="003E1C58" w:rsidRDefault="0041388A" w:rsidP="00BD6323">
      <w:pPr>
        <w:tabs>
          <w:tab w:val="left" w:pos="5760"/>
        </w:tabs>
        <w:rPr>
          <w:b/>
          <w:szCs w:val="22"/>
        </w:rPr>
      </w:pPr>
    </w:p>
    <w:p w14:paraId="6DEEDA12" w14:textId="77777777" w:rsidR="0041388A" w:rsidRPr="003E1C58" w:rsidRDefault="0041388A" w:rsidP="00CC43EF">
      <w:pPr>
        <w:tabs>
          <w:tab w:val="left" w:pos="1980"/>
          <w:tab w:val="left" w:pos="4680"/>
        </w:tabs>
        <w:jc w:val="both"/>
        <w:rPr>
          <w:szCs w:val="22"/>
        </w:rPr>
      </w:pPr>
      <w:r w:rsidRPr="003E1C58">
        <w:rPr>
          <w:szCs w:val="22"/>
        </w:rPr>
        <w:t>By the Commission:</w:t>
      </w:r>
      <w:r w:rsidRPr="003E1C58">
        <w:rPr>
          <w:szCs w:val="22"/>
        </w:rPr>
        <w:tab/>
      </w:r>
    </w:p>
    <w:p w14:paraId="7F30D71A" w14:textId="77777777" w:rsidR="0041388A" w:rsidRPr="003E1C58" w:rsidRDefault="0041388A" w:rsidP="00CC43EF">
      <w:pPr>
        <w:tabs>
          <w:tab w:val="left" w:pos="1980"/>
          <w:tab w:val="left" w:pos="4680"/>
        </w:tabs>
        <w:jc w:val="both"/>
        <w:rPr>
          <w:b/>
          <w:szCs w:val="22"/>
        </w:rPr>
      </w:pPr>
    </w:p>
    <w:p w14:paraId="0FB8F650" w14:textId="28B91AD4" w:rsidR="0041388A" w:rsidRPr="003E1C58" w:rsidRDefault="0041388A" w:rsidP="00AF62D8">
      <w:pPr>
        <w:pStyle w:val="ParaNum"/>
      </w:pPr>
      <w:r w:rsidRPr="003E1C58">
        <w:t xml:space="preserve">In this Memorandum Opinion and Order, we dismiss </w:t>
      </w:r>
      <w:r w:rsidR="0059365A">
        <w:t xml:space="preserve">in part and deny in part </w:t>
      </w:r>
      <w:r w:rsidRPr="003E1C58">
        <w:t>the October</w:t>
      </w:r>
      <w:r w:rsidR="007A1573">
        <w:t> </w:t>
      </w:r>
      <w:r w:rsidRPr="003E1C58">
        <w:t>12, 2012, “Application for Review” (“A</w:t>
      </w:r>
      <w:r w:rsidR="00D802A1" w:rsidRPr="003E1C58">
        <w:t>F</w:t>
      </w:r>
      <w:r w:rsidRPr="003E1C58">
        <w:t>R”)</w:t>
      </w:r>
      <w:r w:rsidR="0028304F">
        <w:rPr>
          <w:rStyle w:val="FootnoteReference"/>
        </w:rPr>
        <w:footnoteReference w:id="3"/>
      </w:r>
      <w:r w:rsidRPr="003E1C58">
        <w:t xml:space="preserve"> filed </w:t>
      </w:r>
      <w:r w:rsidR="00DB43AF" w:rsidRPr="003E1C58">
        <w:rPr>
          <w:i/>
        </w:rPr>
        <w:t>pro</w:t>
      </w:r>
      <w:r w:rsidR="00B73C19" w:rsidRPr="003E1C58">
        <w:rPr>
          <w:i/>
        </w:rPr>
        <w:t xml:space="preserve"> se </w:t>
      </w:r>
      <w:r w:rsidR="00DB43AF" w:rsidRPr="003E1C58">
        <w:t xml:space="preserve">by </w:t>
      </w:r>
      <w:r w:rsidRPr="003E1C58">
        <w:t>Bob Law, Michael D. North, Betty Dopson and New York City Councilman Charles Barron (</w:t>
      </w:r>
      <w:r w:rsidRPr="0064124D">
        <w:t>collectively</w:t>
      </w:r>
      <w:r w:rsidRPr="003E1C58">
        <w:t>, the “Petitioners”).</w:t>
      </w:r>
      <w:r w:rsidRPr="003E1C58">
        <w:rPr>
          <w:rStyle w:val="FootnoteReference"/>
          <w:szCs w:val="22"/>
        </w:rPr>
        <w:footnoteReference w:id="4"/>
      </w:r>
      <w:r w:rsidRPr="003E1C58">
        <w:t xml:space="preserve">  Petitioners seek review of the Media Bureau’s (the “Bureau”) September 12, 2012, decision denying their </w:t>
      </w:r>
      <w:r w:rsidR="00535997" w:rsidRPr="003E1C58">
        <w:t xml:space="preserve">May 29, 2012, </w:t>
      </w:r>
      <w:r w:rsidR="00840743">
        <w:t>Petition to Deny</w:t>
      </w:r>
      <w:r w:rsidRPr="003E1C58">
        <w:t xml:space="preserve"> (“</w:t>
      </w:r>
      <w:r w:rsidR="00840743">
        <w:t>Petition</w:t>
      </w:r>
      <w:r w:rsidRPr="003E1C58">
        <w:t xml:space="preserve">”) and approving the captioned applications (collectively, the “Applications”) to assign </w:t>
      </w:r>
      <w:r w:rsidR="001C2522">
        <w:t xml:space="preserve">two </w:t>
      </w:r>
      <w:r w:rsidR="00D802A1" w:rsidRPr="003E1C58">
        <w:t>New York</w:t>
      </w:r>
      <w:r w:rsidR="00C52186">
        <w:t xml:space="preserve"> radio stations </w:t>
      </w:r>
      <w:r w:rsidR="00C52186" w:rsidRPr="003E1C58">
        <w:t>(collectively, the “Stations”</w:t>
      </w:r>
      <w:r w:rsidR="00C52186">
        <w:t>)</w:t>
      </w:r>
      <w:r w:rsidR="00D802A1" w:rsidRPr="003E1C58">
        <w:t xml:space="preserve">, </w:t>
      </w:r>
      <w:r w:rsidR="00C52186">
        <w:t xml:space="preserve">as well as </w:t>
      </w:r>
      <w:r w:rsidR="001C2704">
        <w:t>13</w:t>
      </w:r>
      <w:r w:rsidR="00C52186">
        <w:t xml:space="preserve"> others in </w:t>
      </w:r>
      <w:r w:rsidR="00D802A1" w:rsidRPr="003E1C58">
        <w:t>South Carolina, Mississippi and California</w:t>
      </w:r>
      <w:r w:rsidR="00C52186">
        <w:t xml:space="preserve"> </w:t>
      </w:r>
      <w:r w:rsidRPr="003E1C58">
        <w:t xml:space="preserve">from the commonly-controlled assignors (collectively, </w:t>
      </w:r>
      <w:r w:rsidR="00617BF9" w:rsidRPr="003E1C58">
        <w:t>“Urban Radio”) to the commonly-</w:t>
      </w:r>
      <w:r w:rsidRPr="003E1C58">
        <w:t>controlled assignees (collectively, “YMF”).</w:t>
      </w:r>
      <w:r w:rsidRPr="003E1C58">
        <w:rPr>
          <w:rStyle w:val="FootnoteReference"/>
          <w:szCs w:val="22"/>
        </w:rPr>
        <w:footnoteReference w:id="5"/>
      </w:r>
    </w:p>
    <w:p w14:paraId="141B77ED" w14:textId="3CC7D295" w:rsidR="007705F7" w:rsidRPr="00254768" w:rsidRDefault="00F23A7A" w:rsidP="007705F7">
      <w:pPr>
        <w:pStyle w:val="ParaNum"/>
        <w:rPr>
          <w:snapToGrid/>
        </w:rPr>
      </w:pPr>
      <w:bookmarkStart w:id="1" w:name="ctx3"/>
      <w:bookmarkStart w:id="2" w:name="ctx4"/>
      <w:bookmarkStart w:id="3" w:name="ctx5"/>
      <w:bookmarkStart w:id="4" w:name="ctx6"/>
      <w:bookmarkEnd w:id="1"/>
      <w:bookmarkEnd w:id="2"/>
      <w:bookmarkEnd w:id="3"/>
      <w:bookmarkEnd w:id="4"/>
      <w:r>
        <w:rPr>
          <w:snapToGrid/>
        </w:rPr>
        <w:t xml:space="preserve">Under </w:t>
      </w:r>
      <w:r w:rsidR="007705F7" w:rsidRPr="00805207">
        <w:rPr>
          <w:snapToGrid/>
        </w:rPr>
        <w:t>Section 1.115(a) of the</w:t>
      </w:r>
      <w:r w:rsidR="007705F7">
        <w:rPr>
          <w:snapToGrid/>
        </w:rPr>
        <w:t xml:space="preserve"> Commission’s rules (“Rules”)</w:t>
      </w:r>
      <w:r w:rsidR="007705F7" w:rsidRPr="00805207">
        <w:rPr>
          <w:snapToGrid/>
        </w:rPr>
        <w:t xml:space="preserve">  and Section </w:t>
      </w:r>
      <w:r w:rsidR="0091009A">
        <w:rPr>
          <w:snapToGrid/>
        </w:rPr>
        <w:t>5</w:t>
      </w:r>
      <w:r w:rsidR="007705F7" w:rsidRPr="00805207">
        <w:rPr>
          <w:snapToGrid/>
        </w:rPr>
        <w:t>(c)(4) of the</w:t>
      </w:r>
      <w:r w:rsidR="007705F7">
        <w:rPr>
          <w:snapToGrid/>
        </w:rPr>
        <w:t xml:space="preserve"> Communications</w:t>
      </w:r>
      <w:r w:rsidR="007705F7" w:rsidRPr="00805207">
        <w:rPr>
          <w:snapToGrid/>
        </w:rPr>
        <w:t xml:space="preserve"> Act</w:t>
      </w:r>
      <w:r w:rsidR="007705F7">
        <w:rPr>
          <w:snapToGrid/>
        </w:rPr>
        <w:t xml:space="preserve"> of 1934, as amended (</w:t>
      </w:r>
      <w:r w:rsidR="003F364B">
        <w:rPr>
          <w:snapToGrid/>
        </w:rPr>
        <w:t xml:space="preserve">the </w:t>
      </w:r>
      <w:r w:rsidR="007705F7">
        <w:rPr>
          <w:snapToGrid/>
        </w:rPr>
        <w:t>“Act”)</w:t>
      </w:r>
      <w:r w:rsidR="007705F7" w:rsidRPr="00805207">
        <w:rPr>
          <w:snapToGrid/>
        </w:rPr>
        <w:t xml:space="preserve">, an applicant for review must be a “person </w:t>
      </w:r>
      <w:r w:rsidR="007705F7" w:rsidRPr="00805207">
        <w:rPr>
          <w:snapToGrid/>
        </w:rPr>
        <w:lastRenderedPageBreak/>
        <w:t>aggrieved” by an action taken pursuant to delegated authority.</w:t>
      </w:r>
      <w:r w:rsidR="007705F7" w:rsidRPr="00805207">
        <w:rPr>
          <w:snapToGrid/>
          <w:vertAlign w:val="superscript"/>
        </w:rPr>
        <w:footnoteReference w:id="6"/>
      </w:r>
      <w:r w:rsidR="007705F7" w:rsidRPr="00805207">
        <w:rPr>
          <w:snapToGrid/>
        </w:rPr>
        <w:t xml:space="preserve">  To show that it is “aggrieved” by an action, an applicant for review must demonstrate a direct causal link between the challenged action and the alleged injury to the applicant, and show that the injury would be prevented or redressed by the relief requested.</w:t>
      </w:r>
      <w:r w:rsidR="007705F7" w:rsidRPr="00805207">
        <w:rPr>
          <w:snapToGrid/>
          <w:vertAlign w:val="superscript"/>
        </w:rPr>
        <w:footnoteReference w:id="7"/>
      </w:r>
      <w:r w:rsidR="007705F7" w:rsidRPr="00805207">
        <w:rPr>
          <w:snapToGrid/>
        </w:rPr>
        <w:t xml:space="preserve">  In the broadcast regulatory context, standing is generally obtained in one of three ways: (1) as a competitor in the market suffering signal interference; (2) as a competitor in the market suffering economic harm; or (3) as a resident of the station's service area or regular listener of the station</w:t>
      </w:r>
      <w:r w:rsidR="007705F7">
        <w:rPr>
          <w:snapToGrid/>
        </w:rPr>
        <w:t>.</w:t>
      </w:r>
      <w:r w:rsidR="007705F7" w:rsidRPr="003F3CEA">
        <w:t xml:space="preserve"> </w:t>
      </w:r>
      <w:r w:rsidR="007705F7">
        <w:t xml:space="preserve"> Although the caption of the AFR references only the applications for approval of the assignment of New York Stations WBLS(FM) and WLIB(AM), the text of the pleading also seeks review of the </w:t>
      </w:r>
      <w:r w:rsidR="007705F7" w:rsidRPr="00B07377">
        <w:rPr>
          <w:i/>
        </w:rPr>
        <w:t>Staff Decision</w:t>
      </w:r>
      <w:r w:rsidR="007705F7">
        <w:t xml:space="preserve"> as it relates to the applications for assignment of the remaining </w:t>
      </w:r>
      <w:r w:rsidR="001C2704">
        <w:t>13</w:t>
      </w:r>
      <w:r w:rsidR="007705F7">
        <w:t xml:space="preserve"> stations, located in South Carolina, Mississippi and California, from </w:t>
      </w:r>
      <w:r w:rsidR="00C5573B">
        <w:t xml:space="preserve">Urban Radio </w:t>
      </w:r>
      <w:r w:rsidR="007705F7">
        <w:t>affiliates (as debtors-in-possession) to</w:t>
      </w:r>
      <w:r w:rsidR="00C5573B" w:rsidRPr="00C5573B">
        <w:t xml:space="preserve"> </w:t>
      </w:r>
      <w:r w:rsidR="00C5573B">
        <w:t>YMF Media New York</w:t>
      </w:r>
      <w:r w:rsidR="007705F7">
        <w:t xml:space="preserve"> affiliates.</w:t>
      </w:r>
      <w:r w:rsidR="00840743">
        <w:rPr>
          <w:rStyle w:val="FootnoteReference"/>
        </w:rPr>
        <w:footnoteReference w:id="8"/>
      </w:r>
      <w:r w:rsidR="007705F7">
        <w:t xml:space="preserve">  Although, in the AFR, each of the Petitioners represents that he or she resides within the city grade contours of the New York stations,</w:t>
      </w:r>
      <w:r w:rsidR="007705F7">
        <w:rPr>
          <w:rStyle w:val="FootnoteReference"/>
        </w:rPr>
        <w:footnoteReference w:id="9"/>
      </w:r>
      <w:r w:rsidR="007705F7">
        <w:t xml:space="preserve"> there is no showing of standing to seek review of the Bureau’s approval of the assignment</w:t>
      </w:r>
      <w:r w:rsidR="007705F7" w:rsidRPr="003E1C58">
        <w:t xml:space="preserve"> of the </w:t>
      </w:r>
      <w:r w:rsidR="007705F7">
        <w:t xml:space="preserve">South Carolina, Mississippi or California stations: </w:t>
      </w:r>
      <w:r w:rsidR="007705F7">
        <w:rPr>
          <w:snapToGrid/>
        </w:rPr>
        <w:t xml:space="preserve">none of the Petitioners </w:t>
      </w:r>
      <w:r w:rsidR="007705F7" w:rsidRPr="00805207">
        <w:rPr>
          <w:snapToGrid/>
        </w:rPr>
        <w:t>allege</w:t>
      </w:r>
      <w:r w:rsidR="007705F7">
        <w:rPr>
          <w:snapToGrid/>
        </w:rPr>
        <w:t>s</w:t>
      </w:r>
      <w:r w:rsidR="007705F7" w:rsidRPr="00805207">
        <w:rPr>
          <w:snapToGrid/>
        </w:rPr>
        <w:t xml:space="preserve"> competitive harm or signal interference, or </w:t>
      </w:r>
      <w:r w:rsidR="007705F7">
        <w:rPr>
          <w:snapToGrid/>
        </w:rPr>
        <w:t>claims</w:t>
      </w:r>
      <w:r w:rsidR="007705F7" w:rsidRPr="00805207">
        <w:rPr>
          <w:snapToGrid/>
        </w:rPr>
        <w:t xml:space="preserve"> to be a listener of the </w:t>
      </w:r>
      <w:r w:rsidR="007705F7">
        <w:rPr>
          <w:snapToGrid/>
        </w:rPr>
        <w:t>s</w:t>
      </w:r>
      <w:r w:rsidR="007705F7" w:rsidRPr="00805207">
        <w:rPr>
          <w:snapToGrid/>
        </w:rPr>
        <w:t xml:space="preserve">tation.  </w:t>
      </w:r>
      <w:r w:rsidR="007705F7">
        <w:rPr>
          <w:snapToGrid/>
        </w:rPr>
        <w:t>Moreover</w:t>
      </w:r>
      <w:r w:rsidR="007705F7" w:rsidRPr="00805207">
        <w:rPr>
          <w:snapToGrid/>
        </w:rPr>
        <w:t>,</w:t>
      </w:r>
      <w:r w:rsidR="007705F7">
        <w:rPr>
          <w:snapToGrid/>
        </w:rPr>
        <w:t xml:space="preserve"> Petitioners have failed to demonstrate</w:t>
      </w:r>
      <w:r w:rsidR="007705F7" w:rsidRPr="00805207">
        <w:rPr>
          <w:snapToGrid/>
        </w:rPr>
        <w:t xml:space="preserve"> </w:t>
      </w:r>
      <w:r w:rsidR="007705F7">
        <w:rPr>
          <w:snapToGrid/>
        </w:rPr>
        <w:t>a</w:t>
      </w:r>
      <w:r w:rsidR="007705F7" w:rsidRPr="00805207">
        <w:rPr>
          <w:snapToGrid/>
        </w:rPr>
        <w:t xml:space="preserve"> causal link between</w:t>
      </w:r>
      <w:r w:rsidR="007705F7">
        <w:rPr>
          <w:snapToGrid/>
        </w:rPr>
        <w:t xml:space="preserve"> any</w:t>
      </w:r>
      <w:r w:rsidR="007705F7" w:rsidRPr="00805207">
        <w:rPr>
          <w:snapToGrid/>
        </w:rPr>
        <w:t xml:space="preserve"> claimed</w:t>
      </w:r>
      <w:r w:rsidR="007705F7">
        <w:rPr>
          <w:snapToGrid/>
        </w:rPr>
        <w:t xml:space="preserve"> injury and the grants</w:t>
      </w:r>
      <w:r w:rsidR="007705F7" w:rsidRPr="00805207">
        <w:rPr>
          <w:snapToGrid/>
        </w:rPr>
        <w:t xml:space="preserve"> at issue</w:t>
      </w:r>
      <w:r w:rsidR="007705F7">
        <w:rPr>
          <w:snapToGrid/>
        </w:rPr>
        <w:t xml:space="preserve">. </w:t>
      </w:r>
      <w:r w:rsidR="007705F7" w:rsidRPr="00805207">
        <w:rPr>
          <w:snapToGrid/>
        </w:rPr>
        <w:t xml:space="preserve"> For all of these reasons, </w:t>
      </w:r>
      <w:r w:rsidR="007705F7">
        <w:rPr>
          <w:snapToGrid/>
        </w:rPr>
        <w:t xml:space="preserve">Petitioners have failed </w:t>
      </w:r>
      <w:r w:rsidR="007705F7" w:rsidRPr="00805207">
        <w:rPr>
          <w:snapToGrid/>
        </w:rPr>
        <w:t xml:space="preserve">to identify a direct economic or other connection between </w:t>
      </w:r>
      <w:r w:rsidR="007705F7">
        <w:rPr>
          <w:snapToGrid/>
        </w:rPr>
        <w:t>their</w:t>
      </w:r>
      <w:r w:rsidR="007705F7" w:rsidRPr="00805207">
        <w:rPr>
          <w:snapToGrid/>
        </w:rPr>
        <w:t xml:space="preserve"> interests and </w:t>
      </w:r>
      <w:r w:rsidR="007705F7">
        <w:rPr>
          <w:snapToGrid/>
        </w:rPr>
        <w:t xml:space="preserve">the Bureau’s </w:t>
      </w:r>
      <w:r w:rsidR="007705F7" w:rsidRPr="00805207">
        <w:rPr>
          <w:snapToGrid/>
        </w:rPr>
        <w:t>grant</w:t>
      </w:r>
      <w:r w:rsidR="007705F7">
        <w:rPr>
          <w:snapToGrid/>
        </w:rPr>
        <w:t>s</w:t>
      </w:r>
      <w:r w:rsidR="007705F7" w:rsidRPr="00805207">
        <w:rPr>
          <w:snapToGrid/>
        </w:rPr>
        <w:t xml:space="preserve"> of the</w:t>
      </w:r>
      <w:r w:rsidR="007705F7">
        <w:rPr>
          <w:snapToGrid/>
        </w:rPr>
        <w:t xml:space="preserve"> South Carolina, Mississippi or California assignment applications</w:t>
      </w:r>
      <w:r w:rsidR="007705F7" w:rsidRPr="00805207">
        <w:rPr>
          <w:snapToGrid/>
        </w:rPr>
        <w:t>.</w:t>
      </w:r>
      <w:r w:rsidR="007705F7">
        <w:rPr>
          <w:snapToGrid/>
        </w:rPr>
        <w:t xml:space="preserve">  Therefore, we dismiss, for lack of standing, the Application for Review to the extent that it challenges the Bureau’s grant of those applications.</w:t>
      </w:r>
      <w:r w:rsidR="007705F7" w:rsidRPr="00805207">
        <w:rPr>
          <w:snapToGrid/>
        </w:rPr>
        <w:t xml:space="preserve"> </w:t>
      </w:r>
    </w:p>
    <w:p w14:paraId="0B78682C" w14:textId="21D64402" w:rsidR="00FA458C" w:rsidRPr="003E1C58" w:rsidRDefault="00CA579D" w:rsidP="00CC73DC">
      <w:pPr>
        <w:pStyle w:val="ParaNum"/>
        <w:widowControl/>
        <w:rPr>
          <w:szCs w:val="22"/>
        </w:rPr>
      </w:pPr>
      <w:r>
        <w:rPr>
          <w:szCs w:val="22"/>
        </w:rPr>
        <w:t xml:space="preserve">In the </w:t>
      </w:r>
      <w:r w:rsidR="005A4A32">
        <w:rPr>
          <w:szCs w:val="22"/>
        </w:rPr>
        <w:t>AFR</w:t>
      </w:r>
      <w:r>
        <w:rPr>
          <w:szCs w:val="22"/>
        </w:rPr>
        <w:t>,</w:t>
      </w:r>
      <w:r w:rsidR="005A4A32">
        <w:rPr>
          <w:szCs w:val="22"/>
        </w:rPr>
        <w:t xml:space="preserve"> </w:t>
      </w:r>
      <w:r w:rsidR="00840743">
        <w:rPr>
          <w:szCs w:val="22"/>
        </w:rPr>
        <w:t>P</w:t>
      </w:r>
      <w:r w:rsidR="00EB7EBA" w:rsidRPr="003E1C58">
        <w:rPr>
          <w:color w:val="000000"/>
          <w:szCs w:val="22"/>
          <w:shd w:val="clear" w:color="auto" w:fill="FFFFFF"/>
        </w:rPr>
        <w:t xml:space="preserve">etitioners improperly raise </w:t>
      </w:r>
      <w:r w:rsidR="003056C3" w:rsidRPr="003E1C58">
        <w:rPr>
          <w:color w:val="000000"/>
          <w:szCs w:val="22"/>
          <w:shd w:val="clear" w:color="auto" w:fill="FFFFFF"/>
        </w:rPr>
        <w:t>for the first time</w:t>
      </w:r>
      <w:r w:rsidR="00643ECE" w:rsidRPr="003E1C58">
        <w:rPr>
          <w:rStyle w:val="FootnoteReference"/>
          <w:color w:val="000000"/>
          <w:szCs w:val="22"/>
          <w:shd w:val="clear" w:color="auto" w:fill="FFFFFF"/>
        </w:rPr>
        <w:footnoteReference w:id="10"/>
      </w:r>
      <w:r w:rsidR="00635333" w:rsidRPr="003E1C58">
        <w:rPr>
          <w:color w:val="000000"/>
          <w:szCs w:val="22"/>
          <w:shd w:val="clear" w:color="auto" w:fill="FFFFFF"/>
        </w:rPr>
        <w:t xml:space="preserve"> </w:t>
      </w:r>
      <w:r w:rsidR="00542BAC" w:rsidRPr="003E1C58">
        <w:rPr>
          <w:szCs w:val="22"/>
        </w:rPr>
        <w:t xml:space="preserve">that the </w:t>
      </w:r>
      <w:r w:rsidR="00542BAC" w:rsidRPr="003E1C58">
        <w:rPr>
          <w:i/>
          <w:szCs w:val="22"/>
        </w:rPr>
        <w:t>Staff Decision</w:t>
      </w:r>
      <w:r w:rsidR="00542BAC" w:rsidRPr="003E1C58">
        <w:rPr>
          <w:szCs w:val="22"/>
        </w:rPr>
        <w:t xml:space="preserve"> </w:t>
      </w:r>
      <w:r w:rsidR="00AD70F2" w:rsidRPr="003E1C58">
        <w:rPr>
          <w:szCs w:val="22"/>
        </w:rPr>
        <w:t xml:space="preserve">violates the United States </w:t>
      </w:r>
      <w:r w:rsidR="00AD70F2" w:rsidRPr="0064124D">
        <w:t>Constitution’s</w:t>
      </w:r>
      <w:r w:rsidR="00AD70F2" w:rsidRPr="003E1C58">
        <w:rPr>
          <w:szCs w:val="22"/>
        </w:rPr>
        <w:t xml:space="preserve"> </w:t>
      </w:r>
      <w:r w:rsidR="00542BAC" w:rsidRPr="003E1C58">
        <w:rPr>
          <w:szCs w:val="22"/>
        </w:rPr>
        <w:t>Equal Protection Clause</w:t>
      </w:r>
      <w:r w:rsidR="00AD70F2" w:rsidRPr="003E1C58">
        <w:rPr>
          <w:szCs w:val="22"/>
        </w:rPr>
        <w:t xml:space="preserve">; </w:t>
      </w:r>
      <w:r w:rsidR="00542BAC" w:rsidRPr="003E1C58">
        <w:rPr>
          <w:szCs w:val="22"/>
        </w:rPr>
        <w:t>the Fifth Amendment</w:t>
      </w:r>
      <w:r w:rsidR="00AD70F2" w:rsidRPr="003E1C58">
        <w:rPr>
          <w:szCs w:val="22"/>
        </w:rPr>
        <w:t xml:space="preserve">; </w:t>
      </w:r>
      <w:r w:rsidR="003056C3" w:rsidRPr="003E1C58">
        <w:rPr>
          <w:szCs w:val="22"/>
        </w:rPr>
        <w:t xml:space="preserve">the </w:t>
      </w:r>
      <w:r w:rsidR="00AD70F2" w:rsidRPr="003E1C58">
        <w:rPr>
          <w:szCs w:val="22"/>
        </w:rPr>
        <w:t xml:space="preserve">United States Court of Appeals for the Third Circuit decision in </w:t>
      </w:r>
      <w:r w:rsidR="00AD70F2" w:rsidRPr="003E1C58">
        <w:rPr>
          <w:i/>
          <w:szCs w:val="22"/>
        </w:rPr>
        <w:t>Prometheus Radio Project v. FCC</w:t>
      </w:r>
      <w:r w:rsidR="003056C3" w:rsidRPr="003E1C58">
        <w:rPr>
          <w:i/>
          <w:szCs w:val="22"/>
        </w:rPr>
        <w:t>;</w:t>
      </w:r>
      <w:r w:rsidR="00AD70F2" w:rsidRPr="003E1C58">
        <w:rPr>
          <w:rStyle w:val="FootnoteReference"/>
          <w:szCs w:val="22"/>
        </w:rPr>
        <w:footnoteReference w:id="11"/>
      </w:r>
      <w:r w:rsidR="003056C3" w:rsidRPr="003E1C58">
        <w:rPr>
          <w:i/>
          <w:szCs w:val="22"/>
        </w:rPr>
        <w:t xml:space="preserve"> </w:t>
      </w:r>
      <w:r w:rsidR="003056C3" w:rsidRPr="003E1C58">
        <w:rPr>
          <w:szCs w:val="22"/>
        </w:rPr>
        <w:t xml:space="preserve">and ignores the </w:t>
      </w:r>
      <w:r w:rsidR="005A4A32">
        <w:rPr>
          <w:szCs w:val="22"/>
        </w:rPr>
        <w:t xml:space="preserve">alleged </w:t>
      </w:r>
      <w:r w:rsidR="003056C3" w:rsidRPr="003E1C58">
        <w:rPr>
          <w:szCs w:val="22"/>
        </w:rPr>
        <w:t>disparate racial impact caused by grant of the Applications.</w:t>
      </w:r>
      <w:r w:rsidR="003056C3" w:rsidRPr="003E1C58">
        <w:rPr>
          <w:rStyle w:val="FootnoteReference"/>
          <w:szCs w:val="22"/>
        </w:rPr>
        <w:footnoteReference w:id="12"/>
      </w:r>
      <w:r w:rsidR="00AF580D" w:rsidRPr="003E1C58">
        <w:rPr>
          <w:szCs w:val="22"/>
        </w:rPr>
        <w:t xml:space="preserve">  </w:t>
      </w:r>
      <w:r w:rsidR="0015015D" w:rsidRPr="003E1C58">
        <w:rPr>
          <w:szCs w:val="22"/>
        </w:rPr>
        <w:t xml:space="preserve">Petitioners have failed to provide any explanation as to why </w:t>
      </w:r>
      <w:r w:rsidR="005A4A32">
        <w:rPr>
          <w:szCs w:val="22"/>
        </w:rPr>
        <w:t xml:space="preserve">they did not raise </w:t>
      </w:r>
      <w:r w:rsidR="0015015D" w:rsidRPr="003E1C58">
        <w:rPr>
          <w:szCs w:val="22"/>
        </w:rPr>
        <w:t xml:space="preserve">these arguments </w:t>
      </w:r>
      <w:r w:rsidR="00AF580D" w:rsidRPr="003E1C58">
        <w:rPr>
          <w:szCs w:val="22"/>
        </w:rPr>
        <w:t xml:space="preserve">previously before the Bureau.  </w:t>
      </w:r>
      <w:r w:rsidR="00904D1F" w:rsidRPr="003E1C58">
        <w:rPr>
          <w:szCs w:val="22"/>
        </w:rPr>
        <w:t>B</w:t>
      </w:r>
      <w:r w:rsidR="001706E5" w:rsidRPr="003E1C58">
        <w:rPr>
          <w:color w:val="000000"/>
          <w:szCs w:val="22"/>
          <w:shd w:val="clear" w:color="auto" w:fill="FFFFFF"/>
        </w:rPr>
        <w:t xml:space="preserve">ecause </w:t>
      </w:r>
      <w:r w:rsidR="001706E5" w:rsidRPr="003E1C58">
        <w:rPr>
          <w:color w:val="000000"/>
          <w:szCs w:val="22"/>
          <w:shd w:val="clear" w:color="auto" w:fill="FFFFFF"/>
        </w:rPr>
        <w:lastRenderedPageBreak/>
        <w:t xml:space="preserve">Petitioners did not afford the Bureau an opportunity to address these </w:t>
      </w:r>
      <w:r w:rsidR="00904D1F" w:rsidRPr="003E1C58">
        <w:rPr>
          <w:color w:val="000000"/>
          <w:szCs w:val="22"/>
          <w:shd w:val="clear" w:color="auto" w:fill="FFFFFF"/>
        </w:rPr>
        <w:t>arguments,</w:t>
      </w:r>
      <w:r w:rsidR="001706E5" w:rsidRPr="003E1C58">
        <w:rPr>
          <w:color w:val="000000"/>
          <w:szCs w:val="22"/>
          <w:shd w:val="clear" w:color="auto" w:fill="FFFFFF"/>
        </w:rPr>
        <w:t xml:space="preserve"> we </w:t>
      </w:r>
      <w:r w:rsidR="00F23A7A">
        <w:rPr>
          <w:color w:val="000000"/>
          <w:szCs w:val="22"/>
          <w:shd w:val="clear" w:color="auto" w:fill="FFFFFF"/>
        </w:rPr>
        <w:t xml:space="preserve">dismiss the AFR to the extent that it makes these </w:t>
      </w:r>
      <w:r w:rsidR="001706E5" w:rsidRPr="003E1C58">
        <w:rPr>
          <w:color w:val="000000"/>
          <w:szCs w:val="22"/>
          <w:shd w:val="clear" w:color="auto" w:fill="FFFFFF"/>
        </w:rPr>
        <w:t>contentions.</w:t>
      </w:r>
      <w:r w:rsidR="008E4FC1" w:rsidRPr="003E1C58">
        <w:rPr>
          <w:rStyle w:val="FootnoteReference"/>
          <w:color w:val="000000"/>
          <w:szCs w:val="22"/>
          <w:shd w:val="clear" w:color="auto" w:fill="FFFFFF"/>
        </w:rPr>
        <w:footnoteReference w:id="13"/>
      </w:r>
      <w:r w:rsidR="001706E5" w:rsidRPr="003E1C58">
        <w:rPr>
          <w:color w:val="000000"/>
          <w:szCs w:val="22"/>
          <w:shd w:val="clear" w:color="auto" w:fill="FFFFFF"/>
        </w:rPr>
        <w:t xml:space="preserve">   </w:t>
      </w:r>
      <w:r w:rsidR="004E3F0C" w:rsidRPr="003E1C58">
        <w:rPr>
          <w:color w:val="000000"/>
          <w:szCs w:val="22"/>
          <w:shd w:val="clear" w:color="auto" w:fill="FFFFFF"/>
        </w:rPr>
        <w:t xml:space="preserve">  </w:t>
      </w:r>
    </w:p>
    <w:p w14:paraId="36184F22" w14:textId="62F43E40" w:rsidR="0024217B" w:rsidRPr="003E1C58" w:rsidRDefault="001105F8" w:rsidP="00AF62D8">
      <w:pPr>
        <w:pStyle w:val="ParaNum"/>
        <w:tabs>
          <w:tab w:val="left" w:pos="1440"/>
        </w:tabs>
      </w:pPr>
      <w:r w:rsidRPr="003E1C58">
        <w:t xml:space="preserve">Moreover, </w:t>
      </w:r>
      <w:r w:rsidR="00CA579D">
        <w:t xml:space="preserve">with regard to Petitioners’ remaining arguments concerning the Applications, </w:t>
      </w:r>
      <w:r w:rsidR="008820B2" w:rsidRPr="003E1C58">
        <w:t xml:space="preserve">we </w:t>
      </w:r>
      <w:r w:rsidR="00141FDA" w:rsidRPr="003E1C58">
        <w:t xml:space="preserve">affirm the </w:t>
      </w:r>
      <w:r w:rsidR="00141FDA" w:rsidRPr="003E1C58">
        <w:rPr>
          <w:i/>
        </w:rPr>
        <w:t xml:space="preserve">Staff Decision </w:t>
      </w:r>
      <w:r w:rsidR="00141FDA" w:rsidRPr="003E1C58">
        <w:t xml:space="preserve">for the reasons stated therein.  Petitioners’ arguments </w:t>
      </w:r>
      <w:r w:rsidR="006872C2" w:rsidRPr="003E1C58">
        <w:t xml:space="preserve">below </w:t>
      </w:r>
      <w:r w:rsidR="00D34899" w:rsidRPr="003E1C58">
        <w:t xml:space="preserve">and on </w:t>
      </w:r>
      <w:r w:rsidR="00C17EE9">
        <w:t>review</w:t>
      </w:r>
      <w:r w:rsidR="002F78A2" w:rsidRPr="003E1C58">
        <w:rPr>
          <w:rStyle w:val="FootnoteReference"/>
          <w:szCs w:val="22"/>
        </w:rPr>
        <w:footnoteReference w:id="14"/>
      </w:r>
      <w:r w:rsidR="002F78A2" w:rsidRPr="003E1C58">
        <w:t xml:space="preserve"> a</w:t>
      </w:r>
      <w:r w:rsidR="006872C2" w:rsidRPr="003E1C58">
        <w:t>re conclusory and unsupported, at least with regard to th</w:t>
      </w:r>
      <w:r w:rsidR="00AF145D" w:rsidRPr="003E1C58">
        <w:t>ese</w:t>
      </w:r>
      <w:r w:rsidR="006872C2" w:rsidRPr="003E1C58">
        <w:t xml:space="preserve"> transaction</w:t>
      </w:r>
      <w:r w:rsidR="00AF145D" w:rsidRPr="003E1C58">
        <w:t>s</w:t>
      </w:r>
      <w:r w:rsidR="006872C2" w:rsidRPr="003E1C58">
        <w:t xml:space="preserve">, and </w:t>
      </w:r>
      <w:r w:rsidR="008820B2" w:rsidRPr="003E1C58">
        <w:t>Pe</w:t>
      </w:r>
      <w:r w:rsidRPr="003E1C58">
        <w:t xml:space="preserve">titioners </w:t>
      </w:r>
      <w:r w:rsidR="007A69E6" w:rsidRPr="003E1C58">
        <w:t xml:space="preserve">have </w:t>
      </w:r>
      <w:r w:rsidR="006872C2" w:rsidRPr="003E1C58">
        <w:t>f</w:t>
      </w:r>
      <w:r w:rsidR="005E3028" w:rsidRPr="003E1C58">
        <w:t xml:space="preserve">ailed to </w:t>
      </w:r>
      <w:r w:rsidR="00E91B58" w:rsidRPr="003E1C58">
        <w:t xml:space="preserve">raise a substantial and material question of fact </w:t>
      </w:r>
      <w:r w:rsidR="008820B2" w:rsidRPr="003E1C58">
        <w:t>regarding the q</w:t>
      </w:r>
      <w:r w:rsidR="005E3028" w:rsidRPr="003E1C58">
        <w:t xml:space="preserve">ualifications of Urban Radio or </w:t>
      </w:r>
      <w:r w:rsidR="008820B2" w:rsidRPr="003E1C58">
        <w:t>YMF</w:t>
      </w:r>
      <w:r w:rsidR="0092360C">
        <w:t xml:space="preserve"> Media New York</w:t>
      </w:r>
      <w:r w:rsidR="008820B2" w:rsidRPr="003E1C58">
        <w:t xml:space="preserve"> or </w:t>
      </w:r>
      <w:r w:rsidR="00B14EC9" w:rsidRPr="003E1C58">
        <w:t xml:space="preserve">shown </w:t>
      </w:r>
      <w:r w:rsidR="008820B2" w:rsidRPr="003E1C58">
        <w:t xml:space="preserve">that grant of the Applications </w:t>
      </w:r>
      <w:r w:rsidR="0092360C">
        <w:t>was</w:t>
      </w:r>
      <w:r w:rsidR="008820B2" w:rsidRPr="003E1C58">
        <w:t xml:space="preserve"> contrary to the public interest</w:t>
      </w:r>
      <w:r w:rsidR="0073209D" w:rsidRPr="003E1C58">
        <w:t>.</w:t>
      </w:r>
      <w:r w:rsidRPr="003E1C58">
        <w:rPr>
          <w:rStyle w:val="FootnoteReference"/>
          <w:szCs w:val="22"/>
        </w:rPr>
        <w:footnoteReference w:id="15"/>
      </w:r>
      <w:r w:rsidR="004D7B7B" w:rsidRPr="003E1C58">
        <w:t xml:space="preserve">  </w:t>
      </w:r>
    </w:p>
    <w:p w14:paraId="5A75B449" w14:textId="63A18400" w:rsidR="00C17EE9" w:rsidRDefault="0037364A" w:rsidP="00AF62D8">
      <w:pPr>
        <w:pStyle w:val="ParaNum"/>
        <w:tabs>
          <w:tab w:val="left" w:pos="1440"/>
        </w:tabs>
      </w:pPr>
      <w:r w:rsidRPr="003E1C58">
        <w:t xml:space="preserve">We agree with Petitioners that promoting broadcast ownership </w:t>
      </w:r>
      <w:r w:rsidR="00D33349" w:rsidRPr="003E1C58">
        <w:t>diversity is</w:t>
      </w:r>
      <w:r w:rsidR="0024217B" w:rsidRPr="003E1C58">
        <w:t xml:space="preserve"> an important Commission goal</w:t>
      </w:r>
      <w:r w:rsidRPr="003E1C58">
        <w:t>.</w:t>
      </w:r>
      <w:r w:rsidR="0024217B" w:rsidRPr="003E1C58">
        <w:rPr>
          <w:rStyle w:val="FootnoteReference"/>
          <w:szCs w:val="22"/>
        </w:rPr>
        <w:footnoteReference w:id="16"/>
      </w:r>
      <w:r w:rsidRPr="003E1C58">
        <w:t xml:space="preserve">  </w:t>
      </w:r>
      <w:r w:rsidR="003F54BF" w:rsidRPr="003E1C58">
        <w:t>H</w:t>
      </w:r>
      <w:r w:rsidR="00B812F6" w:rsidRPr="003E1C58">
        <w:t xml:space="preserve">owever, </w:t>
      </w:r>
      <w:r w:rsidR="006E1814" w:rsidRPr="003E1C58">
        <w:t xml:space="preserve">as observed by the Bureau, </w:t>
      </w:r>
      <w:r w:rsidR="00B812F6" w:rsidRPr="003E1C58">
        <w:t>t</w:t>
      </w:r>
      <w:r w:rsidRPr="003E1C58">
        <w:t>he scope of the Commission’s review</w:t>
      </w:r>
      <w:r w:rsidR="0024217B" w:rsidRPr="003E1C58">
        <w:t xml:space="preserve"> </w:t>
      </w:r>
      <w:r w:rsidR="005A4A32">
        <w:t xml:space="preserve">of an assignment application such as those at issue here </w:t>
      </w:r>
      <w:r w:rsidR="0024217B" w:rsidRPr="003E1C58">
        <w:t xml:space="preserve">is </w:t>
      </w:r>
      <w:r w:rsidR="00D33349" w:rsidRPr="003E1C58">
        <w:t>statutorily limited</w:t>
      </w:r>
      <w:r w:rsidR="0024217B" w:rsidRPr="003E1C58">
        <w:t xml:space="preserve"> to the transaction before it; we cannot </w:t>
      </w:r>
      <w:r w:rsidR="00E26853" w:rsidRPr="003E1C58">
        <w:t xml:space="preserve">consider whether the public interest, convenience, and necessity might be served by the assignment or transfer of </w:t>
      </w:r>
      <w:r w:rsidR="001E64FD">
        <w:t>the</w:t>
      </w:r>
      <w:r w:rsidR="001E64FD" w:rsidRPr="003E1C58">
        <w:t xml:space="preserve"> </w:t>
      </w:r>
      <w:r w:rsidR="00E26853" w:rsidRPr="003E1C58">
        <w:t>station license to any other than the proposed assignee or transferee.</w:t>
      </w:r>
      <w:r w:rsidR="00E26853" w:rsidRPr="003E1C58">
        <w:rPr>
          <w:rStyle w:val="FootnoteReference"/>
          <w:szCs w:val="22"/>
        </w:rPr>
        <w:footnoteReference w:id="17"/>
      </w:r>
      <w:r w:rsidR="00E26853" w:rsidRPr="003E1C58">
        <w:t xml:space="preserve">  </w:t>
      </w:r>
      <w:r w:rsidR="00B812F6" w:rsidRPr="003E1C58">
        <w:t xml:space="preserve">The Bureau </w:t>
      </w:r>
      <w:r w:rsidR="00C17EE9">
        <w:t xml:space="preserve">properly </w:t>
      </w:r>
      <w:r w:rsidR="00B812F6" w:rsidRPr="003E1C58">
        <w:t>found</w:t>
      </w:r>
      <w:r w:rsidR="005A4A32">
        <w:t xml:space="preserve"> in the </w:t>
      </w:r>
      <w:r w:rsidR="005A4A32" w:rsidRPr="00840743">
        <w:rPr>
          <w:i/>
        </w:rPr>
        <w:t>Staff Decision</w:t>
      </w:r>
      <w:r w:rsidR="00770A22" w:rsidRPr="003E1C58">
        <w:t xml:space="preserve">, on the basis of the </w:t>
      </w:r>
      <w:r w:rsidR="007F7646">
        <w:t>A</w:t>
      </w:r>
      <w:r w:rsidR="00770A22" w:rsidRPr="003E1C58">
        <w:t>pplication</w:t>
      </w:r>
      <w:r w:rsidR="002C3ECD" w:rsidRPr="003E1C58">
        <w:t>s</w:t>
      </w:r>
      <w:r w:rsidR="00770A22" w:rsidRPr="003E1C58">
        <w:t xml:space="preserve"> and pleadings, </w:t>
      </w:r>
      <w:r w:rsidR="00B812F6" w:rsidRPr="003E1C58">
        <w:t>that grant of the Applications is in the public interest</w:t>
      </w:r>
      <w:r w:rsidR="003B2983" w:rsidRPr="003E1C58">
        <w:t>,</w:t>
      </w:r>
      <w:r w:rsidR="0037325C" w:rsidRPr="003E1C58">
        <w:rPr>
          <w:rStyle w:val="FootnoteReference"/>
          <w:szCs w:val="22"/>
        </w:rPr>
        <w:footnoteReference w:id="18"/>
      </w:r>
      <w:r w:rsidR="003B2983" w:rsidRPr="003E1C58">
        <w:t xml:space="preserve"> </w:t>
      </w:r>
      <w:r w:rsidR="003B2983" w:rsidRPr="003E1C58">
        <w:rPr>
          <w:i/>
        </w:rPr>
        <w:t>i.e</w:t>
      </w:r>
      <w:r w:rsidR="00AA38E5" w:rsidRPr="003E1C58">
        <w:rPr>
          <w:i/>
        </w:rPr>
        <w:t xml:space="preserve">., </w:t>
      </w:r>
      <w:r w:rsidR="00520BB9" w:rsidRPr="003E1C58">
        <w:t xml:space="preserve">that </w:t>
      </w:r>
      <w:bookmarkStart w:id="46" w:name="SR;3519"/>
      <w:bookmarkStart w:id="47" w:name="SR;3522"/>
      <w:bookmarkStart w:id="48" w:name="SR;3523"/>
      <w:bookmarkStart w:id="49" w:name="SR;3524"/>
      <w:bookmarkStart w:id="50" w:name="SR;3525"/>
      <w:bookmarkEnd w:id="46"/>
      <w:bookmarkEnd w:id="47"/>
      <w:bookmarkEnd w:id="48"/>
      <w:bookmarkEnd w:id="49"/>
      <w:bookmarkEnd w:id="50"/>
      <w:r w:rsidR="00770A22" w:rsidRPr="003E1C58">
        <w:t xml:space="preserve">the </w:t>
      </w:r>
      <w:bookmarkStart w:id="51" w:name="SR;3528"/>
      <w:bookmarkStart w:id="52" w:name="SR;3529"/>
      <w:bookmarkStart w:id="53" w:name="SR;3530"/>
      <w:bookmarkEnd w:id="51"/>
      <w:bookmarkEnd w:id="52"/>
      <w:bookmarkEnd w:id="53"/>
      <w:r w:rsidR="00DF1F7D" w:rsidRPr="003E1C58">
        <w:t xml:space="preserve">parties are qualified </w:t>
      </w:r>
      <w:r w:rsidR="00770A22" w:rsidRPr="003E1C58">
        <w:t>under, and the</w:t>
      </w:r>
      <w:r w:rsidR="00DF1F7D" w:rsidRPr="003E1C58">
        <w:t xml:space="preserve"> proposed transaction</w:t>
      </w:r>
      <w:r w:rsidR="002C3ECD" w:rsidRPr="003E1C58">
        <w:t>s</w:t>
      </w:r>
      <w:r w:rsidR="00DF1F7D" w:rsidRPr="003E1C58">
        <w:t xml:space="preserve"> do not violate, the Act, the Rules or Commission policies</w:t>
      </w:r>
      <w:bookmarkStart w:id="54" w:name="SR;3534"/>
      <w:bookmarkStart w:id="55" w:name="SR;3535"/>
      <w:bookmarkStart w:id="56" w:name="SR;3536"/>
      <w:bookmarkStart w:id="57" w:name="SR;3537"/>
      <w:bookmarkStart w:id="58" w:name="SR;3538"/>
      <w:bookmarkStart w:id="59" w:name="SR;3540"/>
      <w:bookmarkStart w:id="60" w:name="SR;3542"/>
      <w:bookmarkStart w:id="61" w:name="SR;3544"/>
      <w:bookmarkStart w:id="62" w:name="SR;3545"/>
      <w:bookmarkEnd w:id="54"/>
      <w:bookmarkEnd w:id="55"/>
      <w:bookmarkEnd w:id="56"/>
      <w:bookmarkEnd w:id="57"/>
      <w:bookmarkEnd w:id="58"/>
      <w:bookmarkEnd w:id="59"/>
      <w:bookmarkEnd w:id="60"/>
      <w:bookmarkEnd w:id="61"/>
      <w:bookmarkEnd w:id="62"/>
      <w:r w:rsidR="00770A22" w:rsidRPr="003E1C58">
        <w:t>.</w:t>
      </w:r>
      <w:r w:rsidR="004447F5" w:rsidRPr="003E1C58">
        <w:rPr>
          <w:rStyle w:val="FootnoteReference"/>
          <w:szCs w:val="22"/>
        </w:rPr>
        <w:footnoteReference w:id="19"/>
      </w:r>
      <w:r w:rsidR="00AA38E5" w:rsidRPr="003E1C58">
        <w:t xml:space="preserve">  </w:t>
      </w:r>
      <w:r w:rsidR="00C17EE9">
        <w:t>The trans</w:t>
      </w:r>
      <w:r w:rsidR="00520BB9" w:rsidRPr="003E1C58">
        <w:t>actions here</w:t>
      </w:r>
      <w:r w:rsidR="005A4A32">
        <w:t>, which carry out the determination of the bankruptcy court that, subject to the Commission</w:t>
      </w:r>
      <w:r w:rsidR="001E64FD">
        <w:t>’</w:t>
      </w:r>
      <w:r w:rsidR="005A4A32">
        <w:t>s approval, each  station</w:t>
      </w:r>
      <w:r w:rsidR="00F33452">
        <w:t xml:space="preserve"> </w:t>
      </w:r>
      <w:r w:rsidR="007F7646">
        <w:t>noted herein</w:t>
      </w:r>
      <w:r w:rsidR="005A4A32">
        <w:t xml:space="preserve"> should be assigned to the assignee</w:t>
      </w:r>
      <w:r w:rsidR="007705F7">
        <w:t xml:space="preserve"> named in its assignment application</w:t>
      </w:r>
      <w:r w:rsidR="005A4A32">
        <w:t>,</w:t>
      </w:r>
      <w:r w:rsidR="00520BB9" w:rsidRPr="003E1C58">
        <w:t xml:space="preserve"> involve steps taken in accordance with longstanding Commission policies of pr</w:t>
      </w:r>
      <w:r w:rsidR="000F6B43" w:rsidRPr="003E1C58">
        <w:t>otecting creditors’ interests</w:t>
      </w:r>
      <w:r w:rsidR="00C17EE9">
        <w:t>.</w:t>
      </w:r>
      <w:r w:rsidR="009545BA" w:rsidRPr="003E1C58">
        <w:rPr>
          <w:rStyle w:val="FootnoteReference"/>
          <w:szCs w:val="22"/>
        </w:rPr>
        <w:footnoteReference w:id="20"/>
      </w:r>
      <w:r w:rsidR="00991D9B" w:rsidRPr="003E1C58">
        <w:t xml:space="preserve"> </w:t>
      </w:r>
    </w:p>
    <w:p w14:paraId="4DF8D781" w14:textId="69768FA6" w:rsidR="0041388A" w:rsidRDefault="00C17EE9" w:rsidP="00BF3455">
      <w:pPr>
        <w:pStyle w:val="ParaNum"/>
        <w:keepNext/>
        <w:widowControl/>
        <w:tabs>
          <w:tab w:val="left" w:pos="1440"/>
        </w:tabs>
        <w:rPr>
          <w:szCs w:val="22"/>
        </w:rPr>
      </w:pPr>
      <w:r>
        <w:rPr>
          <w:szCs w:val="22"/>
        </w:rPr>
        <w:t>ACCO</w:t>
      </w:r>
      <w:r w:rsidR="0041388A" w:rsidRPr="003E1C58">
        <w:rPr>
          <w:szCs w:val="22"/>
        </w:rPr>
        <w:t>RDINGLY, IT IS ORDERED that, pursuant to Section 5(c)(5) of the Communications Act of 1934, as amended,</w:t>
      </w:r>
      <w:r w:rsidR="0041388A" w:rsidRPr="003E1C58">
        <w:rPr>
          <w:rStyle w:val="FootnoteReference"/>
          <w:szCs w:val="22"/>
        </w:rPr>
        <w:footnoteReference w:id="21"/>
      </w:r>
      <w:r w:rsidR="0041388A" w:rsidRPr="003E1C58">
        <w:rPr>
          <w:szCs w:val="22"/>
        </w:rPr>
        <w:t xml:space="preserve"> and </w:t>
      </w:r>
      <w:r w:rsidR="0041388A" w:rsidRPr="00AF62D8">
        <w:t>Section</w:t>
      </w:r>
      <w:r w:rsidR="0041388A" w:rsidRPr="003E1C58">
        <w:rPr>
          <w:szCs w:val="22"/>
        </w:rPr>
        <w:t xml:space="preserve"> 1.115</w:t>
      </w:r>
      <w:r w:rsidR="00717CE9" w:rsidRPr="003E1C58">
        <w:rPr>
          <w:szCs w:val="22"/>
        </w:rPr>
        <w:t xml:space="preserve"> </w:t>
      </w:r>
      <w:r w:rsidR="00F23A7A">
        <w:rPr>
          <w:szCs w:val="22"/>
        </w:rPr>
        <w:t xml:space="preserve">(a), </w:t>
      </w:r>
      <w:r w:rsidR="00717CE9" w:rsidRPr="003E1C58">
        <w:rPr>
          <w:szCs w:val="22"/>
        </w:rPr>
        <w:t>(c)</w:t>
      </w:r>
      <w:r w:rsidR="00A46442">
        <w:rPr>
          <w:szCs w:val="22"/>
        </w:rPr>
        <w:t xml:space="preserve"> and</w:t>
      </w:r>
      <w:r w:rsidR="00717CE9" w:rsidRPr="003E1C58">
        <w:rPr>
          <w:szCs w:val="22"/>
        </w:rPr>
        <w:t xml:space="preserve"> </w:t>
      </w:r>
      <w:r w:rsidR="0041388A" w:rsidRPr="003E1C58">
        <w:rPr>
          <w:szCs w:val="22"/>
        </w:rPr>
        <w:t>(</w:t>
      </w:r>
      <w:r w:rsidR="00E462A4" w:rsidRPr="003E1C58">
        <w:rPr>
          <w:szCs w:val="22"/>
        </w:rPr>
        <w:t>f</w:t>
      </w:r>
      <w:r w:rsidR="0041388A" w:rsidRPr="003E1C58">
        <w:rPr>
          <w:szCs w:val="22"/>
        </w:rPr>
        <w:t>) of the Commission’s rules,</w:t>
      </w:r>
      <w:r w:rsidR="0041388A" w:rsidRPr="003E1C58">
        <w:rPr>
          <w:rStyle w:val="FootnoteReference"/>
          <w:szCs w:val="22"/>
        </w:rPr>
        <w:footnoteReference w:id="22"/>
      </w:r>
      <w:r w:rsidR="0041388A" w:rsidRPr="003E1C58">
        <w:rPr>
          <w:szCs w:val="22"/>
        </w:rPr>
        <w:t xml:space="preserve"> the Application for Review IS D</w:t>
      </w:r>
      <w:r w:rsidR="0007344E" w:rsidRPr="003E1C58">
        <w:rPr>
          <w:szCs w:val="22"/>
        </w:rPr>
        <w:t>ISMISSED</w:t>
      </w:r>
      <w:r w:rsidR="00505B83">
        <w:rPr>
          <w:szCs w:val="22"/>
        </w:rPr>
        <w:t xml:space="preserve"> IN PART AND DENIED IN PART</w:t>
      </w:r>
      <w:r w:rsidR="0041388A" w:rsidRPr="003E1C58">
        <w:rPr>
          <w:szCs w:val="22"/>
        </w:rPr>
        <w:t xml:space="preserve">.  </w:t>
      </w:r>
    </w:p>
    <w:p w14:paraId="5300A85E" w14:textId="77777777" w:rsidR="00D82436" w:rsidRDefault="00D82436" w:rsidP="0017296B">
      <w:r>
        <w:tab/>
      </w:r>
      <w:r>
        <w:tab/>
      </w:r>
      <w:r>
        <w:tab/>
      </w:r>
      <w:r>
        <w:tab/>
      </w:r>
      <w:r>
        <w:tab/>
      </w:r>
      <w:r>
        <w:tab/>
        <w:t>FEDERAL COMMUNICATIONS COMMISSION</w:t>
      </w:r>
    </w:p>
    <w:p w14:paraId="5B480D44" w14:textId="77777777" w:rsidR="00D82436" w:rsidRDefault="00D82436" w:rsidP="0017296B"/>
    <w:p w14:paraId="7631D1DA" w14:textId="77777777" w:rsidR="00D82436" w:rsidRDefault="00D82436" w:rsidP="0017296B"/>
    <w:p w14:paraId="704C8477" w14:textId="77777777" w:rsidR="00D82436" w:rsidRDefault="00D82436" w:rsidP="0017296B"/>
    <w:p w14:paraId="4282B534" w14:textId="77777777" w:rsidR="00D82436" w:rsidRDefault="00D82436" w:rsidP="0017296B"/>
    <w:p w14:paraId="2B6E5BFE" w14:textId="77777777" w:rsidR="00D82436" w:rsidRDefault="00D82436" w:rsidP="0017296B">
      <w:r>
        <w:tab/>
      </w:r>
      <w:r>
        <w:tab/>
      </w:r>
      <w:r>
        <w:tab/>
      </w:r>
      <w:r>
        <w:tab/>
      </w:r>
      <w:r>
        <w:tab/>
      </w:r>
      <w:r>
        <w:tab/>
        <w:t>Marlene H. Dortch</w:t>
      </w:r>
    </w:p>
    <w:p w14:paraId="43CBD96B" w14:textId="77777777" w:rsidR="00D82436" w:rsidRDefault="00D82436" w:rsidP="0017296B">
      <w:r>
        <w:tab/>
      </w:r>
      <w:r>
        <w:tab/>
      </w:r>
      <w:r>
        <w:tab/>
      </w:r>
      <w:r>
        <w:tab/>
      </w:r>
      <w:r>
        <w:tab/>
      </w:r>
      <w:r>
        <w:tab/>
        <w:t>Secretary</w:t>
      </w:r>
    </w:p>
    <w:sectPr w:rsidR="00D82436" w:rsidSect="00C675C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DC27" w14:textId="77777777" w:rsidR="00A2764C" w:rsidRDefault="00A2764C" w:rsidP="00CC43EF">
      <w:r>
        <w:separator/>
      </w:r>
    </w:p>
  </w:endnote>
  <w:endnote w:type="continuationSeparator" w:id="0">
    <w:p w14:paraId="2FDAA479" w14:textId="77777777" w:rsidR="00A2764C" w:rsidRDefault="00A2764C" w:rsidP="00C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5232" w14:textId="77777777" w:rsidR="00064916" w:rsidRDefault="00064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F91E" w14:textId="77777777" w:rsidR="00840743" w:rsidRDefault="00840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D91">
      <w:rPr>
        <w:rStyle w:val="PageNumber"/>
        <w:noProof/>
      </w:rPr>
      <w:t>2</w:t>
    </w:r>
    <w:r>
      <w:rPr>
        <w:rStyle w:val="PageNumber"/>
      </w:rPr>
      <w:fldChar w:fldCharType="end"/>
    </w:r>
  </w:p>
  <w:p w14:paraId="059AD90E" w14:textId="77777777" w:rsidR="00840743" w:rsidRDefault="00840743">
    <w:pPr>
      <w:pStyle w:val="Footer"/>
      <w:jc w:val="center"/>
      <w:rPr>
        <w:rStyle w:val="PageNumber"/>
      </w:rPr>
    </w:pPr>
  </w:p>
  <w:p w14:paraId="2085A9F5" w14:textId="77777777" w:rsidR="00840743" w:rsidRDefault="00840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5E96" w14:textId="77777777" w:rsidR="00840743" w:rsidRDefault="008407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DEB7" w14:textId="77777777" w:rsidR="00A2764C" w:rsidRDefault="00A2764C" w:rsidP="00CC43EF">
      <w:r>
        <w:separator/>
      </w:r>
    </w:p>
  </w:footnote>
  <w:footnote w:type="continuationSeparator" w:id="0">
    <w:p w14:paraId="22A9889B" w14:textId="21F396DB" w:rsidR="00A2764C" w:rsidRPr="00A043CB" w:rsidRDefault="00A043CB" w:rsidP="00A043CB">
      <w:pPr>
        <w:spacing w:before="120"/>
        <w:rPr>
          <w:sz w:val="20"/>
        </w:rPr>
      </w:pPr>
      <w:r>
        <w:rPr>
          <w:sz w:val="20"/>
        </w:rPr>
        <w:t xml:space="preserve">(Continued from previous page)  </w:t>
      </w:r>
      <w:r>
        <w:rPr>
          <w:sz w:val="20"/>
        </w:rPr>
        <w:separator/>
      </w:r>
    </w:p>
  </w:footnote>
  <w:footnote w:type="continuationNotice" w:id="1">
    <w:p w14:paraId="270BE2A5" w14:textId="2759FF58" w:rsidR="00A043CB" w:rsidRPr="00A043CB" w:rsidRDefault="00A043CB" w:rsidP="00A043CB">
      <w:pPr>
        <w:jc w:val="right"/>
        <w:rPr>
          <w:sz w:val="20"/>
        </w:rPr>
      </w:pPr>
      <w:r>
        <w:rPr>
          <w:sz w:val="20"/>
        </w:rPr>
        <w:t>(continued….)</w:t>
      </w:r>
    </w:p>
  </w:footnote>
  <w:footnote w:id="2">
    <w:p w14:paraId="661B6957" w14:textId="1380450A" w:rsidR="00840743" w:rsidRPr="003E1C58" w:rsidRDefault="00840743" w:rsidP="00805A47">
      <w:pPr>
        <w:pStyle w:val="FootnoteText"/>
      </w:pPr>
      <w:r w:rsidRPr="003E1C58">
        <w:rPr>
          <w:rStyle w:val="FootnoteReference"/>
        </w:rPr>
        <w:footnoteRef/>
      </w:r>
      <w:r w:rsidRPr="003E1C58">
        <w:t xml:space="preserve"> </w:t>
      </w:r>
      <w:r>
        <w:t xml:space="preserve">The license assignments for the captioned stations proposed in the captioned applications were consummated on October 22, 2012.  </w:t>
      </w:r>
      <w:r w:rsidRPr="00840743">
        <w:rPr>
          <w:i/>
        </w:rPr>
        <w:t>See</w:t>
      </w:r>
      <w:r>
        <w:t xml:space="preserve"> October 26, 2012</w:t>
      </w:r>
      <w:r w:rsidR="001C2522">
        <w:t>,</w:t>
      </w:r>
      <w:r>
        <w:t xml:space="preserve"> </w:t>
      </w:r>
      <w:r w:rsidR="001C2522">
        <w:t>“</w:t>
      </w:r>
      <w:r>
        <w:t>Opposition to Application for Review</w:t>
      </w:r>
      <w:r w:rsidR="001C2522">
        <w:t xml:space="preserve">” </w:t>
      </w:r>
      <w:r>
        <w:t>of YMF Media New York Licensee LLC</w:t>
      </w:r>
      <w:r w:rsidR="001C2522">
        <w:t xml:space="preserve"> (“Opposition”)</w:t>
      </w:r>
      <w:r>
        <w:t xml:space="preserve"> at 1. </w:t>
      </w:r>
      <w:r w:rsidRPr="003E1C58">
        <w:t xml:space="preserve">Currently, pending are applications for </w:t>
      </w:r>
      <w:r>
        <w:t xml:space="preserve">the further </w:t>
      </w:r>
      <w:r w:rsidRPr="003E1C58">
        <w:t xml:space="preserve">assignment of </w:t>
      </w:r>
      <w:r>
        <w:t xml:space="preserve">those </w:t>
      </w:r>
      <w:r w:rsidRPr="003E1C58">
        <w:t>license</w:t>
      </w:r>
      <w:r>
        <w:t>s</w:t>
      </w:r>
      <w:r w:rsidRPr="003E1C58">
        <w:t xml:space="preserve"> </w:t>
      </w:r>
      <w:r>
        <w:t xml:space="preserve">stations </w:t>
      </w:r>
      <w:r w:rsidRPr="003E1C58">
        <w:t xml:space="preserve">from YMF Media, New York Licensee LLC (“YMF Media New York”) to WBLS-WLIB License LLC. </w:t>
      </w:r>
      <w:r w:rsidRPr="003E1C58">
        <w:rPr>
          <w:i/>
        </w:rPr>
        <w:t>See</w:t>
      </w:r>
      <w:r w:rsidRPr="003E1C58">
        <w:t xml:space="preserve"> File No</w:t>
      </w:r>
      <w:r>
        <w:t>s</w:t>
      </w:r>
      <w:r w:rsidRPr="003E1C58">
        <w:t>. BAL-20140221AAQ</w:t>
      </w:r>
      <w:r>
        <w:t>,</w:t>
      </w:r>
      <w:r w:rsidRPr="003E1C58">
        <w:t xml:space="preserve"> </w:t>
      </w:r>
      <w:r w:rsidRPr="003E1C58">
        <w:rPr>
          <w:i/>
        </w:rPr>
        <w:t>et seq.</w:t>
      </w:r>
    </w:p>
  </w:footnote>
  <w:footnote w:id="3">
    <w:p w14:paraId="08D45737" w14:textId="3C8EAFAC" w:rsidR="0028304F" w:rsidRDefault="0028304F">
      <w:pPr>
        <w:pStyle w:val="FootnoteText"/>
      </w:pPr>
      <w:r>
        <w:rPr>
          <w:rStyle w:val="FootnoteReference"/>
        </w:rPr>
        <w:footnoteRef/>
      </w:r>
      <w:r>
        <w:t xml:space="preserve"> 47 C.F.R. §</w:t>
      </w:r>
      <w:r w:rsidRPr="003E1C58">
        <w:t>1.115(f) provides that applications for review “shall not exceed 25 double-space typewritten pages.”  Here, the AFR is 34 double-spaced pages</w:t>
      </w:r>
      <w:r>
        <w:t xml:space="preserve">, not including its Table of Contents, Summary of the Argument, or the attached Declarations and Exhibits.  </w:t>
      </w:r>
      <w:r>
        <w:rPr>
          <w:i/>
        </w:rPr>
        <w:t xml:space="preserve">See </w:t>
      </w:r>
      <w:r w:rsidRPr="003E1C58">
        <w:t>47 C.F.R. §1.48(a).  Petitioners request a waiver</w:t>
      </w:r>
      <w:r>
        <w:t xml:space="preserve"> of the page-limit rule in the A4R </w:t>
      </w:r>
      <w:r w:rsidRPr="003E1C58">
        <w:t xml:space="preserve">because the AFR addresses </w:t>
      </w:r>
      <w:r>
        <w:t>“</w:t>
      </w:r>
      <w:r w:rsidRPr="003E1C58">
        <w:t>important public policy issues  . . . .</w:t>
      </w:r>
      <w:r>
        <w:t>”</w:t>
      </w:r>
      <w:r w:rsidRPr="003E1C58">
        <w:rPr>
          <w:rStyle w:val="FootnoteReference"/>
          <w:szCs w:val="22"/>
        </w:rPr>
        <w:footnoteRef/>
      </w:r>
      <w:r w:rsidRPr="003E1C58">
        <w:t xml:space="preserve"> </w:t>
      </w:r>
      <w:r>
        <w:t xml:space="preserve"> AFR at 1.  Because we consider </w:t>
      </w:r>
      <w:r w:rsidR="00F40DF7">
        <w:t xml:space="preserve">below </w:t>
      </w:r>
      <w:r w:rsidR="00960C5D">
        <w:t xml:space="preserve">and reject </w:t>
      </w:r>
      <w:r w:rsidR="0059365A">
        <w:t xml:space="preserve">all </w:t>
      </w:r>
      <w:r>
        <w:t xml:space="preserve">the </w:t>
      </w:r>
      <w:r w:rsidR="0000727D">
        <w:t xml:space="preserve">arguments raised in the </w:t>
      </w:r>
      <w:r>
        <w:t xml:space="preserve">AFR </w:t>
      </w:r>
      <w:r w:rsidR="0059365A">
        <w:t xml:space="preserve">on other grounds, </w:t>
      </w:r>
      <w:r>
        <w:t xml:space="preserve"> we need not address </w:t>
      </w:r>
      <w:r w:rsidR="00CA579D">
        <w:t>the waiver request</w:t>
      </w:r>
      <w:r>
        <w:t xml:space="preserve">. </w:t>
      </w:r>
    </w:p>
  </w:footnote>
  <w:footnote w:id="4">
    <w:p w14:paraId="26356300" w14:textId="09EB46E8" w:rsidR="00840743" w:rsidRPr="003E1C58" w:rsidRDefault="00840743" w:rsidP="00805A47">
      <w:pPr>
        <w:pStyle w:val="FootnoteText"/>
      </w:pPr>
      <w:r w:rsidRPr="003E1C58">
        <w:rPr>
          <w:rStyle w:val="FootnoteReference"/>
        </w:rPr>
        <w:footnoteRef/>
      </w:r>
      <w:r w:rsidRPr="003E1C58">
        <w:t xml:space="preserve"> On October 26, 2012, YMF New York filed </w:t>
      </w:r>
      <w:r w:rsidR="001C2522">
        <w:t xml:space="preserve">its </w:t>
      </w:r>
      <w:r w:rsidRPr="003E1C58">
        <w:t>“Opposition</w:t>
      </w:r>
      <w:r w:rsidR="001C2522">
        <w:t>.”</w:t>
      </w:r>
      <w:r w:rsidRPr="003E1C58">
        <w:t xml:space="preserve">  On November 16, 2012, Petitioners untimely filed a “Reply to Opposition to Application for Review” (“Reply”).  In the Reply, Petitioners requested “an exception to the ten-day reply provision of 47 C.F.R. § 1.115(d) by reason of the interruption in electricity to . . .  [Bob Law] caused by Hurricane Sandy.”  Reply at 1. </w:t>
      </w:r>
      <w:r w:rsidR="007F087C">
        <w:t xml:space="preserve"> </w:t>
      </w:r>
      <w:r>
        <w:t>Because we are dismissing the AFR for reasons not addressed in the Reply, we need not rule on this request.</w:t>
      </w:r>
    </w:p>
  </w:footnote>
  <w:footnote w:id="5">
    <w:p w14:paraId="25AD2D6F" w14:textId="425C3563" w:rsidR="00840743" w:rsidRPr="003E1C58" w:rsidRDefault="00840743" w:rsidP="00805A47">
      <w:pPr>
        <w:pStyle w:val="FootnoteText"/>
      </w:pPr>
      <w:r w:rsidRPr="003E1C58">
        <w:rPr>
          <w:rStyle w:val="FootnoteReference"/>
        </w:rPr>
        <w:footnoteRef/>
      </w:r>
      <w:r w:rsidRPr="003E1C58">
        <w:t xml:space="preserve"> </w:t>
      </w:r>
      <w:r w:rsidRPr="003E1C58">
        <w:rPr>
          <w:i/>
        </w:rPr>
        <w:t xml:space="preserve">See Staff Decision.  </w:t>
      </w:r>
      <w:r w:rsidRPr="003E1C58">
        <w:t xml:space="preserve">The </w:t>
      </w:r>
      <w:r w:rsidRPr="003E1C58">
        <w:rPr>
          <w:i/>
        </w:rPr>
        <w:t>Staff Decision</w:t>
      </w:r>
      <w:r w:rsidRPr="003E1C58">
        <w:t xml:space="preserve"> also denied </w:t>
      </w:r>
      <w:r>
        <w:t>the June 4, 2012</w:t>
      </w:r>
      <w:r w:rsidRPr="003E1C58">
        <w:t xml:space="preserve"> “Petition to Deny” filed by </w:t>
      </w:r>
      <w:r>
        <w:t xml:space="preserve">New York resident </w:t>
      </w:r>
      <w:r w:rsidRPr="003E1C58">
        <w:t>Lloyd Douglas</w:t>
      </w:r>
      <w:r>
        <w:t>,</w:t>
      </w:r>
      <w:r w:rsidRPr="003E1C58">
        <w:t xml:space="preserve"> who did not appeal this </w:t>
      </w:r>
      <w:r>
        <w:t>D</w:t>
      </w:r>
      <w:r w:rsidRPr="003E1C58">
        <w:t xml:space="preserve">ecision. </w:t>
      </w:r>
    </w:p>
  </w:footnote>
  <w:footnote w:id="6">
    <w:p w14:paraId="7CD47412" w14:textId="77777777" w:rsidR="00840743" w:rsidRPr="00485B4C" w:rsidRDefault="00840743" w:rsidP="007705F7">
      <w:pPr>
        <w:pStyle w:val="FootnoteText"/>
      </w:pPr>
      <w:r>
        <w:rPr>
          <w:rStyle w:val="FootnoteReference"/>
        </w:rPr>
        <w:footnoteRef/>
      </w:r>
      <w:r>
        <w:t xml:space="preserve"> 47 U.S.C. § 155(c)(4); 47 C.F.R. § 1.115(a) (“Any person aggrieved by any action taken pursuant to delegated authority may file an application requesting review of that action by the Commission </w:t>
      </w:r>
      <w:r w:rsidRPr="00A65BF8">
        <w:t>. . . Any application for review which fails to make an adequate showing in this respect will be dismissed</w:t>
      </w:r>
      <w:r>
        <w:t>.”).</w:t>
      </w:r>
    </w:p>
  </w:footnote>
  <w:footnote w:id="7">
    <w:p w14:paraId="7D75C07C" w14:textId="77777777" w:rsidR="00840743" w:rsidRPr="009C79BB" w:rsidRDefault="00840743" w:rsidP="007705F7">
      <w:pPr>
        <w:pStyle w:val="FootnoteText"/>
      </w:pPr>
      <w:r>
        <w:rPr>
          <w:rStyle w:val="FootnoteReference"/>
        </w:rPr>
        <w:footnoteRef/>
      </w:r>
      <w:r>
        <w:t xml:space="preserve"> </w:t>
      </w:r>
      <w:r>
        <w:rPr>
          <w:i/>
        </w:rPr>
        <w:t>See, e.g., Applications of AT&amp;T Inc. and Deutsche Telecom AG for Consent to Assign or Transfer Control of Licenses and Authorizations</w:t>
      </w:r>
      <w:r>
        <w:t xml:space="preserve">, Memorandum Opinion and Order, </w:t>
      </w:r>
      <w:r w:rsidRPr="00146BC1">
        <w:t>27 FCC Rcd 4423</w:t>
      </w:r>
      <w:r>
        <w:t>, 4425 (2012);</w:t>
      </w:r>
      <w:r>
        <w:rPr>
          <w:i/>
        </w:rPr>
        <w:t xml:space="preserve"> Applications of WINV, Inc. and WGUL-FM, Inc. for Renewal and Assignment of License of WINV(AM), Inverness, Florida</w:t>
      </w:r>
      <w:r>
        <w:t>, Memorandum Opinion and Order, 14 FCC Rcd 2032, 2033 (1998).</w:t>
      </w:r>
    </w:p>
  </w:footnote>
  <w:footnote w:id="8">
    <w:p w14:paraId="04A4A5A9" w14:textId="688DD05B" w:rsidR="00840743" w:rsidRPr="00840743" w:rsidRDefault="00840743">
      <w:pPr>
        <w:pStyle w:val="FootnoteText"/>
      </w:pPr>
      <w:r>
        <w:rPr>
          <w:rStyle w:val="FootnoteReference"/>
        </w:rPr>
        <w:footnoteRef/>
      </w:r>
      <w:r>
        <w:t xml:space="preserve"> </w:t>
      </w:r>
      <w:r w:rsidRPr="008B49B8">
        <w:rPr>
          <w:i/>
        </w:rPr>
        <w:t>See</w:t>
      </w:r>
      <w:r w:rsidRPr="008B49B8">
        <w:t xml:space="preserve"> </w:t>
      </w:r>
      <w:r w:rsidR="00027619" w:rsidRPr="008B49B8">
        <w:t xml:space="preserve">Urban Radio II, L.L.C., Debtor-in-Possession </w:t>
      </w:r>
      <w:r w:rsidR="00027619" w:rsidRPr="005B4AB8">
        <w:t xml:space="preserve">and YMF Media South Carolina Licensee, LLC for Consent to Assign Licenses for </w:t>
      </w:r>
      <w:r w:rsidR="008B49B8">
        <w:t xml:space="preserve"> Stations </w:t>
      </w:r>
      <w:r w:rsidR="00027619" w:rsidRPr="005B4AB8">
        <w:t>WOIC(AM), Columbia, SC</w:t>
      </w:r>
      <w:r w:rsidR="008B49B8">
        <w:t xml:space="preserve"> (Facility ID No. 73370)</w:t>
      </w:r>
      <w:r w:rsidR="00027619" w:rsidRPr="005B4AB8">
        <w:t>, WARQ(FM), Columbia, SC</w:t>
      </w:r>
      <w:r w:rsidR="008B49B8">
        <w:t xml:space="preserve"> (Facility ID No. 58400)</w:t>
      </w:r>
      <w:r w:rsidR="00027619" w:rsidRPr="005B4AB8">
        <w:t>, WHXT(FM), Orangeburg, SC</w:t>
      </w:r>
      <w:r w:rsidR="008B49B8">
        <w:t xml:space="preserve"> (Facility ID No. 50522)</w:t>
      </w:r>
      <w:r w:rsidR="00027619" w:rsidRPr="005B4AB8">
        <w:t>, WMFX(FM), St. Andrews, SC</w:t>
      </w:r>
      <w:r w:rsidR="008B49B8">
        <w:t xml:space="preserve"> (Facility ID No. 19471)</w:t>
      </w:r>
      <w:r w:rsidR="00027619" w:rsidRPr="005B4AB8">
        <w:t>, and WWDM(FM), Sumter, SC</w:t>
      </w:r>
      <w:r w:rsidR="008B49B8">
        <w:t xml:space="preserve"> (Facility ID No. 58398)</w:t>
      </w:r>
      <w:r w:rsidR="00027619">
        <w:t xml:space="preserve">, File Nos. </w:t>
      </w:r>
      <w:r w:rsidR="00027619" w:rsidRPr="003E1C58">
        <w:rPr>
          <w:szCs w:val="22"/>
        </w:rPr>
        <w:t>BAL-20120430ADJ,</w:t>
      </w:r>
      <w:r w:rsidR="00FE4374">
        <w:rPr>
          <w:szCs w:val="22"/>
        </w:rPr>
        <w:t xml:space="preserve"> </w:t>
      </w:r>
      <w:r w:rsidR="00027619" w:rsidRPr="003E1C58">
        <w:rPr>
          <w:i/>
          <w:szCs w:val="22"/>
        </w:rPr>
        <w:t>et seq.</w:t>
      </w:r>
      <w:r w:rsidR="00027619">
        <w:rPr>
          <w:i/>
          <w:szCs w:val="22"/>
        </w:rPr>
        <w:t xml:space="preserve">; </w:t>
      </w:r>
      <w:r w:rsidR="00027619" w:rsidRPr="008B49B8">
        <w:t>Urban Radio II, L.L.C., Debtor-in-Possession and YMF Media Mississippi Licensee, LLC for Consent to Assign Licenses</w:t>
      </w:r>
      <w:r w:rsidR="00027619" w:rsidRPr="005B4AB8">
        <w:t xml:space="preserve"> for </w:t>
      </w:r>
      <w:r w:rsidR="007444B6">
        <w:t xml:space="preserve">Stations </w:t>
      </w:r>
      <w:r w:rsidR="00027619" w:rsidRPr="005B4AB8">
        <w:t>WOAD(AM), Jackson, MS</w:t>
      </w:r>
      <w:r w:rsidR="007444B6">
        <w:t xml:space="preserve"> (Facility ID No. 50404)</w:t>
      </w:r>
      <w:r w:rsidR="00027619" w:rsidRPr="005B4AB8">
        <w:t>,WJQS(AM), Jackson, MS</w:t>
      </w:r>
      <w:r w:rsidR="007444B6">
        <w:t xml:space="preserve"> (Facility ID No. 50409)</w:t>
      </w:r>
      <w:r w:rsidR="00027619" w:rsidRPr="005B4AB8">
        <w:t>,WJMI(FM), Jackson, MS</w:t>
      </w:r>
      <w:r w:rsidR="007444B6">
        <w:t xml:space="preserve"> (Facility ID No. 50408)</w:t>
      </w:r>
      <w:r w:rsidR="00027619" w:rsidRPr="005B4AB8">
        <w:t>,WKXI-FM, Magee,</w:t>
      </w:r>
      <w:r w:rsidR="00027619" w:rsidRPr="003E1C58">
        <w:rPr>
          <w:szCs w:val="22"/>
        </w:rPr>
        <w:t xml:space="preserve"> </w:t>
      </w:r>
      <w:r w:rsidR="00027619" w:rsidRPr="008B49B8">
        <w:t>MS</w:t>
      </w:r>
      <w:r w:rsidR="007444B6">
        <w:t xml:space="preserve"> (Facility ID No. 50407)</w:t>
      </w:r>
      <w:r w:rsidR="00027619" w:rsidRPr="008B49B8">
        <w:t>,</w:t>
      </w:r>
      <w:r w:rsidR="00027619" w:rsidRPr="005B4AB8">
        <w:t>WJNT(AM), Pearl, MS</w:t>
      </w:r>
      <w:r w:rsidR="007444B6">
        <w:t xml:space="preserve"> (Facility ID No. 7691)</w:t>
      </w:r>
      <w:r w:rsidR="00027619" w:rsidRPr="005B4AB8">
        <w:t>,WKRS(FM), Pickens, MS</w:t>
      </w:r>
      <w:r w:rsidR="007444B6">
        <w:t xml:space="preserve"> (Facility ID No. 29512)</w:t>
      </w:r>
      <w:r w:rsidR="00027619">
        <w:rPr>
          <w:szCs w:val="22"/>
        </w:rPr>
        <w:t xml:space="preserve">, </w:t>
      </w:r>
      <w:r w:rsidR="00027619">
        <w:t xml:space="preserve">File </w:t>
      </w:r>
      <w:r w:rsidR="00027619" w:rsidRPr="00027619">
        <w:t xml:space="preserve">Nos. </w:t>
      </w:r>
      <w:r w:rsidR="00027619" w:rsidRPr="008B49B8">
        <w:t xml:space="preserve">BAL-201202430ADO, </w:t>
      </w:r>
      <w:r w:rsidR="00027619" w:rsidRPr="008B49B8">
        <w:rPr>
          <w:i/>
        </w:rPr>
        <w:t>et</w:t>
      </w:r>
      <w:r w:rsidR="00027619" w:rsidRPr="005B4AB8">
        <w:rPr>
          <w:i/>
        </w:rPr>
        <w:t xml:space="preserve"> seq</w:t>
      </w:r>
      <w:r w:rsidR="005231F7" w:rsidRPr="005231F7">
        <w:rPr>
          <w:i/>
        </w:rPr>
        <w:t>.</w:t>
      </w:r>
      <w:r w:rsidR="005231F7">
        <w:t xml:space="preserve">; and </w:t>
      </w:r>
      <w:r w:rsidR="005231F7" w:rsidRPr="00177183">
        <w:t>Urban Radio III, L.L.C., Debtor-in-Possession and YMF Media California Licensee, LLC for Consent to Assign Licenses for KVTO(AM), Berkley, CA</w:t>
      </w:r>
      <w:r w:rsidR="007444B6">
        <w:t xml:space="preserve"> (</w:t>
      </w:r>
      <w:r w:rsidR="00F33452">
        <w:t xml:space="preserve">Facility ID No. </w:t>
      </w:r>
      <w:r w:rsidR="007444B6">
        <w:t>28681)</w:t>
      </w:r>
      <w:r w:rsidR="005231F7" w:rsidRPr="00177183">
        <w:t>, KVVN(AM), Santa Clara, CA</w:t>
      </w:r>
      <w:r w:rsidR="007444B6">
        <w:t xml:space="preserve"> (</w:t>
      </w:r>
      <w:r w:rsidR="00F33452">
        <w:t xml:space="preserve">Facility ID No. </w:t>
      </w:r>
      <w:r w:rsidR="007444B6">
        <w:t>28438)</w:t>
      </w:r>
      <w:r w:rsidR="005231F7" w:rsidRPr="00177183">
        <w:t xml:space="preserve">, File Nos. BAL-20120430ADU, </w:t>
      </w:r>
      <w:r w:rsidR="005231F7" w:rsidRPr="00177183">
        <w:rPr>
          <w:i/>
        </w:rPr>
        <w:t>et seq</w:t>
      </w:r>
      <w:r w:rsidR="005231F7" w:rsidRPr="00177183">
        <w:t>.</w:t>
      </w:r>
    </w:p>
  </w:footnote>
  <w:footnote w:id="9">
    <w:p w14:paraId="29664F42" w14:textId="77777777" w:rsidR="00840743" w:rsidRDefault="00840743" w:rsidP="007705F7">
      <w:pPr>
        <w:pStyle w:val="FootnoteText"/>
      </w:pPr>
      <w:r>
        <w:rPr>
          <w:rStyle w:val="FootnoteReference"/>
        </w:rPr>
        <w:footnoteRef/>
      </w:r>
      <w:r>
        <w:t xml:space="preserve"> AFR at 8.</w:t>
      </w:r>
    </w:p>
  </w:footnote>
  <w:footnote w:id="10">
    <w:p w14:paraId="14EC0E76" w14:textId="77777777" w:rsidR="00840743" w:rsidRPr="003E1C58" w:rsidRDefault="00840743" w:rsidP="00643ECE">
      <w:pPr>
        <w:pStyle w:val="FootnoteText"/>
      </w:pPr>
      <w:r w:rsidRPr="003E1C58">
        <w:rPr>
          <w:rStyle w:val="FootnoteReference"/>
        </w:rPr>
        <w:footnoteRef/>
      </w:r>
      <w:r w:rsidRPr="003E1C58">
        <w:t xml:space="preserve"> </w:t>
      </w:r>
      <w:r w:rsidRPr="003E1C58">
        <w:rPr>
          <w:i/>
        </w:rPr>
        <w:t xml:space="preserve">See </w:t>
      </w:r>
      <w:r w:rsidRPr="003E1C58">
        <w:rPr>
          <w:color w:val="000000"/>
          <w:shd w:val="clear" w:color="auto" w:fill="FFFFFF"/>
        </w:rPr>
        <w:t>47 C.F.R. § 1.115(c) (“No application for review will be granted if it relies on questions of fact or law upon which the designated authority has been afforded no opportunity to pass.”).</w:t>
      </w:r>
    </w:p>
  </w:footnote>
  <w:footnote w:id="11">
    <w:p w14:paraId="018A486A" w14:textId="10722409" w:rsidR="00840743" w:rsidRPr="003E1C58" w:rsidRDefault="00840743" w:rsidP="00805A47">
      <w:pPr>
        <w:pStyle w:val="FootnoteText"/>
      </w:pPr>
      <w:r w:rsidRPr="003E1C58">
        <w:rPr>
          <w:rStyle w:val="FootnoteReference"/>
          <w:i/>
        </w:rPr>
        <w:footnoteRef/>
      </w:r>
      <w:r w:rsidRPr="003E1C58">
        <w:rPr>
          <w:i/>
        </w:rPr>
        <w:t xml:space="preserve"> Prometheus Radio Project v. FCC</w:t>
      </w:r>
      <w:r w:rsidRPr="003E1C58">
        <w:t>, 652 F.3d 431 (3rd Cir. 2011)</w:t>
      </w:r>
      <w:r>
        <w:t>.</w:t>
      </w:r>
      <w:r w:rsidRPr="003E1C58">
        <w:t xml:space="preserve"> </w:t>
      </w:r>
    </w:p>
  </w:footnote>
  <w:footnote w:id="12">
    <w:p w14:paraId="074B4792" w14:textId="75619579" w:rsidR="00840743" w:rsidRPr="003E1C58" w:rsidRDefault="00840743" w:rsidP="00805A47">
      <w:pPr>
        <w:pStyle w:val="FootnoteText"/>
      </w:pPr>
      <w:r w:rsidRPr="003E1C58">
        <w:rPr>
          <w:rStyle w:val="FootnoteReference"/>
        </w:rPr>
        <w:footnoteRef/>
      </w:r>
      <w:r w:rsidRPr="003E1C58">
        <w:t xml:space="preserve"> </w:t>
      </w:r>
      <w:r w:rsidRPr="003E1C58">
        <w:rPr>
          <w:i/>
        </w:rPr>
        <w:t xml:space="preserve">See </w:t>
      </w:r>
      <w:r w:rsidRPr="003E1C58">
        <w:t>AFR at 13-15.</w:t>
      </w:r>
    </w:p>
  </w:footnote>
  <w:footnote w:id="13">
    <w:p w14:paraId="14CDACEA" w14:textId="6C22F2C1" w:rsidR="00840743" w:rsidRPr="003E1C58" w:rsidRDefault="00840743" w:rsidP="00702129">
      <w:pPr>
        <w:pStyle w:val="FootnoteText"/>
      </w:pPr>
      <w:r w:rsidRPr="003E1C58">
        <w:rPr>
          <w:rStyle w:val="FootnoteReference"/>
        </w:rPr>
        <w:footnoteRef/>
      </w:r>
      <w:r w:rsidRPr="003E1C58">
        <w:t xml:space="preserve"> </w:t>
      </w:r>
      <w:r w:rsidRPr="003E1C58">
        <w:rPr>
          <w:i/>
        </w:rPr>
        <w:t xml:space="preserve">See e.g. BDPCS, </w:t>
      </w:r>
      <w:r w:rsidRPr="003E1C58">
        <w:t>351 F.3d at 1184 (it is an “open-and-shut case: the Commission’s rules do not permit the Commission to grant an application for review ‘if it relies on questions of fact or law upon which the designated authority has been afforded no opportunity to pass.’”);</w:t>
      </w:r>
      <w:bookmarkStart w:id="5" w:name="SR;853"/>
      <w:bookmarkStart w:id="6" w:name="SR;854"/>
      <w:bookmarkStart w:id="7" w:name="SR;855"/>
      <w:bookmarkStart w:id="8" w:name="SR;856"/>
      <w:bookmarkStart w:id="9" w:name="SR;857"/>
      <w:bookmarkStart w:id="10" w:name="SR;858"/>
      <w:bookmarkStart w:id="11" w:name="SR;859"/>
      <w:bookmarkStart w:id="12" w:name="SR;860"/>
      <w:bookmarkStart w:id="13" w:name="SR;861"/>
      <w:bookmarkStart w:id="14" w:name="SR;862"/>
      <w:bookmarkStart w:id="15" w:name="SR;863"/>
      <w:bookmarkStart w:id="16" w:name="SR;864"/>
      <w:bookmarkStart w:id="17" w:name="SR;865"/>
      <w:bookmarkStart w:id="18" w:name="SR;866"/>
      <w:bookmarkStart w:id="19" w:name="SR;867"/>
      <w:bookmarkStart w:id="20" w:name="SR;868"/>
      <w:bookmarkStart w:id="21" w:name="SR;869"/>
      <w:bookmarkStart w:id="22" w:name="SR;870"/>
      <w:bookmarkStart w:id="23" w:name="SR;871"/>
      <w:bookmarkStart w:id="24" w:name="SR;872"/>
      <w:bookmarkStart w:id="25" w:name="SR;873"/>
      <w:bookmarkStart w:id="26" w:name="SR;874"/>
      <w:bookmarkStart w:id="27" w:name="SR;875"/>
      <w:bookmarkStart w:id="28" w:name="SR;876"/>
      <w:bookmarkStart w:id="29" w:name="SR;877"/>
      <w:bookmarkStart w:id="30" w:name="SR;878"/>
      <w:bookmarkStart w:id="31" w:name="SR;879"/>
      <w:bookmarkStart w:id="32" w:name="SR;880"/>
      <w:bookmarkStart w:id="33" w:name="SR;881"/>
      <w:bookmarkStart w:id="34" w:name="SR;882"/>
      <w:bookmarkStart w:id="35" w:name="SR;883"/>
      <w:bookmarkStart w:id="36" w:name="SR;884"/>
      <w:bookmarkStart w:id="37" w:name="SR;885"/>
      <w:bookmarkStart w:id="38" w:name="SR;886"/>
      <w:bookmarkStart w:id="39" w:name="SR;887"/>
      <w:bookmarkStart w:id="40" w:name="SR;888"/>
      <w:bookmarkStart w:id="41" w:name="SR;889"/>
      <w:bookmarkStart w:id="42" w:name="SR;890"/>
      <w:bookmarkStart w:id="43" w:name="SR;89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E1C58">
        <w:t xml:space="preserve"> </w:t>
      </w:r>
      <w:r w:rsidRPr="003E1C58">
        <w:rPr>
          <w:i/>
          <w:color w:val="000000"/>
          <w:shd w:val="clear" w:color="auto" w:fill="FFFFFF"/>
        </w:rPr>
        <w:t>Spectrum IVDS, L.L.C</w:t>
      </w:r>
      <w:r w:rsidRPr="003E1C58">
        <w:rPr>
          <w:color w:val="000000"/>
          <w:shd w:val="clear" w:color="auto" w:fill="FFFFFF"/>
        </w:rPr>
        <w:t xml:space="preserve">. </w:t>
      </w:r>
      <w:r w:rsidRPr="003E1C58">
        <w:t xml:space="preserve">Memorandum Opinion and Order, 25 FCC Rcd 10457, 10463 (2010) </w:t>
      </w:r>
      <w:r w:rsidRPr="003E1C58">
        <w:rPr>
          <w:color w:val="000000"/>
          <w:shd w:val="clear" w:color="auto" w:fill="FFFFFF"/>
        </w:rPr>
        <w:t xml:space="preserve">(“Because Spectrum IVDS failed to present this argument to the Bureau, the argument cannot now provide Spectrum IVDS with a basis for relief.”); and </w:t>
      </w:r>
      <w:r w:rsidRPr="003E1C58">
        <w:rPr>
          <w:i/>
          <w:color w:val="000000"/>
          <w:shd w:val="clear" w:color="auto" w:fill="FFFFFF"/>
        </w:rPr>
        <w:t>Fireside Media</w:t>
      </w:r>
      <w:r w:rsidRPr="003E1C58">
        <w:rPr>
          <w:color w:val="000000"/>
          <w:shd w:val="clear" w:color="auto" w:fill="FFFFFF"/>
        </w:rPr>
        <w:t>,</w:t>
      </w:r>
      <w:bookmarkStart w:id="44" w:name="SR;3435"/>
      <w:bookmarkEnd w:id="44"/>
      <w:r w:rsidRPr="003E1C58">
        <w:rPr>
          <w:color w:val="000000"/>
          <w:shd w:val="clear" w:color="auto" w:fill="FFFFFF"/>
        </w:rPr>
        <w:t xml:space="preserve"> </w:t>
      </w:r>
      <w:r w:rsidRPr="003E1C58">
        <w:t xml:space="preserve">Memorandum Opinion and Order, 25 FCC Rcd 7754, 7757 (2010). </w:t>
      </w:r>
    </w:p>
  </w:footnote>
  <w:footnote w:id="14">
    <w:p w14:paraId="291D98FF" w14:textId="60EDB39A" w:rsidR="00840743" w:rsidRPr="003E1C58" w:rsidRDefault="00840743" w:rsidP="002F78A2">
      <w:pPr>
        <w:pStyle w:val="FootnoteText"/>
      </w:pPr>
      <w:r w:rsidRPr="003E1C58">
        <w:rPr>
          <w:rStyle w:val="FootnoteReference"/>
        </w:rPr>
        <w:footnoteRef/>
      </w:r>
      <w:r w:rsidRPr="003E1C58">
        <w:t xml:space="preserve"> Petitioners argued that grant of the Applications: (1) would result in an unlawful reduction of programming geared toward Black and local audiences; 2) promote further consolidation of media into the hands of “corporate elite”; and (3) that transaction documents disclose that Fortress Investment Group has control of the assignees so as to constitute an attributable interest; prematurely assumed control over the Stations; lacked the qualifications to be a Commission licensee because it was in violation of the alien ownership restrictions set forth in Section 310(b) of the Act</w:t>
      </w:r>
      <w:r>
        <w:t>;</w:t>
      </w:r>
      <w:r w:rsidRPr="003E1C58">
        <w:t xml:space="preserve"> had not been candid with the Commission about the degree of control it exercises over certain Ohio, Florida, and Texas stations; and had engaged in a pattern of predatory and racially discriminatory lending practices that has led to the demise of numerous locally and Black-owned stations.  </w:t>
      </w:r>
      <w:r w:rsidRPr="003E1C58">
        <w:rPr>
          <w:i/>
        </w:rPr>
        <w:t xml:space="preserve">See Staff Decision </w:t>
      </w:r>
      <w:r w:rsidRPr="003E1C58">
        <w:t xml:space="preserve">at 3. </w:t>
      </w:r>
    </w:p>
  </w:footnote>
  <w:footnote w:id="15">
    <w:p w14:paraId="412411D2" w14:textId="5F0DE383" w:rsidR="00840743" w:rsidRPr="003E1C58" w:rsidRDefault="00840743" w:rsidP="00702129">
      <w:pPr>
        <w:pStyle w:val="FootnoteText"/>
      </w:pPr>
      <w:r w:rsidRPr="003E1C58">
        <w:rPr>
          <w:rStyle w:val="FootnoteReference"/>
        </w:rPr>
        <w:footnoteRef/>
      </w:r>
      <w:r w:rsidRPr="003E1C58">
        <w:t xml:space="preserve"> The </w:t>
      </w:r>
      <w:r w:rsidRPr="003E1C58">
        <w:rPr>
          <w:i/>
        </w:rPr>
        <w:t>Staff Decision</w:t>
      </w:r>
      <w:r w:rsidRPr="003E1C58">
        <w:t xml:space="preserve"> contains a complete description of the facts underlying this case, which we incorporate by reference herein.  </w:t>
      </w:r>
      <w:r w:rsidRPr="003E1C58">
        <w:rPr>
          <w:i/>
        </w:rPr>
        <w:t>See Staff Decision</w:t>
      </w:r>
      <w:r w:rsidRPr="003E1C58">
        <w:t xml:space="preserve"> at 2-</w:t>
      </w:r>
      <w:r w:rsidR="007F7646">
        <w:t xml:space="preserve"> </w:t>
      </w:r>
      <w:r w:rsidRPr="003E1C58">
        <w:t>4.</w:t>
      </w:r>
    </w:p>
  </w:footnote>
  <w:footnote w:id="16">
    <w:p w14:paraId="4239205F" w14:textId="0CC916D1" w:rsidR="00840743" w:rsidRPr="003E1C58" w:rsidRDefault="00840743" w:rsidP="00D33349">
      <w:pPr>
        <w:pStyle w:val="FootnoteText"/>
      </w:pPr>
      <w:r w:rsidRPr="003E1C58">
        <w:rPr>
          <w:rStyle w:val="FootnoteReference"/>
        </w:rPr>
        <w:footnoteRef/>
      </w:r>
      <w:r w:rsidRPr="003E1C58">
        <w:t xml:space="preserve">   </w:t>
      </w:r>
      <w:r w:rsidRPr="003E1C58">
        <w:rPr>
          <w:i/>
        </w:rPr>
        <w:t>See e.g. Promoting Diversification of Ownership in the Broadcasting Services,</w:t>
      </w:r>
      <w:r w:rsidRPr="003E1C58">
        <w:t xml:space="preserve"> </w:t>
      </w:r>
      <w:r>
        <w:t>Sixth</w:t>
      </w:r>
      <w:r w:rsidRPr="003E1C58">
        <w:t xml:space="preserve"> Further Notice of Proposed Rulemaking, 28 FCC Rcd 461, 463 (2013)</w:t>
      </w:r>
      <w:bookmarkStart w:id="45" w:name="SR;403"/>
      <w:bookmarkEnd w:id="45"/>
      <w:r w:rsidRPr="003E1C58">
        <w:t xml:space="preserve"> (“</w:t>
      </w:r>
      <w:r w:rsidRPr="003E1C58">
        <w:rPr>
          <w:color w:val="000000"/>
          <w:shd w:val="clear" w:color="auto" w:fill="FFFFFF"/>
        </w:rPr>
        <w:t>It has been a longstanding goal of the Commission to promote diverse ownership of broadcast stations, including ownership by women and minorities.”). </w:t>
      </w:r>
    </w:p>
  </w:footnote>
  <w:footnote w:id="17">
    <w:p w14:paraId="6E0DE73C" w14:textId="45D04A6D" w:rsidR="00840743" w:rsidRPr="003E1C58" w:rsidRDefault="00840743">
      <w:pPr>
        <w:pStyle w:val="FootnoteText"/>
      </w:pPr>
      <w:r w:rsidRPr="003E1C58">
        <w:rPr>
          <w:rStyle w:val="FootnoteReference"/>
        </w:rPr>
        <w:footnoteRef/>
      </w:r>
      <w:r w:rsidRPr="003E1C58">
        <w:t xml:space="preserve"> </w:t>
      </w:r>
      <w:r w:rsidRPr="003E1C58">
        <w:rPr>
          <w:i/>
        </w:rPr>
        <w:t>Staff Decision</w:t>
      </w:r>
      <w:r w:rsidRPr="003E1C58">
        <w:t xml:space="preserve"> at 5.  </w:t>
      </w:r>
      <w:r w:rsidRPr="003E1C58">
        <w:rPr>
          <w:i/>
        </w:rPr>
        <w:t xml:space="preserve">See </w:t>
      </w:r>
      <w:r w:rsidRPr="003E1C58">
        <w:t xml:space="preserve">47 U.S.C. § 310(d).  </w:t>
      </w:r>
      <w:r w:rsidRPr="003E1C58">
        <w:rPr>
          <w:i/>
        </w:rPr>
        <w:t xml:space="preserve">See, e.g., Shareholders of Stop 26 Riverbend, Inc., </w:t>
      </w:r>
      <w:r w:rsidRPr="003E1C58">
        <w:t>Memorandum Opinion and Order, 27 FCC Rcd 6516, 6522 n. 47 (2012).</w:t>
      </w:r>
    </w:p>
  </w:footnote>
  <w:footnote w:id="18">
    <w:p w14:paraId="33E6ECC5" w14:textId="7D345AB6" w:rsidR="00840743" w:rsidRPr="003E1C58" w:rsidRDefault="00840743" w:rsidP="002F78A2">
      <w:pPr>
        <w:pStyle w:val="FootnoteText"/>
      </w:pPr>
      <w:r w:rsidRPr="003E1C58">
        <w:rPr>
          <w:rStyle w:val="FootnoteReference"/>
        </w:rPr>
        <w:footnoteRef/>
      </w:r>
      <w:r w:rsidRPr="003E1C58">
        <w:t xml:space="preserve"> </w:t>
      </w:r>
      <w:r w:rsidRPr="003E1C58">
        <w:rPr>
          <w:i/>
        </w:rPr>
        <w:t>Staff Decision</w:t>
      </w:r>
      <w:r w:rsidRPr="003E1C58">
        <w:t xml:space="preserve"> at 7</w:t>
      </w:r>
      <w:r>
        <w:t>.</w:t>
      </w:r>
    </w:p>
  </w:footnote>
  <w:footnote w:id="19">
    <w:p w14:paraId="60994773" w14:textId="161F7430" w:rsidR="00840743" w:rsidRPr="003E1C58" w:rsidRDefault="00840743" w:rsidP="002F78A2">
      <w:pPr>
        <w:spacing w:after="120"/>
        <w:rPr>
          <w:sz w:val="20"/>
        </w:rPr>
      </w:pPr>
      <w:r w:rsidRPr="003E1C58">
        <w:rPr>
          <w:rStyle w:val="FootnoteReference"/>
        </w:rPr>
        <w:footnoteRef/>
      </w:r>
      <w:r w:rsidRPr="003E1C58">
        <w:rPr>
          <w:sz w:val="20"/>
        </w:rPr>
        <w:t xml:space="preserve"> </w:t>
      </w:r>
      <w:r w:rsidRPr="003E1C58">
        <w:rPr>
          <w:i/>
          <w:sz w:val="20"/>
        </w:rPr>
        <w:t>See</w:t>
      </w:r>
      <w:r w:rsidRPr="003E1C58">
        <w:rPr>
          <w:sz w:val="20"/>
        </w:rPr>
        <w:t xml:space="preserve"> 47 U.S.C. § 310(d</w:t>
      </w:r>
      <w:r w:rsidRPr="003E1C58">
        <w:rPr>
          <w:i/>
          <w:sz w:val="20"/>
        </w:rPr>
        <w:t>)</w:t>
      </w:r>
      <w:r w:rsidRPr="003E1C58">
        <w:rPr>
          <w:sz w:val="20"/>
        </w:rPr>
        <w:t xml:space="preserve">.  </w:t>
      </w:r>
      <w:r w:rsidRPr="003E1C58">
        <w:rPr>
          <w:i/>
          <w:sz w:val="20"/>
        </w:rPr>
        <w:t xml:space="preserve">See also </w:t>
      </w:r>
      <w:r w:rsidRPr="003E1C58">
        <w:rPr>
          <w:i/>
          <w:color w:val="000000"/>
          <w:sz w:val="20"/>
          <w:shd w:val="clear" w:color="auto" w:fill="FFFFFF"/>
        </w:rPr>
        <w:t>Jerry Russell d/b/a the Russell Company and Hanszen Broadcasting</w:t>
      </w:r>
      <w:r w:rsidRPr="003E1C58">
        <w:rPr>
          <w:color w:val="000000"/>
          <w:sz w:val="20"/>
          <w:shd w:val="clear" w:color="auto" w:fill="FFFFFF"/>
        </w:rPr>
        <w:t xml:space="preserve">, </w:t>
      </w:r>
      <w:r w:rsidRPr="003E1C58">
        <w:rPr>
          <w:sz w:val="20"/>
        </w:rPr>
        <w:t xml:space="preserve">Memorandum Opinion and Order, 27 FCC Rcd 8323, 8330 (MB 2012).     </w:t>
      </w:r>
    </w:p>
  </w:footnote>
  <w:footnote w:id="20">
    <w:p w14:paraId="617FEE1E" w14:textId="197CFC36" w:rsidR="00840743" w:rsidRPr="003E1C58" w:rsidRDefault="00840743" w:rsidP="002F78A2">
      <w:pPr>
        <w:pStyle w:val="FootnoteText"/>
      </w:pPr>
      <w:r w:rsidRPr="003E1C58">
        <w:rPr>
          <w:rStyle w:val="FootnoteReference"/>
        </w:rPr>
        <w:footnoteRef/>
      </w:r>
      <w:r w:rsidRPr="003E1C58">
        <w:t xml:space="preserve"> </w:t>
      </w:r>
      <w:r w:rsidRPr="003E1C58">
        <w:rPr>
          <w:i/>
        </w:rPr>
        <w:t>See e.g. LaRose v. FCC</w:t>
      </w:r>
      <w:r w:rsidRPr="003E1C58">
        <w:t xml:space="preserve">, 494 F.2d 1145 (D.C. Cir. 1974) (Commission is obligated to protect innocent creditors so long as the transaction in question does not unduly interfere with objectives of the Act); </w:t>
      </w:r>
      <w:r w:rsidRPr="003E1C58">
        <w:rPr>
          <w:i/>
        </w:rPr>
        <w:t>Dale J. Parsons, Jr.,</w:t>
      </w:r>
      <w:r w:rsidRPr="003E1C58">
        <w:t xml:space="preserve"> Memorandum Opinion and Order, 10 FCC Rcd 2718, 2720 (1995); and </w:t>
      </w:r>
      <w:r w:rsidRPr="003E1C58">
        <w:rPr>
          <w:i/>
        </w:rPr>
        <w:t>Shell Broadcasting, Inc.</w:t>
      </w:r>
      <w:r w:rsidRPr="003E1C58">
        <w:t>, Memorandum Opinion and Order, 38 FCC 2d 929, 931 (1973).</w:t>
      </w:r>
    </w:p>
  </w:footnote>
  <w:footnote w:id="21">
    <w:p w14:paraId="6256FB15" w14:textId="52A4D4A4" w:rsidR="00840743" w:rsidRPr="003E1C58" w:rsidRDefault="00840743" w:rsidP="00805A47">
      <w:pPr>
        <w:pStyle w:val="FootnoteText"/>
      </w:pPr>
      <w:r w:rsidRPr="003E1C58">
        <w:rPr>
          <w:rStyle w:val="FootnoteReference"/>
        </w:rPr>
        <w:footnoteRef/>
      </w:r>
      <w:r w:rsidRPr="003E1C58">
        <w:t xml:space="preserve"> 47 U.S.C. § 155(c)(5).</w:t>
      </w:r>
    </w:p>
  </w:footnote>
  <w:footnote w:id="22">
    <w:p w14:paraId="3DEB2F71" w14:textId="187E3C9C" w:rsidR="00840743" w:rsidRDefault="00840743" w:rsidP="0091009A">
      <w:pPr>
        <w:pStyle w:val="FootnoteText"/>
      </w:pPr>
      <w:r w:rsidRPr="003E1C58">
        <w:rPr>
          <w:rStyle w:val="FootnoteReference"/>
        </w:rPr>
        <w:footnoteRef/>
      </w:r>
      <w:r w:rsidRPr="003E1C58">
        <w:t xml:space="preserve"> 47 C.F.R. §§ 1.115</w:t>
      </w:r>
      <w:r>
        <w:t>(a),(c),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80FF" w14:textId="77777777" w:rsidR="00064916" w:rsidRDefault="00064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23B0" w14:textId="16A0959D" w:rsidR="00FA0DF7" w:rsidRDefault="00FA0DF7" w:rsidP="00FA0DF7">
    <w:pPr>
      <w:pStyle w:val="Header"/>
      <w:rPr>
        <w:b w:val="0"/>
      </w:rPr>
    </w:pPr>
    <w:r>
      <w:rPr>
        <w:noProof/>
        <w:snapToGrid/>
      </w:rPr>
      <mc:AlternateContent>
        <mc:Choice Requires="wps">
          <w:drawing>
            <wp:anchor distT="0" distB="0" distL="114300" distR="114300" simplePos="0" relativeHeight="251661312" behindDoc="1" locked="0" layoutInCell="0" allowOverlap="1" wp14:anchorId="2A2CDCB3" wp14:editId="161B76A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14-83</w:t>
    </w:r>
  </w:p>
  <w:p w14:paraId="4CB868A2" w14:textId="77777777" w:rsidR="00840743" w:rsidRPr="006913C6" w:rsidRDefault="00840743" w:rsidP="006913C6">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7E68" w14:textId="7F276C50" w:rsidR="00FA0DF7" w:rsidRDefault="00FA0DF7" w:rsidP="00FA0DF7">
    <w:pPr>
      <w:pStyle w:val="Header"/>
      <w:rPr>
        <w:b w:val="0"/>
      </w:rPr>
    </w:pPr>
    <w:r>
      <w:rPr>
        <w:noProof/>
        <w:snapToGrid/>
      </w:rPr>
      <mc:AlternateContent>
        <mc:Choice Requires="wps">
          <w:drawing>
            <wp:anchor distT="0" distB="0" distL="114300" distR="114300" simplePos="0" relativeHeight="251659264" behindDoc="1" locked="0" layoutInCell="0" allowOverlap="1" wp14:anchorId="4F17461B" wp14:editId="4AE949F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14-83</w:t>
    </w:r>
  </w:p>
  <w:p w14:paraId="20460AB1" w14:textId="7A664EE4" w:rsidR="00840743" w:rsidRPr="00FA0DF7" w:rsidRDefault="00840743" w:rsidP="00FA0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00"/>
        </w:tabs>
        <w:ind w:left="-18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6"/>
  </w:num>
  <w:num w:numId="9">
    <w:abstractNumId w:val="6"/>
  </w:num>
  <w:num w:numId="10">
    <w:abstractNumId w:val="6"/>
  </w:num>
  <w:num w:numId="11">
    <w:abstractNumId w:val="6"/>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defaultTabStop w:val="720"/>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F"/>
    <w:rsid w:val="0000727D"/>
    <w:rsid w:val="000101D3"/>
    <w:rsid w:val="00021769"/>
    <w:rsid w:val="00027619"/>
    <w:rsid w:val="0003577B"/>
    <w:rsid w:val="00040FC3"/>
    <w:rsid w:val="00042F65"/>
    <w:rsid w:val="0004434A"/>
    <w:rsid w:val="00044E6B"/>
    <w:rsid w:val="0004547E"/>
    <w:rsid w:val="00064916"/>
    <w:rsid w:val="0007010B"/>
    <w:rsid w:val="0007344E"/>
    <w:rsid w:val="00075D76"/>
    <w:rsid w:val="000771F2"/>
    <w:rsid w:val="0009033C"/>
    <w:rsid w:val="000B4B16"/>
    <w:rsid w:val="000B5E3F"/>
    <w:rsid w:val="000C516C"/>
    <w:rsid w:val="000C74AF"/>
    <w:rsid w:val="000C7E03"/>
    <w:rsid w:val="000E436C"/>
    <w:rsid w:val="000F5623"/>
    <w:rsid w:val="000F6B43"/>
    <w:rsid w:val="00105864"/>
    <w:rsid w:val="001105F8"/>
    <w:rsid w:val="0011254E"/>
    <w:rsid w:val="001214A9"/>
    <w:rsid w:val="00122E99"/>
    <w:rsid w:val="00134DD2"/>
    <w:rsid w:val="001418A9"/>
    <w:rsid w:val="00141FDA"/>
    <w:rsid w:val="0015015D"/>
    <w:rsid w:val="00151CED"/>
    <w:rsid w:val="00157D66"/>
    <w:rsid w:val="001706E5"/>
    <w:rsid w:val="001951F1"/>
    <w:rsid w:val="00196ACC"/>
    <w:rsid w:val="001C2522"/>
    <w:rsid w:val="001C2704"/>
    <w:rsid w:val="001D20EB"/>
    <w:rsid w:val="001D3F65"/>
    <w:rsid w:val="001D7570"/>
    <w:rsid w:val="001E64FD"/>
    <w:rsid w:val="001F20CE"/>
    <w:rsid w:val="001F3271"/>
    <w:rsid w:val="001F421B"/>
    <w:rsid w:val="00201FF1"/>
    <w:rsid w:val="00203AF0"/>
    <w:rsid w:val="00205EB4"/>
    <w:rsid w:val="00212304"/>
    <w:rsid w:val="00214FE7"/>
    <w:rsid w:val="00235F57"/>
    <w:rsid w:val="00241B9C"/>
    <w:rsid w:val="0024217B"/>
    <w:rsid w:val="00244AFF"/>
    <w:rsid w:val="00247794"/>
    <w:rsid w:val="002540FE"/>
    <w:rsid w:val="00257AAC"/>
    <w:rsid w:val="0027671C"/>
    <w:rsid w:val="00277CF1"/>
    <w:rsid w:val="0028304F"/>
    <w:rsid w:val="00290D91"/>
    <w:rsid w:val="002A1C97"/>
    <w:rsid w:val="002A3C2C"/>
    <w:rsid w:val="002A7212"/>
    <w:rsid w:val="002B3C90"/>
    <w:rsid w:val="002B73FC"/>
    <w:rsid w:val="002C3ECD"/>
    <w:rsid w:val="002C6173"/>
    <w:rsid w:val="002D1B7A"/>
    <w:rsid w:val="002D30FA"/>
    <w:rsid w:val="002D6E83"/>
    <w:rsid w:val="002F0308"/>
    <w:rsid w:val="002F56A1"/>
    <w:rsid w:val="002F78A2"/>
    <w:rsid w:val="003056C3"/>
    <w:rsid w:val="00307DD1"/>
    <w:rsid w:val="00311CCB"/>
    <w:rsid w:val="00325BA0"/>
    <w:rsid w:val="00333F6E"/>
    <w:rsid w:val="003344B4"/>
    <w:rsid w:val="00334CC1"/>
    <w:rsid w:val="003413C1"/>
    <w:rsid w:val="00346A7F"/>
    <w:rsid w:val="00350FA6"/>
    <w:rsid w:val="0036658E"/>
    <w:rsid w:val="0037325C"/>
    <w:rsid w:val="0037364A"/>
    <w:rsid w:val="00373AD3"/>
    <w:rsid w:val="00376DC4"/>
    <w:rsid w:val="003802AA"/>
    <w:rsid w:val="00386343"/>
    <w:rsid w:val="003925B9"/>
    <w:rsid w:val="003B2983"/>
    <w:rsid w:val="003B6F42"/>
    <w:rsid w:val="003B7B95"/>
    <w:rsid w:val="003C2038"/>
    <w:rsid w:val="003C5D2F"/>
    <w:rsid w:val="003D0958"/>
    <w:rsid w:val="003E1C58"/>
    <w:rsid w:val="003E2285"/>
    <w:rsid w:val="003E7415"/>
    <w:rsid w:val="003F364B"/>
    <w:rsid w:val="003F3CEA"/>
    <w:rsid w:val="003F54BF"/>
    <w:rsid w:val="003F6577"/>
    <w:rsid w:val="003F6874"/>
    <w:rsid w:val="004052DE"/>
    <w:rsid w:val="0041388A"/>
    <w:rsid w:val="0042607A"/>
    <w:rsid w:val="00436413"/>
    <w:rsid w:val="00442921"/>
    <w:rsid w:val="00442C3B"/>
    <w:rsid w:val="00443887"/>
    <w:rsid w:val="00444588"/>
    <w:rsid w:val="004447F5"/>
    <w:rsid w:val="004528C2"/>
    <w:rsid w:val="0045322F"/>
    <w:rsid w:val="00456670"/>
    <w:rsid w:val="00462F64"/>
    <w:rsid w:val="00466954"/>
    <w:rsid w:val="00473C64"/>
    <w:rsid w:val="00477902"/>
    <w:rsid w:val="00481C09"/>
    <w:rsid w:val="00483659"/>
    <w:rsid w:val="00496714"/>
    <w:rsid w:val="004A3F9E"/>
    <w:rsid w:val="004A5B66"/>
    <w:rsid w:val="004A67B1"/>
    <w:rsid w:val="004B1ABB"/>
    <w:rsid w:val="004C6A75"/>
    <w:rsid w:val="004D1BE0"/>
    <w:rsid w:val="004D3081"/>
    <w:rsid w:val="004D7B7B"/>
    <w:rsid w:val="004E0067"/>
    <w:rsid w:val="004E3F0C"/>
    <w:rsid w:val="004F3764"/>
    <w:rsid w:val="004F438F"/>
    <w:rsid w:val="004F500E"/>
    <w:rsid w:val="00502390"/>
    <w:rsid w:val="00504E3F"/>
    <w:rsid w:val="00505B83"/>
    <w:rsid w:val="005142DF"/>
    <w:rsid w:val="005175FA"/>
    <w:rsid w:val="00520194"/>
    <w:rsid w:val="00520BB9"/>
    <w:rsid w:val="005231F7"/>
    <w:rsid w:val="00527BE4"/>
    <w:rsid w:val="00535997"/>
    <w:rsid w:val="00542725"/>
    <w:rsid w:val="00542BAC"/>
    <w:rsid w:val="005462C7"/>
    <w:rsid w:val="00556DAB"/>
    <w:rsid w:val="005633DE"/>
    <w:rsid w:val="00563C39"/>
    <w:rsid w:val="00565638"/>
    <w:rsid w:val="0056672F"/>
    <w:rsid w:val="00573238"/>
    <w:rsid w:val="00576BFE"/>
    <w:rsid w:val="00585838"/>
    <w:rsid w:val="00586DF9"/>
    <w:rsid w:val="00590A81"/>
    <w:rsid w:val="0059365A"/>
    <w:rsid w:val="005A4A32"/>
    <w:rsid w:val="005B4AB8"/>
    <w:rsid w:val="005C2384"/>
    <w:rsid w:val="005C4A06"/>
    <w:rsid w:val="005C6DAB"/>
    <w:rsid w:val="005D2D13"/>
    <w:rsid w:val="005D6338"/>
    <w:rsid w:val="005E3028"/>
    <w:rsid w:val="005E3310"/>
    <w:rsid w:val="005E6BB6"/>
    <w:rsid w:val="005E6F80"/>
    <w:rsid w:val="005F3287"/>
    <w:rsid w:val="005F7B18"/>
    <w:rsid w:val="006004F2"/>
    <w:rsid w:val="00603471"/>
    <w:rsid w:val="00603576"/>
    <w:rsid w:val="006127C4"/>
    <w:rsid w:val="0061628B"/>
    <w:rsid w:val="00617BF9"/>
    <w:rsid w:val="006351AC"/>
    <w:rsid w:val="00635333"/>
    <w:rsid w:val="006371F0"/>
    <w:rsid w:val="0064124D"/>
    <w:rsid w:val="00643ECE"/>
    <w:rsid w:val="00644C0B"/>
    <w:rsid w:val="006528B3"/>
    <w:rsid w:val="00654F9C"/>
    <w:rsid w:val="006575CC"/>
    <w:rsid w:val="00674790"/>
    <w:rsid w:val="00676515"/>
    <w:rsid w:val="00680C6F"/>
    <w:rsid w:val="00682079"/>
    <w:rsid w:val="00683037"/>
    <w:rsid w:val="006872C2"/>
    <w:rsid w:val="006913C6"/>
    <w:rsid w:val="00694E4E"/>
    <w:rsid w:val="006A26E6"/>
    <w:rsid w:val="006A488B"/>
    <w:rsid w:val="006A6AA2"/>
    <w:rsid w:val="006B2DBE"/>
    <w:rsid w:val="006B77A9"/>
    <w:rsid w:val="006C0380"/>
    <w:rsid w:val="006D14AC"/>
    <w:rsid w:val="006E08B2"/>
    <w:rsid w:val="006E1814"/>
    <w:rsid w:val="006E2D57"/>
    <w:rsid w:val="00702129"/>
    <w:rsid w:val="007064FD"/>
    <w:rsid w:val="00714A3E"/>
    <w:rsid w:val="00716F50"/>
    <w:rsid w:val="00717CE9"/>
    <w:rsid w:val="00721EE5"/>
    <w:rsid w:val="007250F8"/>
    <w:rsid w:val="0073209D"/>
    <w:rsid w:val="007444B6"/>
    <w:rsid w:val="007452F7"/>
    <w:rsid w:val="00747FA7"/>
    <w:rsid w:val="007508FD"/>
    <w:rsid w:val="00750918"/>
    <w:rsid w:val="007600D8"/>
    <w:rsid w:val="007705F7"/>
    <w:rsid w:val="00770A22"/>
    <w:rsid w:val="00775C4B"/>
    <w:rsid w:val="0078036C"/>
    <w:rsid w:val="007815DB"/>
    <w:rsid w:val="00793F60"/>
    <w:rsid w:val="00797768"/>
    <w:rsid w:val="007979E5"/>
    <w:rsid w:val="007A1573"/>
    <w:rsid w:val="007A69E6"/>
    <w:rsid w:val="007B22F8"/>
    <w:rsid w:val="007B54EA"/>
    <w:rsid w:val="007C3A99"/>
    <w:rsid w:val="007C66BF"/>
    <w:rsid w:val="007C78C8"/>
    <w:rsid w:val="007F087C"/>
    <w:rsid w:val="007F681A"/>
    <w:rsid w:val="007F7646"/>
    <w:rsid w:val="008041B3"/>
    <w:rsid w:val="00805A47"/>
    <w:rsid w:val="00822C01"/>
    <w:rsid w:val="00822E6C"/>
    <w:rsid w:val="00825ADD"/>
    <w:rsid w:val="00836822"/>
    <w:rsid w:val="00840743"/>
    <w:rsid w:val="00841DC1"/>
    <w:rsid w:val="0084224F"/>
    <w:rsid w:val="008512F8"/>
    <w:rsid w:val="0085782B"/>
    <w:rsid w:val="0086101F"/>
    <w:rsid w:val="00862090"/>
    <w:rsid w:val="00863AE0"/>
    <w:rsid w:val="00871456"/>
    <w:rsid w:val="00871CA1"/>
    <w:rsid w:val="00875214"/>
    <w:rsid w:val="00881AEE"/>
    <w:rsid w:val="008820B2"/>
    <w:rsid w:val="00885526"/>
    <w:rsid w:val="00890E3D"/>
    <w:rsid w:val="00894BAF"/>
    <w:rsid w:val="008A4A38"/>
    <w:rsid w:val="008A6A3D"/>
    <w:rsid w:val="008B34C3"/>
    <w:rsid w:val="008B43CB"/>
    <w:rsid w:val="008B49B8"/>
    <w:rsid w:val="008B7F15"/>
    <w:rsid w:val="008C383A"/>
    <w:rsid w:val="008D33FC"/>
    <w:rsid w:val="008D50F6"/>
    <w:rsid w:val="008E0102"/>
    <w:rsid w:val="008E4FC1"/>
    <w:rsid w:val="00904D1F"/>
    <w:rsid w:val="0091009A"/>
    <w:rsid w:val="0092360C"/>
    <w:rsid w:val="00924CC5"/>
    <w:rsid w:val="009311D0"/>
    <w:rsid w:val="00937CC8"/>
    <w:rsid w:val="0094321B"/>
    <w:rsid w:val="00943CEF"/>
    <w:rsid w:val="00953B0C"/>
    <w:rsid w:val="009545BA"/>
    <w:rsid w:val="00956986"/>
    <w:rsid w:val="00956C40"/>
    <w:rsid w:val="0095761B"/>
    <w:rsid w:val="00960C5D"/>
    <w:rsid w:val="00991D9B"/>
    <w:rsid w:val="009925A0"/>
    <w:rsid w:val="00997FC1"/>
    <w:rsid w:val="009A1636"/>
    <w:rsid w:val="009A25BA"/>
    <w:rsid w:val="009A5BEF"/>
    <w:rsid w:val="009B1A93"/>
    <w:rsid w:val="009B4EC7"/>
    <w:rsid w:val="009C311B"/>
    <w:rsid w:val="009C40AC"/>
    <w:rsid w:val="009C5458"/>
    <w:rsid w:val="009C6042"/>
    <w:rsid w:val="009D2767"/>
    <w:rsid w:val="009D52AB"/>
    <w:rsid w:val="009D65A4"/>
    <w:rsid w:val="009D7E24"/>
    <w:rsid w:val="009E02CD"/>
    <w:rsid w:val="009F0811"/>
    <w:rsid w:val="009F12A8"/>
    <w:rsid w:val="009F1E3C"/>
    <w:rsid w:val="009F72D0"/>
    <w:rsid w:val="00A00DFB"/>
    <w:rsid w:val="00A043CB"/>
    <w:rsid w:val="00A13E3A"/>
    <w:rsid w:val="00A142FE"/>
    <w:rsid w:val="00A22F28"/>
    <w:rsid w:val="00A2418A"/>
    <w:rsid w:val="00A2764C"/>
    <w:rsid w:val="00A33DD7"/>
    <w:rsid w:val="00A37D6A"/>
    <w:rsid w:val="00A46442"/>
    <w:rsid w:val="00A6338F"/>
    <w:rsid w:val="00A6398F"/>
    <w:rsid w:val="00A650D4"/>
    <w:rsid w:val="00A775D0"/>
    <w:rsid w:val="00A86023"/>
    <w:rsid w:val="00A9243F"/>
    <w:rsid w:val="00AA1287"/>
    <w:rsid w:val="00AA38E5"/>
    <w:rsid w:val="00AB0D33"/>
    <w:rsid w:val="00AB19B9"/>
    <w:rsid w:val="00AB532F"/>
    <w:rsid w:val="00AB5784"/>
    <w:rsid w:val="00AB7938"/>
    <w:rsid w:val="00AD512D"/>
    <w:rsid w:val="00AD70F2"/>
    <w:rsid w:val="00AD7929"/>
    <w:rsid w:val="00AE23D0"/>
    <w:rsid w:val="00AE772F"/>
    <w:rsid w:val="00AF145D"/>
    <w:rsid w:val="00AF4447"/>
    <w:rsid w:val="00AF580D"/>
    <w:rsid w:val="00AF6293"/>
    <w:rsid w:val="00AF62D8"/>
    <w:rsid w:val="00B13AC6"/>
    <w:rsid w:val="00B13B82"/>
    <w:rsid w:val="00B14EC9"/>
    <w:rsid w:val="00B164F1"/>
    <w:rsid w:val="00B173F4"/>
    <w:rsid w:val="00B21830"/>
    <w:rsid w:val="00B23835"/>
    <w:rsid w:val="00B3663F"/>
    <w:rsid w:val="00B4706C"/>
    <w:rsid w:val="00B548C4"/>
    <w:rsid w:val="00B54E40"/>
    <w:rsid w:val="00B55BDD"/>
    <w:rsid w:val="00B57FC1"/>
    <w:rsid w:val="00B707B3"/>
    <w:rsid w:val="00B73C19"/>
    <w:rsid w:val="00B812F6"/>
    <w:rsid w:val="00B85DD5"/>
    <w:rsid w:val="00BA677D"/>
    <w:rsid w:val="00BA7E53"/>
    <w:rsid w:val="00BB0D1D"/>
    <w:rsid w:val="00BD179C"/>
    <w:rsid w:val="00BD374B"/>
    <w:rsid w:val="00BD6323"/>
    <w:rsid w:val="00BE1082"/>
    <w:rsid w:val="00BE57A8"/>
    <w:rsid w:val="00BF3455"/>
    <w:rsid w:val="00BF7885"/>
    <w:rsid w:val="00C05203"/>
    <w:rsid w:val="00C11C92"/>
    <w:rsid w:val="00C15908"/>
    <w:rsid w:val="00C17EE9"/>
    <w:rsid w:val="00C30571"/>
    <w:rsid w:val="00C36A65"/>
    <w:rsid w:val="00C41285"/>
    <w:rsid w:val="00C508DF"/>
    <w:rsid w:val="00C52186"/>
    <w:rsid w:val="00C53777"/>
    <w:rsid w:val="00C5573B"/>
    <w:rsid w:val="00C60DD3"/>
    <w:rsid w:val="00C642C3"/>
    <w:rsid w:val="00C66D4C"/>
    <w:rsid w:val="00C675CC"/>
    <w:rsid w:val="00C7458E"/>
    <w:rsid w:val="00C8184E"/>
    <w:rsid w:val="00C91107"/>
    <w:rsid w:val="00C97964"/>
    <w:rsid w:val="00CA579D"/>
    <w:rsid w:val="00CC2EC8"/>
    <w:rsid w:val="00CC43EF"/>
    <w:rsid w:val="00CC73DC"/>
    <w:rsid w:val="00CD28EF"/>
    <w:rsid w:val="00CE257C"/>
    <w:rsid w:val="00CE2E7B"/>
    <w:rsid w:val="00D02743"/>
    <w:rsid w:val="00D21A79"/>
    <w:rsid w:val="00D33349"/>
    <w:rsid w:val="00D33D81"/>
    <w:rsid w:val="00D34899"/>
    <w:rsid w:val="00D34ACC"/>
    <w:rsid w:val="00D410B1"/>
    <w:rsid w:val="00D462AD"/>
    <w:rsid w:val="00D52463"/>
    <w:rsid w:val="00D60092"/>
    <w:rsid w:val="00D63E77"/>
    <w:rsid w:val="00D7459A"/>
    <w:rsid w:val="00D802A1"/>
    <w:rsid w:val="00D816DA"/>
    <w:rsid w:val="00D82436"/>
    <w:rsid w:val="00D82630"/>
    <w:rsid w:val="00D8745B"/>
    <w:rsid w:val="00D92353"/>
    <w:rsid w:val="00D95FD0"/>
    <w:rsid w:val="00DA1888"/>
    <w:rsid w:val="00DA1A0E"/>
    <w:rsid w:val="00DB43AF"/>
    <w:rsid w:val="00DF1F7D"/>
    <w:rsid w:val="00DF4F42"/>
    <w:rsid w:val="00DF5852"/>
    <w:rsid w:val="00DF749E"/>
    <w:rsid w:val="00DF7CF1"/>
    <w:rsid w:val="00E26853"/>
    <w:rsid w:val="00E27FE1"/>
    <w:rsid w:val="00E3149F"/>
    <w:rsid w:val="00E349FA"/>
    <w:rsid w:val="00E408CE"/>
    <w:rsid w:val="00E4131A"/>
    <w:rsid w:val="00E4320E"/>
    <w:rsid w:val="00E438BE"/>
    <w:rsid w:val="00E462A4"/>
    <w:rsid w:val="00E47A82"/>
    <w:rsid w:val="00E51B96"/>
    <w:rsid w:val="00E55444"/>
    <w:rsid w:val="00E66659"/>
    <w:rsid w:val="00E66B48"/>
    <w:rsid w:val="00E71BEF"/>
    <w:rsid w:val="00E76A8A"/>
    <w:rsid w:val="00E800C1"/>
    <w:rsid w:val="00E84E98"/>
    <w:rsid w:val="00E91B58"/>
    <w:rsid w:val="00E9430F"/>
    <w:rsid w:val="00EA478C"/>
    <w:rsid w:val="00EB7BF1"/>
    <w:rsid w:val="00EB7EBA"/>
    <w:rsid w:val="00EC013A"/>
    <w:rsid w:val="00EC0529"/>
    <w:rsid w:val="00EC519E"/>
    <w:rsid w:val="00EC6F4A"/>
    <w:rsid w:val="00EC7D0D"/>
    <w:rsid w:val="00ED0945"/>
    <w:rsid w:val="00ED30B4"/>
    <w:rsid w:val="00ED4F27"/>
    <w:rsid w:val="00EE193B"/>
    <w:rsid w:val="00EF2DB5"/>
    <w:rsid w:val="00F04CE5"/>
    <w:rsid w:val="00F05815"/>
    <w:rsid w:val="00F14242"/>
    <w:rsid w:val="00F17744"/>
    <w:rsid w:val="00F23A7A"/>
    <w:rsid w:val="00F32571"/>
    <w:rsid w:val="00F33452"/>
    <w:rsid w:val="00F33B10"/>
    <w:rsid w:val="00F35DD4"/>
    <w:rsid w:val="00F40DF7"/>
    <w:rsid w:val="00F415DB"/>
    <w:rsid w:val="00F43C77"/>
    <w:rsid w:val="00F530BE"/>
    <w:rsid w:val="00F563FE"/>
    <w:rsid w:val="00F77758"/>
    <w:rsid w:val="00F80997"/>
    <w:rsid w:val="00FA00F5"/>
    <w:rsid w:val="00FA0DF7"/>
    <w:rsid w:val="00FA11B7"/>
    <w:rsid w:val="00FA4429"/>
    <w:rsid w:val="00FA458C"/>
    <w:rsid w:val="00FB48E7"/>
    <w:rsid w:val="00FC0041"/>
    <w:rsid w:val="00FC1160"/>
    <w:rsid w:val="00FC471A"/>
    <w:rsid w:val="00FE32F4"/>
    <w:rsid w:val="00FE4374"/>
    <w:rsid w:val="00FE4EBA"/>
    <w:rsid w:val="00FF0090"/>
    <w:rsid w:val="00FF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DA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91"/>
    <w:pPr>
      <w:widowControl w:val="0"/>
    </w:pPr>
    <w:rPr>
      <w:rFonts w:ascii="Times New Roman" w:eastAsia="Times New Roman" w:hAnsi="Times New Roman"/>
      <w:snapToGrid w:val="0"/>
      <w:kern w:val="28"/>
      <w:szCs w:val="20"/>
    </w:rPr>
  </w:style>
  <w:style w:type="paragraph" w:styleId="Heading1">
    <w:name w:val="heading 1"/>
    <w:basedOn w:val="Normal"/>
    <w:next w:val="ParaNum"/>
    <w:link w:val="Heading1Char"/>
    <w:qFormat/>
    <w:rsid w:val="00290D91"/>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locked/>
    <w:rsid w:val="00290D91"/>
    <w:pPr>
      <w:keepNext/>
      <w:numPr>
        <w:ilvl w:val="1"/>
        <w:numId w:val="4"/>
      </w:numPr>
      <w:spacing w:after="120"/>
      <w:outlineLvl w:val="1"/>
    </w:pPr>
    <w:rPr>
      <w:b/>
    </w:rPr>
  </w:style>
  <w:style w:type="paragraph" w:styleId="Heading3">
    <w:name w:val="heading 3"/>
    <w:basedOn w:val="Normal"/>
    <w:next w:val="ParaNum"/>
    <w:link w:val="Heading3Char"/>
    <w:qFormat/>
    <w:locked/>
    <w:rsid w:val="00290D91"/>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locked/>
    <w:rsid w:val="00290D91"/>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locked/>
    <w:rsid w:val="00290D91"/>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locked/>
    <w:rsid w:val="00290D91"/>
    <w:pPr>
      <w:numPr>
        <w:ilvl w:val="5"/>
        <w:numId w:val="4"/>
      </w:numPr>
      <w:tabs>
        <w:tab w:val="left" w:pos="4320"/>
      </w:tabs>
      <w:spacing w:after="120"/>
      <w:outlineLvl w:val="5"/>
    </w:pPr>
    <w:rPr>
      <w:b/>
    </w:rPr>
  </w:style>
  <w:style w:type="paragraph" w:styleId="Heading7">
    <w:name w:val="heading 7"/>
    <w:basedOn w:val="Normal"/>
    <w:next w:val="ParaNum"/>
    <w:link w:val="Heading7Char"/>
    <w:qFormat/>
    <w:locked/>
    <w:rsid w:val="00290D91"/>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locked/>
    <w:rsid w:val="00290D91"/>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290D91"/>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0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D91"/>
  </w:style>
  <w:style w:type="character" w:customStyle="1" w:styleId="Heading1Char">
    <w:name w:val="Heading 1 Char"/>
    <w:basedOn w:val="DefaultParagraphFont"/>
    <w:link w:val="Heading1"/>
    <w:locked/>
    <w:rsid w:val="00CC43EF"/>
    <w:rPr>
      <w:rFonts w:ascii="Times New Roman Bold" w:eastAsia="Times New Roman" w:hAnsi="Times New Roman Bold"/>
      <w:b/>
      <w:caps/>
      <w:snapToGrid w:val="0"/>
      <w:kern w:val="28"/>
      <w:szCs w:val="20"/>
    </w:rPr>
  </w:style>
  <w:style w:type="paragraph" w:styleId="BalloonText">
    <w:name w:val="Balloon Text"/>
    <w:basedOn w:val="Normal"/>
    <w:link w:val="BalloonTextChar1"/>
    <w:uiPriority w:val="99"/>
    <w:semiHidden/>
    <w:rsid w:val="00442921"/>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paragraph" w:styleId="Header">
    <w:name w:val="header"/>
    <w:basedOn w:val="Normal"/>
    <w:link w:val="HeaderChar"/>
    <w:autoRedefine/>
    <w:rsid w:val="00290D91"/>
    <w:pPr>
      <w:tabs>
        <w:tab w:val="center" w:pos="4680"/>
        <w:tab w:val="right" w:pos="9360"/>
      </w:tabs>
    </w:pPr>
    <w:rPr>
      <w:b/>
    </w:rPr>
  </w:style>
  <w:style w:type="character" w:customStyle="1" w:styleId="HeaderChar">
    <w:name w:val="Header Char"/>
    <w:basedOn w:val="DefaultParagraphFont"/>
    <w:link w:val="Header"/>
    <w:locked/>
    <w:rsid w:val="00CC43EF"/>
    <w:rPr>
      <w:rFonts w:ascii="Times New Roman" w:eastAsia="Times New Roman" w:hAnsi="Times New Roman"/>
      <w:b/>
      <w:snapToGrid w:val="0"/>
      <w:kern w:val="28"/>
      <w:szCs w:val="20"/>
    </w:rPr>
  </w:style>
  <w:style w:type="character" w:styleId="FootnoteReference">
    <w:name w:val="footnote reference"/>
    <w:aliases w:val="Style 12,(NECG) Footnote Reference,Appel note de bas de p,Style 124,o,fr,Style 3,Style 17,FR,Style 13,Style 4"/>
    <w:rsid w:val="00290D91"/>
    <w:rPr>
      <w:rFonts w:ascii="Times New Roman" w:hAnsi="Times New Roman"/>
      <w:dstrike w:val="0"/>
      <w:color w:val="auto"/>
      <w:sz w:val="20"/>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1"/>
    <w:rsid w:val="00290D91"/>
    <w:pPr>
      <w:spacing w:after="120"/>
    </w:pPr>
    <w:rPr>
      <w:rFonts w:ascii="Times New Roman" w:eastAsia="Times New Roman" w:hAnsi="Times New Roman"/>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rsid w:val="00CC43EF"/>
    <w:rPr>
      <w:rFonts w:ascii="Times New Roman" w:hAnsi="Times New Roman" w:cs="Times New Roman"/>
      <w:sz w:val="20"/>
      <w:szCs w:val="20"/>
    </w:rPr>
  </w:style>
  <w:style w:type="character" w:customStyle="1" w:styleId="FootnoteTextChar1">
    <w:name w:val="Footnote Text Char1"/>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locked/>
    <w:rsid w:val="00CC43EF"/>
    <w:rPr>
      <w:rFonts w:ascii="Times New Roman" w:eastAsia="Times New Roman" w:hAnsi="Times New Roman"/>
      <w:sz w:val="20"/>
      <w:szCs w:val="20"/>
    </w:rPr>
  </w:style>
  <w:style w:type="character" w:styleId="PageNumber">
    <w:name w:val="page number"/>
    <w:basedOn w:val="DefaultParagraphFont"/>
    <w:rsid w:val="00290D91"/>
  </w:style>
  <w:style w:type="paragraph" w:styleId="Footer">
    <w:name w:val="footer"/>
    <w:basedOn w:val="Normal"/>
    <w:link w:val="FooterChar"/>
    <w:rsid w:val="00290D91"/>
    <w:pPr>
      <w:tabs>
        <w:tab w:val="center" w:pos="4320"/>
        <w:tab w:val="right" w:pos="8640"/>
      </w:tabs>
    </w:pPr>
  </w:style>
  <w:style w:type="character" w:customStyle="1" w:styleId="FooterChar">
    <w:name w:val="Footer Char"/>
    <w:basedOn w:val="DefaultParagraphFont"/>
    <w:link w:val="Footer"/>
    <w:locked/>
    <w:rsid w:val="00CC43EF"/>
    <w:rPr>
      <w:rFonts w:ascii="Times New Roman" w:eastAsia="Times New Roman" w:hAnsi="Times New Roman"/>
      <w:snapToGrid w:val="0"/>
      <w:kern w:val="28"/>
      <w:szCs w:val="20"/>
    </w:rPr>
  </w:style>
  <w:style w:type="paragraph" w:customStyle="1" w:styleId="ParaNum">
    <w:name w:val="ParaNum"/>
    <w:basedOn w:val="Normal"/>
    <w:rsid w:val="00290D91"/>
    <w:pPr>
      <w:numPr>
        <w:numId w:val="3"/>
      </w:numPr>
      <w:tabs>
        <w:tab w:val="clear" w:pos="1080"/>
        <w:tab w:val="num" w:pos="1440"/>
      </w:tabs>
      <w:spacing w:after="120"/>
    </w:pPr>
  </w:style>
  <w:style w:type="character" w:customStyle="1" w:styleId="BalloonTextChar1">
    <w:name w:val="Balloon Text Char1"/>
    <w:basedOn w:val="DefaultParagraphFont"/>
    <w:link w:val="BalloonText"/>
    <w:uiPriority w:val="99"/>
    <w:semiHidden/>
    <w:locked/>
    <w:rsid w:val="00442921"/>
    <w:rPr>
      <w:rFonts w:ascii="Tahoma" w:hAnsi="Tahoma" w:cs="Tahoma"/>
      <w:sz w:val="16"/>
      <w:szCs w:val="16"/>
    </w:rPr>
  </w:style>
  <w:style w:type="character" w:styleId="Hyperlink">
    <w:name w:val="Hyperlink"/>
    <w:rsid w:val="00290D91"/>
    <w:rPr>
      <w:color w:val="0000FF"/>
      <w:u w:val="single"/>
    </w:rPr>
  </w:style>
  <w:style w:type="paragraph" w:styleId="ListParagraph">
    <w:name w:val="List Paragraph"/>
    <w:basedOn w:val="Normal"/>
    <w:uiPriority w:val="99"/>
    <w:qFormat/>
    <w:rsid w:val="009D7E24"/>
    <w:pPr>
      <w:ind w:left="720"/>
      <w:contextualSpacing/>
    </w:pPr>
  </w:style>
  <w:style w:type="character" w:styleId="CommentReference">
    <w:name w:val="annotation reference"/>
    <w:basedOn w:val="DefaultParagraphFont"/>
    <w:uiPriority w:val="99"/>
    <w:semiHidden/>
    <w:rsid w:val="00C8184E"/>
    <w:rPr>
      <w:rFonts w:cs="Times New Roman"/>
      <w:sz w:val="16"/>
      <w:szCs w:val="16"/>
    </w:rPr>
  </w:style>
  <w:style w:type="paragraph" w:styleId="CommentText">
    <w:name w:val="annotation text"/>
    <w:basedOn w:val="Normal"/>
    <w:link w:val="CommentTextChar"/>
    <w:uiPriority w:val="99"/>
    <w:semiHidden/>
    <w:rsid w:val="00C8184E"/>
    <w:rPr>
      <w:sz w:val="20"/>
    </w:rPr>
  </w:style>
  <w:style w:type="character" w:customStyle="1" w:styleId="CommentTextChar">
    <w:name w:val="Comment Text Char"/>
    <w:basedOn w:val="DefaultParagraphFont"/>
    <w:link w:val="CommentText"/>
    <w:uiPriority w:val="99"/>
    <w:semiHidden/>
    <w:locked/>
    <w:rsid w:val="00C818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94BAF"/>
    <w:rPr>
      <w:b/>
      <w:bCs/>
    </w:rPr>
  </w:style>
  <w:style w:type="character" w:customStyle="1" w:styleId="CommentSubjectChar">
    <w:name w:val="Comment Subject Char"/>
    <w:basedOn w:val="CommentTextChar"/>
    <w:link w:val="CommentSubject"/>
    <w:uiPriority w:val="99"/>
    <w:semiHidden/>
    <w:locked/>
    <w:rsid w:val="00894BAF"/>
    <w:rPr>
      <w:rFonts w:ascii="Times New Roman" w:hAnsi="Times New Roman" w:cs="Times New Roman"/>
      <w:b/>
      <w:bCs/>
      <w:sz w:val="20"/>
      <w:szCs w:val="20"/>
    </w:rPr>
  </w:style>
  <w:style w:type="character" w:customStyle="1" w:styleId="CharChar1">
    <w:name w:val="Char Char1"/>
    <w:uiPriority w:val="99"/>
    <w:rsid w:val="006D14AC"/>
  </w:style>
  <w:style w:type="character" w:customStyle="1" w:styleId="apple-converted-space">
    <w:name w:val="apple-converted-space"/>
    <w:basedOn w:val="DefaultParagraphFont"/>
    <w:rsid w:val="00040FC3"/>
    <w:rPr>
      <w:rFonts w:cs="Times New Roman"/>
    </w:rPr>
  </w:style>
  <w:style w:type="character" w:customStyle="1" w:styleId="searchterm">
    <w:name w:val="searchterm"/>
    <w:basedOn w:val="DefaultParagraphFont"/>
    <w:rsid w:val="00040FC3"/>
    <w:rPr>
      <w:rFonts w:cs="Times New Roman"/>
    </w:rPr>
  </w:style>
  <w:style w:type="character" w:customStyle="1" w:styleId="starpage">
    <w:name w:val="starpage"/>
    <w:basedOn w:val="DefaultParagraphFont"/>
    <w:rsid w:val="00FE32F4"/>
  </w:style>
  <w:style w:type="character" w:customStyle="1" w:styleId="Heading2Char">
    <w:name w:val="Heading 2 Char"/>
    <w:basedOn w:val="DefaultParagraphFont"/>
    <w:link w:val="Heading2"/>
    <w:rsid w:val="0064124D"/>
    <w:rPr>
      <w:rFonts w:ascii="Times New Roman" w:eastAsia="Times New Roman" w:hAnsi="Times New Roman"/>
      <w:b/>
      <w:snapToGrid w:val="0"/>
      <w:kern w:val="28"/>
      <w:szCs w:val="20"/>
    </w:rPr>
  </w:style>
  <w:style w:type="character" w:customStyle="1" w:styleId="Heading3Char">
    <w:name w:val="Heading 3 Char"/>
    <w:basedOn w:val="DefaultParagraphFont"/>
    <w:link w:val="Heading3"/>
    <w:rsid w:val="0064124D"/>
    <w:rPr>
      <w:rFonts w:ascii="Times New Roman" w:eastAsia="Times New Roman" w:hAnsi="Times New Roman"/>
      <w:b/>
      <w:snapToGrid w:val="0"/>
      <w:kern w:val="28"/>
      <w:szCs w:val="20"/>
    </w:rPr>
  </w:style>
  <w:style w:type="character" w:customStyle="1" w:styleId="Heading4Char">
    <w:name w:val="Heading 4 Char"/>
    <w:basedOn w:val="DefaultParagraphFont"/>
    <w:link w:val="Heading4"/>
    <w:rsid w:val="0064124D"/>
    <w:rPr>
      <w:rFonts w:ascii="Times New Roman" w:eastAsia="Times New Roman" w:hAnsi="Times New Roman"/>
      <w:b/>
      <w:snapToGrid w:val="0"/>
      <w:kern w:val="28"/>
      <w:szCs w:val="20"/>
    </w:rPr>
  </w:style>
  <w:style w:type="character" w:customStyle="1" w:styleId="Heading5Char">
    <w:name w:val="Heading 5 Char"/>
    <w:basedOn w:val="DefaultParagraphFont"/>
    <w:link w:val="Heading5"/>
    <w:rsid w:val="0064124D"/>
    <w:rPr>
      <w:rFonts w:ascii="Times New Roman" w:eastAsia="Times New Roman" w:hAnsi="Times New Roman"/>
      <w:b/>
      <w:snapToGrid w:val="0"/>
      <w:kern w:val="28"/>
      <w:szCs w:val="20"/>
    </w:rPr>
  </w:style>
  <w:style w:type="character" w:customStyle="1" w:styleId="Heading6Char">
    <w:name w:val="Heading 6 Char"/>
    <w:basedOn w:val="DefaultParagraphFont"/>
    <w:link w:val="Heading6"/>
    <w:rsid w:val="0064124D"/>
    <w:rPr>
      <w:rFonts w:ascii="Times New Roman" w:eastAsia="Times New Roman" w:hAnsi="Times New Roman"/>
      <w:b/>
      <w:snapToGrid w:val="0"/>
      <w:kern w:val="28"/>
      <w:szCs w:val="20"/>
    </w:rPr>
  </w:style>
  <w:style w:type="character" w:customStyle="1" w:styleId="Heading7Char">
    <w:name w:val="Heading 7 Char"/>
    <w:basedOn w:val="DefaultParagraphFont"/>
    <w:link w:val="Heading7"/>
    <w:rsid w:val="0064124D"/>
    <w:rPr>
      <w:rFonts w:ascii="Times New Roman" w:eastAsia="Times New Roman" w:hAnsi="Times New Roman"/>
      <w:b/>
      <w:snapToGrid w:val="0"/>
      <w:kern w:val="28"/>
      <w:szCs w:val="20"/>
    </w:rPr>
  </w:style>
  <w:style w:type="character" w:customStyle="1" w:styleId="Heading8Char">
    <w:name w:val="Heading 8 Char"/>
    <w:basedOn w:val="DefaultParagraphFont"/>
    <w:link w:val="Heading8"/>
    <w:rsid w:val="0064124D"/>
    <w:rPr>
      <w:rFonts w:ascii="Times New Roman" w:eastAsia="Times New Roman" w:hAnsi="Times New Roman"/>
      <w:b/>
      <w:snapToGrid w:val="0"/>
      <w:kern w:val="28"/>
      <w:szCs w:val="20"/>
    </w:rPr>
  </w:style>
  <w:style w:type="character" w:customStyle="1" w:styleId="Heading9Char">
    <w:name w:val="Heading 9 Char"/>
    <w:basedOn w:val="DefaultParagraphFont"/>
    <w:link w:val="Heading9"/>
    <w:rsid w:val="0064124D"/>
    <w:rPr>
      <w:rFonts w:ascii="Times New Roman" w:eastAsia="Times New Roman" w:hAnsi="Times New Roman"/>
      <w:b/>
      <w:snapToGrid w:val="0"/>
      <w:kern w:val="28"/>
      <w:szCs w:val="20"/>
    </w:rPr>
  </w:style>
  <w:style w:type="paragraph" w:styleId="EndnoteText">
    <w:name w:val="endnote text"/>
    <w:basedOn w:val="Normal"/>
    <w:link w:val="EndnoteTextChar"/>
    <w:semiHidden/>
    <w:rsid w:val="00290D91"/>
    <w:rPr>
      <w:sz w:val="20"/>
    </w:rPr>
  </w:style>
  <w:style w:type="character" w:customStyle="1" w:styleId="EndnoteTextChar">
    <w:name w:val="Endnote Text Char"/>
    <w:basedOn w:val="DefaultParagraphFont"/>
    <w:link w:val="EndnoteText"/>
    <w:semiHidden/>
    <w:rsid w:val="0064124D"/>
    <w:rPr>
      <w:rFonts w:ascii="Times New Roman" w:eastAsia="Times New Roman" w:hAnsi="Times New Roman"/>
      <w:snapToGrid w:val="0"/>
      <w:kern w:val="28"/>
      <w:sz w:val="20"/>
      <w:szCs w:val="20"/>
    </w:rPr>
  </w:style>
  <w:style w:type="character" w:styleId="EndnoteReference">
    <w:name w:val="endnote reference"/>
    <w:semiHidden/>
    <w:rsid w:val="00290D91"/>
    <w:rPr>
      <w:vertAlign w:val="superscript"/>
    </w:rPr>
  </w:style>
  <w:style w:type="paragraph" w:styleId="TOC1">
    <w:name w:val="toc 1"/>
    <w:basedOn w:val="Normal"/>
    <w:next w:val="Normal"/>
    <w:locked/>
    <w:rsid w:val="00290D91"/>
    <w:pPr>
      <w:tabs>
        <w:tab w:val="left" w:pos="360"/>
        <w:tab w:val="right" w:leader="dot" w:pos="9360"/>
      </w:tabs>
      <w:suppressAutoHyphens/>
      <w:ind w:left="360" w:right="720" w:hanging="360"/>
    </w:pPr>
    <w:rPr>
      <w:caps/>
      <w:noProof/>
    </w:rPr>
  </w:style>
  <w:style w:type="paragraph" w:styleId="TOC2">
    <w:name w:val="toc 2"/>
    <w:basedOn w:val="Normal"/>
    <w:next w:val="Normal"/>
    <w:locked/>
    <w:rsid w:val="00290D91"/>
    <w:pPr>
      <w:tabs>
        <w:tab w:val="left" w:pos="720"/>
        <w:tab w:val="right" w:leader="dot" w:pos="9360"/>
      </w:tabs>
      <w:suppressAutoHyphens/>
      <w:ind w:left="720" w:right="720" w:hanging="360"/>
    </w:pPr>
    <w:rPr>
      <w:noProof/>
    </w:rPr>
  </w:style>
  <w:style w:type="paragraph" w:styleId="TOC3">
    <w:name w:val="toc 3"/>
    <w:basedOn w:val="Normal"/>
    <w:next w:val="Normal"/>
    <w:locked/>
    <w:rsid w:val="00290D91"/>
    <w:pPr>
      <w:tabs>
        <w:tab w:val="left" w:pos="1080"/>
        <w:tab w:val="right" w:leader="dot" w:pos="9360"/>
      </w:tabs>
      <w:suppressAutoHyphens/>
      <w:ind w:left="1080" w:right="720" w:hanging="360"/>
    </w:pPr>
    <w:rPr>
      <w:noProof/>
    </w:rPr>
  </w:style>
  <w:style w:type="paragraph" w:styleId="TOC4">
    <w:name w:val="toc 4"/>
    <w:basedOn w:val="Normal"/>
    <w:next w:val="Normal"/>
    <w:autoRedefine/>
    <w:locked/>
    <w:rsid w:val="00290D91"/>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290D91"/>
    <w:pPr>
      <w:tabs>
        <w:tab w:val="left" w:pos="1800"/>
        <w:tab w:val="right" w:leader="dot" w:pos="9360"/>
      </w:tabs>
      <w:suppressAutoHyphens/>
      <w:ind w:left="1800" w:right="720" w:hanging="360"/>
    </w:pPr>
    <w:rPr>
      <w:noProof/>
    </w:rPr>
  </w:style>
  <w:style w:type="paragraph" w:styleId="TOC6">
    <w:name w:val="toc 6"/>
    <w:basedOn w:val="Normal"/>
    <w:next w:val="Normal"/>
    <w:autoRedefine/>
    <w:locked/>
    <w:rsid w:val="00290D91"/>
    <w:pPr>
      <w:tabs>
        <w:tab w:val="left" w:pos="2160"/>
        <w:tab w:val="right" w:leader="dot" w:pos="9360"/>
      </w:tabs>
      <w:suppressAutoHyphens/>
      <w:ind w:left="2160" w:hanging="360"/>
    </w:pPr>
    <w:rPr>
      <w:noProof/>
    </w:rPr>
  </w:style>
  <w:style w:type="paragraph" w:styleId="TOC7">
    <w:name w:val="toc 7"/>
    <w:basedOn w:val="Normal"/>
    <w:next w:val="Normal"/>
    <w:autoRedefine/>
    <w:locked/>
    <w:rsid w:val="00290D91"/>
    <w:pPr>
      <w:tabs>
        <w:tab w:val="left" w:pos="2520"/>
        <w:tab w:val="right" w:leader="dot" w:pos="9360"/>
      </w:tabs>
      <w:suppressAutoHyphens/>
      <w:ind w:left="2520" w:hanging="360"/>
    </w:pPr>
    <w:rPr>
      <w:noProof/>
    </w:rPr>
  </w:style>
  <w:style w:type="paragraph" w:styleId="TOC8">
    <w:name w:val="toc 8"/>
    <w:basedOn w:val="Normal"/>
    <w:next w:val="Normal"/>
    <w:autoRedefine/>
    <w:locked/>
    <w:rsid w:val="00290D91"/>
    <w:pPr>
      <w:tabs>
        <w:tab w:val="left" w:pos="2880"/>
        <w:tab w:val="right" w:leader="dot" w:pos="9360"/>
      </w:tabs>
      <w:suppressAutoHyphens/>
      <w:ind w:left="2880" w:hanging="360"/>
    </w:pPr>
    <w:rPr>
      <w:noProof/>
    </w:rPr>
  </w:style>
  <w:style w:type="paragraph" w:styleId="TOC9">
    <w:name w:val="toc 9"/>
    <w:basedOn w:val="Normal"/>
    <w:next w:val="Normal"/>
    <w:autoRedefine/>
    <w:locked/>
    <w:rsid w:val="00290D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0D91"/>
    <w:pPr>
      <w:tabs>
        <w:tab w:val="right" w:pos="9360"/>
      </w:tabs>
      <w:suppressAutoHyphens/>
    </w:pPr>
  </w:style>
  <w:style w:type="character" w:customStyle="1" w:styleId="EquationCaption">
    <w:name w:val="_Equation Caption"/>
    <w:rsid w:val="00290D91"/>
  </w:style>
  <w:style w:type="paragraph" w:styleId="BlockText">
    <w:name w:val="Block Text"/>
    <w:basedOn w:val="Normal"/>
    <w:rsid w:val="00290D91"/>
    <w:pPr>
      <w:spacing w:after="240"/>
      <w:ind w:left="1440" w:right="1440"/>
    </w:pPr>
  </w:style>
  <w:style w:type="paragraph" w:customStyle="1" w:styleId="Paratitle">
    <w:name w:val="Para title"/>
    <w:basedOn w:val="Normal"/>
    <w:rsid w:val="00290D91"/>
    <w:pPr>
      <w:tabs>
        <w:tab w:val="center" w:pos="9270"/>
      </w:tabs>
      <w:spacing w:after="240"/>
    </w:pPr>
    <w:rPr>
      <w:spacing w:val="-2"/>
    </w:rPr>
  </w:style>
  <w:style w:type="paragraph" w:customStyle="1" w:styleId="Bullet">
    <w:name w:val="Bullet"/>
    <w:basedOn w:val="Normal"/>
    <w:rsid w:val="00290D91"/>
    <w:pPr>
      <w:tabs>
        <w:tab w:val="left" w:pos="2160"/>
      </w:tabs>
      <w:spacing w:after="220"/>
      <w:ind w:left="2160" w:hanging="720"/>
    </w:pPr>
  </w:style>
  <w:style w:type="paragraph" w:customStyle="1" w:styleId="TableFormat">
    <w:name w:val="TableFormat"/>
    <w:basedOn w:val="Bullet"/>
    <w:rsid w:val="00290D91"/>
    <w:pPr>
      <w:tabs>
        <w:tab w:val="clear" w:pos="2160"/>
        <w:tab w:val="left" w:pos="5040"/>
      </w:tabs>
      <w:ind w:left="5040" w:hanging="3600"/>
    </w:pPr>
  </w:style>
  <w:style w:type="paragraph" w:customStyle="1" w:styleId="TOCTitle">
    <w:name w:val="TOC Title"/>
    <w:basedOn w:val="Normal"/>
    <w:rsid w:val="00290D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0D91"/>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91"/>
    <w:pPr>
      <w:widowControl w:val="0"/>
    </w:pPr>
    <w:rPr>
      <w:rFonts w:ascii="Times New Roman" w:eastAsia="Times New Roman" w:hAnsi="Times New Roman"/>
      <w:snapToGrid w:val="0"/>
      <w:kern w:val="28"/>
      <w:szCs w:val="20"/>
    </w:rPr>
  </w:style>
  <w:style w:type="paragraph" w:styleId="Heading1">
    <w:name w:val="heading 1"/>
    <w:basedOn w:val="Normal"/>
    <w:next w:val="ParaNum"/>
    <w:link w:val="Heading1Char"/>
    <w:qFormat/>
    <w:rsid w:val="00290D91"/>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locked/>
    <w:rsid w:val="00290D91"/>
    <w:pPr>
      <w:keepNext/>
      <w:numPr>
        <w:ilvl w:val="1"/>
        <w:numId w:val="4"/>
      </w:numPr>
      <w:spacing w:after="120"/>
      <w:outlineLvl w:val="1"/>
    </w:pPr>
    <w:rPr>
      <w:b/>
    </w:rPr>
  </w:style>
  <w:style w:type="paragraph" w:styleId="Heading3">
    <w:name w:val="heading 3"/>
    <w:basedOn w:val="Normal"/>
    <w:next w:val="ParaNum"/>
    <w:link w:val="Heading3Char"/>
    <w:qFormat/>
    <w:locked/>
    <w:rsid w:val="00290D91"/>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locked/>
    <w:rsid w:val="00290D91"/>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locked/>
    <w:rsid w:val="00290D91"/>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locked/>
    <w:rsid w:val="00290D91"/>
    <w:pPr>
      <w:numPr>
        <w:ilvl w:val="5"/>
        <w:numId w:val="4"/>
      </w:numPr>
      <w:tabs>
        <w:tab w:val="left" w:pos="4320"/>
      </w:tabs>
      <w:spacing w:after="120"/>
      <w:outlineLvl w:val="5"/>
    </w:pPr>
    <w:rPr>
      <w:b/>
    </w:rPr>
  </w:style>
  <w:style w:type="paragraph" w:styleId="Heading7">
    <w:name w:val="heading 7"/>
    <w:basedOn w:val="Normal"/>
    <w:next w:val="ParaNum"/>
    <w:link w:val="Heading7Char"/>
    <w:qFormat/>
    <w:locked/>
    <w:rsid w:val="00290D91"/>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locked/>
    <w:rsid w:val="00290D91"/>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290D91"/>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0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0D91"/>
  </w:style>
  <w:style w:type="character" w:customStyle="1" w:styleId="Heading1Char">
    <w:name w:val="Heading 1 Char"/>
    <w:basedOn w:val="DefaultParagraphFont"/>
    <w:link w:val="Heading1"/>
    <w:locked/>
    <w:rsid w:val="00CC43EF"/>
    <w:rPr>
      <w:rFonts w:ascii="Times New Roman Bold" w:eastAsia="Times New Roman" w:hAnsi="Times New Roman Bold"/>
      <w:b/>
      <w:caps/>
      <w:snapToGrid w:val="0"/>
      <w:kern w:val="28"/>
      <w:szCs w:val="20"/>
    </w:rPr>
  </w:style>
  <w:style w:type="paragraph" w:styleId="BalloonText">
    <w:name w:val="Balloon Text"/>
    <w:basedOn w:val="Normal"/>
    <w:link w:val="BalloonTextChar1"/>
    <w:uiPriority w:val="99"/>
    <w:semiHidden/>
    <w:rsid w:val="00442921"/>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cs="Times New Roman"/>
      <w:sz w:val="18"/>
      <w:szCs w:val="18"/>
    </w:rPr>
  </w:style>
  <w:style w:type="paragraph" w:styleId="Header">
    <w:name w:val="header"/>
    <w:basedOn w:val="Normal"/>
    <w:link w:val="HeaderChar"/>
    <w:autoRedefine/>
    <w:rsid w:val="00290D91"/>
    <w:pPr>
      <w:tabs>
        <w:tab w:val="center" w:pos="4680"/>
        <w:tab w:val="right" w:pos="9360"/>
      </w:tabs>
    </w:pPr>
    <w:rPr>
      <w:b/>
    </w:rPr>
  </w:style>
  <w:style w:type="character" w:customStyle="1" w:styleId="HeaderChar">
    <w:name w:val="Header Char"/>
    <w:basedOn w:val="DefaultParagraphFont"/>
    <w:link w:val="Header"/>
    <w:locked/>
    <w:rsid w:val="00CC43EF"/>
    <w:rPr>
      <w:rFonts w:ascii="Times New Roman" w:eastAsia="Times New Roman" w:hAnsi="Times New Roman"/>
      <w:b/>
      <w:snapToGrid w:val="0"/>
      <w:kern w:val="28"/>
      <w:szCs w:val="20"/>
    </w:rPr>
  </w:style>
  <w:style w:type="character" w:styleId="FootnoteReference">
    <w:name w:val="footnote reference"/>
    <w:aliases w:val="Style 12,(NECG) Footnote Reference,Appel note de bas de p,Style 124,o,fr,Style 3,Style 17,FR,Style 13,Style 4"/>
    <w:rsid w:val="00290D91"/>
    <w:rPr>
      <w:rFonts w:ascii="Times New Roman" w:hAnsi="Times New Roman"/>
      <w:dstrike w:val="0"/>
      <w:color w:val="auto"/>
      <w:sz w:val="20"/>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1"/>
    <w:rsid w:val="00290D91"/>
    <w:pPr>
      <w:spacing w:after="120"/>
    </w:pPr>
    <w:rPr>
      <w:rFonts w:ascii="Times New Roman" w:eastAsia="Times New Roman" w:hAnsi="Times New Roman"/>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rsid w:val="00CC43EF"/>
    <w:rPr>
      <w:rFonts w:ascii="Times New Roman" w:hAnsi="Times New Roman" w:cs="Times New Roman"/>
      <w:sz w:val="20"/>
      <w:szCs w:val="20"/>
    </w:rPr>
  </w:style>
  <w:style w:type="character" w:customStyle="1" w:styleId="FootnoteTextChar1">
    <w:name w:val="Footnote Text Char1"/>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locked/>
    <w:rsid w:val="00CC43EF"/>
    <w:rPr>
      <w:rFonts w:ascii="Times New Roman" w:eastAsia="Times New Roman" w:hAnsi="Times New Roman"/>
      <w:sz w:val="20"/>
      <w:szCs w:val="20"/>
    </w:rPr>
  </w:style>
  <w:style w:type="character" w:styleId="PageNumber">
    <w:name w:val="page number"/>
    <w:basedOn w:val="DefaultParagraphFont"/>
    <w:rsid w:val="00290D91"/>
  </w:style>
  <w:style w:type="paragraph" w:styleId="Footer">
    <w:name w:val="footer"/>
    <w:basedOn w:val="Normal"/>
    <w:link w:val="FooterChar"/>
    <w:rsid w:val="00290D91"/>
    <w:pPr>
      <w:tabs>
        <w:tab w:val="center" w:pos="4320"/>
        <w:tab w:val="right" w:pos="8640"/>
      </w:tabs>
    </w:pPr>
  </w:style>
  <w:style w:type="character" w:customStyle="1" w:styleId="FooterChar">
    <w:name w:val="Footer Char"/>
    <w:basedOn w:val="DefaultParagraphFont"/>
    <w:link w:val="Footer"/>
    <w:locked/>
    <w:rsid w:val="00CC43EF"/>
    <w:rPr>
      <w:rFonts w:ascii="Times New Roman" w:eastAsia="Times New Roman" w:hAnsi="Times New Roman"/>
      <w:snapToGrid w:val="0"/>
      <w:kern w:val="28"/>
      <w:szCs w:val="20"/>
    </w:rPr>
  </w:style>
  <w:style w:type="paragraph" w:customStyle="1" w:styleId="ParaNum">
    <w:name w:val="ParaNum"/>
    <w:basedOn w:val="Normal"/>
    <w:rsid w:val="00290D91"/>
    <w:pPr>
      <w:numPr>
        <w:numId w:val="3"/>
      </w:numPr>
      <w:tabs>
        <w:tab w:val="clear" w:pos="1080"/>
        <w:tab w:val="num" w:pos="1440"/>
      </w:tabs>
      <w:spacing w:after="120"/>
    </w:pPr>
  </w:style>
  <w:style w:type="character" w:customStyle="1" w:styleId="BalloonTextChar1">
    <w:name w:val="Balloon Text Char1"/>
    <w:basedOn w:val="DefaultParagraphFont"/>
    <w:link w:val="BalloonText"/>
    <w:uiPriority w:val="99"/>
    <w:semiHidden/>
    <w:locked/>
    <w:rsid w:val="00442921"/>
    <w:rPr>
      <w:rFonts w:ascii="Tahoma" w:hAnsi="Tahoma" w:cs="Tahoma"/>
      <w:sz w:val="16"/>
      <w:szCs w:val="16"/>
    </w:rPr>
  </w:style>
  <w:style w:type="character" w:styleId="Hyperlink">
    <w:name w:val="Hyperlink"/>
    <w:rsid w:val="00290D91"/>
    <w:rPr>
      <w:color w:val="0000FF"/>
      <w:u w:val="single"/>
    </w:rPr>
  </w:style>
  <w:style w:type="paragraph" w:styleId="ListParagraph">
    <w:name w:val="List Paragraph"/>
    <w:basedOn w:val="Normal"/>
    <w:uiPriority w:val="99"/>
    <w:qFormat/>
    <w:rsid w:val="009D7E24"/>
    <w:pPr>
      <w:ind w:left="720"/>
      <w:contextualSpacing/>
    </w:pPr>
  </w:style>
  <w:style w:type="character" w:styleId="CommentReference">
    <w:name w:val="annotation reference"/>
    <w:basedOn w:val="DefaultParagraphFont"/>
    <w:uiPriority w:val="99"/>
    <w:semiHidden/>
    <w:rsid w:val="00C8184E"/>
    <w:rPr>
      <w:rFonts w:cs="Times New Roman"/>
      <w:sz w:val="16"/>
      <w:szCs w:val="16"/>
    </w:rPr>
  </w:style>
  <w:style w:type="paragraph" w:styleId="CommentText">
    <w:name w:val="annotation text"/>
    <w:basedOn w:val="Normal"/>
    <w:link w:val="CommentTextChar"/>
    <w:uiPriority w:val="99"/>
    <w:semiHidden/>
    <w:rsid w:val="00C8184E"/>
    <w:rPr>
      <w:sz w:val="20"/>
    </w:rPr>
  </w:style>
  <w:style w:type="character" w:customStyle="1" w:styleId="CommentTextChar">
    <w:name w:val="Comment Text Char"/>
    <w:basedOn w:val="DefaultParagraphFont"/>
    <w:link w:val="CommentText"/>
    <w:uiPriority w:val="99"/>
    <w:semiHidden/>
    <w:locked/>
    <w:rsid w:val="00C818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94BAF"/>
    <w:rPr>
      <w:b/>
      <w:bCs/>
    </w:rPr>
  </w:style>
  <w:style w:type="character" w:customStyle="1" w:styleId="CommentSubjectChar">
    <w:name w:val="Comment Subject Char"/>
    <w:basedOn w:val="CommentTextChar"/>
    <w:link w:val="CommentSubject"/>
    <w:uiPriority w:val="99"/>
    <w:semiHidden/>
    <w:locked/>
    <w:rsid w:val="00894BAF"/>
    <w:rPr>
      <w:rFonts w:ascii="Times New Roman" w:hAnsi="Times New Roman" w:cs="Times New Roman"/>
      <w:b/>
      <w:bCs/>
      <w:sz w:val="20"/>
      <w:szCs w:val="20"/>
    </w:rPr>
  </w:style>
  <w:style w:type="character" w:customStyle="1" w:styleId="CharChar1">
    <w:name w:val="Char Char1"/>
    <w:uiPriority w:val="99"/>
    <w:rsid w:val="006D14AC"/>
  </w:style>
  <w:style w:type="character" w:customStyle="1" w:styleId="apple-converted-space">
    <w:name w:val="apple-converted-space"/>
    <w:basedOn w:val="DefaultParagraphFont"/>
    <w:rsid w:val="00040FC3"/>
    <w:rPr>
      <w:rFonts w:cs="Times New Roman"/>
    </w:rPr>
  </w:style>
  <w:style w:type="character" w:customStyle="1" w:styleId="searchterm">
    <w:name w:val="searchterm"/>
    <w:basedOn w:val="DefaultParagraphFont"/>
    <w:rsid w:val="00040FC3"/>
    <w:rPr>
      <w:rFonts w:cs="Times New Roman"/>
    </w:rPr>
  </w:style>
  <w:style w:type="character" w:customStyle="1" w:styleId="starpage">
    <w:name w:val="starpage"/>
    <w:basedOn w:val="DefaultParagraphFont"/>
    <w:rsid w:val="00FE32F4"/>
  </w:style>
  <w:style w:type="character" w:customStyle="1" w:styleId="Heading2Char">
    <w:name w:val="Heading 2 Char"/>
    <w:basedOn w:val="DefaultParagraphFont"/>
    <w:link w:val="Heading2"/>
    <w:rsid w:val="0064124D"/>
    <w:rPr>
      <w:rFonts w:ascii="Times New Roman" w:eastAsia="Times New Roman" w:hAnsi="Times New Roman"/>
      <w:b/>
      <w:snapToGrid w:val="0"/>
      <w:kern w:val="28"/>
      <w:szCs w:val="20"/>
    </w:rPr>
  </w:style>
  <w:style w:type="character" w:customStyle="1" w:styleId="Heading3Char">
    <w:name w:val="Heading 3 Char"/>
    <w:basedOn w:val="DefaultParagraphFont"/>
    <w:link w:val="Heading3"/>
    <w:rsid w:val="0064124D"/>
    <w:rPr>
      <w:rFonts w:ascii="Times New Roman" w:eastAsia="Times New Roman" w:hAnsi="Times New Roman"/>
      <w:b/>
      <w:snapToGrid w:val="0"/>
      <w:kern w:val="28"/>
      <w:szCs w:val="20"/>
    </w:rPr>
  </w:style>
  <w:style w:type="character" w:customStyle="1" w:styleId="Heading4Char">
    <w:name w:val="Heading 4 Char"/>
    <w:basedOn w:val="DefaultParagraphFont"/>
    <w:link w:val="Heading4"/>
    <w:rsid w:val="0064124D"/>
    <w:rPr>
      <w:rFonts w:ascii="Times New Roman" w:eastAsia="Times New Roman" w:hAnsi="Times New Roman"/>
      <w:b/>
      <w:snapToGrid w:val="0"/>
      <w:kern w:val="28"/>
      <w:szCs w:val="20"/>
    </w:rPr>
  </w:style>
  <w:style w:type="character" w:customStyle="1" w:styleId="Heading5Char">
    <w:name w:val="Heading 5 Char"/>
    <w:basedOn w:val="DefaultParagraphFont"/>
    <w:link w:val="Heading5"/>
    <w:rsid w:val="0064124D"/>
    <w:rPr>
      <w:rFonts w:ascii="Times New Roman" w:eastAsia="Times New Roman" w:hAnsi="Times New Roman"/>
      <w:b/>
      <w:snapToGrid w:val="0"/>
      <w:kern w:val="28"/>
      <w:szCs w:val="20"/>
    </w:rPr>
  </w:style>
  <w:style w:type="character" w:customStyle="1" w:styleId="Heading6Char">
    <w:name w:val="Heading 6 Char"/>
    <w:basedOn w:val="DefaultParagraphFont"/>
    <w:link w:val="Heading6"/>
    <w:rsid w:val="0064124D"/>
    <w:rPr>
      <w:rFonts w:ascii="Times New Roman" w:eastAsia="Times New Roman" w:hAnsi="Times New Roman"/>
      <w:b/>
      <w:snapToGrid w:val="0"/>
      <w:kern w:val="28"/>
      <w:szCs w:val="20"/>
    </w:rPr>
  </w:style>
  <w:style w:type="character" w:customStyle="1" w:styleId="Heading7Char">
    <w:name w:val="Heading 7 Char"/>
    <w:basedOn w:val="DefaultParagraphFont"/>
    <w:link w:val="Heading7"/>
    <w:rsid w:val="0064124D"/>
    <w:rPr>
      <w:rFonts w:ascii="Times New Roman" w:eastAsia="Times New Roman" w:hAnsi="Times New Roman"/>
      <w:b/>
      <w:snapToGrid w:val="0"/>
      <w:kern w:val="28"/>
      <w:szCs w:val="20"/>
    </w:rPr>
  </w:style>
  <w:style w:type="character" w:customStyle="1" w:styleId="Heading8Char">
    <w:name w:val="Heading 8 Char"/>
    <w:basedOn w:val="DefaultParagraphFont"/>
    <w:link w:val="Heading8"/>
    <w:rsid w:val="0064124D"/>
    <w:rPr>
      <w:rFonts w:ascii="Times New Roman" w:eastAsia="Times New Roman" w:hAnsi="Times New Roman"/>
      <w:b/>
      <w:snapToGrid w:val="0"/>
      <w:kern w:val="28"/>
      <w:szCs w:val="20"/>
    </w:rPr>
  </w:style>
  <w:style w:type="character" w:customStyle="1" w:styleId="Heading9Char">
    <w:name w:val="Heading 9 Char"/>
    <w:basedOn w:val="DefaultParagraphFont"/>
    <w:link w:val="Heading9"/>
    <w:rsid w:val="0064124D"/>
    <w:rPr>
      <w:rFonts w:ascii="Times New Roman" w:eastAsia="Times New Roman" w:hAnsi="Times New Roman"/>
      <w:b/>
      <w:snapToGrid w:val="0"/>
      <w:kern w:val="28"/>
      <w:szCs w:val="20"/>
    </w:rPr>
  </w:style>
  <w:style w:type="paragraph" w:styleId="EndnoteText">
    <w:name w:val="endnote text"/>
    <w:basedOn w:val="Normal"/>
    <w:link w:val="EndnoteTextChar"/>
    <w:semiHidden/>
    <w:rsid w:val="00290D91"/>
    <w:rPr>
      <w:sz w:val="20"/>
    </w:rPr>
  </w:style>
  <w:style w:type="character" w:customStyle="1" w:styleId="EndnoteTextChar">
    <w:name w:val="Endnote Text Char"/>
    <w:basedOn w:val="DefaultParagraphFont"/>
    <w:link w:val="EndnoteText"/>
    <w:semiHidden/>
    <w:rsid w:val="0064124D"/>
    <w:rPr>
      <w:rFonts w:ascii="Times New Roman" w:eastAsia="Times New Roman" w:hAnsi="Times New Roman"/>
      <w:snapToGrid w:val="0"/>
      <w:kern w:val="28"/>
      <w:sz w:val="20"/>
      <w:szCs w:val="20"/>
    </w:rPr>
  </w:style>
  <w:style w:type="character" w:styleId="EndnoteReference">
    <w:name w:val="endnote reference"/>
    <w:semiHidden/>
    <w:rsid w:val="00290D91"/>
    <w:rPr>
      <w:vertAlign w:val="superscript"/>
    </w:rPr>
  </w:style>
  <w:style w:type="paragraph" w:styleId="TOC1">
    <w:name w:val="toc 1"/>
    <w:basedOn w:val="Normal"/>
    <w:next w:val="Normal"/>
    <w:locked/>
    <w:rsid w:val="00290D91"/>
    <w:pPr>
      <w:tabs>
        <w:tab w:val="left" w:pos="360"/>
        <w:tab w:val="right" w:leader="dot" w:pos="9360"/>
      </w:tabs>
      <w:suppressAutoHyphens/>
      <w:ind w:left="360" w:right="720" w:hanging="360"/>
    </w:pPr>
    <w:rPr>
      <w:caps/>
      <w:noProof/>
    </w:rPr>
  </w:style>
  <w:style w:type="paragraph" w:styleId="TOC2">
    <w:name w:val="toc 2"/>
    <w:basedOn w:val="Normal"/>
    <w:next w:val="Normal"/>
    <w:locked/>
    <w:rsid w:val="00290D91"/>
    <w:pPr>
      <w:tabs>
        <w:tab w:val="left" w:pos="720"/>
        <w:tab w:val="right" w:leader="dot" w:pos="9360"/>
      </w:tabs>
      <w:suppressAutoHyphens/>
      <w:ind w:left="720" w:right="720" w:hanging="360"/>
    </w:pPr>
    <w:rPr>
      <w:noProof/>
    </w:rPr>
  </w:style>
  <w:style w:type="paragraph" w:styleId="TOC3">
    <w:name w:val="toc 3"/>
    <w:basedOn w:val="Normal"/>
    <w:next w:val="Normal"/>
    <w:locked/>
    <w:rsid w:val="00290D91"/>
    <w:pPr>
      <w:tabs>
        <w:tab w:val="left" w:pos="1080"/>
        <w:tab w:val="right" w:leader="dot" w:pos="9360"/>
      </w:tabs>
      <w:suppressAutoHyphens/>
      <w:ind w:left="1080" w:right="720" w:hanging="360"/>
    </w:pPr>
    <w:rPr>
      <w:noProof/>
    </w:rPr>
  </w:style>
  <w:style w:type="paragraph" w:styleId="TOC4">
    <w:name w:val="toc 4"/>
    <w:basedOn w:val="Normal"/>
    <w:next w:val="Normal"/>
    <w:autoRedefine/>
    <w:locked/>
    <w:rsid w:val="00290D91"/>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290D91"/>
    <w:pPr>
      <w:tabs>
        <w:tab w:val="left" w:pos="1800"/>
        <w:tab w:val="right" w:leader="dot" w:pos="9360"/>
      </w:tabs>
      <w:suppressAutoHyphens/>
      <w:ind w:left="1800" w:right="720" w:hanging="360"/>
    </w:pPr>
    <w:rPr>
      <w:noProof/>
    </w:rPr>
  </w:style>
  <w:style w:type="paragraph" w:styleId="TOC6">
    <w:name w:val="toc 6"/>
    <w:basedOn w:val="Normal"/>
    <w:next w:val="Normal"/>
    <w:autoRedefine/>
    <w:locked/>
    <w:rsid w:val="00290D91"/>
    <w:pPr>
      <w:tabs>
        <w:tab w:val="left" w:pos="2160"/>
        <w:tab w:val="right" w:leader="dot" w:pos="9360"/>
      </w:tabs>
      <w:suppressAutoHyphens/>
      <w:ind w:left="2160" w:hanging="360"/>
    </w:pPr>
    <w:rPr>
      <w:noProof/>
    </w:rPr>
  </w:style>
  <w:style w:type="paragraph" w:styleId="TOC7">
    <w:name w:val="toc 7"/>
    <w:basedOn w:val="Normal"/>
    <w:next w:val="Normal"/>
    <w:autoRedefine/>
    <w:locked/>
    <w:rsid w:val="00290D91"/>
    <w:pPr>
      <w:tabs>
        <w:tab w:val="left" w:pos="2520"/>
        <w:tab w:val="right" w:leader="dot" w:pos="9360"/>
      </w:tabs>
      <w:suppressAutoHyphens/>
      <w:ind w:left="2520" w:hanging="360"/>
    </w:pPr>
    <w:rPr>
      <w:noProof/>
    </w:rPr>
  </w:style>
  <w:style w:type="paragraph" w:styleId="TOC8">
    <w:name w:val="toc 8"/>
    <w:basedOn w:val="Normal"/>
    <w:next w:val="Normal"/>
    <w:autoRedefine/>
    <w:locked/>
    <w:rsid w:val="00290D91"/>
    <w:pPr>
      <w:tabs>
        <w:tab w:val="left" w:pos="2880"/>
        <w:tab w:val="right" w:leader="dot" w:pos="9360"/>
      </w:tabs>
      <w:suppressAutoHyphens/>
      <w:ind w:left="2880" w:hanging="360"/>
    </w:pPr>
    <w:rPr>
      <w:noProof/>
    </w:rPr>
  </w:style>
  <w:style w:type="paragraph" w:styleId="TOC9">
    <w:name w:val="toc 9"/>
    <w:basedOn w:val="Normal"/>
    <w:next w:val="Normal"/>
    <w:autoRedefine/>
    <w:locked/>
    <w:rsid w:val="00290D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0D91"/>
    <w:pPr>
      <w:tabs>
        <w:tab w:val="right" w:pos="9360"/>
      </w:tabs>
      <w:suppressAutoHyphens/>
    </w:pPr>
  </w:style>
  <w:style w:type="character" w:customStyle="1" w:styleId="EquationCaption">
    <w:name w:val="_Equation Caption"/>
    <w:rsid w:val="00290D91"/>
  </w:style>
  <w:style w:type="paragraph" w:styleId="BlockText">
    <w:name w:val="Block Text"/>
    <w:basedOn w:val="Normal"/>
    <w:rsid w:val="00290D91"/>
    <w:pPr>
      <w:spacing w:after="240"/>
      <w:ind w:left="1440" w:right="1440"/>
    </w:pPr>
  </w:style>
  <w:style w:type="paragraph" w:customStyle="1" w:styleId="Paratitle">
    <w:name w:val="Para title"/>
    <w:basedOn w:val="Normal"/>
    <w:rsid w:val="00290D91"/>
    <w:pPr>
      <w:tabs>
        <w:tab w:val="center" w:pos="9270"/>
      </w:tabs>
      <w:spacing w:after="240"/>
    </w:pPr>
    <w:rPr>
      <w:spacing w:val="-2"/>
    </w:rPr>
  </w:style>
  <w:style w:type="paragraph" w:customStyle="1" w:styleId="Bullet">
    <w:name w:val="Bullet"/>
    <w:basedOn w:val="Normal"/>
    <w:rsid w:val="00290D91"/>
    <w:pPr>
      <w:tabs>
        <w:tab w:val="left" w:pos="2160"/>
      </w:tabs>
      <w:spacing w:after="220"/>
      <w:ind w:left="2160" w:hanging="720"/>
    </w:pPr>
  </w:style>
  <w:style w:type="paragraph" w:customStyle="1" w:styleId="TableFormat">
    <w:name w:val="TableFormat"/>
    <w:basedOn w:val="Bullet"/>
    <w:rsid w:val="00290D91"/>
    <w:pPr>
      <w:tabs>
        <w:tab w:val="clear" w:pos="2160"/>
        <w:tab w:val="left" w:pos="5040"/>
      </w:tabs>
      <w:ind w:left="5040" w:hanging="3600"/>
    </w:pPr>
  </w:style>
  <w:style w:type="paragraph" w:customStyle="1" w:styleId="TOCTitle">
    <w:name w:val="TOC Title"/>
    <w:basedOn w:val="Normal"/>
    <w:rsid w:val="00290D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0D9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639">
      <w:bodyDiv w:val="1"/>
      <w:marLeft w:val="0"/>
      <w:marRight w:val="0"/>
      <w:marTop w:val="0"/>
      <w:marBottom w:val="0"/>
      <w:divBdr>
        <w:top w:val="none" w:sz="0" w:space="0" w:color="auto"/>
        <w:left w:val="none" w:sz="0" w:space="0" w:color="auto"/>
        <w:bottom w:val="none" w:sz="0" w:space="0" w:color="auto"/>
        <w:right w:val="none" w:sz="0" w:space="0" w:color="auto"/>
      </w:divBdr>
    </w:div>
    <w:div w:id="1272280352">
      <w:marLeft w:val="0"/>
      <w:marRight w:val="0"/>
      <w:marTop w:val="0"/>
      <w:marBottom w:val="0"/>
      <w:divBdr>
        <w:top w:val="none" w:sz="0" w:space="0" w:color="auto"/>
        <w:left w:val="none" w:sz="0" w:space="0" w:color="auto"/>
        <w:bottom w:val="none" w:sz="0" w:space="0" w:color="auto"/>
        <w:right w:val="none" w:sz="0" w:space="0" w:color="auto"/>
      </w:divBdr>
    </w:div>
    <w:div w:id="1272280353">
      <w:marLeft w:val="0"/>
      <w:marRight w:val="0"/>
      <w:marTop w:val="0"/>
      <w:marBottom w:val="0"/>
      <w:divBdr>
        <w:top w:val="none" w:sz="0" w:space="0" w:color="auto"/>
        <w:left w:val="none" w:sz="0" w:space="0" w:color="auto"/>
        <w:bottom w:val="none" w:sz="0" w:space="0" w:color="auto"/>
        <w:right w:val="none" w:sz="0" w:space="0" w:color="auto"/>
      </w:divBdr>
    </w:div>
    <w:div w:id="2080668628">
      <w:bodyDiv w:val="1"/>
      <w:marLeft w:val="0"/>
      <w:marRight w:val="0"/>
      <w:marTop w:val="0"/>
      <w:marBottom w:val="0"/>
      <w:divBdr>
        <w:top w:val="none" w:sz="0" w:space="0" w:color="auto"/>
        <w:left w:val="none" w:sz="0" w:space="0" w:color="auto"/>
        <w:bottom w:val="none" w:sz="0" w:space="0" w:color="auto"/>
        <w:right w:val="none" w:sz="0" w:space="0" w:color="auto"/>
      </w:divBdr>
      <w:divsChild>
        <w:div w:id="1039278496">
          <w:marLeft w:val="0"/>
          <w:marRight w:val="0"/>
          <w:marTop w:val="0"/>
          <w:marBottom w:val="0"/>
          <w:divBdr>
            <w:top w:val="none" w:sz="0" w:space="0" w:color="auto"/>
            <w:left w:val="none" w:sz="0" w:space="0" w:color="auto"/>
            <w:bottom w:val="none" w:sz="0" w:space="0" w:color="auto"/>
            <w:right w:val="none" w:sz="0" w:space="0" w:color="auto"/>
          </w:divBdr>
          <w:divsChild>
            <w:div w:id="77560935">
              <w:marLeft w:val="0"/>
              <w:marRight w:val="0"/>
              <w:marTop w:val="0"/>
              <w:marBottom w:val="0"/>
              <w:divBdr>
                <w:top w:val="none" w:sz="0" w:space="0" w:color="auto"/>
                <w:left w:val="none" w:sz="0" w:space="0" w:color="auto"/>
                <w:bottom w:val="none" w:sz="0" w:space="0" w:color="auto"/>
                <w:right w:val="none" w:sz="0" w:space="0" w:color="auto"/>
              </w:divBdr>
            </w:div>
            <w:div w:id="4096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913</Words>
  <Characters>4966</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2013-02-15T19:41:00Z</cp:lastPrinted>
  <dcterms:created xsi:type="dcterms:W3CDTF">2014-06-10T14:54:00Z</dcterms:created>
  <dcterms:modified xsi:type="dcterms:W3CDTF">2014-06-10T14:54:00Z</dcterms:modified>
  <cp:category> </cp:category>
  <cp:contentStatus> </cp:contentStatus>
</cp:coreProperties>
</file>