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AF" w:rsidRPr="00034270" w:rsidRDefault="00A507AF" w:rsidP="00A507AF">
      <w:pPr>
        <w:tabs>
          <w:tab w:val="right" w:pos="9360"/>
        </w:tabs>
        <w:jc w:val="center"/>
        <w:rPr>
          <w:b/>
          <w:szCs w:val="22"/>
        </w:rPr>
      </w:pPr>
      <w:bookmarkStart w:id="0" w:name="_GoBack"/>
      <w:bookmarkEnd w:id="0"/>
      <w:r w:rsidRPr="00034270">
        <w:rPr>
          <w:b/>
          <w:szCs w:val="22"/>
        </w:rPr>
        <w:t>Before the</w:t>
      </w:r>
    </w:p>
    <w:p w:rsidR="00A507AF" w:rsidRPr="00034270" w:rsidRDefault="00A507AF" w:rsidP="00A507AF">
      <w:pPr>
        <w:jc w:val="center"/>
        <w:rPr>
          <w:b/>
          <w:szCs w:val="22"/>
        </w:rPr>
      </w:pPr>
      <w:r w:rsidRPr="00034270">
        <w:rPr>
          <w:b/>
          <w:szCs w:val="22"/>
        </w:rPr>
        <w:t>Federal Communications Commission</w:t>
      </w:r>
    </w:p>
    <w:p w:rsidR="00A507AF" w:rsidRPr="00034270" w:rsidRDefault="00A507AF" w:rsidP="00A507AF">
      <w:pPr>
        <w:jc w:val="center"/>
        <w:rPr>
          <w:b/>
          <w:szCs w:val="22"/>
        </w:rPr>
      </w:pPr>
      <w:r w:rsidRPr="00034270">
        <w:rPr>
          <w:b/>
          <w:szCs w:val="22"/>
        </w:rPr>
        <w:t>Washington, D.C.  20554</w:t>
      </w:r>
    </w:p>
    <w:p w:rsidR="00A507AF" w:rsidRPr="00034270" w:rsidRDefault="00A507AF" w:rsidP="00A507AF"/>
    <w:tbl>
      <w:tblPr>
        <w:tblW w:w="9648" w:type="dxa"/>
        <w:tblLayout w:type="fixed"/>
        <w:tblLook w:val="0000" w:firstRow="0" w:lastRow="0" w:firstColumn="0" w:lastColumn="0" w:noHBand="0" w:noVBand="0"/>
      </w:tblPr>
      <w:tblGrid>
        <w:gridCol w:w="4698"/>
        <w:gridCol w:w="720"/>
        <w:gridCol w:w="4230"/>
      </w:tblGrid>
      <w:tr w:rsidR="00A507AF" w:rsidRPr="00034270" w:rsidTr="00497176">
        <w:tc>
          <w:tcPr>
            <w:tcW w:w="4698" w:type="dxa"/>
          </w:tcPr>
          <w:p w:rsidR="00A507AF" w:rsidRPr="00034270" w:rsidRDefault="00A507AF" w:rsidP="00497176">
            <w:pPr>
              <w:rPr>
                <w:szCs w:val="22"/>
              </w:rPr>
            </w:pPr>
            <w:r w:rsidRPr="00034270">
              <w:rPr>
                <w:szCs w:val="22"/>
              </w:rPr>
              <w:t xml:space="preserve">In the Matter of </w:t>
            </w:r>
          </w:p>
          <w:p w:rsidR="00A507AF" w:rsidRPr="00034270" w:rsidRDefault="00A507AF" w:rsidP="00497176">
            <w:pPr>
              <w:rPr>
                <w:szCs w:val="22"/>
              </w:rPr>
            </w:pPr>
          </w:p>
          <w:p w:rsidR="003B4698" w:rsidRPr="00034270" w:rsidRDefault="003B4698" w:rsidP="003B4698">
            <w:pPr>
              <w:rPr>
                <w:szCs w:val="22"/>
              </w:rPr>
            </w:pPr>
            <w:r w:rsidRPr="00034270">
              <w:rPr>
                <w:szCs w:val="22"/>
              </w:rPr>
              <w:t>AT&amp;T Corp.,</w:t>
            </w:r>
          </w:p>
          <w:p w:rsidR="00A507AF" w:rsidRPr="00034270" w:rsidRDefault="00A507AF" w:rsidP="00980651"/>
          <w:p w:rsidR="00A507AF" w:rsidRPr="00034270" w:rsidRDefault="00A507AF" w:rsidP="00497176">
            <w:pPr>
              <w:ind w:firstLine="720"/>
              <w:rPr>
                <w:szCs w:val="22"/>
              </w:rPr>
            </w:pPr>
            <w:r w:rsidRPr="00034270">
              <w:rPr>
                <w:szCs w:val="22"/>
              </w:rPr>
              <w:t>Complainant,</w:t>
            </w:r>
          </w:p>
          <w:p w:rsidR="00A507AF" w:rsidRPr="00034270" w:rsidRDefault="00A507AF" w:rsidP="00497176">
            <w:pPr>
              <w:rPr>
                <w:szCs w:val="22"/>
              </w:rPr>
            </w:pPr>
          </w:p>
          <w:p w:rsidR="00A507AF" w:rsidRPr="00034270" w:rsidRDefault="00A507AF" w:rsidP="00497176">
            <w:pPr>
              <w:rPr>
                <w:szCs w:val="22"/>
              </w:rPr>
            </w:pPr>
            <w:r w:rsidRPr="00034270">
              <w:rPr>
                <w:szCs w:val="22"/>
              </w:rPr>
              <w:tab/>
            </w:r>
            <w:r w:rsidR="00980651" w:rsidRPr="00034270">
              <w:rPr>
                <w:szCs w:val="22"/>
              </w:rPr>
              <w:t>v.</w:t>
            </w:r>
          </w:p>
          <w:p w:rsidR="003B4698" w:rsidRPr="00034270" w:rsidRDefault="003B4698" w:rsidP="003B4698">
            <w:pPr>
              <w:rPr>
                <w:szCs w:val="22"/>
              </w:rPr>
            </w:pPr>
          </w:p>
          <w:p w:rsidR="003B4698" w:rsidRPr="00034270" w:rsidRDefault="003B4698" w:rsidP="003B4698">
            <w:pPr>
              <w:rPr>
                <w:szCs w:val="22"/>
              </w:rPr>
            </w:pPr>
            <w:r w:rsidRPr="00034270">
              <w:rPr>
                <w:szCs w:val="22"/>
              </w:rPr>
              <w:t>All American Telephone Co.,</w:t>
            </w:r>
          </w:p>
          <w:p w:rsidR="003B4698" w:rsidRPr="00034270" w:rsidRDefault="003B4698" w:rsidP="003B4698">
            <w:pPr>
              <w:rPr>
                <w:szCs w:val="22"/>
              </w:rPr>
            </w:pPr>
            <w:r w:rsidRPr="00034270">
              <w:rPr>
                <w:szCs w:val="22"/>
              </w:rPr>
              <w:t>e-Pinnacle Communications, Inc., and</w:t>
            </w:r>
          </w:p>
          <w:p w:rsidR="003B4698" w:rsidRPr="00034270" w:rsidRDefault="003B4698" w:rsidP="003B4698">
            <w:pPr>
              <w:rPr>
                <w:szCs w:val="22"/>
              </w:rPr>
            </w:pPr>
            <w:r w:rsidRPr="00034270">
              <w:rPr>
                <w:szCs w:val="22"/>
              </w:rPr>
              <w:t>ChaseCom,</w:t>
            </w:r>
          </w:p>
          <w:p w:rsidR="00A507AF" w:rsidRPr="00034270" w:rsidRDefault="00A507AF" w:rsidP="00497176">
            <w:pPr>
              <w:rPr>
                <w:szCs w:val="22"/>
              </w:rPr>
            </w:pPr>
          </w:p>
          <w:p w:rsidR="00A507AF" w:rsidRPr="00034270" w:rsidRDefault="00A507AF" w:rsidP="00980651">
            <w:pPr>
              <w:ind w:firstLine="720"/>
              <w:rPr>
                <w:szCs w:val="22"/>
              </w:rPr>
            </w:pPr>
            <w:r w:rsidRPr="00034270">
              <w:rPr>
                <w:szCs w:val="22"/>
              </w:rPr>
              <w:t>Defendant</w:t>
            </w:r>
            <w:r w:rsidR="003B4698" w:rsidRPr="00034270">
              <w:rPr>
                <w:szCs w:val="22"/>
              </w:rPr>
              <w:t>s</w:t>
            </w:r>
            <w:r w:rsidRPr="00034270">
              <w:rPr>
                <w:szCs w:val="22"/>
              </w:rPr>
              <w:t>.</w:t>
            </w:r>
          </w:p>
        </w:tc>
        <w:tc>
          <w:tcPr>
            <w:tcW w:w="720" w:type="dxa"/>
          </w:tcPr>
          <w:p w:rsidR="00A507AF" w:rsidRPr="00034270" w:rsidRDefault="00A507AF" w:rsidP="00497176">
            <w:pPr>
              <w:rPr>
                <w:b/>
                <w:szCs w:val="22"/>
              </w:rPr>
            </w:pPr>
            <w:r w:rsidRPr="00034270">
              <w:rPr>
                <w:b/>
                <w:szCs w:val="22"/>
              </w:rPr>
              <w:t>)</w:t>
            </w:r>
          </w:p>
          <w:p w:rsidR="00A507AF" w:rsidRPr="00034270" w:rsidRDefault="00A507AF" w:rsidP="00497176">
            <w:pPr>
              <w:rPr>
                <w:b/>
                <w:szCs w:val="22"/>
              </w:rPr>
            </w:pPr>
            <w:r w:rsidRPr="00034270">
              <w:rPr>
                <w:b/>
                <w:szCs w:val="22"/>
              </w:rPr>
              <w:t>)</w:t>
            </w:r>
          </w:p>
          <w:p w:rsidR="00A507AF" w:rsidRPr="00034270" w:rsidRDefault="00A507AF" w:rsidP="00497176">
            <w:pPr>
              <w:rPr>
                <w:b/>
                <w:szCs w:val="22"/>
              </w:rPr>
            </w:pPr>
            <w:r w:rsidRPr="00034270">
              <w:rPr>
                <w:b/>
                <w:szCs w:val="22"/>
              </w:rPr>
              <w:t>)</w:t>
            </w:r>
          </w:p>
          <w:p w:rsidR="00A507AF" w:rsidRPr="00034270" w:rsidRDefault="00A507AF" w:rsidP="00497176">
            <w:pPr>
              <w:rPr>
                <w:b/>
                <w:szCs w:val="22"/>
              </w:rPr>
            </w:pPr>
            <w:r w:rsidRPr="00034270">
              <w:rPr>
                <w:b/>
                <w:szCs w:val="22"/>
              </w:rPr>
              <w:t>)</w:t>
            </w:r>
          </w:p>
          <w:p w:rsidR="00A507AF" w:rsidRPr="00034270" w:rsidRDefault="00A507AF" w:rsidP="00497176">
            <w:pPr>
              <w:rPr>
                <w:b/>
                <w:szCs w:val="22"/>
              </w:rPr>
            </w:pPr>
            <w:r w:rsidRPr="00034270">
              <w:rPr>
                <w:b/>
                <w:szCs w:val="22"/>
              </w:rPr>
              <w:t>)</w:t>
            </w:r>
          </w:p>
          <w:p w:rsidR="00A507AF" w:rsidRPr="00034270" w:rsidRDefault="00A507AF" w:rsidP="00497176">
            <w:pPr>
              <w:rPr>
                <w:b/>
                <w:szCs w:val="22"/>
              </w:rPr>
            </w:pPr>
            <w:r w:rsidRPr="00034270">
              <w:rPr>
                <w:b/>
                <w:szCs w:val="22"/>
              </w:rPr>
              <w:t>)</w:t>
            </w:r>
          </w:p>
          <w:p w:rsidR="00A507AF" w:rsidRPr="00034270" w:rsidRDefault="00A507AF" w:rsidP="00497176">
            <w:pPr>
              <w:rPr>
                <w:b/>
                <w:szCs w:val="22"/>
              </w:rPr>
            </w:pPr>
            <w:r w:rsidRPr="00034270">
              <w:rPr>
                <w:b/>
                <w:szCs w:val="22"/>
              </w:rPr>
              <w:t>)</w:t>
            </w:r>
          </w:p>
          <w:p w:rsidR="00A507AF" w:rsidRPr="00034270" w:rsidRDefault="00A507AF" w:rsidP="00497176">
            <w:pPr>
              <w:rPr>
                <w:b/>
                <w:szCs w:val="22"/>
              </w:rPr>
            </w:pPr>
            <w:r w:rsidRPr="00034270">
              <w:rPr>
                <w:b/>
                <w:szCs w:val="22"/>
              </w:rPr>
              <w:t>)</w:t>
            </w:r>
          </w:p>
          <w:p w:rsidR="00A507AF" w:rsidRPr="00034270" w:rsidRDefault="00A507AF" w:rsidP="00497176">
            <w:pPr>
              <w:rPr>
                <w:b/>
                <w:szCs w:val="22"/>
              </w:rPr>
            </w:pPr>
            <w:r w:rsidRPr="00034270">
              <w:rPr>
                <w:b/>
                <w:szCs w:val="22"/>
              </w:rPr>
              <w:t>)</w:t>
            </w:r>
          </w:p>
          <w:p w:rsidR="00A507AF" w:rsidRPr="00034270" w:rsidRDefault="00A507AF" w:rsidP="00497176">
            <w:pPr>
              <w:rPr>
                <w:b/>
                <w:szCs w:val="22"/>
              </w:rPr>
            </w:pPr>
            <w:r w:rsidRPr="00034270">
              <w:rPr>
                <w:b/>
                <w:szCs w:val="22"/>
              </w:rPr>
              <w:t>)</w:t>
            </w:r>
          </w:p>
          <w:p w:rsidR="00A507AF" w:rsidRPr="00034270" w:rsidRDefault="00A507AF" w:rsidP="00497176">
            <w:pPr>
              <w:rPr>
                <w:b/>
                <w:szCs w:val="22"/>
              </w:rPr>
            </w:pPr>
            <w:r w:rsidRPr="00034270">
              <w:rPr>
                <w:b/>
                <w:szCs w:val="22"/>
              </w:rPr>
              <w:t>)</w:t>
            </w:r>
          </w:p>
          <w:p w:rsidR="00A507AF" w:rsidRPr="00034270" w:rsidRDefault="00A507AF" w:rsidP="00497176">
            <w:pPr>
              <w:rPr>
                <w:b/>
                <w:szCs w:val="22"/>
              </w:rPr>
            </w:pPr>
            <w:r w:rsidRPr="00034270">
              <w:rPr>
                <w:b/>
                <w:szCs w:val="22"/>
              </w:rPr>
              <w:t>)</w:t>
            </w:r>
          </w:p>
          <w:p w:rsidR="00A507AF" w:rsidRPr="00034270" w:rsidRDefault="00A507AF" w:rsidP="00980651">
            <w:pPr>
              <w:rPr>
                <w:b/>
                <w:szCs w:val="22"/>
              </w:rPr>
            </w:pPr>
            <w:r w:rsidRPr="00034270">
              <w:rPr>
                <w:b/>
                <w:szCs w:val="22"/>
              </w:rPr>
              <w:t>)</w:t>
            </w:r>
          </w:p>
          <w:p w:rsidR="00B565A9" w:rsidRPr="00034270" w:rsidRDefault="00B565A9" w:rsidP="00980651">
            <w:pPr>
              <w:rPr>
                <w:szCs w:val="22"/>
              </w:rPr>
            </w:pPr>
          </w:p>
        </w:tc>
        <w:tc>
          <w:tcPr>
            <w:tcW w:w="4230" w:type="dxa"/>
          </w:tcPr>
          <w:p w:rsidR="00A507AF" w:rsidRPr="00034270" w:rsidRDefault="00A507AF" w:rsidP="00497176">
            <w:pPr>
              <w:rPr>
                <w:szCs w:val="22"/>
              </w:rPr>
            </w:pPr>
          </w:p>
          <w:p w:rsidR="00A507AF" w:rsidRPr="00034270" w:rsidRDefault="00A507AF" w:rsidP="00497176">
            <w:pPr>
              <w:rPr>
                <w:szCs w:val="22"/>
              </w:rPr>
            </w:pPr>
          </w:p>
          <w:p w:rsidR="00A507AF" w:rsidRPr="00034270" w:rsidRDefault="00A507AF" w:rsidP="00497176">
            <w:pPr>
              <w:rPr>
                <w:szCs w:val="22"/>
              </w:rPr>
            </w:pPr>
          </w:p>
          <w:p w:rsidR="00A507AF" w:rsidRPr="00034270" w:rsidRDefault="00A507AF" w:rsidP="00497176">
            <w:pPr>
              <w:rPr>
                <w:szCs w:val="22"/>
              </w:rPr>
            </w:pPr>
          </w:p>
          <w:p w:rsidR="00A507AF" w:rsidRPr="00034270" w:rsidRDefault="00A507AF" w:rsidP="00497176">
            <w:pPr>
              <w:rPr>
                <w:b/>
                <w:szCs w:val="22"/>
              </w:rPr>
            </w:pPr>
          </w:p>
          <w:p w:rsidR="00A507AF" w:rsidRPr="00034270" w:rsidRDefault="00A507AF" w:rsidP="00497176">
            <w:pPr>
              <w:rPr>
                <w:b/>
                <w:szCs w:val="22"/>
              </w:rPr>
            </w:pPr>
          </w:p>
          <w:p w:rsidR="00A507AF" w:rsidRPr="00034270" w:rsidRDefault="00A507AF" w:rsidP="00497176">
            <w:pPr>
              <w:rPr>
                <w:szCs w:val="22"/>
              </w:rPr>
            </w:pPr>
            <w:r w:rsidRPr="00034270">
              <w:rPr>
                <w:szCs w:val="22"/>
              </w:rPr>
              <w:t>File No. EB-</w:t>
            </w:r>
            <w:r w:rsidR="003B4698" w:rsidRPr="00034270">
              <w:rPr>
                <w:szCs w:val="22"/>
              </w:rPr>
              <w:t>09</w:t>
            </w:r>
            <w:r w:rsidRPr="00034270">
              <w:rPr>
                <w:szCs w:val="22"/>
              </w:rPr>
              <w:t>-</w:t>
            </w:r>
            <w:r w:rsidR="003B4698" w:rsidRPr="00034270">
              <w:rPr>
                <w:szCs w:val="22"/>
              </w:rPr>
              <w:t>MD-010</w:t>
            </w:r>
          </w:p>
          <w:p w:rsidR="00A507AF" w:rsidRPr="00034270" w:rsidRDefault="00A507AF" w:rsidP="00497176">
            <w:pPr>
              <w:rPr>
                <w:szCs w:val="22"/>
              </w:rPr>
            </w:pPr>
          </w:p>
          <w:p w:rsidR="00A507AF" w:rsidRPr="00034270" w:rsidRDefault="00A507AF" w:rsidP="00497176">
            <w:pPr>
              <w:rPr>
                <w:szCs w:val="22"/>
              </w:rPr>
            </w:pPr>
          </w:p>
        </w:tc>
      </w:tr>
    </w:tbl>
    <w:p w:rsidR="00A507AF" w:rsidRPr="00034270" w:rsidRDefault="00A507AF" w:rsidP="0058392F">
      <w:pPr>
        <w:jc w:val="center"/>
        <w:rPr>
          <w:b/>
          <w:caps/>
          <w:szCs w:val="22"/>
        </w:rPr>
      </w:pPr>
      <w:r w:rsidRPr="00034270">
        <w:rPr>
          <w:b/>
          <w:caps/>
          <w:szCs w:val="22"/>
        </w:rPr>
        <w:t>order</w:t>
      </w:r>
      <w:r w:rsidR="00E42016" w:rsidRPr="00034270">
        <w:rPr>
          <w:b/>
          <w:caps/>
          <w:szCs w:val="22"/>
        </w:rPr>
        <w:t xml:space="preserve"> ON RECONSIDERATION</w:t>
      </w:r>
    </w:p>
    <w:p w:rsidR="00A507AF" w:rsidRPr="00034270" w:rsidRDefault="00A507AF" w:rsidP="00A507AF">
      <w:pPr>
        <w:rPr>
          <w:b/>
          <w:szCs w:val="22"/>
        </w:rPr>
      </w:pPr>
    </w:p>
    <w:p w:rsidR="00AB3C9B" w:rsidRPr="00034270" w:rsidRDefault="0095041B" w:rsidP="00070001">
      <w:pPr>
        <w:tabs>
          <w:tab w:val="right" w:pos="9360"/>
        </w:tabs>
        <w:rPr>
          <w:b/>
          <w:szCs w:val="22"/>
        </w:rPr>
      </w:pPr>
      <w:r>
        <w:rPr>
          <w:b/>
          <w:szCs w:val="22"/>
        </w:rPr>
        <w:t>Adopted:  June 10, 2014</w:t>
      </w:r>
      <w:r w:rsidR="00A507AF" w:rsidRPr="00034270">
        <w:rPr>
          <w:b/>
          <w:szCs w:val="22"/>
        </w:rPr>
        <w:tab/>
        <w:t xml:space="preserve">Released:  </w:t>
      </w:r>
      <w:r>
        <w:rPr>
          <w:b/>
          <w:szCs w:val="22"/>
        </w:rPr>
        <w:t>June 10, 2014</w:t>
      </w:r>
    </w:p>
    <w:p w:rsidR="00A507AF" w:rsidRPr="00034270" w:rsidRDefault="00A507AF" w:rsidP="00AB3C9B">
      <w:pPr>
        <w:tabs>
          <w:tab w:val="right" w:pos="9360"/>
        </w:tabs>
        <w:rPr>
          <w:szCs w:val="22"/>
        </w:rPr>
      </w:pPr>
      <w:r w:rsidRPr="00034270">
        <w:rPr>
          <w:szCs w:val="22"/>
        </w:rPr>
        <w:t xml:space="preserve"> </w:t>
      </w:r>
    </w:p>
    <w:p w:rsidR="00A507AF" w:rsidRPr="00034270" w:rsidRDefault="00A507AF" w:rsidP="00AB3C9B">
      <w:pPr>
        <w:tabs>
          <w:tab w:val="left" w:pos="5760"/>
        </w:tabs>
        <w:spacing w:after="120"/>
        <w:rPr>
          <w:szCs w:val="22"/>
        </w:rPr>
      </w:pPr>
      <w:r w:rsidRPr="00034270">
        <w:rPr>
          <w:szCs w:val="22"/>
        </w:rPr>
        <w:t>By the Commission:</w:t>
      </w:r>
    </w:p>
    <w:p w:rsidR="00DE5655" w:rsidRPr="00034270" w:rsidRDefault="00DE5655" w:rsidP="00F60768">
      <w:pPr>
        <w:tabs>
          <w:tab w:val="left" w:pos="5760"/>
        </w:tabs>
        <w:rPr>
          <w:szCs w:val="22"/>
        </w:rPr>
      </w:pPr>
    </w:p>
    <w:p w:rsidR="00A507AF" w:rsidRPr="00034270" w:rsidRDefault="00A507AF" w:rsidP="000555A2">
      <w:pPr>
        <w:pStyle w:val="Heading1"/>
        <w:tabs>
          <w:tab w:val="clear" w:pos="720"/>
        </w:tabs>
        <w:rPr>
          <w:bCs/>
        </w:rPr>
      </w:pPr>
      <w:r w:rsidRPr="00034270">
        <w:rPr>
          <w:bCs/>
        </w:rPr>
        <w:t>Introduction</w:t>
      </w:r>
    </w:p>
    <w:p w:rsidR="00A507AF" w:rsidRPr="00034270" w:rsidRDefault="004D6194" w:rsidP="0082636C">
      <w:pPr>
        <w:pStyle w:val="ParaNum"/>
      </w:pPr>
      <w:r w:rsidRPr="00034270">
        <w:t>On April 30, 2010, AT&amp;T Corp. (AT&amp;T) filed a formal complaint against All American Telephone Co. (All American), e-Pinnacle Communications, Inc. (e-Pinnacle), and ChaseCom (ChaseCom) (collectively, Defendants) under Section 208 of the Communications Act of 1934, as amended (Act).</w:t>
      </w:r>
      <w:bookmarkStart w:id="1" w:name="_Ref364754264"/>
      <w:r w:rsidRPr="00034270">
        <w:rPr>
          <w:rStyle w:val="FootnoteReference"/>
          <w:szCs w:val="22"/>
        </w:rPr>
        <w:footnoteReference w:id="2"/>
      </w:r>
      <w:bookmarkEnd w:id="1"/>
      <w:r w:rsidRPr="00034270">
        <w:t xml:space="preserve">  On March 2</w:t>
      </w:r>
      <w:r w:rsidR="00427BBC" w:rsidRPr="00034270">
        <w:t>2</w:t>
      </w:r>
      <w:r w:rsidRPr="00034270">
        <w:t>, 2013</w:t>
      </w:r>
      <w:r w:rsidR="00F75C67" w:rsidRPr="00034270">
        <w:t xml:space="preserve">, the Commission </w:t>
      </w:r>
      <w:r w:rsidR="0094158E">
        <w:t>ruled in favor of AT&amp;T on</w:t>
      </w:r>
      <w:r w:rsidR="0094158E" w:rsidRPr="00034270">
        <w:t xml:space="preserve"> </w:t>
      </w:r>
      <w:r w:rsidRPr="00034270">
        <w:t xml:space="preserve">Counts I and II of the </w:t>
      </w:r>
      <w:r w:rsidR="00D87B25" w:rsidRPr="00034270">
        <w:t>C</w:t>
      </w:r>
      <w:r w:rsidR="00F75C67" w:rsidRPr="00034270">
        <w:t>omplaint.</w:t>
      </w:r>
      <w:bookmarkStart w:id="2" w:name="_Ref366137315"/>
      <w:r w:rsidR="00F75C67" w:rsidRPr="00034270">
        <w:rPr>
          <w:rStyle w:val="FootnoteReference"/>
        </w:rPr>
        <w:footnoteReference w:id="3"/>
      </w:r>
      <w:bookmarkEnd w:id="2"/>
      <w:r w:rsidR="00F75C67" w:rsidRPr="00034270">
        <w:t xml:space="preserve">  Thereafter</w:t>
      </w:r>
      <w:r w:rsidR="008C718B" w:rsidRPr="00034270">
        <w:t>,</w:t>
      </w:r>
      <w:r w:rsidR="00F75C67" w:rsidRPr="00034270">
        <w:t xml:space="preserve"> the </w:t>
      </w:r>
      <w:r w:rsidRPr="00034270">
        <w:t>Defendants</w:t>
      </w:r>
      <w:r w:rsidR="00F75C67" w:rsidRPr="00034270">
        <w:t xml:space="preserve"> filed</w:t>
      </w:r>
      <w:r w:rsidR="00616F8D" w:rsidRPr="00034270">
        <w:t xml:space="preserve"> </w:t>
      </w:r>
      <w:r w:rsidR="00A507AF" w:rsidRPr="00034270">
        <w:t xml:space="preserve">a </w:t>
      </w:r>
      <w:r w:rsidR="00D71886">
        <w:t>P</w:t>
      </w:r>
      <w:r w:rsidR="00A507AF" w:rsidRPr="00034270">
        <w:t xml:space="preserve">etition for </w:t>
      </w:r>
      <w:r w:rsidR="00D71886">
        <w:t>R</w:t>
      </w:r>
      <w:r w:rsidR="00A507AF" w:rsidRPr="00034270">
        <w:t xml:space="preserve">econsideration </w:t>
      </w:r>
      <w:r w:rsidR="007D12F1" w:rsidRPr="00034270">
        <w:t>and</w:t>
      </w:r>
      <w:r w:rsidR="00A507AF" w:rsidRPr="00034270">
        <w:t xml:space="preserve"> </w:t>
      </w:r>
      <w:r w:rsidR="00D71886">
        <w:t>C</w:t>
      </w:r>
      <w:r w:rsidR="00A507AF" w:rsidRPr="00034270">
        <w:t>larification</w:t>
      </w:r>
      <w:r w:rsidR="001C4C3D" w:rsidRPr="00034270">
        <w:rPr>
          <w:rStyle w:val="FootnoteReference"/>
        </w:rPr>
        <w:footnoteReference w:id="4"/>
      </w:r>
      <w:r w:rsidR="00534073" w:rsidRPr="00034270">
        <w:t xml:space="preserve"> unde</w:t>
      </w:r>
      <w:r w:rsidR="00A507AF" w:rsidRPr="00034270">
        <w:t>r</w:t>
      </w:r>
      <w:r w:rsidR="00534073" w:rsidRPr="00034270">
        <w:t xml:space="preserve"> </w:t>
      </w:r>
      <w:r w:rsidR="00FF1350">
        <w:t>S</w:t>
      </w:r>
      <w:r w:rsidR="00534073" w:rsidRPr="00034270">
        <w:t>ection 1.106</w:t>
      </w:r>
      <w:r w:rsidR="00B42E76" w:rsidRPr="00034270">
        <w:t xml:space="preserve"> of the Commission’s rules</w:t>
      </w:r>
      <w:r w:rsidR="00534073" w:rsidRPr="00034270">
        <w:t>.</w:t>
      </w:r>
      <w:r w:rsidR="00F75C67" w:rsidRPr="00034270">
        <w:rPr>
          <w:rStyle w:val="FootnoteReference"/>
        </w:rPr>
        <w:footnoteReference w:id="5"/>
      </w:r>
      <w:r w:rsidR="00F75C67" w:rsidRPr="00034270">
        <w:t xml:space="preserve"> </w:t>
      </w:r>
      <w:r w:rsidR="00326316" w:rsidRPr="00034270">
        <w:rPr>
          <w:i/>
        </w:rPr>
        <w:t xml:space="preserve"> </w:t>
      </w:r>
      <w:r w:rsidR="007E460F" w:rsidRPr="00034270">
        <w:t xml:space="preserve">For the reasons explained below, </w:t>
      </w:r>
      <w:r w:rsidR="00D14D18" w:rsidRPr="00034270">
        <w:t xml:space="preserve">we dismiss </w:t>
      </w:r>
      <w:r w:rsidR="007E460F" w:rsidRPr="00034270">
        <w:t xml:space="preserve">the Petition </w:t>
      </w:r>
      <w:r w:rsidR="00534073" w:rsidRPr="00034270">
        <w:t>on procedural grounds and</w:t>
      </w:r>
      <w:r w:rsidR="00D14D18" w:rsidRPr="00034270">
        <w:t>,</w:t>
      </w:r>
      <w:r w:rsidR="00534073" w:rsidRPr="00034270">
        <w:t xml:space="preserve"> </w:t>
      </w:r>
      <w:r w:rsidR="005A2A58">
        <w:t xml:space="preserve">as an independent and </w:t>
      </w:r>
      <w:r w:rsidR="00534073" w:rsidRPr="00034270">
        <w:t>alternative</w:t>
      </w:r>
      <w:r w:rsidR="005A2A58">
        <w:t xml:space="preserve"> basis for this decision</w:t>
      </w:r>
      <w:r w:rsidR="00534073" w:rsidRPr="00034270">
        <w:t xml:space="preserve">, </w:t>
      </w:r>
      <w:r w:rsidR="00D14D18" w:rsidRPr="00034270">
        <w:t>den</w:t>
      </w:r>
      <w:r w:rsidR="00D608AA" w:rsidRPr="00034270">
        <w:t>y</w:t>
      </w:r>
      <w:r w:rsidR="00D14D18" w:rsidRPr="00034270">
        <w:t xml:space="preserve"> it</w:t>
      </w:r>
      <w:r w:rsidR="00534073" w:rsidRPr="00034270">
        <w:t xml:space="preserve"> on the </w:t>
      </w:r>
      <w:r w:rsidR="007E460F" w:rsidRPr="00034270">
        <w:t>merit</w:t>
      </w:r>
      <w:r w:rsidR="00534073" w:rsidRPr="00034270">
        <w:t>s</w:t>
      </w:r>
      <w:r w:rsidR="007E460F" w:rsidRPr="00034270">
        <w:t>.</w:t>
      </w:r>
    </w:p>
    <w:p w:rsidR="00FB3019" w:rsidRPr="00034270" w:rsidRDefault="00FD25C6" w:rsidP="0082636C">
      <w:pPr>
        <w:pStyle w:val="ParaNum"/>
      </w:pPr>
      <w:r w:rsidRPr="00034270">
        <w:t>Beehive Telephone Co., Inc. and Beehive Telephone Co., Inc. Nevada (collectively, Beehive)</w:t>
      </w:r>
      <w:r w:rsidR="002508F0" w:rsidRPr="00034270">
        <w:t xml:space="preserve">, which are </w:t>
      </w:r>
      <w:r w:rsidR="0094158E">
        <w:t>neither</w:t>
      </w:r>
      <w:r w:rsidR="0094158E" w:rsidRPr="00034270">
        <w:t xml:space="preserve"> </w:t>
      </w:r>
      <w:r w:rsidR="002508F0" w:rsidRPr="00034270">
        <w:t xml:space="preserve">parties to this litigation nor to the district court case from which this litigation </w:t>
      </w:r>
      <w:r w:rsidR="0094158E" w:rsidRPr="00034270">
        <w:lastRenderedPageBreak/>
        <w:t>ar</w:t>
      </w:r>
      <w:r w:rsidR="0094158E">
        <w:t>o</w:t>
      </w:r>
      <w:r w:rsidR="0094158E" w:rsidRPr="00034270">
        <w:t>se</w:t>
      </w:r>
      <w:r w:rsidR="002508F0" w:rsidRPr="00034270">
        <w:t>,</w:t>
      </w:r>
      <w:r w:rsidRPr="00034270">
        <w:t xml:space="preserve"> </w:t>
      </w:r>
      <w:r w:rsidR="006140AE" w:rsidRPr="00034270">
        <w:t xml:space="preserve">also </w:t>
      </w:r>
      <w:r w:rsidRPr="00034270">
        <w:t xml:space="preserve">filed a </w:t>
      </w:r>
      <w:r w:rsidR="00D71886">
        <w:t>P</w:t>
      </w:r>
      <w:r w:rsidR="0094158E" w:rsidRPr="00034270">
        <w:t xml:space="preserve">etition </w:t>
      </w:r>
      <w:r w:rsidRPr="00034270">
        <w:t xml:space="preserve">for </w:t>
      </w:r>
      <w:r w:rsidR="00D71886">
        <w:t>R</w:t>
      </w:r>
      <w:r w:rsidRPr="00034270">
        <w:t>econsideration</w:t>
      </w:r>
      <w:r w:rsidR="00B02E1E" w:rsidRPr="00034270">
        <w:t>.</w:t>
      </w:r>
      <w:r w:rsidRPr="00034270">
        <w:rPr>
          <w:rStyle w:val="FootnoteReference"/>
        </w:rPr>
        <w:footnoteReference w:id="6"/>
      </w:r>
      <w:r w:rsidR="00B02E1E" w:rsidRPr="00034270">
        <w:t xml:space="preserve">  As discussed below, we dismiss </w:t>
      </w:r>
      <w:r w:rsidR="00D71886">
        <w:t>the Beehive P</w:t>
      </w:r>
      <w:r w:rsidR="00B02E1E" w:rsidRPr="00034270">
        <w:t xml:space="preserve">etition because Beehive has not satisfied the requirements for non-parties to seek reconsideration of a Commission order in an adjudicatory proceeding.  </w:t>
      </w:r>
    </w:p>
    <w:p w:rsidR="00A507AF" w:rsidRPr="00034270" w:rsidRDefault="00A507AF" w:rsidP="00752629">
      <w:pPr>
        <w:pStyle w:val="Heading1"/>
        <w:tabs>
          <w:tab w:val="clear" w:pos="720"/>
        </w:tabs>
        <w:rPr>
          <w:szCs w:val="22"/>
        </w:rPr>
      </w:pPr>
      <w:r w:rsidRPr="00034270">
        <w:rPr>
          <w:szCs w:val="22"/>
        </w:rPr>
        <w:t>BACKGROUND</w:t>
      </w:r>
      <w:r w:rsidR="00D71886" w:rsidRPr="00034270">
        <w:rPr>
          <w:rStyle w:val="FootnoteReference"/>
          <w:szCs w:val="22"/>
        </w:rPr>
        <w:footnoteReference w:id="7"/>
      </w:r>
    </w:p>
    <w:p w:rsidR="007E460F" w:rsidRPr="00034270" w:rsidRDefault="007E460F" w:rsidP="0082636C">
      <w:pPr>
        <w:pStyle w:val="ParaNum"/>
      </w:pPr>
      <w:r w:rsidRPr="00034270">
        <w:rPr>
          <w:szCs w:val="22"/>
        </w:rPr>
        <w:t xml:space="preserve">At all relevant times, the </w:t>
      </w:r>
      <w:r w:rsidR="00EF7F38" w:rsidRPr="00034270">
        <w:rPr>
          <w:szCs w:val="22"/>
        </w:rPr>
        <w:t>Defendants</w:t>
      </w:r>
      <w:r w:rsidRPr="00034270">
        <w:rPr>
          <w:szCs w:val="22"/>
        </w:rPr>
        <w:t xml:space="preserve"> purported to provide terminating interstate switched access services to AT&amp;T, an interexchange carrier, pursuant to federal tariffs </w:t>
      </w:r>
      <w:r w:rsidR="003F6249" w:rsidRPr="00034270">
        <w:rPr>
          <w:szCs w:val="22"/>
        </w:rPr>
        <w:t xml:space="preserve">that the </w:t>
      </w:r>
      <w:r w:rsidR="00F925F0" w:rsidRPr="00034270">
        <w:rPr>
          <w:szCs w:val="22"/>
        </w:rPr>
        <w:t>Defendants</w:t>
      </w:r>
      <w:r w:rsidR="003F6249" w:rsidRPr="00034270">
        <w:rPr>
          <w:szCs w:val="22"/>
        </w:rPr>
        <w:t xml:space="preserve"> </w:t>
      </w:r>
      <w:r w:rsidRPr="00034270">
        <w:rPr>
          <w:szCs w:val="22"/>
        </w:rPr>
        <w:t xml:space="preserve">filed with the Commission.  The </w:t>
      </w:r>
      <w:r w:rsidR="00F925F0" w:rsidRPr="00034270">
        <w:rPr>
          <w:szCs w:val="22"/>
        </w:rPr>
        <w:t>Defendants</w:t>
      </w:r>
      <w:r w:rsidRPr="00034270">
        <w:rPr>
          <w:szCs w:val="22"/>
        </w:rPr>
        <w:t xml:space="preserve"> charged AT&amp;T for terminating interstate switched access services, but AT&amp;T refused to pay, asserting that the </w:t>
      </w:r>
      <w:r w:rsidR="00F925F0" w:rsidRPr="00034270">
        <w:rPr>
          <w:szCs w:val="22"/>
        </w:rPr>
        <w:t>Defendants</w:t>
      </w:r>
      <w:r w:rsidRPr="00034270">
        <w:rPr>
          <w:szCs w:val="22"/>
        </w:rPr>
        <w:t xml:space="preserve"> were not providing such services in accordance with their federal tariffs</w:t>
      </w:r>
      <w:r w:rsidR="00F925F0" w:rsidRPr="00034270">
        <w:rPr>
          <w:szCs w:val="22"/>
        </w:rPr>
        <w:t xml:space="preserve"> and were sham entities</w:t>
      </w:r>
      <w:r w:rsidRPr="00034270">
        <w:rPr>
          <w:szCs w:val="22"/>
        </w:rPr>
        <w:t>.</w:t>
      </w:r>
    </w:p>
    <w:p w:rsidR="006F1DE2" w:rsidRPr="00034270" w:rsidRDefault="00370FC2" w:rsidP="0082636C">
      <w:pPr>
        <w:pStyle w:val="ParaNum"/>
        <w:rPr>
          <w:szCs w:val="22"/>
        </w:rPr>
      </w:pPr>
      <w:r w:rsidRPr="00034270">
        <w:rPr>
          <w:szCs w:val="22"/>
        </w:rPr>
        <w:t xml:space="preserve">The Defendants sued AT&amp;T in federal district court to collect the access charges billed, alleging, </w:t>
      </w:r>
      <w:r w:rsidRPr="00034270">
        <w:rPr>
          <w:i/>
          <w:szCs w:val="22"/>
        </w:rPr>
        <w:t>inter alia</w:t>
      </w:r>
      <w:r w:rsidRPr="00034270">
        <w:rPr>
          <w:szCs w:val="22"/>
        </w:rPr>
        <w:t xml:space="preserve">, that AT&amp;T’s refusal to pay violated the Defendants’ federal tariffs, </w:t>
      </w:r>
      <w:r w:rsidR="0025138C">
        <w:rPr>
          <w:szCs w:val="22"/>
        </w:rPr>
        <w:t>S</w:t>
      </w:r>
      <w:r w:rsidRPr="00034270">
        <w:rPr>
          <w:szCs w:val="22"/>
        </w:rPr>
        <w:t xml:space="preserve">ection 201(b) of the Act, and </w:t>
      </w:r>
      <w:r w:rsidR="0025138C">
        <w:rPr>
          <w:szCs w:val="22"/>
        </w:rPr>
        <w:t>S</w:t>
      </w:r>
      <w:r w:rsidRPr="00034270">
        <w:rPr>
          <w:szCs w:val="22"/>
        </w:rPr>
        <w:t>ection 203(c) of the Act.</w:t>
      </w:r>
      <w:r w:rsidRPr="00034270">
        <w:rPr>
          <w:rStyle w:val="FootnoteReference"/>
          <w:szCs w:val="22"/>
        </w:rPr>
        <w:footnoteReference w:id="8"/>
      </w:r>
      <w:r w:rsidRPr="00034270">
        <w:rPr>
          <w:szCs w:val="22"/>
        </w:rPr>
        <w:t xml:space="preserve">  </w:t>
      </w:r>
      <w:r w:rsidRPr="00034270">
        <w:t>AT&amp;T filed an answer and counterclaims, asserting federal law claims that Defendants violated Sections 201(b) and 203 of the Act</w:t>
      </w:r>
      <w:r w:rsidR="00BA6D63" w:rsidRPr="00034270">
        <w:t>.</w:t>
      </w:r>
      <w:r w:rsidRPr="00034270">
        <w:rPr>
          <w:rStyle w:val="FootnoteReference"/>
          <w:szCs w:val="22"/>
        </w:rPr>
        <w:footnoteReference w:id="9"/>
      </w:r>
      <w:r w:rsidRPr="00034270">
        <w:t xml:space="preserve">  </w:t>
      </w:r>
      <w:r w:rsidR="0010648E" w:rsidRPr="00034270">
        <w:t>AT&amp;T also claimed that, regardless of whether Defendants provided access services pursuant to tariff, they committed unreasonable practices through “sham” arrangements designed for the purpose of inflating access charges.</w:t>
      </w:r>
      <w:r w:rsidR="005D5431" w:rsidRPr="00034270">
        <w:rPr>
          <w:rStyle w:val="FootnoteReference"/>
        </w:rPr>
        <w:footnoteReference w:id="10"/>
      </w:r>
      <w:r w:rsidR="0010648E" w:rsidRPr="00034270">
        <w:t xml:space="preserve">  </w:t>
      </w:r>
      <w:r w:rsidRPr="00034270">
        <w:t xml:space="preserve">The </w:t>
      </w:r>
      <w:r w:rsidR="002C4521">
        <w:t>D</w:t>
      </w:r>
      <w:r w:rsidR="0094158E">
        <w:t xml:space="preserve">istrict </w:t>
      </w:r>
      <w:r w:rsidR="002C4521">
        <w:t>C</w:t>
      </w:r>
      <w:r w:rsidR="0094158E" w:rsidRPr="00034270">
        <w:t xml:space="preserve">ourt </w:t>
      </w:r>
      <w:r w:rsidRPr="00034270">
        <w:t xml:space="preserve">issued two primary jurisdiction referrals.  </w:t>
      </w:r>
      <w:r w:rsidR="007D12F1" w:rsidRPr="00034270">
        <w:t>The First Court Referral Order, issued on March 16, 2009, referred AT&amp;T’s “sham entity” counterclaim to the Commission.</w:t>
      </w:r>
      <w:r w:rsidR="007D12F1" w:rsidRPr="00034270">
        <w:rPr>
          <w:rStyle w:val="FootnoteReference"/>
          <w:szCs w:val="22"/>
        </w:rPr>
        <w:footnoteReference w:id="11"/>
      </w:r>
      <w:r w:rsidR="007D12F1" w:rsidRPr="00034270">
        <w:t xml:space="preserve">  AT&amp;T effectuated this referral by filing an informal complaint with the Commission on April 15, 2009, which it converted into a formal complaint on November 16, 2009.</w:t>
      </w:r>
      <w:r w:rsidR="007D12F1" w:rsidRPr="00034270">
        <w:rPr>
          <w:rStyle w:val="FootnoteReference"/>
          <w:szCs w:val="22"/>
        </w:rPr>
        <w:footnoteReference w:id="12"/>
      </w:r>
      <w:r w:rsidR="007D12F1" w:rsidRPr="00034270">
        <w:t xml:space="preserve">  </w:t>
      </w:r>
    </w:p>
    <w:p w:rsidR="0016498F" w:rsidRPr="00034270" w:rsidRDefault="000071FC" w:rsidP="000071FC">
      <w:pPr>
        <w:pStyle w:val="ParaNum"/>
        <w:rPr>
          <w:szCs w:val="22"/>
        </w:rPr>
      </w:pPr>
      <w:r w:rsidRPr="00034270">
        <w:t xml:space="preserve">Thereafter, </w:t>
      </w:r>
      <w:r w:rsidR="007D12F1" w:rsidRPr="00034270">
        <w:t xml:space="preserve">Defendants requested that the </w:t>
      </w:r>
      <w:r w:rsidR="002C4521">
        <w:t xml:space="preserve">District </w:t>
      </w:r>
      <w:r w:rsidR="007D12F1" w:rsidRPr="00034270">
        <w:t xml:space="preserve">Court refer additional issues to the Commission, which the </w:t>
      </w:r>
      <w:r w:rsidR="002C4521">
        <w:t xml:space="preserve">District </w:t>
      </w:r>
      <w:r w:rsidR="007D12F1" w:rsidRPr="00034270">
        <w:t>Court did on February 5, 2010.</w:t>
      </w:r>
      <w:r w:rsidR="007D12F1" w:rsidRPr="00034270">
        <w:rPr>
          <w:rStyle w:val="FootnoteReference"/>
          <w:szCs w:val="22"/>
        </w:rPr>
        <w:footnoteReference w:id="13"/>
      </w:r>
      <w:r w:rsidR="007D12F1" w:rsidRPr="00034270">
        <w:t xml:space="preserve">  At Commission staff’s direction, AT&amp;T filed an Amended Complaint to effectuate certain issues in the Second Court Referral Order.</w:t>
      </w:r>
      <w:bookmarkStart w:id="3" w:name="_Ref370295629"/>
      <w:r w:rsidR="007D12F1" w:rsidRPr="00034270">
        <w:rPr>
          <w:rStyle w:val="FootnoteReference"/>
          <w:szCs w:val="22"/>
        </w:rPr>
        <w:footnoteReference w:id="14"/>
      </w:r>
      <w:bookmarkEnd w:id="3"/>
      <w:r w:rsidR="007D12F1" w:rsidRPr="00034270">
        <w:t xml:space="preserve">  </w:t>
      </w:r>
      <w:r w:rsidR="00154AD2" w:rsidRPr="00034270">
        <w:rPr>
          <w:szCs w:val="22"/>
        </w:rPr>
        <w:t xml:space="preserve">After the pleading cycle closed, the Commission </w:t>
      </w:r>
      <w:r w:rsidR="0094158E">
        <w:rPr>
          <w:szCs w:val="22"/>
        </w:rPr>
        <w:t>ruled in favor of AT&amp;T on</w:t>
      </w:r>
      <w:r w:rsidR="007D12F1" w:rsidRPr="00034270">
        <w:rPr>
          <w:szCs w:val="22"/>
        </w:rPr>
        <w:t xml:space="preserve"> Counts I and II of </w:t>
      </w:r>
      <w:r w:rsidR="0094158E">
        <w:rPr>
          <w:szCs w:val="22"/>
        </w:rPr>
        <w:t xml:space="preserve">its </w:t>
      </w:r>
      <w:r w:rsidR="003037C2">
        <w:rPr>
          <w:szCs w:val="22"/>
        </w:rPr>
        <w:t>C</w:t>
      </w:r>
      <w:r w:rsidR="0094158E">
        <w:rPr>
          <w:szCs w:val="22"/>
        </w:rPr>
        <w:t>omplaint</w:t>
      </w:r>
      <w:r w:rsidR="00154AD2" w:rsidRPr="00034270">
        <w:rPr>
          <w:szCs w:val="22"/>
        </w:rPr>
        <w:t>.</w:t>
      </w:r>
      <w:bookmarkStart w:id="4" w:name="_Ref366133561"/>
      <w:r w:rsidR="006C4A99" w:rsidRPr="00034270">
        <w:rPr>
          <w:rStyle w:val="FootnoteReference"/>
          <w:szCs w:val="22"/>
        </w:rPr>
        <w:footnoteReference w:id="15"/>
      </w:r>
      <w:bookmarkEnd w:id="4"/>
      <w:r w:rsidR="00154AD2" w:rsidRPr="00034270">
        <w:rPr>
          <w:szCs w:val="22"/>
        </w:rPr>
        <w:t xml:space="preserve"> </w:t>
      </w:r>
      <w:r w:rsidR="00601401" w:rsidRPr="00034270">
        <w:rPr>
          <w:szCs w:val="22"/>
        </w:rPr>
        <w:t xml:space="preserve"> </w:t>
      </w:r>
      <w:r w:rsidR="0094158E">
        <w:rPr>
          <w:szCs w:val="22"/>
        </w:rPr>
        <w:t>T</w:t>
      </w:r>
      <w:r w:rsidR="00601401" w:rsidRPr="00034270">
        <w:rPr>
          <w:szCs w:val="22"/>
        </w:rPr>
        <w:t xml:space="preserve">he </w:t>
      </w:r>
      <w:r w:rsidR="0094158E">
        <w:rPr>
          <w:szCs w:val="22"/>
        </w:rPr>
        <w:t xml:space="preserve">Commission </w:t>
      </w:r>
      <w:r w:rsidR="00601401" w:rsidRPr="00034270">
        <w:rPr>
          <w:szCs w:val="22"/>
        </w:rPr>
        <w:t xml:space="preserve">found, based on the totality of the record, that Defendants were “sham” </w:t>
      </w:r>
      <w:r w:rsidR="006F1120">
        <w:rPr>
          <w:szCs w:val="22"/>
        </w:rPr>
        <w:t>Competitive Local Exchange Carriers (</w:t>
      </w:r>
      <w:r w:rsidR="00601401" w:rsidRPr="00034270">
        <w:rPr>
          <w:szCs w:val="22"/>
        </w:rPr>
        <w:t>CLECs</w:t>
      </w:r>
      <w:r w:rsidR="006F1120">
        <w:rPr>
          <w:szCs w:val="22"/>
        </w:rPr>
        <w:t>)</w:t>
      </w:r>
      <w:r w:rsidR="00601401" w:rsidRPr="00034270">
        <w:rPr>
          <w:szCs w:val="22"/>
        </w:rPr>
        <w:t xml:space="preserve"> created to “capture access revenues that could not otherwise be obtained by lawful tariffs,”</w:t>
      </w:r>
      <w:r w:rsidR="00601401" w:rsidRPr="00034270">
        <w:rPr>
          <w:rStyle w:val="FootnoteReference"/>
          <w:szCs w:val="22"/>
        </w:rPr>
        <w:t xml:space="preserve"> </w:t>
      </w:r>
      <w:r w:rsidR="00601401" w:rsidRPr="00034270">
        <w:rPr>
          <w:szCs w:val="22"/>
        </w:rPr>
        <w:t>and that billing AT&amp;T for access charges in furtherance of this scheme constitutes an unjust and unreasonable practice in violation of Section 201(b) of the Act.</w:t>
      </w:r>
      <w:r w:rsidR="003308FB" w:rsidRPr="00034270">
        <w:rPr>
          <w:rStyle w:val="FootnoteReference"/>
          <w:szCs w:val="22"/>
        </w:rPr>
        <w:footnoteReference w:id="16"/>
      </w:r>
      <w:r w:rsidR="003308FB" w:rsidRPr="00034270">
        <w:rPr>
          <w:szCs w:val="22"/>
        </w:rPr>
        <w:t xml:space="preserve">  The </w:t>
      </w:r>
      <w:r w:rsidR="0094158E">
        <w:rPr>
          <w:szCs w:val="22"/>
        </w:rPr>
        <w:t xml:space="preserve">Commission </w:t>
      </w:r>
      <w:r w:rsidR="003308FB" w:rsidRPr="00034270">
        <w:rPr>
          <w:szCs w:val="22"/>
        </w:rPr>
        <w:t>also found that Defendants violated Sections 201(b) and 203 of the Act by billing for services that they did not provide pursuant to valid and applicable tariffs.</w:t>
      </w:r>
      <w:r w:rsidR="003308FB" w:rsidRPr="00034270">
        <w:rPr>
          <w:rStyle w:val="FootnoteReference"/>
          <w:szCs w:val="22"/>
        </w:rPr>
        <w:footnoteReference w:id="17"/>
      </w:r>
      <w:r w:rsidR="00601401" w:rsidRPr="00034270">
        <w:rPr>
          <w:szCs w:val="22"/>
        </w:rPr>
        <w:t xml:space="preserve"> </w:t>
      </w:r>
    </w:p>
    <w:p w:rsidR="00C65ADF" w:rsidRPr="00034270" w:rsidRDefault="00C65ADF" w:rsidP="00A82A8C">
      <w:pPr>
        <w:pStyle w:val="Heading1"/>
        <w:tabs>
          <w:tab w:val="clear" w:pos="720"/>
        </w:tabs>
        <w:rPr>
          <w:szCs w:val="22"/>
        </w:rPr>
      </w:pPr>
      <w:r w:rsidRPr="00034270">
        <w:rPr>
          <w:szCs w:val="22"/>
        </w:rPr>
        <w:t>discussion</w:t>
      </w:r>
    </w:p>
    <w:p w:rsidR="00D87B25" w:rsidRPr="00034270" w:rsidRDefault="00D87B25" w:rsidP="00A41773">
      <w:pPr>
        <w:pStyle w:val="Heading2"/>
      </w:pPr>
      <w:r w:rsidRPr="00034270">
        <w:t>We Dismiss Defendants’ Petition</w:t>
      </w:r>
      <w:r w:rsidR="006E2C71" w:rsidRPr="00034270">
        <w:t xml:space="preserve"> on Procedural Grounds</w:t>
      </w:r>
      <w:r w:rsidR="00F6513E">
        <w:t>.</w:t>
      </w:r>
    </w:p>
    <w:p w:rsidR="00200EA3" w:rsidRPr="00200EA3" w:rsidRDefault="0094158E" w:rsidP="00021F9C">
      <w:pPr>
        <w:pStyle w:val="ParaNum"/>
        <w:rPr>
          <w:szCs w:val="22"/>
        </w:rPr>
      </w:pPr>
      <w:r>
        <w:rPr>
          <w:szCs w:val="22"/>
        </w:rPr>
        <w:t>T</w:t>
      </w:r>
      <w:r w:rsidR="00200EA3" w:rsidRPr="00853E11">
        <w:rPr>
          <w:szCs w:val="22"/>
        </w:rPr>
        <w:t>he Defendants’ Petition and Reply</w:t>
      </w:r>
      <w:r>
        <w:rPr>
          <w:szCs w:val="22"/>
        </w:rPr>
        <w:t xml:space="preserve"> repeat </w:t>
      </w:r>
      <w:r w:rsidR="00CB6745">
        <w:rPr>
          <w:szCs w:val="22"/>
        </w:rPr>
        <w:t xml:space="preserve">many arguments that </w:t>
      </w:r>
      <w:r w:rsidR="00200EA3">
        <w:rPr>
          <w:szCs w:val="22"/>
        </w:rPr>
        <w:t xml:space="preserve">the Commission </w:t>
      </w:r>
      <w:r w:rsidR="00CB6745">
        <w:rPr>
          <w:szCs w:val="22"/>
        </w:rPr>
        <w:t xml:space="preserve">has already </w:t>
      </w:r>
      <w:r w:rsidR="00200EA3" w:rsidRPr="00853E11">
        <w:rPr>
          <w:szCs w:val="22"/>
        </w:rPr>
        <w:t>fully considered and rejected.  Th</w:t>
      </w:r>
      <w:r w:rsidR="00200EA3">
        <w:rPr>
          <w:szCs w:val="22"/>
        </w:rPr>
        <w:t>ese</w:t>
      </w:r>
      <w:r w:rsidR="00200EA3" w:rsidRPr="00853E11">
        <w:rPr>
          <w:szCs w:val="22"/>
        </w:rPr>
        <w:t xml:space="preserve"> include the </w:t>
      </w:r>
      <w:r w:rsidR="00200EA3" w:rsidRPr="00F841B5">
        <w:t>Defendants’ assertions that (1) the Commission ignored a statutory deadline</w:t>
      </w:r>
      <w:r w:rsidR="00987778">
        <w:t>;</w:t>
      </w:r>
      <w:bookmarkStart w:id="5" w:name="_ftnref1"/>
      <w:r w:rsidR="00200EA3" w:rsidRPr="00F841B5">
        <w:rPr>
          <w:rStyle w:val="FootnoteReference"/>
        </w:rPr>
        <w:footnoteReference w:id="18"/>
      </w:r>
      <w:bookmarkEnd w:id="5"/>
      <w:r w:rsidR="00200EA3" w:rsidRPr="00F841B5">
        <w:t xml:space="preserve"> (2) </w:t>
      </w:r>
      <w:r w:rsidR="00200EA3" w:rsidRPr="00853E11">
        <w:rPr>
          <w:szCs w:val="22"/>
        </w:rPr>
        <w:t xml:space="preserve">the Commission ignored the </w:t>
      </w:r>
      <w:r w:rsidR="00200EA3">
        <w:rPr>
          <w:szCs w:val="22"/>
        </w:rPr>
        <w:t xml:space="preserve">contentions </w:t>
      </w:r>
      <w:r w:rsidR="00200EA3" w:rsidRPr="00853E11">
        <w:rPr>
          <w:szCs w:val="22"/>
        </w:rPr>
        <w:t xml:space="preserve">made </w:t>
      </w:r>
      <w:r w:rsidR="00200EA3" w:rsidRPr="002C4521">
        <w:rPr>
          <w:szCs w:val="22"/>
        </w:rPr>
        <w:t>in Defendants’</w:t>
      </w:r>
      <w:r w:rsidR="00BB0E9C" w:rsidRPr="002C4521">
        <w:rPr>
          <w:szCs w:val="22"/>
        </w:rPr>
        <w:t xml:space="preserve"> </w:t>
      </w:r>
      <w:r w:rsidR="002C4521" w:rsidRPr="00A41773">
        <w:rPr>
          <w:szCs w:val="22"/>
        </w:rPr>
        <w:t>March 15</w:t>
      </w:r>
      <w:r w:rsidR="002C4521" w:rsidRPr="00A41773">
        <w:rPr>
          <w:szCs w:val="22"/>
          <w:vertAlign w:val="superscript"/>
        </w:rPr>
        <w:t>th</w:t>
      </w:r>
      <w:r w:rsidR="002C4521" w:rsidRPr="00A41773">
        <w:rPr>
          <w:szCs w:val="22"/>
        </w:rPr>
        <w:t xml:space="preserve"> Request for Declaratory Ruling</w:t>
      </w:r>
      <w:r w:rsidR="00987778" w:rsidRPr="002C4521">
        <w:rPr>
          <w:szCs w:val="22"/>
        </w:rPr>
        <w:t>;</w:t>
      </w:r>
      <w:r w:rsidR="00200EA3" w:rsidRPr="00F841B5">
        <w:rPr>
          <w:rStyle w:val="FootnoteReference"/>
        </w:rPr>
        <w:footnoteReference w:id="19"/>
      </w:r>
      <w:r w:rsidR="00200EA3" w:rsidRPr="00F841B5">
        <w:t xml:space="preserve"> (3) the </w:t>
      </w:r>
      <w:r w:rsidR="00200EA3" w:rsidRPr="00F841B5">
        <w:rPr>
          <w:i/>
          <w:iCs/>
        </w:rPr>
        <w:t>Order</w:t>
      </w:r>
      <w:r w:rsidR="00200EA3" w:rsidRPr="00F841B5">
        <w:t xml:space="preserve"> </w:t>
      </w:r>
      <w:r w:rsidR="00200EA3">
        <w:t>wa</w:t>
      </w:r>
      <w:r w:rsidR="00200EA3" w:rsidRPr="00F841B5">
        <w:t xml:space="preserve">s based upon a collateral attack on the rates </w:t>
      </w:r>
      <w:r w:rsidR="000668F2">
        <w:t xml:space="preserve">and practices </w:t>
      </w:r>
      <w:r w:rsidR="00200EA3" w:rsidRPr="00F841B5">
        <w:t>of a non-party that were never subject to investigation;</w:t>
      </w:r>
      <w:r w:rsidR="00200EA3" w:rsidRPr="00F841B5">
        <w:rPr>
          <w:rStyle w:val="FootnoteReference"/>
        </w:rPr>
        <w:footnoteReference w:id="20"/>
      </w:r>
      <w:r w:rsidR="00200EA3" w:rsidRPr="00F841B5">
        <w:t xml:space="preserve"> (4) Defendants’ rates are “conclusively deemed reasonable” because Beehive’s rates are “deemed lawful” and are the only rates that could apply;</w:t>
      </w:r>
      <w:r w:rsidR="00200EA3" w:rsidRPr="00F841B5">
        <w:rPr>
          <w:rStyle w:val="FootnoteReference"/>
        </w:rPr>
        <w:footnoteReference w:id="21"/>
      </w:r>
      <w:r w:rsidR="00200EA3" w:rsidRPr="00F841B5">
        <w:t xml:space="preserve"> (5) Defendants’ discovery rights were unreasonably restricted;</w:t>
      </w:r>
      <w:r w:rsidR="00200EA3" w:rsidRPr="00F841B5">
        <w:rPr>
          <w:rStyle w:val="FootnoteReference"/>
        </w:rPr>
        <w:footnoteReference w:id="22"/>
      </w:r>
      <w:r w:rsidR="00200EA3" w:rsidRPr="00F841B5">
        <w:t xml:space="preserve"> (6) the formal complaint process was inherently prejudicial to the Defendants and failed to answer critical questions referred by the </w:t>
      </w:r>
      <w:r w:rsidR="00BA16D4">
        <w:t xml:space="preserve">District </w:t>
      </w:r>
      <w:r w:rsidR="00200EA3" w:rsidRPr="00F841B5">
        <w:t>Court;</w:t>
      </w:r>
      <w:r w:rsidR="00200EA3" w:rsidRPr="00F841B5">
        <w:rPr>
          <w:rStyle w:val="FootnoteReference"/>
        </w:rPr>
        <w:footnoteReference w:id="23"/>
      </w:r>
      <w:r w:rsidR="00200EA3" w:rsidRPr="00F841B5">
        <w:t xml:space="preserve"> (7) the complaint proceeding took a fragmented view of the service provided in order to prevent the Defendants from defending</w:t>
      </w:r>
      <w:r w:rsidR="00200EA3">
        <w:t xml:space="preserve"> themselves</w:t>
      </w:r>
      <w:r w:rsidR="00200EA3" w:rsidRPr="00F841B5">
        <w:t>;</w:t>
      </w:r>
      <w:r w:rsidR="00200EA3" w:rsidRPr="00F841B5">
        <w:rPr>
          <w:rStyle w:val="FootnoteReference"/>
        </w:rPr>
        <w:footnoteReference w:id="24"/>
      </w:r>
      <w:r w:rsidR="00200EA3" w:rsidRPr="00F841B5">
        <w:t xml:space="preserve"> (8) the </w:t>
      </w:r>
      <w:r w:rsidR="00200EA3" w:rsidRPr="00F841B5">
        <w:rPr>
          <w:i/>
          <w:iCs/>
        </w:rPr>
        <w:t>Order</w:t>
      </w:r>
      <w:r w:rsidR="00200EA3" w:rsidRPr="00F841B5">
        <w:t xml:space="preserve"> fail</w:t>
      </w:r>
      <w:r w:rsidR="00200EA3">
        <w:t>ed</w:t>
      </w:r>
      <w:r w:rsidR="00200EA3" w:rsidRPr="00F841B5">
        <w:t xml:space="preserve"> to address </w:t>
      </w:r>
      <w:r w:rsidR="00200EA3" w:rsidRPr="00F841B5">
        <w:rPr>
          <w:i/>
          <w:iCs/>
        </w:rPr>
        <w:t>AT&amp;T v. Jefferson Telephone</w:t>
      </w:r>
      <w:r w:rsidR="00200EA3" w:rsidRPr="00F841B5">
        <w:t>;</w:t>
      </w:r>
      <w:r w:rsidR="00200EA3" w:rsidRPr="00F841B5">
        <w:rPr>
          <w:rStyle w:val="FootnoteReference"/>
        </w:rPr>
        <w:footnoteReference w:id="25"/>
      </w:r>
      <w:r w:rsidR="00200EA3" w:rsidRPr="00F841B5">
        <w:t xml:space="preserve"> (9) the </w:t>
      </w:r>
      <w:r w:rsidR="00200EA3" w:rsidRPr="00F841B5">
        <w:rPr>
          <w:i/>
          <w:iCs/>
        </w:rPr>
        <w:t>Order</w:t>
      </w:r>
      <w:r w:rsidR="00200EA3" w:rsidRPr="00F841B5">
        <w:t xml:space="preserve"> made findings that are inconsistent with established Commission precedent;</w:t>
      </w:r>
      <w:r w:rsidR="00200EA3" w:rsidRPr="00F841B5">
        <w:rPr>
          <w:rStyle w:val="FootnoteReference"/>
        </w:rPr>
        <w:footnoteReference w:id="26"/>
      </w:r>
      <w:r w:rsidR="00200EA3" w:rsidRPr="00F841B5">
        <w:t xml:space="preserve"> </w:t>
      </w:r>
      <w:r w:rsidR="0087474A">
        <w:t xml:space="preserve">and </w:t>
      </w:r>
      <w:r w:rsidR="00200EA3" w:rsidRPr="00F841B5">
        <w:t>(1</w:t>
      </w:r>
      <w:r w:rsidR="00456F7A">
        <w:t>0</w:t>
      </w:r>
      <w:r w:rsidR="00200EA3" w:rsidRPr="00F841B5">
        <w:t>) the formal complaint process was designed to reach a predetermined conclusion and demonstrate</w:t>
      </w:r>
      <w:r w:rsidR="00670615">
        <w:t>d</w:t>
      </w:r>
      <w:r w:rsidR="00200EA3" w:rsidRPr="00F841B5">
        <w:t xml:space="preserve"> bias.</w:t>
      </w:r>
      <w:r w:rsidR="00200EA3" w:rsidRPr="00F841B5">
        <w:rPr>
          <w:rStyle w:val="FootnoteReference"/>
        </w:rPr>
        <w:footnoteReference w:id="27"/>
      </w:r>
      <w:r w:rsidR="00CB0EF3">
        <w:t xml:space="preserve">  Defendants</w:t>
      </w:r>
      <w:r w:rsidR="00C06EA9">
        <w:t>’</w:t>
      </w:r>
      <w:r w:rsidR="00CB0EF3">
        <w:t xml:space="preserve"> repetition of the same arguments here does not provide </w:t>
      </w:r>
      <w:r w:rsidR="00067849">
        <w:t>grounds for r</w:t>
      </w:r>
      <w:r w:rsidR="00CB0EF3">
        <w:t>econsideration.</w:t>
      </w:r>
      <w:r w:rsidR="00CB0EF3">
        <w:rPr>
          <w:rStyle w:val="FootnoteReference"/>
        </w:rPr>
        <w:footnoteReference w:id="28"/>
      </w:r>
    </w:p>
    <w:p w:rsidR="00F6513E" w:rsidRPr="00F6513E" w:rsidRDefault="00853E11" w:rsidP="00021F9C">
      <w:pPr>
        <w:pStyle w:val="ParaNum"/>
        <w:rPr>
          <w:szCs w:val="22"/>
        </w:rPr>
      </w:pPr>
      <w:r w:rsidRPr="001915C9">
        <w:rPr>
          <w:szCs w:val="22"/>
        </w:rPr>
        <w:t>The balance of the Defendants’ argument</w:t>
      </w:r>
      <w:r w:rsidR="00F32A9F" w:rsidRPr="001915C9">
        <w:rPr>
          <w:szCs w:val="22"/>
        </w:rPr>
        <w:t>s</w:t>
      </w:r>
      <w:r w:rsidRPr="001915C9">
        <w:rPr>
          <w:szCs w:val="22"/>
        </w:rPr>
        <w:t xml:space="preserve"> </w:t>
      </w:r>
      <w:r w:rsidR="003D376C" w:rsidRPr="001915C9">
        <w:rPr>
          <w:szCs w:val="22"/>
        </w:rPr>
        <w:t>could</w:t>
      </w:r>
      <w:r w:rsidR="00B15AFD">
        <w:rPr>
          <w:szCs w:val="22"/>
        </w:rPr>
        <w:t xml:space="preserve">—and </w:t>
      </w:r>
      <w:r w:rsidR="003D376C" w:rsidRPr="001915C9">
        <w:rPr>
          <w:szCs w:val="22"/>
        </w:rPr>
        <w:t>thus should</w:t>
      </w:r>
      <w:r w:rsidR="00B15AFD">
        <w:rPr>
          <w:szCs w:val="22"/>
        </w:rPr>
        <w:t xml:space="preserve">—have </w:t>
      </w:r>
      <w:r w:rsidR="003D376C" w:rsidRPr="001915C9">
        <w:rPr>
          <w:szCs w:val="22"/>
        </w:rPr>
        <w:t xml:space="preserve">been made </w:t>
      </w:r>
      <w:r w:rsidR="00CB6745">
        <w:rPr>
          <w:szCs w:val="22"/>
        </w:rPr>
        <w:t>before the Commission released the</w:t>
      </w:r>
      <w:r w:rsidR="003D376C" w:rsidRPr="001915C9">
        <w:rPr>
          <w:i/>
          <w:szCs w:val="22"/>
        </w:rPr>
        <w:t xml:space="preserve"> Order</w:t>
      </w:r>
      <w:r w:rsidR="003D376C" w:rsidRPr="001915C9">
        <w:rPr>
          <w:szCs w:val="22"/>
        </w:rPr>
        <w:t>.</w:t>
      </w:r>
      <w:r w:rsidR="00F32A9F" w:rsidRPr="001915C9">
        <w:rPr>
          <w:szCs w:val="22"/>
        </w:rPr>
        <w:t xml:space="preserve">  These include Defendants’ assertions that </w:t>
      </w:r>
      <w:r w:rsidR="00ED45E9" w:rsidRPr="001915C9">
        <w:rPr>
          <w:szCs w:val="22"/>
        </w:rPr>
        <w:t xml:space="preserve">(1) </w:t>
      </w:r>
      <w:r w:rsidR="00F32A9F" w:rsidRPr="001915C9">
        <w:rPr>
          <w:szCs w:val="22"/>
        </w:rPr>
        <w:t xml:space="preserve">the Commission’s </w:t>
      </w:r>
      <w:r w:rsidR="00B15AFD">
        <w:rPr>
          <w:szCs w:val="22"/>
        </w:rPr>
        <w:t xml:space="preserve">procedural </w:t>
      </w:r>
      <w:r w:rsidR="00F32A9F" w:rsidRPr="001915C9">
        <w:rPr>
          <w:szCs w:val="22"/>
        </w:rPr>
        <w:t xml:space="preserve">decisions </w:t>
      </w:r>
      <w:r w:rsidR="00B15AFD">
        <w:rPr>
          <w:szCs w:val="22"/>
        </w:rPr>
        <w:t xml:space="preserve">in the complaint proceeding </w:t>
      </w:r>
      <w:r w:rsidR="00F32A9F" w:rsidRPr="001915C9">
        <w:rPr>
          <w:szCs w:val="22"/>
        </w:rPr>
        <w:t xml:space="preserve">and action in </w:t>
      </w:r>
      <w:r w:rsidR="00B15AFD">
        <w:rPr>
          <w:szCs w:val="22"/>
        </w:rPr>
        <w:t xml:space="preserve">a </w:t>
      </w:r>
      <w:r w:rsidR="00F32A9F" w:rsidRPr="001915C9">
        <w:rPr>
          <w:szCs w:val="22"/>
        </w:rPr>
        <w:t>related tariff proceeding demonstrated bias</w:t>
      </w:r>
      <w:r w:rsidR="00ED45E9" w:rsidRPr="001915C9">
        <w:rPr>
          <w:szCs w:val="22"/>
        </w:rPr>
        <w:t>;</w:t>
      </w:r>
      <w:r w:rsidR="00B84AEA">
        <w:rPr>
          <w:rStyle w:val="FootnoteReference"/>
          <w:szCs w:val="22"/>
        </w:rPr>
        <w:footnoteReference w:id="29"/>
      </w:r>
      <w:r w:rsidR="00ED45E9" w:rsidRPr="001915C9">
        <w:rPr>
          <w:szCs w:val="22"/>
        </w:rPr>
        <w:t xml:space="preserve"> and (2) </w:t>
      </w:r>
      <w:r w:rsidR="00B84AEA" w:rsidRPr="001915C9">
        <w:rPr>
          <w:szCs w:val="22"/>
        </w:rPr>
        <w:t xml:space="preserve">Defendants’ </w:t>
      </w:r>
      <w:r w:rsidR="00F32A9F" w:rsidRPr="001915C9">
        <w:rPr>
          <w:szCs w:val="22"/>
        </w:rPr>
        <w:t>tariffs allowed service</w:t>
      </w:r>
      <w:r w:rsidR="00ED45E9" w:rsidRPr="001915C9">
        <w:rPr>
          <w:szCs w:val="22"/>
        </w:rPr>
        <w:t xml:space="preserve"> to be provided</w:t>
      </w:r>
      <w:r w:rsidR="00F32A9F" w:rsidRPr="001915C9">
        <w:rPr>
          <w:szCs w:val="22"/>
        </w:rPr>
        <w:t xml:space="preserve"> by contract.</w:t>
      </w:r>
      <w:r w:rsidR="00B84AEA">
        <w:rPr>
          <w:rStyle w:val="FootnoteReference"/>
          <w:szCs w:val="22"/>
        </w:rPr>
        <w:footnoteReference w:id="30"/>
      </w:r>
      <w:r w:rsidR="001915C9" w:rsidRPr="001915C9">
        <w:rPr>
          <w:szCs w:val="22"/>
        </w:rPr>
        <w:t xml:space="preserve">  A</w:t>
      </w:r>
      <w:r w:rsidR="00B84AEA" w:rsidRPr="001915C9">
        <w:rPr>
          <w:szCs w:val="22"/>
        </w:rPr>
        <w:t xml:space="preserve">ccordingly, </w:t>
      </w:r>
      <w:r w:rsidRPr="001915C9">
        <w:rPr>
          <w:szCs w:val="22"/>
        </w:rPr>
        <w:t>we dismiss the Petition on procedural grounds.</w:t>
      </w:r>
      <w:r w:rsidRPr="00ED45E9">
        <w:rPr>
          <w:rStyle w:val="FootnoteReference"/>
          <w:szCs w:val="22"/>
        </w:rPr>
        <w:footnoteReference w:id="31"/>
      </w:r>
    </w:p>
    <w:p w:rsidR="00853E11" w:rsidRPr="001915C9" w:rsidRDefault="00F6513E" w:rsidP="00547AA5">
      <w:pPr>
        <w:pStyle w:val="Heading2"/>
        <w:rPr>
          <w:szCs w:val="22"/>
        </w:rPr>
      </w:pPr>
      <w:r>
        <w:t xml:space="preserve">We </w:t>
      </w:r>
      <w:r w:rsidRPr="00034270">
        <w:t xml:space="preserve">Otherwise Deny </w:t>
      </w:r>
      <w:r>
        <w:t xml:space="preserve">the Petition </w:t>
      </w:r>
      <w:r w:rsidRPr="00034270">
        <w:t>on the Merits.</w:t>
      </w:r>
      <w:r w:rsidR="00853E11" w:rsidRPr="001915C9">
        <w:rPr>
          <w:szCs w:val="22"/>
        </w:rPr>
        <w:t xml:space="preserve">   </w:t>
      </w:r>
    </w:p>
    <w:p w:rsidR="00D3348A" w:rsidRPr="00034270" w:rsidRDefault="00CB6745" w:rsidP="00021F9C">
      <w:pPr>
        <w:pStyle w:val="ParaNum"/>
        <w:rPr>
          <w:szCs w:val="22"/>
        </w:rPr>
      </w:pPr>
      <w:r>
        <w:rPr>
          <w:szCs w:val="22"/>
        </w:rPr>
        <w:t>A</w:t>
      </w:r>
      <w:r w:rsidR="00853E11">
        <w:rPr>
          <w:szCs w:val="22"/>
        </w:rPr>
        <w:t xml:space="preserve">s </w:t>
      </w:r>
      <w:r w:rsidR="00C3534C" w:rsidRPr="00034270">
        <w:rPr>
          <w:szCs w:val="22"/>
        </w:rPr>
        <w:t>an independent and alternative basis for this decision, we deny the Petition on the merits</w:t>
      </w:r>
      <w:r w:rsidR="001915C9">
        <w:rPr>
          <w:szCs w:val="22"/>
        </w:rPr>
        <w:t>.</w:t>
      </w:r>
      <w:r w:rsidR="009F6DAB">
        <w:rPr>
          <w:rStyle w:val="FootnoteReference"/>
          <w:szCs w:val="22"/>
        </w:rPr>
        <w:footnoteReference w:id="32"/>
      </w:r>
      <w:r w:rsidR="001915C9">
        <w:rPr>
          <w:szCs w:val="22"/>
        </w:rPr>
        <w:t xml:space="preserve">  As detailed below, the Petition offers </w:t>
      </w:r>
      <w:r w:rsidR="00F6513E">
        <w:rPr>
          <w:szCs w:val="22"/>
        </w:rPr>
        <w:t>no</w:t>
      </w:r>
      <w:r w:rsidR="001915C9">
        <w:rPr>
          <w:szCs w:val="22"/>
        </w:rPr>
        <w:t xml:space="preserve"> basis </w:t>
      </w:r>
      <w:r w:rsidR="00BC2B59">
        <w:rPr>
          <w:szCs w:val="22"/>
        </w:rPr>
        <w:t xml:space="preserve">that warrants altering </w:t>
      </w:r>
      <w:r w:rsidR="001915C9" w:rsidRPr="00034270">
        <w:rPr>
          <w:szCs w:val="22"/>
        </w:rPr>
        <w:t xml:space="preserve">the </w:t>
      </w:r>
      <w:r w:rsidRPr="00E17882">
        <w:rPr>
          <w:szCs w:val="22"/>
        </w:rPr>
        <w:t>Commission’s findings</w:t>
      </w:r>
      <w:r w:rsidR="001915C9" w:rsidRPr="00CB6745">
        <w:rPr>
          <w:szCs w:val="22"/>
        </w:rPr>
        <w:t>.</w:t>
      </w:r>
      <w:r w:rsidR="001915C9">
        <w:rPr>
          <w:szCs w:val="22"/>
        </w:rPr>
        <w:t xml:space="preserve">  </w:t>
      </w:r>
    </w:p>
    <w:p w:rsidR="003B4741" w:rsidRPr="00034270" w:rsidRDefault="00D3348A" w:rsidP="00547AA5">
      <w:pPr>
        <w:pStyle w:val="Heading3"/>
      </w:pPr>
      <w:r w:rsidRPr="00034270">
        <w:t xml:space="preserve">The Defendants’ </w:t>
      </w:r>
      <w:r w:rsidR="00CB6745">
        <w:t xml:space="preserve">Attacks </w:t>
      </w:r>
      <w:r w:rsidR="00D63BAB">
        <w:t>o</w:t>
      </w:r>
      <w:r w:rsidR="00CB6745">
        <w:t>n</w:t>
      </w:r>
      <w:r w:rsidRPr="00034270">
        <w:t xml:space="preserve"> </w:t>
      </w:r>
      <w:r w:rsidR="003B4741" w:rsidRPr="00034270">
        <w:t>Procedural Rulings</w:t>
      </w:r>
      <w:r w:rsidRPr="00034270">
        <w:t xml:space="preserve"> Are Unfounded.</w:t>
      </w:r>
    </w:p>
    <w:p w:rsidR="003B4741" w:rsidRPr="00034270" w:rsidRDefault="00540D2D" w:rsidP="00021F9C">
      <w:pPr>
        <w:pStyle w:val="ParaNum"/>
      </w:pPr>
      <w:r w:rsidRPr="00034270">
        <w:t xml:space="preserve">Defendants’ challenges to the Commission’s procedural rulings are baseless.  </w:t>
      </w:r>
      <w:r w:rsidR="007D2578" w:rsidRPr="00034270">
        <w:t>First, t</w:t>
      </w:r>
      <w:r w:rsidR="00DC21BC" w:rsidRPr="00034270">
        <w:rPr>
          <w:color w:val="000000"/>
        </w:rPr>
        <w:t>he Defendants</w:t>
      </w:r>
      <w:r w:rsidRPr="00034270">
        <w:rPr>
          <w:color w:val="000000"/>
        </w:rPr>
        <w:t xml:space="preserve"> incorrectly assert</w:t>
      </w:r>
      <w:r w:rsidR="00DC21BC" w:rsidRPr="00034270">
        <w:rPr>
          <w:color w:val="000000"/>
        </w:rPr>
        <w:t xml:space="preserve"> that the Commission </w:t>
      </w:r>
      <w:r w:rsidRPr="00034270">
        <w:rPr>
          <w:color w:val="000000"/>
        </w:rPr>
        <w:t>failed to</w:t>
      </w:r>
      <w:r w:rsidR="00DC21BC" w:rsidRPr="00034270">
        <w:rPr>
          <w:color w:val="000000"/>
        </w:rPr>
        <w:t xml:space="preserve"> address the merits of their March 15</w:t>
      </w:r>
      <w:r w:rsidR="00DC21BC" w:rsidRPr="00034270">
        <w:rPr>
          <w:color w:val="000000"/>
          <w:vertAlign w:val="superscript"/>
        </w:rPr>
        <w:t>th</w:t>
      </w:r>
      <w:r w:rsidR="00DC21BC" w:rsidRPr="00034270">
        <w:rPr>
          <w:color w:val="000000"/>
        </w:rPr>
        <w:t xml:space="preserve"> Petition for Declaratory Ruling.</w:t>
      </w:r>
      <w:r w:rsidR="00876F84" w:rsidRPr="00034270">
        <w:rPr>
          <w:rStyle w:val="FootnoteReference"/>
          <w:color w:val="000000"/>
        </w:rPr>
        <w:footnoteReference w:id="33"/>
      </w:r>
      <w:r w:rsidR="00DC21BC" w:rsidRPr="00034270">
        <w:rPr>
          <w:color w:val="000000"/>
        </w:rPr>
        <w:t xml:space="preserve">  </w:t>
      </w:r>
      <w:r w:rsidRPr="00034270">
        <w:t>T</w:t>
      </w:r>
      <w:r w:rsidR="00DC21BC" w:rsidRPr="00034270">
        <w:rPr>
          <w:color w:val="000000"/>
        </w:rPr>
        <w:t>h</w:t>
      </w:r>
      <w:r w:rsidR="00C31920" w:rsidRPr="00034270">
        <w:rPr>
          <w:color w:val="000000"/>
        </w:rPr>
        <w:t>at</w:t>
      </w:r>
      <w:r w:rsidR="00DC21BC" w:rsidRPr="00034270">
        <w:rPr>
          <w:color w:val="000000"/>
        </w:rPr>
        <w:t xml:space="preserve"> Petition was a request that the Commission re</w:t>
      </w:r>
      <w:r w:rsidR="00C31920" w:rsidRPr="00034270">
        <w:rPr>
          <w:color w:val="000000"/>
        </w:rPr>
        <w:t xml:space="preserve">consider its earlier </w:t>
      </w:r>
      <w:r w:rsidR="00D1255D" w:rsidRPr="00034270">
        <w:rPr>
          <w:color w:val="000000"/>
        </w:rPr>
        <w:t xml:space="preserve">procedural </w:t>
      </w:r>
      <w:r w:rsidR="00DC21BC" w:rsidRPr="00034270">
        <w:rPr>
          <w:color w:val="000000"/>
        </w:rPr>
        <w:t xml:space="preserve">orders regarding </w:t>
      </w:r>
      <w:r w:rsidR="00D1255D" w:rsidRPr="00034270">
        <w:rPr>
          <w:color w:val="000000"/>
        </w:rPr>
        <w:t xml:space="preserve">implementation of the </w:t>
      </w:r>
      <w:r w:rsidR="00BA16D4">
        <w:rPr>
          <w:color w:val="000000"/>
        </w:rPr>
        <w:t>District</w:t>
      </w:r>
      <w:r w:rsidR="00BA16D4" w:rsidRPr="00034270" w:rsidDel="002C4521">
        <w:rPr>
          <w:color w:val="000000"/>
        </w:rPr>
        <w:t xml:space="preserve"> </w:t>
      </w:r>
      <w:r w:rsidR="00BA16D4">
        <w:rPr>
          <w:color w:val="000000"/>
        </w:rPr>
        <w:t>C</w:t>
      </w:r>
      <w:r w:rsidR="00DC21BC" w:rsidRPr="00034270">
        <w:rPr>
          <w:color w:val="000000"/>
        </w:rPr>
        <w:t>ourt referral</w:t>
      </w:r>
      <w:r w:rsidRPr="00034270">
        <w:rPr>
          <w:color w:val="000000"/>
        </w:rPr>
        <w:t>s</w:t>
      </w:r>
      <w:r w:rsidR="00D8182E" w:rsidRPr="00034270">
        <w:rPr>
          <w:color w:val="000000"/>
        </w:rPr>
        <w:t>.  T</w:t>
      </w:r>
      <w:r w:rsidR="00C31920" w:rsidRPr="00034270">
        <w:rPr>
          <w:color w:val="000000"/>
        </w:rPr>
        <w:t xml:space="preserve">he </w:t>
      </w:r>
      <w:r w:rsidRPr="00034270">
        <w:rPr>
          <w:color w:val="000000"/>
        </w:rPr>
        <w:t xml:space="preserve">Commission already had </w:t>
      </w:r>
      <w:r w:rsidR="00DC21BC" w:rsidRPr="00034270">
        <w:rPr>
          <w:color w:val="000000"/>
        </w:rPr>
        <w:t xml:space="preserve">twice rejected the </w:t>
      </w:r>
      <w:r w:rsidRPr="00034270">
        <w:rPr>
          <w:color w:val="000000"/>
        </w:rPr>
        <w:t xml:space="preserve">Defendants’ suggested </w:t>
      </w:r>
      <w:r w:rsidR="00DC21BC" w:rsidRPr="00034270">
        <w:rPr>
          <w:color w:val="000000"/>
        </w:rPr>
        <w:t>approach</w:t>
      </w:r>
      <w:r w:rsidR="00B10D6D">
        <w:rPr>
          <w:color w:val="000000"/>
        </w:rPr>
        <w:t xml:space="preserve"> to effectuate the District Court referrals, and </w:t>
      </w:r>
      <w:r w:rsidR="00237C1B">
        <w:rPr>
          <w:color w:val="000000"/>
        </w:rPr>
        <w:t>we deny their attempt here a</w:t>
      </w:r>
      <w:r w:rsidR="00B10D6D">
        <w:rPr>
          <w:color w:val="000000"/>
        </w:rPr>
        <w:t>s repetitive</w:t>
      </w:r>
      <w:r w:rsidR="00DC21BC" w:rsidRPr="00034270">
        <w:rPr>
          <w:color w:val="000000"/>
        </w:rPr>
        <w:t>.</w:t>
      </w:r>
      <w:r w:rsidR="00D1255D" w:rsidRPr="00034270">
        <w:rPr>
          <w:rStyle w:val="FootnoteReference"/>
          <w:color w:val="000000"/>
        </w:rPr>
        <w:footnoteReference w:id="34"/>
      </w:r>
    </w:p>
    <w:p w:rsidR="00BE6E72" w:rsidRPr="00BE6E72" w:rsidRDefault="00BE6E72" w:rsidP="000071FC">
      <w:pPr>
        <w:pStyle w:val="ParaNum"/>
      </w:pPr>
      <w:r>
        <w:t>Second, Defendants argue that they were improperly denied opportunities for discovery.</w:t>
      </w:r>
      <w:r>
        <w:rPr>
          <w:rStyle w:val="FootnoteReference"/>
        </w:rPr>
        <w:footnoteReference w:id="35"/>
      </w:r>
      <w:r>
        <w:t xml:space="preserve">  T</w:t>
      </w:r>
      <w:r w:rsidRPr="00034270">
        <w:t>he Defendants</w:t>
      </w:r>
      <w:r>
        <w:t>’</w:t>
      </w:r>
      <w:r w:rsidRPr="00034270">
        <w:t xml:space="preserve"> </w:t>
      </w:r>
      <w:r>
        <w:t xml:space="preserve">argument </w:t>
      </w:r>
      <w:r w:rsidRPr="00034270">
        <w:t>mischaracterize</w:t>
      </w:r>
      <w:r>
        <w:t>s</w:t>
      </w:r>
      <w:r w:rsidRPr="00034270">
        <w:t xml:space="preserve"> their discovery requests and </w:t>
      </w:r>
      <w:r w:rsidR="00BA16D4">
        <w:t xml:space="preserve">the </w:t>
      </w:r>
      <w:r w:rsidRPr="00034270">
        <w:t xml:space="preserve">Commission staff’s discovery-related rulings. </w:t>
      </w:r>
      <w:r>
        <w:t xml:space="preserve"> </w:t>
      </w:r>
      <w:r w:rsidR="00BA16D4">
        <w:t>Section</w:t>
      </w:r>
      <w:r w:rsidRPr="00034270">
        <w:t xml:space="preserve"> 1.729(a) </w:t>
      </w:r>
      <w:r w:rsidR="00BA16D4">
        <w:t xml:space="preserve">of the Commission’s rules </w:t>
      </w:r>
      <w:r w:rsidRPr="00034270">
        <w:t>provides that “[r]equests for interrogatories . . . may be used to seek discovery of any non-privileged matter that is relevant to the material facts in dispute in the pending proceeding,”</w:t>
      </w:r>
      <w:r>
        <w:rPr>
          <w:rStyle w:val="FootnoteReference"/>
        </w:rPr>
        <w:footnoteReference w:id="36"/>
      </w:r>
      <w:r w:rsidRPr="00034270">
        <w:t xml:space="preserve"> and the staff’s discovery rulings were c</w:t>
      </w:r>
      <w:r>
        <w:t>onsistent with that</w:t>
      </w:r>
      <w:r w:rsidRPr="00034270">
        <w:t xml:space="preserve"> rule.</w:t>
      </w:r>
      <w:r>
        <w:rPr>
          <w:rStyle w:val="FootnoteReference"/>
        </w:rPr>
        <w:footnoteReference w:id="37"/>
      </w:r>
      <w:r>
        <w:t xml:space="preserve">  Specifically, the staff granted all of Defendants’ discovery requests relating to Beehive,</w:t>
      </w:r>
      <w:r>
        <w:rPr>
          <w:rStyle w:val="FootnoteReference"/>
        </w:rPr>
        <w:footnoteReference w:id="38"/>
      </w:r>
      <w:r>
        <w:t xml:space="preserve"> and four requests relating to bifurcated damages issues were denied without prejudice.</w:t>
      </w:r>
      <w:r>
        <w:rPr>
          <w:rStyle w:val="FootnoteReference"/>
        </w:rPr>
        <w:footnoteReference w:id="39"/>
      </w:r>
      <w:r>
        <w:t xml:space="preserve">  Neither of the two remaining discovery requests denied by staff pertained to Beehive and, consequently</w:t>
      </w:r>
      <w:r w:rsidR="005D27EE">
        <w:t>,</w:t>
      </w:r>
      <w:r>
        <w:t xml:space="preserve"> would not have been useful to rebut the testimony challenged by the Defendants.</w:t>
      </w:r>
      <w:r>
        <w:rPr>
          <w:rStyle w:val="FootnoteReference"/>
        </w:rPr>
        <w:footnoteReference w:id="40"/>
      </w:r>
      <w:r>
        <w:t xml:space="preserve"> </w:t>
      </w:r>
    </w:p>
    <w:p w:rsidR="004A7E9B" w:rsidRPr="00034270" w:rsidRDefault="00C31920" w:rsidP="0020388B">
      <w:pPr>
        <w:pStyle w:val="ParaNum"/>
        <w:widowControl/>
      </w:pPr>
      <w:r w:rsidRPr="00034270">
        <w:rPr>
          <w:color w:val="000000"/>
        </w:rPr>
        <w:t>T</w:t>
      </w:r>
      <w:r w:rsidR="004A7E9B" w:rsidRPr="00034270">
        <w:rPr>
          <w:color w:val="000000"/>
        </w:rPr>
        <w:t>h</w:t>
      </w:r>
      <w:r w:rsidR="00A61173">
        <w:rPr>
          <w:color w:val="000000"/>
        </w:rPr>
        <w:t>ird, th</w:t>
      </w:r>
      <w:r w:rsidR="004A7E9B" w:rsidRPr="00034270">
        <w:rPr>
          <w:color w:val="000000"/>
        </w:rPr>
        <w:t>e Defendants</w:t>
      </w:r>
      <w:r w:rsidR="003B4741" w:rsidRPr="00034270">
        <w:rPr>
          <w:color w:val="000000"/>
        </w:rPr>
        <w:t xml:space="preserve"> </w:t>
      </w:r>
      <w:r w:rsidR="004A7E9B" w:rsidRPr="00034270">
        <w:rPr>
          <w:color w:val="000000"/>
        </w:rPr>
        <w:t xml:space="preserve">claim that the Commission </w:t>
      </w:r>
      <w:r w:rsidRPr="00034270">
        <w:rPr>
          <w:color w:val="000000"/>
        </w:rPr>
        <w:t>fail</w:t>
      </w:r>
      <w:r w:rsidR="00A61173">
        <w:rPr>
          <w:color w:val="000000"/>
        </w:rPr>
        <w:t>ed</w:t>
      </w:r>
      <w:r w:rsidRPr="00034270">
        <w:rPr>
          <w:color w:val="000000"/>
        </w:rPr>
        <w:t xml:space="preserve"> to provide</w:t>
      </w:r>
      <w:r w:rsidR="00DC21BC" w:rsidRPr="00034270">
        <w:rPr>
          <w:color w:val="000000"/>
        </w:rPr>
        <w:t xml:space="preserve"> the </w:t>
      </w:r>
      <w:r w:rsidR="00BA16D4">
        <w:rPr>
          <w:color w:val="000000"/>
        </w:rPr>
        <w:t>D</w:t>
      </w:r>
      <w:r w:rsidR="00A61173">
        <w:rPr>
          <w:color w:val="000000"/>
        </w:rPr>
        <w:t xml:space="preserve">istrict </w:t>
      </w:r>
      <w:r w:rsidR="00BA16D4">
        <w:rPr>
          <w:color w:val="000000"/>
        </w:rPr>
        <w:t>C</w:t>
      </w:r>
      <w:r w:rsidR="00A61173" w:rsidRPr="00034270">
        <w:rPr>
          <w:color w:val="000000"/>
        </w:rPr>
        <w:t xml:space="preserve">ourt </w:t>
      </w:r>
      <w:r w:rsidR="00DC21BC" w:rsidRPr="00034270">
        <w:rPr>
          <w:color w:val="000000"/>
        </w:rPr>
        <w:t xml:space="preserve">with guidance it purportedly </w:t>
      </w:r>
      <w:r w:rsidR="004A7E9B" w:rsidRPr="00034270">
        <w:rPr>
          <w:color w:val="000000"/>
        </w:rPr>
        <w:t xml:space="preserve">sought </w:t>
      </w:r>
      <w:r w:rsidRPr="00034270">
        <w:rPr>
          <w:color w:val="000000"/>
        </w:rPr>
        <w:t xml:space="preserve">when the Defendants </w:t>
      </w:r>
      <w:r w:rsidR="00A61173">
        <w:rPr>
          <w:color w:val="000000"/>
        </w:rPr>
        <w:t>asked</w:t>
      </w:r>
      <w:r w:rsidR="00A61173" w:rsidRPr="00034270">
        <w:rPr>
          <w:color w:val="000000"/>
        </w:rPr>
        <w:t xml:space="preserve"> </w:t>
      </w:r>
      <w:r w:rsidR="00A61173">
        <w:rPr>
          <w:color w:val="000000"/>
        </w:rPr>
        <w:t xml:space="preserve">the </w:t>
      </w:r>
      <w:r w:rsidR="00BA16D4">
        <w:rPr>
          <w:color w:val="000000"/>
        </w:rPr>
        <w:t>District C</w:t>
      </w:r>
      <w:r w:rsidR="00A61173">
        <w:rPr>
          <w:color w:val="000000"/>
        </w:rPr>
        <w:t xml:space="preserve">ourt to </w:t>
      </w:r>
      <w:r w:rsidRPr="00034270">
        <w:rPr>
          <w:color w:val="000000"/>
        </w:rPr>
        <w:t xml:space="preserve">allow </w:t>
      </w:r>
      <w:r w:rsidR="00A61173">
        <w:rPr>
          <w:color w:val="000000"/>
        </w:rPr>
        <w:t xml:space="preserve">them </w:t>
      </w:r>
      <w:r w:rsidRPr="00034270">
        <w:rPr>
          <w:color w:val="000000"/>
        </w:rPr>
        <w:t xml:space="preserve">to </w:t>
      </w:r>
      <w:r w:rsidR="004A7E9B" w:rsidRPr="00034270">
        <w:rPr>
          <w:color w:val="000000"/>
        </w:rPr>
        <w:t>pursue additional discovery</w:t>
      </w:r>
      <w:r w:rsidR="00F655B8" w:rsidRPr="00034270">
        <w:rPr>
          <w:color w:val="000000"/>
        </w:rPr>
        <w:t xml:space="preserve"> </w:t>
      </w:r>
      <w:r w:rsidR="00132A11" w:rsidRPr="00034270">
        <w:rPr>
          <w:color w:val="000000"/>
        </w:rPr>
        <w:t xml:space="preserve">in the </w:t>
      </w:r>
      <w:r w:rsidR="00A61173">
        <w:rPr>
          <w:color w:val="000000"/>
        </w:rPr>
        <w:t>c</w:t>
      </w:r>
      <w:r w:rsidR="00A61173" w:rsidRPr="00034270">
        <w:rPr>
          <w:color w:val="000000"/>
        </w:rPr>
        <w:t xml:space="preserve">ourt </w:t>
      </w:r>
      <w:r w:rsidR="00F655B8" w:rsidRPr="00034270">
        <w:rPr>
          <w:color w:val="000000"/>
        </w:rPr>
        <w:t>proceedings</w:t>
      </w:r>
      <w:r w:rsidRPr="00034270">
        <w:rPr>
          <w:color w:val="000000"/>
        </w:rPr>
        <w:t>.</w:t>
      </w:r>
      <w:r w:rsidR="001C1DA2" w:rsidRPr="00034270">
        <w:rPr>
          <w:rStyle w:val="FootnoteReference"/>
          <w:color w:val="000000"/>
        </w:rPr>
        <w:footnoteReference w:id="41"/>
      </w:r>
      <w:r w:rsidRPr="00034270">
        <w:rPr>
          <w:color w:val="000000"/>
        </w:rPr>
        <w:t xml:space="preserve">  </w:t>
      </w:r>
      <w:r w:rsidR="00A61173">
        <w:rPr>
          <w:color w:val="000000"/>
        </w:rPr>
        <w:t>T</w:t>
      </w:r>
      <w:r w:rsidR="004A7E9B" w:rsidRPr="00034270">
        <w:rPr>
          <w:color w:val="000000"/>
        </w:rPr>
        <w:t xml:space="preserve">he </w:t>
      </w:r>
      <w:r w:rsidR="00BA16D4">
        <w:rPr>
          <w:color w:val="000000"/>
        </w:rPr>
        <w:t xml:space="preserve">District </w:t>
      </w:r>
      <w:r w:rsidR="004A7E9B" w:rsidRPr="00034270">
        <w:rPr>
          <w:color w:val="000000"/>
        </w:rPr>
        <w:t xml:space="preserve">Court never sought </w:t>
      </w:r>
      <w:r w:rsidRPr="00034270">
        <w:rPr>
          <w:color w:val="000000"/>
        </w:rPr>
        <w:t xml:space="preserve">guidance </w:t>
      </w:r>
      <w:r w:rsidR="00A61173">
        <w:rPr>
          <w:color w:val="000000"/>
        </w:rPr>
        <w:t xml:space="preserve">on that discovery request </w:t>
      </w:r>
      <w:r w:rsidRPr="00034270">
        <w:rPr>
          <w:color w:val="000000"/>
        </w:rPr>
        <w:t>and, i</w:t>
      </w:r>
      <w:r w:rsidR="004A7E9B" w:rsidRPr="00034270">
        <w:rPr>
          <w:color w:val="000000"/>
        </w:rPr>
        <w:t>n fact, e</w:t>
      </w:r>
      <w:r w:rsidR="00DC21BC" w:rsidRPr="00034270">
        <w:rPr>
          <w:color w:val="000000"/>
        </w:rPr>
        <w:t xml:space="preserve">xpressly denied the Defendants’ request.  </w:t>
      </w:r>
      <w:r w:rsidR="00A61173">
        <w:rPr>
          <w:color w:val="000000"/>
        </w:rPr>
        <w:t>T</w:t>
      </w:r>
      <w:r w:rsidRPr="00034270">
        <w:rPr>
          <w:color w:val="000000"/>
        </w:rPr>
        <w:t xml:space="preserve">he </w:t>
      </w:r>
      <w:r w:rsidR="00BA16D4">
        <w:rPr>
          <w:color w:val="000000"/>
        </w:rPr>
        <w:t>District</w:t>
      </w:r>
      <w:r w:rsidR="00BA16D4" w:rsidRPr="00034270">
        <w:rPr>
          <w:color w:val="000000"/>
        </w:rPr>
        <w:t xml:space="preserve"> </w:t>
      </w:r>
      <w:r w:rsidRPr="00034270">
        <w:rPr>
          <w:color w:val="000000"/>
        </w:rPr>
        <w:t xml:space="preserve">Court </w:t>
      </w:r>
      <w:r w:rsidR="00A61173">
        <w:rPr>
          <w:color w:val="000000"/>
        </w:rPr>
        <w:t xml:space="preserve">has never </w:t>
      </w:r>
      <w:r w:rsidRPr="00034270">
        <w:rPr>
          <w:color w:val="000000"/>
        </w:rPr>
        <w:t xml:space="preserve">suggested that the </w:t>
      </w:r>
      <w:r w:rsidR="00DC21BC" w:rsidRPr="00034270">
        <w:rPr>
          <w:color w:val="000000"/>
        </w:rPr>
        <w:t xml:space="preserve">Commission </w:t>
      </w:r>
      <w:r w:rsidR="00A61173">
        <w:rPr>
          <w:color w:val="000000"/>
        </w:rPr>
        <w:t xml:space="preserve">should </w:t>
      </w:r>
      <w:r w:rsidR="00DC21BC" w:rsidRPr="00034270">
        <w:rPr>
          <w:color w:val="000000"/>
        </w:rPr>
        <w:t>modify its process</w:t>
      </w:r>
      <w:r w:rsidR="00876F84" w:rsidRPr="00034270">
        <w:rPr>
          <w:color w:val="000000"/>
        </w:rPr>
        <w:t>es</w:t>
      </w:r>
      <w:r w:rsidR="00DC21BC" w:rsidRPr="00034270">
        <w:rPr>
          <w:color w:val="000000"/>
        </w:rPr>
        <w:t>.</w:t>
      </w:r>
      <w:r w:rsidR="00D1255D" w:rsidRPr="00034270">
        <w:rPr>
          <w:rStyle w:val="FootnoteReference"/>
          <w:color w:val="000000"/>
        </w:rPr>
        <w:footnoteReference w:id="42"/>
      </w:r>
      <w:r w:rsidR="00DC21BC" w:rsidRPr="00034270">
        <w:rPr>
          <w:color w:val="000000"/>
        </w:rPr>
        <w:t xml:space="preserve">  </w:t>
      </w:r>
      <w:r w:rsidR="00876F84" w:rsidRPr="00034270">
        <w:rPr>
          <w:color w:val="000000"/>
        </w:rPr>
        <w:t>On</w:t>
      </w:r>
      <w:r w:rsidR="00D1255D" w:rsidRPr="00034270">
        <w:rPr>
          <w:color w:val="000000"/>
        </w:rPr>
        <w:t xml:space="preserve"> the contrary</w:t>
      </w:r>
      <w:r w:rsidR="00DC21BC" w:rsidRPr="00034270">
        <w:rPr>
          <w:color w:val="000000"/>
        </w:rPr>
        <w:t xml:space="preserve">, the </w:t>
      </w:r>
      <w:r w:rsidR="00BA16D4">
        <w:rPr>
          <w:color w:val="000000"/>
        </w:rPr>
        <w:t>District</w:t>
      </w:r>
      <w:r w:rsidR="00BA16D4" w:rsidRPr="00034270">
        <w:rPr>
          <w:color w:val="000000"/>
        </w:rPr>
        <w:t xml:space="preserve"> </w:t>
      </w:r>
      <w:r w:rsidR="00DC21BC" w:rsidRPr="00034270">
        <w:rPr>
          <w:color w:val="000000"/>
        </w:rPr>
        <w:t xml:space="preserve">Court expressly declined Defendants’ invitation to </w:t>
      </w:r>
      <w:r w:rsidR="00D1255D" w:rsidRPr="00034270">
        <w:rPr>
          <w:color w:val="000000"/>
        </w:rPr>
        <w:t>“</w:t>
      </w:r>
      <w:r w:rsidR="00DC21BC" w:rsidRPr="00034270">
        <w:rPr>
          <w:color w:val="000000"/>
        </w:rPr>
        <w:t>micromanage the</w:t>
      </w:r>
      <w:r w:rsidR="00D1255D" w:rsidRPr="00034270">
        <w:rPr>
          <w:color w:val="000000"/>
        </w:rPr>
        <w:t xml:space="preserve"> agency’s interlocutory determinations.”</w:t>
      </w:r>
      <w:r w:rsidR="00D1255D" w:rsidRPr="00034270">
        <w:rPr>
          <w:rStyle w:val="FootnoteReference"/>
          <w:color w:val="000000"/>
        </w:rPr>
        <w:footnoteReference w:id="43"/>
      </w:r>
    </w:p>
    <w:p w:rsidR="00165E4C" w:rsidRPr="00034270" w:rsidRDefault="003E2106" w:rsidP="006515AE">
      <w:pPr>
        <w:pStyle w:val="ParaNum"/>
      </w:pPr>
      <w:r>
        <w:t>Nor did</w:t>
      </w:r>
      <w:r w:rsidR="00DC21BC" w:rsidRPr="00034270">
        <w:t xml:space="preserve"> the Commission act in an arbitrary and capricious manner by not answering all of the referred questions</w:t>
      </w:r>
      <w:r w:rsidR="005D3730" w:rsidRPr="00034270">
        <w:t xml:space="preserve"> in one proceeding</w:t>
      </w:r>
      <w:r w:rsidR="00DC21BC" w:rsidRPr="00034270">
        <w:t>.</w:t>
      </w:r>
      <w:r w:rsidR="006515AE" w:rsidRPr="00034270">
        <w:rPr>
          <w:rStyle w:val="FootnoteReference"/>
        </w:rPr>
        <w:footnoteReference w:id="44"/>
      </w:r>
      <w:r w:rsidR="00DC21BC" w:rsidRPr="00034270">
        <w:t xml:space="preserve">  AT&amp;T elected to bifurcate its liability and damages claims</w:t>
      </w:r>
      <w:r w:rsidR="00E37096">
        <w:t>, as it was entitled to do under Commission rules</w:t>
      </w:r>
      <w:r w:rsidR="00DC21BC" w:rsidRPr="00034270">
        <w:t>.</w:t>
      </w:r>
      <w:r w:rsidR="006515AE" w:rsidRPr="00034270">
        <w:rPr>
          <w:rStyle w:val="FootnoteReference"/>
        </w:rPr>
        <w:footnoteReference w:id="45"/>
      </w:r>
      <w:r w:rsidR="00DC21BC" w:rsidRPr="00034270">
        <w:t xml:space="preserve">  Commission staff ruled that the issues raised in Count III of AT&amp;T’s Complaint</w:t>
      </w:r>
      <w:r>
        <w:t xml:space="preserve"> (alleging that the Defendants are not entitled to collect any compensation for access services under a </w:t>
      </w:r>
      <w:r>
        <w:rPr>
          <w:i/>
        </w:rPr>
        <w:t>quantum meruit</w:t>
      </w:r>
      <w:r>
        <w:t>, quasi-contract, constructive contract, or any other state law theory)</w:t>
      </w:r>
      <w:r w:rsidR="00DC21BC" w:rsidRPr="00034270">
        <w:t xml:space="preserve"> would be addressed in AT&amp;T’s </w:t>
      </w:r>
      <w:r>
        <w:t xml:space="preserve">supplemental complaint for </w:t>
      </w:r>
      <w:r w:rsidR="00DC21BC" w:rsidRPr="00034270">
        <w:t>damages, if any.</w:t>
      </w:r>
      <w:r w:rsidR="00233C27">
        <w:rPr>
          <w:rStyle w:val="FootnoteReference"/>
        </w:rPr>
        <w:footnoteReference w:id="46"/>
      </w:r>
      <w:r w:rsidR="00DC21BC" w:rsidRPr="00034270">
        <w:t xml:space="preserve">  </w:t>
      </w:r>
      <w:r w:rsidR="00D91B63">
        <w:t>Thus, the damages proceeding</w:t>
      </w:r>
      <w:r w:rsidR="00DC21BC" w:rsidRPr="00034270">
        <w:t xml:space="preserve"> </w:t>
      </w:r>
      <w:r w:rsidR="00D91B63">
        <w:t xml:space="preserve">will encompass </w:t>
      </w:r>
      <w:r w:rsidR="00DC21BC" w:rsidRPr="00034270">
        <w:t>the</w:t>
      </w:r>
      <w:r w:rsidR="00D91B63">
        <w:t xml:space="preserve"> remaining</w:t>
      </w:r>
      <w:r w:rsidR="00DC21BC" w:rsidRPr="00034270">
        <w:t xml:space="preserve"> issues referred by the </w:t>
      </w:r>
      <w:r w:rsidR="00BA16D4">
        <w:rPr>
          <w:color w:val="000000"/>
        </w:rPr>
        <w:t>District</w:t>
      </w:r>
      <w:r w:rsidR="00BA16D4" w:rsidRPr="00034270" w:rsidDel="00BA16D4">
        <w:t xml:space="preserve"> </w:t>
      </w:r>
      <w:r w:rsidR="00BA16D4">
        <w:t>C</w:t>
      </w:r>
      <w:r w:rsidR="00DC21BC" w:rsidRPr="00034270">
        <w:t>ourt, including the issues on which Defendants request clarification.</w:t>
      </w:r>
      <w:r w:rsidR="00B93900" w:rsidRPr="00034270">
        <w:rPr>
          <w:rStyle w:val="FootnoteReference"/>
        </w:rPr>
        <w:footnoteReference w:id="47"/>
      </w:r>
      <w:r w:rsidR="00DC21BC" w:rsidRPr="00034270">
        <w:t xml:space="preserve">     </w:t>
      </w:r>
    </w:p>
    <w:p w:rsidR="00F9656A" w:rsidRDefault="00AE370B" w:rsidP="004434DB">
      <w:pPr>
        <w:pStyle w:val="ParaNum"/>
      </w:pPr>
      <w:r>
        <w:rPr>
          <w:szCs w:val="22"/>
        </w:rPr>
        <w:t>Fourth</w:t>
      </w:r>
      <w:r w:rsidR="00B57084" w:rsidRPr="00034270">
        <w:rPr>
          <w:szCs w:val="22"/>
        </w:rPr>
        <w:t xml:space="preserve">, </w:t>
      </w:r>
      <w:r w:rsidR="001C1DA2" w:rsidRPr="00034270">
        <w:rPr>
          <w:szCs w:val="22"/>
        </w:rPr>
        <w:t>Defendants</w:t>
      </w:r>
      <w:r w:rsidR="00B57084" w:rsidRPr="00034270">
        <w:rPr>
          <w:szCs w:val="22"/>
        </w:rPr>
        <w:t xml:space="preserve"> contend </w:t>
      </w:r>
      <w:r w:rsidR="001C1DA2" w:rsidRPr="00034270">
        <w:rPr>
          <w:szCs w:val="22"/>
        </w:rPr>
        <w:t>that</w:t>
      </w:r>
      <w:r w:rsidR="00B57084" w:rsidRPr="00034270">
        <w:rPr>
          <w:szCs w:val="22"/>
        </w:rPr>
        <w:t>,</w:t>
      </w:r>
      <w:r w:rsidR="001C1DA2" w:rsidRPr="00034270">
        <w:rPr>
          <w:szCs w:val="22"/>
        </w:rPr>
        <w:t xml:space="preserve"> “under established precedent</w:t>
      </w:r>
      <w:r w:rsidR="00B57084" w:rsidRPr="00034270">
        <w:rPr>
          <w:szCs w:val="22"/>
        </w:rPr>
        <w:t>,</w:t>
      </w:r>
      <w:r w:rsidR="001C1DA2" w:rsidRPr="00034270">
        <w:rPr>
          <w:szCs w:val="22"/>
        </w:rPr>
        <w:t xml:space="preserve">” </w:t>
      </w:r>
      <w:r w:rsidR="001C1DA2" w:rsidRPr="00034270">
        <w:t xml:space="preserve">the Commission lacks jurisdiction </w:t>
      </w:r>
      <w:r w:rsidR="00456F7A">
        <w:t xml:space="preserve">in any further proceedings </w:t>
      </w:r>
      <w:r w:rsidR="001C1DA2" w:rsidRPr="00034270">
        <w:t>to determine what rate, if any, AT&amp;T must pay for the services Defendants provided.</w:t>
      </w:r>
      <w:r w:rsidR="001C1DA2" w:rsidRPr="00034270">
        <w:rPr>
          <w:rStyle w:val="FootnoteReference"/>
        </w:rPr>
        <w:footnoteReference w:id="48"/>
      </w:r>
      <w:r w:rsidR="00B57084" w:rsidRPr="00034270">
        <w:t xml:space="preserve">  </w:t>
      </w:r>
      <w:r w:rsidR="00AF3DC2">
        <w:t xml:space="preserve">As this issue was not decided in the </w:t>
      </w:r>
      <w:r w:rsidR="00AF3DC2" w:rsidRPr="00034270">
        <w:rPr>
          <w:i/>
        </w:rPr>
        <w:t>Order</w:t>
      </w:r>
      <w:r w:rsidR="00AF3DC2">
        <w:t xml:space="preserve">, but </w:t>
      </w:r>
      <w:r>
        <w:t xml:space="preserve">will </w:t>
      </w:r>
      <w:r w:rsidR="00AF3DC2">
        <w:t xml:space="preserve">be adjudicated during a later damages phase, </w:t>
      </w:r>
      <w:r w:rsidR="00046C78">
        <w:t xml:space="preserve">it is not ripe for </w:t>
      </w:r>
      <w:r w:rsidR="00AF3DC2">
        <w:t>reconsider</w:t>
      </w:r>
      <w:r w:rsidR="00046C78">
        <w:t>ation</w:t>
      </w:r>
      <w:r w:rsidR="00AF3DC2">
        <w:t>.</w:t>
      </w:r>
      <w:r w:rsidR="006A6C11">
        <w:rPr>
          <w:rStyle w:val="FootnoteReference"/>
        </w:rPr>
        <w:footnoteReference w:id="49"/>
      </w:r>
      <w:r w:rsidR="00AF3DC2">
        <w:t xml:space="preserve">  Moreover</w:t>
      </w:r>
      <w:r w:rsidR="00545D42" w:rsidRPr="00034270">
        <w:t xml:space="preserve">, </w:t>
      </w:r>
      <w:r w:rsidR="00D46BE3" w:rsidRPr="00034270">
        <w:rPr>
          <w:i/>
          <w:szCs w:val="22"/>
        </w:rPr>
        <w:t xml:space="preserve">All </w:t>
      </w:r>
      <w:r w:rsidR="00B57084" w:rsidRPr="00034270">
        <w:rPr>
          <w:i/>
          <w:szCs w:val="22"/>
        </w:rPr>
        <w:t>American v. AT&amp;T</w:t>
      </w:r>
      <w:r w:rsidR="009A7FFC">
        <w:rPr>
          <w:szCs w:val="22"/>
        </w:rPr>
        <w:t xml:space="preserve"> </w:t>
      </w:r>
      <w:r w:rsidR="00D46BE3" w:rsidRPr="00034270">
        <w:rPr>
          <w:szCs w:val="22"/>
        </w:rPr>
        <w:t>does</w:t>
      </w:r>
      <w:r w:rsidR="00545D42" w:rsidRPr="00034270">
        <w:rPr>
          <w:szCs w:val="22"/>
        </w:rPr>
        <w:t xml:space="preserve"> </w:t>
      </w:r>
      <w:r w:rsidR="00B57084" w:rsidRPr="00034270">
        <w:rPr>
          <w:szCs w:val="22"/>
        </w:rPr>
        <w:t>not support their assertion.</w:t>
      </w:r>
      <w:r w:rsidR="001C1DA2" w:rsidRPr="00034270">
        <w:rPr>
          <w:rStyle w:val="FootnoteReference"/>
          <w:szCs w:val="22"/>
        </w:rPr>
        <w:footnoteReference w:id="50"/>
      </w:r>
      <w:r w:rsidR="001C1DA2" w:rsidRPr="00034270">
        <w:rPr>
          <w:szCs w:val="22"/>
        </w:rPr>
        <w:t xml:space="preserve">  </w:t>
      </w:r>
      <w:r w:rsidR="00B57084" w:rsidRPr="00034270">
        <w:rPr>
          <w:i/>
          <w:szCs w:val="22"/>
        </w:rPr>
        <w:t>All American v. AT&amp;T</w:t>
      </w:r>
      <w:r w:rsidR="00B57084" w:rsidRPr="00034270">
        <w:rPr>
          <w:szCs w:val="22"/>
        </w:rPr>
        <w:t xml:space="preserve"> addressed whether a collection action for a customer-carrier’s failure to pay another carrier’s tariffed charges gives rise to a claim under Section 208 for breach of the Act itself.  The Commission found that it did not.</w:t>
      </w:r>
      <w:r w:rsidR="00D8283D" w:rsidRPr="00034270">
        <w:rPr>
          <w:rStyle w:val="FootnoteReference"/>
          <w:szCs w:val="22"/>
        </w:rPr>
        <w:footnoteReference w:id="51"/>
      </w:r>
      <w:r w:rsidR="00B57084" w:rsidRPr="00034270">
        <w:rPr>
          <w:szCs w:val="22"/>
        </w:rPr>
        <w:t xml:space="preserve">  That order sa</w:t>
      </w:r>
      <w:r w:rsidR="00545D42" w:rsidRPr="00034270">
        <w:rPr>
          <w:szCs w:val="22"/>
        </w:rPr>
        <w:t>ys n</w:t>
      </w:r>
      <w:r w:rsidR="00B57084" w:rsidRPr="00034270">
        <w:rPr>
          <w:szCs w:val="22"/>
        </w:rPr>
        <w:t xml:space="preserve">othing </w:t>
      </w:r>
      <w:r w:rsidR="00545D42" w:rsidRPr="00034270">
        <w:rPr>
          <w:szCs w:val="22"/>
        </w:rPr>
        <w:t xml:space="preserve">at all about </w:t>
      </w:r>
      <w:r w:rsidR="00CD6641" w:rsidRPr="00034270">
        <w:rPr>
          <w:szCs w:val="22"/>
        </w:rPr>
        <w:t>a customer’s (</w:t>
      </w:r>
      <w:r w:rsidR="00B57084" w:rsidRPr="00034270">
        <w:rPr>
          <w:szCs w:val="22"/>
        </w:rPr>
        <w:t>AT&amp;T’s</w:t>
      </w:r>
      <w:r w:rsidR="00CD6641" w:rsidRPr="00034270">
        <w:rPr>
          <w:szCs w:val="22"/>
        </w:rPr>
        <w:t>)</w:t>
      </w:r>
      <w:r w:rsidR="00B57084" w:rsidRPr="00034270">
        <w:rPr>
          <w:szCs w:val="22"/>
        </w:rPr>
        <w:t xml:space="preserve"> claims against </w:t>
      </w:r>
      <w:r w:rsidR="00CD6641" w:rsidRPr="00034270">
        <w:rPr>
          <w:szCs w:val="22"/>
        </w:rPr>
        <w:t>carriers (</w:t>
      </w:r>
      <w:r w:rsidR="00B57084" w:rsidRPr="00034270">
        <w:rPr>
          <w:szCs w:val="22"/>
        </w:rPr>
        <w:t>Defendants</w:t>
      </w:r>
      <w:r w:rsidR="00CD6641" w:rsidRPr="00034270">
        <w:rPr>
          <w:szCs w:val="22"/>
        </w:rPr>
        <w:t>) concerning the</w:t>
      </w:r>
      <w:r w:rsidR="001825E3" w:rsidRPr="00034270">
        <w:rPr>
          <w:szCs w:val="22"/>
        </w:rPr>
        <w:t xml:space="preserve"> carriers’ </w:t>
      </w:r>
      <w:r w:rsidR="00CD6641" w:rsidRPr="00034270">
        <w:rPr>
          <w:szCs w:val="22"/>
        </w:rPr>
        <w:t xml:space="preserve">unjust and </w:t>
      </w:r>
      <w:r w:rsidR="00CD6641" w:rsidRPr="004434DB">
        <w:rPr>
          <w:szCs w:val="22"/>
        </w:rPr>
        <w:t>unreasonable conduct</w:t>
      </w:r>
      <w:r w:rsidR="00B57084" w:rsidRPr="004434DB">
        <w:rPr>
          <w:szCs w:val="22"/>
        </w:rPr>
        <w:t xml:space="preserve">.  </w:t>
      </w:r>
      <w:r w:rsidR="000C44CE">
        <w:rPr>
          <w:szCs w:val="22"/>
        </w:rPr>
        <w:t xml:space="preserve">In addition, </w:t>
      </w:r>
      <w:r w:rsidR="00A14300" w:rsidRPr="004434DB">
        <w:rPr>
          <w:szCs w:val="22"/>
        </w:rPr>
        <w:t xml:space="preserve">in both of its referrals, the </w:t>
      </w:r>
      <w:r w:rsidR="00BA16D4" w:rsidRPr="004434DB">
        <w:rPr>
          <w:color w:val="000000"/>
          <w:szCs w:val="22"/>
        </w:rPr>
        <w:t>District</w:t>
      </w:r>
      <w:r w:rsidR="00BA16D4" w:rsidRPr="004434DB">
        <w:rPr>
          <w:szCs w:val="22"/>
        </w:rPr>
        <w:t xml:space="preserve"> </w:t>
      </w:r>
      <w:r w:rsidR="00A14300" w:rsidRPr="004434DB">
        <w:rPr>
          <w:szCs w:val="22"/>
        </w:rPr>
        <w:t>Court found that the Commission has</w:t>
      </w:r>
      <w:r w:rsidR="001C1DA2" w:rsidRPr="004434DB">
        <w:rPr>
          <w:szCs w:val="22"/>
        </w:rPr>
        <w:t xml:space="preserve"> the expertise </w:t>
      </w:r>
      <w:r w:rsidR="006A358B">
        <w:rPr>
          <w:szCs w:val="22"/>
        </w:rPr>
        <w:t xml:space="preserve">and “is in the best position” </w:t>
      </w:r>
      <w:r w:rsidR="001C1DA2" w:rsidRPr="004434DB">
        <w:rPr>
          <w:szCs w:val="22"/>
        </w:rPr>
        <w:t>to determine the appropriate rate for the Defendants’ services</w:t>
      </w:r>
      <w:r w:rsidR="009525D1">
        <w:rPr>
          <w:szCs w:val="22"/>
        </w:rPr>
        <w:t>,</w:t>
      </w:r>
      <w:r w:rsidR="001C1DA2" w:rsidRPr="004434DB">
        <w:rPr>
          <w:rStyle w:val="FootnoteReference"/>
          <w:szCs w:val="22"/>
        </w:rPr>
        <w:footnoteReference w:id="52"/>
      </w:r>
      <w:r w:rsidR="00A14300" w:rsidRPr="004434DB">
        <w:rPr>
          <w:szCs w:val="22"/>
        </w:rPr>
        <w:t xml:space="preserve"> and that </w:t>
      </w:r>
      <w:r w:rsidR="004434DB" w:rsidRPr="004434DB">
        <w:rPr>
          <w:szCs w:val="22"/>
        </w:rPr>
        <w:t xml:space="preserve">any decision by the District Court to set an appropriate rate </w:t>
      </w:r>
      <w:r w:rsidR="004434DB" w:rsidRPr="00795D04">
        <w:rPr>
          <w:color w:val="000000"/>
          <w:szCs w:val="22"/>
        </w:rPr>
        <w:t>might discriminate against other customers of the CLECs</w:t>
      </w:r>
      <w:r w:rsidR="001C1DA2" w:rsidRPr="004434DB">
        <w:rPr>
          <w:szCs w:val="22"/>
        </w:rPr>
        <w:t>.</w:t>
      </w:r>
      <w:r w:rsidR="001C1DA2" w:rsidRPr="00034270">
        <w:rPr>
          <w:rStyle w:val="FootnoteReference"/>
        </w:rPr>
        <w:footnoteReference w:id="53"/>
      </w:r>
      <w:r w:rsidR="001C1DA2" w:rsidRPr="00034270">
        <w:t xml:space="preserve">  </w:t>
      </w:r>
    </w:p>
    <w:p w:rsidR="00B62250" w:rsidRPr="00E17882" w:rsidRDefault="00B62250" w:rsidP="007F03CC">
      <w:pPr>
        <w:pStyle w:val="Heading3"/>
        <w:widowControl/>
      </w:pPr>
      <w:r w:rsidRPr="00E17882">
        <w:t xml:space="preserve">Defendants Have Adduced No Evidence </w:t>
      </w:r>
      <w:r w:rsidR="00D63BAB">
        <w:t>t</w:t>
      </w:r>
      <w:r w:rsidRPr="00E17882">
        <w:t xml:space="preserve">hat </w:t>
      </w:r>
      <w:r w:rsidR="00D63BAB">
        <w:t>t</w:t>
      </w:r>
      <w:r w:rsidRPr="00E17882">
        <w:t>he Commission Is Biased.</w:t>
      </w:r>
    </w:p>
    <w:p w:rsidR="00CB6745" w:rsidRPr="00034270" w:rsidRDefault="00B62250" w:rsidP="007F03CC">
      <w:pPr>
        <w:pStyle w:val="ParaNum"/>
        <w:widowControl/>
      </w:pPr>
      <w:r>
        <w:rPr>
          <w:szCs w:val="22"/>
        </w:rPr>
        <w:t>The Defendants’ claim that the Commission is biased has no merit whatsoever.</w:t>
      </w:r>
      <w:r w:rsidR="00CB6745" w:rsidRPr="00034270">
        <w:rPr>
          <w:rStyle w:val="FootnoteReference"/>
          <w:szCs w:val="22"/>
        </w:rPr>
        <w:footnoteReference w:id="54"/>
      </w:r>
      <w:r w:rsidR="00CB6745" w:rsidRPr="00034270">
        <w:rPr>
          <w:szCs w:val="22"/>
        </w:rPr>
        <w:t xml:space="preserve">  </w:t>
      </w:r>
      <w:r>
        <w:t>A</w:t>
      </w:r>
      <w:r w:rsidRPr="00034270">
        <w:t>dministrative officials are</w:t>
      </w:r>
      <w:r>
        <w:t xml:space="preserve"> presumed to be</w:t>
      </w:r>
      <w:r w:rsidRPr="00034270">
        <w:t xml:space="preserve"> honest</w:t>
      </w:r>
      <w:r>
        <w:t xml:space="preserve">, </w:t>
      </w:r>
      <w:r w:rsidRPr="00034270">
        <w:t>objective</w:t>
      </w:r>
      <w:r>
        <w:t>,</w:t>
      </w:r>
      <w:r w:rsidRPr="00034270">
        <w:t xml:space="preserve"> and capable of judging particular controversies fairly and on the basis of their own circumstances.</w:t>
      </w:r>
      <w:r>
        <w:rPr>
          <w:rStyle w:val="FootnoteReference"/>
        </w:rPr>
        <w:footnoteReference w:id="55"/>
      </w:r>
      <w:r>
        <w:t xml:space="preserve">  To prevail on their</w:t>
      </w:r>
      <w:r w:rsidRPr="00034270">
        <w:t xml:space="preserve"> claim </w:t>
      </w:r>
      <w:r>
        <w:t xml:space="preserve">that Commission </w:t>
      </w:r>
      <w:r w:rsidRPr="00034270">
        <w:t xml:space="preserve">bias </w:t>
      </w:r>
      <w:r>
        <w:t xml:space="preserve">has denied them </w:t>
      </w:r>
      <w:r w:rsidRPr="00034270">
        <w:t xml:space="preserve">due process, </w:t>
      </w:r>
      <w:r>
        <w:t>Defendants must show</w:t>
      </w:r>
      <w:r w:rsidRPr="00034270">
        <w:t xml:space="preserve"> “an unacceptable probability of actual bias on the part of those who have actual decisionmaking power.”</w:t>
      </w:r>
      <w:r w:rsidRPr="00034270">
        <w:rPr>
          <w:rStyle w:val="FootnoteReference"/>
        </w:rPr>
        <w:footnoteReference w:id="56"/>
      </w:r>
      <w:r w:rsidRPr="00034270">
        <w:t xml:space="preserve">  </w:t>
      </w:r>
      <w:r>
        <w:t xml:space="preserve">The Defendants have not produced any </w:t>
      </w:r>
      <w:r w:rsidR="00B6516A">
        <w:t xml:space="preserve">meaningful </w:t>
      </w:r>
      <w:r>
        <w:t xml:space="preserve">evidence to meet that burden.  Instead, they </w:t>
      </w:r>
      <w:r w:rsidR="00CB6745" w:rsidRPr="00034270">
        <w:t xml:space="preserve">merely </w:t>
      </w:r>
      <w:r w:rsidR="00D63BAB">
        <w:t xml:space="preserve">cite </w:t>
      </w:r>
      <w:r w:rsidR="00CB6745" w:rsidRPr="00034270">
        <w:t xml:space="preserve">their objections to the Commission’s handling of the </w:t>
      </w:r>
      <w:r w:rsidR="00BA16D4">
        <w:t>D</w:t>
      </w:r>
      <w:r>
        <w:t xml:space="preserve">istrict </w:t>
      </w:r>
      <w:r w:rsidR="00BA16D4">
        <w:t>C</w:t>
      </w:r>
      <w:r w:rsidR="00CB6745" w:rsidRPr="00034270">
        <w:t xml:space="preserve">ourt’s </w:t>
      </w:r>
      <w:r>
        <w:t xml:space="preserve">primary jurisdiction </w:t>
      </w:r>
      <w:r w:rsidR="00CB6745" w:rsidRPr="00034270">
        <w:t>referrals</w:t>
      </w:r>
      <w:r>
        <w:t xml:space="preserve"> </w:t>
      </w:r>
      <w:r w:rsidR="00D63BAB">
        <w:t>as purported evidence of bias.  T</w:t>
      </w:r>
      <w:r w:rsidR="00CB6745" w:rsidRPr="00034270">
        <w:t xml:space="preserve">he Defendants offer no reason to revisit the </w:t>
      </w:r>
      <w:r w:rsidR="00D63BAB">
        <w:t xml:space="preserve">Commission’s </w:t>
      </w:r>
      <w:r w:rsidR="00CB6745" w:rsidRPr="00034270">
        <w:t>rejection of those objections.</w:t>
      </w:r>
      <w:r w:rsidR="00CB6745" w:rsidRPr="00034270">
        <w:rPr>
          <w:rStyle w:val="FootnoteReference"/>
        </w:rPr>
        <w:footnoteReference w:id="57"/>
      </w:r>
      <w:r w:rsidR="00CB6745" w:rsidRPr="00034270">
        <w:t xml:space="preserve">  Adverse rulings in proceedings are not by themselves sufficient to show </w:t>
      </w:r>
      <w:r w:rsidR="00CB6745">
        <w:t xml:space="preserve">actual </w:t>
      </w:r>
      <w:r w:rsidR="00CB6745" w:rsidRPr="00034270">
        <w:t>bias, and bias cannot be inferred from a pattern of rulings on motions.</w:t>
      </w:r>
      <w:r w:rsidR="00CB6745" w:rsidRPr="00034270">
        <w:rPr>
          <w:rStyle w:val="FootnoteReference"/>
        </w:rPr>
        <w:footnoteReference w:id="58"/>
      </w:r>
      <w:r w:rsidR="00CB6745" w:rsidRPr="00034270">
        <w:t xml:space="preserve">   </w:t>
      </w:r>
    </w:p>
    <w:p w:rsidR="00C66725" w:rsidRPr="00034270" w:rsidRDefault="002F2F6E" w:rsidP="002F2DE5">
      <w:pPr>
        <w:pStyle w:val="ParaNum"/>
        <w:rPr>
          <w:color w:val="000000"/>
        </w:rPr>
      </w:pPr>
      <w:r w:rsidRPr="00034270">
        <w:t>Characterizing AT&amp;T’s claims a</w:t>
      </w:r>
      <w:r w:rsidR="002A3E2D" w:rsidRPr="00034270">
        <w:t>s</w:t>
      </w:r>
      <w:r w:rsidRPr="00034270">
        <w:t xml:space="preserve"> falling within the scope of Section 208(b)(1) of the Act, </w:t>
      </w:r>
      <w:r w:rsidR="007F1B48" w:rsidRPr="00034270">
        <w:t>D</w:t>
      </w:r>
      <w:r w:rsidR="002F2DE5" w:rsidRPr="00034270">
        <w:t xml:space="preserve">efendants </w:t>
      </w:r>
      <w:r w:rsidR="00D0634F">
        <w:t xml:space="preserve">claim that </w:t>
      </w:r>
      <w:r w:rsidR="00350654" w:rsidRPr="00034270">
        <w:t xml:space="preserve">the </w:t>
      </w:r>
      <w:r w:rsidR="00350654" w:rsidRPr="00034270">
        <w:rPr>
          <w:i/>
        </w:rPr>
        <w:t>Order</w:t>
      </w:r>
      <w:r w:rsidR="00350654" w:rsidRPr="00034270">
        <w:t xml:space="preserve"> </w:t>
      </w:r>
      <w:r w:rsidR="00D0634F">
        <w:t>is</w:t>
      </w:r>
      <w:r w:rsidRPr="00034270">
        <w:t xml:space="preserve"> untimely under that provision’s </w:t>
      </w:r>
      <w:r w:rsidR="004C7C72">
        <w:t>requirement that the Commission issue an order within five months of the date the underlying complaint was filed</w:t>
      </w:r>
      <w:r w:rsidRPr="00034270">
        <w:t>.</w:t>
      </w:r>
      <w:r w:rsidR="007A4D90" w:rsidRPr="00034270">
        <w:rPr>
          <w:rStyle w:val="FootnoteReference"/>
        </w:rPr>
        <w:footnoteReference w:id="59"/>
      </w:r>
      <w:r w:rsidR="002F2DE5" w:rsidRPr="00034270">
        <w:t xml:space="preserve">  </w:t>
      </w:r>
      <w:r w:rsidR="00D0634F">
        <w:t>Defendants contend that the Commission’s alleged failure to meet the deadline further evidences bias against them.</w:t>
      </w:r>
      <w:r w:rsidR="00D0634F" w:rsidRPr="00034270">
        <w:rPr>
          <w:rStyle w:val="FootnoteReference"/>
        </w:rPr>
        <w:footnoteReference w:id="60"/>
      </w:r>
      <w:r w:rsidR="00D0634F">
        <w:t xml:space="preserve">  </w:t>
      </w:r>
      <w:r w:rsidR="002F2DE5" w:rsidRPr="00034270">
        <w:t>The Commission has made it clear</w:t>
      </w:r>
      <w:r w:rsidR="006021D4">
        <w:t>, however,</w:t>
      </w:r>
      <w:r w:rsidR="002F2DE5" w:rsidRPr="00034270">
        <w:t xml:space="preserve"> that </w:t>
      </w:r>
      <w:r w:rsidR="002F2DE5" w:rsidRPr="00034270">
        <w:rPr>
          <w:color w:val="000000"/>
        </w:rPr>
        <w:t>Section 208(b)</w:t>
      </w:r>
      <w:r w:rsidR="006021D4">
        <w:rPr>
          <w:color w:val="000000"/>
        </w:rPr>
        <w:t>(1)’s deadline</w:t>
      </w:r>
      <w:r w:rsidR="002F2DE5" w:rsidRPr="00034270">
        <w:rPr>
          <w:color w:val="000000"/>
        </w:rPr>
        <w:t xml:space="preserve"> applies only to formal complaints </w:t>
      </w:r>
      <w:r w:rsidR="002A3E2D" w:rsidRPr="00034270">
        <w:rPr>
          <w:color w:val="000000"/>
        </w:rPr>
        <w:t>that</w:t>
      </w:r>
      <w:r w:rsidR="002F2DE5" w:rsidRPr="00034270">
        <w:rPr>
          <w:color w:val="000000"/>
        </w:rPr>
        <w:t xml:space="preserve"> involve “investigation[s] into the lawfulness of a charge, classification, regulation or practice” contained in tariffs filed with the Commission.</w:t>
      </w:r>
      <w:r w:rsidR="002F2DE5" w:rsidRPr="00034270">
        <w:rPr>
          <w:rStyle w:val="FootnoteReference"/>
          <w:color w:val="000000"/>
        </w:rPr>
        <w:footnoteReference w:id="61"/>
      </w:r>
      <w:r w:rsidR="002F2DE5" w:rsidRPr="00034270">
        <w:rPr>
          <w:color w:val="000000"/>
        </w:rPr>
        <w:t xml:space="preserve">  </w:t>
      </w:r>
      <w:r w:rsidR="002F2DE5" w:rsidRPr="00034270">
        <w:t xml:space="preserve">AT&amp;T does not challenge the lawfulness of a charge, classification, regulation or practice contained in a tariff </w:t>
      </w:r>
      <w:r w:rsidR="002A3E2D" w:rsidRPr="00034270">
        <w:t>that</w:t>
      </w:r>
      <w:r w:rsidR="002F2DE5" w:rsidRPr="00034270">
        <w:t xml:space="preserve"> would fall within the parameters of </w:t>
      </w:r>
      <w:r w:rsidR="0025676B" w:rsidRPr="00034270">
        <w:t>Section</w:t>
      </w:r>
      <w:r w:rsidR="002F2DE5" w:rsidRPr="00034270">
        <w:t xml:space="preserve"> 208(b)(1).  </w:t>
      </w:r>
      <w:r w:rsidR="00E8382C">
        <w:t>Instead</w:t>
      </w:r>
      <w:r w:rsidR="002F2DE5" w:rsidRPr="00034270">
        <w:t>,</w:t>
      </w:r>
      <w:r w:rsidR="002A3E2D" w:rsidRPr="00034270">
        <w:t xml:space="preserve"> AT&amp;T asserts that the Defendants misapplied their tariff and that </w:t>
      </w:r>
      <w:r w:rsidR="0025676B" w:rsidRPr="00034270">
        <w:t>they</w:t>
      </w:r>
      <w:r w:rsidR="002C1819" w:rsidRPr="00034270">
        <w:t xml:space="preserve">—wholly </w:t>
      </w:r>
      <w:r w:rsidR="002A3E2D" w:rsidRPr="00034270">
        <w:t>apart from their tariffs</w:t>
      </w:r>
      <w:r w:rsidR="002C1819" w:rsidRPr="00034270">
        <w:t xml:space="preserve">—engaged </w:t>
      </w:r>
      <w:r w:rsidR="002A3E2D" w:rsidRPr="00034270">
        <w:t>in conduct that violates Section 201(b)</w:t>
      </w:r>
      <w:r w:rsidR="002F2DE5" w:rsidRPr="00034270">
        <w:t>.</w:t>
      </w:r>
      <w:r w:rsidR="0015088D" w:rsidRPr="00034270">
        <w:rPr>
          <w:rStyle w:val="FootnoteReference"/>
        </w:rPr>
        <w:footnoteReference w:id="62"/>
      </w:r>
      <w:r w:rsidR="002F2DE5" w:rsidRPr="00034270">
        <w:t xml:space="preserve">  T</w:t>
      </w:r>
      <w:r w:rsidR="00F53CFD" w:rsidRPr="00034270">
        <w:t>hus, t</w:t>
      </w:r>
      <w:r w:rsidR="002F2DE5" w:rsidRPr="00034270">
        <w:t>he Defendants have not demonstrated that the Commission violated a statutory directive.</w:t>
      </w:r>
      <w:r w:rsidR="002F2DE5" w:rsidRPr="00034270">
        <w:rPr>
          <w:rStyle w:val="FootnoteReference"/>
        </w:rPr>
        <w:footnoteReference w:id="63"/>
      </w:r>
      <w:r w:rsidR="002F2DE5" w:rsidRPr="00034270">
        <w:t xml:space="preserve">  </w:t>
      </w:r>
    </w:p>
    <w:p w:rsidR="002F2DE5" w:rsidRPr="006765AD" w:rsidRDefault="00C66725" w:rsidP="006377EE">
      <w:pPr>
        <w:pStyle w:val="Heading3"/>
        <w:widowControl/>
        <w:rPr>
          <w:color w:val="000000"/>
        </w:rPr>
      </w:pPr>
      <w:r w:rsidRPr="00034270">
        <w:t xml:space="preserve">The </w:t>
      </w:r>
      <w:r w:rsidRPr="006765AD">
        <w:rPr>
          <w:i/>
        </w:rPr>
        <w:t>Order</w:t>
      </w:r>
      <w:r w:rsidRPr="00034270">
        <w:t xml:space="preserve"> Is Consistent with </w:t>
      </w:r>
      <w:r w:rsidR="004E6F65" w:rsidRPr="00034270">
        <w:t>t</w:t>
      </w:r>
      <w:r w:rsidR="00496D1C" w:rsidRPr="00034270">
        <w:t>he Prospective</w:t>
      </w:r>
      <w:r w:rsidR="00B33A8E">
        <w:t xml:space="preserve"> </w:t>
      </w:r>
      <w:r w:rsidR="00B33A8E" w:rsidRPr="0024228D">
        <w:rPr>
          <w:i/>
        </w:rPr>
        <w:t>USF/ICC Transformation Order</w:t>
      </w:r>
      <w:r w:rsidRPr="00034270">
        <w:t>.</w:t>
      </w:r>
      <w:r w:rsidR="002F2DE5" w:rsidRPr="00034270">
        <w:t xml:space="preserve">  </w:t>
      </w:r>
    </w:p>
    <w:p w:rsidR="00496D1C" w:rsidRPr="00034270" w:rsidRDefault="0028548F" w:rsidP="00496D1C">
      <w:pPr>
        <w:pStyle w:val="ParaNum"/>
      </w:pPr>
      <w:r w:rsidRPr="00034270">
        <w:rPr>
          <w:szCs w:val="22"/>
        </w:rPr>
        <w:t>Defendants</w:t>
      </w:r>
      <w:r w:rsidR="00496D1C" w:rsidRPr="00034270">
        <w:rPr>
          <w:szCs w:val="22"/>
        </w:rPr>
        <w:t xml:space="preserve"> incorrect</w:t>
      </w:r>
      <w:r w:rsidR="00D63BAB">
        <w:rPr>
          <w:szCs w:val="22"/>
        </w:rPr>
        <w:t>ly</w:t>
      </w:r>
      <w:r w:rsidR="00496D1C" w:rsidRPr="00034270">
        <w:rPr>
          <w:szCs w:val="22"/>
        </w:rPr>
        <w:t xml:space="preserve"> assert</w:t>
      </w:r>
      <w:r w:rsidRPr="00034270">
        <w:rPr>
          <w:szCs w:val="22"/>
        </w:rPr>
        <w:t xml:space="preserve"> that t</w:t>
      </w:r>
      <w:r w:rsidRPr="00034270">
        <w:t xml:space="preserve">he </w:t>
      </w:r>
      <w:r w:rsidR="00D63BAB">
        <w:t xml:space="preserve">Commission’s </w:t>
      </w:r>
      <w:r w:rsidR="00496D1C" w:rsidRPr="00034270">
        <w:t>findings</w:t>
      </w:r>
      <w:r w:rsidRPr="00034270">
        <w:t xml:space="preserve"> contravene</w:t>
      </w:r>
      <w:r w:rsidR="00496D1C" w:rsidRPr="00034270">
        <w:t xml:space="preserve"> </w:t>
      </w:r>
      <w:r w:rsidR="004E6F65" w:rsidRPr="00034270">
        <w:t xml:space="preserve">the </w:t>
      </w:r>
      <w:r w:rsidR="00B33A8E" w:rsidRPr="0024228D">
        <w:rPr>
          <w:i/>
        </w:rPr>
        <w:t>USF/ICC Transformation Order</w:t>
      </w:r>
      <w:r w:rsidR="004E6F65" w:rsidRPr="00034270">
        <w:t>.</w:t>
      </w:r>
      <w:r w:rsidR="00CD0446" w:rsidRPr="00034270">
        <w:rPr>
          <w:rStyle w:val="FootnoteReference"/>
        </w:rPr>
        <w:footnoteReference w:id="64"/>
      </w:r>
      <w:r w:rsidRPr="00034270">
        <w:t xml:space="preserve">  </w:t>
      </w:r>
      <w:r w:rsidR="0000233A">
        <w:t>As the Defendants acknowledge, t</w:t>
      </w:r>
      <w:r w:rsidR="0000233A" w:rsidRPr="00034270">
        <w:t xml:space="preserve">he </w:t>
      </w:r>
      <w:r w:rsidR="00B33A8E">
        <w:rPr>
          <w:i/>
        </w:rPr>
        <w:t>USF/ICC Transformation Order</w:t>
      </w:r>
      <w:r w:rsidR="0000233A" w:rsidRPr="00034270">
        <w:t xml:space="preserve"> is prospective and has no binding effect on complaints that were pending at the Commission at the time of its adoption and release.</w:t>
      </w:r>
      <w:r w:rsidR="0000233A" w:rsidRPr="00034270">
        <w:rPr>
          <w:rStyle w:val="FootnoteReference"/>
        </w:rPr>
        <w:footnoteReference w:id="65"/>
      </w:r>
      <w:r w:rsidR="0000233A">
        <w:t xml:space="preserve">  Nevertheless, r</w:t>
      </w:r>
      <w:r w:rsidR="007B20C6" w:rsidRPr="00034270">
        <w:t xml:space="preserve">elying upon </w:t>
      </w:r>
      <w:r w:rsidRPr="00034270">
        <w:t>snippets</w:t>
      </w:r>
      <w:r w:rsidR="007B20C6" w:rsidRPr="00034270">
        <w:t xml:space="preserve"> from</w:t>
      </w:r>
      <w:r w:rsidRPr="00034270">
        <w:t xml:space="preserve"> </w:t>
      </w:r>
      <w:r w:rsidR="00CD0446" w:rsidRPr="00034270">
        <w:t xml:space="preserve">and mischaracterizations </w:t>
      </w:r>
      <w:r w:rsidRPr="00034270">
        <w:t xml:space="preserve">of </w:t>
      </w:r>
      <w:r w:rsidR="004E6F65" w:rsidRPr="00034270">
        <w:t>the</w:t>
      </w:r>
      <w:r w:rsidR="00B33A8E" w:rsidRPr="00B33A8E">
        <w:rPr>
          <w:i/>
        </w:rPr>
        <w:t xml:space="preserve"> </w:t>
      </w:r>
      <w:r w:rsidR="00B33A8E">
        <w:rPr>
          <w:i/>
        </w:rPr>
        <w:t>USF/ICC Transformation Order</w:t>
      </w:r>
      <w:r w:rsidR="007B20C6" w:rsidRPr="00034270">
        <w:t xml:space="preserve">, Defendants argue that </w:t>
      </w:r>
      <w:r w:rsidR="00496D1C" w:rsidRPr="00034270">
        <w:t>carriers who act unjustly and unreasonably in violation of the Act and Commission rules</w:t>
      </w:r>
      <w:r w:rsidR="007B20C6" w:rsidRPr="00034270">
        <w:t xml:space="preserve"> may do</w:t>
      </w:r>
      <w:r w:rsidR="00496D1C" w:rsidRPr="00034270">
        <w:t xml:space="preserve"> so </w:t>
      </w:r>
      <w:r w:rsidR="0036024B" w:rsidRPr="00034270">
        <w:t xml:space="preserve">with impunity </w:t>
      </w:r>
      <w:r w:rsidR="007B20C6" w:rsidRPr="00034270">
        <w:t xml:space="preserve">as </w:t>
      </w:r>
      <w:r w:rsidR="00496D1C" w:rsidRPr="00034270">
        <w:t>long as they benchmark their access rates to the competing incumbent</w:t>
      </w:r>
      <w:r w:rsidR="00743F97">
        <w:t xml:space="preserve"> local exchange carrier</w:t>
      </w:r>
      <w:r w:rsidR="00496D1C" w:rsidRPr="00034270">
        <w:t>.</w:t>
      </w:r>
      <w:r w:rsidR="007B20C6" w:rsidRPr="00034270">
        <w:rPr>
          <w:rStyle w:val="FootnoteReference"/>
        </w:rPr>
        <w:footnoteReference w:id="66"/>
      </w:r>
      <w:r w:rsidR="00496D1C" w:rsidRPr="00034270">
        <w:t xml:space="preserve">  Nothing in the</w:t>
      </w:r>
      <w:r w:rsidR="00474A46" w:rsidRPr="00034270">
        <w:t xml:space="preserve"> </w:t>
      </w:r>
      <w:r w:rsidR="00B33A8E">
        <w:rPr>
          <w:i/>
        </w:rPr>
        <w:t>USF/ICC Transformation Order</w:t>
      </w:r>
      <w:r w:rsidR="00B33A8E" w:rsidRPr="00034270">
        <w:t xml:space="preserve"> </w:t>
      </w:r>
      <w:r w:rsidR="00496D1C" w:rsidRPr="00034270">
        <w:t xml:space="preserve">supports this </w:t>
      </w:r>
      <w:r w:rsidR="00F80B33" w:rsidRPr="00034270">
        <w:t>contention</w:t>
      </w:r>
      <w:r w:rsidR="00496D1C" w:rsidRPr="00034270">
        <w:t xml:space="preserve">.  </w:t>
      </w:r>
      <w:r w:rsidR="00AA214B">
        <w:t>Indeed, t</w:t>
      </w:r>
      <w:r w:rsidR="00496D1C" w:rsidRPr="00034270">
        <w:t xml:space="preserve">he Commission’s prior decisions demonstrate the </w:t>
      </w:r>
      <w:r w:rsidR="00AA214B">
        <w:t xml:space="preserve">exact </w:t>
      </w:r>
      <w:r w:rsidR="00496D1C" w:rsidRPr="00034270">
        <w:t>opposite to be the case.</w:t>
      </w:r>
      <w:r w:rsidR="00474A46" w:rsidRPr="00034270">
        <w:rPr>
          <w:rStyle w:val="FootnoteReference"/>
        </w:rPr>
        <w:footnoteReference w:id="67"/>
      </w:r>
      <w:r w:rsidR="00496D1C" w:rsidRPr="00034270">
        <w:t xml:space="preserve">  </w:t>
      </w:r>
    </w:p>
    <w:p w:rsidR="00B9288B" w:rsidRPr="00231929" w:rsidRDefault="0000233A" w:rsidP="00231929">
      <w:pPr>
        <w:pStyle w:val="ParaNum"/>
      </w:pPr>
      <w:r>
        <w:t>T</w:t>
      </w:r>
      <w:r w:rsidRPr="00034270">
        <w:t xml:space="preserve">he </w:t>
      </w:r>
      <w:r w:rsidR="00B33A8E">
        <w:rPr>
          <w:i/>
        </w:rPr>
        <w:t>USF/ICC Transformation Order</w:t>
      </w:r>
      <w:r w:rsidR="00B33A8E" w:rsidRPr="00034270">
        <w:t xml:space="preserve"> </w:t>
      </w:r>
      <w:r w:rsidR="00381C4F" w:rsidRPr="00034270">
        <w:t xml:space="preserve">is completely consistent with the outcome of this case.  </w:t>
      </w:r>
      <w:r w:rsidR="0028548F" w:rsidRPr="00034270">
        <w:t xml:space="preserve">The </w:t>
      </w:r>
      <w:r w:rsidR="00B33A8E">
        <w:rPr>
          <w:i/>
        </w:rPr>
        <w:t>USF/ICC Transformation Order</w:t>
      </w:r>
      <w:r w:rsidR="00B33A8E" w:rsidRPr="00034270">
        <w:t xml:space="preserve"> </w:t>
      </w:r>
      <w:r w:rsidR="0028548F" w:rsidRPr="00034270">
        <w:t xml:space="preserve">took immediate steps to curtail </w:t>
      </w:r>
      <w:r w:rsidR="006C241A" w:rsidRPr="00034270">
        <w:t>“</w:t>
      </w:r>
      <w:r w:rsidR="0028548F" w:rsidRPr="00034270">
        <w:t xml:space="preserve">wasteful arbitrage </w:t>
      </w:r>
      <w:r w:rsidR="006C241A" w:rsidRPr="00034270">
        <w:t xml:space="preserve">schemes” that </w:t>
      </w:r>
      <w:r w:rsidR="00C14C39" w:rsidRPr="00034270">
        <w:t>resulted in consumer costs exceeding hundreds of millions of dollars annually</w:t>
      </w:r>
      <w:r>
        <w:t>, and specifically identified</w:t>
      </w:r>
      <w:r w:rsidRPr="00034270">
        <w:t xml:space="preserve"> access stimulation </w:t>
      </w:r>
      <w:r w:rsidR="004B4EF0">
        <w:t xml:space="preserve">as </w:t>
      </w:r>
      <w:r w:rsidRPr="00034270">
        <w:t>one of the “most prevalent arbitrage activities</w:t>
      </w:r>
      <w:r>
        <w:t>.</w:t>
      </w:r>
      <w:r w:rsidRPr="00034270">
        <w:t>”</w:t>
      </w:r>
      <w:r w:rsidR="00C14C39" w:rsidRPr="00034270">
        <w:rPr>
          <w:rStyle w:val="FootnoteReference"/>
        </w:rPr>
        <w:footnoteReference w:id="68"/>
      </w:r>
      <w:r w:rsidR="00C14C39" w:rsidRPr="00034270">
        <w:t xml:space="preserve">  </w:t>
      </w:r>
      <w:r w:rsidR="0028548F" w:rsidRPr="00034270">
        <w:t>The record in th</w:t>
      </w:r>
      <w:r>
        <w:t xml:space="preserve">is proceeding overwhelmingly </w:t>
      </w:r>
      <w:r w:rsidR="0028548F" w:rsidRPr="00034270">
        <w:t xml:space="preserve">demonstrates that the Defendants were created to exploit </w:t>
      </w:r>
      <w:r w:rsidR="00C14C39" w:rsidRPr="00034270">
        <w:t xml:space="preserve">exactly the type of </w:t>
      </w:r>
      <w:r w:rsidR="0028548F" w:rsidRPr="00034270">
        <w:t xml:space="preserve">loopholes that the </w:t>
      </w:r>
      <w:r w:rsidR="00B33A8E">
        <w:rPr>
          <w:i/>
        </w:rPr>
        <w:t>USF/ICC Transformation Order</w:t>
      </w:r>
      <w:r w:rsidR="00B33A8E" w:rsidRPr="00034270">
        <w:t xml:space="preserve"> </w:t>
      </w:r>
      <w:r w:rsidR="0028548F" w:rsidRPr="00034270">
        <w:t>attempt</w:t>
      </w:r>
      <w:r w:rsidR="00454A7E" w:rsidRPr="00034270">
        <w:t>s</w:t>
      </w:r>
      <w:r w:rsidR="0028548F" w:rsidRPr="00034270">
        <w:t xml:space="preserve"> to close</w:t>
      </w:r>
      <w:r w:rsidR="00534F76" w:rsidRPr="00034270">
        <w:t>.</w:t>
      </w:r>
      <w:r w:rsidR="002B7892" w:rsidRPr="00034270">
        <w:rPr>
          <w:rStyle w:val="FootnoteReference"/>
        </w:rPr>
        <w:footnoteReference w:id="69"/>
      </w:r>
      <w:r w:rsidR="0028548F" w:rsidRPr="00034270">
        <w:t xml:space="preserve">  The </w:t>
      </w:r>
      <w:r w:rsidR="00B33A8E">
        <w:rPr>
          <w:i/>
        </w:rPr>
        <w:t>USF/ICC Transformation Order</w:t>
      </w:r>
      <w:r w:rsidR="00B33A8E" w:rsidRPr="00034270">
        <w:t xml:space="preserve"> </w:t>
      </w:r>
      <w:r w:rsidR="0028548F" w:rsidRPr="00034270">
        <w:t>does not, as Defendants contend, “expressly legitimize” access stimulation in every instance</w:t>
      </w:r>
      <w:r w:rsidR="00891D14" w:rsidRPr="00034270">
        <w:t>.</w:t>
      </w:r>
      <w:r w:rsidR="00841228" w:rsidRPr="00034270">
        <w:rPr>
          <w:rStyle w:val="FootnoteReference"/>
        </w:rPr>
        <w:footnoteReference w:id="70"/>
      </w:r>
      <w:r w:rsidR="00891D14" w:rsidRPr="00034270">
        <w:t xml:space="preserve">  Nor does it </w:t>
      </w:r>
      <w:r w:rsidR="007F70DA" w:rsidRPr="00034270">
        <w:t>insulate</w:t>
      </w:r>
      <w:r w:rsidR="0028548F" w:rsidRPr="00034270">
        <w:t xml:space="preserve"> the Defendants</w:t>
      </w:r>
      <w:r w:rsidR="00891D14" w:rsidRPr="00034270">
        <w:t xml:space="preserve"> from</w:t>
      </w:r>
      <w:r w:rsidR="006C241A" w:rsidRPr="00034270">
        <w:t xml:space="preserve"> the consequences of a finding that </w:t>
      </w:r>
      <w:r w:rsidR="00C14C39" w:rsidRPr="00034270">
        <w:t>their</w:t>
      </w:r>
      <w:r w:rsidR="0028548F" w:rsidRPr="00034270">
        <w:t xml:space="preserve"> </w:t>
      </w:r>
      <w:r w:rsidR="006C241A" w:rsidRPr="00034270">
        <w:t xml:space="preserve">conduct was </w:t>
      </w:r>
      <w:r w:rsidR="0028548F" w:rsidRPr="00034270">
        <w:t>unjust, unreasonable, and unlawful</w:t>
      </w:r>
      <w:r w:rsidR="006C241A" w:rsidRPr="00034270">
        <w:t xml:space="preserve">, </w:t>
      </w:r>
      <w:r w:rsidR="00BD6E31" w:rsidRPr="00034270">
        <w:t xml:space="preserve">in </w:t>
      </w:r>
      <w:r w:rsidR="0028548F" w:rsidRPr="00034270">
        <w:t>violation of the Act and the Commission’s rules.</w:t>
      </w:r>
      <w:r w:rsidR="0028548F" w:rsidRPr="00034270">
        <w:rPr>
          <w:rStyle w:val="FootnoteReference"/>
        </w:rPr>
        <w:footnoteReference w:id="71"/>
      </w:r>
      <w:r w:rsidR="0028548F" w:rsidRPr="00034270">
        <w:t xml:space="preserve">  </w:t>
      </w:r>
      <w:r w:rsidR="002044A0" w:rsidRPr="00231929">
        <w:rPr>
          <w:szCs w:val="22"/>
        </w:rPr>
        <w:t xml:space="preserve">  </w:t>
      </w:r>
    </w:p>
    <w:p w:rsidR="00DB5E32" w:rsidRPr="00034270" w:rsidRDefault="002C1CD7" w:rsidP="00401E2E">
      <w:pPr>
        <w:pStyle w:val="Heading2"/>
        <w:rPr>
          <w:szCs w:val="22"/>
        </w:rPr>
      </w:pPr>
      <w:r w:rsidRPr="00034270">
        <w:rPr>
          <w:szCs w:val="22"/>
        </w:rPr>
        <w:t>We Dismiss</w:t>
      </w:r>
      <w:r w:rsidR="00DB5E32" w:rsidRPr="00034270">
        <w:rPr>
          <w:szCs w:val="22"/>
        </w:rPr>
        <w:t xml:space="preserve"> Beehive’s Petition for Reconsideration.</w:t>
      </w:r>
    </w:p>
    <w:p w:rsidR="0086519E" w:rsidRPr="00034270" w:rsidRDefault="00DB5E32" w:rsidP="00D572B5">
      <w:pPr>
        <w:pStyle w:val="ParaNum"/>
        <w:tabs>
          <w:tab w:val="left" w:pos="1890"/>
        </w:tabs>
        <w:rPr>
          <w:szCs w:val="22"/>
        </w:rPr>
      </w:pPr>
      <w:r w:rsidRPr="00034270">
        <w:rPr>
          <w:szCs w:val="22"/>
        </w:rPr>
        <w:t xml:space="preserve">In order to seek reconsideration of a Commission order in an adjudicatory proceeding to which it was not a party, a petitioner </w:t>
      </w:r>
      <w:r w:rsidR="000A71C6" w:rsidRPr="00034270">
        <w:rPr>
          <w:szCs w:val="22"/>
        </w:rPr>
        <w:t xml:space="preserve">must (1) </w:t>
      </w:r>
      <w:r w:rsidRPr="00034270">
        <w:rPr>
          <w:szCs w:val="22"/>
        </w:rPr>
        <w:t xml:space="preserve">demonstrate </w:t>
      </w:r>
      <w:r w:rsidR="000A71C6" w:rsidRPr="00034270">
        <w:rPr>
          <w:szCs w:val="22"/>
        </w:rPr>
        <w:t xml:space="preserve">with particularity </w:t>
      </w:r>
      <w:r w:rsidRPr="00034270">
        <w:rPr>
          <w:szCs w:val="22"/>
        </w:rPr>
        <w:t xml:space="preserve">that the petitioner’s “interests are adversely affected” by the order, </w:t>
      </w:r>
      <w:r w:rsidRPr="00034270">
        <w:rPr>
          <w:i/>
          <w:szCs w:val="22"/>
        </w:rPr>
        <w:t>and</w:t>
      </w:r>
      <w:r w:rsidRPr="00034270">
        <w:rPr>
          <w:szCs w:val="22"/>
        </w:rPr>
        <w:t xml:space="preserve"> (2) </w:t>
      </w:r>
      <w:r w:rsidR="000A71C6" w:rsidRPr="00034270">
        <w:rPr>
          <w:szCs w:val="22"/>
        </w:rPr>
        <w:t xml:space="preserve">show that </w:t>
      </w:r>
      <w:r w:rsidRPr="00034270">
        <w:rPr>
          <w:szCs w:val="22"/>
        </w:rPr>
        <w:t>the petitioner has “good reason why it was not possible for [the petitioner] to participate in the earlier stages of the proceeding.”</w:t>
      </w:r>
      <w:r w:rsidRPr="00034270">
        <w:rPr>
          <w:szCs w:val="22"/>
          <w:vertAlign w:val="superscript"/>
        </w:rPr>
        <w:footnoteReference w:id="72"/>
      </w:r>
      <w:r w:rsidRPr="00034270">
        <w:rPr>
          <w:szCs w:val="22"/>
        </w:rPr>
        <w:t xml:space="preserve">  </w:t>
      </w:r>
      <w:r w:rsidR="0086519E" w:rsidRPr="00034270">
        <w:rPr>
          <w:szCs w:val="22"/>
        </w:rPr>
        <w:t>Beehive fails to satisfy either requirement.</w:t>
      </w:r>
    </w:p>
    <w:p w:rsidR="00B87DCF" w:rsidRPr="00034270" w:rsidRDefault="0051221E" w:rsidP="00DF07FC">
      <w:pPr>
        <w:pStyle w:val="ParaNum"/>
        <w:rPr>
          <w:u w:val="single"/>
        </w:rPr>
      </w:pPr>
      <w:r w:rsidRPr="00034270">
        <w:t xml:space="preserve">Beehive maintains that its interests are adversely affected by the </w:t>
      </w:r>
      <w:r w:rsidRPr="00034270">
        <w:rPr>
          <w:i/>
        </w:rPr>
        <w:t>Order</w:t>
      </w:r>
      <w:r w:rsidRPr="00034270">
        <w:t xml:space="preserve"> because </w:t>
      </w:r>
      <w:r w:rsidR="009F604E" w:rsidRPr="00034270">
        <w:t xml:space="preserve">other interexchange carriers could use </w:t>
      </w:r>
      <w:r w:rsidRPr="00034270">
        <w:t xml:space="preserve">the Commission’s </w:t>
      </w:r>
      <w:r w:rsidR="009F604E" w:rsidRPr="00034270">
        <w:t>“sham entity” finding</w:t>
      </w:r>
      <w:r w:rsidRPr="00034270">
        <w:t xml:space="preserve"> </w:t>
      </w:r>
      <w:r w:rsidR="009F604E" w:rsidRPr="00034270">
        <w:t>a</w:t>
      </w:r>
      <w:r w:rsidRPr="00034270">
        <w:t xml:space="preserve">s precedent </w:t>
      </w:r>
      <w:r w:rsidR="00B87DCF" w:rsidRPr="00034270">
        <w:t>in an action seeking damages from</w:t>
      </w:r>
      <w:r w:rsidRPr="00034270">
        <w:t xml:space="preserve"> Beehive.</w:t>
      </w:r>
      <w:r w:rsidRPr="00034270">
        <w:rPr>
          <w:rStyle w:val="FootnoteReference"/>
          <w:szCs w:val="22"/>
        </w:rPr>
        <w:footnoteReference w:id="73"/>
      </w:r>
      <w:r w:rsidRPr="00034270">
        <w:t xml:space="preserve">  </w:t>
      </w:r>
      <w:r w:rsidR="00B87DCF" w:rsidRPr="00034270">
        <w:t xml:space="preserve">Beehive has not identified any actual damages or economic injury it has sustained as a result of the </w:t>
      </w:r>
      <w:r w:rsidR="00B87DCF" w:rsidRPr="00034270">
        <w:rPr>
          <w:i/>
        </w:rPr>
        <w:t>Order</w:t>
      </w:r>
      <w:r w:rsidR="00F27974">
        <w:t>;</w:t>
      </w:r>
      <w:r w:rsidR="00B87DCF" w:rsidRPr="00034270">
        <w:t xml:space="preserve"> rather</w:t>
      </w:r>
      <w:r w:rsidR="00F27974">
        <w:t>,</w:t>
      </w:r>
      <w:r w:rsidR="00B87DCF" w:rsidRPr="00034270">
        <w:t xml:space="preserve"> it focuses exclusively on potential future </w:t>
      </w:r>
      <w:r w:rsidR="00345C61" w:rsidRPr="00034270">
        <w:t xml:space="preserve">or hypothetical </w:t>
      </w:r>
      <w:r w:rsidR="00D6686A" w:rsidRPr="00034270">
        <w:t>d</w:t>
      </w:r>
      <w:r w:rsidR="00B87DCF" w:rsidRPr="00034270">
        <w:t>amages.  The Commission has made clear, however, that a party is</w:t>
      </w:r>
      <w:r w:rsidR="00C2622B">
        <w:t xml:space="preserve"> neither</w:t>
      </w:r>
      <w:r w:rsidR="00B87DCF" w:rsidRPr="00034270">
        <w:t xml:space="preserve"> adversely affected </w:t>
      </w:r>
      <w:r w:rsidR="00C2622B">
        <w:t>n</w:t>
      </w:r>
      <w:r w:rsidR="00B87DCF" w:rsidRPr="00034270">
        <w:t>or aggrieved by “the mere precedential value of an adjudicatory order in a section 208 complaint proceeding.”</w:t>
      </w:r>
      <w:r w:rsidR="00B87DCF" w:rsidRPr="00034270">
        <w:rPr>
          <w:rStyle w:val="FootnoteReference"/>
          <w:szCs w:val="22"/>
        </w:rPr>
        <w:footnoteReference w:id="74"/>
      </w:r>
      <w:r w:rsidR="00B87DCF" w:rsidRPr="00034270">
        <w:t xml:space="preserve">  </w:t>
      </w:r>
    </w:p>
    <w:p w:rsidR="002F72CF" w:rsidRPr="00034270" w:rsidRDefault="0051221E" w:rsidP="0020388B">
      <w:pPr>
        <w:pStyle w:val="ParaNum"/>
        <w:widowControl/>
        <w:rPr>
          <w:szCs w:val="22"/>
        </w:rPr>
      </w:pPr>
      <w:r w:rsidRPr="00034270">
        <w:t xml:space="preserve">Beehive </w:t>
      </w:r>
      <w:r w:rsidR="00F27974">
        <w:t>next</w:t>
      </w:r>
      <w:r w:rsidR="00F27974" w:rsidRPr="00034270">
        <w:t xml:space="preserve"> </w:t>
      </w:r>
      <w:r w:rsidR="009F604E" w:rsidRPr="00034270">
        <w:t>asserts</w:t>
      </w:r>
      <w:r w:rsidRPr="00034270">
        <w:t xml:space="preserve"> that the </w:t>
      </w:r>
      <w:r w:rsidRPr="00034270">
        <w:rPr>
          <w:i/>
        </w:rPr>
        <w:t xml:space="preserve">Order </w:t>
      </w:r>
      <w:r w:rsidRPr="00034270">
        <w:t xml:space="preserve">deprives it of its constitutional due process right to a fair hearing </w:t>
      </w:r>
      <w:r w:rsidR="006F47AC" w:rsidRPr="00034270">
        <w:t>in connection with the</w:t>
      </w:r>
      <w:r w:rsidR="009F604E" w:rsidRPr="00034270">
        <w:t xml:space="preserve"> </w:t>
      </w:r>
      <w:r w:rsidRPr="00034270">
        <w:t xml:space="preserve">“sham arrangement” issue </w:t>
      </w:r>
      <w:r w:rsidR="009F604E" w:rsidRPr="00034270">
        <w:t xml:space="preserve">that </w:t>
      </w:r>
      <w:r w:rsidR="006F47AC" w:rsidRPr="00034270">
        <w:t>the United States District Court for the District of Utah</w:t>
      </w:r>
      <w:r w:rsidR="009F604E" w:rsidRPr="00034270">
        <w:t xml:space="preserve"> referred to the Commission in separate litigation involving Beehive, Sprint Communications Company L.P. (Sprint), and All American.</w:t>
      </w:r>
      <w:r w:rsidR="00437043" w:rsidRPr="00034270">
        <w:rPr>
          <w:rStyle w:val="FootnoteReference"/>
          <w:szCs w:val="22"/>
        </w:rPr>
        <w:footnoteReference w:id="75"/>
      </w:r>
      <w:r w:rsidRPr="00034270">
        <w:t xml:space="preserve">  </w:t>
      </w:r>
      <w:r w:rsidR="006F47AC" w:rsidRPr="00034270">
        <w:t xml:space="preserve">In Beehive’s view, the </w:t>
      </w:r>
      <w:r w:rsidR="00635AB4" w:rsidRPr="00034270">
        <w:rPr>
          <w:i/>
        </w:rPr>
        <w:t xml:space="preserve">Order </w:t>
      </w:r>
      <w:r w:rsidR="00635AB4" w:rsidRPr="00034270">
        <w:t xml:space="preserve">prejudged the </w:t>
      </w:r>
      <w:r w:rsidR="00C16BA1" w:rsidRPr="00034270">
        <w:t xml:space="preserve">“sham arrangement” issue referred in the </w:t>
      </w:r>
      <w:r w:rsidR="00C16BA1" w:rsidRPr="00034270">
        <w:rPr>
          <w:i/>
        </w:rPr>
        <w:t>Utah Referral Order</w:t>
      </w:r>
      <w:r w:rsidR="006F47AC" w:rsidRPr="00034270">
        <w:t>,</w:t>
      </w:r>
      <w:r w:rsidR="00C16BA1" w:rsidRPr="00034270">
        <w:t xml:space="preserve"> </w:t>
      </w:r>
      <w:r w:rsidR="006F47AC" w:rsidRPr="00034270">
        <w:t xml:space="preserve">and the Commission purportedly did not </w:t>
      </w:r>
      <w:r w:rsidR="00635AB4" w:rsidRPr="00034270">
        <w:t xml:space="preserve">afford Beehive “proper notice and . . . an opportunity to present a defense” before </w:t>
      </w:r>
      <w:r w:rsidR="006F47AC" w:rsidRPr="00034270">
        <w:t xml:space="preserve">issuing the </w:t>
      </w:r>
      <w:r w:rsidR="006F47AC" w:rsidRPr="00034270">
        <w:rPr>
          <w:i/>
        </w:rPr>
        <w:t>Order</w:t>
      </w:r>
      <w:r w:rsidR="006F47AC" w:rsidRPr="00034270">
        <w:t>.</w:t>
      </w:r>
      <w:r w:rsidR="00635AB4" w:rsidRPr="00034270">
        <w:rPr>
          <w:rStyle w:val="FootnoteReference"/>
        </w:rPr>
        <w:footnoteReference w:id="76"/>
      </w:r>
      <w:r w:rsidR="00D37210" w:rsidRPr="00034270">
        <w:t xml:space="preserve">  </w:t>
      </w:r>
      <w:r w:rsidR="00F27974">
        <w:t>But</w:t>
      </w:r>
      <w:r w:rsidR="00F27974" w:rsidRPr="00034270">
        <w:t xml:space="preserve"> </w:t>
      </w:r>
      <w:r w:rsidR="00F04843" w:rsidRPr="00034270">
        <w:t xml:space="preserve">the </w:t>
      </w:r>
      <w:r w:rsidR="00635AB4" w:rsidRPr="00034270">
        <w:rPr>
          <w:i/>
        </w:rPr>
        <w:t xml:space="preserve">Order </w:t>
      </w:r>
      <w:r w:rsidR="00F04843" w:rsidRPr="00034270">
        <w:t>contained no findings</w:t>
      </w:r>
      <w:r w:rsidR="00635AB4" w:rsidRPr="00034270">
        <w:t xml:space="preserve"> that Beehive vi</w:t>
      </w:r>
      <w:r w:rsidR="00F04843" w:rsidRPr="00034270">
        <w:t>olated Section 201(b)</w:t>
      </w:r>
      <w:r w:rsidR="00635AB4" w:rsidRPr="00034270">
        <w:t>, which</w:t>
      </w:r>
      <w:r w:rsidR="00F04843" w:rsidRPr="00034270">
        <w:t xml:space="preserve"> is what Beehive contends </w:t>
      </w:r>
      <w:r w:rsidR="00635AB4" w:rsidRPr="00034270">
        <w:t>triggered notice and due process obligations.</w:t>
      </w:r>
      <w:r w:rsidR="00635AB4" w:rsidRPr="00034270">
        <w:rPr>
          <w:rStyle w:val="FootnoteReference"/>
        </w:rPr>
        <w:footnoteReference w:id="77"/>
      </w:r>
      <w:r w:rsidR="00635AB4" w:rsidRPr="00034270">
        <w:t xml:space="preserve">  </w:t>
      </w:r>
      <w:r w:rsidR="00F04843" w:rsidRPr="00034270">
        <w:t xml:space="preserve">The </w:t>
      </w:r>
      <w:r w:rsidR="004D1948" w:rsidRPr="00034270">
        <w:t>Commission’s complaint proceedings are a matter of public record</w:t>
      </w:r>
      <w:r w:rsidR="00F04843" w:rsidRPr="00034270">
        <w:t>,</w:t>
      </w:r>
      <w:r w:rsidR="004D1948" w:rsidRPr="00034270">
        <w:t xml:space="preserve"> and the Commission was under no obligation to notify Beehive</w:t>
      </w:r>
      <w:r w:rsidR="00D95F84" w:rsidRPr="00034270">
        <w:t xml:space="preserve">—which </w:t>
      </w:r>
      <w:r w:rsidR="00F04843" w:rsidRPr="00034270">
        <w:t>was not a party to this proceeding</w:t>
      </w:r>
      <w:r w:rsidR="00D95F84" w:rsidRPr="00034270">
        <w:t xml:space="preserve">—of </w:t>
      </w:r>
      <w:r w:rsidR="004D1948" w:rsidRPr="00034270">
        <w:t>the allegations relating to it.</w:t>
      </w:r>
      <w:r w:rsidR="00F04843" w:rsidRPr="00034270">
        <w:t xml:space="preserve">  Regardless, it is undisputed that </w:t>
      </w:r>
      <w:r w:rsidR="00DC7BD6" w:rsidRPr="00034270">
        <w:t xml:space="preserve">Beehive was fully aware of the allegations in AT&amp;T’s complaint that resulted in the </w:t>
      </w:r>
      <w:r w:rsidR="00DC7BD6" w:rsidRPr="00034270">
        <w:rPr>
          <w:i/>
        </w:rPr>
        <w:t>Order</w:t>
      </w:r>
      <w:r w:rsidR="00223F77" w:rsidRPr="00034270">
        <w:t>, and that Beehive chose not to intervene in the proceeding</w:t>
      </w:r>
      <w:r w:rsidR="00AD3186" w:rsidRPr="00034270">
        <w:t>.</w:t>
      </w:r>
      <w:r w:rsidR="00413F15" w:rsidRPr="00034270">
        <w:rPr>
          <w:rStyle w:val="FootnoteReference"/>
        </w:rPr>
        <w:footnoteReference w:id="78"/>
      </w:r>
      <w:r w:rsidR="004151A9" w:rsidRPr="00034270">
        <w:t xml:space="preserve">  </w:t>
      </w:r>
      <w:r w:rsidR="00973612" w:rsidRPr="00034270">
        <w:t xml:space="preserve">  </w:t>
      </w:r>
      <w:r w:rsidR="00AD3186" w:rsidRPr="00034270">
        <w:t xml:space="preserve">  </w:t>
      </w:r>
    </w:p>
    <w:p w:rsidR="00635AB4" w:rsidRPr="00034270" w:rsidRDefault="00966C76" w:rsidP="00635AB4">
      <w:pPr>
        <w:pStyle w:val="ParaNum"/>
        <w:rPr>
          <w:szCs w:val="22"/>
        </w:rPr>
      </w:pPr>
      <w:r w:rsidRPr="00034270">
        <w:t xml:space="preserve">Nor has the </w:t>
      </w:r>
      <w:r w:rsidR="00D747B8" w:rsidRPr="00034270">
        <w:rPr>
          <w:i/>
        </w:rPr>
        <w:t>Order</w:t>
      </w:r>
      <w:r w:rsidR="00635AB4" w:rsidRPr="00034270">
        <w:t xml:space="preserve"> de</w:t>
      </w:r>
      <w:r w:rsidR="00D747B8" w:rsidRPr="00034270">
        <w:t>prived</w:t>
      </w:r>
      <w:r w:rsidR="00635AB4" w:rsidRPr="00034270">
        <w:t xml:space="preserve"> Beehive</w:t>
      </w:r>
      <w:r w:rsidRPr="00034270">
        <w:t xml:space="preserve"> of</w:t>
      </w:r>
      <w:r w:rsidR="00635AB4" w:rsidRPr="00034270">
        <w:t xml:space="preserve"> the opportunity to have the</w:t>
      </w:r>
      <w:r w:rsidRPr="00034270">
        <w:t xml:space="preserve"> issues raised in the </w:t>
      </w:r>
      <w:r w:rsidRPr="00034270">
        <w:rPr>
          <w:i/>
        </w:rPr>
        <w:t xml:space="preserve">Utah Referral Order </w:t>
      </w:r>
      <w:r w:rsidR="00635AB4" w:rsidRPr="00034270">
        <w:t>heard by a neutral decision-maker.</w:t>
      </w:r>
      <w:r w:rsidR="006B3D15" w:rsidRPr="00034270">
        <w:rPr>
          <w:rStyle w:val="FootnoteReference"/>
        </w:rPr>
        <w:footnoteReference w:id="79"/>
      </w:r>
      <w:r w:rsidR="00635AB4" w:rsidRPr="00034270">
        <w:t xml:space="preserve">  The </w:t>
      </w:r>
      <w:r w:rsidR="00635AB4" w:rsidRPr="00034270">
        <w:rPr>
          <w:i/>
        </w:rPr>
        <w:t>Utah Referral Order</w:t>
      </w:r>
      <w:r w:rsidR="00635AB4" w:rsidRPr="00034270">
        <w:t xml:space="preserve"> requests the Commission’s guidance </w:t>
      </w:r>
      <w:r w:rsidRPr="00034270">
        <w:t>regarding</w:t>
      </w:r>
      <w:r w:rsidR="00635AB4" w:rsidRPr="00034270">
        <w:t xml:space="preserve"> the </w:t>
      </w:r>
      <w:r w:rsidRPr="00034270">
        <w:t>application</w:t>
      </w:r>
      <w:r w:rsidR="00635AB4" w:rsidRPr="00034270">
        <w:t xml:space="preserve"> of </w:t>
      </w:r>
      <w:r w:rsidR="00635AB4" w:rsidRPr="00034270">
        <w:rPr>
          <w:i/>
        </w:rPr>
        <w:t>Beehive’s tariff</w:t>
      </w:r>
      <w:r w:rsidR="00635AB4" w:rsidRPr="00034270">
        <w:t xml:space="preserve"> when considered in the context of undisputed facts.</w:t>
      </w:r>
      <w:r w:rsidR="00635AB4" w:rsidRPr="00034270">
        <w:rPr>
          <w:rStyle w:val="FootnoteReference"/>
          <w:szCs w:val="22"/>
        </w:rPr>
        <w:footnoteReference w:id="80"/>
      </w:r>
      <w:r w:rsidR="00635AB4" w:rsidRPr="00034270">
        <w:t xml:space="preserve">  Beehive’s tariff was not at issue in the </w:t>
      </w:r>
      <w:r w:rsidR="00635AB4" w:rsidRPr="00034270">
        <w:rPr>
          <w:i/>
          <w:iCs/>
        </w:rPr>
        <w:t>Order</w:t>
      </w:r>
      <w:r w:rsidR="00635AB4" w:rsidRPr="00034270">
        <w:rPr>
          <w:iCs/>
        </w:rPr>
        <w:t>, and the Commission made no</w:t>
      </w:r>
      <w:r w:rsidR="00635AB4" w:rsidRPr="00034270">
        <w:t xml:space="preserve"> determinations regarding Beehive’s tariff or whether Beehive</w:t>
      </w:r>
      <w:r w:rsidR="00D3313F" w:rsidRPr="00034270">
        <w:t>’s conduct</w:t>
      </w:r>
      <w:r w:rsidR="00635AB4" w:rsidRPr="00034270">
        <w:t xml:space="preserve"> violated Section 201(b) of the Act.</w:t>
      </w:r>
      <w:r w:rsidR="0055776B" w:rsidRPr="00034270">
        <w:rPr>
          <w:rStyle w:val="FootnoteReference"/>
        </w:rPr>
        <w:footnoteReference w:id="81"/>
      </w:r>
      <w:r w:rsidR="00635AB4" w:rsidRPr="00034270">
        <w:t xml:space="preserve">  </w:t>
      </w:r>
      <w:r w:rsidR="00DD52E7" w:rsidRPr="00034270">
        <w:t>Beehive has no basis for claiming that it has been denied due process before it</w:t>
      </w:r>
      <w:r w:rsidRPr="00034270">
        <w:t xml:space="preserve"> even has had</w:t>
      </w:r>
      <w:r w:rsidR="00DD52E7" w:rsidRPr="00034270">
        <w:t xml:space="preserve"> the opportunity to present its defenses to Sprint’s claims</w:t>
      </w:r>
      <w:r w:rsidR="0055776B" w:rsidRPr="00034270">
        <w:t>.</w:t>
      </w:r>
      <w:r w:rsidR="00F66FB1" w:rsidRPr="00034270">
        <w:rPr>
          <w:rStyle w:val="FootnoteReference"/>
        </w:rPr>
        <w:footnoteReference w:id="82"/>
      </w:r>
      <w:r w:rsidR="0055776B" w:rsidRPr="00034270">
        <w:t xml:space="preserve">  Nor is Beehive correct in assuming </w:t>
      </w:r>
      <w:r w:rsidRPr="00034270">
        <w:t xml:space="preserve">that </w:t>
      </w:r>
      <w:r w:rsidR="00635AB4" w:rsidRPr="00034270">
        <w:t xml:space="preserve">the Commission will not give Beehive a full and fair opportunity to defend itself.  Beehive will have ample opportunity, consistent with the terms of the </w:t>
      </w:r>
      <w:r w:rsidR="00635AB4" w:rsidRPr="00034270">
        <w:rPr>
          <w:i/>
          <w:iCs/>
        </w:rPr>
        <w:t xml:space="preserve">Utah Referral </w:t>
      </w:r>
      <w:r w:rsidR="00635AB4" w:rsidRPr="00034270">
        <w:rPr>
          <w:i/>
        </w:rPr>
        <w:t>Order</w:t>
      </w:r>
      <w:r w:rsidR="00635AB4" w:rsidRPr="00034270">
        <w:t>,</w:t>
      </w:r>
      <w:r w:rsidR="0055776B" w:rsidRPr="00034270">
        <w:rPr>
          <w:rStyle w:val="FootnoteReference"/>
        </w:rPr>
        <w:footnoteReference w:id="83"/>
      </w:r>
      <w:r w:rsidR="00635AB4" w:rsidRPr="00034270">
        <w:t xml:space="preserve"> to present its legal arguments and defenses regarding the issues</w:t>
      </w:r>
      <w:r w:rsidR="0055776B" w:rsidRPr="00034270">
        <w:t xml:space="preserve"> identified</w:t>
      </w:r>
      <w:r w:rsidR="00635AB4" w:rsidRPr="00034270">
        <w:t xml:space="preserve"> in the </w:t>
      </w:r>
      <w:r w:rsidR="00635AB4" w:rsidRPr="00034270">
        <w:rPr>
          <w:i/>
        </w:rPr>
        <w:t>Utah Referral Order</w:t>
      </w:r>
      <w:r w:rsidR="00635AB4" w:rsidRPr="00034270">
        <w:t xml:space="preserve"> during the course of the Sprint complaint proceedings</w:t>
      </w:r>
      <w:r w:rsidR="00F76FDA" w:rsidRPr="00034270">
        <w:t>,</w:t>
      </w:r>
      <w:r w:rsidR="00482113" w:rsidRPr="00034270">
        <w:rPr>
          <w:rStyle w:val="FootnoteReference"/>
        </w:rPr>
        <w:footnoteReference w:id="84"/>
      </w:r>
      <w:r w:rsidR="00F76FDA" w:rsidRPr="00034270">
        <w:t xml:space="preserve"> and th</w:t>
      </w:r>
      <w:r w:rsidR="00DE486A">
        <w:t>ose</w:t>
      </w:r>
      <w:r w:rsidR="00F76FDA" w:rsidRPr="00034270">
        <w:t xml:space="preserve"> issue</w:t>
      </w:r>
      <w:r w:rsidR="0055776B" w:rsidRPr="00034270">
        <w:t>s</w:t>
      </w:r>
      <w:r w:rsidR="00F76FDA" w:rsidRPr="00034270">
        <w:t xml:space="preserve"> </w:t>
      </w:r>
      <w:r w:rsidR="00DE486A">
        <w:t xml:space="preserve">will be decided </w:t>
      </w:r>
      <w:r w:rsidR="00F76FDA" w:rsidRPr="00034270">
        <w:t>based on the record in that case.</w:t>
      </w:r>
      <w:bookmarkStart w:id="6" w:name="_Ref371584344"/>
      <w:r w:rsidR="00A65578">
        <w:rPr>
          <w:rStyle w:val="FootnoteReference"/>
        </w:rPr>
        <w:footnoteReference w:id="85"/>
      </w:r>
      <w:bookmarkEnd w:id="6"/>
      <w:r w:rsidR="00635AB4" w:rsidRPr="00034270">
        <w:rPr>
          <w:szCs w:val="22"/>
        </w:rPr>
        <w:t xml:space="preserve">  </w:t>
      </w:r>
    </w:p>
    <w:p w:rsidR="00F106F5" w:rsidRDefault="00F106F5" w:rsidP="007F03CC">
      <w:pPr>
        <w:pStyle w:val="ParaNum"/>
        <w:widowControl/>
      </w:pPr>
      <w:bookmarkStart w:id="7" w:name="_Ref370386949"/>
      <w:bookmarkStart w:id="8" w:name="_Ref365531399"/>
      <w:r w:rsidRPr="00034270">
        <w:t xml:space="preserve">Beehive offers no credible justification for failing to seek to intervene earlier in this proceeding.  </w:t>
      </w:r>
      <w:r>
        <w:t xml:space="preserve">To begin, </w:t>
      </w:r>
      <w:r w:rsidRPr="00034270">
        <w:t xml:space="preserve">Beehive’s reliance upon </w:t>
      </w:r>
      <w:r>
        <w:t xml:space="preserve">the notice requirement in </w:t>
      </w:r>
      <w:r w:rsidRPr="00034270">
        <w:t xml:space="preserve">Section 1.223(a) of the Commission’s rules, which concerns </w:t>
      </w:r>
      <w:r>
        <w:t xml:space="preserve">proceedings designated for hearing </w:t>
      </w:r>
      <w:r w:rsidRPr="00034270">
        <w:t>in cases involving applications for construction permits and station licenses, is misplaced.</w:t>
      </w:r>
      <w:r>
        <w:rPr>
          <w:rStyle w:val="FootnoteReference"/>
        </w:rPr>
        <w:footnoteReference w:id="86"/>
      </w:r>
      <w:r w:rsidRPr="00034270">
        <w:t xml:space="preserve"> </w:t>
      </w:r>
      <w:r>
        <w:t xml:space="preserve"> This rule is inapplicable here because this case has not been designated for hearing and does not involve </w:t>
      </w:r>
      <w:r w:rsidRPr="00034270">
        <w:t>applications for construction permits and station licenses</w:t>
      </w:r>
      <w:r>
        <w:t xml:space="preserve">.  </w:t>
      </w:r>
      <w:r w:rsidRPr="00034270">
        <w:t xml:space="preserve">Although in </w:t>
      </w:r>
      <w:r w:rsidR="009B50E3">
        <w:t>S</w:t>
      </w:r>
      <w:r w:rsidRPr="00034270">
        <w:t>ection 208 complaint cases the Commission has looked to rule 1.223</w:t>
      </w:r>
      <w:r>
        <w:t>(b)</w:t>
      </w:r>
      <w:r w:rsidRPr="00034270">
        <w:t>’s standards for intervention (</w:t>
      </w:r>
      <w:r w:rsidRPr="00F106F5">
        <w:rPr>
          <w:i/>
        </w:rPr>
        <w:t>i.e.</w:t>
      </w:r>
      <w:r w:rsidR="009B50E3">
        <w:t>,</w:t>
      </w:r>
      <w:r w:rsidRPr="00034270">
        <w:t xml:space="preserve"> whether the party has an interest in the proceeding and how participation will assist the Commission),</w:t>
      </w:r>
      <w:r>
        <w:rPr>
          <w:rStyle w:val="FootnoteReference"/>
        </w:rPr>
        <w:footnoteReference w:id="87"/>
      </w:r>
      <w:r w:rsidRPr="00034270">
        <w:t xml:space="preserve"> it has not adopted</w:t>
      </w:r>
      <w:r>
        <w:t xml:space="preserve"> </w:t>
      </w:r>
      <w:r w:rsidRPr="00034270">
        <w:t>that rule’s notice requirement</w:t>
      </w:r>
      <w:r>
        <w:t xml:space="preserve"> outside of the cases which the rule governs</w:t>
      </w:r>
      <w:r w:rsidRPr="00034270">
        <w:t xml:space="preserve">. </w:t>
      </w:r>
      <w:r>
        <w:t xml:space="preserve"> M</w:t>
      </w:r>
      <w:r w:rsidRPr="00034270">
        <w:t>ore</w:t>
      </w:r>
      <w:r>
        <w:t>over</w:t>
      </w:r>
      <w:r w:rsidRPr="00034270">
        <w:t>, notice to Beehive would have been completely unnecessary</w:t>
      </w:r>
      <w:r>
        <w:t>.  As Beehive readily admits,</w:t>
      </w:r>
      <w:r w:rsidRPr="00034270">
        <w:t xml:space="preserve"> for more than two years prior to release of the </w:t>
      </w:r>
      <w:r w:rsidRPr="00F106F5">
        <w:rPr>
          <w:i/>
        </w:rPr>
        <w:t>Order</w:t>
      </w:r>
      <w:r w:rsidRPr="00034270">
        <w:t>,</w:t>
      </w:r>
      <w:r w:rsidRPr="00F106F5">
        <w:rPr>
          <w:i/>
        </w:rPr>
        <w:t xml:space="preserve"> </w:t>
      </w:r>
      <w:r>
        <w:t>it</w:t>
      </w:r>
      <w:r w:rsidRPr="00034270">
        <w:t xml:space="preserve"> knew of the claims implicating its conduct and could have sought leave to participate in the case.</w:t>
      </w:r>
      <w:bookmarkStart w:id="9" w:name="_Ref377472147"/>
      <w:r w:rsidRPr="00034270">
        <w:rPr>
          <w:rStyle w:val="FootnoteReference"/>
          <w:szCs w:val="22"/>
        </w:rPr>
        <w:footnoteReference w:id="88"/>
      </w:r>
      <w:bookmarkEnd w:id="9"/>
      <w:r w:rsidRPr="00034270">
        <w:t xml:space="preserve">  Beehive chose not to.</w:t>
      </w:r>
      <w:r w:rsidRPr="00034270">
        <w:rPr>
          <w:rStyle w:val="FootnoteReference"/>
          <w:szCs w:val="22"/>
        </w:rPr>
        <w:footnoteReference w:id="89"/>
      </w:r>
      <w:r w:rsidRPr="00034270">
        <w:t xml:space="preserve">  </w:t>
      </w:r>
      <w:r w:rsidRPr="00F106F5">
        <w:rPr>
          <w:i/>
        </w:rPr>
        <w:t>AT&amp;T v. BellSouth</w:t>
      </w:r>
      <w:r w:rsidRPr="00034270">
        <w:t>,</w:t>
      </w:r>
      <w:r w:rsidRPr="00034270">
        <w:rPr>
          <w:rStyle w:val="FootnoteReference"/>
          <w:szCs w:val="22"/>
        </w:rPr>
        <w:footnoteReference w:id="90"/>
      </w:r>
      <w:r w:rsidRPr="00034270">
        <w:t xml:space="preserve"> which Beehive cites,</w:t>
      </w:r>
      <w:r w:rsidRPr="00034270">
        <w:rPr>
          <w:rStyle w:val="FootnoteReference"/>
          <w:szCs w:val="22"/>
        </w:rPr>
        <w:footnoteReference w:id="91"/>
      </w:r>
      <w:r w:rsidRPr="00034270">
        <w:t xml:space="preserve"> articulates the standard the Commission uses when evaluating petitions for reconsideration by non-parties in complaint proceedings, and it </w:t>
      </w:r>
      <w:r>
        <w:t>support</w:t>
      </w:r>
      <w:r w:rsidRPr="00034270">
        <w:t xml:space="preserve">s </w:t>
      </w:r>
      <w:r>
        <w:t xml:space="preserve">denial of </w:t>
      </w:r>
      <w:r w:rsidR="009948A3">
        <w:t xml:space="preserve">the </w:t>
      </w:r>
      <w:r w:rsidRPr="00034270">
        <w:t xml:space="preserve">Beehive </w:t>
      </w:r>
      <w:r w:rsidR="009948A3">
        <w:t>P</w:t>
      </w:r>
      <w:r>
        <w:t xml:space="preserve">etition because Beehive </w:t>
      </w:r>
      <w:r w:rsidRPr="00034270">
        <w:t>could have attempted to intervene in this case if it were concerned about protecting its rights.</w:t>
      </w:r>
      <w:r w:rsidRPr="00034270">
        <w:rPr>
          <w:rStyle w:val="FootnoteReference"/>
          <w:szCs w:val="22"/>
        </w:rPr>
        <w:footnoteReference w:id="92"/>
      </w:r>
      <w:r w:rsidRPr="00034270">
        <w:t xml:space="preserve">  The </w:t>
      </w:r>
      <w:r w:rsidR="00F6674E">
        <w:t xml:space="preserve">public </w:t>
      </w:r>
      <w:r w:rsidRPr="00034270">
        <w:t>record in this case gave Beehive “every reason to understand that one option available to the Commission” was to find that Beehive was instrumental to the sham,</w:t>
      </w:r>
      <w:r w:rsidRPr="00034270">
        <w:rPr>
          <w:rStyle w:val="FootnoteReference"/>
          <w:szCs w:val="22"/>
        </w:rPr>
        <w:footnoteReference w:id="93"/>
      </w:r>
      <w:r w:rsidRPr="00034270">
        <w:t xml:space="preserve"> and Beehive can hardly claim “surprise” by the Commission’s findings to that effect.</w:t>
      </w:r>
      <w:r w:rsidRPr="00034270">
        <w:rPr>
          <w:rStyle w:val="FootnoteReference"/>
          <w:szCs w:val="22"/>
        </w:rPr>
        <w:footnoteReference w:id="94"/>
      </w:r>
    </w:p>
    <w:bookmarkEnd w:id="7"/>
    <w:p w:rsidR="00D763F1" w:rsidRPr="001D63A3" w:rsidRDefault="0061592D" w:rsidP="001D63A3">
      <w:pPr>
        <w:pStyle w:val="ParaNum"/>
      </w:pPr>
      <w:r>
        <w:t>S</w:t>
      </w:r>
      <w:r w:rsidRPr="0061592D">
        <w:t xml:space="preserve">imilarly unavailing is the contention that Commission staff thwarted Beehive’s “last-ditch effort to participate in this proceeding” by failing to hold the </w:t>
      </w:r>
      <w:r w:rsidRPr="0061592D">
        <w:rPr>
          <w:i/>
        </w:rPr>
        <w:t>Order</w:t>
      </w:r>
      <w:r w:rsidRPr="0061592D">
        <w:t xml:space="preserve"> in abeyance pending the filing of Sprint’s complaint effectuating the </w:t>
      </w:r>
      <w:r w:rsidRPr="0061592D">
        <w:rPr>
          <w:i/>
        </w:rPr>
        <w:t>Utah Court Referral</w:t>
      </w:r>
      <w:r w:rsidRPr="0061592D">
        <w:t>, which purportedly would have allowed Beehive to seek consolidation of the two cases.</w:t>
      </w:r>
      <w:r w:rsidRPr="00034270">
        <w:rPr>
          <w:rStyle w:val="FootnoteReference"/>
          <w:color w:val="000000"/>
          <w:szCs w:val="22"/>
        </w:rPr>
        <w:footnoteReference w:id="95"/>
      </w:r>
      <w:r w:rsidRPr="0061592D">
        <w:t xml:space="preserve">  This argument misses the point because it wrongly assumes that Beehive could not have participated at the Commission until Sprint filed its complaint.  Beehive could have filed a motion to intervene </w:t>
      </w:r>
      <w:r w:rsidRPr="0061592D">
        <w:rPr>
          <w:i/>
        </w:rPr>
        <w:t xml:space="preserve">years </w:t>
      </w:r>
      <w:r w:rsidRPr="0061592D">
        <w:t>earlier when it learned that its conduct figured prominently in AT&amp;T’s claims against the Defendants.</w:t>
      </w:r>
      <w:r w:rsidRPr="00034270">
        <w:rPr>
          <w:rStyle w:val="FootnoteReference"/>
          <w:szCs w:val="22"/>
        </w:rPr>
        <w:footnoteReference w:id="96"/>
      </w:r>
      <w:r w:rsidRPr="0061592D">
        <w:t xml:space="preserve">  In all events, consolidating the two proceedings when the draft </w:t>
      </w:r>
      <w:r w:rsidRPr="0061592D">
        <w:rPr>
          <w:i/>
        </w:rPr>
        <w:t xml:space="preserve">Order </w:t>
      </w:r>
      <w:r w:rsidRPr="0061592D">
        <w:t>was on the verge of circulation would have made no sense.</w:t>
      </w:r>
      <w:r w:rsidRPr="00034270">
        <w:rPr>
          <w:rStyle w:val="FootnoteReference"/>
          <w:szCs w:val="22"/>
        </w:rPr>
        <w:footnoteReference w:id="97"/>
      </w:r>
      <w:r w:rsidRPr="0061592D">
        <w:t xml:space="preserve">  The parties in this case generated a vast record.</w:t>
      </w:r>
      <w:r w:rsidRPr="00034270">
        <w:rPr>
          <w:rStyle w:val="FootnoteReference"/>
          <w:szCs w:val="22"/>
        </w:rPr>
        <w:footnoteReference w:id="98"/>
      </w:r>
      <w:r w:rsidRPr="0061592D">
        <w:t xml:space="preserve">  Consolidation would have meant injecting new parties (Sprint and Beehive), as well as different tariffs, tariff periods, and defenses, into the proceeding after the record had closed.  Moreover, the Commission would have had to devise a way to reconcile the </w:t>
      </w:r>
      <w:r w:rsidRPr="0061592D">
        <w:rPr>
          <w:i/>
        </w:rPr>
        <w:t>Utah Referral Order</w:t>
      </w:r>
      <w:r w:rsidRPr="0061592D">
        <w:t xml:space="preserve">’s directive regarding the parties (including Beehive) not disputing the undisputed facts detailed in the </w:t>
      </w:r>
      <w:r w:rsidRPr="0061592D">
        <w:rPr>
          <w:i/>
        </w:rPr>
        <w:t xml:space="preserve">Utah Referral Order </w:t>
      </w:r>
      <w:r w:rsidRPr="0061592D">
        <w:t>with the absence of any such limitation in the First Court Referral Order or the Second Court Referral Order giving rise to the instant litigation.  Staff appropriately exercised its discretion not to consolidate the cases.</w:t>
      </w:r>
      <w:r w:rsidRPr="00034270">
        <w:rPr>
          <w:rStyle w:val="FootnoteReference"/>
          <w:szCs w:val="22"/>
        </w:rPr>
        <w:footnoteReference w:id="99"/>
      </w:r>
      <w:r w:rsidR="003C2CB5" w:rsidRPr="0061592D">
        <w:t xml:space="preserve"> </w:t>
      </w:r>
      <w:bookmarkEnd w:id="8"/>
    </w:p>
    <w:p w:rsidR="00A507AF" w:rsidRPr="00034270" w:rsidRDefault="00A507AF" w:rsidP="00D33776">
      <w:pPr>
        <w:pStyle w:val="Heading1"/>
      </w:pPr>
      <w:r w:rsidRPr="00034270">
        <w:t>ordering clause</w:t>
      </w:r>
      <w:r w:rsidR="00E3320D">
        <w:t>S</w:t>
      </w:r>
    </w:p>
    <w:p w:rsidR="00A507AF" w:rsidRPr="00034270" w:rsidRDefault="00A507AF" w:rsidP="00630EF3">
      <w:pPr>
        <w:pStyle w:val="ParaNum"/>
        <w:keepNext/>
      </w:pPr>
      <w:r w:rsidRPr="00034270">
        <w:t>Accordingly, IT IS</w:t>
      </w:r>
      <w:r w:rsidR="00E051D5" w:rsidRPr="00034270">
        <w:t xml:space="preserve"> HEREBY </w:t>
      </w:r>
      <w:r w:rsidR="00CD7598" w:rsidRPr="00034270">
        <w:t xml:space="preserve">ORDERED, pursuant to </w:t>
      </w:r>
      <w:r w:rsidR="00CD7598" w:rsidRPr="0072337C">
        <w:t>S</w:t>
      </w:r>
      <w:r w:rsidRPr="0072337C">
        <w:t xml:space="preserve">ections </w:t>
      </w:r>
      <w:r w:rsidR="0072337C" w:rsidRPr="0072337C">
        <w:t>4(i), 4</w:t>
      </w:r>
      <w:r w:rsidR="0072337C">
        <w:t>(</w:t>
      </w:r>
      <w:r w:rsidR="0072337C" w:rsidRPr="0072337C">
        <w:t xml:space="preserve">j), </w:t>
      </w:r>
      <w:r w:rsidR="00E051D5" w:rsidRPr="0072337C">
        <w:t>201, 203, 208, and 405</w:t>
      </w:r>
      <w:r w:rsidRPr="00034270">
        <w:t xml:space="preserve"> of the Communications Act of 1934, as amended,</w:t>
      </w:r>
      <w:r w:rsidR="00E051D5" w:rsidRPr="00034270">
        <w:t xml:space="preserve"> 47 U.S.C. §§ </w:t>
      </w:r>
      <w:r w:rsidR="0072337C">
        <w:t xml:space="preserve">154(i), 154(j), </w:t>
      </w:r>
      <w:r w:rsidR="00E051D5" w:rsidRPr="00034270">
        <w:t>201, 203, 208, 405,</w:t>
      </w:r>
      <w:r w:rsidR="00CD7598" w:rsidRPr="00034270">
        <w:t xml:space="preserve"> and S</w:t>
      </w:r>
      <w:r w:rsidRPr="00034270">
        <w:t>ection 1.106</w:t>
      </w:r>
      <w:r w:rsidR="00E051D5" w:rsidRPr="00034270">
        <w:t xml:space="preserve"> of the Commission’s rules, 47 C.F.R. § 1.106</w:t>
      </w:r>
      <w:r w:rsidR="008E52EB" w:rsidRPr="00034270">
        <w:t>,</w:t>
      </w:r>
      <w:r w:rsidR="00E051D5" w:rsidRPr="00034270">
        <w:t xml:space="preserve"> </w:t>
      </w:r>
      <w:r w:rsidRPr="00034270">
        <w:t>that the Petition of A</w:t>
      </w:r>
      <w:r w:rsidR="00E051D5" w:rsidRPr="00034270">
        <w:t xml:space="preserve">ll American Telephone Co., </w:t>
      </w:r>
      <w:r w:rsidR="009D7E9D" w:rsidRPr="00034270">
        <w:t>Inc.</w:t>
      </w:r>
      <w:r w:rsidR="00E051D5" w:rsidRPr="00034270">
        <w:t xml:space="preserve">, e-Pinnacle Communications, Inc., and ChaseCom </w:t>
      </w:r>
      <w:r w:rsidR="009C7F96" w:rsidRPr="00034270">
        <w:t xml:space="preserve">for Reconsideration and Clarification </w:t>
      </w:r>
      <w:r w:rsidR="00E051D5" w:rsidRPr="00034270">
        <w:t>is DISMISSED</w:t>
      </w:r>
      <w:r w:rsidR="000E1BF8" w:rsidRPr="00034270">
        <w:t xml:space="preserve"> on procedural grounds</w:t>
      </w:r>
      <w:r w:rsidR="008E52EB" w:rsidRPr="00034270">
        <w:t xml:space="preserve"> and,</w:t>
      </w:r>
      <w:r w:rsidR="0074324E">
        <w:t xml:space="preserve"> as an independent and </w:t>
      </w:r>
      <w:r w:rsidR="008E52EB" w:rsidRPr="00034270">
        <w:t>alternative</w:t>
      </w:r>
      <w:r w:rsidR="0074324E">
        <w:t xml:space="preserve"> basis for this decision</w:t>
      </w:r>
      <w:r w:rsidR="008E52EB" w:rsidRPr="00034270">
        <w:t>, DENIED</w:t>
      </w:r>
      <w:r w:rsidR="00BC4A34" w:rsidRPr="00034270">
        <w:t xml:space="preserve"> for the reasons stated herein</w:t>
      </w:r>
      <w:r w:rsidRPr="00034270">
        <w:t>.</w:t>
      </w:r>
    </w:p>
    <w:p w:rsidR="006B2298" w:rsidRPr="00034270" w:rsidRDefault="006B2298" w:rsidP="006B2298">
      <w:pPr>
        <w:pStyle w:val="ParaNum"/>
        <w:keepNext/>
      </w:pPr>
      <w:r w:rsidRPr="00034270">
        <w:t xml:space="preserve">Accordingly, IT IS </w:t>
      </w:r>
      <w:r w:rsidRPr="00407ED0">
        <w:t xml:space="preserve">FURTHER </w:t>
      </w:r>
      <w:r w:rsidRPr="00034270">
        <w:t xml:space="preserve">ORDERED, pursuant to </w:t>
      </w:r>
      <w:r w:rsidRPr="0072337C">
        <w:t xml:space="preserve">Sections 4(i), 4(j), </w:t>
      </w:r>
      <w:r w:rsidR="007867E5">
        <w:t xml:space="preserve">and </w:t>
      </w:r>
      <w:r w:rsidRPr="0072337C">
        <w:t>208</w:t>
      </w:r>
      <w:r w:rsidRPr="00034270">
        <w:t xml:space="preserve"> of the Communications Act of 1934, as amended, 47 U.S.C. §§ 154(i), 154(j), 208, and Section</w:t>
      </w:r>
      <w:r>
        <w:t>s 1.41 and 1.727</w:t>
      </w:r>
      <w:r w:rsidRPr="00034270">
        <w:t xml:space="preserve"> of the Commission’s rules, 47 C.F.R. §</w:t>
      </w:r>
      <w:r>
        <w:t>§</w:t>
      </w:r>
      <w:r w:rsidRPr="00034270">
        <w:t xml:space="preserve"> 1.</w:t>
      </w:r>
      <w:r>
        <w:t>41, 1.727</w:t>
      </w:r>
      <w:r w:rsidRPr="00034270">
        <w:t xml:space="preserve">, that </w:t>
      </w:r>
      <w:r>
        <w:t>All American’s Emergency Motion to Address Jurisdictional and Due Process Issues is DENIED.</w:t>
      </w:r>
    </w:p>
    <w:p w:rsidR="00401E2E" w:rsidRPr="00407ED0" w:rsidRDefault="00401E2E" w:rsidP="00630EF3">
      <w:pPr>
        <w:pStyle w:val="ParaNum"/>
        <w:keepNext/>
      </w:pPr>
      <w:r w:rsidRPr="00034270">
        <w:t xml:space="preserve">Accordingly, IT IS </w:t>
      </w:r>
      <w:r w:rsidR="00407ED0">
        <w:t xml:space="preserve">FURTHER </w:t>
      </w:r>
      <w:r w:rsidRPr="00034270">
        <w:t xml:space="preserve">ORDERED, pursuant to </w:t>
      </w:r>
      <w:r w:rsidRPr="0072337C">
        <w:t xml:space="preserve">Sections 4(i), 4(j), </w:t>
      </w:r>
      <w:r w:rsidR="0072337C" w:rsidRPr="0072337C">
        <w:t xml:space="preserve">201, 203, </w:t>
      </w:r>
      <w:r w:rsidRPr="0072337C">
        <w:t>208, and 405</w:t>
      </w:r>
      <w:r w:rsidRPr="00034270">
        <w:t xml:space="preserve"> of the Communications Act of 1934, as amended, 47 U.S.C. §§ 154(i), 154(j), </w:t>
      </w:r>
      <w:r w:rsidR="00407ED0">
        <w:t xml:space="preserve">201, 203, </w:t>
      </w:r>
      <w:r w:rsidRPr="00034270">
        <w:t>208, 405, and Section 1.106 of the Commission’s rules, 47 C.F.R. § 1.106, that Beehive’s Petition for Reconsideration is DISMISSED.</w:t>
      </w:r>
    </w:p>
    <w:p w:rsidR="009A045E" w:rsidRDefault="009A045E" w:rsidP="00980651">
      <w:pPr>
        <w:keepNext/>
        <w:ind w:left="4320"/>
      </w:pPr>
    </w:p>
    <w:p w:rsidR="00A507AF" w:rsidRPr="00034270" w:rsidRDefault="00A507AF" w:rsidP="00980651">
      <w:pPr>
        <w:keepNext/>
        <w:ind w:left="4320"/>
      </w:pPr>
      <w:r w:rsidRPr="00034270">
        <w:t>FEDERAL COMMUNICATIONS COMMISSION</w:t>
      </w:r>
    </w:p>
    <w:p w:rsidR="00A507AF" w:rsidRPr="00034270" w:rsidRDefault="00A507AF" w:rsidP="00980651">
      <w:pPr>
        <w:keepNext/>
        <w:ind w:left="4320"/>
      </w:pPr>
    </w:p>
    <w:p w:rsidR="00980651" w:rsidRPr="00034270" w:rsidRDefault="00980651" w:rsidP="00980651">
      <w:pPr>
        <w:keepNext/>
        <w:ind w:left="4320"/>
      </w:pPr>
    </w:p>
    <w:p w:rsidR="00980651" w:rsidRPr="00034270" w:rsidRDefault="00980651" w:rsidP="00980651">
      <w:pPr>
        <w:keepNext/>
        <w:ind w:left="4320"/>
      </w:pPr>
    </w:p>
    <w:p w:rsidR="006E196D" w:rsidRPr="00034270" w:rsidRDefault="006E196D" w:rsidP="00980651">
      <w:pPr>
        <w:keepNext/>
        <w:ind w:left="4320"/>
      </w:pPr>
    </w:p>
    <w:p w:rsidR="00A507AF" w:rsidRPr="00034270" w:rsidRDefault="00AB0C05" w:rsidP="00980651">
      <w:pPr>
        <w:keepNext/>
        <w:ind w:left="4320"/>
      </w:pPr>
      <w:r w:rsidRPr="00034270">
        <w:t>Marlene H. Dortch</w:t>
      </w:r>
    </w:p>
    <w:p w:rsidR="00501A66" w:rsidRDefault="00AB0C05" w:rsidP="00980651">
      <w:pPr>
        <w:ind w:left="4320"/>
      </w:pPr>
      <w:r w:rsidRPr="00034270">
        <w:t>Secretary</w:t>
      </w:r>
    </w:p>
    <w:sectPr w:rsidR="00501A66" w:rsidSect="006A358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56" w:rsidRDefault="000E2256">
      <w:r>
        <w:separator/>
      </w:r>
    </w:p>
  </w:endnote>
  <w:endnote w:type="continuationSeparator" w:id="0">
    <w:p w:rsidR="000E2256" w:rsidRDefault="000E2256">
      <w:r>
        <w:continuationSeparator/>
      </w:r>
    </w:p>
  </w:endnote>
  <w:endnote w:type="continuationNotice" w:id="1">
    <w:p w:rsidR="000E2256" w:rsidRDefault="000E2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30" w:rsidRDefault="00853130" w:rsidP="00497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130" w:rsidRDefault="00853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30" w:rsidRPr="000738A1" w:rsidRDefault="00853130" w:rsidP="00497176">
    <w:pPr>
      <w:pStyle w:val="Footer"/>
      <w:framePr w:wrap="around" w:vAnchor="text" w:hAnchor="margin" w:xAlign="center" w:y="1"/>
      <w:rPr>
        <w:rStyle w:val="PageNumber"/>
        <w:szCs w:val="22"/>
      </w:rPr>
    </w:pPr>
    <w:r w:rsidRPr="000738A1">
      <w:rPr>
        <w:rStyle w:val="PageNumber"/>
        <w:szCs w:val="22"/>
      </w:rPr>
      <w:fldChar w:fldCharType="begin"/>
    </w:r>
    <w:r w:rsidRPr="000738A1">
      <w:rPr>
        <w:rStyle w:val="PageNumber"/>
        <w:szCs w:val="22"/>
      </w:rPr>
      <w:instrText xml:space="preserve">PAGE  </w:instrText>
    </w:r>
    <w:r w:rsidRPr="000738A1">
      <w:rPr>
        <w:rStyle w:val="PageNumber"/>
        <w:szCs w:val="22"/>
      </w:rPr>
      <w:fldChar w:fldCharType="separate"/>
    </w:r>
    <w:r w:rsidR="0020388B">
      <w:rPr>
        <w:rStyle w:val="PageNumber"/>
        <w:noProof/>
        <w:szCs w:val="22"/>
      </w:rPr>
      <w:t>13</w:t>
    </w:r>
    <w:r w:rsidRPr="000738A1">
      <w:rPr>
        <w:rStyle w:val="PageNumber"/>
        <w:szCs w:val="22"/>
      </w:rPr>
      <w:fldChar w:fldCharType="end"/>
    </w:r>
  </w:p>
  <w:p w:rsidR="00853130" w:rsidRDefault="0085313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E5" w:rsidRDefault="00E2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56" w:rsidRDefault="000E2256">
      <w:r>
        <w:separator/>
      </w:r>
    </w:p>
  </w:footnote>
  <w:footnote w:type="continuationSeparator" w:id="0">
    <w:p w:rsidR="000E2256" w:rsidRDefault="000E2256">
      <w:r w:rsidRPr="00F97AFA">
        <w:rPr>
          <w:sz w:val="20"/>
        </w:rPr>
        <w:t>(</w:t>
      </w:r>
      <w:r>
        <w:rPr>
          <w:sz w:val="20"/>
        </w:rPr>
        <w:t>C</w:t>
      </w:r>
      <w:r w:rsidRPr="00F97AFA">
        <w:rPr>
          <w:sz w:val="20"/>
        </w:rPr>
        <w:t>ontinued from previous page</w:t>
      </w:r>
      <w:r>
        <w:rPr>
          <w:sz w:val="20"/>
        </w:rPr>
        <w:t xml:space="preserve"> . . .</w:t>
      </w:r>
      <w:r w:rsidRPr="00F97AFA">
        <w:rPr>
          <w:sz w:val="20"/>
        </w:rPr>
        <w:t xml:space="preserve">) </w:t>
      </w:r>
      <w:r>
        <w:separator/>
      </w:r>
    </w:p>
  </w:footnote>
  <w:footnote w:type="continuationNotice" w:id="1">
    <w:p w:rsidR="000E2256" w:rsidRPr="00620312" w:rsidRDefault="000E2256" w:rsidP="00620312">
      <w:pPr>
        <w:jc w:val="right"/>
        <w:rPr>
          <w:sz w:val="20"/>
        </w:rPr>
      </w:pPr>
      <w:r w:rsidRPr="00620312">
        <w:rPr>
          <w:sz w:val="20"/>
        </w:rPr>
        <w:t>(continued . . .)</w:t>
      </w:r>
    </w:p>
    <w:p w:rsidR="000E2256" w:rsidRDefault="000E2256"/>
  </w:footnote>
  <w:footnote w:id="2">
    <w:p w:rsidR="00853130" w:rsidRPr="008D669A" w:rsidRDefault="00853130" w:rsidP="008D669A">
      <w:pPr>
        <w:pStyle w:val="FootnoteText"/>
      </w:pPr>
      <w:r w:rsidRPr="008D669A">
        <w:rPr>
          <w:rStyle w:val="FootnoteReference"/>
        </w:rPr>
        <w:footnoteRef/>
      </w:r>
      <w:r w:rsidRPr="008D669A">
        <w:t xml:space="preserve"> </w:t>
      </w:r>
      <w:r w:rsidRPr="008D669A">
        <w:rPr>
          <w:i/>
        </w:rPr>
        <w:t xml:space="preserve">See </w:t>
      </w:r>
      <w:r w:rsidRPr="008D669A">
        <w:t xml:space="preserve">Amended Formal Complaint of AT&amp;T Corp., File No. EB-09-MD-010 (filed Apr. 30, 2010) (Complaint); 47 U.S.C. § 208.  The litigation arises from </w:t>
      </w:r>
      <w:r>
        <w:t>two</w:t>
      </w:r>
      <w:r w:rsidRPr="008D669A">
        <w:t xml:space="preserve"> primary jurisdiction referral</w:t>
      </w:r>
      <w:r>
        <w:t>s</w:t>
      </w:r>
      <w:r w:rsidRPr="008D669A">
        <w:t xml:space="preserve"> from the United States District Court for the Southern District of New York (District Court).  </w:t>
      </w:r>
    </w:p>
  </w:footnote>
  <w:footnote w:id="3">
    <w:p w:rsidR="00853130" w:rsidRPr="008D669A" w:rsidRDefault="00853130" w:rsidP="008D669A">
      <w:pPr>
        <w:pStyle w:val="FootnoteText"/>
        <w:rPr>
          <w:b/>
        </w:rPr>
      </w:pPr>
      <w:r w:rsidRPr="008D669A">
        <w:rPr>
          <w:rStyle w:val="FootnoteReference"/>
        </w:rPr>
        <w:footnoteRef/>
      </w:r>
      <w:r w:rsidRPr="008D669A">
        <w:t xml:space="preserve"> </w:t>
      </w:r>
      <w:r w:rsidRPr="008D669A">
        <w:rPr>
          <w:i/>
        </w:rPr>
        <w:t>AT&amp;T Corp. v.</w:t>
      </w:r>
      <w:r w:rsidRPr="008D669A">
        <w:t xml:space="preserve"> </w:t>
      </w:r>
      <w:r w:rsidRPr="008D669A">
        <w:rPr>
          <w:i/>
        </w:rPr>
        <w:t>All Am. Tel. Co.</w:t>
      </w:r>
      <w:r w:rsidRPr="008D669A">
        <w:t>,</w:t>
      </w:r>
      <w:r w:rsidRPr="008D669A">
        <w:rPr>
          <w:i/>
        </w:rPr>
        <w:t xml:space="preserve"> </w:t>
      </w:r>
      <w:r w:rsidRPr="008D669A">
        <w:t>Memorandum Opinion and Order, 28 FCC Rcd 3477 (2013) (</w:t>
      </w:r>
      <w:r w:rsidRPr="008D669A">
        <w:rPr>
          <w:i/>
        </w:rPr>
        <w:t>Order</w:t>
      </w:r>
      <w:r w:rsidRPr="008D669A">
        <w:t>).  AT&amp;T elected to bifurcate the claims in Count III of its Complaint into a supplemental complaint for damages in accordance with 47 C.F.R. §</w:t>
      </w:r>
      <w:r>
        <w:t>§</w:t>
      </w:r>
      <w:r w:rsidRPr="008D669A">
        <w:t xml:space="preserve"> 1.722(d)–(e).  </w:t>
      </w:r>
      <w:r w:rsidRPr="008D669A">
        <w:rPr>
          <w:i/>
        </w:rPr>
        <w:t>Id</w:t>
      </w:r>
      <w:r w:rsidRPr="008D669A">
        <w:t>. at 3477, n.4; 3497, para. 45.</w:t>
      </w:r>
    </w:p>
  </w:footnote>
  <w:footnote w:id="4">
    <w:p w:rsidR="00853130" w:rsidRPr="008D669A" w:rsidRDefault="00853130" w:rsidP="008D669A">
      <w:pPr>
        <w:pStyle w:val="FootnoteText"/>
      </w:pPr>
      <w:r w:rsidRPr="008D669A">
        <w:rPr>
          <w:rStyle w:val="FootnoteReference"/>
        </w:rPr>
        <w:footnoteRef/>
      </w:r>
      <w:r w:rsidRPr="008D669A">
        <w:t xml:space="preserve"> Petition for Reconsideration and Clarification of All American Telephone Co., Inc., e-Pinnacle Communications, Inc., and ChaseCom, File No. EB-09-MD-010 (filed Apr. 24, 2013) (Petition); </w:t>
      </w:r>
      <w:r w:rsidRPr="008D669A">
        <w:rPr>
          <w:i/>
        </w:rPr>
        <w:t>see also</w:t>
      </w:r>
      <w:r w:rsidRPr="008D669A">
        <w:t xml:space="preserve"> Opposition of AT&amp;T Corp. to Defendants’ Petition for Reconsideration, File No. EB-09-MD-010 (filed May 6, 2013); Reply of All American Telephone Co., Inc., e-Pinnacle Communications, Inc., and ChaseCom in Support of Their Petition for Reconsideration and Clarification, File No. EB-09-MD-010 (filed May 13, 2013) (Reply).</w:t>
      </w:r>
    </w:p>
  </w:footnote>
  <w:footnote w:id="5">
    <w:p w:rsidR="00853130" w:rsidRPr="008D669A" w:rsidRDefault="00853130" w:rsidP="008D669A">
      <w:pPr>
        <w:pStyle w:val="FootnoteText"/>
      </w:pPr>
      <w:r w:rsidRPr="008D669A">
        <w:rPr>
          <w:rStyle w:val="FootnoteReference"/>
        </w:rPr>
        <w:footnoteRef/>
      </w:r>
      <w:r w:rsidRPr="008D669A">
        <w:t xml:space="preserve"> 47 C.F.R. § 1.106.  </w:t>
      </w:r>
    </w:p>
  </w:footnote>
  <w:footnote w:id="6">
    <w:p w:rsidR="00853130" w:rsidRPr="008D669A" w:rsidRDefault="00853130" w:rsidP="008D669A">
      <w:pPr>
        <w:pStyle w:val="FootnoteText"/>
      </w:pPr>
      <w:r w:rsidRPr="008D669A">
        <w:rPr>
          <w:rStyle w:val="FootnoteReference"/>
        </w:rPr>
        <w:footnoteRef/>
      </w:r>
      <w:r w:rsidRPr="008D669A">
        <w:t xml:space="preserve"> Petition for Reconsideration, File No. EB-09-MD-010 (filed Apr. 24, 2013) (Beehive Petition); </w:t>
      </w:r>
      <w:r w:rsidRPr="008D669A">
        <w:rPr>
          <w:i/>
        </w:rPr>
        <w:t>see also</w:t>
      </w:r>
      <w:r w:rsidRPr="008D669A">
        <w:t xml:space="preserve"> Opposition of AT&amp;T Corp. to Beehive Telephone Co., Inc.’s Petition for Reconsideration, File No. EB-09-MD-010 (filed May 6, 2013); Reply to Opposition to Petition for Reconsideration, File No. EB-09-MD-010 (filed May 13, 2013) (Beehive Reply).</w:t>
      </w:r>
    </w:p>
  </w:footnote>
  <w:footnote w:id="7">
    <w:p w:rsidR="00853130" w:rsidRPr="008D669A" w:rsidRDefault="00853130" w:rsidP="008D669A">
      <w:pPr>
        <w:pStyle w:val="FootnoteText"/>
      </w:pPr>
      <w:r w:rsidRPr="008D669A">
        <w:rPr>
          <w:rStyle w:val="FootnoteReference"/>
        </w:rPr>
        <w:footnoteRef/>
      </w:r>
      <w:r w:rsidRPr="008D669A">
        <w:t xml:space="preserve"> This is an abridged description of the factual and legal background.  The </w:t>
      </w:r>
      <w:r w:rsidRPr="008D669A">
        <w:rPr>
          <w:i/>
        </w:rPr>
        <w:t xml:space="preserve">Order </w:t>
      </w:r>
      <w:r w:rsidRPr="008D669A">
        <w:t xml:space="preserve">contains a more complete discussion of the background, which is incorporated herein by reference.  </w:t>
      </w:r>
      <w:r w:rsidRPr="008D669A">
        <w:rPr>
          <w:i/>
        </w:rPr>
        <w:t>See Order</w:t>
      </w:r>
      <w:r w:rsidRPr="008D669A">
        <w:t>,</w:t>
      </w:r>
      <w:r w:rsidRPr="008D669A">
        <w:rPr>
          <w:i/>
        </w:rPr>
        <w:t xml:space="preserve"> </w:t>
      </w:r>
      <w:r w:rsidRPr="008D669A">
        <w:t>28 FCC Rcd at 3478–87, paras. 2–23.</w:t>
      </w:r>
    </w:p>
  </w:footnote>
  <w:footnote w:id="8">
    <w:p w:rsidR="00853130" w:rsidRPr="008D669A" w:rsidRDefault="00853130" w:rsidP="008D669A">
      <w:pPr>
        <w:pStyle w:val="FootnoteText"/>
      </w:pPr>
      <w:r w:rsidRPr="008D669A">
        <w:rPr>
          <w:rStyle w:val="FootnoteReference"/>
        </w:rPr>
        <w:footnoteRef/>
      </w:r>
      <w:r w:rsidRPr="008D669A">
        <w:t xml:space="preserve"> </w:t>
      </w:r>
      <w:r w:rsidRPr="008D669A">
        <w:rPr>
          <w:i/>
        </w:rPr>
        <w:t>Id.</w:t>
      </w:r>
      <w:r w:rsidRPr="008D669A">
        <w:t xml:space="preserve"> at 3486–87, para. 22. </w:t>
      </w:r>
    </w:p>
  </w:footnote>
  <w:footnote w:id="9">
    <w:p w:rsidR="00853130" w:rsidRPr="008D669A" w:rsidRDefault="00853130" w:rsidP="008D669A">
      <w:pPr>
        <w:pStyle w:val="FootnoteText"/>
        <w:rPr>
          <w:i/>
        </w:rPr>
      </w:pPr>
      <w:r w:rsidRPr="008D669A">
        <w:rPr>
          <w:rStyle w:val="FootnoteReference"/>
        </w:rPr>
        <w:footnoteRef/>
      </w:r>
      <w:r w:rsidRPr="008D669A">
        <w:t xml:space="preserve"> </w:t>
      </w:r>
      <w:r w:rsidRPr="008D669A">
        <w:rPr>
          <w:i/>
        </w:rPr>
        <w:t>Id</w:t>
      </w:r>
      <w:r w:rsidRPr="008D669A">
        <w:t>.</w:t>
      </w:r>
    </w:p>
  </w:footnote>
  <w:footnote w:id="10">
    <w:p w:rsidR="00853130" w:rsidRPr="008D669A" w:rsidRDefault="00853130" w:rsidP="008D669A">
      <w:pPr>
        <w:pStyle w:val="FootnoteText"/>
      </w:pPr>
      <w:r w:rsidRPr="008D669A">
        <w:rPr>
          <w:rStyle w:val="FootnoteReference"/>
        </w:rPr>
        <w:footnoteRef/>
      </w:r>
      <w:r w:rsidRPr="008D669A">
        <w:t xml:space="preserve"> </w:t>
      </w:r>
      <w:r w:rsidRPr="008D669A">
        <w:rPr>
          <w:i/>
        </w:rPr>
        <w:t>Id</w:t>
      </w:r>
      <w:r w:rsidRPr="008D669A">
        <w:t>.</w:t>
      </w:r>
    </w:p>
  </w:footnote>
  <w:footnote w:id="11">
    <w:p w:rsidR="00853130" w:rsidRPr="008D669A" w:rsidRDefault="00853130" w:rsidP="008D669A">
      <w:pPr>
        <w:pStyle w:val="FootnoteText"/>
      </w:pPr>
      <w:r w:rsidRPr="008D669A">
        <w:rPr>
          <w:rStyle w:val="FootnoteReference"/>
        </w:rPr>
        <w:footnoteRef/>
      </w:r>
      <w:r w:rsidRPr="008D669A">
        <w:t xml:space="preserve"> </w:t>
      </w:r>
      <w:r w:rsidRPr="008D669A">
        <w:rPr>
          <w:i/>
        </w:rPr>
        <w:t>All Am. Tel. Co., Inc. v. AT&amp;T, Inc.</w:t>
      </w:r>
      <w:r w:rsidRPr="008D669A">
        <w:t>, Memorandum &amp; Order, 07-Civ 861, 2009 WL 691325 (WHP) (Mar. 16, 2009) (First Court Referral Order).</w:t>
      </w:r>
    </w:p>
  </w:footnote>
  <w:footnote w:id="12">
    <w:p w:rsidR="00853130" w:rsidRPr="008D669A" w:rsidRDefault="00853130" w:rsidP="008D669A">
      <w:pPr>
        <w:pStyle w:val="FootnoteText"/>
      </w:pPr>
      <w:r w:rsidRPr="008D669A">
        <w:rPr>
          <w:rStyle w:val="FootnoteReference"/>
        </w:rPr>
        <w:footnoteRef/>
      </w:r>
      <w:r w:rsidRPr="008D669A">
        <w:t xml:space="preserve"> </w:t>
      </w:r>
      <w:r w:rsidRPr="008D669A">
        <w:rPr>
          <w:i/>
        </w:rPr>
        <w:t>Order</w:t>
      </w:r>
      <w:r w:rsidRPr="008D669A">
        <w:t xml:space="preserve">, 28 FCC Rcd at 3487, para. 23.  </w:t>
      </w:r>
      <w:r w:rsidRPr="008D669A">
        <w:rPr>
          <w:i/>
        </w:rPr>
        <w:t xml:space="preserve">See </w:t>
      </w:r>
      <w:r w:rsidRPr="008D669A">
        <w:t xml:space="preserve">Formal Complaint of AT&amp;T, File No. EB-09-MD-010 (filed Nov. 16, 2009).  </w:t>
      </w:r>
    </w:p>
  </w:footnote>
  <w:footnote w:id="13">
    <w:p w:rsidR="00853130" w:rsidRPr="008D669A" w:rsidRDefault="00853130" w:rsidP="008D669A">
      <w:pPr>
        <w:pStyle w:val="FootnoteText"/>
        <w:rPr>
          <w:b/>
        </w:rPr>
      </w:pPr>
      <w:r w:rsidRPr="008D669A">
        <w:rPr>
          <w:rStyle w:val="FootnoteReference"/>
        </w:rPr>
        <w:footnoteRef/>
      </w:r>
      <w:r w:rsidRPr="008D669A">
        <w:t xml:space="preserve"> </w:t>
      </w:r>
      <w:r w:rsidRPr="008D669A">
        <w:rPr>
          <w:i/>
        </w:rPr>
        <w:t>All Am. Tel. Co., Inc., et al. v. AT&amp;T, Inc.</w:t>
      </w:r>
      <w:r w:rsidRPr="008D669A">
        <w:t xml:space="preserve">, Order Referring Issues to the Federal Communications Commission, 07-Civ 861, (WHP) (Feb. 5, 2010) (Second Court Referral Order).  </w:t>
      </w:r>
      <w:r w:rsidRPr="008D669A">
        <w:rPr>
          <w:i/>
        </w:rPr>
        <w:t>See also All Am.</w:t>
      </w:r>
      <w:r>
        <w:rPr>
          <w:i/>
        </w:rPr>
        <w:t xml:space="preserve"> </w:t>
      </w:r>
      <w:r w:rsidRPr="008D669A">
        <w:rPr>
          <w:i/>
        </w:rPr>
        <w:t>Tel. Co., Inc., et al. v. AT&amp;T, Inc.</w:t>
      </w:r>
      <w:r w:rsidRPr="008D669A">
        <w:t xml:space="preserve">, Memorandum &amp; Order, 07-Civ 861, </w:t>
      </w:r>
      <w:r w:rsidRPr="008D669A">
        <w:rPr>
          <w:color w:val="000000"/>
        </w:rPr>
        <w:t>2010 WL 7526933</w:t>
      </w:r>
      <w:r w:rsidRPr="008D669A">
        <w:t xml:space="preserve"> (Jan. 19, 2010) (Second Court Referral Memorandum Opinion).  </w:t>
      </w:r>
    </w:p>
  </w:footnote>
  <w:footnote w:id="14">
    <w:p w:rsidR="00853130" w:rsidRPr="008D669A" w:rsidRDefault="00853130" w:rsidP="008D669A">
      <w:pPr>
        <w:pStyle w:val="FootnoteText"/>
        <w:rPr>
          <w:b/>
          <w:i/>
        </w:rPr>
      </w:pPr>
      <w:r w:rsidRPr="008D669A">
        <w:rPr>
          <w:rStyle w:val="FootnoteReference"/>
        </w:rPr>
        <w:footnoteRef/>
      </w:r>
      <w:r w:rsidRPr="008D669A">
        <w:t xml:space="preserve"> </w:t>
      </w:r>
      <w:r w:rsidRPr="008D669A">
        <w:rPr>
          <w:i/>
        </w:rPr>
        <w:t>Order</w:t>
      </w:r>
      <w:r w:rsidRPr="008D669A">
        <w:t xml:space="preserve">, 28 FCC Rcd at 3486–87, para. 23.  </w:t>
      </w:r>
      <w:r w:rsidRPr="008D669A">
        <w:rPr>
          <w:i/>
        </w:rPr>
        <w:t>See</w:t>
      </w:r>
      <w:r w:rsidRPr="008D669A">
        <w:t xml:space="preserve"> Letter Ruling from Lisa B. Griffin, Deputy Division Chief, EB, MDRD, to James F. Bendernagel, Jr., Counsel for AT&amp;T, and Jonathan Canis, Counsel for Defendants, File No. EB-09-MD-010 (filed Apr. 2, 2010).  At the same time, the Defendants filed their own formal complaint to effectuate the remaining issues in the Second Court Referral Order, which the Commission has already resolved.  </w:t>
      </w:r>
      <w:r w:rsidRPr="008D669A">
        <w:rPr>
          <w:i/>
        </w:rPr>
        <w:t xml:space="preserve"> See All Am. Tel. Co.</w:t>
      </w:r>
      <w:r>
        <w:rPr>
          <w:i/>
        </w:rPr>
        <w:t xml:space="preserve"> </w:t>
      </w:r>
      <w:r w:rsidRPr="008D669A">
        <w:rPr>
          <w:i/>
        </w:rPr>
        <w:t>v. AT&amp;T Corp.</w:t>
      </w:r>
      <w:r w:rsidRPr="008D669A">
        <w:t>, Memorandum Opinion and Order, 26 FCC Rcd 723 (2011) (</w:t>
      </w:r>
      <w:r w:rsidRPr="008D669A">
        <w:rPr>
          <w:i/>
        </w:rPr>
        <w:t>All American v. AT&amp;T</w:t>
      </w:r>
      <w:r w:rsidRPr="008D669A">
        <w:t xml:space="preserve">), </w:t>
      </w:r>
      <w:r w:rsidRPr="008D669A">
        <w:rPr>
          <w:i/>
        </w:rPr>
        <w:t>recon. denied</w:t>
      </w:r>
      <w:r w:rsidRPr="008D669A">
        <w:t>, 28 FCC Rcd 3469 (2013) (</w:t>
      </w:r>
      <w:r w:rsidRPr="008D669A">
        <w:rPr>
          <w:i/>
        </w:rPr>
        <w:t>All American v. AT&amp;T Recon. Order</w:t>
      </w:r>
      <w:r w:rsidRPr="008D669A">
        <w:t>).</w:t>
      </w:r>
    </w:p>
  </w:footnote>
  <w:footnote w:id="15">
    <w:p w:rsidR="00853130" w:rsidRPr="008D669A" w:rsidRDefault="00853130" w:rsidP="008D669A">
      <w:pPr>
        <w:pStyle w:val="FootnoteText"/>
      </w:pPr>
      <w:r w:rsidRPr="008D669A">
        <w:rPr>
          <w:rStyle w:val="FootnoteReference"/>
        </w:rPr>
        <w:footnoteRef/>
      </w:r>
      <w:r w:rsidRPr="008D669A">
        <w:t xml:space="preserve"> </w:t>
      </w:r>
      <w:r w:rsidRPr="008D669A">
        <w:rPr>
          <w:i/>
        </w:rPr>
        <w:t>Order</w:t>
      </w:r>
      <w:r w:rsidRPr="008D669A">
        <w:t>, 2</w:t>
      </w:r>
      <w:r>
        <w:t>8</w:t>
      </w:r>
      <w:r w:rsidRPr="008D669A">
        <w:t xml:space="preserve"> FCC Rcd at 3497, para. 44.</w:t>
      </w:r>
      <w:r w:rsidRPr="008D669A">
        <w:rPr>
          <w:i/>
        </w:rPr>
        <w:t xml:space="preserve">  </w:t>
      </w:r>
      <w:r w:rsidRPr="008D669A">
        <w:t xml:space="preserve">Count I of AT&amp;T’s Complaint effectuates Issues 1a to 1e of the Second Court Referral Order, and Count II effectuates the issues in the First Court Referral Order.  Count III, which AT&amp;T bifurcated into a supplemental complaint for damages, effectuates issues 2, 3, 5a, 5c, 5d, and 5e of the Second Court Referral Order.  </w:t>
      </w:r>
      <w:r w:rsidRPr="008D669A">
        <w:rPr>
          <w:i/>
        </w:rPr>
        <w:t>See id</w:t>
      </w:r>
      <w:r w:rsidRPr="00A41773">
        <w:t>.</w:t>
      </w:r>
      <w:r w:rsidRPr="008D669A">
        <w:rPr>
          <w:i/>
        </w:rPr>
        <w:t xml:space="preserve"> </w:t>
      </w:r>
      <w:r w:rsidRPr="008D669A">
        <w:t>at 3487, nn.98–99.</w:t>
      </w:r>
    </w:p>
  </w:footnote>
  <w:footnote w:id="16">
    <w:p w:rsidR="00853130" w:rsidRPr="008D669A" w:rsidRDefault="00853130" w:rsidP="008D669A">
      <w:pPr>
        <w:pStyle w:val="FootnoteText"/>
      </w:pPr>
      <w:r w:rsidRPr="008D669A">
        <w:rPr>
          <w:rStyle w:val="FootnoteReference"/>
        </w:rPr>
        <w:footnoteRef/>
      </w:r>
      <w:r w:rsidRPr="008D669A">
        <w:t xml:space="preserve"> </w:t>
      </w:r>
      <w:r w:rsidRPr="008D669A">
        <w:rPr>
          <w:i/>
        </w:rPr>
        <w:t>Order</w:t>
      </w:r>
      <w:r w:rsidRPr="008D669A">
        <w:t xml:space="preserve">, 28 FCC Rcd at 3487–92, paras. 24–33.  The Commission did not base its conclusions, as Defendants contend, on a “single finding-that the rates that the [Defendants] billed and sought to collect are excessive.”  </w:t>
      </w:r>
      <w:r w:rsidRPr="008D669A">
        <w:rPr>
          <w:i/>
        </w:rPr>
        <w:t>See</w:t>
      </w:r>
      <w:r w:rsidRPr="008D669A">
        <w:t xml:space="preserve"> Petition at 9, 12–13.  </w:t>
      </w:r>
    </w:p>
  </w:footnote>
  <w:footnote w:id="17">
    <w:p w:rsidR="00853130" w:rsidRPr="008D669A" w:rsidRDefault="00853130" w:rsidP="008D669A">
      <w:pPr>
        <w:pStyle w:val="FootnoteText"/>
        <w:rPr>
          <w:i/>
        </w:rPr>
      </w:pPr>
      <w:r w:rsidRPr="008D669A">
        <w:rPr>
          <w:rStyle w:val="FootnoteReference"/>
        </w:rPr>
        <w:footnoteRef/>
      </w:r>
      <w:r w:rsidRPr="008D669A">
        <w:t xml:space="preserve"> </w:t>
      </w:r>
      <w:r w:rsidRPr="008D669A">
        <w:rPr>
          <w:i/>
        </w:rPr>
        <w:t>Order</w:t>
      </w:r>
      <w:r w:rsidRPr="008D669A">
        <w:t>, 28 FCC Rcd at 3492–95, paras. 34–41.</w:t>
      </w:r>
    </w:p>
  </w:footnote>
  <w:footnote w:id="18">
    <w:p w:rsidR="00853130" w:rsidRPr="008D669A" w:rsidRDefault="00853130" w:rsidP="008D669A">
      <w:pPr>
        <w:pStyle w:val="FootnoteText"/>
      </w:pPr>
      <w:r w:rsidRPr="008D669A">
        <w:rPr>
          <w:rStyle w:val="FootnoteReference"/>
        </w:rPr>
        <w:footnoteRef/>
      </w:r>
      <w:r w:rsidRPr="008D669A">
        <w:t xml:space="preserve"> </w:t>
      </w:r>
      <w:r w:rsidRPr="008D669A">
        <w:rPr>
          <w:i/>
          <w:iCs/>
        </w:rPr>
        <w:t>Compare</w:t>
      </w:r>
      <w:r w:rsidRPr="008D669A">
        <w:t xml:space="preserve"> Petition at 4–9, </w:t>
      </w:r>
      <w:r w:rsidRPr="008D669A">
        <w:rPr>
          <w:i/>
          <w:iCs/>
        </w:rPr>
        <w:t>with Order</w:t>
      </w:r>
      <w:r w:rsidRPr="008D669A">
        <w:t xml:space="preserve">, 28 FCC Rcd at 3497, para. 43, n.190.    </w:t>
      </w:r>
    </w:p>
  </w:footnote>
  <w:footnote w:id="19">
    <w:p w:rsidR="00853130" w:rsidRPr="008D669A" w:rsidRDefault="00853130" w:rsidP="008D669A">
      <w:pPr>
        <w:pStyle w:val="FootnoteText"/>
      </w:pPr>
      <w:r w:rsidRPr="008D669A">
        <w:rPr>
          <w:rStyle w:val="FootnoteReference"/>
        </w:rPr>
        <w:footnoteRef/>
      </w:r>
      <w:r w:rsidRPr="008D669A">
        <w:t xml:space="preserve"> </w:t>
      </w:r>
      <w:r w:rsidRPr="008D669A">
        <w:rPr>
          <w:i/>
          <w:iCs/>
        </w:rPr>
        <w:t>Compare</w:t>
      </w:r>
      <w:r w:rsidRPr="008D669A">
        <w:t xml:space="preserve"> Petition at</w:t>
      </w:r>
      <w:r>
        <w:t xml:space="preserve"> 8-</w:t>
      </w:r>
      <w:r w:rsidRPr="008D669A">
        <w:t xml:space="preserve">9, </w:t>
      </w:r>
      <w:r w:rsidRPr="008D669A">
        <w:rPr>
          <w:i/>
        </w:rPr>
        <w:t xml:space="preserve">with </w:t>
      </w:r>
      <w:r w:rsidRPr="008D669A">
        <w:rPr>
          <w:i/>
          <w:iCs/>
        </w:rPr>
        <w:t>Order</w:t>
      </w:r>
      <w:r w:rsidRPr="008D669A">
        <w:t xml:space="preserve">, 28 FCC Rcd at 3496, para. 42, n.183.  </w:t>
      </w:r>
      <w:r w:rsidRPr="008D669A">
        <w:rPr>
          <w:i/>
        </w:rPr>
        <w:t xml:space="preserve">See </w:t>
      </w:r>
      <w:r w:rsidRPr="008D669A">
        <w:t>Request for Declaratory Ruling In Response to Recent Order by Southern District of New York re Primary Jurisdiction Referral In File No. EB-09-MD-010 (filed Mar. 15, 2012) (March 15</w:t>
      </w:r>
      <w:r w:rsidRPr="008D669A">
        <w:rPr>
          <w:vertAlign w:val="superscript"/>
        </w:rPr>
        <w:t>th</w:t>
      </w:r>
      <w:r w:rsidRPr="008D669A">
        <w:t xml:space="preserve"> Request for Declaratory Ruling). </w:t>
      </w:r>
    </w:p>
  </w:footnote>
  <w:footnote w:id="20">
    <w:p w:rsidR="00853130" w:rsidRPr="008D669A" w:rsidRDefault="00853130" w:rsidP="008D669A">
      <w:pPr>
        <w:pStyle w:val="FootnoteText"/>
      </w:pPr>
      <w:r w:rsidRPr="008D669A">
        <w:rPr>
          <w:rStyle w:val="FootnoteReference"/>
        </w:rPr>
        <w:footnoteRef/>
      </w:r>
      <w:r w:rsidRPr="008D669A">
        <w:t xml:space="preserve"> </w:t>
      </w:r>
      <w:r w:rsidRPr="008D669A">
        <w:rPr>
          <w:i/>
          <w:iCs/>
        </w:rPr>
        <w:t>Compare</w:t>
      </w:r>
      <w:r w:rsidRPr="008D669A">
        <w:t xml:space="preserve"> Petition at 9–13, 18; Reply at 1–2, </w:t>
      </w:r>
      <w:r w:rsidRPr="008D669A">
        <w:rPr>
          <w:i/>
          <w:iCs/>
        </w:rPr>
        <w:t>with Order</w:t>
      </w:r>
      <w:r w:rsidRPr="008D669A">
        <w:t xml:space="preserve">, 28 FCC Rcd at 3492, para. 33, nn.143–45.  </w:t>
      </w:r>
    </w:p>
  </w:footnote>
  <w:footnote w:id="21">
    <w:p w:rsidR="00853130" w:rsidRPr="008D669A" w:rsidRDefault="00853130" w:rsidP="008D669A">
      <w:pPr>
        <w:pStyle w:val="FootnoteText"/>
      </w:pPr>
      <w:r w:rsidRPr="008D669A">
        <w:rPr>
          <w:rStyle w:val="FootnoteReference"/>
        </w:rPr>
        <w:footnoteRef/>
      </w:r>
      <w:r w:rsidRPr="008D669A">
        <w:t xml:space="preserve"> </w:t>
      </w:r>
      <w:r w:rsidRPr="008D669A">
        <w:rPr>
          <w:i/>
          <w:iCs/>
        </w:rPr>
        <w:t>Compare</w:t>
      </w:r>
      <w:r w:rsidRPr="008D669A">
        <w:t xml:space="preserve"> Petition at 11–12, </w:t>
      </w:r>
      <w:r w:rsidRPr="008D669A">
        <w:rPr>
          <w:i/>
          <w:iCs/>
        </w:rPr>
        <w:t>with Order</w:t>
      </w:r>
      <w:r w:rsidRPr="008D669A">
        <w:t xml:space="preserve">, 28 FCC Rcd at 3491–92, para. 31, nn.137–39.  </w:t>
      </w:r>
    </w:p>
  </w:footnote>
  <w:footnote w:id="22">
    <w:p w:rsidR="00853130" w:rsidRPr="008D669A" w:rsidRDefault="00853130" w:rsidP="008D669A">
      <w:pPr>
        <w:pStyle w:val="FootnoteText"/>
      </w:pPr>
      <w:r w:rsidRPr="008D669A">
        <w:rPr>
          <w:rStyle w:val="FootnoteReference"/>
        </w:rPr>
        <w:footnoteRef/>
      </w:r>
      <w:r w:rsidRPr="008D669A">
        <w:t xml:space="preserve"> </w:t>
      </w:r>
      <w:r w:rsidRPr="008D669A">
        <w:rPr>
          <w:i/>
          <w:iCs/>
        </w:rPr>
        <w:t>Compare</w:t>
      </w:r>
      <w:r w:rsidRPr="008D669A">
        <w:t xml:space="preserve"> Petition at 12</w:t>
      </w:r>
      <w:r>
        <w:t>-13</w:t>
      </w:r>
      <w:r w:rsidRPr="008D669A">
        <w:t xml:space="preserve">, </w:t>
      </w:r>
      <w:r w:rsidRPr="008D669A">
        <w:rPr>
          <w:i/>
          <w:iCs/>
        </w:rPr>
        <w:t>with Order</w:t>
      </w:r>
      <w:r w:rsidRPr="008D669A">
        <w:t>, 28 FCC Rcd at 3496–97, paras. 42–43, n.186–90</w:t>
      </w:r>
      <w:r>
        <w:t xml:space="preserve"> (endorsing Bureau analysis).</w:t>
      </w:r>
      <w:r w:rsidRPr="008D669A">
        <w:t xml:space="preserve">  </w:t>
      </w:r>
      <w:r>
        <w:rPr>
          <w:i/>
        </w:rPr>
        <w:t xml:space="preserve">See </w:t>
      </w:r>
      <w:r w:rsidRPr="0026763A">
        <w:t>Letter from Lisa B. Griffin, Deputy Division Chief, EB/MDRD to Jonathan Canis, Counsel for All American, and James F. Bendernagel, Jr., Counsel for AT&amp;T, File No. EB-09-MD-010 (filed Sept. 2, 2010)</w:t>
      </w:r>
      <w:r>
        <w:t>.</w:t>
      </w:r>
    </w:p>
  </w:footnote>
  <w:footnote w:id="23">
    <w:p w:rsidR="00853130" w:rsidRPr="008D669A" w:rsidRDefault="00853130" w:rsidP="008D669A">
      <w:pPr>
        <w:pStyle w:val="FootnoteText"/>
      </w:pPr>
      <w:r w:rsidRPr="008D669A">
        <w:rPr>
          <w:rStyle w:val="FootnoteReference"/>
        </w:rPr>
        <w:footnoteRef/>
      </w:r>
      <w:r w:rsidRPr="008D669A">
        <w:t xml:space="preserve"> </w:t>
      </w:r>
      <w:r w:rsidRPr="008D669A">
        <w:rPr>
          <w:i/>
          <w:iCs/>
        </w:rPr>
        <w:t>Compare</w:t>
      </w:r>
      <w:r w:rsidRPr="008D669A">
        <w:t xml:space="preserve"> Petition at 13–16, </w:t>
      </w:r>
      <w:r w:rsidRPr="008D669A">
        <w:rPr>
          <w:i/>
          <w:iCs/>
        </w:rPr>
        <w:t>with Order</w:t>
      </w:r>
      <w:r w:rsidRPr="008D669A">
        <w:t>, 28 FCC Rcd at 3496–97, paras. 42–43, nn.18</w:t>
      </w:r>
      <w:r>
        <w:t xml:space="preserve">2–83, 189 (endorsing Bureau analysis).  </w:t>
      </w:r>
      <w:r>
        <w:rPr>
          <w:i/>
        </w:rPr>
        <w:t xml:space="preserve">See </w:t>
      </w:r>
      <w:r>
        <w:t xml:space="preserve"> </w:t>
      </w:r>
      <w:r w:rsidRPr="0026763A">
        <w:t>Letter from Lisa B. Griffin, Deputy Division Chief, EB/MDRD to Jonathan Canis, Counsel for All American, and James F. Bendernagel, Jr., Counsel for AT&amp;T, File No. EB-09-MD-010 (filed Apr. 27, 2010) (concluding that “relevant factors of law, policy, and practicality” supported the procedural rulings).</w:t>
      </w:r>
      <w:r w:rsidRPr="008D669A">
        <w:t xml:space="preserve">  </w:t>
      </w:r>
    </w:p>
  </w:footnote>
  <w:footnote w:id="24">
    <w:p w:rsidR="00853130" w:rsidRPr="008D669A" w:rsidRDefault="00853130" w:rsidP="008D669A">
      <w:pPr>
        <w:pStyle w:val="FootnoteText"/>
      </w:pPr>
      <w:r w:rsidRPr="008D669A">
        <w:rPr>
          <w:rStyle w:val="FootnoteReference"/>
        </w:rPr>
        <w:footnoteRef/>
      </w:r>
      <w:r w:rsidRPr="008D669A">
        <w:t xml:space="preserve"> </w:t>
      </w:r>
      <w:r>
        <w:rPr>
          <w:i/>
          <w:iCs/>
        </w:rPr>
        <w:t>Id.</w:t>
      </w:r>
      <w:r w:rsidRPr="008D669A">
        <w:t xml:space="preserve">  </w:t>
      </w:r>
    </w:p>
  </w:footnote>
  <w:footnote w:id="25">
    <w:p w:rsidR="00853130" w:rsidRPr="008D669A" w:rsidRDefault="00853130" w:rsidP="008D669A">
      <w:pPr>
        <w:pStyle w:val="FootnoteText"/>
      </w:pPr>
      <w:r w:rsidRPr="008D669A">
        <w:rPr>
          <w:rStyle w:val="FootnoteReference"/>
        </w:rPr>
        <w:footnoteRef/>
      </w:r>
      <w:r w:rsidRPr="008D669A">
        <w:t xml:space="preserve"> </w:t>
      </w:r>
      <w:r w:rsidRPr="008D669A">
        <w:rPr>
          <w:i/>
          <w:iCs/>
        </w:rPr>
        <w:t>Compare</w:t>
      </w:r>
      <w:r w:rsidRPr="008D669A">
        <w:t xml:space="preserve"> Petition at 1</w:t>
      </w:r>
      <w:r>
        <w:t>2, n.19</w:t>
      </w:r>
      <w:r w:rsidRPr="008D669A">
        <w:t xml:space="preserve">, </w:t>
      </w:r>
      <w:r w:rsidRPr="008D669A">
        <w:rPr>
          <w:i/>
          <w:iCs/>
        </w:rPr>
        <w:t>with Order</w:t>
      </w:r>
      <w:r w:rsidRPr="008D669A">
        <w:t xml:space="preserve">, 28 FCC Rcd at 3491–92, para. 32, nn.140–42.  </w:t>
      </w:r>
    </w:p>
  </w:footnote>
  <w:footnote w:id="26">
    <w:p w:rsidR="00853130" w:rsidRPr="008D669A" w:rsidRDefault="00853130" w:rsidP="008D669A">
      <w:pPr>
        <w:pStyle w:val="FootnoteText"/>
        <w:rPr>
          <w:b/>
        </w:rPr>
      </w:pPr>
      <w:r w:rsidRPr="008D669A">
        <w:rPr>
          <w:rStyle w:val="FootnoteReference"/>
        </w:rPr>
        <w:footnoteRef/>
      </w:r>
      <w:r w:rsidRPr="008D669A">
        <w:t xml:space="preserve"> </w:t>
      </w:r>
      <w:r w:rsidRPr="008D669A">
        <w:rPr>
          <w:i/>
          <w:iCs/>
        </w:rPr>
        <w:t>Compare</w:t>
      </w:r>
      <w:r w:rsidRPr="008D669A">
        <w:t xml:space="preserve"> Petition at 2–4, 20–23; Reply at 3–4, </w:t>
      </w:r>
      <w:r w:rsidRPr="008D669A">
        <w:rPr>
          <w:i/>
          <w:iCs/>
        </w:rPr>
        <w:t>with Order</w:t>
      </w:r>
      <w:r w:rsidRPr="008D669A">
        <w:t>, 28 FCC Rcd at 3490–9</w:t>
      </w:r>
      <w:r>
        <w:t>3</w:t>
      </w:r>
      <w:r w:rsidRPr="008D669A">
        <w:t>, paras. 30–32, nn.12</w:t>
      </w:r>
      <w:r>
        <w:t>4</w:t>
      </w:r>
      <w:r w:rsidRPr="008D669A">
        <w:t>–42.</w:t>
      </w:r>
    </w:p>
  </w:footnote>
  <w:footnote w:id="27">
    <w:p w:rsidR="00853130" w:rsidRPr="008D669A" w:rsidRDefault="00853130" w:rsidP="008D669A">
      <w:pPr>
        <w:pStyle w:val="FootnoteText"/>
      </w:pPr>
      <w:r w:rsidRPr="008D669A">
        <w:rPr>
          <w:rStyle w:val="FootnoteReference"/>
        </w:rPr>
        <w:footnoteRef/>
      </w:r>
      <w:r w:rsidRPr="008D669A">
        <w:t xml:space="preserve"> </w:t>
      </w:r>
      <w:r w:rsidRPr="008D669A">
        <w:rPr>
          <w:i/>
          <w:iCs/>
        </w:rPr>
        <w:t>Compare</w:t>
      </w:r>
      <w:r w:rsidRPr="008D669A">
        <w:t xml:space="preserve"> Petition at 1–20; Reply at 1–3, 10, </w:t>
      </w:r>
      <w:r w:rsidRPr="008D669A">
        <w:rPr>
          <w:i/>
          <w:iCs/>
        </w:rPr>
        <w:t>with Order</w:t>
      </w:r>
      <w:r w:rsidRPr="008D669A">
        <w:t xml:space="preserve">, 28 FCC Rcd at 3496–97, paras. 42–43, nn.181–90.   </w:t>
      </w:r>
    </w:p>
  </w:footnote>
  <w:footnote w:id="28">
    <w:p w:rsidR="00853130" w:rsidRPr="008D669A" w:rsidRDefault="00853130" w:rsidP="008D669A">
      <w:pPr>
        <w:pStyle w:val="FootnoteText"/>
      </w:pPr>
      <w:r w:rsidRPr="008D669A">
        <w:rPr>
          <w:rStyle w:val="FootnoteReference"/>
        </w:rPr>
        <w:footnoteRef/>
      </w:r>
      <w:r w:rsidRPr="008D669A">
        <w:t xml:space="preserve"> </w:t>
      </w:r>
      <w:r w:rsidRPr="008D669A">
        <w:rPr>
          <w:i/>
        </w:rPr>
        <w:t>See</w:t>
      </w:r>
      <w:r w:rsidRPr="008D669A">
        <w:t xml:space="preserve"> 47 C.F.R. § 1.106(p)(3)</w:t>
      </w:r>
      <w:r>
        <w:t xml:space="preserve"> (providing that petitions for reconsideration of a Commission action that “[r]ely on arguments that have been fully considered and rejected by the Commission within the same proceeding” are among those that “plainly do not warrant consideration by the Commission” and may therefore be dismissed by a bureau)</w:t>
      </w:r>
      <w:r w:rsidRPr="008D669A">
        <w:t>.</w:t>
      </w:r>
    </w:p>
  </w:footnote>
  <w:footnote w:id="29">
    <w:p w:rsidR="00853130" w:rsidRPr="008D669A" w:rsidRDefault="00853130" w:rsidP="008D669A">
      <w:pPr>
        <w:pStyle w:val="FootnoteText"/>
      </w:pPr>
      <w:r w:rsidRPr="008D669A">
        <w:rPr>
          <w:rStyle w:val="FootnoteReference"/>
        </w:rPr>
        <w:footnoteRef/>
      </w:r>
      <w:r w:rsidRPr="008D669A">
        <w:t xml:space="preserve"> Petition at 18–19.</w:t>
      </w:r>
    </w:p>
  </w:footnote>
  <w:footnote w:id="30">
    <w:p w:rsidR="00853130" w:rsidRPr="008D669A" w:rsidRDefault="00853130" w:rsidP="008D669A">
      <w:pPr>
        <w:pStyle w:val="FootnoteText"/>
      </w:pPr>
      <w:r w:rsidRPr="008D669A">
        <w:rPr>
          <w:rStyle w:val="FootnoteReference"/>
        </w:rPr>
        <w:footnoteRef/>
      </w:r>
      <w:r w:rsidRPr="008D669A">
        <w:t xml:space="preserve"> Petition at 21</w:t>
      </w:r>
      <w:r>
        <w:t>,</w:t>
      </w:r>
      <w:r w:rsidRPr="008D669A">
        <w:t xml:space="preserve"> n.38.  In any event, the contract provisions in Defendants’ tariffs concern their relationships with interexchange carriers, such as AT&amp;T, not their </w:t>
      </w:r>
      <w:r w:rsidRPr="00547AA5">
        <w:rPr>
          <w:color w:val="010101"/>
        </w:rPr>
        <w:t>conferencing service provider</w:t>
      </w:r>
      <w:r w:rsidRPr="008D669A" w:rsidDel="00670615">
        <w:t xml:space="preserve"> </w:t>
      </w:r>
      <w:r w:rsidRPr="008D669A">
        <w:t xml:space="preserve">customers with which they contend they had agreements.  </w:t>
      </w:r>
      <w:r w:rsidRPr="008D669A">
        <w:rPr>
          <w:i/>
        </w:rPr>
        <w:t>Compare</w:t>
      </w:r>
      <w:r w:rsidRPr="008D669A">
        <w:t xml:space="preserve"> All American Tariff No. 4, Definition of Individual Case Basis (“An arrangement . . . based on the specific and unique circumstances of the Customer’s situation</w:t>
      </w:r>
      <w:r>
        <w:t>.</w:t>
      </w:r>
      <w:r w:rsidRPr="008D669A">
        <w:t xml:space="preserve">”), </w:t>
      </w:r>
      <w:r w:rsidRPr="008D669A">
        <w:rPr>
          <w:i/>
        </w:rPr>
        <w:t>with</w:t>
      </w:r>
      <w:r w:rsidRPr="008D669A">
        <w:t xml:space="preserve"> Definition of Customer (“The term ‘Customer’ refers to an Interexchange Carrier.”).  </w:t>
      </w:r>
      <w:r w:rsidRPr="008D669A">
        <w:rPr>
          <w:i/>
        </w:rPr>
        <w:t>See, e.g.</w:t>
      </w:r>
      <w:r w:rsidRPr="008D669A">
        <w:t>,</w:t>
      </w:r>
      <w:r w:rsidRPr="008D669A">
        <w:rPr>
          <w:i/>
        </w:rPr>
        <w:t xml:space="preserve"> Qwest Commc’ns Co.v. Sancom, Inc.</w:t>
      </w:r>
      <w:r w:rsidRPr="008D669A">
        <w:t>, Memorandum Opinion and Order, 28 FCC Rcd 1982, 1992–93, paras. 24–25 (Enf. Bur. 2013).</w:t>
      </w:r>
    </w:p>
  </w:footnote>
  <w:footnote w:id="31">
    <w:p w:rsidR="00853130" w:rsidRPr="008D669A" w:rsidRDefault="00853130" w:rsidP="00FD43AA">
      <w:pPr>
        <w:pStyle w:val="FootnoteText"/>
      </w:pPr>
      <w:r w:rsidRPr="008D669A">
        <w:rPr>
          <w:rStyle w:val="FootnoteReference"/>
        </w:rPr>
        <w:footnoteRef/>
      </w:r>
      <w:r w:rsidRPr="008D669A">
        <w:t xml:space="preserve"> </w:t>
      </w:r>
      <w:r w:rsidRPr="008D669A">
        <w:rPr>
          <w:i/>
        </w:rPr>
        <w:t>See Qwest Commc’ns Co.v. N</w:t>
      </w:r>
      <w:r>
        <w:rPr>
          <w:i/>
        </w:rPr>
        <w:t>.</w:t>
      </w:r>
      <w:r w:rsidRPr="008D669A">
        <w:rPr>
          <w:i/>
        </w:rPr>
        <w:t xml:space="preserve"> Valley Comm</w:t>
      </w:r>
      <w:r>
        <w:rPr>
          <w:i/>
        </w:rPr>
        <w:t>c’ns</w:t>
      </w:r>
      <w:r w:rsidRPr="008D669A">
        <w:rPr>
          <w:i/>
        </w:rPr>
        <w:t>, LLC</w:t>
      </w:r>
      <w:r w:rsidRPr="008D669A">
        <w:t xml:space="preserve">, Order on Reconsideration, 26 FCC Rcd 14520, 14522–23, paras. 5–6 (2011) (“It is ‘settled Commission policy that petitions for reconsideration are not to be used for the mere reargument of points previously advanced and rejected.’”) (citing </w:t>
      </w:r>
      <w:r w:rsidRPr="008D669A">
        <w:rPr>
          <w:i/>
        </w:rPr>
        <w:t>S&amp;L Teen Hosp. Shuttle</w:t>
      </w:r>
      <w:r w:rsidRPr="008D669A">
        <w:t xml:space="preserve">, Order on Reconsideration, 17 FCC Rcd 7899, 7900, para. 3 (2002) (citations omitted); </w:t>
      </w:r>
      <w:r w:rsidRPr="008D669A">
        <w:rPr>
          <w:i/>
        </w:rPr>
        <w:t>All American v. AT&amp;T Recon. Order</w:t>
      </w:r>
      <w:r w:rsidRPr="008D669A">
        <w:t xml:space="preserve">, 28 FCC Rcd at 3471–72, para. 6 (same).  </w:t>
      </w:r>
      <w:r w:rsidRPr="008D669A">
        <w:rPr>
          <w:i/>
        </w:rPr>
        <w:t>See also</w:t>
      </w:r>
      <w:r w:rsidRPr="008D669A">
        <w:t xml:space="preserve"> 47 C.F.R. §</w:t>
      </w:r>
      <w:r>
        <w:t>§</w:t>
      </w:r>
      <w:r w:rsidRPr="008D669A">
        <w:t xml:space="preserve"> 1.106(c)(1), (p)(1)–(2).  </w:t>
      </w:r>
    </w:p>
  </w:footnote>
  <w:footnote w:id="32">
    <w:p w:rsidR="00853130" w:rsidRDefault="00853130">
      <w:pPr>
        <w:pStyle w:val="FootnoteText"/>
      </w:pPr>
      <w:r>
        <w:rPr>
          <w:rStyle w:val="FootnoteReference"/>
        </w:rPr>
        <w:footnoteRef/>
      </w:r>
      <w:r>
        <w:t xml:space="preserve"> We also deny All American’s Emergency Motion to Address Jurisdictional and Due Process Issues, File No. EB-09-MD-010 and EB-13-MD-003 (filed Dec. 19, 2013) (Emergency Motion).  To begin, All American has not demonstrated that there is an “emergency” warranting separate Commission action.  In any event, we address in this Order all of the issues raised in the Emergency Motion relating to All American.  Moreover, we will address any issues relating to Beehive in EB-13-MD-003 (the complaint proceeding to which Beehive </w:t>
      </w:r>
      <w:r w:rsidRPr="007A5218">
        <w:rPr>
          <w:i/>
        </w:rPr>
        <w:t>is</w:t>
      </w:r>
      <w:r>
        <w:t xml:space="preserve"> a party).  </w:t>
      </w:r>
      <w:r>
        <w:rPr>
          <w:i/>
        </w:rPr>
        <w:t>See</w:t>
      </w:r>
      <w:r>
        <w:t xml:space="preserve"> </w:t>
      </w:r>
      <w:r>
        <w:rPr>
          <w:i/>
        </w:rPr>
        <w:t>infra</w:t>
      </w:r>
      <w:r>
        <w:t xml:space="preserve"> note </w:t>
      </w:r>
      <w:r>
        <w:fldChar w:fldCharType="begin"/>
      </w:r>
      <w:r>
        <w:instrText xml:space="preserve"> NOTEREF _Ref371584344 \h </w:instrText>
      </w:r>
      <w:r>
        <w:fldChar w:fldCharType="separate"/>
      </w:r>
      <w:r>
        <w:t>84</w:t>
      </w:r>
      <w:r>
        <w:fldChar w:fldCharType="end"/>
      </w:r>
      <w:r>
        <w:t xml:space="preserve">.  Finally, we note that All American filed its Emergency Motion under Section 1.41 of the Commission’s rules, which does not apply here.  </w:t>
      </w:r>
      <w:r>
        <w:rPr>
          <w:i/>
        </w:rPr>
        <w:t>See</w:t>
      </w:r>
      <w:r>
        <w:t xml:space="preserve"> 47 C.F.R. § 1.41 (“Except where formal procedures are required under the provisions of this chapter, requests for action may be submitted informally.”).  This is a formal complaint proceeding governed by the Commission’s formal complaint rules, and any “</w:t>
      </w:r>
      <w:r w:rsidRPr="00615C07">
        <w:t>request to the Commission for an order</w:t>
      </w:r>
      <w:r>
        <w:t xml:space="preserve">” should have been made in accordance with rule 1.727.  47 C.F.R. § 1.727(a).  We will not countenance attempts by parties to make end runs around the Commission’s formal complaint rules by filing motions under rule 1.41.  </w:t>
      </w:r>
      <w:r>
        <w:rPr>
          <w:i/>
        </w:rPr>
        <w:t>See</w:t>
      </w:r>
      <w:r>
        <w:t xml:space="preserve"> </w:t>
      </w:r>
      <w:r>
        <w:rPr>
          <w:i/>
        </w:rPr>
        <w:t>In the Matter of Warren C. Havens</w:t>
      </w:r>
      <w:r>
        <w:t xml:space="preserve">, Memorandum Opinion and Order, 28 FCC Rcd 16261, 16267-68 (2013) at para. 18 (“The Commission regularly declines to consider ‘informal’ requests for Commission action under Section 1.41 when there are formal procedures available to the requesting parties . . . Section 1.41 is not an invitation to . . . gamesmanship in presenting arguments to the Commission.”).    </w:t>
      </w:r>
    </w:p>
  </w:footnote>
  <w:footnote w:id="33">
    <w:p w:rsidR="00853130" w:rsidRPr="008D669A" w:rsidRDefault="00853130" w:rsidP="00FD43AA">
      <w:pPr>
        <w:pStyle w:val="FootnoteText"/>
      </w:pPr>
      <w:r w:rsidRPr="008D669A">
        <w:rPr>
          <w:rStyle w:val="FootnoteReference"/>
        </w:rPr>
        <w:footnoteRef/>
      </w:r>
      <w:r w:rsidRPr="008D669A">
        <w:t xml:space="preserve"> Petition at 8–9.  </w:t>
      </w:r>
      <w:r w:rsidRPr="008D669A">
        <w:rPr>
          <w:i/>
        </w:rPr>
        <w:t xml:space="preserve">See </w:t>
      </w:r>
      <w:r w:rsidRPr="008D669A">
        <w:t>March 15</w:t>
      </w:r>
      <w:r w:rsidRPr="008D669A">
        <w:rPr>
          <w:vertAlign w:val="superscript"/>
        </w:rPr>
        <w:t>th</w:t>
      </w:r>
      <w:r w:rsidRPr="008D669A">
        <w:t xml:space="preserve"> Request for Declaratory Ruling.</w:t>
      </w:r>
    </w:p>
  </w:footnote>
  <w:footnote w:id="34">
    <w:p w:rsidR="00853130" w:rsidRPr="008D669A" w:rsidRDefault="00853130" w:rsidP="008D669A">
      <w:pPr>
        <w:pStyle w:val="FootnoteText"/>
      </w:pPr>
      <w:r w:rsidRPr="008D669A">
        <w:rPr>
          <w:rStyle w:val="FootnoteReference"/>
        </w:rPr>
        <w:footnoteRef/>
      </w:r>
      <w:r w:rsidRPr="008D669A">
        <w:t xml:space="preserve"> </w:t>
      </w:r>
      <w:r w:rsidRPr="008D669A">
        <w:rPr>
          <w:i/>
          <w:color w:val="000000"/>
        </w:rPr>
        <w:t>See Order</w:t>
      </w:r>
      <w:r w:rsidRPr="008D669A">
        <w:rPr>
          <w:color w:val="000000"/>
        </w:rPr>
        <w:t>, 28 FCC Rcd at 3496–97, paras. 42–43, nn.183, 189.</w:t>
      </w:r>
    </w:p>
  </w:footnote>
  <w:footnote w:id="35">
    <w:p w:rsidR="00853130" w:rsidRPr="008D669A" w:rsidRDefault="00853130" w:rsidP="002B3424">
      <w:pPr>
        <w:pStyle w:val="FootnoteText"/>
      </w:pPr>
      <w:r w:rsidRPr="008D669A">
        <w:rPr>
          <w:rStyle w:val="FootnoteReference"/>
        </w:rPr>
        <w:footnoteRef/>
      </w:r>
      <w:r w:rsidRPr="008D669A">
        <w:t xml:space="preserve"> </w:t>
      </w:r>
      <w:r w:rsidRPr="008D669A">
        <w:rPr>
          <w:i/>
        </w:rPr>
        <w:t xml:space="preserve">See </w:t>
      </w:r>
      <w:r w:rsidRPr="008D669A">
        <w:t>Petition at 12–13 (citing Letter Requesting Reconsideration of July 28, 2010 Letter Rulings, File Nos. EB-09-MD-010, EB-10-MD-003 at 6, 8, and 9 (filed Aug. 20, 2010))</w:t>
      </w:r>
      <w:r w:rsidRPr="008D669A">
        <w:rPr>
          <w:iCs/>
        </w:rPr>
        <w:t>; Rep</w:t>
      </w:r>
      <w:r w:rsidRPr="008D669A">
        <w:t>ly at 10.</w:t>
      </w:r>
    </w:p>
  </w:footnote>
  <w:footnote w:id="36">
    <w:p w:rsidR="00853130" w:rsidRPr="008D669A" w:rsidRDefault="00853130" w:rsidP="008D669A">
      <w:pPr>
        <w:pStyle w:val="FootnoteText"/>
      </w:pPr>
      <w:r w:rsidRPr="008D669A">
        <w:rPr>
          <w:rStyle w:val="FootnoteReference"/>
        </w:rPr>
        <w:footnoteRef/>
      </w:r>
      <w:r w:rsidRPr="008D669A">
        <w:t xml:space="preserve"> </w:t>
      </w:r>
      <w:r w:rsidRPr="008D669A">
        <w:rPr>
          <w:i/>
        </w:rPr>
        <w:t>See</w:t>
      </w:r>
      <w:r w:rsidRPr="008D669A">
        <w:t xml:space="preserve"> 47 C.F.R. </w:t>
      </w:r>
      <w:r>
        <w:t xml:space="preserve">§ </w:t>
      </w:r>
      <w:r w:rsidRPr="008D669A">
        <w:t xml:space="preserve">1.729(a).  </w:t>
      </w:r>
    </w:p>
  </w:footnote>
  <w:footnote w:id="37">
    <w:p w:rsidR="00853130" w:rsidRPr="008D669A" w:rsidRDefault="00853130" w:rsidP="008D669A">
      <w:pPr>
        <w:pStyle w:val="FootnoteText"/>
      </w:pPr>
      <w:r w:rsidRPr="008D669A">
        <w:rPr>
          <w:rStyle w:val="FootnoteReference"/>
        </w:rPr>
        <w:footnoteRef/>
      </w:r>
      <w:r w:rsidRPr="008D669A">
        <w:t xml:space="preserve"> Defendants wrongly contend that adverse discovery rulings prevented them from obtaining evidence from Beehive witnesses, which they could use to refute testimony from an AT&amp;T witness regarding where All American’s traffic terminated.  Petition at 12–13.  In finding that the entirety of All American’s traffic “terminated at its affiliate Joy’s equipment located in Beehive’s facilities in Utah and not in Nevada,” the Commission relied upon the deposition testimony of the only Beehive employee with direct knowledge of the facts, and All American participated in the deposition.  </w:t>
      </w:r>
      <w:r w:rsidRPr="008D669A">
        <w:rPr>
          <w:i/>
        </w:rPr>
        <w:t>Order</w:t>
      </w:r>
      <w:r w:rsidRPr="008D669A">
        <w:t xml:space="preserve">, 26 FCC Rcd. at 3484, para. 17.  All American relied upon other Beehive witnesses to counter this finding, but those witnesses did not have direct knowledge of the facts.  </w:t>
      </w:r>
      <w:r w:rsidRPr="008D669A">
        <w:rPr>
          <w:i/>
        </w:rPr>
        <w:t xml:space="preserve">See id. </w:t>
      </w:r>
      <w:r w:rsidRPr="008D669A">
        <w:t>at 3484, para. 17</w:t>
      </w:r>
      <w:r>
        <w:t>,</w:t>
      </w:r>
      <w:r w:rsidRPr="008D669A">
        <w:t xml:space="preserve"> nn.62, 64.</w:t>
      </w:r>
    </w:p>
  </w:footnote>
  <w:footnote w:id="38">
    <w:p w:rsidR="00853130" w:rsidRPr="008D669A" w:rsidRDefault="00853130" w:rsidP="008D669A">
      <w:pPr>
        <w:pStyle w:val="FootnoteText"/>
      </w:pPr>
      <w:r w:rsidRPr="008D669A">
        <w:rPr>
          <w:rStyle w:val="FootnoteReference"/>
        </w:rPr>
        <w:footnoteRef/>
      </w:r>
      <w:r w:rsidRPr="008D669A">
        <w:t xml:space="preserve"> </w:t>
      </w:r>
      <w:r w:rsidRPr="008D669A">
        <w:rPr>
          <w:i/>
        </w:rPr>
        <w:t>See</w:t>
      </w:r>
      <w:r w:rsidRPr="008D669A">
        <w:t xml:space="preserve"> All American, e-Pinnacle and ChaseCom’s First Request for Interrogatories to Complainant AT&amp;T Corp.’s Amended Complaint, File No. EB-09-MD-010, Request Numbers 1 and 9 (filed June 14, 2010) (Defendants’ First Request for Interrogatories); </w:t>
      </w:r>
      <w:r w:rsidRPr="008D669A">
        <w:rPr>
          <w:i/>
        </w:rPr>
        <w:t>see also</w:t>
      </w:r>
      <w:r w:rsidRPr="008D669A">
        <w:t xml:space="preserve"> Letter from Lisa B. Griffin, Deputy Division Chief, EB, MDRD, to James F. Bendernagel, Jr., Counsel for AT&amp;T, and Jonathan Canis, Counsel for Defendants, File No. EB-09-MD-010 at 4 (filed July 28, 2010) (July 28, 2010 Letter Ruling).</w:t>
      </w:r>
    </w:p>
  </w:footnote>
  <w:footnote w:id="39">
    <w:p w:rsidR="00853130" w:rsidRPr="008D669A" w:rsidRDefault="00853130" w:rsidP="008D669A">
      <w:pPr>
        <w:pStyle w:val="FootnoteText"/>
      </w:pPr>
      <w:r w:rsidRPr="008D669A">
        <w:rPr>
          <w:rStyle w:val="FootnoteReference"/>
        </w:rPr>
        <w:footnoteRef/>
      </w:r>
      <w:r w:rsidRPr="008D669A">
        <w:t xml:space="preserve"> </w:t>
      </w:r>
      <w:r w:rsidRPr="008D669A">
        <w:rPr>
          <w:i/>
        </w:rPr>
        <w:t>See</w:t>
      </w:r>
      <w:r w:rsidRPr="008D669A">
        <w:t xml:space="preserve"> Defendants’ First Request for Interrogatories, Request Numbers 2, 7, 8, 10; July 28, 2010 Letter Ruling at 4.  Defendants are free to raise these requests in any damages proceeding.</w:t>
      </w:r>
    </w:p>
  </w:footnote>
  <w:footnote w:id="40">
    <w:p w:rsidR="00853130" w:rsidRPr="008D669A" w:rsidRDefault="00853130" w:rsidP="008D669A">
      <w:pPr>
        <w:pStyle w:val="FootnoteText"/>
      </w:pPr>
      <w:r w:rsidRPr="008D669A">
        <w:rPr>
          <w:rStyle w:val="FootnoteReference"/>
        </w:rPr>
        <w:footnoteRef/>
      </w:r>
      <w:r w:rsidRPr="008D669A">
        <w:t xml:space="preserve"> </w:t>
      </w:r>
      <w:r w:rsidRPr="008D669A">
        <w:rPr>
          <w:i/>
        </w:rPr>
        <w:t xml:space="preserve">See </w:t>
      </w:r>
      <w:r w:rsidRPr="008D669A">
        <w:t>Defendants’ First Request for Interrogatories, Request Number 5 (regarding AT&amp;T’s Conferencing Service Global Option), and Request Number 6 (regarding AT&amp;T’s provision of conferencing services)</w:t>
      </w:r>
      <w:r w:rsidRPr="008D669A">
        <w:rPr>
          <w:iCs/>
        </w:rPr>
        <w:t xml:space="preserve">.  Defendants’ Petition references other discovery rulings made in a different case, which the Commission previously resolved and affirmed on reconsideration.  </w:t>
      </w:r>
      <w:r w:rsidRPr="008D669A">
        <w:rPr>
          <w:i/>
          <w:iCs/>
        </w:rPr>
        <w:t>See All American v. AT&amp;T</w:t>
      </w:r>
      <w:r w:rsidRPr="008D669A">
        <w:rPr>
          <w:iCs/>
        </w:rPr>
        <w:t>, 26 FCC Rcd at 726, para. 8.  That case involved one legal issue–</w:t>
      </w:r>
      <w:r w:rsidRPr="008D669A">
        <w:rPr>
          <w:i/>
          <w:iCs/>
        </w:rPr>
        <w:t>i.e.</w:t>
      </w:r>
      <w:r w:rsidRPr="008D669A">
        <w:rPr>
          <w:iCs/>
        </w:rPr>
        <w:t xml:space="preserve">, whether AT&amp;T violated </w:t>
      </w:r>
      <w:r>
        <w:rPr>
          <w:iCs/>
        </w:rPr>
        <w:t>S</w:t>
      </w:r>
      <w:r w:rsidRPr="008D669A">
        <w:rPr>
          <w:iCs/>
        </w:rPr>
        <w:t xml:space="preserve">ections 201(b), 203(c), or any other provision of the Act by failing to pay billed charges for the calls at issue.  The Commission determined from the parties’ pleadings that no material facts were in dispute, and accordingly determined that the discovery the CLECs sought, as well as </w:t>
      </w:r>
      <w:r>
        <w:rPr>
          <w:iCs/>
        </w:rPr>
        <w:t xml:space="preserve">any </w:t>
      </w:r>
      <w:r w:rsidRPr="008D669A">
        <w:rPr>
          <w:iCs/>
        </w:rPr>
        <w:t xml:space="preserve">briefing, was unnecessary.  </w:t>
      </w:r>
      <w:r w:rsidRPr="008D669A">
        <w:rPr>
          <w:i/>
          <w:iCs/>
        </w:rPr>
        <w:t>See id</w:t>
      </w:r>
      <w:r w:rsidRPr="008D669A">
        <w:rPr>
          <w:iCs/>
        </w:rPr>
        <w:t>.</w:t>
      </w:r>
    </w:p>
  </w:footnote>
  <w:footnote w:id="41">
    <w:p w:rsidR="00853130" w:rsidRPr="008D669A" w:rsidRDefault="00853130" w:rsidP="008D669A">
      <w:pPr>
        <w:pStyle w:val="NormalWeb"/>
        <w:spacing w:after="120"/>
        <w:rPr>
          <w:b/>
          <w:sz w:val="20"/>
          <w:szCs w:val="20"/>
        </w:rPr>
      </w:pPr>
      <w:r w:rsidRPr="008D669A">
        <w:rPr>
          <w:rStyle w:val="FootnoteReference"/>
          <w:szCs w:val="20"/>
        </w:rPr>
        <w:footnoteRef/>
      </w:r>
      <w:r w:rsidRPr="008D669A">
        <w:rPr>
          <w:sz w:val="20"/>
          <w:szCs w:val="20"/>
        </w:rPr>
        <w:t xml:space="preserve"> </w:t>
      </w:r>
      <w:r w:rsidRPr="008D669A">
        <w:rPr>
          <w:rStyle w:val="Emphasis"/>
          <w:color w:val="000000"/>
          <w:sz w:val="20"/>
          <w:szCs w:val="20"/>
        </w:rPr>
        <w:t>See</w:t>
      </w:r>
      <w:r w:rsidRPr="008D669A">
        <w:rPr>
          <w:color w:val="000000"/>
          <w:sz w:val="20"/>
          <w:szCs w:val="20"/>
        </w:rPr>
        <w:t xml:space="preserve"> Petition at 8–9 (citing March 15</w:t>
      </w:r>
      <w:r w:rsidRPr="008D669A">
        <w:rPr>
          <w:color w:val="000000"/>
          <w:sz w:val="20"/>
          <w:szCs w:val="20"/>
          <w:vertAlign w:val="superscript"/>
        </w:rPr>
        <w:t>th</w:t>
      </w:r>
      <w:r w:rsidRPr="008D669A">
        <w:rPr>
          <w:color w:val="000000"/>
          <w:sz w:val="20"/>
          <w:szCs w:val="20"/>
        </w:rPr>
        <w:t xml:space="preserve"> Request for Declaratory Ruling).</w:t>
      </w:r>
    </w:p>
  </w:footnote>
  <w:footnote w:id="42">
    <w:p w:rsidR="00853130" w:rsidRPr="008D669A" w:rsidRDefault="00853130" w:rsidP="008D669A">
      <w:pPr>
        <w:pStyle w:val="FootnoteText"/>
      </w:pPr>
      <w:r w:rsidRPr="008D669A">
        <w:rPr>
          <w:rStyle w:val="FootnoteReference"/>
        </w:rPr>
        <w:footnoteRef/>
      </w:r>
      <w:r w:rsidRPr="008D669A">
        <w:t xml:space="preserve"> </w:t>
      </w:r>
      <w:r w:rsidRPr="008D669A">
        <w:rPr>
          <w:i/>
        </w:rPr>
        <w:t>See</w:t>
      </w:r>
      <w:r w:rsidRPr="008D669A">
        <w:t xml:space="preserve"> </w:t>
      </w:r>
      <w:r w:rsidRPr="008D669A">
        <w:rPr>
          <w:i/>
        </w:rPr>
        <w:t>All Am. Tel. Co., Inc., et al. v. AT&amp;T, Inc.</w:t>
      </w:r>
      <w:r w:rsidRPr="008D669A">
        <w:t xml:space="preserve">, Order, No. 07-Civ 861, (S.D.N.Y. Apr. 19, 2011) (noting that the Commission has “prioritized the questions, facilitated the completion of discovery and briefing, and issued two rulings”); Order, No. 07-Civ 861 (S.D.N.Y. Feb. 28. 2012) (“the FCC continues to make progress, so the prospect of a </w:t>
      </w:r>
      <w:r w:rsidRPr="008D669A">
        <w:rPr>
          <w:i/>
        </w:rPr>
        <w:t>de facto</w:t>
      </w:r>
      <w:r w:rsidRPr="008D669A">
        <w:t xml:space="preserve"> indefinite stay is remote”).  </w:t>
      </w:r>
    </w:p>
  </w:footnote>
  <w:footnote w:id="43">
    <w:p w:rsidR="00853130" w:rsidRPr="008D669A" w:rsidRDefault="00853130" w:rsidP="008D669A">
      <w:pPr>
        <w:pStyle w:val="FootnoteText"/>
      </w:pPr>
      <w:r w:rsidRPr="008D669A">
        <w:rPr>
          <w:rStyle w:val="FootnoteReference"/>
        </w:rPr>
        <w:footnoteRef/>
      </w:r>
      <w:r w:rsidRPr="008D669A">
        <w:t xml:space="preserve"> </w:t>
      </w:r>
      <w:r w:rsidRPr="008D669A">
        <w:rPr>
          <w:i/>
        </w:rPr>
        <w:t>All Am. Tel. Co., Inc., et al. v. AT&amp;T, Inc.</w:t>
      </w:r>
      <w:r w:rsidRPr="008D669A">
        <w:t>, Order, No. 07-Civ 861 (S.D.N.Y. Feb. 28. 2012).</w:t>
      </w:r>
    </w:p>
  </w:footnote>
  <w:footnote w:id="44">
    <w:p w:rsidR="00853130" w:rsidRPr="008D669A" w:rsidRDefault="00853130" w:rsidP="008D669A">
      <w:pPr>
        <w:pStyle w:val="FootnoteText"/>
      </w:pPr>
      <w:r w:rsidRPr="008D669A">
        <w:rPr>
          <w:rStyle w:val="FootnoteReference"/>
        </w:rPr>
        <w:footnoteRef/>
      </w:r>
      <w:r w:rsidRPr="008D669A">
        <w:t xml:space="preserve"> Petition at 13–1</w:t>
      </w:r>
      <w:r>
        <w:t>6</w:t>
      </w:r>
      <w:r w:rsidRPr="008D669A">
        <w:t>.</w:t>
      </w:r>
    </w:p>
  </w:footnote>
  <w:footnote w:id="45">
    <w:p w:rsidR="00853130" w:rsidRPr="008D669A" w:rsidRDefault="00853130" w:rsidP="008D669A">
      <w:pPr>
        <w:pStyle w:val="FootnoteText"/>
      </w:pPr>
      <w:r w:rsidRPr="008D669A">
        <w:rPr>
          <w:rStyle w:val="FootnoteReference"/>
        </w:rPr>
        <w:footnoteRef/>
      </w:r>
      <w:r w:rsidRPr="008D669A">
        <w:t xml:space="preserve"> </w:t>
      </w:r>
      <w:r w:rsidRPr="008D669A">
        <w:rPr>
          <w:i/>
        </w:rPr>
        <w:t>See Order</w:t>
      </w:r>
      <w:r w:rsidRPr="008D669A">
        <w:t>, 28 FCC Rcd at 3477, n.4; 3497, para. 45.</w:t>
      </w:r>
    </w:p>
  </w:footnote>
  <w:footnote w:id="46">
    <w:p w:rsidR="00853130" w:rsidRPr="008D669A" w:rsidRDefault="00853130" w:rsidP="008D669A">
      <w:pPr>
        <w:pStyle w:val="FootnoteText"/>
      </w:pPr>
      <w:r w:rsidRPr="008D669A">
        <w:rPr>
          <w:rStyle w:val="FootnoteReference"/>
        </w:rPr>
        <w:footnoteRef/>
      </w:r>
      <w:r w:rsidRPr="008D669A">
        <w:t xml:space="preserve"> </w:t>
      </w:r>
      <w:r w:rsidRPr="008D669A">
        <w:rPr>
          <w:i/>
        </w:rPr>
        <w:t>See id.</w:t>
      </w:r>
    </w:p>
  </w:footnote>
  <w:footnote w:id="47">
    <w:p w:rsidR="00853130" w:rsidRPr="008D669A" w:rsidRDefault="00853130" w:rsidP="008D669A">
      <w:pPr>
        <w:pStyle w:val="FootnoteText"/>
      </w:pPr>
      <w:r w:rsidRPr="008D669A">
        <w:rPr>
          <w:rStyle w:val="FootnoteReference"/>
        </w:rPr>
        <w:footnoteRef/>
      </w:r>
      <w:r w:rsidRPr="008D669A">
        <w:t xml:space="preserve"> </w:t>
      </w:r>
      <w:r w:rsidRPr="008D669A">
        <w:rPr>
          <w:i/>
        </w:rPr>
        <w:t>See</w:t>
      </w:r>
      <w:r w:rsidRPr="008D669A">
        <w:t xml:space="preserve"> </w:t>
      </w:r>
      <w:r w:rsidRPr="008D669A">
        <w:rPr>
          <w:i/>
        </w:rPr>
        <w:t xml:space="preserve">supra </w:t>
      </w:r>
      <w:r w:rsidRPr="008D669A">
        <w:t xml:space="preserve">note 15; Petition at 23–25; Reply at 6–9.  Thus, we decline Defendants’ request to “clarify [the] legal and jurisdictional consequences” of the </w:t>
      </w:r>
      <w:r w:rsidRPr="008D669A">
        <w:rPr>
          <w:i/>
        </w:rPr>
        <w:t>Order</w:t>
      </w:r>
      <w:r w:rsidRPr="008D669A">
        <w:t>.  Petition at 23–25; Reply at 6–9.</w:t>
      </w:r>
    </w:p>
  </w:footnote>
  <w:footnote w:id="48">
    <w:p w:rsidR="00853130" w:rsidRPr="008D669A" w:rsidRDefault="00853130" w:rsidP="008D669A">
      <w:pPr>
        <w:pStyle w:val="FootnoteText"/>
        <w:rPr>
          <w:b/>
          <w:u w:val="single"/>
        </w:rPr>
      </w:pPr>
      <w:r w:rsidRPr="008D669A">
        <w:rPr>
          <w:rStyle w:val="FootnoteReference"/>
        </w:rPr>
        <w:footnoteRef/>
      </w:r>
      <w:r w:rsidRPr="008D669A">
        <w:t xml:space="preserve"> Petition at 16</w:t>
      </w:r>
      <w:r>
        <w:t>–</w:t>
      </w:r>
      <w:r w:rsidRPr="008D669A">
        <w:t>1</w:t>
      </w:r>
      <w:r>
        <w:t>7; Reply at 8-9</w:t>
      </w:r>
      <w:r w:rsidRPr="008D669A">
        <w:t>.</w:t>
      </w:r>
      <w:r>
        <w:t xml:space="preserve">  </w:t>
      </w:r>
    </w:p>
  </w:footnote>
  <w:footnote w:id="49">
    <w:p w:rsidR="00853130" w:rsidRPr="008D669A" w:rsidRDefault="00853130" w:rsidP="008D669A">
      <w:pPr>
        <w:pStyle w:val="FootnoteText"/>
      </w:pPr>
      <w:r w:rsidRPr="008D669A">
        <w:rPr>
          <w:rStyle w:val="FootnoteReference"/>
        </w:rPr>
        <w:footnoteRef/>
      </w:r>
      <w:r w:rsidRPr="008D669A">
        <w:t xml:space="preserve"> </w:t>
      </w:r>
      <w:r w:rsidRPr="008D669A">
        <w:rPr>
          <w:i/>
        </w:rPr>
        <w:t>See</w:t>
      </w:r>
      <w:r w:rsidRPr="008D669A">
        <w:t xml:space="preserve"> 47 C.F.R. § 1.106(p)(5).</w:t>
      </w:r>
    </w:p>
  </w:footnote>
  <w:footnote w:id="50">
    <w:p w:rsidR="00853130" w:rsidRPr="00A03BA4" w:rsidRDefault="00853130" w:rsidP="005E6707">
      <w:pPr>
        <w:spacing w:after="120"/>
        <w:rPr>
          <w:b/>
          <w:sz w:val="20"/>
        </w:rPr>
      </w:pPr>
      <w:r w:rsidRPr="0011065D">
        <w:rPr>
          <w:rStyle w:val="FootnoteReference"/>
        </w:rPr>
        <w:footnoteRef/>
      </w:r>
      <w:r w:rsidRPr="0011065D">
        <w:rPr>
          <w:sz w:val="20"/>
        </w:rPr>
        <w:t xml:space="preserve"> </w:t>
      </w:r>
      <w:r w:rsidRPr="0011065D">
        <w:rPr>
          <w:i/>
          <w:sz w:val="20"/>
        </w:rPr>
        <w:t>See</w:t>
      </w:r>
      <w:r w:rsidRPr="0011065D">
        <w:rPr>
          <w:sz w:val="20"/>
        </w:rPr>
        <w:t xml:space="preserve"> Petition at 16–17 (citing </w:t>
      </w:r>
      <w:r w:rsidRPr="0011065D">
        <w:rPr>
          <w:i/>
          <w:sz w:val="20"/>
        </w:rPr>
        <w:t>All American v. AT&amp;T Recon. Order</w:t>
      </w:r>
      <w:r w:rsidRPr="0011065D">
        <w:rPr>
          <w:sz w:val="20"/>
        </w:rPr>
        <w:t>, 28 FCC Rcd at 3470–71, p</w:t>
      </w:r>
      <w:r>
        <w:rPr>
          <w:sz w:val="20"/>
        </w:rPr>
        <w:t>ara. 5, 3472;</w:t>
      </w:r>
      <w:r w:rsidRPr="0011065D">
        <w:rPr>
          <w:sz w:val="20"/>
        </w:rPr>
        <w:t xml:space="preserve"> para. 7).  </w:t>
      </w:r>
      <w:r>
        <w:rPr>
          <w:sz w:val="20"/>
        </w:rPr>
        <w:t xml:space="preserve">  </w:t>
      </w:r>
    </w:p>
  </w:footnote>
  <w:footnote w:id="51">
    <w:p w:rsidR="00853130" w:rsidRPr="008D669A" w:rsidRDefault="00853130" w:rsidP="008D669A">
      <w:pPr>
        <w:pStyle w:val="FootnoteText"/>
      </w:pPr>
      <w:r w:rsidRPr="008D669A">
        <w:rPr>
          <w:rStyle w:val="FootnoteReference"/>
        </w:rPr>
        <w:footnoteRef/>
      </w:r>
      <w:r w:rsidRPr="008D669A">
        <w:t xml:space="preserve"> </w:t>
      </w:r>
      <w:r w:rsidRPr="008D669A">
        <w:rPr>
          <w:i/>
        </w:rPr>
        <w:t>See All American v. AT&amp;T</w:t>
      </w:r>
      <w:r w:rsidRPr="008D669A">
        <w:t>, 26 FCC Rcd at 726, para. 9.</w:t>
      </w:r>
      <w:r>
        <w:t xml:space="preserve">  Similarly unavailing is Defendants’ reliance on</w:t>
      </w:r>
      <w:r w:rsidRPr="0011065D">
        <w:t xml:space="preserve"> </w:t>
      </w:r>
      <w:r w:rsidRPr="0011065D">
        <w:rPr>
          <w:i/>
        </w:rPr>
        <w:t>Qwest Com</w:t>
      </w:r>
      <w:r>
        <w:rPr>
          <w:i/>
        </w:rPr>
        <w:t>mc’ns</w:t>
      </w:r>
      <w:r w:rsidRPr="0011065D">
        <w:rPr>
          <w:i/>
        </w:rPr>
        <w:t xml:space="preserve"> Corp. v. Farmers and Merchs</w:t>
      </w:r>
      <w:r>
        <w:rPr>
          <w:i/>
        </w:rPr>
        <w:t>.</w:t>
      </w:r>
      <w:r w:rsidRPr="0011065D">
        <w:rPr>
          <w:i/>
        </w:rPr>
        <w:t xml:space="preserve"> Mut. Tel</w:t>
      </w:r>
      <w:r>
        <w:rPr>
          <w:i/>
        </w:rPr>
        <w:t xml:space="preserve">. </w:t>
      </w:r>
      <w:r w:rsidRPr="0011065D">
        <w:rPr>
          <w:i/>
        </w:rPr>
        <w:t xml:space="preserve">Co., </w:t>
      </w:r>
      <w:r w:rsidRPr="0011065D">
        <w:t>Memorandum Opinion and Order, 22 FCC Rcd 17973, 17984-85 (2007)</w:t>
      </w:r>
      <w:r>
        <w:t xml:space="preserve"> (</w:t>
      </w:r>
      <w:r w:rsidRPr="00516A68">
        <w:rPr>
          <w:i/>
        </w:rPr>
        <w:t>Qwest v. Farmers</w:t>
      </w:r>
      <w:r>
        <w:t xml:space="preserve">) </w:t>
      </w:r>
      <w:r w:rsidRPr="005A1CB4">
        <w:t>(stating that “any complaint instituted by [</w:t>
      </w:r>
      <w:r>
        <w:t xml:space="preserve">a </w:t>
      </w:r>
      <w:r w:rsidRPr="005A1CB4">
        <w:t>carrier] to recover fees allegedly owed by [another carrier] would constitute a ‘collection action,’ which the Commission repeatedly has declined to entertain”)</w:t>
      </w:r>
      <w:r>
        <w:t xml:space="preserve">.  </w:t>
      </w:r>
      <w:r>
        <w:rPr>
          <w:i/>
        </w:rPr>
        <w:t>See</w:t>
      </w:r>
      <w:r>
        <w:t xml:space="preserve"> Petition at 16 n.29.</w:t>
      </w:r>
    </w:p>
  </w:footnote>
  <w:footnote w:id="52">
    <w:p w:rsidR="00853130" w:rsidRPr="008D669A" w:rsidRDefault="00853130" w:rsidP="00516A68">
      <w:pPr>
        <w:spacing w:after="120"/>
        <w:rPr>
          <w:sz w:val="20"/>
        </w:rPr>
      </w:pPr>
      <w:r w:rsidRPr="008D669A">
        <w:rPr>
          <w:rStyle w:val="FootnoteReference"/>
        </w:rPr>
        <w:footnoteRef/>
      </w:r>
      <w:r w:rsidRPr="008D669A">
        <w:rPr>
          <w:sz w:val="20"/>
        </w:rPr>
        <w:t xml:space="preserve"> </w:t>
      </w:r>
      <w:r w:rsidRPr="008D669A">
        <w:rPr>
          <w:i/>
          <w:sz w:val="20"/>
        </w:rPr>
        <w:t>See</w:t>
      </w:r>
      <w:r w:rsidRPr="008D669A">
        <w:rPr>
          <w:sz w:val="20"/>
        </w:rPr>
        <w:t xml:space="preserve"> First Court Referral Order, 2009 WL 691325 at *4.  Indeed, Defendants also requested the second referral over AT&amp;T’s objection, and they framed the “rate” questions for the District Court that they now claim the Commission lacks jurisdiction to address.  </w:t>
      </w:r>
      <w:r w:rsidRPr="008D669A">
        <w:rPr>
          <w:i/>
          <w:sz w:val="20"/>
        </w:rPr>
        <w:t xml:space="preserve">See </w:t>
      </w:r>
      <w:r w:rsidRPr="008D669A">
        <w:rPr>
          <w:sz w:val="20"/>
        </w:rPr>
        <w:t xml:space="preserve">Second Court Referral Memorandum Opinion, </w:t>
      </w:r>
      <w:r w:rsidRPr="008D669A">
        <w:rPr>
          <w:color w:val="000000"/>
          <w:sz w:val="20"/>
        </w:rPr>
        <w:t>2010 WL 7526933</w:t>
      </w:r>
      <w:r w:rsidRPr="008D669A">
        <w:rPr>
          <w:sz w:val="20"/>
        </w:rPr>
        <w:t xml:space="preserve"> a</w:t>
      </w:r>
      <w:r w:rsidRPr="008D669A">
        <w:rPr>
          <w:color w:val="000000"/>
          <w:sz w:val="20"/>
        </w:rPr>
        <w:t>t *2</w:t>
      </w:r>
      <w:r w:rsidRPr="008D669A">
        <w:rPr>
          <w:sz w:val="20"/>
        </w:rPr>
        <w:t xml:space="preserve">; </w:t>
      </w:r>
      <w:r w:rsidRPr="008D669A">
        <w:rPr>
          <w:i/>
          <w:sz w:val="20"/>
        </w:rPr>
        <w:t xml:space="preserve">see also </w:t>
      </w:r>
      <w:r w:rsidRPr="008D669A">
        <w:rPr>
          <w:sz w:val="20"/>
        </w:rPr>
        <w:t xml:space="preserve">Second Court Referral Order </w:t>
      </w:r>
      <w:r w:rsidRPr="008D669A">
        <w:rPr>
          <w:color w:val="000000"/>
          <w:sz w:val="20"/>
        </w:rPr>
        <w:t xml:space="preserve">at </w:t>
      </w:r>
      <w:r w:rsidRPr="008D669A">
        <w:rPr>
          <w:sz w:val="20"/>
        </w:rPr>
        <w:t>2–4.</w:t>
      </w:r>
      <w:r>
        <w:rPr>
          <w:sz w:val="20"/>
        </w:rPr>
        <w:t xml:space="preserve">  </w:t>
      </w:r>
    </w:p>
  </w:footnote>
  <w:footnote w:id="53">
    <w:p w:rsidR="00853130" w:rsidRPr="008D669A" w:rsidRDefault="00853130" w:rsidP="008D669A">
      <w:pPr>
        <w:pStyle w:val="FootnoteText"/>
      </w:pPr>
      <w:r w:rsidRPr="008D669A">
        <w:rPr>
          <w:rStyle w:val="FootnoteReference"/>
        </w:rPr>
        <w:footnoteRef/>
      </w:r>
      <w:r w:rsidRPr="008D669A">
        <w:t xml:space="preserve"> </w:t>
      </w:r>
      <w:r w:rsidRPr="008D669A">
        <w:rPr>
          <w:i/>
        </w:rPr>
        <w:t>See</w:t>
      </w:r>
      <w:r w:rsidRPr="008D669A">
        <w:t xml:space="preserve"> First Court Referral Order, 2009 WL 691325 at *4.  </w:t>
      </w:r>
    </w:p>
  </w:footnote>
  <w:footnote w:id="54">
    <w:p w:rsidR="00853130" w:rsidRPr="008D669A" w:rsidRDefault="00853130" w:rsidP="008D669A">
      <w:pPr>
        <w:pStyle w:val="FootnoteText"/>
        <w:rPr>
          <w:b/>
          <w:u w:val="single"/>
        </w:rPr>
      </w:pPr>
      <w:r w:rsidRPr="008D669A">
        <w:rPr>
          <w:rStyle w:val="FootnoteReference"/>
        </w:rPr>
        <w:footnoteRef/>
      </w:r>
      <w:r w:rsidRPr="008D669A">
        <w:t xml:space="preserve"> Petition at 9–20; Reply at 1</w:t>
      </w:r>
      <w:r>
        <w:t>–</w:t>
      </w:r>
      <w:r w:rsidRPr="008D669A">
        <w:t xml:space="preserve">4, 10.  Relying </w:t>
      </w:r>
      <w:r>
        <w:t xml:space="preserve">on arguments in Beehive’s Petition, </w:t>
      </w:r>
      <w:r w:rsidRPr="008D669A">
        <w:t xml:space="preserve">the Defendants request recusal of Enforcement Bureau staff.  </w:t>
      </w:r>
      <w:r w:rsidRPr="008D669A">
        <w:rPr>
          <w:i/>
        </w:rPr>
        <w:t>See</w:t>
      </w:r>
      <w:r w:rsidRPr="008D669A">
        <w:t xml:space="preserve"> Reply at 10.  As discussed below in connection with the Beehive Petition, there is no basis for granting this request.</w:t>
      </w:r>
      <w:r w:rsidRPr="008D669A">
        <w:rPr>
          <w:b/>
        </w:rPr>
        <w:t xml:space="preserve">  </w:t>
      </w:r>
      <w:r w:rsidRPr="008D669A">
        <w:rPr>
          <w:i/>
        </w:rPr>
        <w:t>See</w:t>
      </w:r>
      <w:r w:rsidRPr="008D669A">
        <w:t xml:space="preserve"> </w:t>
      </w:r>
      <w:r w:rsidRPr="008D669A">
        <w:rPr>
          <w:i/>
        </w:rPr>
        <w:t xml:space="preserve">infra </w:t>
      </w:r>
      <w:r w:rsidRPr="008D669A">
        <w:t xml:space="preserve">note </w:t>
      </w:r>
      <w:r>
        <w:fldChar w:fldCharType="begin"/>
      </w:r>
      <w:r>
        <w:instrText xml:space="preserve"> NOTEREF _Ref371584344 \h </w:instrText>
      </w:r>
      <w:r>
        <w:fldChar w:fldCharType="separate"/>
      </w:r>
      <w:r>
        <w:t>84</w:t>
      </w:r>
      <w:r>
        <w:fldChar w:fldCharType="end"/>
      </w:r>
      <w:r w:rsidRPr="008D669A">
        <w:t>.</w:t>
      </w:r>
    </w:p>
  </w:footnote>
  <w:footnote w:id="55">
    <w:p w:rsidR="00853130" w:rsidRPr="008D669A" w:rsidRDefault="00853130" w:rsidP="008D669A">
      <w:pPr>
        <w:pStyle w:val="FootnoteText"/>
      </w:pPr>
      <w:r w:rsidRPr="008D669A">
        <w:rPr>
          <w:rStyle w:val="FootnoteReference"/>
        </w:rPr>
        <w:footnoteRef/>
      </w:r>
      <w:r w:rsidRPr="008D669A">
        <w:t xml:space="preserve"> </w:t>
      </w:r>
      <w:r w:rsidRPr="008D669A">
        <w:rPr>
          <w:i/>
          <w:iCs/>
        </w:rPr>
        <w:t>See United States v. Morgan</w:t>
      </w:r>
      <w:r w:rsidRPr="008D669A">
        <w:t xml:space="preserve">, 313 U.S. 409, 421 (1941); </w:t>
      </w:r>
      <w:r w:rsidRPr="008D669A">
        <w:rPr>
          <w:i/>
        </w:rPr>
        <w:t>Withrow v. Larkin</w:t>
      </w:r>
      <w:r w:rsidRPr="008D669A">
        <w:t>, 421 U.S. 35</w:t>
      </w:r>
      <w:r>
        <w:t>, 47 (1975)</w:t>
      </w:r>
      <w:r w:rsidRPr="008D669A">
        <w:t xml:space="preserve">; </w:t>
      </w:r>
      <w:r w:rsidRPr="008D669A">
        <w:rPr>
          <w:i/>
          <w:iCs/>
        </w:rPr>
        <w:t>Morris v. City of Danville, Va.</w:t>
      </w:r>
      <w:r w:rsidRPr="008D669A">
        <w:t>, 744 F.2d 1041, 1044 (4th Cir. 1984).</w:t>
      </w:r>
    </w:p>
  </w:footnote>
  <w:footnote w:id="56">
    <w:p w:rsidR="00853130" w:rsidRPr="008D669A" w:rsidRDefault="00853130" w:rsidP="008D669A">
      <w:pPr>
        <w:pStyle w:val="FootnoteText"/>
        <w:rPr>
          <w:b/>
        </w:rPr>
      </w:pPr>
      <w:r w:rsidRPr="008D669A">
        <w:rPr>
          <w:rStyle w:val="FootnoteReference"/>
        </w:rPr>
        <w:footnoteRef/>
      </w:r>
      <w:r w:rsidRPr="008D669A">
        <w:t xml:space="preserve"> </w:t>
      </w:r>
      <w:r w:rsidRPr="008D669A">
        <w:rPr>
          <w:i/>
          <w:iCs/>
        </w:rPr>
        <w:t>U.S. v. State of Or</w:t>
      </w:r>
      <w:r w:rsidRPr="008D669A">
        <w:t>., 44 F.3d 758, 772 (9</w:t>
      </w:r>
      <w:r>
        <w:t>th</w:t>
      </w:r>
      <w:r w:rsidRPr="008D669A">
        <w:t xml:space="preserve"> Cir. 1994)</w:t>
      </w:r>
      <w:r>
        <w:t>,</w:t>
      </w:r>
      <w:r w:rsidRPr="008D669A">
        <w:t xml:space="preserve"> </w:t>
      </w:r>
      <w:r w:rsidRPr="008D669A">
        <w:rPr>
          <w:i/>
          <w:iCs/>
        </w:rPr>
        <w:t>cert. denied</w:t>
      </w:r>
      <w:r w:rsidRPr="008D669A">
        <w:t xml:space="preserve">, 516 U.S. 943 (1995).   </w:t>
      </w:r>
    </w:p>
  </w:footnote>
  <w:footnote w:id="57">
    <w:p w:rsidR="00853130" w:rsidRPr="008D669A" w:rsidRDefault="00853130" w:rsidP="008D669A">
      <w:pPr>
        <w:pStyle w:val="FootnoteText"/>
      </w:pPr>
      <w:r w:rsidRPr="008D669A">
        <w:rPr>
          <w:rStyle w:val="FootnoteReference"/>
        </w:rPr>
        <w:footnoteRef/>
      </w:r>
      <w:r w:rsidRPr="008D669A">
        <w:t xml:space="preserve"> Defendants </w:t>
      </w:r>
      <w:r>
        <w:t xml:space="preserve">also </w:t>
      </w:r>
      <w:r w:rsidRPr="008D669A">
        <w:t xml:space="preserve">argue that bias can be inferred from the Commission’s rejection of </w:t>
      </w:r>
      <w:r w:rsidRPr="00320778">
        <w:t>All American’s Tariff No. 4.</w:t>
      </w:r>
      <w:r w:rsidRPr="008D669A">
        <w:t xml:space="preserve">  Petition at 18</w:t>
      </w:r>
      <w:r>
        <w:t>–</w:t>
      </w:r>
      <w:r w:rsidRPr="008D669A">
        <w:t xml:space="preserve">19.  Not only is this argument factually incorrect (the Wireline Competition Bureau rejected All </w:t>
      </w:r>
      <w:r w:rsidRPr="00320778">
        <w:t>American’s Tariff No. 3</w:t>
      </w:r>
      <w:r>
        <w:t>—not Tariff No. 4—</w:t>
      </w:r>
      <w:r w:rsidRPr="008D669A">
        <w:t>because it did not “clearly establish a rate</w:t>
      </w:r>
      <w:r>
        <w:t>,</w:t>
      </w:r>
      <w:r w:rsidRPr="008D669A">
        <w:t>”</w:t>
      </w:r>
      <w:r>
        <w:t xml:space="preserve"> </w:t>
      </w:r>
      <w:r w:rsidRPr="008D669A">
        <w:rPr>
          <w:i/>
        </w:rPr>
        <w:t>see</w:t>
      </w:r>
      <w:r w:rsidRPr="008D669A">
        <w:t xml:space="preserve"> Petition Attachment 7 </w:t>
      </w:r>
      <w:r>
        <w:t>(</w:t>
      </w:r>
      <w:r w:rsidRPr="00D66E30">
        <w:rPr>
          <w:i/>
        </w:rPr>
        <w:t>All American Telephone Co., Inc., Tariff F.C.C. No. 3</w:t>
      </w:r>
      <w:r>
        <w:t xml:space="preserve">, Order, 25 FCC Rcd 5661 (WCB/PPD May 21, 10)) </w:t>
      </w:r>
      <w:r w:rsidRPr="008D669A">
        <w:t xml:space="preserve">at 2-3, it affords no basis for granting reconsideration because the Defendants make this argument for the first time in the Petition.  </w:t>
      </w:r>
      <w:r w:rsidRPr="008D669A">
        <w:rPr>
          <w:i/>
        </w:rPr>
        <w:t xml:space="preserve">See </w:t>
      </w:r>
      <w:r w:rsidRPr="008D669A">
        <w:t>47 C.F.R. § 1.106(p)(2).</w:t>
      </w:r>
    </w:p>
  </w:footnote>
  <w:footnote w:id="58">
    <w:p w:rsidR="00853130" w:rsidRPr="008D669A" w:rsidRDefault="00853130" w:rsidP="008D669A">
      <w:pPr>
        <w:spacing w:after="120"/>
        <w:rPr>
          <w:sz w:val="20"/>
        </w:rPr>
      </w:pPr>
      <w:r w:rsidRPr="008D669A">
        <w:rPr>
          <w:rStyle w:val="FootnoteReference"/>
        </w:rPr>
        <w:footnoteRef/>
      </w:r>
      <w:r w:rsidRPr="008D669A">
        <w:rPr>
          <w:sz w:val="20"/>
        </w:rPr>
        <w:t xml:space="preserve"> </w:t>
      </w:r>
      <w:r w:rsidRPr="008D669A">
        <w:rPr>
          <w:i/>
          <w:sz w:val="20"/>
        </w:rPr>
        <w:t>See McLaughlin v. Union Oil Co. of Cal.</w:t>
      </w:r>
      <w:r w:rsidRPr="008D669A">
        <w:rPr>
          <w:sz w:val="20"/>
        </w:rPr>
        <w:t>, 869 F.2d 1039, 1047 (7</w:t>
      </w:r>
      <w:r>
        <w:rPr>
          <w:sz w:val="20"/>
        </w:rPr>
        <w:t>th</w:t>
      </w:r>
      <w:r w:rsidRPr="008D669A">
        <w:rPr>
          <w:sz w:val="20"/>
        </w:rPr>
        <w:t xml:space="preserve"> Cir. 1989); </w:t>
      </w:r>
      <w:r w:rsidRPr="008D669A">
        <w:rPr>
          <w:i/>
          <w:sz w:val="20"/>
        </w:rPr>
        <w:t>Orange v. Island Creek Coal Co.</w:t>
      </w:r>
      <w:r w:rsidRPr="008D669A">
        <w:rPr>
          <w:sz w:val="20"/>
        </w:rPr>
        <w:t>, 786 F.2d 724, 728 (6</w:t>
      </w:r>
      <w:r w:rsidRPr="008D669A">
        <w:rPr>
          <w:sz w:val="20"/>
          <w:vertAlign w:val="superscript"/>
        </w:rPr>
        <w:t>th</w:t>
      </w:r>
      <w:r w:rsidRPr="008D669A">
        <w:rPr>
          <w:sz w:val="20"/>
        </w:rPr>
        <w:t xml:space="preserve"> Cir. 1986).</w:t>
      </w:r>
    </w:p>
  </w:footnote>
  <w:footnote w:id="59">
    <w:p w:rsidR="00853130" w:rsidRPr="008D669A" w:rsidRDefault="00853130" w:rsidP="008D669A">
      <w:pPr>
        <w:pStyle w:val="FootnoteText"/>
        <w:tabs>
          <w:tab w:val="left" w:pos="810"/>
        </w:tabs>
        <w:rPr>
          <w:b/>
          <w:u w:val="single"/>
        </w:rPr>
      </w:pPr>
      <w:r w:rsidRPr="008D669A">
        <w:rPr>
          <w:rStyle w:val="FootnoteReference"/>
        </w:rPr>
        <w:footnoteRef/>
      </w:r>
      <w:r w:rsidRPr="008D669A">
        <w:t xml:space="preserve"> Petition at </w:t>
      </w:r>
      <w:r>
        <w:t>4–</w:t>
      </w:r>
      <w:r w:rsidRPr="008D669A">
        <w:t>9; Reply at 4</w:t>
      </w:r>
      <w:r>
        <w:t>–</w:t>
      </w:r>
      <w:r w:rsidRPr="008D669A">
        <w:t>6.</w:t>
      </w:r>
    </w:p>
  </w:footnote>
  <w:footnote w:id="60">
    <w:p w:rsidR="00853130" w:rsidRPr="008D669A" w:rsidRDefault="00853130" w:rsidP="00D0634F">
      <w:pPr>
        <w:pStyle w:val="FootnoteText"/>
        <w:tabs>
          <w:tab w:val="left" w:pos="810"/>
        </w:tabs>
        <w:rPr>
          <w:b/>
          <w:u w:val="single"/>
        </w:rPr>
      </w:pPr>
      <w:r w:rsidRPr="008D669A">
        <w:rPr>
          <w:rStyle w:val="FootnoteReference"/>
        </w:rPr>
        <w:footnoteRef/>
      </w:r>
      <w:r>
        <w:t xml:space="preserve"> </w:t>
      </w:r>
      <w:r>
        <w:rPr>
          <w:i/>
        </w:rPr>
        <w:t>Id</w:t>
      </w:r>
      <w:r w:rsidRPr="008D669A">
        <w:t>.</w:t>
      </w:r>
    </w:p>
  </w:footnote>
  <w:footnote w:id="61">
    <w:p w:rsidR="00853130" w:rsidRPr="008D669A" w:rsidRDefault="00853130" w:rsidP="008D669A">
      <w:pPr>
        <w:pStyle w:val="FootnoteText"/>
      </w:pPr>
      <w:r w:rsidRPr="008D669A">
        <w:rPr>
          <w:rStyle w:val="FootnoteReference"/>
        </w:rPr>
        <w:footnoteRef/>
      </w:r>
      <w:r w:rsidRPr="008D669A">
        <w:t xml:space="preserve"> </w:t>
      </w:r>
      <w:r w:rsidRPr="008D669A">
        <w:rPr>
          <w:i/>
        </w:rPr>
        <w:t>See Implementation of the Telecommunications Act of 1996, Amendment of Rules Governing Procedures to Be Followed when Formal Complaints Are Filed Against Common Carriers</w:t>
      </w:r>
      <w:r w:rsidRPr="008D669A">
        <w:t>, Report and Order, 12 FCC Rcd 22497, 24512</w:t>
      </w:r>
      <w:r>
        <w:t>–</w:t>
      </w:r>
      <w:r w:rsidRPr="008D669A">
        <w:t>16, paras. 34</w:t>
      </w:r>
      <w:r>
        <w:t>–</w:t>
      </w:r>
      <w:r w:rsidRPr="008D669A">
        <w:t>37 (1997); Order on Reconsideration, 16 FCC Rcd 5681, 5684, para. 6 (2001).</w:t>
      </w:r>
    </w:p>
  </w:footnote>
  <w:footnote w:id="62">
    <w:p w:rsidR="00853130" w:rsidRPr="008D669A" w:rsidRDefault="00853130" w:rsidP="008D669A">
      <w:pPr>
        <w:pStyle w:val="FootnoteText"/>
        <w:rPr>
          <w:b/>
          <w:u w:val="single"/>
        </w:rPr>
      </w:pPr>
      <w:r w:rsidRPr="008D669A">
        <w:rPr>
          <w:rStyle w:val="FootnoteReference"/>
        </w:rPr>
        <w:footnoteRef/>
      </w:r>
      <w:r w:rsidRPr="008D669A">
        <w:t xml:space="preserve"> </w:t>
      </w:r>
      <w:r w:rsidRPr="008D669A">
        <w:rPr>
          <w:i/>
        </w:rPr>
        <w:t>See</w:t>
      </w:r>
      <w:r w:rsidRPr="008D669A">
        <w:t xml:space="preserve"> </w:t>
      </w:r>
      <w:r w:rsidRPr="008D669A">
        <w:rPr>
          <w:i/>
        </w:rPr>
        <w:t>Order</w:t>
      </w:r>
      <w:r w:rsidRPr="008D669A">
        <w:t>, 28 FCC Rcd at 3487, para. 23.</w:t>
      </w:r>
    </w:p>
  </w:footnote>
  <w:footnote w:id="63">
    <w:p w:rsidR="00853130" w:rsidRPr="00A67940" w:rsidRDefault="00853130" w:rsidP="008D669A">
      <w:pPr>
        <w:pStyle w:val="FootnoteText"/>
      </w:pPr>
      <w:r w:rsidRPr="008D669A">
        <w:rPr>
          <w:rStyle w:val="FootnoteReference"/>
        </w:rPr>
        <w:footnoteRef/>
      </w:r>
      <w:r w:rsidRPr="008D669A">
        <w:t xml:space="preserve"> </w:t>
      </w:r>
      <w:r w:rsidRPr="008D669A">
        <w:rPr>
          <w:i/>
        </w:rPr>
        <w:t>Teamsters Local Union</w:t>
      </w:r>
      <w:r w:rsidRPr="008D669A">
        <w:t xml:space="preserve">, which addressed the consequences of an agency’s failure to abide by a 45-day deadline that applied to a disciplinary proceeding, </w:t>
      </w:r>
      <w:r>
        <w:t xml:space="preserve">thus </w:t>
      </w:r>
      <w:r w:rsidRPr="008D669A">
        <w:t xml:space="preserve">is irrelevant.  </w:t>
      </w:r>
      <w:r w:rsidRPr="008D669A">
        <w:rPr>
          <w:i/>
        </w:rPr>
        <w:t xml:space="preserve">See </w:t>
      </w:r>
      <w:r w:rsidRPr="008D669A">
        <w:t xml:space="preserve">Petition at 9, n.15 (citing </w:t>
      </w:r>
      <w:r w:rsidRPr="008D669A">
        <w:rPr>
          <w:i/>
        </w:rPr>
        <w:t>Teamsters Local Union 1714 v. Pub</w:t>
      </w:r>
      <w:r>
        <w:rPr>
          <w:i/>
        </w:rPr>
        <w:t>.</w:t>
      </w:r>
      <w:r w:rsidRPr="008D669A">
        <w:rPr>
          <w:i/>
        </w:rPr>
        <w:t xml:space="preserve"> Emp</w:t>
      </w:r>
      <w:r>
        <w:rPr>
          <w:i/>
        </w:rPr>
        <w:t>.</w:t>
      </w:r>
      <w:r w:rsidRPr="008D669A">
        <w:rPr>
          <w:i/>
        </w:rPr>
        <w:t xml:space="preserve"> Relations B</w:t>
      </w:r>
      <w:r>
        <w:rPr>
          <w:i/>
        </w:rPr>
        <w:t>d.</w:t>
      </w:r>
      <w:r w:rsidRPr="008D669A">
        <w:t>, 579 A</w:t>
      </w:r>
      <w:r>
        <w:t xml:space="preserve">.2d 706, 711 (D.C. Cir. 1990)).  </w:t>
      </w:r>
      <w:r>
        <w:rPr>
          <w:i/>
        </w:rPr>
        <w:t>Cf. Farmers &amp; Merchs. Mut. Tel. Co. v. FCC</w:t>
      </w:r>
      <w:r>
        <w:t xml:space="preserve">, 668 F.3d 714, 718 (D.C. Cir. 2011) (even if the Commission failed to meet Section 208(b)(1)’s deadline in a matter—unlike this case—where the deadline applies, it would not lose jurisdiction “because Congress established no consequence for failing to meet th[e] deadline.”). </w:t>
      </w:r>
    </w:p>
  </w:footnote>
  <w:footnote w:id="64">
    <w:p w:rsidR="00853130" w:rsidRPr="008D669A" w:rsidRDefault="00853130" w:rsidP="008D669A">
      <w:pPr>
        <w:pStyle w:val="FootnoteText"/>
      </w:pPr>
      <w:r w:rsidRPr="008D669A">
        <w:rPr>
          <w:rStyle w:val="FootnoteReference"/>
        </w:rPr>
        <w:footnoteRef/>
      </w:r>
      <w:r w:rsidRPr="008D669A">
        <w:t xml:space="preserve"> Petition at 20</w:t>
      </w:r>
      <w:r>
        <w:t>–</w:t>
      </w:r>
      <w:r w:rsidRPr="008D669A">
        <w:t>23; Reply at 3</w:t>
      </w:r>
      <w:r>
        <w:t>–</w:t>
      </w:r>
      <w:r w:rsidRPr="008D669A">
        <w:t xml:space="preserve">4.  </w:t>
      </w:r>
      <w:r w:rsidRPr="0024228D">
        <w:rPr>
          <w:i/>
        </w:rPr>
        <w:t>Connect America Fund et al</w:t>
      </w:r>
      <w:r w:rsidRPr="0024228D">
        <w:t>., WC Docket No. 10-90 et al., Report and Order and Further Notice of Proposed Rulemaking, 26 FCC Rcd 176634 (2011) (</w:t>
      </w:r>
      <w:r w:rsidRPr="0024228D">
        <w:rPr>
          <w:i/>
        </w:rPr>
        <w:t>USF/ICC Transformation Order</w:t>
      </w:r>
      <w:r w:rsidRPr="0024228D">
        <w:t xml:space="preserve">), </w:t>
      </w:r>
      <w:r w:rsidRPr="0024228D">
        <w:rPr>
          <w:i/>
          <w:iCs/>
        </w:rPr>
        <w:t>pets. for review pending</w:t>
      </w:r>
      <w:r w:rsidRPr="0024228D">
        <w:t xml:space="preserve">, </w:t>
      </w:r>
      <w:r w:rsidRPr="0024228D">
        <w:rPr>
          <w:i/>
          <w:iCs/>
        </w:rPr>
        <w:t>Direct Commc</w:t>
      </w:r>
      <w:r>
        <w:rPr>
          <w:i/>
          <w:iCs/>
        </w:rPr>
        <w:t>’</w:t>
      </w:r>
      <w:r w:rsidRPr="0024228D">
        <w:rPr>
          <w:i/>
          <w:iCs/>
        </w:rPr>
        <w:t>ns Cedar Valley, LLC v. FCC</w:t>
      </w:r>
      <w:r w:rsidRPr="0024228D">
        <w:t>, No. 11-9581 (10th Cir. filed Dec. 18, 2011) (and consolidated cases).</w:t>
      </w:r>
      <w:r>
        <w:t xml:space="preserve">  </w:t>
      </w:r>
      <w:r w:rsidRPr="008D669A">
        <w:t xml:space="preserve">Although Defendants argue that the </w:t>
      </w:r>
      <w:r w:rsidRPr="008D669A">
        <w:rPr>
          <w:i/>
        </w:rPr>
        <w:t>Order</w:t>
      </w:r>
      <w:r w:rsidRPr="008D669A">
        <w:t xml:space="preserve">’s findings also contravene other relevant Commission precedent, they cite nothing other than the </w:t>
      </w:r>
      <w:r w:rsidRPr="0024228D">
        <w:rPr>
          <w:i/>
        </w:rPr>
        <w:t>USF/ICC Transformation Order</w:t>
      </w:r>
      <w:r w:rsidRPr="008D669A">
        <w:t xml:space="preserve">.  </w:t>
      </w:r>
      <w:r w:rsidRPr="008D669A">
        <w:rPr>
          <w:i/>
        </w:rPr>
        <w:t>See</w:t>
      </w:r>
      <w:r w:rsidRPr="008D669A">
        <w:t xml:space="preserve"> Petition at 20</w:t>
      </w:r>
      <w:r>
        <w:t>–</w:t>
      </w:r>
      <w:r w:rsidRPr="008D669A">
        <w:t>23; Reply at 3</w:t>
      </w:r>
      <w:r>
        <w:t>–</w:t>
      </w:r>
      <w:r w:rsidRPr="008D669A">
        <w:t>4.</w:t>
      </w:r>
    </w:p>
  </w:footnote>
  <w:footnote w:id="65">
    <w:p w:rsidR="00853130" w:rsidRPr="008D669A" w:rsidRDefault="00853130" w:rsidP="008D669A">
      <w:pPr>
        <w:pStyle w:val="FootnoteText"/>
      </w:pPr>
      <w:r w:rsidRPr="008D669A">
        <w:rPr>
          <w:rStyle w:val="FootnoteReference"/>
        </w:rPr>
        <w:footnoteRef/>
      </w:r>
      <w:r w:rsidRPr="008D669A">
        <w:t xml:space="preserve"> </w:t>
      </w:r>
      <w:r w:rsidRPr="008D669A">
        <w:rPr>
          <w:i/>
        </w:rPr>
        <w:t xml:space="preserve">See </w:t>
      </w:r>
      <w:r w:rsidRPr="008D669A">
        <w:t xml:space="preserve">Reply at 4.  </w:t>
      </w:r>
      <w:r w:rsidRPr="008D669A">
        <w:rPr>
          <w:i/>
        </w:rPr>
        <w:t>See also</w:t>
      </w:r>
      <w:r w:rsidRPr="008D669A">
        <w:t xml:space="preserve"> </w:t>
      </w:r>
      <w:r>
        <w:rPr>
          <w:i/>
        </w:rPr>
        <w:t>USF/ICC Transformation Order</w:t>
      </w:r>
      <w:r w:rsidRPr="008D669A">
        <w:t xml:space="preserve">, 26 FCC Rcd at 17889, n.1182.  The </w:t>
      </w:r>
      <w:r>
        <w:rPr>
          <w:i/>
        </w:rPr>
        <w:t>USF/ICC Transformation Order</w:t>
      </w:r>
      <w:r w:rsidRPr="00034270">
        <w:t xml:space="preserve"> </w:t>
      </w:r>
      <w:r w:rsidRPr="008D669A">
        <w:t xml:space="preserve">thus complements prior decisions and did not overturn or supersede them.  </w:t>
      </w:r>
      <w:r w:rsidRPr="008D669A">
        <w:rPr>
          <w:i/>
        </w:rPr>
        <w:t xml:space="preserve">See </w:t>
      </w:r>
      <w:r>
        <w:rPr>
          <w:i/>
        </w:rPr>
        <w:t>id.</w:t>
      </w:r>
      <w:r w:rsidRPr="008D669A">
        <w:t xml:space="preserve">; </w:t>
      </w:r>
      <w:r w:rsidRPr="008D669A">
        <w:rPr>
          <w:i/>
        </w:rPr>
        <w:t>see also</w:t>
      </w:r>
      <w:r w:rsidRPr="008D669A">
        <w:t xml:space="preserve"> </w:t>
      </w:r>
      <w:r>
        <w:rPr>
          <w:i/>
        </w:rPr>
        <w:t>USF/ICC Transformation Order</w:t>
      </w:r>
      <w:r>
        <w:t>, Ord</w:t>
      </w:r>
      <w:r w:rsidRPr="008D669A">
        <w:t>er, 27 FCC Rcd 605, 613</w:t>
      </w:r>
      <w:r>
        <w:t>,</w:t>
      </w:r>
      <w:r w:rsidRPr="008D669A">
        <w:t xml:space="preserve"> para. 25 (WCB 2012).</w:t>
      </w:r>
    </w:p>
  </w:footnote>
  <w:footnote w:id="66">
    <w:p w:rsidR="00853130" w:rsidRPr="008D669A" w:rsidRDefault="00853130" w:rsidP="008D669A">
      <w:pPr>
        <w:spacing w:after="120"/>
        <w:rPr>
          <w:sz w:val="20"/>
        </w:rPr>
      </w:pPr>
      <w:r w:rsidRPr="008D669A">
        <w:rPr>
          <w:rStyle w:val="FootnoteReference"/>
        </w:rPr>
        <w:footnoteRef/>
      </w:r>
      <w:r w:rsidRPr="008D669A">
        <w:rPr>
          <w:sz w:val="20"/>
        </w:rPr>
        <w:t xml:space="preserve"> Petition at 21</w:t>
      </w:r>
      <w:r>
        <w:rPr>
          <w:sz w:val="20"/>
        </w:rPr>
        <w:t>–</w:t>
      </w:r>
      <w:r w:rsidRPr="008D669A">
        <w:rPr>
          <w:sz w:val="20"/>
        </w:rPr>
        <w:t xml:space="preserve">22.  </w:t>
      </w:r>
      <w:r w:rsidRPr="008D669A">
        <w:rPr>
          <w:i/>
          <w:sz w:val="20"/>
        </w:rPr>
        <w:t xml:space="preserve">    </w:t>
      </w:r>
      <w:r w:rsidRPr="008D669A">
        <w:rPr>
          <w:sz w:val="20"/>
        </w:rPr>
        <w:t xml:space="preserve"> </w:t>
      </w:r>
    </w:p>
  </w:footnote>
  <w:footnote w:id="67">
    <w:p w:rsidR="00853130" w:rsidRPr="008D669A" w:rsidRDefault="00853130" w:rsidP="008D669A">
      <w:pPr>
        <w:pStyle w:val="FootnoteText"/>
      </w:pPr>
      <w:r w:rsidRPr="008D669A">
        <w:rPr>
          <w:rStyle w:val="FootnoteReference"/>
        </w:rPr>
        <w:footnoteRef/>
      </w:r>
      <w:r w:rsidRPr="008D669A">
        <w:t xml:space="preserve"> </w:t>
      </w:r>
      <w:r w:rsidRPr="008D669A">
        <w:rPr>
          <w:i/>
        </w:rPr>
        <w:t>See Access Charge Reform, Reform of Access Charges Imposed by Competitive Local Exchange Carriers</w:t>
      </w:r>
      <w:r w:rsidRPr="008D669A">
        <w:t>, Seventh Report and Order and Further Notice of Proposed Rulemaking, 16 FCC Rcd 9923 (2001) (</w:t>
      </w:r>
      <w:r w:rsidRPr="008D669A">
        <w:rPr>
          <w:i/>
        </w:rPr>
        <w:t>2001 CLEC Access Charge Order</w:t>
      </w:r>
      <w:r w:rsidRPr="008D669A">
        <w:t xml:space="preserve">) (permitting CLECs to tariff </w:t>
      </w:r>
      <w:r w:rsidRPr="008D669A">
        <w:rPr>
          <w:i/>
        </w:rPr>
        <w:t>qualifying rates</w:t>
      </w:r>
      <w:r w:rsidRPr="008D669A">
        <w:t xml:space="preserve"> and limiting complaint challenges regarding the reasonableness of such </w:t>
      </w:r>
      <w:r w:rsidRPr="008D669A">
        <w:rPr>
          <w:i/>
        </w:rPr>
        <w:t>qualifying rates</w:t>
      </w:r>
      <w:r w:rsidRPr="008D669A">
        <w:t xml:space="preserve">); </w:t>
      </w:r>
      <w:r w:rsidRPr="008D669A">
        <w:rPr>
          <w:i/>
        </w:rPr>
        <w:t>Qwest Commc’ns Co. v. N</w:t>
      </w:r>
      <w:r>
        <w:rPr>
          <w:i/>
        </w:rPr>
        <w:t>.</w:t>
      </w:r>
      <w:r w:rsidRPr="008D669A">
        <w:rPr>
          <w:i/>
        </w:rPr>
        <w:t xml:space="preserve"> Valley Commc’ns</w:t>
      </w:r>
      <w:r w:rsidRPr="008D669A">
        <w:t xml:space="preserve">, Memorandum Opinion and Order, 26 FCC Rcd. 8332 (2011) (finding CLEC’s tariff violated section 201(b) of the Act); </w:t>
      </w:r>
      <w:r w:rsidRPr="008D669A">
        <w:rPr>
          <w:i/>
        </w:rPr>
        <w:t>AT&amp;T Corp. v. YMax Comm</w:t>
      </w:r>
      <w:r>
        <w:rPr>
          <w:i/>
        </w:rPr>
        <w:t>c’ns</w:t>
      </w:r>
      <w:r w:rsidRPr="008D669A">
        <w:rPr>
          <w:i/>
        </w:rPr>
        <w:t xml:space="preserve"> Corp.</w:t>
      </w:r>
      <w:r w:rsidRPr="008D669A">
        <w:t xml:space="preserve">, Memorandum Opinion and Order, 26 FCC Rcd 5742 (2011) (finding that CLEC violated Sections 201(b) and 203 of the Act by billing for services not covered by the terms of its tariff); </w:t>
      </w:r>
      <w:r w:rsidRPr="008D669A">
        <w:rPr>
          <w:i/>
        </w:rPr>
        <w:t>Qwest Commc’ns Co., LLC v. Sancom, Inc.</w:t>
      </w:r>
      <w:r w:rsidRPr="008D669A">
        <w:t xml:space="preserve">, Memorandum Opinion and Order, 28 FCC Rcd. 1982 (Enf. Bur. 2013) (same).  </w:t>
      </w:r>
      <w:r w:rsidRPr="008D669A">
        <w:rPr>
          <w:i/>
        </w:rPr>
        <w:t>See also</w:t>
      </w:r>
      <w:r w:rsidRPr="008D669A">
        <w:t xml:space="preserve"> </w:t>
      </w:r>
      <w:r w:rsidRPr="008D669A">
        <w:rPr>
          <w:i/>
        </w:rPr>
        <w:t>Qwest Commc’ns Corp. v. Farmers &amp; Merchs. Mut. Tel. Co.</w:t>
      </w:r>
      <w:r w:rsidRPr="008D669A">
        <w:t xml:space="preserve">, </w:t>
      </w:r>
      <w:r>
        <w:t xml:space="preserve">Second Order on Reconsideration, </w:t>
      </w:r>
      <w:r w:rsidRPr="008D669A">
        <w:t xml:space="preserve">24 FCC Rcd. 14801 (2009), </w:t>
      </w:r>
      <w:r w:rsidRPr="008D669A">
        <w:rPr>
          <w:i/>
        </w:rPr>
        <w:t>recon. denied</w:t>
      </w:r>
      <w:r w:rsidRPr="008D669A">
        <w:t xml:space="preserve">, 25 FCC Rcd. 3422 (2010), </w:t>
      </w:r>
      <w:r w:rsidRPr="008D669A">
        <w:rPr>
          <w:i/>
        </w:rPr>
        <w:t>aff’d</w:t>
      </w:r>
      <w:r w:rsidRPr="008D669A">
        <w:t xml:space="preserve">, 668 F.3d 714 (D.C. Cir. 2011) (same with respect to </w:t>
      </w:r>
      <w:r>
        <w:t>incumbent local exchange carrier</w:t>
      </w:r>
      <w:r w:rsidRPr="008D669A">
        <w:t xml:space="preserve">).  </w:t>
      </w:r>
      <w:r w:rsidRPr="008D669A">
        <w:rPr>
          <w:i/>
        </w:rPr>
        <w:t>Cf.</w:t>
      </w:r>
      <w:r w:rsidRPr="00B33A8E">
        <w:rPr>
          <w:i/>
        </w:rPr>
        <w:t xml:space="preserve"> </w:t>
      </w:r>
      <w:r>
        <w:rPr>
          <w:i/>
        </w:rPr>
        <w:t>USF/ICC Transformation Order</w:t>
      </w:r>
      <w:r w:rsidRPr="008D669A">
        <w:t xml:space="preserve">, 26 FCC Rcd 17663 (finding that revised rules will facilitate the Commission’s complaint enforcement processes).  </w:t>
      </w:r>
    </w:p>
  </w:footnote>
  <w:footnote w:id="68">
    <w:p w:rsidR="00853130" w:rsidRPr="008D669A" w:rsidRDefault="00853130" w:rsidP="006C3D26">
      <w:pPr>
        <w:pStyle w:val="FootnoteText"/>
      </w:pPr>
      <w:r w:rsidRPr="008D669A">
        <w:rPr>
          <w:rStyle w:val="FootnoteReference"/>
        </w:rPr>
        <w:footnoteRef/>
      </w:r>
      <w:r w:rsidRPr="008D669A">
        <w:t xml:space="preserve"> </w:t>
      </w:r>
      <w:r w:rsidRPr="008D669A">
        <w:rPr>
          <w:i/>
        </w:rPr>
        <w:t>See</w:t>
      </w:r>
      <w:r w:rsidRPr="00B33A8E">
        <w:rPr>
          <w:i/>
        </w:rPr>
        <w:t xml:space="preserve"> </w:t>
      </w:r>
      <w:r>
        <w:rPr>
          <w:i/>
        </w:rPr>
        <w:t>USF/ICC Transformation Order</w:t>
      </w:r>
      <w:r w:rsidRPr="008D669A">
        <w:t>, 26 FCC Rcd at 17676, para. 33</w:t>
      </w:r>
      <w:r>
        <w:t>;</w:t>
      </w:r>
      <w:r w:rsidRPr="008D669A">
        <w:t xml:space="preserve"> 17873, para. 649</w:t>
      </w:r>
      <w:r>
        <w:t>;</w:t>
      </w:r>
      <w:r w:rsidRPr="008D669A">
        <w:t xml:space="preserve"> 17875, paras. 662</w:t>
      </w:r>
      <w:r>
        <w:t>–</w:t>
      </w:r>
      <w:r w:rsidRPr="008D669A">
        <w:t>63.</w:t>
      </w:r>
    </w:p>
  </w:footnote>
  <w:footnote w:id="69">
    <w:p w:rsidR="00853130" w:rsidRPr="008D669A" w:rsidRDefault="00853130" w:rsidP="008D669A">
      <w:pPr>
        <w:pStyle w:val="FootnoteText"/>
      </w:pPr>
      <w:r w:rsidRPr="008D669A">
        <w:rPr>
          <w:rStyle w:val="FootnoteReference"/>
        </w:rPr>
        <w:footnoteRef/>
      </w:r>
      <w:r w:rsidRPr="008D669A">
        <w:t xml:space="preserve"> Defendants argue that a number of the </w:t>
      </w:r>
      <w:r w:rsidRPr="008D669A">
        <w:rPr>
          <w:i/>
        </w:rPr>
        <w:t>Order</w:t>
      </w:r>
      <w:r w:rsidRPr="008D669A">
        <w:t xml:space="preserve">’s findings “are in violation of the Commission’s rules governing access stimulation.”  </w:t>
      </w:r>
      <w:r w:rsidRPr="008D669A">
        <w:rPr>
          <w:i/>
        </w:rPr>
        <w:t>See</w:t>
      </w:r>
      <w:r w:rsidRPr="008D669A">
        <w:t xml:space="preserve"> Petition at 20</w:t>
      </w:r>
      <w:r>
        <w:t>–</w:t>
      </w:r>
      <w:r w:rsidRPr="008D669A">
        <w:t>21.  Yet the Defendants fail to identify any particular rules in support of their assertion, beyond those promulgated by the prospective</w:t>
      </w:r>
      <w:r w:rsidRPr="00B33A8E">
        <w:rPr>
          <w:i/>
        </w:rPr>
        <w:t xml:space="preserve"> </w:t>
      </w:r>
      <w:r>
        <w:rPr>
          <w:i/>
        </w:rPr>
        <w:t>USF/ICC Transformation Order</w:t>
      </w:r>
      <w:r w:rsidRPr="008D669A">
        <w:t xml:space="preserve">.  Moreover, in many instances, Defendants’ arguments are not supported by the authority they cite.  </w:t>
      </w:r>
      <w:r w:rsidRPr="008D669A">
        <w:rPr>
          <w:i/>
        </w:rPr>
        <w:t>Compare</w:t>
      </w:r>
      <w:r w:rsidRPr="008D669A">
        <w:t xml:space="preserve"> Petition at 21</w:t>
      </w:r>
      <w:r>
        <w:t>,</w:t>
      </w:r>
      <w:r w:rsidRPr="008D669A">
        <w:t xml:space="preserve"> </w:t>
      </w:r>
      <w:r w:rsidRPr="008D669A">
        <w:rPr>
          <w:i/>
        </w:rPr>
        <w:t>with Order</w:t>
      </w:r>
      <w:r w:rsidRPr="008D669A">
        <w:t>, 26 FCC Rcd at 3483</w:t>
      </w:r>
      <w:r>
        <w:t>–8</w:t>
      </w:r>
      <w:r w:rsidRPr="008D669A">
        <w:t>4, para. 17</w:t>
      </w:r>
      <w:r>
        <w:t>;</w:t>
      </w:r>
      <w:r w:rsidRPr="008D669A">
        <w:t xml:space="preserve"> 3488</w:t>
      </w:r>
      <w:r>
        <w:t>–8</w:t>
      </w:r>
      <w:r w:rsidRPr="008D669A">
        <w:t>9, paras. 25, 27.</w:t>
      </w:r>
    </w:p>
  </w:footnote>
  <w:footnote w:id="70">
    <w:p w:rsidR="00853130" w:rsidRPr="008D669A" w:rsidRDefault="00853130" w:rsidP="008D669A">
      <w:pPr>
        <w:spacing w:after="120"/>
        <w:rPr>
          <w:b/>
          <w:sz w:val="20"/>
        </w:rPr>
      </w:pPr>
      <w:r w:rsidRPr="008D669A">
        <w:rPr>
          <w:rStyle w:val="FootnoteReference"/>
        </w:rPr>
        <w:footnoteRef/>
      </w:r>
      <w:r w:rsidRPr="008D669A">
        <w:rPr>
          <w:sz w:val="20"/>
        </w:rPr>
        <w:t xml:space="preserve"> Neither Defendants’ argument regarding </w:t>
      </w:r>
      <w:r w:rsidRPr="00B33A8E">
        <w:rPr>
          <w:sz w:val="20"/>
        </w:rPr>
        <w:t xml:space="preserve">the </w:t>
      </w:r>
      <w:r w:rsidRPr="00B33A8E">
        <w:rPr>
          <w:i/>
          <w:sz w:val="20"/>
        </w:rPr>
        <w:t>USF/ICC Transformation Order’s</w:t>
      </w:r>
      <w:r w:rsidRPr="00034270">
        <w:t xml:space="preserve"> </w:t>
      </w:r>
      <w:r w:rsidRPr="008D669A">
        <w:rPr>
          <w:sz w:val="20"/>
        </w:rPr>
        <w:t>definition of “revenue sharing agreements</w:t>
      </w:r>
      <w:r>
        <w:rPr>
          <w:sz w:val="20"/>
        </w:rPr>
        <w:t>,</w:t>
      </w:r>
      <w:r w:rsidRPr="008D669A">
        <w:rPr>
          <w:sz w:val="20"/>
        </w:rPr>
        <w:t>” Petition at 21</w:t>
      </w:r>
      <w:r>
        <w:rPr>
          <w:sz w:val="20"/>
        </w:rPr>
        <w:t>–</w:t>
      </w:r>
      <w:r w:rsidRPr="008D669A">
        <w:rPr>
          <w:sz w:val="20"/>
        </w:rPr>
        <w:t>22</w:t>
      </w:r>
      <w:r>
        <w:rPr>
          <w:sz w:val="20"/>
        </w:rPr>
        <w:t>,</w:t>
      </w:r>
      <w:r w:rsidRPr="008D669A">
        <w:rPr>
          <w:sz w:val="20"/>
        </w:rPr>
        <w:t xml:space="preserve"> nor their argument concerning other carriers’ tariffs that were amended to include “chat” and conference operators in their definitions of “end user</w:t>
      </w:r>
      <w:r>
        <w:rPr>
          <w:sz w:val="20"/>
        </w:rPr>
        <w:t>,</w:t>
      </w:r>
      <w:r w:rsidRPr="008D669A">
        <w:rPr>
          <w:sz w:val="20"/>
        </w:rPr>
        <w:t>” Petition at 22</w:t>
      </w:r>
      <w:r>
        <w:rPr>
          <w:sz w:val="20"/>
        </w:rPr>
        <w:t>–</w:t>
      </w:r>
      <w:r w:rsidRPr="008D669A">
        <w:rPr>
          <w:sz w:val="20"/>
        </w:rPr>
        <w:t>23 (citing Reply Brief at 5)</w:t>
      </w:r>
      <w:r>
        <w:rPr>
          <w:sz w:val="20"/>
        </w:rPr>
        <w:t>,</w:t>
      </w:r>
      <w:r w:rsidRPr="008D669A">
        <w:rPr>
          <w:sz w:val="20"/>
        </w:rPr>
        <w:t xml:space="preserve"> has any bearing on our determinations in this order concerning whether Defendants complied with their tariffs.</w:t>
      </w:r>
    </w:p>
  </w:footnote>
  <w:footnote w:id="71">
    <w:p w:rsidR="00853130" w:rsidRPr="008D669A" w:rsidRDefault="00853130" w:rsidP="008D669A">
      <w:pPr>
        <w:pStyle w:val="FootnoteText"/>
        <w:rPr>
          <w:b/>
        </w:rPr>
      </w:pPr>
      <w:r w:rsidRPr="008D669A">
        <w:rPr>
          <w:rStyle w:val="FootnoteReference"/>
        </w:rPr>
        <w:footnoteRef/>
      </w:r>
      <w:r w:rsidRPr="008D669A">
        <w:t xml:space="preserve"> </w:t>
      </w:r>
      <w:r w:rsidRPr="008D669A">
        <w:rPr>
          <w:i/>
        </w:rPr>
        <w:t>See</w:t>
      </w:r>
      <w:r w:rsidRPr="008D669A">
        <w:t xml:space="preserve"> Reply at 4.</w:t>
      </w:r>
    </w:p>
  </w:footnote>
  <w:footnote w:id="72">
    <w:p w:rsidR="00853130" w:rsidRPr="008D669A" w:rsidRDefault="00853130" w:rsidP="008D669A">
      <w:pPr>
        <w:pStyle w:val="FootnoteText"/>
      </w:pPr>
      <w:r w:rsidRPr="008D669A">
        <w:rPr>
          <w:rStyle w:val="FootnoteReference"/>
        </w:rPr>
        <w:footnoteRef/>
      </w:r>
      <w:r w:rsidRPr="008D669A">
        <w:t xml:space="preserve"> 47 C.F.R. § 1.106(b)(1).</w:t>
      </w:r>
    </w:p>
  </w:footnote>
  <w:footnote w:id="73">
    <w:p w:rsidR="00853130" w:rsidRPr="008D669A" w:rsidRDefault="00853130" w:rsidP="008D669A">
      <w:pPr>
        <w:pStyle w:val="FootnoteText"/>
      </w:pPr>
      <w:r w:rsidRPr="008D669A">
        <w:rPr>
          <w:rStyle w:val="FootnoteReference"/>
        </w:rPr>
        <w:footnoteRef/>
      </w:r>
      <w:r w:rsidRPr="008D669A">
        <w:t xml:space="preserve"> Beehive Petition at 10; Beehive Reply at 3.  </w:t>
      </w:r>
    </w:p>
  </w:footnote>
  <w:footnote w:id="74">
    <w:p w:rsidR="00853130" w:rsidRPr="008D669A" w:rsidRDefault="00853130" w:rsidP="008D669A">
      <w:pPr>
        <w:autoSpaceDE w:val="0"/>
        <w:autoSpaceDN w:val="0"/>
        <w:spacing w:after="120"/>
        <w:rPr>
          <w:color w:val="000000"/>
          <w:sz w:val="20"/>
        </w:rPr>
      </w:pPr>
      <w:r w:rsidRPr="008D669A">
        <w:rPr>
          <w:rStyle w:val="FootnoteReference"/>
        </w:rPr>
        <w:footnoteRef/>
      </w:r>
      <w:r w:rsidRPr="008D669A">
        <w:rPr>
          <w:sz w:val="20"/>
        </w:rPr>
        <w:t xml:space="preserve"> </w:t>
      </w:r>
      <w:r w:rsidRPr="008D669A">
        <w:rPr>
          <w:i/>
          <w:sz w:val="20"/>
        </w:rPr>
        <w:t>All Am</w:t>
      </w:r>
      <w:r>
        <w:rPr>
          <w:i/>
          <w:sz w:val="20"/>
        </w:rPr>
        <w:t>.</w:t>
      </w:r>
      <w:r w:rsidRPr="008D669A">
        <w:rPr>
          <w:i/>
          <w:sz w:val="20"/>
        </w:rPr>
        <w:t xml:space="preserve"> Tel. Co. v. AT&amp;T Corp.</w:t>
      </w:r>
      <w:r w:rsidRPr="008D669A">
        <w:rPr>
          <w:sz w:val="20"/>
        </w:rPr>
        <w:t>, Order, 26 FCC Rcd 15016, 15017</w:t>
      </w:r>
      <w:r>
        <w:rPr>
          <w:sz w:val="20"/>
        </w:rPr>
        <w:t>–</w:t>
      </w:r>
      <w:r w:rsidRPr="008D669A">
        <w:rPr>
          <w:sz w:val="20"/>
        </w:rPr>
        <w:t xml:space="preserve">18, para. 6 (Enf. Bur. 2011).  </w:t>
      </w:r>
      <w:r w:rsidRPr="008D669A">
        <w:rPr>
          <w:i/>
          <w:sz w:val="20"/>
        </w:rPr>
        <w:t>See also</w:t>
      </w:r>
      <w:r w:rsidRPr="008D669A">
        <w:rPr>
          <w:sz w:val="20"/>
        </w:rPr>
        <w:t xml:space="preserve"> </w:t>
      </w:r>
      <w:r w:rsidRPr="008D669A">
        <w:rPr>
          <w:i/>
          <w:sz w:val="20"/>
        </w:rPr>
        <w:t>AT&amp;T Corp. v.</w:t>
      </w:r>
      <w:r w:rsidRPr="008D669A">
        <w:rPr>
          <w:sz w:val="20"/>
        </w:rPr>
        <w:t xml:space="preserve"> </w:t>
      </w:r>
      <w:r w:rsidRPr="008D669A">
        <w:rPr>
          <w:i/>
          <w:sz w:val="20"/>
        </w:rPr>
        <w:t>Bus</w:t>
      </w:r>
      <w:r>
        <w:rPr>
          <w:i/>
          <w:sz w:val="20"/>
        </w:rPr>
        <w:t>.</w:t>
      </w:r>
      <w:r w:rsidRPr="008D669A">
        <w:rPr>
          <w:i/>
          <w:sz w:val="20"/>
        </w:rPr>
        <w:t xml:space="preserve"> Telecom, Inc.</w:t>
      </w:r>
      <w:r>
        <w:rPr>
          <w:sz w:val="20"/>
        </w:rPr>
        <w:t>,</w:t>
      </w:r>
      <w:r w:rsidRPr="008D669A">
        <w:rPr>
          <w:sz w:val="20"/>
        </w:rPr>
        <w:t xml:space="preserve"> Order on Reconsideration, 16 FCC Rcd 21750, 21752</w:t>
      </w:r>
      <w:r>
        <w:rPr>
          <w:sz w:val="20"/>
        </w:rPr>
        <w:t>–</w:t>
      </w:r>
      <w:r w:rsidRPr="008D669A">
        <w:rPr>
          <w:sz w:val="20"/>
        </w:rPr>
        <w:t>54, paras. 6</w:t>
      </w:r>
      <w:r>
        <w:rPr>
          <w:sz w:val="20"/>
        </w:rPr>
        <w:t>–</w:t>
      </w:r>
      <w:r w:rsidRPr="008D669A">
        <w:rPr>
          <w:sz w:val="20"/>
        </w:rPr>
        <w:t>7 (2001) (“Petitioners have not directed us to any Commission or court case law suggesting that the precedential value of an adjudicatory order in a section 208 complaint proceeding can ‘adversely affect’ a non-party to the adjudication within the meaning of section 405(a) of the Act and section 1.106 of the Commission’s rules.”).</w:t>
      </w:r>
      <w:r w:rsidRPr="008D669A">
        <w:rPr>
          <w:color w:val="000000"/>
          <w:sz w:val="20"/>
        </w:rPr>
        <w:t xml:space="preserve"> </w:t>
      </w:r>
    </w:p>
  </w:footnote>
  <w:footnote w:id="75">
    <w:p w:rsidR="00853130" w:rsidRPr="008D669A" w:rsidRDefault="00853130" w:rsidP="008D669A">
      <w:pPr>
        <w:pStyle w:val="FootnoteText"/>
      </w:pPr>
      <w:r w:rsidRPr="008D669A">
        <w:rPr>
          <w:rStyle w:val="FootnoteReference"/>
        </w:rPr>
        <w:footnoteRef/>
      </w:r>
      <w:r w:rsidRPr="008D669A">
        <w:t xml:space="preserve"> Beehive Petition at 10; Beehive Reply at 3</w:t>
      </w:r>
      <w:r>
        <w:t>–</w:t>
      </w:r>
      <w:r w:rsidRPr="008D669A">
        <w:t xml:space="preserve">4.  </w:t>
      </w:r>
      <w:r w:rsidRPr="008D669A">
        <w:rPr>
          <w:i/>
        </w:rPr>
        <w:t>See Beehive Tel</w:t>
      </w:r>
      <w:r>
        <w:rPr>
          <w:i/>
        </w:rPr>
        <w:t>.</w:t>
      </w:r>
      <w:r w:rsidRPr="008D669A">
        <w:rPr>
          <w:i/>
        </w:rPr>
        <w:t xml:space="preserve"> Co., Inc., Beehive Tel</w:t>
      </w:r>
      <w:r>
        <w:rPr>
          <w:i/>
        </w:rPr>
        <w:t>.</w:t>
      </w:r>
      <w:r w:rsidRPr="008D669A">
        <w:rPr>
          <w:i/>
        </w:rPr>
        <w:t xml:space="preserve"> Co. of Nevada, Inc. v. Sprint Comm</w:t>
      </w:r>
      <w:r>
        <w:rPr>
          <w:i/>
        </w:rPr>
        <w:t>c’ns</w:t>
      </w:r>
      <w:r w:rsidRPr="008D669A">
        <w:rPr>
          <w:i/>
        </w:rPr>
        <w:t>, Co</w:t>
      </w:r>
      <w:r>
        <w:rPr>
          <w:i/>
        </w:rPr>
        <w:t>.</w:t>
      </w:r>
      <w:r w:rsidRPr="008D669A">
        <w:rPr>
          <w:i/>
        </w:rPr>
        <w:t>, L.P. v. All Am</w:t>
      </w:r>
      <w:r>
        <w:rPr>
          <w:i/>
        </w:rPr>
        <w:t>.</w:t>
      </w:r>
      <w:r w:rsidRPr="008D669A">
        <w:rPr>
          <w:i/>
        </w:rPr>
        <w:t xml:space="preserve"> Tel</w:t>
      </w:r>
      <w:r>
        <w:rPr>
          <w:i/>
        </w:rPr>
        <w:t>.</w:t>
      </w:r>
      <w:r w:rsidRPr="008D669A">
        <w:rPr>
          <w:i/>
        </w:rPr>
        <w:t xml:space="preserve"> Co., Inc.</w:t>
      </w:r>
      <w:r w:rsidRPr="008D669A">
        <w:t>,</w:t>
      </w:r>
      <w:r w:rsidRPr="008D669A">
        <w:rPr>
          <w:i/>
        </w:rPr>
        <w:t xml:space="preserve"> </w:t>
      </w:r>
      <w:r w:rsidRPr="008D669A">
        <w:t>Order of Referral to the Federal Communications Commission, No. 2:08-cv-00380 (C.D. Utah Dec. 7, 2012) (</w:t>
      </w:r>
      <w:r w:rsidRPr="008D669A">
        <w:rPr>
          <w:i/>
        </w:rPr>
        <w:t>Utah Referral Order</w:t>
      </w:r>
      <w:r w:rsidRPr="008D669A">
        <w:t xml:space="preserve">).  </w:t>
      </w:r>
    </w:p>
  </w:footnote>
  <w:footnote w:id="76">
    <w:p w:rsidR="00853130" w:rsidRPr="008D669A" w:rsidRDefault="00853130" w:rsidP="008D669A">
      <w:pPr>
        <w:pStyle w:val="FootnoteText"/>
      </w:pPr>
      <w:r w:rsidRPr="008D669A">
        <w:rPr>
          <w:rStyle w:val="FootnoteReference"/>
        </w:rPr>
        <w:footnoteRef/>
      </w:r>
      <w:r w:rsidRPr="008D669A">
        <w:t xml:space="preserve"> Beehive Petition at 11, 15</w:t>
      </w:r>
      <w:r>
        <w:t>–</w:t>
      </w:r>
      <w:r w:rsidRPr="008D669A">
        <w:t>17; Beehive Reply at 3</w:t>
      </w:r>
      <w:r>
        <w:t>–</w:t>
      </w:r>
      <w:r w:rsidRPr="008D669A">
        <w:t>4, 9</w:t>
      </w:r>
      <w:r>
        <w:t>–</w:t>
      </w:r>
      <w:r w:rsidRPr="008D669A">
        <w:t>10.</w:t>
      </w:r>
    </w:p>
  </w:footnote>
  <w:footnote w:id="77">
    <w:p w:rsidR="00853130" w:rsidRPr="008D669A" w:rsidRDefault="00853130" w:rsidP="008D669A">
      <w:pPr>
        <w:pStyle w:val="FootnoteText"/>
        <w:rPr>
          <w:b/>
        </w:rPr>
      </w:pPr>
      <w:r w:rsidRPr="008D669A">
        <w:rPr>
          <w:rStyle w:val="FootnoteReference"/>
        </w:rPr>
        <w:footnoteRef/>
      </w:r>
      <w:r w:rsidRPr="008D669A">
        <w:t xml:space="preserve"> Beehive Petition at 10.  </w:t>
      </w:r>
    </w:p>
  </w:footnote>
  <w:footnote w:id="78">
    <w:p w:rsidR="00853130" w:rsidRPr="008D669A" w:rsidRDefault="00853130" w:rsidP="008D669A">
      <w:pPr>
        <w:pStyle w:val="FootnoteText"/>
      </w:pPr>
      <w:r w:rsidRPr="008D669A">
        <w:rPr>
          <w:rStyle w:val="FootnoteReference"/>
        </w:rPr>
        <w:footnoteRef/>
      </w:r>
      <w:r w:rsidRPr="008D669A">
        <w:t xml:space="preserve"> </w:t>
      </w:r>
      <w:r w:rsidRPr="008D669A">
        <w:rPr>
          <w:i/>
        </w:rPr>
        <w:t xml:space="preserve">See infra </w:t>
      </w:r>
      <w:r w:rsidRPr="008D669A">
        <w:t xml:space="preserve">para. </w:t>
      </w:r>
      <w:r w:rsidRPr="008D669A">
        <w:fldChar w:fldCharType="begin"/>
      </w:r>
      <w:r w:rsidRPr="008D669A">
        <w:instrText xml:space="preserve"> REF _Ref370386949 \r \h  \* MERGEFORMAT </w:instrText>
      </w:r>
      <w:r w:rsidRPr="008D669A">
        <w:fldChar w:fldCharType="separate"/>
      </w:r>
      <w:r>
        <w:t>22</w:t>
      </w:r>
      <w:r w:rsidRPr="008D669A">
        <w:fldChar w:fldCharType="end"/>
      </w:r>
      <w:r w:rsidRPr="008D669A">
        <w:t>.</w:t>
      </w:r>
    </w:p>
  </w:footnote>
  <w:footnote w:id="79">
    <w:p w:rsidR="00853130" w:rsidRPr="008D669A" w:rsidRDefault="00853130" w:rsidP="008D669A">
      <w:pPr>
        <w:pStyle w:val="FootnoteText"/>
      </w:pPr>
      <w:r w:rsidRPr="008D669A">
        <w:rPr>
          <w:rStyle w:val="FootnoteReference"/>
        </w:rPr>
        <w:footnoteRef/>
      </w:r>
      <w:r w:rsidRPr="008D669A">
        <w:t xml:space="preserve"> Beehive Petition at 10, 15</w:t>
      </w:r>
      <w:r>
        <w:t>–</w:t>
      </w:r>
      <w:r w:rsidRPr="008D669A">
        <w:t>17; Beehive Reply at 8</w:t>
      </w:r>
      <w:r>
        <w:t>–</w:t>
      </w:r>
      <w:r w:rsidRPr="008D669A">
        <w:t>10.</w:t>
      </w:r>
    </w:p>
  </w:footnote>
  <w:footnote w:id="80">
    <w:p w:rsidR="00853130" w:rsidRPr="008D669A" w:rsidRDefault="00853130" w:rsidP="008D669A">
      <w:pPr>
        <w:pStyle w:val="FootnoteText"/>
      </w:pPr>
      <w:r w:rsidRPr="008D669A">
        <w:rPr>
          <w:rStyle w:val="FootnoteReference"/>
        </w:rPr>
        <w:footnoteRef/>
      </w:r>
      <w:r w:rsidRPr="008D669A">
        <w:t xml:space="preserve"> </w:t>
      </w:r>
      <w:r w:rsidRPr="008D669A">
        <w:rPr>
          <w:i/>
        </w:rPr>
        <w:t>See Utah Referral Order</w:t>
      </w:r>
      <w:r w:rsidRPr="008D669A">
        <w:t xml:space="preserve"> at 2, para. 5 (referring to the Commission, among other issues, the question of “whether Beehive . . . provided switched access service or any other service to Sprint under the applicable tariffs” and “whether the relationship between Beehive and [All American] and/or Joy Enterprises, Inc. was a so-called sham arrangement within the meaning of any particular FCC doctrine and, if so, what is the effect of that determination in the application of the tariffs at issue in this case”).  The </w:t>
      </w:r>
      <w:r w:rsidRPr="008D669A">
        <w:rPr>
          <w:i/>
        </w:rPr>
        <w:t xml:space="preserve">Utah Referral Order </w:t>
      </w:r>
      <w:r w:rsidRPr="008D669A">
        <w:t xml:space="preserve">stated that Beehive may not dispute the facts identified as “undisputed” in the </w:t>
      </w:r>
      <w:r w:rsidRPr="008D669A">
        <w:rPr>
          <w:i/>
        </w:rPr>
        <w:t>Utah Referral Order</w:t>
      </w:r>
      <w:r w:rsidRPr="008D669A">
        <w:t xml:space="preserve"> in “proceedings before the FCC or in further proceedings in [the] court.”  </w:t>
      </w:r>
      <w:r w:rsidRPr="008D669A">
        <w:rPr>
          <w:i/>
        </w:rPr>
        <w:t>Utah Referral Order</w:t>
      </w:r>
      <w:r w:rsidRPr="008D669A">
        <w:t xml:space="preserve"> at 5, para. 8.    </w:t>
      </w:r>
    </w:p>
  </w:footnote>
  <w:footnote w:id="81">
    <w:p w:rsidR="00853130" w:rsidRPr="008D669A" w:rsidRDefault="00853130" w:rsidP="008D669A">
      <w:pPr>
        <w:pStyle w:val="FootnoteText"/>
        <w:rPr>
          <w:b/>
        </w:rPr>
      </w:pPr>
      <w:r w:rsidRPr="008D669A">
        <w:rPr>
          <w:rStyle w:val="FootnoteReference"/>
        </w:rPr>
        <w:footnoteRef/>
      </w:r>
      <w:r w:rsidRPr="008D669A">
        <w:t xml:space="preserve"> The “general rule” is that a party is “not bound by a judgment </w:t>
      </w:r>
      <w:r w:rsidRPr="008D669A">
        <w:rPr>
          <w:i/>
        </w:rPr>
        <w:t>in personam</w:t>
      </w:r>
      <w:r w:rsidRPr="008D669A">
        <w:t xml:space="preserve"> in litigation in which he is not designated as a party or to which he has not been made a party by service of process.</w:t>
      </w:r>
      <w:r>
        <w:t>”</w:t>
      </w:r>
      <w:r w:rsidRPr="008D669A">
        <w:t xml:space="preserve">  </w:t>
      </w:r>
      <w:r w:rsidRPr="008D669A">
        <w:rPr>
          <w:i/>
        </w:rPr>
        <w:t>Taylor v. Sturgell</w:t>
      </w:r>
      <w:r w:rsidRPr="008D669A">
        <w:t xml:space="preserve">, 553 U.S. 880, 893 (2008); </w:t>
      </w:r>
      <w:r w:rsidRPr="008D669A">
        <w:rPr>
          <w:i/>
        </w:rPr>
        <w:t>see also TSR Wireless v. US West Commc’ns</w:t>
      </w:r>
      <w:r w:rsidRPr="008D669A">
        <w:t xml:space="preserve">, </w:t>
      </w:r>
      <w:r>
        <w:t xml:space="preserve">Memorandum Opinion and Order, </w:t>
      </w:r>
      <w:r w:rsidRPr="008D669A">
        <w:t>15 FCC Rcd 11166</w:t>
      </w:r>
      <w:r>
        <w:t xml:space="preserve">, </w:t>
      </w:r>
      <w:r w:rsidRPr="008D669A">
        <w:t>11173</w:t>
      </w:r>
      <w:r>
        <w:t>–7</w:t>
      </w:r>
      <w:r w:rsidRPr="008D669A">
        <w:t>4</w:t>
      </w:r>
      <w:r>
        <w:t>, para. 15</w:t>
      </w:r>
      <w:r w:rsidRPr="008D669A">
        <w:t xml:space="preserve"> (2000) (under the doctrine of collateral estoppel, a “judgment in a prior suit precludes relitigation </w:t>
      </w:r>
      <w:r w:rsidRPr="008D669A">
        <w:rPr>
          <w:i/>
        </w:rPr>
        <w:t>by the same parties</w:t>
      </w:r>
      <w:r w:rsidRPr="008D669A">
        <w:t xml:space="preserve"> of issues actually litigated and necessary to the outcome of the first action”) (emphasis added).</w:t>
      </w:r>
    </w:p>
  </w:footnote>
  <w:footnote w:id="82">
    <w:p w:rsidR="00853130" w:rsidRPr="008D669A" w:rsidRDefault="00853130" w:rsidP="008D669A">
      <w:pPr>
        <w:pStyle w:val="FootnoteText"/>
      </w:pPr>
      <w:r w:rsidRPr="008D669A">
        <w:rPr>
          <w:rStyle w:val="FootnoteReference"/>
        </w:rPr>
        <w:footnoteRef/>
      </w:r>
      <w:r w:rsidRPr="008D669A">
        <w:t xml:space="preserve"> Beehive Petition at 11.</w:t>
      </w:r>
    </w:p>
  </w:footnote>
  <w:footnote w:id="83">
    <w:p w:rsidR="00853130" w:rsidRPr="008D669A" w:rsidRDefault="00853130" w:rsidP="008D669A">
      <w:pPr>
        <w:pStyle w:val="FootnoteText"/>
      </w:pPr>
      <w:r w:rsidRPr="008D669A">
        <w:rPr>
          <w:rStyle w:val="FootnoteReference"/>
        </w:rPr>
        <w:footnoteRef/>
      </w:r>
      <w:r w:rsidRPr="008D669A">
        <w:t xml:space="preserve"> Although Beehive disputes the Enforcement Bureau’s decision to comply with </w:t>
      </w:r>
      <w:r w:rsidRPr="008D669A">
        <w:rPr>
          <w:i/>
        </w:rPr>
        <w:t>Utah Referral Order</w:t>
      </w:r>
      <w:r w:rsidRPr="008D669A">
        <w:t xml:space="preserve">’s directive concerning undisputed facts, </w:t>
      </w:r>
      <w:r w:rsidRPr="008D669A">
        <w:rPr>
          <w:i/>
        </w:rPr>
        <w:t>see</w:t>
      </w:r>
      <w:r w:rsidRPr="008D669A">
        <w:t xml:space="preserve"> Beehive Petition at 13, 17, its objection is properly directed to the District Court, not the Commission.</w:t>
      </w:r>
    </w:p>
  </w:footnote>
  <w:footnote w:id="84">
    <w:p w:rsidR="00853130" w:rsidRPr="008D669A" w:rsidRDefault="00853130" w:rsidP="008D669A">
      <w:pPr>
        <w:pStyle w:val="FootnoteText"/>
      </w:pPr>
      <w:r w:rsidRPr="008D669A">
        <w:rPr>
          <w:rStyle w:val="FootnoteReference"/>
        </w:rPr>
        <w:footnoteRef/>
      </w:r>
      <w:r w:rsidRPr="008D669A">
        <w:t xml:space="preserve"> Sprint filed its complaint against Beehive—which effectuates the Utah court’s referral, on July 30, 2013.  </w:t>
      </w:r>
      <w:r w:rsidRPr="008D669A">
        <w:rPr>
          <w:i/>
        </w:rPr>
        <w:t>See Formal Complaint of Sprint Communications Company L.P.</w:t>
      </w:r>
      <w:r w:rsidRPr="008D669A">
        <w:t>, File No. EB-13-MD-013</w:t>
      </w:r>
      <w:r>
        <w:t xml:space="preserve"> (filed July 30, 2013) (Sprint Complaint)</w:t>
      </w:r>
      <w:r w:rsidRPr="008D669A">
        <w:t>.</w:t>
      </w:r>
    </w:p>
  </w:footnote>
  <w:footnote w:id="85">
    <w:p w:rsidR="00853130" w:rsidRPr="00643EA2" w:rsidRDefault="00853130" w:rsidP="008D669A">
      <w:pPr>
        <w:spacing w:after="120"/>
        <w:rPr>
          <w:sz w:val="20"/>
        </w:rPr>
      </w:pPr>
      <w:r w:rsidRPr="008D669A">
        <w:rPr>
          <w:rStyle w:val="FootnoteReference"/>
        </w:rPr>
        <w:footnoteRef/>
      </w:r>
      <w:r w:rsidRPr="00A33D22">
        <w:rPr>
          <w:sz w:val="20"/>
        </w:rPr>
        <w:t xml:space="preserve"> </w:t>
      </w:r>
      <w:r w:rsidRPr="0058444A">
        <w:rPr>
          <w:sz w:val="20"/>
        </w:rPr>
        <w:t xml:space="preserve">Beehive argues that this proceeding should be consolidated with the </w:t>
      </w:r>
      <w:r w:rsidRPr="0058444A">
        <w:rPr>
          <w:i/>
          <w:sz w:val="20"/>
        </w:rPr>
        <w:t xml:space="preserve">Sprint v. Beehive </w:t>
      </w:r>
      <w:r w:rsidRPr="0058444A">
        <w:rPr>
          <w:sz w:val="20"/>
        </w:rPr>
        <w:t xml:space="preserve">complaint proceeding, and that the Enforcement Bureau’s Market Disputes Resolution Division should be recused from further participation in the consolidated proceeding.  Beehive Petition at 8-9, 12, 16-17.  Beehive advanced similar arguments in a Motion to Consolidate and Reassign (which it filed in this case and in </w:t>
      </w:r>
      <w:r w:rsidRPr="0058444A">
        <w:rPr>
          <w:i/>
          <w:sz w:val="20"/>
        </w:rPr>
        <w:t>Sprint v. Beehive</w:t>
      </w:r>
      <w:r w:rsidRPr="0058444A">
        <w:rPr>
          <w:sz w:val="20"/>
        </w:rPr>
        <w:t xml:space="preserve">), and the Bureau considered and rejected them.  </w:t>
      </w:r>
      <w:r w:rsidRPr="0058444A">
        <w:rPr>
          <w:i/>
          <w:sz w:val="20"/>
        </w:rPr>
        <w:t>See</w:t>
      </w:r>
      <w:r w:rsidRPr="0058444A">
        <w:rPr>
          <w:sz w:val="20"/>
        </w:rPr>
        <w:t xml:space="preserve"> </w:t>
      </w:r>
      <w:r w:rsidRPr="0058444A">
        <w:rPr>
          <w:i/>
          <w:sz w:val="20"/>
        </w:rPr>
        <w:t>AT&amp;T Corp. v. All Am. Tel. Co.</w:t>
      </w:r>
      <w:r w:rsidRPr="0058444A">
        <w:rPr>
          <w:sz w:val="20"/>
        </w:rPr>
        <w:t xml:space="preserve">, File No. EB-09-MD-010 and </w:t>
      </w:r>
      <w:r w:rsidRPr="0058444A">
        <w:rPr>
          <w:i/>
          <w:sz w:val="20"/>
        </w:rPr>
        <w:t>Sprint Commc’ns Co., L.P. v. Beehive Tel. Co., Inc.</w:t>
      </w:r>
      <w:r w:rsidRPr="0058444A">
        <w:rPr>
          <w:sz w:val="20"/>
        </w:rPr>
        <w:t>, File No. EB-13-MD-003, Order,</w:t>
      </w:r>
      <w:r>
        <w:rPr>
          <w:sz w:val="20"/>
        </w:rPr>
        <w:t xml:space="preserve"> 28 FCC Rcd 15772 </w:t>
      </w:r>
      <w:r w:rsidRPr="0058444A">
        <w:rPr>
          <w:sz w:val="20"/>
        </w:rPr>
        <w:t>(Enf. Bur. 2013) (</w:t>
      </w:r>
      <w:r w:rsidRPr="0058444A">
        <w:rPr>
          <w:i/>
          <w:sz w:val="20"/>
        </w:rPr>
        <w:t>Motion to Consolidate and Reassign Order</w:t>
      </w:r>
      <w:r w:rsidRPr="0058444A">
        <w:rPr>
          <w:sz w:val="20"/>
        </w:rPr>
        <w:t xml:space="preserve">).  Beehive sought review of the </w:t>
      </w:r>
      <w:r w:rsidRPr="0058444A">
        <w:rPr>
          <w:i/>
          <w:sz w:val="20"/>
        </w:rPr>
        <w:t>Motion to Consolidate and Reassign Order</w:t>
      </w:r>
      <w:r w:rsidRPr="0058444A">
        <w:rPr>
          <w:sz w:val="20"/>
        </w:rPr>
        <w:t xml:space="preserve"> in an application for review (again, filed in both proceedings).  </w:t>
      </w:r>
      <w:r w:rsidRPr="0058444A">
        <w:rPr>
          <w:i/>
          <w:sz w:val="20"/>
        </w:rPr>
        <w:t xml:space="preserve">See </w:t>
      </w:r>
      <w:r w:rsidRPr="0058444A">
        <w:rPr>
          <w:sz w:val="20"/>
        </w:rPr>
        <w:t>Application for Review, File Nos. EB-09-MD-010, EB-13-MD-003 (filed Dec. 5, 2013)</w:t>
      </w:r>
      <w:r>
        <w:rPr>
          <w:sz w:val="20"/>
        </w:rPr>
        <w:t xml:space="preserve"> (Application for Review)</w:t>
      </w:r>
      <w:r w:rsidRPr="0058444A">
        <w:rPr>
          <w:sz w:val="20"/>
        </w:rPr>
        <w:t xml:space="preserve">.  We find the Bureau’s analysis to be thorough and well-reasoned, and we see no reason to disturb its conclusions.  Because Beehive is not a party to this proceeding, and it has failed to satisfy the requirements for seeking reconsideration of the Commission’s </w:t>
      </w:r>
      <w:r w:rsidRPr="0058444A">
        <w:rPr>
          <w:i/>
          <w:sz w:val="20"/>
        </w:rPr>
        <w:t>Order</w:t>
      </w:r>
      <w:r w:rsidRPr="0058444A">
        <w:rPr>
          <w:sz w:val="20"/>
        </w:rPr>
        <w:t xml:space="preserve"> in this proceeding, its Application for Review should be considered in the </w:t>
      </w:r>
      <w:r w:rsidRPr="0058444A">
        <w:rPr>
          <w:i/>
          <w:sz w:val="20"/>
        </w:rPr>
        <w:t xml:space="preserve">Sprint v. Beehive </w:t>
      </w:r>
      <w:r>
        <w:rPr>
          <w:sz w:val="20"/>
        </w:rPr>
        <w:t xml:space="preserve">case </w:t>
      </w:r>
      <w:r w:rsidRPr="0058444A">
        <w:rPr>
          <w:sz w:val="20"/>
        </w:rPr>
        <w:t xml:space="preserve">only.  </w:t>
      </w:r>
      <w:r w:rsidRPr="0058444A">
        <w:rPr>
          <w:i/>
          <w:sz w:val="20"/>
        </w:rPr>
        <w:t xml:space="preserve">See </w:t>
      </w:r>
      <w:r w:rsidRPr="0058444A">
        <w:rPr>
          <w:sz w:val="20"/>
        </w:rPr>
        <w:t>47 U.S.C. §</w:t>
      </w:r>
      <w:r>
        <w:rPr>
          <w:sz w:val="20"/>
        </w:rPr>
        <w:t>§ 15</w:t>
      </w:r>
      <w:r w:rsidRPr="0058444A">
        <w:rPr>
          <w:sz w:val="20"/>
        </w:rPr>
        <w:t xml:space="preserve">4(i), (j).  Consequently, we will </w:t>
      </w:r>
      <w:r>
        <w:rPr>
          <w:sz w:val="20"/>
        </w:rPr>
        <w:t xml:space="preserve">address </w:t>
      </w:r>
      <w:r w:rsidRPr="0058444A">
        <w:rPr>
          <w:sz w:val="20"/>
        </w:rPr>
        <w:t xml:space="preserve">the Application for Review </w:t>
      </w:r>
      <w:r>
        <w:rPr>
          <w:sz w:val="20"/>
        </w:rPr>
        <w:t xml:space="preserve">in </w:t>
      </w:r>
      <w:r w:rsidRPr="0058444A">
        <w:rPr>
          <w:sz w:val="20"/>
        </w:rPr>
        <w:t>that proceeding.</w:t>
      </w:r>
      <w:r>
        <w:rPr>
          <w:sz w:val="20"/>
        </w:rPr>
        <w:t xml:space="preserve">  </w:t>
      </w:r>
    </w:p>
  </w:footnote>
  <w:footnote w:id="86">
    <w:p w:rsidR="00853130" w:rsidRPr="008D669A" w:rsidRDefault="00853130" w:rsidP="008D669A">
      <w:pPr>
        <w:pStyle w:val="FootnoteText"/>
      </w:pPr>
      <w:r w:rsidRPr="008D669A">
        <w:rPr>
          <w:rStyle w:val="FootnoteReference"/>
        </w:rPr>
        <w:footnoteRef/>
      </w:r>
      <w:r w:rsidRPr="008D669A">
        <w:t xml:space="preserve"> 47 C.F.R. § 1.223(a).  </w:t>
      </w:r>
      <w:r w:rsidRPr="008D669A">
        <w:rPr>
          <w:i/>
        </w:rPr>
        <w:t xml:space="preserve">See </w:t>
      </w:r>
      <w:r w:rsidRPr="008D669A">
        <w:t>Beehive Reply at 4</w:t>
      </w:r>
      <w:r>
        <w:t>–</w:t>
      </w:r>
      <w:r w:rsidRPr="008D669A">
        <w:t xml:space="preserve">6.  </w:t>
      </w:r>
      <w:r w:rsidRPr="008D669A">
        <w:rPr>
          <w:i/>
        </w:rPr>
        <w:t>See also</w:t>
      </w:r>
      <w:r w:rsidRPr="008D669A">
        <w:t xml:space="preserve"> </w:t>
      </w:r>
      <w:r w:rsidRPr="008D669A">
        <w:rPr>
          <w:i/>
        </w:rPr>
        <w:t>Tex</w:t>
      </w:r>
      <w:r>
        <w:rPr>
          <w:i/>
        </w:rPr>
        <w:t>.</w:t>
      </w:r>
      <w:r w:rsidRPr="008D669A">
        <w:rPr>
          <w:i/>
        </w:rPr>
        <w:t xml:space="preserve"> Cable and Telecommunications Ass</w:t>
      </w:r>
      <w:r>
        <w:rPr>
          <w:i/>
        </w:rPr>
        <w:t>’n</w:t>
      </w:r>
      <w:r w:rsidRPr="008D669A">
        <w:rPr>
          <w:i/>
        </w:rPr>
        <w:t xml:space="preserve"> v. GTE S</w:t>
      </w:r>
      <w:r>
        <w:rPr>
          <w:i/>
        </w:rPr>
        <w:t>w.</w:t>
      </w:r>
      <w:r w:rsidRPr="008D669A">
        <w:rPr>
          <w:i/>
        </w:rPr>
        <w:t>, Inc.</w:t>
      </w:r>
      <w:r w:rsidRPr="008D669A">
        <w:t>, Order, 17 FCC Rcd 6261, 6264</w:t>
      </w:r>
      <w:r>
        <w:t xml:space="preserve">, </w:t>
      </w:r>
      <w:r w:rsidRPr="008D669A">
        <w:t xml:space="preserve">para. 9 (2002) (“Section 1.223 is not directly applicable in [pole attachment complaint proceedings] because it applies to cases designated for hearing.”).  </w:t>
      </w:r>
    </w:p>
  </w:footnote>
  <w:footnote w:id="87">
    <w:p w:rsidR="00853130" w:rsidRPr="008D669A" w:rsidRDefault="00853130" w:rsidP="008D669A">
      <w:pPr>
        <w:pStyle w:val="FootnoteText"/>
      </w:pPr>
      <w:r w:rsidRPr="008D669A">
        <w:rPr>
          <w:rStyle w:val="FootnoteReference"/>
        </w:rPr>
        <w:footnoteRef/>
      </w:r>
      <w:r w:rsidRPr="008D669A">
        <w:t xml:space="preserve"> </w:t>
      </w:r>
      <w:r w:rsidRPr="008D669A">
        <w:rPr>
          <w:i/>
        </w:rPr>
        <w:t>See Teleconnect Co</w:t>
      </w:r>
      <w:r>
        <w:rPr>
          <w:i/>
        </w:rPr>
        <w:t>.</w:t>
      </w:r>
      <w:r w:rsidRPr="008D669A">
        <w:rPr>
          <w:i/>
        </w:rPr>
        <w:t xml:space="preserve"> v. The Bell Co</w:t>
      </w:r>
      <w:r>
        <w:rPr>
          <w:i/>
        </w:rPr>
        <w:t>.</w:t>
      </w:r>
      <w:r w:rsidRPr="008D669A">
        <w:rPr>
          <w:i/>
        </w:rPr>
        <w:t xml:space="preserve"> of Pa</w:t>
      </w:r>
      <w:r>
        <w:rPr>
          <w:i/>
        </w:rPr>
        <w:t>.</w:t>
      </w:r>
      <w:r w:rsidRPr="008D669A">
        <w:t>, Memorandum Opinion and Order, 6 FCC Rcd 5202, 5206</w:t>
      </w:r>
      <w:r>
        <w:t xml:space="preserve">, </w:t>
      </w:r>
      <w:r w:rsidRPr="008D669A">
        <w:t>para. 19, n.52 (Com. Car. Bur. 1991)</w:t>
      </w:r>
      <w:r>
        <w:t>,</w:t>
      </w:r>
      <w:r w:rsidRPr="00011705">
        <w:rPr>
          <w:i/>
        </w:rPr>
        <w:t xml:space="preserve"> </w:t>
      </w:r>
      <w:r w:rsidRPr="008D669A">
        <w:rPr>
          <w:i/>
        </w:rPr>
        <w:t>aff’d on review</w:t>
      </w:r>
      <w:r w:rsidRPr="008D669A">
        <w:t xml:space="preserve">, 10 FCC Rcd 1626 (1995) (“Although [Section 1.223(b)] addresses intervention in an evidentiary hearing, we believe it to be a useful standard when considering the petition before us.”).  </w:t>
      </w:r>
      <w:r w:rsidRPr="008D669A">
        <w:rPr>
          <w:i/>
        </w:rPr>
        <w:t>See also All Am</w:t>
      </w:r>
      <w:r>
        <w:rPr>
          <w:i/>
        </w:rPr>
        <w:t>. Tel. Co.</w:t>
      </w:r>
      <w:r w:rsidRPr="008D669A">
        <w:rPr>
          <w:i/>
        </w:rPr>
        <w:t>, et al. v. AT&amp;T Corp.</w:t>
      </w:r>
      <w:r w:rsidRPr="008D669A">
        <w:t xml:space="preserve">, </w:t>
      </w:r>
      <w:r>
        <w:t xml:space="preserve">Order, </w:t>
      </w:r>
      <w:r w:rsidRPr="008D669A">
        <w:t>26 FCC Rcd 15016, 15018, para. 9 (Enf. Bur. 2011) (citing rule 1.223’s requirements that a party seeking intervention show the “interest of petitioner in the proceedings” and “how such petitioner</w:t>
      </w:r>
      <w:r>
        <w:t>’</w:t>
      </w:r>
      <w:r w:rsidRPr="008D669A">
        <w:t xml:space="preserve">s participation will assist the Commission in the determination of the issues in question”).  </w:t>
      </w:r>
    </w:p>
  </w:footnote>
  <w:footnote w:id="88">
    <w:p w:rsidR="00853130" w:rsidRPr="008D669A" w:rsidRDefault="00853130" w:rsidP="008D669A">
      <w:pPr>
        <w:spacing w:after="120"/>
        <w:rPr>
          <w:color w:val="000000"/>
          <w:sz w:val="20"/>
        </w:rPr>
      </w:pPr>
      <w:r w:rsidRPr="008D669A">
        <w:rPr>
          <w:rStyle w:val="FootnoteReference"/>
        </w:rPr>
        <w:footnoteRef/>
      </w:r>
      <w:r w:rsidRPr="008D669A">
        <w:rPr>
          <w:sz w:val="20"/>
        </w:rPr>
        <w:t xml:space="preserve"> </w:t>
      </w:r>
      <w:r>
        <w:rPr>
          <w:sz w:val="20"/>
        </w:rPr>
        <w:t xml:space="preserve">Indeed, in November 2009, AT&amp;T took the deposition of Beehive’s CEO.  Defendants Exhibit No. 4, Deposition of James Charles McCown.  </w:t>
      </w:r>
      <w:r>
        <w:rPr>
          <w:i/>
          <w:sz w:val="20"/>
        </w:rPr>
        <w:t xml:space="preserve">See </w:t>
      </w:r>
      <w:r w:rsidRPr="008D669A">
        <w:rPr>
          <w:sz w:val="20"/>
        </w:rPr>
        <w:t xml:space="preserve">Beehive </w:t>
      </w:r>
      <w:r w:rsidRPr="008D669A">
        <w:rPr>
          <w:color w:val="000000"/>
          <w:sz w:val="20"/>
        </w:rPr>
        <w:t>Petition at 11</w:t>
      </w:r>
      <w:r>
        <w:rPr>
          <w:color w:val="000000"/>
          <w:sz w:val="20"/>
        </w:rPr>
        <w:t>–</w:t>
      </w:r>
      <w:r w:rsidRPr="008D669A">
        <w:rPr>
          <w:color w:val="000000"/>
          <w:sz w:val="20"/>
        </w:rPr>
        <w:t>12 (“Beehive could have attempted to intervene in this proceeding”)</w:t>
      </w:r>
      <w:r>
        <w:rPr>
          <w:color w:val="000000"/>
          <w:sz w:val="20"/>
        </w:rPr>
        <w:t xml:space="preserve">; </w:t>
      </w:r>
      <w:r w:rsidRPr="008D669A">
        <w:rPr>
          <w:color w:val="000000"/>
          <w:sz w:val="20"/>
        </w:rPr>
        <w:t>Beehive’s Motion to Refer Issues to the FCC Under the Doctrine of Primary Jurisdiction, Civil No. 2:08-cv-00380</w:t>
      </w:r>
      <w:r>
        <w:rPr>
          <w:color w:val="000000"/>
          <w:sz w:val="20"/>
        </w:rPr>
        <w:t xml:space="preserve"> at 14-15 (C.D. Utah</w:t>
      </w:r>
      <w:r w:rsidRPr="008D669A">
        <w:rPr>
          <w:color w:val="000000"/>
          <w:sz w:val="20"/>
        </w:rPr>
        <w:t xml:space="preserve"> July 26, 2010) (“Moreover, allegations that Beehive and </w:t>
      </w:r>
      <w:r>
        <w:rPr>
          <w:color w:val="000000"/>
          <w:sz w:val="20"/>
        </w:rPr>
        <w:t>[All American]</w:t>
      </w:r>
      <w:r w:rsidRPr="008D669A">
        <w:rPr>
          <w:color w:val="000000"/>
          <w:sz w:val="20"/>
        </w:rPr>
        <w:t xml:space="preserve"> were involved in a traffic pumping ‘scheme’ are before the FCC, as is the precise question of whether </w:t>
      </w:r>
      <w:r>
        <w:rPr>
          <w:color w:val="000000"/>
          <w:sz w:val="20"/>
        </w:rPr>
        <w:t>[All American]</w:t>
      </w:r>
      <w:r w:rsidRPr="008D669A">
        <w:rPr>
          <w:color w:val="000000"/>
          <w:sz w:val="20"/>
        </w:rPr>
        <w:t xml:space="preserve"> operated as a sham entity in violation of [Section] 201(b) . . . . </w:t>
      </w:r>
      <w:r>
        <w:rPr>
          <w:color w:val="000000"/>
          <w:sz w:val="20"/>
        </w:rPr>
        <w:t>T</w:t>
      </w:r>
      <w:r w:rsidRPr="008D669A">
        <w:rPr>
          <w:color w:val="000000"/>
          <w:sz w:val="20"/>
        </w:rPr>
        <w:t xml:space="preserve">oday, the issues are pending in an AT&amp;T case against </w:t>
      </w:r>
      <w:r>
        <w:rPr>
          <w:color w:val="000000"/>
          <w:sz w:val="20"/>
        </w:rPr>
        <w:t>[All American]</w:t>
      </w:r>
      <w:r w:rsidRPr="008D669A">
        <w:rPr>
          <w:color w:val="000000"/>
          <w:sz w:val="20"/>
        </w:rPr>
        <w:t>, e-Pinnacle and ChaseCom in which AT&amp;T names Beehive among the ‘relevant non-parties.’”).</w:t>
      </w:r>
      <w:r>
        <w:rPr>
          <w:color w:val="000000"/>
          <w:sz w:val="20"/>
        </w:rPr>
        <w:t xml:space="preserve">  </w:t>
      </w:r>
    </w:p>
  </w:footnote>
  <w:footnote w:id="89">
    <w:p w:rsidR="00853130" w:rsidRPr="008D669A" w:rsidRDefault="00853130" w:rsidP="008D669A">
      <w:pPr>
        <w:pStyle w:val="FootnoteText"/>
      </w:pPr>
      <w:r w:rsidRPr="008D669A">
        <w:rPr>
          <w:rStyle w:val="FootnoteReference"/>
        </w:rPr>
        <w:footnoteRef/>
      </w:r>
      <w:r w:rsidRPr="008D669A">
        <w:t xml:space="preserve"> That the Commission disfavors intervention in complaint proceedings and does not have a specific rule regarding intervening in complaint proceedings does not excuse Beehive’s failure to request intervention in this case.  </w:t>
      </w:r>
      <w:r w:rsidRPr="008D669A">
        <w:rPr>
          <w:i/>
        </w:rPr>
        <w:t xml:space="preserve">See </w:t>
      </w:r>
      <w:r w:rsidRPr="008D669A">
        <w:t>Beehive Petition at 10</w:t>
      </w:r>
      <w:r>
        <w:t>–</w:t>
      </w:r>
      <w:r w:rsidRPr="008D669A">
        <w:t xml:space="preserve">11.  Indeed, </w:t>
      </w:r>
      <w:r w:rsidRPr="008D669A">
        <w:rPr>
          <w:i/>
        </w:rPr>
        <w:t>Teleconnect v. Bell Telephone</w:t>
      </w:r>
      <w:r>
        <w:t>,</w:t>
      </w:r>
      <w:r w:rsidRPr="008D669A">
        <w:t xml:space="preserve"> which Beehive relies upon (Petition at 11) demonstrates that the Commission will consider properly-supported petitions to intervene.  </w:t>
      </w:r>
      <w:r w:rsidRPr="008D669A">
        <w:rPr>
          <w:i/>
        </w:rPr>
        <w:t>See Teleconnect</w:t>
      </w:r>
      <w:r>
        <w:rPr>
          <w:i/>
        </w:rPr>
        <w:t xml:space="preserve"> v. Bell Telephone</w:t>
      </w:r>
      <w:r>
        <w:t xml:space="preserve">, </w:t>
      </w:r>
      <w:r w:rsidRPr="008D669A">
        <w:t xml:space="preserve">6 FCC Rcd </w:t>
      </w:r>
      <w:r>
        <w:t xml:space="preserve">at </w:t>
      </w:r>
      <w:r w:rsidRPr="008D669A">
        <w:t xml:space="preserve">5206, para. 19 (“At the very least, a petitioner for intervention must demonstrate an interest in the proceedings, show how the petitioner’s participation will assist the Commission in determining the issues in question, and set forth any additional proposed issues.”).  </w:t>
      </w:r>
    </w:p>
  </w:footnote>
  <w:footnote w:id="90">
    <w:p w:rsidR="00853130" w:rsidRPr="008D669A" w:rsidRDefault="00853130" w:rsidP="008D669A">
      <w:pPr>
        <w:pStyle w:val="FootnoteText"/>
      </w:pPr>
      <w:r w:rsidRPr="008D669A">
        <w:rPr>
          <w:rStyle w:val="FootnoteReference"/>
        </w:rPr>
        <w:footnoteRef/>
      </w:r>
      <w:r w:rsidRPr="008D669A">
        <w:t xml:space="preserve"> </w:t>
      </w:r>
      <w:r w:rsidRPr="008D669A">
        <w:rPr>
          <w:i/>
        </w:rPr>
        <w:t>AT&amp;T Corp. v. BellSouth Telecommunications, Inc.</w:t>
      </w:r>
      <w:r w:rsidRPr="008D669A">
        <w:t>, Order on Reconsideration, 20 FCC Rcd 8578</w:t>
      </w:r>
      <w:r>
        <w:t xml:space="preserve"> </w:t>
      </w:r>
      <w:r w:rsidRPr="008D669A">
        <w:t>(2005) (</w:t>
      </w:r>
      <w:r w:rsidRPr="008D669A">
        <w:rPr>
          <w:i/>
        </w:rPr>
        <w:t>AT&amp;T v. BellSouth</w:t>
      </w:r>
      <w:r w:rsidRPr="008D669A">
        <w:t xml:space="preserve">).  </w:t>
      </w:r>
    </w:p>
  </w:footnote>
  <w:footnote w:id="91">
    <w:p w:rsidR="00853130" w:rsidRPr="008D669A" w:rsidRDefault="00853130" w:rsidP="008D669A">
      <w:pPr>
        <w:pStyle w:val="FootnoteText"/>
      </w:pPr>
      <w:r w:rsidRPr="008D669A">
        <w:rPr>
          <w:rStyle w:val="FootnoteReference"/>
        </w:rPr>
        <w:footnoteRef/>
      </w:r>
      <w:r w:rsidRPr="008D669A">
        <w:t xml:space="preserve"> </w:t>
      </w:r>
      <w:r w:rsidRPr="008D669A">
        <w:rPr>
          <w:i/>
        </w:rPr>
        <w:t xml:space="preserve">See </w:t>
      </w:r>
      <w:r w:rsidRPr="008D669A">
        <w:t>Beehive Petition at 10</w:t>
      </w:r>
      <w:r>
        <w:t>–</w:t>
      </w:r>
      <w:r w:rsidRPr="008D669A">
        <w:t>11; Beehive Reply at 4.</w:t>
      </w:r>
    </w:p>
  </w:footnote>
  <w:footnote w:id="92">
    <w:p w:rsidR="00853130" w:rsidRPr="008D669A" w:rsidRDefault="00853130" w:rsidP="008D669A">
      <w:pPr>
        <w:spacing w:after="120"/>
        <w:rPr>
          <w:sz w:val="20"/>
        </w:rPr>
      </w:pPr>
      <w:r w:rsidRPr="008D669A">
        <w:rPr>
          <w:rStyle w:val="FootnoteReference"/>
        </w:rPr>
        <w:footnoteRef/>
      </w:r>
      <w:r w:rsidRPr="008D669A">
        <w:rPr>
          <w:sz w:val="20"/>
        </w:rPr>
        <w:t xml:space="preserve"> </w:t>
      </w:r>
      <w:r w:rsidRPr="008D669A">
        <w:rPr>
          <w:i/>
          <w:sz w:val="20"/>
        </w:rPr>
        <w:t>See AT&amp;T v. BellSouth</w:t>
      </w:r>
      <w:r w:rsidRPr="008D669A">
        <w:rPr>
          <w:sz w:val="20"/>
        </w:rPr>
        <w:t xml:space="preserve">, 20 FCC Rcd at 8580, para. 6 (“. . . Sprint had every right and opportunity to petition to file an amicus brief or seek to intervene”).  </w:t>
      </w:r>
      <w:r w:rsidRPr="008D669A">
        <w:rPr>
          <w:i/>
          <w:sz w:val="20"/>
        </w:rPr>
        <w:t>See generally</w:t>
      </w:r>
      <w:r w:rsidRPr="008D669A">
        <w:rPr>
          <w:sz w:val="20"/>
        </w:rPr>
        <w:t xml:space="preserve">, </w:t>
      </w:r>
      <w:r w:rsidRPr="008D669A">
        <w:rPr>
          <w:i/>
          <w:sz w:val="20"/>
        </w:rPr>
        <w:t>AT&amp;T</w:t>
      </w:r>
      <w:r>
        <w:rPr>
          <w:i/>
          <w:sz w:val="20"/>
        </w:rPr>
        <w:t xml:space="preserve"> Corp.</w:t>
      </w:r>
      <w:r w:rsidRPr="008D669A">
        <w:rPr>
          <w:i/>
          <w:sz w:val="20"/>
        </w:rPr>
        <w:t xml:space="preserve"> v. B</w:t>
      </w:r>
      <w:r>
        <w:rPr>
          <w:i/>
          <w:sz w:val="20"/>
        </w:rPr>
        <w:t xml:space="preserve">usiness </w:t>
      </w:r>
      <w:r w:rsidRPr="008D669A">
        <w:rPr>
          <w:i/>
          <w:sz w:val="20"/>
        </w:rPr>
        <w:t>T</w:t>
      </w:r>
      <w:r>
        <w:rPr>
          <w:i/>
          <w:sz w:val="20"/>
        </w:rPr>
        <w:t xml:space="preserve">elecom, </w:t>
      </w:r>
      <w:r w:rsidRPr="008D669A">
        <w:rPr>
          <w:i/>
          <w:sz w:val="20"/>
        </w:rPr>
        <w:t>I</w:t>
      </w:r>
      <w:r>
        <w:rPr>
          <w:i/>
          <w:sz w:val="20"/>
        </w:rPr>
        <w:t>nc.</w:t>
      </w:r>
      <w:r w:rsidRPr="008D669A">
        <w:rPr>
          <w:sz w:val="20"/>
        </w:rPr>
        <w:t xml:space="preserve">, </w:t>
      </w:r>
      <w:r>
        <w:rPr>
          <w:sz w:val="20"/>
        </w:rPr>
        <w:t xml:space="preserve">Order on Reconsideration, </w:t>
      </w:r>
      <w:r w:rsidRPr="008D669A">
        <w:rPr>
          <w:sz w:val="20"/>
        </w:rPr>
        <w:t xml:space="preserve">16 FCC Rcd at 21754, n.21 </w:t>
      </w:r>
      <w:r>
        <w:rPr>
          <w:sz w:val="20"/>
        </w:rPr>
        <w:t xml:space="preserve">(2001) </w:t>
      </w:r>
      <w:r w:rsidRPr="008D669A">
        <w:rPr>
          <w:sz w:val="20"/>
        </w:rPr>
        <w:t xml:space="preserve">(stating that, in a formal complaint proceeding, “[w]e will . . . consider on a case-by-case basis motions by non-parties wishing to submit amicus-type filings addressing the legal issues raised in this proceeding”) (quoting </w:t>
      </w:r>
      <w:r w:rsidRPr="008D669A">
        <w:rPr>
          <w:i/>
          <w:sz w:val="20"/>
        </w:rPr>
        <w:t>Pleading Cycle Established for AT&amp;T Corp. v. Ameritech Corp.</w:t>
      </w:r>
      <w:r w:rsidRPr="008D669A">
        <w:rPr>
          <w:sz w:val="20"/>
        </w:rPr>
        <w:t xml:space="preserve">, Public Notice, 13 FCC Rcd 12057, 12058 (Com. Car. Bur. 1998)).  </w:t>
      </w:r>
      <w:r w:rsidRPr="008D669A">
        <w:rPr>
          <w:i/>
          <w:iCs/>
          <w:sz w:val="20"/>
        </w:rPr>
        <w:t>See, e.g.</w:t>
      </w:r>
      <w:r w:rsidRPr="008D669A">
        <w:rPr>
          <w:iCs/>
          <w:sz w:val="20"/>
        </w:rPr>
        <w:t>,</w:t>
      </w:r>
      <w:r w:rsidRPr="008D669A">
        <w:rPr>
          <w:i/>
          <w:iCs/>
          <w:sz w:val="20"/>
        </w:rPr>
        <w:t xml:space="preserve"> Heritage </w:t>
      </w:r>
      <w:r>
        <w:rPr>
          <w:i/>
          <w:iCs/>
          <w:sz w:val="20"/>
        </w:rPr>
        <w:t xml:space="preserve">Cablevision Assocs. </w:t>
      </w:r>
      <w:r w:rsidRPr="008D669A">
        <w:rPr>
          <w:i/>
          <w:iCs/>
          <w:sz w:val="20"/>
        </w:rPr>
        <w:t>v. Tex</w:t>
      </w:r>
      <w:r>
        <w:rPr>
          <w:i/>
          <w:iCs/>
          <w:sz w:val="20"/>
        </w:rPr>
        <w:t>.</w:t>
      </w:r>
      <w:r w:rsidRPr="008D669A">
        <w:rPr>
          <w:i/>
          <w:iCs/>
          <w:sz w:val="20"/>
        </w:rPr>
        <w:t xml:space="preserve"> Utilities</w:t>
      </w:r>
      <w:r>
        <w:rPr>
          <w:i/>
          <w:iCs/>
          <w:sz w:val="20"/>
        </w:rPr>
        <w:t xml:space="preserve"> Elec. Co.</w:t>
      </w:r>
      <w:r w:rsidRPr="008D669A">
        <w:rPr>
          <w:sz w:val="20"/>
        </w:rPr>
        <w:t>, Memorandum Opinion and Order, 7 FCC Rcd 4192, 4192, paras. 6</w:t>
      </w:r>
      <w:r>
        <w:rPr>
          <w:sz w:val="20"/>
        </w:rPr>
        <w:t>–</w:t>
      </w:r>
      <w:r w:rsidRPr="008D669A">
        <w:rPr>
          <w:sz w:val="20"/>
        </w:rPr>
        <w:t xml:space="preserve">7 (1992) (dismissing a non-party’s </w:t>
      </w:r>
      <w:r>
        <w:rPr>
          <w:sz w:val="20"/>
        </w:rPr>
        <w:t>P</w:t>
      </w:r>
      <w:r w:rsidRPr="008D669A">
        <w:rPr>
          <w:sz w:val="20"/>
        </w:rPr>
        <w:t xml:space="preserve">etition for </w:t>
      </w:r>
      <w:r>
        <w:rPr>
          <w:sz w:val="20"/>
        </w:rPr>
        <w:t>R</w:t>
      </w:r>
      <w:r w:rsidRPr="008D669A">
        <w:rPr>
          <w:sz w:val="20"/>
        </w:rPr>
        <w:t xml:space="preserve">econsideration of an order in an adjudicatory proceeding, where the non-party “failed to </w:t>
      </w:r>
      <w:r>
        <w:rPr>
          <w:sz w:val="20"/>
        </w:rPr>
        <w:t xml:space="preserve">attempt to </w:t>
      </w:r>
      <w:r w:rsidRPr="008D669A">
        <w:rPr>
          <w:sz w:val="20"/>
        </w:rPr>
        <w:t>participate either as an intervenor or amicus,” though it “could have moved the Commission for leave to participate, either as amicus or intervenor, [even] after the pleading cycle closed.”). </w:t>
      </w:r>
    </w:p>
  </w:footnote>
  <w:footnote w:id="93">
    <w:p w:rsidR="00853130" w:rsidRPr="008D669A" w:rsidRDefault="00853130" w:rsidP="008D669A">
      <w:pPr>
        <w:pStyle w:val="FootnoteText"/>
      </w:pPr>
      <w:r w:rsidRPr="008D669A">
        <w:rPr>
          <w:rStyle w:val="FootnoteReference"/>
        </w:rPr>
        <w:footnoteRef/>
      </w:r>
      <w:r w:rsidRPr="008D669A">
        <w:t xml:space="preserve"> </w:t>
      </w:r>
      <w:r w:rsidRPr="008D669A">
        <w:rPr>
          <w:i/>
        </w:rPr>
        <w:t>See AT&amp;T v. BellSouth</w:t>
      </w:r>
      <w:r w:rsidRPr="008D669A">
        <w:t>, 20 FCC Rcd at 8580–81</w:t>
      </w:r>
      <w:r>
        <w:t>, para. 6</w:t>
      </w:r>
      <w:r w:rsidRPr="008D669A">
        <w:t xml:space="preserve">.  </w:t>
      </w:r>
      <w:r w:rsidRPr="008D669A">
        <w:rPr>
          <w:i/>
        </w:rPr>
        <w:t>See, e.g.</w:t>
      </w:r>
      <w:r w:rsidRPr="008D669A">
        <w:t xml:space="preserve">, </w:t>
      </w:r>
      <w:r w:rsidRPr="008D669A">
        <w:rPr>
          <w:bCs/>
        </w:rPr>
        <w:t>Amended Formal Complaint of AT&amp;T Corp., File No. EB-09-MD-010 at 14, paras. 26, 29</w:t>
      </w:r>
      <w:r w:rsidRPr="008D669A">
        <w:t>–</w:t>
      </w:r>
      <w:r w:rsidRPr="008D669A">
        <w:rPr>
          <w:bCs/>
        </w:rPr>
        <w:t>34, paras. 54</w:t>
      </w:r>
      <w:r w:rsidRPr="008D669A">
        <w:t>–</w:t>
      </w:r>
      <w:r w:rsidRPr="008D669A">
        <w:rPr>
          <w:bCs/>
        </w:rPr>
        <w:t>60, 38</w:t>
      </w:r>
      <w:r w:rsidRPr="008D669A">
        <w:t>–</w:t>
      </w:r>
      <w:r w:rsidRPr="008D669A">
        <w:rPr>
          <w:bCs/>
        </w:rPr>
        <w:t>41, paras. 68</w:t>
      </w:r>
      <w:r w:rsidRPr="008D669A">
        <w:t>–</w:t>
      </w:r>
      <w:r w:rsidRPr="008D669A">
        <w:rPr>
          <w:bCs/>
        </w:rPr>
        <w:t>71 (filed Apr. 30, 2010); Initial Brief of AT&amp;T Corp. in Support of Amended Complaint, File No. EB-09-MD-010 at 19</w:t>
      </w:r>
      <w:r w:rsidRPr="008D669A">
        <w:t>–</w:t>
      </w:r>
      <w:r w:rsidRPr="008D669A">
        <w:rPr>
          <w:bCs/>
        </w:rPr>
        <w:t>20 (filed Dec. 20, 2010); Reply Brief of AT&amp;T Corp. in Support of Amended Formal Complaint, File No. EB-09-MD-010 at 3</w:t>
      </w:r>
      <w:r>
        <w:rPr>
          <w:bCs/>
        </w:rPr>
        <w:t xml:space="preserve"> </w:t>
      </w:r>
      <w:r w:rsidRPr="008D669A">
        <w:rPr>
          <w:bCs/>
        </w:rPr>
        <w:t>(filed Jan. 14, 2011)</w:t>
      </w:r>
      <w:r>
        <w:rPr>
          <w:bCs/>
        </w:rPr>
        <w:t xml:space="preserve"> </w:t>
      </w:r>
      <w:r w:rsidRPr="008D669A">
        <w:rPr>
          <w:bCs/>
        </w:rPr>
        <w:t>(“AT&amp;T’s Complaint clearly alleged that Beehive was an active participant with the CLECs in the sham arrangements at issue.”).</w:t>
      </w:r>
    </w:p>
  </w:footnote>
  <w:footnote w:id="94">
    <w:p w:rsidR="00853130" w:rsidRPr="008D669A" w:rsidRDefault="00853130" w:rsidP="008D669A">
      <w:pPr>
        <w:pStyle w:val="FootnoteText"/>
      </w:pPr>
      <w:r w:rsidRPr="008D669A">
        <w:rPr>
          <w:rStyle w:val="FootnoteReference"/>
        </w:rPr>
        <w:footnoteRef/>
      </w:r>
      <w:r w:rsidRPr="008D669A">
        <w:t xml:space="preserve"> </w:t>
      </w:r>
      <w:r w:rsidRPr="008D669A">
        <w:rPr>
          <w:i/>
        </w:rPr>
        <w:t>See AT&amp;T v. BellSouth</w:t>
      </w:r>
      <w:r w:rsidRPr="008D669A">
        <w:t>, 20 FCC Rcd at 8580–81</w:t>
      </w:r>
      <w:r>
        <w:t>, para. 6</w:t>
      </w:r>
      <w:r w:rsidRPr="008D669A">
        <w:t xml:space="preserve">.  Nor can Beehive blame Sprint for Beehive’s failure to intervene.  </w:t>
      </w:r>
      <w:r w:rsidRPr="008D669A">
        <w:rPr>
          <w:i/>
        </w:rPr>
        <w:t xml:space="preserve">See </w:t>
      </w:r>
      <w:r w:rsidRPr="008D669A">
        <w:t>Beehive Petition at 11</w:t>
      </w:r>
      <w:r>
        <w:t>–</w:t>
      </w:r>
      <w:r w:rsidRPr="008D669A">
        <w:t>13</w:t>
      </w:r>
      <w:r w:rsidRPr="008D669A">
        <w:rPr>
          <w:color w:val="000000"/>
        </w:rPr>
        <w:t xml:space="preserve">.  Whatever </w:t>
      </w:r>
      <w:r w:rsidRPr="008D669A">
        <w:t xml:space="preserve">Sprint’s litigation strategy might have been, Beehive, of course, is responsible for protecting its own legal interests.  Similarly, Beehive gets no traction from its complaint that it chose not to pursue intervention </w:t>
      </w:r>
      <w:r w:rsidRPr="008D669A">
        <w:rPr>
          <w:color w:val="000000"/>
        </w:rPr>
        <w:t xml:space="preserve">prior to the </w:t>
      </w:r>
      <w:r w:rsidRPr="008D669A">
        <w:rPr>
          <w:i/>
          <w:color w:val="000000"/>
        </w:rPr>
        <w:t>Utah Court Referral</w:t>
      </w:r>
      <w:r w:rsidRPr="008D669A">
        <w:rPr>
          <w:color w:val="000000"/>
        </w:rPr>
        <w:t xml:space="preserve"> because</w:t>
      </w:r>
      <w:r w:rsidRPr="008D669A">
        <w:rPr>
          <w:i/>
          <w:color w:val="000000"/>
        </w:rPr>
        <w:t xml:space="preserve"> </w:t>
      </w:r>
      <w:r w:rsidRPr="008D669A">
        <w:rPr>
          <w:color w:val="000000"/>
        </w:rPr>
        <w:t xml:space="preserve">it would have been faced with the burden of simultaneously litigating the sham-entity issue in court and at the Commission, risking conflicting decisions.  </w:t>
      </w:r>
      <w:r w:rsidRPr="008D669A">
        <w:t xml:space="preserve">Beehive </w:t>
      </w:r>
      <w:r w:rsidRPr="008D669A">
        <w:rPr>
          <w:color w:val="000000"/>
        </w:rPr>
        <w:t xml:space="preserve">Petition at 12.  That risk existed whether Beehive intervened or not, because Beehive was actively defending and pursuing in multiple fora claims that implicated the sham-entity issue.  </w:t>
      </w:r>
      <w:r w:rsidRPr="008D669A">
        <w:rPr>
          <w:i/>
          <w:color w:val="000000"/>
        </w:rPr>
        <w:t>See</w:t>
      </w:r>
      <w:r w:rsidRPr="008D669A">
        <w:rPr>
          <w:color w:val="000000"/>
        </w:rPr>
        <w:t xml:space="preserve"> Beehive’s Petition for Declaratory Ruling, WC Docket No. 10-36 (filed Feb. 2, 2010); </w:t>
      </w:r>
      <w:r w:rsidRPr="008D669A">
        <w:rPr>
          <w:i/>
          <w:color w:val="000000"/>
        </w:rPr>
        <w:t>Consideration of the Rescission, Alteration, or Amendment of the Certificate of Authority of All American to Operate as a Competitive Local Exchange Carrier Within the State of Utah, Public Service Commission of Utah</w:t>
      </w:r>
      <w:r w:rsidRPr="008D669A">
        <w:rPr>
          <w:color w:val="000000"/>
        </w:rPr>
        <w:t>, Docket No. 08-2469-01, Report and Order at 9–12 (Apr. 26, 2010) (reflecting Beehive’s participation in proceedings directed at rescinding All American’s Certificate of Public Convenience and Necessity).  Beehive also initiated discussions with Commission staff in November 2010 regarding the prospect of filing a formal complaint against Sprint</w:t>
      </w:r>
      <w:r>
        <w:rPr>
          <w:color w:val="000000"/>
        </w:rPr>
        <w:t xml:space="preserve">.  </w:t>
      </w:r>
      <w:r>
        <w:rPr>
          <w:i/>
          <w:color w:val="000000"/>
        </w:rPr>
        <w:t>S</w:t>
      </w:r>
      <w:r w:rsidRPr="008D669A">
        <w:rPr>
          <w:i/>
          <w:color w:val="000000"/>
        </w:rPr>
        <w:t>ee</w:t>
      </w:r>
      <w:r w:rsidRPr="008D669A">
        <w:rPr>
          <w:color w:val="000000"/>
        </w:rPr>
        <w:t xml:space="preserve"> Letter Ruling dated June 21, 2013 from Christopher Killion, Associate Chief, Enforcement Bureau, to Russell D. Lukas, Counsel for Beehive, Gary R. Guelker, Counsel for All American, Marc A. Goldman and William Lawson, Counsel for Sprint at 7, n.37.</w:t>
      </w:r>
      <w:r w:rsidRPr="008D669A">
        <w:t xml:space="preserve">  </w:t>
      </w:r>
    </w:p>
  </w:footnote>
  <w:footnote w:id="95">
    <w:p w:rsidR="00853130" w:rsidRPr="008D669A" w:rsidRDefault="00853130" w:rsidP="008D669A">
      <w:pPr>
        <w:pStyle w:val="FootnoteText"/>
      </w:pPr>
      <w:r w:rsidRPr="008D669A">
        <w:rPr>
          <w:rStyle w:val="FootnoteReference"/>
        </w:rPr>
        <w:footnoteRef/>
      </w:r>
      <w:r w:rsidRPr="008D669A">
        <w:t xml:space="preserve"> Beehive Petition at 12</w:t>
      </w:r>
      <w:r>
        <w:t>–</w:t>
      </w:r>
      <w:r w:rsidRPr="008D669A">
        <w:t xml:space="preserve">13.    </w:t>
      </w:r>
    </w:p>
  </w:footnote>
  <w:footnote w:id="96">
    <w:p w:rsidR="00853130" w:rsidRPr="0072337C" w:rsidRDefault="00853130" w:rsidP="008D669A">
      <w:pPr>
        <w:pStyle w:val="FootnoteText"/>
        <w:rPr>
          <w:b/>
        </w:rPr>
      </w:pPr>
      <w:r w:rsidRPr="008D669A">
        <w:rPr>
          <w:rStyle w:val="FootnoteReference"/>
        </w:rPr>
        <w:footnoteRef/>
      </w:r>
      <w:r w:rsidRPr="008D669A">
        <w:t xml:space="preserve"> </w:t>
      </w:r>
      <w:r w:rsidRPr="008D669A">
        <w:rPr>
          <w:i/>
        </w:rPr>
        <w:t xml:space="preserve">See supra </w:t>
      </w:r>
      <w:r w:rsidRPr="002555A0">
        <w:t>para.</w:t>
      </w:r>
      <w:r w:rsidRPr="008D669A">
        <w:t xml:space="preserve"> </w:t>
      </w:r>
      <w:r w:rsidRPr="008D669A">
        <w:fldChar w:fldCharType="begin"/>
      </w:r>
      <w:r w:rsidRPr="008D669A">
        <w:instrText xml:space="preserve"> REF _Ref370386949 \r \h  \* MERGEFORMAT </w:instrText>
      </w:r>
      <w:r w:rsidRPr="008D669A">
        <w:fldChar w:fldCharType="separate"/>
      </w:r>
      <w:r>
        <w:t>22</w:t>
      </w:r>
      <w:r w:rsidRPr="008D669A">
        <w:fldChar w:fldCharType="end"/>
      </w:r>
      <w:r>
        <w:t xml:space="preserve">, </w:t>
      </w:r>
      <w:r w:rsidRPr="008D669A">
        <w:t xml:space="preserve">note </w:t>
      </w:r>
      <w:r>
        <w:t>88</w:t>
      </w:r>
      <w:r w:rsidRPr="008D669A">
        <w:t>.</w:t>
      </w:r>
    </w:p>
  </w:footnote>
  <w:footnote w:id="97">
    <w:p w:rsidR="00853130" w:rsidRPr="0072337C" w:rsidRDefault="00853130" w:rsidP="008D669A">
      <w:pPr>
        <w:pStyle w:val="FootnoteText"/>
      </w:pPr>
      <w:r w:rsidRPr="008D669A">
        <w:rPr>
          <w:rStyle w:val="FootnoteReference"/>
        </w:rPr>
        <w:footnoteRef/>
      </w:r>
      <w:r w:rsidRPr="008D669A">
        <w:t xml:space="preserve"> In December 2012, Beehive asked the Commission to “consider whether Sprint’s complaint should be consolidated for disposition with the AT&amp;T complaint pursuant to § 1.735(a) of the rules.”  Letter from Russell D. Lukas, counsel for Beehive, to Anthony J. DeLaurentis, MDRD (dated Dec. 12, 2012)</w:t>
      </w:r>
      <w:r>
        <w:t xml:space="preserve"> (on file in </w:t>
      </w:r>
      <w:r w:rsidRPr="0072337C">
        <w:t>File No. EB-13-MD-003).</w:t>
      </w:r>
    </w:p>
  </w:footnote>
  <w:footnote w:id="98">
    <w:p w:rsidR="00853130" w:rsidRPr="008D669A" w:rsidRDefault="00853130" w:rsidP="008D669A">
      <w:pPr>
        <w:pStyle w:val="FootnoteText"/>
        <w:rPr>
          <w:b/>
        </w:rPr>
      </w:pPr>
      <w:r w:rsidRPr="008D669A">
        <w:rPr>
          <w:rStyle w:val="FootnoteReference"/>
        </w:rPr>
        <w:footnoteRef/>
      </w:r>
      <w:r w:rsidRPr="008D669A">
        <w:rPr>
          <w:i/>
        </w:rPr>
        <w:t xml:space="preserve"> Order</w:t>
      </w:r>
      <w:r w:rsidRPr="008D669A">
        <w:t xml:space="preserve">, 28 FCC Rcd at 3487–88, para. 24, n.104 (noting that the record “exceeds 7,000 pages, including pleadings, discovery responses, deposition transcripts, </w:t>
      </w:r>
      <w:r>
        <w:t>c</w:t>
      </w:r>
      <w:r w:rsidRPr="008D669A">
        <w:t>ourt exhibits, Utah PSC exhibits, and other miscellaneous documents”).  The record also includes deposition testimony of several Beehive officers and employees and Beehive</w:t>
      </w:r>
      <w:r>
        <w:t>’s</w:t>
      </w:r>
      <w:r w:rsidRPr="008D669A">
        <w:t xml:space="preserve"> discovery responses.  </w:t>
      </w:r>
      <w:r w:rsidRPr="008D669A">
        <w:rPr>
          <w:i/>
        </w:rPr>
        <w:t>See, e.g.</w:t>
      </w:r>
      <w:r w:rsidRPr="008D669A">
        <w:t>,</w:t>
      </w:r>
      <w:r>
        <w:t xml:space="preserve"> </w:t>
      </w:r>
      <w:r>
        <w:rPr>
          <w:i/>
        </w:rPr>
        <w:t>id.</w:t>
      </w:r>
      <w:r>
        <w:t xml:space="preserve"> </w:t>
      </w:r>
      <w:r w:rsidRPr="008D669A">
        <w:t>at 3480–84, paras. 12–14, 16</w:t>
      </w:r>
      <w:r>
        <w:t>–</w:t>
      </w:r>
      <w:r w:rsidRPr="008D669A">
        <w:t>17 nn. 34, 36, 40, 43, 51</w:t>
      </w:r>
      <w:r>
        <w:t>–</w:t>
      </w:r>
      <w:r w:rsidRPr="008D669A">
        <w:t>52, 54, 60, 62–65</w:t>
      </w:r>
      <w:r>
        <w:t xml:space="preserve">; 3488–89, paras. 26–28, nn. </w:t>
      </w:r>
      <w:r w:rsidRPr="008D669A">
        <w:t>112, 115, 118, 120–22.</w:t>
      </w:r>
    </w:p>
  </w:footnote>
  <w:footnote w:id="99">
    <w:p w:rsidR="00853130" w:rsidRPr="008D669A" w:rsidRDefault="00853130" w:rsidP="005E1384">
      <w:pPr>
        <w:pStyle w:val="ParaNum"/>
        <w:numPr>
          <w:ilvl w:val="0"/>
          <w:numId w:val="0"/>
        </w:numPr>
      </w:pPr>
      <w:r w:rsidRPr="008D669A">
        <w:rPr>
          <w:rStyle w:val="FootnoteReference"/>
        </w:rPr>
        <w:footnoteRef/>
      </w:r>
      <w:r w:rsidRPr="008D669A">
        <w:rPr>
          <w:sz w:val="20"/>
        </w:rPr>
        <w:t xml:space="preserve"> </w:t>
      </w:r>
      <w:r w:rsidRPr="008D669A">
        <w:rPr>
          <w:i/>
          <w:sz w:val="20"/>
        </w:rPr>
        <w:t xml:space="preserve">See </w:t>
      </w:r>
      <w:r w:rsidRPr="008D669A">
        <w:rPr>
          <w:sz w:val="20"/>
        </w:rPr>
        <w:t xml:space="preserve">47 C.F.R. § 1.735(a).  </w:t>
      </w:r>
      <w:r w:rsidRPr="008D669A">
        <w:rPr>
          <w:i/>
          <w:sz w:val="20"/>
        </w:rPr>
        <w:t>See also</w:t>
      </w:r>
      <w:r w:rsidRPr="008D669A">
        <w:rPr>
          <w:sz w:val="20"/>
        </w:rPr>
        <w:t xml:space="preserve"> </w:t>
      </w:r>
      <w:r w:rsidRPr="008D669A">
        <w:rPr>
          <w:i/>
          <w:sz w:val="20"/>
        </w:rPr>
        <w:t>Motion to Consolidate and Reassign Order</w:t>
      </w:r>
      <w:r w:rsidRPr="008D669A">
        <w:rPr>
          <w:sz w:val="20"/>
        </w:rPr>
        <w:t xml:space="preserve">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E5" w:rsidRDefault="00E26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30" w:rsidRDefault="00853130" w:rsidP="00497176">
    <w:pPr>
      <w:pStyle w:val="Header"/>
      <w:spacing w:before="120"/>
      <w:jc w:val="center"/>
    </w:pPr>
  </w:p>
  <w:p w:rsidR="00853130" w:rsidRDefault="00853130" w:rsidP="00A54A7B">
    <w:pPr>
      <w:pStyle w:val="Header"/>
      <w:jc w:val="center"/>
    </w:pPr>
  </w:p>
  <w:p w:rsidR="00853130" w:rsidRPr="00B32138" w:rsidRDefault="00853130" w:rsidP="00497176">
    <w:pPr>
      <w:pStyle w:val="Header"/>
      <w:rPr>
        <w:szCs w:val="22"/>
      </w:rPr>
    </w:pPr>
    <w:r>
      <w:rPr>
        <w:b w:val="0"/>
      </w:rPr>
      <w:tab/>
    </w:r>
    <w:r w:rsidRPr="00B32138">
      <w:rPr>
        <w:szCs w:val="22"/>
      </w:rPr>
      <w:t>Federal Communications Commission</w:t>
    </w:r>
    <w:r w:rsidRPr="00B32138">
      <w:rPr>
        <w:szCs w:val="22"/>
      </w:rPr>
      <w:tab/>
    </w:r>
    <w:r>
      <w:rPr>
        <w:szCs w:val="22"/>
      </w:rPr>
      <w:t xml:space="preserve">FCC </w:t>
    </w:r>
    <w:r w:rsidR="00066E7C">
      <w:rPr>
        <w:szCs w:val="22"/>
      </w:rPr>
      <w:t>14-84</w:t>
    </w:r>
    <w:r w:rsidRPr="00B32138">
      <w:rPr>
        <w:szCs w:val="22"/>
      </w:rPr>
      <w:t xml:space="preserve"> </w:t>
    </w:r>
  </w:p>
  <w:p w:rsidR="00853130" w:rsidRDefault="00DA2D82" w:rsidP="00F75C67">
    <w:pPr>
      <w:pStyle w:val="Header"/>
    </w:pPr>
    <w:r>
      <w:rPr>
        <w:noProof/>
      </w:rPr>
      <w:pict>
        <v:line id="_x0000_s2050" style="position:absolute;z-index:251658240" from="0,1.75pt" to="468pt,1.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30" w:rsidRDefault="00853130" w:rsidP="00497176">
    <w:pPr>
      <w:pStyle w:val="Header"/>
    </w:pPr>
  </w:p>
  <w:p w:rsidR="00853130" w:rsidRDefault="00853130" w:rsidP="00497176">
    <w:pPr>
      <w:pStyle w:val="Header"/>
    </w:pPr>
  </w:p>
  <w:p w:rsidR="00853130" w:rsidRDefault="00853130" w:rsidP="00497176">
    <w:pPr>
      <w:pStyle w:val="Header"/>
    </w:pPr>
  </w:p>
  <w:p w:rsidR="00853130" w:rsidRPr="00B32138" w:rsidRDefault="00853130" w:rsidP="00497176">
    <w:pPr>
      <w:pStyle w:val="Header"/>
      <w:rPr>
        <w:szCs w:val="22"/>
      </w:rPr>
    </w:pPr>
    <w:r>
      <w:tab/>
    </w:r>
    <w:r w:rsidRPr="00B32138">
      <w:rPr>
        <w:szCs w:val="22"/>
      </w:rPr>
      <w:t>Federal Communications Commission</w:t>
    </w:r>
    <w:r w:rsidRPr="00B32138">
      <w:rPr>
        <w:szCs w:val="22"/>
      </w:rPr>
      <w:tab/>
    </w:r>
    <w:r>
      <w:rPr>
        <w:szCs w:val="22"/>
      </w:rPr>
      <w:t>FCC 14-84</w:t>
    </w:r>
  </w:p>
  <w:p w:rsidR="00853130" w:rsidRDefault="00DA2D82">
    <w:pPr>
      <w:pStyle w:val="Header"/>
    </w:pPr>
    <w:r>
      <w:rPr>
        <w:noProof/>
      </w:rPr>
      <w:pict>
        <v:line id="_x0000_s2049"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F24"/>
    <w:multiLevelType w:val="hybridMultilevel"/>
    <w:tmpl w:val="CA4A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A106E"/>
    <w:multiLevelType w:val="hybridMultilevel"/>
    <w:tmpl w:val="E110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A783C"/>
    <w:multiLevelType w:val="singleLevel"/>
    <w:tmpl w:val="A52053E0"/>
    <w:lvl w:ilvl="0">
      <w:start w:val="1"/>
      <w:numFmt w:val="decimal"/>
      <w:lvlText w:val="%1."/>
      <w:lvlJc w:val="left"/>
      <w:pPr>
        <w:tabs>
          <w:tab w:val="num" w:pos="1260"/>
        </w:tabs>
        <w:ind w:left="18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AB0367"/>
    <w:multiLevelType w:val="hybridMultilevel"/>
    <w:tmpl w:val="97A2A71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F1B3D"/>
    <w:multiLevelType w:val="singleLevel"/>
    <w:tmpl w:val="A594A934"/>
    <w:lvl w:ilvl="0">
      <w:start w:val="1"/>
      <w:numFmt w:val="decimal"/>
      <w:lvlText w:val="%1."/>
      <w:lvlJc w:val="left"/>
      <w:pPr>
        <w:tabs>
          <w:tab w:val="num" w:pos="1560"/>
        </w:tabs>
        <w:ind w:left="12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1D0EFA76"/>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szCs w:val="22"/>
        <w:vertAlign w:val="baseline"/>
      </w:rPr>
    </w:lvl>
    <w:lvl w:ilvl="1">
      <w:start w:val="1"/>
      <w:numFmt w:val="upperLetter"/>
      <w:lvlText w:val="%2."/>
      <w:lvlJc w:val="left"/>
      <w:pPr>
        <w:tabs>
          <w:tab w:val="num" w:pos="720"/>
        </w:tabs>
        <w:ind w:left="720" w:firstLine="0"/>
      </w:pPr>
      <w:rPr>
        <w:rFonts w:ascii="Times New Roman" w:hAnsi="Times New Roman" w:hint="default"/>
        <w:sz w:val="22"/>
        <w:szCs w:val="22"/>
      </w:rPr>
    </w:lvl>
    <w:lvl w:ilvl="2">
      <w:start w:val="1"/>
      <w:numFmt w:val="decimal"/>
      <w:lvlText w:val="%3."/>
      <w:lvlJc w:val="left"/>
      <w:pPr>
        <w:tabs>
          <w:tab w:val="num" w:pos="2430"/>
        </w:tabs>
        <w:ind w:left="2430" w:hanging="720"/>
      </w:pPr>
      <w:rPr>
        <w:rFonts w:ascii="Times New Roman" w:hAnsi="Times New Roman" w:hint="default"/>
        <w:b/>
        <w:i w:val="0"/>
        <w:sz w:val="22"/>
        <w:szCs w:val="22"/>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CCA49B1"/>
    <w:multiLevelType w:val="hybridMultilevel"/>
    <w:tmpl w:val="3C1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num w:numId="1">
    <w:abstractNumId w:val="10"/>
  </w:num>
  <w:num w:numId="2">
    <w:abstractNumId w:val="8"/>
  </w:num>
  <w:num w:numId="3">
    <w:abstractNumId w:val="13"/>
  </w:num>
  <w:num w:numId="4">
    <w:abstractNumId w:val="2"/>
  </w:num>
  <w:num w:numId="5">
    <w:abstractNumId w:val="7"/>
  </w:num>
  <w:num w:numId="6">
    <w:abstractNumId w:val="0"/>
  </w:num>
  <w:num w:numId="7">
    <w:abstractNumId w:val="6"/>
  </w:num>
  <w:num w:numId="8">
    <w:abstractNumId w:val="1"/>
  </w:num>
  <w:num w:numId="9">
    <w:abstractNumId w:val="12"/>
  </w:num>
  <w:num w:numId="10">
    <w:abstractNumId w:val="10"/>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9"/>
  </w:num>
  <w:num w:numId="14">
    <w:abstractNumId w:val="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369E"/>
    <w:rsid w:val="0000064E"/>
    <w:rsid w:val="0000079B"/>
    <w:rsid w:val="00001EA5"/>
    <w:rsid w:val="0000233A"/>
    <w:rsid w:val="0000278F"/>
    <w:rsid w:val="00002807"/>
    <w:rsid w:val="00002E5A"/>
    <w:rsid w:val="00002F2C"/>
    <w:rsid w:val="000034BF"/>
    <w:rsid w:val="000041AC"/>
    <w:rsid w:val="00004D1F"/>
    <w:rsid w:val="00005439"/>
    <w:rsid w:val="00005889"/>
    <w:rsid w:val="00005A78"/>
    <w:rsid w:val="000067A5"/>
    <w:rsid w:val="000071FC"/>
    <w:rsid w:val="00007A12"/>
    <w:rsid w:val="0001091E"/>
    <w:rsid w:val="00010E51"/>
    <w:rsid w:val="000110B8"/>
    <w:rsid w:val="000111FD"/>
    <w:rsid w:val="0001154A"/>
    <w:rsid w:val="00011705"/>
    <w:rsid w:val="00012DE5"/>
    <w:rsid w:val="0001353C"/>
    <w:rsid w:val="00013827"/>
    <w:rsid w:val="0001393F"/>
    <w:rsid w:val="00015C40"/>
    <w:rsid w:val="000164BA"/>
    <w:rsid w:val="0001696B"/>
    <w:rsid w:val="00016FB1"/>
    <w:rsid w:val="000202ED"/>
    <w:rsid w:val="0002034C"/>
    <w:rsid w:val="00020395"/>
    <w:rsid w:val="00020637"/>
    <w:rsid w:val="00020DEF"/>
    <w:rsid w:val="00020E0E"/>
    <w:rsid w:val="00021177"/>
    <w:rsid w:val="000212E2"/>
    <w:rsid w:val="00021D07"/>
    <w:rsid w:val="00021F9C"/>
    <w:rsid w:val="000221DD"/>
    <w:rsid w:val="00022AAD"/>
    <w:rsid w:val="00022EEF"/>
    <w:rsid w:val="000232BB"/>
    <w:rsid w:val="000237AE"/>
    <w:rsid w:val="00023B36"/>
    <w:rsid w:val="00024427"/>
    <w:rsid w:val="00024AD7"/>
    <w:rsid w:val="00024DD1"/>
    <w:rsid w:val="0002512B"/>
    <w:rsid w:val="0002563E"/>
    <w:rsid w:val="0002586B"/>
    <w:rsid w:val="00025A3D"/>
    <w:rsid w:val="000261B4"/>
    <w:rsid w:val="000261F0"/>
    <w:rsid w:val="0002696D"/>
    <w:rsid w:val="00027768"/>
    <w:rsid w:val="00027CB8"/>
    <w:rsid w:val="00030CEC"/>
    <w:rsid w:val="0003171F"/>
    <w:rsid w:val="00031B1F"/>
    <w:rsid w:val="00032308"/>
    <w:rsid w:val="000326F5"/>
    <w:rsid w:val="000327C1"/>
    <w:rsid w:val="000329AA"/>
    <w:rsid w:val="000329C0"/>
    <w:rsid w:val="000330C5"/>
    <w:rsid w:val="0003342C"/>
    <w:rsid w:val="00033772"/>
    <w:rsid w:val="000341EE"/>
    <w:rsid w:val="00034270"/>
    <w:rsid w:val="000350A3"/>
    <w:rsid w:val="00035771"/>
    <w:rsid w:val="000357DD"/>
    <w:rsid w:val="0003599C"/>
    <w:rsid w:val="00035C0B"/>
    <w:rsid w:val="0003626E"/>
    <w:rsid w:val="0003692E"/>
    <w:rsid w:val="00036EA1"/>
    <w:rsid w:val="0003727A"/>
    <w:rsid w:val="00040D73"/>
    <w:rsid w:val="00042E76"/>
    <w:rsid w:val="00043579"/>
    <w:rsid w:val="00043613"/>
    <w:rsid w:val="00043DBF"/>
    <w:rsid w:val="00044205"/>
    <w:rsid w:val="0004461B"/>
    <w:rsid w:val="00044C97"/>
    <w:rsid w:val="00045826"/>
    <w:rsid w:val="0004583D"/>
    <w:rsid w:val="00045956"/>
    <w:rsid w:val="00045C6F"/>
    <w:rsid w:val="00046C78"/>
    <w:rsid w:val="00050BC7"/>
    <w:rsid w:val="000521ED"/>
    <w:rsid w:val="00052940"/>
    <w:rsid w:val="0005352B"/>
    <w:rsid w:val="0005352C"/>
    <w:rsid w:val="00053D71"/>
    <w:rsid w:val="00053EB5"/>
    <w:rsid w:val="00054702"/>
    <w:rsid w:val="000555A2"/>
    <w:rsid w:val="00055D83"/>
    <w:rsid w:val="000564BE"/>
    <w:rsid w:val="00056A84"/>
    <w:rsid w:val="00056A98"/>
    <w:rsid w:val="00056E90"/>
    <w:rsid w:val="000575EC"/>
    <w:rsid w:val="00057959"/>
    <w:rsid w:val="00057A48"/>
    <w:rsid w:val="00060027"/>
    <w:rsid w:val="00060214"/>
    <w:rsid w:val="0006198F"/>
    <w:rsid w:val="00062364"/>
    <w:rsid w:val="0006268E"/>
    <w:rsid w:val="00062A4B"/>
    <w:rsid w:val="00062D77"/>
    <w:rsid w:val="00063334"/>
    <w:rsid w:val="000635F7"/>
    <w:rsid w:val="00064899"/>
    <w:rsid w:val="00064CCA"/>
    <w:rsid w:val="00064D02"/>
    <w:rsid w:val="000653B3"/>
    <w:rsid w:val="00065A22"/>
    <w:rsid w:val="00065E37"/>
    <w:rsid w:val="00066419"/>
    <w:rsid w:val="000665D5"/>
    <w:rsid w:val="0006672D"/>
    <w:rsid w:val="000668A9"/>
    <w:rsid w:val="000668F2"/>
    <w:rsid w:val="00066E03"/>
    <w:rsid w:val="00066E7C"/>
    <w:rsid w:val="000671A5"/>
    <w:rsid w:val="00067849"/>
    <w:rsid w:val="00070001"/>
    <w:rsid w:val="00070CDA"/>
    <w:rsid w:val="00070F79"/>
    <w:rsid w:val="00071167"/>
    <w:rsid w:val="000711B7"/>
    <w:rsid w:val="00071613"/>
    <w:rsid w:val="0007172F"/>
    <w:rsid w:val="0007178E"/>
    <w:rsid w:val="00071D13"/>
    <w:rsid w:val="00071FA1"/>
    <w:rsid w:val="00072856"/>
    <w:rsid w:val="00073171"/>
    <w:rsid w:val="000738A1"/>
    <w:rsid w:val="00073CC3"/>
    <w:rsid w:val="000741F6"/>
    <w:rsid w:val="000745CC"/>
    <w:rsid w:val="00074BA8"/>
    <w:rsid w:val="000757C2"/>
    <w:rsid w:val="000766FD"/>
    <w:rsid w:val="000768DD"/>
    <w:rsid w:val="0008036B"/>
    <w:rsid w:val="000809AB"/>
    <w:rsid w:val="0008111F"/>
    <w:rsid w:val="00081A4B"/>
    <w:rsid w:val="00081A71"/>
    <w:rsid w:val="00081B63"/>
    <w:rsid w:val="00082190"/>
    <w:rsid w:val="00082DBE"/>
    <w:rsid w:val="0008380E"/>
    <w:rsid w:val="0008422D"/>
    <w:rsid w:val="000844CC"/>
    <w:rsid w:val="00084D7B"/>
    <w:rsid w:val="00085022"/>
    <w:rsid w:val="000855DB"/>
    <w:rsid w:val="00085692"/>
    <w:rsid w:val="00085A62"/>
    <w:rsid w:val="00085A94"/>
    <w:rsid w:val="00086A1A"/>
    <w:rsid w:val="00087117"/>
    <w:rsid w:val="00087905"/>
    <w:rsid w:val="00090E0A"/>
    <w:rsid w:val="00090E20"/>
    <w:rsid w:val="000911A8"/>
    <w:rsid w:val="000913FB"/>
    <w:rsid w:val="000918B2"/>
    <w:rsid w:val="00091A02"/>
    <w:rsid w:val="00091B11"/>
    <w:rsid w:val="000920CE"/>
    <w:rsid w:val="000941AC"/>
    <w:rsid w:val="00094DDB"/>
    <w:rsid w:val="00094E2F"/>
    <w:rsid w:val="000954B6"/>
    <w:rsid w:val="00095D7A"/>
    <w:rsid w:val="00095DA6"/>
    <w:rsid w:val="00096ABA"/>
    <w:rsid w:val="00096D0D"/>
    <w:rsid w:val="00096F01"/>
    <w:rsid w:val="00097B71"/>
    <w:rsid w:val="000A2926"/>
    <w:rsid w:val="000A2B54"/>
    <w:rsid w:val="000A3852"/>
    <w:rsid w:val="000A5188"/>
    <w:rsid w:val="000A51BA"/>
    <w:rsid w:val="000A5824"/>
    <w:rsid w:val="000A5A45"/>
    <w:rsid w:val="000A70EC"/>
    <w:rsid w:val="000A71C6"/>
    <w:rsid w:val="000A76C4"/>
    <w:rsid w:val="000A78D5"/>
    <w:rsid w:val="000A7C6B"/>
    <w:rsid w:val="000B0356"/>
    <w:rsid w:val="000B087B"/>
    <w:rsid w:val="000B1541"/>
    <w:rsid w:val="000B1F7C"/>
    <w:rsid w:val="000B23A8"/>
    <w:rsid w:val="000B3340"/>
    <w:rsid w:val="000B3893"/>
    <w:rsid w:val="000B3BC4"/>
    <w:rsid w:val="000B48A2"/>
    <w:rsid w:val="000B4A06"/>
    <w:rsid w:val="000B4E87"/>
    <w:rsid w:val="000B564E"/>
    <w:rsid w:val="000B6BBF"/>
    <w:rsid w:val="000B6FB5"/>
    <w:rsid w:val="000B779A"/>
    <w:rsid w:val="000B7F30"/>
    <w:rsid w:val="000C0281"/>
    <w:rsid w:val="000C02CA"/>
    <w:rsid w:val="000C0803"/>
    <w:rsid w:val="000C09F2"/>
    <w:rsid w:val="000C0F88"/>
    <w:rsid w:val="000C10D0"/>
    <w:rsid w:val="000C2004"/>
    <w:rsid w:val="000C2465"/>
    <w:rsid w:val="000C273E"/>
    <w:rsid w:val="000C2893"/>
    <w:rsid w:val="000C29FF"/>
    <w:rsid w:val="000C3015"/>
    <w:rsid w:val="000C352A"/>
    <w:rsid w:val="000C3AB9"/>
    <w:rsid w:val="000C3ACE"/>
    <w:rsid w:val="000C3CCA"/>
    <w:rsid w:val="000C44CE"/>
    <w:rsid w:val="000C4CA9"/>
    <w:rsid w:val="000C565C"/>
    <w:rsid w:val="000C614E"/>
    <w:rsid w:val="000C6619"/>
    <w:rsid w:val="000C6636"/>
    <w:rsid w:val="000C6C9E"/>
    <w:rsid w:val="000D0143"/>
    <w:rsid w:val="000D03C5"/>
    <w:rsid w:val="000D13DE"/>
    <w:rsid w:val="000D2EB4"/>
    <w:rsid w:val="000D3264"/>
    <w:rsid w:val="000D3805"/>
    <w:rsid w:val="000D3E27"/>
    <w:rsid w:val="000D481D"/>
    <w:rsid w:val="000D5124"/>
    <w:rsid w:val="000D5BF9"/>
    <w:rsid w:val="000D6A47"/>
    <w:rsid w:val="000D6B4D"/>
    <w:rsid w:val="000D79C0"/>
    <w:rsid w:val="000E04FB"/>
    <w:rsid w:val="000E0D04"/>
    <w:rsid w:val="000E1BF8"/>
    <w:rsid w:val="000E2256"/>
    <w:rsid w:val="000E22CC"/>
    <w:rsid w:val="000E22E5"/>
    <w:rsid w:val="000E2D65"/>
    <w:rsid w:val="000E2E5D"/>
    <w:rsid w:val="000E30BA"/>
    <w:rsid w:val="000E3736"/>
    <w:rsid w:val="000E37D3"/>
    <w:rsid w:val="000E37FE"/>
    <w:rsid w:val="000E4411"/>
    <w:rsid w:val="000E492F"/>
    <w:rsid w:val="000E5E5C"/>
    <w:rsid w:val="000E6606"/>
    <w:rsid w:val="000E6680"/>
    <w:rsid w:val="000E7EFF"/>
    <w:rsid w:val="000F01F6"/>
    <w:rsid w:val="000F024F"/>
    <w:rsid w:val="000F04C6"/>
    <w:rsid w:val="000F13CB"/>
    <w:rsid w:val="000F1BBB"/>
    <w:rsid w:val="000F1E7E"/>
    <w:rsid w:val="000F1EF1"/>
    <w:rsid w:val="000F21BF"/>
    <w:rsid w:val="000F229E"/>
    <w:rsid w:val="000F26C0"/>
    <w:rsid w:val="000F2E10"/>
    <w:rsid w:val="000F2EC7"/>
    <w:rsid w:val="000F355F"/>
    <w:rsid w:val="000F3C80"/>
    <w:rsid w:val="000F4C6C"/>
    <w:rsid w:val="000F5F1B"/>
    <w:rsid w:val="000F72A4"/>
    <w:rsid w:val="000F7D27"/>
    <w:rsid w:val="000F7EC8"/>
    <w:rsid w:val="00100545"/>
    <w:rsid w:val="00100D3B"/>
    <w:rsid w:val="00100DCA"/>
    <w:rsid w:val="001011A8"/>
    <w:rsid w:val="001012DE"/>
    <w:rsid w:val="0010191C"/>
    <w:rsid w:val="00101B35"/>
    <w:rsid w:val="00101E6A"/>
    <w:rsid w:val="00102862"/>
    <w:rsid w:val="001029C5"/>
    <w:rsid w:val="001032FA"/>
    <w:rsid w:val="0010429C"/>
    <w:rsid w:val="00104698"/>
    <w:rsid w:val="00104A21"/>
    <w:rsid w:val="00104CAC"/>
    <w:rsid w:val="00106129"/>
    <w:rsid w:val="0010648E"/>
    <w:rsid w:val="00106938"/>
    <w:rsid w:val="00107512"/>
    <w:rsid w:val="0011065D"/>
    <w:rsid w:val="001107EC"/>
    <w:rsid w:val="001109BE"/>
    <w:rsid w:val="00110C2B"/>
    <w:rsid w:val="00110EF8"/>
    <w:rsid w:val="0011105F"/>
    <w:rsid w:val="0011218E"/>
    <w:rsid w:val="001122AB"/>
    <w:rsid w:val="001122EC"/>
    <w:rsid w:val="0011253A"/>
    <w:rsid w:val="00113934"/>
    <w:rsid w:val="00113B50"/>
    <w:rsid w:val="001144CE"/>
    <w:rsid w:val="00114985"/>
    <w:rsid w:val="00115AB8"/>
    <w:rsid w:val="001169B5"/>
    <w:rsid w:val="0011716B"/>
    <w:rsid w:val="00117AF2"/>
    <w:rsid w:val="001208F2"/>
    <w:rsid w:val="00121541"/>
    <w:rsid w:val="00121A26"/>
    <w:rsid w:val="001227D9"/>
    <w:rsid w:val="00123697"/>
    <w:rsid w:val="00123D07"/>
    <w:rsid w:val="001250BF"/>
    <w:rsid w:val="00125561"/>
    <w:rsid w:val="00126374"/>
    <w:rsid w:val="001265D1"/>
    <w:rsid w:val="00130055"/>
    <w:rsid w:val="001304CC"/>
    <w:rsid w:val="0013113D"/>
    <w:rsid w:val="00131371"/>
    <w:rsid w:val="001318A0"/>
    <w:rsid w:val="00131B47"/>
    <w:rsid w:val="00132830"/>
    <w:rsid w:val="00132A11"/>
    <w:rsid w:val="00132E5B"/>
    <w:rsid w:val="00132E6F"/>
    <w:rsid w:val="00133325"/>
    <w:rsid w:val="001333A3"/>
    <w:rsid w:val="00133D61"/>
    <w:rsid w:val="00134CB3"/>
    <w:rsid w:val="0013536A"/>
    <w:rsid w:val="001355D2"/>
    <w:rsid w:val="00136218"/>
    <w:rsid w:val="00136A78"/>
    <w:rsid w:val="00136DA2"/>
    <w:rsid w:val="00137572"/>
    <w:rsid w:val="00137B88"/>
    <w:rsid w:val="00137D38"/>
    <w:rsid w:val="001401FC"/>
    <w:rsid w:val="00140E69"/>
    <w:rsid w:val="00142B00"/>
    <w:rsid w:val="00143692"/>
    <w:rsid w:val="00143D7E"/>
    <w:rsid w:val="00144079"/>
    <w:rsid w:val="00144F25"/>
    <w:rsid w:val="00144FC1"/>
    <w:rsid w:val="001455DB"/>
    <w:rsid w:val="0014572E"/>
    <w:rsid w:val="00145E0D"/>
    <w:rsid w:val="00145F7B"/>
    <w:rsid w:val="001461A3"/>
    <w:rsid w:val="0014621B"/>
    <w:rsid w:val="00147837"/>
    <w:rsid w:val="001478A9"/>
    <w:rsid w:val="00147DFC"/>
    <w:rsid w:val="00147F2D"/>
    <w:rsid w:val="00147F89"/>
    <w:rsid w:val="001500AD"/>
    <w:rsid w:val="00150400"/>
    <w:rsid w:val="001504F1"/>
    <w:rsid w:val="0015088D"/>
    <w:rsid w:val="001515E9"/>
    <w:rsid w:val="00151A40"/>
    <w:rsid w:val="00152767"/>
    <w:rsid w:val="00152BC4"/>
    <w:rsid w:val="00152C3F"/>
    <w:rsid w:val="00153125"/>
    <w:rsid w:val="00153AF4"/>
    <w:rsid w:val="001542A7"/>
    <w:rsid w:val="00154AD2"/>
    <w:rsid w:val="001556B9"/>
    <w:rsid w:val="001561E4"/>
    <w:rsid w:val="001563ED"/>
    <w:rsid w:val="00156449"/>
    <w:rsid w:val="00156C94"/>
    <w:rsid w:val="00157220"/>
    <w:rsid w:val="00157245"/>
    <w:rsid w:val="001577CF"/>
    <w:rsid w:val="00157847"/>
    <w:rsid w:val="00157929"/>
    <w:rsid w:val="00157D0C"/>
    <w:rsid w:val="001601BC"/>
    <w:rsid w:val="00160311"/>
    <w:rsid w:val="00160444"/>
    <w:rsid w:val="00160ABD"/>
    <w:rsid w:val="00160FBB"/>
    <w:rsid w:val="00161367"/>
    <w:rsid w:val="00161AF9"/>
    <w:rsid w:val="00161C5A"/>
    <w:rsid w:val="00162EA9"/>
    <w:rsid w:val="00163DA9"/>
    <w:rsid w:val="00163F4A"/>
    <w:rsid w:val="0016498F"/>
    <w:rsid w:val="00164C8F"/>
    <w:rsid w:val="00165D1B"/>
    <w:rsid w:val="00165E4C"/>
    <w:rsid w:val="00167AE6"/>
    <w:rsid w:val="00167C1A"/>
    <w:rsid w:val="0017029C"/>
    <w:rsid w:val="0017122A"/>
    <w:rsid w:val="00171373"/>
    <w:rsid w:val="001715FC"/>
    <w:rsid w:val="001723AB"/>
    <w:rsid w:val="00172A43"/>
    <w:rsid w:val="00172B15"/>
    <w:rsid w:val="00173471"/>
    <w:rsid w:val="001735F7"/>
    <w:rsid w:val="00173601"/>
    <w:rsid w:val="001742A3"/>
    <w:rsid w:val="0017556B"/>
    <w:rsid w:val="00175606"/>
    <w:rsid w:val="00176277"/>
    <w:rsid w:val="00176830"/>
    <w:rsid w:val="001769E5"/>
    <w:rsid w:val="00176CB6"/>
    <w:rsid w:val="00180376"/>
    <w:rsid w:val="00180494"/>
    <w:rsid w:val="00181564"/>
    <w:rsid w:val="00181A34"/>
    <w:rsid w:val="001825E3"/>
    <w:rsid w:val="00183529"/>
    <w:rsid w:val="00183BE1"/>
    <w:rsid w:val="001849A3"/>
    <w:rsid w:val="00184B22"/>
    <w:rsid w:val="00184FAE"/>
    <w:rsid w:val="00184FD5"/>
    <w:rsid w:val="00185429"/>
    <w:rsid w:val="00187075"/>
    <w:rsid w:val="001874B7"/>
    <w:rsid w:val="001875A7"/>
    <w:rsid w:val="001879A5"/>
    <w:rsid w:val="00190060"/>
    <w:rsid w:val="001900AE"/>
    <w:rsid w:val="0019120E"/>
    <w:rsid w:val="00191541"/>
    <w:rsid w:val="001915C9"/>
    <w:rsid w:val="00191999"/>
    <w:rsid w:val="001928D2"/>
    <w:rsid w:val="00193617"/>
    <w:rsid w:val="001939D3"/>
    <w:rsid w:val="001939EC"/>
    <w:rsid w:val="00193C84"/>
    <w:rsid w:val="00194DAC"/>
    <w:rsid w:val="00195042"/>
    <w:rsid w:val="00195417"/>
    <w:rsid w:val="001966FA"/>
    <w:rsid w:val="001969B8"/>
    <w:rsid w:val="001969D8"/>
    <w:rsid w:val="0019703C"/>
    <w:rsid w:val="00197549"/>
    <w:rsid w:val="001A04AA"/>
    <w:rsid w:val="001A0590"/>
    <w:rsid w:val="001A0A20"/>
    <w:rsid w:val="001A1613"/>
    <w:rsid w:val="001A1813"/>
    <w:rsid w:val="001A1E8F"/>
    <w:rsid w:val="001A20CA"/>
    <w:rsid w:val="001A2935"/>
    <w:rsid w:val="001A2EB3"/>
    <w:rsid w:val="001A45E9"/>
    <w:rsid w:val="001A4A87"/>
    <w:rsid w:val="001A4BCE"/>
    <w:rsid w:val="001A4D27"/>
    <w:rsid w:val="001A5176"/>
    <w:rsid w:val="001A561F"/>
    <w:rsid w:val="001A5FED"/>
    <w:rsid w:val="001A615B"/>
    <w:rsid w:val="001A7882"/>
    <w:rsid w:val="001A792F"/>
    <w:rsid w:val="001B040F"/>
    <w:rsid w:val="001B04E1"/>
    <w:rsid w:val="001B0F58"/>
    <w:rsid w:val="001B1AA0"/>
    <w:rsid w:val="001B1CC4"/>
    <w:rsid w:val="001B28AE"/>
    <w:rsid w:val="001B2D16"/>
    <w:rsid w:val="001B2DD3"/>
    <w:rsid w:val="001B36EE"/>
    <w:rsid w:val="001B3A34"/>
    <w:rsid w:val="001B3A9E"/>
    <w:rsid w:val="001B3F53"/>
    <w:rsid w:val="001B492A"/>
    <w:rsid w:val="001B49C7"/>
    <w:rsid w:val="001B6AD2"/>
    <w:rsid w:val="001B6C1C"/>
    <w:rsid w:val="001B6D04"/>
    <w:rsid w:val="001B7863"/>
    <w:rsid w:val="001C0577"/>
    <w:rsid w:val="001C08AD"/>
    <w:rsid w:val="001C17DA"/>
    <w:rsid w:val="001C1871"/>
    <w:rsid w:val="001C1DA2"/>
    <w:rsid w:val="001C334A"/>
    <w:rsid w:val="001C3D87"/>
    <w:rsid w:val="001C40F5"/>
    <w:rsid w:val="001C49B9"/>
    <w:rsid w:val="001C4C33"/>
    <w:rsid w:val="001C4C3D"/>
    <w:rsid w:val="001C4F38"/>
    <w:rsid w:val="001C58AF"/>
    <w:rsid w:val="001C5CFD"/>
    <w:rsid w:val="001C643F"/>
    <w:rsid w:val="001C7256"/>
    <w:rsid w:val="001C7635"/>
    <w:rsid w:val="001C7DFA"/>
    <w:rsid w:val="001D06CB"/>
    <w:rsid w:val="001D074E"/>
    <w:rsid w:val="001D0911"/>
    <w:rsid w:val="001D1811"/>
    <w:rsid w:val="001D1824"/>
    <w:rsid w:val="001D18B2"/>
    <w:rsid w:val="001D1AD6"/>
    <w:rsid w:val="001D24E2"/>
    <w:rsid w:val="001D2B20"/>
    <w:rsid w:val="001D2EC4"/>
    <w:rsid w:val="001D38AA"/>
    <w:rsid w:val="001D416C"/>
    <w:rsid w:val="001D46D8"/>
    <w:rsid w:val="001D4C73"/>
    <w:rsid w:val="001D6152"/>
    <w:rsid w:val="001D61DC"/>
    <w:rsid w:val="001D6203"/>
    <w:rsid w:val="001D63A3"/>
    <w:rsid w:val="001D6D7A"/>
    <w:rsid w:val="001D73F2"/>
    <w:rsid w:val="001D75DD"/>
    <w:rsid w:val="001E06CC"/>
    <w:rsid w:val="001E0B15"/>
    <w:rsid w:val="001E102D"/>
    <w:rsid w:val="001E12BC"/>
    <w:rsid w:val="001E3139"/>
    <w:rsid w:val="001E371D"/>
    <w:rsid w:val="001E5055"/>
    <w:rsid w:val="001E5800"/>
    <w:rsid w:val="001E63C6"/>
    <w:rsid w:val="001E6515"/>
    <w:rsid w:val="001E6737"/>
    <w:rsid w:val="001E6BC3"/>
    <w:rsid w:val="001E6C41"/>
    <w:rsid w:val="001E7430"/>
    <w:rsid w:val="001E7B8E"/>
    <w:rsid w:val="001E7F9B"/>
    <w:rsid w:val="001F05A5"/>
    <w:rsid w:val="001F0DC8"/>
    <w:rsid w:val="001F262B"/>
    <w:rsid w:val="001F2EE3"/>
    <w:rsid w:val="001F38F6"/>
    <w:rsid w:val="001F3B17"/>
    <w:rsid w:val="001F43A6"/>
    <w:rsid w:val="001F4606"/>
    <w:rsid w:val="001F47AC"/>
    <w:rsid w:val="001F4BDF"/>
    <w:rsid w:val="001F5153"/>
    <w:rsid w:val="001F54AA"/>
    <w:rsid w:val="001F6042"/>
    <w:rsid w:val="001F6227"/>
    <w:rsid w:val="001F6431"/>
    <w:rsid w:val="001F65A3"/>
    <w:rsid w:val="001F7461"/>
    <w:rsid w:val="001F7CB0"/>
    <w:rsid w:val="00200EA3"/>
    <w:rsid w:val="00201492"/>
    <w:rsid w:val="002016D1"/>
    <w:rsid w:val="00201B58"/>
    <w:rsid w:val="002033EF"/>
    <w:rsid w:val="0020388B"/>
    <w:rsid w:val="00203C7E"/>
    <w:rsid w:val="0020406E"/>
    <w:rsid w:val="002044A0"/>
    <w:rsid w:val="00205266"/>
    <w:rsid w:val="00205D7A"/>
    <w:rsid w:val="0020699C"/>
    <w:rsid w:val="00206FCF"/>
    <w:rsid w:val="00207402"/>
    <w:rsid w:val="00207726"/>
    <w:rsid w:val="00207E31"/>
    <w:rsid w:val="00207FA2"/>
    <w:rsid w:val="0021063F"/>
    <w:rsid w:val="002109A6"/>
    <w:rsid w:val="00210B7F"/>
    <w:rsid w:val="002123D3"/>
    <w:rsid w:val="00212906"/>
    <w:rsid w:val="00212970"/>
    <w:rsid w:val="0021367C"/>
    <w:rsid w:val="0021403A"/>
    <w:rsid w:val="00214209"/>
    <w:rsid w:val="00214349"/>
    <w:rsid w:val="0021450A"/>
    <w:rsid w:val="00214A2A"/>
    <w:rsid w:val="0021536B"/>
    <w:rsid w:val="00215493"/>
    <w:rsid w:val="002157D5"/>
    <w:rsid w:val="00215F00"/>
    <w:rsid w:val="00215F06"/>
    <w:rsid w:val="00215FDC"/>
    <w:rsid w:val="00216ABE"/>
    <w:rsid w:val="00216EE7"/>
    <w:rsid w:val="00217637"/>
    <w:rsid w:val="00217B13"/>
    <w:rsid w:val="00217B50"/>
    <w:rsid w:val="002204EA"/>
    <w:rsid w:val="00220D3E"/>
    <w:rsid w:val="002211E6"/>
    <w:rsid w:val="002213EA"/>
    <w:rsid w:val="002214AD"/>
    <w:rsid w:val="00222053"/>
    <w:rsid w:val="00222057"/>
    <w:rsid w:val="00222DBE"/>
    <w:rsid w:val="002232B6"/>
    <w:rsid w:val="002236A0"/>
    <w:rsid w:val="00223F77"/>
    <w:rsid w:val="00224044"/>
    <w:rsid w:val="00224605"/>
    <w:rsid w:val="00224CFA"/>
    <w:rsid w:val="00224D3C"/>
    <w:rsid w:val="0022568C"/>
    <w:rsid w:val="0022595B"/>
    <w:rsid w:val="00225A92"/>
    <w:rsid w:val="00225BA0"/>
    <w:rsid w:val="00225EF7"/>
    <w:rsid w:val="002262AA"/>
    <w:rsid w:val="00226362"/>
    <w:rsid w:val="00227D68"/>
    <w:rsid w:val="00227FB1"/>
    <w:rsid w:val="00230397"/>
    <w:rsid w:val="002309E3"/>
    <w:rsid w:val="00230AA8"/>
    <w:rsid w:val="002317CD"/>
    <w:rsid w:val="00231929"/>
    <w:rsid w:val="00232235"/>
    <w:rsid w:val="00233455"/>
    <w:rsid w:val="00233C27"/>
    <w:rsid w:val="00233C53"/>
    <w:rsid w:val="00233EAB"/>
    <w:rsid w:val="00234644"/>
    <w:rsid w:val="00234721"/>
    <w:rsid w:val="0023587D"/>
    <w:rsid w:val="0023670F"/>
    <w:rsid w:val="00237801"/>
    <w:rsid w:val="00237C1B"/>
    <w:rsid w:val="00237F8A"/>
    <w:rsid w:val="002407B4"/>
    <w:rsid w:val="00240A87"/>
    <w:rsid w:val="00240B73"/>
    <w:rsid w:val="002419CA"/>
    <w:rsid w:val="00241DE7"/>
    <w:rsid w:val="00242A16"/>
    <w:rsid w:val="002436FF"/>
    <w:rsid w:val="0024433E"/>
    <w:rsid w:val="00245A2E"/>
    <w:rsid w:val="002465B5"/>
    <w:rsid w:val="002468FF"/>
    <w:rsid w:val="00246CA9"/>
    <w:rsid w:val="0024734C"/>
    <w:rsid w:val="0024762D"/>
    <w:rsid w:val="00247B03"/>
    <w:rsid w:val="00247F80"/>
    <w:rsid w:val="002508B3"/>
    <w:rsid w:val="002508F0"/>
    <w:rsid w:val="00250E48"/>
    <w:rsid w:val="0025138C"/>
    <w:rsid w:val="002521F0"/>
    <w:rsid w:val="00252572"/>
    <w:rsid w:val="00252808"/>
    <w:rsid w:val="002533C2"/>
    <w:rsid w:val="002537A5"/>
    <w:rsid w:val="00254276"/>
    <w:rsid w:val="00254B49"/>
    <w:rsid w:val="002555A0"/>
    <w:rsid w:val="00255DF0"/>
    <w:rsid w:val="00255E67"/>
    <w:rsid w:val="002561B9"/>
    <w:rsid w:val="00256605"/>
    <w:rsid w:val="0025676B"/>
    <w:rsid w:val="00256EFD"/>
    <w:rsid w:val="00257215"/>
    <w:rsid w:val="002573FF"/>
    <w:rsid w:val="00257D42"/>
    <w:rsid w:val="002611B0"/>
    <w:rsid w:val="00261F67"/>
    <w:rsid w:val="00262D91"/>
    <w:rsid w:val="00262F49"/>
    <w:rsid w:val="0026359E"/>
    <w:rsid w:val="00263876"/>
    <w:rsid w:val="00263896"/>
    <w:rsid w:val="0026495E"/>
    <w:rsid w:val="00264A29"/>
    <w:rsid w:val="0026525D"/>
    <w:rsid w:val="00265368"/>
    <w:rsid w:val="00265381"/>
    <w:rsid w:val="0026692D"/>
    <w:rsid w:val="0026729E"/>
    <w:rsid w:val="0026780B"/>
    <w:rsid w:val="002679D6"/>
    <w:rsid w:val="00270453"/>
    <w:rsid w:val="002707A9"/>
    <w:rsid w:val="00271A73"/>
    <w:rsid w:val="00271CD3"/>
    <w:rsid w:val="002721AE"/>
    <w:rsid w:val="002727B3"/>
    <w:rsid w:val="0027396F"/>
    <w:rsid w:val="00273AE0"/>
    <w:rsid w:val="00274315"/>
    <w:rsid w:val="00274335"/>
    <w:rsid w:val="00274437"/>
    <w:rsid w:val="0027584A"/>
    <w:rsid w:val="002759F4"/>
    <w:rsid w:val="00275B07"/>
    <w:rsid w:val="00275C78"/>
    <w:rsid w:val="002762FA"/>
    <w:rsid w:val="0027630B"/>
    <w:rsid w:val="00276ED4"/>
    <w:rsid w:val="002779D9"/>
    <w:rsid w:val="00280259"/>
    <w:rsid w:val="00280320"/>
    <w:rsid w:val="002810B6"/>
    <w:rsid w:val="002812BE"/>
    <w:rsid w:val="00282E1E"/>
    <w:rsid w:val="00283091"/>
    <w:rsid w:val="00283129"/>
    <w:rsid w:val="00283861"/>
    <w:rsid w:val="002849CA"/>
    <w:rsid w:val="0028517D"/>
    <w:rsid w:val="0028548F"/>
    <w:rsid w:val="002855BE"/>
    <w:rsid w:val="00285B10"/>
    <w:rsid w:val="002862EE"/>
    <w:rsid w:val="002866F5"/>
    <w:rsid w:val="0028727D"/>
    <w:rsid w:val="0028789C"/>
    <w:rsid w:val="002878E4"/>
    <w:rsid w:val="00287FCA"/>
    <w:rsid w:val="002914CF"/>
    <w:rsid w:val="00291AE8"/>
    <w:rsid w:val="00291BF2"/>
    <w:rsid w:val="00291D45"/>
    <w:rsid w:val="00291D55"/>
    <w:rsid w:val="00291D7B"/>
    <w:rsid w:val="002920C6"/>
    <w:rsid w:val="00292A5A"/>
    <w:rsid w:val="00294132"/>
    <w:rsid w:val="0029500F"/>
    <w:rsid w:val="002953C7"/>
    <w:rsid w:val="002955EE"/>
    <w:rsid w:val="00295EAB"/>
    <w:rsid w:val="00295FF6"/>
    <w:rsid w:val="0029616E"/>
    <w:rsid w:val="0029619D"/>
    <w:rsid w:val="00296286"/>
    <w:rsid w:val="00296C73"/>
    <w:rsid w:val="002974AB"/>
    <w:rsid w:val="00297D0E"/>
    <w:rsid w:val="002A08E5"/>
    <w:rsid w:val="002A1B73"/>
    <w:rsid w:val="002A3E2D"/>
    <w:rsid w:val="002A4162"/>
    <w:rsid w:val="002A517D"/>
    <w:rsid w:val="002A5C2A"/>
    <w:rsid w:val="002A687D"/>
    <w:rsid w:val="002A68D5"/>
    <w:rsid w:val="002A6A52"/>
    <w:rsid w:val="002A6F98"/>
    <w:rsid w:val="002A72B6"/>
    <w:rsid w:val="002A76C0"/>
    <w:rsid w:val="002A76D3"/>
    <w:rsid w:val="002A7AFD"/>
    <w:rsid w:val="002A7BF4"/>
    <w:rsid w:val="002B0608"/>
    <w:rsid w:val="002B17DE"/>
    <w:rsid w:val="002B1C32"/>
    <w:rsid w:val="002B2493"/>
    <w:rsid w:val="002B2856"/>
    <w:rsid w:val="002B3424"/>
    <w:rsid w:val="002B47B4"/>
    <w:rsid w:val="002B71B1"/>
    <w:rsid w:val="002B7892"/>
    <w:rsid w:val="002B7AF7"/>
    <w:rsid w:val="002C027B"/>
    <w:rsid w:val="002C0468"/>
    <w:rsid w:val="002C07ED"/>
    <w:rsid w:val="002C1122"/>
    <w:rsid w:val="002C11CC"/>
    <w:rsid w:val="002C1819"/>
    <w:rsid w:val="002C19E6"/>
    <w:rsid w:val="002C1CD7"/>
    <w:rsid w:val="002C28B3"/>
    <w:rsid w:val="002C2B6A"/>
    <w:rsid w:val="002C34DA"/>
    <w:rsid w:val="002C4155"/>
    <w:rsid w:val="002C4521"/>
    <w:rsid w:val="002C469C"/>
    <w:rsid w:val="002C4EE8"/>
    <w:rsid w:val="002C5810"/>
    <w:rsid w:val="002C594E"/>
    <w:rsid w:val="002C5ADA"/>
    <w:rsid w:val="002C6030"/>
    <w:rsid w:val="002C6634"/>
    <w:rsid w:val="002C687F"/>
    <w:rsid w:val="002C6951"/>
    <w:rsid w:val="002C6DA1"/>
    <w:rsid w:val="002C7637"/>
    <w:rsid w:val="002D042E"/>
    <w:rsid w:val="002D19B3"/>
    <w:rsid w:val="002D2381"/>
    <w:rsid w:val="002D247E"/>
    <w:rsid w:val="002D342B"/>
    <w:rsid w:val="002D3EB7"/>
    <w:rsid w:val="002D3F59"/>
    <w:rsid w:val="002D40F1"/>
    <w:rsid w:val="002D5114"/>
    <w:rsid w:val="002D58D0"/>
    <w:rsid w:val="002D5BB0"/>
    <w:rsid w:val="002D5E99"/>
    <w:rsid w:val="002D6AFD"/>
    <w:rsid w:val="002D6CD7"/>
    <w:rsid w:val="002D6FE0"/>
    <w:rsid w:val="002D702E"/>
    <w:rsid w:val="002D7311"/>
    <w:rsid w:val="002D7356"/>
    <w:rsid w:val="002D765B"/>
    <w:rsid w:val="002E05C9"/>
    <w:rsid w:val="002E0B7B"/>
    <w:rsid w:val="002E0EC2"/>
    <w:rsid w:val="002E15EB"/>
    <w:rsid w:val="002E1765"/>
    <w:rsid w:val="002E18B5"/>
    <w:rsid w:val="002E1A6C"/>
    <w:rsid w:val="002E1B57"/>
    <w:rsid w:val="002E2346"/>
    <w:rsid w:val="002E34EB"/>
    <w:rsid w:val="002E3ADB"/>
    <w:rsid w:val="002E4944"/>
    <w:rsid w:val="002E4EBA"/>
    <w:rsid w:val="002E555B"/>
    <w:rsid w:val="002E55CB"/>
    <w:rsid w:val="002E638D"/>
    <w:rsid w:val="002E68CA"/>
    <w:rsid w:val="002E7677"/>
    <w:rsid w:val="002E7950"/>
    <w:rsid w:val="002E7E46"/>
    <w:rsid w:val="002F05ED"/>
    <w:rsid w:val="002F0D66"/>
    <w:rsid w:val="002F1257"/>
    <w:rsid w:val="002F1916"/>
    <w:rsid w:val="002F1CBC"/>
    <w:rsid w:val="002F20BD"/>
    <w:rsid w:val="002F28E4"/>
    <w:rsid w:val="002F2DE5"/>
    <w:rsid w:val="002F2F6E"/>
    <w:rsid w:val="002F31CE"/>
    <w:rsid w:val="002F31D6"/>
    <w:rsid w:val="002F3A1F"/>
    <w:rsid w:val="002F3EE0"/>
    <w:rsid w:val="002F42D3"/>
    <w:rsid w:val="002F4354"/>
    <w:rsid w:val="002F4894"/>
    <w:rsid w:val="002F4B9A"/>
    <w:rsid w:val="002F63D3"/>
    <w:rsid w:val="002F6F08"/>
    <w:rsid w:val="002F6FEE"/>
    <w:rsid w:val="002F72CF"/>
    <w:rsid w:val="002F772A"/>
    <w:rsid w:val="0030046D"/>
    <w:rsid w:val="00300ACE"/>
    <w:rsid w:val="00300D60"/>
    <w:rsid w:val="00300E4E"/>
    <w:rsid w:val="003016C7"/>
    <w:rsid w:val="003018C5"/>
    <w:rsid w:val="00301945"/>
    <w:rsid w:val="003022D0"/>
    <w:rsid w:val="00302612"/>
    <w:rsid w:val="003028E3"/>
    <w:rsid w:val="0030293A"/>
    <w:rsid w:val="00302BBA"/>
    <w:rsid w:val="0030354D"/>
    <w:rsid w:val="003036F8"/>
    <w:rsid w:val="003037C2"/>
    <w:rsid w:val="00304113"/>
    <w:rsid w:val="003043D7"/>
    <w:rsid w:val="003046FA"/>
    <w:rsid w:val="00304748"/>
    <w:rsid w:val="00305543"/>
    <w:rsid w:val="00305A6D"/>
    <w:rsid w:val="0030715C"/>
    <w:rsid w:val="0030762A"/>
    <w:rsid w:val="003078F2"/>
    <w:rsid w:val="00307ABA"/>
    <w:rsid w:val="003105EE"/>
    <w:rsid w:val="0031090B"/>
    <w:rsid w:val="0031103F"/>
    <w:rsid w:val="00311772"/>
    <w:rsid w:val="0031196E"/>
    <w:rsid w:val="00312799"/>
    <w:rsid w:val="00312CB3"/>
    <w:rsid w:val="003140BB"/>
    <w:rsid w:val="003147AD"/>
    <w:rsid w:val="003160F4"/>
    <w:rsid w:val="00316699"/>
    <w:rsid w:val="0032019C"/>
    <w:rsid w:val="00320778"/>
    <w:rsid w:val="00320A30"/>
    <w:rsid w:val="00320D26"/>
    <w:rsid w:val="0032124D"/>
    <w:rsid w:val="003214C3"/>
    <w:rsid w:val="00321BD5"/>
    <w:rsid w:val="00322809"/>
    <w:rsid w:val="00322C38"/>
    <w:rsid w:val="00322F9F"/>
    <w:rsid w:val="0032338A"/>
    <w:rsid w:val="00323AEA"/>
    <w:rsid w:val="00323ECC"/>
    <w:rsid w:val="00324523"/>
    <w:rsid w:val="00324637"/>
    <w:rsid w:val="00324DD1"/>
    <w:rsid w:val="0032508C"/>
    <w:rsid w:val="003252FF"/>
    <w:rsid w:val="00326316"/>
    <w:rsid w:val="00326500"/>
    <w:rsid w:val="00326D0F"/>
    <w:rsid w:val="003304D2"/>
    <w:rsid w:val="0033050F"/>
    <w:rsid w:val="003308FB"/>
    <w:rsid w:val="00332613"/>
    <w:rsid w:val="00332B3A"/>
    <w:rsid w:val="00332D2F"/>
    <w:rsid w:val="00332D86"/>
    <w:rsid w:val="00332DD9"/>
    <w:rsid w:val="00332F19"/>
    <w:rsid w:val="00333347"/>
    <w:rsid w:val="00333948"/>
    <w:rsid w:val="003339B3"/>
    <w:rsid w:val="00333CCB"/>
    <w:rsid w:val="00333DF7"/>
    <w:rsid w:val="0033510B"/>
    <w:rsid w:val="0033520C"/>
    <w:rsid w:val="003361D3"/>
    <w:rsid w:val="0033787F"/>
    <w:rsid w:val="003400CD"/>
    <w:rsid w:val="0034040E"/>
    <w:rsid w:val="003404B1"/>
    <w:rsid w:val="00340609"/>
    <w:rsid w:val="003412AD"/>
    <w:rsid w:val="00342D3C"/>
    <w:rsid w:val="00342DF5"/>
    <w:rsid w:val="003430CA"/>
    <w:rsid w:val="00343581"/>
    <w:rsid w:val="003445AE"/>
    <w:rsid w:val="003448B1"/>
    <w:rsid w:val="00344B8C"/>
    <w:rsid w:val="00344ED6"/>
    <w:rsid w:val="00345C61"/>
    <w:rsid w:val="003465AE"/>
    <w:rsid w:val="00346EA9"/>
    <w:rsid w:val="003471D1"/>
    <w:rsid w:val="00347FAD"/>
    <w:rsid w:val="00350654"/>
    <w:rsid w:val="00350E1A"/>
    <w:rsid w:val="0035111F"/>
    <w:rsid w:val="003512D8"/>
    <w:rsid w:val="00351395"/>
    <w:rsid w:val="003513A4"/>
    <w:rsid w:val="00351B96"/>
    <w:rsid w:val="00351C88"/>
    <w:rsid w:val="0035249E"/>
    <w:rsid w:val="003525D9"/>
    <w:rsid w:val="00352798"/>
    <w:rsid w:val="00352E9D"/>
    <w:rsid w:val="0035398C"/>
    <w:rsid w:val="003557C7"/>
    <w:rsid w:val="00355DF7"/>
    <w:rsid w:val="00356166"/>
    <w:rsid w:val="00356374"/>
    <w:rsid w:val="00356BB5"/>
    <w:rsid w:val="0035752C"/>
    <w:rsid w:val="00357844"/>
    <w:rsid w:val="0036024B"/>
    <w:rsid w:val="003607F3"/>
    <w:rsid w:val="003609D7"/>
    <w:rsid w:val="00361D16"/>
    <w:rsid w:val="003622EC"/>
    <w:rsid w:val="003626BD"/>
    <w:rsid w:val="00362993"/>
    <w:rsid w:val="00363DD2"/>
    <w:rsid w:val="00364250"/>
    <w:rsid w:val="00364BEC"/>
    <w:rsid w:val="00364E80"/>
    <w:rsid w:val="0036511F"/>
    <w:rsid w:val="0036573D"/>
    <w:rsid w:val="003665E3"/>
    <w:rsid w:val="0036681B"/>
    <w:rsid w:val="00366FBB"/>
    <w:rsid w:val="00367439"/>
    <w:rsid w:val="00367F02"/>
    <w:rsid w:val="00370CF1"/>
    <w:rsid w:val="00370FC2"/>
    <w:rsid w:val="003712A2"/>
    <w:rsid w:val="00371D9C"/>
    <w:rsid w:val="00371FAA"/>
    <w:rsid w:val="003736AE"/>
    <w:rsid w:val="00374A56"/>
    <w:rsid w:val="00375788"/>
    <w:rsid w:val="003757DA"/>
    <w:rsid w:val="00375983"/>
    <w:rsid w:val="00375AFE"/>
    <w:rsid w:val="00376467"/>
    <w:rsid w:val="0037693E"/>
    <w:rsid w:val="00376E15"/>
    <w:rsid w:val="0037777A"/>
    <w:rsid w:val="003805D8"/>
    <w:rsid w:val="00380950"/>
    <w:rsid w:val="00380A52"/>
    <w:rsid w:val="00381263"/>
    <w:rsid w:val="0038180B"/>
    <w:rsid w:val="00381B4D"/>
    <w:rsid w:val="00381C4F"/>
    <w:rsid w:val="00381D71"/>
    <w:rsid w:val="00381FE4"/>
    <w:rsid w:val="00382D8A"/>
    <w:rsid w:val="003835DA"/>
    <w:rsid w:val="00383765"/>
    <w:rsid w:val="00383FF7"/>
    <w:rsid w:val="0038402F"/>
    <w:rsid w:val="003841CF"/>
    <w:rsid w:val="00384992"/>
    <w:rsid w:val="00384B05"/>
    <w:rsid w:val="00384ED6"/>
    <w:rsid w:val="00385130"/>
    <w:rsid w:val="00385205"/>
    <w:rsid w:val="003857B9"/>
    <w:rsid w:val="003865E8"/>
    <w:rsid w:val="003872DA"/>
    <w:rsid w:val="003874A4"/>
    <w:rsid w:val="00387E6F"/>
    <w:rsid w:val="00390D6C"/>
    <w:rsid w:val="00390E87"/>
    <w:rsid w:val="0039262C"/>
    <w:rsid w:val="00392729"/>
    <w:rsid w:val="00392752"/>
    <w:rsid w:val="003929FE"/>
    <w:rsid w:val="00392DAB"/>
    <w:rsid w:val="00393932"/>
    <w:rsid w:val="003952F1"/>
    <w:rsid w:val="00395FDD"/>
    <w:rsid w:val="00396695"/>
    <w:rsid w:val="003979A2"/>
    <w:rsid w:val="00397AFF"/>
    <w:rsid w:val="00397D3B"/>
    <w:rsid w:val="00397D4E"/>
    <w:rsid w:val="003A028B"/>
    <w:rsid w:val="003A0E97"/>
    <w:rsid w:val="003A1842"/>
    <w:rsid w:val="003A2888"/>
    <w:rsid w:val="003A30A2"/>
    <w:rsid w:val="003A33ED"/>
    <w:rsid w:val="003A4679"/>
    <w:rsid w:val="003A4FE3"/>
    <w:rsid w:val="003A545E"/>
    <w:rsid w:val="003A6C4A"/>
    <w:rsid w:val="003A7508"/>
    <w:rsid w:val="003A7677"/>
    <w:rsid w:val="003A773A"/>
    <w:rsid w:val="003A77BB"/>
    <w:rsid w:val="003A7B7F"/>
    <w:rsid w:val="003B0DBC"/>
    <w:rsid w:val="003B0F17"/>
    <w:rsid w:val="003B2C84"/>
    <w:rsid w:val="003B3220"/>
    <w:rsid w:val="003B329D"/>
    <w:rsid w:val="003B4698"/>
    <w:rsid w:val="003B4741"/>
    <w:rsid w:val="003B4852"/>
    <w:rsid w:val="003B52CD"/>
    <w:rsid w:val="003B54CD"/>
    <w:rsid w:val="003B55DC"/>
    <w:rsid w:val="003B576B"/>
    <w:rsid w:val="003B5DF6"/>
    <w:rsid w:val="003B637B"/>
    <w:rsid w:val="003B725E"/>
    <w:rsid w:val="003B75CB"/>
    <w:rsid w:val="003B7612"/>
    <w:rsid w:val="003B77F8"/>
    <w:rsid w:val="003B7E98"/>
    <w:rsid w:val="003C080F"/>
    <w:rsid w:val="003C0E0B"/>
    <w:rsid w:val="003C0E43"/>
    <w:rsid w:val="003C0EAA"/>
    <w:rsid w:val="003C18E0"/>
    <w:rsid w:val="003C210D"/>
    <w:rsid w:val="003C247E"/>
    <w:rsid w:val="003C2CB5"/>
    <w:rsid w:val="003C2DF9"/>
    <w:rsid w:val="003C2F06"/>
    <w:rsid w:val="003C362B"/>
    <w:rsid w:val="003C4139"/>
    <w:rsid w:val="003C4C2C"/>
    <w:rsid w:val="003C4E5B"/>
    <w:rsid w:val="003C5CB3"/>
    <w:rsid w:val="003C789B"/>
    <w:rsid w:val="003C7D81"/>
    <w:rsid w:val="003D053C"/>
    <w:rsid w:val="003D0C4D"/>
    <w:rsid w:val="003D0E02"/>
    <w:rsid w:val="003D1AF1"/>
    <w:rsid w:val="003D1D2C"/>
    <w:rsid w:val="003D21B2"/>
    <w:rsid w:val="003D2273"/>
    <w:rsid w:val="003D253D"/>
    <w:rsid w:val="003D27CB"/>
    <w:rsid w:val="003D2F36"/>
    <w:rsid w:val="003D376C"/>
    <w:rsid w:val="003D37CA"/>
    <w:rsid w:val="003D3AC2"/>
    <w:rsid w:val="003D3DF4"/>
    <w:rsid w:val="003D412C"/>
    <w:rsid w:val="003D4A36"/>
    <w:rsid w:val="003D5B9C"/>
    <w:rsid w:val="003D5D8A"/>
    <w:rsid w:val="003D5DF0"/>
    <w:rsid w:val="003D665D"/>
    <w:rsid w:val="003D7426"/>
    <w:rsid w:val="003D7D38"/>
    <w:rsid w:val="003E031E"/>
    <w:rsid w:val="003E0B0A"/>
    <w:rsid w:val="003E13B9"/>
    <w:rsid w:val="003E1828"/>
    <w:rsid w:val="003E2106"/>
    <w:rsid w:val="003E24EE"/>
    <w:rsid w:val="003E461B"/>
    <w:rsid w:val="003E59BD"/>
    <w:rsid w:val="003E5E99"/>
    <w:rsid w:val="003E70AD"/>
    <w:rsid w:val="003E7B80"/>
    <w:rsid w:val="003E7C36"/>
    <w:rsid w:val="003F080C"/>
    <w:rsid w:val="003F0BAC"/>
    <w:rsid w:val="003F10EC"/>
    <w:rsid w:val="003F11A3"/>
    <w:rsid w:val="003F125F"/>
    <w:rsid w:val="003F154E"/>
    <w:rsid w:val="003F1A12"/>
    <w:rsid w:val="003F2B9C"/>
    <w:rsid w:val="003F3769"/>
    <w:rsid w:val="003F3B2F"/>
    <w:rsid w:val="003F46F4"/>
    <w:rsid w:val="003F4C37"/>
    <w:rsid w:val="003F5311"/>
    <w:rsid w:val="003F53CC"/>
    <w:rsid w:val="003F55E5"/>
    <w:rsid w:val="003F5EED"/>
    <w:rsid w:val="003F60AD"/>
    <w:rsid w:val="003F6249"/>
    <w:rsid w:val="003F67BC"/>
    <w:rsid w:val="003F6B6C"/>
    <w:rsid w:val="003F6C1A"/>
    <w:rsid w:val="003F7201"/>
    <w:rsid w:val="003F7FC1"/>
    <w:rsid w:val="00400207"/>
    <w:rsid w:val="0040072B"/>
    <w:rsid w:val="004007FF"/>
    <w:rsid w:val="0040144A"/>
    <w:rsid w:val="00401E1F"/>
    <w:rsid w:val="00401E2E"/>
    <w:rsid w:val="00401EED"/>
    <w:rsid w:val="00402629"/>
    <w:rsid w:val="0040291D"/>
    <w:rsid w:val="004031D7"/>
    <w:rsid w:val="00403FBE"/>
    <w:rsid w:val="00404049"/>
    <w:rsid w:val="00404CFF"/>
    <w:rsid w:val="00404D0C"/>
    <w:rsid w:val="00404D3D"/>
    <w:rsid w:val="00405E20"/>
    <w:rsid w:val="00406BFF"/>
    <w:rsid w:val="004073B5"/>
    <w:rsid w:val="00407ED0"/>
    <w:rsid w:val="00410A32"/>
    <w:rsid w:val="00410A54"/>
    <w:rsid w:val="004117A2"/>
    <w:rsid w:val="00411C0A"/>
    <w:rsid w:val="00411FB1"/>
    <w:rsid w:val="00412243"/>
    <w:rsid w:val="004127C6"/>
    <w:rsid w:val="00412B23"/>
    <w:rsid w:val="004136FA"/>
    <w:rsid w:val="00413B16"/>
    <w:rsid w:val="00413F15"/>
    <w:rsid w:val="00414290"/>
    <w:rsid w:val="00414917"/>
    <w:rsid w:val="004151A9"/>
    <w:rsid w:val="00415E4C"/>
    <w:rsid w:val="0041680F"/>
    <w:rsid w:val="004168AA"/>
    <w:rsid w:val="00416925"/>
    <w:rsid w:val="00416CCC"/>
    <w:rsid w:val="00416D32"/>
    <w:rsid w:val="0041755F"/>
    <w:rsid w:val="00417579"/>
    <w:rsid w:val="00420D1A"/>
    <w:rsid w:val="00421160"/>
    <w:rsid w:val="00421D6A"/>
    <w:rsid w:val="00422374"/>
    <w:rsid w:val="004238C4"/>
    <w:rsid w:val="00423A9D"/>
    <w:rsid w:val="004241D4"/>
    <w:rsid w:val="00424D69"/>
    <w:rsid w:val="0042510A"/>
    <w:rsid w:val="00425C39"/>
    <w:rsid w:val="00426259"/>
    <w:rsid w:val="00426C4B"/>
    <w:rsid w:val="00426D4A"/>
    <w:rsid w:val="004272A2"/>
    <w:rsid w:val="00427563"/>
    <w:rsid w:val="00427A24"/>
    <w:rsid w:val="00427AF5"/>
    <w:rsid w:val="00427BBC"/>
    <w:rsid w:val="00427D8B"/>
    <w:rsid w:val="00427F59"/>
    <w:rsid w:val="0043034F"/>
    <w:rsid w:val="00430A52"/>
    <w:rsid w:val="0043178B"/>
    <w:rsid w:val="00431ACA"/>
    <w:rsid w:val="00431C14"/>
    <w:rsid w:val="00432BCF"/>
    <w:rsid w:val="004333BC"/>
    <w:rsid w:val="0043347E"/>
    <w:rsid w:val="0043355F"/>
    <w:rsid w:val="00433E36"/>
    <w:rsid w:val="004341F9"/>
    <w:rsid w:val="00434E2B"/>
    <w:rsid w:val="00434E5C"/>
    <w:rsid w:val="00434F8A"/>
    <w:rsid w:val="004352AE"/>
    <w:rsid w:val="00437043"/>
    <w:rsid w:val="004375E4"/>
    <w:rsid w:val="00437793"/>
    <w:rsid w:val="00437A75"/>
    <w:rsid w:val="00440612"/>
    <w:rsid w:val="00441391"/>
    <w:rsid w:val="00441CD1"/>
    <w:rsid w:val="004432CE"/>
    <w:rsid w:val="00443348"/>
    <w:rsid w:val="004434DB"/>
    <w:rsid w:val="0044380F"/>
    <w:rsid w:val="004439DB"/>
    <w:rsid w:val="00444DFA"/>
    <w:rsid w:val="00445062"/>
    <w:rsid w:val="00445A52"/>
    <w:rsid w:val="00445A5E"/>
    <w:rsid w:val="00446455"/>
    <w:rsid w:val="004464F7"/>
    <w:rsid w:val="00446B60"/>
    <w:rsid w:val="00447031"/>
    <w:rsid w:val="00447554"/>
    <w:rsid w:val="00447D32"/>
    <w:rsid w:val="004504AA"/>
    <w:rsid w:val="0045075B"/>
    <w:rsid w:val="004512B1"/>
    <w:rsid w:val="0045164F"/>
    <w:rsid w:val="00451823"/>
    <w:rsid w:val="00451974"/>
    <w:rsid w:val="00452A8D"/>
    <w:rsid w:val="00452D5E"/>
    <w:rsid w:val="0045350F"/>
    <w:rsid w:val="004536DE"/>
    <w:rsid w:val="004545E4"/>
    <w:rsid w:val="00454A7E"/>
    <w:rsid w:val="00454FF6"/>
    <w:rsid w:val="00455C76"/>
    <w:rsid w:val="0045601A"/>
    <w:rsid w:val="00456F7A"/>
    <w:rsid w:val="004579C8"/>
    <w:rsid w:val="00457B1F"/>
    <w:rsid w:val="0046042F"/>
    <w:rsid w:val="00461D48"/>
    <w:rsid w:val="00462EF9"/>
    <w:rsid w:val="004631BB"/>
    <w:rsid w:val="0046495C"/>
    <w:rsid w:val="00464EA4"/>
    <w:rsid w:val="00465664"/>
    <w:rsid w:val="004670AB"/>
    <w:rsid w:val="0046731B"/>
    <w:rsid w:val="00467989"/>
    <w:rsid w:val="00467DAF"/>
    <w:rsid w:val="004701D1"/>
    <w:rsid w:val="00470756"/>
    <w:rsid w:val="00470C5D"/>
    <w:rsid w:val="00470C84"/>
    <w:rsid w:val="00471104"/>
    <w:rsid w:val="0047153D"/>
    <w:rsid w:val="004716E5"/>
    <w:rsid w:val="0047261D"/>
    <w:rsid w:val="0047275F"/>
    <w:rsid w:val="0047320E"/>
    <w:rsid w:val="00473FDD"/>
    <w:rsid w:val="0047418A"/>
    <w:rsid w:val="004744E7"/>
    <w:rsid w:val="00474A46"/>
    <w:rsid w:val="0047513F"/>
    <w:rsid w:val="00475301"/>
    <w:rsid w:val="0047575E"/>
    <w:rsid w:val="00475F79"/>
    <w:rsid w:val="00477E37"/>
    <w:rsid w:val="00480FC6"/>
    <w:rsid w:val="00481695"/>
    <w:rsid w:val="0048180E"/>
    <w:rsid w:val="00482113"/>
    <w:rsid w:val="00482288"/>
    <w:rsid w:val="004830BA"/>
    <w:rsid w:val="00483570"/>
    <w:rsid w:val="00483626"/>
    <w:rsid w:val="004846FB"/>
    <w:rsid w:val="00484DBF"/>
    <w:rsid w:val="00485053"/>
    <w:rsid w:val="00486668"/>
    <w:rsid w:val="00486A4B"/>
    <w:rsid w:val="004875BE"/>
    <w:rsid w:val="00487613"/>
    <w:rsid w:val="00487D43"/>
    <w:rsid w:val="0049015A"/>
    <w:rsid w:val="00490931"/>
    <w:rsid w:val="00490E57"/>
    <w:rsid w:val="00491605"/>
    <w:rsid w:val="00492136"/>
    <w:rsid w:val="0049222A"/>
    <w:rsid w:val="00492275"/>
    <w:rsid w:val="004922C3"/>
    <w:rsid w:val="004927F0"/>
    <w:rsid w:val="00492B86"/>
    <w:rsid w:val="004937AF"/>
    <w:rsid w:val="00493902"/>
    <w:rsid w:val="00493931"/>
    <w:rsid w:val="00494008"/>
    <w:rsid w:val="00494A7B"/>
    <w:rsid w:val="00494DD3"/>
    <w:rsid w:val="00496D1C"/>
    <w:rsid w:val="00497176"/>
    <w:rsid w:val="004971E5"/>
    <w:rsid w:val="004A0704"/>
    <w:rsid w:val="004A0712"/>
    <w:rsid w:val="004A108F"/>
    <w:rsid w:val="004A1BF7"/>
    <w:rsid w:val="004A1CD2"/>
    <w:rsid w:val="004A2F44"/>
    <w:rsid w:val="004A3311"/>
    <w:rsid w:val="004A4171"/>
    <w:rsid w:val="004A4874"/>
    <w:rsid w:val="004A4892"/>
    <w:rsid w:val="004A61B0"/>
    <w:rsid w:val="004A720E"/>
    <w:rsid w:val="004A740E"/>
    <w:rsid w:val="004A7E9B"/>
    <w:rsid w:val="004B00E8"/>
    <w:rsid w:val="004B2BDD"/>
    <w:rsid w:val="004B2E16"/>
    <w:rsid w:val="004B371B"/>
    <w:rsid w:val="004B3F4E"/>
    <w:rsid w:val="004B3F6D"/>
    <w:rsid w:val="004B4353"/>
    <w:rsid w:val="004B4EF0"/>
    <w:rsid w:val="004B585F"/>
    <w:rsid w:val="004B60D4"/>
    <w:rsid w:val="004B6B5F"/>
    <w:rsid w:val="004B6CDC"/>
    <w:rsid w:val="004C01BD"/>
    <w:rsid w:val="004C0704"/>
    <w:rsid w:val="004C0B58"/>
    <w:rsid w:val="004C0FCB"/>
    <w:rsid w:val="004C152A"/>
    <w:rsid w:val="004C25EF"/>
    <w:rsid w:val="004C2AB2"/>
    <w:rsid w:val="004C45A4"/>
    <w:rsid w:val="004C4829"/>
    <w:rsid w:val="004C4EAC"/>
    <w:rsid w:val="004C51FA"/>
    <w:rsid w:val="004C5AA7"/>
    <w:rsid w:val="004C5E7F"/>
    <w:rsid w:val="004C6589"/>
    <w:rsid w:val="004C67EF"/>
    <w:rsid w:val="004C7952"/>
    <w:rsid w:val="004C7C72"/>
    <w:rsid w:val="004D0D50"/>
    <w:rsid w:val="004D0FD4"/>
    <w:rsid w:val="004D1948"/>
    <w:rsid w:val="004D2E9A"/>
    <w:rsid w:val="004D2FB5"/>
    <w:rsid w:val="004D34D9"/>
    <w:rsid w:val="004D34EE"/>
    <w:rsid w:val="004D4B89"/>
    <w:rsid w:val="004D5486"/>
    <w:rsid w:val="004D6194"/>
    <w:rsid w:val="004D6237"/>
    <w:rsid w:val="004D6496"/>
    <w:rsid w:val="004D65F4"/>
    <w:rsid w:val="004D6FE9"/>
    <w:rsid w:val="004D7E74"/>
    <w:rsid w:val="004E046A"/>
    <w:rsid w:val="004E0D62"/>
    <w:rsid w:val="004E310C"/>
    <w:rsid w:val="004E3279"/>
    <w:rsid w:val="004E36D6"/>
    <w:rsid w:val="004E3936"/>
    <w:rsid w:val="004E4517"/>
    <w:rsid w:val="004E5354"/>
    <w:rsid w:val="004E57AA"/>
    <w:rsid w:val="004E60AD"/>
    <w:rsid w:val="004E6E9F"/>
    <w:rsid w:val="004E6F65"/>
    <w:rsid w:val="004E71AD"/>
    <w:rsid w:val="004E729D"/>
    <w:rsid w:val="004E7A9B"/>
    <w:rsid w:val="004E7AC0"/>
    <w:rsid w:val="004F003F"/>
    <w:rsid w:val="004F043A"/>
    <w:rsid w:val="004F1458"/>
    <w:rsid w:val="004F1C44"/>
    <w:rsid w:val="004F2440"/>
    <w:rsid w:val="004F347D"/>
    <w:rsid w:val="004F3765"/>
    <w:rsid w:val="004F4538"/>
    <w:rsid w:val="004F46AD"/>
    <w:rsid w:val="004F4F3D"/>
    <w:rsid w:val="004F54D2"/>
    <w:rsid w:val="004F5545"/>
    <w:rsid w:val="004F5554"/>
    <w:rsid w:val="004F5AA6"/>
    <w:rsid w:val="004F5CEE"/>
    <w:rsid w:val="004F7024"/>
    <w:rsid w:val="004F7346"/>
    <w:rsid w:val="004F75BE"/>
    <w:rsid w:val="0050021A"/>
    <w:rsid w:val="0050046F"/>
    <w:rsid w:val="00501028"/>
    <w:rsid w:val="00501057"/>
    <w:rsid w:val="0050126C"/>
    <w:rsid w:val="0050150C"/>
    <w:rsid w:val="00501A66"/>
    <w:rsid w:val="00501A75"/>
    <w:rsid w:val="00501C86"/>
    <w:rsid w:val="00501D34"/>
    <w:rsid w:val="00502F99"/>
    <w:rsid w:val="005032FD"/>
    <w:rsid w:val="005046B6"/>
    <w:rsid w:val="005058A2"/>
    <w:rsid w:val="00505D2B"/>
    <w:rsid w:val="00506398"/>
    <w:rsid w:val="00506963"/>
    <w:rsid w:val="00506CBB"/>
    <w:rsid w:val="00506D2D"/>
    <w:rsid w:val="00507832"/>
    <w:rsid w:val="00507D9F"/>
    <w:rsid w:val="00510C44"/>
    <w:rsid w:val="00511120"/>
    <w:rsid w:val="0051221E"/>
    <w:rsid w:val="00512B7F"/>
    <w:rsid w:val="0051413E"/>
    <w:rsid w:val="00514484"/>
    <w:rsid w:val="00514A21"/>
    <w:rsid w:val="00515063"/>
    <w:rsid w:val="005158B8"/>
    <w:rsid w:val="00516A68"/>
    <w:rsid w:val="005171A3"/>
    <w:rsid w:val="0051758A"/>
    <w:rsid w:val="005177BC"/>
    <w:rsid w:val="00520617"/>
    <w:rsid w:val="00520CF7"/>
    <w:rsid w:val="00520D54"/>
    <w:rsid w:val="00521107"/>
    <w:rsid w:val="00521281"/>
    <w:rsid w:val="005213B1"/>
    <w:rsid w:val="00521C34"/>
    <w:rsid w:val="00521FC7"/>
    <w:rsid w:val="005227A7"/>
    <w:rsid w:val="00522BD1"/>
    <w:rsid w:val="00522BEC"/>
    <w:rsid w:val="005235B1"/>
    <w:rsid w:val="005238B3"/>
    <w:rsid w:val="00523AB9"/>
    <w:rsid w:val="00523D42"/>
    <w:rsid w:val="00524124"/>
    <w:rsid w:val="0052474E"/>
    <w:rsid w:val="00525722"/>
    <w:rsid w:val="00526149"/>
    <w:rsid w:val="005263F1"/>
    <w:rsid w:val="005269EB"/>
    <w:rsid w:val="00526A21"/>
    <w:rsid w:val="0052742F"/>
    <w:rsid w:val="0053022F"/>
    <w:rsid w:val="00530DFE"/>
    <w:rsid w:val="00531249"/>
    <w:rsid w:val="00531EAC"/>
    <w:rsid w:val="00531F11"/>
    <w:rsid w:val="005323C3"/>
    <w:rsid w:val="005327A6"/>
    <w:rsid w:val="00532B05"/>
    <w:rsid w:val="00533095"/>
    <w:rsid w:val="00533197"/>
    <w:rsid w:val="005334CB"/>
    <w:rsid w:val="00533647"/>
    <w:rsid w:val="00534073"/>
    <w:rsid w:val="0053455A"/>
    <w:rsid w:val="00534F00"/>
    <w:rsid w:val="00534F76"/>
    <w:rsid w:val="0053536D"/>
    <w:rsid w:val="00535F95"/>
    <w:rsid w:val="005366DC"/>
    <w:rsid w:val="005406F5"/>
    <w:rsid w:val="00540D2D"/>
    <w:rsid w:val="005410CE"/>
    <w:rsid w:val="00541479"/>
    <w:rsid w:val="00541756"/>
    <w:rsid w:val="00541D71"/>
    <w:rsid w:val="00541F87"/>
    <w:rsid w:val="00542747"/>
    <w:rsid w:val="00542AFF"/>
    <w:rsid w:val="005432A9"/>
    <w:rsid w:val="00543793"/>
    <w:rsid w:val="005450F7"/>
    <w:rsid w:val="0054523E"/>
    <w:rsid w:val="005452C5"/>
    <w:rsid w:val="00545C2B"/>
    <w:rsid w:val="00545D42"/>
    <w:rsid w:val="005460B4"/>
    <w:rsid w:val="00547289"/>
    <w:rsid w:val="0054739D"/>
    <w:rsid w:val="005477EA"/>
    <w:rsid w:val="00547AA5"/>
    <w:rsid w:val="00550222"/>
    <w:rsid w:val="00550760"/>
    <w:rsid w:val="005509CE"/>
    <w:rsid w:val="005516FA"/>
    <w:rsid w:val="005516FE"/>
    <w:rsid w:val="00551721"/>
    <w:rsid w:val="005518B0"/>
    <w:rsid w:val="00551F3B"/>
    <w:rsid w:val="00552453"/>
    <w:rsid w:val="00552559"/>
    <w:rsid w:val="005526A0"/>
    <w:rsid w:val="00552D17"/>
    <w:rsid w:val="00554EC2"/>
    <w:rsid w:val="0055576D"/>
    <w:rsid w:val="00555B34"/>
    <w:rsid w:val="00555E6C"/>
    <w:rsid w:val="00555ED7"/>
    <w:rsid w:val="005567EA"/>
    <w:rsid w:val="00556895"/>
    <w:rsid w:val="0055731E"/>
    <w:rsid w:val="0055776B"/>
    <w:rsid w:val="00557E90"/>
    <w:rsid w:val="005600CD"/>
    <w:rsid w:val="00560A5E"/>
    <w:rsid w:val="00561E21"/>
    <w:rsid w:val="00562092"/>
    <w:rsid w:val="0056242E"/>
    <w:rsid w:val="005624A4"/>
    <w:rsid w:val="00562977"/>
    <w:rsid w:val="00563034"/>
    <w:rsid w:val="00563065"/>
    <w:rsid w:val="00563537"/>
    <w:rsid w:val="005644A4"/>
    <w:rsid w:val="00565374"/>
    <w:rsid w:val="0056677B"/>
    <w:rsid w:val="00566BAB"/>
    <w:rsid w:val="00566BB0"/>
    <w:rsid w:val="00566ECB"/>
    <w:rsid w:val="00566F32"/>
    <w:rsid w:val="0057165B"/>
    <w:rsid w:val="00571855"/>
    <w:rsid w:val="00571CA0"/>
    <w:rsid w:val="00572787"/>
    <w:rsid w:val="00572BD0"/>
    <w:rsid w:val="00573748"/>
    <w:rsid w:val="00573A0A"/>
    <w:rsid w:val="00573BB5"/>
    <w:rsid w:val="005740D9"/>
    <w:rsid w:val="00576259"/>
    <w:rsid w:val="00576323"/>
    <w:rsid w:val="0057643C"/>
    <w:rsid w:val="00576AEE"/>
    <w:rsid w:val="00577765"/>
    <w:rsid w:val="005777DE"/>
    <w:rsid w:val="00577DCD"/>
    <w:rsid w:val="00580819"/>
    <w:rsid w:val="00581C95"/>
    <w:rsid w:val="00581DDA"/>
    <w:rsid w:val="005820F9"/>
    <w:rsid w:val="005835FA"/>
    <w:rsid w:val="0058392F"/>
    <w:rsid w:val="00583DBA"/>
    <w:rsid w:val="00583E11"/>
    <w:rsid w:val="005856B9"/>
    <w:rsid w:val="005859BE"/>
    <w:rsid w:val="00585E97"/>
    <w:rsid w:val="0058755F"/>
    <w:rsid w:val="00590837"/>
    <w:rsid w:val="0059134F"/>
    <w:rsid w:val="00592F1A"/>
    <w:rsid w:val="0059359D"/>
    <w:rsid w:val="00593766"/>
    <w:rsid w:val="00593771"/>
    <w:rsid w:val="00593E2A"/>
    <w:rsid w:val="0059421E"/>
    <w:rsid w:val="00594345"/>
    <w:rsid w:val="00594A89"/>
    <w:rsid w:val="005968E0"/>
    <w:rsid w:val="00597091"/>
    <w:rsid w:val="00597093"/>
    <w:rsid w:val="005978AF"/>
    <w:rsid w:val="00597EB7"/>
    <w:rsid w:val="00597EED"/>
    <w:rsid w:val="005A0581"/>
    <w:rsid w:val="005A0F29"/>
    <w:rsid w:val="005A14CE"/>
    <w:rsid w:val="005A17D8"/>
    <w:rsid w:val="005A194E"/>
    <w:rsid w:val="005A1A49"/>
    <w:rsid w:val="005A1CB4"/>
    <w:rsid w:val="005A24B3"/>
    <w:rsid w:val="005A2917"/>
    <w:rsid w:val="005A2A58"/>
    <w:rsid w:val="005A3F79"/>
    <w:rsid w:val="005A67BE"/>
    <w:rsid w:val="005A6C1C"/>
    <w:rsid w:val="005A750D"/>
    <w:rsid w:val="005B0417"/>
    <w:rsid w:val="005B0772"/>
    <w:rsid w:val="005B089D"/>
    <w:rsid w:val="005B1826"/>
    <w:rsid w:val="005B2218"/>
    <w:rsid w:val="005B2262"/>
    <w:rsid w:val="005B2336"/>
    <w:rsid w:val="005B2740"/>
    <w:rsid w:val="005B27FE"/>
    <w:rsid w:val="005B29E0"/>
    <w:rsid w:val="005B37A5"/>
    <w:rsid w:val="005B4391"/>
    <w:rsid w:val="005B5173"/>
    <w:rsid w:val="005B6754"/>
    <w:rsid w:val="005B6E0A"/>
    <w:rsid w:val="005B71E8"/>
    <w:rsid w:val="005B7563"/>
    <w:rsid w:val="005B7894"/>
    <w:rsid w:val="005B7A6E"/>
    <w:rsid w:val="005B7B5D"/>
    <w:rsid w:val="005B7D06"/>
    <w:rsid w:val="005C01C7"/>
    <w:rsid w:val="005C0570"/>
    <w:rsid w:val="005C09E5"/>
    <w:rsid w:val="005C0DD4"/>
    <w:rsid w:val="005C1469"/>
    <w:rsid w:val="005C2073"/>
    <w:rsid w:val="005C267D"/>
    <w:rsid w:val="005C2CDE"/>
    <w:rsid w:val="005C37F3"/>
    <w:rsid w:val="005C3EF0"/>
    <w:rsid w:val="005C4184"/>
    <w:rsid w:val="005C467F"/>
    <w:rsid w:val="005C5428"/>
    <w:rsid w:val="005C581D"/>
    <w:rsid w:val="005C5870"/>
    <w:rsid w:val="005C5919"/>
    <w:rsid w:val="005C6655"/>
    <w:rsid w:val="005C69D5"/>
    <w:rsid w:val="005C6B43"/>
    <w:rsid w:val="005C6B9B"/>
    <w:rsid w:val="005C7D7F"/>
    <w:rsid w:val="005D0B67"/>
    <w:rsid w:val="005D0C1C"/>
    <w:rsid w:val="005D0DDB"/>
    <w:rsid w:val="005D0F73"/>
    <w:rsid w:val="005D148C"/>
    <w:rsid w:val="005D14CB"/>
    <w:rsid w:val="005D1D9E"/>
    <w:rsid w:val="005D1FC7"/>
    <w:rsid w:val="005D27EE"/>
    <w:rsid w:val="005D2D3C"/>
    <w:rsid w:val="005D2E52"/>
    <w:rsid w:val="005D3730"/>
    <w:rsid w:val="005D3CBF"/>
    <w:rsid w:val="005D40AD"/>
    <w:rsid w:val="005D465D"/>
    <w:rsid w:val="005D4AA7"/>
    <w:rsid w:val="005D5431"/>
    <w:rsid w:val="005D5E42"/>
    <w:rsid w:val="005D6695"/>
    <w:rsid w:val="005D7449"/>
    <w:rsid w:val="005D7609"/>
    <w:rsid w:val="005D7910"/>
    <w:rsid w:val="005D7E25"/>
    <w:rsid w:val="005D7EE5"/>
    <w:rsid w:val="005D7F1B"/>
    <w:rsid w:val="005E0C00"/>
    <w:rsid w:val="005E1384"/>
    <w:rsid w:val="005E19DD"/>
    <w:rsid w:val="005E3ABD"/>
    <w:rsid w:val="005E3FCA"/>
    <w:rsid w:val="005E4D80"/>
    <w:rsid w:val="005E5A24"/>
    <w:rsid w:val="005E6290"/>
    <w:rsid w:val="005E6367"/>
    <w:rsid w:val="005E6389"/>
    <w:rsid w:val="005E65A7"/>
    <w:rsid w:val="005E6707"/>
    <w:rsid w:val="005E68AF"/>
    <w:rsid w:val="005E6CB0"/>
    <w:rsid w:val="005E72A5"/>
    <w:rsid w:val="005F021D"/>
    <w:rsid w:val="005F06AE"/>
    <w:rsid w:val="005F09A5"/>
    <w:rsid w:val="005F0E70"/>
    <w:rsid w:val="005F0F72"/>
    <w:rsid w:val="005F1957"/>
    <w:rsid w:val="005F1982"/>
    <w:rsid w:val="005F1DAC"/>
    <w:rsid w:val="005F20CB"/>
    <w:rsid w:val="005F2299"/>
    <w:rsid w:val="005F24F2"/>
    <w:rsid w:val="005F2798"/>
    <w:rsid w:val="005F3A45"/>
    <w:rsid w:val="005F43E0"/>
    <w:rsid w:val="005F44BA"/>
    <w:rsid w:val="005F47B5"/>
    <w:rsid w:val="005F49F1"/>
    <w:rsid w:val="005F4D05"/>
    <w:rsid w:val="005F4D1E"/>
    <w:rsid w:val="005F4D88"/>
    <w:rsid w:val="005F512F"/>
    <w:rsid w:val="005F5AA4"/>
    <w:rsid w:val="005F6A79"/>
    <w:rsid w:val="005F7B61"/>
    <w:rsid w:val="00600FD0"/>
    <w:rsid w:val="00601254"/>
    <w:rsid w:val="00601401"/>
    <w:rsid w:val="006014F2"/>
    <w:rsid w:val="00601850"/>
    <w:rsid w:val="00601A44"/>
    <w:rsid w:val="00601BE2"/>
    <w:rsid w:val="006021D4"/>
    <w:rsid w:val="0060230B"/>
    <w:rsid w:val="006023BA"/>
    <w:rsid w:val="006024CB"/>
    <w:rsid w:val="00602ED3"/>
    <w:rsid w:val="00603CC2"/>
    <w:rsid w:val="00603E1E"/>
    <w:rsid w:val="0060491A"/>
    <w:rsid w:val="00604C02"/>
    <w:rsid w:val="006064D0"/>
    <w:rsid w:val="00606C23"/>
    <w:rsid w:val="00607060"/>
    <w:rsid w:val="00607239"/>
    <w:rsid w:val="006076CF"/>
    <w:rsid w:val="00607D73"/>
    <w:rsid w:val="00610285"/>
    <w:rsid w:val="006105A5"/>
    <w:rsid w:val="0061070F"/>
    <w:rsid w:val="00610711"/>
    <w:rsid w:val="00610DB4"/>
    <w:rsid w:val="0061168C"/>
    <w:rsid w:val="0061288B"/>
    <w:rsid w:val="00612908"/>
    <w:rsid w:val="0061295E"/>
    <w:rsid w:val="00612B20"/>
    <w:rsid w:val="00612C82"/>
    <w:rsid w:val="006130B6"/>
    <w:rsid w:val="006133E7"/>
    <w:rsid w:val="0061350D"/>
    <w:rsid w:val="00613F20"/>
    <w:rsid w:val="00613F42"/>
    <w:rsid w:val="006140AE"/>
    <w:rsid w:val="00614531"/>
    <w:rsid w:val="006145B5"/>
    <w:rsid w:val="00614E05"/>
    <w:rsid w:val="0061553A"/>
    <w:rsid w:val="0061592D"/>
    <w:rsid w:val="00615A5D"/>
    <w:rsid w:val="00615C07"/>
    <w:rsid w:val="0061658F"/>
    <w:rsid w:val="00616686"/>
    <w:rsid w:val="00616936"/>
    <w:rsid w:val="00616F8D"/>
    <w:rsid w:val="00620312"/>
    <w:rsid w:val="00620A94"/>
    <w:rsid w:val="00621103"/>
    <w:rsid w:val="006219DD"/>
    <w:rsid w:val="00621BCD"/>
    <w:rsid w:val="00621D28"/>
    <w:rsid w:val="00622C7C"/>
    <w:rsid w:val="00623047"/>
    <w:rsid w:val="00623295"/>
    <w:rsid w:val="00623F3B"/>
    <w:rsid w:val="0062437B"/>
    <w:rsid w:val="00624969"/>
    <w:rsid w:val="00625363"/>
    <w:rsid w:val="0062565E"/>
    <w:rsid w:val="00625A65"/>
    <w:rsid w:val="0062733C"/>
    <w:rsid w:val="006306F1"/>
    <w:rsid w:val="00630EF3"/>
    <w:rsid w:val="00630EF8"/>
    <w:rsid w:val="00631DAE"/>
    <w:rsid w:val="00632691"/>
    <w:rsid w:val="00633041"/>
    <w:rsid w:val="006335CC"/>
    <w:rsid w:val="006335E1"/>
    <w:rsid w:val="0063362C"/>
    <w:rsid w:val="00634036"/>
    <w:rsid w:val="00634231"/>
    <w:rsid w:val="00634A7C"/>
    <w:rsid w:val="00634D8D"/>
    <w:rsid w:val="0063514C"/>
    <w:rsid w:val="00635AB4"/>
    <w:rsid w:val="006362F3"/>
    <w:rsid w:val="0063639A"/>
    <w:rsid w:val="006367EC"/>
    <w:rsid w:val="00636EB0"/>
    <w:rsid w:val="006370AA"/>
    <w:rsid w:val="006377EE"/>
    <w:rsid w:val="0064147D"/>
    <w:rsid w:val="006416A3"/>
    <w:rsid w:val="006424F4"/>
    <w:rsid w:val="00643017"/>
    <w:rsid w:val="0064316C"/>
    <w:rsid w:val="006431BB"/>
    <w:rsid w:val="006438C9"/>
    <w:rsid w:val="0064390A"/>
    <w:rsid w:val="00643EA2"/>
    <w:rsid w:val="006447CF"/>
    <w:rsid w:val="00644887"/>
    <w:rsid w:val="0064592B"/>
    <w:rsid w:val="0064616F"/>
    <w:rsid w:val="00646580"/>
    <w:rsid w:val="00646F07"/>
    <w:rsid w:val="00647204"/>
    <w:rsid w:val="00647B3A"/>
    <w:rsid w:val="00647FEC"/>
    <w:rsid w:val="0065054E"/>
    <w:rsid w:val="00650B6C"/>
    <w:rsid w:val="006513A9"/>
    <w:rsid w:val="006515AE"/>
    <w:rsid w:val="00651B05"/>
    <w:rsid w:val="00651FCD"/>
    <w:rsid w:val="00652A7B"/>
    <w:rsid w:val="00653CAE"/>
    <w:rsid w:val="00654054"/>
    <w:rsid w:val="00656387"/>
    <w:rsid w:val="00657A59"/>
    <w:rsid w:val="00657B5E"/>
    <w:rsid w:val="006606F1"/>
    <w:rsid w:val="006607E6"/>
    <w:rsid w:val="00661637"/>
    <w:rsid w:val="00661725"/>
    <w:rsid w:val="00662B3E"/>
    <w:rsid w:val="00662D2C"/>
    <w:rsid w:val="00663562"/>
    <w:rsid w:val="006636F6"/>
    <w:rsid w:val="006640D1"/>
    <w:rsid w:val="0066459E"/>
    <w:rsid w:val="0066499C"/>
    <w:rsid w:val="006650EA"/>
    <w:rsid w:val="00665D34"/>
    <w:rsid w:val="006662F0"/>
    <w:rsid w:val="0066684B"/>
    <w:rsid w:val="00666B8C"/>
    <w:rsid w:val="006671BB"/>
    <w:rsid w:val="0066781C"/>
    <w:rsid w:val="00667C8C"/>
    <w:rsid w:val="00670615"/>
    <w:rsid w:val="00670863"/>
    <w:rsid w:val="00670D44"/>
    <w:rsid w:val="006714F7"/>
    <w:rsid w:val="00672825"/>
    <w:rsid w:val="00672C26"/>
    <w:rsid w:val="00673213"/>
    <w:rsid w:val="00673C2C"/>
    <w:rsid w:val="00674291"/>
    <w:rsid w:val="0067442C"/>
    <w:rsid w:val="006744D3"/>
    <w:rsid w:val="006754FD"/>
    <w:rsid w:val="006756E6"/>
    <w:rsid w:val="006765AD"/>
    <w:rsid w:val="00676D6B"/>
    <w:rsid w:val="006773C9"/>
    <w:rsid w:val="00677D7D"/>
    <w:rsid w:val="006801FC"/>
    <w:rsid w:val="00680986"/>
    <w:rsid w:val="006809C2"/>
    <w:rsid w:val="00680A06"/>
    <w:rsid w:val="00680C73"/>
    <w:rsid w:val="00681020"/>
    <w:rsid w:val="0068192A"/>
    <w:rsid w:val="00681BAF"/>
    <w:rsid w:val="00681E9D"/>
    <w:rsid w:val="006824B6"/>
    <w:rsid w:val="006826B7"/>
    <w:rsid w:val="0068296B"/>
    <w:rsid w:val="00683BA1"/>
    <w:rsid w:val="00683DE8"/>
    <w:rsid w:val="006844D2"/>
    <w:rsid w:val="00686039"/>
    <w:rsid w:val="006867F9"/>
    <w:rsid w:val="00686946"/>
    <w:rsid w:val="00686BD2"/>
    <w:rsid w:val="00690063"/>
    <w:rsid w:val="00690703"/>
    <w:rsid w:val="00690F6D"/>
    <w:rsid w:val="0069116A"/>
    <w:rsid w:val="00691B39"/>
    <w:rsid w:val="00691C72"/>
    <w:rsid w:val="00691DA8"/>
    <w:rsid w:val="006921FE"/>
    <w:rsid w:val="0069249E"/>
    <w:rsid w:val="006933AB"/>
    <w:rsid w:val="006938A3"/>
    <w:rsid w:val="006939C4"/>
    <w:rsid w:val="00693C2E"/>
    <w:rsid w:val="00693E25"/>
    <w:rsid w:val="0069473D"/>
    <w:rsid w:val="00695900"/>
    <w:rsid w:val="00695B2A"/>
    <w:rsid w:val="00695C2A"/>
    <w:rsid w:val="00695ECB"/>
    <w:rsid w:val="006969F4"/>
    <w:rsid w:val="006970DC"/>
    <w:rsid w:val="00697FF6"/>
    <w:rsid w:val="006A0040"/>
    <w:rsid w:val="006A03C5"/>
    <w:rsid w:val="006A0B89"/>
    <w:rsid w:val="006A0F75"/>
    <w:rsid w:val="006A0FA2"/>
    <w:rsid w:val="006A209F"/>
    <w:rsid w:val="006A3179"/>
    <w:rsid w:val="006A33A7"/>
    <w:rsid w:val="006A358B"/>
    <w:rsid w:val="006A37CB"/>
    <w:rsid w:val="006A3969"/>
    <w:rsid w:val="006A3C6D"/>
    <w:rsid w:val="006A43EC"/>
    <w:rsid w:val="006A45BD"/>
    <w:rsid w:val="006A4AEE"/>
    <w:rsid w:val="006A518A"/>
    <w:rsid w:val="006A55E4"/>
    <w:rsid w:val="006A6C11"/>
    <w:rsid w:val="006A7D85"/>
    <w:rsid w:val="006B094A"/>
    <w:rsid w:val="006B1D0E"/>
    <w:rsid w:val="006B1F79"/>
    <w:rsid w:val="006B2165"/>
    <w:rsid w:val="006B2298"/>
    <w:rsid w:val="006B2317"/>
    <w:rsid w:val="006B29FD"/>
    <w:rsid w:val="006B2A92"/>
    <w:rsid w:val="006B3D15"/>
    <w:rsid w:val="006B5314"/>
    <w:rsid w:val="006B5B63"/>
    <w:rsid w:val="006B61B7"/>
    <w:rsid w:val="006B6232"/>
    <w:rsid w:val="006B65C9"/>
    <w:rsid w:val="006B6720"/>
    <w:rsid w:val="006B6DB5"/>
    <w:rsid w:val="006C0734"/>
    <w:rsid w:val="006C241A"/>
    <w:rsid w:val="006C2771"/>
    <w:rsid w:val="006C2A26"/>
    <w:rsid w:val="006C2E48"/>
    <w:rsid w:val="006C2FE0"/>
    <w:rsid w:val="006C3D26"/>
    <w:rsid w:val="006C3ECF"/>
    <w:rsid w:val="006C4024"/>
    <w:rsid w:val="006C4386"/>
    <w:rsid w:val="006C4551"/>
    <w:rsid w:val="006C466D"/>
    <w:rsid w:val="006C48F3"/>
    <w:rsid w:val="006C4A99"/>
    <w:rsid w:val="006C4C5E"/>
    <w:rsid w:val="006C5FDB"/>
    <w:rsid w:val="006C6AED"/>
    <w:rsid w:val="006C6FB8"/>
    <w:rsid w:val="006C7796"/>
    <w:rsid w:val="006D02E8"/>
    <w:rsid w:val="006D0338"/>
    <w:rsid w:val="006D049A"/>
    <w:rsid w:val="006D0BD2"/>
    <w:rsid w:val="006D113D"/>
    <w:rsid w:val="006D2172"/>
    <w:rsid w:val="006D2414"/>
    <w:rsid w:val="006D2B63"/>
    <w:rsid w:val="006D36D2"/>
    <w:rsid w:val="006D3881"/>
    <w:rsid w:val="006D4073"/>
    <w:rsid w:val="006D4DB3"/>
    <w:rsid w:val="006D56D4"/>
    <w:rsid w:val="006D5A6A"/>
    <w:rsid w:val="006D6DD6"/>
    <w:rsid w:val="006E0020"/>
    <w:rsid w:val="006E0058"/>
    <w:rsid w:val="006E0E0E"/>
    <w:rsid w:val="006E14A8"/>
    <w:rsid w:val="006E1609"/>
    <w:rsid w:val="006E196D"/>
    <w:rsid w:val="006E2897"/>
    <w:rsid w:val="006E2B51"/>
    <w:rsid w:val="006E2C71"/>
    <w:rsid w:val="006E3B5E"/>
    <w:rsid w:val="006E402E"/>
    <w:rsid w:val="006E40D5"/>
    <w:rsid w:val="006E5393"/>
    <w:rsid w:val="006E5E7A"/>
    <w:rsid w:val="006E650D"/>
    <w:rsid w:val="006E683D"/>
    <w:rsid w:val="006E69C9"/>
    <w:rsid w:val="006E6BFE"/>
    <w:rsid w:val="006E786C"/>
    <w:rsid w:val="006E7AD8"/>
    <w:rsid w:val="006E7E50"/>
    <w:rsid w:val="006F0FD6"/>
    <w:rsid w:val="006F1120"/>
    <w:rsid w:val="006F19DB"/>
    <w:rsid w:val="006F1D64"/>
    <w:rsid w:val="006F1DE2"/>
    <w:rsid w:val="006F2342"/>
    <w:rsid w:val="006F3078"/>
    <w:rsid w:val="006F351A"/>
    <w:rsid w:val="006F44ED"/>
    <w:rsid w:val="006F47AC"/>
    <w:rsid w:val="006F53B4"/>
    <w:rsid w:val="006F5914"/>
    <w:rsid w:val="006F6084"/>
    <w:rsid w:val="006F6601"/>
    <w:rsid w:val="006F69AB"/>
    <w:rsid w:val="006F716E"/>
    <w:rsid w:val="006F7907"/>
    <w:rsid w:val="006F7AF6"/>
    <w:rsid w:val="006F7E39"/>
    <w:rsid w:val="007004A1"/>
    <w:rsid w:val="007008AB"/>
    <w:rsid w:val="00700BBE"/>
    <w:rsid w:val="007010C7"/>
    <w:rsid w:val="00701A11"/>
    <w:rsid w:val="00701C8D"/>
    <w:rsid w:val="007023E3"/>
    <w:rsid w:val="007026C4"/>
    <w:rsid w:val="00702ADB"/>
    <w:rsid w:val="00702B84"/>
    <w:rsid w:val="00702F9D"/>
    <w:rsid w:val="0070398D"/>
    <w:rsid w:val="00703F04"/>
    <w:rsid w:val="00704365"/>
    <w:rsid w:val="00704B29"/>
    <w:rsid w:val="00704FF3"/>
    <w:rsid w:val="00705481"/>
    <w:rsid w:val="00706419"/>
    <w:rsid w:val="0070686C"/>
    <w:rsid w:val="00706A01"/>
    <w:rsid w:val="00706A22"/>
    <w:rsid w:val="00706B25"/>
    <w:rsid w:val="00710145"/>
    <w:rsid w:val="00710158"/>
    <w:rsid w:val="007106A1"/>
    <w:rsid w:val="00710744"/>
    <w:rsid w:val="00710DB9"/>
    <w:rsid w:val="00711392"/>
    <w:rsid w:val="00711BD5"/>
    <w:rsid w:val="00711FAC"/>
    <w:rsid w:val="00712A3F"/>
    <w:rsid w:val="00712ECD"/>
    <w:rsid w:val="00713F9E"/>
    <w:rsid w:val="00714129"/>
    <w:rsid w:val="00714320"/>
    <w:rsid w:val="00714488"/>
    <w:rsid w:val="007155C9"/>
    <w:rsid w:val="00717AF3"/>
    <w:rsid w:val="00717DCA"/>
    <w:rsid w:val="007204C3"/>
    <w:rsid w:val="007211FA"/>
    <w:rsid w:val="007217A6"/>
    <w:rsid w:val="0072192B"/>
    <w:rsid w:val="0072242E"/>
    <w:rsid w:val="00722C2D"/>
    <w:rsid w:val="0072337C"/>
    <w:rsid w:val="007247B5"/>
    <w:rsid w:val="00725392"/>
    <w:rsid w:val="0072551C"/>
    <w:rsid w:val="00726FC2"/>
    <w:rsid w:val="00727BC7"/>
    <w:rsid w:val="00727F27"/>
    <w:rsid w:val="00730659"/>
    <w:rsid w:val="007310CA"/>
    <w:rsid w:val="0073115B"/>
    <w:rsid w:val="0073158B"/>
    <w:rsid w:val="00731DAD"/>
    <w:rsid w:val="007337CE"/>
    <w:rsid w:val="007343B5"/>
    <w:rsid w:val="00734537"/>
    <w:rsid w:val="00735881"/>
    <w:rsid w:val="007368D9"/>
    <w:rsid w:val="007368FF"/>
    <w:rsid w:val="00737ECE"/>
    <w:rsid w:val="007402C5"/>
    <w:rsid w:val="007407E6"/>
    <w:rsid w:val="007408C0"/>
    <w:rsid w:val="00741E27"/>
    <w:rsid w:val="007426C9"/>
    <w:rsid w:val="00742892"/>
    <w:rsid w:val="0074324E"/>
    <w:rsid w:val="00743672"/>
    <w:rsid w:val="00743972"/>
    <w:rsid w:val="00743B82"/>
    <w:rsid w:val="00743C10"/>
    <w:rsid w:val="00743F97"/>
    <w:rsid w:val="00744BB1"/>
    <w:rsid w:val="00745152"/>
    <w:rsid w:val="007451E8"/>
    <w:rsid w:val="007460D2"/>
    <w:rsid w:val="00746577"/>
    <w:rsid w:val="007467BC"/>
    <w:rsid w:val="007468F9"/>
    <w:rsid w:val="007469BF"/>
    <w:rsid w:val="00747BBE"/>
    <w:rsid w:val="007508CF"/>
    <w:rsid w:val="0075110B"/>
    <w:rsid w:val="00751688"/>
    <w:rsid w:val="00751AA5"/>
    <w:rsid w:val="00751C65"/>
    <w:rsid w:val="00751F73"/>
    <w:rsid w:val="00752629"/>
    <w:rsid w:val="00753407"/>
    <w:rsid w:val="00753D59"/>
    <w:rsid w:val="00753EDB"/>
    <w:rsid w:val="00753FC8"/>
    <w:rsid w:val="0075411F"/>
    <w:rsid w:val="0075428F"/>
    <w:rsid w:val="007544BB"/>
    <w:rsid w:val="00754DC7"/>
    <w:rsid w:val="00755A67"/>
    <w:rsid w:val="00755D34"/>
    <w:rsid w:val="00755F09"/>
    <w:rsid w:val="007569F5"/>
    <w:rsid w:val="007578C9"/>
    <w:rsid w:val="00757A9E"/>
    <w:rsid w:val="00757E2D"/>
    <w:rsid w:val="00760264"/>
    <w:rsid w:val="00761A66"/>
    <w:rsid w:val="00761D05"/>
    <w:rsid w:val="00761E2A"/>
    <w:rsid w:val="007623DC"/>
    <w:rsid w:val="007625E9"/>
    <w:rsid w:val="007626C9"/>
    <w:rsid w:val="0076379F"/>
    <w:rsid w:val="007640F9"/>
    <w:rsid w:val="007643A7"/>
    <w:rsid w:val="0076458D"/>
    <w:rsid w:val="00764667"/>
    <w:rsid w:val="0076538E"/>
    <w:rsid w:val="00765902"/>
    <w:rsid w:val="00765FE8"/>
    <w:rsid w:val="00766177"/>
    <w:rsid w:val="007662A9"/>
    <w:rsid w:val="007673A9"/>
    <w:rsid w:val="00771C20"/>
    <w:rsid w:val="00772BF8"/>
    <w:rsid w:val="00772D47"/>
    <w:rsid w:val="00773CD7"/>
    <w:rsid w:val="00774162"/>
    <w:rsid w:val="007743F2"/>
    <w:rsid w:val="0077441D"/>
    <w:rsid w:val="0077469D"/>
    <w:rsid w:val="007751C1"/>
    <w:rsid w:val="00775228"/>
    <w:rsid w:val="00775C9F"/>
    <w:rsid w:val="00777104"/>
    <w:rsid w:val="00777E8B"/>
    <w:rsid w:val="0078030A"/>
    <w:rsid w:val="00780DF3"/>
    <w:rsid w:val="007816EA"/>
    <w:rsid w:val="00781E69"/>
    <w:rsid w:val="00782EF3"/>
    <w:rsid w:val="00782FFF"/>
    <w:rsid w:val="00783633"/>
    <w:rsid w:val="00783B0B"/>
    <w:rsid w:val="00783DF9"/>
    <w:rsid w:val="00783F12"/>
    <w:rsid w:val="00784F37"/>
    <w:rsid w:val="007867E5"/>
    <w:rsid w:val="00786DD0"/>
    <w:rsid w:val="0078754A"/>
    <w:rsid w:val="00787A52"/>
    <w:rsid w:val="00790066"/>
    <w:rsid w:val="007906D3"/>
    <w:rsid w:val="00790FC1"/>
    <w:rsid w:val="00791EB4"/>
    <w:rsid w:val="00792A8F"/>
    <w:rsid w:val="007938F5"/>
    <w:rsid w:val="00793D62"/>
    <w:rsid w:val="00794596"/>
    <w:rsid w:val="0079506F"/>
    <w:rsid w:val="00795277"/>
    <w:rsid w:val="007958F0"/>
    <w:rsid w:val="00795D04"/>
    <w:rsid w:val="00795DEC"/>
    <w:rsid w:val="007962C1"/>
    <w:rsid w:val="0079636D"/>
    <w:rsid w:val="007964AF"/>
    <w:rsid w:val="007A01E7"/>
    <w:rsid w:val="007A041F"/>
    <w:rsid w:val="007A0752"/>
    <w:rsid w:val="007A0873"/>
    <w:rsid w:val="007A0D86"/>
    <w:rsid w:val="007A0E34"/>
    <w:rsid w:val="007A17DA"/>
    <w:rsid w:val="007A1930"/>
    <w:rsid w:val="007A21E7"/>
    <w:rsid w:val="007A221A"/>
    <w:rsid w:val="007A2670"/>
    <w:rsid w:val="007A2861"/>
    <w:rsid w:val="007A2E3F"/>
    <w:rsid w:val="007A392F"/>
    <w:rsid w:val="007A4079"/>
    <w:rsid w:val="007A4384"/>
    <w:rsid w:val="007A4D90"/>
    <w:rsid w:val="007A5218"/>
    <w:rsid w:val="007A54C9"/>
    <w:rsid w:val="007A5635"/>
    <w:rsid w:val="007A646B"/>
    <w:rsid w:val="007A6D6D"/>
    <w:rsid w:val="007A760C"/>
    <w:rsid w:val="007B0670"/>
    <w:rsid w:val="007B15F0"/>
    <w:rsid w:val="007B16C8"/>
    <w:rsid w:val="007B1A06"/>
    <w:rsid w:val="007B1D95"/>
    <w:rsid w:val="007B20C6"/>
    <w:rsid w:val="007B216F"/>
    <w:rsid w:val="007B21A7"/>
    <w:rsid w:val="007B2331"/>
    <w:rsid w:val="007B23C4"/>
    <w:rsid w:val="007B28AC"/>
    <w:rsid w:val="007B458C"/>
    <w:rsid w:val="007B4E0A"/>
    <w:rsid w:val="007B4E3B"/>
    <w:rsid w:val="007B4F1C"/>
    <w:rsid w:val="007B534B"/>
    <w:rsid w:val="007B5F8A"/>
    <w:rsid w:val="007B6091"/>
    <w:rsid w:val="007B6BF5"/>
    <w:rsid w:val="007B6D21"/>
    <w:rsid w:val="007B6D7A"/>
    <w:rsid w:val="007B6E26"/>
    <w:rsid w:val="007B7416"/>
    <w:rsid w:val="007C02BD"/>
    <w:rsid w:val="007C0696"/>
    <w:rsid w:val="007C17AD"/>
    <w:rsid w:val="007C19EB"/>
    <w:rsid w:val="007C1CF9"/>
    <w:rsid w:val="007C29D7"/>
    <w:rsid w:val="007C3149"/>
    <w:rsid w:val="007C31C1"/>
    <w:rsid w:val="007C3222"/>
    <w:rsid w:val="007C330A"/>
    <w:rsid w:val="007C3595"/>
    <w:rsid w:val="007C3707"/>
    <w:rsid w:val="007C4178"/>
    <w:rsid w:val="007C475F"/>
    <w:rsid w:val="007C4CBB"/>
    <w:rsid w:val="007C5158"/>
    <w:rsid w:val="007C58F3"/>
    <w:rsid w:val="007C58FC"/>
    <w:rsid w:val="007C5DF0"/>
    <w:rsid w:val="007C647F"/>
    <w:rsid w:val="007C6CA9"/>
    <w:rsid w:val="007C7039"/>
    <w:rsid w:val="007C723F"/>
    <w:rsid w:val="007D005F"/>
    <w:rsid w:val="007D0BB4"/>
    <w:rsid w:val="007D0C23"/>
    <w:rsid w:val="007D0F94"/>
    <w:rsid w:val="007D12F1"/>
    <w:rsid w:val="007D1B01"/>
    <w:rsid w:val="007D1FEF"/>
    <w:rsid w:val="007D2578"/>
    <w:rsid w:val="007D34FD"/>
    <w:rsid w:val="007D58FC"/>
    <w:rsid w:val="007D5F05"/>
    <w:rsid w:val="007D6528"/>
    <w:rsid w:val="007D67BE"/>
    <w:rsid w:val="007D7164"/>
    <w:rsid w:val="007D7446"/>
    <w:rsid w:val="007E1714"/>
    <w:rsid w:val="007E1788"/>
    <w:rsid w:val="007E17CC"/>
    <w:rsid w:val="007E1EFC"/>
    <w:rsid w:val="007E1FB0"/>
    <w:rsid w:val="007E1FDD"/>
    <w:rsid w:val="007E2092"/>
    <w:rsid w:val="007E2623"/>
    <w:rsid w:val="007E2736"/>
    <w:rsid w:val="007E2B73"/>
    <w:rsid w:val="007E2B9A"/>
    <w:rsid w:val="007E411D"/>
    <w:rsid w:val="007E460F"/>
    <w:rsid w:val="007E55DA"/>
    <w:rsid w:val="007E62BB"/>
    <w:rsid w:val="007E642E"/>
    <w:rsid w:val="007E647D"/>
    <w:rsid w:val="007E6613"/>
    <w:rsid w:val="007E667F"/>
    <w:rsid w:val="007E6747"/>
    <w:rsid w:val="007E6B92"/>
    <w:rsid w:val="007E6B9B"/>
    <w:rsid w:val="007E6C47"/>
    <w:rsid w:val="007E6E21"/>
    <w:rsid w:val="007E70C0"/>
    <w:rsid w:val="007E7654"/>
    <w:rsid w:val="007F017E"/>
    <w:rsid w:val="007F0289"/>
    <w:rsid w:val="007F03CC"/>
    <w:rsid w:val="007F03DE"/>
    <w:rsid w:val="007F112E"/>
    <w:rsid w:val="007F1B48"/>
    <w:rsid w:val="007F1EAE"/>
    <w:rsid w:val="007F2233"/>
    <w:rsid w:val="007F225B"/>
    <w:rsid w:val="007F4CAF"/>
    <w:rsid w:val="007F4DA3"/>
    <w:rsid w:val="007F5452"/>
    <w:rsid w:val="007F70DA"/>
    <w:rsid w:val="007F72CA"/>
    <w:rsid w:val="007F792B"/>
    <w:rsid w:val="007F7E29"/>
    <w:rsid w:val="00800568"/>
    <w:rsid w:val="00801E38"/>
    <w:rsid w:val="0080256D"/>
    <w:rsid w:val="008031BF"/>
    <w:rsid w:val="00803BD5"/>
    <w:rsid w:val="00803CF5"/>
    <w:rsid w:val="0080424B"/>
    <w:rsid w:val="00804680"/>
    <w:rsid w:val="0080489A"/>
    <w:rsid w:val="00804EFB"/>
    <w:rsid w:val="00805A56"/>
    <w:rsid w:val="008062B3"/>
    <w:rsid w:val="008077A8"/>
    <w:rsid w:val="0080798C"/>
    <w:rsid w:val="00810510"/>
    <w:rsid w:val="00810B63"/>
    <w:rsid w:val="0081102D"/>
    <w:rsid w:val="0081166A"/>
    <w:rsid w:val="00811EE0"/>
    <w:rsid w:val="00812050"/>
    <w:rsid w:val="008123FC"/>
    <w:rsid w:val="0081279E"/>
    <w:rsid w:val="00812856"/>
    <w:rsid w:val="00812970"/>
    <w:rsid w:val="00812ED0"/>
    <w:rsid w:val="008130A5"/>
    <w:rsid w:val="008147BF"/>
    <w:rsid w:val="00814F05"/>
    <w:rsid w:val="008150CA"/>
    <w:rsid w:val="008168AF"/>
    <w:rsid w:val="00816B4D"/>
    <w:rsid w:val="00816F55"/>
    <w:rsid w:val="00816F9D"/>
    <w:rsid w:val="008204E2"/>
    <w:rsid w:val="008209DC"/>
    <w:rsid w:val="008214D6"/>
    <w:rsid w:val="008215C2"/>
    <w:rsid w:val="00822CDC"/>
    <w:rsid w:val="008236EA"/>
    <w:rsid w:val="00823911"/>
    <w:rsid w:val="00824438"/>
    <w:rsid w:val="008247E6"/>
    <w:rsid w:val="0082482E"/>
    <w:rsid w:val="00824B55"/>
    <w:rsid w:val="008250C2"/>
    <w:rsid w:val="008256CB"/>
    <w:rsid w:val="0082636C"/>
    <w:rsid w:val="00826B34"/>
    <w:rsid w:val="00826FA6"/>
    <w:rsid w:val="00827259"/>
    <w:rsid w:val="00827392"/>
    <w:rsid w:val="008276AD"/>
    <w:rsid w:val="00827B01"/>
    <w:rsid w:val="008305BD"/>
    <w:rsid w:val="008315ED"/>
    <w:rsid w:val="008317DD"/>
    <w:rsid w:val="00831BBE"/>
    <w:rsid w:val="008322D1"/>
    <w:rsid w:val="00832447"/>
    <w:rsid w:val="008329B2"/>
    <w:rsid w:val="00832D5A"/>
    <w:rsid w:val="00833819"/>
    <w:rsid w:val="00833D80"/>
    <w:rsid w:val="008341C8"/>
    <w:rsid w:val="00835007"/>
    <w:rsid w:val="008350E0"/>
    <w:rsid w:val="0083528D"/>
    <w:rsid w:val="008357B7"/>
    <w:rsid w:val="00835F30"/>
    <w:rsid w:val="00837730"/>
    <w:rsid w:val="00837CF4"/>
    <w:rsid w:val="008402CF"/>
    <w:rsid w:val="00840A2D"/>
    <w:rsid w:val="00841228"/>
    <w:rsid w:val="00841AA1"/>
    <w:rsid w:val="00841F1B"/>
    <w:rsid w:val="00842F2C"/>
    <w:rsid w:val="008456E3"/>
    <w:rsid w:val="00846F37"/>
    <w:rsid w:val="00847077"/>
    <w:rsid w:val="00847A8C"/>
    <w:rsid w:val="00850001"/>
    <w:rsid w:val="0085020D"/>
    <w:rsid w:val="008515C4"/>
    <w:rsid w:val="00852B96"/>
    <w:rsid w:val="00852EA6"/>
    <w:rsid w:val="00853130"/>
    <w:rsid w:val="0085386F"/>
    <w:rsid w:val="00853E11"/>
    <w:rsid w:val="008542CC"/>
    <w:rsid w:val="00854987"/>
    <w:rsid w:val="0085499E"/>
    <w:rsid w:val="00854F93"/>
    <w:rsid w:val="00855014"/>
    <w:rsid w:val="008556F1"/>
    <w:rsid w:val="00855702"/>
    <w:rsid w:val="00856136"/>
    <w:rsid w:val="00856577"/>
    <w:rsid w:val="00856722"/>
    <w:rsid w:val="00856813"/>
    <w:rsid w:val="00856CC8"/>
    <w:rsid w:val="00856DAF"/>
    <w:rsid w:val="00856FD9"/>
    <w:rsid w:val="0085706C"/>
    <w:rsid w:val="00857102"/>
    <w:rsid w:val="00857553"/>
    <w:rsid w:val="008579A9"/>
    <w:rsid w:val="00857AE8"/>
    <w:rsid w:val="00857D3F"/>
    <w:rsid w:val="008602D8"/>
    <w:rsid w:val="0086140B"/>
    <w:rsid w:val="0086247C"/>
    <w:rsid w:val="00862D0D"/>
    <w:rsid w:val="00863B89"/>
    <w:rsid w:val="00864C86"/>
    <w:rsid w:val="00864DEF"/>
    <w:rsid w:val="0086519E"/>
    <w:rsid w:val="00865305"/>
    <w:rsid w:val="00865F6E"/>
    <w:rsid w:val="008671C3"/>
    <w:rsid w:val="00870645"/>
    <w:rsid w:val="008716EB"/>
    <w:rsid w:val="00871ED2"/>
    <w:rsid w:val="00872820"/>
    <w:rsid w:val="008728D2"/>
    <w:rsid w:val="00872F81"/>
    <w:rsid w:val="0087313E"/>
    <w:rsid w:val="0087460E"/>
    <w:rsid w:val="0087474A"/>
    <w:rsid w:val="00874C57"/>
    <w:rsid w:val="00875502"/>
    <w:rsid w:val="00876F84"/>
    <w:rsid w:val="008775D6"/>
    <w:rsid w:val="008776C7"/>
    <w:rsid w:val="008776DD"/>
    <w:rsid w:val="008805B6"/>
    <w:rsid w:val="008820DB"/>
    <w:rsid w:val="00882315"/>
    <w:rsid w:val="008825FD"/>
    <w:rsid w:val="0088390C"/>
    <w:rsid w:val="00883CE5"/>
    <w:rsid w:val="00884ADA"/>
    <w:rsid w:val="00884CE7"/>
    <w:rsid w:val="0088559B"/>
    <w:rsid w:val="008858C8"/>
    <w:rsid w:val="00885EAB"/>
    <w:rsid w:val="008863B9"/>
    <w:rsid w:val="00886A06"/>
    <w:rsid w:val="00887486"/>
    <w:rsid w:val="00887BCF"/>
    <w:rsid w:val="00887C35"/>
    <w:rsid w:val="00890418"/>
    <w:rsid w:val="00890C17"/>
    <w:rsid w:val="008913C7"/>
    <w:rsid w:val="00891D14"/>
    <w:rsid w:val="008927AC"/>
    <w:rsid w:val="00892952"/>
    <w:rsid w:val="00892ACD"/>
    <w:rsid w:val="00893079"/>
    <w:rsid w:val="00893223"/>
    <w:rsid w:val="00893556"/>
    <w:rsid w:val="008937D4"/>
    <w:rsid w:val="0089398E"/>
    <w:rsid w:val="00893CBD"/>
    <w:rsid w:val="00893E4C"/>
    <w:rsid w:val="0089448F"/>
    <w:rsid w:val="00895534"/>
    <w:rsid w:val="00896B08"/>
    <w:rsid w:val="00896B91"/>
    <w:rsid w:val="00896BD4"/>
    <w:rsid w:val="00897124"/>
    <w:rsid w:val="00897379"/>
    <w:rsid w:val="0089797C"/>
    <w:rsid w:val="00897AAC"/>
    <w:rsid w:val="008A05D7"/>
    <w:rsid w:val="008A07C4"/>
    <w:rsid w:val="008A13E2"/>
    <w:rsid w:val="008A1B1F"/>
    <w:rsid w:val="008A1CF3"/>
    <w:rsid w:val="008A1FF1"/>
    <w:rsid w:val="008A2526"/>
    <w:rsid w:val="008A2DD0"/>
    <w:rsid w:val="008A3346"/>
    <w:rsid w:val="008A351C"/>
    <w:rsid w:val="008A3E96"/>
    <w:rsid w:val="008A3FB6"/>
    <w:rsid w:val="008A40D5"/>
    <w:rsid w:val="008A48D4"/>
    <w:rsid w:val="008A4B22"/>
    <w:rsid w:val="008A4BEA"/>
    <w:rsid w:val="008A4E30"/>
    <w:rsid w:val="008A5AB6"/>
    <w:rsid w:val="008A63AE"/>
    <w:rsid w:val="008A71EF"/>
    <w:rsid w:val="008B130B"/>
    <w:rsid w:val="008B1C05"/>
    <w:rsid w:val="008B2499"/>
    <w:rsid w:val="008B268D"/>
    <w:rsid w:val="008B2C48"/>
    <w:rsid w:val="008B3121"/>
    <w:rsid w:val="008B33D4"/>
    <w:rsid w:val="008B46DC"/>
    <w:rsid w:val="008B4742"/>
    <w:rsid w:val="008B4B56"/>
    <w:rsid w:val="008B555C"/>
    <w:rsid w:val="008B616B"/>
    <w:rsid w:val="008B62B2"/>
    <w:rsid w:val="008B6E6B"/>
    <w:rsid w:val="008B7B8E"/>
    <w:rsid w:val="008B7F5B"/>
    <w:rsid w:val="008C03CC"/>
    <w:rsid w:val="008C04C6"/>
    <w:rsid w:val="008C0635"/>
    <w:rsid w:val="008C0867"/>
    <w:rsid w:val="008C0BE0"/>
    <w:rsid w:val="008C0E00"/>
    <w:rsid w:val="008C0E8F"/>
    <w:rsid w:val="008C263B"/>
    <w:rsid w:val="008C3E9E"/>
    <w:rsid w:val="008C4470"/>
    <w:rsid w:val="008C53E1"/>
    <w:rsid w:val="008C557D"/>
    <w:rsid w:val="008C5D59"/>
    <w:rsid w:val="008C63D2"/>
    <w:rsid w:val="008C6FE8"/>
    <w:rsid w:val="008C705E"/>
    <w:rsid w:val="008C718B"/>
    <w:rsid w:val="008C7314"/>
    <w:rsid w:val="008C7754"/>
    <w:rsid w:val="008D0052"/>
    <w:rsid w:val="008D01A5"/>
    <w:rsid w:val="008D0212"/>
    <w:rsid w:val="008D071D"/>
    <w:rsid w:val="008D1178"/>
    <w:rsid w:val="008D1995"/>
    <w:rsid w:val="008D25B9"/>
    <w:rsid w:val="008D31BB"/>
    <w:rsid w:val="008D3400"/>
    <w:rsid w:val="008D4262"/>
    <w:rsid w:val="008D45C0"/>
    <w:rsid w:val="008D46C3"/>
    <w:rsid w:val="008D495A"/>
    <w:rsid w:val="008D4C4B"/>
    <w:rsid w:val="008D4EDD"/>
    <w:rsid w:val="008D4FC1"/>
    <w:rsid w:val="008D5DFF"/>
    <w:rsid w:val="008D669A"/>
    <w:rsid w:val="008D6C2F"/>
    <w:rsid w:val="008E0640"/>
    <w:rsid w:val="008E090A"/>
    <w:rsid w:val="008E104D"/>
    <w:rsid w:val="008E10FB"/>
    <w:rsid w:val="008E11C7"/>
    <w:rsid w:val="008E1C82"/>
    <w:rsid w:val="008E1DD7"/>
    <w:rsid w:val="008E1EC8"/>
    <w:rsid w:val="008E25BF"/>
    <w:rsid w:val="008E263F"/>
    <w:rsid w:val="008E27BD"/>
    <w:rsid w:val="008E2936"/>
    <w:rsid w:val="008E2A54"/>
    <w:rsid w:val="008E2D2C"/>
    <w:rsid w:val="008E2E64"/>
    <w:rsid w:val="008E33BC"/>
    <w:rsid w:val="008E3AC1"/>
    <w:rsid w:val="008E45A2"/>
    <w:rsid w:val="008E49CE"/>
    <w:rsid w:val="008E5173"/>
    <w:rsid w:val="008E52EB"/>
    <w:rsid w:val="008E5877"/>
    <w:rsid w:val="008E5E23"/>
    <w:rsid w:val="008E62FF"/>
    <w:rsid w:val="008E6A39"/>
    <w:rsid w:val="008E724B"/>
    <w:rsid w:val="008E79B7"/>
    <w:rsid w:val="008F0107"/>
    <w:rsid w:val="008F0529"/>
    <w:rsid w:val="008F1651"/>
    <w:rsid w:val="008F1FD7"/>
    <w:rsid w:val="008F2257"/>
    <w:rsid w:val="008F24A5"/>
    <w:rsid w:val="008F28CB"/>
    <w:rsid w:val="008F2CF7"/>
    <w:rsid w:val="008F3C5E"/>
    <w:rsid w:val="008F3F87"/>
    <w:rsid w:val="008F4D96"/>
    <w:rsid w:val="008F5619"/>
    <w:rsid w:val="008F5AA0"/>
    <w:rsid w:val="008F5E70"/>
    <w:rsid w:val="008F6F32"/>
    <w:rsid w:val="008F739E"/>
    <w:rsid w:val="008F7533"/>
    <w:rsid w:val="008F753E"/>
    <w:rsid w:val="008F759E"/>
    <w:rsid w:val="008F7806"/>
    <w:rsid w:val="008F7AB9"/>
    <w:rsid w:val="008F7C7E"/>
    <w:rsid w:val="00900070"/>
    <w:rsid w:val="00900D08"/>
    <w:rsid w:val="00900E36"/>
    <w:rsid w:val="00901073"/>
    <w:rsid w:val="009010ED"/>
    <w:rsid w:val="00901E6A"/>
    <w:rsid w:val="00902710"/>
    <w:rsid w:val="00903178"/>
    <w:rsid w:val="009037DB"/>
    <w:rsid w:val="009041B6"/>
    <w:rsid w:val="009042E3"/>
    <w:rsid w:val="00904962"/>
    <w:rsid w:val="00905604"/>
    <w:rsid w:val="009057C1"/>
    <w:rsid w:val="00905B04"/>
    <w:rsid w:val="00906107"/>
    <w:rsid w:val="0090767F"/>
    <w:rsid w:val="00911844"/>
    <w:rsid w:val="00911FB1"/>
    <w:rsid w:val="00912023"/>
    <w:rsid w:val="0091468D"/>
    <w:rsid w:val="00914A29"/>
    <w:rsid w:val="0091698D"/>
    <w:rsid w:val="00917B04"/>
    <w:rsid w:val="00920259"/>
    <w:rsid w:val="009208D4"/>
    <w:rsid w:val="009225E8"/>
    <w:rsid w:val="009226F1"/>
    <w:rsid w:val="009234AF"/>
    <w:rsid w:val="00923DD2"/>
    <w:rsid w:val="00924607"/>
    <w:rsid w:val="00924FED"/>
    <w:rsid w:val="009251E2"/>
    <w:rsid w:val="00927474"/>
    <w:rsid w:val="00927E5D"/>
    <w:rsid w:val="00927EE9"/>
    <w:rsid w:val="009307D5"/>
    <w:rsid w:val="009312E2"/>
    <w:rsid w:val="0093132B"/>
    <w:rsid w:val="0093154A"/>
    <w:rsid w:val="00931684"/>
    <w:rsid w:val="00931E12"/>
    <w:rsid w:val="0093279B"/>
    <w:rsid w:val="00932C04"/>
    <w:rsid w:val="009331F1"/>
    <w:rsid w:val="00933DC6"/>
    <w:rsid w:val="009340CA"/>
    <w:rsid w:val="00934105"/>
    <w:rsid w:val="00934E15"/>
    <w:rsid w:val="0093527E"/>
    <w:rsid w:val="009376A5"/>
    <w:rsid w:val="009377B1"/>
    <w:rsid w:val="0093783C"/>
    <w:rsid w:val="009401FA"/>
    <w:rsid w:val="00940457"/>
    <w:rsid w:val="0094158E"/>
    <w:rsid w:val="009418B1"/>
    <w:rsid w:val="00941F26"/>
    <w:rsid w:val="00942B86"/>
    <w:rsid w:val="00942E55"/>
    <w:rsid w:val="00943364"/>
    <w:rsid w:val="009435A1"/>
    <w:rsid w:val="009435EA"/>
    <w:rsid w:val="00943BEA"/>
    <w:rsid w:val="009453AC"/>
    <w:rsid w:val="009461D2"/>
    <w:rsid w:val="00946505"/>
    <w:rsid w:val="00946901"/>
    <w:rsid w:val="00947B6D"/>
    <w:rsid w:val="00947E56"/>
    <w:rsid w:val="00947F79"/>
    <w:rsid w:val="0095011C"/>
    <w:rsid w:val="0095041B"/>
    <w:rsid w:val="00950906"/>
    <w:rsid w:val="00950DB9"/>
    <w:rsid w:val="0095159E"/>
    <w:rsid w:val="009519CC"/>
    <w:rsid w:val="009525D1"/>
    <w:rsid w:val="00952926"/>
    <w:rsid w:val="00952EE4"/>
    <w:rsid w:val="00953036"/>
    <w:rsid w:val="009536C6"/>
    <w:rsid w:val="00953B0B"/>
    <w:rsid w:val="00954143"/>
    <w:rsid w:val="00954403"/>
    <w:rsid w:val="009549EA"/>
    <w:rsid w:val="009557FC"/>
    <w:rsid w:val="00956550"/>
    <w:rsid w:val="00957171"/>
    <w:rsid w:val="00957229"/>
    <w:rsid w:val="009574E1"/>
    <w:rsid w:val="009577C3"/>
    <w:rsid w:val="00957E12"/>
    <w:rsid w:val="00957E6B"/>
    <w:rsid w:val="00960045"/>
    <w:rsid w:val="0096051B"/>
    <w:rsid w:val="009607D0"/>
    <w:rsid w:val="00961809"/>
    <w:rsid w:val="00962A7B"/>
    <w:rsid w:val="00962A9D"/>
    <w:rsid w:val="00963A0A"/>
    <w:rsid w:val="00963F9D"/>
    <w:rsid w:val="00964F64"/>
    <w:rsid w:val="0096586C"/>
    <w:rsid w:val="00965903"/>
    <w:rsid w:val="00966C70"/>
    <w:rsid w:val="00966C76"/>
    <w:rsid w:val="0096761D"/>
    <w:rsid w:val="00967E8C"/>
    <w:rsid w:val="00970953"/>
    <w:rsid w:val="00970E39"/>
    <w:rsid w:val="009715DD"/>
    <w:rsid w:val="009719AD"/>
    <w:rsid w:val="00972726"/>
    <w:rsid w:val="00972BB5"/>
    <w:rsid w:val="0097332B"/>
    <w:rsid w:val="00973530"/>
    <w:rsid w:val="00973612"/>
    <w:rsid w:val="00973B4A"/>
    <w:rsid w:val="00973C56"/>
    <w:rsid w:val="00973D65"/>
    <w:rsid w:val="0097515E"/>
    <w:rsid w:val="00975424"/>
    <w:rsid w:val="00976206"/>
    <w:rsid w:val="00976597"/>
    <w:rsid w:val="00976A0B"/>
    <w:rsid w:val="00976C50"/>
    <w:rsid w:val="00976F00"/>
    <w:rsid w:val="00976FA5"/>
    <w:rsid w:val="009772BE"/>
    <w:rsid w:val="009775D3"/>
    <w:rsid w:val="0098032D"/>
    <w:rsid w:val="009803FD"/>
    <w:rsid w:val="00980651"/>
    <w:rsid w:val="00980E27"/>
    <w:rsid w:val="00981643"/>
    <w:rsid w:val="00981908"/>
    <w:rsid w:val="00981D92"/>
    <w:rsid w:val="0098204A"/>
    <w:rsid w:val="00982C52"/>
    <w:rsid w:val="0098350D"/>
    <w:rsid w:val="00983C33"/>
    <w:rsid w:val="009841EC"/>
    <w:rsid w:val="00984818"/>
    <w:rsid w:val="00984C8F"/>
    <w:rsid w:val="00985250"/>
    <w:rsid w:val="0098544D"/>
    <w:rsid w:val="00985C9E"/>
    <w:rsid w:val="00986173"/>
    <w:rsid w:val="00986CC6"/>
    <w:rsid w:val="00987311"/>
    <w:rsid w:val="00987530"/>
    <w:rsid w:val="009875A9"/>
    <w:rsid w:val="00987778"/>
    <w:rsid w:val="00990182"/>
    <w:rsid w:val="00990967"/>
    <w:rsid w:val="00990E2C"/>
    <w:rsid w:val="00991C25"/>
    <w:rsid w:val="0099217E"/>
    <w:rsid w:val="009922A9"/>
    <w:rsid w:val="00992868"/>
    <w:rsid w:val="00992ED9"/>
    <w:rsid w:val="009946B8"/>
    <w:rsid w:val="009948A3"/>
    <w:rsid w:val="0099569C"/>
    <w:rsid w:val="00995F53"/>
    <w:rsid w:val="00996186"/>
    <w:rsid w:val="0099702D"/>
    <w:rsid w:val="0099713E"/>
    <w:rsid w:val="009A045E"/>
    <w:rsid w:val="009A0E7D"/>
    <w:rsid w:val="009A25CC"/>
    <w:rsid w:val="009A3925"/>
    <w:rsid w:val="009A4589"/>
    <w:rsid w:val="009A4B20"/>
    <w:rsid w:val="009A5D80"/>
    <w:rsid w:val="009A60B8"/>
    <w:rsid w:val="009A666C"/>
    <w:rsid w:val="009A6773"/>
    <w:rsid w:val="009A6BCC"/>
    <w:rsid w:val="009A6EB5"/>
    <w:rsid w:val="009A7BD6"/>
    <w:rsid w:val="009A7BE5"/>
    <w:rsid w:val="009A7FFC"/>
    <w:rsid w:val="009B0018"/>
    <w:rsid w:val="009B0063"/>
    <w:rsid w:val="009B0E14"/>
    <w:rsid w:val="009B1BEE"/>
    <w:rsid w:val="009B2192"/>
    <w:rsid w:val="009B25B8"/>
    <w:rsid w:val="009B271A"/>
    <w:rsid w:val="009B33AE"/>
    <w:rsid w:val="009B3808"/>
    <w:rsid w:val="009B3D2A"/>
    <w:rsid w:val="009B3D3E"/>
    <w:rsid w:val="009B4840"/>
    <w:rsid w:val="009B50E3"/>
    <w:rsid w:val="009B557D"/>
    <w:rsid w:val="009B5583"/>
    <w:rsid w:val="009B577C"/>
    <w:rsid w:val="009B6114"/>
    <w:rsid w:val="009B699E"/>
    <w:rsid w:val="009B6BDF"/>
    <w:rsid w:val="009B6C58"/>
    <w:rsid w:val="009B6DFD"/>
    <w:rsid w:val="009B798E"/>
    <w:rsid w:val="009B7BEC"/>
    <w:rsid w:val="009B7C41"/>
    <w:rsid w:val="009C0F7C"/>
    <w:rsid w:val="009C1151"/>
    <w:rsid w:val="009C133E"/>
    <w:rsid w:val="009C1441"/>
    <w:rsid w:val="009C2805"/>
    <w:rsid w:val="009C2E42"/>
    <w:rsid w:val="009C36C0"/>
    <w:rsid w:val="009C3C2F"/>
    <w:rsid w:val="009C3D1B"/>
    <w:rsid w:val="009C40B1"/>
    <w:rsid w:val="009C479E"/>
    <w:rsid w:val="009C490D"/>
    <w:rsid w:val="009C5277"/>
    <w:rsid w:val="009C5B7E"/>
    <w:rsid w:val="009C5B98"/>
    <w:rsid w:val="009C61AF"/>
    <w:rsid w:val="009C653D"/>
    <w:rsid w:val="009C6572"/>
    <w:rsid w:val="009C65B1"/>
    <w:rsid w:val="009C68CB"/>
    <w:rsid w:val="009C6BFD"/>
    <w:rsid w:val="009C6EEA"/>
    <w:rsid w:val="009C705C"/>
    <w:rsid w:val="009C7AA1"/>
    <w:rsid w:val="009C7C7F"/>
    <w:rsid w:val="009C7F96"/>
    <w:rsid w:val="009D04F9"/>
    <w:rsid w:val="009D1D17"/>
    <w:rsid w:val="009D3BC5"/>
    <w:rsid w:val="009D3E34"/>
    <w:rsid w:val="009D448E"/>
    <w:rsid w:val="009D449E"/>
    <w:rsid w:val="009D4B71"/>
    <w:rsid w:val="009D4D63"/>
    <w:rsid w:val="009D54E5"/>
    <w:rsid w:val="009D575A"/>
    <w:rsid w:val="009D5FB0"/>
    <w:rsid w:val="009D6285"/>
    <w:rsid w:val="009D65DA"/>
    <w:rsid w:val="009D6793"/>
    <w:rsid w:val="009D6ABA"/>
    <w:rsid w:val="009D6B11"/>
    <w:rsid w:val="009D6C6C"/>
    <w:rsid w:val="009D73FC"/>
    <w:rsid w:val="009D789F"/>
    <w:rsid w:val="009D7D5D"/>
    <w:rsid w:val="009D7E9D"/>
    <w:rsid w:val="009D7FAF"/>
    <w:rsid w:val="009E0F81"/>
    <w:rsid w:val="009E16F7"/>
    <w:rsid w:val="009E1CCD"/>
    <w:rsid w:val="009E1DBF"/>
    <w:rsid w:val="009E2225"/>
    <w:rsid w:val="009E3CA3"/>
    <w:rsid w:val="009E3DDA"/>
    <w:rsid w:val="009E43EC"/>
    <w:rsid w:val="009E47B2"/>
    <w:rsid w:val="009E5DFC"/>
    <w:rsid w:val="009E604E"/>
    <w:rsid w:val="009E6E3B"/>
    <w:rsid w:val="009E7E97"/>
    <w:rsid w:val="009E7EA2"/>
    <w:rsid w:val="009F0830"/>
    <w:rsid w:val="009F0937"/>
    <w:rsid w:val="009F0A51"/>
    <w:rsid w:val="009F0BB0"/>
    <w:rsid w:val="009F1BCB"/>
    <w:rsid w:val="009F20F3"/>
    <w:rsid w:val="009F3259"/>
    <w:rsid w:val="009F32CB"/>
    <w:rsid w:val="009F3391"/>
    <w:rsid w:val="009F4562"/>
    <w:rsid w:val="009F505C"/>
    <w:rsid w:val="009F513A"/>
    <w:rsid w:val="009F584B"/>
    <w:rsid w:val="009F5B61"/>
    <w:rsid w:val="009F604E"/>
    <w:rsid w:val="009F61FA"/>
    <w:rsid w:val="009F6D45"/>
    <w:rsid w:val="009F6DAB"/>
    <w:rsid w:val="009F7386"/>
    <w:rsid w:val="009F7640"/>
    <w:rsid w:val="009F784D"/>
    <w:rsid w:val="009F7E52"/>
    <w:rsid w:val="00A0013B"/>
    <w:rsid w:val="00A0092B"/>
    <w:rsid w:val="00A01192"/>
    <w:rsid w:val="00A012EA"/>
    <w:rsid w:val="00A02AAA"/>
    <w:rsid w:val="00A02B8E"/>
    <w:rsid w:val="00A03BA4"/>
    <w:rsid w:val="00A04D99"/>
    <w:rsid w:val="00A0569D"/>
    <w:rsid w:val="00A062B3"/>
    <w:rsid w:val="00A07607"/>
    <w:rsid w:val="00A076D2"/>
    <w:rsid w:val="00A0788C"/>
    <w:rsid w:val="00A07ECA"/>
    <w:rsid w:val="00A10091"/>
    <w:rsid w:val="00A10635"/>
    <w:rsid w:val="00A10ADB"/>
    <w:rsid w:val="00A10BC5"/>
    <w:rsid w:val="00A114BF"/>
    <w:rsid w:val="00A11681"/>
    <w:rsid w:val="00A116C9"/>
    <w:rsid w:val="00A117E1"/>
    <w:rsid w:val="00A129B9"/>
    <w:rsid w:val="00A133CE"/>
    <w:rsid w:val="00A13D3A"/>
    <w:rsid w:val="00A14300"/>
    <w:rsid w:val="00A14592"/>
    <w:rsid w:val="00A14F01"/>
    <w:rsid w:val="00A150C0"/>
    <w:rsid w:val="00A15C57"/>
    <w:rsid w:val="00A15FF3"/>
    <w:rsid w:val="00A1600A"/>
    <w:rsid w:val="00A167B7"/>
    <w:rsid w:val="00A1694B"/>
    <w:rsid w:val="00A17963"/>
    <w:rsid w:val="00A17AD7"/>
    <w:rsid w:val="00A17E46"/>
    <w:rsid w:val="00A17E83"/>
    <w:rsid w:val="00A202D7"/>
    <w:rsid w:val="00A2079F"/>
    <w:rsid w:val="00A20C1F"/>
    <w:rsid w:val="00A21C11"/>
    <w:rsid w:val="00A222B6"/>
    <w:rsid w:val="00A231E6"/>
    <w:rsid w:val="00A23332"/>
    <w:rsid w:val="00A23414"/>
    <w:rsid w:val="00A23695"/>
    <w:rsid w:val="00A23937"/>
    <w:rsid w:val="00A23A50"/>
    <w:rsid w:val="00A25555"/>
    <w:rsid w:val="00A2604F"/>
    <w:rsid w:val="00A26C07"/>
    <w:rsid w:val="00A26E1E"/>
    <w:rsid w:val="00A27B4E"/>
    <w:rsid w:val="00A27B8B"/>
    <w:rsid w:val="00A27DE3"/>
    <w:rsid w:val="00A27F0A"/>
    <w:rsid w:val="00A307DB"/>
    <w:rsid w:val="00A30A20"/>
    <w:rsid w:val="00A31D6B"/>
    <w:rsid w:val="00A31FAE"/>
    <w:rsid w:val="00A32865"/>
    <w:rsid w:val="00A328D8"/>
    <w:rsid w:val="00A32903"/>
    <w:rsid w:val="00A32A60"/>
    <w:rsid w:val="00A32AB6"/>
    <w:rsid w:val="00A32E46"/>
    <w:rsid w:val="00A331A2"/>
    <w:rsid w:val="00A3338C"/>
    <w:rsid w:val="00A3355B"/>
    <w:rsid w:val="00A3360E"/>
    <w:rsid w:val="00A33D22"/>
    <w:rsid w:val="00A34104"/>
    <w:rsid w:val="00A34698"/>
    <w:rsid w:val="00A348C2"/>
    <w:rsid w:val="00A351F1"/>
    <w:rsid w:val="00A35B4B"/>
    <w:rsid w:val="00A37EB6"/>
    <w:rsid w:val="00A408C0"/>
    <w:rsid w:val="00A4168D"/>
    <w:rsid w:val="00A41773"/>
    <w:rsid w:val="00A42224"/>
    <w:rsid w:val="00A42C8A"/>
    <w:rsid w:val="00A42CF5"/>
    <w:rsid w:val="00A4325F"/>
    <w:rsid w:val="00A43B2F"/>
    <w:rsid w:val="00A44728"/>
    <w:rsid w:val="00A449D5"/>
    <w:rsid w:val="00A44A6B"/>
    <w:rsid w:val="00A44D26"/>
    <w:rsid w:val="00A45BE5"/>
    <w:rsid w:val="00A45D47"/>
    <w:rsid w:val="00A462D6"/>
    <w:rsid w:val="00A46CD3"/>
    <w:rsid w:val="00A46F00"/>
    <w:rsid w:val="00A4728A"/>
    <w:rsid w:val="00A47785"/>
    <w:rsid w:val="00A478A7"/>
    <w:rsid w:val="00A47F8A"/>
    <w:rsid w:val="00A507AF"/>
    <w:rsid w:val="00A50A33"/>
    <w:rsid w:val="00A50E52"/>
    <w:rsid w:val="00A512D8"/>
    <w:rsid w:val="00A51497"/>
    <w:rsid w:val="00A521B0"/>
    <w:rsid w:val="00A52699"/>
    <w:rsid w:val="00A52C9B"/>
    <w:rsid w:val="00A537E7"/>
    <w:rsid w:val="00A53A9A"/>
    <w:rsid w:val="00A54798"/>
    <w:rsid w:val="00A547C6"/>
    <w:rsid w:val="00A54A7B"/>
    <w:rsid w:val="00A55289"/>
    <w:rsid w:val="00A557BC"/>
    <w:rsid w:val="00A5691F"/>
    <w:rsid w:val="00A57A15"/>
    <w:rsid w:val="00A57A3C"/>
    <w:rsid w:val="00A60107"/>
    <w:rsid w:val="00A60663"/>
    <w:rsid w:val="00A61173"/>
    <w:rsid w:val="00A61246"/>
    <w:rsid w:val="00A61A7D"/>
    <w:rsid w:val="00A61B22"/>
    <w:rsid w:val="00A61E73"/>
    <w:rsid w:val="00A62650"/>
    <w:rsid w:val="00A64392"/>
    <w:rsid w:val="00A64E0F"/>
    <w:rsid w:val="00A650E2"/>
    <w:rsid w:val="00A65318"/>
    <w:rsid w:val="00A65578"/>
    <w:rsid w:val="00A659F5"/>
    <w:rsid w:val="00A66154"/>
    <w:rsid w:val="00A666C8"/>
    <w:rsid w:val="00A66FC3"/>
    <w:rsid w:val="00A6707D"/>
    <w:rsid w:val="00A673CE"/>
    <w:rsid w:val="00A67940"/>
    <w:rsid w:val="00A706AD"/>
    <w:rsid w:val="00A70A12"/>
    <w:rsid w:val="00A70E5F"/>
    <w:rsid w:val="00A70FE7"/>
    <w:rsid w:val="00A717E9"/>
    <w:rsid w:val="00A717F6"/>
    <w:rsid w:val="00A7192B"/>
    <w:rsid w:val="00A72465"/>
    <w:rsid w:val="00A7325E"/>
    <w:rsid w:val="00A743F5"/>
    <w:rsid w:val="00A74445"/>
    <w:rsid w:val="00A74C05"/>
    <w:rsid w:val="00A74C1F"/>
    <w:rsid w:val="00A74D64"/>
    <w:rsid w:val="00A7541B"/>
    <w:rsid w:val="00A7679C"/>
    <w:rsid w:val="00A76A1F"/>
    <w:rsid w:val="00A76B30"/>
    <w:rsid w:val="00A7784F"/>
    <w:rsid w:val="00A778A7"/>
    <w:rsid w:val="00A80662"/>
    <w:rsid w:val="00A806B9"/>
    <w:rsid w:val="00A80F00"/>
    <w:rsid w:val="00A814B9"/>
    <w:rsid w:val="00A81EF2"/>
    <w:rsid w:val="00A81F47"/>
    <w:rsid w:val="00A824B2"/>
    <w:rsid w:val="00A828C2"/>
    <w:rsid w:val="00A829A9"/>
    <w:rsid w:val="00A82A8C"/>
    <w:rsid w:val="00A83244"/>
    <w:rsid w:val="00A836A0"/>
    <w:rsid w:val="00A8499F"/>
    <w:rsid w:val="00A84D78"/>
    <w:rsid w:val="00A87162"/>
    <w:rsid w:val="00A8789A"/>
    <w:rsid w:val="00A90B14"/>
    <w:rsid w:val="00A90BD3"/>
    <w:rsid w:val="00A90DEE"/>
    <w:rsid w:val="00A90EE9"/>
    <w:rsid w:val="00A91252"/>
    <w:rsid w:val="00A93193"/>
    <w:rsid w:val="00A93398"/>
    <w:rsid w:val="00A94C34"/>
    <w:rsid w:val="00A95BE8"/>
    <w:rsid w:val="00A95EAB"/>
    <w:rsid w:val="00A96D21"/>
    <w:rsid w:val="00A96EA8"/>
    <w:rsid w:val="00A96F1B"/>
    <w:rsid w:val="00A97708"/>
    <w:rsid w:val="00A97F1C"/>
    <w:rsid w:val="00AA00E2"/>
    <w:rsid w:val="00AA0271"/>
    <w:rsid w:val="00AA06AB"/>
    <w:rsid w:val="00AA07AC"/>
    <w:rsid w:val="00AA08B2"/>
    <w:rsid w:val="00AA0F0F"/>
    <w:rsid w:val="00AA1D7E"/>
    <w:rsid w:val="00AA214B"/>
    <w:rsid w:val="00AA3FB3"/>
    <w:rsid w:val="00AA58B8"/>
    <w:rsid w:val="00AA5DC9"/>
    <w:rsid w:val="00AA6128"/>
    <w:rsid w:val="00AA6279"/>
    <w:rsid w:val="00AA79CE"/>
    <w:rsid w:val="00AA7F55"/>
    <w:rsid w:val="00AB0C05"/>
    <w:rsid w:val="00AB1F25"/>
    <w:rsid w:val="00AB209E"/>
    <w:rsid w:val="00AB2455"/>
    <w:rsid w:val="00AB2740"/>
    <w:rsid w:val="00AB3C9B"/>
    <w:rsid w:val="00AB4305"/>
    <w:rsid w:val="00AB4817"/>
    <w:rsid w:val="00AB60B3"/>
    <w:rsid w:val="00AB716F"/>
    <w:rsid w:val="00AC0E3C"/>
    <w:rsid w:val="00AC160C"/>
    <w:rsid w:val="00AC1A63"/>
    <w:rsid w:val="00AC1E76"/>
    <w:rsid w:val="00AC1F7F"/>
    <w:rsid w:val="00AC20A9"/>
    <w:rsid w:val="00AC2C3C"/>
    <w:rsid w:val="00AC2F2F"/>
    <w:rsid w:val="00AC3D1E"/>
    <w:rsid w:val="00AC44FD"/>
    <w:rsid w:val="00AC4A61"/>
    <w:rsid w:val="00AC4BC5"/>
    <w:rsid w:val="00AC4D3B"/>
    <w:rsid w:val="00AC52AC"/>
    <w:rsid w:val="00AC557B"/>
    <w:rsid w:val="00AC591B"/>
    <w:rsid w:val="00AC5CDE"/>
    <w:rsid w:val="00AC5D1F"/>
    <w:rsid w:val="00AC60B0"/>
    <w:rsid w:val="00AC67E3"/>
    <w:rsid w:val="00AC6A8F"/>
    <w:rsid w:val="00AC6BA4"/>
    <w:rsid w:val="00AC7AE9"/>
    <w:rsid w:val="00AD09DE"/>
    <w:rsid w:val="00AD170D"/>
    <w:rsid w:val="00AD175A"/>
    <w:rsid w:val="00AD17D5"/>
    <w:rsid w:val="00AD1C22"/>
    <w:rsid w:val="00AD3186"/>
    <w:rsid w:val="00AD3700"/>
    <w:rsid w:val="00AD3A96"/>
    <w:rsid w:val="00AD4060"/>
    <w:rsid w:val="00AD4E22"/>
    <w:rsid w:val="00AD56D3"/>
    <w:rsid w:val="00AD64CF"/>
    <w:rsid w:val="00AD674F"/>
    <w:rsid w:val="00AD6BAA"/>
    <w:rsid w:val="00AD71F8"/>
    <w:rsid w:val="00AE038E"/>
    <w:rsid w:val="00AE06A4"/>
    <w:rsid w:val="00AE0A31"/>
    <w:rsid w:val="00AE0B28"/>
    <w:rsid w:val="00AE14D0"/>
    <w:rsid w:val="00AE1AD6"/>
    <w:rsid w:val="00AE223E"/>
    <w:rsid w:val="00AE29DE"/>
    <w:rsid w:val="00AE2D79"/>
    <w:rsid w:val="00AE370B"/>
    <w:rsid w:val="00AE3CC0"/>
    <w:rsid w:val="00AE4CC4"/>
    <w:rsid w:val="00AE54FB"/>
    <w:rsid w:val="00AE5B8B"/>
    <w:rsid w:val="00AE5B96"/>
    <w:rsid w:val="00AE6316"/>
    <w:rsid w:val="00AE77CC"/>
    <w:rsid w:val="00AE7D1C"/>
    <w:rsid w:val="00AF0189"/>
    <w:rsid w:val="00AF0B76"/>
    <w:rsid w:val="00AF0CAB"/>
    <w:rsid w:val="00AF0E2E"/>
    <w:rsid w:val="00AF1258"/>
    <w:rsid w:val="00AF2102"/>
    <w:rsid w:val="00AF2E0A"/>
    <w:rsid w:val="00AF32B0"/>
    <w:rsid w:val="00AF34C7"/>
    <w:rsid w:val="00AF383A"/>
    <w:rsid w:val="00AF3D5C"/>
    <w:rsid w:val="00AF3DC2"/>
    <w:rsid w:val="00AF4556"/>
    <w:rsid w:val="00AF4986"/>
    <w:rsid w:val="00AF51D7"/>
    <w:rsid w:val="00AF6896"/>
    <w:rsid w:val="00AF6D2B"/>
    <w:rsid w:val="00AF71D3"/>
    <w:rsid w:val="00AF721C"/>
    <w:rsid w:val="00AF7282"/>
    <w:rsid w:val="00AF72F6"/>
    <w:rsid w:val="00B00509"/>
    <w:rsid w:val="00B010E6"/>
    <w:rsid w:val="00B01A95"/>
    <w:rsid w:val="00B02099"/>
    <w:rsid w:val="00B02124"/>
    <w:rsid w:val="00B0272A"/>
    <w:rsid w:val="00B02B9F"/>
    <w:rsid w:val="00B02E1E"/>
    <w:rsid w:val="00B03127"/>
    <w:rsid w:val="00B032B6"/>
    <w:rsid w:val="00B03976"/>
    <w:rsid w:val="00B03A72"/>
    <w:rsid w:val="00B04024"/>
    <w:rsid w:val="00B04324"/>
    <w:rsid w:val="00B05055"/>
    <w:rsid w:val="00B05B01"/>
    <w:rsid w:val="00B05F6C"/>
    <w:rsid w:val="00B06207"/>
    <w:rsid w:val="00B0693E"/>
    <w:rsid w:val="00B1070C"/>
    <w:rsid w:val="00B10D6D"/>
    <w:rsid w:val="00B10D7B"/>
    <w:rsid w:val="00B11C8B"/>
    <w:rsid w:val="00B12741"/>
    <w:rsid w:val="00B12B77"/>
    <w:rsid w:val="00B12CED"/>
    <w:rsid w:val="00B1364B"/>
    <w:rsid w:val="00B13BF1"/>
    <w:rsid w:val="00B13C0E"/>
    <w:rsid w:val="00B13D74"/>
    <w:rsid w:val="00B140C5"/>
    <w:rsid w:val="00B14E0E"/>
    <w:rsid w:val="00B152C7"/>
    <w:rsid w:val="00B15AFD"/>
    <w:rsid w:val="00B16456"/>
    <w:rsid w:val="00B166FB"/>
    <w:rsid w:val="00B17A96"/>
    <w:rsid w:val="00B17FC9"/>
    <w:rsid w:val="00B200DC"/>
    <w:rsid w:val="00B2012D"/>
    <w:rsid w:val="00B205CE"/>
    <w:rsid w:val="00B205F9"/>
    <w:rsid w:val="00B206F7"/>
    <w:rsid w:val="00B20A94"/>
    <w:rsid w:val="00B21352"/>
    <w:rsid w:val="00B23379"/>
    <w:rsid w:val="00B23529"/>
    <w:rsid w:val="00B239D1"/>
    <w:rsid w:val="00B24323"/>
    <w:rsid w:val="00B2439E"/>
    <w:rsid w:val="00B2510F"/>
    <w:rsid w:val="00B25340"/>
    <w:rsid w:val="00B25472"/>
    <w:rsid w:val="00B257AC"/>
    <w:rsid w:val="00B259E8"/>
    <w:rsid w:val="00B25CE8"/>
    <w:rsid w:val="00B2638F"/>
    <w:rsid w:val="00B27274"/>
    <w:rsid w:val="00B27A8E"/>
    <w:rsid w:val="00B27AB1"/>
    <w:rsid w:val="00B27EB9"/>
    <w:rsid w:val="00B302CA"/>
    <w:rsid w:val="00B30C4F"/>
    <w:rsid w:val="00B313EE"/>
    <w:rsid w:val="00B31572"/>
    <w:rsid w:val="00B326F8"/>
    <w:rsid w:val="00B32F2E"/>
    <w:rsid w:val="00B33409"/>
    <w:rsid w:val="00B33A8E"/>
    <w:rsid w:val="00B34913"/>
    <w:rsid w:val="00B3493C"/>
    <w:rsid w:val="00B34BBB"/>
    <w:rsid w:val="00B35071"/>
    <w:rsid w:val="00B3555A"/>
    <w:rsid w:val="00B359D2"/>
    <w:rsid w:val="00B35BBB"/>
    <w:rsid w:val="00B35DDC"/>
    <w:rsid w:val="00B366DC"/>
    <w:rsid w:val="00B37A45"/>
    <w:rsid w:val="00B40199"/>
    <w:rsid w:val="00B4069E"/>
    <w:rsid w:val="00B41018"/>
    <w:rsid w:val="00B41032"/>
    <w:rsid w:val="00B4204D"/>
    <w:rsid w:val="00B426A4"/>
    <w:rsid w:val="00B42B5B"/>
    <w:rsid w:val="00B42E76"/>
    <w:rsid w:val="00B44169"/>
    <w:rsid w:val="00B4422B"/>
    <w:rsid w:val="00B4465B"/>
    <w:rsid w:val="00B448C1"/>
    <w:rsid w:val="00B44B3A"/>
    <w:rsid w:val="00B453A2"/>
    <w:rsid w:val="00B45441"/>
    <w:rsid w:val="00B4581D"/>
    <w:rsid w:val="00B47608"/>
    <w:rsid w:val="00B47BF7"/>
    <w:rsid w:val="00B47DD0"/>
    <w:rsid w:val="00B508CC"/>
    <w:rsid w:val="00B51179"/>
    <w:rsid w:val="00B5156C"/>
    <w:rsid w:val="00B51A56"/>
    <w:rsid w:val="00B51A7A"/>
    <w:rsid w:val="00B52BD9"/>
    <w:rsid w:val="00B52D10"/>
    <w:rsid w:val="00B52F76"/>
    <w:rsid w:val="00B531B7"/>
    <w:rsid w:val="00B5339F"/>
    <w:rsid w:val="00B53406"/>
    <w:rsid w:val="00B544DA"/>
    <w:rsid w:val="00B54A51"/>
    <w:rsid w:val="00B54EE6"/>
    <w:rsid w:val="00B55407"/>
    <w:rsid w:val="00B55A8F"/>
    <w:rsid w:val="00B55ED8"/>
    <w:rsid w:val="00B56460"/>
    <w:rsid w:val="00B565A9"/>
    <w:rsid w:val="00B566C2"/>
    <w:rsid w:val="00B569A2"/>
    <w:rsid w:val="00B56EEE"/>
    <w:rsid w:val="00B57084"/>
    <w:rsid w:val="00B5719E"/>
    <w:rsid w:val="00B57C17"/>
    <w:rsid w:val="00B60DA3"/>
    <w:rsid w:val="00B61275"/>
    <w:rsid w:val="00B61643"/>
    <w:rsid w:val="00B61E44"/>
    <w:rsid w:val="00B62250"/>
    <w:rsid w:val="00B62A0D"/>
    <w:rsid w:val="00B63277"/>
    <w:rsid w:val="00B64205"/>
    <w:rsid w:val="00B646CB"/>
    <w:rsid w:val="00B64BD7"/>
    <w:rsid w:val="00B64C87"/>
    <w:rsid w:val="00B6516A"/>
    <w:rsid w:val="00B653D0"/>
    <w:rsid w:val="00B65652"/>
    <w:rsid w:val="00B65D43"/>
    <w:rsid w:val="00B661C5"/>
    <w:rsid w:val="00B66610"/>
    <w:rsid w:val="00B66883"/>
    <w:rsid w:val="00B66A24"/>
    <w:rsid w:val="00B66DF2"/>
    <w:rsid w:val="00B67235"/>
    <w:rsid w:val="00B6731F"/>
    <w:rsid w:val="00B676E0"/>
    <w:rsid w:val="00B67BB0"/>
    <w:rsid w:val="00B67DC2"/>
    <w:rsid w:val="00B7094F"/>
    <w:rsid w:val="00B7136E"/>
    <w:rsid w:val="00B7143B"/>
    <w:rsid w:val="00B7157F"/>
    <w:rsid w:val="00B717E3"/>
    <w:rsid w:val="00B7181A"/>
    <w:rsid w:val="00B71D1A"/>
    <w:rsid w:val="00B71ED9"/>
    <w:rsid w:val="00B71F3D"/>
    <w:rsid w:val="00B72245"/>
    <w:rsid w:val="00B734D7"/>
    <w:rsid w:val="00B73AC9"/>
    <w:rsid w:val="00B7423F"/>
    <w:rsid w:val="00B74F75"/>
    <w:rsid w:val="00B75345"/>
    <w:rsid w:val="00B758F1"/>
    <w:rsid w:val="00B7644C"/>
    <w:rsid w:val="00B76ED3"/>
    <w:rsid w:val="00B76F81"/>
    <w:rsid w:val="00B774E7"/>
    <w:rsid w:val="00B80006"/>
    <w:rsid w:val="00B8010B"/>
    <w:rsid w:val="00B8071E"/>
    <w:rsid w:val="00B80938"/>
    <w:rsid w:val="00B80D39"/>
    <w:rsid w:val="00B80FFD"/>
    <w:rsid w:val="00B821B8"/>
    <w:rsid w:val="00B84AEA"/>
    <w:rsid w:val="00B84C18"/>
    <w:rsid w:val="00B85B14"/>
    <w:rsid w:val="00B85B63"/>
    <w:rsid w:val="00B866F4"/>
    <w:rsid w:val="00B87C8E"/>
    <w:rsid w:val="00B87DCF"/>
    <w:rsid w:val="00B900E7"/>
    <w:rsid w:val="00B90393"/>
    <w:rsid w:val="00B90975"/>
    <w:rsid w:val="00B913C5"/>
    <w:rsid w:val="00B91EEA"/>
    <w:rsid w:val="00B92192"/>
    <w:rsid w:val="00B9260D"/>
    <w:rsid w:val="00B927FE"/>
    <w:rsid w:val="00B9288B"/>
    <w:rsid w:val="00B92A62"/>
    <w:rsid w:val="00B92B2B"/>
    <w:rsid w:val="00B93900"/>
    <w:rsid w:val="00B93C45"/>
    <w:rsid w:val="00B93C83"/>
    <w:rsid w:val="00B941A4"/>
    <w:rsid w:val="00B943D7"/>
    <w:rsid w:val="00B944C7"/>
    <w:rsid w:val="00B9496E"/>
    <w:rsid w:val="00B94C22"/>
    <w:rsid w:val="00B94F2D"/>
    <w:rsid w:val="00B95073"/>
    <w:rsid w:val="00B95354"/>
    <w:rsid w:val="00B95771"/>
    <w:rsid w:val="00B95A23"/>
    <w:rsid w:val="00B95EE4"/>
    <w:rsid w:val="00B95FB7"/>
    <w:rsid w:val="00B96446"/>
    <w:rsid w:val="00B969A3"/>
    <w:rsid w:val="00B96CD1"/>
    <w:rsid w:val="00B97CB3"/>
    <w:rsid w:val="00BA0C14"/>
    <w:rsid w:val="00BA0E4F"/>
    <w:rsid w:val="00BA14E2"/>
    <w:rsid w:val="00BA16D4"/>
    <w:rsid w:val="00BA239D"/>
    <w:rsid w:val="00BA2720"/>
    <w:rsid w:val="00BA29B6"/>
    <w:rsid w:val="00BA2B4E"/>
    <w:rsid w:val="00BA2D53"/>
    <w:rsid w:val="00BA37D5"/>
    <w:rsid w:val="00BA3BAE"/>
    <w:rsid w:val="00BA4A64"/>
    <w:rsid w:val="00BA4C24"/>
    <w:rsid w:val="00BA5303"/>
    <w:rsid w:val="00BA542C"/>
    <w:rsid w:val="00BA5894"/>
    <w:rsid w:val="00BA5C93"/>
    <w:rsid w:val="00BA6026"/>
    <w:rsid w:val="00BA645F"/>
    <w:rsid w:val="00BA6887"/>
    <w:rsid w:val="00BA6D51"/>
    <w:rsid w:val="00BA6D5A"/>
    <w:rsid w:val="00BA6D63"/>
    <w:rsid w:val="00BA6ED4"/>
    <w:rsid w:val="00BA76B7"/>
    <w:rsid w:val="00BA777B"/>
    <w:rsid w:val="00BA7859"/>
    <w:rsid w:val="00BA792A"/>
    <w:rsid w:val="00BB0495"/>
    <w:rsid w:val="00BB04A2"/>
    <w:rsid w:val="00BB06EC"/>
    <w:rsid w:val="00BB0E50"/>
    <w:rsid w:val="00BB0E9C"/>
    <w:rsid w:val="00BB130C"/>
    <w:rsid w:val="00BB1CA4"/>
    <w:rsid w:val="00BB2CFF"/>
    <w:rsid w:val="00BB3F67"/>
    <w:rsid w:val="00BB41A2"/>
    <w:rsid w:val="00BB4FDA"/>
    <w:rsid w:val="00BB5844"/>
    <w:rsid w:val="00BB5F76"/>
    <w:rsid w:val="00BB631B"/>
    <w:rsid w:val="00BB681A"/>
    <w:rsid w:val="00BB68D1"/>
    <w:rsid w:val="00BB725B"/>
    <w:rsid w:val="00BB774E"/>
    <w:rsid w:val="00BB7A15"/>
    <w:rsid w:val="00BC044F"/>
    <w:rsid w:val="00BC077F"/>
    <w:rsid w:val="00BC2057"/>
    <w:rsid w:val="00BC2B4B"/>
    <w:rsid w:val="00BC2B59"/>
    <w:rsid w:val="00BC2D2C"/>
    <w:rsid w:val="00BC3319"/>
    <w:rsid w:val="00BC34F3"/>
    <w:rsid w:val="00BC40E2"/>
    <w:rsid w:val="00BC4A34"/>
    <w:rsid w:val="00BC4AB0"/>
    <w:rsid w:val="00BC4F1B"/>
    <w:rsid w:val="00BC514D"/>
    <w:rsid w:val="00BC519D"/>
    <w:rsid w:val="00BC5974"/>
    <w:rsid w:val="00BC6BB8"/>
    <w:rsid w:val="00BC7053"/>
    <w:rsid w:val="00BC7C71"/>
    <w:rsid w:val="00BD0BEC"/>
    <w:rsid w:val="00BD0CA5"/>
    <w:rsid w:val="00BD1E85"/>
    <w:rsid w:val="00BD2150"/>
    <w:rsid w:val="00BD29D8"/>
    <w:rsid w:val="00BD2C84"/>
    <w:rsid w:val="00BD4312"/>
    <w:rsid w:val="00BD5241"/>
    <w:rsid w:val="00BD6E31"/>
    <w:rsid w:val="00BD72A5"/>
    <w:rsid w:val="00BD7E37"/>
    <w:rsid w:val="00BE02D3"/>
    <w:rsid w:val="00BE045B"/>
    <w:rsid w:val="00BE0F4F"/>
    <w:rsid w:val="00BE1AAA"/>
    <w:rsid w:val="00BE1B75"/>
    <w:rsid w:val="00BE1FFB"/>
    <w:rsid w:val="00BE2A92"/>
    <w:rsid w:val="00BE3247"/>
    <w:rsid w:val="00BE32C2"/>
    <w:rsid w:val="00BE382D"/>
    <w:rsid w:val="00BE3AF9"/>
    <w:rsid w:val="00BE4445"/>
    <w:rsid w:val="00BE458F"/>
    <w:rsid w:val="00BE475F"/>
    <w:rsid w:val="00BE4B12"/>
    <w:rsid w:val="00BE5D92"/>
    <w:rsid w:val="00BE6905"/>
    <w:rsid w:val="00BE6E72"/>
    <w:rsid w:val="00BE70F5"/>
    <w:rsid w:val="00BE7196"/>
    <w:rsid w:val="00BE77CB"/>
    <w:rsid w:val="00BE7E38"/>
    <w:rsid w:val="00BF08A8"/>
    <w:rsid w:val="00BF0A5D"/>
    <w:rsid w:val="00BF0C58"/>
    <w:rsid w:val="00BF1053"/>
    <w:rsid w:val="00BF1CD5"/>
    <w:rsid w:val="00BF2CDB"/>
    <w:rsid w:val="00BF3288"/>
    <w:rsid w:val="00BF3466"/>
    <w:rsid w:val="00BF356C"/>
    <w:rsid w:val="00BF3A11"/>
    <w:rsid w:val="00BF3D35"/>
    <w:rsid w:val="00BF3EA8"/>
    <w:rsid w:val="00BF468E"/>
    <w:rsid w:val="00BF59CA"/>
    <w:rsid w:val="00BF7869"/>
    <w:rsid w:val="00BF7BB6"/>
    <w:rsid w:val="00BF7F07"/>
    <w:rsid w:val="00C00165"/>
    <w:rsid w:val="00C00314"/>
    <w:rsid w:val="00C01A27"/>
    <w:rsid w:val="00C03F33"/>
    <w:rsid w:val="00C044A2"/>
    <w:rsid w:val="00C050B5"/>
    <w:rsid w:val="00C05751"/>
    <w:rsid w:val="00C057F4"/>
    <w:rsid w:val="00C06212"/>
    <w:rsid w:val="00C0665A"/>
    <w:rsid w:val="00C06EA9"/>
    <w:rsid w:val="00C07A12"/>
    <w:rsid w:val="00C07B5B"/>
    <w:rsid w:val="00C07F25"/>
    <w:rsid w:val="00C10476"/>
    <w:rsid w:val="00C105A2"/>
    <w:rsid w:val="00C111E3"/>
    <w:rsid w:val="00C12E00"/>
    <w:rsid w:val="00C1364C"/>
    <w:rsid w:val="00C13E08"/>
    <w:rsid w:val="00C14105"/>
    <w:rsid w:val="00C14C39"/>
    <w:rsid w:val="00C15BDF"/>
    <w:rsid w:val="00C16BA1"/>
    <w:rsid w:val="00C1713F"/>
    <w:rsid w:val="00C172F2"/>
    <w:rsid w:val="00C174FB"/>
    <w:rsid w:val="00C17508"/>
    <w:rsid w:val="00C1756D"/>
    <w:rsid w:val="00C17803"/>
    <w:rsid w:val="00C1783F"/>
    <w:rsid w:val="00C201CB"/>
    <w:rsid w:val="00C2072B"/>
    <w:rsid w:val="00C20F4A"/>
    <w:rsid w:val="00C219A8"/>
    <w:rsid w:val="00C233FE"/>
    <w:rsid w:val="00C234D4"/>
    <w:rsid w:val="00C2367A"/>
    <w:rsid w:val="00C23D7C"/>
    <w:rsid w:val="00C24577"/>
    <w:rsid w:val="00C24748"/>
    <w:rsid w:val="00C2474C"/>
    <w:rsid w:val="00C24AFD"/>
    <w:rsid w:val="00C24CE3"/>
    <w:rsid w:val="00C24D4F"/>
    <w:rsid w:val="00C2523F"/>
    <w:rsid w:val="00C2612F"/>
    <w:rsid w:val="00C2622B"/>
    <w:rsid w:val="00C26F6D"/>
    <w:rsid w:val="00C27A7E"/>
    <w:rsid w:val="00C307F0"/>
    <w:rsid w:val="00C3162F"/>
    <w:rsid w:val="00C3176E"/>
    <w:rsid w:val="00C31920"/>
    <w:rsid w:val="00C32BE2"/>
    <w:rsid w:val="00C32E88"/>
    <w:rsid w:val="00C331F5"/>
    <w:rsid w:val="00C335E3"/>
    <w:rsid w:val="00C34157"/>
    <w:rsid w:val="00C34510"/>
    <w:rsid w:val="00C349CB"/>
    <w:rsid w:val="00C3534C"/>
    <w:rsid w:val="00C35AFF"/>
    <w:rsid w:val="00C35DB3"/>
    <w:rsid w:val="00C360AC"/>
    <w:rsid w:val="00C377F3"/>
    <w:rsid w:val="00C378D8"/>
    <w:rsid w:val="00C4048E"/>
    <w:rsid w:val="00C40E26"/>
    <w:rsid w:val="00C41DAC"/>
    <w:rsid w:val="00C4248E"/>
    <w:rsid w:val="00C4264C"/>
    <w:rsid w:val="00C43375"/>
    <w:rsid w:val="00C439BE"/>
    <w:rsid w:val="00C4465A"/>
    <w:rsid w:val="00C447D7"/>
    <w:rsid w:val="00C45419"/>
    <w:rsid w:val="00C455E2"/>
    <w:rsid w:val="00C45BA7"/>
    <w:rsid w:val="00C46D38"/>
    <w:rsid w:val="00C4782C"/>
    <w:rsid w:val="00C47B73"/>
    <w:rsid w:val="00C47F8D"/>
    <w:rsid w:val="00C50842"/>
    <w:rsid w:val="00C5095F"/>
    <w:rsid w:val="00C50BEB"/>
    <w:rsid w:val="00C50C61"/>
    <w:rsid w:val="00C529D3"/>
    <w:rsid w:val="00C52FAA"/>
    <w:rsid w:val="00C534FE"/>
    <w:rsid w:val="00C538C1"/>
    <w:rsid w:val="00C53C04"/>
    <w:rsid w:val="00C56F89"/>
    <w:rsid w:val="00C600BD"/>
    <w:rsid w:val="00C601D5"/>
    <w:rsid w:val="00C60FE0"/>
    <w:rsid w:val="00C61011"/>
    <w:rsid w:val="00C6134E"/>
    <w:rsid w:val="00C6147B"/>
    <w:rsid w:val="00C624F3"/>
    <w:rsid w:val="00C62EA4"/>
    <w:rsid w:val="00C63CF4"/>
    <w:rsid w:val="00C63E76"/>
    <w:rsid w:val="00C64794"/>
    <w:rsid w:val="00C64BE9"/>
    <w:rsid w:val="00C652C8"/>
    <w:rsid w:val="00C65ADF"/>
    <w:rsid w:val="00C65D7F"/>
    <w:rsid w:val="00C65E98"/>
    <w:rsid w:val="00C66217"/>
    <w:rsid w:val="00C6634D"/>
    <w:rsid w:val="00C66725"/>
    <w:rsid w:val="00C671F6"/>
    <w:rsid w:val="00C676A8"/>
    <w:rsid w:val="00C67D18"/>
    <w:rsid w:val="00C704E1"/>
    <w:rsid w:val="00C70A15"/>
    <w:rsid w:val="00C71656"/>
    <w:rsid w:val="00C726CD"/>
    <w:rsid w:val="00C72D93"/>
    <w:rsid w:val="00C73327"/>
    <w:rsid w:val="00C744E7"/>
    <w:rsid w:val="00C75DF4"/>
    <w:rsid w:val="00C75F02"/>
    <w:rsid w:val="00C75FCB"/>
    <w:rsid w:val="00C76277"/>
    <w:rsid w:val="00C764A8"/>
    <w:rsid w:val="00C77C7C"/>
    <w:rsid w:val="00C804B2"/>
    <w:rsid w:val="00C804C6"/>
    <w:rsid w:val="00C810ED"/>
    <w:rsid w:val="00C814BC"/>
    <w:rsid w:val="00C81A40"/>
    <w:rsid w:val="00C81FE0"/>
    <w:rsid w:val="00C82538"/>
    <w:rsid w:val="00C83603"/>
    <w:rsid w:val="00C84D62"/>
    <w:rsid w:val="00C84F94"/>
    <w:rsid w:val="00C852D4"/>
    <w:rsid w:val="00C85342"/>
    <w:rsid w:val="00C85F4D"/>
    <w:rsid w:val="00C862CC"/>
    <w:rsid w:val="00C86D75"/>
    <w:rsid w:val="00C87F07"/>
    <w:rsid w:val="00C9031B"/>
    <w:rsid w:val="00C90DBD"/>
    <w:rsid w:val="00C9118A"/>
    <w:rsid w:val="00C91202"/>
    <w:rsid w:val="00C91CC7"/>
    <w:rsid w:val="00C93AB3"/>
    <w:rsid w:val="00C93B4A"/>
    <w:rsid w:val="00C93F13"/>
    <w:rsid w:val="00C94081"/>
    <w:rsid w:val="00C946EC"/>
    <w:rsid w:val="00C94DAA"/>
    <w:rsid w:val="00C9568D"/>
    <w:rsid w:val="00C957D4"/>
    <w:rsid w:val="00C95920"/>
    <w:rsid w:val="00C9617C"/>
    <w:rsid w:val="00C96266"/>
    <w:rsid w:val="00C96E77"/>
    <w:rsid w:val="00C97256"/>
    <w:rsid w:val="00C97895"/>
    <w:rsid w:val="00CA009F"/>
    <w:rsid w:val="00CA09DE"/>
    <w:rsid w:val="00CA1BC8"/>
    <w:rsid w:val="00CA2682"/>
    <w:rsid w:val="00CA3B54"/>
    <w:rsid w:val="00CA442D"/>
    <w:rsid w:val="00CA4ECB"/>
    <w:rsid w:val="00CA5119"/>
    <w:rsid w:val="00CA5496"/>
    <w:rsid w:val="00CA5EAB"/>
    <w:rsid w:val="00CA6979"/>
    <w:rsid w:val="00CA6EE8"/>
    <w:rsid w:val="00CA7298"/>
    <w:rsid w:val="00CA73EB"/>
    <w:rsid w:val="00CA7AA1"/>
    <w:rsid w:val="00CB0B75"/>
    <w:rsid w:val="00CB0D62"/>
    <w:rsid w:val="00CB0EF3"/>
    <w:rsid w:val="00CB2603"/>
    <w:rsid w:val="00CB27E9"/>
    <w:rsid w:val="00CB283A"/>
    <w:rsid w:val="00CB2DC7"/>
    <w:rsid w:val="00CB38E2"/>
    <w:rsid w:val="00CB3C0B"/>
    <w:rsid w:val="00CB3DB8"/>
    <w:rsid w:val="00CB3EC8"/>
    <w:rsid w:val="00CB515D"/>
    <w:rsid w:val="00CB632B"/>
    <w:rsid w:val="00CB633F"/>
    <w:rsid w:val="00CB6745"/>
    <w:rsid w:val="00CB678E"/>
    <w:rsid w:val="00CB6D36"/>
    <w:rsid w:val="00CB6E8B"/>
    <w:rsid w:val="00CB7727"/>
    <w:rsid w:val="00CB7C10"/>
    <w:rsid w:val="00CC0DA0"/>
    <w:rsid w:val="00CC1425"/>
    <w:rsid w:val="00CC1EA6"/>
    <w:rsid w:val="00CC23E9"/>
    <w:rsid w:val="00CC32CB"/>
    <w:rsid w:val="00CC3337"/>
    <w:rsid w:val="00CC35D1"/>
    <w:rsid w:val="00CC370F"/>
    <w:rsid w:val="00CC3E1A"/>
    <w:rsid w:val="00CC46A7"/>
    <w:rsid w:val="00CC5065"/>
    <w:rsid w:val="00CC5EB2"/>
    <w:rsid w:val="00CC63C6"/>
    <w:rsid w:val="00CC6772"/>
    <w:rsid w:val="00CD02C7"/>
    <w:rsid w:val="00CD0446"/>
    <w:rsid w:val="00CD05BE"/>
    <w:rsid w:val="00CD0782"/>
    <w:rsid w:val="00CD116E"/>
    <w:rsid w:val="00CD17B9"/>
    <w:rsid w:val="00CD192B"/>
    <w:rsid w:val="00CD1DCF"/>
    <w:rsid w:val="00CD1EDC"/>
    <w:rsid w:val="00CD1FFA"/>
    <w:rsid w:val="00CD2334"/>
    <w:rsid w:val="00CD4308"/>
    <w:rsid w:val="00CD4401"/>
    <w:rsid w:val="00CD44F2"/>
    <w:rsid w:val="00CD4547"/>
    <w:rsid w:val="00CD45B2"/>
    <w:rsid w:val="00CD54E5"/>
    <w:rsid w:val="00CD5AD6"/>
    <w:rsid w:val="00CD6641"/>
    <w:rsid w:val="00CD694E"/>
    <w:rsid w:val="00CD6977"/>
    <w:rsid w:val="00CD6D6C"/>
    <w:rsid w:val="00CD7598"/>
    <w:rsid w:val="00CE05F7"/>
    <w:rsid w:val="00CE0F1E"/>
    <w:rsid w:val="00CE16CE"/>
    <w:rsid w:val="00CE3494"/>
    <w:rsid w:val="00CE42CB"/>
    <w:rsid w:val="00CE4708"/>
    <w:rsid w:val="00CE495B"/>
    <w:rsid w:val="00CE502C"/>
    <w:rsid w:val="00CE55FE"/>
    <w:rsid w:val="00CE599E"/>
    <w:rsid w:val="00CE5BD2"/>
    <w:rsid w:val="00CE5F7A"/>
    <w:rsid w:val="00CE5FE4"/>
    <w:rsid w:val="00CE6380"/>
    <w:rsid w:val="00CE668B"/>
    <w:rsid w:val="00CE6A54"/>
    <w:rsid w:val="00CF0246"/>
    <w:rsid w:val="00CF0DEC"/>
    <w:rsid w:val="00CF0E33"/>
    <w:rsid w:val="00CF27EA"/>
    <w:rsid w:val="00CF301B"/>
    <w:rsid w:val="00CF334B"/>
    <w:rsid w:val="00CF34C1"/>
    <w:rsid w:val="00CF3B96"/>
    <w:rsid w:val="00CF3D91"/>
    <w:rsid w:val="00CF3F79"/>
    <w:rsid w:val="00CF3FB9"/>
    <w:rsid w:val="00CF413B"/>
    <w:rsid w:val="00CF4358"/>
    <w:rsid w:val="00CF4AE6"/>
    <w:rsid w:val="00CF50B9"/>
    <w:rsid w:val="00CF59FE"/>
    <w:rsid w:val="00CF5E9B"/>
    <w:rsid w:val="00CF6F43"/>
    <w:rsid w:val="00CF6FD5"/>
    <w:rsid w:val="00CF756F"/>
    <w:rsid w:val="00CF781C"/>
    <w:rsid w:val="00CF7915"/>
    <w:rsid w:val="00D00A17"/>
    <w:rsid w:val="00D00BB3"/>
    <w:rsid w:val="00D014F9"/>
    <w:rsid w:val="00D01656"/>
    <w:rsid w:val="00D018B6"/>
    <w:rsid w:val="00D01A96"/>
    <w:rsid w:val="00D02124"/>
    <w:rsid w:val="00D032F5"/>
    <w:rsid w:val="00D03393"/>
    <w:rsid w:val="00D03CCE"/>
    <w:rsid w:val="00D03E58"/>
    <w:rsid w:val="00D04880"/>
    <w:rsid w:val="00D04AC4"/>
    <w:rsid w:val="00D04CC6"/>
    <w:rsid w:val="00D04EB3"/>
    <w:rsid w:val="00D050BF"/>
    <w:rsid w:val="00D0558E"/>
    <w:rsid w:val="00D055A2"/>
    <w:rsid w:val="00D05BF9"/>
    <w:rsid w:val="00D0634F"/>
    <w:rsid w:val="00D06406"/>
    <w:rsid w:val="00D06861"/>
    <w:rsid w:val="00D0689C"/>
    <w:rsid w:val="00D06BDB"/>
    <w:rsid w:val="00D0720A"/>
    <w:rsid w:val="00D079CD"/>
    <w:rsid w:val="00D07ACC"/>
    <w:rsid w:val="00D103E8"/>
    <w:rsid w:val="00D10BF0"/>
    <w:rsid w:val="00D10F71"/>
    <w:rsid w:val="00D11AC3"/>
    <w:rsid w:val="00D1255D"/>
    <w:rsid w:val="00D12856"/>
    <w:rsid w:val="00D12D29"/>
    <w:rsid w:val="00D14450"/>
    <w:rsid w:val="00D1477C"/>
    <w:rsid w:val="00D1491E"/>
    <w:rsid w:val="00D14D18"/>
    <w:rsid w:val="00D1507F"/>
    <w:rsid w:val="00D1702A"/>
    <w:rsid w:val="00D20087"/>
    <w:rsid w:val="00D2024D"/>
    <w:rsid w:val="00D20372"/>
    <w:rsid w:val="00D20571"/>
    <w:rsid w:val="00D21258"/>
    <w:rsid w:val="00D217FC"/>
    <w:rsid w:val="00D21AF8"/>
    <w:rsid w:val="00D21B9C"/>
    <w:rsid w:val="00D21D1A"/>
    <w:rsid w:val="00D224E6"/>
    <w:rsid w:val="00D23094"/>
    <w:rsid w:val="00D23317"/>
    <w:rsid w:val="00D23D79"/>
    <w:rsid w:val="00D249C2"/>
    <w:rsid w:val="00D24F1B"/>
    <w:rsid w:val="00D25541"/>
    <w:rsid w:val="00D259B3"/>
    <w:rsid w:val="00D25A16"/>
    <w:rsid w:val="00D25BD8"/>
    <w:rsid w:val="00D26F3C"/>
    <w:rsid w:val="00D27012"/>
    <w:rsid w:val="00D27695"/>
    <w:rsid w:val="00D3047E"/>
    <w:rsid w:val="00D30587"/>
    <w:rsid w:val="00D3081A"/>
    <w:rsid w:val="00D30DA3"/>
    <w:rsid w:val="00D30EC2"/>
    <w:rsid w:val="00D31664"/>
    <w:rsid w:val="00D3229A"/>
    <w:rsid w:val="00D32553"/>
    <w:rsid w:val="00D3261D"/>
    <w:rsid w:val="00D3313F"/>
    <w:rsid w:val="00D3319D"/>
    <w:rsid w:val="00D3348A"/>
    <w:rsid w:val="00D33776"/>
    <w:rsid w:val="00D3398F"/>
    <w:rsid w:val="00D34A19"/>
    <w:rsid w:val="00D34CC8"/>
    <w:rsid w:val="00D3511E"/>
    <w:rsid w:val="00D35EC9"/>
    <w:rsid w:val="00D36159"/>
    <w:rsid w:val="00D36185"/>
    <w:rsid w:val="00D365FB"/>
    <w:rsid w:val="00D37210"/>
    <w:rsid w:val="00D37490"/>
    <w:rsid w:val="00D40B1B"/>
    <w:rsid w:val="00D42FDE"/>
    <w:rsid w:val="00D44368"/>
    <w:rsid w:val="00D45C2E"/>
    <w:rsid w:val="00D460F4"/>
    <w:rsid w:val="00D461CB"/>
    <w:rsid w:val="00D461F7"/>
    <w:rsid w:val="00D465C7"/>
    <w:rsid w:val="00D46BE3"/>
    <w:rsid w:val="00D47084"/>
    <w:rsid w:val="00D47D66"/>
    <w:rsid w:val="00D5007C"/>
    <w:rsid w:val="00D505E6"/>
    <w:rsid w:val="00D50852"/>
    <w:rsid w:val="00D512BA"/>
    <w:rsid w:val="00D51632"/>
    <w:rsid w:val="00D51E5F"/>
    <w:rsid w:val="00D5251B"/>
    <w:rsid w:val="00D5251C"/>
    <w:rsid w:val="00D52ACA"/>
    <w:rsid w:val="00D52FB9"/>
    <w:rsid w:val="00D537BD"/>
    <w:rsid w:val="00D537FF"/>
    <w:rsid w:val="00D53E17"/>
    <w:rsid w:val="00D54173"/>
    <w:rsid w:val="00D55375"/>
    <w:rsid w:val="00D55533"/>
    <w:rsid w:val="00D55635"/>
    <w:rsid w:val="00D5582D"/>
    <w:rsid w:val="00D55AD7"/>
    <w:rsid w:val="00D55AEB"/>
    <w:rsid w:val="00D568F5"/>
    <w:rsid w:val="00D56C0B"/>
    <w:rsid w:val="00D56CD2"/>
    <w:rsid w:val="00D572B5"/>
    <w:rsid w:val="00D5739D"/>
    <w:rsid w:val="00D57A46"/>
    <w:rsid w:val="00D6085B"/>
    <w:rsid w:val="00D608AA"/>
    <w:rsid w:val="00D610AF"/>
    <w:rsid w:val="00D62486"/>
    <w:rsid w:val="00D625BE"/>
    <w:rsid w:val="00D627D2"/>
    <w:rsid w:val="00D629C7"/>
    <w:rsid w:val="00D62D30"/>
    <w:rsid w:val="00D63044"/>
    <w:rsid w:val="00D6309F"/>
    <w:rsid w:val="00D6362D"/>
    <w:rsid w:val="00D63BAB"/>
    <w:rsid w:val="00D63DF0"/>
    <w:rsid w:val="00D642BC"/>
    <w:rsid w:val="00D6435C"/>
    <w:rsid w:val="00D643FD"/>
    <w:rsid w:val="00D644E1"/>
    <w:rsid w:val="00D64511"/>
    <w:rsid w:val="00D646C3"/>
    <w:rsid w:val="00D648F4"/>
    <w:rsid w:val="00D64C5D"/>
    <w:rsid w:val="00D64DA5"/>
    <w:rsid w:val="00D65047"/>
    <w:rsid w:val="00D651FB"/>
    <w:rsid w:val="00D6686A"/>
    <w:rsid w:val="00D66A39"/>
    <w:rsid w:val="00D66D0D"/>
    <w:rsid w:val="00D66E30"/>
    <w:rsid w:val="00D672E7"/>
    <w:rsid w:val="00D6775E"/>
    <w:rsid w:val="00D67B87"/>
    <w:rsid w:val="00D7012E"/>
    <w:rsid w:val="00D701EA"/>
    <w:rsid w:val="00D703FC"/>
    <w:rsid w:val="00D70722"/>
    <w:rsid w:val="00D7157D"/>
    <w:rsid w:val="00D71886"/>
    <w:rsid w:val="00D73192"/>
    <w:rsid w:val="00D73577"/>
    <w:rsid w:val="00D736A2"/>
    <w:rsid w:val="00D73CCE"/>
    <w:rsid w:val="00D73D80"/>
    <w:rsid w:val="00D73EE9"/>
    <w:rsid w:val="00D747B8"/>
    <w:rsid w:val="00D748A7"/>
    <w:rsid w:val="00D74F50"/>
    <w:rsid w:val="00D7500C"/>
    <w:rsid w:val="00D75249"/>
    <w:rsid w:val="00D7571B"/>
    <w:rsid w:val="00D75D73"/>
    <w:rsid w:val="00D763F1"/>
    <w:rsid w:val="00D7678F"/>
    <w:rsid w:val="00D77335"/>
    <w:rsid w:val="00D77860"/>
    <w:rsid w:val="00D77E90"/>
    <w:rsid w:val="00D800E6"/>
    <w:rsid w:val="00D80430"/>
    <w:rsid w:val="00D809B9"/>
    <w:rsid w:val="00D80AE9"/>
    <w:rsid w:val="00D8182E"/>
    <w:rsid w:val="00D8283D"/>
    <w:rsid w:val="00D83948"/>
    <w:rsid w:val="00D83D07"/>
    <w:rsid w:val="00D84607"/>
    <w:rsid w:val="00D8541F"/>
    <w:rsid w:val="00D85716"/>
    <w:rsid w:val="00D85D07"/>
    <w:rsid w:val="00D86D26"/>
    <w:rsid w:val="00D86D41"/>
    <w:rsid w:val="00D87001"/>
    <w:rsid w:val="00D872A0"/>
    <w:rsid w:val="00D877DA"/>
    <w:rsid w:val="00D87B25"/>
    <w:rsid w:val="00D87D79"/>
    <w:rsid w:val="00D91B63"/>
    <w:rsid w:val="00D91FD3"/>
    <w:rsid w:val="00D92145"/>
    <w:rsid w:val="00D923D0"/>
    <w:rsid w:val="00D92C8A"/>
    <w:rsid w:val="00D945B0"/>
    <w:rsid w:val="00D94927"/>
    <w:rsid w:val="00D94CBD"/>
    <w:rsid w:val="00D9533C"/>
    <w:rsid w:val="00D959AB"/>
    <w:rsid w:val="00D95F84"/>
    <w:rsid w:val="00D9650F"/>
    <w:rsid w:val="00D96618"/>
    <w:rsid w:val="00D971D6"/>
    <w:rsid w:val="00D978AB"/>
    <w:rsid w:val="00D97A39"/>
    <w:rsid w:val="00DA02A8"/>
    <w:rsid w:val="00DA0482"/>
    <w:rsid w:val="00DA06E7"/>
    <w:rsid w:val="00DA0992"/>
    <w:rsid w:val="00DA0B4C"/>
    <w:rsid w:val="00DA0DD7"/>
    <w:rsid w:val="00DA146A"/>
    <w:rsid w:val="00DA1C52"/>
    <w:rsid w:val="00DA2252"/>
    <w:rsid w:val="00DA2D82"/>
    <w:rsid w:val="00DA44BB"/>
    <w:rsid w:val="00DA47ED"/>
    <w:rsid w:val="00DA48A6"/>
    <w:rsid w:val="00DA4B08"/>
    <w:rsid w:val="00DA4E24"/>
    <w:rsid w:val="00DA5123"/>
    <w:rsid w:val="00DA58A4"/>
    <w:rsid w:val="00DA5A5D"/>
    <w:rsid w:val="00DA63A0"/>
    <w:rsid w:val="00DA67FC"/>
    <w:rsid w:val="00DA6CCA"/>
    <w:rsid w:val="00DA70CD"/>
    <w:rsid w:val="00DA70F3"/>
    <w:rsid w:val="00DA74A8"/>
    <w:rsid w:val="00DA7BE5"/>
    <w:rsid w:val="00DB05B9"/>
    <w:rsid w:val="00DB0EE2"/>
    <w:rsid w:val="00DB0F4B"/>
    <w:rsid w:val="00DB1256"/>
    <w:rsid w:val="00DB1EC0"/>
    <w:rsid w:val="00DB2A34"/>
    <w:rsid w:val="00DB2F40"/>
    <w:rsid w:val="00DB323F"/>
    <w:rsid w:val="00DB3358"/>
    <w:rsid w:val="00DB3D6B"/>
    <w:rsid w:val="00DB4D0D"/>
    <w:rsid w:val="00DB5014"/>
    <w:rsid w:val="00DB5235"/>
    <w:rsid w:val="00DB52C9"/>
    <w:rsid w:val="00DB532E"/>
    <w:rsid w:val="00DB5A2C"/>
    <w:rsid w:val="00DB5E32"/>
    <w:rsid w:val="00DB69D3"/>
    <w:rsid w:val="00DB6A37"/>
    <w:rsid w:val="00DB6BD5"/>
    <w:rsid w:val="00DB7714"/>
    <w:rsid w:val="00DC02FE"/>
    <w:rsid w:val="00DC11EE"/>
    <w:rsid w:val="00DC120D"/>
    <w:rsid w:val="00DC209F"/>
    <w:rsid w:val="00DC21BC"/>
    <w:rsid w:val="00DC26D9"/>
    <w:rsid w:val="00DC2C1F"/>
    <w:rsid w:val="00DC4863"/>
    <w:rsid w:val="00DC495B"/>
    <w:rsid w:val="00DC4DBA"/>
    <w:rsid w:val="00DC50A6"/>
    <w:rsid w:val="00DC53D2"/>
    <w:rsid w:val="00DC6278"/>
    <w:rsid w:val="00DC6971"/>
    <w:rsid w:val="00DC6A4C"/>
    <w:rsid w:val="00DC6D2E"/>
    <w:rsid w:val="00DC7BD6"/>
    <w:rsid w:val="00DD017E"/>
    <w:rsid w:val="00DD06EB"/>
    <w:rsid w:val="00DD070C"/>
    <w:rsid w:val="00DD1660"/>
    <w:rsid w:val="00DD34EB"/>
    <w:rsid w:val="00DD4147"/>
    <w:rsid w:val="00DD44A2"/>
    <w:rsid w:val="00DD478C"/>
    <w:rsid w:val="00DD47DC"/>
    <w:rsid w:val="00DD494F"/>
    <w:rsid w:val="00DD52E7"/>
    <w:rsid w:val="00DD53F9"/>
    <w:rsid w:val="00DD6297"/>
    <w:rsid w:val="00DD678B"/>
    <w:rsid w:val="00DD67D6"/>
    <w:rsid w:val="00DD6829"/>
    <w:rsid w:val="00DD74C6"/>
    <w:rsid w:val="00DD797D"/>
    <w:rsid w:val="00DD7A16"/>
    <w:rsid w:val="00DE033C"/>
    <w:rsid w:val="00DE1577"/>
    <w:rsid w:val="00DE183F"/>
    <w:rsid w:val="00DE1DCD"/>
    <w:rsid w:val="00DE20EA"/>
    <w:rsid w:val="00DE2145"/>
    <w:rsid w:val="00DE2EA7"/>
    <w:rsid w:val="00DE3E34"/>
    <w:rsid w:val="00DE3E35"/>
    <w:rsid w:val="00DE4631"/>
    <w:rsid w:val="00DE486A"/>
    <w:rsid w:val="00DE5655"/>
    <w:rsid w:val="00DE5ED4"/>
    <w:rsid w:val="00DE604A"/>
    <w:rsid w:val="00DE65AA"/>
    <w:rsid w:val="00DE66A7"/>
    <w:rsid w:val="00DE6861"/>
    <w:rsid w:val="00DE6F88"/>
    <w:rsid w:val="00DE7245"/>
    <w:rsid w:val="00DE79C6"/>
    <w:rsid w:val="00DF028E"/>
    <w:rsid w:val="00DF07FC"/>
    <w:rsid w:val="00DF0BCF"/>
    <w:rsid w:val="00DF0CB1"/>
    <w:rsid w:val="00DF0CBA"/>
    <w:rsid w:val="00DF28B0"/>
    <w:rsid w:val="00DF2AB9"/>
    <w:rsid w:val="00DF3C96"/>
    <w:rsid w:val="00DF3F9F"/>
    <w:rsid w:val="00DF4087"/>
    <w:rsid w:val="00DF5EAB"/>
    <w:rsid w:val="00DF6D55"/>
    <w:rsid w:val="00DF6E16"/>
    <w:rsid w:val="00E00226"/>
    <w:rsid w:val="00E00B6C"/>
    <w:rsid w:val="00E00E3B"/>
    <w:rsid w:val="00E01881"/>
    <w:rsid w:val="00E01C54"/>
    <w:rsid w:val="00E01C74"/>
    <w:rsid w:val="00E01DC3"/>
    <w:rsid w:val="00E0293C"/>
    <w:rsid w:val="00E02EF6"/>
    <w:rsid w:val="00E02FA4"/>
    <w:rsid w:val="00E03684"/>
    <w:rsid w:val="00E03911"/>
    <w:rsid w:val="00E043AA"/>
    <w:rsid w:val="00E043EE"/>
    <w:rsid w:val="00E04CAD"/>
    <w:rsid w:val="00E04ECB"/>
    <w:rsid w:val="00E05078"/>
    <w:rsid w:val="00E051D5"/>
    <w:rsid w:val="00E05361"/>
    <w:rsid w:val="00E055CC"/>
    <w:rsid w:val="00E05E2A"/>
    <w:rsid w:val="00E05EA7"/>
    <w:rsid w:val="00E0648B"/>
    <w:rsid w:val="00E065C4"/>
    <w:rsid w:val="00E070E8"/>
    <w:rsid w:val="00E108B4"/>
    <w:rsid w:val="00E10B89"/>
    <w:rsid w:val="00E10B9D"/>
    <w:rsid w:val="00E11334"/>
    <w:rsid w:val="00E11395"/>
    <w:rsid w:val="00E11C39"/>
    <w:rsid w:val="00E12D46"/>
    <w:rsid w:val="00E12FB5"/>
    <w:rsid w:val="00E13E4E"/>
    <w:rsid w:val="00E1445C"/>
    <w:rsid w:val="00E15324"/>
    <w:rsid w:val="00E1577E"/>
    <w:rsid w:val="00E15BDE"/>
    <w:rsid w:val="00E16625"/>
    <w:rsid w:val="00E17882"/>
    <w:rsid w:val="00E179CF"/>
    <w:rsid w:val="00E17AC9"/>
    <w:rsid w:val="00E2009E"/>
    <w:rsid w:val="00E20B9F"/>
    <w:rsid w:val="00E21C98"/>
    <w:rsid w:val="00E21EEC"/>
    <w:rsid w:val="00E2221A"/>
    <w:rsid w:val="00E22810"/>
    <w:rsid w:val="00E22B8D"/>
    <w:rsid w:val="00E22C0B"/>
    <w:rsid w:val="00E22DF0"/>
    <w:rsid w:val="00E232D1"/>
    <w:rsid w:val="00E2374F"/>
    <w:rsid w:val="00E23B0A"/>
    <w:rsid w:val="00E23F2E"/>
    <w:rsid w:val="00E247F6"/>
    <w:rsid w:val="00E24CAC"/>
    <w:rsid w:val="00E24DAE"/>
    <w:rsid w:val="00E2606A"/>
    <w:rsid w:val="00E262E5"/>
    <w:rsid w:val="00E2640D"/>
    <w:rsid w:val="00E26AEA"/>
    <w:rsid w:val="00E26E4D"/>
    <w:rsid w:val="00E27630"/>
    <w:rsid w:val="00E2799E"/>
    <w:rsid w:val="00E27BEE"/>
    <w:rsid w:val="00E27D26"/>
    <w:rsid w:val="00E30B53"/>
    <w:rsid w:val="00E31291"/>
    <w:rsid w:val="00E31735"/>
    <w:rsid w:val="00E31F82"/>
    <w:rsid w:val="00E32131"/>
    <w:rsid w:val="00E3320D"/>
    <w:rsid w:val="00E33E4A"/>
    <w:rsid w:val="00E33F7E"/>
    <w:rsid w:val="00E3445D"/>
    <w:rsid w:val="00E3446A"/>
    <w:rsid w:val="00E34538"/>
    <w:rsid w:val="00E34695"/>
    <w:rsid w:val="00E35393"/>
    <w:rsid w:val="00E359FA"/>
    <w:rsid w:val="00E37096"/>
    <w:rsid w:val="00E37BE9"/>
    <w:rsid w:val="00E37FD7"/>
    <w:rsid w:val="00E400AA"/>
    <w:rsid w:val="00E404FE"/>
    <w:rsid w:val="00E40A88"/>
    <w:rsid w:val="00E4191A"/>
    <w:rsid w:val="00E42016"/>
    <w:rsid w:val="00E4233B"/>
    <w:rsid w:val="00E4274C"/>
    <w:rsid w:val="00E42C38"/>
    <w:rsid w:val="00E42FE5"/>
    <w:rsid w:val="00E4335E"/>
    <w:rsid w:val="00E4356B"/>
    <w:rsid w:val="00E43858"/>
    <w:rsid w:val="00E43F93"/>
    <w:rsid w:val="00E4438C"/>
    <w:rsid w:val="00E444C7"/>
    <w:rsid w:val="00E44789"/>
    <w:rsid w:val="00E4652E"/>
    <w:rsid w:val="00E46565"/>
    <w:rsid w:val="00E47C11"/>
    <w:rsid w:val="00E507EF"/>
    <w:rsid w:val="00E50837"/>
    <w:rsid w:val="00E50C84"/>
    <w:rsid w:val="00E50D69"/>
    <w:rsid w:val="00E51270"/>
    <w:rsid w:val="00E51363"/>
    <w:rsid w:val="00E5191F"/>
    <w:rsid w:val="00E52529"/>
    <w:rsid w:val="00E53408"/>
    <w:rsid w:val="00E53622"/>
    <w:rsid w:val="00E5392D"/>
    <w:rsid w:val="00E53EA0"/>
    <w:rsid w:val="00E5429F"/>
    <w:rsid w:val="00E546C9"/>
    <w:rsid w:val="00E55240"/>
    <w:rsid w:val="00E5582E"/>
    <w:rsid w:val="00E5654B"/>
    <w:rsid w:val="00E56B86"/>
    <w:rsid w:val="00E56DBF"/>
    <w:rsid w:val="00E57069"/>
    <w:rsid w:val="00E57783"/>
    <w:rsid w:val="00E601C0"/>
    <w:rsid w:val="00E60301"/>
    <w:rsid w:val="00E605E8"/>
    <w:rsid w:val="00E61954"/>
    <w:rsid w:val="00E61ED1"/>
    <w:rsid w:val="00E6229B"/>
    <w:rsid w:val="00E624D7"/>
    <w:rsid w:val="00E633D6"/>
    <w:rsid w:val="00E65025"/>
    <w:rsid w:val="00E65520"/>
    <w:rsid w:val="00E66257"/>
    <w:rsid w:val="00E663A8"/>
    <w:rsid w:val="00E66B31"/>
    <w:rsid w:val="00E702DE"/>
    <w:rsid w:val="00E712F7"/>
    <w:rsid w:val="00E71D97"/>
    <w:rsid w:val="00E72000"/>
    <w:rsid w:val="00E7305C"/>
    <w:rsid w:val="00E7315E"/>
    <w:rsid w:val="00E73222"/>
    <w:rsid w:val="00E73B98"/>
    <w:rsid w:val="00E742B4"/>
    <w:rsid w:val="00E74D2E"/>
    <w:rsid w:val="00E74E41"/>
    <w:rsid w:val="00E75354"/>
    <w:rsid w:val="00E757C6"/>
    <w:rsid w:val="00E75E3C"/>
    <w:rsid w:val="00E766F3"/>
    <w:rsid w:val="00E7700A"/>
    <w:rsid w:val="00E771B0"/>
    <w:rsid w:val="00E774C0"/>
    <w:rsid w:val="00E77E08"/>
    <w:rsid w:val="00E8021E"/>
    <w:rsid w:val="00E80AF2"/>
    <w:rsid w:val="00E80F82"/>
    <w:rsid w:val="00E817B6"/>
    <w:rsid w:val="00E81E16"/>
    <w:rsid w:val="00E82659"/>
    <w:rsid w:val="00E8382C"/>
    <w:rsid w:val="00E83D00"/>
    <w:rsid w:val="00E83D97"/>
    <w:rsid w:val="00E84509"/>
    <w:rsid w:val="00E86107"/>
    <w:rsid w:val="00E86515"/>
    <w:rsid w:val="00E8654D"/>
    <w:rsid w:val="00E86C60"/>
    <w:rsid w:val="00E874C0"/>
    <w:rsid w:val="00E87960"/>
    <w:rsid w:val="00E9040E"/>
    <w:rsid w:val="00E90995"/>
    <w:rsid w:val="00E91AA0"/>
    <w:rsid w:val="00E944D1"/>
    <w:rsid w:val="00E94B2F"/>
    <w:rsid w:val="00E94E4C"/>
    <w:rsid w:val="00E956C7"/>
    <w:rsid w:val="00E96432"/>
    <w:rsid w:val="00E96486"/>
    <w:rsid w:val="00E96659"/>
    <w:rsid w:val="00E96ECC"/>
    <w:rsid w:val="00E97F55"/>
    <w:rsid w:val="00E97FB3"/>
    <w:rsid w:val="00EA025B"/>
    <w:rsid w:val="00EA02B4"/>
    <w:rsid w:val="00EA0A28"/>
    <w:rsid w:val="00EA0B16"/>
    <w:rsid w:val="00EA0BD9"/>
    <w:rsid w:val="00EA0BE4"/>
    <w:rsid w:val="00EA0C1D"/>
    <w:rsid w:val="00EA1271"/>
    <w:rsid w:val="00EA158E"/>
    <w:rsid w:val="00EA3528"/>
    <w:rsid w:val="00EA4C1B"/>
    <w:rsid w:val="00EA5249"/>
    <w:rsid w:val="00EA550D"/>
    <w:rsid w:val="00EA62E1"/>
    <w:rsid w:val="00EA6FB4"/>
    <w:rsid w:val="00EA799F"/>
    <w:rsid w:val="00EA7E6E"/>
    <w:rsid w:val="00EB1584"/>
    <w:rsid w:val="00EB192C"/>
    <w:rsid w:val="00EB1AB1"/>
    <w:rsid w:val="00EB1FC0"/>
    <w:rsid w:val="00EB243C"/>
    <w:rsid w:val="00EB24D4"/>
    <w:rsid w:val="00EB27FB"/>
    <w:rsid w:val="00EB3134"/>
    <w:rsid w:val="00EB4722"/>
    <w:rsid w:val="00EB472A"/>
    <w:rsid w:val="00EB4F10"/>
    <w:rsid w:val="00EB5413"/>
    <w:rsid w:val="00EB5F38"/>
    <w:rsid w:val="00EB650B"/>
    <w:rsid w:val="00EB7274"/>
    <w:rsid w:val="00EB7954"/>
    <w:rsid w:val="00EB7B6F"/>
    <w:rsid w:val="00EB7EDC"/>
    <w:rsid w:val="00EC0024"/>
    <w:rsid w:val="00EC0E04"/>
    <w:rsid w:val="00EC2304"/>
    <w:rsid w:val="00EC244D"/>
    <w:rsid w:val="00EC2525"/>
    <w:rsid w:val="00EC27E6"/>
    <w:rsid w:val="00EC2D37"/>
    <w:rsid w:val="00EC2FF8"/>
    <w:rsid w:val="00EC311B"/>
    <w:rsid w:val="00EC3965"/>
    <w:rsid w:val="00EC45CE"/>
    <w:rsid w:val="00EC4BD1"/>
    <w:rsid w:val="00EC5B02"/>
    <w:rsid w:val="00EC5E15"/>
    <w:rsid w:val="00EC6283"/>
    <w:rsid w:val="00EC6CB3"/>
    <w:rsid w:val="00EC6D20"/>
    <w:rsid w:val="00EC7DA6"/>
    <w:rsid w:val="00EC7EFE"/>
    <w:rsid w:val="00EC7F7D"/>
    <w:rsid w:val="00ED029A"/>
    <w:rsid w:val="00ED06CA"/>
    <w:rsid w:val="00ED0941"/>
    <w:rsid w:val="00ED0AD1"/>
    <w:rsid w:val="00ED1355"/>
    <w:rsid w:val="00ED1835"/>
    <w:rsid w:val="00ED1D91"/>
    <w:rsid w:val="00ED2A86"/>
    <w:rsid w:val="00ED2AD7"/>
    <w:rsid w:val="00ED301E"/>
    <w:rsid w:val="00ED3315"/>
    <w:rsid w:val="00ED33CE"/>
    <w:rsid w:val="00ED44CA"/>
    <w:rsid w:val="00ED45E9"/>
    <w:rsid w:val="00ED4A9A"/>
    <w:rsid w:val="00ED4FD8"/>
    <w:rsid w:val="00ED5E2B"/>
    <w:rsid w:val="00ED6083"/>
    <w:rsid w:val="00ED67C6"/>
    <w:rsid w:val="00ED6DD8"/>
    <w:rsid w:val="00ED6FD6"/>
    <w:rsid w:val="00ED77A1"/>
    <w:rsid w:val="00ED7B50"/>
    <w:rsid w:val="00EE260A"/>
    <w:rsid w:val="00EE369E"/>
    <w:rsid w:val="00EE3A35"/>
    <w:rsid w:val="00EE3AD3"/>
    <w:rsid w:val="00EE4C0C"/>
    <w:rsid w:val="00EE5034"/>
    <w:rsid w:val="00EE592C"/>
    <w:rsid w:val="00EE5AA5"/>
    <w:rsid w:val="00EE5F92"/>
    <w:rsid w:val="00EE6467"/>
    <w:rsid w:val="00EE684D"/>
    <w:rsid w:val="00EE747E"/>
    <w:rsid w:val="00EE7DCB"/>
    <w:rsid w:val="00EF01BC"/>
    <w:rsid w:val="00EF0A84"/>
    <w:rsid w:val="00EF0C64"/>
    <w:rsid w:val="00EF0EB4"/>
    <w:rsid w:val="00EF1326"/>
    <w:rsid w:val="00EF18B3"/>
    <w:rsid w:val="00EF1A68"/>
    <w:rsid w:val="00EF2212"/>
    <w:rsid w:val="00EF3811"/>
    <w:rsid w:val="00EF381E"/>
    <w:rsid w:val="00EF4EDC"/>
    <w:rsid w:val="00EF52BF"/>
    <w:rsid w:val="00EF5A79"/>
    <w:rsid w:val="00EF79E7"/>
    <w:rsid w:val="00EF7B19"/>
    <w:rsid w:val="00EF7B22"/>
    <w:rsid w:val="00EF7F38"/>
    <w:rsid w:val="00F0092A"/>
    <w:rsid w:val="00F01F19"/>
    <w:rsid w:val="00F02E2B"/>
    <w:rsid w:val="00F03141"/>
    <w:rsid w:val="00F03397"/>
    <w:rsid w:val="00F03826"/>
    <w:rsid w:val="00F03D76"/>
    <w:rsid w:val="00F03F4B"/>
    <w:rsid w:val="00F04791"/>
    <w:rsid w:val="00F04843"/>
    <w:rsid w:val="00F04DAC"/>
    <w:rsid w:val="00F04EDC"/>
    <w:rsid w:val="00F057DD"/>
    <w:rsid w:val="00F05C81"/>
    <w:rsid w:val="00F063A6"/>
    <w:rsid w:val="00F0730F"/>
    <w:rsid w:val="00F07B45"/>
    <w:rsid w:val="00F100A6"/>
    <w:rsid w:val="00F1030D"/>
    <w:rsid w:val="00F106F5"/>
    <w:rsid w:val="00F10A39"/>
    <w:rsid w:val="00F10E5C"/>
    <w:rsid w:val="00F10FFC"/>
    <w:rsid w:val="00F11FB2"/>
    <w:rsid w:val="00F121FB"/>
    <w:rsid w:val="00F12A39"/>
    <w:rsid w:val="00F137F9"/>
    <w:rsid w:val="00F13CB3"/>
    <w:rsid w:val="00F13EFE"/>
    <w:rsid w:val="00F14EFF"/>
    <w:rsid w:val="00F15864"/>
    <w:rsid w:val="00F16BE3"/>
    <w:rsid w:val="00F17D03"/>
    <w:rsid w:val="00F17F42"/>
    <w:rsid w:val="00F2013B"/>
    <w:rsid w:val="00F21119"/>
    <w:rsid w:val="00F21530"/>
    <w:rsid w:val="00F21C5A"/>
    <w:rsid w:val="00F220CB"/>
    <w:rsid w:val="00F22ABB"/>
    <w:rsid w:val="00F22EF8"/>
    <w:rsid w:val="00F23E4E"/>
    <w:rsid w:val="00F24209"/>
    <w:rsid w:val="00F2466F"/>
    <w:rsid w:val="00F24B67"/>
    <w:rsid w:val="00F24D99"/>
    <w:rsid w:val="00F25AF7"/>
    <w:rsid w:val="00F2603B"/>
    <w:rsid w:val="00F26DA3"/>
    <w:rsid w:val="00F273D1"/>
    <w:rsid w:val="00F276D4"/>
    <w:rsid w:val="00F27974"/>
    <w:rsid w:val="00F27B59"/>
    <w:rsid w:val="00F27EE8"/>
    <w:rsid w:val="00F30445"/>
    <w:rsid w:val="00F3108D"/>
    <w:rsid w:val="00F3141F"/>
    <w:rsid w:val="00F3196F"/>
    <w:rsid w:val="00F32A9F"/>
    <w:rsid w:val="00F32EB8"/>
    <w:rsid w:val="00F33298"/>
    <w:rsid w:val="00F33AAB"/>
    <w:rsid w:val="00F33BF5"/>
    <w:rsid w:val="00F34C78"/>
    <w:rsid w:val="00F34EC4"/>
    <w:rsid w:val="00F351AB"/>
    <w:rsid w:val="00F35667"/>
    <w:rsid w:val="00F35E41"/>
    <w:rsid w:val="00F363BB"/>
    <w:rsid w:val="00F36419"/>
    <w:rsid w:val="00F377A6"/>
    <w:rsid w:val="00F37A81"/>
    <w:rsid w:val="00F4160C"/>
    <w:rsid w:val="00F41C72"/>
    <w:rsid w:val="00F42248"/>
    <w:rsid w:val="00F430A1"/>
    <w:rsid w:val="00F43594"/>
    <w:rsid w:val="00F436A9"/>
    <w:rsid w:val="00F44C12"/>
    <w:rsid w:val="00F44C1C"/>
    <w:rsid w:val="00F476E0"/>
    <w:rsid w:val="00F47A28"/>
    <w:rsid w:val="00F50095"/>
    <w:rsid w:val="00F5069E"/>
    <w:rsid w:val="00F507C4"/>
    <w:rsid w:val="00F51839"/>
    <w:rsid w:val="00F52768"/>
    <w:rsid w:val="00F53C25"/>
    <w:rsid w:val="00F53CFD"/>
    <w:rsid w:val="00F54002"/>
    <w:rsid w:val="00F54139"/>
    <w:rsid w:val="00F54545"/>
    <w:rsid w:val="00F54826"/>
    <w:rsid w:val="00F5550B"/>
    <w:rsid w:val="00F557EF"/>
    <w:rsid w:val="00F55F22"/>
    <w:rsid w:val="00F56179"/>
    <w:rsid w:val="00F5632F"/>
    <w:rsid w:val="00F56541"/>
    <w:rsid w:val="00F5678E"/>
    <w:rsid w:val="00F56B3F"/>
    <w:rsid w:val="00F60133"/>
    <w:rsid w:val="00F60768"/>
    <w:rsid w:val="00F60C86"/>
    <w:rsid w:val="00F60D8C"/>
    <w:rsid w:val="00F610B3"/>
    <w:rsid w:val="00F6111F"/>
    <w:rsid w:val="00F61735"/>
    <w:rsid w:val="00F6186B"/>
    <w:rsid w:val="00F61A38"/>
    <w:rsid w:val="00F61E18"/>
    <w:rsid w:val="00F61E54"/>
    <w:rsid w:val="00F6253B"/>
    <w:rsid w:val="00F62558"/>
    <w:rsid w:val="00F627D7"/>
    <w:rsid w:val="00F62AA6"/>
    <w:rsid w:val="00F62F11"/>
    <w:rsid w:val="00F6358F"/>
    <w:rsid w:val="00F63E75"/>
    <w:rsid w:val="00F64130"/>
    <w:rsid w:val="00F6513E"/>
    <w:rsid w:val="00F653CF"/>
    <w:rsid w:val="00F655B8"/>
    <w:rsid w:val="00F65F4C"/>
    <w:rsid w:val="00F660E1"/>
    <w:rsid w:val="00F662CB"/>
    <w:rsid w:val="00F66360"/>
    <w:rsid w:val="00F66685"/>
    <w:rsid w:val="00F6674E"/>
    <w:rsid w:val="00F66858"/>
    <w:rsid w:val="00F66E38"/>
    <w:rsid w:val="00F66FB1"/>
    <w:rsid w:val="00F67518"/>
    <w:rsid w:val="00F67CBC"/>
    <w:rsid w:val="00F703EA"/>
    <w:rsid w:val="00F70BE7"/>
    <w:rsid w:val="00F72AA6"/>
    <w:rsid w:val="00F72C32"/>
    <w:rsid w:val="00F72FD7"/>
    <w:rsid w:val="00F734CA"/>
    <w:rsid w:val="00F73C18"/>
    <w:rsid w:val="00F73C4F"/>
    <w:rsid w:val="00F746F4"/>
    <w:rsid w:val="00F74E23"/>
    <w:rsid w:val="00F74F6E"/>
    <w:rsid w:val="00F750FE"/>
    <w:rsid w:val="00F7518F"/>
    <w:rsid w:val="00F756C7"/>
    <w:rsid w:val="00F75C67"/>
    <w:rsid w:val="00F766C1"/>
    <w:rsid w:val="00F76953"/>
    <w:rsid w:val="00F7696C"/>
    <w:rsid w:val="00F76FDA"/>
    <w:rsid w:val="00F77063"/>
    <w:rsid w:val="00F7720E"/>
    <w:rsid w:val="00F77384"/>
    <w:rsid w:val="00F80B33"/>
    <w:rsid w:val="00F81129"/>
    <w:rsid w:val="00F818A4"/>
    <w:rsid w:val="00F8240D"/>
    <w:rsid w:val="00F8351F"/>
    <w:rsid w:val="00F838FF"/>
    <w:rsid w:val="00F84461"/>
    <w:rsid w:val="00F8475B"/>
    <w:rsid w:val="00F84CCD"/>
    <w:rsid w:val="00F850B0"/>
    <w:rsid w:val="00F85251"/>
    <w:rsid w:val="00F853FE"/>
    <w:rsid w:val="00F858C9"/>
    <w:rsid w:val="00F85ADB"/>
    <w:rsid w:val="00F85B0A"/>
    <w:rsid w:val="00F85FD1"/>
    <w:rsid w:val="00F86C17"/>
    <w:rsid w:val="00F901D6"/>
    <w:rsid w:val="00F9039A"/>
    <w:rsid w:val="00F906AD"/>
    <w:rsid w:val="00F909D5"/>
    <w:rsid w:val="00F925F0"/>
    <w:rsid w:val="00F927B8"/>
    <w:rsid w:val="00F92A05"/>
    <w:rsid w:val="00F9424E"/>
    <w:rsid w:val="00F942AD"/>
    <w:rsid w:val="00F94737"/>
    <w:rsid w:val="00F94BA5"/>
    <w:rsid w:val="00F94BE1"/>
    <w:rsid w:val="00F950A5"/>
    <w:rsid w:val="00F952F8"/>
    <w:rsid w:val="00F95739"/>
    <w:rsid w:val="00F95AA0"/>
    <w:rsid w:val="00F95EFD"/>
    <w:rsid w:val="00F9614B"/>
    <w:rsid w:val="00F9656A"/>
    <w:rsid w:val="00F96E48"/>
    <w:rsid w:val="00F97490"/>
    <w:rsid w:val="00F9750A"/>
    <w:rsid w:val="00F97D8B"/>
    <w:rsid w:val="00FA0065"/>
    <w:rsid w:val="00FA0769"/>
    <w:rsid w:val="00FA1D41"/>
    <w:rsid w:val="00FA1FCE"/>
    <w:rsid w:val="00FA206D"/>
    <w:rsid w:val="00FA35F0"/>
    <w:rsid w:val="00FA3E6A"/>
    <w:rsid w:val="00FA4D58"/>
    <w:rsid w:val="00FA4F3F"/>
    <w:rsid w:val="00FA4FF5"/>
    <w:rsid w:val="00FA54B7"/>
    <w:rsid w:val="00FA5AEC"/>
    <w:rsid w:val="00FA5B9B"/>
    <w:rsid w:val="00FA5F35"/>
    <w:rsid w:val="00FA60FC"/>
    <w:rsid w:val="00FA64C5"/>
    <w:rsid w:val="00FA7930"/>
    <w:rsid w:val="00FB05AD"/>
    <w:rsid w:val="00FB161D"/>
    <w:rsid w:val="00FB2412"/>
    <w:rsid w:val="00FB27CC"/>
    <w:rsid w:val="00FB2EA3"/>
    <w:rsid w:val="00FB3019"/>
    <w:rsid w:val="00FB3C2D"/>
    <w:rsid w:val="00FB4409"/>
    <w:rsid w:val="00FB4478"/>
    <w:rsid w:val="00FB4C4D"/>
    <w:rsid w:val="00FB6440"/>
    <w:rsid w:val="00FB6884"/>
    <w:rsid w:val="00FB6E10"/>
    <w:rsid w:val="00FB713F"/>
    <w:rsid w:val="00FB778C"/>
    <w:rsid w:val="00FB7B14"/>
    <w:rsid w:val="00FC00D4"/>
    <w:rsid w:val="00FC0371"/>
    <w:rsid w:val="00FC0E92"/>
    <w:rsid w:val="00FC0ED4"/>
    <w:rsid w:val="00FC1B06"/>
    <w:rsid w:val="00FC219B"/>
    <w:rsid w:val="00FC32C3"/>
    <w:rsid w:val="00FC3629"/>
    <w:rsid w:val="00FC36BA"/>
    <w:rsid w:val="00FC3DAF"/>
    <w:rsid w:val="00FC4E32"/>
    <w:rsid w:val="00FC5125"/>
    <w:rsid w:val="00FC51AB"/>
    <w:rsid w:val="00FC538D"/>
    <w:rsid w:val="00FC5564"/>
    <w:rsid w:val="00FC56B2"/>
    <w:rsid w:val="00FC58E1"/>
    <w:rsid w:val="00FC640F"/>
    <w:rsid w:val="00FC642E"/>
    <w:rsid w:val="00FC71C3"/>
    <w:rsid w:val="00FC7640"/>
    <w:rsid w:val="00FC76E3"/>
    <w:rsid w:val="00FD0566"/>
    <w:rsid w:val="00FD071A"/>
    <w:rsid w:val="00FD0779"/>
    <w:rsid w:val="00FD0A42"/>
    <w:rsid w:val="00FD0C47"/>
    <w:rsid w:val="00FD0D28"/>
    <w:rsid w:val="00FD0F1C"/>
    <w:rsid w:val="00FD16A5"/>
    <w:rsid w:val="00FD17C2"/>
    <w:rsid w:val="00FD25C6"/>
    <w:rsid w:val="00FD2CD7"/>
    <w:rsid w:val="00FD302E"/>
    <w:rsid w:val="00FD312A"/>
    <w:rsid w:val="00FD3410"/>
    <w:rsid w:val="00FD35E3"/>
    <w:rsid w:val="00FD3606"/>
    <w:rsid w:val="00FD43AA"/>
    <w:rsid w:val="00FD456B"/>
    <w:rsid w:val="00FD4DA7"/>
    <w:rsid w:val="00FD5700"/>
    <w:rsid w:val="00FD581B"/>
    <w:rsid w:val="00FD5A78"/>
    <w:rsid w:val="00FD5DDB"/>
    <w:rsid w:val="00FD66B3"/>
    <w:rsid w:val="00FD6ACC"/>
    <w:rsid w:val="00FD7BCD"/>
    <w:rsid w:val="00FE0915"/>
    <w:rsid w:val="00FE11AA"/>
    <w:rsid w:val="00FE17AA"/>
    <w:rsid w:val="00FE17CD"/>
    <w:rsid w:val="00FE1EC7"/>
    <w:rsid w:val="00FE1F5A"/>
    <w:rsid w:val="00FE2737"/>
    <w:rsid w:val="00FE2EFF"/>
    <w:rsid w:val="00FE2F45"/>
    <w:rsid w:val="00FE311F"/>
    <w:rsid w:val="00FE3CA5"/>
    <w:rsid w:val="00FE3DF5"/>
    <w:rsid w:val="00FE3E3E"/>
    <w:rsid w:val="00FE4921"/>
    <w:rsid w:val="00FE4E39"/>
    <w:rsid w:val="00FE53E6"/>
    <w:rsid w:val="00FE554A"/>
    <w:rsid w:val="00FE5D95"/>
    <w:rsid w:val="00FE6143"/>
    <w:rsid w:val="00FE7075"/>
    <w:rsid w:val="00FE70AB"/>
    <w:rsid w:val="00FF05CF"/>
    <w:rsid w:val="00FF0628"/>
    <w:rsid w:val="00FF0864"/>
    <w:rsid w:val="00FF0FB1"/>
    <w:rsid w:val="00FF10CC"/>
    <w:rsid w:val="00FF1205"/>
    <w:rsid w:val="00FF1350"/>
    <w:rsid w:val="00FF13C0"/>
    <w:rsid w:val="00FF1D71"/>
    <w:rsid w:val="00FF2073"/>
    <w:rsid w:val="00FF25AC"/>
    <w:rsid w:val="00FF2999"/>
    <w:rsid w:val="00FF2FB2"/>
    <w:rsid w:val="00FF3B9E"/>
    <w:rsid w:val="00FF419B"/>
    <w:rsid w:val="00FF44E9"/>
    <w:rsid w:val="00FF48B6"/>
    <w:rsid w:val="00FF49DC"/>
    <w:rsid w:val="00FF4E96"/>
    <w:rsid w:val="00FF4F33"/>
    <w:rsid w:val="00FF6BE3"/>
    <w:rsid w:val="00FF6F6D"/>
    <w:rsid w:val="00FF720E"/>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D82"/>
    <w:pPr>
      <w:widowControl w:val="0"/>
    </w:pPr>
    <w:rPr>
      <w:snapToGrid w:val="0"/>
      <w:kern w:val="28"/>
      <w:sz w:val="22"/>
    </w:rPr>
  </w:style>
  <w:style w:type="paragraph" w:styleId="Heading1">
    <w:name w:val="heading 1"/>
    <w:basedOn w:val="Normal"/>
    <w:next w:val="ParaNum"/>
    <w:qFormat/>
    <w:rsid w:val="00DA2D82"/>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2D82"/>
    <w:pPr>
      <w:keepNext/>
      <w:numPr>
        <w:ilvl w:val="1"/>
        <w:numId w:val="5"/>
      </w:numPr>
      <w:spacing w:after="120"/>
      <w:outlineLvl w:val="1"/>
    </w:pPr>
    <w:rPr>
      <w:b/>
    </w:rPr>
  </w:style>
  <w:style w:type="paragraph" w:styleId="Heading3">
    <w:name w:val="heading 3"/>
    <w:basedOn w:val="Normal"/>
    <w:next w:val="ParaNum"/>
    <w:qFormat/>
    <w:rsid w:val="00DA2D82"/>
    <w:pPr>
      <w:keepNext/>
      <w:numPr>
        <w:ilvl w:val="2"/>
        <w:numId w:val="5"/>
      </w:numPr>
      <w:tabs>
        <w:tab w:val="left" w:pos="2160"/>
      </w:tabs>
      <w:spacing w:after="120"/>
      <w:outlineLvl w:val="2"/>
    </w:pPr>
    <w:rPr>
      <w:b/>
    </w:rPr>
  </w:style>
  <w:style w:type="paragraph" w:styleId="Heading4">
    <w:name w:val="heading 4"/>
    <w:basedOn w:val="Normal"/>
    <w:next w:val="ParaNum"/>
    <w:qFormat/>
    <w:rsid w:val="00DA2D82"/>
    <w:pPr>
      <w:keepNext/>
      <w:numPr>
        <w:ilvl w:val="3"/>
        <w:numId w:val="5"/>
      </w:numPr>
      <w:tabs>
        <w:tab w:val="left" w:pos="2880"/>
      </w:tabs>
      <w:spacing w:after="120"/>
      <w:outlineLvl w:val="3"/>
    </w:pPr>
    <w:rPr>
      <w:b/>
    </w:rPr>
  </w:style>
  <w:style w:type="paragraph" w:styleId="Heading5">
    <w:name w:val="heading 5"/>
    <w:basedOn w:val="Normal"/>
    <w:next w:val="ParaNum"/>
    <w:qFormat/>
    <w:rsid w:val="00DA2D82"/>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DA2D82"/>
    <w:pPr>
      <w:numPr>
        <w:ilvl w:val="5"/>
        <w:numId w:val="5"/>
      </w:numPr>
      <w:tabs>
        <w:tab w:val="left" w:pos="4320"/>
      </w:tabs>
      <w:spacing w:after="120"/>
      <w:outlineLvl w:val="5"/>
    </w:pPr>
    <w:rPr>
      <w:b/>
    </w:rPr>
  </w:style>
  <w:style w:type="paragraph" w:styleId="Heading7">
    <w:name w:val="heading 7"/>
    <w:basedOn w:val="Normal"/>
    <w:next w:val="ParaNum"/>
    <w:qFormat/>
    <w:rsid w:val="00DA2D82"/>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DA2D82"/>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DA2D82"/>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2D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D82"/>
  </w:style>
  <w:style w:type="paragraph" w:customStyle="1" w:styleId="ParaNum">
    <w:name w:val="ParaNum"/>
    <w:basedOn w:val="Normal"/>
    <w:link w:val="ParaNumChar"/>
    <w:rsid w:val="00DA2D82"/>
    <w:pPr>
      <w:numPr>
        <w:numId w:val="12"/>
      </w:numPr>
      <w:tabs>
        <w:tab w:val="clear" w:pos="1080"/>
        <w:tab w:val="num" w:pos="1440"/>
      </w:tabs>
      <w:spacing w:after="120"/>
    </w:pPr>
  </w:style>
  <w:style w:type="paragraph" w:styleId="FootnoteText">
    <w:name w:val="footnote text"/>
    <w:aliases w:val="ALTS FOOTNOTE,fn,Footnote Text 2,Footnote text,FOOTNOTE,Footnote Text Char2 Char,Footnote Text Char1 Char2 Char,Footnote Text Char Char Char Char,Footnote Text Char2 Char Char1 Char Char,ALTS FOOTNOTE Char,fn Char Char,Footnote Text Char1"/>
    <w:link w:val="FootnoteTextChar"/>
    <w:rsid w:val="00DA2D82"/>
    <w:pPr>
      <w:spacing w:after="120"/>
    </w:pPr>
  </w:style>
  <w:style w:type="character" w:styleId="FootnoteReference">
    <w:name w:val="footnote reference"/>
    <w:aliases w:val="o,Style 3,(NECG) Footnote Reference,fr,Appel note de bas de p"/>
    <w:rsid w:val="00DA2D82"/>
    <w:rPr>
      <w:rFonts w:ascii="Times New Roman" w:hAnsi="Times New Roman"/>
      <w:dstrike w:val="0"/>
      <w:color w:val="auto"/>
      <w:sz w:val="20"/>
      <w:vertAlign w:val="superscript"/>
    </w:rPr>
  </w:style>
  <w:style w:type="paragraph" w:styleId="Header">
    <w:name w:val="header"/>
    <w:basedOn w:val="Normal"/>
    <w:autoRedefine/>
    <w:rsid w:val="00DA2D82"/>
    <w:pPr>
      <w:tabs>
        <w:tab w:val="center" w:pos="4680"/>
        <w:tab w:val="right" w:pos="9360"/>
      </w:tabs>
    </w:pPr>
    <w:rPr>
      <w:b/>
    </w:rPr>
  </w:style>
  <w:style w:type="paragraph" w:styleId="Footer">
    <w:name w:val="footer"/>
    <w:basedOn w:val="Normal"/>
    <w:rsid w:val="00DA2D82"/>
    <w:pPr>
      <w:tabs>
        <w:tab w:val="center" w:pos="4320"/>
        <w:tab w:val="right" w:pos="8640"/>
      </w:tabs>
    </w:pPr>
  </w:style>
  <w:style w:type="character" w:styleId="PageNumber">
    <w:name w:val="page number"/>
    <w:basedOn w:val="DefaultParagraphFont"/>
    <w:rsid w:val="00DA2D82"/>
  </w:style>
  <w:style w:type="character" w:customStyle="1" w:styleId="ParaNumChar">
    <w:name w:val="ParaNum Char"/>
    <w:link w:val="ParaNum"/>
    <w:rsid w:val="00980651"/>
    <w:rPr>
      <w:snapToGrid w:val="0"/>
      <w:kern w:val="28"/>
      <w:sz w:val="22"/>
    </w:rPr>
  </w:style>
  <w:style w:type="character" w:customStyle="1" w:styleId="FootnoteTextChar">
    <w:name w:val="Footnote Text Char"/>
    <w:aliases w:val="ALTS FOOTNOTE Char1,fn Char,Footnote Text 2 Char,Footnote text Char,FOOTNOTE Char,Footnote Text Char2 Char Char,Footnote Text Char1 Char2 Char Char,Footnote Text Char Char Char Char Char,Footnote Text Char2 Char Char1 Char Char Char"/>
    <w:link w:val="FootnoteText"/>
    <w:rsid w:val="00A507AF"/>
  </w:style>
  <w:style w:type="character" w:styleId="Hyperlink">
    <w:name w:val="Hyperlink"/>
    <w:rsid w:val="00DA2D82"/>
    <w:rPr>
      <w:color w:val="0000FF"/>
      <w:u w:val="single"/>
    </w:rPr>
  </w:style>
  <w:style w:type="paragraph" w:customStyle="1" w:styleId="Paranum0">
    <w:name w:val="Paranum"/>
    <w:rsid w:val="00A507AF"/>
    <w:pPr>
      <w:numPr>
        <w:numId w:val="3"/>
      </w:numPr>
      <w:tabs>
        <w:tab w:val="left" w:pos="1440"/>
      </w:tabs>
      <w:spacing w:after="240"/>
      <w:jc w:val="both"/>
    </w:pPr>
    <w:rPr>
      <w:sz w:val="22"/>
    </w:rPr>
  </w:style>
  <w:style w:type="paragraph" w:styleId="BalloonText">
    <w:name w:val="Balloon Text"/>
    <w:basedOn w:val="Normal"/>
    <w:link w:val="BalloonTextChar"/>
    <w:rsid w:val="00D217FC"/>
    <w:rPr>
      <w:rFonts w:ascii="Tahoma" w:hAnsi="Tahoma"/>
      <w:sz w:val="16"/>
      <w:szCs w:val="16"/>
      <w:lang w:val="x-none" w:eastAsia="x-none"/>
    </w:rPr>
  </w:style>
  <w:style w:type="character" w:customStyle="1" w:styleId="BalloonTextChar">
    <w:name w:val="Balloon Text Char"/>
    <w:link w:val="BalloonText"/>
    <w:rsid w:val="00D217FC"/>
    <w:rPr>
      <w:rFonts w:ascii="Tahoma" w:hAnsi="Tahoma" w:cs="Tahoma"/>
      <w:sz w:val="16"/>
      <w:szCs w:val="16"/>
    </w:rPr>
  </w:style>
  <w:style w:type="paragraph" w:styleId="Revision">
    <w:name w:val="Revision"/>
    <w:hidden/>
    <w:uiPriority w:val="99"/>
    <w:semiHidden/>
    <w:rsid w:val="00F60768"/>
    <w:rPr>
      <w:sz w:val="22"/>
    </w:rPr>
  </w:style>
  <w:style w:type="paragraph" w:styleId="ListParagraph">
    <w:name w:val="List Paragraph"/>
    <w:basedOn w:val="Normal"/>
    <w:uiPriority w:val="34"/>
    <w:qFormat/>
    <w:rsid w:val="0051221E"/>
    <w:pPr>
      <w:spacing w:after="120"/>
      <w:ind w:left="720"/>
      <w:contextualSpacing/>
    </w:pPr>
    <w:rPr>
      <w:rFonts w:eastAsia="Calibri"/>
    </w:rPr>
  </w:style>
  <w:style w:type="paragraph" w:styleId="EndnoteText">
    <w:name w:val="endnote text"/>
    <w:basedOn w:val="Normal"/>
    <w:link w:val="EndnoteTextChar"/>
    <w:rsid w:val="00DA2D82"/>
    <w:rPr>
      <w:sz w:val="20"/>
    </w:rPr>
  </w:style>
  <w:style w:type="character" w:customStyle="1" w:styleId="EndnoteTextChar">
    <w:name w:val="Endnote Text Char"/>
    <w:link w:val="EndnoteText"/>
    <w:rsid w:val="0064616F"/>
    <w:rPr>
      <w:snapToGrid w:val="0"/>
      <w:kern w:val="28"/>
    </w:rPr>
  </w:style>
  <w:style w:type="character" w:styleId="EndnoteReference">
    <w:name w:val="endnote reference"/>
    <w:rsid w:val="00DA2D82"/>
    <w:rPr>
      <w:vertAlign w:val="superscript"/>
    </w:rPr>
  </w:style>
  <w:style w:type="paragraph" w:styleId="NormalWeb">
    <w:name w:val="Normal (Web)"/>
    <w:basedOn w:val="Normal"/>
    <w:uiPriority w:val="99"/>
    <w:unhideWhenUsed/>
    <w:rsid w:val="0075411F"/>
    <w:rPr>
      <w:rFonts w:eastAsia="Calibri"/>
      <w:sz w:val="24"/>
      <w:szCs w:val="24"/>
    </w:rPr>
  </w:style>
  <w:style w:type="character" w:styleId="Emphasis">
    <w:name w:val="Emphasis"/>
    <w:uiPriority w:val="20"/>
    <w:qFormat/>
    <w:rsid w:val="0075411F"/>
    <w:rPr>
      <w:i/>
      <w:iCs/>
    </w:rPr>
  </w:style>
  <w:style w:type="character" w:styleId="CommentReference">
    <w:name w:val="annotation reference"/>
    <w:rsid w:val="0094158E"/>
    <w:rPr>
      <w:sz w:val="16"/>
      <w:szCs w:val="16"/>
    </w:rPr>
  </w:style>
  <w:style w:type="paragraph" w:styleId="CommentText">
    <w:name w:val="annotation text"/>
    <w:basedOn w:val="Normal"/>
    <w:link w:val="CommentTextChar"/>
    <w:rsid w:val="0094158E"/>
    <w:rPr>
      <w:sz w:val="20"/>
    </w:rPr>
  </w:style>
  <w:style w:type="character" w:customStyle="1" w:styleId="CommentTextChar">
    <w:name w:val="Comment Text Char"/>
    <w:basedOn w:val="DefaultParagraphFont"/>
    <w:link w:val="CommentText"/>
    <w:rsid w:val="0094158E"/>
  </w:style>
  <w:style w:type="paragraph" w:styleId="CommentSubject">
    <w:name w:val="annotation subject"/>
    <w:basedOn w:val="CommentText"/>
    <w:next w:val="CommentText"/>
    <w:link w:val="CommentSubjectChar"/>
    <w:rsid w:val="0094158E"/>
    <w:rPr>
      <w:b/>
      <w:bCs/>
      <w:lang w:val="x-none" w:eastAsia="x-none"/>
    </w:rPr>
  </w:style>
  <w:style w:type="character" w:customStyle="1" w:styleId="CommentSubjectChar">
    <w:name w:val="Comment Subject Char"/>
    <w:link w:val="CommentSubject"/>
    <w:rsid w:val="0094158E"/>
    <w:rPr>
      <w:b/>
      <w:bCs/>
    </w:rPr>
  </w:style>
  <w:style w:type="paragraph" w:styleId="TOC1">
    <w:name w:val="toc 1"/>
    <w:basedOn w:val="Normal"/>
    <w:next w:val="Normal"/>
    <w:rsid w:val="00DA2D82"/>
    <w:pPr>
      <w:tabs>
        <w:tab w:val="left" w:pos="360"/>
        <w:tab w:val="right" w:leader="dot" w:pos="9360"/>
      </w:tabs>
      <w:suppressAutoHyphens/>
      <w:ind w:left="360" w:right="720" w:hanging="360"/>
    </w:pPr>
    <w:rPr>
      <w:caps/>
      <w:noProof/>
    </w:rPr>
  </w:style>
  <w:style w:type="paragraph" w:styleId="TOC2">
    <w:name w:val="toc 2"/>
    <w:basedOn w:val="Normal"/>
    <w:next w:val="Normal"/>
    <w:rsid w:val="00DA2D82"/>
    <w:pPr>
      <w:tabs>
        <w:tab w:val="left" w:pos="720"/>
        <w:tab w:val="right" w:leader="dot" w:pos="9360"/>
      </w:tabs>
      <w:suppressAutoHyphens/>
      <w:ind w:left="720" w:right="720" w:hanging="360"/>
    </w:pPr>
    <w:rPr>
      <w:noProof/>
    </w:rPr>
  </w:style>
  <w:style w:type="paragraph" w:styleId="TOC3">
    <w:name w:val="toc 3"/>
    <w:basedOn w:val="Normal"/>
    <w:next w:val="Normal"/>
    <w:rsid w:val="00DA2D8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A2D8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A2D8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A2D82"/>
    <w:pPr>
      <w:tabs>
        <w:tab w:val="left" w:pos="2160"/>
        <w:tab w:val="right" w:leader="dot" w:pos="9360"/>
      </w:tabs>
      <w:suppressAutoHyphens/>
      <w:ind w:left="2160" w:hanging="360"/>
    </w:pPr>
    <w:rPr>
      <w:noProof/>
    </w:rPr>
  </w:style>
  <w:style w:type="paragraph" w:styleId="TOC7">
    <w:name w:val="toc 7"/>
    <w:basedOn w:val="Normal"/>
    <w:next w:val="Normal"/>
    <w:autoRedefine/>
    <w:rsid w:val="00DA2D82"/>
    <w:pPr>
      <w:tabs>
        <w:tab w:val="left" w:pos="2520"/>
        <w:tab w:val="right" w:leader="dot" w:pos="9360"/>
      </w:tabs>
      <w:suppressAutoHyphens/>
      <w:ind w:left="2520" w:hanging="360"/>
    </w:pPr>
    <w:rPr>
      <w:noProof/>
    </w:rPr>
  </w:style>
  <w:style w:type="paragraph" w:styleId="TOC8">
    <w:name w:val="toc 8"/>
    <w:basedOn w:val="Normal"/>
    <w:next w:val="Normal"/>
    <w:autoRedefine/>
    <w:rsid w:val="00DA2D82"/>
    <w:pPr>
      <w:tabs>
        <w:tab w:val="left" w:pos="2880"/>
        <w:tab w:val="right" w:leader="dot" w:pos="9360"/>
      </w:tabs>
      <w:suppressAutoHyphens/>
      <w:ind w:left="2880" w:hanging="360"/>
    </w:pPr>
    <w:rPr>
      <w:noProof/>
    </w:rPr>
  </w:style>
  <w:style w:type="paragraph" w:styleId="TOC9">
    <w:name w:val="toc 9"/>
    <w:basedOn w:val="Normal"/>
    <w:next w:val="Normal"/>
    <w:autoRedefine/>
    <w:rsid w:val="00DA2D82"/>
    <w:pPr>
      <w:tabs>
        <w:tab w:val="left" w:pos="3240"/>
        <w:tab w:val="right" w:leader="dot" w:pos="9360"/>
      </w:tabs>
      <w:suppressAutoHyphens/>
      <w:ind w:left="3240" w:hanging="360"/>
    </w:pPr>
    <w:rPr>
      <w:noProof/>
    </w:rPr>
  </w:style>
  <w:style w:type="paragraph" w:styleId="TOAHeading">
    <w:name w:val="toa heading"/>
    <w:basedOn w:val="Normal"/>
    <w:next w:val="Normal"/>
    <w:rsid w:val="00DA2D82"/>
    <w:pPr>
      <w:tabs>
        <w:tab w:val="right" w:pos="9360"/>
      </w:tabs>
      <w:suppressAutoHyphens/>
    </w:pPr>
  </w:style>
  <w:style w:type="character" w:customStyle="1" w:styleId="EquationCaption">
    <w:name w:val="_Equation Caption"/>
    <w:rsid w:val="00DA2D82"/>
  </w:style>
  <w:style w:type="paragraph" w:styleId="BlockText">
    <w:name w:val="Block Text"/>
    <w:basedOn w:val="Normal"/>
    <w:rsid w:val="00DA2D82"/>
    <w:pPr>
      <w:spacing w:after="240"/>
      <w:ind w:left="1440" w:right="1440"/>
    </w:pPr>
  </w:style>
  <w:style w:type="paragraph" w:customStyle="1" w:styleId="Paratitle">
    <w:name w:val="Para title"/>
    <w:basedOn w:val="Normal"/>
    <w:rsid w:val="00DA2D82"/>
    <w:pPr>
      <w:tabs>
        <w:tab w:val="center" w:pos="9270"/>
      </w:tabs>
      <w:spacing w:after="240"/>
    </w:pPr>
    <w:rPr>
      <w:spacing w:val="-2"/>
    </w:rPr>
  </w:style>
  <w:style w:type="paragraph" w:customStyle="1" w:styleId="Bullet">
    <w:name w:val="Bullet"/>
    <w:basedOn w:val="Normal"/>
    <w:rsid w:val="00DA2D82"/>
    <w:pPr>
      <w:tabs>
        <w:tab w:val="left" w:pos="2160"/>
      </w:tabs>
      <w:spacing w:after="220"/>
      <w:ind w:left="2160" w:hanging="720"/>
    </w:pPr>
  </w:style>
  <w:style w:type="paragraph" w:customStyle="1" w:styleId="TableFormat">
    <w:name w:val="TableFormat"/>
    <w:basedOn w:val="Bullet"/>
    <w:rsid w:val="00DA2D82"/>
    <w:pPr>
      <w:tabs>
        <w:tab w:val="clear" w:pos="2160"/>
        <w:tab w:val="left" w:pos="5040"/>
      </w:tabs>
      <w:ind w:left="5040" w:hanging="3600"/>
    </w:pPr>
  </w:style>
  <w:style w:type="paragraph" w:customStyle="1" w:styleId="TOCTitle">
    <w:name w:val="TOC Title"/>
    <w:basedOn w:val="Normal"/>
    <w:rsid w:val="00DA2D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2D82"/>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D82"/>
    <w:pPr>
      <w:widowControl w:val="0"/>
    </w:pPr>
    <w:rPr>
      <w:snapToGrid w:val="0"/>
      <w:kern w:val="28"/>
      <w:sz w:val="22"/>
    </w:rPr>
  </w:style>
  <w:style w:type="paragraph" w:styleId="Heading1">
    <w:name w:val="heading 1"/>
    <w:basedOn w:val="Normal"/>
    <w:next w:val="ParaNum"/>
    <w:qFormat/>
    <w:rsid w:val="00DA2D82"/>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2D82"/>
    <w:pPr>
      <w:keepNext/>
      <w:numPr>
        <w:ilvl w:val="1"/>
        <w:numId w:val="5"/>
      </w:numPr>
      <w:spacing w:after="120"/>
      <w:outlineLvl w:val="1"/>
    </w:pPr>
    <w:rPr>
      <w:b/>
    </w:rPr>
  </w:style>
  <w:style w:type="paragraph" w:styleId="Heading3">
    <w:name w:val="heading 3"/>
    <w:basedOn w:val="Normal"/>
    <w:next w:val="ParaNum"/>
    <w:qFormat/>
    <w:rsid w:val="00DA2D82"/>
    <w:pPr>
      <w:keepNext/>
      <w:numPr>
        <w:ilvl w:val="2"/>
        <w:numId w:val="5"/>
      </w:numPr>
      <w:tabs>
        <w:tab w:val="left" w:pos="2160"/>
      </w:tabs>
      <w:spacing w:after="120"/>
      <w:outlineLvl w:val="2"/>
    </w:pPr>
    <w:rPr>
      <w:b/>
    </w:rPr>
  </w:style>
  <w:style w:type="paragraph" w:styleId="Heading4">
    <w:name w:val="heading 4"/>
    <w:basedOn w:val="Normal"/>
    <w:next w:val="ParaNum"/>
    <w:qFormat/>
    <w:rsid w:val="00DA2D82"/>
    <w:pPr>
      <w:keepNext/>
      <w:numPr>
        <w:ilvl w:val="3"/>
        <w:numId w:val="5"/>
      </w:numPr>
      <w:tabs>
        <w:tab w:val="left" w:pos="2880"/>
      </w:tabs>
      <w:spacing w:after="120"/>
      <w:outlineLvl w:val="3"/>
    </w:pPr>
    <w:rPr>
      <w:b/>
    </w:rPr>
  </w:style>
  <w:style w:type="paragraph" w:styleId="Heading5">
    <w:name w:val="heading 5"/>
    <w:basedOn w:val="Normal"/>
    <w:next w:val="ParaNum"/>
    <w:qFormat/>
    <w:rsid w:val="00DA2D82"/>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DA2D82"/>
    <w:pPr>
      <w:numPr>
        <w:ilvl w:val="5"/>
        <w:numId w:val="5"/>
      </w:numPr>
      <w:tabs>
        <w:tab w:val="left" w:pos="4320"/>
      </w:tabs>
      <w:spacing w:after="120"/>
      <w:outlineLvl w:val="5"/>
    </w:pPr>
    <w:rPr>
      <w:b/>
    </w:rPr>
  </w:style>
  <w:style w:type="paragraph" w:styleId="Heading7">
    <w:name w:val="heading 7"/>
    <w:basedOn w:val="Normal"/>
    <w:next w:val="ParaNum"/>
    <w:qFormat/>
    <w:rsid w:val="00DA2D82"/>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DA2D82"/>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DA2D82"/>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2D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D82"/>
  </w:style>
  <w:style w:type="paragraph" w:customStyle="1" w:styleId="ParaNum">
    <w:name w:val="ParaNum"/>
    <w:basedOn w:val="Normal"/>
    <w:link w:val="ParaNumChar"/>
    <w:rsid w:val="00DA2D82"/>
    <w:pPr>
      <w:numPr>
        <w:numId w:val="12"/>
      </w:numPr>
      <w:tabs>
        <w:tab w:val="clear" w:pos="1080"/>
        <w:tab w:val="num" w:pos="1440"/>
      </w:tabs>
      <w:spacing w:after="120"/>
    </w:pPr>
  </w:style>
  <w:style w:type="paragraph" w:styleId="FootnoteText">
    <w:name w:val="footnote text"/>
    <w:aliases w:val="ALTS FOOTNOTE,fn,Footnote Text 2,Footnote text,FOOTNOTE,Footnote Text Char2 Char,Footnote Text Char1 Char2 Char,Footnote Text Char Char Char Char,Footnote Text Char2 Char Char1 Char Char,ALTS FOOTNOTE Char,fn Char Char,Footnote Text Char1"/>
    <w:link w:val="FootnoteTextChar"/>
    <w:rsid w:val="00DA2D82"/>
    <w:pPr>
      <w:spacing w:after="120"/>
    </w:pPr>
  </w:style>
  <w:style w:type="character" w:styleId="FootnoteReference">
    <w:name w:val="footnote reference"/>
    <w:aliases w:val="o,Style 3,(NECG) Footnote Reference,fr,Appel note de bas de p"/>
    <w:rsid w:val="00DA2D82"/>
    <w:rPr>
      <w:rFonts w:ascii="Times New Roman" w:hAnsi="Times New Roman"/>
      <w:dstrike w:val="0"/>
      <w:color w:val="auto"/>
      <w:sz w:val="20"/>
      <w:vertAlign w:val="superscript"/>
    </w:rPr>
  </w:style>
  <w:style w:type="paragraph" w:styleId="Header">
    <w:name w:val="header"/>
    <w:basedOn w:val="Normal"/>
    <w:autoRedefine/>
    <w:rsid w:val="00DA2D82"/>
    <w:pPr>
      <w:tabs>
        <w:tab w:val="center" w:pos="4680"/>
        <w:tab w:val="right" w:pos="9360"/>
      </w:tabs>
    </w:pPr>
    <w:rPr>
      <w:b/>
    </w:rPr>
  </w:style>
  <w:style w:type="paragraph" w:styleId="Footer">
    <w:name w:val="footer"/>
    <w:basedOn w:val="Normal"/>
    <w:rsid w:val="00DA2D82"/>
    <w:pPr>
      <w:tabs>
        <w:tab w:val="center" w:pos="4320"/>
        <w:tab w:val="right" w:pos="8640"/>
      </w:tabs>
    </w:pPr>
  </w:style>
  <w:style w:type="character" w:styleId="PageNumber">
    <w:name w:val="page number"/>
    <w:basedOn w:val="DefaultParagraphFont"/>
    <w:rsid w:val="00DA2D82"/>
  </w:style>
  <w:style w:type="character" w:customStyle="1" w:styleId="ParaNumChar">
    <w:name w:val="ParaNum Char"/>
    <w:link w:val="ParaNum"/>
    <w:rsid w:val="00980651"/>
    <w:rPr>
      <w:snapToGrid w:val="0"/>
      <w:kern w:val="28"/>
      <w:sz w:val="22"/>
    </w:rPr>
  </w:style>
  <w:style w:type="character" w:customStyle="1" w:styleId="FootnoteTextChar">
    <w:name w:val="Footnote Text Char"/>
    <w:aliases w:val="ALTS FOOTNOTE Char1,fn Char,Footnote Text 2 Char,Footnote text Char,FOOTNOTE Char,Footnote Text Char2 Char Char,Footnote Text Char1 Char2 Char Char,Footnote Text Char Char Char Char Char,Footnote Text Char2 Char Char1 Char Char Char"/>
    <w:link w:val="FootnoteText"/>
    <w:rsid w:val="00A507AF"/>
  </w:style>
  <w:style w:type="character" w:styleId="Hyperlink">
    <w:name w:val="Hyperlink"/>
    <w:rsid w:val="00DA2D82"/>
    <w:rPr>
      <w:color w:val="0000FF"/>
      <w:u w:val="single"/>
    </w:rPr>
  </w:style>
  <w:style w:type="paragraph" w:customStyle="1" w:styleId="Paranum0">
    <w:name w:val="Paranum"/>
    <w:rsid w:val="00A507AF"/>
    <w:pPr>
      <w:numPr>
        <w:numId w:val="3"/>
      </w:numPr>
      <w:tabs>
        <w:tab w:val="left" w:pos="1440"/>
      </w:tabs>
      <w:spacing w:after="240"/>
      <w:jc w:val="both"/>
    </w:pPr>
    <w:rPr>
      <w:sz w:val="22"/>
    </w:rPr>
  </w:style>
  <w:style w:type="paragraph" w:styleId="BalloonText">
    <w:name w:val="Balloon Text"/>
    <w:basedOn w:val="Normal"/>
    <w:link w:val="BalloonTextChar"/>
    <w:rsid w:val="00D217FC"/>
    <w:rPr>
      <w:rFonts w:ascii="Tahoma" w:hAnsi="Tahoma"/>
      <w:sz w:val="16"/>
      <w:szCs w:val="16"/>
      <w:lang w:val="x-none" w:eastAsia="x-none"/>
    </w:rPr>
  </w:style>
  <w:style w:type="character" w:customStyle="1" w:styleId="BalloonTextChar">
    <w:name w:val="Balloon Text Char"/>
    <w:link w:val="BalloonText"/>
    <w:rsid w:val="00D217FC"/>
    <w:rPr>
      <w:rFonts w:ascii="Tahoma" w:hAnsi="Tahoma" w:cs="Tahoma"/>
      <w:sz w:val="16"/>
      <w:szCs w:val="16"/>
    </w:rPr>
  </w:style>
  <w:style w:type="paragraph" w:styleId="Revision">
    <w:name w:val="Revision"/>
    <w:hidden/>
    <w:uiPriority w:val="99"/>
    <w:semiHidden/>
    <w:rsid w:val="00F60768"/>
    <w:rPr>
      <w:sz w:val="22"/>
    </w:rPr>
  </w:style>
  <w:style w:type="paragraph" w:styleId="ListParagraph">
    <w:name w:val="List Paragraph"/>
    <w:basedOn w:val="Normal"/>
    <w:uiPriority w:val="34"/>
    <w:qFormat/>
    <w:rsid w:val="0051221E"/>
    <w:pPr>
      <w:spacing w:after="120"/>
      <w:ind w:left="720"/>
      <w:contextualSpacing/>
    </w:pPr>
    <w:rPr>
      <w:rFonts w:eastAsia="Calibri"/>
    </w:rPr>
  </w:style>
  <w:style w:type="paragraph" w:styleId="EndnoteText">
    <w:name w:val="endnote text"/>
    <w:basedOn w:val="Normal"/>
    <w:link w:val="EndnoteTextChar"/>
    <w:rsid w:val="00DA2D82"/>
    <w:rPr>
      <w:sz w:val="20"/>
    </w:rPr>
  </w:style>
  <w:style w:type="character" w:customStyle="1" w:styleId="EndnoteTextChar">
    <w:name w:val="Endnote Text Char"/>
    <w:link w:val="EndnoteText"/>
    <w:rsid w:val="0064616F"/>
    <w:rPr>
      <w:snapToGrid w:val="0"/>
      <w:kern w:val="28"/>
    </w:rPr>
  </w:style>
  <w:style w:type="character" w:styleId="EndnoteReference">
    <w:name w:val="endnote reference"/>
    <w:rsid w:val="00DA2D82"/>
    <w:rPr>
      <w:vertAlign w:val="superscript"/>
    </w:rPr>
  </w:style>
  <w:style w:type="paragraph" w:styleId="NormalWeb">
    <w:name w:val="Normal (Web)"/>
    <w:basedOn w:val="Normal"/>
    <w:uiPriority w:val="99"/>
    <w:unhideWhenUsed/>
    <w:rsid w:val="0075411F"/>
    <w:rPr>
      <w:rFonts w:eastAsia="Calibri"/>
      <w:sz w:val="24"/>
      <w:szCs w:val="24"/>
    </w:rPr>
  </w:style>
  <w:style w:type="character" w:styleId="Emphasis">
    <w:name w:val="Emphasis"/>
    <w:uiPriority w:val="20"/>
    <w:qFormat/>
    <w:rsid w:val="0075411F"/>
    <w:rPr>
      <w:i/>
      <w:iCs/>
    </w:rPr>
  </w:style>
  <w:style w:type="character" w:styleId="CommentReference">
    <w:name w:val="annotation reference"/>
    <w:rsid w:val="0094158E"/>
    <w:rPr>
      <w:sz w:val="16"/>
      <w:szCs w:val="16"/>
    </w:rPr>
  </w:style>
  <w:style w:type="paragraph" w:styleId="CommentText">
    <w:name w:val="annotation text"/>
    <w:basedOn w:val="Normal"/>
    <w:link w:val="CommentTextChar"/>
    <w:rsid w:val="0094158E"/>
    <w:rPr>
      <w:sz w:val="20"/>
    </w:rPr>
  </w:style>
  <w:style w:type="character" w:customStyle="1" w:styleId="CommentTextChar">
    <w:name w:val="Comment Text Char"/>
    <w:basedOn w:val="DefaultParagraphFont"/>
    <w:link w:val="CommentText"/>
    <w:rsid w:val="0094158E"/>
  </w:style>
  <w:style w:type="paragraph" w:styleId="CommentSubject">
    <w:name w:val="annotation subject"/>
    <w:basedOn w:val="CommentText"/>
    <w:next w:val="CommentText"/>
    <w:link w:val="CommentSubjectChar"/>
    <w:rsid w:val="0094158E"/>
    <w:rPr>
      <w:b/>
      <w:bCs/>
      <w:lang w:val="x-none" w:eastAsia="x-none"/>
    </w:rPr>
  </w:style>
  <w:style w:type="character" w:customStyle="1" w:styleId="CommentSubjectChar">
    <w:name w:val="Comment Subject Char"/>
    <w:link w:val="CommentSubject"/>
    <w:rsid w:val="0094158E"/>
    <w:rPr>
      <w:b/>
      <w:bCs/>
    </w:rPr>
  </w:style>
  <w:style w:type="paragraph" w:styleId="TOC1">
    <w:name w:val="toc 1"/>
    <w:basedOn w:val="Normal"/>
    <w:next w:val="Normal"/>
    <w:rsid w:val="00DA2D82"/>
    <w:pPr>
      <w:tabs>
        <w:tab w:val="left" w:pos="360"/>
        <w:tab w:val="right" w:leader="dot" w:pos="9360"/>
      </w:tabs>
      <w:suppressAutoHyphens/>
      <w:ind w:left="360" w:right="720" w:hanging="360"/>
    </w:pPr>
    <w:rPr>
      <w:caps/>
      <w:noProof/>
    </w:rPr>
  </w:style>
  <w:style w:type="paragraph" w:styleId="TOC2">
    <w:name w:val="toc 2"/>
    <w:basedOn w:val="Normal"/>
    <w:next w:val="Normal"/>
    <w:rsid w:val="00DA2D82"/>
    <w:pPr>
      <w:tabs>
        <w:tab w:val="left" w:pos="720"/>
        <w:tab w:val="right" w:leader="dot" w:pos="9360"/>
      </w:tabs>
      <w:suppressAutoHyphens/>
      <w:ind w:left="720" w:right="720" w:hanging="360"/>
    </w:pPr>
    <w:rPr>
      <w:noProof/>
    </w:rPr>
  </w:style>
  <w:style w:type="paragraph" w:styleId="TOC3">
    <w:name w:val="toc 3"/>
    <w:basedOn w:val="Normal"/>
    <w:next w:val="Normal"/>
    <w:rsid w:val="00DA2D8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A2D8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A2D82"/>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A2D82"/>
    <w:pPr>
      <w:tabs>
        <w:tab w:val="left" w:pos="2160"/>
        <w:tab w:val="right" w:leader="dot" w:pos="9360"/>
      </w:tabs>
      <w:suppressAutoHyphens/>
      <w:ind w:left="2160" w:hanging="360"/>
    </w:pPr>
    <w:rPr>
      <w:noProof/>
    </w:rPr>
  </w:style>
  <w:style w:type="paragraph" w:styleId="TOC7">
    <w:name w:val="toc 7"/>
    <w:basedOn w:val="Normal"/>
    <w:next w:val="Normal"/>
    <w:autoRedefine/>
    <w:rsid w:val="00DA2D82"/>
    <w:pPr>
      <w:tabs>
        <w:tab w:val="left" w:pos="2520"/>
        <w:tab w:val="right" w:leader="dot" w:pos="9360"/>
      </w:tabs>
      <w:suppressAutoHyphens/>
      <w:ind w:left="2520" w:hanging="360"/>
    </w:pPr>
    <w:rPr>
      <w:noProof/>
    </w:rPr>
  </w:style>
  <w:style w:type="paragraph" w:styleId="TOC8">
    <w:name w:val="toc 8"/>
    <w:basedOn w:val="Normal"/>
    <w:next w:val="Normal"/>
    <w:autoRedefine/>
    <w:rsid w:val="00DA2D82"/>
    <w:pPr>
      <w:tabs>
        <w:tab w:val="left" w:pos="2880"/>
        <w:tab w:val="right" w:leader="dot" w:pos="9360"/>
      </w:tabs>
      <w:suppressAutoHyphens/>
      <w:ind w:left="2880" w:hanging="360"/>
    </w:pPr>
    <w:rPr>
      <w:noProof/>
    </w:rPr>
  </w:style>
  <w:style w:type="paragraph" w:styleId="TOC9">
    <w:name w:val="toc 9"/>
    <w:basedOn w:val="Normal"/>
    <w:next w:val="Normal"/>
    <w:autoRedefine/>
    <w:rsid w:val="00DA2D82"/>
    <w:pPr>
      <w:tabs>
        <w:tab w:val="left" w:pos="3240"/>
        <w:tab w:val="right" w:leader="dot" w:pos="9360"/>
      </w:tabs>
      <w:suppressAutoHyphens/>
      <w:ind w:left="3240" w:hanging="360"/>
    </w:pPr>
    <w:rPr>
      <w:noProof/>
    </w:rPr>
  </w:style>
  <w:style w:type="paragraph" w:styleId="TOAHeading">
    <w:name w:val="toa heading"/>
    <w:basedOn w:val="Normal"/>
    <w:next w:val="Normal"/>
    <w:rsid w:val="00DA2D82"/>
    <w:pPr>
      <w:tabs>
        <w:tab w:val="right" w:pos="9360"/>
      </w:tabs>
      <w:suppressAutoHyphens/>
    </w:pPr>
  </w:style>
  <w:style w:type="character" w:customStyle="1" w:styleId="EquationCaption">
    <w:name w:val="_Equation Caption"/>
    <w:rsid w:val="00DA2D82"/>
  </w:style>
  <w:style w:type="paragraph" w:styleId="BlockText">
    <w:name w:val="Block Text"/>
    <w:basedOn w:val="Normal"/>
    <w:rsid w:val="00DA2D82"/>
    <w:pPr>
      <w:spacing w:after="240"/>
      <w:ind w:left="1440" w:right="1440"/>
    </w:pPr>
  </w:style>
  <w:style w:type="paragraph" w:customStyle="1" w:styleId="Paratitle">
    <w:name w:val="Para title"/>
    <w:basedOn w:val="Normal"/>
    <w:rsid w:val="00DA2D82"/>
    <w:pPr>
      <w:tabs>
        <w:tab w:val="center" w:pos="9270"/>
      </w:tabs>
      <w:spacing w:after="240"/>
    </w:pPr>
    <w:rPr>
      <w:spacing w:val="-2"/>
    </w:rPr>
  </w:style>
  <w:style w:type="paragraph" w:customStyle="1" w:styleId="Bullet">
    <w:name w:val="Bullet"/>
    <w:basedOn w:val="Normal"/>
    <w:rsid w:val="00DA2D82"/>
    <w:pPr>
      <w:tabs>
        <w:tab w:val="left" w:pos="2160"/>
      </w:tabs>
      <w:spacing w:after="220"/>
      <w:ind w:left="2160" w:hanging="720"/>
    </w:pPr>
  </w:style>
  <w:style w:type="paragraph" w:customStyle="1" w:styleId="TableFormat">
    <w:name w:val="TableFormat"/>
    <w:basedOn w:val="Bullet"/>
    <w:rsid w:val="00DA2D82"/>
    <w:pPr>
      <w:tabs>
        <w:tab w:val="clear" w:pos="2160"/>
        <w:tab w:val="left" w:pos="5040"/>
      </w:tabs>
      <w:ind w:left="5040" w:hanging="3600"/>
    </w:pPr>
  </w:style>
  <w:style w:type="paragraph" w:customStyle="1" w:styleId="TOCTitle">
    <w:name w:val="TOC Title"/>
    <w:basedOn w:val="Normal"/>
    <w:rsid w:val="00DA2D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2D82"/>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79722">
      <w:bodyDiv w:val="1"/>
      <w:marLeft w:val="0"/>
      <w:marRight w:val="0"/>
      <w:marTop w:val="0"/>
      <w:marBottom w:val="0"/>
      <w:divBdr>
        <w:top w:val="none" w:sz="0" w:space="0" w:color="auto"/>
        <w:left w:val="none" w:sz="0" w:space="0" w:color="auto"/>
        <w:bottom w:val="none" w:sz="0" w:space="0" w:color="auto"/>
        <w:right w:val="none" w:sz="0" w:space="0" w:color="auto"/>
      </w:divBdr>
    </w:div>
    <w:div w:id="1469011343">
      <w:bodyDiv w:val="1"/>
      <w:marLeft w:val="0"/>
      <w:marRight w:val="0"/>
      <w:marTop w:val="0"/>
      <w:marBottom w:val="0"/>
      <w:divBdr>
        <w:top w:val="none" w:sz="0" w:space="0" w:color="auto"/>
        <w:left w:val="none" w:sz="0" w:space="0" w:color="auto"/>
        <w:bottom w:val="none" w:sz="0" w:space="0" w:color="auto"/>
        <w:right w:val="none" w:sz="0" w:space="0" w:color="auto"/>
      </w:divBdr>
      <w:divsChild>
        <w:div w:id="1976596254">
          <w:marLeft w:val="0"/>
          <w:marRight w:val="0"/>
          <w:marTop w:val="0"/>
          <w:marBottom w:val="0"/>
          <w:divBdr>
            <w:top w:val="none" w:sz="0" w:space="0" w:color="auto"/>
            <w:left w:val="none" w:sz="0" w:space="0" w:color="auto"/>
            <w:bottom w:val="none" w:sz="0" w:space="0" w:color="auto"/>
            <w:right w:val="none" w:sz="0" w:space="0" w:color="auto"/>
          </w:divBdr>
        </w:div>
      </w:divsChild>
    </w:div>
    <w:div w:id="1650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3232</Words>
  <Characters>18251</Characters>
  <Application>Microsoft Office Word</Application>
  <DocSecurity>0</DocSecurity>
  <Lines>283</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21542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2014-06-10T15:20:00Z</cp:lastPrinted>
  <dcterms:created xsi:type="dcterms:W3CDTF">2014-06-10T16:21:00Z</dcterms:created>
  <dcterms:modified xsi:type="dcterms:W3CDTF">2014-06-10T16:21:00Z</dcterms:modified>
  <cp:category> </cp:category>
  <cp:contentStatus> </cp:contentStatus>
</cp:coreProperties>
</file>