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C22" w:rsidRDefault="00F61C22" w:rsidP="005F1D9F">
      <w:pPr>
        <w:jc w:val="center"/>
        <w:rPr>
          <w:b/>
        </w:rPr>
      </w:pPr>
      <w:bookmarkStart w:id="0" w:name="_GoBack"/>
      <w:bookmarkEnd w:id="0"/>
      <w:r>
        <w:rPr>
          <w:b/>
        </w:rPr>
        <w:t>Before the</w:t>
      </w:r>
    </w:p>
    <w:p w:rsidR="00F61C22" w:rsidRDefault="00F61C22">
      <w:pPr>
        <w:jc w:val="center"/>
        <w:rPr>
          <w:b/>
        </w:rPr>
      </w:pPr>
      <w:r>
        <w:rPr>
          <w:b/>
        </w:rPr>
        <w:t>Federal Communications Commission</w:t>
      </w:r>
    </w:p>
    <w:p w:rsidR="00F61C22" w:rsidRDefault="00F61C22">
      <w:pPr>
        <w:jc w:val="center"/>
        <w:rPr>
          <w:b/>
        </w:rPr>
      </w:pPr>
      <w:smartTag w:uri="urn:schemas-microsoft-com:office:smarttags" w:element="place">
        <w:smartTag w:uri="urn:schemas-microsoft-com:office:smarttags" w:element="City">
          <w:r>
            <w:rPr>
              <w:b/>
            </w:rPr>
            <w:t>Washington</w:t>
          </w:r>
        </w:smartTag>
        <w:r>
          <w:rPr>
            <w:b/>
          </w:rPr>
          <w:t xml:space="preserve">, </w:t>
        </w:r>
        <w:smartTag w:uri="urn:schemas-microsoft-com:office:smarttags" w:element="State">
          <w:r>
            <w:rPr>
              <w:b/>
            </w:rPr>
            <w:t>D.C.</w:t>
          </w:r>
        </w:smartTag>
        <w:r>
          <w:rPr>
            <w:b/>
          </w:rPr>
          <w:t xml:space="preserve"> </w:t>
        </w:r>
        <w:smartTag w:uri="urn:schemas-microsoft-com:office:smarttags" w:element="PostalCode">
          <w:r>
            <w:rPr>
              <w:b/>
            </w:rPr>
            <w:t>20554</w:t>
          </w:r>
        </w:smartTag>
      </w:smartTag>
    </w:p>
    <w:p w:rsidR="00F61C22" w:rsidRDefault="00F61C22"/>
    <w:p w:rsidR="00F61C22" w:rsidRDefault="00F61C22"/>
    <w:tbl>
      <w:tblPr>
        <w:tblW w:w="0" w:type="auto"/>
        <w:tblLayout w:type="fixed"/>
        <w:tblLook w:val="0000" w:firstRow="0" w:lastRow="0" w:firstColumn="0" w:lastColumn="0" w:noHBand="0" w:noVBand="0"/>
      </w:tblPr>
      <w:tblGrid>
        <w:gridCol w:w="4698"/>
        <w:gridCol w:w="720"/>
        <w:gridCol w:w="4230"/>
      </w:tblGrid>
      <w:tr w:rsidR="00F61C22">
        <w:tc>
          <w:tcPr>
            <w:tcW w:w="4698" w:type="dxa"/>
          </w:tcPr>
          <w:p w:rsidR="00F61C22" w:rsidRDefault="00F61C22">
            <w:pPr>
              <w:ind w:right="-18"/>
            </w:pPr>
            <w:r>
              <w:t>In the Matter of</w:t>
            </w:r>
          </w:p>
          <w:p w:rsidR="00F61C22" w:rsidRDefault="00F61C22">
            <w:pPr>
              <w:ind w:right="-18"/>
            </w:pPr>
          </w:p>
          <w:p w:rsidR="00F61C22" w:rsidRDefault="00F61C22">
            <w:pPr>
              <w:ind w:right="-18"/>
            </w:pPr>
            <w:r>
              <w:t>Amendment of Section 73.202(b),</w:t>
            </w:r>
          </w:p>
          <w:p w:rsidR="00F61C22" w:rsidRDefault="00F61C22">
            <w:pPr>
              <w:ind w:right="-18"/>
            </w:pPr>
            <w:r>
              <w:t>Table of Allotments,</w:t>
            </w:r>
          </w:p>
          <w:p w:rsidR="00F61C22" w:rsidRDefault="00F61C22">
            <w:pPr>
              <w:ind w:right="-18"/>
            </w:pPr>
            <w:r>
              <w:t>FM Broadcast Stations.</w:t>
            </w:r>
          </w:p>
          <w:p w:rsidR="00F61C22" w:rsidRDefault="00F61C22">
            <w:pPr>
              <w:ind w:right="-18"/>
            </w:pPr>
            <w:r>
              <w:t>(</w:t>
            </w:r>
            <w:smartTag w:uri="urn:schemas-microsoft-com:office:smarttags" w:element="place">
              <w:smartTag w:uri="urn:schemas-microsoft-com:office:smarttags" w:element="City">
                <w:r>
                  <w:t>Columbia</w:t>
                </w:r>
              </w:smartTag>
              <w:r>
                <w:t xml:space="preserve">, </w:t>
              </w:r>
              <w:smartTag w:uri="urn:schemas-microsoft-com:office:smarttags" w:element="State">
                <w:r>
                  <w:t>Missouri</w:t>
                </w:r>
              </w:smartTag>
            </w:smartTag>
            <w:r>
              <w:t>)</w:t>
            </w:r>
          </w:p>
          <w:p w:rsidR="00F61C22" w:rsidRDefault="00F61C22">
            <w:pPr>
              <w:ind w:right="-18"/>
            </w:pPr>
          </w:p>
        </w:tc>
        <w:tc>
          <w:tcPr>
            <w:tcW w:w="720" w:type="dxa"/>
          </w:tcPr>
          <w:p w:rsidR="00F61C22" w:rsidRDefault="00F61C22">
            <w:pPr>
              <w:rPr>
                <w:b/>
              </w:rPr>
            </w:pPr>
            <w:r>
              <w:rPr>
                <w:b/>
              </w:rPr>
              <w:t>)</w:t>
            </w:r>
          </w:p>
          <w:p w:rsidR="00F61C22" w:rsidRDefault="00F61C22">
            <w:pPr>
              <w:rPr>
                <w:b/>
              </w:rPr>
            </w:pPr>
            <w:r>
              <w:rPr>
                <w:b/>
              </w:rPr>
              <w:t>)</w:t>
            </w:r>
          </w:p>
          <w:p w:rsidR="00F61C22" w:rsidRDefault="00F61C22">
            <w:pPr>
              <w:rPr>
                <w:b/>
              </w:rPr>
            </w:pPr>
            <w:r>
              <w:rPr>
                <w:b/>
              </w:rPr>
              <w:t>)</w:t>
            </w:r>
          </w:p>
          <w:p w:rsidR="00F61C22" w:rsidRDefault="00F61C22">
            <w:pPr>
              <w:rPr>
                <w:b/>
              </w:rPr>
            </w:pPr>
            <w:r>
              <w:rPr>
                <w:b/>
              </w:rPr>
              <w:t>)</w:t>
            </w:r>
          </w:p>
          <w:p w:rsidR="00F61C22" w:rsidRDefault="00F61C22">
            <w:pPr>
              <w:rPr>
                <w:b/>
              </w:rPr>
            </w:pPr>
            <w:r>
              <w:rPr>
                <w:b/>
              </w:rPr>
              <w:t>)</w:t>
            </w:r>
          </w:p>
          <w:p w:rsidR="00F61C22" w:rsidRDefault="00F61C22">
            <w:pPr>
              <w:rPr>
                <w:b/>
              </w:rPr>
            </w:pPr>
            <w:r>
              <w:rPr>
                <w:b/>
              </w:rPr>
              <w:t>)</w:t>
            </w:r>
          </w:p>
          <w:p w:rsidR="00F61C22" w:rsidRDefault="00F61C22">
            <w:pPr>
              <w:rPr>
                <w:b/>
              </w:rPr>
            </w:pPr>
          </w:p>
        </w:tc>
        <w:tc>
          <w:tcPr>
            <w:tcW w:w="4230" w:type="dxa"/>
          </w:tcPr>
          <w:p w:rsidR="00F61C22" w:rsidRDefault="00F61C22"/>
          <w:p w:rsidR="00F61C22" w:rsidRDefault="00F61C22"/>
          <w:p w:rsidR="00F61C22" w:rsidRDefault="00F61C22"/>
          <w:p w:rsidR="00F61C22" w:rsidRDefault="00F61C22">
            <w:pPr>
              <w:rPr>
                <w:spacing w:val="-2"/>
              </w:rPr>
            </w:pPr>
          </w:p>
        </w:tc>
      </w:tr>
    </w:tbl>
    <w:p w:rsidR="00F61C22" w:rsidRDefault="00F61C22">
      <w:pPr>
        <w:jc w:val="center"/>
        <w:rPr>
          <w:b/>
        </w:rPr>
      </w:pPr>
      <w:r>
        <w:rPr>
          <w:b/>
        </w:rPr>
        <w:t>MEMORANDUM OPINION AND ORDER</w:t>
      </w:r>
    </w:p>
    <w:p w:rsidR="00F61C22" w:rsidRDefault="00F61C22">
      <w:pPr>
        <w:jc w:val="center"/>
        <w:rPr>
          <w:b/>
        </w:rPr>
      </w:pPr>
      <w:r>
        <w:rPr>
          <w:b/>
        </w:rPr>
        <w:t>(Proceeding Terminated)</w:t>
      </w:r>
    </w:p>
    <w:p w:rsidR="00F61C22" w:rsidRDefault="00F61C22">
      <w:pPr>
        <w:tabs>
          <w:tab w:val="left" w:pos="5760"/>
        </w:tabs>
      </w:pPr>
    </w:p>
    <w:p w:rsidR="00F61C22" w:rsidRDefault="00AA1578" w:rsidP="00AA1578">
      <w:pPr>
        <w:tabs>
          <w:tab w:val="left" w:pos="720"/>
          <w:tab w:val="right" w:pos="9360"/>
        </w:tabs>
        <w:suppressAutoHyphens/>
        <w:spacing w:line="227" w:lineRule="auto"/>
        <w:rPr>
          <w:b/>
          <w:spacing w:val="-2"/>
        </w:rPr>
      </w:pPr>
      <w:r>
        <w:rPr>
          <w:b/>
          <w:spacing w:val="-2"/>
        </w:rPr>
        <w:t xml:space="preserve">Adopted:  </w:t>
      </w:r>
      <w:r w:rsidR="00740EAF">
        <w:rPr>
          <w:b/>
          <w:spacing w:val="-2"/>
        </w:rPr>
        <w:t>June 11, 2014</w:t>
      </w:r>
      <w:r>
        <w:rPr>
          <w:b/>
          <w:spacing w:val="-2"/>
        </w:rPr>
        <w:tab/>
        <w:t>Released:</w:t>
      </w:r>
      <w:r w:rsidR="00740EAF">
        <w:rPr>
          <w:b/>
          <w:spacing w:val="-2"/>
        </w:rPr>
        <w:t xml:space="preserve"> </w:t>
      </w:r>
      <w:r w:rsidR="00323E87">
        <w:rPr>
          <w:b/>
          <w:spacing w:val="-2"/>
        </w:rPr>
        <w:t xml:space="preserve"> </w:t>
      </w:r>
      <w:r w:rsidR="00740EAF">
        <w:rPr>
          <w:b/>
          <w:spacing w:val="-2"/>
        </w:rPr>
        <w:t>June 12, 2014</w:t>
      </w:r>
      <w:r>
        <w:rPr>
          <w:b/>
          <w:spacing w:val="-2"/>
        </w:rPr>
        <w:t xml:space="preserve">  </w:t>
      </w:r>
    </w:p>
    <w:p w:rsidR="00AA1578" w:rsidRDefault="00AA1578" w:rsidP="00AA1578">
      <w:pPr>
        <w:tabs>
          <w:tab w:val="left" w:pos="720"/>
          <w:tab w:val="right" w:pos="9360"/>
        </w:tabs>
        <w:suppressAutoHyphens/>
        <w:spacing w:line="227" w:lineRule="auto"/>
        <w:rPr>
          <w:b/>
        </w:rPr>
      </w:pPr>
    </w:p>
    <w:p w:rsidR="00F61C22" w:rsidRDefault="00F61C22">
      <w:pPr>
        <w:tabs>
          <w:tab w:val="left" w:pos="5760"/>
        </w:tabs>
        <w:rPr>
          <w:spacing w:val="-2"/>
        </w:rPr>
      </w:pPr>
      <w:r>
        <w:rPr>
          <w:spacing w:val="-2"/>
        </w:rPr>
        <w:t>By the Commission:</w:t>
      </w:r>
    </w:p>
    <w:p w:rsidR="00976F76" w:rsidRDefault="00976F76">
      <w:pPr>
        <w:tabs>
          <w:tab w:val="left" w:pos="5760"/>
        </w:tabs>
        <w:rPr>
          <w:spacing w:val="-2"/>
        </w:rPr>
      </w:pPr>
    </w:p>
    <w:p w:rsidR="00F656DC" w:rsidRDefault="00F61C22" w:rsidP="0056389F">
      <w:pPr>
        <w:pStyle w:val="ParaNum"/>
      </w:pPr>
      <w:r>
        <w:t>The Commission has before it a</w:t>
      </w:r>
      <w:r w:rsidR="00C57B4A">
        <w:t xml:space="preserve"> June 21, 2006,</w:t>
      </w:r>
      <w:r>
        <w:t xml:space="preserve"> Application for Review filed by The Curators of the University of Missouri (“Petitioner”) directed to the</w:t>
      </w:r>
      <w:r w:rsidR="008F6244">
        <w:t xml:space="preserve"> staff</w:t>
      </w:r>
      <w:r>
        <w:t xml:space="preserve"> </w:t>
      </w:r>
      <w:r>
        <w:rPr>
          <w:i/>
        </w:rPr>
        <w:t xml:space="preserve">Memorandum Opinion and Order </w:t>
      </w:r>
      <w:r>
        <w:t>in this proceeding.</w:t>
      </w:r>
      <w:r>
        <w:rPr>
          <w:rStyle w:val="FootnoteReference"/>
          <w:spacing w:val="-2"/>
        </w:rPr>
        <w:footnoteReference w:id="2"/>
      </w:r>
      <w:r>
        <w:t xml:space="preserve">  No other pleadings were received.  For </w:t>
      </w:r>
      <w:r w:rsidR="00F656DC">
        <w:t xml:space="preserve">the </w:t>
      </w:r>
      <w:r>
        <w:t xml:space="preserve">reasons discussed below, we </w:t>
      </w:r>
      <w:r w:rsidR="0056389F">
        <w:t xml:space="preserve">grant </w:t>
      </w:r>
      <w:r>
        <w:t>the Application for Review</w:t>
      </w:r>
      <w:r w:rsidR="0056389F">
        <w:t xml:space="preserve"> in part and deny it in part.</w:t>
      </w:r>
      <w:r w:rsidR="00F656DC">
        <w:t xml:space="preserve"> </w:t>
      </w:r>
    </w:p>
    <w:p w:rsidR="00DC64FD" w:rsidRPr="00DC64FD" w:rsidRDefault="00EE5702" w:rsidP="00C81DEA">
      <w:pPr>
        <w:pStyle w:val="ParaNum"/>
      </w:pPr>
      <w:r>
        <w:rPr>
          <w:i/>
        </w:rPr>
        <w:t xml:space="preserve">Background.  </w:t>
      </w:r>
      <w:r w:rsidR="00CB794B">
        <w:t xml:space="preserve">On September 30, 2003, the Commission issued a </w:t>
      </w:r>
      <w:r w:rsidR="00CB794B">
        <w:rPr>
          <w:i/>
        </w:rPr>
        <w:t>Public Notice</w:t>
      </w:r>
      <w:r w:rsidR="00CB794B">
        <w:t>,</w:t>
      </w:r>
      <w:r w:rsidR="00CB794B">
        <w:rPr>
          <w:rStyle w:val="FootnoteReference"/>
        </w:rPr>
        <w:footnoteReference w:id="3"/>
      </w:r>
      <w:r w:rsidR="00CB794B">
        <w:t xml:space="preserve"> announcing that parties could </w:t>
      </w:r>
      <w:r w:rsidR="009D74CC">
        <w:t xml:space="preserve">petition </w:t>
      </w:r>
      <w:r w:rsidR="00CB794B">
        <w:t>to reserve certain vacant allotments in the nonreserved FM band</w:t>
      </w:r>
      <w:r w:rsidR="00F656DC">
        <w:rPr>
          <w:rStyle w:val="FootnoteReference"/>
        </w:rPr>
        <w:footnoteReference w:id="4"/>
      </w:r>
      <w:r w:rsidR="00CB794B">
        <w:t xml:space="preserve"> for noncommercial educational (“NCE”) use</w:t>
      </w:r>
      <w:r w:rsidR="00497620">
        <w:t xml:space="preserve"> pursuant to Section 73.202(a)(1)(ii)</w:t>
      </w:r>
      <w:r w:rsidR="008F6244">
        <w:t xml:space="preserve"> of the Commission’s rules</w:t>
      </w:r>
      <w:r w:rsidR="00CB794B">
        <w:t>.</w:t>
      </w:r>
      <w:r w:rsidR="00497620">
        <w:rPr>
          <w:rStyle w:val="FootnoteReference"/>
        </w:rPr>
        <w:footnoteReference w:id="5"/>
      </w:r>
      <w:r w:rsidR="00CB794B">
        <w:t xml:space="preserve"> </w:t>
      </w:r>
      <w:r w:rsidR="003C2818">
        <w:t xml:space="preserve"> Under </w:t>
      </w:r>
      <w:r w:rsidR="0041310F">
        <w:t>the</w:t>
      </w:r>
      <w:r w:rsidR="00CB794B">
        <w:t xml:space="preserve"> relaxed reservation standard</w:t>
      </w:r>
      <w:r w:rsidR="003C2818">
        <w:t>,</w:t>
      </w:r>
      <w:r w:rsidR="00CB794B">
        <w:t xml:space="preserve"> a nonreserved FM channel could be reserved if</w:t>
      </w:r>
      <w:r w:rsidR="006E0EA3">
        <w:t>:</w:t>
      </w:r>
      <w:r w:rsidR="00CB794B">
        <w:t xml:space="preserve"> (1) the proponent could demonstrate that it is technically precluded from using a reserved channel</w:t>
      </w:r>
      <w:r w:rsidR="00793E42">
        <w:t>;</w:t>
      </w:r>
      <w:r w:rsidR="00CB794B">
        <w:rPr>
          <w:rStyle w:val="FootnoteReference"/>
        </w:rPr>
        <w:footnoteReference w:id="6"/>
      </w:r>
      <w:r w:rsidR="00CB794B">
        <w:t xml:space="preserve"> and (2) </w:t>
      </w:r>
      <w:r w:rsidR="00793E42">
        <w:t xml:space="preserve">the proposed facility </w:t>
      </w:r>
      <w:r w:rsidR="00CB794B">
        <w:t xml:space="preserve">would provide a first and/or </w:t>
      </w:r>
      <w:r w:rsidR="00E7316C">
        <w:t xml:space="preserve">second NCE radio service to </w:t>
      </w:r>
      <w:r w:rsidR="008F6244">
        <w:t xml:space="preserve">at least </w:t>
      </w:r>
      <w:r w:rsidR="00E7316C">
        <w:t>ten</w:t>
      </w:r>
      <w:r w:rsidR="00976F76">
        <w:t xml:space="preserve"> </w:t>
      </w:r>
      <w:r w:rsidR="00CB794B">
        <w:t>percent of the population within the 1 mV/m contour of its proposed station</w:t>
      </w:r>
      <w:r w:rsidR="009A366A">
        <w:t>, provided that such service is to</w:t>
      </w:r>
      <w:r w:rsidR="00CB794B">
        <w:t xml:space="preserve"> at least 2,000 persons.</w:t>
      </w:r>
      <w:r w:rsidR="00CB794B">
        <w:rPr>
          <w:rStyle w:val="FootnoteReference"/>
        </w:rPr>
        <w:footnoteReference w:id="7"/>
      </w:r>
      <w:r w:rsidR="00CB794B">
        <w:t xml:space="preserve">  </w:t>
      </w:r>
      <w:r w:rsidR="00A35927">
        <w:t xml:space="preserve">On March 24, 2004, </w:t>
      </w:r>
      <w:r w:rsidR="00CB794B">
        <w:t xml:space="preserve">Petitioner submitted a timely rulemaking petition (the “Petition”) to reserve </w:t>
      </w:r>
      <w:r w:rsidR="00253279">
        <w:t xml:space="preserve">vacant </w:t>
      </w:r>
      <w:r w:rsidR="00CB794B">
        <w:t xml:space="preserve">Channel 252C2 at </w:t>
      </w:r>
      <w:r w:rsidR="0041310F">
        <w:t>Columbia</w:t>
      </w:r>
      <w:r w:rsidR="00CB794B">
        <w:t>, Missouri,</w:t>
      </w:r>
      <w:r w:rsidR="00CB794B">
        <w:rPr>
          <w:rStyle w:val="FootnoteReference"/>
        </w:rPr>
        <w:footnoteReference w:id="8"/>
      </w:r>
      <w:r w:rsidR="00CB794B">
        <w:t xml:space="preserve"> for NCE use.  Although </w:t>
      </w:r>
      <w:r w:rsidR="00793E42">
        <w:t>i</w:t>
      </w:r>
      <w:r w:rsidR="00CB794B">
        <w:t>ts proposal would provide a second NCE service to 22,095</w:t>
      </w:r>
      <w:r w:rsidR="009A366A">
        <w:t xml:space="preserve"> persons</w:t>
      </w:r>
      <w:r w:rsidR="00CB794B">
        <w:t xml:space="preserve">, that </w:t>
      </w:r>
      <w:r w:rsidR="009D74CC">
        <w:t>total</w:t>
      </w:r>
      <w:r w:rsidR="00CB794B">
        <w:t xml:space="preserve"> comprised</w:t>
      </w:r>
      <w:r w:rsidR="00793E42">
        <w:t xml:space="preserve"> only</w:t>
      </w:r>
      <w:r w:rsidR="00CB794B">
        <w:t xml:space="preserve"> </w:t>
      </w:r>
      <w:r w:rsidR="00560210">
        <w:t xml:space="preserve">approximately </w:t>
      </w:r>
      <w:r w:rsidR="00253279">
        <w:t xml:space="preserve">seven percent </w:t>
      </w:r>
      <w:r w:rsidR="009A366A">
        <w:lastRenderedPageBreak/>
        <w:t xml:space="preserve">of </w:t>
      </w:r>
      <w:r w:rsidR="00F33634">
        <w:t xml:space="preserve">the </w:t>
      </w:r>
      <w:r w:rsidR="009D74CC">
        <w:t xml:space="preserve">population within the </w:t>
      </w:r>
      <w:r w:rsidR="00F33634">
        <w:t xml:space="preserve">proposed station’s service </w:t>
      </w:r>
      <w:r w:rsidR="009D74CC">
        <w:t>contour</w:t>
      </w:r>
      <w:r w:rsidR="00F33634">
        <w:t xml:space="preserve">. </w:t>
      </w:r>
      <w:r w:rsidR="00CB794B">
        <w:t xml:space="preserve"> Consequently, Petitioner requested a waiver of the </w:t>
      </w:r>
      <w:r w:rsidR="00BC311D">
        <w:t xml:space="preserve">ten percent </w:t>
      </w:r>
      <w:r w:rsidR="00CB794B">
        <w:t>reservation criteri</w:t>
      </w:r>
      <w:r w:rsidR="00BB7F8A">
        <w:t xml:space="preserve">on.  It argued that a waiver was warranted </w:t>
      </w:r>
      <w:r w:rsidR="00CB794B">
        <w:t>because</w:t>
      </w:r>
      <w:r w:rsidR="0056389F">
        <w:t>:</w:t>
      </w:r>
      <w:r w:rsidR="00CB794B">
        <w:t xml:space="preserve"> (i) the proposed </w:t>
      </w:r>
      <w:r w:rsidR="009A366A">
        <w:t>NCE</w:t>
      </w:r>
      <w:r w:rsidR="00253279">
        <w:t xml:space="preserve"> station would provide a valuable</w:t>
      </w:r>
      <w:r w:rsidR="00BB7F8A">
        <w:t xml:space="preserve"> second </w:t>
      </w:r>
      <w:r w:rsidR="00E7316C">
        <w:t xml:space="preserve">NCE service to </w:t>
      </w:r>
      <w:r w:rsidR="00727BA7">
        <w:t>“</w:t>
      </w:r>
      <w:r w:rsidR="00E7316C">
        <w:t>nearly</w:t>
      </w:r>
      <w:r w:rsidR="00727BA7">
        <w:t>”</w:t>
      </w:r>
      <w:r w:rsidR="00E7316C">
        <w:t xml:space="preserve"> ten</w:t>
      </w:r>
      <w:r w:rsidR="00976F76">
        <w:t xml:space="preserve"> </w:t>
      </w:r>
      <w:r w:rsidR="00CB794B">
        <w:t xml:space="preserve">percent of the </w:t>
      </w:r>
      <w:r w:rsidR="009A366A">
        <w:t xml:space="preserve">population within the </w:t>
      </w:r>
      <w:r w:rsidR="00CB794B">
        <w:t>service area; (ii) none of the nonreserved channels in</w:t>
      </w:r>
      <w:r w:rsidR="000766FB">
        <w:t xml:space="preserve"> </w:t>
      </w:r>
      <w:r w:rsidR="0041310F">
        <w:t>Columbia</w:t>
      </w:r>
      <w:r w:rsidR="00CB794B">
        <w:t>, Missouri, were allotted to NCE stations; (iii) no reserved band channels were available with which to establish a</w:t>
      </w:r>
      <w:r w:rsidR="00976F76">
        <w:t xml:space="preserve"> </w:t>
      </w:r>
      <w:r w:rsidR="00CB794B">
        <w:t>n</w:t>
      </w:r>
      <w:r w:rsidR="00976F76">
        <w:t>ew</w:t>
      </w:r>
      <w:r w:rsidR="00CB794B">
        <w:t xml:space="preserve"> NCE station in </w:t>
      </w:r>
      <w:r w:rsidR="0041310F">
        <w:t>Columbia</w:t>
      </w:r>
      <w:r w:rsidR="00CB794B">
        <w:t>; and (iv) the ten</w:t>
      </w:r>
      <w:r w:rsidR="00976F76">
        <w:t xml:space="preserve"> </w:t>
      </w:r>
      <w:r w:rsidR="00CB794B">
        <w:t>percent threshold effectively barred NCE stations from using nonreserved spectrum in a manner that was consistent with Commission policy.</w:t>
      </w:r>
    </w:p>
    <w:p w:rsidR="0099226F" w:rsidRDefault="00560210" w:rsidP="00C81DEA">
      <w:pPr>
        <w:pStyle w:val="ParaNum"/>
      </w:pPr>
      <w:r>
        <w:rPr>
          <w:spacing w:val="-2"/>
        </w:rPr>
        <w:t>T</w:t>
      </w:r>
      <w:r>
        <w:t xml:space="preserve">he Bureau </w:t>
      </w:r>
      <w:r w:rsidR="0056389F">
        <w:t xml:space="preserve">initially </w:t>
      </w:r>
      <w:r>
        <w:t xml:space="preserve">returned </w:t>
      </w:r>
      <w:r w:rsidR="00793E42">
        <w:t xml:space="preserve">the </w:t>
      </w:r>
      <w:r>
        <w:t>Petition</w:t>
      </w:r>
      <w:r w:rsidR="0056389F">
        <w:t xml:space="preserve"> because it did not meet the </w:t>
      </w:r>
      <w:r w:rsidR="009D74CC">
        <w:t>ten percent</w:t>
      </w:r>
      <w:r w:rsidR="0056389F">
        <w:t xml:space="preserve"> channel</w:t>
      </w:r>
      <w:r w:rsidR="009D74CC">
        <w:t xml:space="preserve"> </w:t>
      </w:r>
      <w:r w:rsidR="0056389F">
        <w:t xml:space="preserve">reservation </w:t>
      </w:r>
      <w:r w:rsidR="009D74CC">
        <w:t>threshold</w:t>
      </w:r>
      <w:r w:rsidR="0056389F">
        <w:t xml:space="preserve">; the Bureau did not </w:t>
      </w:r>
      <w:r w:rsidR="009D74CC">
        <w:t xml:space="preserve">otherwise </w:t>
      </w:r>
      <w:r w:rsidR="0056389F">
        <w:t>address Petitioner’s waiver request.</w:t>
      </w:r>
      <w:r>
        <w:rPr>
          <w:rStyle w:val="FootnoteReference"/>
        </w:rPr>
        <w:footnoteReference w:id="9"/>
      </w:r>
      <w:r>
        <w:t xml:space="preserve"> </w:t>
      </w:r>
      <w:r w:rsidR="00BB7F8A">
        <w:t>Th</w:t>
      </w:r>
      <w:r>
        <w:t xml:space="preserve">ereafter, Petitioner filed a Petition for Reconsideration, arguing that the </w:t>
      </w:r>
      <w:r w:rsidRPr="0082161D">
        <w:rPr>
          <w:i/>
        </w:rPr>
        <w:t>Bureau</w:t>
      </w:r>
      <w:r>
        <w:rPr>
          <w:i/>
        </w:rPr>
        <w:t xml:space="preserve"> Letter </w:t>
      </w:r>
      <w:r>
        <w:t xml:space="preserve">failed to afford the waiver request a “hard look” as required by </w:t>
      </w:r>
      <w:r w:rsidRPr="009667D7">
        <w:rPr>
          <w:i/>
        </w:rPr>
        <w:t>WAIT Radio v. FCC</w:t>
      </w:r>
      <w:r>
        <w:t>.</w:t>
      </w:r>
      <w:r>
        <w:rPr>
          <w:i/>
        </w:rPr>
        <w:t xml:space="preserve"> </w:t>
      </w:r>
      <w:r>
        <w:rPr>
          <w:rStyle w:val="FootnoteReference"/>
        </w:rPr>
        <w:footnoteReference w:id="10"/>
      </w:r>
      <w:r>
        <w:t xml:space="preserve">  </w:t>
      </w:r>
      <w:r w:rsidR="00F61C22">
        <w:t>In the</w:t>
      </w:r>
      <w:r w:rsidR="00347A4A">
        <w:t xml:space="preserve"> </w:t>
      </w:r>
      <w:r w:rsidR="00347A4A">
        <w:rPr>
          <w:i/>
        </w:rPr>
        <w:t>MO&amp;O</w:t>
      </w:r>
      <w:r w:rsidR="00347A4A">
        <w:t>, the</w:t>
      </w:r>
      <w:r w:rsidR="00F61C22">
        <w:t xml:space="preserve"> Bureau </w:t>
      </w:r>
      <w:r w:rsidR="00DC64FD">
        <w:t>concluded th</w:t>
      </w:r>
      <w:r w:rsidR="00A332C2">
        <w:t>at</w:t>
      </w:r>
      <w:r w:rsidR="00DC64FD">
        <w:t xml:space="preserve"> Petitioner had failed to show that a waiver was warranted</w:t>
      </w:r>
      <w:r w:rsidR="00922302">
        <w:t xml:space="preserve"> because the proposal fell “well below” the ten percent standard and because waiver of the standard “would, in effect, preclude any interested party from now participating in an FM auction for commercial Channel 252C at Columbia</w:t>
      </w:r>
      <w:r w:rsidR="00DC64FD">
        <w:t>.</w:t>
      </w:r>
      <w:r w:rsidR="00922302">
        <w:t>”</w:t>
      </w:r>
      <w:r w:rsidR="00922302">
        <w:rPr>
          <w:rStyle w:val="FootnoteReference"/>
        </w:rPr>
        <w:footnoteReference w:id="11"/>
      </w:r>
      <w:r w:rsidR="00DC64FD">
        <w:t xml:space="preserve">  </w:t>
      </w:r>
    </w:p>
    <w:p w:rsidR="005B786C" w:rsidRDefault="00F61C22" w:rsidP="00C81DEA">
      <w:pPr>
        <w:pStyle w:val="ParaNum"/>
      </w:pPr>
      <w:r>
        <w:t xml:space="preserve">In its Application for Review, Petitioner </w:t>
      </w:r>
      <w:r w:rsidR="009A366A">
        <w:t xml:space="preserve">reiterates its contention </w:t>
      </w:r>
      <w:r>
        <w:t xml:space="preserve">that the </w:t>
      </w:r>
      <w:r w:rsidRPr="0099226F">
        <w:rPr>
          <w:i/>
          <w:iCs/>
        </w:rPr>
        <w:t>M</w:t>
      </w:r>
      <w:r w:rsidR="000766FB" w:rsidRPr="0099226F">
        <w:rPr>
          <w:i/>
          <w:iCs/>
        </w:rPr>
        <w:t>O&amp;O</w:t>
      </w:r>
      <w:r w:rsidR="009A366A" w:rsidRPr="0099226F">
        <w:rPr>
          <w:i/>
          <w:iCs/>
        </w:rPr>
        <w:t>’s</w:t>
      </w:r>
      <w:r w:rsidR="00253279" w:rsidRPr="0099226F">
        <w:rPr>
          <w:i/>
          <w:iCs/>
        </w:rPr>
        <w:t xml:space="preserve"> </w:t>
      </w:r>
      <w:r>
        <w:t xml:space="preserve">perfunctory denial of the </w:t>
      </w:r>
      <w:r w:rsidR="000766FB">
        <w:t xml:space="preserve">waiver </w:t>
      </w:r>
      <w:r>
        <w:t>request</w:t>
      </w:r>
      <w:r w:rsidR="009A366A">
        <w:t xml:space="preserve"> failed to satisfy the</w:t>
      </w:r>
      <w:r>
        <w:t xml:space="preserve"> “hard look” required by </w:t>
      </w:r>
      <w:r w:rsidRPr="0099226F">
        <w:rPr>
          <w:i/>
          <w:iCs/>
        </w:rPr>
        <w:t>WAIT Radio</w:t>
      </w:r>
      <w:r w:rsidR="00763832" w:rsidRPr="0099226F">
        <w:rPr>
          <w:iCs/>
        </w:rPr>
        <w:t>.</w:t>
      </w:r>
      <w:r>
        <w:rPr>
          <w:rStyle w:val="FootnoteReference"/>
        </w:rPr>
        <w:footnoteReference w:id="12"/>
      </w:r>
      <w:r w:rsidR="000766FB" w:rsidRPr="0099226F">
        <w:rPr>
          <w:i/>
          <w:iCs/>
        </w:rPr>
        <w:t xml:space="preserve"> </w:t>
      </w:r>
      <w:r w:rsidRPr="0099226F">
        <w:rPr>
          <w:i/>
          <w:iCs/>
        </w:rPr>
        <w:t xml:space="preserve"> </w:t>
      </w:r>
      <w:r w:rsidR="000766FB">
        <w:t xml:space="preserve">The Petitioner claims that the Bureau’s </w:t>
      </w:r>
      <w:r w:rsidR="000766FB" w:rsidRPr="00C81DEA">
        <w:rPr>
          <w:bCs/>
        </w:rPr>
        <w:t>analysis</w:t>
      </w:r>
      <w:r w:rsidR="000766FB">
        <w:t xml:space="preserve"> consist</w:t>
      </w:r>
      <w:r w:rsidR="00A10D31">
        <w:t>ed</w:t>
      </w:r>
      <w:r w:rsidR="000766FB">
        <w:t xml:space="preserve"> solely of con</w:t>
      </w:r>
      <w:r w:rsidR="00BB7F8A">
        <w:t xml:space="preserve">clusory statements and </w:t>
      </w:r>
      <w:r w:rsidR="000766FB">
        <w:t xml:space="preserve">failed to consider the potential public interest benefits of the waiver request.  Accordingly, Petitioner argues that the Commission should consider </w:t>
      </w:r>
      <w:r w:rsidR="000766FB" w:rsidRPr="00C81DEA">
        <w:rPr>
          <w:bCs/>
        </w:rPr>
        <w:t>Petitioner’s</w:t>
      </w:r>
      <w:r w:rsidR="000766FB">
        <w:t xml:space="preserve"> waiver request </w:t>
      </w:r>
      <w:r w:rsidR="000766FB" w:rsidRPr="0099226F">
        <w:rPr>
          <w:i/>
        </w:rPr>
        <w:t>de novo</w:t>
      </w:r>
      <w:r w:rsidR="000766FB">
        <w:t>.</w:t>
      </w:r>
      <w:r w:rsidR="00727BA7">
        <w:rPr>
          <w:rStyle w:val="FootnoteReference"/>
        </w:rPr>
        <w:footnoteReference w:id="13"/>
      </w:r>
      <w:r w:rsidR="000766FB">
        <w:t xml:space="preserve">   </w:t>
      </w:r>
      <w:r w:rsidR="0099226F">
        <w:t>It</w:t>
      </w:r>
      <w:r w:rsidR="00253279">
        <w:t xml:space="preserve"> asserts that</w:t>
      </w:r>
      <w:r w:rsidR="0099226F">
        <w:t xml:space="preserve"> there is</w:t>
      </w:r>
      <w:r w:rsidR="00253279">
        <w:t xml:space="preserve"> “good cause” for the waiver </w:t>
      </w:r>
      <w:r w:rsidR="0099226F">
        <w:t xml:space="preserve">because </w:t>
      </w:r>
      <w:r w:rsidR="00CA72DD">
        <w:t>Columbia</w:t>
      </w:r>
      <w:r w:rsidR="0099226F">
        <w:t>, Missouri,</w:t>
      </w:r>
      <w:r w:rsidR="00CA72DD">
        <w:t xml:space="preserve"> has been deprived of any service on Channel 252C2 since October 3, 2001</w:t>
      </w:r>
      <w:r>
        <w:t>.</w:t>
      </w:r>
      <w:r>
        <w:rPr>
          <w:rStyle w:val="FootnoteReference"/>
        </w:rPr>
        <w:footnoteReference w:id="14"/>
      </w:r>
      <w:r>
        <w:t xml:space="preserve">  </w:t>
      </w:r>
      <w:r w:rsidR="00C87ECF">
        <w:t xml:space="preserve">Petitioner alleges that in any FM auction, an entity either associated with or including </w:t>
      </w:r>
      <w:r w:rsidR="006B0DFE">
        <w:t xml:space="preserve">former operator </w:t>
      </w:r>
      <w:r w:rsidR="00C87ECF">
        <w:t>Michael Rice could make the highest bid, leading to years of litigation as other applicants challenge the entity’s character qualifications</w:t>
      </w:r>
      <w:r w:rsidR="00CE0B66">
        <w:t>.</w:t>
      </w:r>
      <w:r>
        <w:t xml:space="preserve"> </w:t>
      </w:r>
      <w:r w:rsidR="00647B12">
        <w:t xml:space="preserve">Petitioner contends that licensing an NCE station on Channel 252C2 would ameliorate this </w:t>
      </w:r>
      <w:r w:rsidR="0044259C">
        <w:t>multi</w:t>
      </w:r>
      <w:r w:rsidR="009A366A">
        <w:t>-</w:t>
      </w:r>
      <w:r w:rsidR="00647B12">
        <w:t>year loss of service</w:t>
      </w:r>
      <w:r w:rsidR="00C87ECF">
        <w:t xml:space="preserve">, but </w:t>
      </w:r>
      <w:r w:rsidR="00DC64FD">
        <w:t xml:space="preserve">that </w:t>
      </w:r>
      <w:r w:rsidR="003323F6">
        <w:t>s</w:t>
      </w:r>
      <w:r w:rsidR="00C87ECF">
        <w:t xml:space="preserve">uch a result </w:t>
      </w:r>
      <w:r w:rsidR="00714B5E">
        <w:t>is only possible i</w:t>
      </w:r>
      <w:r w:rsidR="008A787F">
        <w:t>f the Commission waives the ten</w:t>
      </w:r>
      <w:r w:rsidR="00976F76">
        <w:t xml:space="preserve"> </w:t>
      </w:r>
      <w:r w:rsidR="00714B5E">
        <w:t>percent requirement.</w:t>
      </w:r>
      <w:r w:rsidR="00727BA7">
        <w:rPr>
          <w:rStyle w:val="FootnoteReference"/>
        </w:rPr>
        <w:footnoteReference w:id="15"/>
      </w:r>
      <w:r w:rsidR="005B786C">
        <w:t xml:space="preserve">  </w:t>
      </w:r>
    </w:p>
    <w:p w:rsidR="004733A9" w:rsidRPr="005B786C" w:rsidRDefault="00D25F34" w:rsidP="00C81DEA">
      <w:pPr>
        <w:pStyle w:val="ParaNum"/>
      </w:pPr>
      <w:r>
        <w:rPr>
          <w:bCs/>
        </w:rPr>
        <w:t xml:space="preserve">Petitioner </w:t>
      </w:r>
      <w:r w:rsidR="008A787F">
        <w:rPr>
          <w:bCs/>
        </w:rPr>
        <w:t xml:space="preserve">also </w:t>
      </w:r>
      <w:r>
        <w:rPr>
          <w:bCs/>
        </w:rPr>
        <w:t>argues</w:t>
      </w:r>
      <w:r w:rsidR="006E4C75">
        <w:rPr>
          <w:bCs/>
        </w:rPr>
        <w:t xml:space="preserve"> that </w:t>
      </w:r>
      <w:r w:rsidR="00016F92">
        <w:rPr>
          <w:bCs/>
        </w:rPr>
        <w:t xml:space="preserve">a waiver </w:t>
      </w:r>
      <w:r w:rsidR="008A787F">
        <w:rPr>
          <w:bCs/>
        </w:rPr>
        <w:t>s</w:t>
      </w:r>
      <w:r w:rsidR="002C6C3D">
        <w:rPr>
          <w:bCs/>
        </w:rPr>
        <w:t>erves the public interest better than strict adherence to the</w:t>
      </w:r>
      <w:r w:rsidR="008A787F">
        <w:rPr>
          <w:bCs/>
        </w:rPr>
        <w:t xml:space="preserve"> </w:t>
      </w:r>
      <w:r w:rsidR="009A366A">
        <w:rPr>
          <w:bCs/>
        </w:rPr>
        <w:t>reservation standard</w:t>
      </w:r>
      <w:r w:rsidR="00016F92">
        <w:rPr>
          <w:bCs/>
        </w:rPr>
        <w:t>.</w:t>
      </w:r>
      <w:r w:rsidR="006E4C75">
        <w:rPr>
          <w:bCs/>
        </w:rPr>
        <w:t xml:space="preserve">  </w:t>
      </w:r>
      <w:r w:rsidR="001E0D71">
        <w:rPr>
          <w:bCs/>
        </w:rPr>
        <w:t xml:space="preserve">It </w:t>
      </w:r>
      <w:r w:rsidR="00E22ED9">
        <w:rPr>
          <w:bCs/>
        </w:rPr>
        <w:t>maintain</w:t>
      </w:r>
      <w:r w:rsidR="006E4C75">
        <w:rPr>
          <w:bCs/>
        </w:rPr>
        <w:t xml:space="preserve">s that the grant of a waiver would serve the Commission’s overall public interest objectives by providing a new NCE service to over 300,000 people and a second NCE service to over 22,000, which is approximately 11 times the </w:t>
      </w:r>
      <w:r w:rsidR="00976F76">
        <w:rPr>
          <w:bCs/>
        </w:rPr>
        <w:t xml:space="preserve">minimum </w:t>
      </w:r>
      <w:r w:rsidR="006E4C75">
        <w:rPr>
          <w:bCs/>
        </w:rPr>
        <w:t xml:space="preserve">population </w:t>
      </w:r>
      <w:r w:rsidR="00976F76">
        <w:rPr>
          <w:bCs/>
        </w:rPr>
        <w:t xml:space="preserve">threshold </w:t>
      </w:r>
      <w:r w:rsidR="005B786C">
        <w:rPr>
          <w:bCs/>
        </w:rPr>
        <w:t>of 2,000 that the Commission has</w:t>
      </w:r>
      <w:r w:rsidR="006E4C75">
        <w:rPr>
          <w:bCs/>
        </w:rPr>
        <w:t xml:space="preserve"> </w:t>
      </w:r>
      <w:r w:rsidR="002C6C3D">
        <w:rPr>
          <w:bCs/>
        </w:rPr>
        <w:t>conclude</w:t>
      </w:r>
      <w:r w:rsidR="00976F76">
        <w:rPr>
          <w:bCs/>
        </w:rPr>
        <w:t>d</w:t>
      </w:r>
      <w:r w:rsidR="002C6C3D">
        <w:rPr>
          <w:bCs/>
        </w:rPr>
        <w:t xml:space="preserve"> </w:t>
      </w:r>
      <w:r w:rsidR="006E4C75">
        <w:rPr>
          <w:bCs/>
        </w:rPr>
        <w:t xml:space="preserve">would justify </w:t>
      </w:r>
      <w:r w:rsidR="009A366A">
        <w:rPr>
          <w:bCs/>
        </w:rPr>
        <w:t>an allotment</w:t>
      </w:r>
      <w:r w:rsidR="00976F76">
        <w:rPr>
          <w:bCs/>
        </w:rPr>
        <w:t>’s</w:t>
      </w:r>
      <w:r w:rsidR="009A366A">
        <w:rPr>
          <w:bCs/>
        </w:rPr>
        <w:t xml:space="preserve"> </w:t>
      </w:r>
      <w:r w:rsidR="006E4C75">
        <w:rPr>
          <w:bCs/>
        </w:rPr>
        <w:t xml:space="preserve">reservation.  </w:t>
      </w:r>
      <w:r w:rsidR="009F5220">
        <w:rPr>
          <w:bCs/>
        </w:rPr>
        <w:t xml:space="preserve">Petitioner contends that the Bureau </w:t>
      </w:r>
      <w:r w:rsidR="00976F76">
        <w:rPr>
          <w:bCs/>
        </w:rPr>
        <w:t>did</w:t>
      </w:r>
      <w:r w:rsidR="009F5220">
        <w:rPr>
          <w:bCs/>
        </w:rPr>
        <w:t xml:space="preserve"> not articulate any justification for t</w:t>
      </w:r>
      <w:r w:rsidR="005B786C">
        <w:rPr>
          <w:bCs/>
        </w:rPr>
        <w:t>he rigid application of the ten</w:t>
      </w:r>
      <w:r w:rsidR="00976F76">
        <w:rPr>
          <w:bCs/>
        </w:rPr>
        <w:t xml:space="preserve"> </w:t>
      </w:r>
      <w:r w:rsidR="009F5220">
        <w:rPr>
          <w:bCs/>
        </w:rPr>
        <w:t xml:space="preserve">percent requirement, has not explained how it arrived at </w:t>
      </w:r>
      <w:r w:rsidR="008472F5">
        <w:rPr>
          <w:bCs/>
        </w:rPr>
        <w:t xml:space="preserve">the </w:t>
      </w:r>
      <w:r w:rsidR="00322413">
        <w:rPr>
          <w:bCs/>
        </w:rPr>
        <w:t xml:space="preserve">ten </w:t>
      </w:r>
      <w:r w:rsidR="009F5220">
        <w:rPr>
          <w:bCs/>
        </w:rPr>
        <w:t xml:space="preserve">percent test, and </w:t>
      </w:r>
      <w:r w:rsidR="008472F5">
        <w:rPr>
          <w:bCs/>
        </w:rPr>
        <w:t xml:space="preserve">has </w:t>
      </w:r>
      <w:r w:rsidR="009F5220">
        <w:rPr>
          <w:bCs/>
        </w:rPr>
        <w:t xml:space="preserve">not addressed </w:t>
      </w:r>
      <w:r w:rsidR="008F6244">
        <w:rPr>
          <w:bCs/>
        </w:rPr>
        <w:t>its</w:t>
      </w:r>
      <w:r w:rsidR="009F5220">
        <w:rPr>
          <w:bCs/>
        </w:rPr>
        <w:t xml:space="preserve"> contention that the reservation standard is extraordinarily difficult to satisfy, especially for a Class C2 station</w:t>
      </w:r>
      <w:r w:rsidR="00DC64FD">
        <w:rPr>
          <w:bCs/>
        </w:rPr>
        <w:t xml:space="preserve"> operating in a larger market</w:t>
      </w:r>
      <w:r w:rsidR="009F5220">
        <w:rPr>
          <w:bCs/>
        </w:rPr>
        <w:t>.</w:t>
      </w:r>
      <w:r w:rsidR="009C50A0">
        <w:rPr>
          <w:rStyle w:val="FootnoteReference"/>
          <w:bCs/>
        </w:rPr>
        <w:footnoteReference w:id="16"/>
      </w:r>
      <w:r w:rsidR="009F5220">
        <w:rPr>
          <w:bCs/>
        </w:rPr>
        <w:t xml:space="preserve"> </w:t>
      </w:r>
      <w:r w:rsidR="006E4C75">
        <w:rPr>
          <w:bCs/>
        </w:rPr>
        <w:t xml:space="preserve">   </w:t>
      </w:r>
    </w:p>
    <w:p w:rsidR="00D25F34" w:rsidRPr="00D25F34" w:rsidRDefault="006E4C75" w:rsidP="0056389F">
      <w:pPr>
        <w:pStyle w:val="ParaNum"/>
        <w:numPr>
          <w:ilvl w:val="0"/>
          <w:numId w:val="0"/>
        </w:numPr>
        <w:spacing w:after="0"/>
        <w:rPr>
          <w:b/>
          <w:bCs/>
        </w:rPr>
      </w:pPr>
      <w:r>
        <w:rPr>
          <w:bCs/>
        </w:rPr>
        <w:t xml:space="preserve">  </w:t>
      </w:r>
      <w:r w:rsidR="00D25F34">
        <w:rPr>
          <w:bCs/>
        </w:rPr>
        <w:t xml:space="preserve"> </w:t>
      </w:r>
    </w:p>
    <w:p w:rsidR="007E26A7" w:rsidRDefault="00C57B4A" w:rsidP="0058615B">
      <w:pPr>
        <w:pStyle w:val="ParaNum"/>
        <w:widowControl/>
      </w:pPr>
      <w:r>
        <w:rPr>
          <w:i/>
        </w:rPr>
        <w:lastRenderedPageBreak/>
        <w:t>Discussion.</w:t>
      </w:r>
      <w:r>
        <w:t xml:space="preserve"> </w:t>
      </w:r>
      <w:r w:rsidR="003E69B1">
        <w:t>As a threshold matter, we believe that the</w:t>
      </w:r>
      <w:r w:rsidR="0099226F">
        <w:t xml:space="preserve"> Bureau erred below by failing to give </w:t>
      </w:r>
      <w:r w:rsidR="003E69B1">
        <w:t>Petitioner’s waiver</w:t>
      </w:r>
      <w:r w:rsidR="00B908F4">
        <w:t xml:space="preserve"> request</w:t>
      </w:r>
      <w:r w:rsidR="0099226F">
        <w:t xml:space="preserve"> the “hard look” mandated by </w:t>
      </w:r>
      <w:r w:rsidR="0099226F">
        <w:rPr>
          <w:i/>
        </w:rPr>
        <w:t>W</w:t>
      </w:r>
      <w:r w:rsidR="006F5215">
        <w:rPr>
          <w:i/>
        </w:rPr>
        <w:t>AIT</w:t>
      </w:r>
      <w:r w:rsidR="0099226F">
        <w:rPr>
          <w:i/>
        </w:rPr>
        <w:t xml:space="preserve"> Radi</w:t>
      </w:r>
      <w:r w:rsidR="00001817">
        <w:rPr>
          <w:i/>
        </w:rPr>
        <w:t>o</w:t>
      </w:r>
      <w:r w:rsidR="00B908F4">
        <w:t>.</w:t>
      </w:r>
      <w:r w:rsidR="00001817">
        <w:t xml:space="preserve">  We therefore will grant the Application for Review to that extent.</w:t>
      </w:r>
      <w:r w:rsidR="00B908F4">
        <w:t xml:space="preserve">  </w:t>
      </w:r>
      <w:r w:rsidR="005B786C">
        <w:t>However</w:t>
      </w:r>
      <w:r w:rsidR="005413CA">
        <w:t xml:space="preserve">, we </w:t>
      </w:r>
      <w:r w:rsidR="00C83830">
        <w:t xml:space="preserve">have </w:t>
      </w:r>
      <w:r w:rsidR="005B786C">
        <w:t xml:space="preserve">carefully </w:t>
      </w:r>
      <w:r w:rsidR="00C83830">
        <w:t xml:space="preserve">examined Petitioner’s waiver request </w:t>
      </w:r>
      <w:r w:rsidR="00001817">
        <w:t xml:space="preserve">here </w:t>
      </w:r>
      <w:r w:rsidR="00C83830">
        <w:t xml:space="preserve">and </w:t>
      </w:r>
      <w:r w:rsidR="00E129A1">
        <w:t>conclude</w:t>
      </w:r>
      <w:r w:rsidR="00C83830">
        <w:t xml:space="preserve"> that th</w:t>
      </w:r>
      <w:r w:rsidR="00001817">
        <w:t>at</w:t>
      </w:r>
      <w:r w:rsidR="00C83830">
        <w:t xml:space="preserve"> </w:t>
      </w:r>
      <w:r w:rsidR="00001817">
        <w:t>it</w:t>
      </w:r>
      <w:r w:rsidR="00C83830">
        <w:t xml:space="preserve"> should be denied</w:t>
      </w:r>
      <w:r w:rsidR="004553CA">
        <w:t xml:space="preserve"> for several reasons.  </w:t>
      </w:r>
    </w:p>
    <w:p w:rsidR="007E26A7" w:rsidRPr="007E26A7" w:rsidRDefault="007E26A7" w:rsidP="00C81DEA">
      <w:pPr>
        <w:pStyle w:val="ParaNum"/>
      </w:pPr>
      <w:r>
        <w:t>It is well settled that the Commission may waive its policies or rules upon a showing of good cause.  It also may exercise its discretion to waive a policy or rule where the particular facts make strict compliance inconsistent with the public interest.</w:t>
      </w:r>
      <w:r>
        <w:rPr>
          <w:rStyle w:val="FootnoteReference"/>
        </w:rPr>
        <w:footnoteReference w:id="17"/>
      </w:r>
      <w:r>
        <w:t xml:space="preserve">  In addition, the Commission may take into account considerations of hardship, equity, or more effective implementation of overall policy on an individual basis.</w:t>
      </w:r>
      <w:r>
        <w:rPr>
          <w:rStyle w:val="FootnoteReference"/>
        </w:rPr>
        <w:footnoteReference w:id="18"/>
      </w:r>
      <w:r>
        <w:t xml:space="preserve">  However, waiver of the Commission’s policies or rules is appropriate only if both: (i) special circumstances warrant a deviation from the general rule; and (ii) such deviation will serve the public interest.</w:t>
      </w:r>
      <w:r>
        <w:rPr>
          <w:rStyle w:val="FootnoteReference"/>
        </w:rPr>
        <w:footnoteReference w:id="19"/>
      </w:r>
      <w:r>
        <w:t xml:space="preserve"> </w:t>
      </w:r>
      <w:r w:rsidRPr="007E26A7">
        <w:rPr>
          <w:spacing w:val="-2"/>
        </w:rPr>
        <w:t xml:space="preserve">   </w:t>
      </w:r>
    </w:p>
    <w:p w:rsidR="009D74CC" w:rsidRDefault="009D74CC" w:rsidP="007E26A7">
      <w:pPr>
        <w:pStyle w:val="ParaNum"/>
      </w:pPr>
      <w:r>
        <w:t xml:space="preserve">In the </w:t>
      </w:r>
      <w:r>
        <w:rPr>
          <w:i/>
        </w:rPr>
        <w:t xml:space="preserve">NCE R&amp;O </w:t>
      </w:r>
      <w:r>
        <w:t xml:space="preserve">the Commission adopted the ten percent/2000 person threshold for both awarding a </w:t>
      </w:r>
      <w:r w:rsidR="00971A92">
        <w:t xml:space="preserve">dispositive </w:t>
      </w:r>
      <w:r>
        <w:t xml:space="preserve">“fair distribution” preference for </w:t>
      </w:r>
      <w:r w:rsidR="006813F4">
        <w:t xml:space="preserve">applicants proposing operation on </w:t>
      </w:r>
      <w:r>
        <w:t>spectrum reserved for NCE use</w:t>
      </w:r>
      <w:r w:rsidR="008F6244">
        <w:rPr>
          <w:rStyle w:val="FootnoteReference"/>
        </w:rPr>
        <w:footnoteReference w:id="20"/>
      </w:r>
      <w:r>
        <w:t xml:space="preserve"> and for reserving non-reserved spectrum for NCE use.</w:t>
      </w:r>
      <w:r w:rsidR="008F6244">
        <w:rPr>
          <w:rStyle w:val="FootnoteReference"/>
        </w:rPr>
        <w:footnoteReference w:id="21"/>
      </w:r>
      <w:r>
        <w:t xml:space="preserve">  The Commission recognized th</w:t>
      </w:r>
      <w:r w:rsidR="00560AFC">
        <w:t>at “there might not be a large number of cases” that could meet the “relatively high threshold” for a preference.</w:t>
      </w:r>
      <w:r w:rsidR="00560AFC">
        <w:rPr>
          <w:rStyle w:val="FootnoteReference"/>
        </w:rPr>
        <w:footnoteReference w:id="22"/>
      </w:r>
      <w:r w:rsidR="00560AFC">
        <w:t xml:space="preserve">  That same threshold, of course, also </w:t>
      </w:r>
      <w:r w:rsidR="004E460B">
        <w:t xml:space="preserve">restricts </w:t>
      </w:r>
      <w:r w:rsidR="00560AFC">
        <w:t xml:space="preserve">the reservation of spectrum in the latter context </w:t>
      </w:r>
      <w:r w:rsidR="004C365B">
        <w:t xml:space="preserve">which </w:t>
      </w:r>
      <w:r w:rsidR="00560AFC">
        <w:t xml:space="preserve">the Commission </w:t>
      </w:r>
      <w:r w:rsidR="004C365B">
        <w:t xml:space="preserve">characterized </w:t>
      </w:r>
      <w:r w:rsidR="00560AFC">
        <w:t>as a “limited expansion of existing policy.”</w:t>
      </w:r>
      <w:r w:rsidR="00560AFC">
        <w:rPr>
          <w:rStyle w:val="FootnoteReference"/>
        </w:rPr>
        <w:footnoteReference w:id="23"/>
      </w:r>
    </w:p>
    <w:p w:rsidR="007E26A7" w:rsidRDefault="007E26A7" w:rsidP="007E26A7">
      <w:pPr>
        <w:pStyle w:val="ParaNum"/>
      </w:pPr>
      <w:r w:rsidRPr="0056389F">
        <w:t xml:space="preserve">The Commission </w:t>
      </w:r>
      <w:r w:rsidR="00310C56">
        <w:t>previously</w:t>
      </w:r>
      <w:r w:rsidR="00560AFC">
        <w:t xml:space="preserve"> addressed the issue of waiving the ten percent criterion in the context of applying the “fair distribution” preference.</w:t>
      </w:r>
      <w:r w:rsidR="00560AFC">
        <w:rPr>
          <w:rStyle w:val="FootnoteReference"/>
        </w:rPr>
        <w:footnoteReference w:id="24"/>
      </w:r>
      <w:r w:rsidR="00560AFC">
        <w:t xml:space="preserve">  The petitioner in that case, as here, argued that the number of persons receiving a first or second service justified a waiver of this criterion.  </w:t>
      </w:r>
      <w:r w:rsidR="009C50A0">
        <w:t>In denying the waiver request, t</w:t>
      </w:r>
      <w:r w:rsidR="00BB601F">
        <w:t xml:space="preserve">he Commission </w:t>
      </w:r>
      <w:r w:rsidR="00560AFC">
        <w:t xml:space="preserve">noted therein that this argument </w:t>
      </w:r>
      <w:r w:rsidRPr="0056389F">
        <w:t xml:space="preserve"> “reflects a misunderstanding of the NCE Section 307(b) eligibility standard,” in which both the 10 percent threshold and the 2,000 person minimum were important</w:t>
      </w:r>
      <w:r w:rsidR="006F5215">
        <w:t>, holding that:</w:t>
      </w:r>
      <w:r w:rsidRPr="0056389F">
        <w:t xml:space="preserve">  </w:t>
      </w:r>
    </w:p>
    <w:p w:rsidR="007E26A7" w:rsidRPr="0056389F" w:rsidRDefault="007E26A7" w:rsidP="0058615B">
      <w:pPr>
        <w:pStyle w:val="ParaNum"/>
        <w:widowControl/>
        <w:numPr>
          <w:ilvl w:val="0"/>
          <w:numId w:val="0"/>
        </w:numPr>
        <w:ind w:left="720"/>
      </w:pPr>
      <w:r w:rsidRPr="0056389F">
        <w:t xml:space="preserve">These two components work in tandem to make the standard meaningful regardless of community size. In well-populated service areas such as </w:t>
      </w:r>
      <w:r w:rsidR="00B970F9">
        <w:t>[the applicant’s]</w:t>
      </w:r>
      <w:r w:rsidRPr="0056389F">
        <w:t xml:space="preserve">, the ten percent component ensures that Section 307(b) eligibility is limited to NCE applicants offering new service to a significant portion of the relatively large population. In contrast, the 2,000 person component is designed for small communities to ensure that trivial service differences are not treated as dispositive. It would be neither “odd” nor “anomalous” for an applicant in a populated area to propose first and second service to a population well in excess of 2,000 yet fail to qualify for a Section 307(b) preference because it falls short of the ten percent benchmark. </w:t>
      </w:r>
      <w:r>
        <w:rPr>
          <w:rStyle w:val="FootnoteReference"/>
        </w:rPr>
        <w:footnoteReference w:id="25"/>
      </w:r>
    </w:p>
    <w:p w:rsidR="00322413" w:rsidRDefault="006C7CC3" w:rsidP="00C81DEA">
      <w:pPr>
        <w:pStyle w:val="ParaNum"/>
      </w:pPr>
      <w:r>
        <w:t xml:space="preserve">Moreover, </w:t>
      </w:r>
      <w:r w:rsidR="004C365B">
        <w:t xml:space="preserve">we find that </w:t>
      </w:r>
      <w:r w:rsidR="00E129A1">
        <w:t xml:space="preserve">the licensing circumstances which Petitioner faces are not exceptional.  </w:t>
      </w:r>
      <w:r w:rsidR="00DC64FD">
        <w:t>Petit</w:t>
      </w:r>
      <w:r w:rsidR="009C50A0">
        <w:t>i</w:t>
      </w:r>
      <w:r w:rsidR="00DC64FD">
        <w:t>oner’s inability to satisfy the ten</w:t>
      </w:r>
      <w:r w:rsidR="00976F76">
        <w:t xml:space="preserve"> </w:t>
      </w:r>
      <w:r w:rsidR="00DC64FD">
        <w:t>percent threshold is principally</w:t>
      </w:r>
      <w:r w:rsidR="009B3CC8">
        <w:t xml:space="preserve"> related</w:t>
      </w:r>
      <w:r w:rsidR="00DC64FD">
        <w:t xml:space="preserve"> to th</w:t>
      </w:r>
      <w:r w:rsidR="009B3CC8">
        <w:t>e</w:t>
      </w:r>
      <w:r w:rsidR="00DC64FD">
        <w:t xml:space="preserve"> fact that Columbia and the surrounding area</w:t>
      </w:r>
      <w:r w:rsidR="003E5127">
        <w:t xml:space="preserve"> is served by numerous NCE FM stations.  </w:t>
      </w:r>
      <w:r w:rsidR="004553CA">
        <w:t>Specifically,</w:t>
      </w:r>
      <w:r w:rsidR="00894BD8">
        <w:t xml:space="preserve"> </w:t>
      </w:r>
      <w:r w:rsidR="00316F1B">
        <w:t>four NCE FM</w:t>
      </w:r>
      <w:r w:rsidR="00E129A1">
        <w:t xml:space="preserve"> stations are currently licensed to </w:t>
      </w:r>
      <w:r w:rsidR="00894BD8">
        <w:t>Columbia</w:t>
      </w:r>
      <w:r w:rsidR="00316F1B">
        <w:t>, Missouri</w:t>
      </w:r>
      <w:r w:rsidR="00E129A1">
        <w:t>.</w:t>
      </w:r>
      <w:r w:rsidR="004553CA">
        <w:rPr>
          <w:rStyle w:val="FootnoteReference"/>
        </w:rPr>
        <w:footnoteReference w:id="26"/>
      </w:r>
      <w:r w:rsidR="00E129A1">
        <w:t xml:space="preserve">  </w:t>
      </w:r>
      <w:r w:rsidR="00DD4CF9">
        <w:t xml:space="preserve">13 </w:t>
      </w:r>
      <w:r w:rsidR="00894BD8">
        <w:t>other NCE</w:t>
      </w:r>
      <w:r w:rsidR="001E7C96">
        <w:t xml:space="preserve"> FM</w:t>
      </w:r>
      <w:r w:rsidR="00894BD8">
        <w:t xml:space="preserve"> stations provide some level of NCE service to the 2</w:t>
      </w:r>
      <w:r w:rsidR="00310C56">
        <w:t>88,383</w:t>
      </w:r>
      <w:r w:rsidR="00894BD8">
        <w:t xml:space="preserve"> persons located within the </w:t>
      </w:r>
      <w:r w:rsidR="00E129A1">
        <w:t>allotment’s</w:t>
      </w:r>
      <w:r w:rsidR="00894BD8">
        <w:t xml:space="preserve"> </w:t>
      </w:r>
      <w:r w:rsidR="00976F76">
        <w:t xml:space="preserve">predicted </w:t>
      </w:r>
      <w:r w:rsidR="003323F6">
        <w:t xml:space="preserve">service </w:t>
      </w:r>
      <w:r w:rsidR="00894BD8">
        <w:t>area.</w:t>
      </w:r>
      <w:r w:rsidR="00B02036">
        <w:rPr>
          <w:rStyle w:val="FootnoteReference"/>
        </w:rPr>
        <w:footnoteReference w:id="27"/>
      </w:r>
      <w:r w:rsidR="001932BA">
        <w:t xml:space="preserve"> </w:t>
      </w:r>
      <w:r w:rsidR="00A46C6E">
        <w:t>Thus, the circumstances present here, reflected in Petitioner’s failure to meet the ten percent threshold, suggest that there is not a strong need for an additional NCE station in this market.</w:t>
      </w:r>
      <w:r w:rsidR="001932BA">
        <w:t xml:space="preserve"> </w:t>
      </w:r>
      <w:r w:rsidR="00A46C6E">
        <w:t>Furthermore</w:t>
      </w:r>
      <w:r w:rsidR="00063901">
        <w:t xml:space="preserve">, while we agree with Petitioner that the ten percent standard is difficult to satisfy, we disagree that it </w:t>
      </w:r>
      <w:r w:rsidR="00776361" w:rsidRPr="00840E0E">
        <w:t xml:space="preserve">is </w:t>
      </w:r>
      <w:r w:rsidR="009C50A0">
        <w:t xml:space="preserve">generally </w:t>
      </w:r>
      <w:r w:rsidR="00776361" w:rsidRPr="00840E0E">
        <w:t xml:space="preserve">extraordinarily difficult to </w:t>
      </w:r>
      <w:r w:rsidR="00063901">
        <w:t>do so</w:t>
      </w:r>
      <w:r w:rsidR="00776361" w:rsidRPr="00840E0E">
        <w:t>, especially for a Class C2 station</w:t>
      </w:r>
      <w:r w:rsidR="00E129A1">
        <w:t>.</w:t>
      </w:r>
      <w:r w:rsidR="00EC1881">
        <w:t xml:space="preserve">  In response to the </w:t>
      </w:r>
      <w:r w:rsidR="00EC1881" w:rsidRPr="006C7CC3">
        <w:rPr>
          <w:i/>
        </w:rPr>
        <w:t xml:space="preserve">Public Notice, </w:t>
      </w:r>
      <w:r w:rsidR="00EC1881" w:rsidRPr="006C7CC3">
        <w:rPr>
          <w:iCs/>
        </w:rPr>
        <w:t>t</w:t>
      </w:r>
      <w:r w:rsidR="00EC1881">
        <w:t xml:space="preserve">he Bureau received 129 petitions for 91 of approximately 500 </w:t>
      </w:r>
      <w:r w:rsidR="009C50A0">
        <w:t xml:space="preserve">allotments </w:t>
      </w:r>
      <w:r w:rsidR="00EC1881">
        <w:t>available for NCE reservation.  This process resulted in the NCE reservation of 55 allotments,</w:t>
      </w:r>
      <w:r w:rsidR="00847504">
        <w:rPr>
          <w:rStyle w:val="FootnoteReference"/>
        </w:rPr>
        <w:footnoteReference w:id="28"/>
      </w:r>
      <w:r w:rsidR="00EC1881">
        <w:t xml:space="preserve"> more than ten</w:t>
      </w:r>
      <w:r w:rsidR="00976F76">
        <w:t xml:space="preserve"> </w:t>
      </w:r>
      <w:r w:rsidR="00EC1881">
        <w:t>percent of the universe of allotments at issue and almost exactly proportional to the ten</w:t>
      </w:r>
      <w:r w:rsidR="00976F76">
        <w:t xml:space="preserve"> </w:t>
      </w:r>
      <w:r w:rsidR="00EC1881">
        <w:t xml:space="preserve">percent of FM channels </w:t>
      </w:r>
      <w:r w:rsidR="00384772">
        <w:t>set aside exclusively for NCE FM use.</w:t>
      </w:r>
      <w:r w:rsidR="00776361">
        <w:rPr>
          <w:rStyle w:val="FootnoteReference"/>
        </w:rPr>
        <w:footnoteReference w:id="29"/>
      </w:r>
      <w:r w:rsidR="00EC1881">
        <w:t xml:space="preserve">  </w:t>
      </w:r>
      <w:r w:rsidR="00384772">
        <w:t xml:space="preserve">This includes </w:t>
      </w:r>
      <w:r w:rsidR="00EC1881">
        <w:t>four Class C2 allotments.</w:t>
      </w:r>
      <w:r w:rsidR="00354813" w:rsidRPr="00840E0E">
        <w:rPr>
          <w:rStyle w:val="FootnoteReference"/>
          <w:szCs w:val="22"/>
        </w:rPr>
        <w:footnoteReference w:id="30"/>
      </w:r>
      <w:r w:rsidR="0096008D">
        <w:t xml:space="preserve">  </w:t>
      </w:r>
      <w:r w:rsidR="00847504">
        <w:t>Additionally</w:t>
      </w:r>
      <w:r w:rsidR="0096008D">
        <w:t>, we have reserved several allotments</w:t>
      </w:r>
      <w:r w:rsidR="00384772">
        <w:t xml:space="preserve"> that will serve more than 200,000 persons in larger metro areas.</w:t>
      </w:r>
      <w:r w:rsidR="0096008D">
        <w:rPr>
          <w:rStyle w:val="FootnoteReference"/>
        </w:rPr>
        <w:footnoteReference w:id="31"/>
      </w:r>
      <w:r w:rsidR="002938E0">
        <w:t xml:space="preserve">  </w:t>
      </w:r>
      <w:r w:rsidR="007E63E8">
        <w:t>As such,</w:t>
      </w:r>
      <w:r w:rsidR="002938E0">
        <w:t xml:space="preserve"> </w:t>
      </w:r>
      <w:r w:rsidR="009C50A0">
        <w:t xml:space="preserve">contrary to Petitioner’s contention, </w:t>
      </w:r>
      <w:r w:rsidR="00EC1881">
        <w:t xml:space="preserve">we find that the </w:t>
      </w:r>
      <w:r w:rsidR="007E63E8">
        <w:t xml:space="preserve">relaxed </w:t>
      </w:r>
      <w:r w:rsidR="00EC1881">
        <w:t>reservation standard fairly balance</w:t>
      </w:r>
      <w:r w:rsidR="00384772">
        <w:t>s</w:t>
      </w:r>
      <w:r w:rsidR="00EC1881">
        <w:t xml:space="preserve"> the competing demand for commercial and NCE service</w:t>
      </w:r>
      <w:r w:rsidR="004C365B">
        <w:t xml:space="preserve"> and for balancing the needs of rural and urban listeners</w:t>
      </w:r>
      <w:r w:rsidR="00EC1881">
        <w:t>.</w:t>
      </w:r>
      <w:r w:rsidR="007E63E8">
        <w:t xml:space="preserve">  </w:t>
      </w:r>
    </w:p>
    <w:p w:rsidR="004752E5" w:rsidRDefault="00980FD8" w:rsidP="00C81DEA">
      <w:pPr>
        <w:pStyle w:val="ParaNum"/>
      </w:pPr>
      <w:r>
        <w:t>W</w:t>
      </w:r>
      <w:r w:rsidR="00546EE6">
        <w:t xml:space="preserve">e </w:t>
      </w:r>
      <w:r>
        <w:t xml:space="preserve">also </w:t>
      </w:r>
      <w:r w:rsidR="00546EE6">
        <w:t>reject</w:t>
      </w:r>
      <w:r w:rsidR="002938E0">
        <w:t xml:space="preserve"> Petitioner’s </w:t>
      </w:r>
      <w:r>
        <w:t>assertion</w:t>
      </w:r>
      <w:r w:rsidR="002938E0">
        <w:t xml:space="preserve"> </w:t>
      </w:r>
      <w:r w:rsidR="00AF2D0F">
        <w:t xml:space="preserve">that waiver of the </w:t>
      </w:r>
      <w:r w:rsidR="002938E0">
        <w:t>reservation standard</w:t>
      </w:r>
      <w:r w:rsidR="00AF2D0F">
        <w:t xml:space="preserve"> is justified because of the </w:t>
      </w:r>
      <w:r w:rsidR="00384772">
        <w:t>unique</w:t>
      </w:r>
      <w:r w:rsidR="00AF2D0F">
        <w:t xml:space="preserve"> history of Channel 252C2 at Columbia and the need to expedite the restoration of service.  </w:t>
      </w:r>
      <w:r w:rsidR="00976F76">
        <w:t>B</w:t>
      </w:r>
      <w:r w:rsidR="00384772">
        <w:t xml:space="preserve">roadcast competitive bidding procedures </w:t>
      </w:r>
      <w:r w:rsidR="00063901">
        <w:t xml:space="preserve">have proven extremely effective in expeditiously granting construction permits and promoting the prompt introduction of new broadcast </w:t>
      </w:r>
      <w:r w:rsidR="00576063">
        <w:t>services</w:t>
      </w:r>
      <w:r w:rsidR="00063901">
        <w:t xml:space="preserve">.  </w:t>
      </w:r>
      <w:r w:rsidR="00AF2D0F">
        <w:t xml:space="preserve">Indeed, two of the </w:t>
      </w:r>
      <w:r w:rsidR="00384772">
        <w:t xml:space="preserve">former </w:t>
      </w:r>
      <w:r w:rsidR="00AF2D0F">
        <w:t>Michael Rice</w:t>
      </w:r>
      <w:r w:rsidR="00384772">
        <w:t xml:space="preserve">-controlled </w:t>
      </w:r>
      <w:r w:rsidR="00AF2D0F">
        <w:t xml:space="preserve">stations have been auctioned and are now </w:t>
      </w:r>
      <w:r w:rsidR="009C50A0">
        <w:t>authorized</w:t>
      </w:r>
      <w:r w:rsidR="005F67F3">
        <w:t>.</w:t>
      </w:r>
      <w:r w:rsidR="005F67F3">
        <w:rPr>
          <w:rStyle w:val="FootnoteReference"/>
        </w:rPr>
        <w:footnoteReference w:id="32"/>
      </w:r>
      <w:r w:rsidR="005F67F3" w:rsidRPr="00840E0E">
        <w:t xml:space="preserve"> </w:t>
      </w:r>
      <w:r w:rsidR="00AF2D0F">
        <w:t xml:space="preserve"> </w:t>
      </w:r>
      <w:r w:rsidR="00546EE6">
        <w:t>Finally</w:t>
      </w:r>
      <w:r w:rsidR="00AF2D0F">
        <w:t xml:space="preserve">, </w:t>
      </w:r>
      <w:r w:rsidR="00384772">
        <w:t>we reject</w:t>
      </w:r>
      <w:r w:rsidR="0044259C">
        <w:t>, as speculative,</w:t>
      </w:r>
      <w:r w:rsidR="00384772">
        <w:t xml:space="preserve"> Petitioner’s </w:t>
      </w:r>
      <w:r w:rsidR="0044259C">
        <w:t xml:space="preserve">argument </w:t>
      </w:r>
      <w:r w:rsidR="00AF2D0F">
        <w:t xml:space="preserve">that </w:t>
      </w:r>
      <w:r w:rsidR="00384772">
        <w:t>the Commission should reserve the allotment to a</w:t>
      </w:r>
      <w:r w:rsidR="002B4792">
        <w:t>void the potential of protracted</w:t>
      </w:r>
      <w:r w:rsidR="00384772">
        <w:t xml:space="preserve"> litigation over Michael Rice’s qualifications. </w:t>
      </w:r>
    </w:p>
    <w:p w:rsidR="00F53D90" w:rsidRDefault="00C57B4A" w:rsidP="00B574BE">
      <w:pPr>
        <w:pStyle w:val="ParaNum"/>
      </w:pPr>
      <w:r w:rsidRPr="004752E5">
        <w:rPr>
          <w:i/>
        </w:rPr>
        <w:t xml:space="preserve">Conclusion/Actions.  </w:t>
      </w:r>
      <w:r w:rsidR="00644431">
        <w:t>As discussed above, we find that, although the Bureau failed to afford proper consideration to Petitioner’s request for waiver of the Commission’s channel-reservation standards</w:t>
      </w:r>
      <w:r w:rsidR="00355920">
        <w:t>, P</w:t>
      </w:r>
      <w:r w:rsidR="00644431">
        <w:t xml:space="preserve">etitioner has not demonstrated special circumstances or a public interest benefit that would justify such waiver.  </w:t>
      </w:r>
    </w:p>
    <w:p w:rsidR="00FF00D9" w:rsidRDefault="00C57B4A" w:rsidP="00B574BE">
      <w:pPr>
        <w:pStyle w:val="ParaNum"/>
      </w:pPr>
      <w:r w:rsidRPr="00C57B4A">
        <w:t>Ac</w:t>
      </w:r>
      <w:r w:rsidR="00F30B58" w:rsidRPr="009F4593">
        <w:t xml:space="preserve">cordingly, </w:t>
      </w:r>
      <w:r w:rsidR="00F61C22" w:rsidRPr="009F4593">
        <w:t xml:space="preserve">IT IS ORDERED, </w:t>
      </w:r>
      <w:r w:rsidR="00F4051B">
        <w:t>t</w:t>
      </w:r>
      <w:r w:rsidR="00F61C22" w:rsidRPr="009F4593">
        <w:t>hat</w:t>
      </w:r>
      <w:r w:rsidR="00F4051B">
        <w:t>,</w:t>
      </w:r>
      <w:r w:rsidR="00F61C22" w:rsidRPr="009F4593">
        <w:t xml:space="preserve"> </w:t>
      </w:r>
      <w:r w:rsidR="00F4051B">
        <w:t>pursuant to Section 5(c)(5) of the Communications Act of 1934, as amended,</w:t>
      </w:r>
      <w:r w:rsidR="00F4051B">
        <w:rPr>
          <w:rStyle w:val="FootnoteReference"/>
        </w:rPr>
        <w:footnoteReference w:id="33"/>
      </w:r>
      <w:r w:rsidR="00F4051B">
        <w:t xml:space="preserve"> and Section 1.115(g) of the Commission’s rules,</w:t>
      </w:r>
      <w:r w:rsidR="00F4051B">
        <w:rPr>
          <w:rStyle w:val="FootnoteReference"/>
        </w:rPr>
        <w:footnoteReference w:id="34"/>
      </w:r>
      <w:r w:rsidR="00F4051B">
        <w:t xml:space="preserve"> </w:t>
      </w:r>
      <w:r w:rsidR="00F61C22" w:rsidRPr="009F4593">
        <w:t>the Application f</w:t>
      </w:r>
      <w:r w:rsidR="00F61C22" w:rsidRPr="004733A9">
        <w:t>or Review filed by The Curators of the</w:t>
      </w:r>
      <w:r w:rsidR="00F61C22">
        <w:t xml:space="preserve"> University of Missouri IS </w:t>
      </w:r>
      <w:r w:rsidR="00355920">
        <w:t>GRANTED to the extent indicated herein and IS DENIED in all other respects</w:t>
      </w:r>
      <w:r w:rsidR="00F61C22">
        <w:t>.</w:t>
      </w:r>
      <w:r w:rsidR="00F61C22">
        <w:tab/>
      </w:r>
    </w:p>
    <w:p w:rsidR="00F61C22" w:rsidRDefault="00F61C22" w:rsidP="00B574BE">
      <w:pPr>
        <w:pStyle w:val="ParaNum"/>
      </w:pPr>
      <w:r>
        <w:t xml:space="preserve">IT IS FURTHER ORDERED </w:t>
      </w:r>
      <w:r w:rsidR="00F4051B">
        <w:t>t</w:t>
      </w:r>
      <w:r>
        <w:t xml:space="preserve">hat </w:t>
      </w:r>
      <w:r w:rsidR="00F30B58">
        <w:t>this pr</w:t>
      </w:r>
      <w:r>
        <w:t>oceeding IS TERMINATED.</w:t>
      </w:r>
    </w:p>
    <w:p w:rsidR="00DD14DA" w:rsidRDefault="00DD14DA" w:rsidP="00C66459">
      <w:pPr>
        <w:suppressAutoHyphens/>
        <w:ind w:left="720"/>
        <w:rPr>
          <w:spacing w:val="-3"/>
          <w:szCs w:val="22"/>
        </w:rPr>
      </w:pPr>
    </w:p>
    <w:p w:rsidR="00F61C22" w:rsidRDefault="00F61C22" w:rsidP="00C66459">
      <w:pPr>
        <w:tabs>
          <w:tab w:val="left" w:pos="-1440"/>
          <w:tab w:val="left" w:pos="-720"/>
        </w:tabs>
        <w:suppressAutoHyphens/>
        <w:rPr>
          <w:spacing w:val="-3"/>
          <w:szCs w:val="22"/>
        </w:rPr>
      </w:pPr>
      <w:r>
        <w:rPr>
          <w:spacing w:val="-3"/>
          <w:szCs w:val="22"/>
        </w:rPr>
        <w:t xml:space="preserve">  </w:t>
      </w:r>
      <w:r>
        <w:rPr>
          <w:spacing w:val="-3"/>
          <w:szCs w:val="22"/>
        </w:rPr>
        <w:tab/>
      </w:r>
      <w:r>
        <w:rPr>
          <w:spacing w:val="-3"/>
          <w:szCs w:val="22"/>
        </w:rPr>
        <w:tab/>
      </w:r>
      <w:r>
        <w:rPr>
          <w:spacing w:val="-3"/>
          <w:szCs w:val="22"/>
        </w:rPr>
        <w:tab/>
      </w:r>
      <w:r>
        <w:rPr>
          <w:spacing w:val="-3"/>
          <w:szCs w:val="22"/>
        </w:rPr>
        <w:tab/>
      </w:r>
      <w:r>
        <w:rPr>
          <w:spacing w:val="-3"/>
          <w:szCs w:val="22"/>
        </w:rPr>
        <w:tab/>
      </w:r>
      <w:r w:rsidR="00DD14DA">
        <w:rPr>
          <w:spacing w:val="-3"/>
          <w:szCs w:val="22"/>
        </w:rPr>
        <w:tab/>
      </w:r>
      <w:r>
        <w:rPr>
          <w:spacing w:val="-3"/>
          <w:szCs w:val="22"/>
        </w:rPr>
        <w:t>FEDERAL COMMUNICATIONS COMMISSION</w:t>
      </w:r>
    </w:p>
    <w:p w:rsidR="00F61C22" w:rsidRDefault="00F61C22" w:rsidP="00C66459">
      <w:pPr>
        <w:tabs>
          <w:tab w:val="left" w:pos="-1440"/>
          <w:tab w:val="left" w:pos="-720"/>
        </w:tabs>
        <w:suppressAutoHyphens/>
        <w:rPr>
          <w:spacing w:val="-3"/>
          <w:szCs w:val="22"/>
        </w:rPr>
      </w:pPr>
    </w:p>
    <w:p w:rsidR="00F61C22" w:rsidRDefault="00F61C22" w:rsidP="00C66459">
      <w:pPr>
        <w:tabs>
          <w:tab w:val="left" w:pos="-1440"/>
          <w:tab w:val="left" w:pos="-720"/>
        </w:tabs>
        <w:suppressAutoHyphens/>
        <w:rPr>
          <w:spacing w:val="-3"/>
          <w:szCs w:val="22"/>
        </w:rPr>
      </w:pPr>
    </w:p>
    <w:p w:rsidR="00F61C22" w:rsidRDefault="00F61C22" w:rsidP="00C66459">
      <w:pPr>
        <w:suppressAutoHyphens/>
        <w:rPr>
          <w:spacing w:val="-3"/>
          <w:szCs w:val="22"/>
        </w:rPr>
      </w:pPr>
    </w:p>
    <w:p w:rsidR="00B96DBD" w:rsidRDefault="00B96DBD" w:rsidP="00C66459">
      <w:pPr>
        <w:tabs>
          <w:tab w:val="left" w:pos="-1440"/>
          <w:tab w:val="left" w:pos="-720"/>
        </w:tabs>
        <w:suppressAutoHyphens/>
        <w:rPr>
          <w:spacing w:val="-3"/>
          <w:szCs w:val="22"/>
        </w:rPr>
      </w:pPr>
    </w:p>
    <w:p w:rsidR="00F61C22" w:rsidRDefault="001A38D9" w:rsidP="00C66459">
      <w:pPr>
        <w:tabs>
          <w:tab w:val="left" w:pos="-1440"/>
          <w:tab w:val="left" w:pos="-720"/>
        </w:tabs>
        <w:suppressAutoHyphens/>
        <w:rPr>
          <w:spacing w:val="-3"/>
          <w:szCs w:val="22"/>
        </w:rPr>
      </w:pP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t>Marlene H. Dortch</w:t>
      </w:r>
    </w:p>
    <w:p w:rsidR="00F61C22" w:rsidRDefault="001A38D9" w:rsidP="00C66459">
      <w:pPr>
        <w:tabs>
          <w:tab w:val="left" w:pos="-1440"/>
          <w:tab w:val="left" w:pos="-720"/>
        </w:tabs>
        <w:suppressAutoHyphens/>
        <w:rPr>
          <w:spacing w:val="-3"/>
          <w:szCs w:val="22"/>
        </w:rPr>
      </w:pP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t>Secretary</w:t>
      </w:r>
    </w:p>
    <w:sectPr w:rsidR="00F61C2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315" w:rsidRDefault="002E1315">
      <w:r>
        <w:separator/>
      </w:r>
    </w:p>
  </w:endnote>
  <w:endnote w:type="continuationSeparator" w:id="0">
    <w:p w:rsidR="002E1315" w:rsidRDefault="002E1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236" w:rsidRDefault="00DB72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39A" w:rsidRDefault="0052439A">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00515E">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236" w:rsidRDefault="00DB72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315" w:rsidRDefault="002E1315">
      <w:pPr>
        <w:rPr>
          <w:sz w:val="20"/>
        </w:rPr>
      </w:pPr>
      <w:r>
        <w:rPr>
          <w:sz w:val="20"/>
        </w:rPr>
        <w:separator/>
      </w:r>
    </w:p>
  </w:footnote>
  <w:footnote w:type="continuationSeparator" w:id="0">
    <w:p w:rsidR="002E1315" w:rsidRDefault="002E1315">
      <w:pPr>
        <w:rPr>
          <w:sz w:val="20"/>
        </w:rPr>
      </w:pPr>
      <w:r>
        <w:rPr>
          <w:sz w:val="20"/>
        </w:rPr>
        <w:separator/>
      </w:r>
    </w:p>
    <w:p w:rsidR="002E1315" w:rsidRDefault="002E1315">
      <w:pPr>
        <w:rPr>
          <w:sz w:val="20"/>
        </w:rPr>
      </w:pPr>
      <w:r>
        <w:rPr>
          <w:sz w:val="20"/>
        </w:rPr>
        <w:t>(...continued from previous page)</w:t>
      </w:r>
    </w:p>
  </w:footnote>
  <w:footnote w:type="continuationNotice" w:id="1">
    <w:p w:rsidR="002E1315" w:rsidRDefault="002E1315">
      <w:pPr>
        <w:jc w:val="right"/>
        <w:rPr>
          <w:sz w:val="20"/>
        </w:rPr>
      </w:pPr>
      <w:r>
        <w:rPr>
          <w:sz w:val="20"/>
        </w:rPr>
        <w:t>(continued....)</w:t>
      </w:r>
    </w:p>
  </w:footnote>
  <w:footnote w:id="2">
    <w:p w:rsidR="0052439A" w:rsidRDefault="0052439A" w:rsidP="00C5411A">
      <w:pPr>
        <w:pStyle w:val="FootnoteText"/>
      </w:pPr>
      <w:r>
        <w:rPr>
          <w:rStyle w:val="FootnoteReference"/>
        </w:rPr>
        <w:footnoteRef/>
      </w:r>
      <w:r>
        <w:t xml:space="preserve"> </w:t>
      </w:r>
      <w:r>
        <w:rPr>
          <w:i/>
          <w:iCs/>
        </w:rPr>
        <w:t xml:space="preserve">Columbia, Missouri, </w:t>
      </w:r>
      <w:r>
        <w:t>Memorandum Opinion and Order, 21 FCC Rcd 5832 (MB 2006) (“</w:t>
      </w:r>
      <w:r>
        <w:rPr>
          <w:i/>
        </w:rPr>
        <w:t>MO&amp;O</w:t>
      </w:r>
      <w:r>
        <w:t>”).</w:t>
      </w:r>
    </w:p>
  </w:footnote>
  <w:footnote w:id="3">
    <w:p w:rsidR="0052439A" w:rsidRPr="00AC6521" w:rsidRDefault="0052439A" w:rsidP="00C5411A">
      <w:pPr>
        <w:pStyle w:val="FootnoteText"/>
      </w:pPr>
      <w:r>
        <w:rPr>
          <w:rStyle w:val="FootnoteReference"/>
        </w:rPr>
        <w:footnoteRef/>
      </w:r>
      <w:r>
        <w:t xml:space="preserve"> </w:t>
      </w:r>
      <w:r>
        <w:rPr>
          <w:i/>
        </w:rPr>
        <w:t xml:space="preserve">Public Notice, </w:t>
      </w:r>
      <w:r>
        <w:t>18 FCC Rcd 19600 (MB 2003) (“</w:t>
      </w:r>
      <w:r>
        <w:rPr>
          <w:i/>
        </w:rPr>
        <w:t>Public Notice</w:t>
      </w:r>
      <w:r>
        <w:t xml:space="preserve">”).     </w:t>
      </w:r>
    </w:p>
  </w:footnote>
  <w:footnote w:id="4">
    <w:p w:rsidR="0052439A" w:rsidRDefault="0052439A" w:rsidP="00C5411A">
      <w:pPr>
        <w:pStyle w:val="FootnoteText"/>
      </w:pPr>
      <w:r>
        <w:rPr>
          <w:rStyle w:val="FootnoteReference"/>
        </w:rPr>
        <w:footnoteRef/>
      </w:r>
      <w:r>
        <w:t xml:space="preserve"> The nonreserved FM band consists of FM Channels 221 to 300.  </w:t>
      </w:r>
      <w:r>
        <w:rPr>
          <w:i/>
        </w:rPr>
        <w:t>See</w:t>
      </w:r>
      <w:r>
        <w:t xml:space="preserve"> 47 C.F.R. § 73.202(a). The nonreserved FM band can be used by both NCE and commercial stations.  </w:t>
      </w:r>
    </w:p>
  </w:footnote>
  <w:footnote w:id="5">
    <w:p w:rsidR="0052439A" w:rsidRDefault="0052439A" w:rsidP="00C5411A">
      <w:pPr>
        <w:pStyle w:val="FootnoteText"/>
      </w:pPr>
      <w:r>
        <w:rPr>
          <w:rStyle w:val="FootnoteReference"/>
        </w:rPr>
        <w:footnoteRef/>
      </w:r>
      <w:r>
        <w:t xml:space="preserve"> 47 C.F.R. § 73.202(a)(1)(ii).</w:t>
      </w:r>
    </w:p>
  </w:footnote>
  <w:footnote w:id="6">
    <w:p w:rsidR="0052439A" w:rsidRDefault="0052439A" w:rsidP="00C5411A">
      <w:pPr>
        <w:pStyle w:val="FootnoteText"/>
      </w:pPr>
      <w:r>
        <w:rPr>
          <w:rStyle w:val="FootnoteReference"/>
        </w:rPr>
        <w:footnoteRef/>
      </w:r>
      <w:r>
        <w:t xml:space="preserve">  FM channels 201 to 220 have been reserved for NCE use.  </w:t>
      </w:r>
      <w:r>
        <w:rPr>
          <w:i/>
        </w:rPr>
        <w:t xml:space="preserve">See </w:t>
      </w:r>
      <w:r>
        <w:t xml:space="preserve"> 47 C.F.R. § 73.501(a).  </w:t>
      </w:r>
    </w:p>
  </w:footnote>
  <w:footnote w:id="7">
    <w:p w:rsidR="0052439A" w:rsidRPr="00B5512F" w:rsidRDefault="0052439A" w:rsidP="00C5411A">
      <w:pPr>
        <w:pStyle w:val="FootnoteText"/>
      </w:pPr>
      <w:r>
        <w:rPr>
          <w:rStyle w:val="FootnoteReference"/>
        </w:rPr>
        <w:footnoteRef/>
      </w:r>
      <w:r>
        <w:t xml:space="preserve">  </w:t>
      </w:r>
      <w:r>
        <w:rPr>
          <w:i/>
        </w:rPr>
        <w:t xml:space="preserve">See Reexamination of the Comparative Standard for Noncommercial Educational Applicants, </w:t>
      </w:r>
      <w:r w:rsidR="009D74CC">
        <w:t>Report and Order, 15 FCC Rcd 7386, 7434-35 (2000) (“</w:t>
      </w:r>
      <w:r w:rsidR="009D74CC">
        <w:rPr>
          <w:i/>
        </w:rPr>
        <w:t>NCE R</w:t>
      </w:r>
      <w:r w:rsidR="008F6244">
        <w:rPr>
          <w:i/>
        </w:rPr>
        <w:t>&amp;</w:t>
      </w:r>
      <w:r w:rsidR="009D74CC" w:rsidRPr="009D74CC">
        <w:rPr>
          <w:i/>
        </w:rPr>
        <w:t>O</w:t>
      </w:r>
      <w:r w:rsidR="009D74CC">
        <w:t xml:space="preserve">”) and </w:t>
      </w:r>
      <w:r w:rsidRPr="009D74CC">
        <w:t>Second</w:t>
      </w:r>
      <w:r>
        <w:t xml:space="preserve"> Report and Order, 18 FCC Rcd 6691, 6702-6703 (2003) (“</w:t>
      </w:r>
      <w:r>
        <w:rPr>
          <w:i/>
        </w:rPr>
        <w:t xml:space="preserve">Second </w:t>
      </w:r>
      <w:r w:rsidR="009D74CC">
        <w:rPr>
          <w:i/>
        </w:rPr>
        <w:t xml:space="preserve">NCE </w:t>
      </w:r>
      <w:r>
        <w:rPr>
          <w:i/>
        </w:rPr>
        <w:t>R&amp;O</w:t>
      </w:r>
      <w:r>
        <w:t xml:space="preserve">”).  </w:t>
      </w:r>
    </w:p>
  </w:footnote>
  <w:footnote w:id="8">
    <w:p w:rsidR="0052439A" w:rsidRDefault="0052439A" w:rsidP="00C5411A">
      <w:pPr>
        <w:pStyle w:val="FootnoteText"/>
      </w:pPr>
      <w:r>
        <w:rPr>
          <w:i/>
        </w:rPr>
        <w:t xml:space="preserve"> </w:t>
      </w:r>
      <w:r>
        <w:rPr>
          <w:rStyle w:val="FootnoteReference"/>
        </w:rPr>
        <w:footnoteRef/>
      </w:r>
      <w:r>
        <w:t xml:space="preserve">   Channel 252C2 had been formerly licensed to Contemporary Broadcasting, Inc., but that license was revoked in 1998 due to a felony conviction by its principal shareholder </w:t>
      </w:r>
      <w:r w:rsidR="006B0DFE">
        <w:t xml:space="preserve">Michael Rice </w:t>
      </w:r>
      <w:r>
        <w:t xml:space="preserve">and misrepresentation and lack of candor by the licensee.  </w:t>
      </w:r>
      <w:r>
        <w:rPr>
          <w:i/>
        </w:rPr>
        <w:t xml:space="preserve">See </w:t>
      </w:r>
      <w:r w:rsidR="00C1758C" w:rsidRPr="00C1758C">
        <w:rPr>
          <w:i/>
          <w:iCs/>
        </w:rPr>
        <w:t>Contemporary Media, Inc.</w:t>
      </w:r>
      <w:r w:rsidR="00C1758C" w:rsidRPr="00C1758C">
        <w:rPr>
          <w:i/>
        </w:rPr>
        <w:t xml:space="preserve">, </w:t>
      </w:r>
      <w:r w:rsidR="00C1758C" w:rsidRPr="00C1758C">
        <w:t>13 FCC Rcd 14,437 (1998)</w:t>
      </w:r>
      <w:r w:rsidR="00C1758C">
        <w:t xml:space="preserve">, </w:t>
      </w:r>
      <w:r w:rsidR="00C1758C" w:rsidRPr="00C1758C">
        <w:rPr>
          <w:i/>
        </w:rPr>
        <w:t xml:space="preserve">aff’d </w:t>
      </w:r>
      <w:r>
        <w:rPr>
          <w:i/>
        </w:rPr>
        <w:t xml:space="preserve">Contemporary Media, Inc. v FCC, </w:t>
      </w:r>
      <w:r>
        <w:t xml:space="preserve">214 F.3d 187 (D.C. Cir. 2000), </w:t>
      </w:r>
      <w:r>
        <w:rPr>
          <w:i/>
        </w:rPr>
        <w:t xml:space="preserve">certiorari denied, </w:t>
      </w:r>
      <w:r>
        <w:t xml:space="preserve">532 U.S. 920 (2001).  On July 24, 2001, five parties, including the Petitioner, filed applications to operate Channel 252C2 on an interim basis, but those applications were dismissed.  </w:t>
      </w:r>
      <w:r>
        <w:rPr>
          <w:i/>
        </w:rPr>
        <w:t xml:space="preserve">See </w:t>
      </w:r>
      <w:r w:rsidR="005B4F60">
        <w:rPr>
          <w:i/>
        </w:rPr>
        <w:t>Media Bureau Announces Dismissal of Unamended Form 301, 314, and 315 AM and FM Applications</w:t>
      </w:r>
      <w:r w:rsidR="005B4F60">
        <w:t>, Public Notice, 20 FCC Rcd 1611 (MB 2005).</w:t>
      </w:r>
      <w:r>
        <w:t xml:space="preserve">  </w:t>
      </w:r>
      <w:r>
        <w:rPr>
          <w:i/>
        </w:rPr>
        <w:t xml:space="preserve"> </w:t>
      </w:r>
      <w:r>
        <w:t xml:space="preserve">             </w:t>
      </w:r>
    </w:p>
  </w:footnote>
  <w:footnote w:id="9">
    <w:p w:rsidR="0052439A" w:rsidRDefault="0052439A" w:rsidP="00C5411A">
      <w:pPr>
        <w:pStyle w:val="FootnoteText"/>
      </w:pPr>
      <w:r>
        <w:rPr>
          <w:rStyle w:val="FootnoteReference"/>
        </w:rPr>
        <w:footnoteRef/>
      </w:r>
      <w:r>
        <w:t xml:space="preserve"> </w:t>
      </w:r>
      <w:r>
        <w:rPr>
          <w:i/>
        </w:rPr>
        <w:t xml:space="preserve">Letter to Kathryn R. Schmeltzer, Esq. </w:t>
      </w:r>
      <w:r w:rsidR="00FB24BE">
        <w:t>(MB Mar.</w:t>
      </w:r>
      <w:r>
        <w:t xml:space="preserve"> 18, 2004) (“</w:t>
      </w:r>
      <w:r>
        <w:rPr>
          <w:i/>
        </w:rPr>
        <w:t>Bureau Letter</w:t>
      </w:r>
      <w:r>
        <w:t xml:space="preserve">”). </w:t>
      </w:r>
    </w:p>
  </w:footnote>
  <w:footnote w:id="10">
    <w:p w:rsidR="0052439A" w:rsidRDefault="0052439A" w:rsidP="00C5411A">
      <w:pPr>
        <w:pStyle w:val="FootnoteText"/>
      </w:pPr>
      <w:r>
        <w:rPr>
          <w:rStyle w:val="FootnoteReference"/>
        </w:rPr>
        <w:footnoteRef/>
      </w:r>
      <w:r>
        <w:t xml:space="preserve"> 418 F.2d 1153, 1157 (D.C. Cir. 1969) (requiring an agency to give a “hard look” to waiver requests to determine whether or not deviation from a general rule is warranted) (“</w:t>
      </w:r>
      <w:r>
        <w:rPr>
          <w:i/>
        </w:rPr>
        <w:t>WAIT Radio</w:t>
      </w:r>
      <w:r>
        <w:t xml:space="preserve">”).                  </w:t>
      </w:r>
    </w:p>
  </w:footnote>
  <w:footnote w:id="11">
    <w:p w:rsidR="00922302" w:rsidRPr="00922302" w:rsidRDefault="00922302" w:rsidP="00C5411A">
      <w:pPr>
        <w:pStyle w:val="FootnoteText"/>
      </w:pPr>
      <w:r>
        <w:rPr>
          <w:rStyle w:val="FootnoteReference"/>
        </w:rPr>
        <w:footnoteRef/>
      </w:r>
      <w:r>
        <w:t xml:space="preserve"> </w:t>
      </w:r>
      <w:r>
        <w:rPr>
          <w:i/>
        </w:rPr>
        <w:t>MO&amp;O</w:t>
      </w:r>
      <w:r>
        <w:t>, 21 FCC Rcd at 5833.</w:t>
      </w:r>
    </w:p>
  </w:footnote>
  <w:footnote w:id="12">
    <w:p w:rsidR="0052439A" w:rsidRDefault="0052439A" w:rsidP="00C5411A">
      <w:pPr>
        <w:pStyle w:val="FootnoteText"/>
      </w:pPr>
      <w:r>
        <w:rPr>
          <w:rStyle w:val="FootnoteReference"/>
        </w:rPr>
        <w:footnoteRef/>
      </w:r>
      <w:r>
        <w:t xml:space="preserve"> </w:t>
      </w:r>
      <w:r w:rsidR="003F40F7">
        <w:t>Application for Review at 7</w:t>
      </w:r>
      <w:r w:rsidR="00385249">
        <w:t xml:space="preserve">, citing </w:t>
      </w:r>
      <w:r w:rsidR="00385249">
        <w:rPr>
          <w:i/>
        </w:rPr>
        <w:t>WAIT Radio,</w:t>
      </w:r>
      <w:r w:rsidR="00385249">
        <w:t xml:space="preserve"> </w:t>
      </w:r>
      <w:r>
        <w:t>418 F</w:t>
      </w:r>
      <w:r w:rsidR="00385249">
        <w:t>.</w:t>
      </w:r>
      <w:r w:rsidR="00671031">
        <w:t xml:space="preserve"> </w:t>
      </w:r>
      <w:r>
        <w:t>2d at 1157.</w:t>
      </w:r>
    </w:p>
  </w:footnote>
  <w:footnote w:id="13">
    <w:p w:rsidR="00727BA7" w:rsidRDefault="00727BA7">
      <w:pPr>
        <w:pStyle w:val="FootnoteText"/>
      </w:pPr>
      <w:r>
        <w:rPr>
          <w:rStyle w:val="FootnoteReference"/>
        </w:rPr>
        <w:footnoteRef/>
      </w:r>
      <w:r>
        <w:t xml:space="preserve"> Application for Review at 8.</w:t>
      </w:r>
    </w:p>
  </w:footnote>
  <w:footnote w:id="14">
    <w:p w:rsidR="0052439A" w:rsidRDefault="0052439A" w:rsidP="00C5411A">
      <w:pPr>
        <w:pStyle w:val="FootnoteText"/>
      </w:pPr>
      <w:r>
        <w:rPr>
          <w:rStyle w:val="FootnoteReference"/>
        </w:rPr>
        <w:footnoteRef/>
      </w:r>
      <w:r>
        <w:t xml:space="preserve"> </w:t>
      </w:r>
      <w:r>
        <w:rPr>
          <w:i/>
          <w:iCs/>
        </w:rPr>
        <w:t xml:space="preserve">See Michael S. Rice, </w:t>
      </w:r>
      <w:r>
        <w:rPr>
          <w:iCs/>
        </w:rPr>
        <w:t xml:space="preserve">Memorandum Opinion and Order, </w:t>
      </w:r>
      <w:r>
        <w:t>16 FCC Rcd 18394 (2001)</w:t>
      </w:r>
      <w:r w:rsidR="008F6244">
        <w:t xml:space="preserve"> (ordering Rice-controlled stations</w:t>
      </w:r>
      <w:r w:rsidR="001C4960">
        <w:t>, including KFMZ(FM), Columbia, Missouri</w:t>
      </w:r>
      <w:r w:rsidR="009468D1">
        <w:t xml:space="preserve">, which operated on Channel </w:t>
      </w:r>
      <w:r w:rsidR="008E7FC4">
        <w:t>252</w:t>
      </w:r>
      <w:r w:rsidR="009468D1">
        <w:t>,</w:t>
      </w:r>
      <w:r w:rsidR="008F6244">
        <w:t xml:space="preserve"> to cease operations no later than October 3, 2001)</w:t>
      </w:r>
      <w:r>
        <w:t>.</w:t>
      </w:r>
      <w:r w:rsidR="001C4960">
        <w:t xml:space="preserve"> </w:t>
      </w:r>
      <w:r w:rsidR="001C4960" w:rsidRPr="001C4960">
        <w:rPr>
          <w:i/>
        </w:rPr>
        <w:t>Id.</w:t>
      </w:r>
      <w:r w:rsidR="001C4960">
        <w:t xml:space="preserve"> at 19397.</w:t>
      </w:r>
    </w:p>
  </w:footnote>
  <w:footnote w:id="15">
    <w:p w:rsidR="00727BA7" w:rsidRDefault="00727BA7">
      <w:pPr>
        <w:pStyle w:val="FootnoteText"/>
      </w:pPr>
      <w:r>
        <w:rPr>
          <w:rStyle w:val="FootnoteReference"/>
        </w:rPr>
        <w:footnoteRef/>
      </w:r>
      <w:r>
        <w:t xml:space="preserve"> Application for Review at 9-10.</w:t>
      </w:r>
    </w:p>
  </w:footnote>
  <w:footnote w:id="16">
    <w:p w:rsidR="009C50A0" w:rsidRDefault="009C50A0">
      <w:pPr>
        <w:pStyle w:val="FootnoteText"/>
      </w:pPr>
      <w:r>
        <w:rPr>
          <w:rStyle w:val="FootnoteReference"/>
        </w:rPr>
        <w:footnoteRef/>
      </w:r>
      <w:r>
        <w:t xml:space="preserve"> </w:t>
      </w:r>
      <w:r w:rsidRPr="009C50A0">
        <w:rPr>
          <w:i/>
        </w:rPr>
        <w:t>Id.</w:t>
      </w:r>
      <w:r>
        <w:t xml:space="preserve"> at 11-12.</w:t>
      </w:r>
    </w:p>
  </w:footnote>
  <w:footnote w:id="17">
    <w:p w:rsidR="007E26A7" w:rsidRDefault="007E26A7" w:rsidP="00C5411A">
      <w:pPr>
        <w:pStyle w:val="FootnoteText"/>
      </w:pPr>
      <w:r>
        <w:rPr>
          <w:rStyle w:val="FootnoteReference"/>
        </w:rPr>
        <w:footnoteRef/>
      </w:r>
      <w:r>
        <w:t xml:space="preserve"> </w:t>
      </w:r>
      <w:r>
        <w:rPr>
          <w:i/>
        </w:rPr>
        <w:t xml:space="preserve">Northeast Cellular Telephone Co. v. FCC, </w:t>
      </w:r>
      <w:r>
        <w:t>897 F.2d 1164, 1166 (D.C. Cir. 1990) (“</w:t>
      </w:r>
      <w:r>
        <w:rPr>
          <w:i/>
        </w:rPr>
        <w:t>Northeast Cellular</w:t>
      </w:r>
      <w:r>
        <w:t>”).</w:t>
      </w:r>
    </w:p>
  </w:footnote>
  <w:footnote w:id="18">
    <w:p w:rsidR="007E26A7" w:rsidRDefault="007E26A7" w:rsidP="00C5411A">
      <w:pPr>
        <w:pStyle w:val="FootnoteText"/>
      </w:pPr>
      <w:r>
        <w:rPr>
          <w:rStyle w:val="FootnoteReference"/>
        </w:rPr>
        <w:footnoteRef/>
      </w:r>
      <w:r>
        <w:t xml:space="preserve"> </w:t>
      </w:r>
      <w:r>
        <w:rPr>
          <w:i/>
        </w:rPr>
        <w:t>WAIT Radio,</w:t>
      </w:r>
      <w:r>
        <w:t xml:space="preserve"> 418 F.2d at 1159; </w:t>
      </w:r>
      <w:r>
        <w:rPr>
          <w:i/>
        </w:rPr>
        <w:t xml:space="preserve">Northeast Cellular, </w:t>
      </w:r>
      <w:r>
        <w:t xml:space="preserve">897 F.2d at 1166.  </w:t>
      </w:r>
    </w:p>
  </w:footnote>
  <w:footnote w:id="19">
    <w:p w:rsidR="007E26A7" w:rsidRDefault="007E26A7" w:rsidP="00C5411A">
      <w:pPr>
        <w:pStyle w:val="FootnoteText"/>
      </w:pPr>
      <w:r>
        <w:rPr>
          <w:rStyle w:val="FootnoteReference"/>
        </w:rPr>
        <w:footnoteRef/>
      </w:r>
      <w:r>
        <w:t xml:space="preserve"> </w:t>
      </w:r>
      <w:r>
        <w:rPr>
          <w:i/>
        </w:rPr>
        <w:t xml:space="preserve">NetworkIP, LLC v. FCC, </w:t>
      </w:r>
      <w:r>
        <w:t xml:space="preserve">548 F.3d 116, 125-128 (D.C. Cir. 2008); </w:t>
      </w:r>
      <w:r>
        <w:rPr>
          <w:i/>
        </w:rPr>
        <w:t xml:space="preserve">Northeast Cellular, </w:t>
      </w:r>
      <w:r>
        <w:t>897 F.2d at 1166.</w:t>
      </w:r>
      <w:r>
        <w:rPr>
          <w:i/>
        </w:rPr>
        <w:t xml:space="preserve"> </w:t>
      </w:r>
    </w:p>
  </w:footnote>
  <w:footnote w:id="20">
    <w:p w:rsidR="008F6244" w:rsidRPr="008F6244" w:rsidRDefault="008F6244">
      <w:pPr>
        <w:pStyle w:val="FootnoteText"/>
      </w:pPr>
      <w:r>
        <w:rPr>
          <w:rStyle w:val="FootnoteReference"/>
        </w:rPr>
        <w:footnoteRef/>
      </w:r>
      <w:r>
        <w:t xml:space="preserve"> </w:t>
      </w:r>
      <w:r>
        <w:rPr>
          <w:i/>
        </w:rPr>
        <w:t>NCE R&amp;O</w:t>
      </w:r>
      <w:r>
        <w:t>, 15 FCC Rcd at 7396-99</w:t>
      </w:r>
      <w:r w:rsidR="001C4960">
        <w:t>.</w:t>
      </w:r>
    </w:p>
  </w:footnote>
  <w:footnote w:id="21">
    <w:p w:rsidR="008F6244" w:rsidRPr="008F6244" w:rsidRDefault="008F6244">
      <w:pPr>
        <w:pStyle w:val="FootnoteText"/>
      </w:pPr>
      <w:r>
        <w:rPr>
          <w:rStyle w:val="FootnoteReference"/>
        </w:rPr>
        <w:footnoteRef/>
      </w:r>
      <w:r>
        <w:t xml:space="preserve"> </w:t>
      </w:r>
      <w:r>
        <w:rPr>
          <w:i/>
        </w:rPr>
        <w:t xml:space="preserve">Id. </w:t>
      </w:r>
      <w:r>
        <w:t>at 7434-35.</w:t>
      </w:r>
    </w:p>
  </w:footnote>
  <w:footnote w:id="22">
    <w:p w:rsidR="00560AFC" w:rsidRPr="00560AFC" w:rsidRDefault="00560AFC">
      <w:pPr>
        <w:pStyle w:val="FootnoteText"/>
      </w:pPr>
      <w:r>
        <w:rPr>
          <w:rStyle w:val="FootnoteReference"/>
        </w:rPr>
        <w:footnoteRef/>
      </w:r>
      <w:r>
        <w:t xml:space="preserve"> </w:t>
      </w:r>
      <w:r w:rsidR="008F6244">
        <w:rPr>
          <w:i/>
        </w:rPr>
        <w:t xml:space="preserve">Id. </w:t>
      </w:r>
      <w:r>
        <w:t>at 7397.</w:t>
      </w:r>
    </w:p>
  </w:footnote>
  <w:footnote w:id="23">
    <w:p w:rsidR="00560AFC" w:rsidRPr="00560AFC" w:rsidRDefault="00560AFC">
      <w:pPr>
        <w:pStyle w:val="FootnoteText"/>
      </w:pPr>
      <w:r>
        <w:rPr>
          <w:rStyle w:val="FootnoteReference"/>
        </w:rPr>
        <w:footnoteRef/>
      </w:r>
      <w:r>
        <w:t xml:space="preserve"> </w:t>
      </w:r>
      <w:r>
        <w:rPr>
          <w:i/>
        </w:rPr>
        <w:t xml:space="preserve">Id. </w:t>
      </w:r>
      <w:r>
        <w:t>at 7434.</w:t>
      </w:r>
    </w:p>
  </w:footnote>
  <w:footnote w:id="24">
    <w:p w:rsidR="00560AFC" w:rsidRDefault="00560AFC">
      <w:pPr>
        <w:pStyle w:val="FootnoteText"/>
      </w:pPr>
      <w:r>
        <w:rPr>
          <w:rStyle w:val="FootnoteReference"/>
        </w:rPr>
        <w:footnoteRef/>
      </w:r>
      <w:r>
        <w:t xml:space="preserve"> </w:t>
      </w:r>
      <w:r w:rsidRPr="007E26A7">
        <w:rPr>
          <w:i/>
        </w:rPr>
        <w:t>Comparative Consideration of 76 Groups of Mutually Exclusive Applications</w:t>
      </w:r>
      <w:r>
        <w:rPr>
          <w:i/>
        </w:rPr>
        <w:t xml:space="preserve"> </w:t>
      </w:r>
      <w:r w:rsidRPr="007E26A7">
        <w:rPr>
          <w:bCs/>
          <w:i/>
        </w:rPr>
        <w:t>for Permits to Construct New or Modified Noncommercial Educational FM Stations</w:t>
      </w:r>
      <w:r>
        <w:rPr>
          <w:bCs/>
        </w:rPr>
        <w:t xml:space="preserve">, 22 FCC Rcd 6101, </w:t>
      </w:r>
      <w:r w:rsidR="00DF2219">
        <w:rPr>
          <w:bCs/>
        </w:rPr>
        <w:t>6</w:t>
      </w:r>
      <w:r>
        <w:rPr>
          <w:bCs/>
        </w:rPr>
        <w:t>114 ¶ 30 (2007)</w:t>
      </w:r>
      <w:r w:rsidR="008F6244">
        <w:rPr>
          <w:bCs/>
        </w:rPr>
        <w:t xml:space="preserve"> (rejecting waiver of threshold for preference where proposed station would provide a first or second service to almost 25,000 persons but only 9.33 percent of the population within the proposed service contour)</w:t>
      </w:r>
      <w:r w:rsidR="00310C56">
        <w:rPr>
          <w:bCs/>
        </w:rPr>
        <w:t xml:space="preserve"> (“</w:t>
      </w:r>
      <w:r w:rsidR="00310C56">
        <w:rPr>
          <w:bCs/>
          <w:i/>
        </w:rPr>
        <w:t>76 NCE Groups MO&amp;O</w:t>
      </w:r>
      <w:r w:rsidR="00310C56">
        <w:rPr>
          <w:bCs/>
        </w:rPr>
        <w:t>”)</w:t>
      </w:r>
      <w:r>
        <w:rPr>
          <w:bCs/>
        </w:rPr>
        <w:t xml:space="preserve">.  </w:t>
      </w:r>
      <w:r w:rsidRPr="00FE1408">
        <w:rPr>
          <w:i/>
        </w:rPr>
        <w:t>See</w:t>
      </w:r>
      <w:r>
        <w:rPr>
          <w:i/>
        </w:rPr>
        <w:t xml:space="preserve"> also</w:t>
      </w:r>
      <w:r w:rsidRPr="00FE1408">
        <w:rPr>
          <w:i/>
        </w:rPr>
        <w:t xml:space="preserve"> Holy Family Communications, Inc., </w:t>
      </w:r>
      <w:r w:rsidRPr="00FE1408">
        <w:t xml:space="preserve">Memorandum Opinion and Order, 26 FCC Rcd 12791 (MB 2011), </w:t>
      </w:r>
      <w:r w:rsidRPr="00FE1408">
        <w:rPr>
          <w:i/>
        </w:rPr>
        <w:t xml:space="preserve">rev. denied, </w:t>
      </w:r>
      <w:r w:rsidRPr="00FE1408">
        <w:t>Memorandum Opinion and Order, 28 FCC Rcd 4854 (2013)</w:t>
      </w:r>
      <w:r w:rsidR="00310C56">
        <w:t xml:space="preserve"> </w:t>
      </w:r>
      <w:r w:rsidR="00310C56" w:rsidRPr="00FE1408">
        <w:t xml:space="preserve">(rejecting </w:t>
      </w:r>
      <w:r w:rsidR="00310C56">
        <w:t xml:space="preserve">waiver of </w:t>
      </w:r>
      <w:r w:rsidR="00310C56" w:rsidRPr="00FE1408">
        <w:t xml:space="preserve">threshold </w:t>
      </w:r>
      <w:r w:rsidR="00310C56">
        <w:t xml:space="preserve">for </w:t>
      </w:r>
      <w:r w:rsidR="00310C56" w:rsidRPr="00FE1408">
        <w:t xml:space="preserve">preference where </w:t>
      </w:r>
      <w:r w:rsidR="00310C56">
        <w:t>proposed station woul</w:t>
      </w:r>
      <w:r w:rsidR="00310C56" w:rsidRPr="00FE1408">
        <w:t>d provide a second NCE service to 9.46 percent of the population within its proposed service contour)</w:t>
      </w:r>
      <w:r w:rsidR="00310C56">
        <w:t xml:space="preserve">, </w:t>
      </w:r>
      <w:r w:rsidR="00310C56">
        <w:rPr>
          <w:i/>
        </w:rPr>
        <w:t>appeal docketed sub nom.</w:t>
      </w:r>
      <w:r w:rsidRPr="00FE1408">
        <w:rPr>
          <w:i/>
        </w:rPr>
        <w:t xml:space="preserve"> Mary V. Harris Foundation v. FCC, </w:t>
      </w:r>
      <w:r w:rsidRPr="00FE1408">
        <w:t>Case No. 13-1304 (D.C. Cir. Dec. 13, 2013) .</w:t>
      </w:r>
    </w:p>
  </w:footnote>
  <w:footnote w:id="25">
    <w:p w:rsidR="007E26A7" w:rsidRPr="00FE1408" w:rsidRDefault="007E26A7" w:rsidP="00E06BFC">
      <w:pPr>
        <w:pStyle w:val="FootnoteText"/>
      </w:pPr>
      <w:r>
        <w:rPr>
          <w:rStyle w:val="FootnoteReference"/>
        </w:rPr>
        <w:footnoteRef/>
      </w:r>
      <w:r>
        <w:t xml:space="preserve"> </w:t>
      </w:r>
      <w:r w:rsidR="00310C56">
        <w:rPr>
          <w:bCs/>
          <w:i/>
        </w:rPr>
        <w:t>76 NCE Groups MO&amp;</w:t>
      </w:r>
      <w:r w:rsidR="00310C56" w:rsidRPr="00576063">
        <w:rPr>
          <w:bCs/>
        </w:rPr>
        <w:t>O</w:t>
      </w:r>
      <w:r w:rsidR="00310C56">
        <w:t xml:space="preserve">, </w:t>
      </w:r>
      <w:r>
        <w:rPr>
          <w:bCs/>
        </w:rPr>
        <w:t xml:space="preserve">22 FCC </w:t>
      </w:r>
      <w:r w:rsidRPr="00E06BFC">
        <w:t>Rcd</w:t>
      </w:r>
      <w:r>
        <w:rPr>
          <w:bCs/>
        </w:rPr>
        <w:t xml:space="preserve"> </w:t>
      </w:r>
      <w:r w:rsidR="00310C56">
        <w:rPr>
          <w:bCs/>
        </w:rPr>
        <w:t xml:space="preserve">at </w:t>
      </w:r>
      <w:r w:rsidR="00DF2219">
        <w:rPr>
          <w:bCs/>
        </w:rPr>
        <w:t>6</w:t>
      </w:r>
      <w:r>
        <w:rPr>
          <w:bCs/>
        </w:rPr>
        <w:t>114</w:t>
      </w:r>
      <w:r w:rsidR="00310C56">
        <w:rPr>
          <w:bCs/>
        </w:rPr>
        <w:t xml:space="preserve">.  </w:t>
      </w:r>
    </w:p>
  </w:footnote>
  <w:footnote w:id="26">
    <w:p w:rsidR="0052439A" w:rsidRDefault="0052439A" w:rsidP="00C5411A">
      <w:pPr>
        <w:pStyle w:val="FootnoteText"/>
      </w:pPr>
      <w:r>
        <w:rPr>
          <w:rStyle w:val="FootnoteReference"/>
        </w:rPr>
        <w:footnoteRef/>
      </w:r>
      <w:r>
        <w:t xml:space="preserve"> Stations KBIA</w:t>
      </w:r>
      <w:r w:rsidR="00C93B8D">
        <w:t>(FM)</w:t>
      </w:r>
      <w:r>
        <w:t>, Channel 217C1, KCOU</w:t>
      </w:r>
      <w:r w:rsidR="00C93B8D">
        <w:t>(FM)</w:t>
      </w:r>
      <w:r>
        <w:t>, Channel 201A, KOPN</w:t>
      </w:r>
      <w:r w:rsidR="00C93B8D">
        <w:t>(FM)</w:t>
      </w:r>
      <w:r>
        <w:t>, Channel 208C2,</w:t>
      </w:r>
      <w:r w:rsidR="00A65378">
        <w:t xml:space="preserve"> </w:t>
      </w:r>
      <w:r>
        <w:t>and KWWC-FM, Channel 213A</w:t>
      </w:r>
      <w:r w:rsidR="00A65378">
        <w:t>,</w:t>
      </w:r>
      <w:r>
        <w:t xml:space="preserve"> are licensed to Columbia.  Petitioner is the licensee of Stations KBIA</w:t>
      </w:r>
      <w:r w:rsidR="00C93B8D">
        <w:t>(FM)</w:t>
      </w:r>
      <w:r>
        <w:t xml:space="preserve"> and KCOU</w:t>
      </w:r>
      <w:r w:rsidR="00C93B8D">
        <w:t>(FM)</w:t>
      </w:r>
      <w:r w:rsidR="002D797A">
        <w:t>.</w:t>
      </w:r>
      <w:r w:rsidRPr="002959A9">
        <w:rPr>
          <w:i/>
          <w:iCs/>
        </w:rPr>
        <w:t xml:space="preserve"> </w:t>
      </w:r>
      <w:r>
        <w:rPr>
          <w:i/>
          <w:iCs/>
        </w:rPr>
        <w:t xml:space="preserve">See </w:t>
      </w:r>
      <w:r>
        <w:t>File Nos. BLED-959 and BLED-20100129ADO, respectively.</w:t>
      </w:r>
    </w:p>
  </w:footnote>
  <w:footnote w:id="27">
    <w:p w:rsidR="0052439A" w:rsidRDefault="0052439A" w:rsidP="00C5411A">
      <w:pPr>
        <w:pStyle w:val="FootnoteText"/>
      </w:pPr>
      <w:r>
        <w:rPr>
          <w:rStyle w:val="FootnoteReference"/>
        </w:rPr>
        <w:footnoteRef/>
      </w:r>
      <w:r>
        <w:t xml:space="preserve"> These stations are  KBKC</w:t>
      </w:r>
      <w:r w:rsidR="00A65378">
        <w:t>(FM), Channel 211A, Moberly</w:t>
      </w:r>
      <w:r>
        <w:t>, KJLU</w:t>
      </w:r>
      <w:r w:rsidR="00A65378">
        <w:t>(FM)</w:t>
      </w:r>
      <w:r>
        <w:t>, Channel 205C2, Jefferson City, KMCV</w:t>
      </w:r>
      <w:r w:rsidR="00A65378">
        <w:t>(FM)</w:t>
      </w:r>
      <w:r>
        <w:t>, Channel 210C3, High Point, KNLG</w:t>
      </w:r>
      <w:r w:rsidR="00A65378">
        <w:t>(FM)</w:t>
      </w:r>
      <w:r>
        <w:t>, Channel 212A, New Bloomfield, KCVK</w:t>
      </w:r>
      <w:r w:rsidR="00A65378">
        <w:t>(FM)</w:t>
      </w:r>
      <w:r>
        <w:t>, Channel *299A, Otterville, KJAB-FM, Channel 202A, Mexico, KAUD</w:t>
      </w:r>
      <w:r w:rsidR="00A65378">
        <w:t>(FM)</w:t>
      </w:r>
      <w:r>
        <w:t>, Channel 213A, Mexico, and KJIR</w:t>
      </w:r>
      <w:r w:rsidR="00A65378">
        <w:t>(FM)</w:t>
      </w:r>
      <w:r>
        <w:t>, Channel 219C2, Hannibal, MO.</w:t>
      </w:r>
    </w:p>
  </w:footnote>
  <w:footnote w:id="28">
    <w:p w:rsidR="00847504" w:rsidRDefault="00847504" w:rsidP="00C5411A">
      <w:pPr>
        <w:pStyle w:val="FootnoteText"/>
      </w:pPr>
      <w:r>
        <w:rPr>
          <w:rStyle w:val="FootnoteReference"/>
        </w:rPr>
        <w:footnoteRef/>
      </w:r>
      <w:r>
        <w:t xml:space="preserve"> In contrast, </w:t>
      </w:r>
      <w:r w:rsidR="00C33F50">
        <w:t xml:space="preserve">the Bureau </w:t>
      </w:r>
      <w:r>
        <w:t xml:space="preserve">denied </w:t>
      </w:r>
      <w:r w:rsidR="00B970F9">
        <w:t>35</w:t>
      </w:r>
      <w:r>
        <w:t xml:space="preserve"> NCE reservation petitions</w:t>
      </w:r>
      <w:r w:rsidR="00C33F50">
        <w:t>,</w:t>
      </w:r>
      <w:r>
        <w:t xml:space="preserve"> </w:t>
      </w:r>
      <w:r w:rsidR="00C33F50">
        <w:t>of</w:t>
      </w:r>
      <w:r>
        <w:t xml:space="preserve"> which only </w:t>
      </w:r>
      <w:r w:rsidR="00B970F9">
        <w:t xml:space="preserve">18 </w:t>
      </w:r>
      <w:r>
        <w:t xml:space="preserve">proposals </w:t>
      </w:r>
      <w:r w:rsidR="00C33F50">
        <w:t>were</w:t>
      </w:r>
      <w:r>
        <w:t xml:space="preserve"> rejected for</w:t>
      </w:r>
      <w:r w:rsidR="00322413">
        <w:t xml:space="preserve"> failure to comply with the ten </w:t>
      </w:r>
      <w:r>
        <w:t>percent criterion of Section 73.202(a)(1)(ii).</w:t>
      </w:r>
      <w:r w:rsidR="003856E4">
        <w:t xml:space="preserve">  To this end, the </w:t>
      </w:r>
      <w:r w:rsidR="00322413">
        <w:t xml:space="preserve">proposals failed to provide ten </w:t>
      </w:r>
      <w:r w:rsidR="003856E4">
        <w:t>percent coverage to the proposed area because two or more NCE stations already provided coverage to the proposed area.</w:t>
      </w:r>
    </w:p>
  </w:footnote>
  <w:footnote w:id="29">
    <w:p w:rsidR="00776361" w:rsidRPr="004A453F" w:rsidRDefault="00776361" w:rsidP="00C5411A">
      <w:pPr>
        <w:pStyle w:val="FootnoteText"/>
      </w:pPr>
      <w:r>
        <w:rPr>
          <w:rStyle w:val="FootnoteReference"/>
        </w:rPr>
        <w:footnoteRef/>
      </w:r>
      <w:r>
        <w:t xml:space="preserve"> </w:t>
      </w:r>
      <w:r w:rsidR="00EF190E">
        <w:t>To further accommodate NCE rulemaking proponent</w:t>
      </w:r>
      <w:r w:rsidR="007E63E8">
        <w:t>s</w:t>
      </w:r>
      <w:r w:rsidR="00EF190E">
        <w:t>, the Bureau extended the use of terrain</w:t>
      </w:r>
      <w:r w:rsidR="007E63E8">
        <w:t>-</w:t>
      </w:r>
      <w:r w:rsidR="00EF190E">
        <w:t xml:space="preserve">based </w:t>
      </w:r>
      <w:r w:rsidR="007E63E8">
        <w:t xml:space="preserve">engineering studies </w:t>
      </w:r>
      <w:r w:rsidR="00EF190E">
        <w:t xml:space="preserve">to calculate first and second NCE service.  </w:t>
      </w:r>
      <w:r w:rsidR="00E129A1">
        <w:rPr>
          <w:i/>
        </w:rPr>
        <w:t xml:space="preserve">See </w:t>
      </w:r>
      <w:r>
        <w:rPr>
          <w:i/>
        </w:rPr>
        <w:t>Hemet, California,</w:t>
      </w:r>
      <w:r>
        <w:t xml:space="preserve"> Report and Order, 22 FCC Rcd 19296 (MB 2007</w:t>
      </w:r>
      <w:r w:rsidR="00E129A1">
        <w:t xml:space="preserve">).  </w:t>
      </w:r>
      <w:r w:rsidR="00EF190E">
        <w:t>In this regard, we uphold the staff practice of permitting the use of terrain-based engi</w:t>
      </w:r>
      <w:r w:rsidR="00322413">
        <w:t xml:space="preserve">neering studies to meet the ten </w:t>
      </w:r>
      <w:r w:rsidR="00EF190E">
        <w:t xml:space="preserve">percent threshold requirement.  </w:t>
      </w:r>
      <w:r>
        <w:t>However, a staff engineering analysi</w:t>
      </w:r>
      <w:r w:rsidR="00E129A1">
        <w:t xml:space="preserve">s of </w:t>
      </w:r>
      <w:r w:rsidR="007E63E8">
        <w:t xml:space="preserve">the </w:t>
      </w:r>
      <w:r w:rsidR="00E129A1">
        <w:t>Petitioner’s proposal has determined that this methodology would not be decisional in this case, increas</w:t>
      </w:r>
      <w:r w:rsidR="00F4051B">
        <w:t>ing</w:t>
      </w:r>
      <w:r w:rsidR="00E129A1">
        <w:t xml:space="preserve"> 2</w:t>
      </w:r>
      <w:r w:rsidR="00E129A1" w:rsidRPr="00E129A1">
        <w:rPr>
          <w:vertAlign w:val="superscript"/>
        </w:rPr>
        <w:t>nd</w:t>
      </w:r>
      <w:r w:rsidR="00E129A1">
        <w:t xml:space="preserve"> NCE service coverage to only 8.1 percent</w:t>
      </w:r>
      <w:r w:rsidR="00F4051B">
        <w:t xml:space="preserve">, still </w:t>
      </w:r>
      <w:r w:rsidR="00B114F6">
        <w:t xml:space="preserve">well </w:t>
      </w:r>
      <w:r w:rsidR="00F4051B">
        <w:t>short of the ten percent threshold</w:t>
      </w:r>
      <w:r w:rsidR="00E129A1">
        <w:t>.</w:t>
      </w:r>
      <w:r>
        <w:t xml:space="preserve">      </w:t>
      </w:r>
    </w:p>
  </w:footnote>
  <w:footnote w:id="30">
    <w:p w:rsidR="0052439A" w:rsidRPr="00F117A8" w:rsidRDefault="0052439A" w:rsidP="00C5411A">
      <w:pPr>
        <w:pStyle w:val="FootnoteText"/>
      </w:pPr>
      <w:r>
        <w:rPr>
          <w:rStyle w:val="FootnoteReference"/>
        </w:rPr>
        <w:footnoteRef/>
      </w:r>
      <w:r>
        <w:t xml:space="preserve"> </w:t>
      </w:r>
      <w:r>
        <w:rPr>
          <w:i/>
        </w:rPr>
        <w:t xml:space="preserve"> </w:t>
      </w:r>
      <w:r w:rsidR="00EC1881">
        <w:t xml:space="preserve">The four C2 allotments reserved for NCE use pursuant to the procedures established in the </w:t>
      </w:r>
      <w:r w:rsidR="00EC1881">
        <w:rPr>
          <w:i/>
        </w:rPr>
        <w:t xml:space="preserve">Public Notice </w:t>
      </w:r>
      <w:r w:rsidR="00EC1881">
        <w:t xml:space="preserve">are </w:t>
      </w:r>
      <w:r>
        <w:t xml:space="preserve">Channel </w:t>
      </w:r>
      <w:r w:rsidR="0096008D">
        <w:t>*</w:t>
      </w:r>
      <w:r>
        <w:t xml:space="preserve">270C2, Olathe, Colorado, Channel </w:t>
      </w:r>
      <w:r w:rsidR="0096008D">
        <w:t>*</w:t>
      </w:r>
      <w:r>
        <w:t xml:space="preserve">289C2, Golden Meadow, Louisiana, Channel </w:t>
      </w:r>
      <w:r w:rsidR="0096008D">
        <w:t>*</w:t>
      </w:r>
      <w:r>
        <w:t xml:space="preserve">248C2, Denver City, Texas and Channel </w:t>
      </w:r>
      <w:r w:rsidR="0096008D">
        <w:t>*</w:t>
      </w:r>
      <w:r>
        <w:t xml:space="preserve">232C2, Hayward, Wisconsin.  </w:t>
      </w:r>
      <w:r>
        <w:rPr>
          <w:i/>
        </w:rPr>
        <w:t xml:space="preserve">See Olathe, Colorado, </w:t>
      </w:r>
      <w:r>
        <w:t xml:space="preserve">Report and Order, 19 FCC Rcd 13115 (MB 2004); </w:t>
      </w:r>
      <w:r>
        <w:rPr>
          <w:i/>
        </w:rPr>
        <w:t xml:space="preserve">Golden Meadow, Louisiana, </w:t>
      </w:r>
      <w:r>
        <w:t xml:space="preserve">Report and Order, 19 FCC Rcd 13852 (MB 2004); and </w:t>
      </w:r>
      <w:r>
        <w:rPr>
          <w:i/>
        </w:rPr>
        <w:t xml:space="preserve">Denver City, Texas and Hayward, Wisconsin, </w:t>
      </w:r>
      <w:r>
        <w:t>Report and Order, 19 FCC Rcd 15418 (MB 2004).</w:t>
      </w:r>
    </w:p>
  </w:footnote>
  <w:footnote w:id="31">
    <w:p w:rsidR="0096008D" w:rsidRPr="00BF5A8A" w:rsidRDefault="0096008D" w:rsidP="00C5411A">
      <w:pPr>
        <w:pStyle w:val="FootnoteText"/>
      </w:pPr>
      <w:r>
        <w:rPr>
          <w:rStyle w:val="FootnoteReference"/>
        </w:rPr>
        <w:footnoteRef/>
      </w:r>
      <w:r>
        <w:t xml:space="preserve"> The </w:t>
      </w:r>
      <w:r w:rsidR="00506FA7">
        <w:t xml:space="preserve">NCE reserved </w:t>
      </w:r>
      <w:r>
        <w:t xml:space="preserve">allotments are Channel *261C3, </w:t>
      </w:r>
      <w:smartTag w:uri="urn:schemas-microsoft-com:office:smarttags" w:element="City">
        <w:r>
          <w:t>Anniston</w:t>
        </w:r>
      </w:smartTag>
      <w:r>
        <w:t xml:space="preserve">, </w:t>
      </w:r>
      <w:smartTag w:uri="urn:schemas-microsoft-com:office:smarttags" w:element="State">
        <w:r>
          <w:t>Alabama</w:t>
        </w:r>
      </w:smartTag>
      <w:r>
        <w:t xml:space="preserve">, </w:t>
      </w:r>
      <w:r w:rsidR="00BF5A8A">
        <w:t xml:space="preserve">Channel *238A, </w:t>
      </w:r>
      <w:smartTag w:uri="urn:schemas-microsoft-com:office:smarttags" w:element="City">
        <w:r>
          <w:t>Westley</w:t>
        </w:r>
      </w:smartTag>
      <w:r>
        <w:t xml:space="preserve">, </w:t>
      </w:r>
      <w:smartTag w:uri="urn:schemas-microsoft-com:office:smarttags" w:element="State">
        <w:r>
          <w:t>California</w:t>
        </w:r>
      </w:smartTag>
      <w:r>
        <w:t xml:space="preserve">, Channel *298B, </w:t>
      </w:r>
      <w:smartTag w:uri="urn:schemas-microsoft-com:office:smarttags" w:element="City">
        <w:r>
          <w:t>Terre Haute</w:t>
        </w:r>
      </w:smartTag>
      <w:r>
        <w:t xml:space="preserve">, </w:t>
      </w:r>
      <w:smartTag w:uri="urn:schemas-microsoft-com:office:smarttags" w:element="State">
        <w:r>
          <w:t>Indiana</w:t>
        </w:r>
      </w:smartTag>
      <w:r>
        <w:t xml:space="preserve">, and Channel *221A, </w:t>
      </w:r>
      <w:smartTag w:uri="urn:schemas-microsoft-com:office:smarttags" w:element="place">
        <w:smartTag w:uri="urn:schemas-microsoft-com:office:smarttags" w:element="City">
          <w:r>
            <w:t>Amherst</w:t>
          </w:r>
        </w:smartTag>
        <w:r>
          <w:t xml:space="preserve">, </w:t>
        </w:r>
        <w:smartTag w:uri="urn:schemas-microsoft-com:office:smarttags" w:element="State">
          <w:r>
            <w:t>New York</w:t>
          </w:r>
        </w:smartTag>
      </w:smartTag>
      <w:r>
        <w:t>.</w:t>
      </w:r>
      <w:r w:rsidR="00BF5A8A">
        <w:t xml:space="preserve">  </w:t>
      </w:r>
      <w:r w:rsidR="00BF5A8A">
        <w:rPr>
          <w:i/>
        </w:rPr>
        <w:t xml:space="preserve">See </w:t>
      </w:r>
      <w:smartTag w:uri="urn:schemas-microsoft-com:office:smarttags" w:element="City">
        <w:r w:rsidR="00BF5A8A">
          <w:rPr>
            <w:i/>
          </w:rPr>
          <w:t>Anniston</w:t>
        </w:r>
      </w:smartTag>
      <w:r w:rsidR="00BF5A8A">
        <w:rPr>
          <w:i/>
        </w:rPr>
        <w:t xml:space="preserve">, </w:t>
      </w:r>
      <w:smartTag w:uri="urn:schemas-microsoft-com:office:smarttags" w:element="State">
        <w:r w:rsidR="00BF5A8A">
          <w:rPr>
            <w:i/>
          </w:rPr>
          <w:t>Alabama</w:t>
        </w:r>
      </w:smartTag>
      <w:r w:rsidR="00BF5A8A">
        <w:rPr>
          <w:i/>
        </w:rPr>
        <w:t xml:space="preserve"> and </w:t>
      </w:r>
      <w:smartTag w:uri="urn:schemas-microsoft-com:office:smarttags" w:element="City">
        <w:r w:rsidR="00BF5A8A">
          <w:rPr>
            <w:i/>
          </w:rPr>
          <w:t>Westley</w:t>
        </w:r>
      </w:smartTag>
      <w:r w:rsidR="00BF5A8A">
        <w:rPr>
          <w:i/>
        </w:rPr>
        <w:t xml:space="preserve">, </w:t>
      </w:r>
      <w:smartTag w:uri="urn:schemas-microsoft-com:office:smarttags" w:element="State">
        <w:r w:rsidR="00BF5A8A">
          <w:rPr>
            <w:i/>
          </w:rPr>
          <w:t>California</w:t>
        </w:r>
      </w:smartTag>
      <w:r w:rsidR="00BF5A8A">
        <w:rPr>
          <w:i/>
        </w:rPr>
        <w:t xml:space="preserve">, </w:t>
      </w:r>
      <w:r w:rsidR="00BF5A8A">
        <w:t xml:space="preserve">Report and Order, 19 FCC Rcd 13115( MB 2004); </w:t>
      </w:r>
      <w:smartTag w:uri="urn:schemas-microsoft-com:office:smarttags" w:element="City">
        <w:r w:rsidR="00BF5A8A">
          <w:rPr>
            <w:i/>
          </w:rPr>
          <w:t>Terre Haute</w:t>
        </w:r>
      </w:smartTag>
      <w:r w:rsidR="00BF5A8A">
        <w:rPr>
          <w:i/>
        </w:rPr>
        <w:t xml:space="preserve">, </w:t>
      </w:r>
      <w:smartTag w:uri="urn:schemas-microsoft-com:office:smarttags" w:element="State">
        <w:r w:rsidR="00BF5A8A">
          <w:rPr>
            <w:i/>
          </w:rPr>
          <w:t>Indiana</w:t>
        </w:r>
      </w:smartTag>
      <w:r w:rsidR="00BF5A8A">
        <w:rPr>
          <w:i/>
        </w:rPr>
        <w:t xml:space="preserve">, </w:t>
      </w:r>
      <w:r w:rsidR="00BF5A8A">
        <w:t xml:space="preserve">Report and Order, 19 FCC Rcd 13852 (MB 2004); and </w:t>
      </w:r>
      <w:smartTag w:uri="urn:schemas-microsoft-com:office:smarttags" w:element="place">
        <w:smartTag w:uri="urn:schemas-microsoft-com:office:smarttags" w:element="City">
          <w:r w:rsidR="00BF5A8A">
            <w:rPr>
              <w:i/>
            </w:rPr>
            <w:t>Amherst</w:t>
          </w:r>
        </w:smartTag>
        <w:r w:rsidR="00BF5A8A">
          <w:rPr>
            <w:i/>
          </w:rPr>
          <w:t xml:space="preserve">, </w:t>
        </w:r>
        <w:smartTag w:uri="urn:schemas-microsoft-com:office:smarttags" w:element="State">
          <w:r w:rsidR="00BF5A8A">
            <w:rPr>
              <w:i/>
            </w:rPr>
            <w:t>New York</w:t>
          </w:r>
        </w:smartTag>
      </w:smartTag>
      <w:r w:rsidR="00BF5A8A">
        <w:rPr>
          <w:i/>
        </w:rPr>
        <w:t xml:space="preserve">, </w:t>
      </w:r>
      <w:r w:rsidR="00BF5A8A">
        <w:t>Report and Order, 19 FCC Rcd 14607 (MB 2004).</w:t>
      </w:r>
    </w:p>
  </w:footnote>
  <w:footnote w:id="32">
    <w:p w:rsidR="0052439A" w:rsidRPr="005F67F3" w:rsidRDefault="0052439A" w:rsidP="00C5411A">
      <w:pPr>
        <w:pStyle w:val="FootnoteText"/>
      </w:pPr>
      <w:r>
        <w:rPr>
          <w:rStyle w:val="FootnoteReference"/>
        </w:rPr>
        <w:footnoteRef/>
      </w:r>
      <w:r>
        <w:t xml:space="preserve"> Channel 270, </w:t>
      </w:r>
      <w:smartTag w:uri="urn:schemas-microsoft-com:office:smarttags" w:element="City">
        <w:r>
          <w:t>Eldon</w:t>
        </w:r>
      </w:smartTag>
      <w:r>
        <w:t xml:space="preserve">, </w:t>
      </w:r>
      <w:smartTag w:uri="urn:schemas-microsoft-com:office:smarttags" w:element="State">
        <w:r>
          <w:t>Missouri</w:t>
        </w:r>
      </w:smartTag>
      <w:r>
        <w:t xml:space="preserve">, and Channel 271A, </w:t>
      </w:r>
      <w:smartTag w:uri="urn:schemas-microsoft-com:office:smarttags" w:element="country-region">
        <w:r>
          <w:t>Cuba</w:t>
        </w:r>
      </w:smartTag>
      <w:r>
        <w:t xml:space="preserve">, </w:t>
      </w:r>
      <w:smartTag w:uri="urn:schemas-microsoft-com:office:smarttags" w:element="place">
        <w:smartTag w:uri="urn:schemas-microsoft-com:office:smarttags" w:element="State">
          <w:r>
            <w:t>Missouri</w:t>
          </w:r>
        </w:smartTag>
      </w:smartTag>
      <w:r>
        <w:t xml:space="preserve">, previously licensed to entities controlled by Michael Rice, were included in FM Broadcast Auction No. 62, which closed on January 31, 2006.  </w:t>
      </w:r>
      <w:r w:rsidR="000F6FB8">
        <w:t>Zimmer Radio of Mid-Missouri, Inc.</w:t>
      </w:r>
      <w:r>
        <w:t xml:space="preserve"> is now the licensee for the Eldon allotment, </w:t>
      </w:r>
      <w:r w:rsidR="000F6FB8">
        <w:t>Station KZWV(FM)</w:t>
      </w:r>
      <w:r w:rsidR="003D5FAC">
        <w:t xml:space="preserve"> (Facil</w:t>
      </w:r>
      <w:r w:rsidR="00971A92">
        <w:t>ity</w:t>
      </w:r>
      <w:r w:rsidR="003D5FAC">
        <w:t xml:space="preserve"> ID </w:t>
      </w:r>
      <w:r w:rsidR="00971A92">
        <w:t xml:space="preserve">No. </w:t>
      </w:r>
      <w:r w:rsidR="003D5FAC">
        <w:t>165951)</w:t>
      </w:r>
      <w:r w:rsidR="000F6FB8">
        <w:t xml:space="preserve">, </w:t>
      </w:r>
      <w:r>
        <w:t xml:space="preserve">and </w:t>
      </w:r>
      <w:r w:rsidR="00971A92">
        <w:t xml:space="preserve">Broadcast Management, Inc. is the licensee for the </w:t>
      </w:r>
      <w:r>
        <w:t xml:space="preserve"> for the Cuba allotment</w:t>
      </w:r>
      <w:r w:rsidR="00971A92">
        <w:t>, KQXQ(FM)</w:t>
      </w:r>
      <w:r w:rsidR="00D645C5">
        <w:t xml:space="preserve"> </w:t>
      </w:r>
      <w:r w:rsidR="00971A92">
        <w:t>(Facility ID No. 165955)</w:t>
      </w:r>
      <w:r>
        <w:t xml:space="preserve">. </w:t>
      </w:r>
      <w:r>
        <w:rPr>
          <w:i/>
        </w:rPr>
        <w:t xml:space="preserve">See </w:t>
      </w:r>
      <w:r>
        <w:t xml:space="preserve">File Nos. BLH-20061002AXD and </w:t>
      </w:r>
      <w:r w:rsidR="00971A92">
        <w:t>BLH-20110307ABL, respectively</w:t>
      </w:r>
      <w:r>
        <w:t>.</w:t>
      </w:r>
    </w:p>
  </w:footnote>
  <w:footnote w:id="33">
    <w:p w:rsidR="00F4051B" w:rsidRDefault="00F4051B">
      <w:pPr>
        <w:pStyle w:val="FootnoteText"/>
      </w:pPr>
      <w:r>
        <w:rPr>
          <w:rStyle w:val="FootnoteReference"/>
        </w:rPr>
        <w:footnoteRef/>
      </w:r>
      <w:r>
        <w:t xml:space="preserve"> 47 U.S.C. § 155(c)(5).</w:t>
      </w:r>
    </w:p>
  </w:footnote>
  <w:footnote w:id="34">
    <w:p w:rsidR="00F4051B" w:rsidRDefault="00F4051B">
      <w:pPr>
        <w:pStyle w:val="FootnoteText"/>
      </w:pPr>
      <w:r>
        <w:rPr>
          <w:rStyle w:val="FootnoteReference"/>
        </w:rPr>
        <w:footnoteRef/>
      </w:r>
      <w:r>
        <w:t xml:space="preserve"> 47 C.F.R.§ 1.115(g).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236" w:rsidRDefault="00DB72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39A" w:rsidRDefault="0052439A">
    <w:pPr>
      <w:pStyle w:val="Header"/>
      <w:rPr>
        <w:b w:val="0"/>
      </w:rPr>
    </w:pPr>
    <w:r>
      <w:rPr>
        <w:b w:val="0"/>
      </w:rPr>
      <w:tab/>
    </w:r>
    <w:r w:rsidRPr="005F1D9F">
      <w:t>Federal Communications Commission</w:t>
    </w:r>
    <w:r>
      <w:rPr>
        <w:b w:val="0"/>
      </w:rPr>
      <w:tab/>
    </w:r>
    <w:r w:rsidRPr="00AD1889">
      <w:t>FCC</w:t>
    </w:r>
    <w:r w:rsidR="00323E87">
      <w:t xml:space="preserve"> </w:t>
    </w:r>
    <w:r w:rsidR="004C5090">
      <w:t>14-85</w:t>
    </w:r>
  </w:p>
  <w:p w:rsidR="0052439A" w:rsidRDefault="003A360F">
    <w:pPr>
      <w:pStyle w:val="Header"/>
    </w:pPr>
    <w:r>
      <w:rPr>
        <w:noProof/>
        <w:snapToGrid/>
      </w:rPr>
      <mc:AlternateContent>
        <mc:Choice Requires="wps">
          <w:drawing>
            <wp:anchor distT="0" distB="0" distL="114300" distR="114300" simplePos="0" relativeHeight="251658240" behindDoc="0" locked="0" layoutInCell="0" allowOverlap="1" wp14:anchorId="6E1DE585" wp14:editId="0BFB0AD8">
              <wp:simplePos x="0" y="0"/>
              <wp:positionH relativeFrom="column">
                <wp:posOffset>0</wp:posOffset>
              </wp:positionH>
              <wp:positionV relativeFrom="paragraph">
                <wp:posOffset>22225</wp:posOffset>
              </wp:positionV>
              <wp:extent cx="594360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rkk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DIuuSQSAgAA&#10;KQQAAA4AAAAAAAAAAAAAAAAALgIAAGRycy9lMm9Eb2MueG1sUEsBAi0AFAAGAAgAAAAhAO4pKK7Y&#10;AAAABAEAAA8AAAAAAAAAAAAAAAAAbAQAAGRycy9kb3ducmV2LnhtbFBLBQYAAAAABAAEAPMAAABx&#10;BQAAAAA=&#10;" o:allowincell="f" strokeweight="1.5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39A" w:rsidRDefault="0052439A">
    <w:pPr>
      <w:pStyle w:val="Header"/>
      <w:rPr>
        <w:b w:val="0"/>
      </w:rPr>
    </w:pPr>
    <w:r>
      <w:rPr>
        <w:b w:val="0"/>
      </w:rPr>
      <w:tab/>
    </w:r>
    <w:r w:rsidRPr="005F1D9F">
      <w:t>Federal Communications Commission</w:t>
    </w:r>
    <w:r>
      <w:rPr>
        <w:b w:val="0"/>
      </w:rPr>
      <w:tab/>
    </w:r>
    <w:r w:rsidRPr="00AD1889">
      <w:t>FCC</w:t>
    </w:r>
    <w:r w:rsidR="004C5090">
      <w:t xml:space="preserve"> 14-85</w:t>
    </w:r>
  </w:p>
  <w:p w:rsidR="0052439A" w:rsidRDefault="003A360F">
    <w:pPr>
      <w:pStyle w:val="Header"/>
    </w:pPr>
    <w:r>
      <w:rPr>
        <w:noProof/>
        <w:snapToGrid/>
      </w:rPr>
      <mc:AlternateContent>
        <mc:Choice Requires="wps">
          <w:drawing>
            <wp:anchor distT="0" distB="0" distL="114300" distR="114300" simplePos="0" relativeHeight="251657216" behindDoc="0" locked="0" layoutInCell="0" allowOverlap="1" wp14:anchorId="38A9CE3F" wp14:editId="655A0B25">
              <wp:simplePos x="0" y="0"/>
              <wp:positionH relativeFrom="column">
                <wp:posOffset>0</wp:posOffset>
              </wp:positionH>
              <wp:positionV relativeFrom="paragraph">
                <wp:posOffset>22225</wp:posOffset>
              </wp:positionV>
              <wp:extent cx="59436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DuKSiu2AAAAAQBAAAPAAAAZHJzL2Rvd25yZXYueG1sTI9BT4NAEIXvJv6HzZh4s4vWNhRZ&#10;Gm3ipTexUY9TdgQiO0vYLYV/7+hFjy9v8r1v8u3kOjXSEFrPBm4XCSjiytuWawOH1+ebFFSIyBY7&#10;z2RgpgDb4vIix8z6M7/QWMZaCYRDhgaaGPtM61A15DAsfE8s3acfHEaJQ63tgGeBu07fJclaO2xZ&#10;FhrsaddQ9VWenFBW7+nTHtPDPHflx+Z+97Yf2RlzfTU9PoCKNMW/Y/jRF3UoxOnoT2yD6gzII9HA&#10;cgVKys1yLfn4m3WR6//yxTcAAAD//wMAUEsBAi0AFAAGAAgAAAAhALaDOJL+AAAA4QEAABMAAAAA&#10;AAAAAAAAAAAAAAAAAFtDb250ZW50X1R5cGVzXS54bWxQSwECLQAUAAYACAAAACEAOP0h/9YAAACU&#10;AQAACwAAAAAAAAAAAAAAAAAvAQAAX3JlbHMvLnJlbHNQSwECLQAUAAYACAAAACEASe3P1xECAAAp&#10;BAAADgAAAAAAAAAAAAAAAAAuAgAAZHJzL2Uyb0RvYy54bWxQSwECLQAUAAYACAAAACEA7ikortgA&#10;AAAEAQAADwAAAAAAAAAAAAAAAABrBAAAZHJzL2Rvd25yZXYueG1sUEsFBgAAAAAEAAQA8wAAAHAF&#10;A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5"/>
  </w:num>
  <w:num w:numId="2">
    <w:abstractNumId w:val="6"/>
  </w:num>
  <w:num w:numId="3">
    <w:abstractNumId w:val="3"/>
  </w:num>
  <w:num w:numId="4">
    <w:abstractNumId w:val="1"/>
  </w:num>
  <w:num w:numId="5">
    <w:abstractNumId w:val="4"/>
  </w:num>
  <w:num w:numId="6">
    <w:abstractNumId w:val="2"/>
  </w:num>
  <w:num w:numId="7">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345"/>
    <w:rsid w:val="00001817"/>
    <w:rsid w:val="0000515E"/>
    <w:rsid w:val="00007A92"/>
    <w:rsid w:val="00016F92"/>
    <w:rsid w:val="00022719"/>
    <w:rsid w:val="0003516E"/>
    <w:rsid w:val="0005434A"/>
    <w:rsid w:val="00063901"/>
    <w:rsid w:val="000766FB"/>
    <w:rsid w:val="000B3DCF"/>
    <w:rsid w:val="000C2B17"/>
    <w:rsid w:val="000D6AC1"/>
    <w:rsid w:val="000F6526"/>
    <w:rsid w:val="000F6FB8"/>
    <w:rsid w:val="00100AE9"/>
    <w:rsid w:val="00135D72"/>
    <w:rsid w:val="00144641"/>
    <w:rsid w:val="001473CA"/>
    <w:rsid w:val="00152590"/>
    <w:rsid w:val="00161207"/>
    <w:rsid w:val="00163FE1"/>
    <w:rsid w:val="00170E7E"/>
    <w:rsid w:val="00170F85"/>
    <w:rsid w:val="001932BA"/>
    <w:rsid w:val="001A1057"/>
    <w:rsid w:val="001A38D9"/>
    <w:rsid w:val="001A6763"/>
    <w:rsid w:val="001C2D6F"/>
    <w:rsid w:val="001C4960"/>
    <w:rsid w:val="001D2E1A"/>
    <w:rsid w:val="001E0D71"/>
    <w:rsid w:val="001E7C96"/>
    <w:rsid w:val="00203A14"/>
    <w:rsid w:val="0020513D"/>
    <w:rsid w:val="00205B10"/>
    <w:rsid w:val="00211446"/>
    <w:rsid w:val="00226345"/>
    <w:rsid w:val="002337FE"/>
    <w:rsid w:val="00253279"/>
    <w:rsid w:val="00281AC2"/>
    <w:rsid w:val="002938E0"/>
    <w:rsid w:val="002959A9"/>
    <w:rsid w:val="002A0EC6"/>
    <w:rsid w:val="002A3588"/>
    <w:rsid w:val="002A35AB"/>
    <w:rsid w:val="002B4792"/>
    <w:rsid w:val="002B7908"/>
    <w:rsid w:val="002C05A4"/>
    <w:rsid w:val="002C5BA8"/>
    <w:rsid w:val="002C6C3D"/>
    <w:rsid w:val="002C6E50"/>
    <w:rsid w:val="002D797A"/>
    <w:rsid w:val="002D7F25"/>
    <w:rsid w:val="002E1315"/>
    <w:rsid w:val="002E136F"/>
    <w:rsid w:val="002E644D"/>
    <w:rsid w:val="002E6DA6"/>
    <w:rsid w:val="002F1432"/>
    <w:rsid w:val="00310C56"/>
    <w:rsid w:val="00316F1B"/>
    <w:rsid w:val="00322413"/>
    <w:rsid w:val="00323E87"/>
    <w:rsid w:val="003323F6"/>
    <w:rsid w:val="003459BF"/>
    <w:rsid w:val="0034665D"/>
    <w:rsid w:val="00347A4A"/>
    <w:rsid w:val="00350619"/>
    <w:rsid w:val="00354813"/>
    <w:rsid w:val="00355920"/>
    <w:rsid w:val="003578A5"/>
    <w:rsid w:val="0036484F"/>
    <w:rsid w:val="00374DBC"/>
    <w:rsid w:val="00376D34"/>
    <w:rsid w:val="0038270E"/>
    <w:rsid w:val="00384772"/>
    <w:rsid w:val="00385249"/>
    <w:rsid w:val="003856E4"/>
    <w:rsid w:val="003953A7"/>
    <w:rsid w:val="003A2237"/>
    <w:rsid w:val="003A360F"/>
    <w:rsid w:val="003B2A78"/>
    <w:rsid w:val="003C2818"/>
    <w:rsid w:val="003C41BE"/>
    <w:rsid w:val="003C5039"/>
    <w:rsid w:val="003D2A71"/>
    <w:rsid w:val="003D2DA8"/>
    <w:rsid w:val="003D5FAC"/>
    <w:rsid w:val="003D7825"/>
    <w:rsid w:val="003E5127"/>
    <w:rsid w:val="003E69B1"/>
    <w:rsid w:val="003E79EC"/>
    <w:rsid w:val="003F40F7"/>
    <w:rsid w:val="00401A2A"/>
    <w:rsid w:val="00402484"/>
    <w:rsid w:val="004060AD"/>
    <w:rsid w:val="00410E09"/>
    <w:rsid w:val="004124B7"/>
    <w:rsid w:val="0041310F"/>
    <w:rsid w:val="00417BAD"/>
    <w:rsid w:val="004234C4"/>
    <w:rsid w:val="0044259C"/>
    <w:rsid w:val="004553CA"/>
    <w:rsid w:val="004608C4"/>
    <w:rsid w:val="004733A9"/>
    <w:rsid w:val="004752E5"/>
    <w:rsid w:val="00483CE1"/>
    <w:rsid w:val="00484A1D"/>
    <w:rsid w:val="00491C89"/>
    <w:rsid w:val="00493978"/>
    <w:rsid w:val="00497620"/>
    <w:rsid w:val="004A453F"/>
    <w:rsid w:val="004B1471"/>
    <w:rsid w:val="004C365B"/>
    <w:rsid w:val="004C5090"/>
    <w:rsid w:val="004E42FE"/>
    <w:rsid w:val="004E4348"/>
    <w:rsid w:val="004E460B"/>
    <w:rsid w:val="004E7472"/>
    <w:rsid w:val="004F2797"/>
    <w:rsid w:val="00501952"/>
    <w:rsid w:val="00506FA7"/>
    <w:rsid w:val="0052287A"/>
    <w:rsid w:val="0052439A"/>
    <w:rsid w:val="00530159"/>
    <w:rsid w:val="00537B0A"/>
    <w:rsid w:val="0054072A"/>
    <w:rsid w:val="005413CA"/>
    <w:rsid w:val="00543368"/>
    <w:rsid w:val="00546EE6"/>
    <w:rsid w:val="00547658"/>
    <w:rsid w:val="00555748"/>
    <w:rsid w:val="00560210"/>
    <w:rsid w:val="00560AFC"/>
    <w:rsid w:val="00561734"/>
    <w:rsid w:val="0056389F"/>
    <w:rsid w:val="005646B8"/>
    <w:rsid w:val="005718EB"/>
    <w:rsid w:val="00572B52"/>
    <w:rsid w:val="00576063"/>
    <w:rsid w:val="0058441E"/>
    <w:rsid w:val="0058615B"/>
    <w:rsid w:val="0058707E"/>
    <w:rsid w:val="005B097B"/>
    <w:rsid w:val="005B2C38"/>
    <w:rsid w:val="005B30D4"/>
    <w:rsid w:val="005B3DCF"/>
    <w:rsid w:val="005B47D7"/>
    <w:rsid w:val="005B4F60"/>
    <w:rsid w:val="005B786C"/>
    <w:rsid w:val="005D2D60"/>
    <w:rsid w:val="005D7E65"/>
    <w:rsid w:val="005F1D9F"/>
    <w:rsid w:val="005F67F3"/>
    <w:rsid w:val="00612F48"/>
    <w:rsid w:val="00635661"/>
    <w:rsid w:val="00640F18"/>
    <w:rsid w:val="00644431"/>
    <w:rsid w:val="00647758"/>
    <w:rsid w:val="00647B12"/>
    <w:rsid w:val="0065116F"/>
    <w:rsid w:val="0065569F"/>
    <w:rsid w:val="00671031"/>
    <w:rsid w:val="006813F4"/>
    <w:rsid w:val="0069047E"/>
    <w:rsid w:val="006919C9"/>
    <w:rsid w:val="006A64DD"/>
    <w:rsid w:val="006A79FD"/>
    <w:rsid w:val="006B0DFE"/>
    <w:rsid w:val="006C0577"/>
    <w:rsid w:val="006C4998"/>
    <w:rsid w:val="006C7CC3"/>
    <w:rsid w:val="006D6054"/>
    <w:rsid w:val="006D6873"/>
    <w:rsid w:val="006E0EA3"/>
    <w:rsid w:val="006E4C75"/>
    <w:rsid w:val="006F5215"/>
    <w:rsid w:val="006F724F"/>
    <w:rsid w:val="00714694"/>
    <w:rsid w:val="00714B5E"/>
    <w:rsid w:val="00717238"/>
    <w:rsid w:val="0072525A"/>
    <w:rsid w:val="00727BA7"/>
    <w:rsid w:val="00732D8D"/>
    <w:rsid w:val="00740EAF"/>
    <w:rsid w:val="007507DD"/>
    <w:rsid w:val="00761C1E"/>
    <w:rsid w:val="00763832"/>
    <w:rsid w:val="00775B72"/>
    <w:rsid w:val="00775BBC"/>
    <w:rsid w:val="00776361"/>
    <w:rsid w:val="00776B66"/>
    <w:rsid w:val="00793E42"/>
    <w:rsid w:val="007C2319"/>
    <w:rsid w:val="007D4AA9"/>
    <w:rsid w:val="007E26A7"/>
    <w:rsid w:val="007E63E8"/>
    <w:rsid w:val="0081128D"/>
    <w:rsid w:val="00812B9A"/>
    <w:rsid w:val="00816710"/>
    <w:rsid w:val="008203C5"/>
    <w:rsid w:val="00820B19"/>
    <w:rsid w:val="00822C0C"/>
    <w:rsid w:val="00822F1F"/>
    <w:rsid w:val="00825824"/>
    <w:rsid w:val="00830309"/>
    <w:rsid w:val="00837495"/>
    <w:rsid w:val="00840E0E"/>
    <w:rsid w:val="00843E32"/>
    <w:rsid w:val="008472F5"/>
    <w:rsid w:val="00847504"/>
    <w:rsid w:val="00855493"/>
    <w:rsid w:val="0086302E"/>
    <w:rsid w:val="00863890"/>
    <w:rsid w:val="008706C8"/>
    <w:rsid w:val="0087565A"/>
    <w:rsid w:val="00880A08"/>
    <w:rsid w:val="00894BD8"/>
    <w:rsid w:val="008A6C84"/>
    <w:rsid w:val="008A787F"/>
    <w:rsid w:val="008B7EC1"/>
    <w:rsid w:val="008C39C6"/>
    <w:rsid w:val="008D1257"/>
    <w:rsid w:val="008E5026"/>
    <w:rsid w:val="008E5FF5"/>
    <w:rsid w:val="008E7FC4"/>
    <w:rsid w:val="008F6244"/>
    <w:rsid w:val="008F76EA"/>
    <w:rsid w:val="009008FA"/>
    <w:rsid w:val="00912510"/>
    <w:rsid w:val="00917128"/>
    <w:rsid w:val="00922302"/>
    <w:rsid w:val="009468D1"/>
    <w:rsid w:val="00956C5D"/>
    <w:rsid w:val="0096008D"/>
    <w:rsid w:val="00971A92"/>
    <w:rsid w:val="0097519D"/>
    <w:rsid w:val="00976F76"/>
    <w:rsid w:val="009804AF"/>
    <w:rsid w:val="00980FD8"/>
    <w:rsid w:val="00981894"/>
    <w:rsid w:val="009839F9"/>
    <w:rsid w:val="009861B5"/>
    <w:rsid w:val="009863B5"/>
    <w:rsid w:val="0099226F"/>
    <w:rsid w:val="00994EDC"/>
    <w:rsid w:val="00996497"/>
    <w:rsid w:val="009A366A"/>
    <w:rsid w:val="009A6CEE"/>
    <w:rsid w:val="009B260A"/>
    <w:rsid w:val="009B3CC8"/>
    <w:rsid w:val="009B3CE1"/>
    <w:rsid w:val="009B6647"/>
    <w:rsid w:val="009C50A0"/>
    <w:rsid w:val="009C7A43"/>
    <w:rsid w:val="009D74CC"/>
    <w:rsid w:val="009E4AF4"/>
    <w:rsid w:val="009F4593"/>
    <w:rsid w:val="009F49E6"/>
    <w:rsid w:val="009F5220"/>
    <w:rsid w:val="00A10D31"/>
    <w:rsid w:val="00A17989"/>
    <w:rsid w:val="00A332C2"/>
    <w:rsid w:val="00A35927"/>
    <w:rsid w:val="00A36D11"/>
    <w:rsid w:val="00A46C6E"/>
    <w:rsid w:val="00A52521"/>
    <w:rsid w:val="00A541B4"/>
    <w:rsid w:val="00A65378"/>
    <w:rsid w:val="00A72306"/>
    <w:rsid w:val="00A7309B"/>
    <w:rsid w:val="00A7357B"/>
    <w:rsid w:val="00A743CF"/>
    <w:rsid w:val="00A74BB5"/>
    <w:rsid w:val="00A85B93"/>
    <w:rsid w:val="00AA1578"/>
    <w:rsid w:val="00AB0A4B"/>
    <w:rsid w:val="00AB15E8"/>
    <w:rsid w:val="00AD1889"/>
    <w:rsid w:val="00AD3D39"/>
    <w:rsid w:val="00AF0B2B"/>
    <w:rsid w:val="00AF2D0F"/>
    <w:rsid w:val="00B02036"/>
    <w:rsid w:val="00B114F6"/>
    <w:rsid w:val="00B16D88"/>
    <w:rsid w:val="00B17523"/>
    <w:rsid w:val="00B24CB6"/>
    <w:rsid w:val="00B479EA"/>
    <w:rsid w:val="00B546B0"/>
    <w:rsid w:val="00B5512F"/>
    <w:rsid w:val="00B574BE"/>
    <w:rsid w:val="00B6188E"/>
    <w:rsid w:val="00B7199B"/>
    <w:rsid w:val="00B76FEB"/>
    <w:rsid w:val="00B81FC1"/>
    <w:rsid w:val="00B908F4"/>
    <w:rsid w:val="00B96DBD"/>
    <w:rsid w:val="00B970F9"/>
    <w:rsid w:val="00BB601F"/>
    <w:rsid w:val="00BB7F8A"/>
    <w:rsid w:val="00BC112F"/>
    <w:rsid w:val="00BC311D"/>
    <w:rsid w:val="00BE64F6"/>
    <w:rsid w:val="00BF1936"/>
    <w:rsid w:val="00BF2EC7"/>
    <w:rsid w:val="00BF30FE"/>
    <w:rsid w:val="00BF43D9"/>
    <w:rsid w:val="00BF5A8A"/>
    <w:rsid w:val="00C13023"/>
    <w:rsid w:val="00C1758C"/>
    <w:rsid w:val="00C21559"/>
    <w:rsid w:val="00C33241"/>
    <w:rsid w:val="00C33F50"/>
    <w:rsid w:val="00C349CC"/>
    <w:rsid w:val="00C5411A"/>
    <w:rsid w:val="00C57B4A"/>
    <w:rsid w:val="00C66459"/>
    <w:rsid w:val="00C74830"/>
    <w:rsid w:val="00C81DEA"/>
    <w:rsid w:val="00C83830"/>
    <w:rsid w:val="00C87ECF"/>
    <w:rsid w:val="00C93B8D"/>
    <w:rsid w:val="00CA6EE2"/>
    <w:rsid w:val="00CA72DD"/>
    <w:rsid w:val="00CB794B"/>
    <w:rsid w:val="00CC2007"/>
    <w:rsid w:val="00CC4CBB"/>
    <w:rsid w:val="00CC4DCA"/>
    <w:rsid w:val="00CE0B66"/>
    <w:rsid w:val="00CF0491"/>
    <w:rsid w:val="00CF658B"/>
    <w:rsid w:val="00D011B0"/>
    <w:rsid w:val="00D256B9"/>
    <w:rsid w:val="00D25F34"/>
    <w:rsid w:val="00D33EE2"/>
    <w:rsid w:val="00D42BAC"/>
    <w:rsid w:val="00D525D6"/>
    <w:rsid w:val="00D645C5"/>
    <w:rsid w:val="00D67B8F"/>
    <w:rsid w:val="00D90AA6"/>
    <w:rsid w:val="00DA5299"/>
    <w:rsid w:val="00DB1EFB"/>
    <w:rsid w:val="00DB5C04"/>
    <w:rsid w:val="00DB7236"/>
    <w:rsid w:val="00DC64FD"/>
    <w:rsid w:val="00DD14DA"/>
    <w:rsid w:val="00DD4CF9"/>
    <w:rsid w:val="00DF2219"/>
    <w:rsid w:val="00DF5763"/>
    <w:rsid w:val="00E06BFC"/>
    <w:rsid w:val="00E129A1"/>
    <w:rsid w:val="00E17F5D"/>
    <w:rsid w:val="00E2018E"/>
    <w:rsid w:val="00E22ED9"/>
    <w:rsid w:val="00E24848"/>
    <w:rsid w:val="00E42EEB"/>
    <w:rsid w:val="00E503B3"/>
    <w:rsid w:val="00E522F5"/>
    <w:rsid w:val="00E569C7"/>
    <w:rsid w:val="00E661AC"/>
    <w:rsid w:val="00E7316C"/>
    <w:rsid w:val="00E73EFC"/>
    <w:rsid w:val="00E80129"/>
    <w:rsid w:val="00EA05CA"/>
    <w:rsid w:val="00EB1BD1"/>
    <w:rsid w:val="00EC1881"/>
    <w:rsid w:val="00EC41E5"/>
    <w:rsid w:val="00EE1569"/>
    <w:rsid w:val="00EE5702"/>
    <w:rsid w:val="00EE594A"/>
    <w:rsid w:val="00EF190E"/>
    <w:rsid w:val="00EF386B"/>
    <w:rsid w:val="00F10D02"/>
    <w:rsid w:val="00F117A8"/>
    <w:rsid w:val="00F270AF"/>
    <w:rsid w:val="00F30B58"/>
    <w:rsid w:val="00F33634"/>
    <w:rsid w:val="00F4051B"/>
    <w:rsid w:val="00F53D90"/>
    <w:rsid w:val="00F61C22"/>
    <w:rsid w:val="00F656DC"/>
    <w:rsid w:val="00F8166E"/>
    <w:rsid w:val="00F96155"/>
    <w:rsid w:val="00FB24BE"/>
    <w:rsid w:val="00FB7643"/>
    <w:rsid w:val="00FC3728"/>
    <w:rsid w:val="00FD1A60"/>
    <w:rsid w:val="00FE1408"/>
    <w:rsid w:val="00FE4F3C"/>
    <w:rsid w:val="00FF0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Body Text" w:uiPriority="99"/>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515E"/>
    <w:pPr>
      <w:widowControl w:val="0"/>
    </w:pPr>
    <w:rPr>
      <w:snapToGrid w:val="0"/>
      <w:kern w:val="28"/>
      <w:sz w:val="22"/>
    </w:rPr>
  </w:style>
  <w:style w:type="paragraph" w:styleId="Heading1">
    <w:name w:val="heading 1"/>
    <w:basedOn w:val="Normal"/>
    <w:next w:val="ParaNum"/>
    <w:qFormat/>
    <w:rsid w:val="0000515E"/>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00515E"/>
    <w:pPr>
      <w:keepNext/>
      <w:numPr>
        <w:ilvl w:val="1"/>
        <w:numId w:val="3"/>
      </w:numPr>
      <w:spacing w:after="120"/>
      <w:outlineLvl w:val="1"/>
    </w:pPr>
    <w:rPr>
      <w:b/>
    </w:rPr>
  </w:style>
  <w:style w:type="paragraph" w:styleId="Heading3">
    <w:name w:val="heading 3"/>
    <w:basedOn w:val="Normal"/>
    <w:next w:val="ParaNum"/>
    <w:qFormat/>
    <w:rsid w:val="0000515E"/>
    <w:pPr>
      <w:keepNext/>
      <w:numPr>
        <w:ilvl w:val="2"/>
        <w:numId w:val="3"/>
      </w:numPr>
      <w:tabs>
        <w:tab w:val="left" w:pos="2160"/>
      </w:tabs>
      <w:spacing w:after="120"/>
      <w:outlineLvl w:val="2"/>
    </w:pPr>
    <w:rPr>
      <w:b/>
    </w:rPr>
  </w:style>
  <w:style w:type="paragraph" w:styleId="Heading4">
    <w:name w:val="heading 4"/>
    <w:basedOn w:val="Normal"/>
    <w:next w:val="ParaNum"/>
    <w:qFormat/>
    <w:rsid w:val="0000515E"/>
    <w:pPr>
      <w:keepNext/>
      <w:numPr>
        <w:ilvl w:val="3"/>
        <w:numId w:val="3"/>
      </w:numPr>
      <w:tabs>
        <w:tab w:val="left" w:pos="2880"/>
      </w:tabs>
      <w:spacing w:after="120"/>
      <w:outlineLvl w:val="3"/>
    </w:pPr>
    <w:rPr>
      <w:b/>
    </w:rPr>
  </w:style>
  <w:style w:type="paragraph" w:styleId="Heading5">
    <w:name w:val="heading 5"/>
    <w:basedOn w:val="Normal"/>
    <w:next w:val="ParaNum"/>
    <w:qFormat/>
    <w:rsid w:val="0000515E"/>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0515E"/>
    <w:pPr>
      <w:numPr>
        <w:ilvl w:val="5"/>
        <w:numId w:val="3"/>
      </w:numPr>
      <w:tabs>
        <w:tab w:val="left" w:pos="4320"/>
      </w:tabs>
      <w:spacing w:after="120"/>
      <w:outlineLvl w:val="5"/>
    </w:pPr>
    <w:rPr>
      <w:b/>
    </w:rPr>
  </w:style>
  <w:style w:type="paragraph" w:styleId="Heading7">
    <w:name w:val="heading 7"/>
    <w:basedOn w:val="Normal"/>
    <w:next w:val="ParaNum"/>
    <w:qFormat/>
    <w:rsid w:val="0000515E"/>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00515E"/>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00515E"/>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00515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0515E"/>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rsid w:val="0000515E"/>
    <w:pPr>
      <w:numPr>
        <w:numId w:val="2"/>
      </w:numPr>
      <w:tabs>
        <w:tab w:val="clear" w:pos="1080"/>
        <w:tab w:val="num" w:pos="1440"/>
      </w:tabs>
      <w:spacing w:after="120"/>
    </w:pPr>
  </w:style>
  <w:style w:type="paragraph" w:styleId="FootnoteText">
    <w:name w:val="footnote text"/>
    <w:aliases w:val="Footnote Text Char2,Footnote Text Char1 Char,Footnote Text Char Char Char,Footnote Text Char2 Char Char1 Char,Footnote Text Char1 Char1 Char Char1 Char,Footnote Text Char Char Char Char Char Char,rrfootnote,Footnote Text Char1,fn Char Char"/>
    <w:link w:val="FootnoteTextChar"/>
    <w:rsid w:val="0000515E"/>
    <w:pPr>
      <w:spacing w:after="120"/>
    </w:pPr>
  </w:style>
  <w:style w:type="paragraph" w:customStyle="1" w:styleId="Bullet">
    <w:name w:val="Bullet"/>
    <w:basedOn w:val="Normal"/>
    <w:rsid w:val="0000515E"/>
    <w:pPr>
      <w:tabs>
        <w:tab w:val="left" w:pos="2160"/>
      </w:tabs>
      <w:spacing w:after="220"/>
      <w:ind w:left="2160" w:hanging="720"/>
    </w:pPr>
  </w:style>
  <w:style w:type="paragraph" w:styleId="BlockText">
    <w:name w:val="Block Text"/>
    <w:basedOn w:val="Normal"/>
    <w:rsid w:val="0000515E"/>
    <w:pPr>
      <w:spacing w:after="240"/>
      <w:ind w:left="1440" w:right="1440"/>
    </w:pPr>
  </w:style>
  <w:style w:type="paragraph" w:customStyle="1" w:styleId="TableFormat">
    <w:name w:val="TableFormat"/>
    <w:basedOn w:val="Bullet"/>
    <w:rsid w:val="0000515E"/>
    <w:pPr>
      <w:tabs>
        <w:tab w:val="clear" w:pos="2160"/>
        <w:tab w:val="left" w:pos="5040"/>
      </w:tabs>
      <w:ind w:left="5040" w:hanging="3600"/>
    </w:pPr>
  </w:style>
  <w:style w:type="character" w:styleId="FootnoteReference">
    <w:name w:val="footnote reference"/>
    <w:aliases w:val="Style 12,(NECG) Footnote Reference,Appel note de bas de p,Style 124,o,fr,Style 3,Style 13"/>
    <w:rsid w:val="0000515E"/>
    <w:rPr>
      <w:rFonts w:ascii="Times New Roman" w:hAnsi="Times New Roman"/>
      <w:dstrike w:val="0"/>
      <w:color w:val="auto"/>
      <w:sz w:val="20"/>
      <w:vertAlign w:val="superscript"/>
    </w:rPr>
  </w:style>
  <w:style w:type="paragraph" w:styleId="Header">
    <w:name w:val="header"/>
    <w:basedOn w:val="Normal"/>
    <w:autoRedefine/>
    <w:rsid w:val="0000515E"/>
    <w:pPr>
      <w:tabs>
        <w:tab w:val="center" w:pos="4680"/>
        <w:tab w:val="right" w:pos="9360"/>
      </w:tabs>
    </w:pPr>
    <w:rPr>
      <w:b/>
    </w:rPr>
  </w:style>
  <w:style w:type="paragraph" w:styleId="Footer">
    <w:name w:val="footer"/>
    <w:basedOn w:val="Normal"/>
    <w:rsid w:val="0000515E"/>
    <w:pPr>
      <w:tabs>
        <w:tab w:val="center" w:pos="4320"/>
        <w:tab w:val="right" w:pos="8640"/>
      </w:tabs>
    </w:pPr>
  </w:style>
  <w:style w:type="paragraph" w:styleId="TOC2">
    <w:name w:val="toc 2"/>
    <w:basedOn w:val="Normal"/>
    <w:next w:val="Normal"/>
    <w:semiHidden/>
    <w:rsid w:val="0000515E"/>
    <w:pPr>
      <w:tabs>
        <w:tab w:val="left" w:pos="720"/>
        <w:tab w:val="right" w:leader="dot" w:pos="9360"/>
      </w:tabs>
      <w:suppressAutoHyphens/>
      <w:ind w:left="720" w:right="720" w:hanging="360"/>
    </w:pPr>
    <w:rPr>
      <w:noProof/>
    </w:rPr>
  </w:style>
  <w:style w:type="paragraph" w:customStyle="1" w:styleId="NumberedList">
    <w:name w:val="Numbered List"/>
    <w:basedOn w:val="Normal"/>
    <w:pPr>
      <w:numPr>
        <w:numId w:val="1"/>
      </w:numPr>
      <w:tabs>
        <w:tab w:val="clear" w:pos="1080"/>
      </w:tabs>
      <w:spacing w:after="220"/>
      <w:ind w:firstLine="0"/>
    </w:pPr>
  </w:style>
  <w:style w:type="paragraph" w:styleId="TOC1">
    <w:name w:val="toc 1"/>
    <w:basedOn w:val="Normal"/>
    <w:next w:val="Normal"/>
    <w:semiHidden/>
    <w:rsid w:val="0000515E"/>
    <w:pPr>
      <w:tabs>
        <w:tab w:val="left" w:pos="360"/>
        <w:tab w:val="right" w:leader="dot" w:pos="9360"/>
      </w:tabs>
      <w:suppressAutoHyphens/>
      <w:ind w:left="360" w:right="720" w:hanging="360"/>
    </w:pPr>
    <w:rPr>
      <w:caps/>
      <w:noProof/>
    </w:rPr>
  </w:style>
  <w:style w:type="paragraph" w:styleId="TOC3">
    <w:name w:val="toc 3"/>
    <w:basedOn w:val="Normal"/>
    <w:next w:val="Normal"/>
    <w:semiHidden/>
    <w:rsid w:val="0000515E"/>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00515E"/>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00515E"/>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00515E"/>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00515E"/>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00515E"/>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00515E"/>
    <w:pPr>
      <w:tabs>
        <w:tab w:val="left" w:pos="3240"/>
        <w:tab w:val="right" w:leader="dot" w:pos="9360"/>
      </w:tabs>
      <w:suppressAutoHyphens/>
      <w:ind w:left="3240" w:hanging="360"/>
    </w:pPr>
    <w:rPr>
      <w:noProof/>
    </w:rPr>
  </w:style>
  <w:style w:type="character" w:styleId="PageNumber">
    <w:name w:val="page number"/>
    <w:basedOn w:val="DefaultParagraphFont"/>
    <w:rsid w:val="0000515E"/>
  </w:style>
  <w:style w:type="paragraph" w:styleId="Title">
    <w:name w:val="Title"/>
    <w:basedOn w:val="Normal"/>
    <w:qFormat/>
    <w:pPr>
      <w:jc w:val="center"/>
    </w:pPr>
    <w:rPr>
      <w:b/>
    </w:rPr>
  </w:style>
  <w:style w:type="paragraph" w:styleId="BalloonText">
    <w:name w:val="Balloon Text"/>
    <w:basedOn w:val="Normal"/>
    <w:semiHidden/>
    <w:rPr>
      <w:rFonts w:ascii="Tahoma" w:hAnsi="Tahoma" w:cs="Tahoma"/>
      <w:sz w:val="16"/>
      <w:szCs w:val="16"/>
    </w:rPr>
  </w:style>
  <w:style w:type="character" w:styleId="Hyperlink">
    <w:name w:val="Hyperlink"/>
    <w:rsid w:val="0000515E"/>
    <w:rPr>
      <w:color w:val="0000FF"/>
      <w:u w:val="single"/>
    </w:rPr>
  </w:style>
  <w:style w:type="paragraph" w:styleId="EndnoteText">
    <w:name w:val="endnote text"/>
    <w:basedOn w:val="Normal"/>
    <w:semiHidden/>
    <w:rsid w:val="0000515E"/>
    <w:rPr>
      <w:sz w:val="20"/>
    </w:rPr>
  </w:style>
  <w:style w:type="character" w:styleId="EndnoteReference">
    <w:name w:val="endnote reference"/>
    <w:semiHidden/>
    <w:rsid w:val="0000515E"/>
    <w:rPr>
      <w:vertAlign w:val="superscript"/>
    </w:rPr>
  </w:style>
  <w:style w:type="paragraph" w:styleId="TOAHeading">
    <w:name w:val="toa heading"/>
    <w:basedOn w:val="Normal"/>
    <w:next w:val="Normal"/>
    <w:semiHidden/>
    <w:rsid w:val="0000515E"/>
    <w:pPr>
      <w:tabs>
        <w:tab w:val="right" w:pos="9360"/>
      </w:tabs>
      <w:suppressAutoHyphens/>
    </w:pPr>
  </w:style>
  <w:style w:type="character" w:customStyle="1" w:styleId="EquationCaption">
    <w:name w:val="_Equation Caption"/>
    <w:rsid w:val="0000515E"/>
  </w:style>
  <w:style w:type="paragraph" w:customStyle="1" w:styleId="Paratitle">
    <w:name w:val="Para title"/>
    <w:basedOn w:val="Normal"/>
    <w:rsid w:val="0000515E"/>
    <w:pPr>
      <w:tabs>
        <w:tab w:val="center" w:pos="9270"/>
      </w:tabs>
      <w:spacing w:after="240"/>
    </w:pPr>
    <w:rPr>
      <w:spacing w:val="-2"/>
    </w:rPr>
  </w:style>
  <w:style w:type="paragraph" w:customStyle="1" w:styleId="TOCTitle">
    <w:name w:val="TOC Title"/>
    <w:basedOn w:val="Normal"/>
    <w:rsid w:val="0000515E"/>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0515E"/>
    <w:pPr>
      <w:jc w:val="center"/>
    </w:pPr>
    <w:rPr>
      <w:rFonts w:ascii="Times New Roman Bold" w:hAnsi="Times New Roman Bold"/>
      <w:b/>
      <w:bCs/>
      <w:caps/>
      <w:szCs w:val="22"/>
    </w:rPr>
  </w:style>
  <w:style w:type="character" w:customStyle="1" w:styleId="ParaNumChar">
    <w:name w:val="ParaNum Char"/>
    <w:link w:val="ParaNum"/>
    <w:rsid w:val="001A1057"/>
    <w:rPr>
      <w:snapToGrid w:val="0"/>
      <w:kern w:val="28"/>
      <w:sz w:val="22"/>
    </w:rPr>
  </w:style>
  <w:style w:type="paragraph" w:styleId="BodyText">
    <w:name w:val="Body Text"/>
    <w:basedOn w:val="Normal"/>
    <w:link w:val="BodyTextChar"/>
    <w:uiPriority w:val="99"/>
    <w:unhideWhenUsed/>
    <w:rsid w:val="0056389F"/>
    <w:pPr>
      <w:widowControl/>
      <w:spacing w:line="480" w:lineRule="auto"/>
      <w:ind w:firstLine="720"/>
    </w:pPr>
    <w:rPr>
      <w:rFonts w:eastAsia="Calibri"/>
      <w:snapToGrid/>
      <w:kern w:val="0"/>
      <w:sz w:val="28"/>
      <w:szCs w:val="28"/>
    </w:rPr>
  </w:style>
  <w:style w:type="character" w:customStyle="1" w:styleId="BodyTextChar">
    <w:name w:val="Body Text Char"/>
    <w:link w:val="BodyText"/>
    <w:uiPriority w:val="99"/>
    <w:rsid w:val="0056389F"/>
    <w:rPr>
      <w:rFonts w:eastAsia="Calibri"/>
      <w:sz w:val="28"/>
      <w:szCs w:val="28"/>
    </w:rPr>
  </w:style>
  <w:style w:type="paragraph" w:styleId="ListParagraph">
    <w:name w:val="List Paragraph"/>
    <w:basedOn w:val="Normal"/>
    <w:uiPriority w:val="34"/>
    <w:qFormat/>
    <w:rsid w:val="0099226F"/>
    <w:pPr>
      <w:ind w:left="720"/>
    </w:pPr>
  </w:style>
  <w:style w:type="character" w:customStyle="1" w:styleId="FootnoteTextChar">
    <w:name w:val="Footnote Text Char"/>
    <w:aliases w:val="Footnote Text Char2 Char,Footnote Text Char1 Char Char,Footnote Text Char Char Char Char,Footnote Text Char2 Char Char1 Char Char,Footnote Text Char1 Char1 Char Char1 Char Char,Footnote Text Char Char Char Char Char Char Char"/>
    <w:link w:val="FootnoteText"/>
    <w:rsid w:val="007E26A7"/>
  </w:style>
  <w:style w:type="character" w:styleId="CommentReference">
    <w:name w:val="annotation reference"/>
    <w:rsid w:val="00063901"/>
    <w:rPr>
      <w:sz w:val="16"/>
      <w:szCs w:val="16"/>
    </w:rPr>
  </w:style>
  <w:style w:type="paragraph" w:styleId="CommentText">
    <w:name w:val="annotation text"/>
    <w:basedOn w:val="Normal"/>
    <w:link w:val="CommentTextChar"/>
    <w:rsid w:val="00063901"/>
    <w:rPr>
      <w:sz w:val="20"/>
    </w:rPr>
  </w:style>
  <w:style w:type="character" w:customStyle="1" w:styleId="CommentTextChar">
    <w:name w:val="Comment Text Char"/>
    <w:link w:val="CommentText"/>
    <w:rsid w:val="00063901"/>
    <w:rPr>
      <w:snapToGrid w:val="0"/>
      <w:kern w:val="28"/>
    </w:rPr>
  </w:style>
  <w:style w:type="paragraph" w:styleId="CommentSubject">
    <w:name w:val="annotation subject"/>
    <w:basedOn w:val="CommentText"/>
    <w:next w:val="CommentText"/>
    <w:link w:val="CommentSubjectChar"/>
    <w:rsid w:val="00063901"/>
    <w:rPr>
      <w:b/>
      <w:bCs/>
    </w:rPr>
  </w:style>
  <w:style w:type="character" w:customStyle="1" w:styleId="CommentSubjectChar">
    <w:name w:val="Comment Subject Char"/>
    <w:link w:val="CommentSubject"/>
    <w:rsid w:val="00063901"/>
    <w:rPr>
      <w:b/>
      <w:bCs/>
      <w:snapToGrid w:val="0"/>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Body Text" w:uiPriority="99"/>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515E"/>
    <w:pPr>
      <w:widowControl w:val="0"/>
    </w:pPr>
    <w:rPr>
      <w:snapToGrid w:val="0"/>
      <w:kern w:val="28"/>
      <w:sz w:val="22"/>
    </w:rPr>
  </w:style>
  <w:style w:type="paragraph" w:styleId="Heading1">
    <w:name w:val="heading 1"/>
    <w:basedOn w:val="Normal"/>
    <w:next w:val="ParaNum"/>
    <w:qFormat/>
    <w:rsid w:val="0000515E"/>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00515E"/>
    <w:pPr>
      <w:keepNext/>
      <w:numPr>
        <w:ilvl w:val="1"/>
        <w:numId w:val="3"/>
      </w:numPr>
      <w:spacing w:after="120"/>
      <w:outlineLvl w:val="1"/>
    </w:pPr>
    <w:rPr>
      <w:b/>
    </w:rPr>
  </w:style>
  <w:style w:type="paragraph" w:styleId="Heading3">
    <w:name w:val="heading 3"/>
    <w:basedOn w:val="Normal"/>
    <w:next w:val="ParaNum"/>
    <w:qFormat/>
    <w:rsid w:val="0000515E"/>
    <w:pPr>
      <w:keepNext/>
      <w:numPr>
        <w:ilvl w:val="2"/>
        <w:numId w:val="3"/>
      </w:numPr>
      <w:tabs>
        <w:tab w:val="left" w:pos="2160"/>
      </w:tabs>
      <w:spacing w:after="120"/>
      <w:outlineLvl w:val="2"/>
    </w:pPr>
    <w:rPr>
      <w:b/>
    </w:rPr>
  </w:style>
  <w:style w:type="paragraph" w:styleId="Heading4">
    <w:name w:val="heading 4"/>
    <w:basedOn w:val="Normal"/>
    <w:next w:val="ParaNum"/>
    <w:qFormat/>
    <w:rsid w:val="0000515E"/>
    <w:pPr>
      <w:keepNext/>
      <w:numPr>
        <w:ilvl w:val="3"/>
        <w:numId w:val="3"/>
      </w:numPr>
      <w:tabs>
        <w:tab w:val="left" w:pos="2880"/>
      </w:tabs>
      <w:spacing w:after="120"/>
      <w:outlineLvl w:val="3"/>
    </w:pPr>
    <w:rPr>
      <w:b/>
    </w:rPr>
  </w:style>
  <w:style w:type="paragraph" w:styleId="Heading5">
    <w:name w:val="heading 5"/>
    <w:basedOn w:val="Normal"/>
    <w:next w:val="ParaNum"/>
    <w:qFormat/>
    <w:rsid w:val="0000515E"/>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0515E"/>
    <w:pPr>
      <w:numPr>
        <w:ilvl w:val="5"/>
        <w:numId w:val="3"/>
      </w:numPr>
      <w:tabs>
        <w:tab w:val="left" w:pos="4320"/>
      </w:tabs>
      <w:spacing w:after="120"/>
      <w:outlineLvl w:val="5"/>
    </w:pPr>
    <w:rPr>
      <w:b/>
    </w:rPr>
  </w:style>
  <w:style w:type="paragraph" w:styleId="Heading7">
    <w:name w:val="heading 7"/>
    <w:basedOn w:val="Normal"/>
    <w:next w:val="ParaNum"/>
    <w:qFormat/>
    <w:rsid w:val="0000515E"/>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00515E"/>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00515E"/>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00515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0515E"/>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rsid w:val="0000515E"/>
    <w:pPr>
      <w:numPr>
        <w:numId w:val="2"/>
      </w:numPr>
      <w:tabs>
        <w:tab w:val="clear" w:pos="1080"/>
        <w:tab w:val="num" w:pos="1440"/>
      </w:tabs>
      <w:spacing w:after="120"/>
    </w:pPr>
  </w:style>
  <w:style w:type="paragraph" w:styleId="FootnoteText">
    <w:name w:val="footnote text"/>
    <w:aliases w:val="Footnote Text Char2,Footnote Text Char1 Char,Footnote Text Char Char Char,Footnote Text Char2 Char Char1 Char,Footnote Text Char1 Char1 Char Char1 Char,Footnote Text Char Char Char Char Char Char,rrfootnote,Footnote Text Char1,fn Char Char"/>
    <w:link w:val="FootnoteTextChar"/>
    <w:rsid w:val="0000515E"/>
    <w:pPr>
      <w:spacing w:after="120"/>
    </w:pPr>
  </w:style>
  <w:style w:type="paragraph" w:customStyle="1" w:styleId="Bullet">
    <w:name w:val="Bullet"/>
    <w:basedOn w:val="Normal"/>
    <w:rsid w:val="0000515E"/>
    <w:pPr>
      <w:tabs>
        <w:tab w:val="left" w:pos="2160"/>
      </w:tabs>
      <w:spacing w:after="220"/>
      <w:ind w:left="2160" w:hanging="720"/>
    </w:pPr>
  </w:style>
  <w:style w:type="paragraph" w:styleId="BlockText">
    <w:name w:val="Block Text"/>
    <w:basedOn w:val="Normal"/>
    <w:rsid w:val="0000515E"/>
    <w:pPr>
      <w:spacing w:after="240"/>
      <w:ind w:left="1440" w:right="1440"/>
    </w:pPr>
  </w:style>
  <w:style w:type="paragraph" w:customStyle="1" w:styleId="TableFormat">
    <w:name w:val="TableFormat"/>
    <w:basedOn w:val="Bullet"/>
    <w:rsid w:val="0000515E"/>
    <w:pPr>
      <w:tabs>
        <w:tab w:val="clear" w:pos="2160"/>
        <w:tab w:val="left" w:pos="5040"/>
      </w:tabs>
      <w:ind w:left="5040" w:hanging="3600"/>
    </w:pPr>
  </w:style>
  <w:style w:type="character" w:styleId="FootnoteReference">
    <w:name w:val="footnote reference"/>
    <w:aliases w:val="Style 12,(NECG) Footnote Reference,Appel note de bas de p,Style 124,o,fr,Style 3,Style 13"/>
    <w:rsid w:val="0000515E"/>
    <w:rPr>
      <w:rFonts w:ascii="Times New Roman" w:hAnsi="Times New Roman"/>
      <w:dstrike w:val="0"/>
      <w:color w:val="auto"/>
      <w:sz w:val="20"/>
      <w:vertAlign w:val="superscript"/>
    </w:rPr>
  </w:style>
  <w:style w:type="paragraph" w:styleId="Header">
    <w:name w:val="header"/>
    <w:basedOn w:val="Normal"/>
    <w:autoRedefine/>
    <w:rsid w:val="0000515E"/>
    <w:pPr>
      <w:tabs>
        <w:tab w:val="center" w:pos="4680"/>
        <w:tab w:val="right" w:pos="9360"/>
      </w:tabs>
    </w:pPr>
    <w:rPr>
      <w:b/>
    </w:rPr>
  </w:style>
  <w:style w:type="paragraph" w:styleId="Footer">
    <w:name w:val="footer"/>
    <w:basedOn w:val="Normal"/>
    <w:rsid w:val="0000515E"/>
    <w:pPr>
      <w:tabs>
        <w:tab w:val="center" w:pos="4320"/>
        <w:tab w:val="right" w:pos="8640"/>
      </w:tabs>
    </w:pPr>
  </w:style>
  <w:style w:type="paragraph" w:styleId="TOC2">
    <w:name w:val="toc 2"/>
    <w:basedOn w:val="Normal"/>
    <w:next w:val="Normal"/>
    <w:semiHidden/>
    <w:rsid w:val="0000515E"/>
    <w:pPr>
      <w:tabs>
        <w:tab w:val="left" w:pos="720"/>
        <w:tab w:val="right" w:leader="dot" w:pos="9360"/>
      </w:tabs>
      <w:suppressAutoHyphens/>
      <w:ind w:left="720" w:right="720" w:hanging="360"/>
    </w:pPr>
    <w:rPr>
      <w:noProof/>
    </w:rPr>
  </w:style>
  <w:style w:type="paragraph" w:customStyle="1" w:styleId="NumberedList">
    <w:name w:val="Numbered List"/>
    <w:basedOn w:val="Normal"/>
    <w:pPr>
      <w:numPr>
        <w:numId w:val="1"/>
      </w:numPr>
      <w:tabs>
        <w:tab w:val="clear" w:pos="1080"/>
      </w:tabs>
      <w:spacing w:after="220"/>
      <w:ind w:firstLine="0"/>
    </w:pPr>
  </w:style>
  <w:style w:type="paragraph" w:styleId="TOC1">
    <w:name w:val="toc 1"/>
    <w:basedOn w:val="Normal"/>
    <w:next w:val="Normal"/>
    <w:semiHidden/>
    <w:rsid w:val="0000515E"/>
    <w:pPr>
      <w:tabs>
        <w:tab w:val="left" w:pos="360"/>
        <w:tab w:val="right" w:leader="dot" w:pos="9360"/>
      </w:tabs>
      <w:suppressAutoHyphens/>
      <w:ind w:left="360" w:right="720" w:hanging="360"/>
    </w:pPr>
    <w:rPr>
      <w:caps/>
      <w:noProof/>
    </w:rPr>
  </w:style>
  <w:style w:type="paragraph" w:styleId="TOC3">
    <w:name w:val="toc 3"/>
    <w:basedOn w:val="Normal"/>
    <w:next w:val="Normal"/>
    <w:semiHidden/>
    <w:rsid w:val="0000515E"/>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00515E"/>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00515E"/>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00515E"/>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00515E"/>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00515E"/>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00515E"/>
    <w:pPr>
      <w:tabs>
        <w:tab w:val="left" w:pos="3240"/>
        <w:tab w:val="right" w:leader="dot" w:pos="9360"/>
      </w:tabs>
      <w:suppressAutoHyphens/>
      <w:ind w:left="3240" w:hanging="360"/>
    </w:pPr>
    <w:rPr>
      <w:noProof/>
    </w:rPr>
  </w:style>
  <w:style w:type="character" w:styleId="PageNumber">
    <w:name w:val="page number"/>
    <w:basedOn w:val="DefaultParagraphFont"/>
    <w:rsid w:val="0000515E"/>
  </w:style>
  <w:style w:type="paragraph" w:styleId="Title">
    <w:name w:val="Title"/>
    <w:basedOn w:val="Normal"/>
    <w:qFormat/>
    <w:pPr>
      <w:jc w:val="center"/>
    </w:pPr>
    <w:rPr>
      <w:b/>
    </w:rPr>
  </w:style>
  <w:style w:type="paragraph" w:styleId="BalloonText">
    <w:name w:val="Balloon Text"/>
    <w:basedOn w:val="Normal"/>
    <w:semiHidden/>
    <w:rPr>
      <w:rFonts w:ascii="Tahoma" w:hAnsi="Tahoma" w:cs="Tahoma"/>
      <w:sz w:val="16"/>
      <w:szCs w:val="16"/>
    </w:rPr>
  </w:style>
  <w:style w:type="character" w:styleId="Hyperlink">
    <w:name w:val="Hyperlink"/>
    <w:rsid w:val="0000515E"/>
    <w:rPr>
      <w:color w:val="0000FF"/>
      <w:u w:val="single"/>
    </w:rPr>
  </w:style>
  <w:style w:type="paragraph" w:styleId="EndnoteText">
    <w:name w:val="endnote text"/>
    <w:basedOn w:val="Normal"/>
    <w:semiHidden/>
    <w:rsid w:val="0000515E"/>
    <w:rPr>
      <w:sz w:val="20"/>
    </w:rPr>
  </w:style>
  <w:style w:type="character" w:styleId="EndnoteReference">
    <w:name w:val="endnote reference"/>
    <w:semiHidden/>
    <w:rsid w:val="0000515E"/>
    <w:rPr>
      <w:vertAlign w:val="superscript"/>
    </w:rPr>
  </w:style>
  <w:style w:type="paragraph" w:styleId="TOAHeading">
    <w:name w:val="toa heading"/>
    <w:basedOn w:val="Normal"/>
    <w:next w:val="Normal"/>
    <w:semiHidden/>
    <w:rsid w:val="0000515E"/>
    <w:pPr>
      <w:tabs>
        <w:tab w:val="right" w:pos="9360"/>
      </w:tabs>
      <w:suppressAutoHyphens/>
    </w:pPr>
  </w:style>
  <w:style w:type="character" w:customStyle="1" w:styleId="EquationCaption">
    <w:name w:val="_Equation Caption"/>
    <w:rsid w:val="0000515E"/>
  </w:style>
  <w:style w:type="paragraph" w:customStyle="1" w:styleId="Paratitle">
    <w:name w:val="Para title"/>
    <w:basedOn w:val="Normal"/>
    <w:rsid w:val="0000515E"/>
    <w:pPr>
      <w:tabs>
        <w:tab w:val="center" w:pos="9270"/>
      </w:tabs>
      <w:spacing w:after="240"/>
    </w:pPr>
    <w:rPr>
      <w:spacing w:val="-2"/>
    </w:rPr>
  </w:style>
  <w:style w:type="paragraph" w:customStyle="1" w:styleId="TOCTitle">
    <w:name w:val="TOC Title"/>
    <w:basedOn w:val="Normal"/>
    <w:rsid w:val="0000515E"/>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0515E"/>
    <w:pPr>
      <w:jc w:val="center"/>
    </w:pPr>
    <w:rPr>
      <w:rFonts w:ascii="Times New Roman Bold" w:hAnsi="Times New Roman Bold"/>
      <w:b/>
      <w:bCs/>
      <w:caps/>
      <w:szCs w:val="22"/>
    </w:rPr>
  </w:style>
  <w:style w:type="character" w:customStyle="1" w:styleId="ParaNumChar">
    <w:name w:val="ParaNum Char"/>
    <w:link w:val="ParaNum"/>
    <w:rsid w:val="001A1057"/>
    <w:rPr>
      <w:snapToGrid w:val="0"/>
      <w:kern w:val="28"/>
      <w:sz w:val="22"/>
    </w:rPr>
  </w:style>
  <w:style w:type="paragraph" w:styleId="BodyText">
    <w:name w:val="Body Text"/>
    <w:basedOn w:val="Normal"/>
    <w:link w:val="BodyTextChar"/>
    <w:uiPriority w:val="99"/>
    <w:unhideWhenUsed/>
    <w:rsid w:val="0056389F"/>
    <w:pPr>
      <w:widowControl/>
      <w:spacing w:line="480" w:lineRule="auto"/>
      <w:ind w:firstLine="720"/>
    </w:pPr>
    <w:rPr>
      <w:rFonts w:eastAsia="Calibri"/>
      <w:snapToGrid/>
      <w:kern w:val="0"/>
      <w:sz w:val="28"/>
      <w:szCs w:val="28"/>
    </w:rPr>
  </w:style>
  <w:style w:type="character" w:customStyle="1" w:styleId="BodyTextChar">
    <w:name w:val="Body Text Char"/>
    <w:link w:val="BodyText"/>
    <w:uiPriority w:val="99"/>
    <w:rsid w:val="0056389F"/>
    <w:rPr>
      <w:rFonts w:eastAsia="Calibri"/>
      <w:sz w:val="28"/>
      <w:szCs w:val="28"/>
    </w:rPr>
  </w:style>
  <w:style w:type="paragraph" w:styleId="ListParagraph">
    <w:name w:val="List Paragraph"/>
    <w:basedOn w:val="Normal"/>
    <w:uiPriority w:val="34"/>
    <w:qFormat/>
    <w:rsid w:val="0099226F"/>
    <w:pPr>
      <w:ind w:left="720"/>
    </w:pPr>
  </w:style>
  <w:style w:type="character" w:customStyle="1" w:styleId="FootnoteTextChar">
    <w:name w:val="Footnote Text Char"/>
    <w:aliases w:val="Footnote Text Char2 Char,Footnote Text Char1 Char Char,Footnote Text Char Char Char Char,Footnote Text Char2 Char Char1 Char Char,Footnote Text Char1 Char1 Char Char1 Char Char,Footnote Text Char Char Char Char Char Char Char"/>
    <w:link w:val="FootnoteText"/>
    <w:rsid w:val="007E26A7"/>
  </w:style>
  <w:style w:type="character" w:styleId="CommentReference">
    <w:name w:val="annotation reference"/>
    <w:rsid w:val="00063901"/>
    <w:rPr>
      <w:sz w:val="16"/>
      <w:szCs w:val="16"/>
    </w:rPr>
  </w:style>
  <w:style w:type="paragraph" w:styleId="CommentText">
    <w:name w:val="annotation text"/>
    <w:basedOn w:val="Normal"/>
    <w:link w:val="CommentTextChar"/>
    <w:rsid w:val="00063901"/>
    <w:rPr>
      <w:sz w:val="20"/>
    </w:rPr>
  </w:style>
  <w:style w:type="character" w:customStyle="1" w:styleId="CommentTextChar">
    <w:name w:val="Comment Text Char"/>
    <w:link w:val="CommentText"/>
    <w:rsid w:val="00063901"/>
    <w:rPr>
      <w:snapToGrid w:val="0"/>
      <w:kern w:val="28"/>
    </w:rPr>
  </w:style>
  <w:style w:type="paragraph" w:styleId="CommentSubject">
    <w:name w:val="annotation subject"/>
    <w:basedOn w:val="CommentText"/>
    <w:next w:val="CommentText"/>
    <w:link w:val="CommentSubjectChar"/>
    <w:rsid w:val="00063901"/>
    <w:rPr>
      <w:b/>
      <w:bCs/>
    </w:rPr>
  </w:style>
  <w:style w:type="character" w:customStyle="1" w:styleId="CommentSubjectChar">
    <w:name w:val="Comment Subject Char"/>
    <w:link w:val="CommentSubject"/>
    <w:rsid w:val="00063901"/>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0310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1666</Words>
  <Characters>9232</Characters>
  <Application>Microsoft Office Word</Application>
  <DocSecurity>0</DocSecurity>
  <Lines>150</Lines>
  <Paragraphs>36</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10952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2014-06-12T15:55:00Z</cp:lastPrinted>
  <dcterms:created xsi:type="dcterms:W3CDTF">2014-06-12T16:53:00Z</dcterms:created>
  <dcterms:modified xsi:type="dcterms:W3CDTF">2014-06-12T16:53:00Z</dcterms:modified>
  <cp:category> </cp:category>
  <cp:contentStatus> </cp:contentStatus>
</cp:coreProperties>
</file>