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95C70"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73BF3EE" w14:textId="77777777" w:rsidR="00921803" w:rsidRDefault="00921803" w:rsidP="00921803">
      <w:pPr>
        <w:pStyle w:val="StyleBoldCentered"/>
      </w:pPr>
      <w:r>
        <w:t>F</w:t>
      </w:r>
      <w:r>
        <w:rPr>
          <w:caps w:val="0"/>
        </w:rPr>
        <w:t>ederal Communications Commission</w:t>
      </w:r>
    </w:p>
    <w:p w14:paraId="2209B0A1" w14:textId="77777777" w:rsidR="004C2EE3" w:rsidRDefault="00810B6F" w:rsidP="00096D8C">
      <w:pPr>
        <w:pStyle w:val="StyleBoldCentered"/>
      </w:pPr>
      <w:r>
        <w:rPr>
          <w:caps w:val="0"/>
        </w:rPr>
        <w:t>Washington, D.C. 20554</w:t>
      </w:r>
    </w:p>
    <w:p w14:paraId="68C9C8AF" w14:textId="77777777" w:rsidR="004C2EE3" w:rsidRDefault="004C2EE3" w:rsidP="0070224F"/>
    <w:p w14:paraId="2024C442"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14:paraId="37C225C2" w14:textId="77777777">
        <w:tc>
          <w:tcPr>
            <w:tcW w:w="4698" w:type="dxa"/>
          </w:tcPr>
          <w:p w14:paraId="3D89D3EB" w14:textId="77777777" w:rsidR="00E66A17" w:rsidRPr="00150FBA" w:rsidRDefault="00E66A17" w:rsidP="00C8530A">
            <w:pPr>
              <w:ind w:right="-18"/>
              <w:rPr>
                <w:szCs w:val="22"/>
              </w:rPr>
            </w:pPr>
            <w:r w:rsidRPr="00150FBA">
              <w:rPr>
                <w:szCs w:val="22"/>
              </w:rPr>
              <w:t xml:space="preserve">In </w:t>
            </w:r>
            <w:r>
              <w:rPr>
                <w:szCs w:val="22"/>
              </w:rPr>
              <w:t>th</w:t>
            </w:r>
            <w:r w:rsidRPr="00150FBA">
              <w:rPr>
                <w:szCs w:val="22"/>
              </w:rPr>
              <w:t>e</w:t>
            </w:r>
            <w:r>
              <w:rPr>
                <w:szCs w:val="22"/>
              </w:rPr>
              <w:t xml:space="preserve"> Matter of</w:t>
            </w:r>
            <w:r w:rsidRPr="00150FBA">
              <w:rPr>
                <w:szCs w:val="22"/>
              </w:rPr>
              <w:t xml:space="preserve">  </w:t>
            </w:r>
          </w:p>
          <w:p w14:paraId="6B93C432" w14:textId="77777777" w:rsidR="00E66A17" w:rsidRPr="00150FBA" w:rsidRDefault="00E66A17" w:rsidP="00C8530A">
            <w:pPr>
              <w:ind w:right="-18"/>
              <w:rPr>
                <w:szCs w:val="22"/>
              </w:rPr>
            </w:pPr>
          </w:p>
          <w:p w14:paraId="1EDAAC99" w14:textId="77777777" w:rsidR="00E66A17" w:rsidRPr="001D7234" w:rsidRDefault="001A156C" w:rsidP="00C8530A">
            <w:pPr>
              <w:ind w:right="-18"/>
              <w:rPr>
                <w:szCs w:val="22"/>
              </w:rPr>
            </w:pPr>
            <w:r w:rsidRPr="001D7234">
              <w:rPr>
                <w:szCs w:val="22"/>
              </w:rPr>
              <w:t>Totally Jesus Network, Inc.</w:t>
            </w:r>
          </w:p>
          <w:p w14:paraId="461C3BEE" w14:textId="77777777" w:rsidR="00E66A17" w:rsidRDefault="00E66A17" w:rsidP="00C8530A">
            <w:pPr>
              <w:ind w:right="-18"/>
              <w:rPr>
                <w:b/>
                <w:szCs w:val="22"/>
              </w:rPr>
            </w:pPr>
          </w:p>
          <w:p w14:paraId="4433E4D7" w14:textId="77777777" w:rsidR="00E66A17" w:rsidRDefault="00E66A17" w:rsidP="00C8530A">
            <w:pPr>
              <w:ind w:right="-18"/>
              <w:rPr>
                <w:szCs w:val="22"/>
              </w:rPr>
            </w:pPr>
            <w:r>
              <w:rPr>
                <w:szCs w:val="22"/>
              </w:rPr>
              <w:t>Application for a New NCE FM Station at</w:t>
            </w:r>
          </w:p>
          <w:p w14:paraId="15DEDB9B" w14:textId="77777777" w:rsidR="00E66A17" w:rsidRDefault="00A13CA2" w:rsidP="00C8530A">
            <w:pPr>
              <w:ind w:right="-18"/>
              <w:rPr>
                <w:szCs w:val="22"/>
              </w:rPr>
            </w:pPr>
            <w:r>
              <w:rPr>
                <w:szCs w:val="22"/>
              </w:rPr>
              <w:t>Gold Beach, Oregon</w:t>
            </w:r>
          </w:p>
          <w:p w14:paraId="219B986F" w14:textId="77777777" w:rsidR="00E66A17" w:rsidRDefault="00E66A17" w:rsidP="00C8530A">
            <w:pPr>
              <w:ind w:right="-18"/>
              <w:rPr>
                <w:szCs w:val="22"/>
              </w:rPr>
            </w:pPr>
          </w:p>
          <w:p w14:paraId="6933ACF8" w14:textId="77777777" w:rsidR="00E66A17" w:rsidRDefault="00E66A17" w:rsidP="00C8530A">
            <w:pPr>
              <w:ind w:right="-18"/>
              <w:rPr>
                <w:szCs w:val="22"/>
              </w:rPr>
            </w:pPr>
            <w:r>
              <w:rPr>
                <w:szCs w:val="22"/>
              </w:rPr>
              <w:t>and</w:t>
            </w:r>
          </w:p>
          <w:p w14:paraId="7E7F8D57" w14:textId="77777777" w:rsidR="00E66A17" w:rsidRDefault="00E66A17" w:rsidP="00C8530A">
            <w:pPr>
              <w:ind w:right="-18"/>
              <w:rPr>
                <w:szCs w:val="22"/>
              </w:rPr>
            </w:pPr>
          </w:p>
          <w:p w14:paraId="7E5E4E58" w14:textId="77777777" w:rsidR="00E66A17" w:rsidRPr="001D7234" w:rsidRDefault="001D7234" w:rsidP="00C8530A">
            <w:pPr>
              <w:ind w:right="-18"/>
              <w:rPr>
                <w:szCs w:val="22"/>
              </w:rPr>
            </w:pPr>
            <w:r w:rsidRPr="001D7234">
              <w:rPr>
                <w:szCs w:val="22"/>
              </w:rPr>
              <w:t>UCB USA, Inc.</w:t>
            </w:r>
          </w:p>
          <w:p w14:paraId="02F07D09" w14:textId="77777777" w:rsidR="00E66A17" w:rsidRPr="00150FBA" w:rsidRDefault="00E66A17" w:rsidP="00C8530A">
            <w:pPr>
              <w:ind w:right="-18"/>
              <w:rPr>
                <w:szCs w:val="22"/>
              </w:rPr>
            </w:pPr>
          </w:p>
          <w:p w14:paraId="5EF96782" w14:textId="77777777" w:rsidR="00E66A17" w:rsidRDefault="00E66A17" w:rsidP="00C8530A">
            <w:pPr>
              <w:ind w:right="-18"/>
              <w:rPr>
                <w:szCs w:val="22"/>
              </w:rPr>
            </w:pPr>
            <w:r>
              <w:rPr>
                <w:szCs w:val="22"/>
              </w:rPr>
              <w:t>Application for a New NCE FM Station at</w:t>
            </w:r>
          </w:p>
          <w:p w14:paraId="2104CAA3" w14:textId="77777777" w:rsidR="00E66A17" w:rsidRPr="00150FBA" w:rsidRDefault="001D7234" w:rsidP="00C8530A">
            <w:pPr>
              <w:ind w:right="-18"/>
              <w:rPr>
                <w:szCs w:val="22"/>
              </w:rPr>
            </w:pPr>
            <w:r>
              <w:rPr>
                <w:szCs w:val="22"/>
              </w:rPr>
              <w:t>Brookings, Oregon</w:t>
            </w:r>
          </w:p>
          <w:p w14:paraId="4FDE829D" w14:textId="77777777" w:rsidR="00E66A17" w:rsidRPr="00150FBA" w:rsidRDefault="00E66A17" w:rsidP="00C8530A">
            <w:pPr>
              <w:ind w:right="-18"/>
              <w:rPr>
                <w:b/>
                <w:szCs w:val="22"/>
              </w:rPr>
            </w:pPr>
            <w:r w:rsidRPr="00150FBA">
              <w:rPr>
                <w:szCs w:val="22"/>
              </w:rPr>
              <w:t xml:space="preserve">                                            </w:t>
            </w:r>
          </w:p>
        </w:tc>
        <w:tc>
          <w:tcPr>
            <w:tcW w:w="630" w:type="dxa"/>
          </w:tcPr>
          <w:p w14:paraId="2645B21B" w14:textId="77777777" w:rsidR="00E66A17" w:rsidRPr="00150FBA" w:rsidRDefault="00E66A17" w:rsidP="00C8530A">
            <w:pPr>
              <w:rPr>
                <w:b/>
                <w:szCs w:val="22"/>
              </w:rPr>
            </w:pPr>
            <w:r w:rsidRPr="00150FBA">
              <w:rPr>
                <w:b/>
                <w:szCs w:val="22"/>
              </w:rPr>
              <w:t>)</w:t>
            </w:r>
          </w:p>
          <w:p w14:paraId="5ACE6CF4" w14:textId="77777777" w:rsidR="00E66A17" w:rsidRPr="00150FBA" w:rsidRDefault="00E66A17" w:rsidP="00C8530A">
            <w:pPr>
              <w:rPr>
                <w:b/>
                <w:szCs w:val="22"/>
              </w:rPr>
            </w:pPr>
            <w:r w:rsidRPr="00150FBA">
              <w:rPr>
                <w:b/>
                <w:szCs w:val="22"/>
              </w:rPr>
              <w:t>)</w:t>
            </w:r>
          </w:p>
          <w:p w14:paraId="3C36C0DB" w14:textId="77777777" w:rsidR="00E66A17" w:rsidRPr="00150FBA" w:rsidRDefault="00E66A17" w:rsidP="00C8530A">
            <w:pPr>
              <w:rPr>
                <w:b/>
                <w:szCs w:val="22"/>
              </w:rPr>
            </w:pPr>
            <w:r w:rsidRPr="00150FBA">
              <w:rPr>
                <w:b/>
                <w:szCs w:val="22"/>
              </w:rPr>
              <w:t>)</w:t>
            </w:r>
          </w:p>
          <w:p w14:paraId="1B9160D6" w14:textId="77777777" w:rsidR="00E66A17" w:rsidRPr="00150FBA" w:rsidRDefault="00E66A17" w:rsidP="00C8530A">
            <w:pPr>
              <w:rPr>
                <w:b/>
                <w:szCs w:val="22"/>
              </w:rPr>
            </w:pPr>
            <w:r w:rsidRPr="00150FBA">
              <w:rPr>
                <w:b/>
                <w:szCs w:val="22"/>
              </w:rPr>
              <w:t>)</w:t>
            </w:r>
          </w:p>
          <w:p w14:paraId="333CABF6" w14:textId="77777777" w:rsidR="00E66A17" w:rsidRPr="00150FBA" w:rsidRDefault="00E66A17" w:rsidP="00C8530A">
            <w:pPr>
              <w:rPr>
                <w:b/>
                <w:szCs w:val="22"/>
              </w:rPr>
            </w:pPr>
            <w:r w:rsidRPr="00150FBA">
              <w:rPr>
                <w:b/>
                <w:szCs w:val="22"/>
              </w:rPr>
              <w:t>)</w:t>
            </w:r>
          </w:p>
          <w:p w14:paraId="399DDB61" w14:textId="77777777" w:rsidR="00E66A17" w:rsidRPr="00150FBA" w:rsidRDefault="00E66A17" w:rsidP="00C8530A">
            <w:pPr>
              <w:rPr>
                <w:b/>
                <w:szCs w:val="22"/>
              </w:rPr>
            </w:pPr>
            <w:r w:rsidRPr="00150FBA">
              <w:rPr>
                <w:b/>
                <w:szCs w:val="22"/>
              </w:rPr>
              <w:t>)</w:t>
            </w:r>
          </w:p>
          <w:p w14:paraId="77F5D800" w14:textId="77777777" w:rsidR="00E66A17" w:rsidRPr="00150FBA" w:rsidRDefault="00E66A17" w:rsidP="00C8530A">
            <w:pPr>
              <w:rPr>
                <w:b/>
                <w:szCs w:val="22"/>
              </w:rPr>
            </w:pPr>
            <w:r w:rsidRPr="00150FBA">
              <w:rPr>
                <w:b/>
                <w:szCs w:val="22"/>
              </w:rPr>
              <w:t>)</w:t>
            </w:r>
          </w:p>
          <w:p w14:paraId="2D6C67F2" w14:textId="77777777" w:rsidR="00E66A17" w:rsidRPr="00150FBA" w:rsidRDefault="00E66A17" w:rsidP="00C8530A">
            <w:pPr>
              <w:rPr>
                <w:b/>
                <w:szCs w:val="22"/>
              </w:rPr>
            </w:pPr>
            <w:r w:rsidRPr="00150FBA">
              <w:rPr>
                <w:b/>
                <w:szCs w:val="22"/>
              </w:rPr>
              <w:t>)</w:t>
            </w:r>
          </w:p>
          <w:p w14:paraId="32DC70C7" w14:textId="77777777" w:rsidR="00E66A17" w:rsidRPr="00150FBA" w:rsidRDefault="00E66A17" w:rsidP="00C8530A">
            <w:pPr>
              <w:rPr>
                <w:b/>
                <w:szCs w:val="22"/>
              </w:rPr>
            </w:pPr>
            <w:r w:rsidRPr="00150FBA">
              <w:rPr>
                <w:b/>
                <w:szCs w:val="22"/>
              </w:rPr>
              <w:t>)</w:t>
            </w:r>
          </w:p>
          <w:p w14:paraId="4DDF4F2B" w14:textId="77777777" w:rsidR="00E66A17" w:rsidRPr="00150FBA" w:rsidRDefault="00E66A17" w:rsidP="00C8530A">
            <w:pPr>
              <w:rPr>
                <w:b/>
                <w:szCs w:val="22"/>
              </w:rPr>
            </w:pPr>
            <w:r w:rsidRPr="00150FBA">
              <w:rPr>
                <w:b/>
                <w:szCs w:val="22"/>
              </w:rPr>
              <w:t>)</w:t>
            </w:r>
          </w:p>
          <w:p w14:paraId="0AED0C66" w14:textId="77777777" w:rsidR="00E66A17" w:rsidRPr="00150FBA" w:rsidRDefault="00E66A17" w:rsidP="00C8530A">
            <w:pPr>
              <w:rPr>
                <w:b/>
                <w:szCs w:val="22"/>
              </w:rPr>
            </w:pPr>
            <w:r w:rsidRPr="00150FBA">
              <w:rPr>
                <w:b/>
                <w:szCs w:val="22"/>
              </w:rPr>
              <w:t>)</w:t>
            </w:r>
          </w:p>
          <w:p w14:paraId="43016E7C" w14:textId="77777777" w:rsidR="00E66A17" w:rsidRPr="00150FBA" w:rsidRDefault="00E66A17" w:rsidP="00C8530A">
            <w:pPr>
              <w:rPr>
                <w:b/>
                <w:szCs w:val="22"/>
              </w:rPr>
            </w:pPr>
            <w:r w:rsidRPr="00150FBA">
              <w:rPr>
                <w:b/>
                <w:szCs w:val="22"/>
              </w:rPr>
              <w:t>)</w:t>
            </w:r>
          </w:p>
          <w:p w14:paraId="28F86530" w14:textId="77777777" w:rsidR="00E66A17" w:rsidRPr="00150FBA" w:rsidRDefault="00E66A17" w:rsidP="00C8530A">
            <w:pPr>
              <w:rPr>
                <w:b/>
                <w:szCs w:val="22"/>
              </w:rPr>
            </w:pPr>
            <w:r w:rsidRPr="00150FBA">
              <w:rPr>
                <w:b/>
                <w:szCs w:val="22"/>
              </w:rPr>
              <w:t xml:space="preserve">) </w:t>
            </w:r>
          </w:p>
        </w:tc>
        <w:tc>
          <w:tcPr>
            <w:tcW w:w="4248" w:type="dxa"/>
          </w:tcPr>
          <w:p w14:paraId="5C4EA99E" w14:textId="77777777" w:rsidR="00E66A17" w:rsidRPr="00150FBA" w:rsidRDefault="00E66A17" w:rsidP="00C8530A">
            <w:pPr>
              <w:rPr>
                <w:szCs w:val="22"/>
              </w:rPr>
            </w:pPr>
          </w:p>
          <w:p w14:paraId="50CE01AB" w14:textId="77777777" w:rsidR="00E66A17" w:rsidRDefault="00E66A17" w:rsidP="00C8530A">
            <w:pPr>
              <w:rPr>
                <w:szCs w:val="22"/>
              </w:rPr>
            </w:pPr>
          </w:p>
          <w:p w14:paraId="0A22CCD9" w14:textId="77777777" w:rsidR="00E66A17" w:rsidRDefault="00E66A17" w:rsidP="00C8530A">
            <w:pPr>
              <w:rPr>
                <w:szCs w:val="22"/>
              </w:rPr>
            </w:pPr>
          </w:p>
          <w:p w14:paraId="74195E7F" w14:textId="77777777" w:rsidR="00A13CA2" w:rsidRDefault="00A13CA2" w:rsidP="00C8530A">
            <w:pPr>
              <w:rPr>
                <w:szCs w:val="22"/>
              </w:rPr>
            </w:pPr>
          </w:p>
          <w:p w14:paraId="0C4B1AC9" w14:textId="77777777" w:rsidR="00A10779" w:rsidRDefault="00A10779" w:rsidP="00C8530A">
            <w:pPr>
              <w:rPr>
                <w:szCs w:val="22"/>
              </w:rPr>
            </w:pPr>
          </w:p>
          <w:p w14:paraId="384F532F" w14:textId="77777777" w:rsidR="00E66A17" w:rsidRPr="00150FBA" w:rsidRDefault="00E66A17" w:rsidP="00C8530A">
            <w:pPr>
              <w:rPr>
                <w:szCs w:val="22"/>
              </w:rPr>
            </w:pPr>
            <w:r w:rsidRPr="00150FBA">
              <w:rPr>
                <w:szCs w:val="22"/>
              </w:rPr>
              <w:t xml:space="preserve">Facility ID No. </w:t>
            </w:r>
            <w:r w:rsidR="00A13CA2">
              <w:rPr>
                <w:szCs w:val="22"/>
              </w:rPr>
              <w:t>175729</w:t>
            </w:r>
            <w:r w:rsidRPr="00150FBA">
              <w:rPr>
                <w:szCs w:val="22"/>
              </w:rPr>
              <w:t xml:space="preserve">                  </w:t>
            </w:r>
          </w:p>
          <w:p w14:paraId="5636F476" w14:textId="77777777" w:rsidR="00E66A17" w:rsidRDefault="00E66A17" w:rsidP="00C8530A">
            <w:pPr>
              <w:rPr>
                <w:szCs w:val="22"/>
              </w:rPr>
            </w:pPr>
          </w:p>
          <w:p w14:paraId="154D2A29" w14:textId="77777777" w:rsidR="00E66A17" w:rsidRPr="00150FBA" w:rsidRDefault="00E66A17" w:rsidP="00C8530A">
            <w:pPr>
              <w:rPr>
                <w:szCs w:val="22"/>
              </w:rPr>
            </w:pPr>
          </w:p>
          <w:p w14:paraId="4C5731D3" w14:textId="77777777" w:rsidR="00E66A17" w:rsidRDefault="00E66A17" w:rsidP="00C8530A">
            <w:pPr>
              <w:rPr>
                <w:szCs w:val="22"/>
              </w:rPr>
            </w:pPr>
          </w:p>
          <w:p w14:paraId="481F37B4" w14:textId="77777777" w:rsidR="00E66A17" w:rsidRDefault="00E66A17" w:rsidP="00C8530A">
            <w:pPr>
              <w:rPr>
                <w:szCs w:val="22"/>
              </w:rPr>
            </w:pPr>
          </w:p>
          <w:p w14:paraId="70A8DC3D" w14:textId="77777777" w:rsidR="00E66A17" w:rsidRDefault="00E66A17" w:rsidP="00C8530A">
            <w:pPr>
              <w:rPr>
                <w:szCs w:val="22"/>
              </w:rPr>
            </w:pPr>
          </w:p>
          <w:p w14:paraId="191606ED" w14:textId="77777777" w:rsidR="00E66A17" w:rsidRPr="00150FBA" w:rsidRDefault="00E66A17" w:rsidP="00C8530A">
            <w:pPr>
              <w:rPr>
                <w:szCs w:val="22"/>
              </w:rPr>
            </w:pPr>
            <w:r w:rsidRPr="00150FBA">
              <w:rPr>
                <w:szCs w:val="22"/>
              </w:rPr>
              <w:t xml:space="preserve">File No. </w:t>
            </w:r>
            <w:r>
              <w:rPr>
                <w:szCs w:val="22"/>
              </w:rPr>
              <w:t>BNPED-</w:t>
            </w:r>
            <w:r w:rsidR="00A13CA2">
              <w:rPr>
                <w:szCs w:val="22"/>
              </w:rPr>
              <w:t>20071018AON</w:t>
            </w:r>
          </w:p>
          <w:p w14:paraId="7D1461D3" w14:textId="77777777" w:rsidR="00E66A17" w:rsidRPr="00150FBA" w:rsidRDefault="00E66A17" w:rsidP="00C8530A">
            <w:pPr>
              <w:rPr>
                <w:szCs w:val="22"/>
              </w:rPr>
            </w:pPr>
            <w:r w:rsidRPr="00150FBA">
              <w:rPr>
                <w:szCs w:val="22"/>
              </w:rPr>
              <w:t xml:space="preserve">Facility ID No. </w:t>
            </w:r>
            <w:r w:rsidR="00A13CA2">
              <w:rPr>
                <w:szCs w:val="22"/>
              </w:rPr>
              <w:t>172931</w:t>
            </w:r>
          </w:p>
          <w:p w14:paraId="11F9D08B" w14:textId="77777777" w:rsidR="00E66A17" w:rsidRPr="00150FBA" w:rsidRDefault="00E66A17" w:rsidP="00C8530A">
            <w:pPr>
              <w:rPr>
                <w:szCs w:val="22"/>
              </w:rPr>
            </w:pPr>
          </w:p>
        </w:tc>
      </w:tr>
    </w:tbl>
    <w:p w14:paraId="2E2F6556" w14:textId="77777777" w:rsidR="00841AB1" w:rsidRDefault="00E66A17" w:rsidP="00F021FA">
      <w:pPr>
        <w:pStyle w:val="StyleBoldCentered"/>
      </w:pPr>
      <w:r>
        <w:t>MEMORANDUM OPINION AND ORDER</w:t>
      </w:r>
    </w:p>
    <w:p w14:paraId="6B4F5042" w14:textId="77777777" w:rsidR="004C2EE3" w:rsidRDefault="004C2EE3">
      <w:pPr>
        <w:tabs>
          <w:tab w:val="left" w:pos="-720"/>
        </w:tabs>
        <w:suppressAutoHyphens/>
        <w:spacing w:line="227" w:lineRule="auto"/>
        <w:rPr>
          <w:spacing w:val="-2"/>
        </w:rPr>
      </w:pPr>
    </w:p>
    <w:p w14:paraId="5CC6E0C5" w14:textId="2B66D19F" w:rsidR="004C2EE3" w:rsidRDefault="004C2EE3" w:rsidP="00133F79">
      <w:pPr>
        <w:tabs>
          <w:tab w:val="left" w:pos="720"/>
          <w:tab w:val="right" w:pos="9360"/>
        </w:tabs>
        <w:suppressAutoHyphens/>
        <w:spacing w:line="227" w:lineRule="auto"/>
        <w:rPr>
          <w:spacing w:val="-2"/>
        </w:rPr>
      </w:pPr>
      <w:r>
        <w:rPr>
          <w:b/>
          <w:spacing w:val="-2"/>
        </w:rPr>
        <w:t xml:space="preserve">Adopted:  </w:t>
      </w:r>
      <w:r w:rsidR="00EF285E">
        <w:rPr>
          <w:b/>
          <w:spacing w:val="-2"/>
        </w:rPr>
        <w:t>June 11,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F285E">
        <w:rPr>
          <w:b/>
          <w:spacing w:val="-2"/>
        </w:rPr>
        <w:t>June 12, 2014</w:t>
      </w:r>
    </w:p>
    <w:p w14:paraId="54A9DBE1" w14:textId="77777777" w:rsidR="00822CE0" w:rsidRDefault="00822CE0"/>
    <w:p w14:paraId="13651950" w14:textId="77777777" w:rsidR="004C2EE3" w:rsidRDefault="004C2EE3">
      <w:pPr>
        <w:rPr>
          <w:spacing w:val="-2"/>
        </w:rPr>
      </w:pPr>
      <w:r>
        <w:t xml:space="preserve">By </w:t>
      </w:r>
      <w:r w:rsidR="004E4A22">
        <w:t>the</w:t>
      </w:r>
      <w:r w:rsidR="002A2D2E">
        <w:t xml:space="preserve"> </w:t>
      </w:r>
      <w:r w:rsidR="00E66A17">
        <w:rPr>
          <w:spacing w:val="-2"/>
        </w:rPr>
        <w:t>Commission</w:t>
      </w:r>
      <w:r>
        <w:rPr>
          <w:spacing w:val="-2"/>
        </w:rPr>
        <w:t>:</w:t>
      </w:r>
    </w:p>
    <w:p w14:paraId="2888CBFC" w14:textId="77777777" w:rsidR="00412FC5" w:rsidRDefault="00412FC5" w:rsidP="00412FC5"/>
    <w:p w14:paraId="230645AF" w14:textId="5D3E0FE8" w:rsidR="00E66A17" w:rsidRDefault="00E66A17" w:rsidP="00821BE9">
      <w:pPr>
        <w:pStyle w:val="ParaNum"/>
      </w:pPr>
      <w:r w:rsidRPr="00150FBA">
        <w:t xml:space="preserve">The Commission has before it </w:t>
      </w:r>
      <w:r>
        <w:t>an</w:t>
      </w:r>
      <w:r w:rsidRPr="00150FBA">
        <w:t xml:space="preserve"> Application for Review (“AFR</w:t>
      </w:r>
      <w:r>
        <w:t>”</w:t>
      </w:r>
      <w:r w:rsidRPr="00150FBA">
        <w:t xml:space="preserve">) </w:t>
      </w:r>
      <w:r>
        <w:t xml:space="preserve">filed by </w:t>
      </w:r>
      <w:r w:rsidR="00DE25E9">
        <w:t>Totally Jesus Network, Inc.</w:t>
      </w:r>
      <w:r>
        <w:t xml:space="preserve"> (“</w:t>
      </w:r>
      <w:r w:rsidR="00DE25E9">
        <w:t>TJN</w:t>
      </w:r>
      <w:r>
        <w:t xml:space="preserve">”) on </w:t>
      </w:r>
      <w:r w:rsidR="00DE25E9">
        <w:t>September 9, 2011</w:t>
      </w:r>
      <w:r>
        <w:t>.</w:t>
      </w:r>
      <w:r w:rsidR="00E40C6F">
        <w:rPr>
          <w:rStyle w:val="FootnoteReference"/>
        </w:rPr>
        <w:footnoteReference w:id="2"/>
      </w:r>
      <w:r>
        <w:t xml:space="preserve">  In the AFR, </w:t>
      </w:r>
      <w:r w:rsidR="00DE25E9">
        <w:t>TJN</w:t>
      </w:r>
      <w:r>
        <w:t xml:space="preserve"> seeks review of a </w:t>
      </w:r>
      <w:r w:rsidR="009106B2">
        <w:t xml:space="preserve">Media </w:t>
      </w:r>
      <w:r>
        <w:t>Bureau</w:t>
      </w:r>
      <w:r w:rsidR="009106B2">
        <w:t xml:space="preserve"> (“Bureau”)</w:t>
      </w:r>
      <w:r>
        <w:t xml:space="preserve"> decision</w:t>
      </w:r>
      <w:r w:rsidR="009106B2">
        <w:rPr>
          <w:rStyle w:val="FootnoteReference"/>
        </w:rPr>
        <w:footnoteReference w:id="3"/>
      </w:r>
      <w:r w:rsidR="0015742E">
        <w:t xml:space="preserve"> that </w:t>
      </w:r>
      <w:r w:rsidR="00DE25E9">
        <w:t>affirmed</w:t>
      </w:r>
      <w:r w:rsidR="0015742E">
        <w:t xml:space="preserve">: </w:t>
      </w:r>
      <w:r w:rsidR="007A210B">
        <w:t>a</w:t>
      </w:r>
      <w:r w:rsidR="0015742E">
        <w:t>)</w:t>
      </w:r>
      <w:r w:rsidR="00DE25E9">
        <w:t xml:space="preserve"> </w:t>
      </w:r>
      <w:r w:rsidR="0015742E">
        <w:t>the</w:t>
      </w:r>
      <w:r w:rsidR="00DE25E9">
        <w:t xml:space="preserve"> Public Notice </w:t>
      </w:r>
      <w:r w:rsidR="00567A12">
        <w:t>that denied</w:t>
      </w:r>
      <w:r w:rsidR="0049659A">
        <w:t xml:space="preserve"> TJN’s request for waiver and </w:t>
      </w:r>
      <w:r w:rsidR="00DE25E9">
        <w:t>dismiss</w:t>
      </w:r>
      <w:r w:rsidR="00567A12">
        <w:t>ed</w:t>
      </w:r>
      <w:r w:rsidR="00DE25E9">
        <w:t xml:space="preserve"> </w:t>
      </w:r>
      <w:r w:rsidR="00F77F4F">
        <w:t>its</w:t>
      </w:r>
      <w:r w:rsidR="00DE25E9">
        <w:t xml:space="preserve"> </w:t>
      </w:r>
      <w:r w:rsidR="0015742E">
        <w:t xml:space="preserve">application </w:t>
      </w:r>
      <w:r>
        <w:t xml:space="preserve">for a new noncommercial (“NCE”) FM </w:t>
      </w:r>
      <w:r w:rsidR="007A210B">
        <w:t>s</w:t>
      </w:r>
      <w:r>
        <w:t xml:space="preserve">tation at </w:t>
      </w:r>
      <w:r w:rsidR="0049659A">
        <w:t>Gold Beach, Oregon</w:t>
      </w:r>
      <w:r w:rsidR="0015742E">
        <w:t>;</w:t>
      </w:r>
      <w:r w:rsidR="004C7B99" w:rsidRPr="004C7B99">
        <w:rPr>
          <w:rStyle w:val="FootnoteReference"/>
        </w:rPr>
        <w:t xml:space="preserve"> </w:t>
      </w:r>
      <w:r w:rsidR="004C7B99">
        <w:rPr>
          <w:rStyle w:val="FootnoteReference"/>
        </w:rPr>
        <w:footnoteReference w:id="4"/>
      </w:r>
      <w:r w:rsidR="0015742E">
        <w:t xml:space="preserve"> and </w:t>
      </w:r>
      <w:r w:rsidR="007A210B">
        <w:t>b</w:t>
      </w:r>
      <w:r w:rsidR="0015742E">
        <w:t xml:space="preserve">) the grant of the </w:t>
      </w:r>
      <w:r w:rsidR="005E6396">
        <w:t>competing</w:t>
      </w:r>
      <w:r w:rsidR="0015742E">
        <w:t xml:space="preserve"> </w:t>
      </w:r>
      <w:r>
        <w:t xml:space="preserve">application of </w:t>
      </w:r>
      <w:r w:rsidR="0015742E">
        <w:t>UCB.</w:t>
      </w:r>
      <w:r w:rsidR="00E40C6F">
        <w:rPr>
          <w:rStyle w:val="FootnoteReference"/>
        </w:rPr>
        <w:footnoteReference w:id="5"/>
      </w:r>
      <w:r>
        <w:t xml:space="preserve">  </w:t>
      </w:r>
      <w:r w:rsidR="0015742E" w:rsidRPr="009C5BEF">
        <w:rPr>
          <w:szCs w:val="22"/>
        </w:rPr>
        <w:t xml:space="preserve">In the AFR, </w:t>
      </w:r>
      <w:r w:rsidR="0015742E">
        <w:rPr>
          <w:szCs w:val="22"/>
        </w:rPr>
        <w:t>TJN</w:t>
      </w:r>
      <w:r w:rsidR="0015742E" w:rsidRPr="009C5BEF">
        <w:rPr>
          <w:szCs w:val="22"/>
        </w:rPr>
        <w:t xml:space="preserve"> </w:t>
      </w:r>
      <w:r w:rsidR="0015742E">
        <w:rPr>
          <w:szCs w:val="22"/>
        </w:rPr>
        <w:t xml:space="preserve">again </w:t>
      </w:r>
      <w:r w:rsidR="0015742E" w:rsidRPr="009C5BEF">
        <w:rPr>
          <w:szCs w:val="22"/>
        </w:rPr>
        <w:t xml:space="preserve">argues that </w:t>
      </w:r>
      <w:r w:rsidR="0015742E">
        <w:rPr>
          <w:szCs w:val="22"/>
        </w:rPr>
        <w:t xml:space="preserve">the </w:t>
      </w:r>
      <w:r w:rsidR="0015742E" w:rsidRPr="009C5BEF">
        <w:rPr>
          <w:szCs w:val="22"/>
        </w:rPr>
        <w:t xml:space="preserve">Bureau erred in </w:t>
      </w:r>
      <w:r w:rsidR="0015742E">
        <w:rPr>
          <w:szCs w:val="22"/>
        </w:rPr>
        <w:t xml:space="preserve">not accepting its application, which </w:t>
      </w:r>
      <w:r w:rsidR="00D01A98">
        <w:rPr>
          <w:szCs w:val="22"/>
        </w:rPr>
        <w:t>TJN</w:t>
      </w:r>
      <w:r w:rsidR="0015742E">
        <w:rPr>
          <w:szCs w:val="22"/>
        </w:rPr>
        <w:t xml:space="preserve"> claims it was unable to timely file because of difficulties using the Commission’s electronic </w:t>
      </w:r>
      <w:r w:rsidR="003D2024">
        <w:rPr>
          <w:szCs w:val="22"/>
        </w:rPr>
        <w:t>filing system</w:t>
      </w:r>
      <w:r w:rsidR="0015742E">
        <w:rPr>
          <w:szCs w:val="22"/>
        </w:rPr>
        <w:t>, CDBS.</w:t>
      </w:r>
      <w:r w:rsidR="0015742E" w:rsidRPr="009C5BEF">
        <w:rPr>
          <w:szCs w:val="22"/>
        </w:rPr>
        <w:t xml:space="preserve">  </w:t>
      </w:r>
      <w:r w:rsidR="00E40C6F">
        <w:rPr>
          <w:szCs w:val="22"/>
        </w:rPr>
        <w:t xml:space="preserve">For the reasons set forth below, we deny review.  </w:t>
      </w:r>
    </w:p>
    <w:p w14:paraId="42AC1AD3" w14:textId="77777777" w:rsidR="005315B3" w:rsidRDefault="005E6396" w:rsidP="00821BE9">
      <w:pPr>
        <w:pStyle w:val="ParaNum"/>
      </w:pPr>
      <w:r>
        <w:t xml:space="preserve">On April 4, 2007, the Bureau announced a filing window </w:t>
      </w:r>
      <w:r w:rsidR="00545BE3">
        <w:t xml:space="preserve">from October 12 to October 19, 2007, </w:t>
      </w:r>
      <w:r>
        <w:t>for new NCE FM station and major modification construction permit</w:t>
      </w:r>
      <w:r w:rsidR="00872347">
        <w:t xml:space="preserve"> application</w:t>
      </w:r>
      <w:r>
        <w:t>s.</w:t>
      </w:r>
      <w:r w:rsidR="009E52DC">
        <w:rPr>
          <w:rStyle w:val="FootnoteReference"/>
        </w:rPr>
        <w:footnoteReference w:id="6"/>
      </w:r>
      <w:r>
        <w:t xml:space="preserve">  </w:t>
      </w:r>
      <w:r w:rsidR="00545BE3">
        <w:t xml:space="preserve">On August 9, 2007, the Bureau </w:t>
      </w:r>
      <w:r w:rsidR="00872347">
        <w:t xml:space="preserve">released a Public Notice </w:t>
      </w:r>
      <w:r w:rsidR="00545BE3">
        <w:t>announc</w:t>
      </w:r>
      <w:r w:rsidR="00872347">
        <w:t>ing</w:t>
      </w:r>
      <w:r w:rsidR="00545BE3">
        <w:t xml:space="preserve"> that applicants could begin to electronically complete their FCC Form 340 applications immediately and encourag</w:t>
      </w:r>
      <w:r w:rsidR="00FC5734">
        <w:t>ing</w:t>
      </w:r>
      <w:r w:rsidR="00545BE3">
        <w:t xml:space="preserve"> applicants to </w:t>
      </w:r>
      <w:r w:rsidR="009E4DF0">
        <w:t xml:space="preserve">“submit </w:t>
      </w:r>
      <w:r w:rsidR="003331A6">
        <w:t>their applications early during the window to ensure proper submission</w:t>
      </w:r>
      <w:r w:rsidR="00545BE3">
        <w:t>.</w:t>
      </w:r>
      <w:r w:rsidR="003331A6">
        <w:t>”</w:t>
      </w:r>
      <w:r w:rsidR="00872347">
        <w:rPr>
          <w:rStyle w:val="FootnoteReference"/>
        </w:rPr>
        <w:footnoteReference w:id="7"/>
      </w:r>
      <w:r w:rsidR="00545BE3">
        <w:t xml:space="preserve">  The window opened as scheduled </w:t>
      </w:r>
      <w:r w:rsidR="00545BE3">
        <w:lastRenderedPageBreak/>
        <w:t xml:space="preserve">on October 12 and CDBS functioned properly until it experienced </w:t>
      </w:r>
      <w:r>
        <w:t xml:space="preserve">a </w:t>
      </w:r>
      <w:r w:rsidR="00E574A3">
        <w:t>brief</w:t>
      </w:r>
      <w:r w:rsidR="00B12573">
        <w:t xml:space="preserve"> </w:t>
      </w:r>
      <w:r w:rsidR="00655D02">
        <w:t xml:space="preserve">overnight </w:t>
      </w:r>
      <w:r>
        <w:t xml:space="preserve">outage </w:t>
      </w:r>
      <w:r w:rsidR="00545BE3">
        <w:t xml:space="preserve">on </w:t>
      </w:r>
      <w:r>
        <w:t>October 19, 2007</w:t>
      </w:r>
      <w:r w:rsidR="00545BE3">
        <w:t>.  In response,</w:t>
      </w:r>
      <w:r>
        <w:t xml:space="preserve"> the Bureau extended the filing window until October 22, 2007 at 2 p.m</w:t>
      </w:r>
      <w:r w:rsidR="003D2024">
        <w:t>.</w:t>
      </w:r>
      <w:r w:rsidR="009E52DC">
        <w:rPr>
          <w:rStyle w:val="FootnoteReference"/>
        </w:rPr>
        <w:footnoteReference w:id="8"/>
      </w:r>
      <w:r>
        <w:t xml:space="preserve">  </w:t>
      </w:r>
      <w:r w:rsidR="007B7A68">
        <w:t xml:space="preserve">TJN </w:t>
      </w:r>
      <w:r w:rsidR="003D2024">
        <w:t>did not file</w:t>
      </w:r>
      <w:r w:rsidR="007B7A68">
        <w:t xml:space="preserve"> before the </w:t>
      </w:r>
      <w:r w:rsidR="00E574A3">
        <w:t xml:space="preserve">extended </w:t>
      </w:r>
      <w:r w:rsidR="007B7A68">
        <w:t xml:space="preserve">filing deadline, but instead, </w:t>
      </w:r>
      <w:r w:rsidR="007C7C84">
        <w:t xml:space="preserve">filed a </w:t>
      </w:r>
      <w:r w:rsidR="007C7C84" w:rsidRPr="00D95D31">
        <w:t>paper</w:t>
      </w:r>
      <w:r w:rsidR="007C7C84">
        <w:t xml:space="preserve"> application for a new NCE station and waiver request (“Waiver Request”) </w:t>
      </w:r>
      <w:r w:rsidR="007B7A68">
        <w:t>o</w:t>
      </w:r>
      <w:r w:rsidRPr="0077770D">
        <w:rPr>
          <w:color w:val="010101"/>
          <w:szCs w:val="22"/>
        </w:rPr>
        <w:t>n</w:t>
      </w:r>
      <w:r>
        <w:rPr>
          <w:color w:val="010101"/>
          <w:szCs w:val="22"/>
        </w:rPr>
        <w:t xml:space="preserve"> October 31, 2007,</w:t>
      </w:r>
      <w:r w:rsidR="00AF7BA5" w:rsidRPr="00F773AC">
        <w:rPr>
          <w:rStyle w:val="FootnoteReference"/>
        </w:rPr>
        <w:t xml:space="preserve"> </w:t>
      </w:r>
      <w:r w:rsidR="007C7C84">
        <w:t xml:space="preserve"> nine days after the close of the </w:t>
      </w:r>
      <w:r w:rsidR="003331A6">
        <w:t xml:space="preserve">extended </w:t>
      </w:r>
      <w:r w:rsidR="007C7C84">
        <w:t>window.</w:t>
      </w:r>
      <w:r>
        <w:t xml:space="preserve">  </w:t>
      </w:r>
      <w:r w:rsidR="00435A0C">
        <w:t>TJN claimed that it</w:t>
      </w:r>
      <w:r>
        <w:t xml:space="preserve"> continued to experience technical problems with CDBS during the extended window, </w:t>
      </w:r>
      <w:r w:rsidR="002B2C5F">
        <w:t xml:space="preserve">and </w:t>
      </w:r>
      <w:r w:rsidR="00872347">
        <w:t xml:space="preserve">therefore </w:t>
      </w:r>
      <w:r w:rsidR="002B2C5F">
        <w:t>that the Commission should accept its untimely paper application</w:t>
      </w:r>
      <w:r>
        <w:t>.</w:t>
      </w:r>
      <w:r w:rsidR="00FC5734">
        <w:rPr>
          <w:rStyle w:val="FootnoteReference"/>
        </w:rPr>
        <w:footnoteReference w:id="9"/>
      </w:r>
      <w:r w:rsidRPr="005E6396">
        <w:t xml:space="preserve"> </w:t>
      </w:r>
      <w:r w:rsidR="00545BE3">
        <w:t xml:space="preserve">  </w:t>
      </w:r>
      <w:r w:rsidR="00872347">
        <w:t>The W</w:t>
      </w:r>
      <w:r w:rsidR="00545BE3">
        <w:t xml:space="preserve">aiver </w:t>
      </w:r>
      <w:r w:rsidR="00872347">
        <w:t>R</w:t>
      </w:r>
      <w:r w:rsidR="00545BE3">
        <w:t xml:space="preserve">equest relies principally on </w:t>
      </w:r>
      <w:r w:rsidR="00545BE3" w:rsidRPr="005315B3">
        <w:rPr>
          <w:i/>
        </w:rPr>
        <w:t>Roamer One, Inc.,</w:t>
      </w:r>
      <w:r w:rsidR="00545BE3" w:rsidRPr="00414505">
        <w:rPr>
          <w:rStyle w:val="FootnoteReference"/>
        </w:rPr>
        <w:footnoteReference w:id="10"/>
      </w:r>
      <w:r w:rsidR="00545BE3" w:rsidRPr="005315B3">
        <w:rPr>
          <w:i/>
        </w:rPr>
        <w:t xml:space="preserve"> </w:t>
      </w:r>
      <w:r w:rsidR="00545BE3">
        <w:t>where the Commission waived a window deadline for electronic filing of modification applications in the 220 MHz service.</w:t>
      </w:r>
    </w:p>
    <w:p w14:paraId="5F8DD8BB" w14:textId="77777777" w:rsidR="005315B3" w:rsidRDefault="005315B3" w:rsidP="005315B3">
      <w:pPr>
        <w:pStyle w:val="ParaNum"/>
        <w:widowControl/>
        <w:numPr>
          <w:ilvl w:val="0"/>
          <w:numId w:val="0"/>
        </w:numPr>
        <w:spacing w:after="0"/>
        <w:ind w:left="720"/>
      </w:pPr>
    </w:p>
    <w:p w14:paraId="5FC07418" w14:textId="4708A821" w:rsidR="00240837" w:rsidRDefault="001C0A21" w:rsidP="00821BE9">
      <w:pPr>
        <w:pStyle w:val="ParaNum"/>
      </w:pPr>
      <w:r>
        <w:t>We find that t</w:t>
      </w:r>
      <w:r w:rsidR="005916A0">
        <w:t xml:space="preserve">he </w:t>
      </w:r>
      <w:r w:rsidR="007A210B">
        <w:t>Bureau</w:t>
      </w:r>
      <w:r w:rsidR="005916A0">
        <w:t xml:space="preserve"> </w:t>
      </w:r>
      <w:r w:rsidR="003E260E">
        <w:t xml:space="preserve">properly </w:t>
      </w:r>
      <w:r w:rsidR="005916A0">
        <w:t xml:space="preserve">rejected this argument </w:t>
      </w:r>
      <w:r>
        <w:t xml:space="preserve">and correctly distinguished </w:t>
      </w:r>
      <w:r w:rsidRPr="005315B3">
        <w:rPr>
          <w:i/>
        </w:rPr>
        <w:t>Roamer One</w:t>
      </w:r>
      <w:r w:rsidR="00545BE3">
        <w:rPr>
          <w:i/>
        </w:rPr>
        <w:t xml:space="preserve">.  </w:t>
      </w:r>
      <w:r w:rsidR="004C7125" w:rsidRPr="00B54720">
        <w:t>The record does not demonstrate unique circumstances permitting deviation in the filing deadline.</w:t>
      </w:r>
      <w:r w:rsidR="004C7125">
        <w:rPr>
          <w:i/>
        </w:rPr>
        <w:t xml:space="preserve">  </w:t>
      </w:r>
      <w:r w:rsidR="007807BA" w:rsidRPr="00D5672B">
        <w:t xml:space="preserve">The difficulties TJN </w:t>
      </w:r>
      <w:r w:rsidR="00545BE3">
        <w:t xml:space="preserve">allegedly </w:t>
      </w:r>
      <w:r w:rsidR="007807BA" w:rsidRPr="00D5672B">
        <w:t xml:space="preserve">encountered in filing electronically do not appear to </w:t>
      </w:r>
      <w:r w:rsidR="00545BE3">
        <w:t xml:space="preserve">have been </w:t>
      </w:r>
      <w:r w:rsidR="007807BA" w:rsidRPr="00D5672B">
        <w:t>widespread</w:t>
      </w:r>
      <w:r w:rsidR="007807BA" w:rsidRPr="005315B3">
        <w:rPr>
          <w:i/>
        </w:rPr>
        <w:t xml:space="preserve">.  </w:t>
      </w:r>
      <w:r>
        <w:t xml:space="preserve">As noted in the </w:t>
      </w:r>
      <w:r w:rsidRPr="005315B3">
        <w:rPr>
          <w:i/>
        </w:rPr>
        <w:t>Reconsideration Decision</w:t>
      </w:r>
      <w:r>
        <w:t>, over 830 applications were filed during the last seven hours of th</w:t>
      </w:r>
      <w:r w:rsidR="00726BE0">
        <w:t>is NCE</w:t>
      </w:r>
      <w:r>
        <w:t xml:space="preserve"> window.</w:t>
      </w:r>
      <w:r w:rsidR="00EE6ABE">
        <w:rPr>
          <w:rStyle w:val="FootnoteReference"/>
        </w:rPr>
        <w:footnoteReference w:id="11"/>
      </w:r>
      <w:r>
        <w:t xml:space="preserve">  In all, over 1</w:t>
      </w:r>
      <w:r w:rsidR="00E80AA5">
        <w:t>,</w:t>
      </w:r>
      <w:r>
        <w:t>200 applications were successfully filed on October 22, 2007</w:t>
      </w:r>
      <w:r w:rsidR="003331A6">
        <w:t>, the day that TJN claims to have experienced difficulty,</w:t>
      </w:r>
      <w:r>
        <w:t xml:space="preserve"> in CDBS</w:t>
      </w:r>
      <w:r w:rsidR="00655D02">
        <w:t xml:space="preserve">, including over 30 other applications </w:t>
      </w:r>
      <w:r w:rsidR="00B26453">
        <w:t xml:space="preserve">filed </w:t>
      </w:r>
      <w:r w:rsidR="00655D02">
        <w:t>by TJN’s counsel</w:t>
      </w:r>
      <w:r w:rsidR="00F33140">
        <w:t xml:space="preserve"> at regular intervals</w:t>
      </w:r>
      <w:r w:rsidR="00B26453">
        <w:t xml:space="preserve"> throughout the day</w:t>
      </w:r>
      <w:r>
        <w:t xml:space="preserve">.  Thus, unlike </w:t>
      </w:r>
      <w:r w:rsidR="003E260E">
        <w:t xml:space="preserve">the facts </w:t>
      </w:r>
      <w:r>
        <w:t xml:space="preserve">in </w:t>
      </w:r>
      <w:r w:rsidRPr="005315B3">
        <w:rPr>
          <w:i/>
        </w:rPr>
        <w:t>Roamer One</w:t>
      </w:r>
      <w:r>
        <w:t xml:space="preserve">, TJN has failed to demonstrate that the Commission </w:t>
      </w:r>
      <w:r w:rsidR="003E260E">
        <w:t>wa</w:t>
      </w:r>
      <w:r>
        <w:t xml:space="preserve">s “partly responsible” for TJN’s failure to file in the window.  </w:t>
      </w:r>
      <w:r w:rsidR="008F3C4A">
        <w:t xml:space="preserve">Also, unlike </w:t>
      </w:r>
      <w:r w:rsidR="008F3C4A" w:rsidRPr="005315B3">
        <w:rPr>
          <w:i/>
        </w:rPr>
        <w:t>Roamer One</w:t>
      </w:r>
      <w:r w:rsidR="008F3C4A">
        <w:t xml:space="preserve">, </w:t>
      </w:r>
      <w:r w:rsidR="00252603">
        <w:t xml:space="preserve">here, </w:t>
      </w:r>
      <w:r w:rsidR="00F33140">
        <w:t xml:space="preserve">in addition to allowing applicants to file over two months before the window formally opened, </w:t>
      </w:r>
      <w:r w:rsidR="008F3C4A">
        <w:t xml:space="preserve">the Commission had already extended the filing window three days to compensate for a CDBS outage </w:t>
      </w:r>
      <w:r w:rsidR="00943DD8">
        <w:t>between 1:30 a.m. and 8 a.m. on October 19, 2007</w:t>
      </w:r>
      <w:r w:rsidR="008F3C4A">
        <w:t>.</w:t>
      </w:r>
      <w:r w:rsidR="00252603">
        <w:rPr>
          <w:rStyle w:val="FootnoteReference"/>
        </w:rPr>
        <w:footnoteReference w:id="12"/>
      </w:r>
      <w:r w:rsidR="008F3C4A">
        <w:t xml:space="preserve">  </w:t>
      </w:r>
      <w:r w:rsidR="00545BE3">
        <w:t xml:space="preserve">We specifically reject TJN’s apparent view that the Commission should waive the filing deadline when </w:t>
      </w:r>
      <w:r w:rsidR="004841D6">
        <w:t xml:space="preserve">applicants experience any slowdown in </w:t>
      </w:r>
      <w:r w:rsidR="00545BE3">
        <w:t>CDBS system capabilities</w:t>
      </w:r>
      <w:r w:rsidR="00452336">
        <w:t xml:space="preserve">, particularly after </w:t>
      </w:r>
      <w:r w:rsidR="00E93853">
        <w:t xml:space="preserve">applicants were </w:t>
      </w:r>
      <w:r w:rsidR="00452336">
        <w:t>urged repeatedly to file early to avoid complications</w:t>
      </w:r>
      <w:r w:rsidR="00741592">
        <w:t xml:space="preserve"> and </w:t>
      </w:r>
      <w:r w:rsidR="00E93853">
        <w:t xml:space="preserve">also were granted </w:t>
      </w:r>
      <w:r w:rsidR="00741592">
        <w:t>an extension to account for CDBS difficulties</w:t>
      </w:r>
      <w:r w:rsidR="004841D6">
        <w:t>.</w:t>
      </w:r>
      <w:r w:rsidR="00174A96">
        <w:rPr>
          <w:rStyle w:val="FootnoteReference"/>
        </w:rPr>
        <w:footnoteReference w:id="13"/>
      </w:r>
      <w:r w:rsidR="00174A96">
        <w:t xml:space="preserve">  </w:t>
      </w:r>
    </w:p>
    <w:p w14:paraId="7532A7B7" w14:textId="77777777" w:rsidR="00E27686" w:rsidRDefault="00E27686" w:rsidP="00F773AC">
      <w:pPr>
        <w:pStyle w:val="ParaNum"/>
        <w:widowControl/>
        <w:numPr>
          <w:ilvl w:val="0"/>
          <w:numId w:val="0"/>
        </w:numPr>
        <w:spacing w:after="0"/>
        <w:ind w:left="720"/>
      </w:pPr>
    </w:p>
    <w:p w14:paraId="33590002" w14:textId="301FD307" w:rsidR="002B2C5F" w:rsidRDefault="00240837" w:rsidP="00821BE9">
      <w:pPr>
        <w:pStyle w:val="ParaNum"/>
      </w:pPr>
      <w:r>
        <w:t xml:space="preserve">TJN also ignores the </w:t>
      </w:r>
      <w:r>
        <w:rPr>
          <w:i/>
        </w:rPr>
        <w:t xml:space="preserve">Roamer One </w:t>
      </w:r>
      <w:r>
        <w:t xml:space="preserve">requirement that the applicant </w:t>
      </w:r>
      <w:r w:rsidR="00BC3E31">
        <w:t>“initiate[] the filing in a timely manner, show[] reasonable diligence when technical difficulties occurred, and</w:t>
      </w:r>
      <w:r w:rsidR="00116B3C">
        <w:t xml:space="preserve"> . . . file very shortly after the deadline.</w:t>
      </w:r>
      <w:r w:rsidR="008F22CE">
        <w:t>”</w:t>
      </w:r>
      <w:r w:rsidR="000B6672">
        <w:rPr>
          <w:rStyle w:val="FootnoteReference"/>
        </w:rPr>
        <w:footnoteReference w:id="14"/>
      </w:r>
      <w:r>
        <w:t xml:space="preserve">  </w:t>
      </w:r>
      <w:r w:rsidR="00116B3C">
        <w:t xml:space="preserve">Here, </w:t>
      </w:r>
      <w:r w:rsidR="002923C9">
        <w:t xml:space="preserve">TJN chose not to take advantage of the early filing option that the Commission made available for potential applicants.  </w:t>
      </w:r>
      <w:r w:rsidR="00A116CC">
        <w:t xml:space="preserve">TJN </w:t>
      </w:r>
      <w:r w:rsidR="002923C9">
        <w:t xml:space="preserve">also </w:t>
      </w:r>
      <w:r w:rsidR="00A116CC">
        <w:t xml:space="preserve">made no effort to file </w:t>
      </w:r>
      <w:r w:rsidR="002923C9">
        <w:t xml:space="preserve">either </w:t>
      </w:r>
      <w:r w:rsidR="00A116CC">
        <w:t xml:space="preserve">during the </w:t>
      </w:r>
      <w:r w:rsidR="00741592">
        <w:t xml:space="preserve">originally announced seven-day window or during the </w:t>
      </w:r>
      <w:r w:rsidR="00A116CC">
        <w:t xml:space="preserve">first two days of </w:t>
      </w:r>
      <w:r w:rsidR="00294204">
        <w:t>the extended filing window</w:t>
      </w:r>
      <w:r w:rsidR="00741592">
        <w:t xml:space="preserve">. </w:t>
      </w:r>
      <w:r w:rsidR="00741592">
        <w:lastRenderedPageBreak/>
        <w:t>Finally, TJN</w:t>
      </w:r>
      <w:r>
        <w:t xml:space="preserve"> waited until nine days after the close of the window to submit </w:t>
      </w:r>
      <w:r w:rsidR="00872347">
        <w:t>its application</w:t>
      </w:r>
      <w:r w:rsidR="00294204">
        <w:t>.</w:t>
      </w:r>
      <w:r w:rsidR="00294204">
        <w:rPr>
          <w:rStyle w:val="FootnoteReference"/>
        </w:rPr>
        <w:footnoteReference w:id="15"/>
      </w:r>
      <w:r w:rsidR="00294204">
        <w:t xml:space="preserve">  In contra</w:t>
      </w:r>
      <w:r w:rsidR="00020A77">
        <w:t>s</w:t>
      </w:r>
      <w:r w:rsidR="00294204">
        <w:t xml:space="preserve">t, the applicant in </w:t>
      </w:r>
      <w:r w:rsidR="00294204">
        <w:rPr>
          <w:i/>
        </w:rPr>
        <w:t>Roamer One</w:t>
      </w:r>
      <w:r w:rsidR="00294204">
        <w:t xml:space="preserve"> diligently </w:t>
      </w:r>
      <w:r>
        <w:t xml:space="preserve">continued to submit </w:t>
      </w:r>
      <w:r w:rsidR="00294204">
        <w:t>applications throughout the filing window</w:t>
      </w:r>
      <w:r>
        <w:t xml:space="preserve"> and completed </w:t>
      </w:r>
      <w:r w:rsidR="00872347">
        <w:t>its filing</w:t>
      </w:r>
      <w:r>
        <w:t xml:space="preserve"> two days after the window’s close</w:t>
      </w:r>
      <w:r w:rsidR="00294204">
        <w:t>.</w:t>
      </w:r>
      <w:r w:rsidR="00294204">
        <w:rPr>
          <w:rStyle w:val="FootnoteReference"/>
        </w:rPr>
        <w:footnoteReference w:id="16"/>
      </w:r>
      <w:r w:rsidR="00E51741">
        <w:t xml:space="preserve">  </w:t>
      </w:r>
    </w:p>
    <w:p w14:paraId="64ED82B2" w14:textId="77777777" w:rsidR="0015742E" w:rsidRPr="0015742E" w:rsidRDefault="0015742E" w:rsidP="00821BE9">
      <w:pPr>
        <w:pStyle w:val="ParaNum"/>
      </w:pPr>
      <w:r w:rsidRPr="00595BF9">
        <w:t xml:space="preserve">Upon review of </w:t>
      </w:r>
      <w:r>
        <w:t>the AFR</w:t>
      </w:r>
      <w:r w:rsidRPr="00595BF9">
        <w:t xml:space="preserve"> and the entire record</w:t>
      </w:r>
      <w:r>
        <w:t>,</w:t>
      </w:r>
      <w:r w:rsidRPr="00595BF9">
        <w:t xml:space="preserve"> we </w:t>
      </w:r>
      <w:r>
        <w:t xml:space="preserve">conclude that TJN has failed to demonstrate that the Bureau erred.  </w:t>
      </w:r>
      <w:r w:rsidRPr="00595BF9">
        <w:t xml:space="preserve">We thus uphold the Bureau’s decisions for the reasons stated in the </w:t>
      </w:r>
      <w:r>
        <w:rPr>
          <w:i/>
        </w:rPr>
        <w:t>Public Notice</w:t>
      </w:r>
      <w:r w:rsidRPr="00595BF9">
        <w:t xml:space="preserve"> and the </w:t>
      </w:r>
      <w:r w:rsidRPr="00595BF9">
        <w:rPr>
          <w:i/>
        </w:rPr>
        <w:t>Reconsideration Decision</w:t>
      </w:r>
      <w:r w:rsidRPr="00595BF9">
        <w:t>.</w:t>
      </w:r>
      <w:r w:rsidR="00A6664F">
        <w:rPr>
          <w:rStyle w:val="FootnoteReference"/>
          <w:szCs w:val="22"/>
        </w:rPr>
        <w:footnoteReference w:id="17"/>
      </w:r>
    </w:p>
    <w:p w14:paraId="06BBD3FD" w14:textId="77777777" w:rsidR="00E66A17" w:rsidRPr="00EC5899" w:rsidRDefault="00E66A17" w:rsidP="00821BE9">
      <w:pPr>
        <w:pStyle w:val="ParaNum"/>
      </w:pPr>
      <w:r w:rsidRPr="00EC5899">
        <w:t>ACCORDINGLY, IT IS ORDERED that, pursuant to Section 5(c)(5) of the Communications Act of 1934, as amended,</w:t>
      </w:r>
      <w:r w:rsidRPr="00EC5899">
        <w:rPr>
          <w:rStyle w:val="FootnoteReference"/>
          <w:szCs w:val="22"/>
        </w:rPr>
        <w:footnoteReference w:id="18"/>
      </w:r>
      <w:r w:rsidRPr="00EC5899">
        <w:t xml:space="preserve"> and Section 1.115(</w:t>
      </w:r>
      <w:r w:rsidR="003331A6">
        <w:t>g</w:t>
      </w:r>
      <w:r w:rsidRPr="00EC5899">
        <w:t>) of the Commission’s Rules,</w:t>
      </w:r>
      <w:r w:rsidRPr="00EC5899">
        <w:rPr>
          <w:rStyle w:val="FootnoteReference"/>
          <w:szCs w:val="22"/>
        </w:rPr>
        <w:footnoteReference w:id="19"/>
      </w:r>
      <w:r w:rsidRPr="00EC5899">
        <w:t xml:space="preserve"> the Application for Review filed by </w:t>
      </w:r>
      <w:r w:rsidR="000E0A7C">
        <w:t>Totally Jesus Network, Inc.,</w:t>
      </w:r>
      <w:r w:rsidRPr="00EC5899">
        <w:t xml:space="preserve"> IS D</w:t>
      </w:r>
      <w:r w:rsidR="00653650">
        <w:t>ENIED</w:t>
      </w:r>
      <w:r w:rsidRPr="00EC5899">
        <w:t xml:space="preserve">.  </w:t>
      </w:r>
    </w:p>
    <w:p w14:paraId="6EC044E8" w14:textId="77777777" w:rsidR="00E66A17" w:rsidRPr="006358C3" w:rsidRDefault="00E66A17" w:rsidP="00E66A17">
      <w:r w:rsidRPr="006358C3">
        <w:tab/>
      </w:r>
      <w:r w:rsidRPr="006358C3">
        <w:tab/>
      </w:r>
      <w:r w:rsidRPr="006358C3">
        <w:tab/>
      </w:r>
      <w:r w:rsidRPr="006358C3">
        <w:tab/>
      </w:r>
      <w:r w:rsidRPr="006358C3">
        <w:tab/>
      </w:r>
      <w:r w:rsidRPr="006358C3">
        <w:tab/>
        <w:t>FEDERAL COMMUNICATIONS COMMISSION</w:t>
      </w:r>
    </w:p>
    <w:p w14:paraId="61207ABB" w14:textId="77777777" w:rsidR="00E66A17" w:rsidRDefault="00E66A17" w:rsidP="00E66A17"/>
    <w:p w14:paraId="36113AEA" w14:textId="77777777" w:rsidR="00E66A17" w:rsidRDefault="00E66A17" w:rsidP="00E66A17"/>
    <w:p w14:paraId="4E0DFAD3" w14:textId="77777777" w:rsidR="00E66A17" w:rsidRDefault="00E66A17" w:rsidP="00E66A17"/>
    <w:p w14:paraId="095C4600" w14:textId="77777777" w:rsidR="008F3DB3" w:rsidRPr="006358C3" w:rsidRDefault="008F3DB3" w:rsidP="00E66A17"/>
    <w:p w14:paraId="33F61D35" w14:textId="77777777" w:rsidR="00E66A17" w:rsidRPr="006358C3" w:rsidRDefault="00E66A17" w:rsidP="00E66A17">
      <w:r>
        <w:t xml:space="preserve"> </w:t>
      </w:r>
      <w:r>
        <w:tab/>
      </w:r>
      <w:r>
        <w:tab/>
      </w:r>
      <w:r>
        <w:tab/>
      </w:r>
      <w:r>
        <w:tab/>
      </w:r>
      <w:r>
        <w:tab/>
      </w:r>
      <w:r>
        <w:tab/>
      </w:r>
      <w:r w:rsidRPr="006358C3">
        <w:t>Marlene H. Dortch</w:t>
      </w:r>
    </w:p>
    <w:p w14:paraId="03CB3E5E" w14:textId="77777777" w:rsidR="002C00E8" w:rsidRPr="002C00E8" w:rsidRDefault="00E66A17" w:rsidP="00F20FA4">
      <w:r>
        <w:t xml:space="preserve"> </w:t>
      </w:r>
      <w:r>
        <w:tab/>
      </w:r>
      <w:r>
        <w:tab/>
      </w:r>
      <w:r>
        <w:tab/>
      </w:r>
      <w:r>
        <w:tab/>
      </w:r>
      <w:r>
        <w:tab/>
      </w:r>
      <w:r>
        <w:tab/>
      </w:r>
      <w:r w:rsidRPr="006358C3">
        <w:t>Secretary</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9E5A1" w14:textId="77777777" w:rsidR="00462455" w:rsidRDefault="00462455">
      <w:pPr>
        <w:spacing w:line="20" w:lineRule="exact"/>
      </w:pPr>
    </w:p>
  </w:endnote>
  <w:endnote w:type="continuationSeparator" w:id="0">
    <w:p w14:paraId="1E588DCD" w14:textId="77777777" w:rsidR="00462455" w:rsidRDefault="00462455">
      <w:r>
        <w:t xml:space="preserve"> </w:t>
      </w:r>
    </w:p>
  </w:endnote>
  <w:endnote w:type="continuationNotice" w:id="1">
    <w:p w14:paraId="5627A587" w14:textId="77777777" w:rsidR="00462455" w:rsidRDefault="004624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4C36" w14:textId="77777777" w:rsidR="00AD4829" w:rsidRDefault="00AD4829" w:rsidP="0055614C">
    <w:pPr>
      <w:pStyle w:val="Footer"/>
      <w:framePr w:wrap="around" w:vAnchor="text" w:hAnchor="margin" w:xAlign="center" w:y="1"/>
    </w:pPr>
    <w:r>
      <w:fldChar w:fldCharType="begin"/>
    </w:r>
    <w:r>
      <w:instrText xml:space="preserve">PAGE  </w:instrText>
    </w:r>
    <w:r>
      <w:fldChar w:fldCharType="end"/>
    </w:r>
  </w:p>
  <w:p w14:paraId="78D6BDDB" w14:textId="77777777" w:rsidR="00AD4829" w:rsidRDefault="00AD4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140D" w14:textId="77777777" w:rsidR="00AD4829" w:rsidRDefault="00AD4829" w:rsidP="0055614C">
    <w:pPr>
      <w:pStyle w:val="Footer"/>
      <w:framePr w:wrap="around" w:vAnchor="text" w:hAnchor="margin" w:xAlign="center" w:y="1"/>
    </w:pPr>
    <w:r>
      <w:fldChar w:fldCharType="begin"/>
    </w:r>
    <w:r>
      <w:instrText xml:space="preserve">PAGE  </w:instrText>
    </w:r>
    <w:r>
      <w:fldChar w:fldCharType="separate"/>
    </w:r>
    <w:r w:rsidR="00C4630B">
      <w:rPr>
        <w:noProof/>
      </w:rPr>
      <w:t>3</w:t>
    </w:r>
    <w:r>
      <w:fldChar w:fldCharType="end"/>
    </w:r>
  </w:p>
  <w:p w14:paraId="252C13A3" w14:textId="77777777" w:rsidR="00AD4829" w:rsidRDefault="00AD482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4264" w14:textId="77777777" w:rsidR="00AD4829" w:rsidRDefault="00AD482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9A174" w14:textId="77777777" w:rsidR="00462455" w:rsidRDefault="00462455">
      <w:r>
        <w:separator/>
      </w:r>
    </w:p>
  </w:footnote>
  <w:footnote w:type="continuationSeparator" w:id="0">
    <w:p w14:paraId="6295D926" w14:textId="77777777" w:rsidR="00462455" w:rsidRDefault="00462455" w:rsidP="00C721AC">
      <w:pPr>
        <w:spacing w:before="120"/>
        <w:rPr>
          <w:sz w:val="20"/>
        </w:rPr>
      </w:pPr>
      <w:r>
        <w:rPr>
          <w:sz w:val="20"/>
        </w:rPr>
        <w:t xml:space="preserve">(Continued from previous page)  </w:t>
      </w:r>
      <w:r>
        <w:rPr>
          <w:sz w:val="20"/>
        </w:rPr>
        <w:separator/>
      </w:r>
    </w:p>
  </w:footnote>
  <w:footnote w:type="continuationNotice" w:id="1">
    <w:p w14:paraId="2232422D" w14:textId="77777777" w:rsidR="00462455" w:rsidRDefault="00462455" w:rsidP="00C721AC">
      <w:pPr>
        <w:jc w:val="right"/>
        <w:rPr>
          <w:sz w:val="20"/>
        </w:rPr>
      </w:pPr>
      <w:r>
        <w:rPr>
          <w:sz w:val="20"/>
        </w:rPr>
        <w:t>(continued….)</w:t>
      </w:r>
    </w:p>
  </w:footnote>
  <w:footnote w:id="2">
    <w:p w14:paraId="26A72E53" w14:textId="77777777" w:rsidR="00AD4829" w:rsidRPr="00976EE8" w:rsidRDefault="00AD4829" w:rsidP="001856CD">
      <w:pPr>
        <w:pStyle w:val="FootnoteText"/>
      </w:pPr>
      <w:r w:rsidRPr="00976EE8">
        <w:rPr>
          <w:rStyle w:val="FootnoteReference"/>
        </w:rPr>
        <w:footnoteRef/>
      </w:r>
      <w:r w:rsidRPr="00976EE8">
        <w:t xml:space="preserve"> UCB</w:t>
      </w:r>
      <w:r>
        <w:t xml:space="preserve"> USA</w:t>
      </w:r>
      <w:r w:rsidRPr="00976EE8">
        <w:t>, Inc. (“UCB”), filed an Opposition on September 23, 2011</w:t>
      </w:r>
      <w:r>
        <w:t xml:space="preserve"> (“</w:t>
      </w:r>
      <w:r w:rsidRPr="005B724E">
        <w:rPr>
          <w:i/>
        </w:rPr>
        <w:t>Opposition</w:t>
      </w:r>
      <w:r>
        <w:t>”)</w:t>
      </w:r>
      <w:r w:rsidRPr="00976EE8">
        <w:t>.</w:t>
      </w:r>
    </w:p>
  </w:footnote>
  <w:footnote w:id="3">
    <w:p w14:paraId="76A8E0D1" w14:textId="77777777" w:rsidR="00AD4829" w:rsidRPr="00976EE8" w:rsidRDefault="00AD4829" w:rsidP="001856CD">
      <w:pPr>
        <w:pStyle w:val="FootnoteText"/>
      </w:pPr>
      <w:r w:rsidRPr="00976EE8">
        <w:rPr>
          <w:rStyle w:val="FootnoteReference"/>
        </w:rPr>
        <w:footnoteRef/>
      </w:r>
      <w:r w:rsidRPr="00976EE8">
        <w:t xml:space="preserve"> </w:t>
      </w:r>
      <w:r w:rsidRPr="00976EE8">
        <w:rPr>
          <w:i/>
        </w:rPr>
        <w:t>Bishop Wilfret Johnson Ministries International, Inc., et. al</w:t>
      </w:r>
      <w:r w:rsidRPr="00976EE8">
        <w:t>, Letter, Ref. 1800B3-ATS (MB Aug 10, 2011) (“</w:t>
      </w:r>
      <w:r w:rsidRPr="00976EE8">
        <w:rPr>
          <w:i/>
        </w:rPr>
        <w:t>Reconsideration Decision</w:t>
      </w:r>
      <w:r w:rsidRPr="00976EE8">
        <w:t xml:space="preserve">”).  </w:t>
      </w:r>
      <w:r w:rsidRPr="00976EE8">
        <w:rPr>
          <w:i/>
        </w:rPr>
        <w:t>See also Broadcast Actions</w:t>
      </w:r>
      <w:r w:rsidRPr="00976EE8">
        <w:t>, Report No. 27550 (MB Aug. 15, 2011).</w:t>
      </w:r>
    </w:p>
  </w:footnote>
  <w:footnote w:id="4">
    <w:p w14:paraId="47C5BABF" w14:textId="77777777" w:rsidR="00AD4829" w:rsidRPr="00976EE8" w:rsidRDefault="00AD4829" w:rsidP="001856CD">
      <w:pPr>
        <w:pStyle w:val="FootnoteText"/>
      </w:pPr>
      <w:r w:rsidRPr="00976EE8">
        <w:rPr>
          <w:rStyle w:val="FootnoteReference"/>
        </w:rPr>
        <w:footnoteRef/>
      </w:r>
      <w:r w:rsidRPr="00976EE8">
        <w:t xml:space="preserve"> </w:t>
      </w:r>
      <w:r w:rsidRPr="00976EE8">
        <w:rPr>
          <w:i/>
        </w:rPr>
        <w:t>NCE FM New Station and Major Change Application Dismissed for Failure to Timely File</w:t>
      </w:r>
      <w:r w:rsidRPr="00976EE8">
        <w:t>, Public Notice, 25 FCC Rcd 13065 (MB 2010) (“</w:t>
      </w:r>
      <w:r w:rsidRPr="00976EE8">
        <w:rPr>
          <w:i/>
        </w:rPr>
        <w:t>Public Notice</w:t>
      </w:r>
      <w:r w:rsidRPr="00976EE8">
        <w:t>”).</w:t>
      </w:r>
    </w:p>
  </w:footnote>
  <w:footnote w:id="5">
    <w:p w14:paraId="0799FEF1" w14:textId="77777777" w:rsidR="00AD4829" w:rsidRPr="00976EE8" w:rsidRDefault="00AD4829" w:rsidP="001856CD">
      <w:pPr>
        <w:pStyle w:val="FootnoteText"/>
      </w:pPr>
      <w:r w:rsidRPr="00976EE8">
        <w:rPr>
          <w:rStyle w:val="FootnoteReference"/>
        </w:rPr>
        <w:footnoteRef/>
      </w:r>
      <w:r w:rsidRPr="00976EE8">
        <w:t xml:space="preserve"> </w:t>
      </w:r>
      <w:r w:rsidRPr="00976EE8">
        <w:rPr>
          <w:i/>
        </w:rPr>
        <w:t xml:space="preserve">See UCB USA, Inc., </w:t>
      </w:r>
      <w:r w:rsidRPr="00976EE8">
        <w:t>Letter, Ref. 1800B3 (MB June 26, 2008).</w:t>
      </w:r>
    </w:p>
  </w:footnote>
  <w:footnote w:id="6">
    <w:p w14:paraId="653B5958" w14:textId="77777777" w:rsidR="00AD4829" w:rsidRPr="00976EE8" w:rsidRDefault="00AD4829" w:rsidP="001856CD">
      <w:pPr>
        <w:pStyle w:val="FootnoteText"/>
      </w:pPr>
      <w:r w:rsidRPr="00976EE8">
        <w:rPr>
          <w:rStyle w:val="FootnoteReference"/>
        </w:rPr>
        <w:footnoteRef/>
      </w:r>
      <w:r w:rsidRPr="00976EE8">
        <w:t xml:space="preserve"> </w:t>
      </w:r>
      <w:r w:rsidRPr="00976EE8">
        <w:rPr>
          <w:i/>
        </w:rPr>
        <w:t>See Media Bureau Announces NCE FM New Station and Major Modification Application Filing Window for New and Certain Pending Proposals; Window to Open on October 12, 2007</w:t>
      </w:r>
      <w:r w:rsidRPr="00976EE8">
        <w:t>, Public Notice</w:t>
      </w:r>
      <w:r>
        <w:t>,</w:t>
      </w:r>
      <w:r w:rsidRPr="00976EE8">
        <w:t xml:space="preserve"> 22 FCC Rcd 6726 (MB 2007).</w:t>
      </w:r>
    </w:p>
  </w:footnote>
  <w:footnote w:id="7">
    <w:p w14:paraId="30DF627B" w14:textId="77777777" w:rsidR="00AD4829" w:rsidRPr="00872347" w:rsidRDefault="00AD4829">
      <w:pPr>
        <w:pStyle w:val="FootnoteText"/>
      </w:pPr>
      <w:r>
        <w:rPr>
          <w:rStyle w:val="FootnoteReference"/>
        </w:rPr>
        <w:footnoteRef/>
      </w:r>
      <w:r>
        <w:t xml:space="preserve"> </w:t>
      </w:r>
      <w:r>
        <w:rPr>
          <w:i/>
        </w:rPr>
        <w:t xml:space="preserve">See Media Bureau Announces NCE FM New Station and Major Change Filing Procedures for October 12 – October 19, 2007 Window; Limited Application Filing Freeze to Commence on September 8, 2007, </w:t>
      </w:r>
      <w:r>
        <w:t>Public Notice, 22 FCC Rcd 15050, 15054 (MB 2007) (“Applicants are encouraged to access the system and prepare their applications and amendments at their earliest possible convenience.</w:t>
      </w:r>
      <w:r w:rsidRPr="00CE4D6E">
        <w:rPr>
          <w:rFonts w:ascii="Arial" w:hAnsi="Arial" w:cs="Arial"/>
          <w:color w:val="252525"/>
          <w:sz w:val="21"/>
          <w:szCs w:val="21"/>
        </w:rPr>
        <w:t xml:space="preserve"> </w:t>
      </w:r>
      <w:r w:rsidRPr="005B724E">
        <w:t>Applicants may begin to complete applications immediately</w:t>
      </w:r>
      <w:r>
        <w:t xml:space="preserve"> [</w:t>
      </w:r>
      <w:r w:rsidRPr="005B724E">
        <w:rPr>
          <w:i/>
        </w:rPr>
        <w:t>i.e.,</w:t>
      </w:r>
      <w:r>
        <w:t xml:space="preserve"> starting on August 9, 2007]</w:t>
      </w:r>
      <w:r w:rsidRPr="005B724E">
        <w:t xml:space="preserve">. </w:t>
      </w:r>
      <w:r>
        <w:t xml:space="preserve"> </w:t>
      </w:r>
      <w:r w:rsidRPr="005B724E">
        <w:t>Applicants are also encouraged to submit their applications early during the window to ensure proper submission.</w:t>
      </w:r>
      <w:r>
        <w:t>”).</w:t>
      </w:r>
    </w:p>
  </w:footnote>
  <w:footnote w:id="8">
    <w:p w14:paraId="04D1D68A" w14:textId="77777777" w:rsidR="00AD4829" w:rsidRPr="00976EE8" w:rsidRDefault="00AD4829" w:rsidP="001856CD">
      <w:pPr>
        <w:pStyle w:val="FootnoteText"/>
      </w:pPr>
      <w:r w:rsidRPr="00976EE8">
        <w:rPr>
          <w:rStyle w:val="FootnoteReference"/>
        </w:rPr>
        <w:footnoteRef/>
      </w:r>
      <w:r w:rsidRPr="00976EE8">
        <w:t xml:space="preserve"> </w:t>
      </w:r>
      <w:r w:rsidRPr="00976EE8">
        <w:rPr>
          <w:i/>
        </w:rPr>
        <w:t>Media Bureau to Extend Window for NCE FM New Station and Major Change Applications; Window Will Close on October 22, 2007</w:t>
      </w:r>
      <w:r w:rsidRPr="00976EE8">
        <w:t>, Public Notice, 22 FCC Rcd 18680 (MB 2007)</w:t>
      </w:r>
      <w:r>
        <w:t xml:space="preserve"> (“</w:t>
      </w:r>
      <w:r w:rsidRPr="005B724E">
        <w:rPr>
          <w:i/>
        </w:rPr>
        <w:t>Window Extension PN</w:t>
      </w:r>
      <w:r>
        <w:t>”)</w:t>
      </w:r>
      <w:r w:rsidRPr="00976EE8">
        <w:t>.</w:t>
      </w:r>
    </w:p>
  </w:footnote>
  <w:footnote w:id="9">
    <w:p w14:paraId="0120150C" w14:textId="77777777" w:rsidR="00AD4829" w:rsidRDefault="00AD4829">
      <w:pPr>
        <w:pStyle w:val="FootnoteText"/>
      </w:pPr>
      <w:r>
        <w:rPr>
          <w:rStyle w:val="FootnoteReference"/>
        </w:rPr>
        <w:footnoteRef/>
      </w:r>
      <w:r>
        <w:t xml:space="preserve"> </w:t>
      </w:r>
      <w:r w:rsidRPr="002F44EC">
        <w:rPr>
          <w:i/>
        </w:rPr>
        <w:t>Waiver Request</w:t>
      </w:r>
      <w:r w:rsidRPr="002F44EC">
        <w:t xml:space="preserve"> at 3.  </w:t>
      </w:r>
    </w:p>
  </w:footnote>
  <w:footnote w:id="10">
    <w:p w14:paraId="46D42794" w14:textId="77777777" w:rsidR="00AD4829" w:rsidRPr="00976EE8" w:rsidRDefault="00AD4829" w:rsidP="00545BE3">
      <w:pPr>
        <w:pStyle w:val="FootnoteText"/>
      </w:pPr>
      <w:r w:rsidRPr="00976EE8">
        <w:rPr>
          <w:rStyle w:val="FootnoteReference"/>
        </w:rPr>
        <w:footnoteRef/>
      </w:r>
      <w:r w:rsidRPr="00976EE8">
        <w:t xml:space="preserve"> </w:t>
      </w:r>
      <w:r w:rsidRPr="00976EE8">
        <w:rPr>
          <w:i/>
        </w:rPr>
        <w:t xml:space="preserve">Roamer One, Inc., </w:t>
      </w:r>
      <w:r w:rsidRPr="00976EE8">
        <w:t>Order, 17 FCC Rcd 3287 (2002) (“</w:t>
      </w:r>
      <w:r w:rsidRPr="00976EE8">
        <w:rPr>
          <w:i/>
        </w:rPr>
        <w:t>Roamer One</w:t>
      </w:r>
      <w:r w:rsidRPr="00976EE8">
        <w:t>”).</w:t>
      </w:r>
    </w:p>
  </w:footnote>
  <w:footnote w:id="11">
    <w:p w14:paraId="53FF37C6" w14:textId="77777777" w:rsidR="00AD4829" w:rsidRPr="00976EE8" w:rsidRDefault="00AD4829" w:rsidP="00294204">
      <w:pPr>
        <w:pStyle w:val="FootnoteText"/>
      </w:pPr>
      <w:r w:rsidRPr="00976EE8">
        <w:rPr>
          <w:rStyle w:val="FootnoteReference"/>
        </w:rPr>
        <w:footnoteRef/>
      </w:r>
      <w:r w:rsidRPr="00976EE8">
        <w:t xml:space="preserve"> A review of CDBS filing activity establishes that during the last nine hours of the extended window, the longest gap between successful filings was less than 15 minutes.</w:t>
      </w:r>
    </w:p>
  </w:footnote>
  <w:footnote w:id="12">
    <w:p w14:paraId="010B9886" w14:textId="77777777" w:rsidR="00AD4829" w:rsidRPr="005B724E" w:rsidRDefault="00AD4829">
      <w:pPr>
        <w:pStyle w:val="FootnoteText"/>
        <w:rPr>
          <w:i/>
        </w:rPr>
      </w:pPr>
      <w:r>
        <w:rPr>
          <w:rStyle w:val="FootnoteReference"/>
        </w:rPr>
        <w:footnoteRef/>
      </w:r>
      <w:r>
        <w:t xml:space="preserve"> </w:t>
      </w:r>
      <w:r w:rsidRPr="005B724E">
        <w:rPr>
          <w:i/>
        </w:rPr>
        <w:t>See Window Extension PN.</w:t>
      </w:r>
    </w:p>
  </w:footnote>
  <w:footnote w:id="13">
    <w:p w14:paraId="34E70E3E" w14:textId="4FEF7DDF" w:rsidR="00AD4829" w:rsidRPr="00F20FA4" w:rsidRDefault="00AD4829" w:rsidP="00F20FA4">
      <w:pPr>
        <w:pStyle w:val="FootnoteText"/>
        <w:rPr>
          <w:snapToGrid w:val="0"/>
        </w:rPr>
      </w:pPr>
      <w:r>
        <w:rPr>
          <w:rStyle w:val="FootnoteReference"/>
        </w:rPr>
        <w:footnoteRef/>
      </w:r>
      <w:r>
        <w:t xml:space="preserve"> </w:t>
      </w:r>
      <w:r w:rsidRPr="00F20FA4">
        <w:rPr>
          <w:i/>
        </w:rPr>
        <w:t>Waiver</w:t>
      </w:r>
      <w:r w:rsidRPr="00F20FA4">
        <w:rPr>
          <w:i/>
          <w:snapToGrid w:val="0"/>
        </w:rPr>
        <w:t xml:space="preserve"> Request</w:t>
      </w:r>
      <w:r w:rsidRPr="002F44EC">
        <w:t xml:space="preserve"> </w:t>
      </w:r>
      <w:r w:rsidRPr="00F20FA4">
        <w:rPr>
          <w:snapToGrid w:val="0"/>
        </w:rPr>
        <w:t>at 3 (“</w:t>
      </w:r>
      <w:r w:rsidRPr="002F44EC">
        <w:t xml:space="preserve">The undersigned </w:t>
      </w:r>
      <w:r>
        <w:t xml:space="preserve">[TJN’s counsel] </w:t>
      </w:r>
      <w:r w:rsidRPr="002F44EC">
        <w:t>spent most of Sunday [October 21</w:t>
      </w:r>
      <w:r w:rsidRPr="00F20FA4">
        <w:t>st</w:t>
      </w:r>
      <w:r>
        <w:t>]</w:t>
      </w:r>
      <w:r w:rsidRPr="002F44EC">
        <w:t xml:space="preserve"> and Monday [October 22</w:t>
      </w:r>
      <w:r w:rsidRPr="00F20FA4">
        <w:t>nd</w:t>
      </w:r>
      <w:r w:rsidRPr="002F44EC">
        <w:t xml:space="preserve">] attempting to submit applications as quickly as possible. </w:t>
      </w:r>
      <w:r>
        <w:t xml:space="preserve"> </w:t>
      </w:r>
      <w:r w:rsidRPr="002F44EC">
        <w:t>However, the system was substantially slowed down through those hours, precluding the submission of as many applications as could have been filed and as were substantially complete and ready to file.</w:t>
      </w:r>
      <w:r w:rsidRPr="00F20FA4">
        <w:rPr>
          <w:snapToGrid w:val="0"/>
        </w:rPr>
        <w:t>”).</w:t>
      </w:r>
    </w:p>
  </w:footnote>
  <w:footnote w:id="14">
    <w:p w14:paraId="1F1A37E5" w14:textId="13BB2932" w:rsidR="00AD4829" w:rsidRDefault="00AD4829">
      <w:pPr>
        <w:pStyle w:val="FootnoteText"/>
      </w:pPr>
      <w:r>
        <w:rPr>
          <w:rStyle w:val="FootnoteReference"/>
        </w:rPr>
        <w:footnoteRef/>
      </w:r>
      <w:r>
        <w:t xml:space="preserve"> 17 FCC Rcd at </w:t>
      </w:r>
      <w:r w:rsidR="00BC3E31" w:rsidRPr="008F22CE">
        <w:t>3291</w:t>
      </w:r>
      <w:r w:rsidR="008F22CE">
        <w:t>.</w:t>
      </w:r>
      <w:r>
        <w:t xml:space="preserve"> </w:t>
      </w:r>
    </w:p>
  </w:footnote>
  <w:footnote w:id="15">
    <w:p w14:paraId="4BDF033A" w14:textId="77777777" w:rsidR="00AD4829" w:rsidRPr="00976EE8" w:rsidRDefault="00AD4829">
      <w:pPr>
        <w:pStyle w:val="FootnoteText"/>
      </w:pPr>
      <w:r w:rsidRPr="00976EE8">
        <w:rPr>
          <w:rStyle w:val="FootnoteReference"/>
        </w:rPr>
        <w:footnoteRef/>
      </w:r>
      <w:r w:rsidRPr="00976EE8">
        <w:t xml:space="preserve"> Commission records indicate that although TJN’s counsel filed over thirty applications on October 22</w:t>
      </w:r>
      <w:r>
        <w:t xml:space="preserve"> between 6:09 a.m. and 2:00 p.m.</w:t>
      </w:r>
      <w:r w:rsidRPr="00976EE8">
        <w:t xml:space="preserve">, he did not file </w:t>
      </w:r>
      <w:r w:rsidRPr="00976EE8">
        <w:rPr>
          <w:i/>
        </w:rPr>
        <w:t>any</w:t>
      </w:r>
      <w:r w:rsidRPr="00976EE8">
        <w:t xml:space="preserve"> applications on October 20 </w:t>
      </w:r>
      <w:r>
        <w:t>and only one application on October</w:t>
      </w:r>
      <w:r w:rsidRPr="00976EE8">
        <w:t xml:space="preserve"> 21</w:t>
      </w:r>
      <w:r>
        <w:t>, at 1:24 p.m</w:t>
      </w:r>
      <w:r w:rsidRPr="00976EE8">
        <w:t>.  Counsel thus waited until the last day of the extended filing window</w:t>
      </w:r>
      <w:r>
        <w:t xml:space="preserve"> to submit TJN’s application.  </w:t>
      </w:r>
      <w:r w:rsidRPr="00976EE8">
        <w:t xml:space="preserve">  </w:t>
      </w:r>
      <w:r>
        <w:rPr>
          <w:i/>
        </w:rPr>
        <w:t xml:space="preserve">See </w:t>
      </w:r>
      <w:r w:rsidRPr="00976EE8">
        <w:rPr>
          <w:i/>
        </w:rPr>
        <w:t>NetworkIP, LLC v. FCC</w:t>
      </w:r>
      <w:r w:rsidRPr="00976EE8">
        <w:t>, 548 F.3d 116, 127 (D.C. Cir. 2008) (“</w:t>
      </w:r>
      <w:r w:rsidRPr="00976EE8">
        <w:rPr>
          <w:color w:val="000000"/>
        </w:rPr>
        <w:t>procrastination plus the universal tendency for things to go wrong (Murphy's Law)—at the worst possible moment (Finagle's Corollary)—is not a ‘special circumstance’”)</w:t>
      </w:r>
      <w:r w:rsidRPr="00976EE8">
        <w:t>.</w:t>
      </w:r>
      <w:r>
        <w:t xml:space="preserve">  </w:t>
      </w:r>
    </w:p>
  </w:footnote>
  <w:footnote w:id="16">
    <w:p w14:paraId="458B9EA6" w14:textId="75FB0452" w:rsidR="00AD4829" w:rsidRPr="00976EE8" w:rsidRDefault="00AD4829">
      <w:pPr>
        <w:pStyle w:val="FootnoteText"/>
      </w:pPr>
      <w:r w:rsidRPr="00976EE8">
        <w:rPr>
          <w:rStyle w:val="FootnoteReference"/>
        </w:rPr>
        <w:footnoteRef/>
      </w:r>
      <w:r w:rsidRPr="00976EE8">
        <w:t xml:space="preserve"> </w:t>
      </w:r>
      <w:r w:rsidRPr="00976EE8">
        <w:rPr>
          <w:i/>
        </w:rPr>
        <w:t>Roamer One</w:t>
      </w:r>
      <w:r w:rsidRPr="00976EE8">
        <w:t>, 17 FCC Rcd at 3288 (applicant had been submitting applications for a week).</w:t>
      </w:r>
      <w:r w:rsidRPr="00002BDD">
        <w:t xml:space="preserve"> </w:t>
      </w:r>
      <w:r>
        <w:t xml:space="preserve"> TJN claims that “the CDBS system was completely inoperable by the public [from the close of the window] until late on October 24” and the “only complete copy of the application that existed at the time was on the virtual copy on the Commission’s computer,” so it was unable to retrieve and print out a paper copy of the application until the system was again accessible.  AFR at 3.  TJN fails to explain why, after missing the electronic filing deadline, (1) it was unable to print out a blank form, reconstruct the application from the materials that it had used to download it to CDBS, and file it immediately, or (2) failing that, why it waited until Wednesday, October 31 to file, despite having printed out the application from CDBS on the afternoon of October 28.  </w:t>
      </w:r>
      <w:r w:rsidRPr="005B724E">
        <w:rPr>
          <w:i/>
        </w:rPr>
        <w:t xml:space="preserve">See </w:t>
      </w:r>
      <w:r>
        <w:t xml:space="preserve">Waiver Request (Attachment).  In short, TJN’s conduct fell fall short of the reasonable diligence exhibited by the tardy applicant in </w:t>
      </w:r>
      <w:r w:rsidRPr="005B724E">
        <w:rPr>
          <w:i/>
        </w:rPr>
        <w:t>Roamer One</w:t>
      </w:r>
      <w:r>
        <w:t>.</w:t>
      </w:r>
    </w:p>
  </w:footnote>
  <w:footnote w:id="17">
    <w:p w14:paraId="18522EE8" w14:textId="39E1B71A" w:rsidR="00AD4829" w:rsidRDefault="00AD4829">
      <w:pPr>
        <w:pStyle w:val="FootnoteText"/>
      </w:pPr>
      <w:r>
        <w:rPr>
          <w:rStyle w:val="FootnoteReference"/>
        </w:rPr>
        <w:footnoteRef/>
      </w:r>
      <w:r>
        <w:t xml:space="preserve"> We also agree with the Bureau’s rejection of TJN’s contention that the Bureau’s extended 2 p.m. October 22 filing deadline conflicted with the reference to midnight in Section 1.4(f) of the rules. 47 C.F.R.</w:t>
      </w:r>
      <w:r w:rsidRPr="0066115E">
        <w:t xml:space="preserve"> </w:t>
      </w:r>
      <w:r w:rsidRPr="00976EE8">
        <w:t>§</w:t>
      </w:r>
      <w:r>
        <w:t xml:space="preserve"> 1.4(f).  As the Bureau stated, that rule did not preclude it from establishing a deadline before midnight on the extended filing deadline. </w:t>
      </w:r>
      <w:r w:rsidRPr="0066115E">
        <w:rPr>
          <w:i/>
        </w:rPr>
        <w:t>Recons</w:t>
      </w:r>
      <w:r w:rsidRPr="005B724E">
        <w:rPr>
          <w:i/>
        </w:rPr>
        <w:t xml:space="preserve">ideration </w:t>
      </w:r>
      <w:r>
        <w:rPr>
          <w:i/>
        </w:rPr>
        <w:t>D</w:t>
      </w:r>
      <w:r w:rsidRPr="005B724E">
        <w:rPr>
          <w:i/>
        </w:rPr>
        <w:t>ecision</w:t>
      </w:r>
      <w:r>
        <w:t xml:space="preserve"> at 3.  Although TJN renews this argument at page 8 of its AFR, it still fails to provide any supporting authority for its position.  Moreover, as UCB noted in its </w:t>
      </w:r>
      <w:r w:rsidRPr="005B724E">
        <w:rPr>
          <w:i/>
        </w:rPr>
        <w:t>Opposition</w:t>
      </w:r>
      <w:r>
        <w:t>, because TJN made no attempt to file until October 31, it would not have timely filed even if the deadline on October 22 had been midnight, as T</w:t>
      </w:r>
      <w:r w:rsidR="00354A01">
        <w:t>J</w:t>
      </w:r>
      <w:r>
        <w:t xml:space="preserve">N urges.  </w:t>
      </w:r>
      <w:r w:rsidRPr="005B724E">
        <w:rPr>
          <w:i/>
        </w:rPr>
        <w:t xml:space="preserve">Opposition </w:t>
      </w:r>
      <w:r>
        <w:t xml:space="preserve">at 6.  </w:t>
      </w:r>
    </w:p>
  </w:footnote>
  <w:footnote w:id="18">
    <w:p w14:paraId="23DE43A3" w14:textId="77777777" w:rsidR="00AD4829" w:rsidRPr="00976EE8" w:rsidRDefault="00AD4829" w:rsidP="00294204">
      <w:pPr>
        <w:pStyle w:val="FootnoteText"/>
      </w:pPr>
      <w:r w:rsidRPr="00976EE8">
        <w:rPr>
          <w:rStyle w:val="FootnoteReference"/>
        </w:rPr>
        <w:footnoteRef/>
      </w:r>
      <w:r w:rsidRPr="00976EE8">
        <w:t xml:space="preserve"> 47 U.S.C. § 155(c)(5).</w:t>
      </w:r>
    </w:p>
  </w:footnote>
  <w:footnote w:id="19">
    <w:p w14:paraId="20D59763" w14:textId="77777777" w:rsidR="00AD4829" w:rsidRPr="00976EE8" w:rsidRDefault="00AD4829" w:rsidP="00294204">
      <w:pPr>
        <w:pStyle w:val="FootnoteText"/>
      </w:pPr>
      <w:r w:rsidRPr="00976EE8">
        <w:rPr>
          <w:rStyle w:val="FootnoteReference"/>
        </w:rPr>
        <w:footnoteRef/>
      </w:r>
      <w:r w:rsidRPr="00976EE8">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A101" w14:textId="77777777" w:rsidR="001F4F98" w:rsidRDefault="001F4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DB5A" w14:textId="71499A5C" w:rsidR="00AD4829" w:rsidRDefault="00AD4829" w:rsidP="00810B6F">
    <w:pPr>
      <w:pStyle w:val="Header"/>
      <w:rPr>
        <w:b w:val="0"/>
      </w:rPr>
    </w:pPr>
    <w:r>
      <w:tab/>
      <w:t>Federal Communications Commission</w:t>
    </w:r>
    <w:r>
      <w:tab/>
    </w:r>
    <w:r w:rsidR="00AD26C2">
      <w:t>FCC 14-87</w:t>
    </w:r>
  </w:p>
  <w:p w14:paraId="221CDE7E" w14:textId="77777777" w:rsidR="00AD4829" w:rsidRDefault="00AD482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D2CAB10" wp14:editId="15AB7CB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8905699" w14:textId="77777777" w:rsidR="00AD4829" w:rsidRDefault="00AD482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1174A" w14:textId="61F66442" w:rsidR="00AD26C2" w:rsidRPr="00AD26C2" w:rsidRDefault="00AD4829" w:rsidP="00810B6F">
    <w:pPr>
      <w:pStyle w:val="Header"/>
      <w:rPr>
        <w:spacing w:val="-2"/>
      </w:rPr>
    </w:pPr>
    <w:r>
      <w:rPr>
        <w:noProof/>
        <w:snapToGrid/>
      </w:rPr>
      <mc:AlternateContent>
        <mc:Choice Requires="wps">
          <w:drawing>
            <wp:anchor distT="0" distB="0" distL="114300" distR="114300" simplePos="0" relativeHeight="251658240" behindDoc="1" locked="0" layoutInCell="0" allowOverlap="1" wp14:anchorId="6EDBAA7A" wp14:editId="7C28072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AD26C2">
      <w:rPr>
        <w:spacing w:val="-2"/>
      </w:rPr>
      <w:t>FCC 14-87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2BDD"/>
    <w:rsid w:val="00020A77"/>
    <w:rsid w:val="00036039"/>
    <w:rsid w:val="00037F90"/>
    <w:rsid w:val="00041DD6"/>
    <w:rsid w:val="000633EE"/>
    <w:rsid w:val="00075BB8"/>
    <w:rsid w:val="000875BF"/>
    <w:rsid w:val="00096D8C"/>
    <w:rsid w:val="000B6672"/>
    <w:rsid w:val="000C0B65"/>
    <w:rsid w:val="000C7B27"/>
    <w:rsid w:val="000D2107"/>
    <w:rsid w:val="000E05FE"/>
    <w:rsid w:val="000E0A7C"/>
    <w:rsid w:val="000E3D42"/>
    <w:rsid w:val="000F3F64"/>
    <w:rsid w:val="0010673F"/>
    <w:rsid w:val="00116B3C"/>
    <w:rsid w:val="00120519"/>
    <w:rsid w:val="00122925"/>
    <w:rsid w:val="00122BD5"/>
    <w:rsid w:val="00126D3C"/>
    <w:rsid w:val="00133F79"/>
    <w:rsid w:val="00136895"/>
    <w:rsid w:val="00137A75"/>
    <w:rsid w:val="0015742E"/>
    <w:rsid w:val="00174A96"/>
    <w:rsid w:val="001856CD"/>
    <w:rsid w:val="001949F2"/>
    <w:rsid w:val="00194A66"/>
    <w:rsid w:val="001A156C"/>
    <w:rsid w:val="001A3DD3"/>
    <w:rsid w:val="001B4146"/>
    <w:rsid w:val="001B6FB8"/>
    <w:rsid w:val="001C0A21"/>
    <w:rsid w:val="001C4405"/>
    <w:rsid w:val="001C6E47"/>
    <w:rsid w:val="001D6BCF"/>
    <w:rsid w:val="001D7234"/>
    <w:rsid w:val="001E01CA"/>
    <w:rsid w:val="001F4889"/>
    <w:rsid w:val="001F4F98"/>
    <w:rsid w:val="00204EB2"/>
    <w:rsid w:val="0020581F"/>
    <w:rsid w:val="00240837"/>
    <w:rsid w:val="00252603"/>
    <w:rsid w:val="002534D7"/>
    <w:rsid w:val="00255FFF"/>
    <w:rsid w:val="0027381C"/>
    <w:rsid w:val="0027548F"/>
    <w:rsid w:val="00275CF5"/>
    <w:rsid w:val="0028301F"/>
    <w:rsid w:val="00285017"/>
    <w:rsid w:val="00286B96"/>
    <w:rsid w:val="002923C9"/>
    <w:rsid w:val="00294204"/>
    <w:rsid w:val="00296A04"/>
    <w:rsid w:val="002A09FF"/>
    <w:rsid w:val="002A2633"/>
    <w:rsid w:val="002A2D2E"/>
    <w:rsid w:val="002B2C5F"/>
    <w:rsid w:val="002B7FC6"/>
    <w:rsid w:val="002C00E8"/>
    <w:rsid w:val="002C360E"/>
    <w:rsid w:val="002F44EC"/>
    <w:rsid w:val="0031390A"/>
    <w:rsid w:val="003331A6"/>
    <w:rsid w:val="00343749"/>
    <w:rsid w:val="00345093"/>
    <w:rsid w:val="00354A01"/>
    <w:rsid w:val="00360054"/>
    <w:rsid w:val="003660ED"/>
    <w:rsid w:val="003833C1"/>
    <w:rsid w:val="00387346"/>
    <w:rsid w:val="00392367"/>
    <w:rsid w:val="003A6946"/>
    <w:rsid w:val="003B0550"/>
    <w:rsid w:val="003B3213"/>
    <w:rsid w:val="003B694F"/>
    <w:rsid w:val="003C385B"/>
    <w:rsid w:val="003D2024"/>
    <w:rsid w:val="003E260E"/>
    <w:rsid w:val="003F080D"/>
    <w:rsid w:val="003F171C"/>
    <w:rsid w:val="003F4D1D"/>
    <w:rsid w:val="00402552"/>
    <w:rsid w:val="00412FC5"/>
    <w:rsid w:val="00414505"/>
    <w:rsid w:val="00422276"/>
    <w:rsid w:val="004242F1"/>
    <w:rsid w:val="00435A0C"/>
    <w:rsid w:val="00445A00"/>
    <w:rsid w:val="004513AB"/>
    <w:rsid w:val="00451B0F"/>
    <w:rsid w:val="00452336"/>
    <w:rsid w:val="00462455"/>
    <w:rsid w:val="0046388D"/>
    <w:rsid w:val="004841D6"/>
    <w:rsid w:val="0049659A"/>
    <w:rsid w:val="004B1BFC"/>
    <w:rsid w:val="004C2EE3"/>
    <w:rsid w:val="004C7125"/>
    <w:rsid w:val="004C7B99"/>
    <w:rsid w:val="004D03FE"/>
    <w:rsid w:val="004E4A22"/>
    <w:rsid w:val="004F276C"/>
    <w:rsid w:val="00511968"/>
    <w:rsid w:val="00523ED5"/>
    <w:rsid w:val="005315B3"/>
    <w:rsid w:val="00537ECA"/>
    <w:rsid w:val="00545BE3"/>
    <w:rsid w:val="0055087F"/>
    <w:rsid w:val="00550CDF"/>
    <w:rsid w:val="0055614C"/>
    <w:rsid w:val="00567A12"/>
    <w:rsid w:val="00572F3E"/>
    <w:rsid w:val="005805B8"/>
    <w:rsid w:val="005916A0"/>
    <w:rsid w:val="005A18AC"/>
    <w:rsid w:val="005A20C2"/>
    <w:rsid w:val="005A7CC3"/>
    <w:rsid w:val="005B724E"/>
    <w:rsid w:val="005E14C2"/>
    <w:rsid w:val="005E4A6F"/>
    <w:rsid w:val="005E6396"/>
    <w:rsid w:val="005F77C7"/>
    <w:rsid w:val="00607304"/>
    <w:rsid w:val="00607BA5"/>
    <w:rsid w:val="0061180A"/>
    <w:rsid w:val="00612E9A"/>
    <w:rsid w:val="00620F74"/>
    <w:rsid w:val="00626EB6"/>
    <w:rsid w:val="00640784"/>
    <w:rsid w:val="00653650"/>
    <w:rsid w:val="00655D02"/>
    <w:rsid w:val="00655D03"/>
    <w:rsid w:val="0066115E"/>
    <w:rsid w:val="0067193A"/>
    <w:rsid w:val="00683388"/>
    <w:rsid w:val="00683F84"/>
    <w:rsid w:val="0068472F"/>
    <w:rsid w:val="006950A4"/>
    <w:rsid w:val="006A6A81"/>
    <w:rsid w:val="006B126A"/>
    <w:rsid w:val="006B2040"/>
    <w:rsid w:val="006C38CF"/>
    <w:rsid w:val="006C5460"/>
    <w:rsid w:val="006C5AAB"/>
    <w:rsid w:val="006D10A3"/>
    <w:rsid w:val="006E32A8"/>
    <w:rsid w:val="006E4F37"/>
    <w:rsid w:val="006F7393"/>
    <w:rsid w:val="0070224F"/>
    <w:rsid w:val="007029B4"/>
    <w:rsid w:val="007115F7"/>
    <w:rsid w:val="007147B5"/>
    <w:rsid w:val="00723292"/>
    <w:rsid w:val="00726BE0"/>
    <w:rsid w:val="00734E43"/>
    <w:rsid w:val="00735856"/>
    <w:rsid w:val="00741592"/>
    <w:rsid w:val="00765A21"/>
    <w:rsid w:val="007807BA"/>
    <w:rsid w:val="00785689"/>
    <w:rsid w:val="00785CD1"/>
    <w:rsid w:val="0079754B"/>
    <w:rsid w:val="007A1DB0"/>
    <w:rsid w:val="007A1E6D"/>
    <w:rsid w:val="007A210B"/>
    <w:rsid w:val="007B0EB2"/>
    <w:rsid w:val="007B7A68"/>
    <w:rsid w:val="007C777F"/>
    <w:rsid w:val="007C7C84"/>
    <w:rsid w:val="007D41D1"/>
    <w:rsid w:val="007D433B"/>
    <w:rsid w:val="007F4B30"/>
    <w:rsid w:val="00802F22"/>
    <w:rsid w:val="00810B6F"/>
    <w:rsid w:val="00815531"/>
    <w:rsid w:val="00821BE9"/>
    <w:rsid w:val="00822CE0"/>
    <w:rsid w:val="00830F22"/>
    <w:rsid w:val="00837CEA"/>
    <w:rsid w:val="00841AB1"/>
    <w:rsid w:val="0084279E"/>
    <w:rsid w:val="0084529A"/>
    <w:rsid w:val="00872347"/>
    <w:rsid w:val="008A27C6"/>
    <w:rsid w:val="008C68F1"/>
    <w:rsid w:val="008E00BE"/>
    <w:rsid w:val="008F22CE"/>
    <w:rsid w:val="008F3C4A"/>
    <w:rsid w:val="008F3DB3"/>
    <w:rsid w:val="008F529E"/>
    <w:rsid w:val="0090562F"/>
    <w:rsid w:val="009106B2"/>
    <w:rsid w:val="00911968"/>
    <w:rsid w:val="00921803"/>
    <w:rsid w:val="00926503"/>
    <w:rsid w:val="00927443"/>
    <w:rsid w:val="00943DD8"/>
    <w:rsid w:val="00946EE4"/>
    <w:rsid w:val="00946FB4"/>
    <w:rsid w:val="009726D8"/>
    <w:rsid w:val="00976EE8"/>
    <w:rsid w:val="009A4D83"/>
    <w:rsid w:val="009C00CA"/>
    <w:rsid w:val="009D1604"/>
    <w:rsid w:val="009E4DF0"/>
    <w:rsid w:val="009E52DC"/>
    <w:rsid w:val="009E71BE"/>
    <w:rsid w:val="009F76DB"/>
    <w:rsid w:val="00A10779"/>
    <w:rsid w:val="00A116CC"/>
    <w:rsid w:val="00A13CA2"/>
    <w:rsid w:val="00A32C3B"/>
    <w:rsid w:val="00A36278"/>
    <w:rsid w:val="00A45F4F"/>
    <w:rsid w:val="00A600A9"/>
    <w:rsid w:val="00A6664F"/>
    <w:rsid w:val="00A6728A"/>
    <w:rsid w:val="00A71B74"/>
    <w:rsid w:val="00A95AC4"/>
    <w:rsid w:val="00AA55B7"/>
    <w:rsid w:val="00AA5B9E"/>
    <w:rsid w:val="00AB2407"/>
    <w:rsid w:val="00AB53DF"/>
    <w:rsid w:val="00AD26C2"/>
    <w:rsid w:val="00AD4829"/>
    <w:rsid w:val="00AE64C3"/>
    <w:rsid w:val="00AF7BA5"/>
    <w:rsid w:val="00B04B79"/>
    <w:rsid w:val="00B07E5C"/>
    <w:rsid w:val="00B12573"/>
    <w:rsid w:val="00B26453"/>
    <w:rsid w:val="00B4659C"/>
    <w:rsid w:val="00B51796"/>
    <w:rsid w:val="00B54720"/>
    <w:rsid w:val="00B61F92"/>
    <w:rsid w:val="00B7728F"/>
    <w:rsid w:val="00B811F7"/>
    <w:rsid w:val="00B96AD6"/>
    <w:rsid w:val="00B97E6C"/>
    <w:rsid w:val="00BA5DC6"/>
    <w:rsid w:val="00BA6196"/>
    <w:rsid w:val="00BB01DB"/>
    <w:rsid w:val="00BC3E31"/>
    <w:rsid w:val="00BC6D8C"/>
    <w:rsid w:val="00BF700E"/>
    <w:rsid w:val="00C246BE"/>
    <w:rsid w:val="00C320E1"/>
    <w:rsid w:val="00C34006"/>
    <w:rsid w:val="00C426B1"/>
    <w:rsid w:val="00C4630B"/>
    <w:rsid w:val="00C57194"/>
    <w:rsid w:val="00C66160"/>
    <w:rsid w:val="00C721AC"/>
    <w:rsid w:val="00C8530A"/>
    <w:rsid w:val="00C90D6A"/>
    <w:rsid w:val="00CA247E"/>
    <w:rsid w:val="00CA5513"/>
    <w:rsid w:val="00CC72B6"/>
    <w:rsid w:val="00CC77B3"/>
    <w:rsid w:val="00CE467E"/>
    <w:rsid w:val="00CE4D6E"/>
    <w:rsid w:val="00CF0D91"/>
    <w:rsid w:val="00D01A98"/>
    <w:rsid w:val="00D0218D"/>
    <w:rsid w:val="00D14616"/>
    <w:rsid w:val="00D243ED"/>
    <w:rsid w:val="00D25FB5"/>
    <w:rsid w:val="00D35DED"/>
    <w:rsid w:val="00D44223"/>
    <w:rsid w:val="00D45600"/>
    <w:rsid w:val="00D52B8C"/>
    <w:rsid w:val="00D56E80"/>
    <w:rsid w:val="00D6303A"/>
    <w:rsid w:val="00D80517"/>
    <w:rsid w:val="00D95D31"/>
    <w:rsid w:val="00DA2529"/>
    <w:rsid w:val="00DB130A"/>
    <w:rsid w:val="00DB2EBB"/>
    <w:rsid w:val="00DC0E91"/>
    <w:rsid w:val="00DC10A1"/>
    <w:rsid w:val="00DC655F"/>
    <w:rsid w:val="00DD0B59"/>
    <w:rsid w:val="00DD7EBD"/>
    <w:rsid w:val="00DE25E9"/>
    <w:rsid w:val="00DF62B6"/>
    <w:rsid w:val="00E03701"/>
    <w:rsid w:val="00E07225"/>
    <w:rsid w:val="00E17E46"/>
    <w:rsid w:val="00E27686"/>
    <w:rsid w:val="00E30B13"/>
    <w:rsid w:val="00E40C6F"/>
    <w:rsid w:val="00E450B2"/>
    <w:rsid w:val="00E51741"/>
    <w:rsid w:val="00E5409F"/>
    <w:rsid w:val="00E574A3"/>
    <w:rsid w:val="00E66A17"/>
    <w:rsid w:val="00E67B8C"/>
    <w:rsid w:val="00E80AA5"/>
    <w:rsid w:val="00E93853"/>
    <w:rsid w:val="00EA3FD7"/>
    <w:rsid w:val="00EB5E29"/>
    <w:rsid w:val="00EE0482"/>
    <w:rsid w:val="00EE6488"/>
    <w:rsid w:val="00EE6ABE"/>
    <w:rsid w:val="00EF1FC0"/>
    <w:rsid w:val="00EF285E"/>
    <w:rsid w:val="00F021FA"/>
    <w:rsid w:val="00F06ECD"/>
    <w:rsid w:val="00F10033"/>
    <w:rsid w:val="00F20DDD"/>
    <w:rsid w:val="00F20FA4"/>
    <w:rsid w:val="00F270BE"/>
    <w:rsid w:val="00F33140"/>
    <w:rsid w:val="00F62E97"/>
    <w:rsid w:val="00F64209"/>
    <w:rsid w:val="00F70BAE"/>
    <w:rsid w:val="00F773AC"/>
    <w:rsid w:val="00F77F4F"/>
    <w:rsid w:val="00F84455"/>
    <w:rsid w:val="00F93BF5"/>
    <w:rsid w:val="00FA04E1"/>
    <w:rsid w:val="00FC5734"/>
    <w:rsid w:val="00FF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5D6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30B"/>
    <w:pPr>
      <w:widowControl w:val="0"/>
    </w:pPr>
    <w:rPr>
      <w:snapToGrid w:val="0"/>
      <w:kern w:val="28"/>
      <w:sz w:val="22"/>
    </w:rPr>
  </w:style>
  <w:style w:type="paragraph" w:styleId="Heading1">
    <w:name w:val="heading 1"/>
    <w:basedOn w:val="Normal"/>
    <w:next w:val="ParaNum"/>
    <w:qFormat/>
    <w:rsid w:val="00C463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4630B"/>
    <w:pPr>
      <w:keepNext/>
      <w:numPr>
        <w:ilvl w:val="1"/>
        <w:numId w:val="3"/>
      </w:numPr>
      <w:spacing w:after="120"/>
      <w:outlineLvl w:val="1"/>
    </w:pPr>
    <w:rPr>
      <w:b/>
    </w:rPr>
  </w:style>
  <w:style w:type="paragraph" w:styleId="Heading3">
    <w:name w:val="heading 3"/>
    <w:basedOn w:val="Normal"/>
    <w:next w:val="ParaNum"/>
    <w:qFormat/>
    <w:rsid w:val="00C4630B"/>
    <w:pPr>
      <w:keepNext/>
      <w:numPr>
        <w:ilvl w:val="2"/>
        <w:numId w:val="3"/>
      </w:numPr>
      <w:tabs>
        <w:tab w:val="left" w:pos="2160"/>
      </w:tabs>
      <w:spacing w:after="120"/>
      <w:outlineLvl w:val="2"/>
    </w:pPr>
    <w:rPr>
      <w:b/>
    </w:rPr>
  </w:style>
  <w:style w:type="paragraph" w:styleId="Heading4">
    <w:name w:val="heading 4"/>
    <w:basedOn w:val="Normal"/>
    <w:next w:val="ParaNum"/>
    <w:qFormat/>
    <w:rsid w:val="00C4630B"/>
    <w:pPr>
      <w:keepNext/>
      <w:numPr>
        <w:ilvl w:val="3"/>
        <w:numId w:val="3"/>
      </w:numPr>
      <w:tabs>
        <w:tab w:val="left" w:pos="2880"/>
      </w:tabs>
      <w:spacing w:after="120"/>
      <w:outlineLvl w:val="3"/>
    </w:pPr>
    <w:rPr>
      <w:b/>
    </w:rPr>
  </w:style>
  <w:style w:type="paragraph" w:styleId="Heading5">
    <w:name w:val="heading 5"/>
    <w:basedOn w:val="Normal"/>
    <w:next w:val="ParaNum"/>
    <w:qFormat/>
    <w:rsid w:val="00C4630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4630B"/>
    <w:pPr>
      <w:numPr>
        <w:ilvl w:val="5"/>
        <w:numId w:val="3"/>
      </w:numPr>
      <w:tabs>
        <w:tab w:val="left" w:pos="4320"/>
      </w:tabs>
      <w:spacing w:after="120"/>
      <w:outlineLvl w:val="5"/>
    </w:pPr>
    <w:rPr>
      <w:b/>
    </w:rPr>
  </w:style>
  <w:style w:type="paragraph" w:styleId="Heading7">
    <w:name w:val="heading 7"/>
    <w:basedOn w:val="Normal"/>
    <w:next w:val="ParaNum"/>
    <w:qFormat/>
    <w:rsid w:val="00C463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4630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463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63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630B"/>
  </w:style>
  <w:style w:type="paragraph" w:customStyle="1" w:styleId="ParaNum">
    <w:name w:val="ParaNum"/>
    <w:basedOn w:val="Normal"/>
    <w:link w:val="ParaNumChar"/>
    <w:rsid w:val="00C4630B"/>
    <w:pPr>
      <w:numPr>
        <w:numId w:val="2"/>
      </w:numPr>
      <w:tabs>
        <w:tab w:val="clear" w:pos="1080"/>
        <w:tab w:val="num" w:pos="1440"/>
      </w:tabs>
      <w:spacing w:after="120"/>
    </w:pPr>
  </w:style>
  <w:style w:type="paragraph" w:styleId="EndnoteText">
    <w:name w:val="endnote text"/>
    <w:basedOn w:val="Normal"/>
    <w:semiHidden/>
    <w:rsid w:val="00C4630B"/>
    <w:rPr>
      <w:sz w:val="20"/>
    </w:rPr>
  </w:style>
  <w:style w:type="character" w:styleId="EndnoteReference">
    <w:name w:val="endnote reference"/>
    <w:semiHidden/>
    <w:rsid w:val="00C4630B"/>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C4630B"/>
    <w:pPr>
      <w:spacing w:after="120"/>
    </w:pPr>
  </w:style>
  <w:style w:type="character" w:styleId="FootnoteReference">
    <w:name w:val="footnote reference"/>
    <w:aliases w:val="Style 12,(NECG) Footnote Reference,Appel note de bas de p,Style 124,o,fr,Style 3,Style 13"/>
    <w:rsid w:val="00C4630B"/>
    <w:rPr>
      <w:rFonts w:ascii="Times New Roman" w:hAnsi="Times New Roman"/>
      <w:dstrike w:val="0"/>
      <w:color w:val="auto"/>
      <w:sz w:val="20"/>
      <w:vertAlign w:val="superscript"/>
    </w:rPr>
  </w:style>
  <w:style w:type="paragraph" w:styleId="TOC1">
    <w:name w:val="toc 1"/>
    <w:basedOn w:val="Normal"/>
    <w:next w:val="Normal"/>
    <w:semiHidden/>
    <w:rsid w:val="00C4630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630B"/>
    <w:pPr>
      <w:tabs>
        <w:tab w:val="left" w:pos="720"/>
        <w:tab w:val="right" w:leader="dot" w:pos="9360"/>
      </w:tabs>
      <w:suppressAutoHyphens/>
      <w:ind w:left="720" w:right="720" w:hanging="360"/>
    </w:pPr>
    <w:rPr>
      <w:noProof/>
    </w:rPr>
  </w:style>
  <w:style w:type="paragraph" w:styleId="TOC3">
    <w:name w:val="toc 3"/>
    <w:basedOn w:val="Normal"/>
    <w:next w:val="Normal"/>
    <w:semiHidden/>
    <w:rsid w:val="00C463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63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63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63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63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63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63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630B"/>
    <w:pPr>
      <w:tabs>
        <w:tab w:val="right" w:pos="9360"/>
      </w:tabs>
      <w:suppressAutoHyphens/>
    </w:pPr>
  </w:style>
  <w:style w:type="character" w:customStyle="1" w:styleId="EquationCaption">
    <w:name w:val="_Equation Caption"/>
    <w:rsid w:val="00C4630B"/>
  </w:style>
  <w:style w:type="paragraph" w:styleId="Header">
    <w:name w:val="header"/>
    <w:basedOn w:val="Normal"/>
    <w:autoRedefine/>
    <w:rsid w:val="00C4630B"/>
    <w:pPr>
      <w:tabs>
        <w:tab w:val="center" w:pos="4680"/>
        <w:tab w:val="right" w:pos="9360"/>
      </w:tabs>
    </w:pPr>
    <w:rPr>
      <w:b/>
    </w:rPr>
  </w:style>
  <w:style w:type="paragraph" w:styleId="Footer">
    <w:name w:val="footer"/>
    <w:basedOn w:val="Normal"/>
    <w:rsid w:val="00C4630B"/>
    <w:pPr>
      <w:tabs>
        <w:tab w:val="center" w:pos="4320"/>
        <w:tab w:val="right" w:pos="8640"/>
      </w:tabs>
    </w:pPr>
  </w:style>
  <w:style w:type="character" w:styleId="PageNumber">
    <w:name w:val="page number"/>
    <w:basedOn w:val="DefaultParagraphFont"/>
    <w:rsid w:val="00C4630B"/>
  </w:style>
  <w:style w:type="paragraph" w:styleId="BlockText">
    <w:name w:val="Block Text"/>
    <w:basedOn w:val="Normal"/>
    <w:rsid w:val="00C4630B"/>
    <w:pPr>
      <w:spacing w:after="240"/>
      <w:ind w:left="1440" w:right="1440"/>
    </w:pPr>
  </w:style>
  <w:style w:type="paragraph" w:customStyle="1" w:styleId="Paratitle">
    <w:name w:val="Para title"/>
    <w:basedOn w:val="Normal"/>
    <w:rsid w:val="00C4630B"/>
    <w:pPr>
      <w:tabs>
        <w:tab w:val="center" w:pos="9270"/>
      </w:tabs>
      <w:spacing w:after="240"/>
    </w:pPr>
    <w:rPr>
      <w:spacing w:val="-2"/>
    </w:rPr>
  </w:style>
  <w:style w:type="paragraph" w:customStyle="1" w:styleId="Bullet">
    <w:name w:val="Bullet"/>
    <w:basedOn w:val="Normal"/>
    <w:rsid w:val="00C4630B"/>
    <w:pPr>
      <w:tabs>
        <w:tab w:val="left" w:pos="2160"/>
      </w:tabs>
      <w:spacing w:after="220"/>
      <w:ind w:left="2160" w:hanging="720"/>
    </w:pPr>
  </w:style>
  <w:style w:type="paragraph" w:customStyle="1" w:styleId="TableFormat">
    <w:name w:val="TableFormat"/>
    <w:basedOn w:val="Bullet"/>
    <w:rsid w:val="00C4630B"/>
    <w:pPr>
      <w:tabs>
        <w:tab w:val="clear" w:pos="2160"/>
        <w:tab w:val="left" w:pos="5040"/>
      </w:tabs>
      <w:ind w:left="5040" w:hanging="3600"/>
    </w:pPr>
  </w:style>
  <w:style w:type="paragraph" w:customStyle="1" w:styleId="TOCTitle">
    <w:name w:val="TOC Title"/>
    <w:basedOn w:val="Normal"/>
    <w:rsid w:val="00C463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630B"/>
    <w:pPr>
      <w:jc w:val="center"/>
    </w:pPr>
    <w:rPr>
      <w:rFonts w:ascii="Times New Roman Bold" w:hAnsi="Times New Roman Bold"/>
      <w:b/>
      <w:bCs/>
      <w:caps/>
      <w:szCs w:val="22"/>
    </w:rPr>
  </w:style>
  <w:style w:type="character" w:styleId="Hyperlink">
    <w:name w:val="Hyperlink"/>
    <w:rsid w:val="00C4630B"/>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styleId="Emphasis">
    <w:name w:val="Emphasis"/>
    <w:basedOn w:val="DefaultParagraphFont"/>
    <w:uiPriority w:val="20"/>
    <w:qFormat/>
    <w:rsid w:val="00CE4D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30B"/>
    <w:pPr>
      <w:widowControl w:val="0"/>
    </w:pPr>
    <w:rPr>
      <w:snapToGrid w:val="0"/>
      <w:kern w:val="28"/>
      <w:sz w:val="22"/>
    </w:rPr>
  </w:style>
  <w:style w:type="paragraph" w:styleId="Heading1">
    <w:name w:val="heading 1"/>
    <w:basedOn w:val="Normal"/>
    <w:next w:val="ParaNum"/>
    <w:qFormat/>
    <w:rsid w:val="00C463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4630B"/>
    <w:pPr>
      <w:keepNext/>
      <w:numPr>
        <w:ilvl w:val="1"/>
        <w:numId w:val="3"/>
      </w:numPr>
      <w:spacing w:after="120"/>
      <w:outlineLvl w:val="1"/>
    </w:pPr>
    <w:rPr>
      <w:b/>
    </w:rPr>
  </w:style>
  <w:style w:type="paragraph" w:styleId="Heading3">
    <w:name w:val="heading 3"/>
    <w:basedOn w:val="Normal"/>
    <w:next w:val="ParaNum"/>
    <w:qFormat/>
    <w:rsid w:val="00C4630B"/>
    <w:pPr>
      <w:keepNext/>
      <w:numPr>
        <w:ilvl w:val="2"/>
        <w:numId w:val="3"/>
      </w:numPr>
      <w:tabs>
        <w:tab w:val="left" w:pos="2160"/>
      </w:tabs>
      <w:spacing w:after="120"/>
      <w:outlineLvl w:val="2"/>
    </w:pPr>
    <w:rPr>
      <w:b/>
    </w:rPr>
  </w:style>
  <w:style w:type="paragraph" w:styleId="Heading4">
    <w:name w:val="heading 4"/>
    <w:basedOn w:val="Normal"/>
    <w:next w:val="ParaNum"/>
    <w:qFormat/>
    <w:rsid w:val="00C4630B"/>
    <w:pPr>
      <w:keepNext/>
      <w:numPr>
        <w:ilvl w:val="3"/>
        <w:numId w:val="3"/>
      </w:numPr>
      <w:tabs>
        <w:tab w:val="left" w:pos="2880"/>
      </w:tabs>
      <w:spacing w:after="120"/>
      <w:outlineLvl w:val="3"/>
    </w:pPr>
    <w:rPr>
      <w:b/>
    </w:rPr>
  </w:style>
  <w:style w:type="paragraph" w:styleId="Heading5">
    <w:name w:val="heading 5"/>
    <w:basedOn w:val="Normal"/>
    <w:next w:val="ParaNum"/>
    <w:qFormat/>
    <w:rsid w:val="00C4630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4630B"/>
    <w:pPr>
      <w:numPr>
        <w:ilvl w:val="5"/>
        <w:numId w:val="3"/>
      </w:numPr>
      <w:tabs>
        <w:tab w:val="left" w:pos="4320"/>
      </w:tabs>
      <w:spacing w:after="120"/>
      <w:outlineLvl w:val="5"/>
    </w:pPr>
    <w:rPr>
      <w:b/>
    </w:rPr>
  </w:style>
  <w:style w:type="paragraph" w:styleId="Heading7">
    <w:name w:val="heading 7"/>
    <w:basedOn w:val="Normal"/>
    <w:next w:val="ParaNum"/>
    <w:qFormat/>
    <w:rsid w:val="00C463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4630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463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63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630B"/>
  </w:style>
  <w:style w:type="paragraph" w:customStyle="1" w:styleId="ParaNum">
    <w:name w:val="ParaNum"/>
    <w:basedOn w:val="Normal"/>
    <w:link w:val="ParaNumChar"/>
    <w:rsid w:val="00C4630B"/>
    <w:pPr>
      <w:numPr>
        <w:numId w:val="2"/>
      </w:numPr>
      <w:tabs>
        <w:tab w:val="clear" w:pos="1080"/>
        <w:tab w:val="num" w:pos="1440"/>
      </w:tabs>
      <w:spacing w:after="120"/>
    </w:pPr>
  </w:style>
  <w:style w:type="paragraph" w:styleId="EndnoteText">
    <w:name w:val="endnote text"/>
    <w:basedOn w:val="Normal"/>
    <w:semiHidden/>
    <w:rsid w:val="00C4630B"/>
    <w:rPr>
      <w:sz w:val="20"/>
    </w:rPr>
  </w:style>
  <w:style w:type="character" w:styleId="EndnoteReference">
    <w:name w:val="endnote reference"/>
    <w:semiHidden/>
    <w:rsid w:val="00C4630B"/>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C4630B"/>
    <w:pPr>
      <w:spacing w:after="120"/>
    </w:pPr>
  </w:style>
  <w:style w:type="character" w:styleId="FootnoteReference">
    <w:name w:val="footnote reference"/>
    <w:aliases w:val="Style 12,(NECG) Footnote Reference,Appel note de bas de p,Style 124,o,fr,Style 3,Style 13"/>
    <w:rsid w:val="00C4630B"/>
    <w:rPr>
      <w:rFonts w:ascii="Times New Roman" w:hAnsi="Times New Roman"/>
      <w:dstrike w:val="0"/>
      <w:color w:val="auto"/>
      <w:sz w:val="20"/>
      <w:vertAlign w:val="superscript"/>
    </w:rPr>
  </w:style>
  <w:style w:type="paragraph" w:styleId="TOC1">
    <w:name w:val="toc 1"/>
    <w:basedOn w:val="Normal"/>
    <w:next w:val="Normal"/>
    <w:semiHidden/>
    <w:rsid w:val="00C4630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630B"/>
    <w:pPr>
      <w:tabs>
        <w:tab w:val="left" w:pos="720"/>
        <w:tab w:val="right" w:leader="dot" w:pos="9360"/>
      </w:tabs>
      <w:suppressAutoHyphens/>
      <w:ind w:left="720" w:right="720" w:hanging="360"/>
    </w:pPr>
    <w:rPr>
      <w:noProof/>
    </w:rPr>
  </w:style>
  <w:style w:type="paragraph" w:styleId="TOC3">
    <w:name w:val="toc 3"/>
    <w:basedOn w:val="Normal"/>
    <w:next w:val="Normal"/>
    <w:semiHidden/>
    <w:rsid w:val="00C463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63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63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63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63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63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63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630B"/>
    <w:pPr>
      <w:tabs>
        <w:tab w:val="right" w:pos="9360"/>
      </w:tabs>
      <w:suppressAutoHyphens/>
    </w:pPr>
  </w:style>
  <w:style w:type="character" w:customStyle="1" w:styleId="EquationCaption">
    <w:name w:val="_Equation Caption"/>
    <w:rsid w:val="00C4630B"/>
  </w:style>
  <w:style w:type="paragraph" w:styleId="Header">
    <w:name w:val="header"/>
    <w:basedOn w:val="Normal"/>
    <w:autoRedefine/>
    <w:rsid w:val="00C4630B"/>
    <w:pPr>
      <w:tabs>
        <w:tab w:val="center" w:pos="4680"/>
        <w:tab w:val="right" w:pos="9360"/>
      </w:tabs>
    </w:pPr>
    <w:rPr>
      <w:b/>
    </w:rPr>
  </w:style>
  <w:style w:type="paragraph" w:styleId="Footer">
    <w:name w:val="footer"/>
    <w:basedOn w:val="Normal"/>
    <w:rsid w:val="00C4630B"/>
    <w:pPr>
      <w:tabs>
        <w:tab w:val="center" w:pos="4320"/>
        <w:tab w:val="right" w:pos="8640"/>
      </w:tabs>
    </w:pPr>
  </w:style>
  <w:style w:type="character" w:styleId="PageNumber">
    <w:name w:val="page number"/>
    <w:basedOn w:val="DefaultParagraphFont"/>
    <w:rsid w:val="00C4630B"/>
  </w:style>
  <w:style w:type="paragraph" w:styleId="BlockText">
    <w:name w:val="Block Text"/>
    <w:basedOn w:val="Normal"/>
    <w:rsid w:val="00C4630B"/>
    <w:pPr>
      <w:spacing w:after="240"/>
      <w:ind w:left="1440" w:right="1440"/>
    </w:pPr>
  </w:style>
  <w:style w:type="paragraph" w:customStyle="1" w:styleId="Paratitle">
    <w:name w:val="Para title"/>
    <w:basedOn w:val="Normal"/>
    <w:rsid w:val="00C4630B"/>
    <w:pPr>
      <w:tabs>
        <w:tab w:val="center" w:pos="9270"/>
      </w:tabs>
      <w:spacing w:after="240"/>
    </w:pPr>
    <w:rPr>
      <w:spacing w:val="-2"/>
    </w:rPr>
  </w:style>
  <w:style w:type="paragraph" w:customStyle="1" w:styleId="Bullet">
    <w:name w:val="Bullet"/>
    <w:basedOn w:val="Normal"/>
    <w:rsid w:val="00C4630B"/>
    <w:pPr>
      <w:tabs>
        <w:tab w:val="left" w:pos="2160"/>
      </w:tabs>
      <w:spacing w:after="220"/>
      <w:ind w:left="2160" w:hanging="720"/>
    </w:pPr>
  </w:style>
  <w:style w:type="paragraph" w:customStyle="1" w:styleId="TableFormat">
    <w:name w:val="TableFormat"/>
    <w:basedOn w:val="Bullet"/>
    <w:rsid w:val="00C4630B"/>
    <w:pPr>
      <w:tabs>
        <w:tab w:val="clear" w:pos="2160"/>
        <w:tab w:val="left" w:pos="5040"/>
      </w:tabs>
      <w:ind w:left="5040" w:hanging="3600"/>
    </w:pPr>
  </w:style>
  <w:style w:type="paragraph" w:customStyle="1" w:styleId="TOCTitle">
    <w:name w:val="TOC Title"/>
    <w:basedOn w:val="Normal"/>
    <w:rsid w:val="00C463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630B"/>
    <w:pPr>
      <w:jc w:val="center"/>
    </w:pPr>
    <w:rPr>
      <w:rFonts w:ascii="Times New Roman Bold" w:hAnsi="Times New Roman Bold"/>
      <w:b/>
      <w:bCs/>
      <w:caps/>
      <w:szCs w:val="22"/>
    </w:rPr>
  </w:style>
  <w:style w:type="character" w:styleId="Hyperlink">
    <w:name w:val="Hyperlink"/>
    <w:rsid w:val="00C4630B"/>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styleId="Emphasis">
    <w:name w:val="Emphasis"/>
    <w:basedOn w:val="DefaultParagraphFont"/>
    <w:uiPriority w:val="20"/>
    <w:qFormat/>
    <w:rsid w:val="00CE4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816</Words>
  <Characters>4303</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5198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2014-05-22T12:52:00Z</cp:lastPrinted>
  <dcterms:created xsi:type="dcterms:W3CDTF">2014-06-12T16:55:00Z</dcterms:created>
  <dcterms:modified xsi:type="dcterms:W3CDTF">2014-06-12T16:55:00Z</dcterms:modified>
  <cp:category> </cp:category>
  <cp:contentStatus> </cp:contentStatus>
</cp:coreProperties>
</file>