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A7" w:rsidRPr="00726E19" w:rsidRDefault="00394CA7" w:rsidP="00A1103B">
      <w:pPr>
        <w:jc w:val="center"/>
        <w:rPr>
          <w:b/>
        </w:rPr>
      </w:pPr>
      <w:bookmarkStart w:id="0" w:name="_GoBack"/>
      <w:bookmarkEnd w:id="0"/>
      <w:r w:rsidRPr="00726E19">
        <w:rPr>
          <w:b/>
        </w:rPr>
        <w:t>Before the</w:t>
      </w:r>
    </w:p>
    <w:p w:rsidR="00394CA7" w:rsidRPr="00726E19" w:rsidRDefault="00394CA7" w:rsidP="00A1103B">
      <w:pPr>
        <w:jc w:val="center"/>
        <w:rPr>
          <w:b/>
        </w:rPr>
      </w:pPr>
      <w:r w:rsidRPr="00726E19">
        <w:rPr>
          <w:b/>
        </w:rPr>
        <w:t>Federal Communications Commission</w:t>
      </w:r>
    </w:p>
    <w:p w:rsidR="00394CA7" w:rsidRPr="00726E19" w:rsidRDefault="00E05285" w:rsidP="00A1103B">
      <w:pPr>
        <w:jc w:val="center"/>
        <w:rPr>
          <w:b/>
        </w:rPr>
      </w:pPr>
      <w:r w:rsidRPr="00726E19">
        <w:rPr>
          <w:b/>
        </w:rPr>
        <w:t>Washington, DC</w:t>
      </w:r>
      <w:r w:rsidR="00394CA7" w:rsidRPr="00726E19">
        <w:rPr>
          <w:b/>
        </w:rPr>
        <w:t xml:space="preserve"> 20554</w:t>
      </w:r>
    </w:p>
    <w:p w:rsidR="00394CA7" w:rsidRPr="00A438CD" w:rsidRDefault="00394CA7" w:rsidP="00A1103B"/>
    <w:p w:rsidR="00394CA7" w:rsidRPr="00A438CD" w:rsidRDefault="00394CA7" w:rsidP="00A1103B"/>
    <w:tbl>
      <w:tblPr>
        <w:tblW w:w="9707" w:type="dxa"/>
        <w:tblLayout w:type="fixed"/>
        <w:tblLook w:val="0000" w:firstRow="0" w:lastRow="0" w:firstColumn="0" w:lastColumn="0" w:noHBand="0" w:noVBand="0"/>
      </w:tblPr>
      <w:tblGrid>
        <w:gridCol w:w="4727"/>
        <w:gridCol w:w="724"/>
        <w:gridCol w:w="4256"/>
      </w:tblGrid>
      <w:tr w:rsidR="00394CA7" w:rsidRPr="00A438CD" w:rsidTr="004D4943">
        <w:trPr>
          <w:trHeight w:val="2896"/>
        </w:trPr>
        <w:tc>
          <w:tcPr>
            <w:tcW w:w="4727" w:type="dxa"/>
          </w:tcPr>
          <w:p w:rsidR="00394CA7" w:rsidRPr="00A438CD" w:rsidRDefault="00394CA7" w:rsidP="00A1103B">
            <w:pPr>
              <w:ind w:right="-18"/>
            </w:pPr>
            <w:r w:rsidRPr="00A438CD">
              <w:t xml:space="preserve">In the </w:t>
            </w:r>
            <w:r w:rsidR="004849EA" w:rsidRPr="00A438CD">
              <w:t>M</w:t>
            </w:r>
            <w:r w:rsidRPr="00A438CD">
              <w:t>atter of</w:t>
            </w:r>
          </w:p>
          <w:p w:rsidR="00394CA7" w:rsidRPr="00A438CD" w:rsidRDefault="00394CA7" w:rsidP="00A1103B">
            <w:pPr>
              <w:ind w:right="-18"/>
            </w:pPr>
          </w:p>
          <w:p w:rsidR="00424FD7" w:rsidRDefault="00424FD7" w:rsidP="00424FD7">
            <w:pPr>
              <w:ind w:right="-18"/>
              <w:rPr>
                <w:szCs w:val="22"/>
              </w:rPr>
            </w:pPr>
            <w:r w:rsidRPr="00A438CD">
              <w:rPr>
                <w:szCs w:val="22"/>
              </w:rPr>
              <w:t>Assessment and Collection of Regulatory Fees    for Fiscal Year 201</w:t>
            </w:r>
            <w:r w:rsidR="006D5939" w:rsidRPr="00A438CD">
              <w:rPr>
                <w:szCs w:val="22"/>
              </w:rPr>
              <w:t>4</w:t>
            </w:r>
          </w:p>
          <w:p w:rsidR="008A36BE" w:rsidRDefault="008A36BE" w:rsidP="00424FD7">
            <w:pPr>
              <w:ind w:right="-18"/>
              <w:rPr>
                <w:szCs w:val="22"/>
              </w:rPr>
            </w:pPr>
          </w:p>
          <w:p w:rsidR="008A36BE" w:rsidRPr="00A438CD" w:rsidRDefault="008A36BE" w:rsidP="00424FD7">
            <w:pPr>
              <w:ind w:right="-18"/>
              <w:rPr>
                <w:szCs w:val="22"/>
              </w:rPr>
            </w:pPr>
            <w:r w:rsidRPr="00A438CD">
              <w:rPr>
                <w:szCs w:val="22"/>
              </w:rPr>
              <w:t>Assessment and Collection of Regulatory Fees    for Fiscal Year 201</w:t>
            </w:r>
            <w:r>
              <w:rPr>
                <w:szCs w:val="22"/>
              </w:rPr>
              <w:t>3</w:t>
            </w:r>
          </w:p>
          <w:p w:rsidR="00424FD7" w:rsidRPr="00A438CD" w:rsidRDefault="00424FD7" w:rsidP="00424FD7">
            <w:pPr>
              <w:ind w:right="-18"/>
              <w:rPr>
                <w:szCs w:val="22"/>
              </w:rPr>
            </w:pPr>
          </w:p>
          <w:p w:rsidR="004777BD" w:rsidRPr="00A438CD" w:rsidRDefault="004777BD" w:rsidP="00A1103B">
            <w:pPr>
              <w:tabs>
                <w:tab w:val="center" w:pos="4680"/>
              </w:tabs>
              <w:suppressAutoHyphens/>
              <w:rPr>
                <w:spacing w:val="-2"/>
                <w:szCs w:val="22"/>
              </w:rPr>
            </w:pPr>
            <w:r w:rsidRPr="00A438CD">
              <w:rPr>
                <w:spacing w:val="-2"/>
                <w:szCs w:val="22"/>
              </w:rPr>
              <w:t>Procedures for Assessment and Collection of Regulatory Fees</w:t>
            </w:r>
          </w:p>
          <w:p w:rsidR="004777BD" w:rsidRPr="00A438CD" w:rsidRDefault="004777BD" w:rsidP="00A1103B">
            <w:pPr>
              <w:tabs>
                <w:tab w:val="center" w:pos="4680"/>
              </w:tabs>
              <w:suppressAutoHyphens/>
              <w:rPr>
                <w:spacing w:val="-2"/>
                <w:szCs w:val="22"/>
              </w:rPr>
            </w:pPr>
          </w:p>
          <w:p w:rsidR="00394CA7" w:rsidRPr="00A438CD" w:rsidRDefault="00394CA7" w:rsidP="00776A32">
            <w:pPr>
              <w:tabs>
                <w:tab w:val="center" w:pos="4680"/>
              </w:tabs>
              <w:suppressAutoHyphens/>
            </w:pPr>
          </w:p>
        </w:tc>
        <w:tc>
          <w:tcPr>
            <w:tcW w:w="724" w:type="dxa"/>
          </w:tcPr>
          <w:p w:rsidR="00394CA7" w:rsidRPr="00A438CD" w:rsidRDefault="00394CA7" w:rsidP="00A1103B">
            <w:r w:rsidRPr="00A438CD">
              <w:t>)</w:t>
            </w:r>
          </w:p>
          <w:p w:rsidR="00394CA7" w:rsidRPr="00A438CD" w:rsidRDefault="00394CA7" w:rsidP="00A1103B">
            <w:r w:rsidRPr="00A438CD">
              <w:t>)</w:t>
            </w:r>
          </w:p>
          <w:p w:rsidR="00394CA7" w:rsidRPr="00A438CD" w:rsidRDefault="00394CA7" w:rsidP="00A1103B">
            <w:r w:rsidRPr="00A438CD">
              <w:t>)</w:t>
            </w:r>
          </w:p>
          <w:p w:rsidR="00394CA7" w:rsidRPr="00A438CD" w:rsidRDefault="00394CA7" w:rsidP="00A1103B">
            <w:r w:rsidRPr="00A438CD">
              <w:t>)</w:t>
            </w:r>
          </w:p>
          <w:p w:rsidR="00394CA7" w:rsidRPr="00A438CD" w:rsidRDefault="00394CA7" w:rsidP="00A1103B">
            <w:r w:rsidRPr="00A438CD">
              <w:t>)</w:t>
            </w:r>
          </w:p>
          <w:p w:rsidR="00394CA7" w:rsidRPr="00A438CD" w:rsidRDefault="00394CA7" w:rsidP="00A1103B">
            <w:r w:rsidRPr="00A438CD">
              <w:t>)</w:t>
            </w:r>
          </w:p>
          <w:p w:rsidR="00394CA7" w:rsidRPr="00A438CD" w:rsidRDefault="00394CA7" w:rsidP="00A1103B">
            <w:r w:rsidRPr="00A438CD">
              <w:t>)</w:t>
            </w:r>
          </w:p>
          <w:p w:rsidR="00394CA7" w:rsidRPr="00A438CD" w:rsidRDefault="00394CA7" w:rsidP="00A1103B">
            <w:r w:rsidRPr="00A438CD">
              <w:t>)</w:t>
            </w:r>
          </w:p>
          <w:p w:rsidR="00394CA7" w:rsidRPr="00A438CD" w:rsidRDefault="00394CA7" w:rsidP="00A1103B">
            <w:r w:rsidRPr="00A438CD">
              <w:t>)</w:t>
            </w:r>
          </w:p>
          <w:p w:rsidR="00394CA7" w:rsidRDefault="004777BD" w:rsidP="00A1103B">
            <w:r w:rsidRPr="00A438CD">
              <w:t>)</w:t>
            </w:r>
          </w:p>
          <w:p w:rsidR="00063D65" w:rsidRDefault="00063D65" w:rsidP="00A1103B"/>
          <w:p w:rsidR="00063D65" w:rsidRPr="00A438CD" w:rsidRDefault="00063D65"/>
        </w:tc>
        <w:tc>
          <w:tcPr>
            <w:tcW w:w="4256" w:type="dxa"/>
          </w:tcPr>
          <w:p w:rsidR="00394CA7" w:rsidRPr="00A438CD" w:rsidRDefault="00394CA7" w:rsidP="00A1103B"/>
          <w:p w:rsidR="00394CA7" w:rsidRPr="00A438CD" w:rsidRDefault="00394CA7" w:rsidP="00A1103B"/>
          <w:p w:rsidR="004777BD" w:rsidRDefault="004777BD" w:rsidP="00A1103B">
            <w:r w:rsidRPr="00A438CD">
              <w:rPr>
                <w:spacing w:val="-2"/>
                <w:szCs w:val="22"/>
              </w:rPr>
              <w:t xml:space="preserve">MD Docket No. </w:t>
            </w:r>
            <w:r w:rsidR="000F429A">
              <w:rPr>
                <w:spacing w:val="-2"/>
                <w:szCs w:val="22"/>
              </w:rPr>
              <w:t>14-</w:t>
            </w:r>
            <w:r w:rsidR="00E26726">
              <w:rPr>
                <w:spacing w:val="-2"/>
                <w:szCs w:val="22"/>
              </w:rPr>
              <w:t>92</w:t>
            </w:r>
          </w:p>
          <w:p w:rsidR="008A36BE" w:rsidRDefault="008A36BE" w:rsidP="00A1103B"/>
          <w:p w:rsidR="008A36BE" w:rsidRPr="00A438CD" w:rsidRDefault="008A36BE" w:rsidP="00A1103B"/>
          <w:p w:rsidR="00063D65" w:rsidRDefault="00063D65" w:rsidP="00063D65">
            <w:r w:rsidRPr="00A438CD">
              <w:rPr>
                <w:spacing w:val="-2"/>
                <w:szCs w:val="22"/>
              </w:rPr>
              <w:t>MD Docket No. 1</w:t>
            </w:r>
            <w:r>
              <w:rPr>
                <w:spacing w:val="-2"/>
                <w:szCs w:val="22"/>
              </w:rPr>
              <w:t>3</w:t>
            </w:r>
            <w:r w:rsidRPr="00A438CD">
              <w:rPr>
                <w:spacing w:val="-2"/>
                <w:szCs w:val="22"/>
              </w:rPr>
              <w:t>-</w:t>
            </w:r>
            <w:r>
              <w:rPr>
                <w:spacing w:val="-2"/>
                <w:szCs w:val="22"/>
              </w:rPr>
              <w:t>140</w:t>
            </w:r>
          </w:p>
          <w:p w:rsidR="004777BD" w:rsidRPr="00A438CD" w:rsidRDefault="004777BD" w:rsidP="00A1103B"/>
          <w:p w:rsidR="004777BD" w:rsidRPr="00A438CD" w:rsidRDefault="004777BD" w:rsidP="00A1103B"/>
          <w:p w:rsidR="00C42A9F" w:rsidRPr="00A438CD" w:rsidRDefault="00C42A9F" w:rsidP="00C42A9F">
            <w:pPr>
              <w:tabs>
                <w:tab w:val="center" w:pos="4680"/>
              </w:tabs>
              <w:suppressAutoHyphens/>
              <w:rPr>
                <w:spacing w:val="-2"/>
                <w:szCs w:val="22"/>
              </w:rPr>
            </w:pPr>
            <w:r w:rsidRPr="00A438CD">
              <w:rPr>
                <w:spacing w:val="-2"/>
                <w:szCs w:val="22"/>
              </w:rPr>
              <w:t>MD Docket No. 12-201</w:t>
            </w:r>
          </w:p>
          <w:p w:rsidR="004777BD" w:rsidRDefault="004777BD" w:rsidP="00A1103B"/>
          <w:p w:rsidR="00C42A9F" w:rsidRDefault="00C42A9F" w:rsidP="00A1103B"/>
          <w:p w:rsidR="00C42A9F" w:rsidRPr="00A438CD" w:rsidRDefault="00C42A9F" w:rsidP="00A1103B"/>
        </w:tc>
      </w:tr>
    </w:tbl>
    <w:p w:rsidR="00394CA7" w:rsidRDefault="0083075A" w:rsidP="00333068">
      <w:pPr>
        <w:jc w:val="center"/>
        <w:rPr>
          <w:b/>
        </w:rPr>
      </w:pPr>
      <w:r>
        <w:rPr>
          <w:b/>
        </w:rPr>
        <w:t>N</w:t>
      </w:r>
      <w:r w:rsidR="00AD7EEF" w:rsidRPr="00726E19">
        <w:rPr>
          <w:b/>
        </w:rPr>
        <w:t>OTICE OF PROPOSED RULEMAKING</w:t>
      </w:r>
      <w:r w:rsidR="00336D69">
        <w:rPr>
          <w:b/>
        </w:rPr>
        <w:t>,</w:t>
      </w:r>
    </w:p>
    <w:p w:rsidR="000342B2" w:rsidRPr="00726E19" w:rsidRDefault="00FE5ED7" w:rsidP="00333068">
      <w:pPr>
        <w:jc w:val="center"/>
        <w:rPr>
          <w:b/>
        </w:rPr>
      </w:pPr>
      <w:r>
        <w:rPr>
          <w:b/>
        </w:rPr>
        <w:t xml:space="preserve">SECOND </w:t>
      </w:r>
      <w:r w:rsidR="0083075A">
        <w:rPr>
          <w:b/>
        </w:rPr>
        <w:t xml:space="preserve">FURTHER </w:t>
      </w:r>
      <w:r w:rsidR="000342B2">
        <w:rPr>
          <w:b/>
        </w:rPr>
        <w:t>NOTICE OF PROPOSED RULEMAKING</w:t>
      </w:r>
      <w:r w:rsidR="0083075A">
        <w:rPr>
          <w:b/>
        </w:rPr>
        <w:t>,</w:t>
      </w:r>
      <w:r w:rsidR="00336D69">
        <w:rPr>
          <w:b/>
        </w:rPr>
        <w:t xml:space="preserve"> AND ORDER</w:t>
      </w:r>
    </w:p>
    <w:p w:rsidR="00394CA7" w:rsidRPr="00A438CD" w:rsidRDefault="00394CA7" w:rsidP="00A1103B"/>
    <w:p w:rsidR="00984CAF" w:rsidRDefault="00984CAF" w:rsidP="006F327A">
      <w:pPr>
        <w:tabs>
          <w:tab w:val="left" w:pos="720"/>
          <w:tab w:val="right" w:pos="9360"/>
        </w:tabs>
        <w:suppressAutoHyphens/>
        <w:spacing w:line="227" w:lineRule="auto"/>
        <w:rPr>
          <w:spacing w:val="-2"/>
        </w:rPr>
      </w:pPr>
      <w:r>
        <w:rPr>
          <w:b/>
          <w:spacing w:val="-2"/>
        </w:rPr>
        <w:t>Adopted:  June 12, 2014</w:t>
      </w:r>
      <w:r>
        <w:rPr>
          <w:b/>
          <w:spacing w:val="-2"/>
        </w:rPr>
        <w:tab/>
        <w:t>Released:  June 13, 2014</w:t>
      </w:r>
    </w:p>
    <w:p w:rsidR="00394CA7" w:rsidRPr="00FB6B30" w:rsidRDefault="00394CA7" w:rsidP="00A1103B">
      <w:pPr>
        <w:tabs>
          <w:tab w:val="left" w:pos="5760"/>
        </w:tabs>
        <w:rPr>
          <w:b/>
          <w:spacing w:val="-2"/>
          <w:szCs w:val="22"/>
        </w:rPr>
      </w:pPr>
    </w:p>
    <w:p w:rsidR="003545BC" w:rsidRPr="00A438CD" w:rsidRDefault="003545BC" w:rsidP="003545BC">
      <w:pPr>
        <w:tabs>
          <w:tab w:val="left" w:pos="5760"/>
        </w:tabs>
        <w:rPr>
          <w:spacing w:val="-2"/>
          <w:szCs w:val="22"/>
        </w:rPr>
      </w:pPr>
      <w:r w:rsidRPr="00A438CD">
        <w:rPr>
          <w:szCs w:val="22"/>
        </w:rPr>
        <w:t xml:space="preserve">By the </w:t>
      </w:r>
      <w:r w:rsidRPr="00A438CD">
        <w:rPr>
          <w:spacing w:val="-2"/>
          <w:szCs w:val="22"/>
        </w:rPr>
        <w:t>Commission:</w:t>
      </w:r>
    </w:p>
    <w:p w:rsidR="004E371D" w:rsidRPr="00A438CD" w:rsidRDefault="004E371D" w:rsidP="003545BC">
      <w:pPr>
        <w:tabs>
          <w:tab w:val="left" w:pos="5760"/>
        </w:tabs>
        <w:rPr>
          <w:spacing w:val="-2"/>
          <w:szCs w:val="22"/>
        </w:rPr>
      </w:pPr>
    </w:p>
    <w:p w:rsidR="004E371D" w:rsidRPr="00A438CD" w:rsidRDefault="004E371D" w:rsidP="003545BC">
      <w:pPr>
        <w:tabs>
          <w:tab w:val="left" w:pos="5760"/>
        </w:tabs>
        <w:rPr>
          <w:spacing w:val="-2"/>
          <w:szCs w:val="22"/>
        </w:rPr>
      </w:pPr>
      <w:r w:rsidRPr="00726E19">
        <w:rPr>
          <w:b/>
          <w:spacing w:val="-2"/>
          <w:szCs w:val="22"/>
        </w:rPr>
        <w:t>Comment Date:</w:t>
      </w:r>
      <w:r w:rsidR="004352A5" w:rsidRPr="00A438CD">
        <w:rPr>
          <w:spacing w:val="-2"/>
          <w:szCs w:val="22"/>
        </w:rPr>
        <w:t xml:space="preserve">  </w:t>
      </w:r>
      <w:r w:rsidR="00136228">
        <w:rPr>
          <w:spacing w:val="-2"/>
          <w:szCs w:val="22"/>
        </w:rPr>
        <w:t>Ju</w:t>
      </w:r>
      <w:r w:rsidR="009C7D23">
        <w:rPr>
          <w:spacing w:val="-2"/>
          <w:szCs w:val="22"/>
        </w:rPr>
        <w:t>ly</w:t>
      </w:r>
      <w:r w:rsidR="00766E5C">
        <w:rPr>
          <w:spacing w:val="-2"/>
          <w:szCs w:val="22"/>
        </w:rPr>
        <w:t xml:space="preserve"> </w:t>
      </w:r>
      <w:r w:rsidR="00E26726">
        <w:rPr>
          <w:spacing w:val="-2"/>
          <w:szCs w:val="22"/>
        </w:rPr>
        <w:t>7</w:t>
      </w:r>
      <w:r w:rsidR="00766E5C">
        <w:rPr>
          <w:spacing w:val="-2"/>
          <w:szCs w:val="22"/>
        </w:rPr>
        <w:t>, 2014</w:t>
      </w:r>
    </w:p>
    <w:p w:rsidR="004E371D" w:rsidRPr="00A438CD" w:rsidRDefault="004E371D" w:rsidP="003545BC">
      <w:pPr>
        <w:tabs>
          <w:tab w:val="left" w:pos="5760"/>
        </w:tabs>
        <w:rPr>
          <w:szCs w:val="22"/>
        </w:rPr>
      </w:pPr>
      <w:r w:rsidRPr="00726E19">
        <w:rPr>
          <w:b/>
          <w:spacing w:val="-2"/>
          <w:szCs w:val="22"/>
        </w:rPr>
        <w:t>Reply Comment Date:</w:t>
      </w:r>
      <w:r w:rsidR="00F324CA" w:rsidRPr="00A438CD">
        <w:rPr>
          <w:spacing w:val="-2"/>
          <w:szCs w:val="22"/>
        </w:rPr>
        <w:t xml:space="preserve">  </w:t>
      </w:r>
      <w:r w:rsidR="00136228">
        <w:rPr>
          <w:spacing w:val="-2"/>
          <w:szCs w:val="22"/>
        </w:rPr>
        <w:t>July</w:t>
      </w:r>
      <w:r w:rsidR="00766E5C">
        <w:rPr>
          <w:spacing w:val="-2"/>
          <w:szCs w:val="22"/>
        </w:rPr>
        <w:t xml:space="preserve"> </w:t>
      </w:r>
      <w:r w:rsidR="00E26726">
        <w:rPr>
          <w:spacing w:val="-2"/>
          <w:szCs w:val="22"/>
        </w:rPr>
        <w:t>14</w:t>
      </w:r>
      <w:r w:rsidR="00766E5C">
        <w:rPr>
          <w:spacing w:val="-2"/>
          <w:szCs w:val="22"/>
        </w:rPr>
        <w:t>, 2014</w:t>
      </w:r>
    </w:p>
    <w:bookmarkStart w:id="1" w:name="_Toc351484741" w:displacedByCustomXml="next"/>
    <w:bookmarkStart w:id="2" w:name="_Toc351484787" w:displacedByCustomXml="next"/>
    <w:bookmarkStart w:id="3" w:name="_Toc351484929" w:displacedByCustomXml="next"/>
    <w:bookmarkStart w:id="4" w:name="_Toc351571044" w:displacedByCustomXml="next"/>
    <w:bookmarkStart w:id="5" w:name="_Toc351572409" w:displacedByCustomXml="next"/>
    <w:bookmarkStart w:id="6" w:name="_Toc382567911" w:displacedByCustomXml="next"/>
    <w:bookmarkStart w:id="7" w:name="_Toc353032038" w:displacedByCustomXml="next"/>
    <w:bookmarkStart w:id="8" w:name="_Toc352943171" w:displacedByCustomXml="next"/>
    <w:bookmarkStart w:id="9" w:name="_Toc352943620" w:displacedByCustomXml="next"/>
    <w:bookmarkStart w:id="10" w:name="_Toc353987715" w:displacedByCustomXml="next"/>
    <w:sdt>
      <w:sdtPr>
        <w:rPr>
          <w:rFonts w:ascii="Times New Roman" w:eastAsia="Times New Roman" w:hAnsi="Times New Roman" w:cs="Times New Roman"/>
          <w:b w:val="0"/>
          <w:bCs w:val="0"/>
          <w:caps/>
          <w:noProof/>
          <w:color w:val="auto"/>
          <w:sz w:val="22"/>
          <w:szCs w:val="20"/>
          <w:lang w:eastAsia="en-US"/>
        </w:rPr>
        <w:id w:val="26761966"/>
        <w:docPartObj>
          <w:docPartGallery w:val="Table of Contents"/>
          <w:docPartUnique/>
        </w:docPartObj>
      </w:sdtPr>
      <w:sdtEndPr/>
      <w:sdtContent>
        <w:p w:rsidR="00AE776E" w:rsidRDefault="00227B83">
          <w:pPr>
            <w:pStyle w:val="TOCHeading"/>
          </w:pPr>
          <w:r>
            <w:rPr>
              <w:rFonts w:ascii="Times New Roman" w:eastAsia="Times New Roman" w:hAnsi="Times New Roman" w:cs="Times New Roman"/>
              <w:b w:val="0"/>
              <w:bCs w:val="0"/>
              <w:caps/>
              <w:noProof/>
              <w:color w:val="auto"/>
              <w:sz w:val="22"/>
              <w:szCs w:val="20"/>
              <w:lang w:eastAsia="en-US"/>
            </w:rPr>
            <w:tab/>
          </w:r>
          <w:r>
            <w:rPr>
              <w:rFonts w:ascii="Times New Roman" w:eastAsia="Times New Roman" w:hAnsi="Times New Roman" w:cs="Times New Roman"/>
              <w:b w:val="0"/>
              <w:bCs w:val="0"/>
              <w:caps/>
              <w:noProof/>
              <w:color w:val="auto"/>
              <w:sz w:val="22"/>
              <w:szCs w:val="20"/>
              <w:lang w:eastAsia="en-US"/>
            </w:rPr>
            <w:tab/>
          </w:r>
          <w:r>
            <w:rPr>
              <w:rFonts w:ascii="Times New Roman" w:eastAsia="Times New Roman" w:hAnsi="Times New Roman" w:cs="Times New Roman"/>
              <w:b w:val="0"/>
              <w:bCs w:val="0"/>
              <w:caps/>
              <w:noProof/>
              <w:color w:val="auto"/>
              <w:sz w:val="22"/>
              <w:szCs w:val="20"/>
              <w:lang w:eastAsia="en-US"/>
            </w:rPr>
            <w:tab/>
          </w:r>
          <w:r>
            <w:rPr>
              <w:rFonts w:ascii="Times New Roman" w:eastAsia="Times New Roman" w:hAnsi="Times New Roman" w:cs="Times New Roman"/>
              <w:b w:val="0"/>
              <w:bCs w:val="0"/>
              <w:caps/>
              <w:noProof/>
              <w:color w:val="auto"/>
              <w:sz w:val="22"/>
              <w:szCs w:val="20"/>
              <w:lang w:eastAsia="en-US"/>
            </w:rPr>
            <w:tab/>
          </w:r>
          <w:r>
            <w:rPr>
              <w:rFonts w:ascii="Times New Roman" w:eastAsia="Times New Roman" w:hAnsi="Times New Roman" w:cs="Times New Roman"/>
              <w:b w:val="0"/>
              <w:bCs w:val="0"/>
              <w:caps/>
              <w:noProof/>
              <w:color w:val="auto"/>
              <w:sz w:val="22"/>
              <w:szCs w:val="20"/>
              <w:lang w:eastAsia="en-US"/>
            </w:rPr>
            <w:tab/>
          </w:r>
          <w:r>
            <w:rPr>
              <w:rFonts w:ascii="Times New Roman" w:eastAsia="Times New Roman" w:hAnsi="Times New Roman" w:cs="Times New Roman"/>
              <w:b w:val="0"/>
              <w:bCs w:val="0"/>
              <w:caps/>
              <w:noProof/>
              <w:color w:val="auto"/>
              <w:sz w:val="22"/>
              <w:szCs w:val="20"/>
              <w:lang w:eastAsia="en-US"/>
            </w:rPr>
            <w:tab/>
          </w:r>
          <w:r>
            <w:rPr>
              <w:rFonts w:ascii="Times New Roman" w:eastAsia="Times New Roman" w:hAnsi="Times New Roman" w:cs="Times New Roman"/>
              <w:b w:val="0"/>
              <w:bCs w:val="0"/>
              <w:caps/>
              <w:noProof/>
              <w:color w:val="auto"/>
              <w:sz w:val="22"/>
              <w:szCs w:val="20"/>
              <w:lang w:eastAsia="en-US"/>
            </w:rPr>
            <w:tab/>
          </w:r>
          <w:r>
            <w:rPr>
              <w:rFonts w:ascii="Times New Roman" w:eastAsia="Times New Roman" w:hAnsi="Times New Roman" w:cs="Times New Roman"/>
              <w:b w:val="0"/>
              <w:bCs w:val="0"/>
              <w:caps/>
              <w:noProof/>
              <w:color w:val="auto"/>
              <w:sz w:val="22"/>
              <w:szCs w:val="20"/>
              <w:lang w:eastAsia="en-US"/>
            </w:rPr>
            <w:tab/>
          </w:r>
          <w:r>
            <w:rPr>
              <w:rFonts w:ascii="Times New Roman" w:eastAsia="Times New Roman" w:hAnsi="Times New Roman" w:cs="Times New Roman"/>
              <w:b w:val="0"/>
              <w:bCs w:val="0"/>
              <w:caps/>
              <w:noProof/>
              <w:color w:val="auto"/>
              <w:sz w:val="22"/>
              <w:szCs w:val="20"/>
              <w:lang w:eastAsia="en-US"/>
            </w:rPr>
            <w:tab/>
          </w:r>
          <w:r>
            <w:rPr>
              <w:rFonts w:ascii="Times New Roman" w:eastAsia="Times New Roman" w:hAnsi="Times New Roman" w:cs="Times New Roman"/>
              <w:b w:val="0"/>
              <w:bCs w:val="0"/>
              <w:caps/>
              <w:noProof/>
              <w:color w:val="auto"/>
              <w:sz w:val="22"/>
              <w:szCs w:val="20"/>
              <w:lang w:eastAsia="en-US"/>
            </w:rPr>
            <w:tab/>
          </w:r>
          <w:r>
            <w:rPr>
              <w:rFonts w:ascii="Times New Roman" w:eastAsia="Times New Roman" w:hAnsi="Times New Roman" w:cs="Times New Roman"/>
              <w:b w:val="0"/>
              <w:bCs w:val="0"/>
              <w:caps/>
              <w:noProof/>
              <w:color w:val="auto"/>
              <w:sz w:val="22"/>
              <w:szCs w:val="20"/>
              <w:lang w:eastAsia="en-US"/>
            </w:rPr>
            <w:tab/>
          </w:r>
          <w:r>
            <w:rPr>
              <w:rFonts w:ascii="Times New Roman" w:eastAsia="Times New Roman" w:hAnsi="Times New Roman" w:cs="Times New Roman"/>
              <w:b w:val="0"/>
              <w:bCs w:val="0"/>
              <w:caps/>
              <w:noProof/>
              <w:color w:val="auto"/>
              <w:sz w:val="22"/>
              <w:szCs w:val="20"/>
              <w:lang w:eastAsia="en-US"/>
            </w:rPr>
            <w:tab/>
          </w:r>
        </w:p>
        <w:p w:rsidR="00776A32" w:rsidRDefault="00253DF7">
          <w:pPr>
            <w:pStyle w:val="TOC1"/>
            <w:rPr>
              <w:rFonts w:asciiTheme="minorHAnsi" w:eastAsiaTheme="minorEastAsia" w:hAnsiTheme="minorHAnsi" w:cstheme="minorBidi"/>
              <w:caps w:val="0"/>
              <w:snapToGrid/>
              <w:kern w:val="0"/>
              <w:szCs w:val="22"/>
            </w:rPr>
          </w:pPr>
          <w:r>
            <w:fldChar w:fldCharType="begin"/>
          </w:r>
          <w:r w:rsidR="00AE776E">
            <w:instrText xml:space="preserve"> TOC \o "1-3" \h \z \u </w:instrText>
          </w:r>
          <w:r>
            <w:fldChar w:fldCharType="separate"/>
          </w:r>
          <w:hyperlink w:anchor="_Toc384227044" w:history="1">
            <w:r w:rsidR="00776A32" w:rsidRPr="001362C1">
              <w:rPr>
                <w:rStyle w:val="Hyperlink"/>
                <w:bCs/>
              </w:rPr>
              <w:t>I.</w:t>
            </w:r>
            <w:r w:rsidR="00776A32">
              <w:rPr>
                <w:rFonts w:asciiTheme="minorHAnsi" w:eastAsiaTheme="minorEastAsia" w:hAnsiTheme="minorHAnsi" w:cstheme="minorBidi"/>
                <w:caps w:val="0"/>
                <w:snapToGrid/>
                <w:kern w:val="0"/>
                <w:szCs w:val="22"/>
              </w:rPr>
              <w:tab/>
            </w:r>
            <w:r w:rsidR="00776A32" w:rsidRPr="001362C1">
              <w:rPr>
                <w:rStyle w:val="Hyperlink"/>
                <w:bCs/>
              </w:rPr>
              <w:t>introduction and executive summary</w:t>
            </w:r>
            <w:r w:rsidR="00776A32">
              <w:rPr>
                <w:webHidden/>
              </w:rPr>
              <w:tab/>
            </w:r>
            <w:r w:rsidR="00726576">
              <w:rPr>
                <w:webHidden/>
              </w:rPr>
              <w:t>1</w:t>
            </w:r>
          </w:hyperlink>
        </w:p>
        <w:p w:rsidR="00776A32" w:rsidRDefault="00EE36AC">
          <w:pPr>
            <w:pStyle w:val="TOC1"/>
            <w:rPr>
              <w:rFonts w:asciiTheme="minorHAnsi" w:eastAsiaTheme="minorEastAsia" w:hAnsiTheme="minorHAnsi" w:cstheme="minorBidi"/>
              <w:caps w:val="0"/>
              <w:snapToGrid/>
              <w:kern w:val="0"/>
              <w:szCs w:val="22"/>
            </w:rPr>
          </w:pPr>
          <w:hyperlink w:anchor="_Toc384227045" w:history="1">
            <w:r w:rsidR="00776A32" w:rsidRPr="001362C1">
              <w:rPr>
                <w:rStyle w:val="Hyperlink"/>
              </w:rPr>
              <w:t>II.</w:t>
            </w:r>
            <w:r w:rsidR="00776A32">
              <w:rPr>
                <w:rFonts w:asciiTheme="minorHAnsi" w:eastAsiaTheme="minorEastAsia" w:hAnsiTheme="minorHAnsi" w:cstheme="minorBidi"/>
                <w:caps w:val="0"/>
                <w:snapToGrid/>
                <w:kern w:val="0"/>
                <w:szCs w:val="22"/>
              </w:rPr>
              <w:tab/>
            </w:r>
            <w:r w:rsidR="00776A32" w:rsidRPr="001362C1">
              <w:rPr>
                <w:rStyle w:val="Hyperlink"/>
              </w:rPr>
              <w:t>Background</w:t>
            </w:r>
            <w:r w:rsidR="00776A32">
              <w:rPr>
                <w:webHidden/>
              </w:rPr>
              <w:tab/>
            </w:r>
            <w:r w:rsidR="00F92E48">
              <w:rPr>
                <w:webHidden/>
              </w:rPr>
              <w:t>4</w:t>
            </w:r>
          </w:hyperlink>
        </w:p>
        <w:p w:rsidR="00776A32" w:rsidRDefault="00EE36AC">
          <w:pPr>
            <w:pStyle w:val="TOC1"/>
            <w:rPr>
              <w:rFonts w:asciiTheme="minorHAnsi" w:eastAsiaTheme="minorEastAsia" w:hAnsiTheme="minorHAnsi" w:cstheme="minorBidi"/>
              <w:caps w:val="0"/>
              <w:snapToGrid/>
              <w:kern w:val="0"/>
              <w:szCs w:val="22"/>
            </w:rPr>
          </w:pPr>
          <w:hyperlink w:anchor="_Toc384227046" w:history="1">
            <w:r w:rsidR="00776A32" w:rsidRPr="001362C1">
              <w:rPr>
                <w:rStyle w:val="Hyperlink"/>
              </w:rPr>
              <w:t>III.</w:t>
            </w:r>
            <w:r w:rsidR="00776A32">
              <w:rPr>
                <w:rFonts w:asciiTheme="minorHAnsi" w:eastAsiaTheme="minorEastAsia" w:hAnsiTheme="minorHAnsi" w:cstheme="minorBidi"/>
                <w:caps w:val="0"/>
                <w:snapToGrid/>
                <w:kern w:val="0"/>
                <w:szCs w:val="22"/>
              </w:rPr>
              <w:tab/>
            </w:r>
            <w:r w:rsidR="00776A32" w:rsidRPr="001362C1">
              <w:rPr>
                <w:rStyle w:val="Hyperlink"/>
              </w:rPr>
              <w:t>Changes adopted in fy 2013 (or earlier) that will apply in fy 2014</w:t>
            </w:r>
            <w:r w:rsidR="00776A32">
              <w:rPr>
                <w:webHidden/>
              </w:rPr>
              <w:tab/>
            </w:r>
            <w:r w:rsidR="007B4F32">
              <w:rPr>
                <w:webHidden/>
              </w:rPr>
              <w:t>10</w:t>
            </w:r>
          </w:hyperlink>
        </w:p>
        <w:p w:rsidR="00776A32" w:rsidRDefault="00EE36AC">
          <w:pPr>
            <w:pStyle w:val="TOC1"/>
            <w:rPr>
              <w:rFonts w:asciiTheme="minorHAnsi" w:eastAsiaTheme="minorEastAsia" w:hAnsiTheme="minorHAnsi" w:cstheme="minorBidi"/>
              <w:caps w:val="0"/>
              <w:snapToGrid/>
              <w:kern w:val="0"/>
              <w:szCs w:val="22"/>
            </w:rPr>
          </w:pPr>
          <w:hyperlink w:anchor="_Toc384227047" w:history="1">
            <w:r w:rsidR="00776A32" w:rsidRPr="001362C1">
              <w:rPr>
                <w:rStyle w:val="Hyperlink"/>
              </w:rPr>
              <w:t>IV.</w:t>
            </w:r>
            <w:r w:rsidR="00776A32">
              <w:rPr>
                <w:rFonts w:asciiTheme="minorHAnsi" w:eastAsiaTheme="minorEastAsia" w:hAnsiTheme="minorHAnsi" w:cstheme="minorBidi"/>
                <w:caps w:val="0"/>
                <w:snapToGrid/>
                <w:kern w:val="0"/>
                <w:szCs w:val="22"/>
              </w:rPr>
              <w:tab/>
            </w:r>
            <w:r w:rsidR="00BB6A3A" w:rsidRPr="00C5729C">
              <w:rPr>
                <w:rFonts w:eastAsiaTheme="minorEastAsia"/>
                <w:caps w:val="0"/>
                <w:snapToGrid/>
                <w:kern w:val="0"/>
                <w:szCs w:val="22"/>
              </w:rPr>
              <w:t xml:space="preserve">ORDER AND </w:t>
            </w:r>
            <w:r w:rsidR="00776A32" w:rsidRPr="001362C1">
              <w:rPr>
                <w:rStyle w:val="Hyperlink"/>
              </w:rPr>
              <w:t>administrative changes for fy 2014</w:t>
            </w:r>
            <w:r w:rsidR="00776A32">
              <w:rPr>
                <w:webHidden/>
              </w:rPr>
              <w:tab/>
            </w:r>
            <w:r w:rsidR="00A83227">
              <w:rPr>
                <w:webHidden/>
              </w:rPr>
              <w:t>15</w:t>
            </w:r>
          </w:hyperlink>
        </w:p>
        <w:p w:rsidR="00776A32" w:rsidRDefault="00EE36AC">
          <w:pPr>
            <w:pStyle w:val="TOC1"/>
            <w:rPr>
              <w:rFonts w:asciiTheme="minorHAnsi" w:eastAsiaTheme="minorEastAsia" w:hAnsiTheme="minorHAnsi" w:cstheme="minorBidi"/>
              <w:caps w:val="0"/>
              <w:snapToGrid/>
              <w:kern w:val="0"/>
              <w:szCs w:val="22"/>
            </w:rPr>
          </w:pPr>
          <w:hyperlink w:anchor="_Toc384227048" w:history="1">
            <w:r w:rsidR="00776A32" w:rsidRPr="001362C1">
              <w:rPr>
                <w:rStyle w:val="Hyperlink"/>
              </w:rPr>
              <w:t>V.</w:t>
            </w:r>
            <w:r w:rsidR="00776A32">
              <w:rPr>
                <w:rFonts w:asciiTheme="minorHAnsi" w:eastAsiaTheme="minorEastAsia" w:hAnsiTheme="minorHAnsi" w:cstheme="minorBidi"/>
                <w:caps w:val="0"/>
                <w:snapToGrid/>
                <w:kern w:val="0"/>
                <w:szCs w:val="22"/>
              </w:rPr>
              <w:tab/>
            </w:r>
            <w:r w:rsidR="00776A32" w:rsidRPr="001362C1">
              <w:rPr>
                <w:rStyle w:val="Hyperlink"/>
              </w:rPr>
              <w:t>notice of proposed rulemaking</w:t>
            </w:r>
            <w:r w:rsidR="00776A32">
              <w:rPr>
                <w:webHidden/>
              </w:rPr>
              <w:tab/>
            </w:r>
            <w:r w:rsidR="0068541F">
              <w:rPr>
                <w:webHidden/>
              </w:rPr>
              <w:t>18</w:t>
            </w:r>
          </w:hyperlink>
        </w:p>
        <w:p w:rsidR="00776A32" w:rsidRDefault="00EE36AC">
          <w:pPr>
            <w:pStyle w:val="TOC1"/>
            <w:rPr>
              <w:rFonts w:asciiTheme="minorHAnsi" w:eastAsiaTheme="minorEastAsia" w:hAnsiTheme="minorHAnsi" w:cstheme="minorBidi"/>
              <w:caps w:val="0"/>
              <w:snapToGrid/>
              <w:kern w:val="0"/>
              <w:szCs w:val="22"/>
            </w:rPr>
          </w:pPr>
          <w:hyperlink w:anchor="_Toc384227049" w:history="1">
            <w:r w:rsidR="00776A32" w:rsidRPr="001362C1">
              <w:rPr>
                <w:rStyle w:val="Hyperlink"/>
              </w:rPr>
              <w:t>VI.</w:t>
            </w:r>
            <w:r w:rsidR="00776A32">
              <w:rPr>
                <w:rFonts w:asciiTheme="minorHAnsi" w:eastAsiaTheme="minorEastAsia" w:hAnsiTheme="minorHAnsi" w:cstheme="minorBidi"/>
                <w:caps w:val="0"/>
                <w:snapToGrid/>
                <w:kern w:val="0"/>
                <w:szCs w:val="22"/>
              </w:rPr>
              <w:tab/>
            </w:r>
            <w:r w:rsidR="00776A32" w:rsidRPr="001362C1">
              <w:rPr>
                <w:rStyle w:val="Hyperlink"/>
              </w:rPr>
              <w:t>second FURTHER NOTICE OF PROPOSED RULEMAKING</w:t>
            </w:r>
            <w:r w:rsidR="00776A32">
              <w:rPr>
                <w:webHidden/>
              </w:rPr>
              <w:tab/>
            </w:r>
            <w:r w:rsidR="00504D02">
              <w:rPr>
                <w:webHidden/>
              </w:rPr>
              <w:t>20</w:t>
            </w:r>
          </w:hyperlink>
        </w:p>
        <w:p w:rsidR="00776A32" w:rsidRDefault="00EE36AC">
          <w:pPr>
            <w:pStyle w:val="TOC2"/>
            <w:rPr>
              <w:rFonts w:asciiTheme="minorHAnsi" w:eastAsiaTheme="minorEastAsia" w:hAnsiTheme="minorHAnsi" w:cstheme="minorBidi"/>
              <w:snapToGrid/>
              <w:kern w:val="0"/>
              <w:szCs w:val="22"/>
            </w:rPr>
          </w:pPr>
          <w:hyperlink w:anchor="_Toc384227050" w:history="1">
            <w:r w:rsidR="00776A32" w:rsidRPr="001362C1">
              <w:rPr>
                <w:rStyle w:val="Hyperlink"/>
              </w:rPr>
              <w:t>A.</w:t>
            </w:r>
            <w:r w:rsidR="00776A32">
              <w:rPr>
                <w:rFonts w:asciiTheme="minorHAnsi" w:eastAsiaTheme="minorEastAsia" w:hAnsiTheme="minorHAnsi" w:cstheme="minorBidi"/>
                <w:snapToGrid/>
                <w:kern w:val="0"/>
                <w:szCs w:val="22"/>
              </w:rPr>
              <w:tab/>
            </w:r>
            <w:r w:rsidR="00776A32" w:rsidRPr="001362C1">
              <w:rPr>
                <w:rStyle w:val="Hyperlink"/>
              </w:rPr>
              <w:t>FTE Reallocations</w:t>
            </w:r>
            <w:r w:rsidR="00776A32">
              <w:rPr>
                <w:webHidden/>
              </w:rPr>
              <w:tab/>
            </w:r>
            <w:r w:rsidR="009B2633">
              <w:rPr>
                <w:webHidden/>
              </w:rPr>
              <w:t>22</w:t>
            </w:r>
          </w:hyperlink>
        </w:p>
        <w:p w:rsidR="00776A32" w:rsidRDefault="00EE36AC">
          <w:pPr>
            <w:pStyle w:val="TOC3"/>
          </w:pPr>
          <w:hyperlink w:anchor="_Toc384227051" w:history="1">
            <w:r w:rsidR="00776A32" w:rsidRPr="001362C1">
              <w:rPr>
                <w:rStyle w:val="Hyperlink"/>
              </w:rPr>
              <w:t>1.</w:t>
            </w:r>
            <w:r w:rsidR="00776A32">
              <w:rPr>
                <w:rFonts w:asciiTheme="minorHAnsi" w:eastAsiaTheme="minorEastAsia" w:hAnsiTheme="minorHAnsi" w:cstheme="minorBidi"/>
                <w:snapToGrid/>
                <w:kern w:val="0"/>
                <w:szCs w:val="22"/>
              </w:rPr>
              <w:tab/>
            </w:r>
            <w:r w:rsidR="00776A32" w:rsidRPr="001362C1">
              <w:rPr>
                <w:rStyle w:val="Hyperlink"/>
              </w:rPr>
              <w:t>Enforcement Bureau and Consumer &amp; Governmental Affairs Bureau</w:t>
            </w:r>
            <w:r w:rsidR="00776A32">
              <w:rPr>
                <w:webHidden/>
              </w:rPr>
              <w:tab/>
            </w:r>
            <w:r w:rsidR="009B2633">
              <w:rPr>
                <w:webHidden/>
              </w:rPr>
              <w:t>22</w:t>
            </w:r>
          </w:hyperlink>
        </w:p>
        <w:p w:rsidR="00456012" w:rsidRDefault="006C40E8" w:rsidP="00FB6B30">
          <w:pPr>
            <w:ind w:left="720"/>
            <w:rPr>
              <w:rFonts w:eastAsiaTheme="minorEastAsia"/>
            </w:rPr>
          </w:pPr>
          <w:r>
            <w:rPr>
              <w:rFonts w:eastAsiaTheme="minorEastAsia"/>
            </w:rPr>
            <w:t>2.   Office of Engineering &amp;</w:t>
          </w:r>
          <w:r w:rsidR="00997D85">
            <w:rPr>
              <w:rFonts w:eastAsiaTheme="minorEastAsia"/>
            </w:rPr>
            <w:t xml:space="preserve"> Technology and </w:t>
          </w:r>
          <w:r w:rsidR="009B2633">
            <w:rPr>
              <w:rFonts w:eastAsiaTheme="minorEastAsia"/>
            </w:rPr>
            <w:t>Other Reallocation</w:t>
          </w:r>
          <w:r w:rsidR="00997D85">
            <w:rPr>
              <w:rFonts w:eastAsiaTheme="minorEastAsia"/>
            </w:rPr>
            <w:t xml:space="preserve"> </w:t>
          </w:r>
          <w:r>
            <w:rPr>
              <w:rFonts w:eastAsiaTheme="minorEastAsia"/>
            </w:rPr>
            <w:t>Proposals</w:t>
          </w:r>
          <w:r w:rsidR="00912DCD">
            <w:rPr>
              <w:rFonts w:eastAsiaTheme="minorEastAsia"/>
            </w:rPr>
            <w:t>..</w:t>
          </w:r>
          <w:r>
            <w:rPr>
              <w:rFonts w:eastAsiaTheme="minorEastAsia"/>
            </w:rPr>
            <w:t>...............................26</w:t>
          </w:r>
        </w:p>
        <w:p w:rsidR="009B2633" w:rsidRPr="009B2633" w:rsidRDefault="006C40E8" w:rsidP="009B2633">
          <w:pPr>
            <w:rPr>
              <w:rFonts w:eastAsiaTheme="minorEastAsia"/>
            </w:rPr>
          </w:pPr>
          <w:r>
            <w:rPr>
              <w:rFonts w:eastAsiaTheme="minorEastAsia"/>
            </w:rPr>
            <w:tab/>
            <w:t xml:space="preserve">3.   </w:t>
          </w:r>
          <w:r w:rsidR="009B2633">
            <w:rPr>
              <w:rFonts w:eastAsiaTheme="minorEastAsia"/>
            </w:rPr>
            <w:t>Reallocations within Fee Categories</w:t>
          </w:r>
          <w:r w:rsidR="00912DCD">
            <w:rPr>
              <w:rFonts w:eastAsiaTheme="minorEastAsia"/>
            </w:rPr>
            <w:t>.</w:t>
          </w:r>
          <w:r w:rsidR="009B2633">
            <w:rPr>
              <w:rFonts w:eastAsiaTheme="minorEastAsia"/>
            </w:rPr>
            <w:t>…………………………………………………………2</w:t>
          </w:r>
          <w:r w:rsidR="00DB3DDB">
            <w:rPr>
              <w:rFonts w:eastAsiaTheme="minorEastAsia"/>
            </w:rPr>
            <w:t>8</w:t>
          </w:r>
          <w:r w:rsidR="009B2633">
            <w:rPr>
              <w:rFonts w:eastAsiaTheme="minorEastAsia"/>
            </w:rPr>
            <w:tab/>
          </w:r>
        </w:p>
        <w:p w:rsidR="00776A32" w:rsidRDefault="00EE36AC">
          <w:pPr>
            <w:pStyle w:val="TOC2"/>
            <w:rPr>
              <w:rFonts w:asciiTheme="minorHAnsi" w:eastAsiaTheme="minorEastAsia" w:hAnsiTheme="minorHAnsi" w:cstheme="minorBidi"/>
              <w:snapToGrid/>
              <w:kern w:val="0"/>
              <w:szCs w:val="22"/>
            </w:rPr>
          </w:pPr>
          <w:hyperlink w:anchor="_Toc384227052" w:history="1">
            <w:r w:rsidR="00776A32" w:rsidRPr="001362C1">
              <w:rPr>
                <w:rStyle w:val="Hyperlink"/>
              </w:rPr>
              <w:t>B.</w:t>
            </w:r>
            <w:r w:rsidR="00776A32">
              <w:rPr>
                <w:rFonts w:asciiTheme="minorHAnsi" w:eastAsiaTheme="minorEastAsia" w:hAnsiTheme="minorHAnsi" w:cstheme="minorBidi"/>
                <w:snapToGrid/>
                <w:kern w:val="0"/>
                <w:szCs w:val="22"/>
              </w:rPr>
              <w:tab/>
            </w:r>
            <w:r w:rsidR="00776A32" w:rsidRPr="001362C1">
              <w:rPr>
                <w:rStyle w:val="Hyperlink"/>
              </w:rPr>
              <w:t>Improving the Regulatory Fee Process</w:t>
            </w:r>
            <w:r w:rsidR="00776A32">
              <w:rPr>
                <w:webHidden/>
              </w:rPr>
              <w:tab/>
            </w:r>
            <w:r w:rsidR="00DB3DDB">
              <w:rPr>
                <w:webHidden/>
              </w:rPr>
              <w:t>30</w:t>
            </w:r>
          </w:hyperlink>
        </w:p>
        <w:p w:rsidR="00776A32" w:rsidRDefault="00EE36AC">
          <w:pPr>
            <w:pStyle w:val="TOC2"/>
            <w:rPr>
              <w:rFonts w:asciiTheme="minorHAnsi" w:eastAsiaTheme="minorEastAsia" w:hAnsiTheme="minorHAnsi" w:cstheme="minorBidi"/>
              <w:snapToGrid/>
              <w:kern w:val="0"/>
              <w:szCs w:val="22"/>
            </w:rPr>
          </w:pPr>
          <w:hyperlink w:anchor="_Toc384227053" w:history="1">
            <w:r w:rsidR="00776A32" w:rsidRPr="001362C1">
              <w:rPr>
                <w:rStyle w:val="Hyperlink"/>
              </w:rPr>
              <w:t>C.</w:t>
            </w:r>
            <w:r w:rsidR="00776A32">
              <w:rPr>
                <w:rFonts w:asciiTheme="minorHAnsi" w:eastAsiaTheme="minorEastAsia" w:hAnsiTheme="minorHAnsi" w:cstheme="minorBidi"/>
                <w:snapToGrid/>
                <w:kern w:val="0"/>
                <w:szCs w:val="22"/>
              </w:rPr>
              <w:tab/>
            </w:r>
            <w:r w:rsidR="00776A32" w:rsidRPr="001362C1">
              <w:rPr>
                <w:rStyle w:val="Hyperlink"/>
              </w:rPr>
              <w:t>Revising Our De Minimis Threshold</w:t>
            </w:r>
            <w:r w:rsidR="001F76C4">
              <w:rPr>
                <w:rStyle w:val="Hyperlink"/>
              </w:rPr>
              <w:t xml:space="preserve"> and Eliminating Categories</w:t>
            </w:r>
            <w:r w:rsidR="00776A32">
              <w:rPr>
                <w:webHidden/>
              </w:rPr>
              <w:tab/>
            </w:r>
            <w:r w:rsidR="001F76C4">
              <w:rPr>
                <w:webHidden/>
              </w:rPr>
              <w:t>3</w:t>
            </w:r>
          </w:hyperlink>
          <w:r w:rsidR="00DB3DDB">
            <w:t>1</w:t>
          </w:r>
        </w:p>
        <w:p w:rsidR="00776A32" w:rsidRDefault="00EE36AC">
          <w:pPr>
            <w:pStyle w:val="TOC2"/>
            <w:rPr>
              <w:rFonts w:asciiTheme="minorHAnsi" w:eastAsiaTheme="minorEastAsia" w:hAnsiTheme="minorHAnsi" w:cstheme="minorBidi"/>
              <w:snapToGrid/>
              <w:kern w:val="0"/>
              <w:szCs w:val="22"/>
            </w:rPr>
          </w:pPr>
          <w:hyperlink w:anchor="_Toc384227054" w:history="1">
            <w:r w:rsidR="00776A32" w:rsidRPr="001362C1">
              <w:rPr>
                <w:rStyle w:val="Hyperlink"/>
              </w:rPr>
              <w:t>D.</w:t>
            </w:r>
            <w:r w:rsidR="00776A32">
              <w:rPr>
                <w:rFonts w:asciiTheme="minorHAnsi" w:eastAsiaTheme="minorEastAsia" w:hAnsiTheme="minorHAnsi" w:cstheme="minorBidi"/>
                <w:snapToGrid/>
                <w:kern w:val="0"/>
                <w:szCs w:val="22"/>
              </w:rPr>
              <w:tab/>
            </w:r>
            <w:r w:rsidR="00776A32" w:rsidRPr="001362C1">
              <w:rPr>
                <w:rStyle w:val="Hyperlink"/>
              </w:rPr>
              <w:t>A Cap or Limitation on Increases of Regulatory Fees for FY 2014</w:t>
            </w:r>
            <w:r w:rsidR="00776A32">
              <w:rPr>
                <w:webHidden/>
              </w:rPr>
              <w:tab/>
            </w:r>
            <w:r w:rsidR="001F76C4">
              <w:rPr>
                <w:webHidden/>
              </w:rPr>
              <w:t>3</w:t>
            </w:r>
          </w:hyperlink>
          <w:r w:rsidR="00DB3DDB">
            <w:t>4</w:t>
          </w:r>
        </w:p>
        <w:p w:rsidR="00776A32" w:rsidRDefault="00EE36AC">
          <w:pPr>
            <w:pStyle w:val="TOC2"/>
            <w:rPr>
              <w:rFonts w:asciiTheme="minorHAnsi" w:eastAsiaTheme="minorEastAsia" w:hAnsiTheme="minorHAnsi" w:cstheme="minorBidi"/>
              <w:snapToGrid/>
              <w:kern w:val="0"/>
              <w:szCs w:val="22"/>
            </w:rPr>
          </w:pPr>
          <w:hyperlink w:anchor="_Toc384227055" w:history="1">
            <w:r w:rsidR="00776A32" w:rsidRPr="001362C1">
              <w:rPr>
                <w:rStyle w:val="Hyperlink"/>
              </w:rPr>
              <w:t>E.</w:t>
            </w:r>
            <w:r w:rsidR="00776A32">
              <w:rPr>
                <w:rFonts w:asciiTheme="minorHAnsi" w:eastAsiaTheme="minorEastAsia" w:hAnsiTheme="minorHAnsi" w:cstheme="minorBidi"/>
                <w:snapToGrid/>
                <w:kern w:val="0"/>
                <w:szCs w:val="22"/>
              </w:rPr>
              <w:tab/>
            </w:r>
            <w:r w:rsidR="00776A32" w:rsidRPr="001362C1">
              <w:rPr>
                <w:rStyle w:val="Hyperlink"/>
              </w:rPr>
              <w:t>Additional Regulatory Fee Reform</w:t>
            </w:r>
            <w:r w:rsidR="00776A32">
              <w:rPr>
                <w:webHidden/>
              </w:rPr>
              <w:tab/>
            </w:r>
            <w:r w:rsidR="00F615B0">
              <w:rPr>
                <w:webHidden/>
              </w:rPr>
              <w:t>3</w:t>
            </w:r>
          </w:hyperlink>
          <w:r w:rsidR="00DB3DDB">
            <w:t>5</w:t>
          </w:r>
        </w:p>
        <w:p w:rsidR="00776A32" w:rsidRDefault="00EE36AC">
          <w:pPr>
            <w:pStyle w:val="TOC2"/>
            <w:rPr>
              <w:rFonts w:asciiTheme="minorHAnsi" w:eastAsiaTheme="minorEastAsia" w:hAnsiTheme="minorHAnsi" w:cstheme="minorBidi"/>
              <w:snapToGrid/>
              <w:kern w:val="0"/>
              <w:szCs w:val="22"/>
            </w:rPr>
          </w:pPr>
          <w:hyperlink w:anchor="_Toc384227056" w:history="1">
            <w:r w:rsidR="00776A32" w:rsidRPr="001362C1">
              <w:rPr>
                <w:rStyle w:val="Hyperlink"/>
              </w:rPr>
              <w:t>F.</w:t>
            </w:r>
            <w:r w:rsidR="00776A32">
              <w:rPr>
                <w:rFonts w:asciiTheme="minorHAnsi" w:eastAsiaTheme="minorEastAsia" w:hAnsiTheme="minorHAnsi" w:cstheme="minorBidi"/>
                <w:snapToGrid/>
                <w:kern w:val="0"/>
                <w:szCs w:val="22"/>
              </w:rPr>
              <w:tab/>
            </w:r>
            <w:r w:rsidR="00776A32" w:rsidRPr="001362C1">
              <w:rPr>
                <w:rStyle w:val="Hyperlink"/>
              </w:rPr>
              <w:t>Combining Existing Regulatory Fee Categories</w:t>
            </w:r>
            <w:r w:rsidR="00776A32">
              <w:rPr>
                <w:webHidden/>
              </w:rPr>
              <w:tab/>
            </w:r>
            <w:r w:rsidR="00F615B0">
              <w:rPr>
                <w:webHidden/>
              </w:rPr>
              <w:t>3</w:t>
            </w:r>
          </w:hyperlink>
          <w:r w:rsidR="00DB3DDB">
            <w:t>6</w:t>
          </w:r>
        </w:p>
        <w:p w:rsidR="00776A32" w:rsidRDefault="00EE36AC">
          <w:pPr>
            <w:pStyle w:val="TOC2"/>
            <w:rPr>
              <w:rFonts w:asciiTheme="minorHAnsi" w:eastAsiaTheme="minorEastAsia" w:hAnsiTheme="minorHAnsi" w:cstheme="minorBidi"/>
              <w:snapToGrid/>
              <w:kern w:val="0"/>
              <w:szCs w:val="22"/>
            </w:rPr>
          </w:pPr>
          <w:hyperlink w:anchor="_Toc384227057" w:history="1">
            <w:r w:rsidR="00776A32" w:rsidRPr="001362C1">
              <w:rPr>
                <w:rStyle w:val="Hyperlink"/>
              </w:rPr>
              <w:t>G.</w:t>
            </w:r>
            <w:r w:rsidR="00776A32">
              <w:rPr>
                <w:rFonts w:asciiTheme="minorHAnsi" w:eastAsiaTheme="minorEastAsia" w:hAnsiTheme="minorHAnsi" w:cstheme="minorBidi"/>
                <w:snapToGrid/>
                <w:kern w:val="0"/>
                <w:szCs w:val="22"/>
              </w:rPr>
              <w:tab/>
            </w:r>
            <w:r w:rsidR="00776A32" w:rsidRPr="001362C1">
              <w:rPr>
                <w:rStyle w:val="Hyperlink"/>
              </w:rPr>
              <w:t>New Regulatory Fee Categories</w:t>
            </w:r>
            <w:r w:rsidR="00776A32">
              <w:rPr>
                <w:webHidden/>
              </w:rPr>
              <w:tab/>
            </w:r>
          </w:hyperlink>
          <w:r w:rsidR="00DB3DDB">
            <w:t>41</w:t>
          </w:r>
        </w:p>
        <w:p w:rsidR="00776A32" w:rsidRDefault="00EE36AC">
          <w:pPr>
            <w:pStyle w:val="TOC3"/>
            <w:rPr>
              <w:rFonts w:asciiTheme="minorHAnsi" w:eastAsiaTheme="minorEastAsia" w:hAnsiTheme="minorHAnsi" w:cstheme="minorBidi"/>
              <w:snapToGrid/>
              <w:kern w:val="0"/>
              <w:szCs w:val="22"/>
            </w:rPr>
          </w:pPr>
          <w:hyperlink w:anchor="_Toc384227058" w:history="1">
            <w:r w:rsidR="00776A32" w:rsidRPr="001362C1">
              <w:rPr>
                <w:rStyle w:val="Hyperlink"/>
              </w:rPr>
              <w:t>1.</w:t>
            </w:r>
            <w:r w:rsidR="00776A32">
              <w:rPr>
                <w:rFonts w:asciiTheme="minorHAnsi" w:eastAsiaTheme="minorEastAsia" w:hAnsiTheme="minorHAnsi" w:cstheme="minorBidi"/>
                <w:snapToGrid/>
                <w:kern w:val="0"/>
                <w:szCs w:val="22"/>
              </w:rPr>
              <w:tab/>
            </w:r>
            <w:r w:rsidR="00776A32" w:rsidRPr="001362C1">
              <w:rPr>
                <w:rStyle w:val="Hyperlink"/>
              </w:rPr>
              <w:t>DBS</w:t>
            </w:r>
            <w:r w:rsidR="00776A32">
              <w:rPr>
                <w:webHidden/>
              </w:rPr>
              <w:tab/>
            </w:r>
          </w:hyperlink>
          <w:r w:rsidR="00DB3DDB">
            <w:t>41</w:t>
          </w:r>
        </w:p>
        <w:p w:rsidR="00776A32" w:rsidRPr="00FB6B30" w:rsidRDefault="00EE36AC">
          <w:pPr>
            <w:pStyle w:val="TOC3"/>
          </w:pPr>
          <w:hyperlink w:anchor="_Toc384227059" w:history="1">
            <w:r w:rsidR="00776A32" w:rsidRPr="001362C1">
              <w:rPr>
                <w:rStyle w:val="Hyperlink"/>
              </w:rPr>
              <w:t>2.</w:t>
            </w:r>
            <w:r w:rsidR="00776A32">
              <w:rPr>
                <w:rFonts w:asciiTheme="minorHAnsi" w:eastAsiaTheme="minorEastAsia" w:hAnsiTheme="minorHAnsi" w:cstheme="minorBidi"/>
                <w:snapToGrid/>
                <w:kern w:val="0"/>
                <w:szCs w:val="22"/>
              </w:rPr>
              <w:tab/>
            </w:r>
            <w:r w:rsidR="00776A32" w:rsidRPr="001362C1">
              <w:rPr>
                <w:rStyle w:val="Hyperlink"/>
              </w:rPr>
              <w:t>Non-U.S.-Licensed Space Stations Serving the United States</w:t>
            </w:r>
            <w:r w:rsidR="00776A32">
              <w:rPr>
                <w:webHidden/>
              </w:rPr>
              <w:tab/>
            </w:r>
            <w:r w:rsidR="00F615B0">
              <w:rPr>
                <w:webHidden/>
              </w:rPr>
              <w:t>4</w:t>
            </w:r>
          </w:hyperlink>
          <w:r w:rsidR="00DB3DDB">
            <w:t>8</w:t>
          </w:r>
        </w:p>
        <w:p w:rsidR="00DB3DDB" w:rsidRPr="00DB3DDB" w:rsidRDefault="00DB3DDB" w:rsidP="00DB3DDB">
          <w:pPr>
            <w:rPr>
              <w:rFonts w:eastAsiaTheme="minorEastAsia"/>
            </w:rPr>
          </w:pPr>
          <w:r>
            <w:rPr>
              <w:rFonts w:eastAsiaTheme="minorEastAsia"/>
            </w:rPr>
            <w:tab/>
            <w:t>3.   Toll Free Numbers…………………………………………………………………...……….52</w:t>
          </w:r>
        </w:p>
        <w:p w:rsidR="00776A32" w:rsidRDefault="00EE36AC">
          <w:pPr>
            <w:pStyle w:val="TOC1"/>
            <w:tabs>
              <w:tab w:val="left" w:pos="720"/>
            </w:tabs>
            <w:rPr>
              <w:rFonts w:asciiTheme="minorHAnsi" w:eastAsiaTheme="minorEastAsia" w:hAnsiTheme="minorHAnsi" w:cstheme="minorBidi"/>
              <w:caps w:val="0"/>
              <w:snapToGrid/>
              <w:kern w:val="0"/>
              <w:szCs w:val="22"/>
            </w:rPr>
          </w:pPr>
          <w:hyperlink w:anchor="_Toc384227062" w:history="1">
            <w:r w:rsidR="00776A32" w:rsidRPr="001362C1">
              <w:rPr>
                <w:rStyle w:val="Hyperlink"/>
              </w:rPr>
              <w:t>VII.</w:t>
            </w:r>
            <w:r w:rsidR="00776A32">
              <w:rPr>
                <w:rFonts w:asciiTheme="minorHAnsi" w:eastAsiaTheme="minorEastAsia" w:hAnsiTheme="minorHAnsi" w:cstheme="minorBidi"/>
                <w:caps w:val="0"/>
                <w:snapToGrid/>
                <w:kern w:val="0"/>
                <w:szCs w:val="22"/>
              </w:rPr>
              <w:tab/>
            </w:r>
            <w:r w:rsidR="00776A32" w:rsidRPr="001362C1">
              <w:rPr>
                <w:rStyle w:val="Hyperlink"/>
              </w:rPr>
              <w:t>procedural matters</w:t>
            </w:r>
            <w:r w:rsidR="00776A32">
              <w:rPr>
                <w:webHidden/>
              </w:rPr>
              <w:tab/>
            </w:r>
          </w:hyperlink>
          <w:r w:rsidR="00DB3DDB">
            <w:t>53</w:t>
          </w:r>
        </w:p>
        <w:p w:rsidR="00776A32" w:rsidRDefault="00EE36AC">
          <w:pPr>
            <w:pStyle w:val="TOC2"/>
          </w:pPr>
          <w:hyperlink w:anchor="_Toc384227063" w:history="1">
            <w:r w:rsidR="00776A32" w:rsidRPr="001362C1">
              <w:rPr>
                <w:rStyle w:val="Hyperlink"/>
              </w:rPr>
              <w:t>A.</w:t>
            </w:r>
            <w:r w:rsidR="00776A32">
              <w:rPr>
                <w:rFonts w:asciiTheme="minorHAnsi" w:eastAsiaTheme="minorEastAsia" w:hAnsiTheme="minorHAnsi" w:cstheme="minorBidi"/>
                <w:snapToGrid/>
                <w:kern w:val="0"/>
                <w:szCs w:val="22"/>
              </w:rPr>
              <w:tab/>
            </w:r>
            <w:r w:rsidR="00776A32" w:rsidRPr="001362C1">
              <w:rPr>
                <w:rStyle w:val="Hyperlink"/>
              </w:rPr>
              <w:t>Payment of Regulatory Fees</w:t>
            </w:r>
            <w:r w:rsidR="00776A32">
              <w:rPr>
                <w:webHidden/>
              </w:rPr>
              <w:tab/>
            </w:r>
          </w:hyperlink>
          <w:r w:rsidR="00DB3DDB">
            <w:t>53</w:t>
          </w:r>
        </w:p>
        <w:p w:rsidR="00F615B0" w:rsidRPr="00F615B0" w:rsidRDefault="00F615B0" w:rsidP="00F615B0">
          <w:pPr>
            <w:rPr>
              <w:rFonts w:eastAsiaTheme="minorEastAsia"/>
            </w:rPr>
          </w:pPr>
          <w:r>
            <w:rPr>
              <w:rFonts w:eastAsiaTheme="minorEastAsia"/>
            </w:rPr>
            <w:lastRenderedPageBreak/>
            <w:tab/>
            <w:t>1.   Manner of Payment………………………………………………………………………</w:t>
          </w:r>
          <w:r w:rsidR="00DC6A2F">
            <w:rPr>
              <w:rFonts w:eastAsiaTheme="minorEastAsia"/>
            </w:rPr>
            <w:t>..</w:t>
          </w:r>
          <w:r w:rsidR="000D6329">
            <w:rPr>
              <w:rFonts w:eastAsiaTheme="minorEastAsia"/>
            </w:rPr>
            <w:t>….</w:t>
          </w:r>
          <w:r w:rsidR="00C45254">
            <w:rPr>
              <w:rFonts w:eastAsiaTheme="minorEastAsia"/>
            </w:rPr>
            <w:t>54</w:t>
          </w:r>
        </w:p>
        <w:p w:rsidR="00776A32" w:rsidRDefault="00EE36AC">
          <w:pPr>
            <w:pStyle w:val="TOC3"/>
            <w:rPr>
              <w:rFonts w:asciiTheme="minorHAnsi" w:eastAsiaTheme="minorEastAsia" w:hAnsiTheme="minorHAnsi" w:cstheme="minorBidi"/>
              <w:snapToGrid/>
              <w:kern w:val="0"/>
              <w:szCs w:val="22"/>
            </w:rPr>
          </w:pPr>
          <w:hyperlink w:anchor="_Toc384227064" w:history="1">
            <w:r w:rsidR="00DC6A2F">
              <w:t>2</w:t>
            </w:r>
            <w:r w:rsidR="00776A32" w:rsidRPr="001362C1">
              <w:rPr>
                <w:rStyle w:val="Hyperlink"/>
              </w:rPr>
              <w:t>.</w:t>
            </w:r>
            <w:r w:rsidR="00776A32">
              <w:rPr>
                <w:rFonts w:asciiTheme="minorHAnsi" w:eastAsiaTheme="minorEastAsia" w:hAnsiTheme="minorHAnsi" w:cstheme="minorBidi"/>
                <w:snapToGrid/>
                <w:kern w:val="0"/>
                <w:szCs w:val="22"/>
              </w:rPr>
              <w:tab/>
            </w:r>
            <w:r w:rsidR="00776A32" w:rsidRPr="001362C1">
              <w:rPr>
                <w:rStyle w:val="Hyperlink"/>
              </w:rPr>
              <w:t>Lock Box Bank</w:t>
            </w:r>
            <w:r w:rsidR="00776A32">
              <w:rPr>
                <w:webHidden/>
              </w:rPr>
              <w:tab/>
            </w:r>
          </w:hyperlink>
          <w:r w:rsidR="00C45254">
            <w:t>55</w:t>
          </w:r>
        </w:p>
        <w:p w:rsidR="00776A32" w:rsidRDefault="00EE36AC">
          <w:pPr>
            <w:pStyle w:val="TOC3"/>
            <w:rPr>
              <w:rFonts w:asciiTheme="minorHAnsi" w:eastAsiaTheme="minorEastAsia" w:hAnsiTheme="minorHAnsi" w:cstheme="minorBidi"/>
              <w:snapToGrid/>
              <w:kern w:val="0"/>
              <w:szCs w:val="22"/>
            </w:rPr>
          </w:pPr>
          <w:hyperlink w:anchor="_Toc384227065" w:history="1">
            <w:r w:rsidR="00DC6A2F">
              <w:t>3</w:t>
            </w:r>
            <w:r w:rsidR="00776A32" w:rsidRPr="001362C1">
              <w:rPr>
                <w:rStyle w:val="Hyperlink"/>
              </w:rPr>
              <w:t>.</w:t>
            </w:r>
            <w:r w:rsidR="00776A32">
              <w:rPr>
                <w:rFonts w:asciiTheme="minorHAnsi" w:eastAsiaTheme="minorEastAsia" w:hAnsiTheme="minorHAnsi" w:cstheme="minorBidi"/>
                <w:snapToGrid/>
                <w:kern w:val="0"/>
                <w:szCs w:val="22"/>
              </w:rPr>
              <w:tab/>
            </w:r>
            <w:r w:rsidR="00776A32" w:rsidRPr="001362C1">
              <w:rPr>
                <w:rStyle w:val="Hyperlink"/>
              </w:rPr>
              <w:t>Receiving Bank for Wire Payments</w:t>
            </w:r>
            <w:r w:rsidR="00776A32">
              <w:rPr>
                <w:webHidden/>
              </w:rPr>
              <w:tab/>
            </w:r>
            <w:r w:rsidR="00DC6A2F">
              <w:rPr>
                <w:webHidden/>
              </w:rPr>
              <w:t>5</w:t>
            </w:r>
          </w:hyperlink>
          <w:r w:rsidR="00C45254">
            <w:t>6</w:t>
          </w:r>
        </w:p>
        <w:p w:rsidR="00776A32" w:rsidRDefault="00EE36AC">
          <w:pPr>
            <w:pStyle w:val="TOC3"/>
            <w:rPr>
              <w:rFonts w:asciiTheme="minorHAnsi" w:eastAsiaTheme="minorEastAsia" w:hAnsiTheme="minorHAnsi" w:cstheme="minorBidi"/>
              <w:snapToGrid/>
              <w:kern w:val="0"/>
              <w:szCs w:val="22"/>
            </w:rPr>
          </w:pPr>
          <w:hyperlink w:anchor="_Toc384227066" w:history="1">
            <w:r w:rsidR="00DC6A2F">
              <w:t>4</w:t>
            </w:r>
            <w:r w:rsidR="00776A32" w:rsidRPr="001362C1">
              <w:rPr>
                <w:rStyle w:val="Hyperlink"/>
              </w:rPr>
              <w:t>.</w:t>
            </w:r>
            <w:r w:rsidR="00776A32">
              <w:rPr>
                <w:rFonts w:asciiTheme="minorHAnsi" w:eastAsiaTheme="minorEastAsia" w:hAnsiTheme="minorHAnsi" w:cstheme="minorBidi"/>
                <w:snapToGrid/>
                <w:kern w:val="0"/>
                <w:szCs w:val="22"/>
              </w:rPr>
              <w:tab/>
            </w:r>
            <w:r w:rsidR="00776A32" w:rsidRPr="001362C1">
              <w:rPr>
                <w:rStyle w:val="Hyperlink"/>
              </w:rPr>
              <w:t>De Minimis Regulatory Fees</w:t>
            </w:r>
            <w:r w:rsidR="00776A32">
              <w:rPr>
                <w:webHidden/>
              </w:rPr>
              <w:tab/>
            </w:r>
          </w:hyperlink>
          <w:r w:rsidR="00DC6A2F">
            <w:t>5</w:t>
          </w:r>
          <w:r w:rsidR="00C45254">
            <w:t>7</w:t>
          </w:r>
        </w:p>
        <w:p w:rsidR="00776A32" w:rsidRDefault="00EE36AC">
          <w:pPr>
            <w:pStyle w:val="TOC3"/>
            <w:rPr>
              <w:rFonts w:asciiTheme="minorHAnsi" w:eastAsiaTheme="minorEastAsia" w:hAnsiTheme="minorHAnsi" w:cstheme="minorBidi"/>
              <w:snapToGrid/>
              <w:kern w:val="0"/>
              <w:szCs w:val="22"/>
            </w:rPr>
          </w:pPr>
          <w:hyperlink w:anchor="_Toc384227067" w:history="1">
            <w:r w:rsidR="00DC6A2F">
              <w:t>5</w:t>
            </w:r>
            <w:r w:rsidR="00776A32" w:rsidRPr="001362C1">
              <w:rPr>
                <w:rStyle w:val="Hyperlink"/>
              </w:rPr>
              <w:t>.</w:t>
            </w:r>
            <w:r w:rsidR="00776A32">
              <w:rPr>
                <w:rFonts w:asciiTheme="minorHAnsi" w:eastAsiaTheme="minorEastAsia" w:hAnsiTheme="minorHAnsi" w:cstheme="minorBidi"/>
                <w:snapToGrid/>
                <w:kern w:val="0"/>
                <w:szCs w:val="22"/>
              </w:rPr>
              <w:tab/>
            </w:r>
            <w:r w:rsidR="00776A32" w:rsidRPr="001362C1">
              <w:rPr>
                <w:rStyle w:val="Hyperlink"/>
              </w:rPr>
              <w:t>Standard Fee Calculations</w:t>
            </w:r>
            <w:r w:rsidR="00776A32">
              <w:rPr>
                <w:webHidden/>
              </w:rPr>
              <w:tab/>
            </w:r>
            <w:r w:rsidR="00DC6A2F">
              <w:rPr>
                <w:webHidden/>
              </w:rPr>
              <w:t>5</w:t>
            </w:r>
          </w:hyperlink>
          <w:r w:rsidR="00C45254">
            <w:t>8</w:t>
          </w:r>
        </w:p>
        <w:p w:rsidR="00776A32" w:rsidRDefault="00EE36AC">
          <w:pPr>
            <w:pStyle w:val="TOC2"/>
            <w:rPr>
              <w:rFonts w:asciiTheme="minorHAnsi" w:eastAsiaTheme="minorEastAsia" w:hAnsiTheme="minorHAnsi" w:cstheme="minorBidi"/>
              <w:snapToGrid/>
              <w:kern w:val="0"/>
              <w:szCs w:val="22"/>
            </w:rPr>
          </w:pPr>
          <w:hyperlink w:anchor="_Toc384227068" w:history="1">
            <w:r w:rsidR="00776A32" w:rsidRPr="001362C1">
              <w:rPr>
                <w:rStyle w:val="Hyperlink"/>
              </w:rPr>
              <w:t>B.</w:t>
            </w:r>
            <w:r w:rsidR="00776A32">
              <w:rPr>
                <w:rFonts w:asciiTheme="minorHAnsi" w:eastAsiaTheme="minorEastAsia" w:hAnsiTheme="minorHAnsi" w:cstheme="minorBidi"/>
                <w:snapToGrid/>
                <w:kern w:val="0"/>
                <w:szCs w:val="22"/>
              </w:rPr>
              <w:tab/>
            </w:r>
            <w:r w:rsidR="00776A32" w:rsidRPr="001362C1">
              <w:rPr>
                <w:rStyle w:val="Hyperlink"/>
              </w:rPr>
              <w:t>Enforcement</w:t>
            </w:r>
            <w:r w:rsidR="00776A32">
              <w:rPr>
                <w:webHidden/>
              </w:rPr>
              <w:tab/>
            </w:r>
            <w:r w:rsidR="00DC6A2F">
              <w:rPr>
                <w:webHidden/>
              </w:rPr>
              <w:t>5</w:t>
            </w:r>
          </w:hyperlink>
          <w:r w:rsidR="00C45254">
            <w:t>9</w:t>
          </w:r>
        </w:p>
        <w:p w:rsidR="00776A32" w:rsidRDefault="00EE36AC">
          <w:pPr>
            <w:pStyle w:val="TOC2"/>
            <w:rPr>
              <w:rFonts w:asciiTheme="minorHAnsi" w:eastAsiaTheme="minorEastAsia" w:hAnsiTheme="minorHAnsi" w:cstheme="minorBidi"/>
              <w:snapToGrid/>
              <w:kern w:val="0"/>
              <w:szCs w:val="22"/>
            </w:rPr>
          </w:pPr>
          <w:hyperlink w:anchor="_Toc384227069" w:history="1">
            <w:r w:rsidR="00776A32" w:rsidRPr="001362C1">
              <w:rPr>
                <w:rStyle w:val="Hyperlink"/>
              </w:rPr>
              <w:t>C.</w:t>
            </w:r>
            <w:r w:rsidR="00776A32">
              <w:rPr>
                <w:rFonts w:asciiTheme="minorHAnsi" w:eastAsiaTheme="minorEastAsia" w:hAnsiTheme="minorHAnsi" w:cstheme="minorBidi"/>
                <w:snapToGrid/>
                <w:kern w:val="0"/>
                <w:szCs w:val="22"/>
              </w:rPr>
              <w:tab/>
            </w:r>
            <w:r w:rsidR="00776A32" w:rsidRPr="001362C1">
              <w:rPr>
                <w:rStyle w:val="Hyperlink"/>
              </w:rPr>
              <w:t>Initial Regulatory Flexibility Analysis</w:t>
            </w:r>
            <w:r w:rsidR="00776A32">
              <w:rPr>
                <w:webHidden/>
              </w:rPr>
              <w:tab/>
            </w:r>
          </w:hyperlink>
          <w:r w:rsidR="00C45254">
            <w:t>61</w:t>
          </w:r>
        </w:p>
        <w:p w:rsidR="00776A32" w:rsidRDefault="00EE36AC">
          <w:pPr>
            <w:pStyle w:val="TOC2"/>
            <w:rPr>
              <w:rFonts w:asciiTheme="minorHAnsi" w:eastAsiaTheme="minorEastAsia" w:hAnsiTheme="minorHAnsi" w:cstheme="minorBidi"/>
              <w:snapToGrid/>
              <w:kern w:val="0"/>
              <w:szCs w:val="22"/>
            </w:rPr>
          </w:pPr>
          <w:hyperlink w:anchor="_Toc384227070" w:history="1">
            <w:r w:rsidR="00776A32" w:rsidRPr="001362C1">
              <w:rPr>
                <w:rStyle w:val="Hyperlink"/>
              </w:rPr>
              <w:t>D.</w:t>
            </w:r>
            <w:r w:rsidR="00776A32">
              <w:rPr>
                <w:rFonts w:asciiTheme="minorHAnsi" w:eastAsiaTheme="minorEastAsia" w:hAnsiTheme="minorHAnsi" w:cstheme="minorBidi"/>
                <w:snapToGrid/>
                <w:kern w:val="0"/>
                <w:szCs w:val="22"/>
              </w:rPr>
              <w:tab/>
            </w:r>
            <w:r w:rsidR="00776A32" w:rsidRPr="001362C1">
              <w:rPr>
                <w:rStyle w:val="Hyperlink"/>
              </w:rPr>
              <w:t>Initial Paperwork Reduction Act of 1995 Analysis</w:t>
            </w:r>
            <w:r w:rsidR="00776A32">
              <w:rPr>
                <w:webHidden/>
              </w:rPr>
              <w:tab/>
            </w:r>
          </w:hyperlink>
          <w:r w:rsidR="00C45254">
            <w:t>62</w:t>
          </w:r>
        </w:p>
        <w:p w:rsidR="00776A32" w:rsidRDefault="00EE36AC">
          <w:pPr>
            <w:pStyle w:val="TOC2"/>
            <w:rPr>
              <w:rFonts w:asciiTheme="minorHAnsi" w:eastAsiaTheme="minorEastAsia" w:hAnsiTheme="minorHAnsi" w:cstheme="minorBidi"/>
              <w:snapToGrid/>
              <w:kern w:val="0"/>
              <w:szCs w:val="22"/>
            </w:rPr>
          </w:pPr>
          <w:hyperlink w:anchor="_Toc384227071" w:history="1">
            <w:r w:rsidR="00776A32" w:rsidRPr="001362C1">
              <w:rPr>
                <w:rStyle w:val="Hyperlink"/>
              </w:rPr>
              <w:t>E.</w:t>
            </w:r>
            <w:r w:rsidR="00776A32">
              <w:rPr>
                <w:rFonts w:asciiTheme="minorHAnsi" w:eastAsiaTheme="minorEastAsia" w:hAnsiTheme="minorHAnsi" w:cstheme="minorBidi"/>
                <w:snapToGrid/>
                <w:kern w:val="0"/>
                <w:szCs w:val="22"/>
              </w:rPr>
              <w:tab/>
            </w:r>
            <w:r w:rsidR="00776A32" w:rsidRPr="001362C1">
              <w:rPr>
                <w:rStyle w:val="Hyperlink"/>
              </w:rPr>
              <w:t>Filing Instructions</w:t>
            </w:r>
            <w:r w:rsidR="00776A32">
              <w:rPr>
                <w:webHidden/>
              </w:rPr>
              <w:tab/>
            </w:r>
          </w:hyperlink>
          <w:r w:rsidR="00C45254">
            <w:t>63</w:t>
          </w:r>
        </w:p>
        <w:p w:rsidR="00776A32" w:rsidRDefault="00EE36AC">
          <w:pPr>
            <w:pStyle w:val="TOC2"/>
            <w:rPr>
              <w:rFonts w:asciiTheme="minorHAnsi" w:eastAsiaTheme="minorEastAsia" w:hAnsiTheme="minorHAnsi" w:cstheme="minorBidi"/>
              <w:snapToGrid/>
              <w:kern w:val="0"/>
              <w:szCs w:val="22"/>
            </w:rPr>
          </w:pPr>
          <w:hyperlink w:anchor="_Toc384227072" w:history="1">
            <w:r w:rsidR="00776A32" w:rsidRPr="001362C1">
              <w:rPr>
                <w:rStyle w:val="Hyperlink"/>
              </w:rPr>
              <w:t>F.</w:t>
            </w:r>
            <w:r w:rsidR="00776A32">
              <w:rPr>
                <w:rFonts w:asciiTheme="minorHAnsi" w:eastAsiaTheme="minorEastAsia" w:hAnsiTheme="minorHAnsi" w:cstheme="minorBidi"/>
                <w:snapToGrid/>
                <w:kern w:val="0"/>
                <w:szCs w:val="22"/>
              </w:rPr>
              <w:tab/>
            </w:r>
            <w:r w:rsidR="00776A32" w:rsidRPr="001362C1">
              <w:rPr>
                <w:rStyle w:val="Hyperlink"/>
              </w:rPr>
              <w:t>Ex Parte Information</w:t>
            </w:r>
            <w:r w:rsidR="00776A32">
              <w:rPr>
                <w:webHidden/>
              </w:rPr>
              <w:tab/>
            </w:r>
          </w:hyperlink>
          <w:r w:rsidR="00C45254">
            <w:t>65</w:t>
          </w:r>
        </w:p>
        <w:p w:rsidR="00776A32" w:rsidRDefault="00EE36AC" w:rsidP="00776A32">
          <w:pPr>
            <w:pStyle w:val="TOC1"/>
          </w:pPr>
          <w:hyperlink w:anchor="_Toc384227073" w:history="1">
            <w:r w:rsidR="00776A32" w:rsidRPr="001362C1">
              <w:rPr>
                <w:rStyle w:val="Hyperlink"/>
              </w:rPr>
              <w:t>IX.</w:t>
            </w:r>
            <w:r w:rsidR="00776A32">
              <w:rPr>
                <w:rFonts w:asciiTheme="minorHAnsi" w:eastAsiaTheme="minorEastAsia" w:hAnsiTheme="minorHAnsi" w:cstheme="minorBidi"/>
                <w:caps w:val="0"/>
                <w:snapToGrid/>
                <w:kern w:val="0"/>
                <w:szCs w:val="22"/>
              </w:rPr>
              <w:tab/>
            </w:r>
            <w:r w:rsidR="00776A32" w:rsidRPr="001362C1">
              <w:rPr>
                <w:rStyle w:val="Hyperlink"/>
              </w:rPr>
              <w:t>ORDERING CLAUSES</w:t>
            </w:r>
            <w:r w:rsidR="00776A32">
              <w:rPr>
                <w:webHidden/>
              </w:rPr>
              <w:tab/>
            </w:r>
            <w:r w:rsidR="00DC6A2F">
              <w:rPr>
                <w:webHidden/>
              </w:rPr>
              <w:t>6</w:t>
            </w:r>
          </w:hyperlink>
          <w:r w:rsidR="00C45254">
            <w:t>6</w:t>
          </w:r>
        </w:p>
        <w:p w:rsidR="00AC4578" w:rsidRDefault="00AC4578" w:rsidP="00AC4578">
          <w:pPr>
            <w:rPr>
              <w:rFonts w:eastAsiaTheme="minorEastAsia"/>
            </w:rPr>
          </w:pPr>
          <w:r>
            <w:rPr>
              <w:rFonts w:eastAsiaTheme="minorEastAsia"/>
            </w:rPr>
            <w:t>ATTACHMENT A—Calculation of FY 2014 Revenue Requirements and Pro-Rata Fees</w:t>
          </w:r>
        </w:p>
        <w:p w:rsidR="00AC4578" w:rsidRDefault="00AC4578" w:rsidP="00AC4578">
          <w:pPr>
            <w:rPr>
              <w:rFonts w:eastAsiaTheme="minorEastAsia"/>
            </w:rPr>
          </w:pPr>
          <w:r>
            <w:rPr>
              <w:rFonts w:eastAsiaTheme="minorEastAsia"/>
            </w:rPr>
            <w:t>ATTACHMENT B—Proposed FY 2014 Regulatory Fees</w:t>
          </w:r>
        </w:p>
        <w:p w:rsidR="00AC4578" w:rsidRDefault="00AC4578" w:rsidP="00AC4578">
          <w:pPr>
            <w:rPr>
              <w:rFonts w:eastAsiaTheme="minorEastAsia"/>
            </w:rPr>
          </w:pPr>
          <w:r>
            <w:rPr>
              <w:rFonts w:eastAsiaTheme="minorEastAsia"/>
            </w:rPr>
            <w:t>ATTACHMENT C—Sources of Payment Unit Estimates for FY 2014</w:t>
          </w:r>
        </w:p>
        <w:p w:rsidR="00AC4578" w:rsidRDefault="00AC4578" w:rsidP="00AC4578">
          <w:pPr>
            <w:rPr>
              <w:rFonts w:eastAsiaTheme="minorEastAsia"/>
            </w:rPr>
          </w:pPr>
          <w:r>
            <w:rPr>
              <w:rFonts w:eastAsiaTheme="minorEastAsia"/>
            </w:rPr>
            <w:t>ATTACHMENT D—Signal Contours and Associated Population Coverage</w:t>
          </w:r>
        </w:p>
        <w:p w:rsidR="00AC4578" w:rsidRDefault="00AC4578" w:rsidP="00AC4578">
          <w:pPr>
            <w:rPr>
              <w:rFonts w:eastAsiaTheme="minorEastAsia"/>
            </w:rPr>
          </w:pPr>
          <w:r>
            <w:rPr>
              <w:rFonts w:eastAsiaTheme="minorEastAsia"/>
            </w:rPr>
            <w:t>ATTACHMENT E—Initial Regulatory Flexibility Analysis</w:t>
          </w:r>
        </w:p>
        <w:p w:rsidR="00AC4578" w:rsidRDefault="00AC4578" w:rsidP="00AC4578">
          <w:pPr>
            <w:rPr>
              <w:rFonts w:eastAsiaTheme="minorEastAsia"/>
            </w:rPr>
          </w:pPr>
          <w:r>
            <w:rPr>
              <w:rFonts w:eastAsiaTheme="minorEastAsia"/>
            </w:rPr>
            <w:t>ATTACHMENT F—FY 2013 Regulatory Fees</w:t>
          </w:r>
        </w:p>
        <w:p w:rsidR="00AC4578" w:rsidRPr="00AC4578" w:rsidRDefault="00AC4578" w:rsidP="00AC4578">
          <w:pPr>
            <w:rPr>
              <w:rFonts w:eastAsiaTheme="minorEastAsia"/>
            </w:rPr>
          </w:pPr>
          <w:r>
            <w:rPr>
              <w:rFonts w:eastAsiaTheme="minorEastAsia"/>
            </w:rPr>
            <w:t>ATTACHMENT G—Rules (electronic payment requirement)</w:t>
          </w:r>
        </w:p>
        <w:p w:rsidR="00AE776E" w:rsidRDefault="00253DF7" w:rsidP="00AE776E">
          <w:pPr>
            <w:pStyle w:val="TOC1"/>
          </w:pPr>
          <w:r>
            <w:rPr>
              <w:b/>
              <w:bCs/>
            </w:rPr>
            <w:fldChar w:fldCharType="end"/>
          </w:r>
        </w:p>
      </w:sdtContent>
    </w:sdt>
    <w:p w:rsidR="004777BD" w:rsidRPr="00726E19" w:rsidRDefault="004777BD" w:rsidP="00A1103B">
      <w:pPr>
        <w:pStyle w:val="Heading1"/>
        <w:rPr>
          <w:rFonts w:ascii="Times New Roman" w:hAnsi="Times New Roman"/>
          <w:bCs/>
          <w:szCs w:val="22"/>
        </w:rPr>
      </w:pPr>
      <w:bookmarkStart w:id="11" w:name="_Toc384227044"/>
      <w:r w:rsidRPr="00726E19">
        <w:rPr>
          <w:rFonts w:ascii="Times New Roman" w:hAnsi="Times New Roman"/>
          <w:bCs/>
          <w:szCs w:val="22"/>
        </w:rPr>
        <w:t>introduction</w:t>
      </w:r>
      <w:bookmarkEnd w:id="6"/>
      <w:bookmarkEnd w:id="5"/>
      <w:bookmarkEnd w:id="4"/>
      <w:bookmarkEnd w:id="3"/>
      <w:bookmarkEnd w:id="2"/>
      <w:bookmarkEnd w:id="1"/>
      <w:r w:rsidR="005F0CAD" w:rsidRPr="00726E19">
        <w:rPr>
          <w:rFonts w:ascii="Times New Roman" w:hAnsi="Times New Roman"/>
          <w:bCs/>
          <w:szCs w:val="22"/>
        </w:rPr>
        <w:t xml:space="preserve"> </w:t>
      </w:r>
      <w:bookmarkEnd w:id="10"/>
      <w:bookmarkEnd w:id="9"/>
      <w:bookmarkEnd w:id="8"/>
      <w:bookmarkEnd w:id="7"/>
      <w:r w:rsidR="00CE0DD3">
        <w:rPr>
          <w:rFonts w:ascii="Times New Roman" w:hAnsi="Times New Roman"/>
          <w:bCs/>
          <w:szCs w:val="22"/>
        </w:rPr>
        <w:t>and executive summary</w:t>
      </w:r>
      <w:bookmarkEnd w:id="11"/>
    </w:p>
    <w:p w:rsidR="00F974C9" w:rsidRDefault="000446AA" w:rsidP="0041118E">
      <w:pPr>
        <w:pStyle w:val="ParaNum"/>
        <w:ind w:left="-90"/>
      </w:pPr>
      <w:r w:rsidRPr="00E86C37">
        <w:t>In t</w:t>
      </w:r>
      <w:r w:rsidR="004777BD" w:rsidRPr="00E86C37">
        <w:t xml:space="preserve">his </w:t>
      </w:r>
      <w:r w:rsidR="00DB39E1" w:rsidRPr="00E86C37">
        <w:t>Notice of Proposed Rulemaking</w:t>
      </w:r>
      <w:r w:rsidR="003A4042">
        <w:t xml:space="preserve">, </w:t>
      </w:r>
      <w:r w:rsidR="0011127C">
        <w:t xml:space="preserve">Second </w:t>
      </w:r>
      <w:r w:rsidR="002421B0">
        <w:t xml:space="preserve">Further </w:t>
      </w:r>
      <w:r w:rsidR="00385A20" w:rsidRPr="00E86C37">
        <w:t>Notice of Proposed Rulemaking</w:t>
      </w:r>
      <w:r w:rsidR="003A4042">
        <w:t>, and Order</w:t>
      </w:r>
      <w:r w:rsidR="00385A20" w:rsidRPr="00E86C37">
        <w:t xml:space="preserve"> </w:t>
      </w:r>
      <w:r w:rsidR="00DB39E1" w:rsidRPr="00E86C37">
        <w:t>(</w:t>
      </w:r>
      <w:r w:rsidR="002421B0">
        <w:t>Notice</w:t>
      </w:r>
      <w:r w:rsidR="00DB39E1" w:rsidRPr="00E86C37">
        <w:t xml:space="preserve">) </w:t>
      </w:r>
      <w:r w:rsidRPr="00E86C37">
        <w:t xml:space="preserve">we </w:t>
      </w:r>
      <w:r w:rsidR="003A4042">
        <w:t xml:space="preserve">seek comment on </w:t>
      </w:r>
      <w:r w:rsidR="00E51A5A" w:rsidRPr="00E86C37">
        <w:t>the Federal Communication Commission</w:t>
      </w:r>
      <w:r w:rsidR="003A4042">
        <w:t>’s</w:t>
      </w:r>
      <w:r w:rsidR="00E51A5A" w:rsidRPr="00E86C37">
        <w:t xml:space="preserve"> (FCC</w:t>
      </w:r>
      <w:r w:rsidR="003A4042">
        <w:t>’s</w:t>
      </w:r>
      <w:r w:rsidR="00E51A5A" w:rsidRPr="00E86C37">
        <w:t xml:space="preserve"> or Commission</w:t>
      </w:r>
      <w:r w:rsidR="003A4042">
        <w:t>’s</w:t>
      </w:r>
      <w:r w:rsidR="00E51A5A" w:rsidRPr="00E86C37">
        <w:t xml:space="preserve">) </w:t>
      </w:r>
      <w:r w:rsidR="0078092F" w:rsidRPr="00E86C37">
        <w:t xml:space="preserve">proposed regulatory fees for </w:t>
      </w:r>
      <w:r w:rsidR="00293559">
        <w:t>fiscal year (</w:t>
      </w:r>
      <w:r w:rsidR="0078092F" w:rsidRPr="00E86C37">
        <w:t>FY</w:t>
      </w:r>
      <w:r w:rsidR="00293559">
        <w:t>)</w:t>
      </w:r>
      <w:r w:rsidR="0078092F" w:rsidRPr="00E86C37">
        <w:t xml:space="preserve"> 2014</w:t>
      </w:r>
      <w:r w:rsidR="003A4042">
        <w:t xml:space="preserve"> and we continue our efforts to improve the Commission’s regulatory fee process</w:t>
      </w:r>
      <w:r w:rsidR="0078092F" w:rsidRPr="00E86C37">
        <w:t xml:space="preserve">. </w:t>
      </w:r>
      <w:r w:rsidR="00DB39E1" w:rsidRPr="00E86C37">
        <w:t xml:space="preserve"> </w:t>
      </w:r>
      <w:r w:rsidR="00E51A5A" w:rsidRPr="00E86C37">
        <w:t xml:space="preserve">In 2013, </w:t>
      </w:r>
      <w:r w:rsidR="00827B87">
        <w:t>the Commission</w:t>
      </w:r>
      <w:r w:rsidR="0014430F" w:rsidRPr="00E86C37">
        <w:t xml:space="preserve"> </w:t>
      </w:r>
      <w:r w:rsidR="00E51A5A" w:rsidRPr="00E86C37">
        <w:t>sought</w:t>
      </w:r>
      <w:r w:rsidR="006D76DE" w:rsidRPr="00E86C37">
        <w:t xml:space="preserve"> comment</w:t>
      </w:r>
      <w:r w:rsidR="00DC3E79">
        <w:rPr>
          <w:rStyle w:val="FootnoteReference"/>
          <w:szCs w:val="22"/>
        </w:rPr>
        <w:footnoteReference w:id="2"/>
      </w:r>
      <w:r w:rsidR="006D76DE" w:rsidRPr="00E86C37">
        <w:t xml:space="preserve"> on </w:t>
      </w:r>
      <w:r w:rsidR="00E51A5A" w:rsidRPr="00E86C37">
        <w:t xml:space="preserve">several </w:t>
      </w:r>
      <w:r w:rsidR="006D76DE" w:rsidRPr="00E86C37">
        <w:t xml:space="preserve">proposals to revise the </w:t>
      </w:r>
      <w:r w:rsidR="00121C12" w:rsidRPr="00E86C37">
        <w:t>regulatory fee process</w:t>
      </w:r>
      <w:r w:rsidR="006D76DE" w:rsidRPr="00E86C37">
        <w:t xml:space="preserve"> to </w:t>
      </w:r>
      <w:r w:rsidR="00A051C5" w:rsidRPr="00E86C37">
        <w:t xml:space="preserve">more accurately reflect the </w:t>
      </w:r>
      <w:r w:rsidR="003E34F7" w:rsidRPr="00E86C37">
        <w:t xml:space="preserve">regulatory activities of </w:t>
      </w:r>
      <w:r w:rsidR="00A051C5" w:rsidRPr="00E86C37">
        <w:t>current Commission full time employees (FTEs)</w:t>
      </w:r>
      <w:r w:rsidR="00E51A5A" w:rsidRPr="00E86C37">
        <w:t>.</w:t>
      </w:r>
      <w:r w:rsidR="00DC3E79">
        <w:rPr>
          <w:rStyle w:val="FootnoteReference"/>
          <w:szCs w:val="22"/>
        </w:rPr>
        <w:footnoteReference w:id="3"/>
      </w:r>
      <w:r w:rsidR="0093286B" w:rsidRPr="00E86C37">
        <w:t xml:space="preserve"> </w:t>
      </w:r>
      <w:r w:rsidR="00BD2896" w:rsidRPr="00E86C37">
        <w:t xml:space="preserve"> </w:t>
      </w:r>
      <w:r w:rsidR="00916459" w:rsidRPr="00E86C37">
        <w:t xml:space="preserve">In the </w:t>
      </w:r>
      <w:r w:rsidR="00CE6608" w:rsidRPr="00E86C37">
        <w:rPr>
          <w:i/>
        </w:rPr>
        <w:t>FY 2013 Report and Order</w:t>
      </w:r>
      <w:r w:rsidR="00CE6608" w:rsidRPr="00A438CD">
        <w:t>,</w:t>
      </w:r>
      <w:r w:rsidR="00CE6608" w:rsidRPr="00A438CD">
        <w:rPr>
          <w:rStyle w:val="FootnoteReference"/>
        </w:rPr>
        <w:footnoteReference w:id="4"/>
      </w:r>
      <w:r w:rsidR="00CE6608" w:rsidRPr="00A438CD">
        <w:t xml:space="preserve"> released on August 12, 2013</w:t>
      </w:r>
      <w:r w:rsidR="005E1E4E" w:rsidRPr="00A438CD">
        <w:t xml:space="preserve">, </w:t>
      </w:r>
      <w:r w:rsidR="00827B87">
        <w:t>the Commission</w:t>
      </w:r>
      <w:r w:rsidR="005E1E4E" w:rsidRPr="00A438CD">
        <w:t xml:space="preserve"> adopted a number of these proposals, including </w:t>
      </w:r>
      <w:r w:rsidR="00A54D3B">
        <w:t xml:space="preserve">updating the number of FTEs in the core bureaus, </w:t>
      </w:r>
      <w:r w:rsidR="005E1E4E" w:rsidRPr="00A438CD">
        <w:t xml:space="preserve">reallocating </w:t>
      </w:r>
      <w:r w:rsidR="00A54D3B">
        <w:t xml:space="preserve">certain </w:t>
      </w:r>
      <w:r w:rsidR="005E1E4E" w:rsidRPr="00A438CD">
        <w:t>FTEs in the International Bureau for regulatory fee purposes, establishing a new regulatory fee category to include Internet Protocol TV</w:t>
      </w:r>
      <w:r w:rsidR="00210F3A" w:rsidRPr="00A438CD">
        <w:t xml:space="preserve"> (IPTV)</w:t>
      </w:r>
      <w:r w:rsidR="005E1E4E" w:rsidRPr="00A438CD">
        <w:t xml:space="preserve">, and </w:t>
      </w:r>
      <w:r w:rsidR="003458EA" w:rsidRPr="00A438CD">
        <w:t xml:space="preserve">consolidating </w:t>
      </w:r>
      <w:r w:rsidR="003458EA" w:rsidRPr="00E86C37">
        <w:t>UHF and VHF Television stations into one fee category</w:t>
      </w:r>
      <w:r w:rsidR="00CE6608" w:rsidRPr="00A438CD">
        <w:t xml:space="preserve">. </w:t>
      </w:r>
      <w:r w:rsidR="0093286B" w:rsidRPr="00A438CD">
        <w:t xml:space="preserve"> </w:t>
      </w:r>
    </w:p>
    <w:p w:rsidR="0055560F" w:rsidRPr="00F974C9" w:rsidRDefault="00F974C9" w:rsidP="00773596">
      <w:pPr>
        <w:pStyle w:val="ParaNum"/>
        <w:widowControl/>
        <w:ind w:left="-86"/>
        <w:rPr>
          <w:szCs w:val="22"/>
        </w:rPr>
      </w:pPr>
      <w:r w:rsidRPr="00F974C9">
        <w:t xml:space="preserve">This Notice </w:t>
      </w:r>
      <w:r w:rsidR="004E18BF">
        <w:t xml:space="preserve">seeks comment </w:t>
      </w:r>
      <w:r w:rsidR="00570454">
        <w:t>on the</w:t>
      </w:r>
      <w:r w:rsidR="00827B87">
        <w:t xml:space="preserve"> regulatory fees </w:t>
      </w:r>
      <w:r w:rsidR="00570454">
        <w:t xml:space="preserve">proposed </w:t>
      </w:r>
      <w:r w:rsidR="00827B87">
        <w:t xml:space="preserve">for FY 2014, </w:t>
      </w:r>
      <w:r w:rsidR="00274E91">
        <w:t xml:space="preserve">set forth </w:t>
      </w:r>
      <w:r w:rsidR="00827B87">
        <w:t xml:space="preserve">in Attachment B, and </w:t>
      </w:r>
      <w:r w:rsidR="004E18BF">
        <w:t xml:space="preserve">on whether </w:t>
      </w:r>
      <w:r w:rsidR="004E18BF" w:rsidRPr="00F974C9">
        <w:t xml:space="preserve">AM expanded band radio stations </w:t>
      </w:r>
      <w:r w:rsidR="004E18BF">
        <w:t xml:space="preserve">should remain </w:t>
      </w:r>
      <w:r w:rsidR="004E18BF" w:rsidRPr="00F974C9">
        <w:t>exempt from regulatory fees</w:t>
      </w:r>
      <w:r w:rsidR="004E18BF">
        <w:t>.  In addition, we explain that, for</w:t>
      </w:r>
      <w:r w:rsidRPr="00F974C9">
        <w:t xml:space="preserve"> calculating FY 2014 regulatory fees</w:t>
      </w:r>
      <w:r w:rsidR="004E18BF">
        <w:t>, the follow</w:t>
      </w:r>
      <w:r w:rsidR="00827B87">
        <w:t>ing previously adopted provisions</w:t>
      </w:r>
      <w:r w:rsidR="004E18BF">
        <w:t xml:space="preserve"> will apply</w:t>
      </w:r>
      <w:r w:rsidRPr="00F974C9">
        <w:t>:  (</w:t>
      </w:r>
      <w:r w:rsidR="004B5895">
        <w:t>1</w:t>
      </w:r>
      <w:r w:rsidRPr="00F974C9">
        <w:t>) UHF/VHF regulatory fees will be combined into one digital television fee category</w:t>
      </w:r>
      <w:r w:rsidR="004B5895">
        <w:t xml:space="preserve"> and (2)</w:t>
      </w:r>
      <w:r w:rsidRPr="00F974C9">
        <w:t xml:space="preserve"> IPTV will be included in the cable television systems category</w:t>
      </w:r>
      <w:r w:rsidR="0035299F">
        <w:t xml:space="preserve"> for regulatory fee purposes</w:t>
      </w:r>
      <w:r w:rsidR="004B5895">
        <w:t>.  In addition, we find it in the public interest to maintain the</w:t>
      </w:r>
      <w:r w:rsidRPr="00F974C9">
        <w:t xml:space="preserve"> </w:t>
      </w:r>
      <w:r w:rsidR="00B67422">
        <w:t>Commercial Mobile Radio Service (</w:t>
      </w:r>
      <w:r w:rsidRPr="00F974C9">
        <w:t>CMRS</w:t>
      </w:r>
      <w:r w:rsidR="00B67422">
        <w:t>)</w:t>
      </w:r>
      <w:r w:rsidRPr="00F974C9">
        <w:t xml:space="preserve"> messaging rate </w:t>
      </w:r>
      <w:r w:rsidR="00827B87">
        <w:t xml:space="preserve">at $.08 per subscriber.  </w:t>
      </w:r>
      <w:r w:rsidRPr="00F974C9">
        <w:t xml:space="preserve">  </w:t>
      </w:r>
    </w:p>
    <w:p w:rsidR="00E86B96" w:rsidRPr="00606F81" w:rsidRDefault="0046563E" w:rsidP="003909AC">
      <w:pPr>
        <w:pStyle w:val="ParaNum"/>
        <w:ind w:left="-90"/>
        <w:rPr>
          <w:szCs w:val="22"/>
        </w:rPr>
      </w:pPr>
      <w:r>
        <w:t xml:space="preserve">In the attached </w:t>
      </w:r>
      <w:r w:rsidR="0011127C">
        <w:t xml:space="preserve">Second </w:t>
      </w:r>
      <w:r>
        <w:t>Further Notice of Proposed Rulemaking</w:t>
      </w:r>
      <w:r w:rsidR="00C050B6">
        <w:t>,</w:t>
      </w:r>
      <w:r>
        <w:t xml:space="preserve"> </w:t>
      </w:r>
      <w:r w:rsidR="00CE6608" w:rsidRPr="00A438CD">
        <w:t xml:space="preserve">we seek comment on </w:t>
      </w:r>
      <w:r w:rsidR="00A741B0">
        <w:t xml:space="preserve">additional </w:t>
      </w:r>
      <w:r w:rsidR="0054238A" w:rsidRPr="00A438CD">
        <w:t>reform</w:t>
      </w:r>
      <w:r w:rsidR="00D33524">
        <w:t xml:space="preserve"> measures</w:t>
      </w:r>
      <w:r w:rsidR="00A741B0">
        <w:t xml:space="preserve"> to improve the regulatory fee process</w:t>
      </w:r>
      <w:r w:rsidR="00121C12" w:rsidRPr="00A438CD">
        <w:t xml:space="preserve">, including </w:t>
      </w:r>
      <w:r w:rsidR="00A8245C">
        <w:t xml:space="preserve">the </w:t>
      </w:r>
      <w:r w:rsidR="00A75399" w:rsidRPr="00A438CD">
        <w:t>adopti</w:t>
      </w:r>
      <w:r w:rsidR="00A8245C">
        <w:t>on</w:t>
      </w:r>
      <w:r w:rsidR="00A75399" w:rsidRPr="00A438CD">
        <w:t xml:space="preserve"> </w:t>
      </w:r>
      <w:r w:rsidR="00A8245C">
        <w:t xml:space="preserve">of </w:t>
      </w:r>
      <w:r w:rsidR="00A83039" w:rsidRPr="00A438CD">
        <w:t xml:space="preserve">methodologies </w:t>
      </w:r>
      <w:r w:rsidR="00A75399" w:rsidRPr="00A438CD">
        <w:t>tailored to</w:t>
      </w:r>
      <w:r w:rsidR="00983957">
        <w:t xml:space="preserve"> </w:t>
      </w:r>
      <w:r w:rsidR="00A8245C">
        <w:t>ensure</w:t>
      </w:r>
      <w:r w:rsidR="00AB3642">
        <w:t xml:space="preserve"> a </w:t>
      </w:r>
      <w:r w:rsidR="00A8245C">
        <w:t xml:space="preserve">more equitable </w:t>
      </w:r>
      <w:r w:rsidR="00983957">
        <w:t>distribution of</w:t>
      </w:r>
      <w:r w:rsidR="00983957" w:rsidRPr="00A438CD">
        <w:t xml:space="preserve"> </w:t>
      </w:r>
      <w:r w:rsidR="00A83039" w:rsidRPr="00A438CD">
        <w:t xml:space="preserve">the regulatory fee burden </w:t>
      </w:r>
      <w:r w:rsidR="00983957">
        <w:t>among</w:t>
      </w:r>
      <w:r w:rsidR="00983957" w:rsidRPr="00A438CD">
        <w:t xml:space="preserve"> </w:t>
      </w:r>
      <w:r w:rsidR="00AC5A11" w:rsidRPr="00A438CD">
        <w:t>categories of Commission licensees</w:t>
      </w:r>
      <w:r w:rsidR="00983957">
        <w:t xml:space="preserve"> under the </w:t>
      </w:r>
      <w:r w:rsidR="008D39D4">
        <w:t xml:space="preserve">statutory framework in section 9 of </w:t>
      </w:r>
      <w:r w:rsidR="000C5C80">
        <w:t xml:space="preserve">the </w:t>
      </w:r>
      <w:r w:rsidR="004F73CF">
        <w:t>Communications Act</w:t>
      </w:r>
      <w:r w:rsidR="00A741B0">
        <w:t>.</w:t>
      </w:r>
      <w:r w:rsidR="00CE4768">
        <w:rPr>
          <w:rStyle w:val="FootnoteReference"/>
        </w:rPr>
        <w:footnoteReference w:id="5"/>
      </w:r>
      <w:r w:rsidR="004F73CF">
        <w:t xml:space="preserve"> </w:t>
      </w:r>
      <w:r w:rsidR="00A741B0">
        <w:t xml:space="preserve"> </w:t>
      </w:r>
      <w:r w:rsidR="0089785D">
        <w:t xml:space="preserve">Some of the issues for which we seek comment were raised by commenters in FY 2013 (or earlier) and </w:t>
      </w:r>
      <w:r w:rsidR="00F776A3">
        <w:t xml:space="preserve">we </w:t>
      </w:r>
      <w:r w:rsidR="007371FB">
        <w:t xml:space="preserve">now tailor our inquiry, </w:t>
      </w:r>
      <w:r w:rsidR="00F776A3">
        <w:t>in response to the</w:t>
      </w:r>
      <w:r w:rsidR="006827A4">
        <w:t xml:space="preserve"> more developed</w:t>
      </w:r>
      <w:r w:rsidR="00F776A3">
        <w:t xml:space="preserve"> recor</w:t>
      </w:r>
      <w:r w:rsidR="007371FB">
        <w:t xml:space="preserve">d, to </w:t>
      </w:r>
      <w:r w:rsidR="00F776A3">
        <w:t>further examine these proposals.</w:t>
      </w:r>
      <w:r w:rsidR="0089785D">
        <w:t xml:space="preserve"> </w:t>
      </w:r>
      <w:r w:rsidR="00AB3642">
        <w:t xml:space="preserve"> </w:t>
      </w:r>
      <w:r w:rsidR="007D0130">
        <w:t xml:space="preserve">Proposals </w:t>
      </w:r>
      <w:r w:rsidR="00F776A3">
        <w:t>for which we seek further comment include</w:t>
      </w:r>
      <w:r w:rsidR="00A75399" w:rsidRPr="00A438CD">
        <w:t xml:space="preserve">: </w:t>
      </w:r>
      <w:r w:rsidR="0054238A" w:rsidRPr="00A438CD">
        <w:t>(</w:t>
      </w:r>
      <w:r>
        <w:t>1</w:t>
      </w:r>
      <w:r w:rsidR="0054238A" w:rsidRPr="00A438CD">
        <w:t xml:space="preserve">) </w:t>
      </w:r>
      <w:r w:rsidR="00B63D45" w:rsidRPr="00A438CD">
        <w:t>reallocat</w:t>
      </w:r>
      <w:r w:rsidR="009C02F0">
        <w:t>ing</w:t>
      </w:r>
      <w:r w:rsidR="00B63D45" w:rsidRPr="00A438CD">
        <w:t xml:space="preserve"> </w:t>
      </w:r>
      <w:r w:rsidR="0035299F">
        <w:t xml:space="preserve">some of the </w:t>
      </w:r>
      <w:r w:rsidR="00B63D45" w:rsidRPr="00A438CD">
        <w:t>FTEs from the Enforcement Bureau</w:t>
      </w:r>
      <w:r w:rsidR="008741F0">
        <w:t>,</w:t>
      </w:r>
      <w:r w:rsidR="004D52D2">
        <w:t xml:space="preserve"> </w:t>
      </w:r>
      <w:r w:rsidR="00B63D45" w:rsidRPr="00A438CD">
        <w:t>the Consumer &amp; Governmental Affairs Bureau</w:t>
      </w:r>
      <w:r w:rsidR="00D01A7F">
        <w:t xml:space="preserve"> (CGB)</w:t>
      </w:r>
      <w:r w:rsidR="008741F0">
        <w:t>, and the Office of Engineering and Technology (OET)</w:t>
      </w:r>
      <w:r w:rsidR="00B63D45" w:rsidRPr="00A438CD">
        <w:t xml:space="preserve"> </w:t>
      </w:r>
      <w:r w:rsidR="0035299F">
        <w:t xml:space="preserve">as direct FTEs </w:t>
      </w:r>
      <w:r w:rsidR="00D33524">
        <w:t>for regulatory fee purposes</w:t>
      </w:r>
      <w:r w:rsidR="000D1284" w:rsidRPr="00A438CD">
        <w:t>;</w:t>
      </w:r>
      <w:r w:rsidR="009A5437">
        <w:t xml:space="preserve"> (2) </w:t>
      </w:r>
      <w:r w:rsidR="009C5173">
        <w:t>reapportioning the fee allocations</w:t>
      </w:r>
      <w:r w:rsidR="00F92838" w:rsidRPr="00F92838">
        <w:t xml:space="preserve"> between groups of </w:t>
      </w:r>
      <w:r w:rsidR="00F92838">
        <w:t>International Bureau</w:t>
      </w:r>
      <w:r w:rsidR="00F92838" w:rsidRPr="00F92838">
        <w:t xml:space="preserve"> </w:t>
      </w:r>
      <w:r w:rsidR="009C5173">
        <w:t>regulatees</w:t>
      </w:r>
      <w:r w:rsidR="009A5437">
        <w:t>;</w:t>
      </w:r>
      <w:r w:rsidR="00812278" w:rsidRPr="00A438CD">
        <w:t xml:space="preserve"> </w:t>
      </w:r>
      <w:r w:rsidR="000D1284" w:rsidRPr="00A438CD">
        <w:t>(</w:t>
      </w:r>
      <w:r w:rsidR="009A5437">
        <w:t>3</w:t>
      </w:r>
      <w:r w:rsidR="000D1284" w:rsidRPr="00A438CD">
        <w:t>)</w:t>
      </w:r>
      <w:r w:rsidR="00283105" w:rsidRPr="00A438CD">
        <w:t xml:space="preserve"> </w:t>
      </w:r>
      <w:r w:rsidR="009161E8">
        <w:t>p</w:t>
      </w:r>
      <w:r w:rsidR="00283105" w:rsidRPr="00A438CD">
        <w:t xml:space="preserve">eriodically </w:t>
      </w:r>
      <w:r w:rsidR="00B613F2">
        <w:t>updating</w:t>
      </w:r>
      <w:r w:rsidR="00283105" w:rsidRPr="00A438CD">
        <w:t xml:space="preserve"> </w:t>
      </w:r>
      <w:r w:rsidR="00AA4124">
        <w:t xml:space="preserve">FTE </w:t>
      </w:r>
      <w:r w:rsidR="00C42F21" w:rsidRPr="00A438CD">
        <w:t>allocations</w:t>
      </w:r>
      <w:r w:rsidR="000D1284" w:rsidRPr="00A438CD">
        <w:t>;</w:t>
      </w:r>
      <w:r w:rsidR="00A941C5" w:rsidRPr="00A438CD">
        <w:t xml:space="preserve"> </w:t>
      </w:r>
      <w:r w:rsidR="00800C19">
        <w:t>(</w:t>
      </w:r>
      <w:r w:rsidR="00B55C93">
        <w:t>4</w:t>
      </w:r>
      <w:r w:rsidR="00800C19">
        <w:t>) appl</w:t>
      </w:r>
      <w:r w:rsidR="009D6249">
        <w:t>ying</w:t>
      </w:r>
      <w:r w:rsidR="00800C19">
        <w:t xml:space="preserve"> a cap on any regulatory fee increases</w:t>
      </w:r>
      <w:r w:rsidR="009A5437">
        <w:t xml:space="preserve"> for FY 2014</w:t>
      </w:r>
      <w:r w:rsidR="00800C19">
        <w:t xml:space="preserve">; </w:t>
      </w:r>
      <w:r w:rsidR="00A941C5" w:rsidRPr="00A438CD">
        <w:t>(</w:t>
      </w:r>
      <w:r w:rsidR="00B55C93">
        <w:t>5</w:t>
      </w:r>
      <w:r w:rsidR="000D1284" w:rsidRPr="00A438CD">
        <w:t>)</w:t>
      </w:r>
      <w:r w:rsidR="002E3ADF" w:rsidRPr="00A438CD">
        <w:t xml:space="preserve"> </w:t>
      </w:r>
      <w:r w:rsidR="00BE57DB" w:rsidRPr="00A438CD">
        <w:t>improv</w:t>
      </w:r>
      <w:r w:rsidR="009D6249">
        <w:t>ing</w:t>
      </w:r>
      <w:r w:rsidR="00BE57DB" w:rsidRPr="00A438CD">
        <w:t xml:space="preserve"> access to </w:t>
      </w:r>
      <w:r w:rsidR="009D6249">
        <w:t>information through our website</w:t>
      </w:r>
      <w:r>
        <w:t xml:space="preserve">; </w:t>
      </w:r>
      <w:r w:rsidR="00A941C5" w:rsidRPr="00A438CD">
        <w:t>(</w:t>
      </w:r>
      <w:r w:rsidR="00B55C93">
        <w:t>6</w:t>
      </w:r>
      <w:r w:rsidR="00A941C5" w:rsidRPr="00A438CD">
        <w:t>)</w:t>
      </w:r>
      <w:r w:rsidR="00CC39CE" w:rsidRPr="00CC39CE">
        <w:t xml:space="preserve"> </w:t>
      </w:r>
      <w:r w:rsidR="00CC39CE">
        <w:t xml:space="preserve">establishing a higher de minimis </w:t>
      </w:r>
      <w:r w:rsidR="00DA77DA">
        <w:t>threshold</w:t>
      </w:r>
      <w:r w:rsidR="00CC39CE">
        <w:t>, such as $100, $500, or $1,000;</w:t>
      </w:r>
      <w:r w:rsidR="00E86C37">
        <w:t xml:space="preserve"> </w:t>
      </w:r>
      <w:r w:rsidR="00CC39CE">
        <w:t xml:space="preserve">(7) eliminating certain </w:t>
      </w:r>
      <w:r w:rsidR="004B1FF8">
        <w:t>regulatory fee categories</w:t>
      </w:r>
      <w:r w:rsidR="00CC39CE">
        <w:t xml:space="preserve"> that account for a small amount of regulatory fee payments</w:t>
      </w:r>
      <w:r w:rsidR="004B1FF8">
        <w:t xml:space="preserve">; </w:t>
      </w:r>
      <w:r w:rsidRPr="00A438CD">
        <w:t>(</w:t>
      </w:r>
      <w:r w:rsidR="004B1FF8">
        <w:t>8</w:t>
      </w:r>
      <w:r w:rsidR="009D6249">
        <w:t>) combining</w:t>
      </w:r>
      <w:r w:rsidRPr="00A438CD">
        <w:t xml:space="preserve"> Interstate Telecommunications Service Providers (ITSP) and wireless voice services into one fee category; (</w:t>
      </w:r>
      <w:r w:rsidR="004B1FF8">
        <w:t>9</w:t>
      </w:r>
      <w:r w:rsidRPr="00A438CD">
        <w:t xml:space="preserve">) </w:t>
      </w:r>
      <w:r w:rsidR="00B44E6D">
        <w:t xml:space="preserve">adding </w:t>
      </w:r>
      <w:r w:rsidRPr="00A438CD">
        <w:t xml:space="preserve">direct broadcast satellite (DBS) </w:t>
      </w:r>
      <w:r w:rsidR="00AA7030">
        <w:t xml:space="preserve">operators </w:t>
      </w:r>
      <w:r w:rsidR="00B44E6D">
        <w:t>to the cable television and IPTV category</w:t>
      </w:r>
      <w:r w:rsidRPr="00A438CD">
        <w:t>;</w:t>
      </w:r>
      <w:r w:rsidR="00642FDA">
        <w:t xml:space="preserve"> </w:t>
      </w:r>
      <w:r w:rsidRPr="00A438CD">
        <w:t>(</w:t>
      </w:r>
      <w:r w:rsidR="004B1FF8">
        <w:t>10</w:t>
      </w:r>
      <w:r w:rsidRPr="00A438CD">
        <w:t>) creat</w:t>
      </w:r>
      <w:r w:rsidR="009D6249">
        <w:t>ing</w:t>
      </w:r>
      <w:r w:rsidRPr="00A438CD">
        <w:t xml:space="preserve"> a new regulatory fee category for non-U.S. licensed space stations</w:t>
      </w:r>
      <w:r w:rsidR="00B628CF">
        <w:t>, or, alternatively, reallocating some FTEs assigned to work on non-U.S. licensed space station issues as indirect</w:t>
      </w:r>
      <w:r w:rsidR="00D538EA">
        <w:t xml:space="preserve"> for regulatory fee purposes</w:t>
      </w:r>
      <w:r w:rsidR="008741F0">
        <w:t>; and (11) adding a new regulatory fee category for toll free numbers</w:t>
      </w:r>
      <w:r w:rsidR="00642FDA">
        <w:t>.</w:t>
      </w:r>
      <w:r w:rsidRPr="00A438CD">
        <w:t xml:space="preserve"> </w:t>
      </w:r>
      <w:r w:rsidR="00D538EA">
        <w:t xml:space="preserve"> </w:t>
      </w:r>
      <w:r w:rsidR="00E86C37">
        <w:t>Some of the</w:t>
      </w:r>
      <w:r w:rsidR="00D466BD">
        <w:t xml:space="preserve">se </w:t>
      </w:r>
      <w:r w:rsidR="00E86C37">
        <w:t xml:space="preserve">reforms </w:t>
      </w:r>
      <w:r w:rsidR="007D0130">
        <w:t xml:space="preserve">would </w:t>
      </w:r>
      <w:r w:rsidR="00FB59C5">
        <w:t>constitute mandatory amendments pursuant to section 9(b)(2) of the Act.  To the extent th</w:t>
      </w:r>
      <w:r w:rsidR="007D0130">
        <w:t xml:space="preserve">at some of the reforms </w:t>
      </w:r>
      <w:r w:rsidR="00FB59C5">
        <w:t xml:space="preserve">and other changes </w:t>
      </w:r>
      <w:r w:rsidR="007D0130">
        <w:t xml:space="preserve">would </w:t>
      </w:r>
      <w:r w:rsidR="00FB59C5">
        <w:t xml:space="preserve">constitute permitted amendments, Congressional notification pursuant to sections 9(b)(3) and 9(b)(4)(B) would be required.  </w:t>
      </w:r>
      <w:r w:rsidR="00E86B96">
        <w:t xml:space="preserve">In addition, we are </w:t>
      </w:r>
      <w:r w:rsidR="00641ED3">
        <w:t xml:space="preserve">adopting revisions to </w:t>
      </w:r>
      <w:r w:rsidR="00227EC9">
        <w:t>sections 1.1112, 1.1158, 1.1161, and 1.1164</w:t>
      </w:r>
      <w:r w:rsidR="00E86B96">
        <w:t xml:space="preserve"> of our rules,</w:t>
      </w:r>
      <w:r w:rsidR="00E86B96">
        <w:rPr>
          <w:rStyle w:val="FootnoteReference"/>
        </w:rPr>
        <w:footnoteReference w:id="6"/>
      </w:r>
      <w:r w:rsidR="00E86B96">
        <w:t xml:space="preserve"> to correspond with the Commission’s </w:t>
      </w:r>
      <w:r w:rsidR="00E86B96" w:rsidRPr="00D429BF">
        <w:rPr>
          <w:i/>
        </w:rPr>
        <w:t>FY 2013 Report and Order</w:t>
      </w:r>
      <w:r w:rsidR="00E86B96">
        <w:t xml:space="preserve"> requiring electronic payment of regulatory fees.</w:t>
      </w:r>
      <w:r w:rsidR="00E86B96">
        <w:rPr>
          <w:rStyle w:val="FootnoteReference"/>
        </w:rPr>
        <w:footnoteReference w:id="7"/>
      </w:r>
      <w:r w:rsidR="00E86B96">
        <w:t xml:space="preserve">  </w:t>
      </w:r>
    </w:p>
    <w:p w:rsidR="00643B6B" w:rsidRPr="00983957" w:rsidRDefault="00983957" w:rsidP="001929A6">
      <w:pPr>
        <w:pStyle w:val="Heading1"/>
      </w:pPr>
      <w:bookmarkStart w:id="12" w:name="_Toc382567912"/>
      <w:bookmarkStart w:id="13" w:name="_Toc384227045"/>
      <w:r>
        <w:t>B</w:t>
      </w:r>
      <w:r w:rsidR="00643B6B" w:rsidRPr="00983957">
        <w:t>ackground</w:t>
      </w:r>
      <w:bookmarkEnd w:id="12"/>
      <w:bookmarkEnd w:id="13"/>
    </w:p>
    <w:p w:rsidR="00711436" w:rsidRPr="00A438CD" w:rsidRDefault="00643B6B" w:rsidP="00184741">
      <w:pPr>
        <w:pStyle w:val="ParaNum"/>
        <w:widowControl/>
        <w:ind w:left="-86"/>
        <w:rPr>
          <w:szCs w:val="22"/>
        </w:rPr>
      </w:pPr>
      <w:r w:rsidRPr="00A438CD">
        <w:rPr>
          <w:szCs w:val="22"/>
        </w:rPr>
        <w:t>Congress requires the Commission to collect regulatory fees “to recover the costs of … enforcement activities, policy and rulemaking activities, user information services, and international activities.”</w:t>
      </w:r>
      <w:r w:rsidRPr="00A438CD">
        <w:rPr>
          <w:rStyle w:val="FootnoteReference"/>
          <w:szCs w:val="22"/>
        </w:rPr>
        <w:footnoteReference w:id="8"/>
      </w:r>
      <w:r w:rsidRPr="00A438CD">
        <w:rPr>
          <w:szCs w:val="22"/>
        </w:rPr>
        <w:t xml:space="preserve">  The fees </w:t>
      </w:r>
      <w:r w:rsidR="00D83A66">
        <w:rPr>
          <w:szCs w:val="22"/>
        </w:rPr>
        <w:t>assessed each fiscal year are</w:t>
      </w:r>
      <w:r w:rsidR="008467B7">
        <w:rPr>
          <w:szCs w:val="22"/>
        </w:rPr>
        <w:t xml:space="preserve"> to</w:t>
      </w:r>
      <w:r w:rsidR="00D83A66">
        <w:rPr>
          <w:szCs w:val="22"/>
        </w:rPr>
        <w:t xml:space="preserve"> </w:t>
      </w:r>
      <w:r w:rsidRPr="00A438CD">
        <w:rPr>
          <w:szCs w:val="22"/>
        </w:rPr>
        <w:t>“be derived by determining the full-time equivalent number of employees performing” these activities</w:t>
      </w:r>
      <w:r w:rsidR="00D83A66">
        <w:rPr>
          <w:szCs w:val="22"/>
        </w:rPr>
        <w:t>,</w:t>
      </w:r>
      <w:r w:rsidRPr="00A438CD">
        <w:rPr>
          <w:szCs w:val="22"/>
        </w:rPr>
        <w:t xml:space="preserve"> “adjusted to take into account factors that are reasonably related to the benefits provided to the payer of the fee by the Commission’s activities….”</w:t>
      </w:r>
      <w:r w:rsidRPr="00A438CD">
        <w:rPr>
          <w:rStyle w:val="FootnoteReference"/>
          <w:szCs w:val="22"/>
        </w:rPr>
        <w:footnoteReference w:id="9"/>
      </w:r>
      <w:r w:rsidR="00BD2896" w:rsidRPr="00A438CD">
        <w:rPr>
          <w:szCs w:val="22"/>
        </w:rPr>
        <w:t xml:space="preserve">  </w:t>
      </w:r>
      <w:r w:rsidRPr="00A438CD">
        <w:rPr>
          <w:szCs w:val="22"/>
        </w:rPr>
        <w:t>Regulatory fees recover direct costs, such as salary and expenses; indirect costs, such as overhead functions; and support costs, such as rent, utilities, or equipment.</w:t>
      </w:r>
      <w:r w:rsidRPr="00A438CD">
        <w:rPr>
          <w:rStyle w:val="FootnoteReference"/>
          <w:szCs w:val="22"/>
        </w:rPr>
        <w:footnoteReference w:id="10"/>
      </w:r>
      <w:r w:rsidR="00BD2896" w:rsidRPr="00A438CD">
        <w:rPr>
          <w:szCs w:val="22"/>
        </w:rPr>
        <w:t xml:space="preserve">  </w:t>
      </w:r>
      <w:r w:rsidR="00D629EA" w:rsidRPr="00A438CD">
        <w:rPr>
          <w:szCs w:val="22"/>
        </w:rPr>
        <w:t>Regulatory fees also cover the costs incurred by entities that are exempt from paying regulatory fees,</w:t>
      </w:r>
      <w:r w:rsidR="00D629EA" w:rsidRPr="00A438CD">
        <w:rPr>
          <w:rStyle w:val="FootnoteReference"/>
          <w:szCs w:val="22"/>
        </w:rPr>
        <w:footnoteReference w:id="11"/>
      </w:r>
      <w:r w:rsidR="00D629EA" w:rsidRPr="00A438CD">
        <w:rPr>
          <w:szCs w:val="22"/>
        </w:rPr>
        <w:t xml:space="preserve"> entities whose regulatory fees are waived,</w:t>
      </w:r>
      <w:r w:rsidR="00410E02" w:rsidRPr="00A438CD">
        <w:rPr>
          <w:rStyle w:val="FootnoteReference"/>
          <w:szCs w:val="22"/>
        </w:rPr>
        <w:footnoteReference w:id="12"/>
      </w:r>
      <w:r w:rsidR="00D629EA" w:rsidRPr="00A438CD">
        <w:rPr>
          <w:szCs w:val="22"/>
        </w:rPr>
        <w:t xml:space="preserve"> and entities that provide nonregulated services.</w:t>
      </w:r>
      <w:r w:rsidR="000449DF" w:rsidRPr="00A438CD">
        <w:rPr>
          <w:rStyle w:val="FootnoteReference"/>
          <w:szCs w:val="22"/>
        </w:rPr>
        <w:footnoteReference w:id="13"/>
      </w:r>
      <w:r w:rsidR="00D629EA" w:rsidRPr="00A438CD">
        <w:rPr>
          <w:szCs w:val="22"/>
        </w:rPr>
        <w:t xml:space="preserve">  </w:t>
      </w:r>
      <w:r w:rsidRPr="00A438CD">
        <w:rPr>
          <w:szCs w:val="22"/>
        </w:rPr>
        <w:t xml:space="preserve">Congress sets the amount the Commission </w:t>
      </w:r>
      <w:r w:rsidR="009E5857" w:rsidRPr="00A438CD">
        <w:rPr>
          <w:szCs w:val="22"/>
        </w:rPr>
        <w:t>must collect</w:t>
      </w:r>
      <w:r w:rsidRPr="00A438CD">
        <w:rPr>
          <w:szCs w:val="22"/>
        </w:rPr>
        <w:t xml:space="preserve"> each year in the </w:t>
      </w:r>
      <w:r w:rsidR="00D83A66">
        <w:rPr>
          <w:szCs w:val="22"/>
        </w:rPr>
        <w:t xml:space="preserve">Commission’s fiscal year </w:t>
      </w:r>
      <w:r w:rsidRPr="00A438CD">
        <w:rPr>
          <w:szCs w:val="22"/>
        </w:rPr>
        <w:t>appropriations</w:t>
      </w:r>
      <w:r w:rsidR="007853F8">
        <w:rPr>
          <w:szCs w:val="22"/>
        </w:rPr>
        <w:t>, and section 9(a)(2) of the Act requires us to collect fees sufficient to offset, but not exceed, the amount appropriated</w:t>
      </w:r>
      <w:r w:rsidR="00140220">
        <w:rPr>
          <w:szCs w:val="22"/>
        </w:rPr>
        <w:t xml:space="preserve">.  </w:t>
      </w:r>
      <w:r w:rsidR="002274B9">
        <w:rPr>
          <w:szCs w:val="22"/>
        </w:rPr>
        <w:t>For FY 2014, this amount is $339,844,000.</w:t>
      </w:r>
    </w:p>
    <w:p w:rsidR="00475FFF" w:rsidRPr="00A438CD" w:rsidRDefault="00643B6B" w:rsidP="003909AC">
      <w:pPr>
        <w:pStyle w:val="ParaNum"/>
        <w:ind w:left="-90"/>
        <w:rPr>
          <w:szCs w:val="22"/>
        </w:rPr>
      </w:pPr>
      <w:r w:rsidRPr="00A438CD">
        <w:rPr>
          <w:szCs w:val="22"/>
        </w:rPr>
        <w:t>To calculate regulatory fees, the Commission</w:t>
      </w:r>
      <w:r w:rsidR="002C7657">
        <w:rPr>
          <w:szCs w:val="22"/>
        </w:rPr>
        <w:t xml:space="preserve"> </w:t>
      </w:r>
      <w:r w:rsidRPr="00A438CD">
        <w:rPr>
          <w:szCs w:val="22"/>
        </w:rPr>
        <w:t xml:space="preserve">allocates the total collection target, as mandated by Congress each year, </w:t>
      </w:r>
      <w:r w:rsidR="002C7657">
        <w:rPr>
          <w:szCs w:val="22"/>
        </w:rPr>
        <w:t>across all</w:t>
      </w:r>
      <w:r w:rsidRPr="00A438CD">
        <w:rPr>
          <w:szCs w:val="22"/>
        </w:rPr>
        <w:t xml:space="preserve"> regulatory fee catego</w:t>
      </w:r>
      <w:r w:rsidR="002C7657">
        <w:rPr>
          <w:szCs w:val="22"/>
        </w:rPr>
        <w:t>ries</w:t>
      </w:r>
      <w:r w:rsidRPr="00A438CD">
        <w:rPr>
          <w:szCs w:val="22"/>
        </w:rPr>
        <w:t>.  The allocat</w:t>
      </w:r>
      <w:r w:rsidR="00C91353" w:rsidRPr="00A438CD">
        <w:rPr>
          <w:szCs w:val="22"/>
        </w:rPr>
        <w:t>ion of</w:t>
      </w:r>
      <w:r w:rsidRPr="00A438CD">
        <w:rPr>
          <w:szCs w:val="22"/>
        </w:rPr>
        <w:t xml:space="preserve"> fees to fee categories is based on the Commission’s calculation of </w:t>
      </w:r>
      <w:r w:rsidR="009E0892" w:rsidRPr="00A438CD">
        <w:rPr>
          <w:szCs w:val="22"/>
        </w:rPr>
        <w:t>FTEs</w:t>
      </w:r>
      <w:r w:rsidRPr="00A438CD">
        <w:rPr>
          <w:szCs w:val="22"/>
        </w:rPr>
        <w:t xml:space="preserve"> </w:t>
      </w:r>
      <w:r w:rsidR="00B614B0" w:rsidRPr="00A438CD">
        <w:rPr>
          <w:szCs w:val="22"/>
        </w:rPr>
        <w:t>in</w:t>
      </w:r>
      <w:r w:rsidRPr="00A438CD">
        <w:rPr>
          <w:szCs w:val="22"/>
        </w:rPr>
        <w:t xml:space="preserve"> each regulatory fee category.</w:t>
      </w:r>
      <w:r w:rsidR="00352312" w:rsidRPr="00A438CD">
        <w:rPr>
          <w:szCs w:val="22"/>
        </w:rPr>
        <w:t xml:space="preserve">  Historically, the Commission allocate</w:t>
      </w:r>
      <w:r w:rsidR="002C7657">
        <w:rPr>
          <w:szCs w:val="22"/>
        </w:rPr>
        <w:t>d</w:t>
      </w:r>
      <w:r w:rsidR="00352312" w:rsidRPr="00A438CD">
        <w:rPr>
          <w:szCs w:val="22"/>
        </w:rPr>
        <w:t xml:space="preserve"> FTEs as “direct” if the employee is in one of the four “core</w:t>
      </w:r>
      <w:r w:rsidR="006B5F6E" w:rsidRPr="00A438CD">
        <w:rPr>
          <w:szCs w:val="22"/>
        </w:rPr>
        <w:t xml:space="preserve">” </w:t>
      </w:r>
      <w:r w:rsidR="006B5F6E">
        <w:rPr>
          <w:szCs w:val="22"/>
        </w:rPr>
        <w:t>bureaus</w:t>
      </w:r>
      <w:r w:rsidR="00B614B0" w:rsidRPr="00A438CD">
        <w:rPr>
          <w:szCs w:val="22"/>
        </w:rPr>
        <w:t>;</w:t>
      </w:r>
      <w:r w:rsidR="006C2D9F" w:rsidRPr="00A438CD">
        <w:rPr>
          <w:szCs w:val="22"/>
        </w:rPr>
        <w:t xml:space="preserve"> otherwise</w:t>
      </w:r>
      <w:r w:rsidR="00AC1B12">
        <w:rPr>
          <w:szCs w:val="22"/>
        </w:rPr>
        <w:t>,</w:t>
      </w:r>
      <w:r w:rsidR="006C2D9F" w:rsidRPr="00A438CD">
        <w:rPr>
          <w:szCs w:val="22"/>
        </w:rPr>
        <w:t xml:space="preserve"> </w:t>
      </w:r>
      <w:r w:rsidR="00352312" w:rsidRPr="00A438CD">
        <w:rPr>
          <w:szCs w:val="22"/>
        </w:rPr>
        <w:t xml:space="preserve">that employee </w:t>
      </w:r>
      <w:r w:rsidR="002C7657">
        <w:rPr>
          <w:szCs w:val="22"/>
        </w:rPr>
        <w:t>was</w:t>
      </w:r>
      <w:r w:rsidR="00352312" w:rsidRPr="00A438CD">
        <w:rPr>
          <w:szCs w:val="22"/>
        </w:rPr>
        <w:t xml:space="preserve"> considered an “indirect” FTE.</w:t>
      </w:r>
      <w:r w:rsidR="00352312" w:rsidRPr="00A438CD">
        <w:rPr>
          <w:rStyle w:val="FootnoteReference"/>
          <w:szCs w:val="22"/>
        </w:rPr>
        <w:footnoteReference w:id="14"/>
      </w:r>
      <w:r w:rsidR="00352312" w:rsidRPr="00A438CD">
        <w:rPr>
          <w:szCs w:val="22"/>
        </w:rPr>
        <w:t xml:space="preserve">  The total FTEs for each fee category includes the direct FTEs associated with that category, plus a proportional allocation of the indirect FTEs. </w:t>
      </w:r>
      <w:r w:rsidR="002C7657">
        <w:rPr>
          <w:szCs w:val="22"/>
        </w:rPr>
        <w:t xml:space="preserve"> </w:t>
      </w:r>
      <w:r w:rsidR="007B3B98" w:rsidRPr="00A438CD">
        <w:rPr>
          <w:szCs w:val="22"/>
        </w:rPr>
        <w:t xml:space="preserve">Each regulatee within </w:t>
      </w:r>
      <w:r w:rsidR="007B3B98">
        <w:rPr>
          <w:szCs w:val="22"/>
        </w:rPr>
        <w:t>those</w:t>
      </w:r>
      <w:r w:rsidR="007B3B98" w:rsidRPr="00A438CD">
        <w:rPr>
          <w:szCs w:val="22"/>
        </w:rPr>
        <w:t xml:space="preserve"> fee categor</w:t>
      </w:r>
      <w:r w:rsidR="007B3B98">
        <w:rPr>
          <w:szCs w:val="22"/>
        </w:rPr>
        <w:t>ies</w:t>
      </w:r>
      <w:r w:rsidR="007B3B98" w:rsidRPr="00A438CD">
        <w:rPr>
          <w:szCs w:val="22"/>
        </w:rPr>
        <w:t xml:space="preserve"> </w:t>
      </w:r>
      <w:r w:rsidR="007B3B98">
        <w:rPr>
          <w:szCs w:val="22"/>
        </w:rPr>
        <w:t xml:space="preserve">then </w:t>
      </w:r>
      <w:r w:rsidR="007B3B98" w:rsidRPr="00A438CD">
        <w:rPr>
          <w:szCs w:val="22"/>
        </w:rPr>
        <w:t>pay</w:t>
      </w:r>
      <w:r w:rsidR="007B3B98">
        <w:rPr>
          <w:szCs w:val="22"/>
        </w:rPr>
        <w:t>s</w:t>
      </w:r>
      <w:r w:rsidR="007B3B98" w:rsidRPr="00A438CD">
        <w:rPr>
          <w:szCs w:val="22"/>
        </w:rPr>
        <w:t xml:space="preserve"> </w:t>
      </w:r>
      <w:r w:rsidR="007B3B98">
        <w:rPr>
          <w:szCs w:val="22"/>
        </w:rPr>
        <w:t>a</w:t>
      </w:r>
      <w:r w:rsidR="007B3B98" w:rsidRPr="00A438CD">
        <w:rPr>
          <w:szCs w:val="22"/>
        </w:rPr>
        <w:t xml:space="preserve"> proportionate share based on some objective measure, e.g., revenues, subscribers, or licenses.</w:t>
      </w:r>
    </w:p>
    <w:p w:rsidR="00035F8D" w:rsidRPr="00A438CD" w:rsidRDefault="005726A6" w:rsidP="003909AC">
      <w:pPr>
        <w:pStyle w:val="ParaNum"/>
        <w:ind w:left="-90"/>
      </w:pPr>
      <w:r>
        <w:rPr>
          <w:szCs w:val="22"/>
        </w:rPr>
        <w:t>I</w:t>
      </w:r>
      <w:r w:rsidR="00CA0FF3" w:rsidRPr="00A438CD">
        <w:rPr>
          <w:szCs w:val="22"/>
        </w:rPr>
        <w:t xml:space="preserve">n the </w:t>
      </w:r>
      <w:r w:rsidR="00CA0FF3" w:rsidRPr="00A438CD">
        <w:rPr>
          <w:i/>
          <w:iCs/>
          <w:szCs w:val="22"/>
        </w:rPr>
        <w:t>FY 2012 N</w:t>
      </w:r>
      <w:r w:rsidR="003B5185" w:rsidRPr="00A438CD">
        <w:rPr>
          <w:i/>
          <w:iCs/>
          <w:szCs w:val="22"/>
        </w:rPr>
        <w:t>PRM</w:t>
      </w:r>
      <w:r w:rsidR="00CA0FF3" w:rsidRPr="00A438CD">
        <w:rPr>
          <w:szCs w:val="22"/>
        </w:rPr>
        <w:t>,</w:t>
      </w:r>
      <w:r w:rsidR="00CA0FF3" w:rsidRPr="00A438CD">
        <w:rPr>
          <w:rStyle w:val="FootnoteReference"/>
          <w:szCs w:val="22"/>
        </w:rPr>
        <w:footnoteReference w:id="15"/>
      </w:r>
      <w:r w:rsidR="00CA0FF3" w:rsidRPr="00A438CD">
        <w:rPr>
          <w:szCs w:val="22"/>
        </w:rPr>
        <w:t xml:space="preserve"> </w:t>
      </w:r>
      <w:r w:rsidR="002770BE" w:rsidRPr="00A438CD">
        <w:rPr>
          <w:szCs w:val="22"/>
        </w:rPr>
        <w:t xml:space="preserve">the Commission </w:t>
      </w:r>
      <w:r w:rsidR="00EB7645">
        <w:rPr>
          <w:szCs w:val="22"/>
        </w:rPr>
        <w:t xml:space="preserve">proposed </w:t>
      </w:r>
      <w:r w:rsidR="00372C38" w:rsidRPr="00A438CD">
        <w:rPr>
          <w:szCs w:val="22"/>
        </w:rPr>
        <w:t>updating the FTE allocations</w:t>
      </w:r>
      <w:r w:rsidR="002770BE" w:rsidRPr="00A438CD">
        <w:rPr>
          <w:szCs w:val="22"/>
        </w:rPr>
        <w:t xml:space="preserve"> for the first time since 1998</w:t>
      </w:r>
      <w:r w:rsidR="00CA0FF3" w:rsidRPr="00A438CD">
        <w:rPr>
          <w:szCs w:val="22"/>
        </w:rPr>
        <w:t>.</w:t>
      </w:r>
      <w:r w:rsidR="00CA0FF3" w:rsidRPr="00A438CD">
        <w:rPr>
          <w:rStyle w:val="FootnoteReference"/>
          <w:szCs w:val="22"/>
        </w:rPr>
        <w:footnoteReference w:id="16"/>
      </w:r>
      <w:r w:rsidR="00CA0FF3" w:rsidRPr="00A438CD">
        <w:rPr>
          <w:szCs w:val="22"/>
        </w:rPr>
        <w:t xml:space="preserve">  </w:t>
      </w:r>
      <w:r w:rsidR="00AF0D8B">
        <w:rPr>
          <w:szCs w:val="22"/>
        </w:rPr>
        <w:t>A</w:t>
      </w:r>
      <w:r w:rsidR="00D429BF">
        <w:t xml:space="preserve">fter examining </w:t>
      </w:r>
      <w:r w:rsidR="00AB298C" w:rsidRPr="00A438CD">
        <w:t xml:space="preserve">updated </w:t>
      </w:r>
      <w:r w:rsidR="00B614B0" w:rsidRPr="00A438CD">
        <w:t xml:space="preserve">FTE </w:t>
      </w:r>
      <w:r w:rsidR="00AB298C" w:rsidRPr="00A438CD">
        <w:t>data</w:t>
      </w:r>
      <w:r w:rsidR="00D429BF">
        <w:t xml:space="preserve">, the Commission determined </w:t>
      </w:r>
      <w:r w:rsidR="002770BE" w:rsidRPr="00A438CD">
        <w:t xml:space="preserve">that </w:t>
      </w:r>
      <w:r w:rsidR="006C2D9F" w:rsidRPr="00A438CD">
        <w:rPr>
          <w:szCs w:val="22"/>
        </w:rPr>
        <w:t>the I</w:t>
      </w:r>
      <w:r w:rsidR="007214EE" w:rsidRPr="00A438CD">
        <w:rPr>
          <w:szCs w:val="22"/>
        </w:rPr>
        <w:t>nternational Bureau employed</w:t>
      </w:r>
      <w:r w:rsidR="006C2D9F" w:rsidRPr="00A438CD">
        <w:rPr>
          <w:szCs w:val="22"/>
        </w:rPr>
        <w:t xml:space="preserve"> 22 percent of </w:t>
      </w:r>
      <w:r w:rsidR="0053779E">
        <w:rPr>
          <w:szCs w:val="22"/>
        </w:rPr>
        <w:t xml:space="preserve">FTEs considered as direct </w:t>
      </w:r>
      <w:r w:rsidR="0053779E" w:rsidRPr="002D3820">
        <w:rPr>
          <w:szCs w:val="22"/>
        </w:rPr>
        <w:t xml:space="preserve">in </w:t>
      </w:r>
      <w:r w:rsidR="002D3820" w:rsidRPr="002D3820">
        <w:rPr>
          <w:szCs w:val="22"/>
        </w:rPr>
        <w:t>2012</w:t>
      </w:r>
      <w:r w:rsidR="006C2D9F" w:rsidRPr="002D3820">
        <w:rPr>
          <w:szCs w:val="22"/>
        </w:rPr>
        <w:t>, yet that bureau’s regulate</w:t>
      </w:r>
      <w:r w:rsidR="007214EE" w:rsidRPr="002D3820">
        <w:rPr>
          <w:szCs w:val="22"/>
        </w:rPr>
        <w:t>e</w:t>
      </w:r>
      <w:r w:rsidR="006C2D9F" w:rsidRPr="002D3820">
        <w:rPr>
          <w:szCs w:val="22"/>
        </w:rPr>
        <w:t>s contribute</w:t>
      </w:r>
      <w:r w:rsidR="007214EE" w:rsidRPr="002D3820">
        <w:rPr>
          <w:szCs w:val="22"/>
        </w:rPr>
        <w:t>d</w:t>
      </w:r>
      <w:r w:rsidR="006C2D9F" w:rsidRPr="002D3820">
        <w:rPr>
          <w:szCs w:val="22"/>
        </w:rPr>
        <w:t xml:space="preserve"> only 6.3 percent of the total regulatory fee collection</w:t>
      </w:r>
      <w:r w:rsidR="0053779E" w:rsidRPr="002D3820">
        <w:rPr>
          <w:szCs w:val="22"/>
        </w:rPr>
        <w:t xml:space="preserve"> for that year</w:t>
      </w:r>
      <w:r w:rsidR="006C2D9F" w:rsidRPr="002D3820">
        <w:rPr>
          <w:szCs w:val="22"/>
        </w:rPr>
        <w:t xml:space="preserve">.  </w:t>
      </w:r>
      <w:r w:rsidR="002770BE" w:rsidRPr="002D3820">
        <w:rPr>
          <w:szCs w:val="22"/>
        </w:rPr>
        <w:t xml:space="preserve">In contrast, </w:t>
      </w:r>
      <w:r w:rsidR="006C2D9F" w:rsidRPr="002D3820">
        <w:rPr>
          <w:szCs w:val="22"/>
        </w:rPr>
        <w:t>ITSPs</w:t>
      </w:r>
      <w:r w:rsidR="00EB48C1">
        <w:rPr>
          <w:szCs w:val="22"/>
        </w:rPr>
        <w:t xml:space="preserve"> (</w:t>
      </w:r>
      <w:r w:rsidR="00EB48C1" w:rsidRPr="00C5052D">
        <w:rPr>
          <w:spacing w:val="-2"/>
          <w:szCs w:val="22"/>
        </w:rPr>
        <w:t>interexchange carriers (IXCs), incumbent local exchange carriers (LECs), toll resellers, and other IXC service providers</w:t>
      </w:r>
      <w:r w:rsidR="00EB48C1" w:rsidRPr="002D3820">
        <w:rPr>
          <w:szCs w:val="22"/>
        </w:rPr>
        <w:t xml:space="preserve"> </w:t>
      </w:r>
      <w:r w:rsidR="006C2D9F" w:rsidRPr="002D3820">
        <w:rPr>
          <w:szCs w:val="22"/>
        </w:rPr>
        <w:t>regulated by the Wireline Competition Bureau</w:t>
      </w:r>
      <w:r w:rsidR="00EB48C1">
        <w:rPr>
          <w:szCs w:val="22"/>
        </w:rPr>
        <w:t>)</w:t>
      </w:r>
      <w:r w:rsidR="006C2D9F" w:rsidRPr="002D3820">
        <w:rPr>
          <w:szCs w:val="22"/>
        </w:rPr>
        <w:t xml:space="preserve"> </w:t>
      </w:r>
      <w:r w:rsidR="002770BE" w:rsidRPr="002D3820">
        <w:rPr>
          <w:szCs w:val="22"/>
        </w:rPr>
        <w:t xml:space="preserve">contributed </w:t>
      </w:r>
      <w:r w:rsidR="006C2D9F" w:rsidRPr="002D3820">
        <w:rPr>
          <w:szCs w:val="22"/>
        </w:rPr>
        <w:t>47 percent of the total regulatory fee collection</w:t>
      </w:r>
      <w:r w:rsidR="0053779E" w:rsidRPr="002D3820">
        <w:rPr>
          <w:szCs w:val="22"/>
        </w:rPr>
        <w:t xml:space="preserve"> in </w:t>
      </w:r>
      <w:r w:rsidR="002D3820" w:rsidRPr="002D3820">
        <w:rPr>
          <w:szCs w:val="22"/>
        </w:rPr>
        <w:t>2012</w:t>
      </w:r>
      <w:r w:rsidR="006C2D9F" w:rsidRPr="002D3820">
        <w:rPr>
          <w:szCs w:val="22"/>
        </w:rPr>
        <w:t>, yet that bureau employ</w:t>
      </w:r>
      <w:r w:rsidR="007214EE" w:rsidRPr="002D3820">
        <w:rPr>
          <w:szCs w:val="22"/>
        </w:rPr>
        <w:t>ed</w:t>
      </w:r>
      <w:r w:rsidR="006C2D9F" w:rsidRPr="002D3820">
        <w:rPr>
          <w:szCs w:val="22"/>
        </w:rPr>
        <w:t xml:space="preserve"> 29 percent of the </w:t>
      </w:r>
      <w:r w:rsidR="0053779E" w:rsidRPr="002D3820">
        <w:rPr>
          <w:szCs w:val="22"/>
        </w:rPr>
        <w:t xml:space="preserve">FTEs considered direct in </w:t>
      </w:r>
      <w:r w:rsidR="002D3820" w:rsidRPr="002D3820">
        <w:rPr>
          <w:szCs w:val="22"/>
        </w:rPr>
        <w:t>2012</w:t>
      </w:r>
      <w:r w:rsidR="0053779E">
        <w:rPr>
          <w:szCs w:val="22"/>
        </w:rPr>
        <w:t xml:space="preserve">.  </w:t>
      </w:r>
      <w:r w:rsidR="00611C0A" w:rsidRPr="00A438CD">
        <w:rPr>
          <w:szCs w:val="22"/>
        </w:rPr>
        <w:t xml:space="preserve">  </w:t>
      </w:r>
    </w:p>
    <w:p w:rsidR="00E62EF7" w:rsidRPr="00A438CD" w:rsidRDefault="00905E21" w:rsidP="003909AC">
      <w:pPr>
        <w:pStyle w:val="ParaNum"/>
        <w:ind w:left="-90"/>
      </w:pPr>
      <w:r>
        <w:t xml:space="preserve">With respect to updating the FTE allocations, </w:t>
      </w:r>
      <w:r w:rsidR="008C04DA">
        <w:t xml:space="preserve">the Commission recognized that, in most of </w:t>
      </w:r>
      <w:r w:rsidR="002C7657">
        <w:t>the core bureaus,</w:t>
      </w:r>
      <w:r w:rsidR="007A1103" w:rsidRPr="00A438CD">
        <w:t xml:space="preserve"> </w:t>
      </w:r>
      <w:r w:rsidR="00035F8D" w:rsidRPr="00A438CD">
        <w:t xml:space="preserve">the work of most of </w:t>
      </w:r>
      <w:r w:rsidR="008C04DA">
        <w:t>its</w:t>
      </w:r>
      <w:r w:rsidR="002C7657" w:rsidRPr="00A438CD">
        <w:t xml:space="preserve"> </w:t>
      </w:r>
      <w:r w:rsidR="00035F8D" w:rsidRPr="00A438CD">
        <w:t>FTEs predominantly benefit</w:t>
      </w:r>
      <w:r w:rsidR="000704EE">
        <w:t>s</w:t>
      </w:r>
      <w:r w:rsidR="00035F8D" w:rsidRPr="00A438CD">
        <w:t xml:space="preserve"> </w:t>
      </w:r>
      <w:r w:rsidR="002C7657">
        <w:t>that bur</w:t>
      </w:r>
      <w:r w:rsidR="00B176FA">
        <w:t>eau’s own licensees or regulat</w:t>
      </w:r>
      <w:r w:rsidR="002C7657">
        <w:t xml:space="preserve">ees.  </w:t>
      </w:r>
      <w:r w:rsidR="005C0419">
        <w:t>T</w:t>
      </w:r>
      <w:r w:rsidR="008C04DA">
        <w:t>he Commission</w:t>
      </w:r>
      <w:r w:rsidR="002C7657">
        <w:t xml:space="preserve"> found, </w:t>
      </w:r>
      <w:r w:rsidR="005C0419">
        <w:t xml:space="preserve">however, </w:t>
      </w:r>
      <w:r w:rsidR="002C7657">
        <w:t xml:space="preserve">that the work </w:t>
      </w:r>
      <w:r w:rsidR="000704EE">
        <w:t xml:space="preserve">performed by </w:t>
      </w:r>
      <w:r w:rsidR="002C7657">
        <w:t xml:space="preserve">most of </w:t>
      </w:r>
      <w:r w:rsidR="000704EE">
        <w:t>the International Bureau’s</w:t>
      </w:r>
      <w:r w:rsidR="002C7657">
        <w:t xml:space="preserve"> FTEs benefitted </w:t>
      </w:r>
      <w:r w:rsidR="00035F8D" w:rsidRPr="00A438CD">
        <w:t>other bureaus’ licensees</w:t>
      </w:r>
      <w:r w:rsidR="007A1103" w:rsidRPr="00A438CD">
        <w:t xml:space="preserve"> or the Commission as a whole</w:t>
      </w:r>
      <w:r w:rsidR="00035F8D" w:rsidRPr="00A438CD">
        <w:t>.</w:t>
      </w:r>
      <w:r w:rsidR="0061074F">
        <w:rPr>
          <w:rStyle w:val="FootnoteReference"/>
        </w:rPr>
        <w:footnoteReference w:id="17"/>
      </w:r>
      <w:r w:rsidR="00035F8D" w:rsidRPr="00A438CD">
        <w:t xml:space="preserve"> </w:t>
      </w:r>
      <w:r w:rsidR="008C6563">
        <w:t xml:space="preserve"> </w:t>
      </w:r>
      <w:r w:rsidR="007C5540">
        <w:t>Based on extensi</w:t>
      </w:r>
      <w:r w:rsidR="008C04DA">
        <w:t xml:space="preserve">ve review, the Commission </w:t>
      </w:r>
      <w:r w:rsidR="00BD389A" w:rsidRPr="00A438CD">
        <w:rPr>
          <w:szCs w:val="22"/>
        </w:rPr>
        <w:t xml:space="preserve">determined </w:t>
      </w:r>
      <w:r w:rsidR="00AB298C" w:rsidRPr="00A438CD">
        <w:t xml:space="preserve">that 28 of the FTEs from the </w:t>
      </w:r>
      <w:r w:rsidR="001747F4" w:rsidRPr="00A438CD">
        <w:t xml:space="preserve">Policy Division, Satellite Division, and Bureau </w:t>
      </w:r>
      <w:r w:rsidR="008C6563">
        <w:t xml:space="preserve">front </w:t>
      </w:r>
      <w:r w:rsidR="001747F4" w:rsidRPr="00A438CD">
        <w:t xml:space="preserve">office of the </w:t>
      </w:r>
      <w:r w:rsidR="00AB298C" w:rsidRPr="00A438CD">
        <w:t>International Bureau should be considered direct FTEs</w:t>
      </w:r>
      <w:r w:rsidR="00D3565B" w:rsidRPr="00A438CD">
        <w:t xml:space="preserve"> </w:t>
      </w:r>
      <w:r w:rsidR="00035F8D" w:rsidRPr="00A438CD">
        <w:t>because they a</w:t>
      </w:r>
      <w:r w:rsidR="00CB19E0" w:rsidRPr="00A438CD">
        <w:t xml:space="preserve">re </w:t>
      </w:r>
      <w:r w:rsidR="00035F8D" w:rsidRPr="00A438CD">
        <w:t xml:space="preserve">engaged </w:t>
      </w:r>
      <w:r w:rsidR="006663CB" w:rsidRPr="00A438CD">
        <w:t xml:space="preserve">primarily </w:t>
      </w:r>
      <w:r w:rsidR="00035F8D" w:rsidRPr="00A438CD">
        <w:t>in oversight and regulation of International Bureau licensees</w:t>
      </w:r>
      <w:r w:rsidR="001747F4" w:rsidRPr="00A438CD">
        <w:t xml:space="preserve">, such as </w:t>
      </w:r>
      <w:r w:rsidR="00181D86" w:rsidRPr="00A438CD">
        <w:t>satellite systems and submarine cable systems.</w:t>
      </w:r>
      <w:r w:rsidR="0061074F">
        <w:rPr>
          <w:rStyle w:val="FootnoteReference"/>
        </w:rPr>
        <w:footnoteReference w:id="18"/>
      </w:r>
      <w:r w:rsidR="00181D86" w:rsidRPr="00A438CD">
        <w:t xml:space="preserve">  </w:t>
      </w:r>
      <w:r w:rsidR="00035F8D" w:rsidRPr="00A438CD">
        <w:t>T</w:t>
      </w:r>
      <w:r w:rsidR="00AB298C" w:rsidRPr="00A438CD">
        <w:t xml:space="preserve">he remaining </w:t>
      </w:r>
      <w:r w:rsidR="00900B75">
        <w:t>International B</w:t>
      </w:r>
      <w:r w:rsidR="006663CB" w:rsidRPr="00A438CD">
        <w:t xml:space="preserve">ureau </w:t>
      </w:r>
      <w:r w:rsidR="00AB298C" w:rsidRPr="00A438CD">
        <w:t>FTEs</w:t>
      </w:r>
      <w:r w:rsidR="006663CB" w:rsidRPr="00A438CD">
        <w:t>, however, were</w:t>
      </w:r>
      <w:r w:rsidR="00AB298C" w:rsidRPr="00A438CD">
        <w:t xml:space="preserve"> </w:t>
      </w:r>
      <w:r w:rsidR="00611C0A" w:rsidRPr="00A438CD">
        <w:t xml:space="preserve">considered </w:t>
      </w:r>
      <w:r w:rsidR="00AB298C" w:rsidRPr="00A438CD">
        <w:t>indirect</w:t>
      </w:r>
      <w:r w:rsidR="00611C0A" w:rsidRPr="00A438CD">
        <w:t xml:space="preserve"> for regulatory fee purposes</w:t>
      </w:r>
      <w:r w:rsidR="00AB298C" w:rsidRPr="00A438CD">
        <w:t xml:space="preserve">.  </w:t>
      </w:r>
      <w:r w:rsidR="00B34A22" w:rsidRPr="00A438CD">
        <w:t xml:space="preserve">  </w:t>
      </w:r>
    </w:p>
    <w:p w:rsidR="006663CB" w:rsidRPr="00A438CD" w:rsidRDefault="006663CB" w:rsidP="003909AC">
      <w:pPr>
        <w:pStyle w:val="ParaNum"/>
        <w:ind w:left="-90"/>
      </w:pPr>
      <w:r w:rsidRPr="00A438CD">
        <w:t xml:space="preserve">In the </w:t>
      </w:r>
      <w:r w:rsidRPr="00A438CD">
        <w:rPr>
          <w:i/>
        </w:rPr>
        <w:t>FY 2013 Report and Order</w:t>
      </w:r>
      <w:r w:rsidRPr="00A438CD">
        <w:t xml:space="preserve">, the </w:t>
      </w:r>
      <w:r w:rsidR="00BD389A" w:rsidRPr="00A438CD">
        <w:t xml:space="preserve">Commission </w:t>
      </w:r>
      <w:r w:rsidRPr="00A438CD">
        <w:t>committed to additional regulatory fee reform</w:t>
      </w:r>
      <w:r w:rsidR="007D0130">
        <w:t xml:space="preserve"> and to issuing a Second Furthe</w:t>
      </w:r>
      <w:r w:rsidR="00553465">
        <w:t>r</w:t>
      </w:r>
      <w:r w:rsidR="007D0130">
        <w:t xml:space="preserve"> Notice of Proposed Rulemaking,</w:t>
      </w:r>
      <w:r w:rsidRPr="00A438CD">
        <w:t xml:space="preserve"> stating</w:t>
      </w:r>
      <w:r w:rsidR="00D81290" w:rsidRPr="00A438CD">
        <w:t>:</w:t>
      </w:r>
      <w:r w:rsidRPr="00A438CD">
        <w:t xml:space="preserve"> </w:t>
      </w:r>
    </w:p>
    <w:p w:rsidR="006663CB" w:rsidRPr="00A438CD" w:rsidRDefault="006663CB" w:rsidP="006663CB">
      <w:pPr>
        <w:pStyle w:val="ParaNum"/>
        <w:numPr>
          <w:ilvl w:val="0"/>
          <w:numId w:val="0"/>
        </w:numPr>
        <w:tabs>
          <w:tab w:val="num" w:pos="1440"/>
        </w:tabs>
        <w:ind w:left="630"/>
      </w:pPr>
      <w:r w:rsidRPr="00A438CD">
        <w:t xml:space="preserve">Various other issues relevant to revising our regulatory fee program were also raised in either the </w:t>
      </w:r>
      <w:r w:rsidRPr="00A438CD">
        <w:rPr>
          <w:i/>
        </w:rPr>
        <w:t>FY 2013 NPRM</w:t>
      </w:r>
      <w:r w:rsidRPr="00A438CD">
        <w:t xml:space="preserve"> or in comments submitted in response to it.  Because we require further information to best determine what action to take on these complex issues, we will consolidate them for consideration in a Second Further Notice of Proposed Rulemaking that we will issue shortly.  We recognize that these are complex issues and that resolving them will be difficult.  Nevertheless, we intend to conclusively readjust regulatory fees within three years.</w:t>
      </w:r>
      <w:r w:rsidRPr="00A438CD">
        <w:rPr>
          <w:rStyle w:val="FootnoteReference"/>
        </w:rPr>
        <w:footnoteReference w:id="19"/>
      </w:r>
    </w:p>
    <w:p w:rsidR="006C2D9F" w:rsidRPr="00A438CD" w:rsidRDefault="006663CB" w:rsidP="003909AC">
      <w:pPr>
        <w:pStyle w:val="ParaNum"/>
        <w:ind w:left="-90"/>
      </w:pPr>
      <w:r w:rsidRPr="00A438CD">
        <w:t>To accomplish this</w:t>
      </w:r>
      <w:r w:rsidR="005A2109">
        <w:t xml:space="preserve"> goal</w:t>
      </w:r>
      <w:r w:rsidRPr="00A438CD">
        <w:t xml:space="preserve">, Commission </w:t>
      </w:r>
      <w:r w:rsidR="00BD389A" w:rsidRPr="00A438CD">
        <w:t>staff continue</w:t>
      </w:r>
      <w:r w:rsidR="005A2109">
        <w:t>s</w:t>
      </w:r>
      <w:r w:rsidR="00BD389A" w:rsidRPr="00A438CD">
        <w:t xml:space="preserve"> its efforts to better align the work performed by its FTEs and the regulat</w:t>
      </w:r>
      <w:r w:rsidR="00CB19E0" w:rsidRPr="00A438CD">
        <w:t>e</w:t>
      </w:r>
      <w:r w:rsidR="00BD389A" w:rsidRPr="00A438CD">
        <w:t xml:space="preserve">es that benefit from such work, as required by </w:t>
      </w:r>
      <w:r w:rsidR="00BC7CF2" w:rsidRPr="00A438CD">
        <w:t>s</w:t>
      </w:r>
      <w:r w:rsidR="00BD389A" w:rsidRPr="00A438CD">
        <w:t>ection 9(b) of the Act</w:t>
      </w:r>
      <w:r w:rsidR="007C3DB8" w:rsidRPr="00A438CD">
        <w:t xml:space="preserve">.  </w:t>
      </w:r>
      <w:r w:rsidR="00EE3C5C" w:rsidRPr="00A438CD">
        <w:t xml:space="preserve">As part of these efforts, Commission staff engaged </w:t>
      </w:r>
      <w:r w:rsidR="00EE3C5C">
        <w:t xml:space="preserve">in extensive discussions with a number of </w:t>
      </w:r>
      <w:r w:rsidR="00BD389A" w:rsidRPr="00A438CD">
        <w:t>Commission regulatees</w:t>
      </w:r>
      <w:r w:rsidR="003049CC" w:rsidRPr="00A438CD">
        <w:t xml:space="preserve"> </w:t>
      </w:r>
      <w:r w:rsidR="00BD389A" w:rsidRPr="00A438CD">
        <w:t>to</w:t>
      </w:r>
      <w:r w:rsidR="003049CC" w:rsidRPr="00A438CD">
        <w:t xml:space="preserve"> obtain input concerning regulatory fee reform, including additional suggestions </w:t>
      </w:r>
      <w:r w:rsidR="007C3DB8" w:rsidRPr="00A438CD">
        <w:t>f</w:t>
      </w:r>
      <w:r w:rsidR="003049CC" w:rsidRPr="00A438CD">
        <w:t>or FTE reallocation.</w:t>
      </w:r>
      <w:r w:rsidR="00CB19E0" w:rsidRPr="00A438CD">
        <w:rPr>
          <w:rStyle w:val="FootnoteReference"/>
        </w:rPr>
        <w:footnoteReference w:id="20"/>
      </w:r>
      <w:r w:rsidR="00BD389A" w:rsidRPr="00A438CD">
        <w:t xml:space="preserve"> </w:t>
      </w:r>
      <w:r w:rsidR="003049CC" w:rsidRPr="00A438CD">
        <w:t xml:space="preserve"> We now </w:t>
      </w:r>
      <w:r w:rsidR="00B34A22" w:rsidRPr="00A438CD">
        <w:t>seek</w:t>
      </w:r>
      <w:r w:rsidR="003F1DF5" w:rsidRPr="00A438CD">
        <w:t xml:space="preserve"> </w:t>
      </w:r>
      <w:r w:rsidR="009101DB" w:rsidRPr="00A438CD">
        <w:t>comment</w:t>
      </w:r>
      <w:r w:rsidR="00926482" w:rsidRPr="00A438CD">
        <w:t>, or further comment,</w:t>
      </w:r>
      <w:r w:rsidR="009101DB" w:rsidRPr="00A438CD">
        <w:t xml:space="preserve"> on additional </w:t>
      </w:r>
      <w:r w:rsidR="00926482" w:rsidRPr="00A438CD">
        <w:t xml:space="preserve">regulatory fee </w:t>
      </w:r>
      <w:r w:rsidR="009101DB" w:rsidRPr="00A438CD">
        <w:t>changes we should adopt for FY 2014</w:t>
      </w:r>
      <w:r w:rsidR="00926482" w:rsidRPr="00A438CD">
        <w:t xml:space="preserve"> and beyond</w:t>
      </w:r>
      <w:r w:rsidR="0025047C" w:rsidRPr="00A438CD">
        <w:t>.</w:t>
      </w:r>
    </w:p>
    <w:p w:rsidR="00292AF8" w:rsidRDefault="001771B0" w:rsidP="003B6D34">
      <w:pPr>
        <w:pStyle w:val="Heading1"/>
      </w:pPr>
      <w:bookmarkStart w:id="14" w:name="_Toc384227046"/>
      <w:r>
        <w:t xml:space="preserve">Changes adopted in fy 2013 </w:t>
      </w:r>
      <w:r w:rsidR="00900B75">
        <w:t>(</w:t>
      </w:r>
      <w:r>
        <w:t>or earlier</w:t>
      </w:r>
      <w:r w:rsidR="00900B75">
        <w:t>)</w:t>
      </w:r>
      <w:r>
        <w:t xml:space="preserve"> that will apply in fy 2014</w:t>
      </w:r>
      <w:bookmarkEnd w:id="14"/>
    </w:p>
    <w:p w:rsidR="004C42AD" w:rsidRDefault="003B6D34" w:rsidP="003909AC">
      <w:pPr>
        <w:pStyle w:val="ParaNum"/>
        <w:ind w:left="-90"/>
      </w:pPr>
      <w:r>
        <w:t xml:space="preserve">As we discuss below, </w:t>
      </w:r>
      <w:r w:rsidR="009E141E">
        <w:t xml:space="preserve">a number of substantive and procedural changes have previously </w:t>
      </w:r>
      <w:r w:rsidR="00900B75">
        <w:t xml:space="preserve">been adopted and </w:t>
      </w:r>
      <w:r w:rsidR="008C161B">
        <w:t xml:space="preserve">will </w:t>
      </w:r>
      <w:r w:rsidR="007638D8">
        <w:t xml:space="preserve">apply </w:t>
      </w:r>
      <w:r w:rsidR="008F164E">
        <w:t>to the calculation of regulatory fees in</w:t>
      </w:r>
      <w:r>
        <w:t xml:space="preserve"> FY 2014</w:t>
      </w:r>
      <w:r w:rsidR="00337397">
        <w:t>.  For the reasons discussed previously,</w:t>
      </w:r>
      <w:r w:rsidR="00E4110D">
        <w:t xml:space="preserve"> we</w:t>
      </w:r>
      <w:r>
        <w:t xml:space="preserve"> </w:t>
      </w:r>
      <w:r w:rsidR="008F164E">
        <w:t xml:space="preserve">combine </w:t>
      </w:r>
      <w:r>
        <w:t>UHF/VHF regulatory fees into one digital television fee category</w:t>
      </w:r>
      <w:r>
        <w:rPr>
          <w:rStyle w:val="FootnoteReference"/>
        </w:rPr>
        <w:footnoteReference w:id="21"/>
      </w:r>
      <w:r>
        <w:t xml:space="preserve"> </w:t>
      </w:r>
      <w:r w:rsidR="006874A4">
        <w:t xml:space="preserve">and </w:t>
      </w:r>
      <w:r w:rsidR="004C42AD">
        <w:t xml:space="preserve">include IPTV </w:t>
      </w:r>
      <w:r>
        <w:t>in the cable television systems category</w:t>
      </w:r>
      <w:r w:rsidR="006874A4">
        <w:t>.</w:t>
      </w:r>
      <w:r>
        <w:rPr>
          <w:rStyle w:val="FootnoteReference"/>
        </w:rPr>
        <w:footnoteReference w:id="22"/>
      </w:r>
      <w:r w:rsidR="008249D2">
        <w:t xml:space="preserve">  </w:t>
      </w:r>
      <w:r w:rsidR="00612211">
        <w:t xml:space="preserve">In addition, we </w:t>
      </w:r>
      <w:r w:rsidR="00E4110D">
        <w:t>find</w:t>
      </w:r>
      <w:r w:rsidR="008249D2">
        <w:t xml:space="preserve"> it in the public interest to </w:t>
      </w:r>
      <w:r w:rsidR="004C42AD">
        <w:t xml:space="preserve">retain </w:t>
      </w:r>
      <w:r>
        <w:t>the CMRS messaging rate at $.08 per subscriber.</w:t>
      </w:r>
      <w:r>
        <w:rPr>
          <w:rStyle w:val="FootnoteReference"/>
        </w:rPr>
        <w:footnoteReference w:id="23"/>
      </w:r>
      <w:r>
        <w:t xml:space="preserve">  </w:t>
      </w:r>
    </w:p>
    <w:p w:rsidR="002F14D2" w:rsidRPr="00301472" w:rsidRDefault="002F14D2" w:rsidP="003909AC">
      <w:pPr>
        <w:pStyle w:val="ParaNum"/>
        <w:ind w:left="-90"/>
        <w:rPr>
          <w:rStyle w:val="documentbody1"/>
          <w:rFonts w:ascii="Times New Roman" w:hAnsi="Times New Roman"/>
          <w:sz w:val="22"/>
          <w:szCs w:val="22"/>
        </w:rPr>
      </w:pPr>
      <w:r w:rsidRPr="00301472">
        <w:rPr>
          <w:rStyle w:val="documentbody1"/>
          <w:rFonts w:ascii="Times New Roman" w:hAnsi="Times New Roman"/>
          <w:i/>
          <w:sz w:val="22"/>
          <w:szCs w:val="22"/>
        </w:rPr>
        <w:t>Combining UHF/VHF Television Regulatory Fees into One Digital Television Fee Category</w:t>
      </w:r>
      <w:r>
        <w:rPr>
          <w:rStyle w:val="documentbody1"/>
          <w:rFonts w:ascii="Times New Roman" w:hAnsi="Times New Roman"/>
          <w:sz w:val="22"/>
          <w:szCs w:val="22"/>
        </w:rPr>
        <w:t xml:space="preserve">.  </w:t>
      </w:r>
      <w:r w:rsidR="004709B8">
        <w:rPr>
          <w:rStyle w:val="documentbody1"/>
          <w:rFonts w:ascii="Times New Roman" w:hAnsi="Times New Roman"/>
          <w:sz w:val="22"/>
          <w:szCs w:val="22"/>
        </w:rPr>
        <w:t xml:space="preserve">In the </w:t>
      </w:r>
      <w:r w:rsidRPr="00301472">
        <w:rPr>
          <w:rStyle w:val="documentbody1"/>
          <w:rFonts w:ascii="Times New Roman" w:hAnsi="Times New Roman"/>
          <w:i/>
          <w:sz w:val="22"/>
          <w:szCs w:val="22"/>
        </w:rPr>
        <w:t>FY 2013 Report and Order</w:t>
      </w:r>
      <w:r w:rsidR="004709B8">
        <w:rPr>
          <w:rStyle w:val="documentbody1"/>
          <w:rFonts w:ascii="Times New Roman" w:hAnsi="Times New Roman"/>
          <w:sz w:val="22"/>
          <w:szCs w:val="22"/>
        </w:rPr>
        <w:t>,</w:t>
      </w:r>
      <w:r w:rsidRPr="00301472">
        <w:rPr>
          <w:rStyle w:val="documentbody1"/>
          <w:rFonts w:ascii="Times New Roman" w:hAnsi="Times New Roman"/>
          <w:i/>
          <w:sz w:val="22"/>
          <w:szCs w:val="22"/>
        </w:rPr>
        <w:t xml:space="preserve"> </w:t>
      </w:r>
      <w:r w:rsidR="004709B8">
        <w:rPr>
          <w:rStyle w:val="documentbody1"/>
          <w:rFonts w:ascii="Times New Roman" w:hAnsi="Times New Roman"/>
          <w:sz w:val="22"/>
          <w:szCs w:val="22"/>
        </w:rPr>
        <w:t xml:space="preserve">the Commission </w:t>
      </w:r>
      <w:r w:rsidRPr="00301472">
        <w:rPr>
          <w:rStyle w:val="documentbody1"/>
          <w:rFonts w:ascii="Times New Roman" w:hAnsi="Times New Roman"/>
          <w:sz w:val="22"/>
          <w:szCs w:val="22"/>
        </w:rPr>
        <w:t>combine</w:t>
      </w:r>
      <w:r w:rsidR="004709B8">
        <w:rPr>
          <w:rStyle w:val="documentbody1"/>
          <w:rFonts w:ascii="Times New Roman" w:hAnsi="Times New Roman"/>
          <w:sz w:val="22"/>
          <w:szCs w:val="22"/>
        </w:rPr>
        <w:t>d</w:t>
      </w:r>
      <w:r w:rsidRPr="00301472">
        <w:rPr>
          <w:rStyle w:val="documentbody1"/>
          <w:rFonts w:ascii="Times New Roman" w:hAnsi="Times New Roman"/>
          <w:sz w:val="22"/>
          <w:szCs w:val="22"/>
        </w:rPr>
        <w:t xml:space="preserve"> the VHF and UHF stations in the same market area into one fee category </w:t>
      </w:r>
      <w:r w:rsidR="00121162">
        <w:rPr>
          <w:rStyle w:val="documentbody1"/>
          <w:rFonts w:ascii="Times New Roman" w:hAnsi="Times New Roman"/>
          <w:sz w:val="22"/>
          <w:szCs w:val="22"/>
        </w:rPr>
        <w:t xml:space="preserve">(with five </w:t>
      </w:r>
      <w:r w:rsidR="00121162" w:rsidRPr="00301472">
        <w:rPr>
          <w:rStyle w:val="documentbody1"/>
          <w:rFonts w:ascii="Times New Roman" w:hAnsi="Times New Roman"/>
          <w:sz w:val="22"/>
          <w:szCs w:val="22"/>
        </w:rPr>
        <w:t>tiered market segments</w:t>
      </w:r>
      <w:r w:rsidR="00121162">
        <w:rPr>
          <w:rStyle w:val="documentbody1"/>
          <w:rFonts w:ascii="Times New Roman" w:hAnsi="Times New Roman"/>
          <w:sz w:val="22"/>
          <w:szCs w:val="22"/>
        </w:rPr>
        <w:t>)</w:t>
      </w:r>
      <w:r w:rsidR="00121162" w:rsidRPr="00301472">
        <w:rPr>
          <w:rStyle w:val="documentbody1"/>
          <w:rFonts w:ascii="Times New Roman" w:hAnsi="Times New Roman"/>
          <w:sz w:val="22"/>
          <w:szCs w:val="22"/>
        </w:rPr>
        <w:t xml:space="preserve"> </w:t>
      </w:r>
      <w:r w:rsidRPr="00301472">
        <w:rPr>
          <w:rStyle w:val="documentbody1"/>
          <w:rFonts w:ascii="Times New Roman" w:hAnsi="Times New Roman"/>
          <w:sz w:val="22"/>
          <w:szCs w:val="22"/>
        </w:rPr>
        <w:t>beginning in FY 2014 and eliminate</w:t>
      </w:r>
      <w:r w:rsidR="004709B8">
        <w:rPr>
          <w:rStyle w:val="documentbody1"/>
          <w:rFonts w:ascii="Times New Roman" w:hAnsi="Times New Roman"/>
          <w:sz w:val="22"/>
          <w:szCs w:val="22"/>
        </w:rPr>
        <w:t>d</w:t>
      </w:r>
      <w:r w:rsidRPr="00301472">
        <w:rPr>
          <w:rStyle w:val="documentbody1"/>
          <w:rFonts w:ascii="Times New Roman" w:hAnsi="Times New Roman"/>
          <w:sz w:val="22"/>
          <w:szCs w:val="22"/>
        </w:rPr>
        <w:t xml:space="preserve"> the fee disparity between VHF and UHF stations.</w:t>
      </w:r>
      <w:r w:rsidR="004709B8" w:rsidRPr="004709B8">
        <w:rPr>
          <w:rStyle w:val="FootnoteReference"/>
          <w:sz w:val="22"/>
          <w:szCs w:val="22"/>
        </w:rPr>
        <w:t xml:space="preserve"> </w:t>
      </w:r>
      <w:r w:rsidR="004709B8" w:rsidRPr="00B800E5">
        <w:rPr>
          <w:rStyle w:val="FootnoteReference"/>
          <w:sz w:val="22"/>
          <w:szCs w:val="22"/>
        </w:rPr>
        <w:footnoteReference w:id="24"/>
      </w:r>
      <w:r w:rsidRPr="00301472">
        <w:rPr>
          <w:rStyle w:val="documentbody1"/>
          <w:rFonts w:ascii="Times New Roman" w:hAnsi="Times New Roman"/>
          <w:sz w:val="22"/>
          <w:szCs w:val="22"/>
        </w:rPr>
        <w:t xml:space="preserve">  </w:t>
      </w:r>
    </w:p>
    <w:p w:rsidR="002F14D2" w:rsidRPr="000D0749" w:rsidRDefault="002F14D2" w:rsidP="00184741">
      <w:pPr>
        <w:pStyle w:val="ParaNum"/>
        <w:widowControl/>
        <w:ind w:left="-86"/>
        <w:rPr>
          <w:rStyle w:val="documentbody1"/>
          <w:rFonts w:ascii="Times New Roman" w:hAnsi="Times New Roman"/>
          <w:sz w:val="22"/>
          <w:szCs w:val="22"/>
        </w:rPr>
      </w:pPr>
      <w:r w:rsidRPr="000D0749">
        <w:rPr>
          <w:i/>
        </w:rPr>
        <w:t>Internet Protocol TV is included in the Cable Television Systems Category</w:t>
      </w:r>
      <w:r>
        <w:t xml:space="preserve">.  </w:t>
      </w:r>
      <w:r w:rsidRPr="00B800E5">
        <w:t xml:space="preserve">In the </w:t>
      </w:r>
      <w:r w:rsidRPr="000D0749">
        <w:rPr>
          <w:i/>
        </w:rPr>
        <w:t>FY 2013 Report and Order</w:t>
      </w:r>
      <w:r w:rsidRPr="00B800E5">
        <w:t xml:space="preserve">, </w:t>
      </w:r>
      <w:r>
        <w:t>the Commission</w:t>
      </w:r>
      <w:r w:rsidRPr="00B800E5">
        <w:t xml:space="preserve"> concluded that IPTV providers should be subject to the same regulatory fees as cable providers</w:t>
      </w:r>
      <w:r w:rsidR="001E2372">
        <w:t xml:space="preserve"> and</w:t>
      </w:r>
      <w:r w:rsidR="003766A3">
        <w:t>,</w:t>
      </w:r>
      <w:r w:rsidR="001E2372">
        <w:t xml:space="preserve"> b</w:t>
      </w:r>
      <w:r w:rsidRPr="000D0749">
        <w:rPr>
          <w:rStyle w:val="documentbody1"/>
          <w:rFonts w:ascii="Times New Roman" w:hAnsi="Times New Roman"/>
          <w:sz w:val="22"/>
          <w:szCs w:val="22"/>
        </w:rPr>
        <w:t xml:space="preserve">eginning in FY 2014, we </w:t>
      </w:r>
      <w:r w:rsidR="001E2372">
        <w:rPr>
          <w:rStyle w:val="documentbody1"/>
          <w:rFonts w:ascii="Times New Roman" w:hAnsi="Times New Roman"/>
          <w:sz w:val="22"/>
          <w:szCs w:val="22"/>
        </w:rPr>
        <w:t xml:space="preserve">are assessing </w:t>
      </w:r>
      <w:r w:rsidRPr="000D0749">
        <w:rPr>
          <w:rStyle w:val="documentbody1"/>
          <w:rFonts w:ascii="Times New Roman" w:hAnsi="Times New Roman"/>
          <w:sz w:val="22"/>
          <w:szCs w:val="22"/>
        </w:rPr>
        <w:t>regulatory fees on IPTV providers in the same manner as we assess fees on cable television providers; we are not</w:t>
      </w:r>
      <w:r w:rsidR="00B368AA">
        <w:rPr>
          <w:rStyle w:val="documentbody1"/>
          <w:rFonts w:ascii="Times New Roman" w:hAnsi="Times New Roman"/>
          <w:sz w:val="22"/>
          <w:szCs w:val="22"/>
        </w:rPr>
        <w:t>, however,</w:t>
      </w:r>
      <w:r w:rsidRPr="000D0749">
        <w:rPr>
          <w:rStyle w:val="documentbody1"/>
          <w:rFonts w:ascii="Times New Roman" w:hAnsi="Times New Roman"/>
          <w:sz w:val="22"/>
          <w:szCs w:val="22"/>
        </w:rPr>
        <w:t xml:space="preserve"> stating that IPTV providers are cable television providers.</w:t>
      </w:r>
      <w:r w:rsidR="001E2372" w:rsidRPr="00B800E5">
        <w:rPr>
          <w:rStyle w:val="FootnoteReference"/>
          <w:sz w:val="22"/>
          <w:szCs w:val="22"/>
        </w:rPr>
        <w:footnoteReference w:id="25"/>
      </w:r>
    </w:p>
    <w:p w:rsidR="00612211" w:rsidRPr="00D53BC0" w:rsidRDefault="00B368AA" w:rsidP="003909AC">
      <w:pPr>
        <w:pStyle w:val="ParaNum"/>
        <w:ind w:left="-90"/>
      </w:pPr>
      <w:r w:rsidRPr="004330AC">
        <w:rPr>
          <w:rStyle w:val="documentbody1"/>
          <w:rFonts w:ascii="Times New Roman" w:hAnsi="Times New Roman"/>
          <w:i/>
          <w:sz w:val="22"/>
          <w:szCs w:val="22"/>
        </w:rPr>
        <w:t xml:space="preserve">Congressional notification.  </w:t>
      </w:r>
      <w:r w:rsidR="002F14D2" w:rsidRPr="004330AC">
        <w:rPr>
          <w:rStyle w:val="documentbody1"/>
          <w:rFonts w:ascii="Times New Roman" w:hAnsi="Times New Roman"/>
          <w:sz w:val="22"/>
          <w:szCs w:val="22"/>
        </w:rPr>
        <w:t xml:space="preserve">As required by sections 9(b)(3) and </w:t>
      </w:r>
      <w:r w:rsidR="002F14D2" w:rsidRPr="004330AC">
        <w:rPr>
          <w:szCs w:val="22"/>
        </w:rPr>
        <w:t xml:space="preserve">9(b)(4)(B) </w:t>
      </w:r>
      <w:r w:rsidR="002F14D2" w:rsidRPr="004330AC">
        <w:rPr>
          <w:rStyle w:val="documentbody1"/>
          <w:rFonts w:ascii="Times New Roman" w:hAnsi="Times New Roman"/>
          <w:sz w:val="22"/>
          <w:szCs w:val="22"/>
        </w:rPr>
        <w:t>of the Act,</w:t>
      </w:r>
      <w:r w:rsidR="002F14D2" w:rsidRPr="00B800E5">
        <w:rPr>
          <w:rStyle w:val="FootnoteReference"/>
          <w:sz w:val="22"/>
          <w:szCs w:val="22"/>
        </w:rPr>
        <w:footnoteReference w:id="26"/>
      </w:r>
      <w:r w:rsidR="002F14D2" w:rsidRPr="004330AC">
        <w:rPr>
          <w:rStyle w:val="documentbody1"/>
          <w:rFonts w:ascii="Times New Roman" w:hAnsi="Times New Roman"/>
          <w:sz w:val="22"/>
          <w:szCs w:val="22"/>
        </w:rPr>
        <w:t xml:space="preserve"> the Commission </w:t>
      </w:r>
      <w:r w:rsidR="00EA7612" w:rsidRPr="004330AC">
        <w:rPr>
          <w:rStyle w:val="documentbody1"/>
          <w:rFonts w:ascii="Times New Roman" w:hAnsi="Times New Roman"/>
          <w:sz w:val="22"/>
          <w:szCs w:val="22"/>
        </w:rPr>
        <w:t>notified</w:t>
      </w:r>
      <w:r w:rsidR="002F14D2" w:rsidRPr="004330AC">
        <w:rPr>
          <w:rStyle w:val="documentbody1"/>
          <w:rFonts w:ascii="Times New Roman" w:hAnsi="Times New Roman"/>
          <w:sz w:val="22"/>
          <w:szCs w:val="22"/>
        </w:rPr>
        <w:t xml:space="preserve"> Congress </w:t>
      </w:r>
      <w:r w:rsidR="00EA7612" w:rsidRPr="004330AC">
        <w:rPr>
          <w:rStyle w:val="documentbody1"/>
          <w:rFonts w:ascii="Times New Roman" w:hAnsi="Times New Roman"/>
          <w:sz w:val="22"/>
          <w:szCs w:val="22"/>
        </w:rPr>
        <w:t xml:space="preserve">on March </w:t>
      </w:r>
      <w:r w:rsidR="000E38BC" w:rsidRPr="004330AC">
        <w:rPr>
          <w:rStyle w:val="documentbody1"/>
          <w:rFonts w:ascii="Times New Roman" w:hAnsi="Times New Roman"/>
          <w:sz w:val="22"/>
          <w:szCs w:val="22"/>
        </w:rPr>
        <w:t>27</w:t>
      </w:r>
      <w:r w:rsidR="00EA7612" w:rsidRPr="004330AC">
        <w:rPr>
          <w:rStyle w:val="documentbody1"/>
          <w:rFonts w:ascii="Times New Roman" w:hAnsi="Times New Roman"/>
          <w:sz w:val="22"/>
          <w:szCs w:val="22"/>
        </w:rPr>
        <w:t xml:space="preserve">, 2014 of </w:t>
      </w:r>
      <w:r w:rsidR="002F14D2" w:rsidRPr="004330AC">
        <w:rPr>
          <w:szCs w:val="22"/>
        </w:rPr>
        <w:t xml:space="preserve">the addition of IPTV to the cable television system fee category </w:t>
      </w:r>
      <w:r w:rsidR="00EA7612" w:rsidRPr="004330AC">
        <w:rPr>
          <w:szCs w:val="22"/>
        </w:rPr>
        <w:t>and the combination of UHF and VHF stations in the same market into a single fee category.</w:t>
      </w:r>
      <w:r w:rsidR="002F14D2" w:rsidRPr="00F65E4A">
        <w:rPr>
          <w:rStyle w:val="FootnoteReference"/>
          <w:sz w:val="22"/>
          <w:szCs w:val="22"/>
        </w:rPr>
        <w:footnoteReference w:id="27"/>
      </w:r>
      <w:r w:rsidR="002F14D2" w:rsidRPr="004330AC">
        <w:rPr>
          <w:szCs w:val="22"/>
        </w:rPr>
        <w:t xml:space="preserve">  The pending 90-day congressional notification period expires on </w:t>
      </w:r>
      <w:r w:rsidR="000E38BC" w:rsidRPr="004330AC">
        <w:rPr>
          <w:szCs w:val="22"/>
        </w:rPr>
        <w:t>June 25,</w:t>
      </w:r>
      <w:r w:rsidR="002F14D2" w:rsidRPr="004330AC">
        <w:rPr>
          <w:szCs w:val="22"/>
        </w:rPr>
        <w:t xml:space="preserve"> 2014</w:t>
      </w:r>
      <w:r w:rsidR="00EA7612" w:rsidRPr="004330AC">
        <w:rPr>
          <w:szCs w:val="22"/>
        </w:rPr>
        <w:t>, upon which these</w:t>
      </w:r>
      <w:r w:rsidR="002F14D2" w:rsidRPr="004330AC">
        <w:rPr>
          <w:szCs w:val="22"/>
        </w:rPr>
        <w:t xml:space="preserve"> change</w:t>
      </w:r>
      <w:r w:rsidR="00EA7612" w:rsidRPr="004330AC">
        <w:rPr>
          <w:szCs w:val="22"/>
        </w:rPr>
        <w:t>s</w:t>
      </w:r>
      <w:r w:rsidR="002F14D2" w:rsidRPr="004330AC">
        <w:rPr>
          <w:szCs w:val="22"/>
        </w:rPr>
        <w:t xml:space="preserve"> will become effective.</w:t>
      </w:r>
    </w:p>
    <w:p w:rsidR="002F14D2" w:rsidRDefault="008450E3" w:rsidP="003909AC">
      <w:pPr>
        <w:pStyle w:val="ParaNum"/>
        <w:ind w:left="-90"/>
      </w:pPr>
      <w:r w:rsidRPr="008450E3">
        <w:rPr>
          <w:i/>
          <w:szCs w:val="22"/>
        </w:rPr>
        <w:t xml:space="preserve">Commercial Mobile Radio Service (CMRS) Messaging. </w:t>
      </w:r>
      <w:r w:rsidRPr="008450E3">
        <w:rPr>
          <w:szCs w:val="22"/>
        </w:rPr>
        <w:t xml:space="preserve"> </w:t>
      </w:r>
      <w:r w:rsidRPr="00B32CCF">
        <w:t>CMRS Messaging Service, which replaced the CMRS One-Way Paging fee category in 1997, includes all narrowband services.</w:t>
      </w:r>
      <w:r w:rsidRPr="00F65E4A">
        <w:rPr>
          <w:rStyle w:val="FootnoteReference"/>
          <w:bCs/>
          <w:sz w:val="22"/>
          <w:szCs w:val="22"/>
        </w:rPr>
        <w:footnoteReference w:id="28"/>
      </w:r>
      <w:r w:rsidRPr="00B32CCF">
        <w:t xml:space="preserve">  Initially, the Commission froze the regulatory fee for this fee category at the FY 2002 level to provide relief to the paging industry by setting an applicable rate of $0.08 per subscriber beginning in FY 2003.</w:t>
      </w:r>
      <w:r w:rsidRPr="00F65E4A">
        <w:rPr>
          <w:rStyle w:val="FootnoteReference"/>
          <w:bCs/>
          <w:sz w:val="22"/>
          <w:szCs w:val="22"/>
        </w:rPr>
        <w:footnoteReference w:id="29"/>
      </w:r>
      <w:r w:rsidRPr="00B32CCF">
        <w:t xml:space="preserve">  At that time </w:t>
      </w:r>
      <w:r>
        <w:t>the Commission</w:t>
      </w:r>
      <w:r w:rsidRPr="00B32CCF">
        <w:t xml:space="preserve"> noted that CMRS Messaging units had significantly declined from 40.8 million in FY 1997 to 19.7 million in FY 2003—a decline of 51.7 percent.</w:t>
      </w:r>
      <w:r w:rsidRPr="00F65E4A">
        <w:rPr>
          <w:rStyle w:val="FootnoteReference"/>
          <w:bCs/>
          <w:sz w:val="22"/>
          <w:szCs w:val="22"/>
        </w:rPr>
        <w:footnoteReference w:id="30"/>
      </w:r>
      <w:r>
        <w:t xml:space="preserve">  We continue</w:t>
      </w:r>
      <w:r w:rsidRPr="00B32CCF">
        <w:t xml:space="preserve"> to </w:t>
      </w:r>
      <w:r>
        <w:t>observe</w:t>
      </w:r>
      <w:r w:rsidRPr="00B32CCF">
        <w:t xml:space="preserve"> a gradual decline in subscribership</w:t>
      </w:r>
      <w:r>
        <w:t>, which indicates that this decrease i</w:t>
      </w:r>
      <w:r w:rsidRPr="00B32CCF">
        <w:t xml:space="preserve">s not temporary.  </w:t>
      </w:r>
      <w:r>
        <w:t xml:space="preserve">We </w:t>
      </w:r>
      <w:r w:rsidRPr="00B32CCF">
        <w:t>will maintain the CMRS Messaging fee rate at $.08 per subscriber in FY 2014</w:t>
      </w:r>
      <w:r>
        <w:t>.</w:t>
      </w:r>
      <w:r w:rsidR="00963537" w:rsidRPr="007F7B4B">
        <w:rPr>
          <w:rStyle w:val="FootnoteReference"/>
          <w:szCs w:val="22"/>
        </w:rPr>
        <w:footnoteReference w:id="31"/>
      </w:r>
      <w:r>
        <w:t xml:space="preserve">  If we adopt a new de minimis threshold, as discussed below, some </w:t>
      </w:r>
      <w:r w:rsidR="00963537">
        <w:t xml:space="preserve">of the </w:t>
      </w:r>
      <w:r>
        <w:t xml:space="preserve">CMRS Messaging providers will no longer be required to pay regulatory fees.  </w:t>
      </w:r>
    </w:p>
    <w:p w:rsidR="004C42AD" w:rsidRDefault="00BB6A3A" w:rsidP="004C42AD">
      <w:pPr>
        <w:pStyle w:val="Heading1"/>
      </w:pPr>
      <w:bookmarkStart w:id="15" w:name="_Toc384227047"/>
      <w:r>
        <w:t xml:space="preserve">ORDER AND </w:t>
      </w:r>
      <w:r w:rsidR="004C42AD">
        <w:t>administrative changes for fy 2014</w:t>
      </w:r>
      <w:bookmarkEnd w:id="15"/>
    </w:p>
    <w:p w:rsidR="00284DBF" w:rsidRPr="0016307D" w:rsidRDefault="00BB6A3A" w:rsidP="00184741">
      <w:pPr>
        <w:pStyle w:val="ParaNum"/>
        <w:widowControl/>
        <w:ind w:left="-86"/>
        <w:rPr>
          <w:szCs w:val="22"/>
        </w:rPr>
      </w:pPr>
      <w:r w:rsidRPr="0016307D">
        <w:rPr>
          <w:szCs w:val="22"/>
        </w:rPr>
        <w:t xml:space="preserve">We have previously adopted several procedural changes that will apply to this year’s fee collection.  In particular, in the </w:t>
      </w:r>
      <w:r w:rsidRPr="0016307D">
        <w:rPr>
          <w:i/>
          <w:szCs w:val="22"/>
        </w:rPr>
        <w:t>FY 2013 Report and Order</w:t>
      </w:r>
      <w:r w:rsidRPr="0016307D">
        <w:rPr>
          <w:szCs w:val="22"/>
        </w:rPr>
        <w:t xml:space="preserve"> we stated the Commission will no longer accept checks (including cashier’s checks) and the accompanying hardcopy forms (e.g., Form 159’s, Form 159-B’s, Form 159-E’s, Form 159-W’s) for the payment of regulatory fees.</w:t>
      </w:r>
      <w:r w:rsidR="00D438D0">
        <w:rPr>
          <w:rStyle w:val="FootnoteReference"/>
          <w:szCs w:val="22"/>
        </w:rPr>
        <w:footnoteReference w:id="32"/>
      </w:r>
      <w:r w:rsidRPr="0016307D">
        <w:rPr>
          <w:szCs w:val="22"/>
        </w:rPr>
        <w:t xml:space="preserve">  This new paperless procedure will require that all payments be made by online ACH payment, online credit card, or wire transfer.  Accordingly, we revise </w:t>
      </w:r>
      <w:r>
        <w:t>sections 1.1112, 1.1158, 1.1161, and 1.1164 of our rules</w:t>
      </w:r>
      <w:r>
        <w:rPr>
          <w:rStyle w:val="FootnoteReference"/>
        </w:rPr>
        <w:footnoteReference w:id="33"/>
      </w:r>
      <w:r>
        <w:t xml:space="preserve"> to correspond with the Commission’s </w:t>
      </w:r>
      <w:r w:rsidRPr="0016307D">
        <w:rPr>
          <w:i/>
        </w:rPr>
        <w:t>FY 2013 Report and Order</w:t>
      </w:r>
      <w:r>
        <w:t xml:space="preserve"> requiring electronic payment o</w:t>
      </w:r>
      <w:r w:rsidR="0016307D">
        <w:t>f regulatory fees.</w:t>
      </w:r>
      <w:r w:rsidR="0016307D">
        <w:rPr>
          <w:rStyle w:val="FootnoteReference"/>
        </w:rPr>
        <w:footnoteReference w:id="34"/>
      </w:r>
      <w:r w:rsidR="00284DBF" w:rsidRPr="0016307D">
        <w:rPr>
          <w:szCs w:val="22"/>
        </w:rPr>
        <w:t xml:space="preserve"> </w:t>
      </w:r>
    </w:p>
    <w:p w:rsidR="00284DBF" w:rsidRDefault="005F6154" w:rsidP="003909AC">
      <w:pPr>
        <w:pStyle w:val="ParaNum"/>
        <w:ind w:left="-90"/>
        <w:rPr>
          <w:szCs w:val="22"/>
        </w:rPr>
      </w:pPr>
      <w:r>
        <w:rPr>
          <w:szCs w:val="22"/>
        </w:rPr>
        <w:t>C</w:t>
      </w:r>
      <w:r w:rsidR="00284DBF" w:rsidRPr="002D2C42">
        <w:rPr>
          <w:szCs w:val="22"/>
        </w:rPr>
        <w:t>arrier</w:t>
      </w:r>
      <w:r w:rsidR="00284DBF">
        <w:rPr>
          <w:szCs w:val="22"/>
        </w:rPr>
        <w:t>s</w:t>
      </w:r>
      <w:r w:rsidR="00284DBF" w:rsidRPr="002D2C42">
        <w:rPr>
          <w:szCs w:val="22"/>
        </w:rPr>
        <w:t xml:space="preserve"> </w:t>
      </w:r>
      <w:r w:rsidR="00284DBF">
        <w:rPr>
          <w:szCs w:val="22"/>
        </w:rPr>
        <w:t>seeking</w:t>
      </w:r>
      <w:r w:rsidR="00284DBF" w:rsidRPr="002D2C42">
        <w:rPr>
          <w:szCs w:val="22"/>
        </w:rPr>
        <w:t xml:space="preserve"> to revise </w:t>
      </w:r>
      <w:r w:rsidR="00284DBF">
        <w:rPr>
          <w:szCs w:val="22"/>
        </w:rPr>
        <w:t xml:space="preserve">their </w:t>
      </w:r>
      <w:r w:rsidR="00284DBF" w:rsidRPr="002D2C42">
        <w:rPr>
          <w:szCs w:val="22"/>
        </w:rPr>
        <w:t>subscriber count</w:t>
      </w:r>
      <w:r w:rsidR="00284DBF">
        <w:rPr>
          <w:szCs w:val="22"/>
        </w:rPr>
        <w:t>s</w:t>
      </w:r>
      <w:r w:rsidR="00284DBF" w:rsidRPr="002D2C42">
        <w:rPr>
          <w:szCs w:val="22"/>
        </w:rPr>
        <w:t xml:space="preserve"> can do so by accessing Fee Filer.  Providers should follow the prompts in Fee Filer to record their subscriber revisions, along with any supporting documentation.  </w:t>
      </w:r>
      <w:r w:rsidR="00493158">
        <w:rPr>
          <w:szCs w:val="22"/>
        </w:rPr>
        <w:t xml:space="preserve">In the supporting documentation, the provider will need to state a reason for the change, such as a purchase or sale of a subsidiary, the date of the transaction, and any other pertinent information that will help to justify a reason for the change.  </w:t>
      </w:r>
      <w:r w:rsidR="00284DBF" w:rsidRPr="002D2C42">
        <w:rPr>
          <w:szCs w:val="22"/>
        </w:rPr>
        <w:t xml:space="preserve">The Commission will then review the revised count and supporting documentation and either approve or disapprove the </w:t>
      </w:r>
      <w:r w:rsidR="00493158">
        <w:rPr>
          <w:szCs w:val="22"/>
        </w:rPr>
        <w:t xml:space="preserve">revision.  </w:t>
      </w:r>
      <w:r w:rsidR="00284DBF" w:rsidRPr="002D2C42">
        <w:rPr>
          <w:szCs w:val="22"/>
        </w:rPr>
        <w:t xml:space="preserve">  </w:t>
      </w:r>
    </w:p>
    <w:p w:rsidR="004C42AD" w:rsidRPr="00D1675C" w:rsidRDefault="00DE5FD2" w:rsidP="003909AC">
      <w:pPr>
        <w:pStyle w:val="ParaNum"/>
        <w:ind w:left="-90"/>
      </w:pPr>
      <w:r>
        <w:rPr>
          <w:szCs w:val="22"/>
        </w:rPr>
        <w:t>For purposes of determining a CMRS provider’s subscriber count, the Commission determines the quantity of assigned telephone numbers from the provider’s Numbering Resource Utilization Forecast (NRUF) report and adjusts for porting to account for numbers that have been marked as assigned in their numbering systems but that reflect telephone numbers being served by another carrier.</w:t>
      </w:r>
      <w:r w:rsidR="00284DBF" w:rsidRPr="002D2C42">
        <w:rPr>
          <w:rStyle w:val="FootnoteReference"/>
          <w:szCs w:val="22"/>
        </w:rPr>
        <w:footnoteReference w:id="35"/>
      </w:r>
      <w:r w:rsidR="00284DBF" w:rsidRPr="002D2C42">
        <w:rPr>
          <w:szCs w:val="22"/>
        </w:rPr>
        <w:t xml:space="preserve">  The </w:t>
      </w:r>
      <w:r w:rsidR="00284DBF">
        <w:rPr>
          <w:szCs w:val="22"/>
        </w:rPr>
        <w:t xml:space="preserve">CMRS count is based on the </w:t>
      </w:r>
      <w:r w:rsidR="00284DBF" w:rsidRPr="002D2C42">
        <w:rPr>
          <w:szCs w:val="22"/>
        </w:rPr>
        <w:t xml:space="preserve">carrier’s Operating Company Numbers (OCNs) </w:t>
      </w:r>
      <w:r w:rsidR="00284DBF">
        <w:rPr>
          <w:szCs w:val="22"/>
        </w:rPr>
        <w:t xml:space="preserve">aggregate subscriber total.  For carriers that do not file an </w:t>
      </w:r>
      <w:r w:rsidR="00284DBF" w:rsidRPr="002D2C42">
        <w:rPr>
          <w:szCs w:val="22"/>
        </w:rPr>
        <w:t xml:space="preserve">NRUF report, </w:t>
      </w:r>
      <w:r w:rsidR="00284DBF">
        <w:rPr>
          <w:szCs w:val="22"/>
        </w:rPr>
        <w:t xml:space="preserve">the Commission will not calculate an initial CMRS subscriber total.  </w:t>
      </w:r>
      <w:r w:rsidR="00284DBF" w:rsidRPr="002D2C42">
        <w:rPr>
          <w:szCs w:val="22"/>
        </w:rPr>
        <w:t xml:space="preserve">In these instances, the carriers should compute their fee payment </w:t>
      </w:r>
      <w:r w:rsidR="00284DBF">
        <w:rPr>
          <w:szCs w:val="22"/>
        </w:rPr>
        <w:t xml:space="preserve">based on subscriber counts as of </w:t>
      </w:r>
      <w:r w:rsidR="00284DBF" w:rsidRPr="002D2C42">
        <w:rPr>
          <w:szCs w:val="22"/>
        </w:rPr>
        <w:t>December 31, 201</w:t>
      </w:r>
      <w:r w:rsidR="00284DBF">
        <w:rPr>
          <w:szCs w:val="22"/>
        </w:rPr>
        <w:t>3.  Regardless of w</w:t>
      </w:r>
      <w:r w:rsidR="00284DBF" w:rsidRPr="002D2C42">
        <w:rPr>
          <w:szCs w:val="22"/>
        </w:rPr>
        <w:t xml:space="preserve">hether </w:t>
      </w:r>
      <w:r w:rsidR="00284DBF">
        <w:rPr>
          <w:szCs w:val="22"/>
        </w:rPr>
        <w:t xml:space="preserve">the Commission calculates a carrier’s initial CMRS subscriber count, or the carrier self-reports its subscriber count based on December 31, 2013 totals, </w:t>
      </w:r>
      <w:r w:rsidR="00284DBF" w:rsidRPr="002D2C42">
        <w:rPr>
          <w:szCs w:val="22"/>
        </w:rPr>
        <w:t>the Commission reserves the right to audit the number of subscribers for which regulatory fees are paid.  In the event that the Commission determines that the number of subscribers paid is inaccurate, the Commission will bill the carrier for the difference between what was paid and what should have been paid</w:t>
      </w:r>
      <w:r w:rsidR="00284DBF">
        <w:rPr>
          <w:szCs w:val="22"/>
        </w:rPr>
        <w:t>, along with applicable penalties and interest</w:t>
      </w:r>
      <w:r w:rsidR="00284DBF" w:rsidRPr="002D2C42">
        <w:rPr>
          <w:szCs w:val="22"/>
        </w:rPr>
        <w:t>.</w:t>
      </w:r>
      <w:r w:rsidR="00284DBF">
        <w:rPr>
          <w:szCs w:val="22"/>
        </w:rPr>
        <w:t xml:space="preserve">  </w:t>
      </w:r>
      <w:r w:rsidR="00BB6A3A">
        <w:rPr>
          <w:szCs w:val="22"/>
        </w:rPr>
        <w:t>Finally, beginning this year, the Commission will no longer mail out initial CMRS assessment letters to CMRS providers.</w:t>
      </w:r>
      <w:r w:rsidR="00BB6A3A" w:rsidRPr="00DD381D">
        <w:rPr>
          <w:szCs w:val="22"/>
        </w:rPr>
        <w:t xml:space="preserve">    </w:t>
      </w:r>
    </w:p>
    <w:p w:rsidR="004C42AD" w:rsidRPr="004C42AD" w:rsidRDefault="004C42AD" w:rsidP="00EB7FAD">
      <w:pPr>
        <w:pStyle w:val="Heading1"/>
      </w:pPr>
      <w:bookmarkStart w:id="16" w:name="_Toc384227048"/>
      <w:r>
        <w:t>notice of proposed rulemakin</w:t>
      </w:r>
      <w:r w:rsidR="00EB7FAD">
        <w:t>g</w:t>
      </w:r>
      <w:bookmarkEnd w:id="16"/>
    </w:p>
    <w:p w:rsidR="00E27FB4" w:rsidRDefault="00654EDA" w:rsidP="003909AC">
      <w:pPr>
        <w:pStyle w:val="ParaNum"/>
        <w:ind w:left="-90"/>
      </w:pPr>
      <w:r>
        <w:rPr>
          <w:i/>
        </w:rPr>
        <w:t>Proposed regulatory fees</w:t>
      </w:r>
      <w:r>
        <w:t xml:space="preserve">.  </w:t>
      </w:r>
      <w:r w:rsidR="00825D4F">
        <w:t xml:space="preserve">As noted in paragraph </w:t>
      </w:r>
      <w:r w:rsidR="00522D11">
        <w:t>four</w:t>
      </w:r>
      <w:r w:rsidR="00825D4F">
        <w:t>, in</w:t>
      </w:r>
      <w:r w:rsidR="00873891">
        <w:t xml:space="preserve"> FY 2014 w</w:t>
      </w:r>
      <w:r w:rsidR="00761450">
        <w:t>e are required to collect $339,844,000 in regulatory fees.</w:t>
      </w:r>
      <w:r w:rsidR="00761450">
        <w:rPr>
          <w:rStyle w:val="FootnoteReference"/>
        </w:rPr>
        <w:footnoteReference w:id="36"/>
      </w:r>
      <w:r w:rsidR="00761450">
        <w:t xml:space="preserve">  </w:t>
      </w:r>
      <w:r w:rsidR="00805A80">
        <w:t xml:space="preserve">Based on the new proposals below and the earlier adopted changes discussed in Section III, </w:t>
      </w:r>
      <w:r w:rsidR="00BE4B7D">
        <w:t xml:space="preserve">above, </w:t>
      </w:r>
      <w:r w:rsidR="00805A80">
        <w:t xml:space="preserve">we seek comment on the resulting proposed </w:t>
      </w:r>
      <w:r>
        <w:t xml:space="preserve">regulatory fees in Attachment </w:t>
      </w:r>
      <w:r w:rsidRPr="00FD3C73">
        <w:t>B</w:t>
      </w:r>
      <w:r w:rsidR="00E27FB4" w:rsidRPr="00FD3C73">
        <w:t>, which are</w:t>
      </w:r>
      <w:r w:rsidR="00E27FB4">
        <w:t xml:space="preserve"> based on the allocations listed in </w:t>
      </w:r>
      <w:r w:rsidR="00C72EA6">
        <w:t>T</w:t>
      </w:r>
      <w:r w:rsidR="00E27FB4">
        <w:t>able</w:t>
      </w:r>
      <w:r w:rsidR="00C72EA6">
        <w:t xml:space="preserve"> 1</w:t>
      </w:r>
      <w:r w:rsidR="00E27FB4">
        <w:t xml:space="preserve"> below.</w:t>
      </w:r>
    </w:p>
    <w:p w:rsidR="00F91D10" w:rsidRDefault="00F91D10">
      <w:pPr>
        <w:widowControl/>
        <w:rPr>
          <w:b/>
        </w:rPr>
      </w:pPr>
      <w:r>
        <w:rPr>
          <w:b/>
        </w:rPr>
        <w:br w:type="page"/>
      </w:r>
    </w:p>
    <w:p w:rsidR="00E27FB4" w:rsidRPr="00776A32" w:rsidRDefault="0046182E" w:rsidP="00E27FB4">
      <w:pPr>
        <w:pStyle w:val="ParaNum"/>
        <w:numPr>
          <w:ilvl w:val="0"/>
          <w:numId w:val="0"/>
        </w:numPr>
        <w:ind w:left="630"/>
        <w:jc w:val="center"/>
        <w:rPr>
          <w:b/>
        </w:rPr>
      </w:pPr>
      <w:r>
        <w:rPr>
          <w:b/>
        </w:rPr>
        <w:t xml:space="preserve">Table 1:  </w:t>
      </w:r>
      <w:r w:rsidR="00E27FB4" w:rsidRPr="00776A32">
        <w:rPr>
          <w:b/>
        </w:rPr>
        <w:t>FY 2013 and FY 2014 Allocations of FTEs by Bureau</w:t>
      </w:r>
    </w:p>
    <w:tbl>
      <w:tblPr>
        <w:tblStyle w:val="TableGrid"/>
        <w:tblW w:w="8820" w:type="dxa"/>
        <w:tblInd w:w="18" w:type="dxa"/>
        <w:tblLayout w:type="fixed"/>
        <w:tblLook w:val="04A0" w:firstRow="1" w:lastRow="0" w:firstColumn="1" w:lastColumn="0" w:noHBand="0" w:noVBand="1"/>
      </w:tblPr>
      <w:tblGrid>
        <w:gridCol w:w="1530"/>
        <w:gridCol w:w="1800"/>
        <w:gridCol w:w="1890"/>
        <w:gridCol w:w="1710"/>
        <w:gridCol w:w="1890"/>
      </w:tblGrid>
      <w:tr w:rsidR="007371FB" w:rsidRPr="00E27FB4" w:rsidTr="00FB6B30">
        <w:trPr>
          <w:cantSplit/>
          <w:trHeight w:val="1134"/>
        </w:trPr>
        <w:tc>
          <w:tcPr>
            <w:tcW w:w="1530" w:type="dxa"/>
          </w:tcPr>
          <w:p w:rsidR="007371FB" w:rsidRPr="007371FB" w:rsidRDefault="007371FB" w:rsidP="007371FB">
            <w:pPr>
              <w:pStyle w:val="ParaNum"/>
              <w:numPr>
                <w:ilvl w:val="0"/>
                <w:numId w:val="0"/>
              </w:numPr>
              <w:tabs>
                <w:tab w:val="num" w:pos="1440"/>
              </w:tabs>
              <w:rPr>
                <w:rFonts w:ascii="Times New Roman" w:hAnsi="Times New Roman" w:cs="Times New Roman"/>
                <w:b/>
                <w:sz w:val="20"/>
              </w:rPr>
            </w:pPr>
            <w:r w:rsidRPr="007371FB">
              <w:rPr>
                <w:rFonts w:ascii="Times New Roman" w:hAnsi="Times New Roman" w:cs="Times New Roman"/>
                <w:b/>
                <w:sz w:val="20"/>
                <w:szCs w:val="20"/>
              </w:rPr>
              <w:t>Bureau</w:t>
            </w:r>
          </w:p>
        </w:tc>
        <w:tc>
          <w:tcPr>
            <w:tcW w:w="1800" w:type="dxa"/>
          </w:tcPr>
          <w:p w:rsidR="007371FB" w:rsidRPr="007371FB" w:rsidRDefault="007371FB" w:rsidP="007371FB">
            <w:pPr>
              <w:pStyle w:val="ParaNum"/>
              <w:numPr>
                <w:ilvl w:val="0"/>
                <w:numId w:val="0"/>
              </w:numPr>
              <w:tabs>
                <w:tab w:val="num" w:pos="1440"/>
              </w:tabs>
              <w:rPr>
                <w:rFonts w:ascii="Times New Roman" w:hAnsi="Times New Roman" w:cs="Times New Roman"/>
                <w:b/>
                <w:sz w:val="20"/>
              </w:rPr>
            </w:pPr>
            <w:r w:rsidRPr="007371FB">
              <w:rPr>
                <w:rFonts w:ascii="Times New Roman" w:hAnsi="Times New Roman" w:cs="Times New Roman"/>
                <w:b/>
                <w:sz w:val="20"/>
                <w:szCs w:val="20"/>
              </w:rPr>
              <w:t>FY 2013 FTE Allocation (uncapped)</w:t>
            </w:r>
            <w:r w:rsidRPr="007371FB">
              <w:rPr>
                <w:rStyle w:val="FootnoteReference"/>
                <w:rFonts w:cs="Times New Roman"/>
                <w:b/>
                <w:szCs w:val="20"/>
              </w:rPr>
              <w:footnoteReference w:id="37"/>
            </w:r>
          </w:p>
        </w:tc>
        <w:tc>
          <w:tcPr>
            <w:tcW w:w="1890" w:type="dxa"/>
          </w:tcPr>
          <w:p w:rsidR="007371FB" w:rsidRPr="007371FB" w:rsidRDefault="007371FB" w:rsidP="007371FB">
            <w:pPr>
              <w:pStyle w:val="ParaNum"/>
              <w:numPr>
                <w:ilvl w:val="0"/>
                <w:numId w:val="0"/>
              </w:numPr>
              <w:tabs>
                <w:tab w:val="num" w:pos="1440"/>
              </w:tabs>
              <w:rPr>
                <w:rFonts w:ascii="Times New Roman" w:hAnsi="Times New Roman" w:cs="Times New Roman"/>
                <w:b/>
                <w:sz w:val="20"/>
              </w:rPr>
            </w:pPr>
            <w:r w:rsidRPr="007371FB">
              <w:rPr>
                <w:rFonts w:ascii="Times New Roman" w:hAnsi="Times New Roman" w:cs="Times New Roman"/>
                <w:b/>
                <w:sz w:val="20"/>
                <w:szCs w:val="20"/>
              </w:rPr>
              <w:t>FY 2013 FTE Allocation (capped)</w:t>
            </w:r>
            <w:r w:rsidRPr="007371FB">
              <w:rPr>
                <w:rStyle w:val="FootnoteReference"/>
                <w:rFonts w:cs="Times New Roman"/>
                <w:b/>
                <w:szCs w:val="20"/>
              </w:rPr>
              <w:footnoteReference w:id="38"/>
            </w:r>
          </w:p>
        </w:tc>
        <w:tc>
          <w:tcPr>
            <w:tcW w:w="1710" w:type="dxa"/>
          </w:tcPr>
          <w:p w:rsidR="007371FB" w:rsidRPr="007371FB" w:rsidRDefault="007371FB" w:rsidP="007371FB">
            <w:pPr>
              <w:pStyle w:val="ParaNum"/>
              <w:numPr>
                <w:ilvl w:val="0"/>
                <w:numId w:val="0"/>
              </w:numPr>
              <w:tabs>
                <w:tab w:val="num" w:pos="1440"/>
              </w:tabs>
              <w:rPr>
                <w:rFonts w:ascii="Times New Roman" w:hAnsi="Times New Roman" w:cs="Times New Roman"/>
                <w:b/>
                <w:sz w:val="20"/>
              </w:rPr>
            </w:pPr>
            <w:r w:rsidRPr="007371FB">
              <w:rPr>
                <w:rFonts w:ascii="Times New Roman" w:hAnsi="Times New Roman" w:cs="Times New Roman"/>
                <w:b/>
                <w:sz w:val="20"/>
                <w:szCs w:val="20"/>
              </w:rPr>
              <w:t>FY 2014 FTE Allocation (uncapped)</w:t>
            </w:r>
            <w:r w:rsidRPr="007371FB">
              <w:rPr>
                <w:rStyle w:val="FootnoteReference"/>
                <w:rFonts w:cs="Times New Roman"/>
                <w:b/>
                <w:szCs w:val="20"/>
              </w:rPr>
              <w:footnoteReference w:id="39"/>
            </w:r>
          </w:p>
        </w:tc>
        <w:tc>
          <w:tcPr>
            <w:tcW w:w="1890" w:type="dxa"/>
          </w:tcPr>
          <w:p w:rsidR="007371FB" w:rsidRPr="007371FB" w:rsidRDefault="007371FB" w:rsidP="007371FB">
            <w:pPr>
              <w:pStyle w:val="ParaNum"/>
              <w:numPr>
                <w:ilvl w:val="0"/>
                <w:numId w:val="0"/>
              </w:numPr>
              <w:tabs>
                <w:tab w:val="num" w:pos="1440"/>
              </w:tabs>
              <w:ind w:right="702"/>
              <w:rPr>
                <w:b/>
                <w:sz w:val="20"/>
              </w:rPr>
            </w:pPr>
            <w:r w:rsidRPr="007371FB">
              <w:rPr>
                <w:rFonts w:ascii="Times New Roman" w:hAnsi="Times New Roman" w:cs="Times New Roman"/>
                <w:b/>
                <w:sz w:val="20"/>
                <w:szCs w:val="20"/>
              </w:rPr>
              <w:t>FY 2014</w:t>
            </w:r>
            <w:r>
              <w:rPr>
                <w:rFonts w:ascii="Times New Roman" w:hAnsi="Times New Roman" w:cs="Times New Roman"/>
                <w:b/>
                <w:sz w:val="20"/>
                <w:szCs w:val="20"/>
              </w:rPr>
              <w:t xml:space="preserve"> FTE</w:t>
            </w:r>
            <w:r w:rsidRPr="007371FB">
              <w:rPr>
                <w:rFonts w:ascii="Times New Roman" w:hAnsi="Times New Roman" w:cs="Times New Roman"/>
                <w:b/>
                <w:sz w:val="20"/>
                <w:szCs w:val="20"/>
              </w:rPr>
              <w:t xml:space="preserve"> Allocation (capped)</w:t>
            </w:r>
            <w:r w:rsidRPr="007371FB">
              <w:rPr>
                <w:rStyle w:val="FootnoteReference"/>
                <w:rFonts w:cs="Times New Roman"/>
                <w:b/>
                <w:szCs w:val="20"/>
              </w:rPr>
              <w:footnoteReference w:id="40"/>
            </w:r>
          </w:p>
        </w:tc>
      </w:tr>
      <w:tr w:rsidR="007371FB" w:rsidRPr="00E27FB4" w:rsidTr="00FB6B30">
        <w:tc>
          <w:tcPr>
            <w:tcW w:w="153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International</w:t>
            </w:r>
          </w:p>
        </w:tc>
        <w:tc>
          <w:tcPr>
            <w:tcW w:w="180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6.13%</w:t>
            </w:r>
          </w:p>
        </w:tc>
        <w:tc>
          <w:tcPr>
            <w:tcW w:w="189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6.91%</w:t>
            </w:r>
          </w:p>
        </w:tc>
        <w:tc>
          <w:tcPr>
            <w:tcW w:w="171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6.14%</w:t>
            </w:r>
          </w:p>
        </w:tc>
        <w:tc>
          <w:tcPr>
            <w:tcW w:w="1890" w:type="dxa"/>
          </w:tcPr>
          <w:p w:rsidR="007371FB" w:rsidRPr="007371FB" w:rsidRDefault="007371FB" w:rsidP="007371FB">
            <w:pPr>
              <w:pStyle w:val="ParaNum"/>
              <w:numPr>
                <w:ilvl w:val="0"/>
                <w:numId w:val="0"/>
              </w:numPr>
              <w:tabs>
                <w:tab w:val="num" w:pos="1440"/>
              </w:tabs>
              <w:rPr>
                <w:sz w:val="20"/>
              </w:rPr>
            </w:pPr>
            <w:r w:rsidRPr="007371FB">
              <w:rPr>
                <w:rFonts w:ascii="Times New Roman" w:hAnsi="Times New Roman" w:cs="Times New Roman"/>
                <w:sz w:val="20"/>
                <w:szCs w:val="20"/>
              </w:rPr>
              <w:t>6.13%</w:t>
            </w:r>
          </w:p>
        </w:tc>
      </w:tr>
      <w:tr w:rsidR="007371FB" w:rsidRPr="00E27FB4" w:rsidTr="00FB6B30">
        <w:tc>
          <w:tcPr>
            <w:tcW w:w="153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 xml:space="preserve">Wireless Telecommunications </w:t>
            </w:r>
          </w:p>
        </w:tc>
        <w:tc>
          <w:tcPr>
            <w:tcW w:w="180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21.44%</w:t>
            </w:r>
          </w:p>
        </w:tc>
        <w:tc>
          <w:tcPr>
            <w:tcW w:w="189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19.59%</w:t>
            </w:r>
          </w:p>
        </w:tc>
        <w:tc>
          <w:tcPr>
            <w:tcW w:w="171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20.39%</w:t>
            </w:r>
          </w:p>
        </w:tc>
        <w:tc>
          <w:tcPr>
            <w:tcW w:w="1890" w:type="dxa"/>
          </w:tcPr>
          <w:p w:rsidR="007371FB" w:rsidRPr="007371FB" w:rsidRDefault="007371FB" w:rsidP="007371FB">
            <w:pPr>
              <w:pStyle w:val="ParaNum"/>
              <w:numPr>
                <w:ilvl w:val="0"/>
                <w:numId w:val="0"/>
              </w:numPr>
              <w:tabs>
                <w:tab w:val="num" w:pos="1440"/>
              </w:tabs>
              <w:rPr>
                <w:sz w:val="20"/>
              </w:rPr>
            </w:pPr>
            <w:r w:rsidRPr="007371FB">
              <w:rPr>
                <w:rFonts w:ascii="Times New Roman" w:hAnsi="Times New Roman" w:cs="Times New Roman"/>
                <w:sz w:val="20"/>
                <w:szCs w:val="20"/>
              </w:rPr>
              <w:t>20.00%</w:t>
            </w:r>
          </w:p>
        </w:tc>
      </w:tr>
      <w:tr w:rsidR="007371FB" w:rsidRPr="00E27FB4" w:rsidTr="00FB6B30">
        <w:tc>
          <w:tcPr>
            <w:tcW w:w="153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 xml:space="preserve">Wireline Competition </w:t>
            </w:r>
          </w:p>
        </w:tc>
        <w:tc>
          <w:tcPr>
            <w:tcW w:w="180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35.01%</w:t>
            </w:r>
          </w:p>
        </w:tc>
        <w:tc>
          <w:tcPr>
            <w:tcW w:w="189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39.81%</w:t>
            </w:r>
          </w:p>
        </w:tc>
        <w:tc>
          <w:tcPr>
            <w:tcW w:w="171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38.60%</w:t>
            </w:r>
          </w:p>
        </w:tc>
        <w:tc>
          <w:tcPr>
            <w:tcW w:w="1890" w:type="dxa"/>
          </w:tcPr>
          <w:p w:rsidR="007371FB" w:rsidRPr="007371FB" w:rsidRDefault="007371FB" w:rsidP="007371FB">
            <w:pPr>
              <w:pStyle w:val="ParaNum"/>
              <w:numPr>
                <w:ilvl w:val="0"/>
                <w:numId w:val="0"/>
              </w:numPr>
              <w:tabs>
                <w:tab w:val="num" w:pos="1440"/>
              </w:tabs>
              <w:rPr>
                <w:sz w:val="20"/>
              </w:rPr>
            </w:pPr>
            <w:r w:rsidRPr="007371FB">
              <w:rPr>
                <w:rFonts w:ascii="Times New Roman" w:hAnsi="Times New Roman" w:cs="Times New Roman"/>
                <w:sz w:val="20"/>
                <w:szCs w:val="20"/>
              </w:rPr>
              <w:t>39.17%</w:t>
            </w:r>
          </w:p>
        </w:tc>
      </w:tr>
      <w:tr w:rsidR="007371FB" w:rsidRPr="00E27FB4" w:rsidTr="00FB6B30">
        <w:tc>
          <w:tcPr>
            <w:tcW w:w="153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 xml:space="preserve">Media </w:t>
            </w:r>
          </w:p>
        </w:tc>
        <w:tc>
          <w:tcPr>
            <w:tcW w:w="180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37.42%</w:t>
            </w:r>
          </w:p>
        </w:tc>
        <w:tc>
          <w:tcPr>
            <w:tcW w:w="189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33.69%</w:t>
            </w:r>
          </w:p>
        </w:tc>
        <w:tc>
          <w:tcPr>
            <w:tcW w:w="1710" w:type="dxa"/>
          </w:tcPr>
          <w:p w:rsidR="007371FB" w:rsidRPr="007371FB" w:rsidRDefault="007371FB" w:rsidP="007371FB">
            <w:pPr>
              <w:pStyle w:val="ParaNum"/>
              <w:numPr>
                <w:ilvl w:val="0"/>
                <w:numId w:val="0"/>
              </w:numPr>
              <w:tabs>
                <w:tab w:val="num" w:pos="1440"/>
              </w:tabs>
              <w:rPr>
                <w:rFonts w:ascii="Times New Roman" w:hAnsi="Times New Roman" w:cs="Times New Roman"/>
                <w:sz w:val="20"/>
              </w:rPr>
            </w:pPr>
            <w:r w:rsidRPr="007371FB">
              <w:rPr>
                <w:rFonts w:ascii="Times New Roman" w:hAnsi="Times New Roman" w:cs="Times New Roman"/>
                <w:sz w:val="20"/>
                <w:szCs w:val="20"/>
              </w:rPr>
              <w:t>34.87%</w:t>
            </w:r>
          </w:p>
        </w:tc>
        <w:tc>
          <w:tcPr>
            <w:tcW w:w="1890" w:type="dxa"/>
          </w:tcPr>
          <w:p w:rsidR="007371FB" w:rsidRPr="007371FB" w:rsidRDefault="007371FB" w:rsidP="007371FB">
            <w:pPr>
              <w:pStyle w:val="ParaNum"/>
              <w:numPr>
                <w:ilvl w:val="0"/>
                <w:numId w:val="0"/>
              </w:numPr>
              <w:tabs>
                <w:tab w:val="num" w:pos="1440"/>
              </w:tabs>
              <w:rPr>
                <w:sz w:val="20"/>
              </w:rPr>
            </w:pPr>
            <w:r w:rsidRPr="007371FB">
              <w:rPr>
                <w:rFonts w:ascii="Times New Roman" w:hAnsi="Times New Roman" w:cs="Times New Roman"/>
                <w:sz w:val="20"/>
                <w:szCs w:val="20"/>
              </w:rPr>
              <w:t>34.70%</w:t>
            </w:r>
          </w:p>
        </w:tc>
      </w:tr>
    </w:tbl>
    <w:p w:rsidR="00E27FB4" w:rsidRPr="00E27FB4" w:rsidRDefault="00E27FB4" w:rsidP="00776A32">
      <w:pPr>
        <w:pStyle w:val="ParaNum"/>
        <w:numPr>
          <w:ilvl w:val="0"/>
          <w:numId w:val="0"/>
        </w:numPr>
        <w:ind w:firstLine="720"/>
      </w:pPr>
    </w:p>
    <w:p w:rsidR="00292AF8" w:rsidRPr="00605EFB" w:rsidRDefault="00255B31" w:rsidP="003909AC">
      <w:pPr>
        <w:pStyle w:val="ParaNum"/>
        <w:ind w:left="-90"/>
      </w:pPr>
      <w:r w:rsidRPr="00A703D5">
        <w:rPr>
          <w:i/>
        </w:rPr>
        <w:t>AM Expanded Band Radio Stations</w:t>
      </w:r>
      <w:r>
        <w:t xml:space="preserve">.  </w:t>
      </w:r>
      <w:r w:rsidRPr="00255B31">
        <w:t xml:space="preserve"> </w:t>
      </w:r>
      <w:r w:rsidR="00292AF8" w:rsidRPr="00395249">
        <w:t>The AM Expanded Band</w:t>
      </w:r>
      <w:r w:rsidR="00E11B95">
        <w:t xml:space="preserve"> licensing rules were adopted </w:t>
      </w:r>
      <w:r w:rsidR="00292AF8" w:rsidRPr="00395249">
        <w:t xml:space="preserve">in the 1990’s </w:t>
      </w:r>
      <w:r w:rsidR="00E11B95">
        <w:t xml:space="preserve">to promote the cancellation of licenses of “high interfering” stations </w:t>
      </w:r>
      <w:r w:rsidR="00292AF8">
        <w:t xml:space="preserve">in the AM standard band.  Migration to the AM Expanded Band was voluntary, and </w:t>
      </w:r>
      <w:r w:rsidR="00E11B95">
        <w:t xml:space="preserve">a migrating </w:t>
      </w:r>
      <w:r w:rsidR="00292AF8">
        <w:t xml:space="preserve">licensee </w:t>
      </w:r>
      <w:r w:rsidR="00E11B95">
        <w:t xml:space="preserve">was allowed a five-year period to operate in both bands, after which it was to </w:t>
      </w:r>
      <w:r w:rsidR="00292AF8">
        <w:t xml:space="preserve">relinquish </w:t>
      </w:r>
      <w:r w:rsidR="00E11B95">
        <w:t xml:space="preserve">either its </w:t>
      </w:r>
      <w:r w:rsidR="00292AF8">
        <w:t xml:space="preserve">lower band </w:t>
      </w:r>
      <w:r w:rsidR="00E11B95">
        <w:t xml:space="preserve">or expanded band </w:t>
      </w:r>
      <w:r w:rsidR="00292AF8">
        <w:t>frequenc</w:t>
      </w:r>
      <w:r w:rsidR="00E11B95">
        <w:t>y, at its option</w:t>
      </w:r>
      <w:r w:rsidR="00292AF8">
        <w:t xml:space="preserve">.  As an incentive to move to </w:t>
      </w:r>
      <w:r w:rsidR="00E11B95">
        <w:t>the expanded band</w:t>
      </w:r>
      <w:r w:rsidR="00292AF8">
        <w:t xml:space="preserve">, the Commission decided not to subject these AM radio stations to regulatory fees.  In the </w:t>
      </w:r>
      <w:r w:rsidR="00292AF8" w:rsidRPr="00A703D5">
        <w:rPr>
          <w:i/>
        </w:rPr>
        <w:t xml:space="preserve">FY 2008 </w:t>
      </w:r>
      <w:r w:rsidR="00E01C80">
        <w:rPr>
          <w:i/>
        </w:rPr>
        <w:t>FNPRM</w:t>
      </w:r>
      <w:r w:rsidR="00292AF8">
        <w:t xml:space="preserve">, </w:t>
      </w:r>
      <w:r w:rsidR="00E11B95">
        <w:t xml:space="preserve">however, </w:t>
      </w:r>
      <w:r w:rsidR="00292AF8">
        <w:t>the Commission stated that “[t]here is no compelling reason to permanently exempt AM expanded band licensees from paying regulatory fees.  As a general matter, it would be appropriate to treat the AM expanded band and the AM standard band similarly for regulatory fee purposes.”</w:t>
      </w:r>
      <w:r w:rsidR="00292AF8">
        <w:rPr>
          <w:rStyle w:val="FootnoteReference"/>
          <w:sz w:val="24"/>
          <w:szCs w:val="24"/>
        </w:rPr>
        <w:footnoteReference w:id="41"/>
      </w:r>
      <w:r w:rsidR="00292AF8">
        <w:t xml:space="preserve">  </w:t>
      </w:r>
      <w:r w:rsidR="00E11B95">
        <w:t xml:space="preserve">There is no longer a reason to provide a regulatory incentive to AM broadcasters in the expanded band.  A number of those broadcasters relinquished their standard band licenses and have chosen to operate exclusively in the expanded band; at least two opted to retain their standard band licenses.  </w:t>
      </w:r>
      <w:r w:rsidR="00825D4F">
        <w:t>There is no reason why broadcasters who have retained</w:t>
      </w:r>
      <w:r w:rsidR="00553465">
        <w:t xml:space="preserve"> both</w:t>
      </w:r>
      <w:r w:rsidR="00825D4F">
        <w:t xml:space="preserve"> their standard and expanded band licenses should continue to be exempt from paying regulatory fees.</w:t>
      </w:r>
      <w:r w:rsidR="00E11B95">
        <w:rPr>
          <w:rStyle w:val="FootnoteReference"/>
        </w:rPr>
        <w:footnoteReference w:id="42"/>
      </w:r>
      <w:r w:rsidR="00A2551B">
        <w:t xml:space="preserve">  We </w:t>
      </w:r>
      <w:r w:rsidR="00825D4F">
        <w:t xml:space="preserve">therefore </w:t>
      </w:r>
      <w:r w:rsidR="008B387F">
        <w:t>propose</w:t>
      </w:r>
      <w:r w:rsidR="00A2551B">
        <w:t xml:space="preserve"> </w:t>
      </w:r>
      <w:r w:rsidR="00292AF8">
        <w:t>adopt</w:t>
      </w:r>
      <w:r w:rsidR="00A2551B">
        <w:t>ing</w:t>
      </w:r>
      <w:r w:rsidR="00292AF8">
        <w:t xml:space="preserve"> a section 9 regulatory fee obligation for all AM </w:t>
      </w:r>
      <w:r>
        <w:t>Expanded Band radio stations</w:t>
      </w:r>
      <w:r w:rsidR="00184DAE">
        <w:t>, beginning in FY 2014</w:t>
      </w:r>
      <w:r>
        <w:t>.</w:t>
      </w:r>
      <w:r w:rsidR="005C0419">
        <w:t xml:space="preserve">  </w:t>
      </w:r>
      <w:r w:rsidR="00DD3447">
        <w:t>W</w:t>
      </w:r>
      <w:r w:rsidR="005C0419">
        <w:t>e seek comment on this proposal.</w:t>
      </w:r>
      <w:r>
        <w:t xml:space="preserve"> </w:t>
      </w:r>
      <w:r w:rsidR="00292AF8">
        <w:t xml:space="preserve">  </w:t>
      </w:r>
    </w:p>
    <w:p w:rsidR="00605EFB" w:rsidRDefault="002C523B" w:rsidP="00194DB8">
      <w:pPr>
        <w:pStyle w:val="Heading1"/>
      </w:pPr>
      <w:bookmarkStart w:id="17" w:name="_Toc382567916"/>
      <w:bookmarkStart w:id="18" w:name="_Toc384227049"/>
      <w:r>
        <w:t xml:space="preserve">second </w:t>
      </w:r>
      <w:r w:rsidR="00605EFB">
        <w:t>FURTHER NOTICE OF PROPOSED RULEMAKING</w:t>
      </w:r>
      <w:bookmarkEnd w:id="17"/>
      <w:bookmarkEnd w:id="18"/>
    </w:p>
    <w:p w:rsidR="002C523B" w:rsidRDefault="00D04434" w:rsidP="00773596">
      <w:pPr>
        <w:pStyle w:val="ParaNum"/>
        <w:widowControl/>
        <w:ind w:left="-86"/>
      </w:pPr>
      <w:r>
        <w:t xml:space="preserve">In this </w:t>
      </w:r>
      <w:r w:rsidR="002C523B">
        <w:t xml:space="preserve">Second </w:t>
      </w:r>
      <w:r>
        <w:t xml:space="preserve">Further Notice of Proposed Rulemaking, </w:t>
      </w:r>
      <w:r w:rsidR="003B6D34">
        <w:t xml:space="preserve">we </w:t>
      </w:r>
      <w:r w:rsidR="00752664">
        <w:t>seek comment</w:t>
      </w:r>
      <w:r w:rsidR="003B6D34">
        <w:t xml:space="preserve"> on additional proposals for regulatory fee reform.  </w:t>
      </w:r>
      <w:r w:rsidR="00755F24">
        <w:t xml:space="preserve">Several of the issues discussed below were </w:t>
      </w:r>
      <w:r w:rsidR="00825D4F">
        <w:t xml:space="preserve">previously </w:t>
      </w:r>
      <w:r w:rsidR="00EB7FAD">
        <w:t xml:space="preserve">raised by commenters but were not adopted because we </w:t>
      </w:r>
      <w:r w:rsidR="00095F51">
        <w:t xml:space="preserve">either </w:t>
      </w:r>
      <w:r w:rsidR="00EB7FAD">
        <w:t>did not have the opportunity to fully evaluate</w:t>
      </w:r>
      <w:r w:rsidR="00A87936">
        <w:t xml:space="preserve"> the proposals</w:t>
      </w:r>
      <w:r w:rsidR="00EB7FAD">
        <w:t xml:space="preserve"> or </w:t>
      </w:r>
      <w:r w:rsidR="00095F51">
        <w:t xml:space="preserve">we determined that </w:t>
      </w:r>
      <w:r w:rsidR="002C523B">
        <w:t>additional</w:t>
      </w:r>
      <w:r w:rsidR="00EB7FAD">
        <w:t xml:space="preserve"> comment</w:t>
      </w:r>
      <w:r w:rsidR="002C523B">
        <w:t xml:space="preserve">s </w:t>
      </w:r>
      <w:r w:rsidR="00095F51">
        <w:t>would</w:t>
      </w:r>
      <w:r w:rsidR="002C523B">
        <w:t xml:space="preserve"> be useful</w:t>
      </w:r>
      <w:r w:rsidR="00095F51">
        <w:t>.</w:t>
      </w:r>
      <w:r w:rsidR="008E04FA">
        <w:rPr>
          <w:rStyle w:val="FootnoteReference"/>
        </w:rPr>
        <w:footnoteReference w:id="43"/>
      </w:r>
      <w:r w:rsidR="00EB7FAD">
        <w:t xml:space="preserve">  </w:t>
      </w:r>
    </w:p>
    <w:p w:rsidR="003B6D34" w:rsidRPr="003B6D34" w:rsidRDefault="003B6D34" w:rsidP="003909AC">
      <w:pPr>
        <w:pStyle w:val="ParaNum"/>
        <w:ind w:left="-90"/>
      </w:pPr>
      <w:r w:rsidRPr="00A438CD">
        <w:t xml:space="preserve">Our proposals to further reform the regulatory fee process involve consideration of </w:t>
      </w:r>
      <w:r w:rsidR="00115394">
        <w:t>the following</w:t>
      </w:r>
      <w:r w:rsidRPr="00A438CD">
        <w:t xml:space="preserve"> </w:t>
      </w:r>
      <w:r>
        <w:t>concepts</w:t>
      </w:r>
      <w:r w:rsidRPr="00A438CD">
        <w:t xml:space="preserve">:  (1) combining certain regulatory fee categories; (2) creating new fee categories; </w:t>
      </w:r>
      <w:r w:rsidR="00535843">
        <w:t xml:space="preserve">and/or </w:t>
      </w:r>
      <w:r w:rsidR="004B4458">
        <w:t xml:space="preserve">(3) reallocating </w:t>
      </w:r>
      <w:r w:rsidRPr="00A438CD">
        <w:t>direct or indirect FTEs</w:t>
      </w:r>
      <w:r>
        <w:t>.</w:t>
      </w:r>
      <w:r w:rsidRPr="00A438CD">
        <w:t xml:space="preserve">  </w:t>
      </w:r>
      <w:r w:rsidR="00115394">
        <w:t>In addition, w</w:t>
      </w:r>
      <w:r w:rsidRPr="00A438CD">
        <w:t xml:space="preserve">e seek to </w:t>
      </w:r>
      <w:r>
        <w:t xml:space="preserve">make the regulatory fee calculation, collection, and appeal procedures more efficient, transparent, and user friendly.  </w:t>
      </w:r>
      <w:r w:rsidRPr="00A438CD">
        <w:t xml:space="preserve">We also seek comment </w:t>
      </w:r>
      <w:r w:rsidR="00095F51">
        <w:t xml:space="preserve">on </w:t>
      </w:r>
      <w:r w:rsidR="00752664">
        <w:t xml:space="preserve">adopting a cap on regulatory fee increases, increasing the de minimis threshold, </w:t>
      </w:r>
      <w:r w:rsidR="00476B58">
        <w:t xml:space="preserve">eliminating some regulatory fee categories, </w:t>
      </w:r>
      <w:r w:rsidR="00752664">
        <w:t>and</w:t>
      </w:r>
      <w:r w:rsidRPr="00A438CD">
        <w:t xml:space="preserve"> reexamin</w:t>
      </w:r>
      <w:r w:rsidR="00095F51">
        <w:t>ing</w:t>
      </w:r>
      <w:r w:rsidRPr="00A438CD">
        <w:t xml:space="preserve"> FTE allocations periodically.  </w:t>
      </w:r>
    </w:p>
    <w:p w:rsidR="00605EFB" w:rsidRDefault="00605EFB" w:rsidP="002C523B">
      <w:pPr>
        <w:pStyle w:val="Heading2"/>
      </w:pPr>
      <w:bookmarkStart w:id="19" w:name="_Toc382567918"/>
      <w:bookmarkStart w:id="20" w:name="_Toc384227050"/>
      <w:r w:rsidRPr="00A438CD">
        <w:t>FTE Reallocations</w:t>
      </w:r>
      <w:bookmarkEnd w:id="19"/>
      <w:bookmarkEnd w:id="20"/>
    </w:p>
    <w:p w:rsidR="00605EFB" w:rsidRPr="00A438CD" w:rsidRDefault="00605EFB" w:rsidP="002C523B">
      <w:pPr>
        <w:pStyle w:val="Heading3"/>
      </w:pPr>
      <w:bookmarkStart w:id="21" w:name="_Toc384227051"/>
      <w:r w:rsidRPr="00726E19">
        <w:t>Enforcement Bureau</w:t>
      </w:r>
      <w:r>
        <w:t xml:space="preserve"> and Consumer &amp; Governmental Affairs Bureau</w:t>
      </w:r>
      <w:bookmarkEnd w:id="21"/>
    </w:p>
    <w:p w:rsidR="00605EFB" w:rsidRPr="00726E19" w:rsidRDefault="00605EFB" w:rsidP="003909AC">
      <w:pPr>
        <w:pStyle w:val="ParaNum"/>
        <w:ind w:left="-90"/>
      </w:pPr>
      <w:r w:rsidRPr="00030A18">
        <w:rPr>
          <w:szCs w:val="22"/>
        </w:rPr>
        <w:t xml:space="preserve">We have historically considered the FTEs in the core bureaus to be direct FTEs for regulatory fee purposes.  </w:t>
      </w:r>
      <w:r>
        <w:rPr>
          <w:szCs w:val="22"/>
        </w:rPr>
        <w:t>T</w:t>
      </w:r>
      <w:r w:rsidRPr="00030A18">
        <w:rPr>
          <w:szCs w:val="22"/>
        </w:rPr>
        <w:t xml:space="preserve">he FTEs in the non-core bureaus and offices have been considered “indirect,” and allocated as such across all Commission regulatory fee payors in proportion to their allocated share of the overall regulatory fee burden.  </w:t>
      </w:r>
      <w:r>
        <w:rPr>
          <w:szCs w:val="22"/>
        </w:rPr>
        <w:t>W</w:t>
      </w:r>
      <w:r w:rsidRPr="00030A18">
        <w:rPr>
          <w:szCs w:val="22"/>
        </w:rPr>
        <w:t xml:space="preserve">e have not designated any FTEs outside the core bureaus as direct or used the FTEs of the non-core bureaus to determine regulatory fee allocations.  Commenters, however, have suggested that the work of </w:t>
      </w:r>
      <w:r w:rsidR="00F05323">
        <w:rPr>
          <w:szCs w:val="22"/>
        </w:rPr>
        <w:t>F</w:t>
      </w:r>
      <w:r w:rsidRPr="00030A18">
        <w:rPr>
          <w:szCs w:val="22"/>
        </w:rPr>
        <w:t xml:space="preserve">TEs in </w:t>
      </w:r>
      <w:r>
        <w:rPr>
          <w:szCs w:val="22"/>
        </w:rPr>
        <w:t xml:space="preserve">two of </w:t>
      </w:r>
      <w:r w:rsidR="005C1410">
        <w:rPr>
          <w:szCs w:val="22"/>
        </w:rPr>
        <w:t>the non-core bureaus—the Enforcement Bureau and CGB—</w:t>
      </w:r>
      <w:r w:rsidRPr="00030A18">
        <w:rPr>
          <w:szCs w:val="22"/>
        </w:rPr>
        <w:t xml:space="preserve">is more focused on certain core bureau(s), and that reallocation of such indirect FTEs as “direct” for regulatory fee purposes may be appropriate.  </w:t>
      </w:r>
      <w:r w:rsidRPr="00A438CD">
        <w:t xml:space="preserve">  </w:t>
      </w:r>
    </w:p>
    <w:p w:rsidR="00605EFB" w:rsidRDefault="00605EFB" w:rsidP="003909AC">
      <w:pPr>
        <w:pStyle w:val="ParaNum"/>
        <w:ind w:left="-90"/>
      </w:pPr>
      <w:r>
        <w:t xml:space="preserve">In </w:t>
      </w:r>
      <w:r w:rsidRPr="00A438CD">
        <w:t xml:space="preserve">our </w:t>
      </w:r>
      <w:r w:rsidRPr="00E7308E">
        <w:rPr>
          <w:i/>
        </w:rPr>
        <w:t>FY 2013 NPRM</w:t>
      </w:r>
      <w:r w:rsidRPr="00A438CD">
        <w:t xml:space="preserve"> </w:t>
      </w:r>
      <w:r>
        <w:t>we sought comment on “whether the work of indirect FTEs is focused disproportionately on one or more core bureaus, and if we should allocate indirect FTEs among the core bureaus on this basis.”</w:t>
      </w:r>
      <w:r>
        <w:rPr>
          <w:rStyle w:val="FootnoteReference"/>
        </w:rPr>
        <w:footnoteReference w:id="44"/>
      </w:r>
      <w:r>
        <w:t xml:space="preserve">  In response, </w:t>
      </w:r>
      <w:r w:rsidRPr="00A438CD">
        <w:t xml:space="preserve">SIA proposed that we reallocate Enforcement Bureau </w:t>
      </w:r>
      <w:r w:rsidR="00D01A7F">
        <w:t>and CGB</w:t>
      </w:r>
      <w:r>
        <w:t xml:space="preserve"> </w:t>
      </w:r>
      <w:r w:rsidRPr="00A438CD">
        <w:t>FTEs as direct FTEs to the Wireline Competition Bureau, Wireless Telecommunications Bureau, and Media Bureau.</w:t>
      </w:r>
      <w:r w:rsidRPr="00A438CD">
        <w:rPr>
          <w:rStyle w:val="FootnoteReference"/>
        </w:rPr>
        <w:footnoteReference w:id="45"/>
      </w:r>
      <w:r w:rsidRPr="00A438CD">
        <w:t xml:space="preserve">  </w:t>
      </w:r>
      <w:r>
        <w:t xml:space="preserve">We seek comment on this proposal.  </w:t>
      </w:r>
    </w:p>
    <w:p w:rsidR="00605EFB" w:rsidRDefault="00605EFB" w:rsidP="003909AC">
      <w:pPr>
        <w:pStyle w:val="ParaNum"/>
        <w:ind w:left="-90"/>
      </w:pPr>
      <w:r>
        <w:t xml:space="preserve"> SIA’s argument concerning reallocating indirect FTEs is based on the assumption that the FTEs in the </w:t>
      </w:r>
      <w:r w:rsidRPr="00A438CD">
        <w:t>Enforcement Bureau</w:t>
      </w:r>
      <w:r w:rsidR="005C1410">
        <w:t xml:space="preserve"> and </w:t>
      </w:r>
      <w:r w:rsidR="0015729D">
        <w:t xml:space="preserve">CGB </w:t>
      </w:r>
      <w:r>
        <w:t xml:space="preserve">spend little time on matters affecting International Bureau regulatees.  </w:t>
      </w:r>
      <w:r w:rsidR="009C5173">
        <w:t>Based on our examination into the work done by these bureaus, we believe SIA’s reallocation proposal</w:t>
      </w:r>
      <w:r w:rsidR="008C4855">
        <w:t xml:space="preserve"> deserves further consideration.  </w:t>
      </w:r>
      <w:r>
        <w:t xml:space="preserve">The Enforcement Bureau </w:t>
      </w:r>
      <w:r w:rsidRPr="00A438CD">
        <w:t xml:space="preserve">regional </w:t>
      </w:r>
      <w:r w:rsidR="00ED6B32">
        <w:t xml:space="preserve">and field </w:t>
      </w:r>
      <w:r w:rsidRPr="00A438CD">
        <w:t xml:space="preserve">offices, </w:t>
      </w:r>
      <w:r w:rsidRPr="00FB6B30">
        <w:t>1</w:t>
      </w:r>
      <w:r w:rsidR="00115607">
        <w:t>14</w:t>
      </w:r>
      <w:r w:rsidRPr="00A438CD">
        <w:t xml:space="preserve"> FTEs, located throughout the </w:t>
      </w:r>
      <w:r>
        <w:t>Nation</w:t>
      </w:r>
      <w:r w:rsidRPr="00A438CD">
        <w:t>,</w:t>
      </w:r>
      <w:r>
        <w:rPr>
          <w:rStyle w:val="FootnoteReference"/>
        </w:rPr>
        <w:footnoteReference w:id="46"/>
      </w:r>
      <w:r w:rsidRPr="00A438CD">
        <w:t xml:space="preserve"> are responsible for handling investigations and inspections in response to complaints (such as pirate radio complaints and wireless interference complaints) and conduct</w:t>
      </w:r>
      <w:r w:rsidR="005C1410">
        <w:t>ing</w:t>
      </w:r>
      <w:r w:rsidRPr="00A438CD">
        <w:t xml:space="preserve"> on-site inspections of radio facilities, cable systems, and antenna structures to determine compliance with applicable Commission rules.</w:t>
      </w:r>
      <w:r w:rsidRPr="00A438CD">
        <w:rPr>
          <w:rStyle w:val="FootnoteReference"/>
        </w:rPr>
        <w:footnoteReference w:id="47"/>
      </w:r>
      <w:r w:rsidRPr="00A438CD">
        <w:t xml:space="preserve">  </w:t>
      </w:r>
      <w:r w:rsidR="00A17653">
        <w:t xml:space="preserve">The regional and field offices also conduct wireless coordination with Canada and Mexico, to address potential wireless interference issues for wireless and broadcast services. </w:t>
      </w:r>
      <w:r w:rsidR="003F50B5">
        <w:t xml:space="preserve">Table 2, below, shows the change in FTE allocation if we adopt this proposal and allocate the field and regional offices FTEs equally to the Wireless Telecommunications Bureau and the Media Bureau.  We seek comment on this proposal, including the appropriate reallocations of FTEs between the two bureaus.  </w:t>
      </w:r>
      <w:r>
        <w:t>In addition, the Enforcement Bureau</w:t>
      </w:r>
      <w:r>
        <w:rPr>
          <w:rStyle w:val="FootnoteReference"/>
        </w:rPr>
        <w:footnoteReference w:id="48"/>
      </w:r>
      <w:r w:rsidRPr="00A438CD">
        <w:t xml:space="preserve"> </w:t>
      </w:r>
      <w:r>
        <w:t xml:space="preserve">as a whole </w:t>
      </w:r>
      <w:r w:rsidR="00ED6B32">
        <w:t xml:space="preserve">(i.e., all the </w:t>
      </w:r>
      <w:r w:rsidR="00CF5BA7">
        <w:t xml:space="preserve">Enforcement Bureau </w:t>
      </w:r>
      <w:r w:rsidR="00ED6B32">
        <w:t xml:space="preserve">divisions </w:t>
      </w:r>
      <w:r w:rsidR="00253DF7" w:rsidRPr="00FB6B30">
        <w:rPr>
          <w:u w:val="single"/>
        </w:rPr>
        <w:t>including</w:t>
      </w:r>
      <w:r w:rsidR="00ED6B32">
        <w:t xml:space="preserve"> the regional and field offices)</w:t>
      </w:r>
      <w:r w:rsidR="001B4557">
        <w:rPr>
          <w:rStyle w:val="FootnoteReference"/>
        </w:rPr>
        <w:footnoteReference w:id="49"/>
      </w:r>
      <w:r w:rsidR="00ED6B32">
        <w:t xml:space="preserve"> </w:t>
      </w:r>
      <w:r>
        <w:t xml:space="preserve">is primarily focused on enforcement activity in the wireline, wireless, and broadcast or media industries, and only </w:t>
      </w:r>
      <w:r w:rsidRPr="00A438CD">
        <w:t>occasionally address</w:t>
      </w:r>
      <w:r>
        <w:t>es</w:t>
      </w:r>
      <w:r w:rsidRPr="00A438CD">
        <w:t xml:space="preserve"> Act and rule violations by International Bureau licensees.</w:t>
      </w:r>
      <w:r w:rsidRPr="00A438CD">
        <w:rPr>
          <w:rStyle w:val="FootnoteReference"/>
        </w:rPr>
        <w:footnoteReference w:id="50"/>
      </w:r>
      <w:r w:rsidRPr="00A438CD">
        <w:t xml:space="preserve">  </w:t>
      </w:r>
      <w:r w:rsidR="003F50B5">
        <w:t>We seek comment on this proposal</w:t>
      </w:r>
      <w:r w:rsidR="009D4C03">
        <w:t xml:space="preserve"> and also seek proposals concerning the appropriate percentages of F</w:t>
      </w:r>
      <w:r w:rsidR="003F50B5">
        <w:t xml:space="preserve">TEs among the three bureaus.  </w:t>
      </w:r>
      <w:r>
        <w:t xml:space="preserve">Similarly, </w:t>
      </w:r>
      <w:r w:rsidR="0076113E">
        <w:t>CGB</w:t>
      </w:r>
      <w:r w:rsidR="00682C7C">
        <w:t>,</w:t>
      </w:r>
      <w:r>
        <w:rPr>
          <w:rStyle w:val="FootnoteReference"/>
        </w:rPr>
        <w:footnoteReference w:id="51"/>
      </w:r>
      <w:r w:rsidRPr="00320E2D">
        <w:t xml:space="preserve"> </w:t>
      </w:r>
      <w:r w:rsidR="00682C7C">
        <w:t xml:space="preserve">the bureau </w:t>
      </w:r>
      <w:r>
        <w:t>responsible for</w:t>
      </w:r>
      <w:r w:rsidR="00C6662F">
        <w:t>, among other things,</w:t>
      </w:r>
      <w:r>
        <w:t xml:space="preserve"> processing informal</w:t>
      </w:r>
      <w:r w:rsidR="0011792F">
        <w:t xml:space="preserve"> consumer</w:t>
      </w:r>
      <w:r>
        <w:t xml:space="preserve"> complaints</w:t>
      </w:r>
      <w:r w:rsidR="00682C7C">
        <w:t xml:space="preserve">, </w:t>
      </w:r>
      <w:r w:rsidRPr="00A438CD">
        <w:t xml:space="preserve">received a total of </w:t>
      </w:r>
      <w:r>
        <w:t>3</w:t>
      </w:r>
      <w:r w:rsidR="0056250D">
        <w:t>16,430</w:t>
      </w:r>
      <w:r>
        <w:t xml:space="preserve"> informal complaints </w:t>
      </w:r>
      <w:r w:rsidR="00682C7C">
        <w:t xml:space="preserve">in 2013 </w:t>
      </w:r>
      <w:r>
        <w:t>of which</w:t>
      </w:r>
      <w:r w:rsidRPr="00A438CD">
        <w:t xml:space="preserve"> </w:t>
      </w:r>
      <w:r>
        <w:t>3,682</w:t>
      </w:r>
      <w:r w:rsidRPr="00A438CD">
        <w:t xml:space="preserve"> (approximately one percent of the total informal complaints) were filed against DBS providers</w:t>
      </w:r>
      <w:r w:rsidR="00461DBE">
        <w:t xml:space="preserve">; </w:t>
      </w:r>
      <w:r w:rsidR="00201997">
        <w:t xml:space="preserve">only a </w:t>
      </w:r>
      <w:r w:rsidR="00461DBE">
        <w:t xml:space="preserve">very </w:t>
      </w:r>
      <w:r w:rsidR="00201997">
        <w:t xml:space="preserve">small number of </w:t>
      </w:r>
      <w:r>
        <w:t xml:space="preserve">informal complaints </w:t>
      </w:r>
      <w:r w:rsidR="00201997">
        <w:t xml:space="preserve">dealt with issues handled by the </w:t>
      </w:r>
      <w:r>
        <w:t>International Bureau</w:t>
      </w:r>
      <w:r w:rsidRPr="00A438CD">
        <w:t>.</w:t>
      </w:r>
      <w:r w:rsidRPr="00A438CD">
        <w:rPr>
          <w:rStyle w:val="FootnoteReference"/>
        </w:rPr>
        <w:footnoteReference w:id="52"/>
      </w:r>
      <w:r w:rsidRPr="00A438CD">
        <w:t xml:space="preserve">  </w:t>
      </w:r>
      <w:r w:rsidR="00810CCE">
        <w:t>We seek comment on this proposal</w:t>
      </w:r>
      <w:r w:rsidR="00640358">
        <w:t xml:space="preserve"> and also seek other proposals concerning </w:t>
      </w:r>
      <w:r w:rsidR="00810CCE">
        <w:t>appropriate reallocation</w:t>
      </w:r>
      <w:r w:rsidR="00640358">
        <w:t xml:space="preserve"> percentages</w:t>
      </w:r>
      <w:r w:rsidR="00810CCE">
        <w:t xml:space="preserve"> of FTEs among the three bureaus.</w:t>
      </w:r>
    </w:p>
    <w:p w:rsidR="00D3792B" w:rsidRDefault="00605EFB" w:rsidP="00FB6B30">
      <w:pPr>
        <w:pStyle w:val="ParaNum"/>
      </w:pPr>
      <w:r>
        <w:t xml:space="preserve">We seek comment on </w:t>
      </w:r>
      <w:r w:rsidR="00AE72E2">
        <w:t xml:space="preserve">all aspects of </w:t>
      </w:r>
      <w:r>
        <w:t>SIA’s proposal</w:t>
      </w:r>
      <w:r w:rsidR="00AE72E2">
        <w:t xml:space="preserve">.  We ask commenters </w:t>
      </w:r>
      <w:r w:rsidR="00CF5BA7">
        <w:t xml:space="preserve">for input concerning whether our analysis </w:t>
      </w:r>
      <w:r w:rsidR="00AE72E2">
        <w:t xml:space="preserve">accurately attributes </w:t>
      </w:r>
      <w:r>
        <w:t xml:space="preserve">the full range of work done by the Enforcement Bureau and </w:t>
      </w:r>
      <w:r w:rsidR="003E1365">
        <w:t>CGB</w:t>
      </w:r>
      <w:r w:rsidR="00AE72E2">
        <w:t xml:space="preserve">, and </w:t>
      </w:r>
      <w:r>
        <w:t>whether those two bureaus are more focused on licensees and regulatees of the Wireline Competition Bureau, Wireless Telecommunications Bureau, and Media Bureau than the International Bureau.</w:t>
      </w:r>
      <w:r>
        <w:rPr>
          <w:rStyle w:val="FootnoteReference"/>
        </w:rPr>
        <w:footnoteReference w:id="53"/>
      </w:r>
      <w:r>
        <w:t xml:space="preserve">  </w:t>
      </w:r>
      <w:r w:rsidR="00340B7E">
        <w:t xml:space="preserve">Commenters should specify </w:t>
      </w:r>
      <w:r w:rsidR="009C5173">
        <w:t xml:space="preserve">proposed </w:t>
      </w:r>
      <w:r w:rsidR="00340B7E">
        <w:t xml:space="preserve">reallocations </w:t>
      </w:r>
      <w:r w:rsidR="009C5173">
        <w:t xml:space="preserve">concerning </w:t>
      </w:r>
      <w:r w:rsidR="00CA4ED6">
        <w:t>t</w:t>
      </w:r>
      <w:r w:rsidR="00951F5B">
        <w:t>he Enforcement Bureau and CGB,</w:t>
      </w:r>
      <w:r w:rsidR="00340B7E">
        <w:t xml:space="preserve"> and </w:t>
      </w:r>
      <w:r w:rsidR="005C0419">
        <w:t xml:space="preserve">explain the </w:t>
      </w:r>
      <w:r w:rsidR="00CF5BA7">
        <w:t xml:space="preserve">legal and policy </w:t>
      </w:r>
      <w:r w:rsidR="005C0419">
        <w:t>reasoning for such support.</w:t>
      </w:r>
      <w:r>
        <w:t xml:space="preserve"> </w:t>
      </w:r>
    </w:p>
    <w:p w:rsidR="00575FB7" w:rsidRDefault="00E00E10" w:rsidP="00C77209">
      <w:pPr>
        <w:pStyle w:val="Heading3"/>
      </w:pPr>
      <w:r>
        <w:t xml:space="preserve">Office of Engineering </w:t>
      </w:r>
      <w:r w:rsidR="000A1AF7">
        <w:t xml:space="preserve">&amp; </w:t>
      </w:r>
      <w:r>
        <w:t xml:space="preserve">Technology and </w:t>
      </w:r>
      <w:r w:rsidR="00575FB7">
        <w:t xml:space="preserve">Other </w:t>
      </w:r>
      <w:r>
        <w:t>R</w:t>
      </w:r>
      <w:r w:rsidR="00575FB7">
        <w:t>eallocation</w:t>
      </w:r>
      <w:r>
        <w:t xml:space="preserve"> Proposals</w:t>
      </w:r>
    </w:p>
    <w:p w:rsidR="00456012" w:rsidRDefault="00575FB7" w:rsidP="00FB6B30">
      <w:pPr>
        <w:pStyle w:val="ParaNum"/>
      </w:pPr>
      <w:r w:rsidRPr="003356EC">
        <w:t xml:space="preserve">We recognize that sometimes the work of the FTEs in a core or non-core bureau may affect the regulatees of another core bureau or bureaus.  We seek comment on whether, in addition to those divisions affected by the proposed FTE reallocations discussed above, there are other divisions within the core or non-core bureaus that should be treated as direct FTEs to another bureau.  For example, the Office of Engineering and Technology (OET) advises the Commission on technical and engineering matters, develops and administers Commission decisions regarding spectrum allocations, develops technical rules for the operation of unlicensed radio devices, authorizes the marketing of radio frequency devices as compliant with Commission technical rules, grants experimental radio licenses, and is the agency’s liaison to the National Telecommunications and Information Administration (NTIA) for coordinating policy decisions and frequency assignments between Federal agency and non-Federal spectrum </w:t>
      </w:r>
      <w:r w:rsidR="005920AC">
        <w:t>users.  OET also manages the FCC’</w:t>
      </w:r>
      <w:r w:rsidRPr="003356EC">
        <w:t xml:space="preserve">s program to perform broadband speed measurements and supports inter-bureau broadband projects such as the Technology Transitions Task Force. OET FTEs provide direct support to the equipment authorization and experimental radio licensing programs, as well as indirectly to the Commission’s overall spectrum policy planning processes (e.g., spectrum allocations). </w:t>
      </w:r>
      <w:r w:rsidR="005920AC">
        <w:t xml:space="preserve"> </w:t>
      </w:r>
      <w:r w:rsidRPr="003356EC">
        <w:t xml:space="preserve">We seek comment on whether and to what extent commenters believe OET’s work is focused on the licensees and regulatees of the Wireless Telecommunications Bureau, Wireline Competition Bureau, Media Bureau, and International Bureau, and whether a portion of OET FTEs should be </w:t>
      </w:r>
      <w:r>
        <w:t xml:space="preserve">directly </w:t>
      </w:r>
      <w:r w:rsidRPr="003356EC">
        <w:t>allocated to those bureaus for determining regulatory fees.  Commenters should specify proposed reallocations and the legal and policy reasoning for such support.</w:t>
      </w:r>
    </w:p>
    <w:p w:rsidR="00E00E10" w:rsidRDefault="00E00E10" w:rsidP="00E00E10">
      <w:pPr>
        <w:pStyle w:val="ParaNum"/>
      </w:pPr>
      <w:r>
        <w:t>Of the proposals presented above, for illustrative purposes, the following Table 2 approximates the impact based o</w:t>
      </w:r>
      <w:r w:rsidR="00C114F1">
        <w:t>n</w:t>
      </w:r>
      <w:r>
        <w:t xml:space="preserve"> adopting two of these proposals—</w:t>
      </w:r>
      <w:r w:rsidRPr="00064BD5">
        <w:t>reallocating the CGB</w:t>
      </w:r>
      <w:r>
        <w:t xml:space="preserve"> and EB regional and field offices—as d</w:t>
      </w:r>
      <w:r w:rsidRPr="00064BD5">
        <w:t>irect to certain core bureaus</w:t>
      </w:r>
      <w:r>
        <w:t>.</w:t>
      </w:r>
    </w:p>
    <w:p w:rsidR="00E00E10" w:rsidRPr="00E00E10" w:rsidRDefault="00E00E10" w:rsidP="00FB6B30">
      <w:pPr>
        <w:pStyle w:val="ParaNum"/>
        <w:numPr>
          <w:ilvl w:val="0"/>
          <w:numId w:val="0"/>
        </w:numPr>
        <w:tabs>
          <w:tab w:val="num" w:pos="1440"/>
        </w:tabs>
        <w:ind w:firstLine="720"/>
        <w:jc w:val="center"/>
        <w:rPr>
          <w:b/>
        </w:rPr>
      </w:pPr>
      <w:r w:rsidRPr="00E00E10">
        <w:rPr>
          <w:b/>
        </w:rPr>
        <w:t>Table 2:  Reallocating the CGB and EB Regional and Field offices</w:t>
      </w:r>
    </w:p>
    <w:tbl>
      <w:tblPr>
        <w:tblStyle w:val="TableGrid"/>
        <w:tblW w:w="0" w:type="auto"/>
        <w:tblLook w:val="04A0" w:firstRow="1" w:lastRow="0" w:firstColumn="1" w:lastColumn="0" w:noHBand="0" w:noVBand="1"/>
      </w:tblPr>
      <w:tblGrid>
        <w:gridCol w:w="1657"/>
        <w:gridCol w:w="1421"/>
        <w:gridCol w:w="1350"/>
        <w:gridCol w:w="1260"/>
        <w:gridCol w:w="1530"/>
        <w:gridCol w:w="1710"/>
      </w:tblGrid>
      <w:tr w:rsidR="00E00E10" w:rsidRPr="00064BD5" w:rsidTr="00FB6B30">
        <w:tc>
          <w:tcPr>
            <w:tcW w:w="1657" w:type="dxa"/>
          </w:tcPr>
          <w:p w:rsidR="00E00E10" w:rsidRPr="00064BD5" w:rsidRDefault="00E00E10" w:rsidP="00D47CAD">
            <w:pPr>
              <w:pStyle w:val="ParaNum"/>
              <w:numPr>
                <w:ilvl w:val="0"/>
                <w:numId w:val="0"/>
              </w:numPr>
              <w:ind w:firstLine="720"/>
              <w:rPr>
                <w:rFonts w:ascii="Times New Roman" w:hAnsi="Times New Roman" w:cs="Times New Roman"/>
              </w:rPr>
            </w:pPr>
            <w:r w:rsidRPr="00064BD5">
              <w:rPr>
                <w:rFonts w:ascii="Times New Roman" w:hAnsi="Times New Roman" w:cs="Times New Roman"/>
              </w:rPr>
              <w:t>Bureau</w:t>
            </w:r>
          </w:p>
        </w:tc>
        <w:tc>
          <w:tcPr>
            <w:tcW w:w="1421"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Current FTE</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Direct</w:t>
            </w:r>
          </w:p>
        </w:tc>
        <w:tc>
          <w:tcPr>
            <w:tcW w:w="135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Current FTE</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Indirect</w:t>
            </w:r>
          </w:p>
        </w:tc>
        <w:tc>
          <w:tcPr>
            <w:tcW w:w="126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CGB FTEs</w:t>
            </w:r>
          </w:p>
          <w:p w:rsidR="00E00E10" w:rsidRPr="00064BD5" w:rsidRDefault="00E00E10" w:rsidP="00D47CAD">
            <w:pPr>
              <w:jc w:val="center"/>
              <w:rPr>
                <w:rFonts w:ascii="Times New Roman" w:hAnsi="Times New Roman" w:cs="Times New Roman"/>
              </w:rPr>
            </w:pPr>
          </w:p>
        </w:tc>
        <w:tc>
          <w:tcPr>
            <w:tcW w:w="153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 xml:space="preserve">EB </w:t>
            </w:r>
            <w:r>
              <w:rPr>
                <w:rFonts w:ascii="Times New Roman" w:hAnsi="Times New Roman" w:cs="Times New Roman"/>
              </w:rPr>
              <w:t xml:space="preserve">Regional and </w:t>
            </w:r>
            <w:r w:rsidRPr="00064BD5">
              <w:rPr>
                <w:rFonts w:ascii="Times New Roman" w:hAnsi="Times New Roman" w:cs="Times New Roman"/>
              </w:rPr>
              <w:t>Field Offices FTEs</w:t>
            </w:r>
          </w:p>
        </w:tc>
        <w:tc>
          <w:tcPr>
            <w:tcW w:w="171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FTE total</w:t>
            </w:r>
            <w:r w:rsidRPr="00064BD5">
              <w:rPr>
                <w:rStyle w:val="FootnoteReference"/>
                <w:rFonts w:cs="Times New Roman"/>
                <w:sz w:val="22"/>
              </w:rPr>
              <w:footnoteReference w:id="54"/>
            </w:r>
          </w:p>
        </w:tc>
      </w:tr>
      <w:tr w:rsidR="00E00E10" w:rsidRPr="00064BD5" w:rsidTr="00FB6B30">
        <w:tc>
          <w:tcPr>
            <w:tcW w:w="1657" w:type="dxa"/>
          </w:tcPr>
          <w:p w:rsidR="00E00E10" w:rsidRPr="00064BD5" w:rsidRDefault="00E00E10" w:rsidP="00D47CAD">
            <w:pPr>
              <w:rPr>
                <w:rFonts w:ascii="Times New Roman" w:hAnsi="Times New Roman" w:cs="Times New Roman"/>
              </w:rPr>
            </w:pPr>
            <w:r w:rsidRPr="00064BD5">
              <w:rPr>
                <w:rFonts w:ascii="Times New Roman" w:hAnsi="Times New Roman" w:cs="Times New Roman"/>
              </w:rPr>
              <w:t>International</w:t>
            </w:r>
          </w:p>
        </w:tc>
        <w:tc>
          <w:tcPr>
            <w:tcW w:w="1421"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28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(6.14%)</w:t>
            </w:r>
          </w:p>
        </w:tc>
        <w:tc>
          <w:tcPr>
            <w:tcW w:w="1350" w:type="dxa"/>
          </w:tcPr>
          <w:p w:rsidR="00E00E10" w:rsidRPr="00064BD5" w:rsidRDefault="00E00E10" w:rsidP="00D47CAD">
            <w:pPr>
              <w:jc w:val="center"/>
              <w:rPr>
                <w:rFonts w:ascii="Times New Roman" w:hAnsi="Times New Roman" w:cs="Times New Roman"/>
              </w:rPr>
            </w:pPr>
            <w:r>
              <w:rPr>
                <w:rFonts w:ascii="Times New Roman" w:hAnsi="Times New Roman" w:cs="Times New Roman"/>
              </w:rPr>
              <w:t>47.5</w:t>
            </w:r>
            <w:r w:rsidRPr="00064BD5">
              <w:rPr>
                <w:rFonts w:ascii="Times New Roman" w:hAnsi="Times New Roman" w:cs="Times New Roman"/>
              </w:rPr>
              <w:t xml:space="preserve">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(6.14%)</w:t>
            </w:r>
          </w:p>
        </w:tc>
        <w:tc>
          <w:tcPr>
            <w:tcW w:w="126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0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(0.00%)</w:t>
            </w:r>
          </w:p>
        </w:tc>
        <w:tc>
          <w:tcPr>
            <w:tcW w:w="153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0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(0.00%)</w:t>
            </w:r>
          </w:p>
        </w:tc>
        <w:tc>
          <w:tcPr>
            <w:tcW w:w="171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75</w:t>
            </w:r>
            <w:r>
              <w:rPr>
                <w:rFonts w:ascii="Times New Roman" w:hAnsi="Times New Roman" w:cs="Times New Roman"/>
              </w:rPr>
              <w:t>.5</w:t>
            </w:r>
            <w:r w:rsidRPr="00064BD5">
              <w:rPr>
                <w:rFonts w:ascii="Times New Roman" w:hAnsi="Times New Roman" w:cs="Times New Roman"/>
              </w:rPr>
              <w:t xml:space="preserve">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w:t>
            </w:r>
            <w:r>
              <w:rPr>
                <w:rFonts w:ascii="Times New Roman" w:hAnsi="Times New Roman" w:cs="Times New Roman"/>
              </w:rPr>
              <w:t>5.03</w:t>
            </w:r>
            <w:r w:rsidRPr="00064BD5">
              <w:rPr>
                <w:rFonts w:ascii="Times New Roman" w:hAnsi="Times New Roman" w:cs="Times New Roman"/>
              </w:rPr>
              <w:t>%)</w:t>
            </w:r>
          </w:p>
        </w:tc>
      </w:tr>
      <w:tr w:rsidR="00E00E10" w:rsidRPr="00064BD5" w:rsidTr="00FB6B30">
        <w:tc>
          <w:tcPr>
            <w:tcW w:w="1657" w:type="dxa"/>
          </w:tcPr>
          <w:p w:rsidR="00E00E10" w:rsidRPr="00064BD5" w:rsidRDefault="00E00E10" w:rsidP="00D47CAD">
            <w:pPr>
              <w:rPr>
                <w:rFonts w:ascii="Times New Roman" w:hAnsi="Times New Roman" w:cs="Times New Roman"/>
              </w:rPr>
            </w:pPr>
            <w:r w:rsidRPr="00064BD5">
              <w:rPr>
                <w:rFonts w:ascii="Times New Roman" w:hAnsi="Times New Roman" w:cs="Times New Roman"/>
              </w:rPr>
              <w:t xml:space="preserve">Wireless </w:t>
            </w:r>
          </w:p>
        </w:tc>
        <w:tc>
          <w:tcPr>
            <w:tcW w:w="1421"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93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(20.39%)</w:t>
            </w:r>
          </w:p>
        </w:tc>
        <w:tc>
          <w:tcPr>
            <w:tcW w:w="1350" w:type="dxa"/>
          </w:tcPr>
          <w:p w:rsidR="00E00E10" w:rsidRPr="00064BD5" w:rsidRDefault="00E00E10" w:rsidP="00D47CAD">
            <w:pPr>
              <w:jc w:val="center"/>
              <w:rPr>
                <w:rFonts w:ascii="Times New Roman" w:hAnsi="Times New Roman" w:cs="Times New Roman"/>
              </w:rPr>
            </w:pPr>
            <w:r>
              <w:rPr>
                <w:rFonts w:ascii="Times New Roman" w:hAnsi="Times New Roman" w:cs="Times New Roman"/>
              </w:rPr>
              <w:t xml:space="preserve">157.9 </w:t>
            </w:r>
            <w:r w:rsidRPr="00064BD5">
              <w:rPr>
                <w:rFonts w:ascii="Times New Roman" w:hAnsi="Times New Roman" w:cs="Times New Roman"/>
              </w:rPr>
              <w:t>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(20.39%)</w:t>
            </w:r>
          </w:p>
        </w:tc>
        <w:tc>
          <w:tcPr>
            <w:tcW w:w="126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52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(33.33%)</w:t>
            </w:r>
          </w:p>
        </w:tc>
        <w:tc>
          <w:tcPr>
            <w:tcW w:w="153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57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(50.00%)</w:t>
            </w:r>
          </w:p>
        </w:tc>
        <w:tc>
          <w:tcPr>
            <w:tcW w:w="1710" w:type="dxa"/>
          </w:tcPr>
          <w:p w:rsidR="00E00E10" w:rsidRPr="00064BD5" w:rsidRDefault="00E00E10" w:rsidP="00D47CAD">
            <w:pPr>
              <w:jc w:val="center"/>
              <w:rPr>
                <w:rFonts w:ascii="Times New Roman" w:hAnsi="Times New Roman" w:cs="Times New Roman"/>
              </w:rPr>
            </w:pPr>
            <w:r>
              <w:rPr>
                <w:rFonts w:ascii="Times New Roman" w:hAnsi="Times New Roman" w:cs="Times New Roman"/>
              </w:rPr>
              <w:t>359.9</w:t>
            </w:r>
            <w:r w:rsidRPr="00064BD5">
              <w:rPr>
                <w:rFonts w:ascii="Times New Roman" w:hAnsi="Times New Roman" w:cs="Times New Roman"/>
              </w:rPr>
              <w:t xml:space="preserve">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w:t>
            </w:r>
            <w:r>
              <w:rPr>
                <w:rFonts w:ascii="Times New Roman" w:hAnsi="Times New Roman" w:cs="Times New Roman"/>
              </w:rPr>
              <w:t>24</w:t>
            </w:r>
            <w:r w:rsidRPr="00064BD5">
              <w:rPr>
                <w:rFonts w:ascii="Times New Roman" w:hAnsi="Times New Roman" w:cs="Times New Roman"/>
              </w:rPr>
              <w:t>%)</w:t>
            </w:r>
          </w:p>
        </w:tc>
      </w:tr>
      <w:tr w:rsidR="00E00E10" w:rsidRPr="00064BD5" w:rsidTr="00FB6B30">
        <w:tc>
          <w:tcPr>
            <w:tcW w:w="1657" w:type="dxa"/>
          </w:tcPr>
          <w:p w:rsidR="00E00E10" w:rsidRPr="00064BD5" w:rsidRDefault="00E00E10" w:rsidP="00D47CAD">
            <w:pPr>
              <w:rPr>
                <w:rFonts w:ascii="Times New Roman" w:hAnsi="Times New Roman" w:cs="Times New Roman"/>
              </w:rPr>
            </w:pPr>
            <w:r w:rsidRPr="00064BD5">
              <w:rPr>
                <w:rFonts w:ascii="Times New Roman" w:hAnsi="Times New Roman" w:cs="Times New Roman"/>
              </w:rPr>
              <w:t>Wireline</w:t>
            </w:r>
          </w:p>
        </w:tc>
        <w:tc>
          <w:tcPr>
            <w:tcW w:w="1421"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176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(38.60%)</w:t>
            </w:r>
          </w:p>
        </w:tc>
        <w:tc>
          <w:tcPr>
            <w:tcW w:w="1350" w:type="dxa"/>
          </w:tcPr>
          <w:p w:rsidR="00E00E10" w:rsidRPr="00064BD5" w:rsidRDefault="00E00E10" w:rsidP="00D47CAD">
            <w:pPr>
              <w:jc w:val="center"/>
              <w:rPr>
                <w:rFonts w:ascii="Times New Roman" w:hAnsi="Times New Roman" w:cs="Times New Roman"/>
              </w:rPr>
            </w:pPr>
            <w:r>
              <w:rPr>
                <w:rFonts w:ascii="Times New Roman" w:hAnsi="Times New Roman" w:cs="Times New Roman"/>
              </w:rPr>
              <w:t xml:space="preserve">298.7 </w:t>
            </w:r>
            <w:r w:rsidRPr="00064BD5">
              <w:rPr>
                <w:rFonts w:ascii="Times New Roman" w:hAnsi="Times New Roman" w:cs="Times New Roman"/>
              </w:rPr>
              <w:t>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(38.60%)</w:t>
            </w:r>
          </w:p>
        </w:tc>
        <w:tc>
          <w:tcPr>
            <w:tcW w:w="126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52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(33.33%)</w:t>
            </w:r>
          </w:p>
        </w:tc>
        <w:tc>
          <w:tcPr>
            <w:tcW w:w="153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0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(0.00%)</w:t>
            </w:r>
          </w:p>
        </w:tc>
        <w:tc>
          <w:tcPr>
            <w:tcW w:w="1710" w:type="dxa"/>
          </w:tcPr>
          <w:p w:rsidR="00E00E10" w:rsidRPr="00064BD5" w:rsidRDefault="00E00E10" w:rsidP="00D47CAD">
            <w:pPr>
              <w:jc w:val="center"/>
              <w:rPr>
                <w:rFonts w:ascii="Times New Roman" w:hAnsi="Times New Roman" w:cs="Times New Roman"/>
              </w:rPr>
            </w:pPr>
            <w:r>
              <w:rPr>
                <w:rFonts w:ascii="Times New Roman" w:hAnsi="Times New Roman" w:cs="Times New Roman"/>
              </w:rPr>
              <w:t>526.7</w:t>
            </w:r>
            <w:r w:rsidRPr="00064BD5">
              <w:rPr>
                <w:rFonts w:ascii="Times New Roman" w:hAnsi="Times New Roman" w:cs="Times New Roman"/>
              </w:rPr>
              <w:t xml:space="preserve">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w:t>
            </w:r>
            <w:r>
              <w:rPr>
                <w:rFonts w:ascii="Times New Roman" w:hAnsi="Times New Roman" w:cs="Times New Roman"/>
              </w:rPr>
              <w:t>35.11</w:t>
            </w:r>
            <w:r w:rsidRPr="00064BD5">
              <w:rPr>
                <w:rFonts w:ascii="Times New Roman" w:hAnsi="Times New Roman" w:cs="Times New Roman"/>
              </w:rPr>
              <w:t>%)</w:t>
            </w:r>
          </w:p>
        </w:tc>
      </w:tr>
      <w:tr w:rsidR="00E00E10" w:rsidRPr="00064BD5" w:rsidTr="00FB6B30">
        <w:tc>
          <w:tcPr>
            <w:tcW w:w="1657" w:type="dxa"/>
          </w:tcPr>
          <w:p w:rsidR="00E00E10" w:rsidRPr="00064BD5" w:rsidRDefault="00E00E10" w:rsidP="00D47CAD">
            <w:pPr>
              <w:rPr>
                <w:rFonts w:ascii="Times New Roman" w:hAnsi="Times New Roman" w:cs="Times New Roman"/>
              </w:rPr>
            </w:pPr>
            <w:r w:rsidRPr="00064BD5">
              <w:rPr>
                <w:rFonts w:ascii="Times New Roman" w:hAnsi="Times New Roman" w:cs="Times New Roman"/>
              </w:rPr>
              <w:t>Media</w:t>
            </w:r>
          </w:p>
        </w:tc>
        <w:tc>
          <w:tcPr>
            <w:tcW w:w="1421"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159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(34.87%)</w:t>
            </w:r>
          </w:p>
        </w:tc>
        <w:tc>
          <w:tcPr>
            <w:tcW w:w="1350" w:type="dxa"/>
          </w:tcPr>
          <w:p w:rsidR="00E00E10" w:rsidRPr="00064BD5" w:rsidRDefault="00E00E10" w:rsidP="00D47CAD">
            <w:pPr>
              <w:rPr>
                <w:rFonts w:ascii="Times New Roman" w:hAnsi="Times New Roman" w:cs="Times New Roman"/>
              </w:rPr>
            </w:pPr>
            <w:r>
              <w:rPr>
                <w:rFonts w:ascii="Times New Roman" w:hAnsi="Times New Roman" w:cs="Times New Roman"/>
              </w:rPr>
              <w:t xml:space="preserve">269.9 </w:t>
            </w:r>
            <w:r w:rsidRPr="00064BD5">
              <w:rPr>
                <w:rFonts w:ascii="Times New Roman" w:hAnsi="Times New Roman" w:cs="Times New Roman"/>
              </w:rPr>
              <w:t>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(34.87%)</w:t>
            </w:r>
          </w:p>
        </w:tc>
        <w:tc>
          <w:tcPr>
            <w:tcW w:w="126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52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(33.33%)</w:t>
            </w:r>
          </w:p>
        </w:tc>
        <w:tc>
          <w:tcPr>
            <w:tcW w:w="153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57 FTEs</w:t>
            </w:r>
          </w:p>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(50.00%)</w:t>
            </w:r>
          </w:p>
        </w:tc>
        <w:tc>
          <w:tcPr>
            <w:tcW w:w="171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5</w:t>
            </w:r>
            <w:r>
              <w:rPr>
                <w:rFonts w:ascii="Times New Roman" w:hAnsi="Times New Roman" w:cs="Times New Roman"/>
              </w:rPr>
              <w:t>37.9</w:t>
            </w:r>
            <w:r w:rsidRPr="00064BD5">
              <w:rPr>
                <w:rFonts w:ascii="Times New Roman" w:hAnsi="Times New Roman" w:cs="Times New Roman"/>
              </w:rPr>
              <w:t xml:space="preserve"> FTEs (</w:t>
            </w:r>
            <w:r>
              <w:rPr>
                <w:rFonts w:ascii="Times New Roman" w:hAnsi="Times New Roman" w:cs="Times New Roman"/>
              </w:rPr>
              <w:t>35.86</w:t>
            </w:r>
            <w:r w:rsidRPr="00064BD5">
              <w:rPr>
                <w:rFonts w:ascii="Times New Roman" w:hAnsi="Times New Roman" w:cs="Times New Roman"/>
              </w:rPr>
              <w:t>%)</w:t>
            </w:r>
          </w:p>
        </w:tc>
      </w:tr>
      <w:tr w:rsidR="00E00E10" w:rsidRPr="00064BD5" w:rsidTr="00FB6B30">
        <w:trPr>
          <w:trHeight w:val="377"/>
        </w:trPr>
        <w:tc>
          <w:tcPr>
            <w:tcW w:w="1657" w:type="dxa"/>
          </w:tcPr>
          <w:p w:rsidR="00E00E10" w:rsidRPr="00064BD5" w:rsidRDefault="00E00E10" w:rsidP="00D47CAD">
            <w:pPr>
              <w:jc w:val="right"/>
              <w:rPr>
                <w:rFonts w:ascii="Times New Roman" w:hAnsi="Times New Roman" w:cs="Times New Roman"/>
              </w:rPr>
            </w:pPr>
            <w:r w:rsidRPr="00064BD5">
              <w:rPr>
                <w:rFonts w:ascii="Times New Roman" w:hAnsi="Times New Roman" w:cs="Times New Roman"/>
              </w:rPr>
              <w:t>Total</w:t>
            </w:r>
          </w:p>
        </w:tc>
        <w:tc>
          <w:tcPr>
            <w:tcW w:w="1421"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456</w:t>
            </w:r>
          </w:p>
        </w:tc>
        <w:tc>
          <w:tcPr>
            <w:tcW w:w="1350" w:type="dxa"/>
          </w:tcPr>
          <w:p w:rsidR="00E00E10" w:rsidRPr="00064BD5" w:rsidRDefault="00E00E10" w:rsidP="00D47CAD">
            <w:pPr>
              <w:jc w:val="center"/>
              <w:rPr>
                <w:rFonts w:ascii="Times New Roman" w:hAnsi="Times New Roman" w:cs="Times New Roman"/>
              </w:rPr>
            </w:pPr>
            <w:r>
              <w:rPr>
                <w:rFonts w:ascii="Times New Roman" w:hAnsi="Times New Roman" w:cs="Times New Roman"/>
              </w:rPr>
              <w:t>774</w:t>
            </w:r>
          </w:p>
        </w:tc>
        <w:tc>
          <w:tcPr>
            <w:tcW w:w="126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156</w:t>
            </w:r>
          </w:p>
        </w:tc>
        <w:tc>
          <w:tcPr>
            <w:tcW w:w="1530" w:type="dxa"/>
          </w:tcPr>
          <w:p w:rsidR="00E00E10" w:rsidRPr="00064BD5" w:rsidRDefault="00E00E10" w:rsidP="00D47CAD">
            <w:pPr>
              <w:jc w:val="center"/>
              <w:rPr>
                <w:rFonts w:ascii="Times New Roman" w:hAnsi="Times New Roman" w:cs="Times New Roman"/>
              </w:rPr>
            </w:pPr>
            <w:r w:rsidRPr="00064BD5">
              <w:rPr>
                <w:rFonts w:ascii="Times New Roman" w:hAnsi="Times New Roman" w:cs="Times New Roman"/>
              </w:rPr>
              <w:t>114</w:t>
            </w:r>
          </w:p>
        </w:tc>
        <w:tc>
          <w:tcPr>
            <w:tcW w:w="1710" w:type="dxa"/>
          </w:tcPr>
          <w:p w:rsidR="00E00E10" w:rsidRPr="00064BD5" w:rsidRDefault="00E00E10" w:rsidP="00D47CAD">
            <w:pPr>
              <w:jc w:val="center"/>
              <w:rPr>
                <w:rFonts w:ascii="Times New Roman" w:hAnsi="Times New Roman" w:cs="Times New Roman"/>
              </w:rPr>
            </w:pPr>
            <w:r>
              <w:rPr>
                <w:rFonts w:ascii="Times New Roman" w:hAnsi="Times New Roman" w:cs="Times New Roman"/>
              </w:rPr>
              <w:t>1,500</w:t>
            </w:r>
          </w:p>
        </w:tc>
      </w:tr>
    </w:tbl>
    <w:p w:rsidR="00CF0462" w:rsidRDefault="00CF0462" w:rsidP="00E001BD">
      <w:pPr>
        <w:pStyle w:val="ParaNum"/>
        <w:numPr>
          <w:ilvl w:val="0"/>
          <w:numId w:val="0"/>
        </w:numPr>
        <w:ind w:left="720"/>
      </w:pPr>
    </w:p>
    <w:p w:rsidR="00605EFB" w:rsidRPr="00E72DD1" w:rsidRDefault="00605EFB" w:rsidP="00CA045B">
      <w:pPr>
        <w:pStyle w:val="Heading3"/>
      </w:pPr>
      <w:r w:rsidRPr="00E72DD1">
        <w:t>Reallocation</w:t>
      </w:r>
      <w:r w:rsidR="000A1AF7">
        <w:t>s</w:t>
      </w:r>
      <w:r w:rsidRPr="00E72DD1">
        <w:t xml:space="preserve"> </w:t>
      </w:r>
      <w:r>
        <w:t>within Fee Categories</w:t>
      </w:r>
    </w:p>
    <w:p w:rsidR="00605EFB" w:rsidRPr="00300BDD" w:rsidRDefault="00605EFB" w:rsidP="00773596">
      <w:pPr>
        <w:pStyle w:val="ParaNum"/>
        <w:widowControl/>
        <w:ind w:left="-86"/>
      </w:pPr>
      <w:r w:rsidRPr="00A438CD">
        <w:rPr>
          <w:i/>
        </w:rPr>
        <w:t>Submarine Cable</w:t>
      </w:r>
      <w:r w:rsidRPr="00A438CD">
        <w:t xml:space="preserve">.  Submarine cable systems transport data, as well as voice services, for international carriers, Internet providers, wholesale operators, corporate customers, and governments.  As discussed in the </w:t>
      </w:r>
      <w:r w:rsidRPr="00A438CD">
        <w:rPr>
          <w:i/>
        </w:rPr>
        <w:t>FY 2013 NPRM</w:t>
      </w:r>
      <w:r w:rsidRPr="00A438CD">
        <w:t xml:space="preserve">, international submarine cable service involves </w:t>
      </w:r>
      <w:r>
        <w:t>minimal</w:t>
      </w:r>
      <w:r w:rsidRPr="00A438CD">
        <w:t xml:space="preserve"> regulation and oversight from the Commission after the initial licensing process.</w:t>
      </w:r>
      <w:r w:rsidRPr="00A438CD">
        <w:rPr>
          <w:rStyle w:val="FootnoteReference"/>
        </w:rPr>
        <w:footnoteReference w:id="55"/>
      </w:r>
      <w:r w:rsidRPr="00A438CD">
        <w:t xml:space="preserve">  </w:t>
      </w:r>
      <w:r>
        <w:t xml:space="preserve">For example, such activity is limited to </w:t>
      </w:r>
      <w:r w:rsidRPr="00A438CD">
        <w:t>fil</w:t>
      </w:r>
      <w:r>
        <w:t>ing</w:t>
      </w:r>
      <w:r w:rsidRPr="00A438CD">
        <w:t xml:space="preserve"> Traffic and Revenue Reports regarding international services and for U.S. facilities based international common carriers, </w:t>
      </w:r>
      <w:r>
        <w:t xml:space="preserve">and </w:t>
      </w:r>
      <w:r w:rsidRPr="00A438CD">
        <w:t>Circuit Status Reports.</w:t>
      </w:r>
      <w:r w:rsidRPr="00A438CD">
        <w:rPr>
          <w:rStyle w:val="FootnoteReference"/>
        </w:rPr>
        <w:footnoteReference w:id="56"/>
      </w:r>
      <w:r w:rsidRPr="00A438CD">
        <w:t xml:space="preserve">  Several commenters in response to the </w:t>
      </w:r>
      <w:r w:rsidRPr="00A438CD">
        <w:rPr>
          <w:i/>
        </w:rPr>
        <w:t>FY 2013 NPRM</w:t>
      </w:r>
      <w:r w:rsidRPr="00A438CD">
        <w:t xml:space="preserve"> suggested that the regulatory fees among International Bureau licensees should be </w:t>
      </w:r>
      <w:r>
        <w:t>adjusted to reflect this minimal oversight</w:t>
      </w:r>
      <w:r w:rsidRPr="00A438CD">
        <w:t>.</w:t>
      </w:r>
      <w:r w:rsidRPr="00A438CD">
        <w:rPr>
          <w:rStyle w:val="FootnoteReference"/>
        </w:rPr>
        <w:footnoteReference w:id="57"/>
      </w:r>
      <w:r w:rsidRPr="00A438CD">
        <w:t xml:space="preserve">  </w:t>
      </w:r>
      <w:r w:rsidR="00644382">
        <w:t>T</w:t>
      </w:r>
      <w:r>
        <w:t xml:space="preserve">he satellite operators and earth stations pay 59 percent of regulatory fees allocated to International Bureau licensees, and the submarine cable and bearer circuit fee categories pay 41 percent.  We </w:t>
      </w:r>
      <w:r w:rsidR="0007437E">
        <w:t xml:space="preserve">tentatively conclude that we should revise </w:t>
      </w:r>
      <w:r w:rsidRPr="00300BDD">
        <w:t>the apportionment between the satellite/earth station operators and the submarine cable operators/terrestrial/satellite circuits to</w:t>
      </w:r>
      <w:r w:rsidR="00340B7E">
        <w:t xml:space="preserve"> reduce the </w:t>
      </w:r>
      <w:r w:rsidR="000A6635">
        <w:t xml:space="preserve">proportional </w:t>
      </w:r>
      <w:r w:rsidR="00340B7E">
        <w:t xml:space="preserve">allocation </w:t>
      </w:r>
      <w:r w:rsidRPr="00300BDD">
        <w:t xml:space="preserve">for submarine cable operators/terrestrial/satellite circuits and </w:t>
      </w:r>
      <w:r w:rsidR="00340B7E">
        <w:t xml:space="preserve">increase the </w:t>
      </w:r>
      <w:r w:rsidR="000A6635">
        <w:t>allocation</w:t>
      </w:r>
      <w:r w:rsidRPr="00300BDD">
        <w:t xml:space="preserve"> for satellite/earth station operators</w:t>
      </w:r>
      <w:r w:rsidR="00340B7E">
        <w:t xml:space="preserve"> to more accurately reflect the amount of oversight and regulation for these industries</w:t>
      </w:r>
      <w:r w:rsidRPr="00300BDD">
        <w:t>.</w:t>
      </w:r>
      <w:r w:rsidRPr="00300BDD">
        <w:rPr>
          <w:rStyle w:val="FootnoteReference"/>
        </w:rPr>
        <w:footnoteReference w:id="58"/>
      </w:r>
      <w:r w:rsidRPr="00300BDD">
        <w:t xml:space="preserve">  </w:t>
      </w:r>
    </w:p>
    <w:p w:rsidR="00605EFB" w:rsidRDefault="00605EFB" w:rsidP="003909AC">
      <w:pPr>
        <w:pStyle w:val="ParaNum"/>
        <w:ind w:left="-90"/>
      </w:pPr>
      <w:r w:rsidRPr="00300BDD">
        <w:rPr>
          <w:i/>
        </w:rPr>
        <w:t>Earth Stations</w:t>
      </w:r>
      <w:r w:rsidRPr="00300BDD">
        <w:t xml:space="preserve">.  An earth station transmits or receives messages from a satellite.  Currently, earth station licensees pay regulatory fees of </w:t>
      </w:r>
      <w:r w:rsidRPr="00FB6B30">
        <w:t>$275</w:t>
      </w:r>
      <w:r w:rsidRPr="00300BDD">
        <w:t xml:space="preserve"> per year while satellite operators pay </w:t>
      </w:r>
      <w:r w:rsidRPr="00FB6B30">
        <w:t>$139,100</w:t>
      </w:r>
      <w:r w:rsidRPr="00300BDD">
        <w:t xml:space="preserve"> (for space stations, per operational system in geostationary orbit) and </w:t>
      </w:r>
      <w:r w:rsidRPr="00FB6B30">
        <w:t>$149,875</w:t>
      </w:r>
      <w:r w:rsidRPr="00300BDD">
        <w:t xml:space="preserve"> (for space stations, per operational system in non-geostationary orbit) per year.  </w:t>
      </w:r>
      <w:r>
        <w:t>We recognize that earth station and sat</w:t>
      </w:r>
      <w:r w:rsidR="00E46023">
        <w:t xml:space="preserve">ellite oversight and regulation, although using different </w:t>
      </w:r>
      <w:r w:rsidR="00FA7200">
        <w:t xml:space="preserve">quantities of </w:t>
      </w:r>
      <w:r w:rsidR="00E46023">
        <w:t xml:space="preserve">FTEs, is </w:t>
      </w:r>
      <w:r>
        <w:t>interdepende</w:t>
      </w:r>
      <w:r w:rsidR="00E46023">
        <w:t>nt to some degree</w:t>
      </w:r>
      <w:r w:rsidR="00FA7200">
        <w:t xml:space="preserve"> and also involves issues pertaining to no</w:t>
      </w:r>
      <w:r w:rsidR="00AB26CD">
        <w:t xml:space="preserve">n-U.S.-licensed space stations.  </w:t>
      </w:r>
      <w:r w:rsidR="00CF78A6">
        <w:t>C</w:t>
      </w:r>
      <w:r w:rsidR="00EC6398">
        <w:t>ommenters suggest that we increase the percentage of regulatory fees assigned to earth stations</w:t>
      </w:r>
      <w:r w:rsidR="002E08CC">
        <w:t>.  W</w:t>
      </w:r>
      <w:r w:rsidRPr="00300BDD">
        <w:t xml:space="preserve">e </w:t>
      </w:r>
      <w:r w:rsidR="00CF78A6">
        <w:t xml:space="preserve">therefore </w:t>
      </w:r>
      <w:r w:rsidRPr="00300BDD">
        <w:t xml:space="preserve">seek comment on whether we should </w:t>
      </w:r>
      <w:r w:rsidR="00340B7E">
        <w:t xml:space="preserve">increase </w:t>
      </w:r>
      <w:r>
        <w:t>t</w:t>
      </w:r>
      <w:r w:rsidR="00EC6398">
        <w:t>his allocation</w:t>
      </w:r>
      <w:r>
        <w:t xml:space="preserve"> </w:t>
      </w:r>
      <w:r w:rsidRPr="00300BDD">
        <w:t xml:space="preserve">in order to </w:t>
      </w:r>
      <w:r>
        <w:t>reflect</w:t>
      </w:r>
      <w:r w:rsidRPr="00300BDD">
        <w:t xml:space="preserve"> more appropriately the regulation and oversight of this industry.  </w:t>
      </w:r>
      <w:r w:rsidR="00201997">
        <w:t>Commenters should also discuss whether the type of earth station authorization should affect the relative allocation for regulatory fees.</w:t>
      </w:r>
      <w:r w:rsidR="005C0419">
        <w:t xml:space="preserve">  </w:t>
      </w:r>
      <w:r w:rsidR="002E08CC">
        <w:t>W</w:t>
      </w:r>
      <w:r w:rsidR="005C0419">
        <w:t>e invite comment on whether any material distinction should be drawn concerning the appropriate allocation of regulatory fees among various types of earth station authorizations.</w:t>
      </w:r>
    </w:p>
    <w:p w:rsidR="00964365" w:rsidRPr="007F60E8" w:rsidRDefault="00964365" w:rsidP="004355FD">
      <w:pPr>
        <w:pStyle w:val="Heading2"/>
      </w:pPr>
      <w:bookmarkStart w:id="22" w:name="_Toc382567919"/>
      <w:bookmarkStart w:id="23" w:name="_Toc384227052"/>
      <w:r w:rsidRPr="007F60E8">
        <w:t>Improving the Regulatory Fee Process</w:t>
      </w:r>
      <w:bookmarkEnd w:id="22"/>
      <w:bookmarkEnd w:id="23"/>
    </w:p>
    <w:p w:rsidR="00964365" w:rsidRDefault="00964365" w:rsidP="003909AC">
      <w:pPr>
        <w:pStyle w:val="ParaNum"/>
        <w:ind w:left="-90"/>
      </w:pPr>
      <w:r w:rsidRPr="00A438CD">
        <w:t>Following this analysis</w:t>
      </w:r>
      <w:r w:rsidR="005319D0">
        <w:t xml:space="preserve"> for FY 2014</w:t>
      </w:r>
      <w:r w:rsidRPr="00A438CD">
        <w:t>, how often should</w:t>
      </w:r>
      <w:r w:rsidR="004A16C6">
        <w:t xml:space="preserve"> we</w:t>
      </w:r>
      <w:r w:rsidRPr="00A438CD">
        <w:t xml:space="preserve"> conduct an in depth review in the future</w:t>
      </w:r>
      <w:r w:rsidR="005319D0">
        <w:t>?</w:t>
      </w:r>
      <w:r w:rsidRPr="00A438CD">
        <w:t xml:space="preserve">  </w:t>
      </w:r>
      <w:r>
        <w:t xml:space="preserve">How often should we revisit our methodology for allocation of direct FTEs?  Absent any changes in methodology, how often should we update the number of FTEs in the core bureaus in order to calculate regulatory fees?  </w:t>
      </w:r>
      <w:r w:rsidRPr="00A438CD">
        <w:t>Commenters should recommend an appropriate time frame</w:t>
      </w:r>
      <w:r w:rsidR="0007437E">
        <w:t xml:space="preserve">, such as every three years, </w:t>
      </w:r>
      <w:r w:rsidRPr="00A438CD">
        <w:t xml:space="preserve">that balances the need for stability for industry sectors to budget for regulatory fees against the need to reflect the changing work of the Commission FTEs.    </w:t>
      </w:r>
    </w:p>
    <w:p w:rsidR="00964365" w:rsidRPr="00B800E5" w:rsidRDefault="00964365" w:rsidP="004355FD">
      <w:pPr>
        <w:pStyle w:val="Heading2"/>
        <w:rPr>
          <w:sz w:val="24"/>
          <w:szCs w:val="24"/>
        </w:rPr>
      </w:pPr>
      <w:bookmarkStart w:id="24" w:name="_Toc382567920"/>
      <w:bookmarkStart w:id="25" w:name="_Toc384227053"/>
      <w:r>
        <w:t>Revising Our De Minimis Threshold</w:t>
      </w:r>
      <w:bookmarkEnd w:id="24"/>
      <w:bookmarkEnd w:id="25"/>
      <w:r>
        <w:t xml:space="preserve"> </w:t>
      </w:r>
      <w:r w:rsidR="00673DAE">
        <w:t xml:space="preserve">and Eliminating </w:t>
      </w:r>
      <w:r w:rsidR="0041118E">
        <w:t xml:space="preserve">Regulatory Fee </w:t>
      </w:r>
      <w:r w:rsidR="00673DAE">
        <w:t>Categories</w:t>
      </w:r>
    </w:p>
    <w:p w:rsidR="00964365" w:rsidRDefault="008933CB" w:rsidP="003909AC">
      <w:pPr>
        <w:pStyle w:val="ParaNum"/>
        <w:ind w:left="-90"/>
        <w:rPr>
          <w:szCs w:val="22"/>
        </w:rPr>
      </w:pPr>
      <w:r>
        <w:rPr>
          <w:szCs w:val="22"/>
        </w:rPr>
        <w:t>Under t</w:t>
      </w:r>
      <w:r w:rsidR="00964365" w:rsidRPr="00964365">
        <w:rPr>
          <w:szCs w:val="22"/>
        </w:rPr>
        <w:t xml:space="preserve">he Commission’s present </w:t>
      </w:r>
      <w:r>
        <w:rPr>
          <w:szCs w:val="22"/>
        </w:rPr>
        <w:t xml:space="preserve">policy on </w:t>
      </w:r>
      <w:r w:rsidR="00964365" w:rsidRPr="00964365">
        <w:rPr>
          <w:szCs w:val="22"/>
        </w:rPr>
        <w:t>de minimis regulatory fee payments</w:t>
      </w:r>
      <w:r>
        <w:rPr>
          <w:szCs w:val="22"/>
        </w:rPr>
        <w:t>,</w:t>
      </w:r>
      <w:r w:rsidR="00964365" w:rsidRPr="00964365">
        <w:rPr>
          <w:szCs w:val="22"/>
        </w:rPr>
        <w:t xml:space="preserve"> a regulatee is exempt from paying regulatory fees if the sum total of all of its regulatory fee liabilities for the fiscal year is less than $10.  For example, using FY 2013 fee data, an ITSP would be exempt if the total calendar year revenues did not exceed $2,881.  A cell phone operator would be exempt if the number of subscribers did not exceed 55; a cable television operator would be exempt if the subscriber number did not exceed </w:t>
      </w:r>
      <w:r w:rsidR="00B85ABB">
        <w:rPr>
          <w:szCs w:val="22"/>
        </w:rPr>
        <w:t>nine</w:t>
      </w:r>
      <w:r w:rsidR="00964365" w:rsidRPr="00964365">
        <w:rPr>
          <w:szCs w:val="22"/>
        </w:rPr>
        <w:t xml:space="preserve">.  </w:t>
      </w:r>
      <w:r w:rsidR="006B73A1">
        <w:rPr>
          <w:szCs w:val="22"/>
        </w:rPr>
        <w:t>We propose incr</w:t>
      </w:r>
      <w:r w:rsidR="0041118E">
        <w:rPr>
          <w:szCs w:val="22"/>
        </w:rPr>
        <w:t>easing the de minimis threshold</w:t>
      </w:r>
      <w:r w:rsidR="00E36770">
        <w:rPr>
          <w:szCs w:val="22"/>
        </w:rPr>
        <w:t xml:space="preserve"> to provide </w:t>
      </w:r>
      <w:r w:rsidR="00C938D9">
        <w:rPr>
          <w:szCs w:val="22"/>
        </w:rPr>
        <w:t xml:space="preserve">more </w:t>
      </w:r>
      <w:r w:rsidR="00E36770">
        <w:rPr>
          <w:szCs w:val="22"/>
        </w:rPr>
        <w:t>relief to smaller entities</w:t>
      </w:r>
      <w:r w:rsidR="006B73A1">
        <w:rPr>
          <w:szCs w:val="22"/>
        </w:rPr>
        <w:t xml:space="preserve">.  </w:t>
      </w:r>
      <w:r w:rsidR="00964365" w:rsidRPr="00964365">
        <w:rPr>
          <w:szCs w:val="22"/>
        </w:rPr>
        <w:t>We seek comment whether we should establish a higher de minimis amount, such as $100</w:t>
      </w:r>
      <w:r w:rsidR="006B73A1">
        <w:rPr>
          <w:szCs w:val="22"/>
        </w:rPr>
        <w:t xml:space="preserve">, $500, </w:t>
      </w:r>
      <w:r w:rsidR="0010343B">
        <w:rPr>
          <w:szCs w:val="22"/>
        </w:rPr>
        <w:t xml:space="preserve">$750, </w:t>
      </w:r>
      <w:r w:rsidR="006B73A1">
        <w:rPr>
          <w:szCs w:val="22"/>
        </w:rPr>
        <w:t>or $1,000</w:t>
      </w:r>
      <w:r w:rsidR="00964365" w:rsidRPr="00964365">
        <w:rPr>
          <w:szCs w:val="22"/>
        </w:rPr>
        <w:t xml:space="preserve">.  </w:t>
      </w:r>
      <w:r w:rsidR="00725216">
        <w:rPr>
          <w:szCs w:val="22"/>
        </w:rPr>
        <w:t xml:space="preserve">In doing so, we seek comment on whether the administrative burden on small regulatees and the FCC’s operational costs associated with processing and collecting these fees outweigh the benefits of such payments.  </w:t>
      </w:r>
      <w:r w:rsidR="00E36770">
        <w:rPr>
          <w:szCs w:val="22"/>
        </w:rPr>
        <w:t>Commenters should discuss whether certain categories of licensees, such as those who are subject to frequency coordination by private industry groups, should be excluded from regulatory fees due to limited Commission regulation, among other things.  Commenters should also discuss whether smaller entities with limited funds are more likely to be unable to budget for regulatory fees on a timely basis and therefore incur late fees and use more Commission resources for fee collection.  In addition, c</w:t>
      </w:r>
      <w:r w:rsidR="00DB6DE0">
        <w:rPr>
          <w:szCs w:val="22"/>
        </w:rPr>
        <w:t xml:space="preserve">ommenters should address whether we should phase in a higher de minimis threshold over two or more years.  </w:t>
      </w:r>
    </w:p>
    <w:p w:rsidR="00CA4115" w:rsidRDefault="00725216" w:rsidP="003909AC">
      <w:pPr>
        <w:pStyle w:val="ParaNum"/>
        <w:ind w:left="-90"/>
      </w:pPr>
      <w:r>
        <w:t>Similarly, w</w:t>
      </w:r>
      <w:r w:rsidR="006D7E19">
        <w:t>e seek comment on</w:t>
      </w:r>
      <w:r>
        <w:t xml:space="preserve"> whether to include certain </w:t>
      </w:r>
      <w:r w:rsidR="00964365" w:rsidRPr="00964365">
        <w:t>fee categories (e.g., broadcast</w:t>
      </w:r>
      <w:r w:rsidR="00AC06C2">
        <w:t xml:space="preserve"> and multi-year licenses</w:t>
      </w:r>
      <w:r w:rsidR="00964365" w:rsidRPr="00964365">
        <w:t xml:space="preserve">) in a new de minimis threshold.  </w:t>
      </w:r>
      <w:r w:rsidR="00964365">
        <w:t>Commenters should discuss whether a</w:t>
      </w:r>
      <w:r w:rsidR="008933CB">
        <w:t xml:space="preserve">dding </w:t>
      </w:r>
      <w:r w:rsidR="00B44833">
        <w:t xml:space="preserve">a </w:t>
      </w:r>
      <w:r w:rsidR="00964365">
        <w:t xml:space="preserve">new tier for broadcast, </w:t>
      </w:r>
      <w:r w:rsidR="008933CB">
        <w:t>for</w:t>
      </w:r>
      <w:r w:rsidR="00964365">
        <w:t xml:space="preserve"> smaller stations, would be feasible.  </w:t>
      </w:r>
      <w:r>
        <w:t xml:space="preserve">Concerning </w:t>
      </w:r>
      <w:r w:rsidR="00964365">
        <w:t xml:space="preserve">multi-year licenses, </w:t>
      </w:r>
      <w:r w:rsidR="00FA1ECB">
        <w:t xml:space="preserve">we </w:t>
      </w:r>
      <w:r w:rsidR="00AC06C2">
        <w:t xml:space="preserve">propose </w:t>
      </w:r>
      <w:r w:rsidR="00FA1ECB">
        <w:t>excluding</w:t>
      </w:r>
      <w:r w:rsidR="00964365">
        <w:t xml:space="preserve"> two categories </w:t>
      </w:r>
      <w:r w:rsidR="001F472E">
        <w:t xml:space="preserve">whose regulatory fees for the term of the license </w:t>
      </w:r>
      <w:r w:rsidR="00964365">
        <w:t xml:space="preserve">would be under </w:t>
      </w:r>
      <w:r w:rsidR="00FA1ECB">
        <w:t>$100:  v</w:t>
      </w:r>
      <w:r w:rsidR="00964365">
        <w:t xml:space="preserve">anity call signs </w:t>
      </w:r>
      <w:r w:rsidR="001F472E">
        <w:t xml:space="preserve">($21.60 for a 10-year license) </w:t>
      </w:r>
      <w:r w:rsidR="00964365">
        <w:t xml:space="preserve">and </w:t>
      </w:r>
      <w:r w:rsidR="00782ABA" w:rsidRPr="00CA4115">
        <w:rPr>
          <w:szCs w:val="22"/>
        </w:rPr>
        <w:t>General Mobile Radio Service (</w:t>
      </w:r>
      <w:r w:rsidR="00964365">
        <w:t>GMRS</w:t>
      </w:r>
      <w:r w:rsidR="00782ABA">
        <w:t>)</w:t>
      </w:r>
      <w:r w:rsidR="001F472E">
        <w:t xml:space="preserve"> ($25 for a </w:t>
      </w:r>
      <w:r w:rsidR="00CA4ED6">
        <w:t>five</w:t>
      </w:r>
      <w:r w:rsidR="001F472E">
        <w:t>-year license)</w:t>
      </w:r>
      <w:r w:rsidR="00964365">
        <w:t>.</w:t>
      </w:r>
      <w:r w:rsidR="00B62184">
        <w:rPr>
          <w:rStyle w:val="FootnoteReference"/>
          <w:szCs w:val="22"/>
        </w:rPr>
        <w:footnoteReference w:id="59"/>
      </w:r>
      <w:r w:rsidR="00964365">
        <w:t xml:space="preserve">  </w:t>
      </w:r>
      <w:r w:rsidR="00DB6DE0">
        <w:t>We also seek comment on eliminating</w:t>
      </w:r>
      <w:r w:rsidR="006D7E19">
        <w:t xml:space="preserve"> certain</w:t>
      </w:r>
      <w:r w:rsidR="00DB6DE0">
        <w:t xml:space="preserve"> other </w:t>
      </w:r>
      <w:r w:rsidR="0024394D">
        <w:t xml:space="preserve">regulatory fee </w:t>
      </w:r>
      <w:r w:rsidR="00DB6DE0">
        <w:t>categories, such as Satellite TV, Satellite TV Const</w:t>
      </w:r>
      <w:r w:rsidR="001F472E">
        <w:t>ruction</w:t>
      </w:r>
      <w:r w:rsidR="00DB6DE0">
        <w:t xml:space="preserve"> Permit</w:t>
      </w:r>
      <w:r w:rsidR="001F472E">
        <w:t>s</w:t>
      </w:r>
      <w:r w:rsidR="00DB6DE0">
        <w:t xml:space="preserve">, Broadcast Auxiliaries, LPTV/Class A </w:t>
      </w:r>
      <w:r w:rsidR="001F472E">
        <w:t xml:space="preserve">Television and </w:t>
      </w:r>
      <w:r w:rsidR="00DB6DE0">
        <w:t>FM Tran</w:t>
      </w:r>
      <w:r w:rsidR="001F472E">
        <w:t>slators</w:t>
      </w:r>
      <w:r w:rsidR="00DB6DE0">
        <w:t>/Boost</w:t>
      </w:r>
      <w:r w:rsidR="001F472E">
        <w:t>ers,</w:t>
      </w:r>
      <w:r w:rsidR="00DB6DE0">
        <w:t xml:space="preserve"> and CMRS Messaging (Paging)</w:t>
      </w:r>
      <w:r w:rsidR="00A16815">
        <w:t>,</w:t>
      </w:r>
      <w:r w:rsidR="00DB6DE0">
        <w:t xml:space="preserve"> from regulatory fees</w:t>
      </w:r>
      <w:r w:rsidR="00A16815">
        <w:t xml:space="preserve"> b</w:t>
      </w:r>
      <w:r w:rsidR="00663964">
        <w:t>ecause the categories account for such a small amount</w:t>
      </w:r>
      <w:r w:rsidR="00CA4ED6">
        <w:t xml:space="preserve"> of regulatory fees</w:t>
      </w:r>
      <w:r w:rsidR="00A16815">
        <w:t>.  W</w:t>
      </w:r>
      <w:r w:rsidR="00663964">
        <w:t>e seek comment on the benefits of discontinuing such collections.</w:t>
      </w:r>
      <w:r w:rsidR="00CA4115">
        <w:t xml:space="preserve">  </w:t>
      </w:r>
      <w:r w:rsidR="00964365">
        <w:t>Commenters should discuss how other multi-year licenses should be treated</w:t>
      </w:r>
      <w:r w:rsidR="00B62184">
        <w:t xml:space="preserve"> with respect to a de minimis threshold</w:t>
      </w:r>
      <w:r w:rsidR="00964365">
        <w:t>.  We note that some licensees may hold many multi-year licenses</w:t>
      </w:r>
      <w:r w:rsidR="00B62184">
        <w:t>; c</w:t>
      </w:r>
      <w:r w:rsidR="00964365">
        <w:t xml:space="preserve">ommenters should address whether it would be burdensome for such licensees to have some multi-year licenses above the de minimis threshold and some below.  </w:t>
      </w:r>
    </w:p>
    <w:p w:rsidR="00964365" w:rsidRDefault="00513EDA" w:rsidP="003909AC">
      <w:pPr>
        <w:pStyle w:val="ParaNum"/>
        <w:ind w:left="-90"/>
      </w:pPr>
      <w:r>
        <w:t xml:space="preserve">We </w:t>
      </w:r>
      <w:r w:rsidR="00663964">
        <w:t xml:space="preserve">tentatively conclude </w:t>
      </w:r>
      <w:r>
        <w:t xml:space="preserve">that </w:t>
      </w:r>
      <w:r w:rsidR="0024394D">
        <w:t>eliminating</w:t>
      </w:r>
      <w:r>
        <w:t xml:space="preserve"> categories from our regulatory fee schedule </w:t>
      </w:r>
      <w:r w:rsidR="00663964">
        <w:t xml:space="preserve">would be </w:t>
      </w:r>
      <w:r w:rsidRPr="00CA4115">
        <w:rPr>
          <w:szCs w:val="22"/>
        </w:rPr>
        <w:t xml:space="preserve">a permitted amendment </w:t>
      </w:r>
      <w:r w:rsidR="00663964" w:rsidRPr="00CA4115">
        <w:rPr>
          <w:szCs w:val="22"/>
        </w:rPr>
        <w:t xml:space="preserve">as defined in </w:t>
      </w:r>
      <w:r w:rsidRPr="00CA4115">
        <w:rPr>
          <w:szCs w:val="22"/>
        </w:rPr>
        <w:t>section 9(b)(3) of the Act,</w:t>
      </w:r>
      <w:r w:rsidRPr="00A438CD">
        <w:rPr>
          <w:rStyle w:val="FootnoteReference"/>
          <w:szCs w:val="22"/>
        </w:rPr>
        <w:footnoteReference w:id="60"/>
      </w:r>
      <w:r w:rsidRPr="00CA4115">
        <w:rPr>
          <w:szCs w:val="22"/>
        </w:rPr>
        <w:t xml:space="preserve"> and pursuant to section 9(b)(4)(B) must be submitted to Congress at least 90 days before </w:t>
      </w:r>
      <w:r w:rsidR="005117AD" w:rsidRPr="00CA4115">
        <w:rPr>
          <w:szCs w:val="22"/>
        </w:rPr>
        <w:t>it would</w:t>
      </w:r>
      <w:r w:rsidRPr="00CA4115">
        <w:rPr>
          <w:szCs w:val="22"/>
        </w:rPr>
        <w:t xml:space="preserve"> become effective.</w:t>
      </w:r>
      <w:r w:rsidRPr="00A438CD">
        <w:rPr>
          <w:rStyle w:val="FootnoteReference"/>
          <w:szCs w:val="22"/>
        </w:rPr>
        <w:footnoteReference w:id="61"/>
      </w:r>
      <w:r w:rsidRPr="00A438CD">
        <w:t xml:space="preserve">  </w:t>
      </w:r>
    </w:p>
    <w:p w:rsidR="003700B3" w:rsidRPr="00300BDD" w:rsidRDefault="003700B3" w:rsidP="004355FD">
      <w:pPr>
        <w:pStyle w:val="Heading2"/>
      </w:pPr>
      <w:bookmarkStart w:id="26" w:name="_Toc382567921"/>
      <w:bookmarkStart w:id="27" w:name="_Toc384227054"/>
      <w:r w:rsidRPr="00300BDD">
        <w:t>A Cap or Limitation on Increases of Regulatory Fees</w:t>
      </w:r>
      <w:r w:rsidR="00025B47">
        <w:t xml:space="preserve"> for FY 2014</w:t>
      </w:r>
      <w:bookmarkEnd w:id="26"/>
      <w:bookmarkEnd w:id="27"/>
    </w:p>
    <w:p w:rsidR="003700B3" w:rsidRPr="007F60E8" w:rsidRDefault="00D05A13" w:rsidP="003909AC">
      <w:pPr>
        <w:pStyle w:val="ParaNum"/>
        <w:ind w:left="-90"/>
      </w:pPr>
      <w:r>
        <w:rPr>
          <w:spacing w:val="-2"/>
          <w:szCs w:val="22"/>
        </w:rPr>
        <w:t>Fo</w:t>
      </w:r>
      <w:r w:rsidR="00863761">
        <w:rPr>
          <w:spacing w:val="-2"/>
          <w:szCs w:val="22"/>
        </w:rPr>
        <w:t>r FY 20</w:t>
      </w:r>
      <w:r w:rsidR="00A60698">
        <w:rPr>
          <w:spacing w:val="-2"/>
          <w:szCs w:val="22"/>
        </w:rPr>
        <w:t>14, unlike last year, it is un</w:t>
      </w:r>
      <w:r w:rsidR="00863761">
        <w:rPr>
          <w:spacing w:val="-2"/>
          <w:szCs w:val="22"/>
        </w:rPr>
        <w:t>likely</w:t>
      </w:r>
      <w:r>
        <w:rPr>
          <w:spacing w:val="-2"/>
          <w:szCs w:val="22"/>
        </w:rPr>
        <w:t xml:space="preserve"> </w:t>
      </w:r>
      <w:r w:rsidR="00863761">
        <w:rPr>
          <w:spacing w:val="-2"/>
          <w:szCs w:val="22"/>
        </w:rPr>
        <w:t>regulatees will experience</w:t>
      </w:r>
      <w:r>
        <w:rPr>
          <w:spacing w:val="-2"/>
          <w:szCs w:val="22"/>
        </w:rPr>
        <w:t xml:space="preserve"> substantial increase</w:t>
      </w:r>
      <w:r w:rsidR="0010343B">
        <w:rPr>
          <w:spacing w:val="-2"/>
          <w:szCs w:val="22"/>
        </w:rPr>
        <w:t>s in their regulatory fees</w:t>
      </w:r>
      <w:r>
        <w:rPr>
          <w:spacing w:val="-2"/>
          <w:szCs w:val="22"/>
        </w:rPr>
        <w:t>.</w:t>
      </w:r>
      <w:r w:rsidR="00CA4ED6">
        <w:rPr>
          <w:rStyle w:val="FootnoteReference"/>
          <w:spacing w:val="-2"/>
          <w:szCs w:val="22"/>
        </w:rPr>
        <w:footnoteReference w:id="62"/>
      </w:r>
      <w:r w:rsidR="007C57E3">
        <w:rPr>
          <w:spacing w:val="-2"/>
          <w:szCs w:val="22"/>
        </w:rPr>
        <w:t xml:space="preserve">  </w:t>
      </w:r>
      <w:r>
        <w:rPr>
          <w:spacing w:val="-2"/>
          <w:szCs w:val="22"/>
        </w:rPr>
        <w:t xml:space="preserve">Nevertheless, out of an abundance of caution, we seek comment on the appropriateness of a cap </w:t>
      </w:r>
      <w:r w:rsidR="00863761">
        <w:rPr>
          <w:spacing w:val="-2"/>
          <w:szCs w:val="22"/>
        </w:rPr>
        <w:t>to prevent,</w:t>
      </w:r>
      <w:r>
        <w:rPr>
          <w:spacing w:val="-2"/>
          <w:szCs w:val="22"/>
        </w:rPr>
        <w:t xml:space="preserve"> </w:t>
      </w:r>
      <w:r w:rsidR="003700B3" w:rsidRPr="00300BDD">
        <w:rPr>
          <w:spacing w:val="-2"/>
          <w:szCs w:val="22"/>
        </w:rPr>
        <w:t>“unexpected, substantial increases which could severely impact the economic wellbeing of these licensees</w:t>
      </w:r>
      <w:r w:rsidR="00A60698">
        <w:rPr>
          <w:spacing w:val="-2"/>
          <w:szCs w:val="22"/>
        </w:rPr>
        <w:t>.</w:t>
      </w:r>
      <w:r w:rsidR="003700B3" w:rsidRPr="00300BDD">
        <w:rPr>
          <w:spacing w:val="-2"/>
          <w:szCs w:val="22"/>
        </w:rPr>
        <w:t>”</w:t>
      </w:r>
      <w:r w:rsidR="003700B3" w:rsidRPr="00300BDD">
        <w:rPr>
          <w:rStyle w:val="FootnoteReference"/>
          <w:spacing w:val="-2"/>
          <w:szCs w:val="22"/>
        </w:rPr>
        <w:footnoteReference w:id="63"/>
      </w:r>
      <w:r w:rsidR="003700B3" w:rsidRPr="00300BDD">
        <w:rPr>
          <w:spacing w:val="-2"/>
          <w:szCs w:val="22"/>
        </w:rPr>
        <w:t xml:space="preserve"> </w:t>
      </w:r>
      <w:r w:rsidR="00863761">
        <w:rPr>
          <w:spacing w:val="-2"/>
          <w:szCs w:val="22"/>
        </w:rPr>
        <w:t xml:space="preserve"> </w:t>
      </w:r>
      <w:r w:rsidR="00A60698">
        <w:rPr>
          <w:spacing w:val="-2"/>
          <w:szCs w:val="22"/>
        </w:rPr>
        <w:t>W</w:t>
      </w:r>
      <w:r w:rsidR="00863761">
        <w:rPr>
          <w:spacing w:val="-2"/>
          <w:szCs w:val="22"/>
        </w:rPr>
        <w:t xml:space="preserve">e seek comment on whether to continue to apply </w:t>
      </w:r>
      <w:r w:rsidR="003700B3" w:rsidRPr="00300BDD">
        <w:rPr>
          <w:spacing w:val="-2"/>
          <w:szCs w:val="22"/>
        </w:rPr>
        <w:t xml:space="preserve">a cap of </w:t>
      </w:r>
      <w:r w:rsidR="008C4855">
        <w:rPr>
          <w:spacing w:val="-2"/>
          <w:szCs w:val="22"/>
        </w:rPr>
        <w:t xml:space="preserve">7.5 </w:t>
      </w:r>
      <w:r w:rsidR="003700B3" w:rsidRPr="0051124E">
        <w:rPr>
          <w:spacing w:val="-2"/>
          <w:szCs w:val="22"/>
        </w:rPr>
        <w:t>percent</w:t>
      </w:r>
      <w:r w:rsidR="007C57E3">
        <w:rPr>
          <w:spacing w:val="-2"/>
          <w:szCs w:val="22"/>
        </w:rPr>
        <w:t>,</w:t>
      </w:r>
      <w:r w:rsidR="006D7E19">
        <w:rPr>
          <w:spacing w:val="-2"/>
          <w:szCs w:val="22"/>
        </w:rPr>
        <w:t xml:space="preserve"> or </w:t>
      </w:r>
      <w:r w:rsidR="007C57E3">
        <w:rPr>
          <w:spacing w:val="-2"/>
          <w:szCs w:val="22"/>
        </w:rPr>
        <w:t xml:space="preserve">a </w:t>
      </w:r>
      <w:r w:rsidR="006D7E19">
        <w:rPr>
          <w:spacing w:val="-2"/>
          <w:szCs w:val="22"/>
        </w:rPr>
        <w:t>higher</w:t>
      </w:r>
      <w:r w:rsidR="007C57E3">
        <w:rPr>
          <w:spacing w:val="-2"/>
          <w:szCs w:val="22"/>
        </w:rPr>
        <w:t xml:space="preserve"> cap</w:t>
      </w:r>
      <w:r w:rsidR="006D7E19">
        <w:rPr>
          <w:spacing w:val="-2"/>
          <w:szCs w:val="22"/>
        </w:rPr>
        <w:t xml:space="preserve">, such as </w:t>
      </w:r>
      <w:r w:rsidR="008C4855">
        <w:rPr>
          <w:spacing w:val="-2"/>
          <w:szCs w:val="22"/>
        </w:rPr>
        <w:t>10</w:t>
      </w:r>
      <w:r w:rsidR="006D7E19">
        <w:rPr>
          <w:spacing w:val="-2"/>
          <w:szCs w:val="22"/>
        </w:rPr>
        <w:t xml:space="preserve"> percent</w:t>
      </w:r>
      <w:r w:rsidR="00FD3C73">
        <w:rPr>
          <w:spacing w:val="-2"/>
          <w:szCs w:val="22"/>
        </w:rPr>
        <w:t xml:space="preserve">, </w:t>
      </w:r>
      <w:r w:rsidR="003700B3" w:rsidRPr="0051124E">
        <w:rPr>
          <w:spacing w:val="-2"/>
          <w:szCs w:val="22"/>
        </w:rPr>
        <w:t xml:space="preserve">on the amount </w:t>
      </w:r>
      <w:r w:rsidR="007C57E3">
        <w:rPr>
          <w:spacing w:val="-2"/>
          <w:szCs w:val="22"/>
        </w:rPr>
        <w:t>by which</w:t>
      </w:r>
      <w:r w:rsidR="003700B3" w:rsidRPr="0051124E">
        <w:rPr>
          <w:spacing w:val="-2"/>
          <w:szCs w:val="22"/>
        </w:rPr>
        <w:t xml:space="preserve"> regulatory fee </w:t>
      </w:r>
      <w:r w:rsidR="003700B3">
        <w:rPr>
          <w:spacing w:val="-2"/>
          <w:szCs w:val="22"/>
        </w:rPr>
        <w:t>rate</w:t>
      </w:r>
      <w:r w:rsidR="007C57E3">
        <w:rPr>
          <w:spacing w:val="-2"/>
          <w:szCs w:val="22"/>
        </w:rPr>
        <w:t>s</w:t>
      </w:r>
      <w:r w:rsidR="003700B3">
        <w:rPr>
          <w:spacing w:val="-2"/>
          <w:szCs w:val="22"/>
        </w:rPr>
        <w:t xml:space="preserve"> increase </w:t>
      </w:r>
      <w:r w:rsidR="007C57E3">
        <w:rPr>
          <w:spacing w:val="-2"/>
          <w:szCs w:val="22"/>
        </w:rPr>
        <w:t xml:space="preserve">in FY 2014 over the </w:t>
      </w:r>
      <w:r w:rsidR="003700B3">
        <w:rPr>
          <w:spacing w:val="-2"/>
          <w:szCs w:val="22"/>
        </w:rPr>
        <w:t>FY 2013 fee rates, before rounding</w:t>
      </w:r>
      <w:r w:rsidR="008C4855">
        <w:rPr>
          <w:spacing w:val="-2"/>
          <w:szCs w:val="22"/>
        </w:rPr>
        <w:t xml:space="preserve"> FY 2014 rates</w:t>
      </w:r>
      <w:r w:rsidR="003700B3">
        <w:rPr>
          <w:spacing w:val="-2"/>
          <w:szCs w:val="22"/>
        </w:rPr>
        <w:t xml:space="preserve">, </w:t>
      </w:r>
      <w:r w:rsidR="003700B3" w:rsidRPr="0051124E">
        <w:rPr>
          <w:spacing w:val="-2"/>
          <w:szCs w:val="22"/>
        </w:rPr>
        <w:t>for</w:t>
      </w:r>
      <w:r w:rsidR="003700B3" w:rsidRPr="003F2A4D">
        <w:rPr>
          <w:spacing w:val="-2"/>
          <w:szCs w:val="22"/>
        </w:rPr>
        <w:t xml:space="preserve"> any category</w:t>
      </w:r>
      <w:r w:rsidR="003700B3">
        <w:rPr>
          <w:spacing w:val="-2"/>
          <w:szCs w:val="22"/>
        </w:rPr>
        <w:t xml:space="preserve"> resulting solely from the reallocations </w:t>
      </w:r>
      <w:r w:rsidR="003F5238">
        <w:rPr>
          <w:spacing w:val="-2"/>
          <w:szCs w:val="22"/>
        </w:rPr>
        <w:t xml:space="preserve">of FTEs or our reform measures adopted in the </w:t>
      </w:r>
      <w:r w:rsidR="003F5238" w:rsidRPr="00527901">
        <w:rPr>
          <w:i/>
          <w:spacing w:val="-2"/>
          <w:szCs w:val="22"/>
        </w:rPr>
        <w:t>FY 2013 Report and Order</w:t>
      </w:r>
      <w:r w:rsidR="003F5238">
        <w:rPr>
          <w:spacing w:val="-2"/>
          <w:szCs w:val="22"/>
        </w:rPr>
        <w:t xml:space="preserve"> or in this proceeding</w:t>
      </w:r>
      <w:r w:rsidR="003700B3" w:rsidRPr="003F2A4D">
        <w:rPr>
          <w:spacing w:val="-2"/>
          <w:szCs w:val="22"/>
        </w:rPr>
        <w:t>.</w:t>
      </w:r>
      <w:r w:rsidR="003700B3">
        <w:rPr>
          <w:rStyle w:val="FootnoteReference"/>
          <w:spacing w:val="-2"/>
          <w:szCs w:val="22"/>
        </w:rPr>
        <w:footnoteReference w:id="64"/>
      </w:r>
      <w:r w:rsidR="003700B3" w:rsidRPr="003F2A4D">
        <w:rPr>
          <w:spacing w:val="-2"/>
          <w:szCs w:val="22"/>
        </w:rPr>
        <w:t xml:space="preserve">  </w:t>
      </w:r>
      <w:r w:rsidR="003700B3" w:rsidRPr="00B272B7">
        <w:rPr>
          <w:spacing w:val="-2"/>
          <w:szCs w:val="22"/>
        </w:rPr>
        <w:t xml:space="preserve">Therefore, if </w:t>
      </w:r>
      <w:r w:rsidR="007C57E3">
        <w:rPr>
          <w:spacing w:val="-2"/>
          <w:szCs w:val="22"/>
        </w:rPr>
        <w:t xml:space="preserve">adopting </w:t>
      </w:r>
      <w:r w:rsidR="003700B3" w:rsidRPr="00B272B7">
        <w:rPr>
          <w:spacing w:val="-2"/>
          <w:szCs w:val="22"/>
        </w:rPr>
        <w:t xml:space="preserve">our proposals </w:t>
      </w:r>
      <w:r w:rsidR="007C57E3">
        <w:rPr>
          <w:spacing w:val="-2"/>
          <w:szCs w:val="22"/>
        </w:rPr>
        <w:t xml:space="preserve">would </w:t>
      </w:r>
      <w:r w:rsidR="003700B3" w:rsidRPr="00E2347A">
        <w:rPr>
          <w:spacing w:val="-2"/>
          <w:szCs w:val="22"/>
        </w:rPr>
        <w:t xml:space="preserve">create a substantial increase in </w:t>
      </w:r>
      <w:r w:rsidR="003700B3">
        <w:rPr>
          <w:spacing w:val="-2"/>
          <w:szCs w:val="22"/>
        </w:rPr>
        <w:t xml:space="preserve">the fee rate </w:t>
      </w:r>
      <w:r w:rsidR="003700B3" w:rsidRPr="002E4D67">
        <w:rPr>
          <w:spacing w:val="-2"/>
          <w:szCs w:val="22"/>
        </w:rPr>
        <w:t xml:space="preserve">for any category of regulatees </w:t>
      </w:r>
      <w:r w:rsidR="003700B3" w:rsidRPr="00E2347A">
        <w:rPr>
          <w:spacing w:val="-2"/>
          <w:szCs w:val="22"/>
        </w:rPr>
        <w:t xml:space="preserve">we </w:t>
      </w:r>
      <w:r w:rsidR="003700B3" w:rsidRPr="002E4D67">
        <w:rPr>
          <w:spacing w:val="-2"/>
          <w:szCs w:val="22"/>
        </w:rPr>
        <w:t>would cap such</w:t>
      </w:r>
      <w:r w:rsidR="003700B3">
        <w:rPr>
          <w:spacing w:val="-2"/>
        </w:rPr>
        <w:t xml:space="preserve"> </w:t>
      </w:r>
      <w:r w:rsidR="003700B3">
        <w:rPr>
          <w:spacing w:val="-2"/>
          <w:szCs w:val="22"/>
        </w:rPr>
        <w:t>an</w:t>
      </w:r>
      <w:r w:rsidR="003700B3" w:rsidRPr="002E4D67">
        <w:rPr>
          <w:spacing w:val="-2"/>
          <w:szCs w:val="22"/>
        </w:rPr>
        <w:t xml:space="preserve"> increase.</w:t>
      </w:r>
      <w:r w:rsidR="003700B3">
        <w:rPr>
          <w:spacing w:val="-2"/>
          <w:szCs w:val="22"/>
        </w:rPr>
        <w:t xml:space="preserve">  We seek comment on the reasonableness of </w:t>
      </w:r>
      <w:r w:rsidR="008C4855">
        <w:rPr>
          <w:spacing w:val="-2"/>
          <w:szCs w:val="22"/>
        </w:rPr>
        <w:t xml:space="preserve">a 7.5 </w:t>
      </w:r>
      <w:r w:rsidR="003700B3">
        <w:rPr>
          <w:spacing w:val="-2"/>
          <w:szCs w:val="22"/>
        </w:rPr>
        <w:t xml:space="preserve">percent </w:t>
      </w:r>
      <w:r w:rsidR="006D7E19">
        <w:rPr>
          <w:spacing w:val="-2"/>
          <w:szCs w:val="22"/>
        </w:rPr>
        <w:t>or</w:t>
      </w:r>
      <w:r w:rsidR="008C4855">
        <w:rPr>
          <w:spacing w:val="-2"/>
          <w:szCs w:val="22"/>
        </w:rPr>
        <w:t xml:space="preserve"> 10</w:t>
      </w:r>
      <w:r w:rsidR="006D7E19">
        <w:rPr>
          <w:spacing w:val="-2"/>
          <w:szCs w:val="22"/>
        </w:rPr>
        <w:t xml:space="preserve"> percent </w:t>
      </w:r>
      <w:r w:rsidR="003700B3">
        <w:rPr>
          <w:spacing w:val="-2"/>
          <w:szCs w:val="22"/>
        </w:rPr>
        <w:t>cap for FY 2014.  We also invite proposals for higher or lower percentages.  Commenters suggesting a different cap should explain how such proposals would prevent a severe impact on the economic wellbeing of licensees yet remain consistent with the goal to more accurately align FTEs with their areas of work.  A cap limiting increases, if adopted, would be effective for FY 2014.</w:t>
      </w:r>
    </w:p>
    <w:p w:rsidR="004E0055" w:rsidRPr="00964365" w:rsidRDefault="00025B47" w:rsidP="004355FD">
      <w:pPr>
        <w:pStyle w:val="Heading2"/>
      </w:pPr>
      <w:bookmarkStart w:id="28" w:name="_Toc382567922"/>
      <w:bookmarkStart w:id="29" w:name="_Toc384227055"/>
      <w:r>
        <w:t xml:space="preserve">Additional </w:t>
      </w:r>
      <w:r w:rsidR="004E0055">
        <w:t>Regulatory Fee Reform</w:t>
      </w:r>
      <w:bookmarkEnd w:id="28"/>
      <w:bookmarkEnd w:id="29"/>
      <w:r w:rsidR="004E0055" w:rsidRPr="00964365">
        <w:t xml:space="preserve">  </w:t>
      </w:r>
      <w:r w:rsidR="004E0055" w:rsidRPr="00C1146A">
        <w:t xml:space="preserve"> </w:t>
      </w:r>
    </w:p>
    <w:p w:rsidR="009648BA" w:rsidRPr="009648BA" w:rsidRDefault="004E0055" w:rsidP="003909AC">
      <w:pPr>
        <w:pStyle w:val="ParaNum"/>
        <w:ind w:left="-90"/>
        <w:rPr>
          <w:szCs w:val="22"/>
        </w:rPr>
      </w:pPr>
      <w:r w:rsidRPr="00A438CD">
        <w:t xml:space="preserve">We also seek comment on ways </w:t>
      </w:r>
      <w:r>
        <w:t xml:space="preserve">to further improve </w:t>
      </w:r>
      <w:r w:rsidRPr="00A438CD">
        <w:t xml:space="preserve">our regulatory fee process </w:t>
      </w:r>
      <w:r>
        <w:t>to make it</w:t>
      </w:r>
      <w:r w:rsidRPr="00A438CD">
        <w:t xml:space="preserve"> less burdensome for all entities</w:t>
      </w:r>
      <w:r>
        <w:t>, specifically smaller entities.  We recognize that the Commission is currently seeking comment on Commission-wide “Process Reform.”</w:t>
      </w:r>
      <w:r>
        <w:rPr>
          <w:rStyle w:val="FootnoteReference"/>
        </w:rPr>
        <w:footnoteReference w:id="65"/>
      </w:r>
      <w:r>
        <w:t xml:space="preserve">  Any comments relating specifically to the regulatory fee processes could also be filed in this docket </w:t>
      </w:r>
      <w:r w:rsidR="00025B47">
        <w:t xml:space="preserve">for implementation for FY 2014 </w:t>
      </w:r>
      <w:r>
        <w:t xml:space="preserve">and we will coordinate such suggestions with the Process Reform proceeding.  </w:t>
      </w:r>
      <w:r w:rsidRPr="00A438CD">
        <w:t xml:space="preserve">Commenters should suggest ways we can </w:t>
      </w:r>
      <w:r>
        <w:t xml:space="preserve">further </w:t>
      </w:r>
      <w:r w:rsidRPr="00A438CD">
        <w:t xml:space="preserve">streamline our processes to make it easier for </w:t>
      </w:r>
      <w:r>
        <w:t>regulatory fee payors</w:t>
      </w:r>
      <w:r w:rsidRPr="00A438CD">
        <w:t xml:space="preserve">.  Commenters should also address the timing of our annual regulatory fee process.  </w:t>
      </w:r>
      <w:bookmarkStart w:id="30" w:name="_Toc351572423"/>
      <w:bookmarkEnd w:id="30"/>
      <w:r>
        <w:t>C</w:t>
      </w:r>
      <w:r w:rsidRPr="00A438CD">
        <w:t>ommenters should suggest ways in which we could improve our website to make it easier for the public to obtain information</w:t>
      </w:r>
      <w:r>
        <w:t xml:space="preserve"> about regulatory fees</w:t>
      </w:r>
      <w:r w:rsidRPr="00A438CD">
        <w:t>.  We propose making regulatory fee waiver decisions public and accessible</w:t>
      </w:r>
      <w:r w:rsidR="00CB1C88">
        <w:t xml:space="preserve"> on our website</w:t>
      </w:r>
      <w:r w:rsidRPr="00A438CD">
        <w:t xml:space="preserve">.  We seek comment on the feasibility of an automated online waiver process.  We seek comment on other </w:t>
      </w:r>
      <w:r w:rsidR="00C702F7">
        <w:t xml:space="preserve">ways to make </w:t>
      </w:r>
      <w:r w:rsidRPr="00A438CD">
        <w:t xml:space="preserve">information </w:t>
      </w:r>
      <w:r w:rsidR="00C702F7">
        <w:t xml:space="preserve">more accessible </w:t>
      </w:r>
      <w:r w:rsidRPr="00A438CD">
        <w:t>on the Commission’s website.</w:t>
      </w:r>
      <w:r w:rsidRPr="006A00BA">
        <w:t xml:space="preserve">  </w:t>
      </w:r>
    </w:p>
    <w:p w:rsidR="00064BD5" w:rsidRPr="00647BC3" w:rsidRDefault="00064BD5" w:rsidP="00064BD5">
      <w:pPr>
        <w:pStyle w:val="Heading2"/>
        <w:rPr>
          <w:szCs w:val="22"/>
        </w:rPr>
      </w:pPr>
      <w:bookmarkStart w:id="31" w:name="_Toc382567923"/>
      <w:bookmarkStart w:id="32" w:name="_Toc384227056"/>
      <w:r w:rsidRPr="00647BC3">
        <w:rPr>
          <w:szCs w:val="22"/>
        </w:rPr>
        <w:t>Combining Existing Regulatory Fee Categories</w:t>
      </w:r>
      <w:bookmarkEnd w:id="31"/>
      <w:bookmarkEnd w:id="32"/>
    </w:p>
    <w:p w:rsidR="00064BD5" w:rsidRPr="00064BD5" w:rsidRDefault="00064BD5" w:rsidP="00064BD5">
      <w:pPr>
        <w:pStyle w:val="ParaNum"/>
        <w:ind w:left="-90"/>
        <w:rPr>
          <w:szCs w:val="22"/>
        </w:rPr>
      </w:pPr>
      <w:r w:rsidRPr="00064BD5">
        <w:rPr>
          <w:szCs w:val="22"/>
        </w:rPr>
        <w:t xml:space="preserve">In the </w:t>
      </w:r>
      <w:r w:rsidRPr="00064BD5">
        <w:rPr>
          <w:i/>
          <w:szCs w:val="22"/>
        </w:rPr>
        <w:t>FY 2013 NPRM</w:t>
      </w:r>
      <w:r w:rsidRPr="00064BD5">
        <w:rPr>
          <w:szCs w:val="22"/>
        </w:rPr>
        <w:t>, the Commission sought comment on combining wireline and wireless voice services into one category and assessing regulatory fees based on voice revenues for this new category.</w:t>
      </w:r>
      <w:r w:rsidRPr="00064BD5">
        <w:rPr>
          <w:rStyle w:val="FootnoteReference"/>
          <w:szCs w:val="22"/>
        </w:rPr>
        <w:footnoteReference w:id="66"/>
      </w:r>
      <w:r w:rsidRPr="00064BD5">
        <w:rPr>
          <w:szCs w:val="22"/>
        </w:rPr>
        <w:t xml:space="preserve">  The Commission explained that because wireless services are comparable to wireline services, both services encompass similar regulatory policies and programs, such as universal service and number portability.</w:t>
      </w:r>
      <w:r w:rsidRPr="00064BD5">
        <w:rPr>
          <w:rStyle w:val="FootnoteReference"/>
          <w:szCs w:val="22"/>
        </w:rPr>
        <w:footnoteReference w:id="67"/>
      </w:r>
      <w:r w:rsidRPr="00064BD5">
        <w:rPr>
          <w:szCs w:val="22"/>
        </w:rPr>
        <w:t xml:space="preserve">  The Independent Telephone and Telecommunications Alliance (ITTA) contends that wireline companies bear a disproportionately high burden in regulatory fees because these companies no longer require the same expenditure of Commission resources as when regulatory fees were first adopted.</w:t>
      </w:r>
      <w:r w:rsidRPr="00064BD5">
        <w:rPr>
          <w:rStyle w:val="FootnoteReference"/>
          <w:szCs w:val="22"/>
        </w:rPr>
        <w:footnoteReference w:id="68"/>
      </w:r>
      <w:r w:rsidRPr="00064BD5">
        <w:rPr>
          <w:szCs w:val="22"/>
        </w:rPr>
        <w:t xml:space="preserve">  ITTA further observes that issues addressed by FTEs in the Wireline Competition Bureau also affect the providers of other voice services, such as wireless and VoIP; for example, </w:t>
      </w:r>
      <w:r w:rsidR="00253DF7" w:rsidRPr="00FB6B30">
        <w:t>t</w:t>
      </w:r>
      <w:r w:rsidRPr="00064BD5">
        <w:rPr>
          <w:rStyle w:val="Strong"/>
          <w:b w:val="0"/>
          <w:szCs w:val="22"/>
        </w:rPr>
        <w:t>he Wireline Competition Bureau oversees contributions to the universal service fund by wireless providers and programs that benefit and provide disbursements to wireless providers, such as Lifeline, high-cost, and E-rate</w:t>
      </w:r>
      <w:r w:rsidRPr="00155FD7">
        <w:rPr>
          <w:rStyle w:val="Strong"/>
        </w:rPr>
        <w:t>.</w:t>
      </w:r>
      <w:r w:rsidR="00253DF7" w:rsidRPr="007F1F48">
        <w:rPr>
          <w:rStyle w:val="FootnoteReference"/>
        </w:rPr>
        <w:footnoteReference w:id="69"/>
      </w:r>
      <w:r w:rsidRPr="00064BD5">
        <w:rPr>
          <w:rStyle w:val="Strong"/>
          <w:color w:val="000000"/>
          <w:szCs w:val="22"/>
        </w:rPr>
        <w:t> </w:t>
      </w:r>
    </w:p>
    <w:p w:rsidR="00064BD5" w:rsidRPr="00647BC3" w:rsidRDefault="00064BD5" w:rsidP="00064BD5">
      <w:pPr>
        <w:pStyle w:val="ParaNum"/>
        <w:ind w:left="-90"/>
        <w:rPr>
          <w:szCs w:val="22"/>
        </w:rPr>
      </w:pPr>
      <w:r w:rsidRPr="00647BC3">
        <w:rPr>
          <w:szCs w:val="22"/>
        </w:rPr>
        <w:t xml:space="preserve">We seek comment on combining wireless </w:t>
      </w:r>
      <w:r>
        <w:rPr>
          <w:szCs w:val="22"/>
        </w:rPr>
        <w:t xml:space="preserve">cellular </w:t>
      </w:r>
      <w:r w:rsidRPr="00647BC3">
        <w:rPr>
          <w:szCs w:val="22"/>
        </w:rPr>
        <w:t>services with the ITSP category to create one regulatory fee category whose regulatory fees are calculated based on the combined number of FTEs in the Commission’s Wireline Competition Bureau and Wireless Telecommunications Bureau.  We also seek comment on whether we should combine any portion of other service categories with ITSP.  Any combination of categories proposed by commenters should address the need to reconcile different assessment methodologies for ITSP, which pay fees based on revenues and wireless, which pay fees based on handsets.  If ITSP is combined with another category, a uniform method would need to be applied to calculate the fees (e.g., revenues, subscribers, handsets, telephone numbers).  Commenters should propose and discuss uniform methods for calculating regulatory fees in a combined regulatory fee category.  Although revenues appear to be the most appealing methodology because this information is available in FCC Form 499 filings and is already used in other FCC programs to determine obligations, such as universal service contributions, commenters advocating using revenues for assessing regulatory fees in a combination of categories should take into account whether all revenues should be assessed, or whether only the proportion of revenues allocated to voice be used.</w:t>
      </w:r>
      <w:r w:rsidRPr="00647BC3">
        <w:rPr>
          <w:rStyle w:val="FootnoteReference"/>
          <w:szCs w:val="22"/>
        </w:rPr>
        <w:footnoteReference w:id="70"/>
      </w:r>
      <w:r w:rsidRPr="00647BC3">
        <w:rPr>
          <w:szCs w:val="22"/>
        </w:rPr>
        <w:t xml:space="preserve">  </w:t>
      </w:r>
    </w:p>
    <w:p w:rsidR="00064BD5" w:rsidRPr="00647BC3" w:rsidRDefault="00064BD5" w:rsidP="00184741">
      <w:pPr>
        <w:pStyle w:val="ParaNum"/>
        <w:widowControl/>
        <w:ind w:left="-86"/>
        <w:rPr>
          <w:szCs w:val="22"/>
        </w:rPr>
      </w:pPr>
      <w:r w:rsidRPr="00647BC3">
        <w:rPr>
          <w:szCs w:val="22"/>
        </w:rPr>
        <w:t>Depending on the revenues that are included in the base, combining wireless</w:t>
      </w:r>
      <w:r w:rsidR="00B43EDC">
        <w:rPr>
          <w:szCs w:val="22"/>
        </w:rPr>
        <w:t xml:space="preserve"> cellular </w:t>
      </w:r>
      <w:r w:rsidRPr="00647BC3">
        <w:rPr>
          <w:szCs w:val="22"/>
        </w:rPr>
        <w:t xml:space="preserve">and the historic ITSP fee categories together could result in a sizeable change in the </w:t>
      </w:r>
      <w:r>
        <w:rPr>
          <w:szCs w:val="22"/>
        </w:rPr>
        <w:t>wireline</w:t>
      </w:r>
      <w:r w:rsidRPr="00647BC3">
        <w:rPr>
          <w:szCs w:val="22"/>
        </w:rPr>
        <w:t xml:space="preserve"> regulatory fee rate.  We seek comment on transitioning to a combined category and capping any increase to 7.5 or 10 percent, annually.  If we combine the wireless </w:t>
      </w:r>
      <w:r w:rsidR="00B43EDC">
        <w:rPr>
          <w:szCs w:val="22"/>
        </w:rPr>
        <w:t xml:space="preserve">cellular </w:t>
      </w:r>
      <w:r w:rsidRPr="00647BC3">
        <w:rPr>
          <w:szCs w:val="22"/>
        </w:rPr>
        <w:t>and ITSP fee categories into a new category as proposed by ITTA, the effect of a cap on increases, and the reduction in fees for the wireline industry, could cause significant fee increases for the remaining regulatory fee categories.  Alternatively, we could start our transition by keeping wireless and ITSP separate categories based on revenue and</w:t>
      </w:r>
      <w:r>
        <w:rPr>
          <w:szCs w:val="22"/>
        </w:rPr>
        <w:t xml:space="preserve"> phasing in an </w:t>
      </w:r>
      <w:r w:rsidRPr="00647BC3">
        <w:rPr>
          <w:szCs w:val="22"/>
        </w:rPr>
        <w:t>increase</w:t>
      </w:r>
      <w:r w:rsidR="00B43EDC">
        <w:rPr>
          <w:szCs w:val="22"/>
        </w:rPr>
        <w:t xml:space="preserve"> in</w:t>
      </w:r>
      <w:r w:rsidRPr="00647BC3">
        <w:rPr>
          <w:szCs w:val="22"/>
        </w:rPr>
        <w:t xml:space="preserve"> wireless and decrease</w:t>
      </w:r>
      <w:r w:rsidR="00B43EDC">
        <w:rPr>
          <w:szCs w:val="22"/>
        </w:rPr>
        <w:t xml:space="preserve"> in</w:t>
      </w:r>
      <w:r w:rsidRPr="00647BC3">
        <w:rPr>
          <w:szCs w:val="22"/>
        </w:rPr>
        <w:t xml:space="preserve"> ITSP fee rates before combining the two categories.</w:t>
      </w:r>
      <w:r w:rsidRPr="00647BC3">
        <w:rPr>
          <w:rStyle w:val="FootnoteReference"/>
          <w:szCs w:val="22"/>
        </w:rPr>
        <w:footnoteReference w:id="71"/>
      </w:r>
      <w:r w:rsidRPr="00647BC3">
        <w:rPr>
          <w:szCs w:val="22"/>
        </w:rPr>
        <w:t xml:space="preserve">  We seek comment on ways to transition to a combined wireless and wireline category without causing hardship on the wireless industry and other fee categories.</w:t>
      </w:r>
    </w:p>
    <w:p w:rsidR="00664819" w:rsidRDefault="00064BD5" w:rsidP="00064BD5">
      <w:pPr>
        <w:pStyle w:val="ParaNum"/>
        <w:ind w:left="-90"/>
        <w:rPr>
          <w:szCs w:val="22"/>
        </w:rPr>
      </w:pPr>
      <w:r w:rsidRPr="00647BC3">
        <w:rPr>
          <w:szCs w:val="22"/>
        </w:rPr>
        <w:t>For example, if the cellular wireless and ITSP fee categories were combined into one fee category based on 499-A revenues, the fee rate and collections amount would be projected as follows.</w:t>
      </w:r>
    </w:p>
    <w:p w:rsidR="00064BD5" w:rsidRPr="00492A36" w:rsidRDefault="00064BD5" w:rsidP="00064BD5">
      <w:pPr>
        <w:pStyle w:val="ParaNum"/>
        <w:numPr>
          <w:ilvl w:val="0"/>
          <w:numId w:val="0"/>
        </w:numPr>
        <w:ind w:left="630"/>
        <w:jc w:val="center"/>
        <w:rPr>
          <w:b/>
          <w:szCs w:val="22"/>
        </w:rPr>
      </w:pPr>
      <w:r w:rsidRPr="00492A36">
        <w:rPr>
          <w:b/>
          <w:szCs w:val="22"/>
        </w:rPr>
        <w:t>Table 3:  Combined Wireless and ITSP Fee Rate and Projected Revenue (without cap)</w:t>
      </w:r>
    </w:p>
    <w:tbl>
      <w:tblPr>
        <w:tblStyle w:val="TableGrid"/>
        <w:tblW w:w="9468" w:type="dxa"/>
        <w:tblLook w:val="04A0" w:firstRow="1" w:lastRow="0" w:firstColumn="1" w:lastColumn="0" w:noHBand="0" w:noVBand="1"/>
      </w:tblPr>
      <w:tblGrid>
        <w:gridCol w:w="1818"/>
        <w:gridCol w:w="1890"/>
        <w:gridCol w:w="1530"/>
        <w:gridCol w:w="1620"/>
        <w:gridCol w:w="1080"/>
        <w:gridCol w:w="1530"/>
      </w:tblGrid>
      <w:tr w:rsidR="00064BD5" w:rsidRPr="00492A36" w:rsidTr="00D47CAD">
        <w:tc>
          <w:tcPr>
            <w:tcW w:w="1818" w:type="dxa"/>
          </w:tcPr>
          <w:p w:rsidR="00064BD5" w:rsidRPr="000519E2" w:rsidRDefault="00064BD5" w:rsidP="00D47CAD">
            <w:pPr>
              <w:pStyle w:val="ParaNum"/>
              <w:numPr>
                <w:ilvl w:val="0"/>
                <w:numId w:val="0"/>
              </w:numPr>
              <w:jc w:val="center"/>
              <w:rPr>
                <w:rFonts w:ascii="Times New Roman" w:hAnsi="Times New Roman" w:cs="Times New Roman"/>
              </w:rPr>
            </w:pPr>
            <w:r w:rsidRPr="000519E2">
              <w:rPr>
                <w:rFonts w:ascii="Times New Roman" w:hAnsi="Times New Roman" w:cs="Times New Roman"/>
                <w:b/>
              </w:rPr>
              <w:t xml:space="preserve"> </w:t>
            </w:r>
            <w:r w:rsidR="00253DF7" w:rsidRPr="000519E2">
              <w:rPr>
                <w:rFonts w:ascii="Times New Roman" w:hAnsi="Times New Roman" w:cs="Times New Roman"/>
              </w:rPr>
              <w:t>Revenue Source</w:t>
            </w:r>
          </w:p>
          <w:p w:rsidR="00064BD5" w:rsidRPr="000519E2" w:rsidRDefault="00253DF7" w:rsidP="00D47CAD">
            <w:pPr>
              <w:pStyle w:val="ParaNum"/>
              <w:numPr>
                <w:ilvl w:val="0"/>
                <w:numId w:val="0"/>
              </w:numPr>
              <w:jc w:val="center"/>
              <w:rPr>
                <w:rFonts w:ascii="Times New Roman" w:hAnsi="Times New Roman" w:cs="Times New Roman"/>
                <w:u w:val="single"/>
              </w:rPr>
            </w:pPr>
            <w:r w:rsidRPr="000519E2">
              <w:rPr>
                <w:rFonts w:ascii="Times New Roman" w:hAnsi="Times New Roman" w:cs="Times New Roman"/>
              </w:rPr>
              <w:t>(FCC Form 499-A 2013 Revenue)</w:t>
            </w:r>
          </w:p>
        </w:tc>
        <w:tc>
          <w:tcPr>
            <w:tcW w:w="189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499-A Projected</w:t>
            </w:r>
          </w:p>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Revenue</w:t>
            </w:r>
          </w:p>
        </w:tc>
        <w:tc>
          <w:tcPr>
            <w:tcW w:w="153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Combined Rev.</w:t>
            </w:r>
          </w:p>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2014 Fee Rate</w:t>
            </w:r>
          </w:p>
          <w:p w:rsidR="00064BD5" w:rsidRPr="000519E2" w:rsidRDefault="00064BD5" w:rsidP="00D47CAD">
            <w:pPr>
              <w:jc w:val="center"/>
              <w:rPr>
                <w:rFonts w:ascii="Times New Roman" w:hAnsi="Times New Roman" w:cs="Times New Roman"/>
              </w:rPr>
            </w:pPr>
          </w:p>
        </w:tc>
        <w:tc>
          <w:tcPr>
            <w:tcW w:w="162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Estim. Revenue</w:t>
            </w:r>
          </w:p>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Collected</w:t>
            </w:r>
          </w:p>
        </w:tc>
        <w:tc>
          <w:tcPr>
            <w:tcW w:w="108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 of Rev. Collected</w:t>
            </w:r>
          </w:p>
        </w:tc>
        <w:tc>
          <w:tcPr>
            <w:tcW w:w="153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Diff. Paid w/</w:t>
            </w:r>
          </w:p>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Combined Rate</w:t>
            </w:r>
          </w:p>
        </w:tc>
      </w:tr>
      <w:tr w:rsidR="00064BD5" w:rsidRPr="00492A36" w:rsidTr="00D47CAD">
        <w:tc>
          <w:tcPr>
            <w:tcW w:w="1818" w:type="dxa"/>
          </w:tcPr>
          <w:p w:rsidR="00064BD5" w:rsidRPr="000519E2" w:rsidRDefault="00253DF7" w:rsidP="00D47CAD">
            <w:pPr>
              <w:rPr>
                <w:rFonts w:ascii="Times New Roman" w:hAnsi="Times New Roman" w:cs="Times New Roman"/>
              </w:rPr>
            </w:pPr>
            <w:r w:rsidRPr="000519E2">
              <w:rPr>
                <w:rFonts w:ascii="Times New Roman" w:hAnsi="Times New Roman" w:cs="Times New Roman"/>
              </w:rPr>
              <w:t>ITSP</w:t>
            </w:r>
          </w:p>
        </w:tc>
        <w:tc>
          <w:tcPr>
            <w:tcW w:w="189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$38,800,000,000</w:t>
            </w:r>
          </w:p>
        </w:tc>
        <w:tc>
          <w:tcPr>
            <w:tcW w:w="153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.00287</w:t>
            </w:r>
          </w:p>
        </w:tc>
        <w:tc>
          <w:tcPr>
            <w:tcW w:w="162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$111,356,000</w:t>
            </w:r>
          </w:p>
        </w:tc>
        <w:tc>
          <w:tcPr>
            <w:tcW w:w="108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32.77%</w:t>
            </w:r>
          </w:p>
        </w:tc>
        <w:tc>
          <w:tcPr>
            <w:tcW w:w="153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($20,569,314)</w:t>
            </w:r>
          </w:p>
        </w:tc>
      </w:tr>
      <w:tr w:rsidR="00064BD5" w:rsidRPr="00492A36" w:rsidTr="00D47CAD">
        <w:tc>
          <w:tcPr>
            <w:tcW w:w="1818" w:type="dxa"/>
          </w:tcPr>
          <w:p w:rsidR="00064BD5" w:rsidRPr="000519E2" w:rsidRDefault="00253DF7" w:rsidP="00D47CAD">
            <w:pPr>
              <w:rPr>
                <w:rFonts w:ascii="Times New Roman" w:hAnsi="Times New Roman" w:cs="Times New Roman"/>
              </w:rPr>
            </w:pPr>
            <w:r w:rsidRPr="000519E2">
              <w:rPr>
                <w:rFonts w:ascii="Times New Roman" w:hAnsi="Times New Roman" w:cs="Times New Roman"/>
              </w:rPr>
              <w:t>Wireless (Cellular)</w:t>
            </w:r>
          </w:p>
        </w:tc>
        <w:tc>
          <w:tcPr>
            <w:tcW w:w="189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$27,715,500,000</w:t>
            </w:r>
          </w:p>
        </w:tc>
        <w:tc>
          <w:tcPr>
            <w:tcW w:w="153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.00287</w:t>
            </w:r>
          </w:p>
        </w:tc>
        <w:tc>
          <w:tcPr>
            <w:tcW w:w="162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$79,543,485</w:t>
            </w:r>
          </w:p>
        </w:tc>
        <w:tc>
          <w:tcPr>
            <w:tcW w:w="108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23.41%</w:t>
            </w:r>
          </w:p>
        </w:tc>
        <w:tc>
          <w:tcPr>
            <w:tcW w:w="153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$20,139,689</w:t>
            </w:r>
          </w:p>
        </w:tc>
      </w:tr>
      <w:tr w:rsidR="00064BD5" w:rsidRPr="00492A36" w:rsidTr="00D47CAD">
        <w:tc>
          <w:tcPr>
            <w:tcW w:w="1818" w:type="dxa"/>
          </w:tcPr>
          <w:p w:rsidR="00064BD5" w:rsidRPr="000519E2" w:rsidRDefault="00253DF7" w:rsidP="00D47CAD">
            <w:pPr>
              <w:jc w:val="right"/>
              <w:rPr>
                <w:rFonts w:ascii="Times New Roman" w:hAnsi="Times New Roman" w:cs="Times New Roman"/>
              </w:rPr>
            </w:pPr>
            <w:r w:rsidRPr="000519E2">
              <w:rPr>
                <w:rFonts w:ascii="Times New Roman" w:hAnsi="Times New Roman" w:cs="Times New Roman"/>
              </w:rPr>
              <w:t>Total</w:t>
            </w:r>
          </w:p>
        </w:tc>
        <w:tc>
          <w:tcPr>
            <w:tcW w:w="189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$66,515,500,000</w:t>
            </w:r>
          </w:p>
        </w:tc>
        <w:tc>
          <w:tcPr>
            <w:tcW w:w="1530" w:type="dxa"/>
          </w:tcPr>
          <w:p w:rsidR="00064BD5" w:rsidRPr="000519E2" w:rsidRDefault="00064BD5" w:rsidP="00D47CAD">
            <w:pPr>
              <w:rPr>
                <w:rFonts w:ascii="Times New Roman" w:hAnsi="Times New Roman" w:cs="Times New Roman"/>
              </w:rPr>
            </w:pPr>
          </w:p>
        </w:tc>
        <w:tc>
          <w:tcPr>
            <w:tcW w:w="162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$190,899,485</w:t>
            </w:r>
          </w:p>
        </w:tc>
        <w:tc>
          <w:tcPr>
            <w:tcW w:w="1080" w:type="dxa"/>
          </w:tcPr>
          <w:p w:rsidR="00064BD5" w:rsidRPr="000519E2" w:rsidRDefault="00253DF7" w:rsidP="00D47CAD">
            <w:pPr>
              <w:jc w:val="center"/>
              <w:rPr>
                <w:rFonts w:ascii="Times New Roman" w:hAnsi="Times New Roman" w:cs="Times New Roman"/>
              </w:rPr>
            </w:pPr>
            <w:r w:rsidRPr="000519E2">
              <w:rPr>
                <w:rFonts w:ascii="Times New Roman" w:hAnsi="Times New Roman" w:cs="Times New Roman"/>
              </w:rPr>
              <w:t>56.18%</w:t>
            </w:r>
          </w:p>
        </w:tc>
        <w:tc>
          <w:tcPr>
            <w:tcW w:w="1530" w:type="dxa"/>
          </w:tcPr>
          <w:p w:rsidR="00064BD5" w:rsidRPr="000519E2" w:rsidRDefault="00064BD5" w:rsidP="00D47CAD">
            <w:pPr>
              <w:jc w:val="center"/>
              <w:rPr>
                <w:rFonts w:ascii="Times New Roman" w:hAnsi="Times New Roman" w:cs="Times New Roman"/>
              </w:rPr>
            </w:pPr>
          </w:p>
        </w:tc>
      </w:tr>
    </w:tbl>
    <w:p w:rsidR="00064BD5" w:rsidRPr="00FB6B30" w:rsidRDefault="00064BD5" w:rsidP="00064BD5"/>
    <w:p w:rsidR="00064BD5" w:rsidRPr="00C91C05" w:rsidRDefault="00064BD5" w:rsidP="00064BD5">
      <w:pPr>
        <w:pStyle w:val="ParaNum"/>
        <w:numPr>
          <w:ilvl w:val="0"/>
          <w:numId w:val="0"/>
        </w:numPr>
        <w:ind w:left="630"/>
        <w:rPr>
          <w:szCs w:val="22"/>
        </w:rPr>
      </w:pPr>
      <w:r w:rsidRPr="00FB6B30">
        <w:rPr>
          <w:szCs w:val="22"/>
          <w:u w:val="single"/>
        </w:rPr>
        <w:t>Note</w:t>
      </w:r>
      <w:r w:rsidRPr="00492A36">
        <w:rPr>
          <w:szCs w:val="22"/>
        </w:rPr>
        <w:t>:  The combined revenue fee rate of .00287 was calculated on an ITSP allocation (</w:t>
      </w:r>
      <w:r w:rsidRPr="00C91C05">
        <w:rPr>
          <w:szCs w:val="22"/>
        </w:rPr>
        <w:t xml:space="preserve">FTE) percentage of 38.60% and a cellular wireless percentage of 17.34%. </w:t>
      </w:r>
    </w:p>
    <w:p w:rsidR="00064BD5" w:rsidRPr="00155FD7" w:rsidRDefault="00064BD5" w:rsidP="00064BD5">
      <w:pPr>
        <w:pStyle w:val="ParaNum"/>
        <w:ind w:left="-90"/>
        <w:rPr>
          <w:rStyle w:val="documentbody1"/>
        </w:rPr>
      </w:pPr>
      <w:r w:rsidRPr="00647BC3">
        <w:rPr>
          <w:szCs w:val="22"/>
        </w:rPr>
        <w:t>We tentatively conclude that combining two fee categories into one new fee category constitutes a reclassification of services in the regulatory fee schedule, and thus a permitted amendment as defined in section 9(b)(3) of the Act,</w:t>
      </w:r>
      <w:r w:rsidRPr="00647BC3">
        <w:rPr>
          <w:rStyle w:val="FootnoteReference"/>
          <w:szCs w:val="22"/>
        </w:rPr>
        <w:footnoteReference w:id="72"/>
      </w:r>
      <w:r w:rsidRPr="00647BC3">
        <w:rPr>
          <w:szCs w:val="22"/>
        </w:rPr>
        <w:t xml:space="preserve"> which pursuant to section 9(b)(4)(B) must be submitted to Congress at least 90 days before it becomes effective.</w:t>
      </w:r>
      <w:r w:rsidRPr="00647BC3">
        <w:rPr>
          <w:rStyle w:val="FootnoteReference"/>
          <w:szCs w:val="22"/>
        </w:rPr>
        <w:footnoteReference w:id="73"/>
      </w:r>
      <w:r w:rsidRPr="00647BC3">
        <w:rPr>
          <w:szCs w:val="22"/>
        </w:rPr>
        <w:t xml:space="preserve">  </w:t>
      </w:r>
      <w:r w:rsidRPr="00155FD7">
        <w:rPr>
          <w:rStyle w:val="documentbody1"/>
        </w:rPr>
        <w:t xml:space="preserve">  </w:t>
      </w:r>
    </w:p>
    <w:p w:rsidR="00B44F36" w:rsidRPr="00A438CD" w:rsidRDefault="00B44F36" w:rsidP="00FE30CA">
      <w:pPr>
        <w:pStyle w:val="Heading2"/>
      </w:pPr>
      <w:bookmarkStart w:id="33" w:name="_Toc382567924"/>
      <w:bookmarkStart w:id="34" w:name="_Toc384227057"/>
      <w:r w:rsidRPr="00A438CD">
        <w:t>New Regulatory Fee Categories</w:t>
      </w:r>
      <w:bookmarkEnd w:id="33"/>
      <w:bookmarkEnd w:id="34"/>
      <w:r w:rsidRPr="00A438CD">
        <w:t xml:space="preserve"> </w:t>
      </w:r>
    </w:p>
    <w:p w:rsidR="00680D85" w:rsidRPr="00726E19" w:rsidRDefault="00A717BA" w:rsidP="00FE30CA">
      <w:pPr>
        <w:pStyle w:val="Heading3"/>
      </w:pPr>
      <w:bookmarkStart w:id="35" w:name="_Toc384227058"/>
      <w:r w:rsidRPr="00726E19">
        <w:t>DBS</w:t>
      </w:r>
      <w:bookmarkEnd w:id="35"/>
    </w:p>
    <w:p w:rsidR="000D52E4" w:rsidRDefault="009F4D6B" w:rsidP="00184741">
      <w:pPr>
        <w:pStyle w:val="ParaNum"/>
        <w:widowControl/>
        <w:ind w:left="-86"/>
      </w:pPr>
      <w:r>
        <w:t>DBS providers</w:t>
      </w:r>
      <w:r w:rsidR="00A717BA" w:rsidRPr="00A438CD">
        <w:t xml:space="preserve"> are multichannel video programming distributors (MVPDs), pursuant to section 522(13) of the Act</w:t>
      </w:r>
      <w:r>
        <w:t xml:space="preserve">.  </w:t>
      </w:r>
      <w:r w:rsidR="00B44833">
        <w:t>These o</w:t>
      </w:r>
      <w:r w:rsidR="00A4727C">
        <w:t xml:space="preserve">perators of U.S.-licensed geostationary space stations used to provide one way subscription television service to consumers in the </w:t>
      </w:r>
      <w:r w:rsidR="002C6953">
        <w:t>United States</w:t>
      </w:r>
      <w:r w:rsidR="00A4727C">
        <w:t xml:space="preserve"> pay a fee under the category “</w:t>
      </w:r>
      <w:r w:rsidR="00A4727C" w:rsidRPr="00A438CD">
        <w:t>Space Station (Geostationary Orbit</w:t>
      </w:r>
      <w:r w:rsidR="00A4727C">
        <w:t xml:space="preserve">)” </w:t>
      </w:r>
      <w:r w:rsidR="00A4727C" w:rsidRPr="00A438CD">
        <w:t>in the regulatory fee schedule</w:t>
      </w:r>
      <w:r w:rsidR="00A4727C">
        <w:t xml:space="preserve">.  </w:t>
      </w:r>
      <w:r w:rsidR="00B44833">
        <w:t>Such p</w:t>
      </w:r>
      <w:r w:rsidR="00A4727C">
        <w:t xml:space="preserve">roviders of one-way subscription satellite television service to consumers in the United States do not pay a </w:t>
      </w:r>
      <w:r w:rsidR="00A4727C" w:rsidRPr="00A438CD">
        <w:t xml:space="preserve">per-subscriber regulatory </w:t>
      </w:r>
      <w:r w:rsidR="00A4727C">
        <w:t xml:space="preserve">fee.  </w:t>
      </w:r>
      <w:r w:rsidR="007C6C87" w:rsidRPr="00A438CD">
        <w:t xml:space="preserve">DBS </w:t>
      </w:r>
      <w:r w:rsidR="00216BC7">
        <w:t>services are</w:t>
      </w:r>
      <w:r w:rsidR="007C6C87" w:rsidRPr="00A438CD">
        <w:t xml:space="preserve"> similar to cable services because </w:t>
      </w:r>
      <w:r w:rsidR="00420A66" w:rsidRPr="00A438CD">
        <w:t>both services</w:t>
      </w:r>
      <w:r w:rsidR="001424C8" w:rsidRPr="00A438CD">
        <w:t xml:space="preserve"> offer multi-channel video programming to end-users</w:t>
      </w:r>
      <w:r w:rsidR="004066A9" w:rsidRPr="00A438CD">
        <w:t xml:space="preserve">.  </w:t>
      </w:r>
      <w:r w:rsidR="00D3062C" w:rsidRPr="00A438CD">
        <w:t>DBS</w:t>
      </w:r>
      <w:r w:rsidR="001424C8" w:rsidRPr="00A438CD">
        <w:t xml:space="preserve"> </w:t>
      </w:r>
      <w:r w:rsidR="00216BC7">
        <w:t xml:space="preserve">services, however, </w:t>
      </w:r>
      <w:r w:rsidR="004066A9" w:rsidRPr="00A438CD">
        <w:t xml:space="preserve">also </w:t>
      </w:r>
      <w:r w:rsidR="001424C8" w:rsidRPr="00A438CD">
        <w:t xml:space="preserve">differ </w:t>
      </w:r>
      <w:r w:rsidR="00AE708B" w:rsidRPr="00A438CD">
        <w:t xml:space="preserve">from cable </w:t>
      </w:r>
      <w:r w:rsidR="004066A9" w:rsidRPr="00A438CD">
        <w:t xml:space="preserve">because </w:t>
      </w:r>
      <w:r w:rsidR="001424C8" w:rsidRPr="00A438CD">
        <w:t xml:space="preserve">programming is transmitted </w:t>
      </w:r>
      <w:r w:rsidR="00216BC7">
        <w:t>to end users b</w:t>
      </w:r>
      <w:r w:rsidR="001424C8" w:rsidRPr="00A438CD">
        <w:t>y satellites stationed in geosynchronous orbit</w:t>
      </w:r>
      <w:r w:rsidR="00216BC7">
        <w:t xml:space="preserve"> and not by terrestrial cable</w:t>
      </w:r>
      <w:r w:rsidR="001424C8" w:rsidRPr="00A438CD">
        <w:t xml:space="preserve">.  </w:t>
      </w:r>
    </w:p>
    <w:p w:rsidR="00A717BA" w:rsidRPr="00996EC9" w:rsidRDefault="00A717BA" w:rsidP="003909AC">
      <w:pPr>
        <w:pStyle w:val="ParaNum"/>
        <w:ind w:left="-90"/>
      </w:pPr>
      <w:r w:rsidRPr="00996EC9">
        <w:t>Commenters</w:t>
      </w:r>
      <w:r w:rsidR="00424F81" w:rsidRPr="00996EC9">
        <w:t xml:space="preserve">, in response to the </w:t>
      </w:r>
      <w:r w:rsidR="00424F81" w:rsidRPr="00996EC9">
        <w:rPr>
          <w:i/>
        </w:rPr>
        <w:t>FY 2013 NPRM</w:t>
      </w:r>
      <w:r w:rsidR="00424F81" w:rsidRPr="00996EC9">
        <w:t xml:space="preserve">, </w:t>
      </w:r>
      <w:r w:rsidR="00A97E61" w:rsidRPr="00996EC9">
        <w:t>proposed that DBS providers pay regulatory fees based on Media Bureau FTEs</w:t>
      </w:r>
      <w:r w:rsidR="00F231F3" w:rsidRPr="00996EC9">
        <w:t xml:space="preserve"> due to the similar</w:t>
      </w:r>
      <w:r w:rsidRPr="00996EC9">
        <w:t xml:space="preserve"> regulatory</w:t>
      </w:r>
      <w:r w:rsidR="001424C8" w:rsidRPr="00996EC9">
        <w:t xml:space="preserve"> work devoted to </w:t>
      </w:r>
      <w:r w:rsidRPr="00996EC9">
        <w:t>cable operators and DBS providers</w:t>
      </w:r>
      <w:r w:rsidR="00F231F3" w:rsidRPr="00996EC9">
        <w:t>.</w:t>
      </w:r>
      <w:r w:rsidR="00F231F3" w:rsidRPr="00996EC9">
        <w:rPr>
          <w:rStyle w:val="FootnoteReference"/>
        </w:rPr>
        <w:footnoteReference w:id="74"/>
      </w:r>
      <w:r w:rsidR="00AE708B" w:rsidRPr="00996EC9">
        <w:t xml:space="preserve">  F</w:t>
      </w:r>
      <w:r w:rsidRPr="00996EC9">
        <w:t xml:space="preserve">or example, DBS providers </w:t>
      </w:r>
      <w:r w:rsidR="00DA6B61" w:rsidRPr="00996EC9">
        <w:t xml:space="preserve">(and cable </w:t>
      </w:r>
      <w:r w:rsidR="009F4D6B">
        <w:t>operators</w:t>
      </w:r>
      <w:r w:rsidR="00DA6B61" w:rsidRPr="00996EC9">
        <w:t xml:space="preserve">) </w:t>
      </w:r>
      <w:r w:rsidR="00216BC7">
        <w:t>are permitted to</w:t>
      </w:r>
      <w:r w:rsidRPr="00996EC9">
        <w:t xml:space="preserve"> file program access complaints</w:t>
      </w:r>
      <w:r w:rsidR="00B31327" w:rsidRPr="00996EC9">
        <w:rPr>
          <w:rStyle w:val="FootnoteReference"/>
          <w:szCs w:val="22"/>
        </w:rPr>
        <w:footnoteReference w:id="75"/>
      </w:r>
      <w:r w:rsidRPr="00996EC9">
        <w:t xml:space="preserve"> and complaints seeking relief under the retransmission consent good faith rules;</w:t>
      </w:r>
      <w:r w:rsidR="00602D44" w:rsidRPr="00996EC9">
        <w:rPr>
          <w:rStyle w:val="FootnoteReference"/>
          <w:szCs w:val="22"/>
        </w:rPr>
        <w:t xml:space="preserve"> </w:t>
      </w:r>
      <w:r w:rsidR="00602D44" w:rsidRPr="00996EC9">
        <w:rPr>
          <w:rStyle w:val="FootnoteReference"/>
          <w:szCs w:val="22"/>
        </w:rPr>
        <w:footnoteReference w:id="76"/>
      </w:r>
      <w:r w:rsidRPr="00996EC9">
        <w:t xml:space="preserve"> and </w:t>
      </w:r>
      <w:r w:rsidR="004066A9" w:rsidRPr="00996EC9">
        <w:t xml:space="preserve">DBS providers are required to </w:t>
      </w:r>
      <w:r w:rsidRPr="00996EC9">
        <w:t xml:space="preserve">comply with </w:t>
      </w:r>
      <w:r w:rsidR="00BE776C" w:rsidRPr="00996EC9">
        <w:t>Media Bureau oversight and regulation such as</w:t>
      </w:r>
      <w:r w:rsidR="00DA6B61" w:rsidRPr="00996EC9">
        <w:t xml:space="preserve"> </w:t>
      </w:r>
      <w:r w:rsidRPr="00996EC9">
        <w:t>Commercial Advertisement Loudness Mitigation Act (CALM Act)</w:t>
      </w:r>
      <w:r w:rsidR="00B62ADC" w:rsidRPr="00996EC9">
        <w:rPr>
          <w:szCs w:val="22"/>
        </w:rPr>
        <w:t>,</w:t>
      </w:r>
      <w:r w:rsidR="006B1578" w:rsidRPr="00996EC9">
        <w:rPr>
          <w:rStyle w:val="FootnoteReference"/>
          <w:szCs w:val="22"/>
        </w:rPr>
        <w:footnoteReference w:id="77"/>
      </w:r>
      <w:r w:rsidRPr="00996EC9">
        <w:t xml:space="preserve"> the Twenty-First Century Video Accessibility Act (CVAA),</w:t>
      </w:r>
      <w:r w:rsidR="0018774A" w:rsidRPr="00996EC9">
        <w:rPr>
          <w:rStyle w:val="FootnoteReference"/>
          <w:szCs w:val="22"/>
        </w:rPr>
        <w:footnoteReference w:id="78"/>
      </w:r>
      <w:r w:rsidRPr="00996EC9">
        <w:t xml:space="preserve"> and the closed captioning and video description rules</w:t>
      </w:r>
      <w:r w:rsidR="00E2535B" w:rsidRPr="00996EC9">
        <w:t>.</w:t>
      </w:r>
      <w:r w:rsidR="00E93A1D" w:rsidRPr="00996EC9">
        <w:rPr>
          <w:rStyle w:val="FootnoteReference"/>
        </w:rPr>
        <w:footnoteReference w:id="79"/>
      </w:r>
      <w:r w:rsidR="00E2535B" w:rsidRPr="00996EC9">
        <w:t xml:space="preserve">  DBS providers </w:t>
      </w:r>
      <w:r w:rsidR="007C6C87" w:rsidRPr="00996EC9">
        <w:t xml:space="preserve">argue, however, </w:t>
      </w:r>
      <w:r w:rsidR="00AA2E0B">
        <w:t xml:space="preserve">that </w:t>
      </w:r>
      <w:r w:rsidRPr="00996EC9">
        <w:t>they ar</w:t>
      </w:r>
      <w:r w:rsidR="00AA2E0B">
        <w:t>e not cable television operators</w:t>
      </w:r>
      <w:r w:rsidR="0018774A" w:rsidRPr="00996EC9">
        <w:t xml:space="preserve"> </w:t>
      </w:r>
      <w:r w:rsidRPr="00996EC9">
        <w:t xml:space="preserve">and they are not subject to all </w:t>
      </w:r>
      <w:r w:rsidR="009D52AE" w:rsidRPr="00996EC9">
        <w:t xml:space="preserve">of </w:t>
      </w:r>
      <w:r w:rsidRPr="00996EC9">
        <w:t>the regulation</w:t>
      </w:r>
      <w:r w:rsidR="009D52AE" w:rsidRPr="00996EC9">
        <w:t>s</w:t>
      </w:r>
      <w:r w:rsidRPr="00996EC9">
        <w:t xml:space="preserve"> </w:t>
      </w:r>
      <w:r w:rsidR="00CD3182" w:rsidRPr="00996EC9">
        <w:t xml:space="preserve">historically </w:t>
      </w:r>
      <w:r w:rsidRPr="00996EC9">
        <w:t>impose</w:t>
      </w:r>
      <w:r w:rsidR="009D52AE" w:rsidRPr="00996EC9">
        <w:t>d</w:t>
      </w:r>
      <w:r w:rsidRPr="00996EC9">
        <w:t xml:space="preserve"> on the cable industry</w:t>
      </w:r>
      <w:r w:rsidR="00CD3182" w:rsidRPr="00996EC9">
        <w:t xml:space="preserve"> by the Media Bureau</w:t>
      </w:r>
      <w:r w:rsidR="008727CA">
        <w:t>; instead, their business model is based on satellite technology and is subject to satellite licensing rules through the International Bureau.</w:t>
      </w:r>
      <w:r w:rsidR="00FE30CA">
        <w:rPr>
          <w:rStyle w:val="FootnoteReference"/>
        </w:rPr>
        <w:footnoteReference w:id="80"/>
      </w:r>
    </w:p>
    <w:p w:rsidR="00470957" w:rsidRDefault="005273F4">
      <w:pPr>
        <w:pStyle w:val="ParaNum"/>
        <w:ind w:left="-90"/>
        <w:rPr>
          <w:szCs w:val="22"/>
        </w:rPr>
      </w:pPr>
      <w:r w:rsidRPr="003C4923">
        <w:rPr>
          <w:szCs w:val="22"/>
        </w:rPr>
        <w:t xml:space="preserve">We invite further comment on whether regulatory fees paid by DBS providers should be included </w:t>
      </w:r>
      <w:r w:rsidR="00ED37C9" w:rsidRPr="00983998">
        <w:rPr>
          <w:szCs w:val="22"/>
        </w:rPr>
        <w:t xml:space="preserve">in the cable television and IPTV </w:t>
      </w:r>
      <w:r w:rsidRPr="00983998">
        <w:rPr>
          <w:szCs w:val="22"/>
        </w:rPr>
        <w:t>category</w:t>
      </w:r>
      <w:r w:rsidR="00FE2090">
        <w:t xml:space="preserve"> </w:t>
      </w:r>
      <w:r w:rsidRPr="00983998">
        <w:rPr>
          <w:szCs w:val="22"/>
        </w:rPr>
        <w:t xml:space="preserve">and assessed in the same manner as cable television system operators.  </w:t>
      </w:r>
      <w:r w:rsidR="00F772A6">
        <w:rPr>
          <w:szCs w:val="22"/>
        </w:rPr>
        <w:t xml:space="preserve">We also seek comment on a new name for this category.  For example, we invite comment on whether “MVPD” or “subscription television fees” or other names would be appropriate for this category.  </w:t>
      </w:r>
      <w:r w:rsidRPr="00983998">
        <w:rPr>
          <w:szCs w:val="22"/>
        </w:rPr>
        <w:t xml:space="preserve">We </w:t>
      </w:r>
      <w:r w:rsidR="00F772A6">
        <w:rPr>
          <w:szCs w:val="22"/>
        </w:rPr>
        <w:t xml:space="preserve">also </w:t>
      </w:r>
      <w:r w:rsidRPr="00983998">
        <w:rPr>
          <w:szCs w:val="22"/>
        </w:rPr>
        <w:t xml:space="preserve">ask commenters to further address the impact of </w:t>
      </w:r>
      <w:r w:rsidR="00ED37C9" w:rsidRPr="00FE2090">
        <w:rPr>
          <w:szCs w:val="22"/>
        </w:rPr>
        <w:t xml:space="preserve">this </w:t>
      </w:r>
      <w:r w:rsidRPr="00FE2090">
        <w:rPr>
          <w:szCs w:val="22"/>
        </w:rPr>
        <w:t xml:space="preserve">on the cable industry and the satellite industry.  </w:t>
      </w:r>
    </w:p>
    <w:p w:rsidR="003C4923" w:rsidRPr="000F1926" w:rsidRDefault="003C4923" w:rsidP="00FB6B30">
      <w:pPr>
        <w:pStyle w:val="ParaNum"/>
        <w:numPr>
          <w:ilvl w:val="0"/>
          <w:numId w:val="0"/>
        </w:numPr>
        <w:ind w:left="630"/>
        <w:jc w:val="center"/>
        <w:rPr>
          <w:b/>
        </w:rPr>
      </w:pPr>
      <w:r w:rsidRPr="000F1926">
        <w:rPr>
          <w:b/>
          <w:szCs w:val="22"/>
        </w:rPr>
        <w:t xml:space="preserve">Table 4:  Change in cable/IPTV </w:t>
      </w:r>
      <w:r w:rsidR="00983998" w:rsidRPr="000F1926">
        <w:rPr>
          <w:b/>
          <w:szCs w:val="22"/>
        </w:rPr>
        <w:t>regulatory fees when DBS added</w:t>
      </w:r>
    </w:p>
    <w:tbl>
      <w:tblPr>
        <w:tblStyle w:val="TableGrid"/>
        <w:tblW w:w="0" w:type="auto"/>
        <w:tblInd w:w="108" w:type="dxa"/>
        <w:tblLook w:val="04A0" w:firstRow="1" w:lastRow="0" w:firstColumn="1" w:lastColumn="0" w:noHBand="0" w:noVBand="1"/>
      </w:tblPr>
      <w:tblGrid>
        <w:gridCol w:w="1452"/>
        <w:gridCol w:w="1246"/>
        <w:gridCol w:w="1292"/>
        <w:gridCol w:w="1339"/>
        <w:gridCol w:w="1333"/>
        <w:gridCol w:w="1343"/>
        <w:gridCol w:w="1463"/>
      </w:tblGrid>
      <w:tr w:rsidR="003C4923" w:rsidRPr="000F1926" w:rsidTr="00064BD5">
        <w:tc>
          <w:tcPr>
            <w:tcW w:w="1452" w:type="dxa"/>
          </w:tcPr>
          <w:p w:rsidR="003C4923" w:rsidRPr="000806D2" w:rsidRDefault="003C4923" w:rsidP="00470957">
            <w:pPr>
              <w:jc w:val="center"/>
              <w:rPr>
                <w:rFonts w:ascii="Times New Roman" w:hAnsi="Times New Roman" w:cs="Times New Roman"/>
              </w:rPr>
            </w:pPr>
            <w:r w:rsidRPr="000806D2">
              <w:rPr>
                <w:rFonts w:ascii="Times New Roman" w:hAnsi="Times New Roman" w:cs="Times New Roman"/>
              </w:rPr>
              <w:t>Fee Service</w:t>
            </w:r>
          </w:p>
        </w:tc>
        <w:tc>
          <w:tcPr>
            <w:tcW w:w="1246" w:type="dxa"/>
          </w:tcPr>
          <w:p w:rsidR="003C4923" w:rsidRPr="000806D2" w:rsidRDefault="003C4923" w:rsidP="00470957">
            <w:pPr>
              <w:jc w:val="center"/>
              <w:rPr>
                <w:rFonts w:ascii="Times New Roman" w:hAnsi="Times New Roman" w:cs="Times New Roman"/>
              </w:rPr>
            </w:pPr>
            <w:r w:rsidRPr="000806D2">
              <w:rPr>
                <w:rFonts w:ascii="Times New Roman" w:hAnsi="Times New Roman" w:cs="Times New Roman"/>
              </w:rPr>
              <w:t>Subscriber Count</w:t>
            </w:r>
          </w:p>
        </w:tc>
        <w:tc>
          <w:tcPr>
            <w:tcW w:w="1292" w:type="dxa"/>
          </w:tcPr>
          <w:p w:rsidR="003C4923" w:rsidRPr="000806D2" w:rsidRDefault="003C4923" w:rsidP="00470957">
            <w:pPr>
              <w:jc w:val="center"/>
              <w:rPr>
                <w:rFonts w:ascii="Times New Roman" w:hAnsi="Times New Roman" w:cs="Times New Roman"/>
              </w:rPr>
            </w:pPr>
            <w:r w:rsidRPr="000806D2">
              <w:rPr>
                <w:rFonts w:ascii="Times New Roman" w:hAnsi="Times New Roman" w:cs="Times New Roman"/>
              </w:rPr>
              <w:t>FY 14 Fee Per Subscriber Combined</w:t>
            </w:r>
          </w:p>
        </w:tc>
        <w:tc>
          <w:tcPr>
            <w:tcW w:w="1339" w:type="dxa"/>
          </w:tcPr>
          <w:p w:rsidR="003C4923" w:rsidRPr="000806D2" w:rsidRDefault="003C4923" w:rsidP="00470957">
            <w:pPr>
              <w:jc w:val="center"/>
              <w:rPr>
                <w:rFonts w:ascii="Times New Roman" w:hAnsi="Times New Roman" w:cs="Times New Roman"/>
              </w:rPr>
            </w:pPr>
            <w:r w:rsidRPr="000806D2">
              <w:rPr>
                <w:rFonts w:ascii="Times New Roman" w:hAnsi="Times New Roman" w:cs="Times New Roman"/>
              </w:rPr>
              <w:t>FY 14 Fee Not Combined</w:t>
            </w:r>
          </w:p>
        </w:tc>
        <w:tc>
          <w:tcPr>
            <w:tcW w:w="1333" w:type="dxa"/>
          </w:tcPr>
          <w:p w:rsidR="003C4923" w:rsidRPr="000806D2" w:rsidRDefault="003C4923" w:rsidP="00470957">
            <w:pPr>
              <w:jc w:val="center"/>
              <w:rPr>
                <w:rFonts w:ascii="Times New Roman" w:hAnsi="Times New Roman" w:cs="Times New Roman"/>
              </w:rPr>
            </w:pPr>
            <w:r w:rsidRPr="000806D2">
              <w:rPr>
                <w:rFonts w:ascii="Times New Roman" w:hAnsi="Times New Roman" w:cs="Times New Roman"/>
              </w:rPr>
              <w:t>Projected Revenue</w:t>
            </w:r>
          </w:p>
          <w:p w:rsidR="003C4923" w:rsidRPr="000806D2" w:rsidRDefault="003C4923" w:rsidP="00470957">
            <w:pPr>
              <w:jc w:val="center"/>
              <w:rPr>
                <w:rFonts w:ascii="Times New Roman" w:hAnsi="Times New Roman" w:cs="Times New Roman"/>
              </w:rPr>
            </w:pPr>
            <w:r w:rsidRPr="000806D2">
              <w:rPr>
                <w:rFonts w:ascii="Times New Roman" w:hAnsi="Times New Roman" w:cs="Times New Roman"/>
              </w:rPr>
              <w:t>Combined</w:t>
            </w:r>
          </w:p>
        </w:tc>
        <w:tc>
          <w:tcPr>
            <w:tcW w:w="1343" w:type="dxa"/>
          </w:tcPr>
          <w:p w:rsidR="003C4923" w:rsidRPr="000806D2" w:rsidRDefault="003C4923" w:rsidP="00470957">
            <w:pPr>
              <w:jc w:val="center"/>
              <w:rPr>
                <w:rFonts w:ascii="Times New Roman" w:hAnsi="Times New Roman" w:cs="Times New Roman"/>
              </w:rPr>
            </w:pPr>
            <w:r w:rsidRPr="000806D2">
              <w:rPr>
                <w:rFonts w:ascii="Times New Roman" w:hAnsi="Times New Roman" w:cs="Times New Roman"/>
              </w:rPr>
              <w:t>Projected Rev. Not</w:t>
            </w:r>
          </w:p>
          <w:p w:rsidR="003C4923" w:rsidRPr="000806D2" w:rsidRDefault="003C4923" w:rsidP="00470957">
            <w:pPr>
              <w:jc w:val="center"/>
              <w:rPr>
                <w:rFonts w:ascii="Times New Roman" w:hAnsi="Times New Roman" w:cs="Times New Roman"/>
              </w:rPr>
            </w:pPr>
            <w:r w:rsidRPr="000806D2">
              <w:rPr>
                <w:rFonts w:ascii="Times New Roman" w:hAnsi="Times New Roman" w:cs="Times New Roman"/>
              </w:rPr>
              <w:t>Combined</w:t>
            </w:r>
          </w:p>
        </w:tc>
        <w:tc>
          <w:tcPr>
            <w:tcW w:w="1463" w:type="dxa"/>
          </w:tcPr>
          <w:p w:rsidR="003C4923" w:rsidRPr="000806D2" w:rsidRDefault="003C4923" w:rsidP="00470957">
            <w:pPr>
              <w:jc w:val="center"/>
              <w:rPr>
                <w:rFonts w:ascii="Times New Roman" w:hAnsi="Times New Roman" w:cs="Times New Roman"/>
              </w:rPr>
            </w:pPr>
            <w:r w:rsidRPr="000806D2">
              <w:rPr>
                <w:rFonts w:ascii="Times New Roman" w:hAnsi="Times New Roman" w:cs="Times New Roman"/>
              </w:rPr>
              <w:t>Diff. Paid with Combined</w:t>
            </w:r>
          </w:p>
        </w:tc>
      </w:tr>
      <w:tr w:rsidR="003C4923" w:rsidRPr="000F1926" w:rsidTr="00064BD5">
        <w:trPr>
          <w:trHeight w:val="413"/>
        </w:trPr>
        <w:tc>
          <w:tcPr>
            <w:tcW w:w="1452" w:type="dxa"/>
          </w:tcPr>
          <w:p w:rsidR="003C4923" w:rsidRPr="000F1926" w:rsidRDefault="003C4923" w:rsidP="00470957">
            <w:pPr>
              <w:rPr>
                <w:rFonts w:ascii="Times New Roman" w:hAnsi="Times New Roman" w:cs="Times New Roman"/>
              </w:rPr>
            </w:pPr>
            <w:r w:rsidRPr="000F1926">
              <w:rPr>
                <w:rFonts w:ascii="Times New Roman" w:hAnsi="Times New Roman" w:cs="Times New Roman"/>
              </w:rPr>
              <w:t xml:space="preserve">Cable/IPTV Subscribers </w:t>
            </w:r>
          </w:p>
        </w:tc>
        <w:tc>
          <w:tcPr>
            <w:tcW w:w="1246" w:type="dxa"/>
          </w:tcPr>
          <w:p w:rsidR="003C4923" w:rsidRPr="000F1926" w:rsidRDefault="003C4923" w:rsidP="00470957">
            <w:pPr>
              <w:jc w:val="center"/>
              <w:rPr>
                <w:rFonts w:ascii="Times New Roman" w:hAnsi="Times New Roman" w:cs="Times New Roman"/>
              </w:rPr>
            </w:pPr>
            <w:r w:rsidRPr="000F1926">
              <w:rPr>
                <w:rFonts w:ascii="Times New Roman" w:hAnsi="Times New Roman" w:cs="Times New Roman"/>
              </w:rPr>
              <w:t>65,400,000</w:t>
            </w:r>
          </w:p>
        </w:tc>
        <w:tc>
          <w:tcPr>
            <w:tcW w:w="1292" w:type="dxa"/>
          </w:tcPr>
          <w:p w:rsidR="003C4923" w:rsidRPr="000F1926" w:rsidRDefault="003C4923" w:rsidP="00470957">
            <w:pPr>
              <w:jc w:val="center"/>
              <w:rPr>
                <w:rFonts w:ascii="Times New Roman" w:hAnsi="Times New Roman" w:cs="Times New Roman"/>
              </w:rPr>
            </w:pPr>
            <w:r w:rsidRPr="000F1926">
              <w:rPr>
                <w:rFonts w:ascii="Times New Roman" w:hAnsi="Times New Roman" w:cs="Times New Roman"/>
              </w:rPr>
              <w:t>$.68</w:t>
            </w:r>
          </w:p>
        </w:tc>
        <w:tc>
          <w:tcPr>
            <w:tcW w:w="1339" w:type="dxa"/>
          </w:tcPr>
          <w:p w:rsidR="003C4923" w:rsidRPr="000F1926" w:rsidRDefault="003C4923" w:rsidP="00470957">
            <w:pPr>
              <w:jc w:val="center"/>
              <w:rPr>
                <w:rFonts w:ascii="Times New Roman" w:hAnsi="Times New Roman" w:cs="Times New Roman"/>
              </w:rPr>
            </w:pPr>
            <w:r w:rsidRPr="000F1926">
              <w:rPr>
                <w:rFonts w:ascii="Times New Roman" w:hAnsi="Times New Roman" w:cs="Times New Roman"/>
              </w:rPr>
              <w:t>$1.00 per subscriber</w:t>
            </w:r>
          </w:p>
        </w:tc>
        <w:tc>
          <w:tcPr>
            <w:tcW w:w="1333" w:type="dxa"/>
          </w:tcPr>
          <w:p w:rsidR="003C4923" w:rsidRPr="000F1926" w:rsidRDefault="003C4923" w:rsidP="00470957">
            <w:pPr>
              <w:jc w:val="center"/>
              <w:rPr>
                <w:rFonts w:ascii="Times New Roman" w:hAnsi="Times New Roman" w:cs="Times New Roman"/>
              </w:rPr>
            </w:pPr>
            <w:r w:rsidRPr="000F1926">
              <w:rPr>
                <w:rFonts w:ascii="Times New Roman" w:hAnsi="Times New Roman" w:cs="Times New Roman"/>
              </w:rPr>
              <w:t>$44,472,000</w:t>
            </w:r>
          </w:p>
        </w:tc>
        <w:tc>
          <w:tcPr>
            <w:tcW w:w="1343" w:type="dxa"/>
          </w:tcPr>
          <w:p w:rsidR="003C4923" w:rsidRPr="000F1926" w:rsidRDefault="003C4923" w:rsidP="00470957">
            <w:pPr>
              <w:jc w:val="center"/>
              <w:rPr>
                <w:rFonts w:ascii="Times New Roman" w:hAnsi="Times New Roman" w:cs="Times New Roman"/>
              </w:rPr>
            </w:pPr>
            <w:r w:rsidRPr="000F1926">
              <w:rPr>
                <w:rFonts w:ascii="Times New Roman" w:hAnsi="Times New Roman" w:cs="Times New Roman"/>
              </w:rPr>
              <w:t>$65,400,000</w:t>
            </w:r>
          </w:p>
        </w:tc>
        <w:tc>
          <w:tcPr>
            <w:tcW w:w="1463" w:type="dxa"/>
          </w:tcPr>
          <w:p w:rsidR="003C4923" w:rsidRPr="000F1926" w:rsidRDefault="003C4923" w:rsidP="00470957">
            <w:pPr>
              <w:jc w:val="center"/>
              <w:rPr>
                <w:rFonts w:ascii="Times New Roman" w:hAnsi="Times New Roman" w:cs="Times New Roman"/>
              </w:rPr>
            </w:pPr>
            <w:r w:rsidRPr="000F1926">
              <w:rPr>
                <w:rFonts w:ascii="Times New Roman" w:hAnsi="Times New Roman" w:cs="Times New Roman"/>
              </w:rPr>
              <w:t>($20,928,000)</w:t>
            </w:r>
          </w:p>
        </w:tc>
      </w:tr>
      <w:tr w:rsidR="003C4923" w:rsidRPr="000F1926" w:rsidTr="00064BD5">
        <w:tc>
          <w:tcPr>
            <w:tcW w:w="1452" w:type="dxa"/>
          </w:tcPr>
          <w:p w:rsidR="003C4923" w:rsidRPr="000F1926" w:rsidRDefault="003C4923" w:rsidP="00470957">
            <w:pPr>
              <w:rPr>
                <w:rFonts w:ascii="Times New Roman" w:hAnsi="Times New Roman" w:cs="Times New Roman"/>
              </w:rPr>
            </w:pPr>
            <w:r w:rsidRPr="000F1926">
              <w:rPr>
                <w:rFonts w:ascii="Times New Roman" w:hAnsi="Times New Roman" w:cs="Times New Roman"/>
              </w:rPr>
              <w:t>DBS Subscribers</w:t>
            </w:r>
          </w:p>
        </w:tc>
        <w:tc>
          <w:tcPr>
            <w:tcW w:w="1246" w:type="dxa"/>
          </w:tcPr>
          <w:p w:rsidR="003C4923" w:rsidRPr="00E321A3" w:rsidRDefault="003C4923" w:rsidP="00470957">
            <w:pPr>
              <w:jc w:val="center"/>
              <w:rPr>
                <w:rFonts w:ascii="Times New Roman" w:hAnsi="Times New Roman" w:cs="Times New Roman"/>
              </w:rPr>
            </w:pPr>
            <w:r w:rsidRPr="00E321A3">
              <w:rPr>
                <w:rFonts w:ascii="Times New Roman" w:hAnsi="Times New Roman" w:cs="Times New Roman"/>
              </w:rPr>
              <w:t>34,000,000</w:t>
            </w:r>
          </w:p>
        </w:tc>
        <w:tc>
          <w:tcPr>
            <w:tcW w:w="1292" w:type="dxa"/>
          </w:tcPr>
          <w:p w:rsidR="003C4923" w:rsidRPr="00E321A3" w:rsidRDefault="003C4923" w:rsidP="00470957">
            <w:pPr>
              <w:jc w:val="center"/>
              <w:rPr>
                <w:rFonts w:ascii="Times New Roman" w:hAnsi="Times New Roman" w:cs="Times New Roman"/>
              </w:rPr>
            </w:pPr>
            <w:r w:rsidRPr="00E321A3">
              <w:rPr>
                <w:rFonts w:ascii="Times New Roman" w:hAnsi="Times New Roman" w:cs="Times New Roman"/>
              </w:rPr>
              <w:t>$.68</w:t>
            </w:r>
          </w:p>
        </w:tc>
        <w:tc>
          <w:tcPr>
            <w:tcW w:w="1339" w:type="dxa"/>
          </w:tcPr>
          <w:p w:rsidR="003C4923" w:rsidRPr="00E321A3" w:rsidRDefault="003C4923" w:rsidP="00470957">
            <w:pPr>
              <w:jc w:val="center"/>
              <w:rPr>
                <w:rFonts w:ascii="Times New Roman" w:hAnsi="Times New Roman" w:cs="Times New Roman"/>
              </w:rPr>
            </w:pPr>
            <w:r w:rsidRPr="00E321A3">
              <w:rPr>
                <w:rFonts w:ascii="Times New Roman" w:hAnsi="Times New Roman" w:cs="Times New Roman"/>
              </w:rPr>
              <w:t>$114,025 per satellite</w:t>
            </w:r>
          </w:p>
        </w:tc>
        <w:tc>
          <w:tcPr>
            <w:tcW w:w="1333" w:type="dxa"/>
          </w:tcPr>
          <w:p w:rsidR="003C4923" w:rsidRPr="00E321A3" w:rsidRDefault="003C4923" w:rsidP="00470957">
            <w:pPr>
              <w:jc w:val="center"/>
              <w:rPr>
                <w:rFonts w:ascii="Times New Roman" w:hAnsi="Times New Roman" w:cs="Times New Roman"/>
              </w:rPr>
            </w:pPr>
            <w:r w:rsidRPr="00E321A3">
              <w:rPr>
                <w:rFonts w:ascii="Times New Roman" w:hAnsi="Times New Roman" w:cs="Times New Roman"/>
              </w:rPr>
              <w:t>$23,120,000</w:t>
            </w:r>
          </w:p>
        </w:tc>
        <w:tc>
          <w:tcPr>
            <w:tcW w:w="1343" w:type="dxa"/>
          </w:tcPr>
          <w:p w:rsidR="003C4923" w:rsidRPr="00E321A3" w:rsidRDefault="003C4923" w:rsidP="00470957">
            <w:pPr>
              <w:jc w:val="center"/>
              <w:rPr>
                <w:rFonts w:ascii="Times New Roman" w:hAnsi="Times New Roman" w:cs="Times New Roman"/>
              </w:rPr>
            </w:pPr>
            <w:r w:rsidRPr="00E321A3">
              <w:rPr>
                <w:rFonts w:ascii="Times New Roman" w:hAnsi="Times New Roman" w:cs="Times New Roman"/>
              </w:rPr>
              <w:t>$2,052,450</w:t>
            </w:r>
          </w:p>
        </w:tc>
        <w:tc>
          <w:tcPr>
            <w:tcW w:w="1463" w:type="dxa"/>
          </w:tcPr>
          <w:p w:rsidR="003C4923" w:rsidRPr="00E321A3" w:rsidRDefault="003C4923" w:rsidP="00470957">
            <w:pPr>
              <w:jc w:val="center"/>
              <w:rPr>
                <w:rFonts w:ascii="Times New Roman" w:hAnsi="Times New Roman" w:cs="Times New Roman"/>
              </w:rPr>
            </w:pPr>
            <w:r w:rsidRPr="00E321A3">
              <w:rPr>
                <w:rFonts w:ascii="Times New Roman" w:hAnsi="Times New Roman" w:cs="Times New Roman"/>
              </w:rPr>
              <w:t>$21,067,550</w:t>
            </w:r>
          </w:p>
        </w:tc>
      </w:tr>
      <w:tr w:rsidR="003C4923" w:rsidRPr="000F1926" w:rsidTr="00064BD5">
        <w:tc>
          <w:tcPr>
            <w:tcW w:w="1452" w:type="dxa"/>
          </w:tcPr>
          <w:p w:rsidR="003C4923" w:rsidRPr="000F1926" w:rsidRDefault="003C4923" w:rsidP="00470957">
            <w:pPr>
              <w:jc w:val="right"/>
              <w:rPr>
                <w:rFonts w:ascii="Times New Roman" w:hAnsi="Times New Roman" w:cs="Times New Roman"/>
              </w:rPr>
            </w:pPr>
            <w:r w:rsidRPr="000F1926">
              <w:rPr>
                <w:rFonts w:ascii="Times New Roman" w:hAnsi="Times New Roman" w:cs="Times New Roman"/>
              </w:rPr>
              <w:t>Total</w:t>
            </w:r>
          </w:p>
        </w:tc>
        <w:tc>
          <w:tcPr>
            <w:tcW w:w="1246" w:type="dxa"/>
          </w:tcPr>
          <w:p w:rsidR="003C4923" w:rsidRPr="000F1926" w:rsidRDefault="003C4923" w:rsidP="00470957">
            <w:pPr>
              <w:jc w:val="center"/>
              <w:rPr>
                <w:rFonts w:ascii="Times New Roman" w:hAnsi="Times New Roman" w:cs="Times New Roman"/>
              </w:rPr>
            </w:pPr>
            <w:r w:rsidRPr="000F1926">
              <w:rPr>
                <w:rFonts w:ascii="Times New Roman" w:hAnsi="Times New Roman" w:cs="Times New Roman"/>
              </w:rPr>
              <w:t>99,400,000</w:t>
            </w:r>
          </w:p>
        </w:tc>
        <w:tc>
          <w:tcPr>
            <w:tcW w:w="1292" w:type="dxa"/>
          </w:tcPr>
          <w:p w:rsidR="003C4923" w:rsidRPr="000F1926" w:rsidRDefault="003C4923" w:rsidP="00470957">
            <w:pPr>
              <w:jc w:val="center"/>
              <w:rPr>
                <w:rFonts w:ascii="Times New Roman" w:hAnsi="Times New Roman" w:cs="Times New Roman"/>
              </w:rPr>
            </w:pPr>
          </w:p>
        </w:tc>
        <w:tc>
          <w:tcPr>
            <w:tcW w:w="1339" w:type="dxa"/>
          </w:tcPr>
          <w:p w:rsidR="003C4923" w:rsidRPr="000F1926" w:rsidRDefault="003C4923" w:rsidP="00470957">
            <w:pPr>
              <w:jc w:val="center"/>
              <w:rPr>
                <w:rFonts w:ascii="Times New Roman" w:hAnsi="Times New Roman" w:cs="Times New Roman"/>
              </w:rPr>
            </w:pPr>
          </w:p>
        </w:tc>
        <w:tc>
          <w:tcPr>
            <w:tcW w:w="1333" w:type="dxa"/>
          </w:tcPr>
          <w:p w:rsidR="003C4923" w:rsidRPr="000F1926" w:rsidRDefault="003C4923" w:rsidP="00470957">
            <w:pPr>
              <w:jc w:val="center"/>
              <w:rPr>
                <w:rFonts w:ascii="Times New Roman" w:hAnsi="Times New Roman" w:cs="Times New Roman"/>
              </w:rPr>
            </w:pPr>
            <w:r w:rsidRPr="000F1926">
              <w:rPr>
                <w:rFonts w:ascii="Times New Roman" w:hAnsi="Times New Roman" w:cs="Times New Roman"/>
              </w:rPr>
              <w:t>$67,592,000</w:t>
            </w:r>
          </w:p>
        </w:tc>
        <w:tc>
          <w:tcPr>
            <w:tcW w:w="1343" w:type="dxa"/>
          </w:tcPr>
          <w:p w:rsidR="003C4923" w:rsidRPr="000F1926" w:rsidRDefault="003C4923" w:rsidP="00470957">
            <w:pPr>
              <w:jc w:val="center"/>
              <w:rPr>
                <w:rFonts w:ascii="Times New Roman" w:hAnsi="Times New Roman" w:cs="Times New Roman"/>
              </w:rPr>
            </w:pPr>
            <w:r w:rsidRPr="000F1926">
              <w:rPr>
                <w:rFonts w:ascii="Times New Roman" w:hAnsi="Times New Roman" w:cs="Times New Roman"/>
              </w:rPr>
              <w:t>$67,452,450</w:t>
            </w:r>
          </w:p>
        </w:tc>
        <w:tc>
          <w:tcPr>
            <w:tcW w:w="1463" w:type="dxa"/>
          </w:tcPr>
          <w:p w:rsidR="003C4923" w:rsidRPr="000F1926" w:rsidRDefault="003C4923" w:rsidP="00470957">
            <w:pPr>
              <w:jc w:val="center"/>
              <w:rPr>
                <w:rFonts w:ascii="Times New Roman" w:hAnsi="Times New Roman" w:cs="Times New Roman"/>
              </w:rPr>
            </w:pPr>
          </w:p>
        </w:tc>
      </w:tr>
    </w:tbl>
    <w:p w:rsidR="003C4923" w:rsidRPr="000F1926" w:rsidRDefault="003C4923" w:rsidP="00064BD5">
      <w:pPr>
        <w:pStyle w:val="ParaNum"/>
        <w:numPr>
          <w:ilvl w:val="0"/>
          <w:numId w:val="0"/>
        </w:numPr>
        <w:ind w:left="720"/>
      </w:pPr>
    </w:p>
    <w:p w:rsidR="003C4923" w:rsidRPr="00E321A3" w:rsidRDefault="003C4923" w:rsidP="00E321A3">
      <w:pPr>
        <w:pStyle w:val="ParaNum"/>
        <w:ind w:left="-90"/>
      </w:pPr>
      <w:r w:rsidRPr="00E321A3">
        <w:t xml:space="preserve">When DBS video providers are included in the cable and IPTV subscriber count, the FY 2014 regulatory fee rate for cable television (and IPTV and DBS video service) reduces from a fee rate of $1.00 per subscriber (cable and IPTV subscribers) to $.68 per subscriber.   </w:t>
      </w:r>
      <w:r w:rsidR="00C445EC" w:rsidRPr="00E321A3">
        <w:t>This would affect only the 18 satellites that provide video programming, EchoStar and DIRECTV.  The GSO Space Stations will be reduced by 18 satellites, and $2.5 million in projected revenue.  This would add $2.5 million to cable’s projected revenue, i.e., 34,000,000 new subscribers, totaling 99,400,000 subscribers.</w:t>
      </w:r>
    </w:p>
    <w:p w:rsidR="005273F4" w:rsidRDefault="005273F4" w:rsidP="00E321A3">
      <w:pPr>
        <w:pStyle w:val="ParaNum"/>
        <w:ind w:left="-90"/>
        <w:rPr>
          <w:szCs w:val="22"/>
        </w:rPr>
      </w:pPr>
      <w:r w:rsidRPr="00304290">
        <w:rPr>
          <w:szCs w:val="22"/>
        </w:rPr>
        <w:t>We also note that one</w:t>
      </w:r>
      <w:r w:rsidR="00CA4814">
        <w:rPr>
          <w:szCs w:val="22"/>
        </w:rPr>
        <w:t>-</w:t>
      </w:r>
      <w:r w:rsidRPr="00304290">
        <w:rPr>
          <w:szCs w:val="22"/>
        </w:rPr>
        <w:t>way satellite television subscription service is provided by a variety of satellites in the United States.</w:t>
      </w:r>
      <w:r w:rsidRPr="00304290">
        <w:rPr>
          <w:rStyle w:val="FootnoteReference"/>
          <w:szCs w:val="22"/>
        </w:rPr>
        <w:footnoteReference w:id="81"/>
      </w:r>
      <w:r w:rsidRPr="00304290">
        <w:rPr>
          <w:szCs w:val="22"/>
        </w:rPr>
        <w:t xml:space="preserve">  As a result, there are multiple definitions of DBS in our rules.</w:t>
      </w:r>
      <w:r w:rsidRPr="00304290">
        <w:rPr>
          <w:rStyle w:val="FootnoteReference"/>
          <w:szCs w:val="22"/>
        </w:rPr>
        <w:footnoteReference w:id="82"/>
      </w:r>
      <w:r w:rsidRPr="00304290">
        <w:rPr>
          <w:szCs w:val="22"/>
        </w:rPr>
        <w:t xml:space="preserve">  </w:t>
      </w:r>
      <w:r>
        <w:rPr>
          <w:szCs w:val="22"/>
        </w:rPr>
        <w:t>C</w:t>
      </w:r>
      <w:r w:rsidRPr="00304290">
        <w:rPr>
          <w:szCs w:val="22"/>
        </w:rPr>
        <w:t>ommenters should also explain how they would define DBS satellite television service provider</w:t>
      </w:r>
      <w:r w:rsidR="00CA4814">
        <w:rPr>
          <w:szCs w:val="22"/>
        </w:rPr>
        <w:t>s</w:t>
      </w:r>
      <w:r w:rsidRPr="00304290">
        <w:rPr>
          <w:szCs w:val="22"/>
        </w:rPr>
        <w:t xml:space="preserve"> for regulatory fee purposes. </w:t>
      </w:r>
    </w:p>
    <w:p w:rsidR="005273F4" w:rsidRDefault="005273F4" w:rsidP="00E321A3">
      <w:pPr>
        <w:pStyle w:val="ParaNum"/>
        <w:ind w:left="-90"/>
      </w:pPr>
      <w:r w:rsidRPr="00304290">
        <w:rPr>
          <w:szCs w:val="22"/>
        </w:rPr>
        <w:t>Commenters should also discuss the relationship between regulatory fees that would be paid by DBS satellite television service providers and the regulatory fees paid by operators of GSO satellites</w:t>
      </w:r>
      <w:r w:rsidR="00CA4814">
        <w:rPr>
          <w:szCs w:val="22"/>
        </w:rPr>
        <w:t>,</w:t>
      </w:r>
      <w:r w:rsidRPr="00304290">
        <w:rPr>
          <w:szCs w:val="22"/>
        </w:rPr>
        <w:t xml:space="preserve"> which are used to provide satellite television service to consumers in the U</w:t>
      </w:r>
      <w:r w:rsidR="002424EF">
        <w:rPr>
          <w:szCs w:val="22"/>
        </w:rPr>
        <w:t>nited States</w:t>
      </w:r>
      <w:r w:rsidRPr="00304290">
        <w:rPr>
          <w:szCs w:val="22"/>
        </w:rPr>
        <w:t>.  At the same time, we recognize that non-U.S.-licensed satellites are also used to provide one-way satellite television</w:t>
      </w:r>
      <w:r w:rsidR="00FD199B">
        <w:rPr>
          <w:szCs w:val="22"/>
        </w:rPr>
        <w:t xml:space="preserve"> service to consumers in the United States</w:t>
      </w:r>
      <w:r w:rsidRPr="00304290">
        <w:rPr>
          <w:szCs w:val="22"/>
        </w:rPr>
        <w:t>, but do not pay a regulatory fee.</w:t>
      </w:r>
      <w:r w:rsidRPr="00CC28EF">
        <w:rPr>
          <w:rStyle w:val="FootnoteReference"/>
        </w:rPr>
        <w:footnoteReference w:id="83"/>
      </w:r>
      <w:r w:rsidRPr="00304290">
        <w:rPr>
          <w:szCs w:val="22"/>
        </w:rPr>
        <w:t xml:space="preserve">  Commenters may </w:t>
      </w:r>
      <w:r>
        <w:rPr>
          <w:szCs w:val="22"/>
        </w:rPr>
        <w:t xml:space="preserve">wish to address this point in any discussion of </w:t>
      </w:r>
      <w:r w:rsidRPr="00304290">
        <w:rPr>
          <w:szCs w:val="22"/>
        </w:rPr>
        <w:t>the relationship between the two fee categories</w:t>
      </w:r>
      <w:r>
        <w:rPr>
          <w:szCs w:val="22"/>
        </w:rPr>
        <w:t xml:space="preserve"> and the impact of th</w:t>
      </w:r>
      <w:r w:rsidR="00ED37C9">
        <w:rPr>
          <w:szCs w:val="22"/>
        </w:rPr>
        <w:t>is</w:t>
      </w:r>
      <w:r>
        <w:rPr>
          <w:szCs w:val="22"/>
        </w:rPr>
        <w:t xml:space="preserve"> fee category on the satellite industry</w:t>
      </w:r>
      <w:r w:rsidRPr="00304290">
        <w:rPr>
          <w:szCs w:val="22"/>
        </w:rPr>
        <w:t xml:space="preserve">. </w:t>
      </w:r>
    </w:p>
    <w:p w:rsidR="009B4644" w:rsidRPr="00726E19" w:rsidRDefault="004D7C0B" w:rsidP="00FE30CA">
      <w:pPr>
        <w:pStyle w:val="Heading3"/>
      </w:pPr>
      <w:bookmarkStart w:id="36" w:name="_Toc353987736"/>
      <w:bookmarkStart w:id="37" w:name="_Toc353988057"/>
      <w:bookmarkStart w:id="38" w:name="_Toc384227059"/>
      <w:r w:rsidRPr="00726E19">
        <w:t>Non-U.S.-Licensed Space Stations Serving the United States</w:t>
      </w:r>
      <w:bookmarkEnd w:id="36"/>
      <w:bookmarkEnd w:id="37"/>
      <w:bookmarkEnd w:id="38"/>
    </w:p>
    <w:p w:rsidR="004C18ED" w:rsidRPr="00A33C57" w:rsidRDefault="004C18ED" w:rsidP="003909AC">
      <w:pPr>
        <w:pStyle w:val="ParaNum"/>
        <w:ind w:left="-90"/>
        <w:rPr>
          <w:szCs w:val="22"/>
        </w:rPr>
      </w:pPr>
      <w:r w:rsidRPr="00A33C57">
        <w:rPr>
          <w:szCs w:val="22"/>
        </w:rPr>
        <w:t>To recover the costs associated with policy and rulemaking activities associated with space stations, section 1.1156 of the Commission’s rules includes “Space Station (Geostationary Orbit)” and “Space Stations (Non-Geostationary Orbit)” in the regulatory fee schedule.</w:t>
      </w:r>
      <w:r w:rsidRPr="00A438CD">
        <w:rPr>
          <w:rStyle w:val="FootnoteReference"/>
          <w:szCs w:val="22"/>
        </w:rPr>
        <w:footnoteReference w:id="84"/>
      </w:r>
      <w:r w:rsidRPr="00A33C57">
        <w:rPr>
          <w:szCs w:val="22"/>
        </w:rPr>
        <w:t xml:space="preserve">  These fees are assessed only for U.S.-licensed space stations.  Regulatory fees are not assessed for non-U.S.-licensed space stations that </w:t>
      </w:r>
      <w:r w:rsidR="00BC74BF" w:rsidRPr="00A33C57">
        <w:rPr>
          <w:szCs w:val="22"/>
        </w:rPr>
        <w:t>have been granted access to the market in the United States</w:t>
      </w:r>
      <w:r w:rsidRPr="00A33C57">
        <w:rPr>
          <w:szCs w:val="22"/>
        </w:rPr>
        <w:t>.</w:t>
      </w:r>
      <w:r w:rsidR="00C223A5">
        <w:rPr>
          <w:rStyle w:val="FootnoteReference"/>
          <w:szCs w:val="22"/>
        </w:rPr>
        <w:footnoteReference w:id="85"/>
      </w:r>
      <w:r w:rsidRPr="00A33C57">
        <w:rPr>
          <w:szCs w:val="22"/>
        </w:rPr>
        <w:t xml:space="preserve">  </w:t>
      </w:r>
      <w:r w:rsidR="00FE30CA" w:rsidRPr="00A33C57">
        <w:rPr>
          <w:szCs w:val="22"/>
        </w:rPr>
        <w:t>We previously sought comment on a proposal to assess regulatory fees on non-U.S.-licensed space stations</w:t>
      </w:r>
      <w:r w:rsidR="00FE30CA" w:rsidRPr="00A826EA">
        <w:rPr>
          <w:szCs w:val="22"/>
        </w:rPr>
        <w:t xml:space="preserve"> that have been granted access to the market in the United States</w:t>
      </w:r>
      <w:r w:rsidR="00A826EA" w:rsidRPr="00A826EA">
        <w:rPr>
          <w:szCs w:val="22"/>
        </w:rPr>
        <w:t xml:space="preserve"> and we incorporate that discussion by reference</w:t>
      </w:r>
      <w:r w:rsidR="00FE30CA" w:rsidRPr="00A826EA">
        <w:rPr>
          <w:szCs w:val="22"/>
        </w:rPr>
        <w:t>.</w:t>
      </w:r>
      <w:r w:rsidR="00FE30CA" w:rsidRPr="00A438CD">
        <w:rPr>
          <w:rStyle w:val="FootnoteReference"/>
          <w:szCs w:val="22"/>
        </w:rPr>
        <w:footnoteReference w:id="86"/>
      </w:r>
      <w:r w:rsidR="00FE30CA" w:rsidRPr="00A33C57">
        <w:rPr>
          <w:szCs w:val="22"/>
        </w:rPr>
        <w:t xml:space="preserve">  </w:t>
      </w:r>
      <w:r w:rsidR="002D647A" w:rsidRPr="00A33C57">
        <w:rPr>
          <w:szCs w:val="22"/>
        </w:rPr>
        <w:t>Intelsat supports creating this new category.</w:t>
      </w:r>
      <w:r w:rsidR="002D647A">
        <w:rPr>
          <w:rStyle w:val="FootnoteReference"/>
          <w:szCs w:val="22"/>
        </w:rPr>
        <w:footnoteReference w:id="87"/>
      </w:r>
      <w:r w:rsidR="002D647A" w:rsidRPr="00A33C57">
        <w:rPr>
          <w:szCs w:val="22"/>
        </w:rPr>
        <w:t xml:space="preserve">  Most commenters addressing this issue do not support assessing regulatory fees on non-U.S.-licensed satellites and contend that the Commission does not have authority to do so; such fees would conflict with international treaties; and that a fee assessment could lead to a proliferation of fees from other countries that would have a serious impact on global satellite services.</w:t>
      </w:r>
      <w:r w:rsidR="002D647A">
        <w:rPr>
          <w:rStyle w:val="FootnoteReference"/>
          <w:szCs w:val="22"/>
        </w:rPr>
        <w:footnoteReference w:id="88"/>
      </w:r>
      <w:r w:rsidRPr="00A33C57">
        <w:rPr>
          <w:szCs w:val="22"/>
        </w:rPr>
        <w:t xml:space="preserve">    </w:t>
      </w:r>
    </w:p>
    <w:p w:rsidR="00D76E2F" w:rsidRDefault="004C18ED" w:rsidP="003909AC">
      <w:pPr>
        <w:pStyle w:val="ParaNum"/>
        <w:ind w:left="-90"/>
        <w:rPr>
          <w:szCs w:val="22"/>
        </w:rPr>
      </w:pPr>
      <w:r w:rsidRPr="00A438CD">
        <w:rPr>
          <w:szCs w:val="22"/>
        </w:rPr>
        <w:t xml:space="preserve">We seek </w:t>
      </w:r>
      <w:r w:rsidR="002E6C8B">
        <w:rPr>
          <w:szCs w:val="22"/>
        </w:rPr>
        <w:t>additional</w:t>
      </w:r>
      <w:r w:rsidR="00576B20">
        <w:rPr>
          <w:szCs w:val="22"/>
        </w:rPr>
        <w:t xml:space="preserve"> </w:t>
      </w:r>
      <w:r w:rsidRPr="00A438CD">
        <w:rPr>
          <w:szCs w:val="22"/>
        </w:rPr>
        <w:t xml:space="preserve">comment on whether regulatory fees should be assessed on non-U.S. licensed space station operators </w:t>
      </w:r>
      <w:r w:rsidR="00BC74BF">
        <w:rPr>
          <w:szCs w:val="22"/>
        </w:rPr>
        <w:t>granted access to the market</w:t>
      </w:r>
      <w:r w:rsidRPr="00A438CD">
        <w:rPr>
          <w:szCs w:val="22"/>
        </w:rPr>
        <w:t xml:space="preserve"> in the United States.  Commenters should discuss whether the Commission should revisit the Commission’s 1999 conclusion that the regulatory fee category for Space Stations (Geostationary Orbit) and Space Stations (Non-Geostationary Orbit) in section 1.1156(a) of the Commission’s rules covers only Title III license holders</w:t>
      </w:r>
      <w:r w:rsidR="00515051">
        <w:rPr>
          <w:szCs w:val="22"/>
        </w:rPr>
        <w:t xml:space="preserve">, including </w:t>
      </w:r>
      <w:r w:rsidR="002E6C8B">
        <w:rPr>
          <w:szCs w:val="22"/>
        </w:rPr>
        <w:t xml:space="preserve">the Commission’s </w:t>
      </w:r>
      <w:r w:rsidR="00515051">
        <w:rPr>
          <w:szCs w:val="22"/>
        </w:rPr>
        <w:t xml:space="preserve">finding that </w:t>
      </w:r>
      <w:r w:rsidR="002E6C8B">
        <w:rPr>
          <w:szCs w:val="22"/>
        </w:rPr>
        <w:t>it</w:t>
      </w:r>
      <w:r w:rsidR="00515051">
        <w:rPr>
          <w:szCs w:val="22"/>
        </w:rPr>
        <w:t xml:space="preserve"> “</w:t>
      </w:r>
      <w:r w:rsidR="00E83DE7" w:rsidRPr="00A438CD">
        <w:rPr>
          <w:szCs w:val="22"/>
        </w:rPr>
        <w:t>cannot include operators of non-U.S.-licensed satellite space stations among regulatory fee payors.”</w:t>
      </w:r>
      <w:r w:rsidR="00E83DE7" w:rsidRPr="00A438CD">
        <w:rPr>
          <w:rStyle w:val="FootnoteReference"/>
          <w:szCs w:val="22"/>
        </w:rPr>
        <w:footnoteReference w:id="89"/>
      </w:r>
      <w:r w:rsidRPr="00A438CD">
        <w:rPr>
          <w:szCs w:val="22"/>
        </w:rPr>
        <w:t xml:space="preserve">  </w:t>
      </w:r>
      <w:r w:rsidR="00146429" w:rsidRPr="00A438CD">
        <w:rPr>
          <w:szCs w:val="22"/>
        </w:rPr>
        <w:t>Commenters should also discuss any negative policy implications that ma</w:t>
      </w:r>
      <w:r w:rsidR="00F32453" w:rsidRPr="00A438CD">
        <w:rPr>
          <w:szCs w:val="22"/>
        </w:rPr>
        <w:t xml:space="preserve">y arise from taking such action, such as the likelihood that other countries will </w:t>
      </w:r>
      <w:r w:rsidR="00B31251">
        <w:rPr>
          <w:szCs w:val="22"/>
        </w:rPr>
        <w:t>choose to</w:t>
      </w:r>
      <w:r w:rsidR="00F32453" w:rsidRPr="00A438CD">
        <w:rPr>
          <w:szCs w:val="22"/>
        </w:rPr>
        <w:t xml:space="preserve"> assess fees on U.S.-licensed satellite systems.</w:t>
      </w:r>
      <w:r w:rsidR="00101DE7">
        <w:rPr>
          <w:szCs w:val="22"/>
        </w:rPr>
        <w:t xml:space="preserve">  T</w:t>
      </w:r>
      <w:r w:rsidR="00D76E2F">
        <w:rPr>
          <w:szCs w:val="22"/>
        </w:rPr>
        <w:t>able 3</w:t>
      </w:r>
      <w:r w:rsidR="00101DE7">
        <w:rPr>
          <w:szCs w:val="22"/>
        </w:rPr>
        <w:t xml:space="preserve"> below illustrates the </w:t>
      </w:r>
      <w:r w:rsidR="00F53C87">
        <w:rPr>
          <w:szCs w:val="22"/>
        </w:rPr>
        <w:t>number of feeable (U.S. licensed) versus non-feeable (non-U.S. licensed) satellites that require agency resources to be expended.</w:t>
      </w:r>
    </w:p>
    <w:p w:rsidR="00F53C87" w:rsidRPr="00D76E2F" w:rsidRDefault="00D76E2F" w:rsidP="0083075A">
      <w:pPr>
        <w:jc w:val="center"/>
        <w:rPr>
          <w:b/>
        </w:rPr>
      </w:pPr>
      <w:r>
        <w:rPr>
          <w:b/>
        </w:rPr>
        <w:t xml:space="preserve">Table </w:t>
      </w:r>
      <w:r w:rsidR="00067B87">
        <w:rPr>
          <w:b/>
        </w:rPr>
        <w:t>5</w:t>
      </w:r>
      <w:r>
        <w:rPr>
          <w:b/>
        </w:rPr>
        <w:t xml:space="preserve">:  </w:t>
      </w:r>
      <w:r w:rsidR="002868FF">
        <w:rPr>
          <w:b/>
        </w:rPr>
        <w:t>Projected Number of Satellites that a</w:t>
      </w:r>
      <w:r w:rsidR="009B1455" w:rsidRPr="00D76E2F">
        <w:rPr>
          <w:b/>
        </w:rPr>
        <w:t xml:space="preserve">re Regulatory Feeable and Non-Feeable </w:t>
      </w:r>
    </w:p>
    <w:p w:rsidR="00F53C87" w:rsidRPr="007C4DC7" w:rsidRDefault="00F53C87" w:rsidP="00F53C87">
      <w:pPr>
        <w:ind w:left="720"/>
      </w:pPr>
    </w:p>
    <w:tbl>
      <w:tblPr>
        <w:tblW w:w="9810" w:type="dxa"/>
        <w:tblInd w:w="-72" w:type="dxa"/>
        <w:tblCellMar>
          <w:left w:w="0" w:type="dxa"/>
          <w:right w:w="0" w:type="dxa"/>
        </w:tblCellMar>
        <w:tblLook w:val="04A0" w:firstRow="1" w:lastRow="0" w:firstColumn="1" w:lastColumn="0" w:noHBand="0" w:noVBand="1"/>
      </w:tblPr>
      <w:tblGrid>
        <w:gridCol w:w="1980"/>
        <w:gridCol w:w="1980"/>
        <w:gridCol w:w="1440"/>
        <w:gridCol w:w="1440"/>
        <w:gridCol w:w="1530"/>
        <w:gridCol w:w="1440"/>
      </w:tblGrid>
      <w:tr w:rsidR="00F53C87" w:rsidTr="0083075A">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C87" w:rsidRDefault="00F53C87">
            <w:pPr>
              <w:jc w:val="center"/>
              <w:rPr>
                <w:rFonts w:ascii="Calibri" w:hAnsi="Calibri" w:cs="Calibri"/>
                <w:szCs w:val="22"/>
              </w:rPr>
            </w:pPr>
            <w:r>
              <w:t>Regulatory Feeable</w:t>
            </w:r>
          </w:p>
          <w:p w:rsidR="00F53C87" w:rsidRDefault="00F53C87">
            <w:pPr>
              <w:jc w:val="center"/>
              <w:rPr>
                <w:rFonts w:ascii="Calibri" w:hAnsi="Calibri" w:cs="Calibri"/>
                <w:szCs w:val="22"/>
              </w:rPr>
            </w:pPr>
            <w:r>
              <w:t>GSO &amp; NGSO Satellites</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C87" w:rsidRDefault="00F53C87">
            <w:pPr>
              <w:jc w:val="center"/>
              <w:rPr>
                <w:rFonts w:ascii="Calibri" w:hAnsi="Calibri" w:cs="Calibri"/>
                <w:szCs w:val="22"/>
              </w:rPr>
            </w:pPr>
            <w:r>
              <w:t>Market Access List</w:t>
            </w:r>
          </w:p>
          <w:p w:rsidR="00F53C87" w:rsidRDefault="00F53C87">
            <w:pPr>
              <w:jc w:val="center"/>
              <w:rPr>
                <w:rFonts w:ascii="Calibri" w:hAnsi="Calibri" w:cs="Calibri"/>
                <w:szCs w:val="22"/>
              </w:rPr>
            </w:pPr>
            <w:r>
              <w:t>(Not Feeable)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C87" w:rsidRDefault="00F53C87">
            <w:pPr>
              <w:jc w:val="center"/>
              <w:rPr>
                <w:rFonts w:ascii="Calibri" w:hAnsi="Calibri" w:cs="Calibri"/>
                <w:szCs w:val="22"/>
              </w:rPr>
            </w:pPr>
            <w:r>
              <w:t>K-Band List</w:t>
            </w:r>
          </w:p>
          <w:p w:rsidR="00F53C87" w:rsidRDefault="00F53C87">
            <w:pPr>
              <w:jc w:val="center"/>
              <w:rPr>
                <w:rFonts w:ascii="Calibri" w:hAnsi="Calibri" w:cs="Calibri"/>
                <w:szCs w:val="22"/>
              </w:rPr>
            </w:pPr>
            <w:r>
              <w:t>(Not Feeable)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C87" w:rsidRDefault="00F53C87">
            <w:pPr>
              <w:jc w:val="center"/>
              <w:rPr>
                <w:rFonts w:ascii="Calibri" w:hAnsi="Calibri" w:cs="Calibri"/>
                <w:szCs w:val="22"/>
              </w:rPr>
            </w:pPr>
            <w:r>
              <w:t>ISAT List</w:t>
            </w:r>
          </w:p>
          <w:p w:rsidR="00F53C87" w:rsidRDefault="00F53C87">
            <w:pPr>
              <w:jc w:val="center"/>
              <w:rPr>
                <w:rFonts w:ascii="Calibri" w:hAnsi="Calibri" w:cs="Calibri"/>
                <w:szCs w:val="22"/>
              </w:rPr>
            </w:pPr>
            <w:r>
              <w:t>(Not Feeable)</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C87" w:rsidRDefault="00F53C87">
            <w:pPr>
              <w:jc w:val="center"/>
              <w:rPr>
                <w:rFonts w:ascii="Calibri" w:hAnsi="Calibri" w:cs="Calibri"/>
                <w:szCs w:val="22"/>
              </w:rPr>
            </w:pPr>
            <w:r>
              <w:t>Permitted List</w:t>
            </w:r>
          </w:p>
          <w:p w:rsidR="00F53C87" w:rsidRDefault="00F53C87">
            <w:pPr>
              <w:jc w:val="center"/>
              <w:rPr>
                <w:rFonts w:ascii="Calibri" w:hAnsi="Calibri" w:cs="Calibri"/>
                <w:szCs w:val="22"/>
              </w:rPr>
            </w:pPr>
            <w:r>
              <w:t>(Not Feeable)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C87" w:rsidRDefault="00F53C87">
            <w:pPr>
              <w:jc w:val="center"/>
              <w:rPr>
                <w:rFonts w:ascii="Calibri" w:hAnsi="Calibri" w:cs="Calibri"/>
                <w:szCs w:val="22"/>
              </w:rPr>
            </w:pPr>
            <w:r>
              <w:t>Total</w:t>
            </w:r>
          </w:p>
          <w:p w:rsidR="00F53C87" w:rsidRDefault="00F53C87">
            <w:pPr>
              <w:jc w:val="center"/>
              <w:rPr>
                <w:rFonts w:ascii="Calibri" w:hAnsi="Calibri" w:cs="Calibri"/>
                <w:szCs w:val="22"/>
              </w:rPr>
            </w:pPr>
            <w:r>
              <w:t>(Not Feeable)</w:t>
            </w:r>
          </w:p>
        </w:tc>
      </w:tr>
      <w:tr w:rsidR="00F53C87" w:rsidTr="0083075A">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C87" w:rsidRDefault="00F53C87">
            <w:pPr>
              <w:jc w:val="center"/>
              <w:rPr>
                <w:rFonts w:ascii="Calibri" w:hAnsi="Calibri" w:cs="Calibri"/>
                <w:szCs w:val="22"/>
              </w:rPr>
            </w:pPr>
            <w:r>
              <w:t>100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53C87" w:rsidRDefault="00F53C87">
            <w:pPr>
              <w:jc w:val="center"/>
              <w:rPr>
                <w:rFonts w:ascii="Calibri" w:hAnsi="Calibri" w:cs="Calibri"/>
                <w:szCs w:val="22"/>
              </w:rPr>
            </w:pPr>
            <w:r>
              <w:t>19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53C87" w:rsidRDefault="00F53C87">
            <w:pPr>
              <w:jc w:val="center"/>
              <w:rPr>
                <w:rFonts w:ascii="Calibri" w:hAnsi="Calibri" w:cs="Calibri"/>
                <w:szCs w:val="22"/>
              </w:rPr>
            </w:pPr>
            <w: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53C87" w:rsidRDefault="00F53C87">
            <w:pPr>
              <w:jc w:val="center"/>
              <w:rPr>
                <w:rFonts w:ascii="Calibri" w:hAnsi="Calibri" w:cs="Calibri"/>
                <w:szCs w:val="22"/>
              </w:rPr>
            </w:pPr>
            <w:r>
              <w:t>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F53C87" w:rsidRDefault="00F53C87">
            <w:pPr>
              <w:jc w:val="center"/>
              <w:rPr>
                <w:rFonts w:ascii="Calibri" w:hAnsi="Calibri" w:cs="Calibri"/>
                <w:szCs w:val="22"/>
              </w:rPr>
            </w:pPr>
            <w:r>
              <w:t>38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53C87" w:rsidRDefault="00F53C87">
            <w:pPr>
              <w:jc w:val="center"/>
              <w:rPr>
                <w:rFonts w:ascii="Calibri" w:hAnsi="Calibri" w:cs="Calibri"/>
                <w:szCs w:val="22"/>
              </w:rPr>
            </w:pPr>
            <w:r>
              <w:t>69</w:t>
            </w:r>
          </w:p>
        </w:tc>
      </w:tr>
    </w:tbl>
    <w:p w:rsidR="00F53C87" w:rsidRDefault="00F53C87" w:rsidP="00F53C87">
      <w:pPr>
        <w:ind w:left="720"/>
        <w:rPr>
          <w:rFonts w:ascii="Calibri" w:hAnsi="Calibri" w:cs="Calibri"/>
          <w:szCs w:val="22"/>
        </w:rPr>
      </w:pPr>
    </w:p>
    <w:p w:rsidR="004638C1" w:rsidRPr="004638C1" w:rsidRDefault="00F53C87" w:rsidP="003909AC">
      <w:pPr>
        <w:pStyle w:val="ParaNum"/>
        <w:ind w:left="-90"/>
      </w:pPr>
      <w:r w:rsidRPr="00AB26CD">
        <w:rPr>
          <w:szCs w:val="22"/>
        </w:rPr>
        <w:t>Co</w:t>
      </w:r>
      <w:r w:rsidR="004C18ED" w:rsidRPr="00AB26CD">
        <w:rPr>
          <w:szCs w:val="22"/>
        </w:rPr>
        <w:t>mmenters advocat</w:t>
      </w:r>
      <w:r w:rsidR="00515051" w:rsidRPr="00AB26CD">
        <w:rPr>
          <w:szCs w:val="22"/>
        </w:rPr>
        <w:t>ing the</w:t>
      </w:r>
      <w:r w:rsidR="004C18ED" w:rsidRPr="00AB26CD">
        <w:rPr>
          <w:szCs w:val="22"/>
        </w:rPr>
        <w:t xml:space="preserve"> assess</w:t>
      </w:r>
      <w:r w:rsidR="00515051" w:rsidRPr="00AB26CD">
        <w:rPr>
          <w:szCs w:val="22"/>
        </w:rPr>
        <w:t>ment of</w:t>
      </w:r>
      <w:r w:rsidR="004C18ED" w:rsidRPr="00AB26CD">
        <w:rPr>
          <w:szCs w:val="22"/>
        </w:rPr>
        <w:t xml:space="preserve"> regulatory fees on non-U.S.-licensed space stations </w:t>
      </w:r>
      <w:r w:rsidR="00BC74BF" w:rsidRPr="00AB26CD">
        <w:rPr>
          <w:szCs w:val="22"/>
        </w:rPr>
        <w:t xml:space="preserve">granted access to the market </w:t>
      </w:r>
      <w:r w:rsidR="004C18ED" w:rsidRPr="00AB26CD">
        <w:rPr>
          <w:szCs w:val="22"/>
        </w:rPr>
        <w:t>in the United States should propose how the fees should be calculated and applied</w:t>
      </w:r>
      <w:r w:rsidR="00BC74BF" w:rsidRPr="00AB26CD">
        <w:rPr>
          <w:szCs w:val="22"/>
        </w:rPr>
        <w:t xml:space="preserve">.  Because market access is granted through a variety of procedural mechanisms, commenters should address each situation.  For example, how would fees be calculated and applied </w:t>
      </w:r>
      <w:r w:rsidR="004C18ED" w:rsidRPr="00AB26CD">
        <w:rPr>
          <w:szCs w:val="22"/>
        </w:rPr>
        <w:t xml:space="preserve">in instances where the non-U.S.-licensed space station operator accesses the U.S. market solely through </w:t>
      </w:r>
      <w:r w:rsidR="00BC74BF" w:rsidRPr="00AB26CD">
        <w:rPr>
          <w:szCs w:val="22"/>
        </w:rPr>
        <w:t xml:space="preserve">grant of </w:t>
      </w:r>
      <w:r w:rsidR="004C18ED" w:rsidRPr="00AB26CD">
        <w:rPr>
          <w:szCs w:val="22"/>
        </w:rPr>
        <w:t xml:space="preserve">an application by a U.S.-licensed earth station operator </w:t>
      </w:r>
      <w:r w:rsidR="00BC74BF" w:rsidRPr="00AB26CD">
        <w:rPr>
          <w:szCs w:val="22"/>
        </w:rPr>
        <w:t xml:space="preserve">identifying </w:t>
      </w:r>
      <w:r w:rsidR="004C18ED" w:rsidRPr="00AB26CD">
        <w:rPr>
          <w:szCs w:val="22"/>
        </w:rPr>
        <w:t>the non-U.S. licensed space station as a point of communication</w:t>
      </w:r>
      <w:r w:rsidR="00BC74BF" w:rsidRPr="00AB26CD">
        <w:rPr>
          <w:szCs w:val="22"/>
        </w:rPr>
        <w:t>?</w:t>
      </w:r>
      <w:r w:rsidR="004C18ED" w:rsidRPr="00AB26CD">
        <w:rPr>
          <w:szCs w:val="22"/>
        </w:rPr>
        <w:t xml:space="preserve">  Commenters should also provide specific information as to whether other countries already assess fees in one form or another on U.S.-licensed satellite systems accessing their markets.</w:t>
      </w:r>
      <w:r w:rsidR="00AB26CD" w:rsidRPr="00AB26CD">
        <w:rPr>
          <w:i/>
          <w:szCs w:val="22"/>
        </w:rPr>
        <w:t xml:space="preserve"> </w:t>
      </w:r>
    </w:p>
    <w:p w:rsidR="004C18ED" w:rsidRPr="003F50B5" w:rsidRDefault="00AB26CD" w:rsidP="003909AC">
      <w:pPr>
        <w:pStyle w:val="ParaNum"/>
        <w:ind w:left="-90"/>
      </w:pPr>
      <w:r w:rsidRPr="004638C1">
        <w:rPr>
          <w:szCs w:val="22"/>
        </w:rPr>
        <w:t xml:space="preserve">Based on Commission filings over the past three years, there were eleven applications filed each year for U.S. space station authorization, eight applications per year to add a non-U.S.-licensed space station to the Permitted List, and ten applications per year from U.S. earth stations to communicate with non-U.S.-licensed space stations that are not on the Permitted List.  Thus, over half of the space station applications and notifications during this three year period pertained to non-U.S.-licensed space stations.  As Intelsat observes, </w:t>
      </w:r>
      <w:r w:rsidR="004638C1" w:rsidRPr="004638C1">
        <w:rPr>
          <w:szCs w:val="22"/>
        </w:rPr>
        <w:t>“[</w:t>
      </w:r>
      <w:r w:rsidRPr="004638C1">
        <w:rPr>
          <w:szCs w:val="22"/>
        </w:rPr>
        <w:t>t</w:t>
      </w:r>
      <w:r w:rsidR="004638C1" w:rsidRPr="004638C1">
        <w:rPr>
          <w:szCs w:val="22"/>
        </w:rPr>
        <w:t>]</w:t>
      </w:r>
      <w:r w:rsidRPr="004638C1">
        <w:rPr>
          <w:szCs w:val="22"/>
        </w:rPr>
        <w:t xml:space="preserve">he </w:t>
      </w:r>
      <w:r w:rsidR="004638C1" w:rsidRPr="004638C1">
        <w:rPr>
          <w:szCs w:val="22"/>
        </w:rPr>
        <w:t xml:space="preserve">Satellite Division’s </w:t>
      </w:r>
      <w:r w:rsidRPr="004638C1">
        <w:rPr>
          <w:szCs w:val="22"/>
        </w:rPr>
        <w:t xml:space="preserve">work </w:t>
      </w:r>
      <w:r w:rsidR="004638C1" w:rsidRPr="004638C1">
        <w:rPr>
          <w:szCs w:val="22"/>
        </w:rPr>
        <w:t>on behalf of non-U.S.-licensed satellite operators with U.S. market access generates regulatory costs.”</w:t>
      </w:r>
      <w:r w:rsidR="004638C1">
        <w:rPr>
          <w:rStyle w:val="FootnoteReference"/>
          <w:szCs w:val="22"/>
        </w:rPr>
        <w:footnoteReference w:id="90"/>
      </w:r>
      <w:r w:rsidR="004638C1">
        <w:rPr>
          <w:szCs w:val="22"/>
        </w:rPr>
        <w:t xml:space="preserve">  </w:t>
      </w:r>
      <w:r w:rsidR="000F5F1C">
        <w:rPr>
          <w:szCs w:val="22"/>
        </w:rPr>
        <w:t xml:space="preserve">As an alternative to </w:t>
      </w:r>
      <w:r w:rsidRPr="004638C1">
        <w:rPr>
          <w:szCs w:val="22"/>
        </w:rPr>
        <w:t>adopting a new regulatory fee category for non-U.S.-licensed space stations</w:t>
      </w:r>
      <w:r w:rsidR="000F5F1C">
        <w:rPr>
          <w:szCs w:val="22"/>
        </w:rPr>
        <w:t xml:space="preserve">, </w:t>
      </w:r>
      <w:r w:rsidR="00347CA9">
        <w:rPr>
          <w:szCs w:val="22"/>
        </w:rPr>
        <w:t xml:space="preserve">as discussed above, </w:t>
      </w:r>
      <w:r w:rsidRPr="004638C1">
        <w:rPr>
          <w:szCs w:val="22"/>
        </w:rPr>
        <w:t>FTEs working on petitions or other matters involving non-U.S.-licensed satellites could be removed from the regulatory fee assessments for U.S.-licensed satellites</w:t>
      </w:r>
      <w:r w:rsidR="00347CA9">
        <w:rPr>
          <w:szCs w:val="22"/>
        </w:rPr>
        <w:t xml:space="preserve"> and considered indirect for regulatory fee purposes</w:t>
      </w:r>
      <w:r w:rsidRPr="004638C1">
        <w:rPr>
          <w:szCs w:val="22"/>
        </w:rPr>
        <w:t xml:space="preserve">.  We seek comment on whether these FTEs should be considered indirect FTEs because their responsibilities concerning non-U.S.-licensed satellite operators are of general benefit to the United States public, as well as other entities, including the </w:t>
      </w:r>
      <w:r w:rsidR="00347CA9">
        <w:rPr>
          <w:szCs w:val="22"/>
        </w:rPr>
        <w:t>United States</w:t>
      </w:r>
      <w:r w:rsidRPr="004638C1">
        <w:rPr>
          <w:szCs w:val="22"/>
        </w:rPr>
        <w:t xml:space="preserve"> government, who use</w:t>
      </w:r>
      <w:r w:rsidR="00347CA9">
        <w:rPr>
          <w:szCs w:val="22"/>
        </w:rPr>
        <w:t>s</w:t>
      </w:r>
      <w:r w:rsidRPr="004638C1">
        <w:rPr>
          <w:szCs w:val="22"/>
        </w:rPr>
        <w:t xml:space="preserve"> these satellite services.  Indirect treatment may be further warranted because U.S. earth stations utilize these foreign satellites.  We seek comment on whether these FTEs should be considered “indirect” FTEs instead of direct International Bureau FTEs.</w:t>
      </w:r>
    </w:p>
    <w:p w:rsidR="00AF1916" w:rsidRDefault="00794CB8" w:rsidP="00064BD5">
      <w:pPr>
        <w:pStyle w:val="Heading3"/>
      </w:pPr>
      <w:r>
        <w:t>Toll free numbers</w:t>
      </w:r>
    </w:p>
    <w:p w:rsidR="00AF1916" w:rsidRDefault="00AF1916" w:rsidP="00097EEB">
      <w:pPr>
        <w:pStyle w:val="ParaNum"/>
      </w:pPr>
      <w:r>
        <w:t>We seek comment on whether toll free numbers, as defined in section 52.101(f) of our rules,</w:t>
      </w:r>
      <w:r>
        <w:rPr>
          <w:rStyle w:val="FootnoteReference"/>
        </w:rPr>
        <w:footnoteReference w:id="91"/>
      </w:r>
      <w:r>
        <w:t xml:space="preserve"> </w:t>
      </w:r>
      <w:r w:rsidR="00794CB8">
        <w:t xml:space="preserve">should be added to the regulatory fee schedule set forth in section 9.  Toll free numbers </w:t>
      </w:r>
      <w:r>
        <w:t>are not currently subject to regulatory fees.  These numbers are managed by a RespOrg, or Responsible Organization, for toll free subscribers.  Commission resources are used in enforcement activities,</w:t>
      </w:r>
      <w:r w:rsidR="00CF4F47">
        <w:rPr>
          <w:rStyle w:val="FootnoteReference"/>
        </w:rPr>
        <w:footnoteReference w:id="92"/>
      </w:r>
      <w:r w:rsidR="00C5551F">
        <w:t xml:space="preserve"> </w:t>
      </w:r>
      <w:r>
        <w:t xml:space="preserve">as well </w:t>
      </w:r>
      <w:r w:rsidR="00C5551F">
        <w:t>as rulemakings</w:t>
      </w:r>
      <w:r w:rsidR="00A67B4A">
        <w:t xml:space="preserve"> and other policy making proceedings</w:t>
      </w:r>
      <w:r w:rsidR="00C5551F">
        <w:t>,</w:t>
      </w:r>
      <w:r w:rsidR="00C5551F">
        <w:rPr>
          <w:rStyle w:val="FootnoteReference"/>
        </w:rPr>
        <w:footnoteReference w:id="93"/>
      </w:r>
      <w:r w:rsidR="00FB1AFA">
        <w:t xml:space="preserve"> </w:t>
      </w:r>
      <w:r>
        <w:t xml:space="preserve">pertaining to the use of these numbers.  </w:t>
      </w:r>
      <w:r w:rsidR="00CE7247">
        <w:t xml:space="preserve">Historically, the Commission has not assessed regulatory fees on toll free numbers, under the </w:t>
      </w:r>
      <w:r w:rsidR="001C2006">
        <w:t xml:space="preserve">rationale </w:t>
      </w:r>
      <w:r w:rsidR="00CE7247">
        <w:t xml:space="preserve">that the entities controlling the numbers, wireline and wireless carriers, were paying regulatory fees based on </w:t>
      </w:r>
      <w:r w:rsidR="001C2006">
        <w:t xml:space="preserve">either </w:t>
      </w:r>
      <w:r w:rsidR="00CE7247">
        <w:t xml:space="preserve">revenues </w:t>
      </w:r>
      <w:r w:rsidR="001C2006">
        <w:t>or</w:t>
      </w:r>
      <w:r w:rsidR="00CE7247">
        <w:t xml:space="preserve"> subscribers.</w:t>
      </w:r>
      <w:r w:rsidR="00D47CAD">
        <w:rPr>
          <w:rStyle w:val="FootnoteReference"/>
        </w:rPr>
        <w:footnoteReference w:id="94"/>
      </w:r>
      <w:r w:rsidR="00CE7247">
        <w:t xml:space="preserve">  This may no longer be a realistic assumption today as there appear to be many toll free numbers controlled or managed by entities that are not carriers.  </w:t>
      </w:r>
      <w:r>
        <w:t xml:space="preserve">We </w:t>
      </w:r>
      <w:r w:rsidR="00CE7247">
        <w:t xml:space="preserve">therefore </w:t>
      </w:r>
      <w:r>
        <w:t xml:space="preserve">seek comment on whether we should assess regulatory fees on RespOrgs, for each toll free number managed by a RespOrg.  </w:t>
      </w:r>
      <w:r w:rsidR="00810C0D">
        <w:t>We seek comment on whether we should assess regulatory fees on working</w:t>
      </w:r>
      <w:r w:rsidR="00810C0D" w:rsidRPr="00810C0D">
        <w:t>, assigned</w:t>
      </w:r>
      <w:r w:rsidR="00810C0D">
        <w:t>,</w:t>
      </w:r>
      <w:r w:rsidR="00810C0D" w:rsidRPr="00810C0D">
        <w:t xml:space="preserve"> and reserved </w:t>
      </w:r>
      <w:r w:rsidR="00810C0D">
        <w:t xml:space="preserve">toll free numbers.  In addition, should we assess regulatory fees for toll free numbers that are in the “transit” status, </w:t>
      </w:r>
      <w:r w:rsidR="00810C0D" w:rsidRPr="00810C0D">
        <w:t>or any other status</w:t>
      </w:r>
      <w:r w:rsidR="008466B0">
        <w:t xml:space="preserve"> as defined in section 52.103 of the Commission’s rules</w:t>
      </w:r>
      <w:r w:rsidR="00810C0D" w:rsidRPr="00810C0D">
        <w:t xml:space="preserve">?  </w:t>
      </w:r>
      <w:r w:rsidR="00FB1AFA">
        <w:t>Commenters should discuss an appropriate regulatory fee for this new category</w:t>
      </w:r>
      <w:r w:rsidR="00794CB8">
        <w:t>;</w:t>
      </w:r>
      <w:r w:rsidR="00FB1AFA">
        <w:t xml:space="preserve"> e.g., one cent per month, or twelve cents per year</w:t>
      </w:r>
      <w:r w:rsidR="000626FE">
        <w:t xml:space="preserve">.  Using this figure, the amount of fees collected could total approximately </w:t>
      </w:r>
      <w:r w:rsidR="00FB1AFA">
        <w:t>$4 million per year</w:t>
      </w:r>
      <w:r w:rsidR="000626FE">
        <w:t>, depending on how many toll free numbers continued to be managed by RespOrgs if the regulatory fee were to be imposed</w:t>
      </w:r>
      <w:r w:rsidR="00FB1AFA">
        <w:t xml:space="preserve">. </w:t>
      </w:r>
      <w:r w:rsidR="00794CB8">
        <w:t xml:space="preserve"> </w:t>
      </w:r>
      <w:r w:rsidR="00FB1AFA">
        <w:t>The FTEs involved in toll free issues are primarily from the Wireline Competition Bureau;</w:t>
      </w:r>
      <w:r w:rsidR="00FB1AFA">
        <w:rPr>
          <w:rStyle w:val="FootnoteReference"/>
        </w:rPr>
        <w:footnoteReference w:id="95"/>
      </w:r>
      <w:r w:rsidR="00FB1AFA">
        <w:t xml:space="preserve"> therefore, this additional fee would reduce the ITSP regulatory fee total.</w:t>
      </w:r>
    </w:p>
    <w:p w:rsidR="00B04C42" w:rsidRDefault="00B04C42" w:rsidP="00E001BD">
      <w:pPr>
        <w:pStyle w:val="Heading3"/>
      </w:pPr>
      <w:r>
        <w:t>Permitted Amendments</w:t>
      </w:r>
    </w:p>
    <w:p w:rsidR="00B04C42" w:rsidRPr="00A438CD" w:rsidRDefault="00B04C42" w:rsidP="00B04C42">
      <w:pPr>
        <w:pStyle w:val="ParaNum"/>
        <w:ind w:left="-90"/>
        <w:rPr>
          <w:rStyle w:val="documentbody1"/>
          <w:rFonts w:ascii="Times New Roman" w:hAnsi="Times New Roman"/>
          <w:sz w:val="22"/>
          <w:szCs w:val="20"/>
        </w:rPr>
      </w:pPr>
      <w:r>
        <w:rPr>
          <w:szCs w:val="22"/>
        </w:rPr>
        <w:t xml:space="preserve">We tentatively conclude that including the three categories discussed above:  DBS, non-U.S.-licensed space stations, and toll free numbers, in new or revised regulatory fee categories would </w:t>
      </w:r>
      <w:r w:rsidRPr="00A438CD">
        <w:rPr>
          <w:szCs w:val="22"/>
        </w:rPr>
        <w:t>constitute a reclassification of services in the regulatory fee schedule as defined in section 9(b)(3) of the Act,</w:t>
      </w:r>
      <w:r w:rsidRPr="00A438CD">
        <w:rPr>
          <w:rStyle w:val="FootnoteReference"/>
          <w:szCs w:val="22"/>
        </w:rPr>
        <w:footnoteReference w:id="96"/>
      </w:r>
      <w:r w:rsidRPr="00A438CD">
        <w:rPr>
          <w:szCs w:val="22"/>
        </w:rPr>
        <w:t xml:space="preserve"> and pursuant to section 9(b)(4)(B) must be submitted to Congress at least 90 days before it becomes effective.</w:t>
      </w:r>
      <w:r w:rsidRPr="00A438CD">
        <w:rPr>
          <w:rStyle w:val="FootnoteReference"/>
          <w:szCs w:val="22"/>
        </w:rPr>
        <w:footnoteReference w:id="97"/>
      </w:r>
      <w:r w:rsidRPr="00A438CD">
        <w:t xml:space="preserve">  </w:t>
      </w:r>
      <w:r w:rsidRPr="00A438CD">
        <w:rPr>
          <w:rStyle w:val="documentbody1"/>
          <w:rFonts w:ascii="Times New Roman" w:hAnsi="Times New Roman"/>
          <w:sz w:val="22"/>
          <w:szCs w:val="22"/>
        </w:rPr>
        <w:t xml:space="preserve">  </w:t>
      </w:r>
    </w:p>
    <w:p w:rsidR="00091420" w:rsidRPr="002D2C42" w:rsidRDefault="00091420" w:rsidP="00091420">
      <w:pPr>
        <w:pStyle w:val="Heading1"/>
        <w:widowControl/>
        <w:rPr>
          <w:rFonts w:ascii="Times New Roman" w:hAnsi="Times New Roman"/>
          <w:szCs w:val="22"/>
        </w:rPr>
      </w:pPr>
      <w:bookmarkStart w:id="39" w:name="_Toc382567926"/>
      <w:bookmarkStart w:id="40" w:name="_Toc384227062"/>
      <w:r w:rsidRPr="002D2C42">
        <w:rPr>
          <w:rFonts w:ascii="Times New Roman" w:hAnsi="Times New Roman"/>
          <w:szCs w:val="22"/>
        </w:rPr>
        <w:t>procedural matters</w:t>
      </w:r>
      <w:bookmarkEnd w:id="39"/>
      <w:bookmarkEnd w:id="40"/>
    </w:p>
    <w:p w:rsidR="00091420" w:rsidRDefault="00091420" w:rsidP="00091420">
      <w:pPr>
        <w:pStyle w:val="Heading2"/>
        <w:rPr>
          <w:szCs w:val="22"/>
        </w:rPr>
      </w:pPr>
      <w:bookmarkStart w:id="41" w:name="_Toc285458170"/>
      <w:bookmarkStart w:id="42" w:name="_Toc289263533"/>
      <w:bookmarkStart w:id="43" w:name="_Toc292177321"/>
      <w:bookmarkStart w:id="44" w:name="_Toc296691761"/>
      <w:bookmarkStart w:id="45" w:name="_Toc297116981"/>
      <w:bookmarkStart w:id="46" w:name="_Toc298752209"/>
      <w:bookmarkStart w:id="47" w:name="_Toc299091574"/>
      <w:bookmarkStart w:id="48" w:name="_Toc319681886"/>
      <w:bookmarkStart w:id="49" w:name="_Toc320103193"/>
      <w:bookmarkStart w:id="50" w:name="_Toc320615943"/>
      <w:bookmarkStart w:id="51" w:name="_Toc320616361"/>
      <w:bookmarkStart w:id="52" w:name="_Toc320616500"/>
      <w:bookmarkStart w:id="53" w:name="_Toc320632321"/>
      <w:bookmarkStart w:id="54" w:name="_Toc320632354"/>
      <w:bookmarkStart w:id="55" w:name="_Toc320639461"/>
      <w:bookmarkStart w:id="56" w:name="_Toc321130260"/>
      <w:bookmarkStart w:id="57" w:name="_Toc321301162"/>
      <w:bookmarkStart w:id="58" w:name="_Toc327344918"/>
      <w:bookmarkStart w:id="59" w:name="_Toc327454758"/>
      <w:bookmarkStart w:id="60" w:name="_Toc328052401"/>
      <w:bookmarkStart w:id="61" w:name="_Toc330473852"/>
      <w:bookmarkStart w:id="62" w:name="_Toc382567927"/>
      <w:bookmarkStart w:id="63" w:name="_Toc384227063"/>
      <w:r w:rsidRPr="002D2C42">
        <w:rPr>
          <w:szCs w:val="22"/>
        </w:rPr>
        <w:t>Payment of Regulatory Fees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FA0F34" w:rsidRDefault="00FA0F34" w:rsidP="003909AC">
      <w:pPr>
        <w:pStyle w:val="ParaNum"/>
        <w:ind w:left="-90"/>
      </w:pPr>
      <w:r>
        <w:t>In order to help regulatory fee payors better understand the process for payment of regulatory fees, we rest</w:t>
      </w:r>
      <w:r w:rsidR="00AD7854">
        <w:t>ate important information below</w:t>
      </w:r>
      <w:r>
        <w:t xml:space="preserve">. </w:t>
      </w:r>
      <w:r w:rsidR="00AD1B72">
        <w:t xml:space="preserve"> </w:t>
      </w:r>
    </w:p>
    <w:p w:rsidR="006239A9" w:rsidRDefault="006239A9" w:rsidP="00527901">
      <w:pPr>
        <w:pStyle w:val="Heading3"/>
      </w:pPr>
      <w:r>
        <w:t>Manner of Payment</w:t>
      </w:r>
    </w:p>
    <w:p w:rsidR="006239A9" w:rsidRPr="00FA0F34" w:rsidRDefault="006239A9" w:rsidP="003909AC">
      <w:pPr>
        <w:pStyle w:val="ParaNum"/>
        <w:ind w:left="-90"/>
      </w:pPr>
      <w:r>
        <w:t xml:space="preserve">As of </w:t>
      </w:r>
      <w:r w:rsidR="00794495" w:rsidRPr="007F7B4B">
        <w:rPr>
          <w:szCs w:val="22"/>
        </w:rPr>
        <w:t>October 1, 2013, the Commission no longer accept</w:t>
      </w:r>
      <w:r w:rsidR="00673DAE">
        <w:rPr>
          <w:szCs w:val="22"/>
        </w:rPr>
        <w:t>s</w:t>
      </w:r>
      <w:r w:rsidR="00794495" w:rsidRPr="007F7B4B">
        <w:rPr>
          <w:szCs w:val="22"/>
        </w:rPr>
        <w:t xml:space="preserve"> checks (including cashier’s checks) and the accompanying hardcopy forms (e.g., Form 159’s, Form 159-B’s, Form 159-E’s, Form 159-W’s) for payment of regulatory fees.  </w:t>
      </w:r>
      <w:r w:rsidR="00794495">
        <w:rPr>
          <w:szCs w:val="22"/>
        </w:rPr>
        <w:t>A</w:t>
      </w:r>
      <w:r w:rsidR="00794495" w:rsidRPr="007F7B4B">
        <w:rPr>
          <w:szCs w:val="22"/>
        </w:rPr>
        <w:t xml:space="preserve">ll payments </w:t>
      </w:r>
      <w:r w:rsidR="00794495">
        <w:rPr>
          <w:szCs w:val="22"/>
        </w:rPr>
        <w:t xml:space="preserve">must now </w:t>
      </w:r>
      <w:r w:rsidR="00794495" w:rsidRPr="007F7B4B">
        <w:rPr>
          <w:szCs w:val="22"/>
        </w:rPr>
        <w:t xml:space="preserve">be made by </w:t>
      </w:r>
      <w:r w:rsidR="00794495">
        <w:rPr>
          <w:szCs w:val="22"/>
        </w:rPr>
        <w:t xml:space="preserve">online ACH payment, online </w:t>
      </w:r>
      <w:r w:rsidR="00794495" w:rsidRPr="007F7B4B">
        <w:rPr>
          <w:szCs w:val="22"/>
        </w:rPr>
        <w:t xml:space="preserve">credit card, </w:t>
      </w:r>
      <w:r w:rsidR="00794495">
        <w:rPr>
          <w:szCs w:val="22"/>
        </w:rPr>
        <w:t xml:space="preserve">or </w:t>
      </w:r>
      <w:r w:rsidR="00794495" w:rsidRPr="007F7B4B">
        <w:rPr>
          <w:szCs w:val="22"/>
        </w:rPr>
        <w:t>wire transfer.  Any other form of payment (e.g., checks) will be rejected and sent back to the payor.</w:t>
      </w:r>
      <w:r w:rsidR="00794495">
        <w:rPr>
          <w:szCs w:val="22"/>
        </w:rPr>
        <w:t xml:space="preserve">  So that the Commission can associate the wire payment with the correct regulatory fee information, an accompanying Form 159-E</w:t>
      </w:r>
      <w:r w:rsidR="008C4855">
        <w:rPr>
          <w:szCs w:val="22"/>
        </w:rPr>
        <w:t xml:space="preserve"> must</w:t>
      </w:r>
      <w:r w:rsidR="00794495">
        <w:rPr>
          <w:szCs w:val="22"/>
        </w:rPr>
        <w:t xml:space="preserve"> still be transmitted via fax for wire transfers.</w:t>
      </w:r>
      <w:r w:rsidR="00794495">
        <w:rPr>
          <w:rStyle w:val="FootnoteReference"/>
          <w:szCs w:val="22"/>
        </w:rPr>
        <w:footnoteReference w:id="98"/>
      </w:r>
    </w:p>
    <w:p w:rsidR="00091420" w:rsidRPr="002D2C42" w:rsidRDefault="00091420" w:rsidP="00091420">
      <w:pPr>
        <w:pStyle w:val="Heading3"/>
        <w:rPr>
          <w:szCs w:val="22"/>
        </w:rPr>
      </w:pPr>
      <w:bookmarkStart w:id="64" w:name="_Toc285458171"/>
      <w:bookmarkStart w:id="65" w:name="_Toc289263534"/>
      <w:bookmarkStart w:id="66" w:name="_Toc292177322"/>
      <w:bookmarkStart w:id="67" w:name="_Toc296691762"/>
      <w:bookmarkStart w:id="68" w:name="_Toc297116982"/>
      <w:bookmarkStart w:id="69" w:name="_Toc298752210"/>
      <w:bookmarkStart w:id="70" w:name="_Toc299091575"/>
      <w:bookmarkStart w:id="71" w:name="_Toc319681887"/>
      <w:bookmarkStart w:id="72" w:name="_Toc320103194"/>
      <w:bookmarkStart w:id="73" w:name="_Toc320615944"/>
      <w:bookmarkStart w:id="74" w:name="_Toc320616362"/>
      <w:bookmarkStart w:id="75" w:name="_Toc320616501"/>
      <w:bookmarkStart w:id="76" w:name="_Toc320632322"/>
      <w:bookmarkStart w:id="77" w:name="_Toc320632355"/>
      <w:bookmarkStart w:id="78" w:name="_Toc320639462"/>
      <w:bookmarkStart w:id="79" w:name="_Toc321130261"/>
      <w:bookmarkStart w:id="80" w:name="_Toc321301163"/>
      <w:bookmarkStart w:id="81" w:name="_Toc327344919"/>
      <w:bookmarkStart w:id="82" w:name="_Toc327454759"/>
      <w:bookmarkStart w:id="83" w:name="_Toc328052402"/>
      <w:bookmarkStart w:id="84" w:name="_Toc330473853"/>
      <w:bookmarkStart w:id="85" w:name="_Toc382567928"/>
      <w:bookmarkStart w:id="86" w:name="_Toc384227064"/>
      <w:r w:rsidRPr="002D2C42">
        <w:rPr>
          <w:szCs w:val="22"/>
        </w:rPr>
        <w:t>Lock Box Bank</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091420" w:rsidRPr="002D2C42" w:rsidRDefault="00091420" w:rsidP="003909AC">
      <w:pPr>
        <w:pStyle w:val="ParaNum"/>
        <w:ind w:left="-90"/>
        <w:rPr>
          <w:szCs w:val="22"/>
        </w:rPr>
      </w:pPr>
      <w:r w:rsidRPr="002D2C42">
        <w:rPr>
          <w:szCs w:val="22"/>
        </w:rPr>
        <w:t>All lock box payments to the Commission for FY 201</w:t>
      </w:r>
      <w:r>
        <w:rPr>
          <w:szCs w:val="22"/>
        </w:rPr>
        <w:t>4</w:t>
      </w:r>
      <w:r w:rsidRPr="002D2C42">
        <w:rPr>
          <w:szCs w:val="22"/>
        </w:rPr>
        <w:t xml:space="preserve"> will be processed by U.S. Bank, St. Louis, Missouri, and payable to the FCC.  During the fee season for collecting FY 201</w:t>
      </w:r>
      <w:r>
        <w:rPr>
          <w:szCs w:val="22"/>
        </w:rPr>
        <w:t>4</w:t>
      </w:r>
      <w:r w:rsidRPr="002D2C42">
        <w:rPr>
          <w:szCs w:val="22"/>
        </w:rPr>
        <w:t xml:space="preserve"> regulatory fees, regulatees can pay their fees by credit card through Pay.gov,</w:t>
      </w:r>
      <w:r w:rsidRPr="002D2C42">
        <w:rPr>
          <w:rStyle w:val="FootnoteReference"/>
          <w:szCs w:val="22"/>
        </w:rPr>
        <w:footnoteReference w:id="99"/>
      </w:r>
      <w:r w:rsidRPr="002D2C42">
        <w:rPr>
          <w:szCs w:val="22"/>
        </w:rPr>
        <w:t xml:space="preserve"> </w:t>
      </w:r>
      <w:r>
        <w:rPr>
          <w:szCs w:val="22"/>
        </w:rPr>
        <w:t xml:space="preserve">by ACH or </w:t>
      </w:r>
      <w:r w:rsidRPr="002D2C42">
        <w:rPr>
          <w:szCs w:val="22"/>
        </w:rPr>
        <w:t>debit card,</w:t>
      </w:r>
      <w:r w:rsidRPr="002D2C42">
        <w:rPr>
          <w:rStyle w:val="FootnoteReference"/>
          <w:szCs w:val="22"/>
        </w:rPr>
        <w:footnoteReference w:id="100"/>
      </w:r>
      <w:r w:rsidRPr="002D2C42">
        <w:rPr>
          <w:szCs w:val="22"/>
        </w:rPr>
        <w:t xml:space="preserve"> or by </w:t>
      </w:r>
      <w:r>
        <w:rPr>
          <w:szCs w:val="22"/>
        </w:rPr>
        <w:t>wire transfer.</w:t>
      </w:r>
      <w:r w:rsidRPr="002D2C42">
        <w:rPr>
          <w:szCs w:val="22"/>
        </w:rPr>
        <w:t xml:space="preserve">  Additional payment options and instructions are posted at </w:t>
      </w:r>
      <w:hyperlink r:id="rId8" w:history="1">
        <w:r w:rsidRPr="002D2C42">
          <w:rPr>
            <w:rStyle w:val="Hyperlink"/>
            <w:szCs w:val="22"/>
          </w:rPr>
          <w:t>http://transition.fcc.gov/fees/regfees.html</w:t>
        </w:r>
      </w:hyperlink>
      <w:r w:rsidRPr="002D2C42">
        <w:rPr>
          <w:szCs w:val="22"/>
          <w:u w:val="single"/>
        </w:rPr>
        <w:t>.</w:t>
      </w:r>
      <w:r w:rsidRPr="002D2C42">
        <w:rPr>
          <w:szCs w:val="22"/>
        </w:rPr>
        <w:t xml:space="preserve"> </w:t>
      </w:r>
    </w:p>
    <w:p w:rsidR="00091420" w:rsidRPr="002D2C42" w:rsidRDefault="00091420" w:rsidP="00091420">
      <w:pPr>
        <w:pStyle w:val="Heading3"/>
        <w:rPr>
          <w:szCs w:val="22"/>
        </w:rPr>
      </w:pPr>
      <w:bookmarkStart w:id="87" w:name="_Toc285458172"/>
      <w:bookmarkStart w:id="88" w:name="_Toc289263535"/>
      <w:bookmarkStart w:id="89" w:name="_Toc292177323"/>
      <w:bookmarkStart w:id="90" w:name="_Toc296691763"/>
      <w:bookmarkStart w:id="91" w:name="_Toc297116983"/>
      <w:bookmarkStart w:id="92" w:name="_Toc298752211"/>
      <w:bookmarkStart w:id="93" w:name="_Toc299091576"/>
      <w:bookmarkStart w:id="94" w:name="_Toc319681888"/>
      <w:bookmarkStart w:id="95" w:name="_Toc320103195"/>
      <w:bookmarkStart w:id="96" w:name="_Toc320615945"/>
      <w:bookmarkStart w:id="97" w:name="_Toc320616363"/>
      <w:bookmarkStart w:id="98" w:name="_Toc320616502"/>
      <w:bookmarkStart w:id="99" w:name="_Toc320632323"/>
      <w:bookmarkStart w:id="100" w:name="_Toc320632356"/>
      <w:bookmarkStart w:id="101" w:name="_Toc320639463"/>
      <w:bookmarkStart w:id="102" w:name="_Toc321130262"/>
      <w:bookmarkStart w:id="103" w:name="_Toc321301164"/>
      <w:bookmarkStart w:id="104" w:name="_Toc327344920"/>
      <w:bookmarkStart w:id="105" w:name="_Toc327454760"/>
      <w:bookmarkStart w:id="106" w:name="_Toc328052403"/>
      <w:bookmarkStart w:id="107" w:name="_Toc330473854"/>
      <w:bookmarkStart w:id="108" w:name="_Toc382567929"/>
      <w:bookmarkStart w:id="109" w:name="_Toc384227065"/>
      <w:r w:rsidRPr="002D2C42">
        <w:rPr>
          <w:szCs w:val="22"/>
        </w:rPr>
        <w:t>Receiving Bank for Wire Payments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091420" w:rsidRPr="002D2C42" w:rsidRDefault="00091420" w:rsidP="003909AC">
      <w:pPr>
        <w:pStyle w:val="ParaNum"/>
        <w:ind w:left="-90"/>
        <w:rPr>
          <w:szCs w:val="22"/>
        </w:rPr>
      </w:pPr>
      <w:r w:rsidRPr="002D2C42">
        <w:rPr>
          <w:szCs w:val="22"/>
        </w:rPr>
        <w:t xml:space="preserve">The receiving bank for all wire payments is the Federal Reserve Bank, New York, New York (TREAS NYC).  </w:t>
      </w:r>
      <w:r>
        <w:rPr>
          <w:szCs w:val="22"/>
        </w:rPr>
        <w:t xml:space="preserve">So that the processing bank can properly associate the wire payment with the fee payment details, </w:t>
      </w:r>
      <w:r w:rsidRPr="002D2C42">
        <w:rPr>
          <w:szCs w:val="22"/>
        </w:rPr>
        <w:t xml:space="preserve">regulatees </w:t>
      </w:r>
      <w:r>
        <w:rPr>
          <w:szCs w:val="22"/>
        </w:rPr>
        <w:t xml:space="preserve">making a wire transfer </w:t>
      </w:r>
      <w:r w:rsidR="008C4855">
        <w:rPr>
          <w:szCs w:val="22"/>
        </w:rPr>
        <w:t>must</w:t>
      </w:r>
      <w:r>
        <w:rPr>
          <w:szCs w:val="22"/>
        </w:rPr>
        <w:t xml:space="preserve"> </w:t>
      </w:r>
      <w:r w:rsidRPr="002D2C42">
        <w:rPr>
          <w:szCs w:val="22"/>
        </w:rPr>
        <w:t>fax a copy of their Fee Filer generated Form 159-E to U.S. Bank, St. Louis, Missouri at (314) 418-4232 at least one hour before initiating the wire transfer (but on the same business day) so as not to delay crediting their account.</w:t>
      </w:r>
      <w:r>
        <w:rPr>
          <w:szCs w:val="22"/>
        </w:rPr>
        <w:t xml:space="preserve">  The use of the Form 159-E is permissible with wire transfer.  </w:t>
      </w:r>
      <w:r w:rsidRPr="002D2C42">
        <w:rPr>
          <w:szCs w:val="22"/>
        </w:rPr>
        <w:t xml:space="preserve">Regulatees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 </w:t>
      </w:r>
      <w:hyperlink r:id="rId9" w:tooltip="http://transition.fcc.gov/fees/wiretran.html" w:history="1">
        <w:r w:rsidRPr="002D2C42">
          <w:rPr>
            <w:rStyle w:val="Hyperlink"/>
            <w:szCs w:val="22"/>
          </w:rPr>
          <w:t>http://transition.fcc.gov/fees/wiretran.html</w:t>
        </w:r>
      </w:hyperlink>
      <w:r w:rsidRPr="002D2C42">
        <w:rPr>
          <w:rStyle w:val="Hyperlink"/>
          <w:szCs w:val="22"/>
        </w:rPr>
        <w:t>.</w:t>
      </w:r>
    </w:p>
    <w:p w:rsidR="00091420" w:rsidRPr="002D2C42" w:rsidRDefault="00091420" w:rsidP="00091420">
      <w:pPr>
        <w:pStyle w:val="Heading3"/>
        <w:rPr>
          <w:szCs w:val="22"/>
        </w:rPr>
      </w:pPr>
      <w:bookmarkStart w:id="110" w:name="_Toc285458173"/>
      <w:bookmarkStart w:id="111" w:name="_Toc289263536"/>
      <w:bookmarkStart w:id="112" w:name="_Toc292177324"/>
      <w:bookmarkStart w:id="113" w:name="_Toc296691764"/>
      <w:bookmarkStart w:id="114" w:name="_Toc297116984"/>
      <w:bookmarkStart w:id="115" w:name="_Toc298752212"/>
      <w:bookmarkStart w:id="116" w:name="_Toc299091577"/>
      <w:bookmarkStart w:id="117" w:name="_Toc319681889"/>
      <w:bookmarkStart w:id="118" w:name="_Toc320103196"/>
      <w:bookmarkStart w:id="119" w:name="_Toc320615946"/>
      <w:bookmarkStart w:id="120" w:name="_Toc320616364"/>
      <w:bookmarkStart w:id="121" w:name="_Toc320616503"/>
      <w:bookmarkStart w:id="122" w:name="_Toc320632324"/>
      <w:bookmarkStart w:id="123" w:name="_Toc320632357"/>
      <w:bookmarkStart w:id="124" w:name="_Toc320639464"/>
      <w:bookmarkStart w:id="125" w:name="_Toc321130263"/>
      <w:bookmarkStart w:id="126" w:name="_Toc321301165"/>
      <w:bookmarkStart w:id="127" w:name="_Toc327344921"/>
      <w:bookmarkStart w:id="128" w:name="_Toc327454761"/>
      <w:bookmarkStart w:id="129" w:name="_Toc328052404"/>
      <w:bookmarkStart w:id="130" w:name="_Toc330473855"/>
      <w:bookmarkStart w:id="131" w:name="_Toc382567930"/>
      <w:bookmarkStart w:id="132" w:name="_Toc384227066"/>
      <w:r w:rsidRPr="002D2C42">
        <w:rPr>
          <w:szCs w:val="22"/>
        </w:rPr>
        <w:t>De Minimis Regulatory Fees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091420" w:rsidRPr="002D2C42" w:rsidRDefault="00091420" w:rsidP="003909AC">
      <w:pPr>
        <w:pStyle w:val="ParaNum"/>
        <w:ind w:left="-90"/>
        <w:rPr>
          <w:szCs w:val="22"/>
        </w:rPr>
      </w:pPr>
      <w:r w:rsidRPr="002D2C42">
        <w:rPr>
          <w:szCs w:val="22"/>
        </w:rPr>
        <w:t>Regulatees whose total FY 201</w:t>
      </w:r>
      <w:r>
        <w:rPr>
          <w:szCs w:val="22"/>
        </w:rPr>
        <w:t>4</w:t>
      </w:r>
      <w:r w:rsidRPr="002D2C42">
        <w:rPr>
          <w:szCs w:val="22"/>
        </w:rPr>
        <w:t xml:space="preserve"> regulatory fee liability, including all categories of fees for which payment is due, is less than</w:t>
      </w:r>
      <w:r w:rsidR="00FA0F34">
        <w:rPr>
          <w:szCs w:val="22"/>
        </w:rPr>
        <w:t xml:space="preserve"> an established de minimis amount</w:t>
      </w:r>
      <w:r w:rsidRPr="002D2C42">
        <w:rPr>
          <w:szCs w:val="22"/>
        </w:rPr>
        <w:t xml:space="preserve"> are exempted from payment of FY 201</w:t>
      </w:r>
      <w:r>
        <w:rPr>
          <w:szCs w:val="22"/>
        </w:rPr>
        <w:t>4</w:t>
      </w:r>
      <w:r w:rsidRPr="002D2C42">
        <w:rPr>
          <w:szCs w:val="22"/>
        </w:rPr>
        <w:t xml:space="preserve"> regulatory fees.</w:t>
      </w:r>
      <w:r w:rsidR="00605B6E">
        <w:rPr>
          <w:szCs w:val="22"/>
        </w:rPr>
        <w:t xml:space="preserve">  The de min</w:t>
      </w:r>
      <w:r w:rsidR="00FA0F34">
        <w:rPr>
          <w:szCs w:val="22"/>
        </w:rPr>
        <w:t>imis amount to date has been $10 (ten dollars); however, such amount could change as a result of th</w:t>
      </w:r>
      <w:r w:rsidR="00AD7854">
        <w:rPr>
          <w:szCs w:val="22"/>
        </w:rPr>
        <w:t>is</w:t>
      </w:r>
      <w:r w:rsidR="00755D45">
        <w:rPr>
          <w:szCs w:val="22"/>
        </w:rPr>
        <w:t xml:space="preserve"> </w:t>
      </w:r>
      <w:r w:rsidR="000D6546">
        <w:rPr>
          <w:szCs w:val="22"/>
        </w:rPr>
        <w:t>Notice</w:t>
      </w:r>
      <w:r w:rsidR="00755D45">
        <w:rPr>
          <w:szCs w:val="22"/>
        </w:rPr>
        <w:t xml:space="preserve">.  </w:t>
      </w:r>
    </w:p>
    <w:p w:rsidR="00091420" w:rsidRPr="002D2C42" w:rsidRDefault="00091420" w:rsidP="00091420">
      <w:pPr>
        <w:pStyle w:val="Heading3"/>
        <w:rPr>
          <w:szCs w:val="22"/>
        </w:rPr>
      </w:pPr>
      <w:bookmarkStart w:id="133" w:name="_Toc285458174"/>
      <w:bookmarkStart w:id="134" w:name="_Toc289263537"/>
      <w:bookmarkStart w:id="135" w:name="_Toc292177325"/>
      <w:bookmarkStart w:id="136" w:name="_Toc296691765"/>
      <w:bookmarkStart w:id="137" w:name="_Toc297116985"/>
      <w:bookmarkStart w:id="138" w:name="_Toc298752213"/>
      <w:bookmarkStart w:id="139" w:name="_Toc299091578"/>
      <w:bookmarkStart w:id="140" w:name="_Toc319681890"/>
      <w:bookmarkStart w:id="141" w:name="_Toc320103197"/>
      <w:bookmarkStart w:id="142" w:name="_Toc320615947"/>
      <w:bookmarkStart w:id="143" w:name="_Toc320616365"/>
      <w:bookmarkStart w:id="144" w:name="_Toc320616504"/>
      <w:bookmarkStart w:id="145" w:name="_Toc320632325"/>
      <w:bookmarkStart w:id="146" w:name="_Toc320632358"/>
      <w:bookmarkStart w:id="147" w:name="_Toc320639465"/>
      <w:bookmarkStart w:id="148" w:name="_Toc321130264"/>
      <w:bookmarkStart w:id="149" w:name="_Toc321301166"/>
      <w:bookmarkStart w:id="150" w:name="_Toc327344922"/>
      <w:bookmarkStart w:id="151" w:name="_Toc327454762"/>
      <w:bookmarkStart w:id="152" w:name="_Toc328052405"/>
      <w:bookmarkStart w:id="153" w:name="_Toc330473856"/>
      <w:bookmarkStart w:id="154" w:name="_Toc382567931"/>
      <w:bookmarkStart w:id="155" w:name="_Toc384227067"/>
      <w:r w:rsidRPr="002D2C42">
        <w:rPr>
          <w:szCs w:val="22"/>
        </w:rPr>
        <w:t>Standard Fee Calculations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091420" w:rsidRPr="002D2C42" w:rsidRDefault="00091420" w:rsidP="003909AC">
      <w:pPr>
        <w:pStyle w:val="ParaNum"/>
        <w:ind w:left="-90"/>
        <w:rPr>
          <w:szCs w:val="22"/>
        </w:rPr>
      </w:pPr>
      <w:r w:rsidRPr="002D2C42">
        <w:rPr>
          <w:szCs w:val="22"/>
        </w:rPr>
        <w:t>The Commission will accept fee payments made in advance of the window for the payment of regulatory fees.  The responsibility for payment of fees by service category is as follows:</w:t>
      </w:r>
    </w:p>
    <w:p w:rsidR="00091420" w:rsidRPr="002D2C42" w:rsidRDefault="00091420" w:rsidP="00FB1E08">
      <w:pPr>
        <w:numPr>
          <w:ilvl w:val="0"/>
          <w:numId w:val="7"/>
        </w:numPr>
      </w:pPr>
      <w:r w:rsidRPr="002D2C42">
        <w:rPr>
          <w:i/>
        </w:rPr>
        <w:t>Media Services</w:t>
      </w:r>
      <w:r w:rsidRPr="002D2C42">
        <w:t>:  Regulatory fees must be paid for initial construction permits that were granted on or before October 1, 201</w:t>
      </w:r>
      <w:r>
        <w:t>3</w:t>
      </w:r>
      <w:r w:rsidRPr="002D2C42">
        <w:t xml:space="preserve"> for AM/FM radio stations, VHF/UHF full service television stations, and satellite television stations.  Regulatory fees must be paid for all broadcast facility licenses granted on or before October 1, 201</w:t>
      </w:r>
      <w:r>
        <w:t>3</w:t>
      </w:r>
      <w:r w:rsidRPr="002D2C42">
        <w:t>.  In instances where a permit or license is transferred or assigned after October 1, 201</w:t>
      </w:r>
      <w:r>
        <w:t>3</w:t>
      </w:r>
      <w:r w:rsidRPr="002D2C42">
        <w:t>, responsibility for payment rests with the holder of the permit or license as of the fee due date.</w:t>
      </w:r>
    </w:p>
    <w:p w:rsidR="00091420" w:rsidRPr="002D2C42" w:rsidRDefault="00091420" w:rsidP="00091420">
      <w:pPr>
        <w:ind w:left="450"/>
      </w:pPr>
    </w:p>
    <w:p w:rsidR="00091420" w:rsidRPr="002D2C42" w:rsidRDefault="00091420" w:rsidP="00184741">
      <w:pPr>
        <w:widowControl/>
        <w:numPr>
          <w:ilvl w:val="0"/>
          <w:numId w:val="7"/>
        </w:numPr>
        <w:ind w:left="806"/>
      </w:pPr>
      <w:r w:rsidRPr="002D2C42">
        <w:rPr>
          <w:i/>
        </w:rPr>
        <w:t>Wireline (Common Carrier) Services</w:t>
      </w:r>
      <w:r w:rsidRPr="002D2C42">
        <w:t>:  Regulatory fees must be paid for authorizations that were granted on or before October 1, 201</w:t>
      </w:r>
      <w:r>
        <w:t>3</w:t>
      </w:r>
      <w:r w:rsidRPr="002D2C42">
        <w:t>.  In instances where a permit or license is transferred or assigned after October 1, 201</w:t>
      </w:r>
      <w:r>
        <w:t>3</w:t>
      </w:r>
      <w:r w:rsidRPr="002D2C42">
        <w:t>, responsibility for payment rests with the holder of the permit or license as of the fee due date.  Audio bridging service providers are included in this category.</w:t>
      </w:r>
      <w:r w:rsidRPr="002D2C42">
        <w:rPr>
          <w:rStyle w:val="FootnoteReference"/>
        </w:rPr>
        <w:footnoteReference w:id="101"/>
      </w:r>
    </w:p>
    <w:p w:rsidR="00091420" w:rsidRPr="002D2C42" w:rsidRDefault="00091420" w:rsidP="00091420">
      <w:pPr>
        <w:ind w:left="450"/>
      </w:pPr>
    </w:p>
    <w:p w:rsidR="00091420" w:rsidRPr="002D2C42" w:rsidRDefault="00091420" w:rsidP="00FB1E08">
      <w:pPr>
        <w:numPr>
          <w:ilvl w:val="0"/>
          <w:numId w:val="7"/>
        </w:numPr>
      </w:pPr>
      <w:r w:rsidRPr="002D2C42">
        <w:rPr>
          <w:i/>
        </w:rPr>
        <w:t>Wireless Services</w:t>
      </w:r>
      <w:r w:rsidRPr="002D2C42">
        <w:t>:  CMRS cellular, mobile, and messaging services (fees based on number of subscribers or telephone number count):  Regulatory fees must be paid for authorizations that were granted on or before October 1, 201</w:t>
      </w:r>
      <w:r>
        <w:t>3</w:t>
      </w:r>
      <w:r w:rsidRPr="002D2C42">
        <w:t>.  The number of subscribers</w:t>
      </w:r>
      <w:r>
        <w:t xml:space="preserve"> </w:t>
      </w:r>
      <w:r w:rsidRPr="002D2C42">
        <w:t>or telephone numbers on December 31, 201</w:t>
      </w:r>
      <w:r>
        <w:t>3</w:t>
      </w:r>
      <w:r w:rsidRPr="002D2C42">
        <w:t xml:space="preserve"> will be used as the basis </w:t>
      </w:r>
      <w:r>
        <w:t xml:space="preserve">for calculating </w:t>
      </w:r>
      <w:r w:rsidRPr="002D2C42">
        <w:t>the fee payment.  In instances where a permit or license is transferred or assigned after October 1, 201</w:t>
      </w:r>
      <w:r>
        <w:t>3</w:t>
      </w:r>
      <w:r w:rsidRPr="002D2C42">
        <w:t xml:space="preserve">, responsibility for payment rests with the holder of the permit or license as of the fee due date.  </w:t>
      </w:r>
    </w:p>
    <w:p w:rsidR="00091420" w:rsidRPr="002D2C42" w:rsidRDefault="00091420" w:rsidP="00091420">
      <w:pPr>
        <w:ind w:left="450"/>
        <w:jc w:val="both"/>
      </w:pPr>
    </w:p>
    <w:p w:rsidR="00091420" w:rsidRPr="002D2C42" w:rsidRDefault="00091420" w:rsidP="00FB1E08">
      <w:pPr>
        <w:numPr>
          <w:ilvl w:val="0"/>
          <w:numId w:val="7"/>
        </w:numPr>
      </w:pPr>
      <w:r w:rsidRPr="002D2C42">
        <w:t>The first eleven regulatory fee categories in our Schedule of Regulatory Fees (</w:t>
      </w:r>
      <w:r w:rsidRPr="002D2C42">
        <w:rPr>
          <w:i/>
        </w:rPr>
        <w:t>see</w:t>
      </w:r>
      <w:r w:rsidRPr="002D2C42">
        <w:t xml:space="preserve"> </w:t>
      </w:r>
      <w:r w:rsidRPr="0083075A">
        <w:t xml:space="preserve">Attachment </w:t>
      </w:r>
      <w:r w:rsidR="002F1744" w:rsidRPr="0083075A">
        <w:t>B</w:t>
      </w:r>
      <w:r w:rsidRPr="002D2C42">
        <w:t>) pay “small multi-year wireless regulatory fees.”  Entities pay these regulatory fees in advance for the entire amount of their five-year or ten-year term of initial license, and only pay regulatory fees again when the license is renewed or a new license is obtained.  We include these fee categories in our Schedule of Regulatory Fees to publicize our estimates of the number of “small multi-year wireless” licenses that will be renewed or newly obtained in FY 201</w:t>
      </w:r>
      <w:r>
        <w:t>4</w:t>
      </w:r>
      <w:r w:rsidRPr="002D2C42">
        <w:t xml:space="preserve">. </w:t>
      </w:r>
    </w:p>
    <w:p w:rsidR="00091420" w:rsidRPr="002D2C42" w:rsidRDefault="00091420" w:rsidP="00091420">
      <w:pPr>
        <w:ind w:left="450"/>
        <w:jc w:val="both"/>
      </w:pPr>
    </w:p>
    <w:p w:rsidR="00091420" w:rsidRPr="002D2C42" w:rsidRDefault="00091420" w:rsidP="00FB1E08">
      <w:pPr>
        <w:numPr>
          <w:ilvl w:val="0"/>
          <w:numId w:val="7"/>
        </w:numPr>
      </w:pPr>
      <w:r w:rsidRPr="002D2C42">
        <w:rPr>
          <w:i/>
        </w:rPr>
        <w:t>Multichannel Video Programming Distributor Services (cable television operators and CARS licensees)</w:t>
      </w:r>
      <w:r>
        <w:rPr>
          <w:i/>
        </w:rPr>
        <w:t xml:space="preserve"> </w:t>
      </w:r>
      <w:r>
        <w:t xml:space="preserve">and </w:t>
      </w:r>
      <w:r>
        <w:rPr>
          <w:i/>
        </w:rPr>
        <w:t>Internet Protocol Television (IPTV)</w:t>
      </w:r>
      <w:r w:rsidRPr="002D2C42">
        <w:t>:  Regulatory fees must be paid for the number of basic cable television subscribers as of December 31, 201</w:t>
      </w:r>
      <w:r>
        <w:t>3</w:t>
      </w:r>
      <w:r w:rsidRPr="002D2C42">
        <w:t>.</w:t>
      </w:r>
      <w:r w:rsidRPr="002D2C42">
        <w:rPr>
          <w:vertAlign w:val="superscript"/>
        </w:rPr>
        <w:footnoteReference w:id="102"/>
      </w:r>
      <w:r w:rsidRPr="002D2C42">
        <w:t xml:space="preserve">  </w:t>
      </w:r>
      <w:r>
        <w:t xml:space="preserve">In addition, beginning in FY 2014, IPTV providers that had subscribers as of December 31, 2013 are also obligated to pay regulatory fees.  Holders of </w:t>
      </w:r>
      <w:r w:rsidRPr="002D2C42">
        <w:t>CARS licenses that were granted on or before October 1, 201</w:t>
      </w:r>
      <w:r>
        <w:t xml:space="preserve">3 must also pay regulatory fees.  </w:t>
      </w:r>
      <w:r w:rsidRPr="002D2C42">
        <w:t>In instances where a permit or license is transferred or assigned after October 1, 201</w:t>
      </w:r>
      <w:r>
        <w:t>3</w:t>
      </w:r>
      <w:r w:rsidRPr="002D2C42">
        <w:t xml:space="preserve">, responsibility for payment rests with the holder of the permit or license as of the fee due date.  </w:t>
      </w:r>
    </w:p>
    <w:p w:rsidR="00091420" w:rsidRPr="002D2C42" w:rsidRDefault="00091420" w:rsidP="00091420">
      <w:pPr>
        <w:tabs>
          <w:tab w:val="left" w:pos="2160"/>
        </w:tabs>
        <w:jc w:val="both"/>
      </w:pPr>
    </w:p>
    <w:p w:rsidR="00091420" w:rsidRPr="002D2C42" w:rsidRDefault="00091420" w:rsidP="00FB1E08">
      <w:pPr>
        <w:pStyle w:val="ParaNum"/>
        <w:numPr>
          <w:ilvl w:val="0"/>
          <w:numId w:val="7"/>
        </w:numPr>
        <w:rPr>
          <w:szCs w:val="22"/>
        </w:rPr>
      </w:pPr>
      <w:r w:rsidRPr="002D2C42">
        <w:rPr>
          <w:i/>
          <w:szCs w:val="22"/>
        </w:rPr>
        <w:t>International Services:</w:t>
      </w:r>
      <w:r w:rsidRPr="002D2C42">
        <w:rPr>
          <w:szCs w:val="22"/>
        </w:rPr>
        <w:t xml:space="preserve">  Regulatory fees must be paid for earth stations</w:t>
      </w:r>
      <w:r>
        <w:rPr>
          <w:szCs w:val="22"/>
        </w:rPr>
        <w:t xml:space="preserve"> that were authorized (licensed) on or before October 1, 2013.  G</w:t>
      </w:r>
      <w:r w:rsidRPr="002D2C42">
        <w:rPr>
          <w:szCs w:val="22"/>
        </w:rPr>
        <w:t>eostationary orbit space stations and non-geostationary orbit satellite systems that were licensed and operational on or before October 1, 201</w:t>
      </w:r>
      <w:r>
        <w:rPr>
          <w:szCs w:val="22"/>
        </w:rPr>
        <w:t>3 are subject to regulatory fees</w:t>
      </w:r>
      <w:r w:rsidRPr="002D2C42">
        <w:rPr>
          <w:szCs w:val="22"/>
        </w:rPr>
        <w:t>.  In instances where a permit or license is transferred or assigned after October 1, 201</w:t>
      </w:r>
      <w:r>
        <w:rPr>
          <w:szCs w:val="22"/>
        </w:rPr>
        <w:t>3</w:t>
      </w:r>
      <w:r w:rsidRPr="002D2C42">
        <w:rPr>
          <w:szCs w:val="22"/>
        </w:rPr>
        <w:t>, responsibility for payment rests with the holder of the permit or license as of the fee due date.</w:t>
      </w:r>
    </w:p>
    <w:p w:rsidR="00091420" w:rsidRPr="002D2C42" w:rsidRDefault="00091420" w:rsidP="00FB1E08">
      <w:pPr>
        <w:pStyle w:val="ParaNum"/>
        <w:numPr>
          <w:ilvl w:val="0"/>
          <w:numId w:val="7"/>
        </w:numPr>
        <w:rPr>
          <w:szCs w:val="22"/>
        </w:rPr>
      </w:pPr>
      <w:r w:rsidRPr="002D2C42">
        <w:rPr>
          <w:i/>
          <w:szCs w:val="22"/>
        </w:rPr>
        <w:t xml:space="preserve">International Services: Submarine Cable Systems:  </w:t>
      </w:r>
      <w:r w:rsidRPr="002D2C42">
        <w:rPr>
          <w:szCs w:val="22"/>
        </w:rPr>
        <w:t>Regulatory fees for submarine cable systems are to be paid on a per cable landing license basis based on circuit capacity as of December 31, 201</w:t>
      </w:r>
      <w:r>
        <w:rPr>
          <w:szCs w:val="22"/>
        </w:rPr>
        <w:t>3</w:t>
      </w:r>
      <w:r w:rsidRPr="002D2C42">
        <w:rPr>
          <w:szCs w:val="22"/>
        </w:rPr>
        <w:t>.  In instances where a license is transferred or assigned after October 1, 201</w:t>
      </w:r>
      <w:r>
        <w:rPr>
          <w:szCs w:val="22"/>
        </w:rPr>
        <w:t>3</w:t>
      </w:r>
      <w:r w:rsidRPr="002D2C42">
        <w:rPr>
          <w:szCs w:val="22"/>
        </w:rPr>
        <w:t>, responsibility for payment rests with the holder of the license as of the fee due date.  For regulatory fee purposes, the allocation in FY 201</w:t>
      </w:r>
      <w:r>
        <w:rPr>
          <w:szCs w:val="22"/>
        </w:rPr>
        <w:t>4</w:t>
      </w:r>
      <w:r w:rsidRPr="002D2C42">
        <w:rPr>
          <w:szCs w:val="22"/>
        </w:rPr>
        <w:t xml:space="preserve"> will remain at 87.6 percent for submarine cable and 12.4 percent for satellite/terrestrial facilities. </w:t>
      </w:r>
    </w:p>
    <w:p w:rsidR="00091420" w:rsidRDefault="00091420" w:rsidP="00FB1E08">
      <w:pPr>
        <w:pStyle w:val="ParaNum"/>
        <w:numPr>
          <w:ilvl w:val="0"/>
          <w:numId w:val="7"/>
        </w:numPr>
        <w:rPr>
          <w:szCs w:val="22"/>
        </w:rPr>
      </w:pPr>
      <w:r w:rsidRPr="002D2C42">
        <w:rPr>
          <w:i/>
          <w:szCs w:val="22"/>
        </w:rPr>
        <w:t>International Services: Terrestrial and Satellite Services</w:t>
      </w:r>
      <w:r w:rsidRPr="002D2C42">
        <w:rPr>
          <w:szCs w:val="22"/>
        </w:rPr>
        <w:t>:  Regulatory fees for International Bearer Circuits are to be paid by facilities-based common carriers that have active (used or leased) international bearer circuits as of December 31, 201</w:t>
      </w:r>
      <w:r>
        <w:rPr>
          <w:szCs w:val="22"/>
        </w:rPr>
        <w:t>3</w:t>
      </w:r>
      <w:r w:rsidRPr="002D2C42">
        <w:rPr>
          <w:szCs w:val="22"/>
        </w:rPr>
        <w:t xml:space="preserve"> in any terrestrial or satellite transmission facility for the provision of service to an end user or resale carrier, which includes active circuits to themselves or to their affiliates.  In addition, non-common carrier 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as of December 31, 201</w:t>
      </w:r>
      <w:r>
        <w:rPr>
          <w:szCs w:val="22"/>
        </w:rPr>
        <w:t>3</w:t>
      </w:r>
      <w:r w:rsidRPr="002D2C42">
        <w:rPr>
          <w:szCs w:val="22"/>
        </w:rPr>
        <w:t>.  Whether circuits are used specifically for voice or data is not relevant for purposes of determining that they are active circuits.  In instances where a permit or license is transferred or assigned after October 1, 201</w:t>
      </w:r>
      <w:r>
        <w:rPr>
          <w:szCs w:val="22"/>
        </w:rPr>
        <w:t>3</w:t>
      </w:r>
      <w:r w:rsidRPr="002D2C42">
        <w:rPr>
          <w:szCs w:val="22"/>
        </w:rPr>
        <w:t>, responsibility for payment rests with the holder of the permit or license as of the fee due date.  For regulatory fee purposes, the allocation in FY 201</w:t>
      </w:r>
      <w:r>
        <w:rPr>
          <w:szCs w:val="22"/>
        </w:rPr>
        <w:t>4</w:t>
      </w:r>
      <w:r w:rsidRPr="002D2C42">
        <w:rPr>
          <w:szCs w:val="22"/>
        </w:rPr>
        <w:t xml:space="preserve"> will remain at 87.6 percent for submarine cable and 12.4 percent for satellite/terrestrial facilities.  </w:t>
      </w:r>
    </w:p>
    <w:p w:rsidR="00EE2E3B" w:rsidRDefault="00EE2E3B" w:rsidP="00527901">
      <w:pPr>
        <w:pStyle w:val="ParaNum"/>
        <w:numPr>
          <w:ilvl w:val="0"/>
          <w:numId w:val="7"/>
        </w:numPr>
        <w:rPr>
          <w:szCs w:val="22"/>
        </w:rPr>
      </w:pPr>
      <w:r w:rsidRPr="00527901">
        <w:rPr>
          <w:i/>
          <w:szCs w:val="22"/>
        </w:rPr>
        <w:t>Clarification regarding DTV Replacement Translators</w:t>
      </w:r>
      <w:r w:rsidRPr="00EE2E3B">
        <w:rPr>
          <w:szCs w:val="22"/>
        </w:rPr>
        <w:t xml:space="preserve">.  Because these TV translators do not extend the coverage of the primary station, but operate solely within the primary station's protected contour, these special TV translators are deemed to be "replacement translators" and are not subject to a separate TV translator regulatory fee.  </w:t>
      </w:r>
    </w:p>
    <w:p w:rsidR="001F0B34" w:rsidRDefault="00EE2E3B">
      <w:pPr>
        <w:pStyle w:val="ParaNum"/>
        <w:numPr>
          <w:ilvl w:val="0"/>
          <w:numId w:val="7"/>
        </w:numPr>
        <w:rPr>
          <w:szCs w:val="22"/>
        </w:rPr>
      </w:pPr>
      <w:r w:rsidRPr="00EE2E3B">
        <w:rPr>
          <w:i/>
          <w:szCs w:val="22"/>
        </w:rPr>
        <w:t>Clarification regarding TV Translator/Booster Facilities Operating in Analog, Digital, or in an Analog/Digital Simulcast Mode</w:t>
      </w:r>
      <w:r w:rsidR="001F0B34">
        <w:rPr>
          <w:i/>
          <w:szCs w:val="22"/>
        </w:rPr>
        <w:t>.</w:t>
      </w:r>
      <w:r w:rsidRPr="00EE2E3B">
        <w:rPr>
          <w:szCs w:val="22"/>
        </w:rPr>
        <w:t xml:space="preserve"> With respect to Low Power, Class A, and TV Translator/Booster facilities that may be operating in analog, digital, or in an analog and digital simulcast mode, the Commission assesses a fee for each facility operating either in an analog or digital mode.  In instances </w:t>
      </w:r>
      <w:r w:rsidRPr="00CF5BA7">
        <w:rPr>
          <w:szCs w:val="22"/>
        </w:rPr>
        <w:t xml:space="preserve">in which a licensee is simulcasting in both analog and digital modes, a single regulatory fee will be assessed for the analog facility and its corresponding digital component, but not for both facilities. </w:t>
      </w:r>
    </w:p>
    <w:p w:rsidR="00091420" w:rsidRPr="002D2C42" w:rsidRDefault="00091420" w:rsidP="00091420">
      <w:pPr>
        <w:pStyle w:val="Heading2"/>
        <w:rPr>
          <w:szCs w:val="22"/>
        </w:rPr>
      </w:pPr>
      <w:bookmarkStart w:id="156" w:name="_Toc285458175"/>
      <w:bookmarkStart w:id="157" w:name="_Toc289263538"/>
      <w:bookmarkStart w:id="158" w:name="_Toc292177326"/>
      <w:bookmarkStart w:id="159" w:name="_Toc296691766"/>
      <w:bookmarkStart w:id="160" w:name="_Toc297116986"/>
      <w:bookmarkStart w:id="161" w:name="_Toc298752214"/>
      <w:bookmarkStart w:id="162" w:name="_Toc299091579"/>
      <w:bookmarkStart w:id="163" w:name="_Toc319681891"/>
      <w:bookmarkStart w:id="164" w:name="_Toc320103198"/>
      <w:bookmarkStart w:id="165" w:name="_Toc320615948"/>
      <w:bookmarkStart w:id="166" w:name="_Toc320616366"/>
      <w:bookmarkStart w:id="167" w:name="_Toc320616505"/>
      <w:bookmarkStart w:id="168" w:name="_Toc320632326"/>
      <w:bookmarkStart w:id="169" w:name="_Toc320632359"/>
      <w:bookmarkStart w:id="170" w:name="_Toc320639466"/>
      <w:bookmarkStart w:id="171" w:name="_Toc321130265"/>
      <w:bookmarkStart w:id="172" w:name="_Toc321301167"/>
      <w:bookmarkStart w:id="173" w:name="_Toc327344923"/>
      <w:bookmarkStart w:id="174" w:name="_Toc327454763"/>
      <w:bookmarkStart w:id="175" w:name="_Toc328052406"/>
      <w:bookmarkStart w:id="176" w:name="_Toc330473857"/>
      <w:bookmarkStart w:id="177" w:name="_Toc382567932"/>
      <w:bookmarkStart w:id="178" w:name="_Toc384227068"/>
      <w:r w:rsidRPr="002D2C42">
        <w:rPr>
          <w:szCs w:val="22"/>
        </w:rPr>
        <w:t>Enforcement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091420" w:rsidRPr="002D2C42" w:rsidRDefault="00091420" w:rsidP="003909AC">
      <w:pPr>
        <w:pStyle w:val="ParaNum"/>
        <w:ind w:left="-90"/>
        <w:rPr>
          <w:szCs w:val="22"/>
        </w:rPr>
      </w:pPr>
      <w:r w:rsidRPr="002D2C42">
        <w:rPr>
          <w:szCs w:val="22"/>
        </w:rPr>
        <w:t>To be considered timely, regulatory fee payments must be received and stamped at the lockbox bank by the due date of regulatory fees.  Section 9(c) of the Act requires us to impose a late payment penalty of 25 percent of the unpaid amount to be assessed on the first day following the deadline date for filing of these fees.</w:t>
      </w:r>
      <w:r w:rsidRPr="002D2C42">
        <w:rPr>
          <w:rStyle w:val="FootnoteReference"/>
          <w:szCs w:val="22"/>
        </w:rPr>
        <w:footnoteReference w:id="103"/>
      </w:r>
      <w:r w:rsidRPr="002D2C42">
        <w:rPr>
          <w:szCs w:val="22"/>
        </w:rPr>
        <w:t xml:space="preserve">  Failure to pay regulatory fees and/or any late penalty will subject regulatees to sanctions, including those set forth in section 1.1910 of the Commission’s rules</w:t>
      </w:r>
      <w:r w:rsidRPr="002D2C42">
        <w:rPr>
          <w:rStyle w:val="FootnoteReference"/>
          <w:szCs w:val="22"/>
        </w:rPr>
        <w:footnoteReference w:id="104"/>
      </w:r>
      <w:r w:rsidRPr="002D2C42">
        <w:rPr>
          <w:szCs w:val="22"/>
        </w:rPr>
        <w:t xml:space="preserve"> and in the Debt Collection Improvement Act of 1996 (DCIA).</w:t>
      </w:r>
      <w:r w:rsidRPr="002D2C42">
        <w:rPr>
          <w:rStyle w:val="FootnoteReference"/>
          <w:szCs w:val="22"/>
        </w:rPr>
        <w:footnoteReference w:id="105"/>
      </w:r>
      <w:r w:rsidRPr="002D2C42">
        <w:rPr>
          <w:szCs w:val="22"/>
        </w:rPr>
        <w:t xml:space="preserve">  We also assess administrative processing charges on delinquent debts to recover additional costs incurred in processing and handling the related debt pursuant to the DCIA and section 1.1940(d) of the Commission’s rules.</w:t>
      </w:r>
      <w:r w:rsidRPr="002D2C42">
        <w:rPr>
          <w:rStyle w:val="FootnoteReference"/>
          <w:szCs w:val="22"/>
        </w:rPr>
        <w:footnoteReference w:id="106"/>
      </w:r>
      <w:r w:rsidRPr="002D2C42">
        <w:rPr>
          <w:szCs w:val="22"/>
        </w:rPr>
        <w:t xml:space="preserve">  These administrative processing charges will be assessed on any delinquent regulatory fee, in addition to the 25 percent late charge penalty.  In case of partial payments (underpayments) of regulatory fees, the payor will be given credit for the amount paid, but if it is later determined that the fee paid is incorrect or not timely paid, then the 25 percent late charge penalty (and other charges and/or sanctions, as appropriate) will be assessed on the portion that is not paid in a timely manner.</w:t>
      </w:r>
    </w:p>
    <w:p w:rsidR="00091420" w:rsidRPr="002D2C42" w:rsidRDefault="00091420" w:rsidP="003909AC">
      <w:pPr>
        <w:pStyle w:val="ParaNum"/>
        <w:ind w:left="-90"/>
        <w:rPr>
          <w:szCs w:val="22"/>
        </w:rPr>
      </w:pPr>
      <w:r w:rsidRPr="002D2C42">
        <w:rPr>
          <w:szCs w:val="22"/>
        </w:rPr>
        <w:t>We will withhold action on any applications or other requests for benefits filed by anyone who is delinquent in any non-tax debts owed to the Commission (including regulatory fees) and will ultimately dismiss those applications or other requests if payment of the delinquent debt or other satisfactory arrangement for payment is not made.</w:t>
      </w:r>
      <w:r w:rsidRPr="002D2C42">
        <w:rPr>
          <w:rStyle w:val="FootnoteReference"/>
          <w:szCs w:val="22"/>
        </w:rPr>
        <w:footnoteReference w:id="107"/>
      </w:r>
      <w:r w:rsidRPr="002D2C42">
        <w:rPr>
          <w:szCs w:val="22"/>
        </w:rPr>
        <w:t xml:space="preserve">  Failure to pay regulatory fees </w:t>
      </w:r>
      <w:r w:rsidR="00300444">
        <w:rPr>
          <w:szCs w:val="22"/>
        </w:rPr>
        <w:t>may</w:t>
      </w:r>
      <w:r w:rsidRPr="002D2C42">
        <w:rPr>
          <w:szCs w:val="22"/>
        </w:rPr>
        <w:t xml:space="preserve"> also result in the initiation of a proceeding to revoke any and all authorizations held by the entity responsible for paying the delinquent fee(s).</w:t>
      </w:r>
    </w:p>
    <w:p w:rsidR="003B0F3C" w:rsidRPr="00E72DD1" w:rsidRDefault="003B0F3C" w:rsidP="008E627E">
      <w:pPr>
        <w:pStyle w:val="Heading2"/>
      </w:pPr>
      <w:bookmarkStart w:id="179" w:name="_Toc382567933"/>
      <w:bookmarkStart w:id="180" w:name="_Toc384227069"/>
      <w:r w:rsidRPr="00E72DD1">
        <w:t>Initial Regulatory Flexibility Analysis</w:t>
      </w:r>
      <w:bookmarkEnd w:id="179"/>
      <w:bookmarkEnd w:id="180"/>
    </w:p>
    <w:p w:rsidR="003B0F3C" w:rsidRPr="00A438CD" w:rsidRDefault="003B0F3C" w:rsidP="003909AC">
      <w:pPr>
        <w:pStyle w:val="ParaNum"/>
        <w:ind w:left="-90"/>
        <w:rPr>
          <w:szCs w:val="22"/>
        </w:rPr>
      </w:pPr>
      <w:r w:rsidRPr="00A438CD">
        <w:rPr>
          <w:szCs w:val="22"/>
        </w:rPr>
        <w:t xml:space="preserve">An initial regulatory flexibility analysis (IRFA) is contained in Attachment </w:t>
      </w:r>
      <w:r w:rsidR="002F1744">
        <w:rPr>
          <w:szCs w:val="22"/>
        </w:rPr>
        <w:t>E</w:t>
      </w:r>
      <w:r w:rsidRPr="00A438CD">
        <w:rPr>
          <w:szCs w:val="22"/>
        </w:rPr>
        <w:t xml:space="preserve">. </w:t>
      </w:r>
      <w:r w:rsidR="002F1744">
        <w:rPr>
          <w:szCs w:val="22"/>
        </w:rPr>
        <w:t xml:space="preserve"> </w:t>
      </w:r>
      <w:r w:rsidRPr="00A438CD">
        <w:rPr>
          <w:szCs w:val="22"/>
        </w:rPr>
        <w:t xml:space="preserve">Comments to the IRFA must be identified as responses to the IRFA and filed by the deadlines for comments on the </w:t>
      </w:r>
      <w:r w:rsidR="000D6546">
        <w:rPr>
          <w:szCs w:val="22"/>
        </w:rPr>
        <w:t>Notice</w:t>
      </w:r>
      <w:r w:rsidRPr="00A438CD">
        <w:rPr>
          <w:szCs w:val="22"/>
        </w:rPr>
        <w:t xml:space="preserve">.  The Commission will send a copy of the </w:t>
      </w:r>
      <w:r w:rsidR="000D6546">
        <w:rPr>
          <w:szCs w:val="22"/>
        </w:rPr>
        <w:t>Notice</w:t>
      </w:r>
      <w:r w:rsidRPr="00A438CD">
        <w:rPr>
          <w:szCs w:val="22"/>
        </w:rPr>
        <w:t>, including the IRFA, to the Chief Counsel for Advocacy of the Small Business Administration.</w:t>
      </w:r>
    </w:p>
    <w:p w:rsidR="003B0F3C" w:rsidRPr="00E72DD1" w:rsidRDefault="003B0F3C" w:rsidP="008E627E">
      <w:pPr>
        <w:pStyle w:val="Heading2"/>
      </w:pPr>
      <w:bookmarkStart w:id="181" w:name="_Toc382567934"/>
      <w:bookmarkStart w:id="182" w:name="_Toc384227070"/>
      <w:r w:rsidRPr="00E72DD1">
        <w:t>Initial Paperwork Reduction Act of 1995 Analysis</w:t>
      </w:r>
      <w:bookmarkEnd w:id="181"/>
      <w:bookmarkEnd w:id="182"/>
    </w:p>
    <w:p w:rsidR="003B0F3C" w:rsidRPr="00A438CD" w:rsidRDefault="003B0F3C" w:rsidP="003909AC">
      <w:pPr>
        <w:pStyle w:val="ParaNum"/>
        <w:ind w:left="-90"/>
        <w:rPr>
          <w:szCs w:val="22"/>
        </w:rPr>
      </w:pPr>
      <w:r w:rsidRPr="00A438CD">
        <w:rPr>
          <w:szCs w:val="22"/>
        </w:rPr>
        <w:t xml:space="preserve">This document solicits possible proposed information collection requirements. </w:t>
      </w:r>
      <w:r w:rsidR="00AD7854">
        <w:rPr>
          <w:szCs w:val="22"/>
        </w:rPr>
        <w:t xml:space="preserve"> </w:t>
      </w:r>
      <w:r w:rsidRPr="00A438CD">
        <w:rPr>
          <w:szCs w:val="22"/>
        </w:rPr>
        <w:t xml:space="preserve">The Commission, as part of its continuing effort to reduce paperwork burdens, invites the general public and the Office of Management and Budget (OMB) to comment on the possible proposed information collection requirements contained in this document, as required by the Paperwork Reduction Act of 1995, Public Law 104-13. </w:t>
      </w:r>
      <w:r w:rsidR="00AD7854">
        <w:rPr>
          <w:szCs w:val="22"/>
        </w:rPr>
        <w:t xml:space="preserve"> </w:t>
      </w:r>
      <w:r w:rsidRPr="00A438CD">
        <w:rPr>
          <w:szCs w:val="22"/>
        </w:rPr>
        <w:t xml:space="preserve">In addition, pursuant to the Small Business Paperwork Relief Act of 2002, Public Law 107-198, </w:t>
      </w:r>
      <w:r w:rsidRPr="00A438CD">
        <w:rPr>
          <w:i/>
          <w:szCs w:val="22"/>
        </w:rPr>
        <w:t>see</w:t>
      </w:r>
      <w:r w:rsidRPr="00A438CD">
        <w:rPr>
          <w:szCs w:val="22"/>
        </w:rPr>
        <w:t xml:space="preserve"> 44 U.S.C. 3506(c)(4), we seek specific comment on how we might further reduce the information collection burden for small business concerns with fewer than 25 employees.</w:t>
      </w:r>
    </w:p>
    <w:p w:rsidR="00FB2593" w:rsidRDefault="003B0F3C" w:rsidP="00C307C9">
      <w:pPr>
        <w:pStyle w:val="Heading2"/>
        <w:rPr>
          <w:szCs w:val="22"/>
        </w:rPr>
      </w:pPr>
      <w:bookmarkStart w:id="183" w:name="_Toc351484776"/>
      <w:bookmarkStart w:id="184" w:name="_Toc351484822"/>
      <w:bookmarkStart w:id="185" w:name="_Toc351484964"/>
      <w:bookmarkStart w:id="186" w:name="_Toc351571073"/>
      <w:bookmarkStart w:id="187" w:name="_Toc353032063"/>
      <w:bookmarkStart w:id="188" w:name="_Toc351572437"/>
      <w:bookmarkStart w:id="189" w:name="_Toc352943196"/>
      <w:bookmarkStart w:id="190" w:name="_Toc352943645"/>
      <w:bookmarkStart w:id="191" w:name="_Toc353870713"/>
      <w:bookmarkStart w:id="192" w:name="_Toc353987740"/>
      <w:bookmarkStart w:id="193" w:name="_Toc353988061"/>
      <w:bookmarkStart w:id="194" w:name="_Toc382567935"/>
      <w:bookmarkStart w:id="195" w:name="_Toc384227071"/>
      <w:r w:rsidRPr="00E72DD1">
        <w:rPr>
          <w:szCs w:val="22"/>
        </w:rPr>
        <w:t>Filing Instructions</w:t>
      </w:r>
      <w:bookmarkEnd w:id="183"/>
      <w:bookmarkEnd w:id="184"/>
      <w:bookmarkEnd w:id="185"/>
      <w:bookmarkEnd w:id="186"/>
      <w:bookmarkEnd w:id="187"/>
      <w:bookmarkEnd w:id="188"/>
      <w:bookmarkEnd w:id="189"/>
      <w:bookmarkEnd w:id="190"/>
      <w:bookmarkEnd w:id="191"/>
      <w:bookmarkEnd w:id="192"/>
      <w:bookmarkEnd w:id="193"/>
      <w:bookmarkEnd w:id="194"/>
      <w:bookmarkEnd w:id="195"/>
    </w:p>
    <w:p w:rsidR="003B0F3C" w:rsidRPr="00A438CD" w:rsidRDefault="003B0F3C" w:rsidP="003909AC">
      <w:pPr>
        <w:pStyle w:val="ParaNum"/>
        <w:ind w:left="-90"/>
        <w:rPr>
          <w:szCs w:val="22"/>
        </w:rPr>
      </w:pPr>
      <w:r w:rsidRPr="00A438CD">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A438CD">
        <w:rPr>
          <w:i/>
          <w:szCs w:val="22"/>
        </w:rPr>
        <w:t>See</w:t>
      </w:r>
      <w:r w:rsidRPr="00A438CD">
        <w:rPr>
          <w:szCs w:val="22"/>
        </w:rPr>
        <w:t xml:space="preserve"> </w:t>
      </w:r>
      <w:r w:rsidRPr="00A438CD">
        <w:rPr>
          <w:i/>
          <w:szCs w:val="22"/>
        </w:rPr>
        <w:t>Electronic Filing of Documents in Rulemaking Proceedings</w:t>
      </w:r>
      <w:r w:rsidRPr="00A438CD">
        <w:rPr>
          <w:szCs w:val="22"/>
        </w:rPr>
        <w:t>, 63 FR 24121 (1998).</w:t>
      </w:r>
    </w:p>
    <w:p w:rsidR="003B0F3C" w:rsidRPr="00A438CD" w:rsidRDefault="003B0F3C" w:rsidP="009E5AA0">
      <w:pPr>
        <w:pStyle w:val="ParaNum"/>
        <w:numPr>
          <w:ilvl w:val="0"/>
          <w:numId w:val="6"/>
        </w:numPr>
        <w:rPr>
          <w:szCs w:val="22"/>
        </w:rPr>
      </w:pPr>
      <w:r w:rsidRPr="00A438CD">
        <w:rPr>
          <w:szCs w:val="22"/>
        </w:rPr>
        <w:t xml:space="preserve">Electronic Filers:  Comments may be filed electronically using the Internet by accessing the ECFS:  </w:t>
      </w:r>
      <w:hyperlink r:id="rId10" w:history="1">
        <w:r w:rsidRPr="00A438CD">
          <w:rPr>
            <w:rStyle w:val="Hyperlink"/>
            <w:szCs w:val="22"/>
          </w:rPr>
          <w:t>http://fjallfoss.fcc.gov/ecfs2/</w:t>
        </w:r>
      </w:hyperlink>
      <w:r w:rsidRPr="00A438CD">
        <w:rPr>
          <w:szCs w:val="22"/>
        </w:rPr>
        <w:t xml:space="preserve">.  </w:t>
      </w:r>
    </w:p>
    <w:p w:rsidR="003B0F3C" w:rsidRPr="00A438CD" w:rsidRDefault="003B0F3C" w:rsidP="009E5AA0">
      <w:pPr>
        <w:pStyle w:val="ParaNum"/>
        <w:numPr>
          <w:ilvl w:val="0"/>
          <w:numId w:val="6"/>
        </w:numPr>
        <w:rPr>
          <w:szCs w:val="22"/>
        </w:rPr>
      </w:pPr>
      <w:r w:rsidRPr="00A438CD">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B0F3C" w:rsidRPr="00A1103B" w:rsidRDefault="003B0F3C" w:rsidP="009E5AA0">
      <w:pPr>
        <w:pStyle w:val="ParaNum"/>
        <w:numPr>
          <w:ilvl w:val="1"/>
          <w:numId w:val="6"/>
        </w:numPr>
        <w:rPr>
          <w:szCs w:val="22"/>
        </w:rPr>
      </w:pPr>
      <w:r w:rsidRPr="00A438CD">
        <w:rPr>
          <w:szCs w:val="22"/>
        </w:rPr>
        <w:t>Filings can be sent by h</w:t>
      </w:r>
      <w:r w:rsidRPr="00A1103B">
        <w:rPr>
          <w:szCs w:val="22"/>
        </w:rPr>
        <w:t>and or messenger delivery, by commercial overnight courier, or by first-class or overnight U.S. Postal Service mail.  All filings must be addressed to the Commission’s Secretary, Office of the Secretary, Federal Communications Commission.</w:t>
      </w:r>
    </w:p>
    <w:p w:rsidR="003B0F3C" w:rsidRPr="00A1103B" w:rsidRDefault="003B0F3C" w:rsidP="009E5AA0">
      <w:pPr>
        <w:pStyle w:val="ParaNum"/>
        <w:numPr>
          <w:ilvl w:val="1"/>
          <w:numId w:val="6"/>
        </w:numPr>
        <w:rPr>
          <w:szCs w:val="22"/>
        </w:rPr>
      </w:pPr>
      <w:r w:rsidRPr="00A1103B">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3B0F3C" w:rsidRPr="00A1103B" w:rsidRDefault="003B0F3C" w:rsidP="009E5AA0">
      <w:pPr>
        <w:pStyle w:val="ParaNum"/>
        <w:numPr>
          <w:ilvl w:val="1"/>
          <w:numId w:val="6"/>
        </w:numPr>
        <w:rPr>
          <w:szCs w:val="22"/>
        </w:rPr>
      </w:pPr>
      <w:r w:rsidRPr="00A1103B">
        <w:rPr>
          <w:szCs w:val="22"/>
        </w:rPr>
        <w:t>Commercial overnight mail (other than U.S. Postal Service Express Mail and Priority Mail) must be sent to 9300 East Hampton Drive, Capitol Heights, MD  20743.</w:t>
      </w:r>
    </w:p>
    <w:p w:rsidR="003B0F3C" w:rsidRPr="00A1103B" w:rsidRDefault="003B0F3C" w:rsidP="009E5AA0">
      <w:pPr>
        <w:pStyle w:val="ParaNum"/>
        <w:numPr>
          <w:ilvl w:val="1"/>
          <w:numId w:val="6"/>
        </w:numPr>
        <w:rPr>
          <w:szCs w:val="22"/>
        </w:rPr>
      </w:pPr>
      <w:r w:rsidRPr="00A1103B">
        <w:rPr>
          <w:szCs w:val="22"/>
        </w:rPr>
        <w:t>U.S. Postal Service first-class, Express, and Priority mail must be addressed to 445 12th Street, SW, Washington DC  20554.</w:t>
      </w:r>
    </w:p>
    <w:p w:rsidR="003B0F3C" w:rsidRDefault="003B0F3C" w:rsidP="003909AC">
      <w:pPr>
        <w:pStyle w:val="ParaNum"/>
        <w:ind w:left="-90"/>
        <w:rPr>
          <w:szCs w:val="22"/>
        </w:rPr>
      </w:pPr>
      <w:r w:rsidRPr="00A1103B">
        <w:rPr>
          <w:szCs w:val="22"/>
        </w:rPr>
        <w:t xml:space="preserve">People with Disabilities:  To request materials in accessible formats for people with disabilities (braille, large print, electronic files, audio format), send an e-mail to </w:t>
      </w:r>
      <w:hyperlink r:id="rId11" w:history="1">
        <w:r w:rsidRPr="00A1103B">
          <w:rPr>
            <w:rStyle w:val="Hyperlink"/>
            <w:szCs w:val="22"/>
          </w:rPr>
          <w:t>fcc504@fcc.gov</w:t>
        </w:r>
      </w:hyperlink>
      <w:r w:rsidRPr="00A1103B">
        <w:rPr>
          <w:szCs w:val="22"/>
        </w:rPr>
        <w:t xml:space="preserve"> or call the Consumer &amp; Governmental Affairs Bureau at 202-418-0530 (voice), 202-418-0432 (tty).</w:t>
      </w:r>
    </w:p>
    <w:p w:rsidR="00FB2593" w:rsidRDefault="003B0F3C" w:rsidP="00C307C9">
      <w:pPr>
        <w:pStyle w:val="Heading2"/>
        <w:rPr>
          <w:b w:val="0"/>
          <w:szCs w:val="22"/>
        </w:rPr>
      </w:pPr>
      <w:bookmarkStart w:id="196" w:name="_Toc382567936"/>
      <w:bookmarkStart w:id="197" w:name="_Toc384227072"/>
      <w:r w:rsidRPr="00A1103B">
        <w:rPr>
          <w:szCs w:val="22"/>
        </w:rPr>
        <w:t>Ex Parte Information</w:t>
      </w:r>
      <w:bookmarkEnd w:id="196"/>
      <w:bookmarkEnd w:id="197"/>
    </w:p>
    <w:p w:rsidR="003B0F3C" w:rsidRDefault="000D6546" w:rsidP="003909AC">
      <w:pPr>
        <w:pStyle w:val="ParaNum"/>
        <w:ind w:left="-90"/>
        <w:rPr>
          <w:szCs w:val="22"/>
        </w:rPr>
      </w:pPr>
      <w:r>
        <w:rPr>
          <w:szCs w:val="22"/>
        </w:rPr>
        <w:t xml:space="preserve">The proceeding this Notice </w:t>
      </w:r>
      <w:r w:rsidR="00794495">
        <w:rPr>
          <w:szCs w:val="22"/>
        </w:rPr>
        <w:t xml:space="preserve">and Second Further Notice </w:t>
      </w:r>
      <w:r w:rsidR="003B0F3C" w:rsidRPr="00A1103B">
        <w:rPr>
          <w:szCs w:val="22"/>
        </w:rPr>
        <w:t>initiates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list all persons attending or otherwise participating in the meeting at which the ex parte presentation was made, and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3B0F3C" w:rsidRPr="00A1103B" w:rsidRDefault="003B0F3C" w:rsidP="003B0F3C">
      <w:pPr>
        <w:pStyle w:val="Heading1"/>
        <w:widowControl/>
        <w:rPr>
          <w:szCs w:val="22"/>
        </w:rPr>
      </w:pPr>
      <w:bookmarkStart w:id="198" w:name="_Toc351484777"/>
      <w:bookmarkStart w:id="199" w:name="_Toc351484823"/>
      <w:bookmarkStart w:id="200" w:name="_Toc351484965"/>
      <w:bookmarkStart w:id="201" w:name="_Toc351571074"/>
      <w:bookmarkStart w:id="202" w:name="_Toc353032064"/>
      <w:bookmarkStart w:id="203" w:name="_Toc351572438"/>
      <w:bookmarkStart w:id="204" w:name="_Toc352943197"/>
      <w:bookmarkStart w:id="205" w:name="_Toc352943646"/>
      <w:bookmarkStart w:id="206" w:name="_Toc353987741"/>
      <w:bookmarkStart w:id="207" w:name="_Toc353988062"/>
      <w:bookmarkStart w:id="208" w:name="_Toc382567937"/>
      <w:bookmarkStart w:id="209" w:name="_Toc384227073"/>
      <w:r w:rsidRPr="00A1103B">
        <w:rPr>
          <w:szCs w:val="22"/>
        </w:rPr>
        <w:t>ORDERING CLAUSES</w:t>
      </w:r>
      <w:bookmarkEnd w:id="198"/>
      <w:bookmarkEnd w:id="199"/>
      <w:bookmarkEnd w:id="200"/>
      <w:bookmarkEnd w:id="201"/>
      <w:bookmarkEnd w:id="202"/>
      <w:bookmarkEnd w:id="203"/>
      <w:bookmarkEnd w:id="204"/>
      <w:bookmarkEnd w:id="205"/>
      <w:bookmarkEnd w:id="206"/>
      <w:bookmarkEnd w:id="207"/>
      <w:bookmarkEnd w:id="208"/>
      <w:bookmarkEnd w:id="209"/>
    </w:p>
    <w:p w:rsidR="003B0F3C" w:rsidRPr="00A1103B" w:rsidRDefault="003B0F3C" w:rsidP="003909AC">
      <w:pPr>
        <w:pStyle w:val="ParaNum"/>
        <w:ind w:left="-90"/>
        <w:rPr>
          <w:szCs w:val="22"/>
        </w:rPr>
      </w:pPr>
      <w:r w:rsidRPr="00A1103B">
        <w:rPr>
          <w:szCs w:val="22"/>
        </w:rPr>
        <w:t xml:space="preserve">Accordingly, </w:t>
      </w:r>
      <w:r w:rsidRPr="00A1103B">
        <w:rPr>
          <w:b/>
          <w:szCs w:val="22"/>
        </w:rPr>
        <w:t>IT IS ORDERED</w:t>
      </w:r>
      <w:r w:rsidRPr="00A1103B">
        <w:rPr>
          <w:szCs w:val="22"/>
        </w:rPr>
        <w:t xml:space="preserve"> that, pursuant to Sections 4(i) and (j), 9, and 303(r) of the Communications Act of 1934, as amended, 47 U.S.C. §§ 154(i), 154(j), 159, and 303(r), this </w:t>
      </w:r>
      <w:r w:rsidR="00794495">
        <w:rPr>
          <w:szCs w:val="22"/>
        </w:rPr>
        <w:t xml:space="preserve">Second </w:t>
      </w:r>
      <w:r w:rsidRPr="00A1103B">
        <w:rPr>
          <w:szCs w:val="22"/>
        </w:rPr>
        <w:t>Further Notice of Proposed Rulemaking</w:t>
      </w:r>
      <w:r w:rsidR="001F32C9">
        <w:rPr>
          <w:szCs w:val="22"/>
        </w:rPr>
        <w:t xml:space="preserve">, Notice of Proposed Rulemaking, and Order </w:t>
      </w:r>
      <w:r w:rsidR="001F32C9" w:rsidRPr="001F32C9">
        <w:rPr>
          <w:b/>
          <w:szCs w:val="22"/>
        </w:rPr>
        <w:t>ARE</w:t>
      </w:r>
      <w:r w:rsidR="001F32C9">
        <w:rPr>
          <w:b/>
          <w:szCs w:val="22"/>
        </w:rPr>
        <w:t xml:space="preserve"> </w:t>
      </w:r>
      <w:r w:rsidRPr="00A1103B">
        <w:rPr>
          <w:b/>
          <w:szCs w:val="22"/>
        </w:rPr>
        <w:t>HEREBY ADOPTED</w:t>
      </w:r>
      <w:r w:rsidRPr="00A1103B">
        <w:rPr>
          <w:szCs w:val="22"/>
        </w:rPr>
        <w:t>.</w:t>
      </w:r>
    </w:p>
    <w:p w:rsidR="003B0F3C" w:rsidRPr="00A1103B" w:rsidRDefault="003B0F3C" w:rsidP="003909AC">
      <w:pPr>
        <w:pStyle w:val="ParaNum"/>
        <w:ind w:left="-90"/>
        <w:rPr>
          <w:szCs w:val="22"/>
        </w:rPr>
      </w:pPr>
      <w:r w:rsidRPr="00A1103B">
        <w:rPr>
          <w:b/>
          <w:szCs w:val="22"/>
        </w:rPr>
        <w:t xml:space="preserve">IT IS FURTHER ORDERED </w:t>
      </w:r>
      <w:r w:rsidRPr="00A1103B">
        <w:rPr>
          <w:szCs w:val="22"/>
        </w:rPr>
        <w:t xml:space="preserve">that the Commission’s Consumer and Governmental Affairs Bureau, Reference Information Center, </w:t>
      </w:r>
      <w:r w:rsidRPr="00A1103B">
        <w:rPr>
          <w:b/>
          <w:szCs w:val="22"/>
        </w:rPr>
        <w:t>SHALL SEND</w:t>
      </w:r>
      <w:r w:rsidRPr="00A1103B">
        <w:rPr>
          <w:szCs w:val="22"/>
        </w:rPr>
        <w:t xml:space="preserve"> a copy of this </w:t>
      </w:r>
      <w:r w:rsidR="00794495">
        <w:rPr>
          <w:szCs w:val="22"/>
        </w:rPr>
        <w:t xml:space="preserve">Second </w:t>
      </w:r>
      <w:r w:rsidRPr="00A1103B">
        <w:rPr>
          <w:szCs w:val="22"/>
        </w:rPr>
        <w:t>Further Notice of Proposed Rulemaking</w:t>
      </w:r>
      <w:r w:rsidR="001F32C9">
        <w:rPr>
          <w:szCs w:val="22"/>
        </w:rPr>
        <w:t xml:space="preserve"> and Notice of Proposed Rulemaking</w:t>
      </w:r>
      <w:r w:rsidRPr="00A1103B">
        <w:rPr>
          <w:szCs w:val="22"/>
        </w:rPr>
        <w:t xml:space="preserve">, including the Initial Regulatory Flexibility Analysis in Attachment </w:t>
      </w:r>
      <w:r w:rsidR="002F1744">
        <w:rPr>
          <w:szCs w:val="22"/>
        </w:rPr>
        <w:t>E</w:t>
      </w:r>
      <w:r w:rsidRPr="00A1103B">
        <w:rPr>
          <w:szCs w:val="22"/>
        </w:rPr>
        <w:t>, to the Chief Counsel for Advocacy of the U.S. Small Business Administration.</w:t>
      </w:r>
    </w:p>
    <w:p w:rsidR="003B0F3C" w:rsidRPr="00A1103B" w:rsidRDefault="003B0F3C" w:rsidP="003B0F3C">
      <w:pPr>
        <w:pStyle w:val="Heading1"/>
        <w:numPr>
          <w:ilvl w:val="0"/>
          <w:numId w:val="0"/>
        </w:numPr>
        <w:ind w:left="720" w:hanging="720"/>
        <w:rPr>
          <w:szCs w:val="22"/>
        </w:rPr>
      </w:pPr>
    </w:p>
    <w:p w:rsidR="003B0F3C" w:rsidRPr="00A1103B" w:rsidRDefault="003B0F3C" w:rsidP="003B0F3C">
      <w:pPr>
        <w:pStyle w:val="ParaNum"/>
        <w:numPr>
          <w:ilvl w:val="0"/>
          <w:numId w:val="0"/>
        </w:numPr>
        <w:ind w:firstLine="630"/>
        <w:rPr>
          <w:szCs w:val="22"/>
        </w:rPr>
      </w:pPr>
    </w:p>
    <w:p w:rsidR="003B0F3C" w:rsidRPr="00A1103B" w:rsidRDefault="003B0F3C" w:rsidP="003B0F3C">
      <w:pPr>
        <w:pStyle w:val="Paranum0"/>
        <w:numPr>
          <w:ilvl w:val="0"/>
          <w:numId w:val="0"/>
        </w:numPr>
        <w:spacing w:after="0"/>
        <w:ind w:firstLine="720"/>
        <w:jc w:val="left"/>
        <w:rPr>
          <w:szCs w:val="22"/>
        </w:rPr>
      </w:pPr>
      <w:r w:rsidRPr="00A1103B">
        <w:rPr>
          <w:szCs w:val="22"/>
        </w:rPr>
        <w:tab/>
      </w:r>
      <w:r w:rsidRPr="00A1103B">
        <w:rPr>
          <w:szCs w:val="22"/>
        </w:rPr>
        <w:tab/>
      </w:r>
      <w:r w:rsidRPr="00A1103B">
        <w:rPr>
          <w:szCs w:val="22"/>
        </w:rPr>
        <w:tab/>
      </w:r>
      <w:r w:rsidRPr="00A1103B">
        <w:rPr>
          <w:szCs w:val="22"/>
        </w:rPr>
        <w:tab/>
      </w:r>
      <w:r w:rsidRPr="00A1103B">
        <w:rPr>
          <w:szCs w:val="22"/>
        </w:rPr>
        <w:tab/>
        <w:t>FEDERAL COMMUNICATIONS COMMISSION</w:t>
      </w:r>
    </w:p>
    <w:p w:rsidR="003B0F3C" w:rsidRPr="00A1103B" w:rsidRDefault="003B0F3C" w:rsidP="003B0F3C">
      <w:pPr>
        <w:pStyle w:val="Paranum0"/>
        <w:numPr>
          <w:ilvl w:val="0"/>
          <w:numId w:val="0"/>
        </w:numPr>
        <w:spacing w:after="0"/>
        <w:ind w:firstLine="720"/>
        <w:jc w:val="left"/>
        <w:rPr>
          <w:szCs w:val="22"/>
        </w:rPr>
      </w:pPr>
    </w:p>
    <w:p w:rsidR="003B0F3C" w:rsidRPr="00A1103B" w:rsidRDefault="003B0F3C" w:rsidP="003B0F3C">
      <w:pPr>
        <w:pStyle w:val="Paranum0"/>
        <w:numPr>
          <w:ilvl w:val="0"/>
          <w:numId w:val="0"/>
        </w:numPr>
        <w:spacing w:after="0"/>
        <w:ind w:firstLine="720"/>
        <w:jc w:val="left"/>
        <w:rPr>
          <w:szCs w:val="22"/>
        </w:rPr>
      </w:pPr>
    </w:p>
    <w:p w:rsidR="003B0F3C" w:rsidRPr="00A1103B" w:rsidRDefault="003B0F3C" w:rsidP="003B0F3C">
      <w:pPr>
        <w:tabs>
          <w:tab w:val="left" w:pos="1440"/>
        </w:tabs>
        <w:suppressAutoHyphens/>
        <w:spacing w:line="240" w:lineRule="atLeast"/>
        <w:ind w:firstLine="720"/>
        <w:rPr>
          <w:spacing w:val="-2"/>
          <w:szCs w:val="22"/>
        </w:rPr>
      </w:pPr>
    </w:p>
    <w:p w:rsidR="003B0F3C" w:rsidRPr="00A1103B" w:rsidRDefault="003B0F3C" w:rsidP="003B0F3C">
      <w:pPr>
        <w:tabs>
          <w:tab w:val="left" w:pos="1440"/>
        </w:tabs>
        <w:suppressAutoHyphens/>
        <w:spacing w:line="240" w:lineRule="atLeast"/>
        <w:ind w:firstLine="720"/>
        <w:rPr>
          <w:spacing w:val="-2"/>
          <w:szCs w:val="22"/>
        </w:rPr>
      </w:pPr>
      <w:r w:rsidRPr="00A1103B">
        <w:rPr>
          <w:spacing w:val="-2"/>
          <w:szCs w:val="22"/>
        </w:rPr>
        <w:tab/>
      </w:r>
      <w:r w:rsidRPr="00A1103B">
        <w:rPr>
          <w:spacing w:val="-2"/>
          <w:szCs w:val="22"/>
        </w:rPr>
        <w:tab/>
      </w:r>
      <w:r w:rsidRPr="00A1103B">
        <w:rPr>
          <w:spacing w:val="-2"/>
          <w:szCs w:val="22"/>
        </w:rPr>
        <w:tab/>
      </w:r>
      <w:r w:rsidRPr="00A1103B">
        <w:rPr>
          <w:spacing w:val="-2"/>
          <w:szCs w:val="22"/>
        </w:rPr>
        <w:tab/>
      </w:r>
    </w:p>
    <w:p w:rsidR="003B0F3C" w:rsidRPr="00A1103B" w:rsidRDefault="003B0F3C" w:rsidP="003B0F3C">
      <w:pPr>
        <w:tabs>
          <w:tab w:val="left" w:pos="1440"/>
        </w:tabs>
        <w:suppressAutoHyphens/>
        <w:spacing w:line="240" w:lineRule="atLeast"/>
        <w:ind w:firstLine="720"/>
        <w:rPr>
          <w:spacing w:val="-2"/>
          <w:szCs w:val="22"/>
        </w:rPr>
      </w:pPr>
      <w:r w:rsidRPr="00A1103B">
        <w:rPr>
          <w:spacing w:val="-2"/>
          <w:szCs w:val="22"/>
        </w:rPr>
        <w:tab/>
      </w:r>
      <w:r w:rsidRPr="00A1103B">
        <w:rPr>
          <w:spacing w:val="-2"/>
          <w:szCs w:val="22"/>
        </w:rPr>
        <w:tab/>
      </w:r>
      <w:r w:rsidRPr="00A1103B">
        <w:rPr>
          <w:spacing w:val="-2"/>
          <w:szCs w:val="22"/>
        </w:rPr>
        <w:tab/>
      </w:r>
      <w:r w:rsidRPr="00A1103B">
        <w:rPr>
          <w:spacing w:val="-2"/>
          <w:szCs w:val="22"/>
        </w:rPr>
        <w:tab/>
      </w:r>
      <w:r w:rsidRPr="00A1103B">
        <w:rPr>
          <w:spacing w:val="-2"/>
          <w:szCs w:val="22"/>
        </w:rPr>
        <w:tab/>
        <w:t>Marlene H. Dor</w:t>
      </w:r>
      <w:r>
        <w:rPr>
          <w:spacing w:val="-2"/>
          <w:szCs w:val="22"/>
        </w:rPr>
        <w:t>t</w:t>
      </w:r>
      <w:r w:rsidRPr="00A1103B">
        <w:rPr>
          <w:spacing w:val="-2"/>
          <w:szCs w:val="22"/>
        </w:rPr>
        <w:t>ch</w:t>
      </w:r>
    </w:p>
    <w:p w:rsidR="003B0F3C" w:rsidRDefault="003B0F3C" w:rsidP="003B0F3C">
      <w:pPr>
        <w:tabs>
          <w:tab w:val="left" w:pos="1440"/>
        </w:tabs>
        <w:suppressAutoHyphens/>
        <w:spacing w:line="240" w:lineRule="atLeast"/>
        <w:ind w:firstLine="720"/>
        <w:rPr>
          <w:szCs w:val="22"/>
        </w:rPr>
      </w:pPr>
      <w:r w:rsidRPr="00A1103B">
        <w:rPr>
          <w:szCs w:val="22"/>
        </w:rPr>
        <w:tab/>
      </w:r>
      <w:r w:rsidRPr="00A1103B">
        <w:rPr>
          <w:szCs w:val="22"/>
        </w:rPr>
        <w:tab/>
      </w:r>
      <w:r w:rsidRPr="00A1103B">
        <w:rPr>
          <w:szCs w:val="22"/>
        </w:rPr>
        <w:tab/>
      </w:r>
      <w:r w:rsidRPr="00A1103B">
        <w:rPr>
          <w:szCs w:val="22"/>
        </w:rPr>
        <w:tab/>
      </w:r>
      <w:r w:rsidRPr="00A1103B">
        <w:rPr>
          <w:szCs w:val="22"/>
        </w:rPr>
        <w:tab/>
        <w:t>Secretary</w:t>
      </w:r>
    </w:p>
    <w:p w:rsidR="00392EF0" w:rsidRDefault="00392EF0" w:rsidP="00D452B2">
      <w:pPr>
        <w:pStyle w:val="ParaNum"/>
      </w:pPr>
      <w:r>
        <w:br w:type="page"/>
      </w:r>
    </w:p>
    <w:p w:rsidR="003F40B8" w:rsidRPr="000511A8" w:rsidRDefault="003D35FB" w:rsidP="000511A8">
      <w:pPr>
        <w:pStyle w:val="ParaNum"/>
        <w:numPr>
          <w:ilvl w:val="0"/>
          <w:numId w:val="0"/>
        </w:numPr>
        <w:ind w:left="720"/>
        <w:jc w:val="center"/>
        <w:rPr>
          <w:b/>
        </w:rPr>
      </w:pPr>
      <w:r>
        <w:rPr>
          <w:b/>
        </w:rPr>
        <w:t>ATTACHMENT A</w:t>
      </w:r>
    </w:p>
    <w:p w:rsidR="003F40B8" w:rsidRPr="001043D2" w:rsidRDefault="003F40B8" w:rsidP="000511A8">
      <w:pPr>
        <w:pStyle w:val="ParaNum"/>
        <w:numPr>
          <w:ilvl w:val="0"/>
          <w:numId w:val="0"/>
        </w:numPr>
        <w:ind w:left="720"/>
        <w:jc w:val="center"/>
        <w:rPr>
          <w:b/>
        </w:rPr>
      </w:pPr>
      <w:r w:rsidRPr="001043D2">
        <w:rPr>
          <w:b/>
        </w:rPr>
        <w:t>Calculation of FY 2014 Revenue Requirements and Pro-Rata Fees</w:t>
      </w:r>
    </w:p>
    <w:p w:rsidR="003F40B8" w:rsidRDefault="003F40B8" w:rsidP="000511A8">
      <w:pPr>
        <w:pStyle w:val="ParaNum"/>
        <w:numPr>
          <w:ilvl w:val="0"/>
          <w:numId w:val="0"/>
        </w:numPr>
        <w:ind w:left="720"/>
        <w:rPr>
          <w:b/>
        </w:rPr>
      </w:pPr>
      <w:bookmarkStart w:id="210" w:name="_Toc351484778"/>
      <w:bookmarkStart w:id="211" w:name="_Toc351484824"/>
      <w:bookmarkStart w:id="212" w:name="_Toc351484966"/>
      <w:bookmarkStart w:id="213" w:name="_Toc351571075"/>
      <w:bookmarkStart w:id="214" w:name="_Toc351572439"/>
      <w:bookmarkStart w:id="215" w:name="_Toc353032065"/>
      <w:bookmarkStart w:id="216" w:name="_Toc352943198"/>
      <w:bookmarkStart w:id="217" w:name="_Toc352943647"/>
      <w:r>
        <w:t>Regulatory fees for the categories shaded in gray are collected by the Commission in advance to cover the term of the license and are submitted at the time the application is filed.</w:t>
      </w:r>
      <w:bookmarkEnd w:id="210"/>
      <w:bookmarkEnd w:id="211"/>
      <w:bookmarkEnd w:id="212"/>
      <w:bookmarkEnd w:id="213"/>
      <w:bookmarkEnd w:id="214"/>
      <w:bookmarkEnd w:id="215"/>
      <w:bookmarkEnd w:id="216"/>
      <w:bookmarkEnd w:id="217"/>
      <w:r>
        <w:rPr>
          <w:b/>
        </w:rPr>
        <w:t xml:space="preserve"> </w:t>
      </w:r>
    </w:p>
    <w:tbl>
      <w:tblPr>
        <w:tblW w:w="9000" w:type="dxa"/>
        <w:tblInd w:w="-60" w:type="dxa"/>
        <w:tblLayout w:type="fixed"/>
        <w:tblCellMar>
          <w:left w:w="30" w:type="dxa"/>
          <w:right w:w="30" w:type="dxa"/>
        </w:tblCellMar>
        <w:tblLook w:val="0000" w:firstRow="0" w:lastRow="0" w:firstColumn="0" w:lastColumn="0" w:noHBand="0" w:noVBand="0"/>
      </w:tblPr>
      <w:tblGrid>
        <w:gridCol w:w="1710"/>
        <w:gridCol w:w="1350"/>
        <w:gridCol w:w="630"/>
        <w:gridCol w:w="1080"/>
        <w:gridCol w:w="1080"/>
        <w:gridCol w:w="1080"/>
        <w:gridCol w:w="900"/>
        <w:gridCol w:w="1170"/>
      </w:tblGrid>
      <w:tr w:rsidR="003F40B8" w:rsidTr="002539A3">
        <w:trPr>
          <w:tblHeader/>
        </w:trPr>
        <w:tc>
          <w:tcPr>
            <w:tcW w:w="1710" w:type="dxa"/>
            <w:tcBorders>
              <w:top w:val="double" w:sz="6" w:space="0" w:color="auto"/>
              <w:left w:val="double" w:sz="6" w:space="0" w:color="auto"/>
              <w:bottom w:val="single" w:sz="18" w:space="0" w:color="auto"/>
            </w:tcBorders>
          </w:tcPr>
          <w:p w:rsidR="003F40B8" w:rsidRDefault="00253DF7"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fldChar w:fldCharType="begin"/>
            </w:r>
            <w:r w:rsidR="003F40B8">
              <w:rPr>
                <w:b/>
                <w:sz w:val="20"/>
              </w:rPr>
              <w:instrText xml:space="preserve">PRIVATE </w:instrText>
            </w:r>
            <w:r>
              <w:rPr>
                <w:b/>
                <w:sz w:val="20"/>
              </w:rPr>
              <w:fldChar w:fldCharType="end"/>
            </w:r>
            <w:r w:rsidR="003F40B8">
              <w:rPr>
                <w:b/>
                <w:sz w:val="20"/>
              </w:rPr>
              <w:t>Fee Category</w:t>
            </w:r>
          </w:p>
        </w:tc>
        <w:tc>
          <w:tcPr>
            <w:tcW w:w="1350" w:type="dxa"/>
            <w:tcBorders>
              <w:top w:val="double" w:sz="6" w:space="0" w:color="auto"/>
              <w:left w:val="single" w:sz="6" w:space="0" w:color="auto"/>
              <w:bottom w:val="single" w:sz="18"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2014 Payment Units</w:t>
            </w:r>
          </w:p>
        </w:tc>
        <w:tc>
          <w:tcPr>
            <w:tcW w:w="630" w:type="dxa"/>
            <w:tcBorders>
              <w:top w:val="double" w:sz="6" w:space="0" w:color="auto"/>
              <w:left w:val="single" w:sz="6" w:space="0" w:color="auto"/>
              <w:bottom w:val="single" w:sz="18"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Years</w:t>
            </w:r>
          </w:p>
        </w:tc>
        <w:tc>
          <w:tcPr>
            <w:tcW w:w="1080" w:type="dxa"/>
            <w:tcBorders>
              <w:top w:val="double" w:sz="6" w:space="0" w:color="auto"/>
              <w:left w:val="single" w:sz="6" w:space="0" w:color="auto"/>
              <w:bottom w:val="single" w:sz="18"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2013 Revenue Estimate</w:t>
            </w:r>
          </w:p>
        </w:tc>
        <w:tc>
          <w:tcPr>
            <w:tcW w:w="1080" w:type="dxa"/>
            <w:tcBorders>
              <w:top w:val="double" w:sz="6" w:space="0" w:color="auto"/>
              <w:left w:val="single" w:sz="6" w:space="0" w:color="auto"/>
              <w:bottom w:val="single" w:sz="18"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Pro-Rated FY 2014 Revenue Require-ment</w:t>
            </w:r>
          </w:p>
        </w:tc>
        <w:tc>
          <w:tcPr>
            <w:tcW w:w="1080" w:type="dxa"/>
            <w:tcBorders>
              <w:top w:val="double" w:sz="6" w:space="0" w:color="auto"/>
              <w:left w:val="single" w:sz="6" w:space="0" w:color="auto"/>
              <w:bottom w:val="single" w:sz="18"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Computed New FY 2014 Regulatory Fee</w:t>
            </w:r>
          </w:p>
        </w:tc>
        <w:tc>
          <w:tcPr>
            <w:tcW w:w="900" w:type="dxa"/>
            <w:tcBorders>
              <w:top w:val="double" w:sz="6" w:space="0" w:color="auto"/>
              <w:left w:val="single" w:sz="6" w:space="0" w:color="auto"/>
              <w:bottom w:val="single" w:sz="18"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Rounded New</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 xml:space="preserve">FY 2014 </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Regula-tory Fee</w:t>
            </w:r>
          </w:p>
        </w:tc>
        <w:tc>
          <w:tcPr>
            <w:tcW w:w="1170" w:type="dxa"/>
            <w:tcBorders>
              <w:top w:val="double" w:sz="6" w:space="0" w:color="auto"/>
              <w:left w:val="single" w:sz="6" w:space="0" w:color="auto"/>
              <w:bottom w:val="single" w:sz="18"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Expected</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FY 2014</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Revenue</w:t>
            </w:r>
          </w:p>
        </w:tc>
      </w:tr>
      <w:tr w:rsidR="003F40B8" w:rsidTr="002539A3">
        <w:tc>
          <w:tcPr>
            <w:tcW w:w="1710" w:type="dxa"/>
            <w:tcBorders>
              <w:top w:val="single" w:sz="18" w:space="0" w:color="auto"/>
              <w:left w:val="double" w:sz="12"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PLMRS (Exclusive Use) </w:t>
            </w:r>
          </w:p>
        </w:tc>
        <w:tc>
          <w:tcPr>
            <w:tcW w:w="1350" w:type="dxa"/>
            <w:tcBorders>
              <w:top w:val="single" w:sz="1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1,700</w:t>
            </w:r>
          </w:p>
        </w:tc>
        <w:tc>
          <w:tcPr>
            <w:tcW w:w="630" w:type="dxa"/>
            <w:tcBorders>
              <w:top w:val="single" w:sz="1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560,000</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578,582</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w:t>
            </w:r>
          </w:p>
        </w:tc>
        <w:tc>
          <w:tcPr>
            <w:tcW w:w="900" w:type="dxa"/>
            <w:tcBorders>
              <w:top w:val="single" w:sz="1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w:t>
            </w:r>
          </w:p>
        </w:tc>
        <w:tc>
          <w:tcPr>
            <w:tcW w:w="1170" w:type="dxa"/>
            <w:tcBorders>
              <w:top w:val="single" w:sz="18" w:space="0" w:color="auto"/>
              <w:left w:val="single" w:sz="8" w:space="0" w:color="auto"/>
              <w:bottom w:val="single" w:sz="8" w:space="0" w:color="auto"/>
              <w:right w:val="double" w:sz="12"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595,000</w:t>
            </w:r>
          </w:p>
        </w:tc>
      </w:tr>
      <w:tr w:rsidR="003F40B8" w:rsidTr="002539A3">
        <w:tc>
          <w:tcPr>
            <w:tcW w:w="1710" w:type="dxa"/>
            <w:tcBorders>
              <w:top w:val="single" w:sz="8" w:space="0" w:color="auto"/>
              <w:left w:val="double" w:sz="12"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PLMRS (Shared use)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30,000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2,250,000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2,768,930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3,000,000</w:t>
            </w:r>
          </w:p>
        </w:tc>
      </w:tr>
      <w:tr w:rsidR="003F40B8" w:rsidTr="002539A3">
        <w:tc>
          <w:tcPr>
            <w:tcW w:w="1710" w:type="dxa"/>
            <w:tcBorders>
              <w:top w:val="single" w:sz="8" w:space="0" w:color="auto"/>
              <w:left w:val="double" w:sz="12"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Microwave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17,000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2,640,000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2,727,603</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2,550,000</w:t>
            </w:r>
          </w:p>
        </w:tc>
      </w:tr>
      <w:tr w:rsidR="003F40B8" w:rsidTr="002539A3">
        <w:tc>
          <w:tcPr>
            <w:tcW w:w="1710" w:type="dxa"/>
            <w:tcBorders>
              <w:top w:val="single" w:sz="8" w:space="0" w:color="auto"/>
              <w:left w:val="double" w:sz="12"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218-219 MHz (Formerly IVDS)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3,750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4,133</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83</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4,250</w:t>
            </w:r>
          </w:p>
        </w:tc>
      </w:tr>
      <w:tr w:rsidR="003F40B8" w:rsidTr="002539A3">
        <w:tc>
          <w:tcPr>
            <w:tcW w:w="1710" w:type="dxa"/>
            <w:tcBorders>
              <w:top w:val="single" w:sz="8" w:space="0" w:color="auto"/>
              <w:left w:val="double" w:sz="12"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Marine (Ship)</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5,200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909,201</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780,000</w:t>
            </w:r>
          </w:p>
        </w:tc>
      </w:tr>
      <w:tr w:rsidR="003F40B8" w:rsidTr="002539A3">
        <w:tc>
          <w:tcPr>
            <w:tcW w:w="1710" w:type="dxa"/>
            <w:tcBorders>
              <w:top w:val="single" w:sz="8" w:space="0" w:color="auto"/>
              <w:left w:val="double" w:sz="12"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GMRS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5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197,500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330,619</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222,500</w:t>
            </w:r>
          </w:p>
        </w:tc>
      </w:tr>
      <w:tr w:rsidR="003F40B8" w:rsidTr="002539A3">
        <w:tc>
          <w:tcPr>
            <w:tcW w:w="1710" w:type="dxa"/>
            <w:tcBorders>
              <w:top w:val="single" w:sz="8" w:space="0" w:color="auto"/>
              <w:left w:val="double" w:sz="12"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Aviation (Aircraft)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4,200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413,273</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420,000</w:t>
            </w:r>
          </w:p>
        </w:tc>
      </w:tr>
      <w:tr w:rsidR="003F40B8" w:rsidTr="002539A3">
        <w:tc>
          <w:tcPr>
            <w:tcW w:w="1710" w:type="dxa"/>
            <w:tcBorders>
              <w:top w:val="single" w:sz="8" w:space="0" w:color="auto"/>
              <w:left w:val="double" w:sz="12"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Marine (Coast)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156,750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165,309</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55</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165,000</w:t>
            </w:r>
          </w:p>
        </w:tc>
      </w:tr>
      <w:tr w:rsidR="003F40B8" w:rsidTr="002539A3">
        <w:tc>
          <w:tcPr>
            <w:tcW w:w="1710" w:type="dxa"/>
            <w:tcBorders>
              <w:top w:val="single" w:sz="8" w:space="0" w:color="auto"/>
              <w:left w:val="double" w:sz="12"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Aviation (Ground)</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450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165,309</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157,500</w:t>
            </w:r>
          </w:p>
        </w:tc>
      </w:tr>
      <w:tr w:rsidR="003F40B8" w:rsidTr="002539A3">
        <w:tc>
          <w:tcPr>
            <w:tcW w:w="1710" w:type="dxa"/>
            <w:tcBorders>
              <w:top w:val="single" w:sz="8" w:space="0" w:color="auto"/>
              <w:left w:val="double" w:sz="12"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Amateur Vanity Call Signs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230,230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247,964</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2.16</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2.16</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248,400</w:t>
            </w:r>
          </w:p>
        </w:tc>
      </w:tr>
      <w:tr w:rsidR="003F40B8" w:rsidTr="002539A3">
        <w:tc>
          <w:tcPr>
            <w:tcW w:w="1710" w:type="dxa"/>
            <w:tcBorders>
              <w:top w:val="single" w:sz="8"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A</w:t>
            </w:r>
            <w:r>
              <w:rPr>
                <w:sz w:val="20"/>
                <w:vertAlign w:val="superscript"/>
              </w:rPr>
              <w:t>4a</w:t>
            </w:r>
          </w:p>
        </w:tc>
        <w:tc>
          <w:tcPr>
            <w:tcW w:w="1350" w:type="dxa"/>
            <w:tcBorders>
              <w:top w:val="single" w:sz="8"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67</w:t>
            </w:r>
          </w:p>
        </w:tc>
        <w:tc>
          <w:tcPr>
            <w:tcW w:w="630" w:type="dxa"/>
            <w:tcBorders>
              <w:top w:val="single" w:sz="8"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8"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286,000</w:t>
            </w:r>
          </w:p>
        </w:tc>
        <w:tc>
          <w:tcPr>
            <w:tcW w:w="1080" w:type="dxa"/>
            <w:tcBorders>
              <w:top w:val="single" w:sz="8"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276,418</w:t>
            </w:r>
          </w:p>
        </w:tc>
        <w:tc>
          <w:tcPr>
            <w:tcW w:w="1080" w:type="dxa"/>
            <w:tcBorders>
              <w:top w:val="single" w:sz="8"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4,126</w:t>
            </w:r>
          </w:p>
        </w:tc>
        <w:tc>
          <w:tcPr>
            <w:tcW w:w="900" w:type="dxa"/>
            <w:tcBorders>
              <w:top w:val="single" w:sz="8"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4,125</w:t>
            </w:r>
          </w:p>
        </w:tc>
        <w:tc>
          <w:tcPr>
            <w:tcW w:w="1170" w:type="dxa"/>
            <w:tcBorders>
              <w:top w:val="single" w:sz="8"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276,375</w:t>
            </w:r>
          </w:p>
        </w:tc>
      </w:tr>
      <w:tr w:rsidR="003F40B8" w:rsidTr="002539A3">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B</w:t>
            </w:r>
            <w:r>
              <w:rPr>
                <w:sz w:val="20"/>
                <w:vertAlign w:val="superscript"/>
              </w:rPr>
              <w:t>4b</w:t>
            </w:r>
          </w:p>
        </w:tc>
        <w:tc>
          <w:tcPr>
            <w:tcW w:w="1350" w:type="dxa"/>
            <w:tcBorders>
              <w:top w:val="single" w:sz="6" w:space="0" w:color="auto"/>
              <w:left w:val="single" w:sz="6" w:space="0" w:color="auto"/>
            </w:tcBorders>
          </w:tcPr>
          <w:p w:rsidR="003F40B8" w:rsidRDefault="003F40B8" w:rsidP="001451C8">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1,48</w:t>
            </w:r>
            <w:r w:rsidR="001451C8">
              <w:rPr>
                <w:sz w:val="20"/>
              </w:rPr>
              <w:t>3</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3,435,250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3,439,404</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2,319</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2,325</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3,447,975</w:t>
            </w:r>
          </w:p>
        </w:tc>
      </w:tr>
      <w:tr w:rsidR="003F40B8" w:rsidTr="002539A3">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C</w:t>
            </w:r>
            <w:r>
              <w:rPr>
                <w:sz w:val="20"/>
                <w:vertAlign w:val="superscript"/>
              </w:rPr>
              <w:t>4c</w:t>
            </w:r>
          </w:p>
        </w:tc>
        <w:tc>
          <w:tcPr>
            <w:tcW w:w="1350" w:type="dxa"/>
            <w:tcBorders>
              <w:top w:val="single" w:sz="6" w:space="0" w:color="auto"/>
              <w:left w:val="single" w:sz="6" w:space="0" w:color="auto"/>
            </w:tcBorders>
          </w:tcPr>
          <w:p w:rsidR="003F40B8" w:rsidRDefault="003F40B8" w:rsidP="001451C8">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w:t>
            </w:r>
            <w:r w:rsidR="001451C8">
              <w:rPr>
                <w:sz w:val="20"/>
              </w:rPr>
              <w:t>8</w:t>
            </w:r>
            <w:r>
              <w:rPr>
                <w:sz w:val="20"/>
              </w:rPr>
              <w:t>2</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1,201,500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1,227,453</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1,392</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1,400</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1,234,800</w:t>
            </w:r>
          </w:p>
        </w:tc>
      </w:tr>
      <w:tr w:rsidR="003F40B8" w:rsidTr="002539A3">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D</w:t>
            </w:r>
            <w:r>
              <w:rPr>
                <w:sz w:val="20"/>
                <w:vertAlign w:val="superscript"/>
              </w:rPr>
              <w:t>4d</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1,522</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3,862,500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4,071,166</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2,675</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2,675</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4,071,350</w:t>
            </w:r>
          </w:p>
        </w:tc>
      </w:tr>
      <w:tr w:rsidR="003F40B8" w:rsidTr="002539A3">
        <w:tc>
          <w:tcPr>
            <w:tcW w:w="1710" w:type="dxa"/>
            <w:tcBorders>
              <w:top w:val="single" w:sz="6" w:space="0" w:color="auto"/>
              <w:left w:val="double" w:sz="6" w:space="0" w:color="auto"/>
            </w:tcBorders>
          </w:tcPr>
          <w:p w:rsidR="003F40B8" w:rsidRPr="00445C3B"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lang w:val="pt-BR"/>
              </w:rPr>
            </w:pPr>
            <w:r w:rsidRPr="00445C3B">
              <w:rPr>
                <w:sz w:val="20"/>
                <w:lang w:val="pt-BR"/>
              </w:rPr>
              <w:t>FM Classes A, B1 &amp; C3</w:t>
            </w:r>
            <w:r w:rsidRPr="00445C3B">
              <w:rPr>
                <w:sz w:val="20"/>
                <w:vertAlign w:val="superscript"/>
                <w:lang w:val="pt-BR"/>
              </w:rPr>
              <w:t>4e</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3,107</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8,379,375</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8,528,907</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2,745</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2,750</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8,544,250</w:t>
            </w:r>
          </w:p>
        </w:tc>
      </w:tr>
      <w:tr w:rsidR="003F40B8" w:rsidTr="002539A3">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FM Classes B, C, C0, C1 &amp; C2</w:t>
            </w:r>
            <w:r>
              <w:rPr>
                <w:sz w:val="20"/>
                <w:vertAlign w:val="superscript"/>
              </w:rPr>
              <w:t>4f</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3,139</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10,597,500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10,461,550</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3,333</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3,325</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10,437,175</w:t>
            </w:r>
          </w:p>
        </w:tc>
      </w:tr>
      <w:tr w:rsidR="003F40B8" w:rsidTr="002539A3">
        <w:trPr>
          <w:trHeight w:val="534"/>
        </w:trPr>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AM Construction Permits</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30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30,090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17,700</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590</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590</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17,700</w:t>
            </w:r>
          </w:p>
        </w:tc>
      </w:tr>
      <w:tr w:rsidR="003F40B8" w:rsidTr="002539A3">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FM Construction Permits</w:t>
            </w:r>
            <w:r>
              <w:rPr>
                <w:sz w:val="20"/>
                <w:vertAlign w:val="superscript"/>
              </w:rPr>
              <w:t>1</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185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142,500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138,750</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750</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750</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138,750</w:t>
            </w:r>
          </w:p>
        </w:tc>
      </w:tr>
      <w:tr w:rsidR="003F40B8" w:rsidTr="002539A3">
        <w:trPr>
          <w:trHeight w:val="444"/>
        </w:trPr>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Satellite TV</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127</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190,625</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197,208</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1,553</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1,550</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196,850</w:t>
            </w:r>
          </w:p>
        </w:tc>
      </w:tr>
      <w:tr w:rsidR="003F40B8" w:rsidTr="002539A3">
        <w:trPr>
          <w:trHeight w:val="606"/>
        </w:trPr>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Satellite TV Construction Permit</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2,880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3,944</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1,315</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1,325</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3,975</w:t>
            </w:r>
          </w:p>
        </w:tc>
      </w:tr>
      <w:tr w:rsidR="003F40B8" w:rsidTr="002539A3">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1-10</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138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6,235,725</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6,193,664</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44,882</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44,875</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6,192,750</w:t>
            </w:r>
          </w:p>
        </w:tc>
      </w:tr>
      <w:tr w:rsidR="003F40B8" w:rsidTr="00FB6B30">
        <w:trPr>
          <w:trHeight w:val="570"/>
        </w:trPr>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11-25</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138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5,636,875</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5,838,689</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42,309</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42,300</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5,837,400</w:t>
            </w:r>
          </w:p>
        </w:tc>
      </w:tr>
      <w:tr w:rsidR="003F40B8" w:rsidTr="00FB6B30">
        <w:trPr>
          <w:trHeight w:val="55"/>
        </w:trPr>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26-50</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182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4,965,225</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4,931,531</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27,096</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27,100</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4,932,200</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51-100</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290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4,645,275</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4,547,390</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15,681</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15,675</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4,545,750</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Digital TV  Remaining Markets </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380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1,769,975</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1,814,316</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4,775</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4,775</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1,814,500</w:t>
            </w:r>
          </w:p>
        </w:tc>
      </w:tr>
      <w:tr w:rsidR="003F40B8" w:rsidTr="003F40B8">
        <w:tc>
          <w:tcPr>
            <w:tcW w:w="1710" w:type="dxa"/>
            <w:tcBorders>
              <w:top w:val="single" w:sz="6" w:space="0" w:color="auto"/>
              <w:left w:val="double" w:sz="6" w:space="0" w:color="auto"/>
            </w:tcBorders>
          </w:tcPr>
          <w:p w:rsidR="003F40B8" w:rsidRP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Construction Permits</w:t>
            </w:r>
            <w:r w:rsidRPr="003F40B8">
              <w:rPr>
                <w:sz w:val="20"/>
              </w:rPr>
              <w:t>1</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5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20,950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23,875</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4,775</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4,775</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23,875</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Broadcast Auxiliaries</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25,800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254,000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315,533</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12.23</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258,000</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LPTV/Translators/ Boosters/Class A TV</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3,830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1,527,250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1,577,667</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412</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410</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1,570,300</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CARS Stations</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325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165,750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197,262</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607</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605</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196,625</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Cable TV Systems, including IPTV </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65,400,000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P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61,200,000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65,293,695</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.9984</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1.00</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65,400,000</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Interstate Telecommunication Service Providers</w:t>
            </w:r>
          </w:p>
        </w:tc>
        <w:tc>
          <w:tcPr>
            <w:tcW w:w="1350" w:type="dxa"/>
            <w:tcBorders>
              <w:top w:val="single" w:sz="6" w:space="0" w:color="auto"/>
              <w:left w:val="single" w:sz="6" w:space="0" w:color="auto"/>
            </w:tcBorders>
          </w:tcPr>
          <w:p w:rsidR="003F40B8" w:rsidRP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3F40B8">
              <w:rPr>
                <w:sz w:val="20"/>
              </w:rPr>
              <w:t xml:space="preserve">$38,800,000,000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P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135,330,000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131,835,683</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0.003398</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0.00340</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131,920,000</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Mobile Services (Cellular/Public Mobile)</w:t>
            </w:r>
          </w:p>
        </w:tc>
        <w:tc>
          <w:tcPr>
            <w:tcW w:w="1350" w:type="dxa"/>
            <w:tcBorders>
              <w:top w:val="single" w:sz="6" w:space="0" w:color="auto"/>
              <w:left w:val="single" w:sz="6" w:space="0" w:color="auto"/>
            </w:tcBorders>
          </w:tcPr>
          <w:p w:rsidR="003F40B8" w:rsidRP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3F40B8">
              <w:rPr>
                <w:sz w:val="20"/>
              </w:rPr>
              <w:t xml:space="preserve">330,000,000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P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58,680,000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60,312,520</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0.1828</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0.18</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59,400,000</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Messag. Services</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2,900,000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240,000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232,000</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0.0800</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232,000</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BRS</w:t>
            </w:r>
            <w:r w:rsidRPr="00FB6B30">
              <w:rPr>
                <w:sz w:val="20"/>
                <w:vertAlign w:val="superscript"/>
              </w:rPr>
              <w:t>2</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LMDS </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900</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190</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469,200</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86,700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646,718</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136,529</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719</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719</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720</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720</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648,000</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136,800</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Per 64 kbps Int’l Bearer Circuits </w:t>
            </w:r>
          </w:p>
          <w:p w:rsidR="003F40B8" w:rsidRP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3F40B8">
              <w:rPr>
                <w:sz w:val="20"/>
              </w:rPr>
              <w:t xml:space="preserve">Terrestrial (Common) &amp; Satellite (Common &amp; Non-Common) </w:t>
            </w:r>
          </w:p>
        </w:tc>
        <w:tc>
          <w:tcPr>
            <w:tcW w:w="1350" w:type="dxa"/>
            <w:tcBorders>
              <w:top w:val="single" w:sz="6" w:space="0" w:color="auto"/>
              <w:left w:val="single" w:sz="6" w:space="0" w:color="auto"/>
            </w:tcBorders>
          </w:tcPr>
          <w:p w:rsidR="003F40B8" w:rsidRDefault="00FF6B3A" w:rsidP="00FF6B3A">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w:t>
            </w:r>
            <w:r w:rsidR="003F40B8">
              <w:rPr>
                <w:sz w:val="20"/>
              </w:rPr>
              <w:t>,</w:t>
            </w:r>
            <w:r>
              <w:rPr>
                <w:sz w:val="20"/>
              </w:rPr>
              <w:t>484</w:t>
            </w:r>
            <w:r w:rsidR="003F40B8">
              <w:rPr>
                <w:sz w:val="20"/>
              </w:rPr>
              <w:t xml:space="preserve">,000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1,032,277</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1,073,199</w:t>
            </w:r>
          </w:p>
        </w:tc>
        <w:tc>
          <w:tcPr>
            <w:tcW w:w="1080" w:type="dxa"/>
            <w:tcBorders>
              <w:top w:val="single" w:sz="6" w:space="0" w:color="auto"/>
              <w:left w:val="single" w:sz="6" w:space="0" w:color="auto"/>
              <w:right w:val="single" w:sz="6" w:space="0" w:color="auto"/>
            </w:tcBorders>
          </w:tcPr>
          <w:p w:rsidR="003F40B8" w:rsidRDefault="003F40B8">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w:t>
            </w:r>
            <w:r w:rsidR="00FF6B3A">
              <w:rPr>
                <w:sz w:val="20"/>
              </w:rPr>
              <w:t>2393</w:t>
            </w:r>
          </w:p>
        </w:tc>
        <w:tc>
          <w:tcPr>
            <w:tcW w:w="900" w:type="dxa"/>
            <w:tcBorders>
              <w:top w:val="single" w:sz="6" w:space="0" w:color="auto"/>
              <w:left w:val="single" w:sz="6" w:space="0" w:color="auto"/>
            </w:tcBorders>
          </w:tcPr>
          <w:p w:rsidR="003F40B8" w:rsidRDefault="003F40B8">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w:t>
            </w:r>
            <w:r w:rsidR="00FF6B3A">
              <w:rPr>
                <w:sz w:val="20"/>
              </w:rPr>
              <w:t>24</w:t>
            </w:r>
          </w:p>
        </w:tc>
        <w:tc>
          <w:tcPr>
            <w:tcW w:w="1170" w:type="dxa"/>
            <w:tcBorders>
              <w:top w:val="single" w:sz="6" w:space="0" w:color="auto"/>
              <w:left w:val="single" w:sz="6" w:space="0" w:color="auto"/>
              <w:right w:val="double" w:sz="6" w:space="0" w:color="auto"/>
            </w:tcBorders>
          </w:tcPr>
          <w:p w:rsidR="003F40B8" w:rsidRDefault="003F40B8">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r w:rsidR="00FF6B3A">
              <w:rPr>
                <w:sz w:val="20"/>
              </w:rPr>
              <w:t>7</w:t>
            </w:r>
            <w:r>
              <w:rPr>
                <w:sz w:val="20"/>
              </w:rPr>
              <w:t>6,</w:t>
            </w:r>
            <w:r w:rsidR="00FF6B3A">
              <w:rPr>
                <w:sz w:val="20"/>
              </w:rPr>
              <w:t>160</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Submarine Cable Providers (see chart in Appendix C)</w:t>
            </w:r>
            <w:r w:rsidRPr="00FB6B30">
              <w:rPr>
                <w:sz w:val="20"/>
                <w:vertAlign w:val="superscript"/>
              </w:rPr>
              <w:t>3</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39.19</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8,530,139</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7,554,010</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192,766</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192,775</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7,554,370</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Earth Stations</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3,400 </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935,000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829,539</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244</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245</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833,000</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Space Stations (Geostationary)</w:t>
            </w: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94</w:t>
            </w: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12,101,700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10,717,648</w:t>
            </w: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114,018</w:t>
            </w: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114,025</w:t>
            </w: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10,716,750</w:t>
            </w:r>
          </w:p>
        </w:tc>
      </w:tr>
      <w:tr w:rsidR="003F40B8" w:rsidTr="003F40B8">
        <w:tc>
          <w:tcPr>
            <w:tcW w:w="1710" w:type="dxa"/>
            <w:tcBorders>
              <w:top w:val="single" w:sz="6" w:space="0" w:color="auto"/>
              <w:lef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Space Stations (Non-Geostationary</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 </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899,250</w:t>
            </w:r>
          </w:p>
        </w:tc>
        <w:tc>
          <w:tcPr>
            <w:tcW w:w="108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796,358</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righ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132,726</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132,725</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right w:val="double" w:sz="6" w:space="0" w:color="auto"/>
            </w:tcBorders>
          </w:tcPr>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796,350</w:t>
            </w: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F40B8" w:rsidRDefault="003F40B8"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r>
      <w:tr w:rsidR="00D9194B" w:rsidTr="002539A3">
        <w:tc>
          <w:tcPr>
            <w:tcW w:w="1710"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Estimated Revenue to be Collected</w:t>
            </w:r>
          </w:p>
        </w:tc>
        <w:tc>
          <w:tcPr>
            <w:tcW w:w="135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339,965,741</w:t>
            </w:r>
          </w:p>
        </w:tc>
        <w:tc>
          <w:tcPr>
            <w:tcW w:w="1080" w:type="dxa"/>
            <w:tcBorders>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341,541,247</w:t>
            </w:r>
          </w:p>
        </w:tc>
        <w:tc>
          <w:tcPr>
            <w:tcW w:w="1080" w:type="dxa"/>
            <w:tcBorders>
              <w:top w:val="single" w:sz="6" w:space="0" w:color="auto"/>
              <w:left w:val="single" w:sz="6" w:space="0" w:color="auto"/>
              <w:righ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right w:val="double" w:sz="6" w:space="0" w:color="auto"/>
            </w:tcBorders>
          </w:tcPr>
          <w:p w:rsidR="00D9194B" w:rsidRDefault="00D9194B">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340,5</w:t>
            </w:r>
            <w:r w:rsidR="00FF6B3A">
              <w:rPr>
                <w:sz w:val="20"/>
              </w:rPr>
              <w:t>9</w:t>
            </w:r>
            <w:r>
              <w:rPr>
                <w:sz w:val="20"/>
              </w:rPr>
              <w:t>8,</w:t>
            </w:r>
            <w:r w:rsidR="00FF6B3A">
              <w:rPr>
                <w:sz w:val="20"/>
              </w:rPr>
              <w:t>280</w:t>
            </w:r>
          </w:p>
        </w:tc>
      </w:tr>
      <w:tr w:rsidR="00D9194B" w:rsidTr="002539A3">
        <w:tc>
          <w:tcPr>
            <w:tcW w:w="1710"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Revenue Requirement</w:t>
            </w:r>
          </w:p>
        </w:tc>
        <w:tc>
          <w:tcPr>
            <w:tcW w:w="135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2" w:space="0" w:color="auto"/>
              <w:left w:val="single" w:sz="2" w:space="0" w:color="auto"/>
              <w:bottom w:val="double" w:sz="2" w:space="0" w:color="auto"/>
              <w:right w:val="single" w:sz="2"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6" w:space="0" w:color="auto"/>
              <w:left w:val="nil"/>
              <w:righ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2" w:space="0" w:color="auto"/>
              <w:left w:val="single" w:sz="2" w:space="0" w:color="auto"/>
              <w:bottom w:val="double" w:sz="2" w:space="0" w:color="auto"/>
              <w:right w:val="double" w:sz="2"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r>
      <w:tr w:rsidR="00D9194B" w:rsidTr="002539A3">
        <w:tc>
          <w:tcPr>
            <w:tcW w:w="1710" w:type="dxa"/>
            <w:tcBorders>
              <w:top w:val="single" w:sz="6" w:space="0" w:color="auto"/>
              <w:left w:val="double" w:sz="6" w:space="0" w:color="auto"/>
              <w:bottom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Difference</w:t>
            </w:r>
          </w:p>
        </w:tc>
        <w:tc>
          <w:tcPr>
            <w:tcW w:w="1350" w:type="dxa"/>
            <w:tcBorders>
              <w:top w:val="single" w:sz="6" w:space="0" w:color="auto"/>
              <w:left w:val="single" w:sz="6" w:space="0" w:color="auto"/>
              <w:bottom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bottom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bottom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121,741</w:t>
            </w:r>
          </w:p>
        </w:tc>
        <w:tc>
          <w:tcPr>
            <w:tcW w:w="1080" w:type="dxa"/>
            <w:tcBorders>
              <w:left w:val="single" w:sz="6" w:space="0" w:color="auto"/>
              <w:bottom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1,697,247</w:t>
            </w:r>
          </w:p>
        </w:tc>
        <w:tc>
          <w:tcPr>
            <w:tcW w:w="1080" w:type="dxa"/>
            <w:tcBorders>
              <w:top w:val="single" w:sz="6" w:space="0" w:color="auto"/>
              <w:left w:val="single" w:sz="6" w:space="0" w:color="auto"/>
              <w:bottom w:val="double" w:sz="6" w:space="0" w:color="auto"/>
              <w:righ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bottom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bottom w:val="double" w:sz="6" w:space="0" w:color="auto"/>
              <w:right w:val="double" w:sz="6" w:space="0" w:color="auto"/>
            </w:tcBorders>
          </w:tcPr>
          <w:p w:rsidR="00D9194B" w:rsidRDefault="00D9194B">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w:t>
            </w:r>
            <w:r w:rsidR="00FF6B3A">
              <w:rPr>
                <w:sz w:val="20"/>
              </w:rPr>
              <w:t>5</w:t>
            </w:r>
            <w:r>
              <w:rPr>
                <w:sz w:val="20"/>
              </w:rPr>
              <w:t>4,</w:t>
            </w:r>
            <w:r w:rsidR="00FF6B3A">
              <w:rPr>
                <w:sz w:val="20"/>
              </w:rPr>
              <w:t>280</w:t>
            </w:r>
          </w:p>
        </w:tc>
      </w:tr>
    </w:tbl>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rPr>
          <w:sz w:val="20"/>
        </w:rPr>
      </w:pPr>
      <w:r>
        <w:rPr>
          <w:sz w:val="20"/>
        </w:rPr>
        <w:t xml:space="preserve"> </w:t>
      </w: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ind w:left="1080"/>
        <w:rPr>
          <w:sz w:val="20"/>
        </w:rPr>
      </w:pP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vertAlign w:val="superscript"/>
        </w:rPr>
      </w:pPr>
      <w:r>
        <w:rPr>
          <w:sz w:val="20"/>
          <w:vertAlign w:val="superscript"/>
        </w:rPr>
        <w:t>1</w:t>
      </w:r>
      <w:r>
        <w:rPr>
          <w:sz w:val="20"/>
        </w:rPr>
        <w:t xml:space="preserve"> The FM Construction Permit revenues and the VHF and UHF Construction Permit revenues were adjusted to set the regulatory fee to an amount no higher than the lowest licensed fee for that class of service.  The reductions in the FM Construction Permit revenues are offset by increases in the revenue totals for FM radio stations.  Similarly, reductions in the VHF and UHF Construction Permit revenues are offset by increases in the revenue totals for VHF and UHF television stations, respectively. </w:t>
      </w: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2</w:t>
      </w:r>
      <w:r>
        <w:rPr>
          <w:sz w:val="20"/>
        </w:rPr>
        <w:t xml:space="preserve"> MDS/MMDS category was renamed Broadband Radio Service (BRS).  </w:t>
      </w:r>
      <w:r>
        <w:rPr>
          <w:i/>
          <w:sz w:val="20"/>
        </w:rPr>
        <w:t xml:space="preserve"> See Amendment of Parts 1, 21, 73, 74 and 101 of the Commission’s Rules to Facilitate the Provision of Fixed and Mobile Broadband  Access, Educational and Other Advanced Services in the 2150-2162 and 2500-2690 MHz Bands</w:t>
      </w:r>
      <w:r>
        <w:rPr>
          <w:sz w:val="20"/>
        </w:rPr>
        <w:t xml:space="preserve">, Report &amp; Order and Further Notice of Proposed Rulemaking, 19 FCC Rcd 14165, 14169, </w:t>
      </w:r>
      <w:r w:rsidR="007044EC">
        <w:rPr>
          <w:sz w:val="20"/>
        </w:rPr>
        <w:t>para.</w:t>
      </w:r>
      <w:r>
        <w:rPr>
          <w:sz w:val="20"/>
        </w:rPr>
        <w:t xml:space="preserve"> 6 (2004).</w:t>
      </w: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3</w:t>
      </w:r>
      <w:r>
        <w:rPr>
          <w:sz w:val="20"/>
        </w:rPr>
        <w:t xml:space="preserve"> The chart at the end of Appendix B lists the submarine cable bearer circuit regulatory fees (common and non-common carrier basis) that resulted from the adoption </w:t>
      </w:r>
      <w:r w:rsidR="00DB15B7">
        <w:rPr>
          <w:sz w:val="20"/>
        </w:rPr>
        <w:t>of the</w:t>
      </w:r>
      <w:r w:rsidR="00046608">
        <w:rPr>
          <w:sz w:val="20"/>
        </w:rPr>
        <w:t xml:space="preserve"> </w:t>
      </w:r>
      <w:r w:rsidR="00046608" w:rsidRPr="00046608">
        <w:rPr>
          <w:i/>
          <w:sz w:val="20"/>
        </w:rPr>
        <w:t>Submarine Cable Order</w:t>
      </w:r>
      <w:r>
        <w:rPr>
          <w:sz w:val="20"/>
        </w:rPr>
        <w:t>.</w:t>
      </w: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4</w:t>
      </w:r>
      <w:r>
        <w:rPr>
          <w:sz w:val="20"/>
        </w:rPr>
        <w:t xml:space="preserve"> The fee amounts listed in the column entitled “Rounded New FY 2013 Regulatory Fee” constitute a weighted average media regulatory fee by class of service.  The actual FY 2014 regulatory fees for AM/FM radio station are listed on a grid located at the end of Attachment B.    </w:t>
      </w:r>
      <w:r>
        <w:rPr>
          <w:i/>
          <w:sz w:val="20"/>
        </w:rPr>
        <w:t xml:space="preserve"> </w:t>
      </w:r>
    </w:p>
    <w:p w:rsidR="00D9194B" w:rsidRDefault="00D9194B" w:rsidP="00D9194B">
      <w:pPr>
        <w:autoSpaceDE w:val="0"/>
        <w:autoSpaceDN w:val="0"/>
        <w:adjustRightInd w:val="0"/>
        <w:jc w:val="center"/>
        <w:rPr>
          <w:b/>
        </w:rPr>
      </w:pPr>
      <w:r>
        <w:rPr>
          <w:b/>
        </w:rPr>
        <w:br w:type="page"/>
      </w:r>
      <w:r w:rsidR="00282E68">
        <w:rPr>
          <w:b/>
        </w:rPr>
        <w:t>ATTACHMENT B</w:t>
      </w:r>
    </w:p>
    <w:p w:rsidR="00D9194B" w:rsidRDefault="00D9194B" w:rsidP="00D9194B">
      <w:pPr>
        <w:jc w:val="center"/>
        <w:rPr>
          <w:b/>
        </w:rPr>
      </w:pPr>
    </w:p>
    <w:p w:rsidR="00D9194B" w:rsidRDefault="00D9194B" w:rsidP="00D9194B">
      <w:pPr>
        <w:jc w:val="center"/>
        <w:rPr>
          <w:b/>
        </w:rPr>
      </w:pPr>
      <w:r>
        <w:rPr>
          <w:b/>
        </w:rPr>
        <w:t>FY 2014 Schedule of Regulatory Fees</w:t>
      </w:r>
    </w:p>
    <w:p w:rsidR="00D9194B" w:rsidRDefault="00D9194B" w:rsidP="00D9194B">
      <w:pPr>
        <w:jc w:val="center"/>
        <w:rPr>
          <w:b/>
        </w:rPr>
      </w:pPr>
    </w:p>
    <w:p w:rsidR="00D9194B" w:rsidRDefault="00D9194B" w:rsidP="00D9194B">
      <w:pPr>
        <w:tabs>
          <w:tab w:val="center" w:pos="5040"/>
        </w:tabs>
        <w:suppressAutoHyphens/>
        <w:outlineLvl w:val="0"/>
        <w:rPr>
          <w:szCs w:val="22"/>
        </w:rPr>
      </w:pPr>
      <w:bookmarkStart w:id="218" w:name="_Toc351484779"/>
      <w:bookmarkStart w:id="219" w:name="_Toc351484825"/>
      <w:bookmarkStart w:id="220" w:name="_Toc351484967"/>
      <w:bookmarkStart w:id="221" w:name="_Toc351571076"/>
      <w:bookmarkStart w:id="222" w:name="_Toc351572440"/>
      <w:bookmarkStart w:id="223" w:name="_Toc353032066"/>
      <w:bookmarkStart w:id="224" w:name="_Toc352943199"/>
      <w:bookmarkStart w:id="225" w:name="_Toc352943648"/>
      <w:bookmarkStart w:id="226" w:name="_Toc382499678"/>
      <w:bookmarkStart w:id="227" w:name="_Toc382567938"/>
      <w:bookmarkStart w:id="228" w:name="_Toc382576270"/>
      <w:bookmarkStart w:id="229" w:name="_Toc384227074"/>
      <w:r>
        <w:rPr>
          <w:szCs w:val="22"/>
        </w:rPr>
        <w:t>Regulatory fees for the categories shaded in gray are collected by the Commission in advance to cover the term of the license and are submitted at the time the application is filed.</w:t>
      </w:r>
      <w:bookmarkEnd w:id="218"/>
      <w:bookmarkEnd w:id="219"/>
      <w:bookmarkEnd w:id="220"/>
      <w:bookmarkEnd w:id="221"/>
      <w:bookmarkEnd w:id="222"/>
      <w:bookmarkEnd w:id="223"/>
      <w:bookmarkEnd w:id="224"/>
      <w:bookmarkEnd w:id="225"/>
      <w:bookmarkEnd w:id="226"/>
      <w:bookmarkEnd w:id="227"/>
      <w:bookmarkEnd w:id="228"/>
      <w:bookmarkEnd w:id="229"/>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r>
        <w:rPr>
          <w:sz w:val="20"/>
        </w:rPr>
        <w:tab/>
      </w:r>
      <w:r>
        <w:rPr>
          <w:sz w:val="20"/>
        </w:rPr>
        <w:tab/>
      </w:r>
      <w:r>
        <w:rPr>
          <w:sz w:val="20"/>
        </w:rPr>
        <w:tab/>
      </w:r>
    </w:p>
    <w:tbl>
      <w:tblPr>
        <w:tblW w:w="8550" w:type="dxa"/>
        <w:tblInd w:w="210" w:type="dxa"/>
        <w:tblLayout w:type="fixed"/>
        <w:tblCellMar>
          <w:left w:w="120" w:type="dxa"/>
          <w:right w:w="120" w:type="dxa"/>
        </w:tblCellMar>
        <w:tblLook w:val="0000" w:firstRow="0" w:lastRow="0" w:firstColumn="0" w:lastColumn="0" w:noHBand="0" w:noVBand="0"/>
      </w:tblPr>
      <w:tblGrid>
        <w:gridCol w:w="6840"/>
        <w:gridCol w:w="1710"/>
      </w:tblGrid>
      <w:tr w:rsidR="00D9194B" w:rsidTr="002539A3">
        <w:trPr>
          <w:tblHeader/>
        </w:trPr>
        <w:tc>
          <w:tcPr>
            <w:tcW w:w="6840" w:type="dxa"/>
            <w:tcBorders>
              <w:top w:val="double" w:sz="6" w:space="0" w:color="auto"/>
              <w:left w:val="double" w:sz="6" w:space="0" w:color="auto"/>
              <w:bottom w:val="single" w:sz="8" w:space="0" w:color="auto"/>
            </w:tcBorders>
          </w:tcPr>
          <w:p w:rsidR="00D9194B" w:rsidRDefault="00253DF7"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sidR="00D9194B">
              <w:rPr>
                <w:sz w:val="20"/>
              </w:rPr>
              <w:instrText xml:space="preserve">PRIVATE </w:instrText>
            </w:r>
            <w:r>
              <w:rPr>
                <w:sz w:val="20"/>
              </w:rPr>
              <w:fldChar w:fldCharType="end"/>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710" w:type="dxa"/>
            <w:tcBorders>
              <w:top w:val="double" w:sz="6" w:space="0" w:color="auto"/>
              <w:left w:val="single" w:sz="6" w:space="0" w:color="auto"/>
              <w:bottom w:val="single" w:sz="8"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D9194B" w:rsidRDefault="00D9194B" w:rsidP="002539A3">
            <w:pPr>
              <w:tabs>
                <w:tab w:val="center" w:pos="850"/>
              </w:tabs>
              <w:suppressAutoHyphens/>
              <w:spacing w:after="54"/>
              <w:jc w:val="center"/>
              <w:rPr>
                <w:b/>
                <w:sz w:val="20"/>
              </w:rPr>
            </w:pPr>
            <w:r>
              <w:rPr>
                <w:b/>
                <w:sz w:val="20"/>
              </w:rPr>
              <w:t>(U.S. $'s)</w:t>
            </w:r>
          </w:p>
        </w:tc>
      </w:tr>
      <w:tr w:rsidR="00D9194B" w:rsidTr="002539A3">
        <w:tc>
          <w:tcPr>
            <w:tcW w:w="6840" w:type="dxa"/>
            <w:tcBorders>
              <w:top w:val="single" w:sz="8" w:space="0" w:color="auto"/>
              <w:left w:val="double" w:sz="12" w:space="0" w:color="auto"/>
              <w:bottom w:val="single" w:sz="8" w:space="0" w:color="auto"/>
              <w:right w:val="single" w:sz="8" w:space="0" w:color="auto"/>
            </w:tcBorders>
            <w:shd w:val="clear" w:color="auto" w:fill="C0C0C0"/>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D9194B" w:rsidRDefault="00D9194B" w:rsidP="002539A3">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35</w:t>
            </w:r>
          </w:p>
        </w:tc>
      </w:tr>
      <w:tr w:rsidR="00D9194B" w:rsidTr="002539A3">
        <w:tc>
          <w:tcPr>
            <w:tcW w:w="6840" w:type="dxa"/>
            <w:tcBorders>
              <w:top w:val="single" w:sz="8" w:space="0" w:color="auto"/>
              <w:left w:val="double" w:sz="12" w:space="0" w:color="auto"/>
              <w:bottom w:val="single" w:sz="8" w:space="0" w:color="auto"/>
              <w:right w:val="single" w:sz="8" w:space="0" w:color="auto"/>
            </w:tcBorders>
            <w:shd w:val="clear" w:color="auto" w:fill="C0C0C0"/>
          </w:tcPr>
          <w:p w:rsidR="00D9194B" w:rsidRDefault="00D9194B" w:rsidP="002539A3">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D9194B" w:rsidRDefault="00D9194B" w:rsidP="002539A3">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15</w:t>
            </w:r>
          </w:p>
        </w:tc>
      </w:tr>
      <w:tr w:rsidR="00D9194B" w:rsidTr="002539A3">
        <w:tc>
          <w:tcPr>
            <w:tcW w:w="6840" w:type="dxa"/>
            <w:tcBorders>
              <w:top w:val="single" w:sz="8" w:space="0" w:color="auto"/>
              <w:left w:val="double" w:sz="12" w:space="0" w:color="auto"/>
              <w:bottom w:val="single" w:sz="8" w:space="0" w:color="auto"/>
              <w:right w:val="single" w:sz="8" w:space="0" w:color="auto"/>
            </w:tcBorders>
            <w:shd w:val="clear" w:color="auto" w:fill="C0C0C0"/>
          </w:tcPr>
          <w:p w:rsidR="00D9194B" w:rsidRDefault="00D9194B" w:rsidP="002539A3">
            <w:pPr>
              <w:tabs>
                <w:tab w:val="left" w:pos="-1440"/>
                <w:tab w:val="left" w:pos="-720"/>
                <w:tab w:val="left" w:pos="0"/>
                <w:tab w:val="left" w:pos="720"/>
                <w:tab w:val="left" w:pos="1440"/>
                <w:tab w:val="left" w:pos="2160"/>
                <w:tab w:val="left" w:pos="2880"/>
                <w:tab w:val="right" w:pos="3461"/>
                <w:tab w:val="left" w:pos="3600"/>
              </w:tabs>
              <w:suppressAutoHyphens/>
              <w:spacing w:before="90" w:after="54"/>
              <w:rPr>
                <w:sz w:val="20"/>
              </w:rPr>
            </w:pPr>
            <w:r>
              <w:rPr>
                <w:sz w:val="20"/>
              </w:rPr>
              <w:t>218-219 MHz (Formerly Interactive Video Data Service) (per license) (47 CFR part 95)</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D9194B" w:rsidRDefault="00D9194B" w:rsidP="002539A3">
            <w:pPr>
              <w:tabs>
                <w:tab w:val="left" w:pos="-1440"/>
                <w:tab w:val="left" w:pos="-720"/>
              </w:tabs>
              <w:suppressAutoHyphens/>
              <w:spacing w:before="90" w:after="54"/>
              <w:jc w:val="center"/>
              <w:rPr>
                <w:sz w:val="20"/>
              </w:rPr>
            </w:pPr>
            <w:r>
              <w:rPr>
                <w:sz w:val="20"/>
              </w:rPr>
              <w:t>85</w:t>
            </w:r>
          </w:p>
        </w:tc>
      </w:tr>
      <w:tr w:rsidR="00D9194B" w:rsidTr="002539A3">
        <w:tc>
          <w:tcPr>
            <w:tcW w:w="6840" w:type="dxa"/>
            <w:tcBorders>
              <w:top w:val="single" w:sz="8" w:space="0" w:color="auto"/>
              <w:left w:val="double" w:sz="12" w:space="0" w:color="auto"/>
              <w:bottom w:val="single" w:sz="8" w:space="0" w:color="auto"/>
              <w:right w:val="single" w:sz="8" w:space="0" w:color="auto"/>
            </w:tcBorders>
            <w:shd w:val="clear" w:color="auto" w:fill="C0C0C0"/>
          </w:tcPr>
          <w:p w:rsidR="00D9194B" w:rsidRDefault="00D9194B" w:rsidP="002539A3">
            <w:pPr>
              <w:tabs>
                <w:tab w:val="left" w:pos="-1440"/>
                <w:tab w:val="left" w:pos="-720"/>
              </w:tabs>
              <w:suppressAutoHyphens/>
              <w:spacing w:before="90" w:after="54"/>
              <w:rPr>
                <w:sz w:val="20"/>
              </w:rPr>
            </w:pPr>
            <w:r>
              <w:rPr>
                <w:sz w:val="20"/>
              </w:rPr>
              <w:t>Marine (Ship) (per station)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D9194B" w:rsidRDefault="00D9194B" w:rsidP="002539A3">
            <w:pPr>
              <w:tabs>
                <w:tab w:val="left" w:pos="-1440"/>
                <w:tab w:val="left" w:pos="-720"/>
              </w:tabs>
              <w:suppressAutoHyphens/>
              <w:spacing w:before="90" w:after="54"/>
              <w:jc w:val="center"/>
              <w:rPr>
                <w:sz w:val="20"/>
              </w:rPr>
            </w:pPr>
            <w:r>
              <w:rPr>
                <w:sz w:val="20"/>
              </w:rPr>
              <w:t>15</w:t>
            </w:r>
          </w:p>
        </w:tc>
      </w:tr>
      <w:tr w:rsidR="00D9194B" w:rsidTr="002539A3">
        <w:tc>
          <w:tcPr>
            <w:tcW w:w="6840" w:type="dxa"/>
            <w:tcBorders>
              <w:top w:val="single" w:sz="8" w:space="0" w:color="auto"/>
              <w:left w:val="double" w:sz="12" w:space="0" w:color="auto"/>
              <w:bottom w:val="single" w:sz="8" w:space="0" w:color="auto"/>
              <w:right w:val="single" w:sz="8" w:space="0" w:color="auto"/>
            </w:tcBorders>
            <w:shd w:val="clear" w:color="auto" w:fill="C0C0C0"/>
          </w:tcPr>
          <w:p w:rsidR="00D9194B" w:rsidRDefault="00D9194B" w:rsidP="002539A3">
            <w:pPr>
              <w:tabs>
                <w:tab w:val="left" w:pos="-1440"/>
                <w:tab w:val="left" w:pos="-720"/>
              </w:tabs>
              <w:suppressAutoHyphens/>
              <w:spacing w:before="90" w:after="54"/>
              <w:rPr>
                <w:sz w:val="20"/>
              </w:rPr>
            </w:pPr>
            <w:r>
              <w:rPr>
                <w:sz w:val="20"/>
              </w:rPr>
              <w:t>Marine (Coast) (per license)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D9194B" w:rsidRDefault="00D9194B" w:rsidP="002539A3">
            <w:pPr>
              <w:tabs>
                <w:tab w:val="left" w:pos="-1440"/>
                <w:tab w:val="left" w:pos="-720"/>
              </w:tabs>
              <w:suppressAutoHyphens/>
              <w:spacing w:before="90" w:after="54"/>
              <w:jc w:val="center"/>
              <w:rPr>
                <w:sz w:val="20"/>
              </w:rPr>
            </w:pPr>
            <w:r>
              <w:rPr>
                <w:sz w:val="20"/>
              </w:rPr>
              <w:t>55</w:t>
            </w:r>
          </w:p>
        </w:tc>
      </w:tr>
      <w:tr w:rsidR="00D9194B" w:rsidTr="002539A3">
        <w:tc>
          <w:tcPr>
            <w:tcW w:w="6840" w:type="dxa"/>
            <w:tcBorders>
              <w:top w:val="single" w:sz="8" w:space="0" w:color="auto"/>
              <w:left w:val="double" w:sz="12" w:space="0" w:color="auto"/>
              <w:bottom w:val="single" w:sz="8" w:space="0" w:color="auto"/>
              <w:right w:val="single" w:sz="8" w:space="0" w:color="auto"/>
            </w:tcBorders>
            <w:shd w:val="clear" w:color="auto" w:fill="C0C0C0"/>
          </w:tcPr>
          <w:p w:rsidR="00D9194B" w:rsidRDefault="00D9194B" w:rsidP="002539A3">
            <w:pPr>
              <w:tabs>
                <w:tab w:val="left" w:pos="-1440"/>
                <w:tab w:val="left" w:pos="-720"/>
              </w:tabs>
              <w:suppressAutoHyphens/>
              <w:spacing w:before="90" w:after="54"/>
              <w:rPr>
                <w:sz w:val="20"/>
              </w:rPr>
            </w:pPr>
            <w:r>
              <w:rPr>
                <w:sz w:val="20"/>
              </w:rPr>
              <w:t>General Mobile Radio Service (per license) (47 CFR part 95)</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D9194B" w:rsidRDefault="00D9194B" w:rsidP="002539A3">
            <w:pPr>
              <w:tabs>
                <w:tab w:val="left" w:pos="-1440"/>
                <w:tab w:val="left" w:pos="-720"/>
              </w:tabs>
              <w:suppressAutoHyphens/>
              <w:spacing w:before="90" w:after="54"/>
              <w:jc w:val="center"/>
              <w:rPr>
                <w:sz w:val="20"/>
              </w:rPr>
            </w:pPr>
            <w:r>
              <w:rPr>
                <w:sz w:val="20"/>
              </w:rPr>
              <w:t>5</w:t>
            </w:r>
          </w:p>
        </w:tc>
      </w:tr>
      <w:tr w:rsidR="00D9194B" w:rsidTr="002539A3">
        <w:tc>
          <w:tcPr>
            <w:tcW w:w="6840" w:type="dxa"/>
            <w:tcBorders>
              <w:top w:val="single" w:sz="8" w:space="0" w:color="auto"/>
              <w:left w:val="double" w:sz="12" w:space="0" w:color="auto"/>
              <w:bottom w:val="single" w:sz="8" w:space="0" w:color="auto"/>
              <w:right w:val="single" w:sz="8" w:space="0" w:color="auto"/>
            </w:tcBorders>
            <w:shd w:val="clear" w:color="auto" w:fill="C0C0C0"/>
          </w:tcPr>
          <w:p w:rsidR="00D9194B" w:rsidRDefault="00D9194B" w:rsidP="002539A3">
            <w:pPr>
              <w:tabs>
                <w:tab w:val="left" w:pos="-1440"/>
                <w:tab w:val="left" w:pos="-720"/>
              </w:tabs>
              <w:suppressAutoHyphens/>
              <w:spacing w:before="90" w:after="54"/>
              <w:rPr>
                <w:sz w:val="20"/>
              </w:rPr>
            </w:pPr>
            <w:r>
              <w:rPr>
                <w:sz w:val="20"/>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D9194B" w:rsidRDefault="00D9194B" w:rsidP="002539A3">
            <w:pPr>
              <w:tabs>
                <w:tab w:val="left" w:pos="-1440"/>
                <w:tab w:val="left" w:pos="-720"/>
              </w:tabs>
              <w:suppressAutoHyphens/>
              <w:spacing w:before="90" w:after="54"/>
              <w:jc w:val="center"/>
              <w:rPr>
                <w:sz w:val="20"/>
              </w:rPr>
            </w:pPr>
            <w:r>
              <w:rPr>
                <w:sz w:val="20"/>
              </w:rPr>
              <w:t>10</w:t>
            </w:r>
          </w:p>
        </w:tc>
      </w:tr>
      <w:tr w:rsidR="00D9194B" w:rsidTr="002539A3">
        <w:tc>
          <w:tcPr>
            <w:tcW w:w="6840" w:type="dxa"/>
            <w:tcBorders>
              <w:top w:val="single" w:sz="8" w:space="0" w:color="auto"/>
              <w:left w:val="double" w:sz="12" w:space="0" w:color="auto"/>
              <w:bottom w:val="single" w:sz="8" w:space="0" w:color="auto"/>
              <w:right w:val="single" w:sz="8" w:space="0" w:color="auto"/>
            </w:tcBorders>
            <w:shd w:val="clear" w:color="auto" w:fill="C0C0C0"/>
          </w:tcPr>
          <w:p w:rsidR="00D9194B" w:rsidRDefault="00D9194B" w:rsidP="002539A3">
            <w:pPr>
              <w:tabs>
                <w:tab w:val="left" w:pos="-1440"/>
                <w:tab w:val="left" w:pos="-720"/>
              </w:tabs>
              <w:suppressAutoHyphens/>
              <w:spacing w:before="90" w:after="54"/>
              <w:rPr>
                <w:sz w:val="20"/>
              </w:rPr>
            </w:pPr>
            <w:r>
              <w:rPr>
                <w:sz w:val="20"/>
              </w:rPr>
              <w:t>PLMRS (Shared Use) (per license)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D9194B" w:rsidRDefault="00D9194B" w:rsidP="002539A3">
            <w:pPr>
              <w:tabs>
                <w:tab w:val="left" w:pos="-1440"/>
                <w:tab w:val="left" w:pos="-720"/>
              </w:tabs>
              <w:suppressAutoHyphens/>
              <w:spacing w:before="90" w:after="54"/>
              <w:jc w:val="center"/>
              <w:rPr>
                <w:sz w:val="20"/>
              </w:rPr>
            </w:pPr>
            <w:r>
              <w:rPr>
                <w:sz w:val="20"/>
              </w:rPr>
              <w:t>10</w:t>
            </w:r>
          </w:p>
        </w:tc>
      </w:tr>
      <w:tr w:rsidR="00D9194B" w:rsidTr="002539A3">
        <w:tc>
          <w:tcPr>
            <w:tcW w:w="6840" w:type="dxa"/>
            <w:tcBorders>
              <w:top w:val="single" w:sz="8" w:space="0" w:color="auto"/>
              <w:left w:val="double" w:sz="12" w:space="0" w:color="auto"/>
              <w:bottom w:val="single" w:sz="8" w:space="0" w:color="auto"/>
              <w:right w:val="single" w:sz="8" w:space="0" w:color="auto"/>
            </w:tcBorders>
            <w:shd w:val="clear" w:color="auto" w:fill="C0C0C0"/>
          </w:tcPr>
          <w:p w:rsidR="00D9194B" w:rsidRDefault="00D9194B" w:rsidP="002539A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D9194B" w:rsidRDefault="00D9194B" w:rsidP="002539A3">
            <w:pPr>
              <w:tabs>
                <w:tab w:val="left" w:pos="-1440"/>
                <w:tab w:val="left" w:pos="-720"/>
              </w:tabs>
              <w:suppressAutoHyphens/>
              <w:spacing w:before="90" w:after="54"/>
              <w:jc w:val="center"/>
              <w:rPr>
                <w:sz w:val="20"/>
              </w:rPr>
            </w:pPr>
            <w:r>
              <w:rPr>
                <w:sz w:val="20"/>
              </w:rPr>
              <w:t>10</w:t>
            </w:r>
          </w:p>
        </w:tc>
      </w:tr>
      <w:tr w:rsidR="00D9194B" w:rsidTr="002539A3">
        <w:tc>
          <w:tcPr>
            <w:tcW w:w="6840" w:type="dxa"/>
            <w:tcBorders>
              <w:top w:val="single" w:sz="8" w:space="0" w:color="auto"/>
              <w:left w:val="double" w:sz="12" w:space="0" w:color="auto"/>
              <w:bottom w:val="single" w:sz="8" w:space="0" w:color="auto"/>
              <w:right w:val="single" w:sz="8" w:space="0" w:color="auto"/>
            </w:tcBorders>
            <w:shd w:val="clear" w:color="auto" w:fill="C0C0C0"/>
          </w:tcPr>
          <w:p w:rsidR="00D9194B" w:rsidRDefault="00D9194B" w:rsidP="002539A3">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D9194B" w:rsidRDefault="00D9194B" w:rsidP="002539A3">
            <w:pPr>
              <w:tabs>
                <w:tab w:val="left" w:pos="-1440"/>
                <w:tab w:val="left" w:pos="-720"/>
              </w:tabs>
              <w:suppressAutoHyphens/>
              <w:spacing w:before="90" w:after="54"/>
              <w:jc w:val="center"/>
              <w:rPr>
                <w:sz w:val="20"/>
              </w:rPr>
            </w:pPr>
            <w:r>
              <w:rPr>
                <w:sz w:val="20"/>
              </w:rPr>
              <w:t>35</w:t>
            </w:r>
          </w:p>
        </w:tc>
      </w:tr>
      <w:tr w:rsidR="00D9194B" w:rsidTr="002539A3">
        <w:tc>
          <w:tcPr>
            <w:tcW w:w="6840" w:type="dxa"/>
            <w:tcBorders>
              <w:top w:val="single" w:sz="8" w:space="0" w:color="auto"/>
              <w:left w:val="double" w:sz="12" w:space="0" w:color="auto"/>
              <w:bottom w:val="single" w:sz="8" w:space="0" w:color="auto"/>
              <w:right w:val="single" w:sz="8" w:space="0" w:color="auto"/>
            </w:tcBorders>
            <w:shd w:val="clear" w:color="auto" w:fill="C0C0C0"/>
          </w:tcPr>
          <w:p w:rsidR="00D9194B" w:rsidRDefault="00D9194B" w:rsidP="002539A3">
            <w:pPr>
              <w:tabs>
                <w:tab w:val="left" w:pos="-1440"/>
                <w:tab w:val="left" w:pos="-720"/>
              </w:tabs>
              <w:suppressAutoHyphens/>
              <w:spacing w:before="90" w:after="54"/>
              <w:rPr>
                <w:sz w:val="20"/>
              </w:rPr>
            </w:pPr>
            <w:r>
              <w:rPr>
                <w:sz w:val="20"/>
              </w:rPr>
              <w:t xml:space="preserve">Amateur Vanity Call Signs (per call sign) (47 CFR part 97) </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D9194B" w:rsidRDefault="00D9194B" w:rsidP="002539A3">
            <w:pPr>
              <w:tabs>
                <w:tab w:val="left" w:pos="-1440"/>
                <w:tab w:val="left" w:pos="-720"/>
              </w:tabs>
              <w:suppressAutoHyphens/>
              <w:spacing w:before="90" w:after="54"/>
              <w:jc w:val="center"/>
              <w:rPr>
                <w:sz w:val="20"/>
              </w:rPr>
            </w:pPr>
            <w:r>
              <w:rPr>
                <w:sz w:val="20"/>
              </w:rPr>
              <w:t>2.16</w:t>
            </w:r>
          </w:p>
        </w:tc>
      </w:tr>
      <w:tr w:rsidR="00D9194B" w:rsidTr="002539A3">
        <w:tc>
          <w:tcPr>
            <w:tcW w:w="6840" w:type="dxa"/>
            <w:tcBorders>
              <w:top w:val="single" w:sz="8" w:space="0" w:color="auto"/>
              <w:left w:val="double" w:sz="6" w:space="0" w:color="auto"/>
            </w:tcBorders>
          </w:tcPr>
          <w:p w:rsidR="00D9194B" w:rsidRDefault="00D9194B" w:rsidP="002539A3">
            <w:pPr>
              <w:tabs>
                <w:tab w:val="left" w:pos="-1440"/>
                <w:tab w:val="left" w:pos="-720"/>
              </w:tabs>
              <w:suppressAutoHyphens/>
              <w:spacing w:before="90" w:after="54"/>
              <w:rPr>
                <w:sz w:val="20"/>
              </w:rPr>
            </w:pPr>
            <w:r>
              <w:rPr>
                <w:sz w:val="20"/>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.18</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s>
              <w:suppressAutoHyphens/>
              <w:spacing w:before="90" w:after="54"/>
              <w:rPr>
                <w:sz w:val="20"/>
              </w:rPr>
            </w:pPr>
            <w:r>
              <w:rPr>
                <w:sz w:val="20"/>
              </w:rPr>
              <w:t>CMRS Messaging Services (per unit) (47 CFR parts 20, 22, 24 and 90)</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.08</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s>
              <w:suppressAutoHyphens/>
              <w:spacing w:before="90" w:after="54"/>
              <w:rPr>
                <w:sz w:val="20"/>
              </w:rPr>
            </w:pPr>
            <w:r>
              <w:rPr>
                <w:sz w:val="20"/>
              </w:rPr>
              <w:t>Broadband Radio Service (formerly MMDS/ MDS) (per license) (47 CFR part 27)</w:t>
            </w:r>
          </w:p>
          <w:p w:rsidR="00D9194B" w:rsidRDefault="00D9194B" w:rsidP="002539A3">
            <w:pPr>
              <w:tabs>
                <w:tab w:val="left" w:pos="-1440"/>
                <w:tab w:val="left" w:pos="-720"/>
              </w:tabs>
              <w:suppressAutoHyphens/>
              <w:spacing w:before="90" w:after="54"/>
              <w:rPr>
                <w:sz w:val="20"/>
              </w:rPr>
            </w:pPr>
            <w:r>
              <w:rPr>
                <w:sz w:val="20"/>
              </w:rPr>
              <w:t>Local Multipoint Distribution Service (per call sign) (47 CFR, part 101)</w:t>
            </w:r>
          </w:p>
          <w:p w:rsidR="00D9194B" w:rsidRDefault="00D9194B" w:rsidP="002539A3">
            <w:pPr>
              <w:tabs>
                <w:tab w:val="left" w:pos="-1440"/>
                <w:tab w:val="left" w:pos="-720"/>
              </w:tabs>
              <w:suppressAutoHyphens/>
              <w:spacing w:before="90" w:after="54"/>
              <w:rPr>
                <w:sz w:val="20"/>
              </w:rPr>
            </w:pP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720</w:t>
            </w:r>
          </w:p>
          <w:p w:rsidR="00D9194B" w:rsidRDefault="00D9194B" w:rsidP="002539A3">
            <w:pPr>
              <w:tabs>
                <w:tab w:val="left" w:pos="-1440"/>
                <w:tab w:val="left" w:pos="-720"/>
              </w:tabs>
              <w:suppressAutoHyphens/>
              <w:spacing w:before="90" w:after="54"/>
              <w:jc w:val="center"/>
              <w:rPr>
                <w:sz w:val="20"/>
              </w:rPr>
            </w:pPr>
          </w:p>
          <w:p w:rsidR="00D9194B" w:rsidRDefault="00D9194B" w:rsidP="002539A3">
            <w:pPr>
              <w:tabs>
                <w:tab w:val="left" w:pos="-1440"/>
                <w:tab w:val="left" w:pos="-720"/>
              </w:tabs>
              <w:suppressAutoHyphens/>
              <w:spacing w:before="90" w:after="54"/>
              <w:jc w:val="center"/>
              <w:rPr>
                <w:sz w:val="20"/>
              </w:rPr>
            </w:pPr>
            <w:r>
              <w:rPr>
                <w:sz w:val="20"/>
              </w:rPr>
              <w:t>720</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s>
              <w:suppressAutoHyphens/>
              <w:spacing w:before="90" w:after="54"/>
              <w:rPr>
                <w:sz w:val="20"/>
              </w:rPr>
            </w:pPr>
            <w:r>
              <w:rPr>
                <w:sz w:val="20"/>
              </w:rPr>
              <w:t>AM Radio Construction Permits</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590</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s>
              <w:suppressAutoHyphens/>
              <w:spacing w:before="90" w:after="54"/>
              <w:rPr>
                <w:sz w:val="20"/>
              </w:rPr>
            </w:pPr>
            <w:r>
              <w:rPr>
                <w:sz w:val="20"/>
              </w:rPr>
              <w:t>FM Radio Construction Permits</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750</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s>
              <w:suppressAutoHyphens/>
              <w:spacing w:before="90" w:after="54"/>
              <w:rPr>
                <w:sz w:val="20"/>
              </w:rPr>
            </w:pPr>
            <w:r>
              <w:rPr>
                <w:sz w:val="20"/>
              </w:rPr>
              <w:t>Digital TV (47 CFR part 73) VHF and UHF Commercial</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right"/>
              <w:rPr>
                <w:sz w:val="20"/>
              </w:rPr>
            </w:pP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44,875</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 w:val="left" w:pos="0"/>
              </w:tabs>
              <w:suppressAutoHyphens/>
              <w:spacing w:before="90" w:after="54"/>
              <w:ind w:left="720" w:hanging="720"/>
              <w:rPr>
                <w:sz w:val="20"/>
              </w:rPr>
            </w:pPr>
            <w:r>
              <w:rPr>
                <w:sz w:val="20"/>
              </w:rPr>
              <w:tab/>
              <w:t>Markets 11-25</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42,300</w:t>
            </w:r>
          </w:p>
        </w:tc>
      </w:tr>
      <w:tr w:rsidR="00D9194B" w:rsidTr="002539A3">
        <w:tc>
          <w:tcPr>
            <w:tcW w:w="6840" w:type="dxa"/>
            <w:tcBorders>
              <w:top w:val="single" w:sz="2" w:space="0" w:color="auto"/>
              <w:left w:val="double" w:sz="2" w:space="0" w:color="auto"/>
              <w:right w:val="single" w:sz="2" w:space="0" w:color="auto"/>
            </w:tcBorders>
          </w:tcPr>
          <w:p w:rsidR="00D9194B" w:rsidRDefault="00D9194B" w:rsidP="002539A3">
            <w:pPr>
              <w:tabs>
                <w:tab w:val="left" w:pos="-1440"/>
                <w:tab w:val="left" w:pos="-720"/>
                <w:tab w:val="left" w:pos="0"/>
              </w:tabs>
              <w:suppressAutoHyphens/>
              <w:spacing w:before="90" w:after="54"/>
              <w:ind w:left="720" w:hanging="720"/>
              <w:rPr>
                <w:sz w:val="20"/>
              </w:rPr>
            </w:pPr>
            <w:r>
              <w:rPr>
                <w:sz w:val="20"/>
              </w:rPr>
              <w:tab/>
              <w:t>Markets 26-50</w:t>
            </w:r>
          </w:p>
        </w:tc>
        <w:tc>
          <w:tcPr>
            <w:tcW w:w="1710" w:type="dxa"/>
            <w:tcBorders>
              <w:top w:val="single" w:sz="2" w:space="0" w:color="auto"/>
              <w:left w:val="single" w:sz="2" w:space="0" w:color="auto"/>
              <w:right w:val="double" w:sz="2" w:space="0" w:color="auto"/>
            </w:tcBorders>
          </w:tcPr>
          <w:p w:rsidR="00D9194B" w:rsidRDefault="00D9194B" w:rsidP="002539A3">
            <w:pPr>
              <w:tabs>
                <w:tab w:val="left" w:pos="-1440"/>
                <w:tab w:val="left" w:pos="-720"/>
              </w:tabs>
              <w:suppressAutoHyphens/>
              <w:spacing w:before="90" w:after="54"/>
              <w:jc w:val="center"/>
              <w:rPr>
                <w:sz w:val="20"/>
              </w:rPr>
            </w:pPr>
            <w:r>
              <w:rPr>
                <w:sz w:val="20"/>
              </w:rPr>
              <w:t>27,100</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15,675</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 w:val="left" w:pos="0"/>
              </w:tabs>
              <w:suppressAutoHyphens/>
              <w:spacing w:before="90" w:after="54"/>
              <w:ind w:left="720" w:hanging="720"/>
              <w:rPr>
                <w:sz w:val="20"/>
              </w:rPr>
            </w:pPr>
            <w:r>
              <w:rPr>
                <w:sz w:val="20"/>
              </w:rPr>
              <w:tab/>
              <w:t>Remaining Markets</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4,775</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 w:val="left" w:pos="0"/>
              </w:tabs>
              <w:suppressAutoHyphens/>
              <w:spacing w:before="90" w:after="54"/>
              <w:ind w:left="720" w:hanging="720"/>
              <w:rPr>
                <w:sz w:val="20"/>
              </w:rPr>
            </w:pPr>
            <w:r>
              <w:rPr>
                <w:sz w:val="20"/>
              </w:rPr>
              <w:tab/>
              <w:t>Construction Permits</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4,775</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s>
              <w:suppressAutoHyphens/>
              <w:spacing w:before="90" w:after="54"/>
              <w:rPr>
                <w:sz w:val="20"/>
              </w:rPr>
            </w:pPr>
            <w:r>
              <w:rPr>
                <w:sz w:val="20"/>
              </w:rPr>
              <w:t xml:space="preserve">Satellite Television Stations  (All Markets)   </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1,550</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s>
              <w:suppressAutoHyphens/>
              <w:spacing w:before="90" w:after="54"/>
              <w:rPr>
                <w:sz w:val="20"/>
              </w:rPr>
            </w:pPr>
            <w:r>
              <w:rPr>
                <w:sz w:val="20"/>
              </w:rPr>
              <w:t>Construction Permits – Satellite Television Stations</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1,325</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410</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s>
              <w:suppressAutoHyphens/>
              <w:spacing w:before="90" w:after="54"/>
              <w:ind w:left="3600" w:hanging="3600"/>
              <w:rPr>
                <w:sz w:val="20"/>
              </w:rPr>
            </w:pPr>
            <w:r>
              <w:rPr>
                <w:sz w:val="20"/>
              </w:rPr>
              <w:t>Broadcast Auxiliaries (47 CFR part 74)</w:t>
            </w:r>
            <w:r>
              <w:rPr>
                <w:sz w:val="20"/>
              </w:rPr>
              <w:tab/>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10</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605</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s>
              <w:suppressAutoHyphens/>
              <w:spacing w:before="90" w:after="54"/>
              <w:rPr>
                <w:sz w:val="20"/>
              </w:rPr>
            </w:pPr>
            <w:r>
              <w:rPr>
                <w:sz w:val="20"/>
              </w:rPr>
              <w:t>Cable Television Systems (per subscriber) (47 CFR part 76), Including IPTV</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1.00</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s>
              <w:suppressAutoHyphens/>
              <w:spacing w:before="90" w:after="54"/>
              <w:rPr>
                <w:sz w:val="20"/>
              </w:rPr>
            </w:pPr>
            <w:r>
              <w:rPr>
                <w:sz w:val="20"/>
              </w:rPr>
              <w:t>Interstate Telecommunication Service Providers (per revenue dollar)</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.00340</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s>
              <w:suppressAutoHyphens/>
              <w:spacing w:before="90" w:after="54"/>
              <w:rPr>
                <w:sz w:val="20"/>
              </w:rPr>
            </w:pPr>
            <w:r>
              <w:rPr>
                <w:sz w:val="20"/>
              </w:rPr>
              <w:t>Earth Stations (47 CFR part 25)</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245</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s>
              <w:suppressAutoHyphens/>
              <w:spacing w:before="90" w:after="54"/>
              <w:rPr>
                <w:sz w:val="20"/>
              </w:rPr>
            </w:pPr>
            <w:r>
              <w:rPr>
                <w:sz w:val="20"/>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jc w:val="center"/>
              <w:rPr>
                <w:sz w:val="20"/>
              </w:rPr>
            </w:pPr>
          </w:p>
          <w:p w:rsidR="00D9194B" w:rsidRDefault="00D9194B" w:rsidP="002539A3">
            <w:pPr>
              <w:tabs>
                <w:tab w:val="left" w:pos="-1440"/>
                <w:tab w:val="left" w:pos="-720"/>
              </w:tabs>
              <w:suppressAutoHyphens/>
              <w:spacing w:after="54"/>
              <w:jc w:val="center"/>
              <w:rPr>
                <w:sz w:val="20"/>
              </w:rPr>
            </w:pPr>
            <w:r>
              <w:rPr>
                <w:sz w:val="20"/>
              </w:rPr>
              <w:t>114,025</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s>
              <w:suppressAutoHyphens/>
              <w:spacing w:before="90" w:after="54"/>
              <w:rPr>
                <w:sz w:val="20"/>
              </w:rPr>
            </w:pPr>
            <w:r>
              <w:rPr>
                <w:sz w:val="20"/>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132,725</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r>
              <w:rPr>
                <w:sz w:val="20"/>
              </w:rPr>
              <w:t xml:space="preserve"> </w:t>
            </w:r>
          </w:p>
        </w:tc>
        <w:tc>
          <w:tcPr>
            <w:tcW w:w="1710" w:type="dxa"/>
            <w:tcBorders>
              <w:top w:val="single" w:sz="6" w:space="0" w:color="auto"/>
              <w:left w:val="single" w:sz="6" w:space="0" w:color="auto"/>
              <w:right w:val="double" w:sz="6" w:space="0" w:color="auto"/>
            </w:tcBorders>
          </w:tcPr>
          <w:p w:rsidR="00D9194B" w:rsidRDefault="00D9194B">
            <w:pPr>
              <w:tabs>
                <w:tab w:val="left" w:pos="-1440"/>
                <w:tab w:val="left" w:pos="-720"/>
              </w:tabs>
              <w:suppressAutoHyphens/>
              <w:spacing w:before="90" w:after="54"/>
              <w:jc w:val="center"/>
              <w:rPr>
                <w:sz w:val="20"/>
              </w:rPr>
            </w:pPr>
            <w:r>
              <w:rPr>
                <w:sz w:val="20"/>
              </w:rPr>
              <w:t>.</w:t>
            </w:r>
            <w:r w:rsidR="00FF6B3A">
              <w:rPr>
                <w:sz w:val="20"/>
              </w:rPr>
              <w:t>24</w:t>
            </w:r>
          </w:p>
        </w:tc>
      </w:tr>
      <w:tr w:rsidR="00D9194B" w:rsidTr="002539A3">
        <w:tc>
          <w:tcPr>
            <w:tcW w:w="6840"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International Bearer Circuits - Submarine Cable </w:t>
            </w:r>
          </w:p>
        </w:tc>
        <w:tc>
          <w:tcPr>
            <w:tcW w:w="1710" w:type="dxa"/>
            <w:tcBorders>
              <w:top w:val="single" w:sz="6" w:space="0" w:color="auto"/>
              <w:left w:val="single" w:sz="6" w:space="0" w:color="auto"/>
              <w:right w:val="double" w:sz="6" w:space="0" w:color="auto"/>
            </w:tcBorders>
          </w:tcPr>
          <w:p w:rsidR="00D9194B" w:rsidRDefault="00D9194B" w:rsidP="002539A3">
            <w:pPr>
              <w:tabs>
                <w:tab w:val="left" w:pos="-1440"/>
                <w:tab w:val="left" w:pos="-720"/>
              </w:tabs>
              <w:suppressAutoHyphens/>
              <w:spacing w:before="90" w:after="54"/>
              <w:jc w:val="center"/>
              <w:rPr>
                <w:sz w:val="20"/>
              </w:rPr>
            </w:pPr>
            <w:r>
              <w:rPr>
                <w:sz w:val="20"/>
              </w:rPr>
              <w:t>See Table Below</w:t>
            </w:r>
          </w:p>
        </w:tc>
      </w:tr>
      <w:tr w:rsidR="00D9194B" w:rsidTr="002539A3">
        <w:trPr>
          <w:trHeight w:val="57"/>
        </w:trPr>
        <w:tc>
          <w:tcPr>
            <w:tcW w:w="6840" w:type="dxa"/>
            <w:tcBorders>
              <w:top w:val="single" w:sz="6" w:space="0" w:color="auto"/>
              <w:left w:val="double" w:sz="6" w:space="0" w:color="auto"/>
              <w:bottom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710" w:type="dxa"/>
            <w:tcBorders>
              <w:top w:val="single" w:sz="6" w:space="0" w:color="auto"/>
              <w:left w:val="single" w:sz="6" w:space="0" w:color="auto"/>
              <w:bottom w:val="double" w:sz="6" w:space="0" w:color="auto"/>
              <w:right w:val="double" w:sz="6" w:space="0" w:color="auto"/>
            </w:tcBorders>
          </w:tcPr>
          <w:p w:rsidR="00D9194B" w:rsidRDefault="00D9194B" w:rsidP="002539A3">
            <w:pPr>
              <w:tabs>
                <w:tab w:val="center" w:pos="850"/>
              </w:tabs>
              <w:suppressAutoHyphens/>
              <w:spacing w:before="90" w:after="54"/>
              <w:jc w:val="center"/>
              <w:rPr>
                <w:sz w:val="20"/>
              </w:rPr>
            </w:pPr>
          </w:p>
        </w:tc>
      </w:tr>
    </w:tbl>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outlineLvl w:val="0"/>
        <w:rPr>
          <w:sz w:val="20"/>
        </w:rPr>
      </w:pPr>
      <w:r>
        <w:rPr>
          <w:sz w:val="20"/>
        </w:rPr>
        <w:br w:type="page"/>
      </w: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bookmarkStart w:id="230" w:name="_Toc351484780"/>
      <w:bookmarkStart w:id="231" w:name="_Toc351484826"/>
      <w:bookmarkStart w:id="232" w:name="_Toc351484968"/>
      <w:bookmarkStart w:id="233" w:name="_Toc351571077"/>
      <w:bookmarkStart w:id="234" w:name="_Toc351572441"/>
      <w:bookmarkStart w:id="235" w:name="_Toc353032067"/>
      <w:bookmarkStart w:id="236" w:name="_Toc352943200"/>
      <w:bookmarkStart w:id="237" w:name="_Toc352943649"/>
      <w:bookmarkStart w:id="238" w:name="_Toc382499679"/>
      <w:bookmarkStart w:id="239" w:name="_Toc382567939"/>
      <w:bookmarkStart w:id="240" w:name="_Toc382576271"/>
      <w:bookmarkStart w:id="241" w:name="_Toc384227075"/>
      <w:r>
        <w:rPr>
          <w:b/>
          <w:szCs w:val="22"/>
        </w:rPr>
        <w:t>FY 2014 SCHEDULE OF REGULATORY FEES: Maintain Allocation</w:t>
      </w:r>
      <w:r>
        <w:rPr>
          <w:rFonts w:ascii="Times New Roman Bold" w:hAnsi="Times New Roman Bold"/>
          <w:b/>
          <w:szCs w:val="22"/>
        </w:rPr>
        <w:t xml:space="preserve"> (continued)</w:t>
      </w:r>
      <w:bookmarkEnd w:id="230"/>
      <w:bookmarkEnd w:id="231"/>
      <w:bookmarkEnd w:id="232"/>
      <w:bookmarkEnd w:id="233"/>
      <w:bookmarkEnd w:id="234"/>
      <w:bookmarkEnd w:id="235"/>
      <w:bookmarkEnd w:id="236"/>
      <w:bookmarkEnd w:id="237"/>
      <w:bookmarkEnd w:id="238"/>
      <w:bookmarkEnd w:id="239"/>
      <w:bookmarkEnd w:id="240"/>
      <w:bookmarkEnd w:id="241"/>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rPr>
          <w:b/>
          <w:sz w:val="20"/>
        </w:rPr>
      </w:pP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 w:val="20"/>
        </w:rPr>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D9194B" w:rsidTr="002539A3">
        <w:tc>
          <w:tcPr>
            <w:tcW w:w="8550" w:type="dxa"/>
            <w:gridSpan w:val="7"/>
            <w:tcBorders>
              <w:top w:val="double" w:sz="6" w:space="0" w:color="auto"/>
              <w:left w:val="doub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2014 </w:t>
            </w:r>
            <w:r w:rsidR="00253DF7">
              <w:rPr>
                <w:b/>
                <w:sz w:val="20"/>
              </w:rPr>
              <w:fldChar w:fldCharType="begin"/>
            </w:r>
            <w:r>
              <w:rPr>
                <w:b/>
                <w:sz w:val="20"/>
              </w:rPr>
              <w:instrText xml:space="preserve">PRIVATE </w:instrText>
            </w:r>
            <w:r w:rsidR="00253DF7">
              <w:rPr>
                <w:b/>
                <w:sz w:val="20"/>
              </w:rPr>
              <w:fldChar w:fldCharType="end"/>
            </w:r>
            <w:r>
              <w:rPr>
                <w:b/>
                <w:sz w:val="20"/>
              </w:rPr>
              <w:t>RADIO STATION REGULATORY FEES</w:t>
            </w:r>
          </w:p>
        </w:tc>
      </w:tr>
      <w:tr w:rsidR="00D9194B" w:rsidRPr="00445C3B" w:rsidTr="002539A3">
        <w:tc>
          <w:tcPr>
            <w:tcW w:w="1890"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D9194B" w:rsidRPr="00445C3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D9194B" w:rsidRPr="00445C3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A, B1 &amp; C3</w:t>
            </w:r>
          </w:p>
        </w:tc>
        <w:tc>
          <w:tcPr>
            <w:tcW w:w="1350" w:type="dxa"/>
            <w:tcBorders>
              <w:top w:val="single" w:sz="6" w:space="0" w:color="auto"/>
              <w:left w:val="single" w:sz="6" w:space="0" w:color="auto"/>
              <w:right w:val="double" w:sz="6" w:space="0" w:color="auto"/>
            </w:tcBorders>
          </w:tcPr>
          <w:p w:rsidR="00D9194B" w:rsidRPr="00445C3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D9194B" w:rsidRPr="00445C3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B, C, C0, C1 &amp; C2</w:t>
            </w:r>
          </w:p>
        </w:tc>
      </w:tr>
      <w:tr w:rsidR="00D9194B" w:rsidTr="002539A3">
        <w:tc>
          <w:tcPr>
            <w:tcW w:w="1890"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w:t>
            </w:r>
          </w:p>
        </w:tc>
        <w:tc>
          <w:tcPr>
            <w:tcW w:w="99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$645</w:t>
            </w:r>
          </w:p>
        </w:tc>
        <w:tc>
          <w:tcPr>
            <w:tcW w:w="90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$590</w:t>
            </w:r>
          </w:p>
        </w:tc>
        <w:tc>
          <w:tcPr>
            <w:tcW w:w="90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$670</w:t>
            </w:r>
          </w:p>
        </w:tc>
        <w:tc>
          <w:tcPr>
            <w:tcW w:w="144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$750</w:t>
            </w:r>
          </w:p>
        </w:tc>
        <w:tc>
          <w:tcPr>
            <w:tcW w:w="1350"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w:t>
            </w:r>
          </w:p>
        </w:tc>
      </w:tr>
      <w:tr w:rsidR="00D9194B" w:rsidTr="002539A3">
        <w:tc>
          <w:tcPr>
            <w:tcW w:w="1890"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$1,550</w:t>
            </w:r>
          </w:p>
        </w:tc>
        <w:tc>
          <w:tcPr>
            <w:tcW w:w="99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$1,300</w:t>
            </w:r>
          </w:p>
        </w:tc>
        <w:tc>
          <w:tcPr>
            <w:tcW w:w="90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$900</w:t>
            </w:r>
          </w:p>
        </w:tc>
        <w:tc>
          <w:tcPr>
            <w:tcW w:w="90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$1,000</w:t>
            </w:r>
          </w:p>
        </w:tc>
        <w:tc>
          <w:tcPr>
            <w:tcW w:w="144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$1,500</w:t>
            </w:r>
          </w:p>
        </w:tc>
        <w:tc>
          <w:tcPr>
            <w:tcW w:w="1350"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r>
      <w:tr w:rsidR="00D9194B" w:rsidTr="002539A3">
        <w:tc>
          <w:tcPr>
            <w:tcW w:w="1890"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$2,325</w:t>
            </w:r>
          </w:p>
        </w:tc>
        <w:tc>
          <w:tcPr>
            <w:tcW w:w="99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c>
          <w:tcPr>
            <w:tcW w:w="90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$1,200</w:t>
            </w:r>
          </w:p>
        </w:tc>
        <w:tc>
          <w:tcPr>
            <w:tcW w:w="90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$1,675</w:t>
            </w:r>
          </w:p>
        </w:tc>
        <w:tc>
          <w:tcPr>
            <w:tcW w:w="144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$2,050</w:t>
            </w:r>
          </w:p>
        </w:tc>
        <w:tc>
          <w:tcPr>
            <w:tcW w:w="1350"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r>
      <w:tr w:rsidR="00D9194B" w:rsidTr="002539A3">
        <w:tc>
          <w:tcPr>
            <w:tcW w:w="1890"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$3,475</w:t>
            </w:r>
          </w:p>
        </w:tc>
        <w:tc>
          <w:tcPr>
            <w:tcW w:w="99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$2,750</w:t>
            </w:r>
          </w:p>
        </w:tc>
        <w:tc>
          <w:tcPr>
            <w:tcW w:w="90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$1,800</w:t>
            </w:r>
          </w:p>
        </w:tc>
        <w:tc>
          <w:tcPr>
            <w:tcW w:w="90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$2,025</w:t>
            </w:r>
          </w:p>
        </w:tc>
        <w:tc>
          <w:tcPr>
            <w:tcW w:w="144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$3,175</w:t>
            </w:r>
          </w:p>
        </w:tc>
        <w:tc>
          <w:tcPr>
            <w:tcW w:w="1350"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$3,925</w:t>
            </w:r>
          </w:p>
        </w:tc>
      </w:tr>
      <w:tr w:rsidR="00D9194B" w:rsidTr="002539A3">
        <w:tc>
          <w:tcPr>
            <w:tcW w:w="1890"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$5,025</w:t>
            </w:r>
          </w:p>
        </w:tc>
        <w:tc>
          <w:tcPr>
            <w:tcW w:w="99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$4,225</w:t>
            </w:r>
          </w:p>
        </w:tc>
        <w:tc>
          <w:tcPr>
            <w:tcW w:w="90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c>
          <w:tcPr>
            <w:tcW w:w="90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$3,375</w:t>
            </w:r>
          </w:p>
        </w:tc>
        <w:tc>
          <w:tcPr>
            <w:tcW w:w="1440" w:type="dxa"/>
            <w:tcBorders>
              <w:top w:val="single" w:sz="6" w:space="0" w:color="auto"/>
              <w:left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$5,050</w:t>
            </w:r>
          </w:p>
        </w:tc>
        <w:tc>
          <w:tcPr>
            <w:tcW w:w="1350"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$5,775</w:t>
            </w:r>
          </w:p>
        </w:tc>
      </w:tr>
      <w:tr w:rsidR="00D9194B" w:rsidTr="002539A3">
        <w:trPr>
          <w:trHeight w:val="361"/>
        </w:trPr>
        <w:tc>
          <w:tcPr>
            <w:tcW w:w="1890" w:type="dxa"/>
            <w:tcBorders>
              <w:top w:val="single" w:sz="6" w:space="0" w:color="auto"/>
              <w:left w:val="double" w:sz="6" w:space="0" w:color="auto"/>
              <w:bottom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$7,750</w:t>
            </w:r>
          </w:p>
        </w:tc>
        <w:tc>
          <w:tcPr>
            <w:tcW w:w="990" w:type="dxa"/>
            <w:tcBorders>
              <w:top w:val="single" w:sz="6" w:space="0" w:color="auto"/>
              <w:left w:val="single" w:sz="6" w:space="0" w:color="auto"/>
              <w:bottom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$6,500</w:t>
            </w:r>
          </w:p>
        </w:tc>
        <w:tc>
          <w:tcPr>
            <w:tcW w:w="900" w:type="dxa"/>
            <w:tcBorders>
              <w:top w:val="single" w:sz="6" w:space="0" w:color="auto"/>
              <w:left w:val="single" w:sz="6" w:space="0" w:color="auto"/>
              <w:bottom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$4,500</w:t>
            </w:r>
          </w:p>
        </w:tc>
        <w:tc>
          <w:tcPr>
            <w:tcW w:w="900" w:type="dxa"/>
            <w:tcBorders>
              <w:top w:val="single" w:sz="6" w:space="0" w:color="auto"/>
              <w:left w:val="single" w:sz="6" w:space="0" w:color="auto"/>
              <w:bottom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$5,400</w:t>
            </w:r>
          </w:p>
        </w:tc>
        <w:tc>
          <w:tcPr>
            <w:tcW w:w="1440" w:type="dxa"/>
            <w:tcBorders>
              <w:top w:val="single" w:sz="6" w:space="0" w:color="auto"/>
              <w:left w:val="single" w:sz="6" w:space="0" w:color="auto"/>
              <w:bottom w:val="sing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$8,250</w:t>
            </w:r>
          </w:p>
        </w:tc>
        <w:tc>
          <w:tcPr>
            <w:tcW w:w="1350" w:type="dxa"/>
            <w:tcBorders>
              <w:top w:val="single" w:sz="6" w:space="0" w:color="auto"/>
              <w:left w:val="single" w:sz="6" w:space="0" w:color="auto"/>
              <w:bottom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$9,250</w:t>
            </w:r>
          </w:p>
        </w:tc>
      </w:tr>
      <w:tr w:rsidR="00D9194B" w:rsidTr="002539A3">
        <w:tc>
          <w:tcPr>
            <w:tcW w:w="1890" w:type="dxa"/>
            <w:tcBorders>
              <w:top w:val="single" w:sz="6" w:space="0" w:color="auto"/>
              <w:left w:val="double" w:sz="6" w:space="0" w:color="auto"/>
              <w:bottom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&gt;3,000,000</w:t>
            </w:r>
          </w:p>
        </w:tc>
        <w:tc>
          <w:tcPr>
            <w:tcW w:w="1080" w:type="dxa"/>
            <w:tcBorders>
              <w:top w:val="single" w:sz="6" w:space="0" w:color="auto"/>
              <w:left w:val="single" w:sz="6" w:space="0" w:color="auto"/>
              <w:bottom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$9,300</w:t>
            </w:r>
          </w:p>
        </w:tc>
        <w:tc>
          <w:tcPr>
            <w:tcW w:w="990" w:type="dxa"/>
            <w:tcBorders>
              <w:top w:val="single" w:sz="6" w:space="0" w:color="auto"/>
              <w:left w:val="single" w:sz="6" w:space="0" w:color="auto"/>
              <w:bottom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$7,800</w:t>
            </w:r>
          </w:p>
        </w:tc>
        <w:tc>
          <w:tcPr>
            <w:tcW w:w="900" w:type="dxa"/>
            <w:tcBorders>
              <w:top w:val="single" w:sz="6" w:space="0" w:color="auto"/>
              <w:left w:val="single" w:sz="6" w:space="0" w:color="auto"/>
              <w:bottom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$5,700</w:t>
            </w:r>
          </w:p>
        </w:tc>
        <w:tc>
          <w:tcPr>
            <w:tcW w:w="900" w:type="dxa"/>
            <w:tcBorders>
              <w:top w:val="single" w:sz="6" w:space="0" w:color="auto"/>
              <w:left w:val="single" w:sz="6" w:space="0" w:color="auto"/>
              <w:bottom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$6,750</w:t>
            </w:r>
          </w:p>
        </w:tc>
        <w:tc>
          <w:tcPr>
            <w:tcW w:w="1440" w:type="dxa"/>
            <w:tcBorders>
              <w:top w:val="single" w:sz="6" w:space="0" w:color="auto"/>
              <w:left w:val="single" w:sz="6" w:space="0" w:color="auto"/>
              <w:bottom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$10,500</w:t>
            </w:r>
          </w:p>
        </w:tc>
        <w:tc>
          <w:tcPr>
            <w:tcW w:w="1350" w:type="dxa"/>
            <w:tcBorders>
              <w:top w:val="single" w:sz="6" w:space="0" w:color="auto"/>
              <w:left w:val="single" w:sz="6" w:space="0" w:color="auto"/>
              <w:bottom w:val="doub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$12,025</w:t>
            </w:r>
          </w:p>
        </w:tc>
      </w:tr>
    </w:tbl>
    <w:p w:rsidR="00D9194B" w:rsidRDefault="00D9194B" w:rsidP="00D9194B">
      <w:pPr>
        <w:tabs>
          <w:tab w:val="right" w:pos="10080"/>
        </w:tabs>
        <w:suppressAutoHyphens/>
        <w:ind w:left="450"/>
        <w:jc w:val="center"/>
        <w:outlineLvl w:val="0"/>
        <w:rPr>
          <w:b/>
          <w:szCs w:val="22"/>
        </w:rPr>
      </w:pPr>
    </w:p>
    <w:p w:rsidR="00D9194B" w:rsidRDefault="00D9194B" w:rsidP="00D9194B">
      <w:pPr>
        <w:tabs>
          <w:tab w:val="right" w:pos="10080"/>
        </w:tabs>
        <w:suppressAutoHyphens/>
        <w:ind w:left="450"/>
        <w:jc w:val="center"/>
        <w:outlineLvl w:val="0"/>
        <w:rPr>
          <w:b/>
          <w:szCs w:val="22"/>
        </w:rPr>
      </w:pPr>
      <w:bookmarkStart w:id="242" w:name="_Toc351484781"/>
      <w:bookmarkStart w:id="243" w:name="_Toc351484827"/>
      <w:bookmarkStart w:id="244" w:name="_Toc351484969"/>
      <w:bookmarkStart w:id="245" w:name="_Toc351571078"/>
      <w:bookmarkStart w:id="246" w:name="_Toc351572442"/>
      <w:bookmarkStart w:id="247" w:name="_Toc353032068"/>
      <w:bookmarkStart w:id="248" w:name="_Toc352943201"/>
      <w:bookmarkStart w:id="249" w:name="_Toc352943650"/>
      <w:bookmarkStart w:id="250" w:name="_Toc382499680"/>
      <w:bookmarkStart w:id="251" w:name="_Toc382567940"/>
      <w:bookmarkStart w:id="252" w:name="_Toc382576272"/>
      <w:bookmarkStart w:id="253" w:name="_Toc384227076"/>
      <w:r>
        <w:rPr>
          <w:b/>
          <w:szCs w:val="22"/>
        </w:rPr>
        <w:t>FY 2014 SCHEDULE OF REGULATORY FEES</w:t>
      </w:r>
      <w:bookmarkEnd w:id="242"/>
      <w:bookmarkEnd w:id="243"/>
      <w:bookmarkEnd w:id="244"/>
      <w:bookmarkEnd w:id="245"/>
      <w:bookmarkEnd w:id="246"/>
      <w:bookmarkEnd w:id="247"/>
      <w:bookmarkEnd w:id="248"/>
      <w:bookmarkEnd w:id="249"/>
      <w:bookmarkEnd w:id="250"/>
      <w:bookmarkEnd w:id="251"/>
      <w:bookmarkEnd w:id="252"/>
      <w:bookmarkEnd w:id="253"/>
    </w:p>
    <w:p w:rsidR="00D9194B" w:rsidRDefault="00D9194B" w:rsidP="00D9194B">
      <w:pPr>
        <w:tabs>
          <w:tab w:val="right" w:pos="10080"/>
        </w:tabs>
        <w:suppressAutoHyphens/>
        <w:ind w:left="450"/>
        <w:jc w:val="center"/>
        <w:outlineLvl w:val="0"/>
        <w:rPr>
          <w:b/>
          <w:szCs w:val="22"/>
        </w:rPr>
      </w:pPr>
      <w:bookmarkStart w:id="254" w:name="_Toc351484782"/>
      <w:bookmarkStart w:id="255" w:name="_Toc351484828"/>
      <w:bookmarkStart w:id="256" w:name="_Toc351484970"/>
      <w:bookmarkStart w:id="257" w:name="_Toc351571079"/>
      <w:bookmarkStart w:id="258" w:name="_Toc351572443"/>
      <w:bookmarkStart w:id="259" w:name="_Toc353032069"/>
      <w:bookmarkStart w:id="260" w:name="_Toc352943202"/>
      <w:bookmarkStart w:id="261" w:name="_Toc352943651"/>
      <w:bookmarkStart w:id="262" w:name="_Toc382499681"/>
      <w:bookmarkStart w:id="263" w:name="_Toc382567941"/>
      <w:bookmarkStart w:id="264" w:name="_Toc382576273"/>
      <w:bookmarkStart w:id="265" w:name="_Toc384227077"/>
      <w:r>
        <w:rPr>
          <w:b/>
          <w:szCs w:val="22"/>
        </w:rPr>
        <w:t>International Bearer Circuits - Submarine Cable</w:t>
      </w:r>
      <w:bookmarkEnd w:id="254"/>
      <w:bookmarkEnd w:id="255"/>
      <w:bookmarkEnd w:id="256"/>
      <w:bookmarkEnd w:id="257"/>
      <w:bookmarkEnd w:id="258"/>
      <w:bookmarkEnd w:id="259"/>
      <w:bookmarkEnd w:id="260"/>
      <w:bookmarkEnd w:id="261"/>
      <w:bookmarkEnd w:id="262"/>
      <w:bookmarkEnd w:id="263"/>
      <w:bookmarkEnd w:id="264"/>
      <w:bookmarkEnd w:id="265"/>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D9194B" w:rsidTr="00282E68">
        <w:tc>
          <w:tcPr>
            <w:tcW w:w="3192" w:type="dxa"/>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Submarine Cable Systems</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Pr>
                <w:sz w:val="20"/>
              </w:rPr>
              <w:t>(capacity as of December 31, 2013)</w:t>
            </w:r>
          </w:p>
        </w:tc>
        <w:tc>
          <w:tcPr>
            <w:tcW w:w="3192" w:type="dxa"/>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Fee amount</w:t>
            </w:r>
          </w:p>
        </w:tc>
        <w:tc>
          <w:tcPr>
            <w:tcW w:w="3192" w:type="dxa"/>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Address</w:t>
            </w:r>
          </w:p>
        </w:tc>
      </w:tr>
      <w:tr w:rsidR="00D9194B" w:rsidTr="00282E68">
        <w:trPr>
          <w:trHeight w:val="1034"/>
        </w:trPr>
        <w:tc>
          <w:tcPr>
            <w:tcW w:w="3192" w:type="dxa"/>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Pr>
                <w:b/>
                <w:szCs w:val="22"/>
              </w:rPr>
              <w:t>&lt; 2.5 Gbps</w:t>
            </w:r>
          </w:p>
        </w:tc>
        <w:tc>
          <w:tcPr>
            <w:tcW w:w="3192" w:type="dxa"/>
            <w:vAlign w:val="center"/>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bCs/>
                <w:szCs w:val="22"/>
              </w:rPr>
              <w:t>$12,050</w:t>
            </w:r>
          </w:p>
        </w:tc>
        <w:tc>
          <w:tcPr>
            <w:tcW w:w="3192" w:type="dxa"/>
          </w:tcPr>
          <w:p w:rsidR="00D9194B" w:rsidRDefault="00D9194B" w:rsidP="002539A3">
            <w:pPr>
              <w:rPr>
                <w:szCs w:val="22"/>
              </w:rPr>
            </w:pPr>
          </w:p>
          <w:p w:rsidR="00D9194B" w:rsidRDefault="00D9194B" w:rsidP="002539A3">
            <w:pPr>
              <w:rPr>
                <w:szCs w:val="22"/>
              </w:rPr>
            </w:pPr>
            <w:r>
              <w:rPr>
                <w:szCs w:val="22"/>
              </w:rPr>
              <w:t>FCC, International, P.O. Box 979084, St. Louis, MO 63197-9000</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r w:rsidR="00D9194B" w:rsidTr="00282E68">
        <w:trPr>
          <w:trHeight w:val="1034"/>
        </w:trPr>
        <w:tc>
          <w:tcPr>
            <w:tcW w:w="3192" w:type="dxa"/>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2.5 Gbps or greater, but less than 5 Gbps</w:t>
            </w:r>
          </w:p>
        </w:tc>
        <w:tc>
          <w:tcPr>
            <w:tcW w:w="3192" w:type="dxa"/>
            <w:vAlign w:val="center"/>
          </w:tcPr>
          <w:p w:rsidR="00D9194B" w:rsidRDefault="00D9194B" w:rsidP="002539A3">
            <w:pPr>
              <w:jc w:val="center"/>
              <w:rPr>
                <w:bCs/>
                <w:szCs w:val="22"/>
              </w:rPr>
            </w:pPr>
            <w:r>
              <w:rPr>
                <w:bCs/>
                <w:szCs w:val="22"/>
              </w:rPr>
              <w:t>$24,100</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D9194B" w:rsidRDefault="00D9194B" w:rsidP="002539A3">
            <w:pPr>
              <w:rPr>
                <w:szCs w:val="22"/>
              </w:rPr>
            </w:pPr>
            <w:r>
              <w:rPr>
                <w:szCs w:val="22"/>
              </w:rPr>
              <w:t>FCC, International, P.O. Box 979084, St. Louis, MO 63197-9000</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D9194B" w:rsidTr="00282E68">
        <w:tc>
          <w:tcPr>
            <w:tcW w:w="3192" w:type="dxa"/>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5 Gbps or greater, but less than 10 Gbps</w:t>
            </w:r>
          </w:p>
        </w:tc>
        <w:tc>
          <w:tcPr>
            <w:tcW w:w="3192" w:type="dxa"/>
            <w:vAlign w:val="center"/>
          </w:tcPr>
          <w:p w:rsidR="00D9194B" w:rsidRDefault="00D9194B" w:rsidP="002539A3">
            <w:pPr>
              <w:jc w:val="center"/>
              <w:rPr>
                <w:bCs/>
                <w:szCs w:val="22"/>
              </w:rPr>
            </w:pPr>
            <w:r>
              <w:rPr>
                <w:bCs/>
                <w:szCs w:val="22"/>
              </w:rPr>
              <w:t xml:space="preserve">$48,200 </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D9194B" w:rsidRDefault="00D9194B" w:rsidP="002539A3">
            <w:pPr>
              <w:rPr>
                <w:szCs w:val="22"/>
              </w:rPr>
            </w:pPr>
            <w:r>
              <w:rPr>
                <w:szCs w:val="22"/>
              </w:rPr>
              <w:t>FCC, International, P.O. Box 979084, St. Louis, MO 63197-9000</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D9194B" w:rsidTr="00282E68">
        <w:trPr>
          <w:trHeight w:val="998"/>
        </w:trPr>
        <w:tc>
          <w:tcPr>
            <w:tcW w:w="3192" w:type="dxa"/>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10 Gbps or greater, but less than 20 Gbps</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192" w:type="dxa"/>
            <w:vAlign w:val="center"/>
          </w:tcPr>
          <w:p w:rsidR="00D9194B" w:rsidRDefault="00D9194B" w:rsidP="002539A3">
            <w:pPr>
              <w:jc w:val="center"/>
              <w:rPr>
                <w:bCs/>
                <w:szCs w:val="22"/>
              </w:rPr>
            </w:pPr>
            <w:r>
              <w:rPr>
                <w:bCs/>
                <w:szCs w:val="22"/>
              </w:rPr>
              <w:t xml:space="preserve">$96,400 </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pacing w:val="-3"/>
                <w:szCs w:val="22"/>
              </w:rPr>
              <w:t xml:space="preserve"> </w:t>
            </w:r>
          </w:p>
          <w:p w:rsidR="00D9194B" w:rsidRDefault="00D9194B" w:rsidP="002539A3">
            <w:pPr>
              <w:rPr>
                <w:spacing w:val="-3"/>
                <w:szCs w:val="22"/>
              </w:rPr>
            </w:pPr>
            <w:r>
              <w:rPr>
                <w:szCs w:val="22"/>
              </w:rPr>
              <w:t>FCC, International, P.O. Box 979084, St. Louis, MO 63197-9000</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D9194B" w:rsidTr="00282E68">
        <w:trPr>
          <w:trHeight w:val="998"/>
        </w:trPr>
        <w:tc>
          <w:tcPr>
            <w:tcW w:w="3192" w:type="dxa"/>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20 Gbps or greater</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192" w:type="dxa"/>
            <w:vAlign w:val="center"/>
          </w:tcPr>
          <w:p w:rsidR="00D9194B" w:rsidRDefault="00D9194B" w:rsidP="002539A3">
            <w:pPr>
              <w:jc w:val="center"/>
            </w:pPr>
            <w:r>
              <w:rPr>
                <w:bCs/>
                <w:szCs w:val="22"/>
              </w:rPr>
              <w:t>$192,775</w:t>
            </w:r>
          </w:p>
        </w:tc>
        <w:tc>
          <w:tcPr>
            <w:tcW w:w="3192" w:type="dxa"/>
          </w:tcPr>
          <w:p w:rsidR="00D9194B" w:rsidRDefault="00D9194B" w:rsidP="002539A3">
            <w:pPr>
              <w:rPr>
                <w:spacing w:val="-3"/>
              </w:rPr>
            </w:pPr>
            <w:r>
              <w:rPr>
                <w:szCs w:val="22"/>
              </w:rPr>
              <w:t>FCC, International, P.O. Box 979084, St. Louis, MO 63197-9000</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bl>
    <w:p w:rsidR="00B0349E" w:rsidRDefault="00B0349E" w:rsidP="00B0349E">
      <w:pPr>
        <w:tabs>
          <w:tab w:val="left" w:pos="-1440"/>
          <w:tab w:val="left" w:pos="-720"/>
          <w:tab w:val="left" w:pos="0"/>
          <w:tab w:val="left" w:pos="720"/>
          <w:tab w:val="left" w:pos="1440"/>
          <w:tab w:val="left" w:pos="2160"/>
          <w:tab w:val="left" w:pos="2880"/>
          <w:tab w:val="left" w:pos="3600"/>
          <w:tab w:val="left" w:pos="4680"/>
          <w:tab w:val="left" w:pos="5040"/>
        </w:tabs>
        <w:suppressAutoHyphens/>
        <w:rPr>
          <w:sz w:val="20"/>
        </w:rPr>
      </w:pPr>
      <w:r>
        <w:rPr>
          <w:sz w:val="20"/>
        </w:rPr>
        <w:t xml:space="preserve"> </w:t>
      </w:r>
    </w:p>
    <w:p w:rsidR="001043D2" w:rsidRDefault="001043D2" w:rsidP="00D9194B">
      <w:pPr>
        <w:autoSpaceDE w:val="0"/>
        <w:autoSpaceDN w:val="0"/>
        <w:adjustRightInd w:val="0"/>
        <w:jc w:val="center"/>
        <w:rPr>
          <w:b/>
        </w:rPr>
      </w:pPr>
    </w:p>
    <w:p w:rsidR="00D9194B" w:rsidRDefault="00D9194B" w:rsidP="00D9194B">
      <w:pPr>
        <w:autoSpaceDE w:val="0"/>
        <w:autoSpaceDN w:val="0"/>
        <w:adjustRightInd w:val="0"/>
        <w:jc w:val="center"/>
        <w:rPr>
          <w:b/>
        </w:rPr>
      </w:pPr>
      <w:r>
        <w:rPr>
          <w:b/>
        </w:rPr>
        <w:t>ATTACHMENT C</w:t>
      </w:r>
    </w:p>
    <w:p w:rsidR="00D9194B" w:rsidRDefault="00D9194B" w:rsidP="00D9194B">
      <w:pPr>
        <w:autoSpaceDE w:val="0"/>
        <w:autoSpaceDN w:val="0"/>
        <w:adjustRightInd w:val="0"/>
        <w:jc w:val="center"/>
      </w:pPr>
    </w:p>
    <w:p w:rsidR="00D9194B" w:rsidRDefault="00D9194B" w:rsidP="00D9194B">
      <w:pPr>
        <w:jc w:val="center"/>
        <w:rPr>
          <w:b/>
        </w:rPr>
      </w:pPr>
      <w:r>
        <w:rPr>
          <w:b/>
        </w:rPr>
        <w:t>Sources of Payment Unit Estimates for FY 2014</w:t>
      </w:r>
    </w:p>
    <w:p w:rsidR="00D9194B" w:rsidRDefault="00D9194B" w:rsidP="00D9194B">
      <w:pPr>
        <w:jc w:val="center"/>
        <w:rPr>
          <w:b/>
        </w:rPr>
      </w:pP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t xml:space="preserve">In order to calculate individual service fees for FY 2014, we adjusted FY 2013 payment units for each service to more accurately reflect expected FY 2014 payment liabilities.  </w:t>
      </w:r>
      <w:r>
        <w:rPr>
          <w:spacing w:val="-2"/>
          <w:szCs w:val="22"/>
        </w:rPr>
        <w:t xml:space="preserve">We obtained our updated estimates through a variety of means. For example, we used Commission licensee data bases, actual prior year payment records and industry and trade association projections when available.  The databases we consulted include </w:t>
      </w:r>
      <w:r>
        <w:rPr>
          <w:szCs w:val="22"/>
        </w:rPr>
        <w:t xml:space="preserve">our </w:t>
      </w:r>
      <w:r>
        <w:t>Universal Licensing System (ULS), International Bureau Filing System (IBFS), Consolidated Database System (CDBS) and Cable Operations and Licensing System (COALS)</w:t>
      </w:r>
      <w:r>
        <w:rPr>
          <w:szCs w:val="22"/>
        </w:rPr>
        <w:t xml:space="preserve">, as well as reports generated within the Commission such as the Wireline Competition Bureau’s </w:t>
      </w:r>
      <w:r>
        <w:rPr>
          <w:i/>
          <w:szCs w:val="22"/>
        </w:rPr>
        <w:t>Trends in Telephone Service</w:t>
      </w:r>
      <w:r>
        <w:rPr>
          <w:szCs w:val="22"/>
        </w:rPr>
        <w:t xml:space="preserve"> and the Wireless Telecommunications Bureau’s </w:t>
      </w:r>
      <w:r>
        <w:rPr>
          <w:i/>
          <w:szCs w:val="22"/>
        </w:rPr>
        <w:t>Numbering Resource Utilization Forecast</w:t>
      </w:r>
      <w:r>
        <w:rPr>
          <w:szCs w:val="22"/>
        </w:rPr>
        <w:t xml:space="preserve">.  </w:t>
      </w: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 w:val="20"/>
        </w:rPr>
      </w:pP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Pr>
          <w:spacing w:val="-2"/>
          <w:szCs w:val="22"/>
        </w:rPr>
        <w:t>We sought verification for these estimates from multiple sources and, in all cases; we compared FY 2014 estimates with actual FY 2013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2014 and the fact that, in many services, the number of actual licensees or station operators fluctuates from time to time due to economic, technical, or other reasons.  When we note, for example, that our estimated FY 2014 payment units are based on FY 2013 actual payment units, it does not necessarily mean that our FY 2014 projection is exactly the same number as in FY 2013.  We have either rounded the FY 2014 number or adjusted it slightly to account for these variables.</w:t>
      </w: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 w:val="20"/>
        </w:rPr>
      </w:pPr>
      <w:r>
        <w:rPr>
          <w:sz w:val="20"/>
        </w:rPr>
        <w:t xml:space="preserve"> </w:t>
      </w:r>
    </w:p>
    <w:tbl>
      <w:tblPr>
        <w:tblW w:w="8640" w:type="dxa"/>
        <w:tblInd w:w="120" w:type="dxa"/>
        <w:tblLayout w:type="fixed"/>
        <w:tblCellMar>
          <w:left w:w="120" w:type="dxa"/>
          <w:right w:w="120" w:type="dxa"/>
        </w:tblCellMar>
        <w:tblLook w:val="0000" w:firstRow="0" w:lastRow="0" w:firstColumn="0" w:lastColumn="0" w:noHBand="0" w:noVBand="0"/>
      </w:tblPr>
      <w:tblGrid>
        <w:gridCol w:w="2978"/>
        <w:gridCol w:w="5662"/>
      </w:tblGrid>
      <w:tr w:rsidR="00D9194B" w:rsidTr="002539A3">
        <w:tc>
          <w:tcPr>
            <w:tcW w:w="2978" w:type="dxa"/>
            <w:tcBorders>
              <w:top w:val="double" w:sz="6" w:space="0" w:color="auto"/>
              <w:left w:val="double" w:sz="6" w:space="0" w:color="auto"/>
            </w:tcBorders>
          </w:tcPr>
          <w:p w:rsidR="00D9194B" w:rsidRDefault="00253DF7"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Pr>
                <w:sz w:val="20"/>
              </w:rPr>
              <w:fldChar w:fldCharType="begin"/>
            </w:r>
            <w:r w:rsidR="00D9194B">
              <w:rPr>
                <w:sz w:val="20"/>
              </w:rPr>
              <w:instrText xml:space="preserve">PRIVATE </w:instrText>
            </w:r>
            <w:r>
              <w:rPr>
                <w:sz w:val="20"/>
              </w:rPr>
              <w:fldChar w:fldCharType="end"/>
            </w:r>
            <w:r w:rsidR="00D9194B">
              <w:rPr>
                <w:b/>
                <w:sz w:val="20"/>
              </w:rPr>
              <w:t>FEE CATEGORY</w:t>
            </w:r>
          </w:p>
        </w:tc>
        <w:tc>
          <w:tcPr>
            <w:tcW w:w="5662" w:type="dxa"/>
            <w:tcBorders>
              <w:top w:val="doub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Pr>
                <w:b/>
                <w:sz w:val="20"/>
              </w:rPr>
              <w:t>SOURCES OF PAYMENT UNIT ESTIMATES</w:t>
            </w:r>
          </w:p>
        </w:tc>
      </w:tr>
      <w:tr w:rsidR="00D9194B" w:rsidTr="002539A3">
        <w:tc>
          <w:tcPr>
            <w:tcW w:w="2978"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Land Mobile (All), Microwave, 218-219 MHz, Marine (Ship &amp; Coast), Aviation (Aircraft &amp; Ground), GMRS, Amateur Vanity Call Signs, Domestic Public Fixed </w:t>
            </w:r>
          </w:p>
        </w:tc>
        <w:tc>
          <w:tcPr>
            <w:tcW w:w="5662"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rsidR="00D9194B" w:rsidTr="002539A3">
        <w:tc>
          <w:tcPr>
            <w:tcW w:w="2978"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CMRS Cellular/Mobile Services </w:t>
            </w:r>
          </w:p>
        </w:tc>
        <w:tc>
          <w:tcPr>
            <w:tcW w:w="5662"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WTB projection reports, and FY 13 payment data. </w:t>
            </w:r>
          </w:p>
        </w:tc>
      </w:tr>
      <w:tr w:rsidR="00D9194B" w:rsidTr="002539A3">
        <w:tc>
          <w:tcPr>
            <w:tcW w:w="2978"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CMRS Messaging Services</w:t>
            </w:r>
          </w:p>
        </w:tc>
        <w:tc>
          <w:tcPr>
            <w:tcW w:w="5662"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WTB reports, and FY 13 payment data.  </w:t>
            </w:r>
          </w:p>
        </w:tc>
      </w:tr>
      <w:tr w:rsidR="00D9194B" w:rsidTr="002539A3">
        <w:tc>
          <w:tcPr>
            <w:tcW w:w="2978"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AM/FM Radio Stations</w:t>
            </w:r>
          </w:p>
        </w:tc>
        <w:tc>
          <w:tcPr>
            <w:tcW w:w="5662"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2013 payment units.</w:t>
            </w:r>
          </w:p>
        </w:tc>
      </w:tr>
      <w:tr w:rsidR="00D9194B" w:rsidTr="002539A3">
        <w:tc>
          <w:tcPr>
            <w:tcW w:w="2978"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Digital TV Stations</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(Combined VHF/UHF units)</w:t>
            </w:r>
          </w:p>
        </w:tc>
        <w:tc>
          <w:tcPr>
            <w:tcW w:w="5662"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2013 payment units.</w:t>
            </w:r>
          </w:p>
        </w:tc>
      </w:tr>
      <w:tr w:rsidR="00D9194B" w:rsidTr="002539A3">
        <w:tc>
          <w:tcPr>
            <w:tcW w:w="2978"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AM/FM/TV Construction Permits</w:t>
            </w:r>
          </w:p>
        </w:tc>
        <w:tc>
          <w:tcPr>
            <w:tcW w:w="5662"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CDBS data, adjusted for exemptions, and actual FY 2013 payment units. </w:t>
            </w:r>
          </w:p>
        </w:tc>
      </w:tr>
      <w:tr w:rsidR="00D9194B" w:rsidTr="002539A3">
        <w:tc>
          <w:tcPr>
            <w:tcW w:w="2978"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LPTV, Translators and Boosters, Class A Television</w:t>
            </w:r>
          </w:p>
        </w:tc>
        <w:tc>
          <w:tcPr>
            <w:tcW w:w="5662"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2013 payment units.</w:t>
            </w:r>
          </w:p>
        </w:tc>
      </w:tr>
      <w:tr w:rsidR="00D9194B" w:rsidTr="002539A3">
        <w:tc>
          <w:tcPr>
            <w:tcW w:w="2978"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Broadcast Auxiliaries</w:t>
            </w:r>
          </w:p>
        </w:tc>
        <w:tc>
          <w:tcPr>
            <w:tcW w:w="5662"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actual FY 2013 payment units.</w:t>
            </w:r>
          </w:p>
        </w:tc>
      </w:tr>
      <w:tr w:rsidR="00D9194B" w:rsidTr="002539A3">
        <w:tc>
          <w:tcPr>
            <w:tcW w:w="2978"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BRS (formerly MDS/MMDS)</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LMDS</w:t>
            </w:r>
          </w:p>
        </w:tc>
        <w:tc>
          <w:tcPr>
            <w:tcW w:w="5662"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actual FY 2013 payment units.</w:t>
            </w:r>
          </w:p>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actual FY 2013 payment units.</w:t>
            </w:r>
          </w:p>
        </w:tc>
      </w:tr>
      <w:tr w:rsidR="00D9194B" w:rsidTr="002539A3">
        <w:tc>
          <w:tcPr>
            <w:tcW w:w="2978" w:type="dxa"/>
            <w:tcBorders>
              <w:top w:val="single" w:sz="6" w:space="0" w:color="auto"/>
              <w:left w:val="double" w:sz="6" w:space="0" w:color="auto"/>
            </w:tcBorders>
          </w:tcPr>
          <w:p w:rsidR="00D9194B" w:rsidRDefault="00D9194B" w:rsidP="00E6570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w:t>
            </w:r>
            <w:r w:rsidR="00E65705">
              <w:rPr>
                <w:sz w:val="20"/>
              </w:rPr>
              <w:t>able Television Relay Service (CARS</w:t>
            </w:r>
            <w:r>
              <w:rPr>
                <w:sz w:val="20"/>
              </w:rPr>
              <w:t>) Stations</w:t>
            </w:r>
          </w:p>
        </w:tc>
        <w:tc>
          <w:tcPr>
            <w:tcW w:w="5662"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data from Media Bureau’s COALS database and actual FY 2013 payment units.</w:t>
            </w:r>
          </w:p>
        </w:tc>
      </w:tr>
      <w:tr w:rsidR="00D9194B" w:rsidTr="002539A3">
        <w:tc>
          <w:tcPr>
            <w:tcW w:w="2978"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Cable Television System Subscribers, Including IPTV Subscribers</w:t>
            </w:r>
          </w:p>
        </w:tc>
        <w:tc>
          <w:tcPr>
            <w:tcW w:w="5662"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publicly available data sources for estimated subscriber counts and actual FY 2013 payment units. </w:t>
            </w:r>
          </w:p>
        </w:tc>
      </w:tr>
      <w:tr w:rsidR="00D9194B" w:rsidTr="002539A3">
        <w:tc>
          <w:tcPr>
            <w:tcW w:w="2978"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Interstate Telecommunication Service Providers</w:t>
            </w:r>
          </w:p>
        </w:tc>
        <w:tc>
          <w:tcPr>
            <w:tcW w:w="5662"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FCC Form 499-Q data for the four quarters of calendar year 2013, the Wireline Competition Bureau projected the amount of calendar year 2013 revenue that will be reported on 2014 FCC Form 499-A worksheets in April, 2014.</w:t>
            </w:r>
          </w:p>
        </w:tc>
      </w:tr>
      <w:tr w:rsidR="00D9194B" w:rsidTr="002539A3">
        <w:tc>
          <w:tcPr>
            <w:tcW w:w="2978"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Earth Stations</w:t>
            </w:r>
          </w:p>
        </w:tc>
        <w:tc>
          <w:tcPr>
            <w:tcW w:w="5662"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International Bureau (“IB”) licensing data and actual FY 2013 payment units.</w:t>
            </w:r>
          </w:p>
        </w:tc>
      </w:tr>
      <w:tr w:rsidR="00D9194B" w:rsidTr="002539A3">
        <w:tc>
          <w:tcPr>
            <w:tcW w:w="2978" w:type="dxa"/>
            <w:tcBorders>
              <w:top w:val="single" w:sz="6" w:space="0" w:color="auto"/>
              <w:lef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Space Stations (GSOs &amp; NGSOs)</w:t>
            </w:r>
          </w:p>
        </w:tc>
        <w:tc>
          <w:tcPr>
            <w:tcW w:w="5662" w:type="dxa"/>
            <w:tcBorders>
              <w:top w:val="single" w:sz="6" w:space="0" w:color="auto"/>
              <w:left w:val="sing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data reports and actual FY 2013 payment units.</w:t>
            </w:r>
          </w:p>
        </w:tc>
      </w:tr>
      <w:tr w:rsidR="00D9194B" w:rsidTr="002539A3">
        <w:tc>
          <w:tcPr>
            <w:tcW w:w="2978" w:type="dxa"/>
            <w:tcBorders>
              <w:top w:val="single" w:sz="6" w:space="0" w:color="auto"/>
              <w:left w:val="double" w:sz="6" w:space="0" w:color="auto"/>
              <w:bottom w:val="single" w:sz="8"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International Bearer Circuits</w:t>
            </w:r>
          </w:p>
        </w:tc>
        <w:tc>
          <w:tcPr>
            <w:tcW w:w="5662" w:type="dxa"/>
            <w:tcBorders>
              <w:top w:val="single" w:sz="6" w:space="0" w:color="auto"/>
              <w:left w:val="single" w:sz="6" w:space="0" w:color="auto"/>
              <w:bottom w:val="single" w:sz="8"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reports and submissions by licensees, adjusted as necessary.</w:t>
            </w:r>
          </w:p>
        </w:tc>
      </w:tr>
      <w:tr w:rsidR="00D9194B" w:rsidTr="002539A3">
        <w:tc>
          <w:tcPr>
            <w:tcW w:w="2978" w:type="dxa"/>
            <w:tcBorders>
              <w:top w:val="single" w:sz="8" w:space="0" w:color="auto"/>
              <w:left w:val="double" w:sz="6" w:space="0" w:color="auto"/>
              <w:bottom w:val="double" w:sz="6" w:space="0" w:color="auto"/>
              <w:right w:val="single" w:sz="8"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Submarine Cable Licenses</w:t>
            </w:r>
          </w:p>
        </w:tc>
        <w:tc>
          <w:tcPr>
            <w:tcW w:w="5662" w:type="dxa"/>
            <w:tcBorders>
              <w:top w:val="single" w:sz="8" w:space="0" w:color="auto"/>
              <w:left w:val="single" w:sz="8" w:space="0" w:color="auto"/>
              <w:bottom w:val="double" w:sz="6" w:space="0" w:color="auto"/>
              <w:right w:val="double" w:sz="6" w:space="0" w:color="auto"/>
            </w:tcBorders>
          </w:tcPr>
          <w:p w:rsidR="00D9194B" w:rsidRDefault="00D9194B"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license information.</w:t>
            </w:r>
          </w:p>
        </w:tc>
      </w:tr>
    </w:tbl>
    <w:p w:rsidR="00D9194B" w:rsidRDefault="00D9194B" w:rsidP="00D9194B"/>
    <w:p w:rsidR="00D9194B" w:rsidRDefault="00D9194B" w:rsidP="00D9194B">
      <w:pPr>
        <w:tabs>
          <w:tab w:val="right" w:pos="10080"/>
        </w:tabs>
        <w:suppressAutoHyphens/>
        <w:ind w:left="450"/>
        <w:jc w:val="center"/>
        <w:outlineLvl w:val="0"/>
        <w:rPr>
          <w:b/>
          <w:szCs w:val="22"/>
        </w:rPr>
      </w:pPr>
      <w:r>
        <w:br w:type="page"/>
      </w:r>
      <w:bookmarkStart w:id="266" w:name="_Toc351484783"/>
      <w:bookmarkStart w:id="267" w:name="_Toc351484829"/>
      <w:bookmarkStart w:id="268" w:name="_Toc351484971"/>
      <w:bookmarkStart w:id="269" w:name="_Toc351571080"/>
      <w:bookmarkStart w:id="270" w:name="_Toc351572444"/>
      <w:bookmarkStart w:id="271" w:name="_Toc353032075"/>
      <w:bookmarkStart w:id="272" w:name="_Toc352943208"/>
      <w:bookmarkStart w:id="273" w:name="_Toc352943657"/>
      <w:bookmarkStart w:id="274" w:name="_Toc353870727"/>
      <w:bookmarkStart w:id="275" w:name="_Toc353987754"/>
      <w:bookmarkStart w:id="276" w:name="_Toc353988075"/>
      <w:bookmarkStart w:id="277" w:name="_Toc382499682"/>
      <w:bookmarkStart w:id="278" w:name="_Toc382567942"/>
      <w:bookmarkStart w:id="279" w:name="_Toc382576274"/>
      <w:bookmarkStart w:id="280" w:name="_Toc384227079"/>
      <w:r>
        <w:rPr>
          <w:b/>
        </w:rPr>
        <w:t>ATTACHMENT D</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D9194B" w:rsidRDefault="00D9194B" w:rsidP="00D9194B">
      <w:pPr>
        <w:tabs>
          <w:tab w:val="right" w:pos="10080"/>
        </w:tabs>
        <w:suppressAutoHyphens/>
        <w:ind w:left="450"/>
        <w:jc w:val="center"/>
        <w:outlineLvl w:val="0"/>
        <w:rPr>
          <w:b/>
          <w:szCs w:val="22"/>
        </w:rPr>
      </w:pPr>
    </w:p>
    <w:p w:rsidR="00D9194B" w:rsidRDefault="00D9194B" w:rsidP="00D9194B">
      <w:pPr>
        <w:tabs>
          <w:tab w:val="right" w:pos="10080"/>
        </w:tabs>
        <w:suppressAutoHyphens/>
        <w:ind w:left="450"/>
        <w:jc w:val="center"/>
        <w:outlineLvl w:val="0"/>
        <w:rPr>
          <w:b/>
          <w:szCs w:val="22"/>
        </w:rPr>
      </w:pPr>
      <w:bookmarkStart w:id="281" w:name="_Toc351484784"/>
      <w:bookmarkStart w:id="282" w:name="_Toc351484830"/>
      <w:bookmarkStart w:id="283" w:name="_Toc351484972"/>
      <w:bookmarkStart w:id="284" w:name="_Toc351571081"/>
      <w:bookmarkStart w:id="285" w:name="_Toc351572445"/>
      <w:bookmarkStart w:id="286" w:name="_Toc353032076"/>
      <w:bookmarkStart w:id="287" w:name="_Toc352943209"/>
      <w:bookmarkStart w:id="288" w:name="_Toc352943658"/>
      <w:bookmarkStart w:id="289" w:name="_Toc353870728"/>
      <w:bookmarkStart w:id="290" w:name="_Toc353987755"/>
      <w:bookmarkStart w:id="291" w:name="_Toc353988076"/>
      <w:bookmarkStart w:id="292" w:name="_Toc382499683"/>
      <w:bookmarkStart w:id="293" w:name="_Toc382567943"/>
      <w:bookmarkStart w:id="294" w:name="_Toc382576275"/>
      <w:bookmarkStart w:id="295" w:name="_Toc384227080"/>
      <w:r>
        <w:rPr>
          <w:b/>
          <w:szCs w:val="22"/>
        </w:rPr>
        <w:t>Factors, Measurements, and Calculations That Determines Station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D9194B" w:rsidRDefault="00D9194B" w:rsidP="00D9194B">
      <w:pPr>
        <w:tabs>
          <w:tab w:val="right" w:pos="10080"/>
        </w:tabs>
        <w:suppressAutoHyphens/>
        <w:ind w:left="450"/>
        <w:jc w:val="center"/>
        <w:outlineLvl w:val="0"/>
        <w:rPr>
          <w:b/>
          <w:szCs w:val="22"/>
        </w:rPr>
      </w:pPr>
      <w:bookmarkStart w:id="296" w:name="_Toc351484785"/>
      <w:bookmarkStart w:id="297" w:name="_Toc351484831"/>
      <w:bookmarkStart w:id="298" w:name="_Toc351484973"/>
      <w:bookmarkStart w:id="299" w:name="_Toc351571082"/>
      <w:bookmarkStart w:id="300" w:name="_Toc351572446"/>
      <w:bookmarkStart w:id="301" w:name="_Toc353032077"/>
      <w:bookmarkStart w:id="302" w:name="_Toc352943210"/>
      <w:bookmarkStart w:id="303" w:name="_Toc352943659"/>
      <w:bookmarkStart w:id="304" w:name="_Toc353870729"/>
      <w:bookmarkStart w:id="305" w:name="_Toc353987756"/>
      <w:bookmarkStart w:id="306" w:name="_Toc353988077"/>
      <w:bookmarkStart w:id="307" w:name="_Toc382499684"/>
      <w:bookmarkStart w:id="308" w:name="_Toc382567944"/>
      <w:bookmarkStart w:id="309" w:name="_Toc382576276"/>
      <w:bookmarkStart w:id="310" w:name="_Toc384227081"/>
      <w:r>
        <w:rPr>
          <w:b/>
          <w:szCs w:val="22"/>
        </w:rPr>
        <w:t>Signal Contours and Associated Population Coverages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D9194B" w:rsidRDefault="00D9194B" w:rsidP="00D9194B">
      <w:pPr>
        <w:tabs>
          <w:tab w:val="right" w:pos="10080"/>
        </w:tabs>
        <w:suppressAutoHyphens/>
        <w:ind w:left="450"/>
        <w:jc w:val="center"/>
        <w:outlineLvl w:val="0"/>
        <w:rPr>
          <w:b/>
          <w:szCs w:val="22"/>
        </w:rPr>
      </w:pP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bookmarkStart w:id="311" w:name="_Toc351484786"/>
      <w:bookmarkStart w:id="312" w:name="_Toc351484832"/>
      <w:bookmarkStart w:id="313" w:name="_Toc351484974"/>
      <w:bookmarkStart w:id="314" w:name="_Toc351571083"/>
      <w:bookmarkStart w:id="315" w:name="_Toc351572447"/>
      <w:bookmarkStart w:id="316" w:name="_Toc353032078"/>
      <w:bookmarkStart w:id="317" w:name="_Toc352943211"/>
      <w:bookmarkStart w:id="318" w:name="_Toc352943660"/>
      <w:bookmarkStart w:id="319" w:name="_Toc353870730"/>
      <w:bookmarkStart w:id="320" w:name="_Toc353987757"/>
      <w:bookmarkStart w:id="321" w:name="_Toc353988078"/>
      <w:bookmarkStart w:id="322" w:name="_Toc382499685"/>
      <w:bookmarkStart w:id="323" w:name="_Toc382567945"/>
      <w:bookmarkStart w:id="324" w:name="_Toc382576277"/>
      <w:bookmarkStart w:id="325" w:name="_Toc384227082"/>
      <w:r>
        <w:rPr>
          <w:b/>
          <w:spacing w:val="-3"/>
          <w:szCs w:val="22"/>
          <w:u w:val="single"/>
        </w:rPr>
        <w:t xml:space="preserve">AM </w:t>
      </w:r>
      <w:r>
        <w:rPr>
          <w:b/>
          <w:szCs w:val="22"/>
          <w:u w:val="single"/>
        </w:rPr>
        <w:t>Stations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Pr>
          <w:szCs w:val="22"/>
        </w:rPr>
        <w:t xml:space="preserve">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directions in the horizontal plane (“RMS”) figure (milliVolt per meter (mV/m) @ 1 km) for the antenna system.  The standard, or augmented standard if pertinent, horizontal plane radiation pattern was calculated using techniques and methods specified in §§73.150 and 73.152 of the Commission's rules. </w:t>
      </w:r>
      <w:r w:rsidR="00361DF9">
        <w:rPr>
          <w:szCs w:val="22"/>
        </w:rPr>
        <w:t xml:space="preserve"> </w:t>
      </w:r>
      <w:r>
        <w:rPr>
          <w:szCs w:val="22"/>
        </w:rPr>
        <w:t>Radiation values were calculated for each of 360 radials around the transmitter site.  Next, estimated soil conductivity data was retrieved from a database representing the information in FCC Figure R3.</w:t>
      </w:r>
      <w:r w:rsidR="00361DF9">
        <w:rPr>
          <w:szCs w:val="22"/>
        </w:rPr>
        <w:t xml:space="preserve">  </w:t>
      </w:r>
      <w:r>
        <w:rPr>
          <w:szCs w:val="22"/>
        </w:rPr>
        <w:t>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ab/>
      </w:r>
      <w:r>
        <w:rPr>
          <w:b/>
          <w:szCs w:val="22"/>
          <w:u w:val="single"/>
        </w:rPr>
        <w:t>FM Stations</w:t>
      </w:r>
    </w:p>
    <w:p w:rsidR="00D9194B" w:rsidRDefault="00D9194B" w:rsidP="00D9194B">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D9194B" w:rsidRDefault="00D9194B" w:rsidP="00D9194B">
      <w:pPr>
        <w:tabs>
          <w:tab w:val="left" w:pos="-1440"/>
          <w:tab w:val="left" w:pos="-720"/>
          <w:tab w:val="left" w:pos="720"/>
          <w:tab w:val="left" w:pos="1440"/>
          <w:tab w:val="left" w:pos="2160"/>
          <w:tab w:val="left" w:pos="2880"/>
          <w:tab w:val="left" w:pos="3600"/>
          <w:tab w:val="left" w:pos="4680"/>
          <w:tab w:val="left" w:pos="5040"/>
        </w:tabs>
        <w:suppressAutoHyphens/>
        <w:ind w:left="720"/>
      </w:pPr>
      <w:r>
        <w:rPr>
          <w:szCs w:val="22"/>
        </w:rPr>
        <w:t>The greater of the horizontal or vert</w:t>
      </w:r>
      <w:r w:rsidR="00CB5A2A">
        <w:rPr>
          <w:szCs w:val="22"/>
        </w:rPr>
        <w:t>ical effective radiated power (</w:t>
      </w:r>
      <w:r>
        <w:rPr>
          <w:szCs w:val="22"/>
        </w:rPr>
        <w:t>ERP) (kW) and respective</w:t>
      </w:r>
      <w:r w:rsidR="00CB5A2A">
        <w:rPr>
          <w:szCs w:val="22"/>
        </w:rPr>
        <w:t xml:space="preserve"> height above average terrain (HAAT</w:t>
      </w:r>
      <w:r>
        <w:rPr>
          <w:szCs w:val="22"/>
        </w:rPr>
        <w:t>) (m) combination was used.  Where the antenna height</w:t>
      </w:r>
      <w:r w:rsidR="00CB5A2A">
        <w:rPr>
          <w:szCs w:val="22"/>
        </w:rPr>
        <w:t xml:space="preserve"> above mean sea level (HAMSL</w:t>
      </w:r>
      <w:r>
        <w:rPr>
          <w:szCs w:val="22"/>
        </w:rPr>
        <w:t>)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w:t>
      </w:r>
      <w:r w:rsidR="00CB5A2A">
        <w:rPr>
          <w:szCs w:val="22"/>
        </w:rPr>
        <w:t>.F.R. §73.313 of the Commission’</w:t>
      </w:r>
      <w:r>
        <w:rPr>
          <w:szCs w:val="22"/>
        </w:rPr>
        <w:t>s rules to predict the distance to the principal community (70 dBu (decibel above 1 microVolt per meter) or 3.17 mV/m) contour for each of the 360 radials.</w:t>
      </w:r>
      <w:r w:rsidR="00B775B6">
        <w:rPr>
          <w:szCs w:val="22"/>
        </w:rPr>
        <w:t xml:space="preserve"> </w:t>
      </w:r>
      <w:r>
        <w:rPr>
          <w:szCs w:val="22"/>
        </w:rPr>
        <w:t xml:space="preserve">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w:t>
      </w:r>
      <w:r>
        <w:t xml:space="preserve"> </w:t>
      </w:r>
    </w:p>
    <w:p w:rsidR="00D9194B" w:rsidRDefault="00D9194B" w:rsidP="00D9194B">
      <w:pPr>
        <w:tabs>
          <w:tab w:val="left" w:pos="-1440"/>
          <w:tab w:val="left" w:pos="-720"/>
          <w:tab w:val="left" w:pos="720"/>
          <w:tab w:val="left" w:pos="1440"/>
          <w:tab w:val="left" w:pos="2160"/>
          <w:tab w:val="left" w:pos="2880"/>
          <w:tab w:val="left" w:pos="3600"/>
          <w:tab w:val="left" w:pos="4680"/>
          <w:tab w:val="left" w:pos="5040"/>
        </w:tabs>
        <w:suppressAutoHyphens/>
        <w:ind w:left="720"/>
      </w:pPr>
    </w:p>
    <w:p w:rsidR="00D9194B" w:rsidRDefault="00D9194B" w:rsidP="00D9194B">
      <w:pPr>
        <w:tabs>
          <w:tab w:val="left" w:pos="-1440"/>
          <w:tab w:val="left" w:pos="-720"/>
          <w:tab w:val="left" w:pos="720"/>
          <w:tab w:val="left" w:pos="1440"/>
          <w:tab w:val="left" w:pos="2160"/>
          <w:tab w:val="left" w:pos="2880"/>
          <w:tab w:val="left" w:pos="3600"/>
          <w:tab w:val="left" w:pos="4680"/>
          <w:tab w:val="left" w:pos="5040"/>
        </w:tabs>
        <w:suppressAutoHyphens/>
        <w:ind w:left="720"/>
      </w:pPr>
    </w:p>
    <w:p w:rsidR="00D9194B" w:rsidRDefault="00D9194B" w:rsidP="00D9194B">
      <w:pPr>
        <w:tabs>
          <w:tab w:val="left" w:pos="1440"/>
        </w:tabs>
        <w:suppressAutoHyphens/>
        <w:spacing w:line="240" w:lineRule="atLeast"/>
        <w:ind w:firstLine="720"/>
        <w:rPr>
          <w:szCs w:val="22"/>
        </w:rPr>
      </w:pPr>
    </w:p>
    <w:p w:rsidR="003F40B8" w:rsidRDefault="00D9194B" w:rsidP="00D9194B">
      <w:pPr>
        <w:tabs>
          <w:tab w:val="left" w:pos="1440"/>
        </w:tabs>
        <w:suppressAutoHyphens/>
        <w:spacing w:line="240" w:lineRule="atLeast"/>
        <w:ind w:firstLine="720"/>
        <w:jc w:val="center"/>
        <w:rPr>
          <w:b/>
          <w:szCs w:val="22"/>
        </w:rPr>
      </w:pPr>
      <w:r>
        <w:br w:type="page"/>
      </w:r>
    </w:p>
    <w:p w:rsidR="00392EF0" w:rsidRDefault="00392EF0" w:rsidP="00392EF0">
      <w:pPr>
        <w:tabs>
          <w:tab w:val="left" w:pos="1440"/>
        </w:tabs>
        <w:suppressAutoHyphens/>
        <w:spacing w:line="240" w:lineRule="atLeast"/>
        <w:ind w:firstLine="720"/>
        <w:jc w:val="center"/>
        <w:rPr>
          <w:szCs w:val="22"/>
        </w:rPr>
      </w:pPr>
      <w:r w:rsidRPr="007521D5">
        <w:rPr>
          <w:b/>
          <w:szCs w:val="22"/>
        </w:rPr>
        <w:t>ATTACHMENT</w:t>
      </w:r>
      <w:r>
        <w:rPr>
          <w:b/>
          <w:szCs w:val="22"/>
        </w:rPr>
        <w:t xml:space="preserve"> </w:t>
      </w:r>
      <w:r w:rsidR="00D13D5B" w:rsidRPr="00D13D5B">
        <w:rPr>
          <w:b/>
          <w:szCs w:val="22"/>
        </w:rPr>
        <w:t>E</w:t>
      </w:r>
      <w:r w:rsidRPr="00D13D5B">
        <w:rPr>
          <w:szCs w:val="22"/>
        </w:rPr>
        <w:t xml:space="preserve"> </w:t>
      </w:r>
    </w:p>
    <w:p w:rsidR="00392EF0" w:rsidRDefault="00392EF0" w:rsidP="00392EF0">
      <w:pPr>
        <w:tabs>
          <w:tab w:val="left" w:pos="1440"/>
        </w:tabs>
        <w:suppressAutoHyphens/>
        <w:spacing w:line="240" w:lineRule="atLeast"/>
        <w:ind w:firstLine="720"/>
        <w:jc w:val="center"/>
        <w:rPr>
          <w:szCs w:val="22"/>
        </w:rPr>
      </w:pPr>
    </w:p>
    <w:p w:rsidR="00392EF0" w:rsidRPr="007521D5" w:rsidRDefault="00392EF0" w:rsidP="00392EF0">
      <w:pPr>
        <w:tabs>
          <w:tab w:val="left" w:pos="1440"/>
        </w:tabs>
        <w:suppressAutoHyphens/>
        <w:spacing w:line="240" w:lineRule="atLeast"/>
        <w:ind w:firstLine="720"/>
        <w:jc w:val="center"/>
        <w:rPr>
          <w:b/>
          <w:spacing w:val="-2"/>
          <w:szCs w:val="22"/>
        </w:rPr>
      </w:pPr>
      <w:r w:rsidRPr="007521D5">
        <w:rPr>
          <w:b/>
          <w:spacing w:val="-2"/>
          <w:szCs w:val="22"/>
        </w:rPr>
        <w:t>Initial Regulatory Flexibility Analysis</w:t>
      </w:r>
    </w:p>
    <w:p w:rsidR="00392EF0" w:rsidRPr="007521D5" w:rsidRDefault="00392EF0" w:rsidP="00392EF0">
      <w:pPr>
        <w:tabs>
          <w:tab w:val="left" w:pos="1440"/>
        </w:tabs>
        <w:suppressAutoHyphens/>
        <w:spacing w:line="240" w:lineRule="atLeast"/>
        <w:ind w:firstLine="720"/>
        <w:jc w:val="center"/>
        <w:rPr>
          <w:b/>
          <w:spacing w:val="-2"/>
          <w:szCs w:val="22"/>
        </w:rPr>
      </w:pPr>
    </w:p>
    <w:p w:rsidR="00392EF0" w:rsidRDefault="00392EF0" w:rsidP="00392EF0">
      <w:pPr>
        <w:tabs>
          <w:tab w:val="left" w:pos="1440"/>
        </w:tabs>
        <w:suppressAutoHyphens/>
        <w:spacing w:line="240" w:lineRule="atLeast"/>
        <w:ind w:firstLine="720"/>
        <w:rPr>
          <w:spacing w:val="-2"/>
          <w:szCs w:val="22"/>
        </w:rPr>
      </w:pPr>
      <w:r w:rsidRPr="007521D5">
        <w:rPr>
          <w:spacing w:val="-2"/>
          <w:szCs w:val="22"/>
        </w:rPr>
        <w:t>1.</w:t>
      </w:r>
      <w:r w:rsidRPr="007521D5">
        <w:rPr>
          <w:spacing w:val="-2"/>
          <w:szCs w:val="22"/>
        </w:rPr>
        <w:tab/>
        <w:t>As required by the Regulatory Flexibility Act (RFA),</w:t>
      </w:r>
      <w:r>
        <w:rPr>
          <w:rStyle w:val="FootnoteReference"/>
          <w:spacing w:val="-2"/>
          <w:szCs w:val="22"/>
        </w:rPr>
        <w:footnoteReference w:id="108"/>
      </w:r>
      <w:r>
        <w:rPr>
          <w:spacing w:val="-2"/>
          <w:szCs w:val="22"/>
        </w:rPr>
        <w:t xml:space="preserve"> </w:t>
      </w:r>
      <w:r w:rsidRPr="007521D5">
        <w:rPr>
          <w:spacing w:val="-2"/>
          <w:szCs w:val="22"/>
        </w:rPr>
        <w:t xml:space="preserve">the Commission prepared this Initial Regulatory Flexibility Analysis (IRFA) of the possible significant economic impact on small entities by the policies and rules proposed in this </w:t>
      </w:r>
      <w:r w:rsidR="00766B33">
        <w:rPr>
          <w:spacing w:val="-2"/>
          <w:szCs w:val="22"/>
        </w:rPr>
        <w:t xml:space="preserve">Notice of Proposed Rulemaking, </w:t>
      </w:r>
      <w:r w:rsidR="00E65705">
        <w:rPr>
          <w:spacing w:val="-2"/>
          <w:szCs w:val="22"/>
        </w:rPr>
        <w:t xml:space="preserve">Second </w:t>
      </w:r>
      <w:r>
        <w:rPr>
          <w:spacing w:val="-2"/>
          <w:szCs w:val="22"/>
        </w:rPr>
        <w:t xml:space="preserve">Further </w:t>
      </w:r>
      <w:r w:rsidRPr="007521D5">
        <w:rPr>
          <w:spacing w:val="-2"/>
          <w:szCs w:val="22"/>
        </w:rPr>
        <w:t>Notice of Proposed Rulemaking</w:t>
      </w:r>
      <w:r w:rsidR="00766B33">
        <w:rPr>
          <w:spacing w:val="-2"/>
          <w:szCs w:val="22"/>
        </w:rPr>
        <w:t>, and Order</w:t>
      </w:r>
      <w:r w:rsidRPr="007521D5">
        <w:rPr>
          <w:spacing w:val="-2"/>
          <w:szCs w:val="22"/>
        </w:rPr>
        <w:t xml:space="preserve"> (</w:t>
      </w:r>
      <w:r>
        <w:rPr>
          <w:i/>
          <w:spacing w:val="-2"/>
          <w:szCs w:val="22"/>
        </w:rPr>
        <w:t>FNPRM</w:t>
      </w:r>
      <w:r w:rsidR="000730A2" w:rsidRPr="000730A2">
        <w:rPr>
          <w:spacing w:val="-2"/>
          <w:szCs w:val="22"/>
        </w:rPr>
        <w:t>)</w:t>
      </w:r>
      <w:r w:rsidRPr="007521D5">
        <w:rPr>
          <w:spacing w:val="-2"/>
          <w:szCs w:val="22"/>
        </w:rPr>
        <w:t xml:space="preserve">. </w:t>
      </w:r>
      <w:r>
        <w:rPr>
          <w:spacing w:val="-2"/>
          <w:szCs w:val="22"/>
        </w:rPr>
        <w:t xml:space="preserve"> </w:t>
      </w:r>
      <w:r w:rsidRPr="007521D5">
        <w:rPr>
          <w:spacing w:val="-2"/>
          <w:szCs w:val="22"/>
        </w:rPr>
        <w:t xml:space="preserve">Written comments are requested on this IRFA.  Comments must be identified as responses to the IRFA and must be filed </w:t>
      </w:r>
      <w:r>
        <w:rPr>
          <w:spacing w:val="-2"/>
          <w:szCs w:val="22"/>
        </w:rPr>
        <w:t xml:space="preserve">by the deadline for comments on this </w:t>
      </w:r>
      <w:r w:rsidR="00A3010E" w:rsidRPr="00432E28">
        <w:rPr>
          <w:i/>
          <w:spacing w:val="-2"/>
          <w:szCs w:val="22"/>
        </w:rPr>
        <w:t>FNPRM</w:t>
      </w:r>
      <w:r w:rsidRPr="007521D5">
        <w:rPr>
          <w:spacing w:val="-2"/>
          <w:szCs w:val="22"/>
        </w:rPr>
        <w:t xml:space="preserve">.  The Commission will send a copy of the </w:t>
      </w:r>
      <w:r w:rsidR="00A3010E" w:rsidRPr="00432E28">
        <w:rPr>
          <w:i/>
          <w:spacing w:val="-2"/>
          <w:szCs w:val="22"/>
        </w:rPr>
        <w:t>FNPRM</w:t>
      </w:r>
      <w:r w:rsidRPr="007521D5">
        <w:rPr>
          <w:spacing w:val="-2"/>
          <w:szCs w:val="22"/>
        </w:rPr>
        <w:t>, including the IRFA, to the Chief Counsel for Advocacy of the Small Business Administration (SBA)</w:t>
      </w:r>
      <w:r>
        <w:rPr>
          <w:spacing w:val="-2"/>
          <w:szCs w:val="22"/>
        </w:rPr>
        <w:t>.</w:t>
      </w:r>
      <w:r>
        <w:rPr>
          <w:rStyle w:val="FootnoteReference"/>
          <w:spacing w:val="-2"/>
          <w:szCs w:val="22"/>
        </w:rPr>
        <w:footnoteReference w:id="109"/>
      </w:r>
      <w:r w:rsidRPr="007521D5">
        <w:rPr>
          <w:spacing w:val="-2"/>
          <w:szCs w:val="22"/>
        </w:rPr>
        <w:t xml:space="preserve">  In addition, the </w:t>
      </w:r>
      <w:r w:rsidR="00A3010E" w:rsidRPr="00432E28">
        <w:rPr>
          <w:i/>
          <w:spacing w:val="-2"/>
          <w:szCs w:val="22"/>
        </w:rPr>
        <w:t>FNPRM</w:t>
      </w:r>
      <w:r w:rsidR="00A3010E" w:rsidRPr="007521D5">
        <w:rPr>
          <w:spacing w:val="-2"/>
          <w:szCs w:val="22"/>
        </w:rPr>
        <w:t xml:space="preserve"> </w:t>
      </w:r>
      <w:r w:rsidRPr="007521D5">
        <w:rPr>
          <w:spacing w:val="-2"/>
          <w:szCs w:val="22"/>
        </w:rPr>
        <w:t>and IRFA (or summaries thereof) will be published in the Federal Register.</w:t>
      </w:r>
      <w:r>
        <w:rPr>
          <w:rStyle w:val="FootnoteReference"/>
          <w:spacing w:val="-2"/>
          <w:szCs w:val="22"/>
        </w:rPr>
        <w:footnoteReference w:id="110"/>
      </w:r>
      <w:r w:rsidRPr="007521D5">
        <w:rPr>
          <w:spacing w:val="-2"/>
          <w:szCs w:val="22"/>
        </w:rPr>
        <w:t xml:space="preserve"> </w:t>
      </w:r>
    </w:p>
    <w:p w:rsidR="00392EF0" w:rsidRPr="007521D5" w:rsidRDefault="00392EF0" w:rsidP="00392EF0">
      <w:pPr>
        <w:tabs>
          <w:tab w:val="left" w:pos="1440"/>
        </w:tabs>
        <w:suppressAutoHyphens/>
        <w:spacing w:line="240" w:lineRule="atLeast"/>
        <w:ind w:firstLine="720"/>
        <w:rPr>
          <w:spacing w:val="-2"/>
          <w:szCs w:val="22"/>
        </w:rPr>
      </w:pPr>
      <w:r w:rsidRPr="007521D5">
        <w:rPr>
          <w:spacing w:val="-2"/>
          <w:szCs w:val="22"/>
        </w:rPr>
        <w:t xml:space="preserve"> </w:t>
      </w:r>
    </w:p>
    <w:p w:rsidR="00392EF0" w:rsidRPr="005E4686" w:rsidRDefault="00392EF0" w:rsidP="008E627E">
      <w:pPr>
        <w:pStyle w:val="Heading2"/>
      </w:pPr>
      <w:bookmarkStart w:id="326" w:name="_Toc353870731"/>
      <w:bookmarkStart w:id="327" w:name="_Toc353987758"/>
      <w:bookmarkStart w:id="328" w:name="_Toc353988079"/>
      <w:bookmarkStart w:id="329" w:name="_Toc378869277"/>
      <w:bookmarkStart w:id="330" w:name="_Toc382499686"/>
      <w:bookmarkStart w:id="331" w:name="_Toc382567946"/>
      <w:bookmarkStart w:id="332" w:name="_Toc382576278"/>
      <w:bookmarkStart w:id="333" w:name="_Toc384227083"/>
      <w:r w:rsidRPr="005E4686">
        <w:t>Need for, and Objectives of, the</w:t>
      </w:r>
      <w:r>
        <w:t xml:space="preserve"> </w:t>
      </w:r>
      <w:r w:rsidRPr="005E4686">
        <w:t>Notice</w:t>
      </w:r>
      <w:bookmarkEnd w:id="326"/>
      <w:bookmarkEnd w:id="327"/>
      <w:bookmarkEnd w:id="328"/>
      <w:bookmarkEnd w:id="329"/>
      <w:bookmarkEnd w:id="330"/>
      <w:bookmarkEnd w:id="331"/>
      <w:bookmarkEnd w:id="332"/>
      <w:bookmarkEnd w:id="333"/>
      <w:r w:rsidRPr="005E4686">
        <w:t xml:space="preserve">  </w:t>
      </w:r>
    </w:p>
    <w:p w:rsidR="00392EF0" w:rsidRDefault="00392EF0" w:rsidP="00392EF0">
      <w:pPr>
        <w:tabs>
          <w:tab w:val="left" w:pos="1440"/>
        </w:tabs>
        <w:suppressAutoHyphens/>
        <w:spacing w:line="240" w:lineRule="atLeast"/>
        <w:ind w:firstLine="720"/>
        <w:rPr>
          <w:szCs w:val="22"/>
        </w:rPr>
      </w:pPr>
      <w:r w:rsidRPr="007521D5">
        <w:rPr>
          <w:spacing w:val="-2"/>
          <w:szCs w:val="22"/>
        </w:rPr>
        <w:t>2.</w:t>
      </w:r>
      <w:r w:rsidRPr="007521D5">
        <w:rPr>
          <w:spacing w:val="-2"/>
          <w:szCs w:val="22"/>
        </w:rPr>
        <w:tab/>
      </w:r>
      <w:r>
        <w:rPr>
          <w:szCs w:val="22"/>
        </w:rPr>
        <w:t xml:space="preserve">The </w:t>
      </w:r>
      <w:r>
        <w:rPr>
          <w:i/>
          <w:szCs w:val="22"/>
        </w:rPr>
        <w:t xml:space="preserve">FNPRM </w:t>
      </w:r>
      <w:r>
        <w:rPr>
          <w:szCs w:val="22"/>
        </w:rPr>
        <w:t>seeks comment concerning adoption and implementation of proposals to reallocate regulatory fees to more accurately reflect the subject areas worked on by current Commission FTEs for FY 201</w:t>
      </w:r>
      <w:r w:rsidR="00581F89">
        <w:rPr>
          <w:szCs w:val="22"/>
        </w:rPr>
        <w:t>4</w:t>
      </w:r>
      <w:r>
        <w:rPr>
          <w:szCs w:val="22"/>
        </w:rPr>
        <w:t>.  As such, we seek comment on, among other things,</w:t>
      </w:r>
      <w:r>
        <w:t xml:space="preserve"> </w:t>
      </w:r>
      <w:r w:rsidR="00E65705">
        <w:t>(1) adopting a regulatory fee obl</w:t>
      </w:r>
      <w:r w:rsidR="009501CB">
        <w:t>igation for AM Expanded Band rad</w:t>
      </w:r>
      <w:r w:rsidR="00E65705">
        <w:t xml:space="preserve">io stations; (2) </w:t>
      </w:r>
      <w:r w:rsidR="00581F89">
        <w:rPr>
          <w:szCs w:val="22"/>
        </w:rPr>
        <w:t xml:space="preserve">reallocating </w:t>
      </w:r>
      <w:r w:rsidR="00766B33">
        <w:rPr>
          <w:szCs w:val="22"/>
        </w:rPr>
        <w:t xml:space="preserve">certain </w:t>
      </w:r>
      <w:r w:rsidR="00581F89">
        <w:rPr>
          <w:szCs w:val="22"/>
        </w:rPr>
        <w:t>indirect FTEs in the Enforcement Bureau and</w:t>
      </w:r>
      <w:r w:rsidR="00464C17">
        <w:rPr>
          <w:szCs w:val="22"/>
        </w:rPr>
        <w:t>/or</w:t>
      </w:r>
      <w:r w:rsidR="00581F89">
        <w:rPr>
          <w:szCs w:val="22"/>
        </w:rPr>
        <w:t xml:space="preserve"> the Consumer &amp; Governmental Affairs Bureau </w:t>
      </w:r>
      <w:r w:rsidR="00DE4A32">
        <w:rPr>
          <w:szCs w:val="22"/>
        </w:rPr>
        <w:t xml:space="preserve">and certain direct FTEs in the </w:t>
      </w:r>
      <w:r w:rsidR="00581F89">
        <w:rPr>
          <w:szCs w:val="22"/>
        </w:rPr>
        <w:t>International Bureau</w:t>
      </w:r>
      <w:r w:rsidR="00766B33">
        <w:rPr>
          <w:szCs w:val="22"/>
        </w:rPr>
        <w:t>; (</w:t>
      </w:r>
      <w:r w:rsidR="00E65705">
        <w:rPr>
          <w:szCs w:val="22"/>
        </w:rPr>
        <w:t>3</w:t>
      </w:r>
      <w:r w:rsidR="00766B33">
        <w:rPr>
          <w:szCs w:val="22"/>
        </w:rPr>
        <w:t>) periodically updat</w:t>
      </w:r>
      <w:r w:rsidR="00E65705">
        <w:rPr>
          <w:szCs w:val="22"/>
        </w:rPr>
        <w:t>ing</w:t>
      </w:r>
      <w:r w:rsidR="00766B33">
        <w:rPr>
          <w:szCs w:val="22"/>
        </w:rPr>
        <w:t xml:space="preserve"> FTE allocations; (</w:t>
      </w:r>
      <w:r w:rsidR="00E65705">
        <w:rPr>
          <w:szCs w:val="22"/>
        </w:rPr>
        <w:t>4</w:t>
      </w:r>
      <w:r w:rsidR="00766B33">
        <w:rPr>
          <w:szCs w:val="22"/>
        </w:rPr>
        <w:t>) apply</w:t>
      </w:r>
      <w:r w:rsidR="00DE4A32">
        <w:rPr>
          <w:szCs w:val="22"/>
        </w:rPr>
        <w:t>ing</w:t>
      </w:r>
      <w:r w:rsidR="00766B33">
        <w:rPr>
          <w:szCs w:val="22"/>
        </w:rPr>
        <w:t xml:space="preserve"> a 7.5 </w:t>
      </w:r>
      <w:r w:rsidR="009C6F71">
        <w:rPr>
          <w:szCs w:val="22"/>
        </w:rPr>
        <w:t xml:space="preserve">or 10 </w:t>
      </w:r>
      <w:r w:rsidR="00766B33">
        <w:rPr>
          <w:szCs w:val="22"/>
        </w:rPr>
        <w:t xml:space="preserve">percent cap on any regulatory fee increases for FY 2014; </w:t>
      </w:r>
      <w:r w:rsidR="00E65705">
        <w:rPr>
          <w:szCs w:val="22"/>
        </w:rPr>
        <w:t xml:space="preserve">(5) </w:t>
      </w:r>
      <w:r w:rsidR="00766B33">
        <w:rPr>
          <w:szCs w:val="22"/>
        </w:rPr>
        <w:t>improv</w:t>
      </w:r>
      <w:r w:rsidR="00DE4A32">
        <w:rPr>
          <w:szCs w:val="22"/>
        </w:rPr>
        <w:t>ing</w:t>
      </w:r>
      <w:r w:rsidR="00766B33">
        <w:rPr>
          <w:szCs w:val="22"/>
        </w:rPr>
        <w:t xml:space="preserve"> the Commission’s website for regulatory fee payors; (6) adopt</w:t>
      </w:r>
      <w:r w:rsidR="00DE4A32">
        <w:rPr>
          <w:szCs w:val="22"/>
        </w:rPr>
        <w:t>ing</w:t>
      </w:r>
      <w:r w:rsidR="00766B33">
        <w:rPr>
          <w:szCs w:val="22"/>
        </w:rPr>
        <w:t xml:space="preserve"> a higher de minimis threshold</w:t>
      </w:r>
      <w:r w:rsidR="00DE4A32">
        <w:rPr>
          <w:szCs w:val="22"/>
        </w:rPr>
        <w:t xml:space="preserve"> to provide relief for small carriers</w:t>
      </w:r>
      <w:r w:rsidR="009C6F71">
        <w:rPr>
          <w:szCs w:val="22"/>
        </w:rPr>
        <w:t>; and (7) eliminating certain regulatory fee categories</w:t>
      </w:r>
      <w:r w:rsidR="00766B33">
        <w:rPr>
          <w:szCs w:val="22"/>
        </w:rPr>
        <w:t>.</w:t>
      </w:r>
      <w:r>
        <w:rPr>
          <w:szCs w:val="22"/>
        </w:rPr>
        <w:t xml:space="preserve">    </w:t>
      </w:r>
    </w:p>
    <w:p w:rsidR="00392EF0" w:rsidRPr="00B32272" w:rsidRDefault="00392EF0" w:rsidP="00392EF0">
      <w:pPr>
        <w:tabs>
          <w:tab w:val="left" w:pos="1440"/>
        </w:tabs>
        <w:suppressAutoHyphens/>
        <w:spacing w:line="240" w:lineRule="atLeast"/>
        <w:ind w:firstLine="720"/>
        <w:rPr>
          <w:szCs w:val="22"/>
        </w:rPr>
      </w:pPr>
    </w:p>
    <w:p w:rsidR="00392EF0" w:rsidRPr="007521D5" w:rsidRDefault="00392EF0" w:rsidP="00392EF0">
      <w:pPr>
        <w:tabs>
          <w:tab w:val="left" w:pos="1440"/>
        </w:tabs>
        <w:suppressAutoHyphens/>
        <w:spacing w:line="240" w:lineRule="atLeast"/>
        <w:ind w:firstLine="720"/>
        <w:rPr>
          <w:spacing w:val="-2"/>
          <w:szCs w:val="22"/>
        </w:rPr>
      </w:pPr>
      <w:r>
        <w:rPr>
          <w:szCs w:val="22"/>
        </w:rPr>
        <w:t>4.</w:t>
      </w:r>
      <w:r>
        <w:rPr>
          <w:szCs w:val="22"/>
        </w:rPr>
        <w:tab/>
      </w:r>
      <w:r w:rsidRPr="00C21178">
        <w:rPr>
          <w:szCs w:val="22"/>
        </w:rPr>
        <w:t xml:space="preserve"> </w:t>
      </w:r>
      <w:r>
        <w:rPr>
          <w:szCs w:val="22"/>
        </w:rPr>
        <w:t xml:space="preserve">The </w:t>
      </w:r>
      <w:r>
        <w:rPr>
          <w:i/>
          <w:szCs w:val="22"/>
        </w:rPr>
        <w:t>FNPRM</w:t>
      </w:r>
      <w:r>
        <w:rPr>
          <w:szCs w:val="22"/>
        </w:rPr>
        <w:t xml:space="preserve"> </w:t>
      </w:r>
      <w:r w:rsidR="00581F89">
        <w:rPr>
          <w:szCs w:val="22"/>
        </w:rPr>
        <w:t xml:space="preserve">also </w:t>
      </w:r>
      <w:r w:rsidRPr="00C21178">
        <w:rPr>
          <w:szCs w:val="22"/>
        </w:rPr>
        <w:t>seeks comment concerning adoption and implementation of proposals which include: (1) combining Interstate Telecommunications S</w:t>
      </w:r>
      <w:r w:rsidRPr="009D0104">
        <w:rPr>
          <w:szCs w:val="22"/>
        </w:rPr>
        <w:t xml:space="preserve">ervice Providers (ITSPs) with wireless telecommunications services, </w:t>
      </w:r>
      <w:r w:rsidR="00581F89">
        <w:rPr>
          <w:szCs w:val="22"/>
        </w:rPr>
        <w:t xml:space="preserve">or </w:t>
      </w:r>
      <w:r w:rsidR="00464C17">
        <w:rPr>
          <w:szCs w:val="22"/>
        </w:rPr>
        <w:t xml:space="preserve">other services such as </w:t>
      </w:r>
      <w:r w:rsidR="00581F89">
        <w:rPr>
          <w:szCs w:val="22"/>
        </w:rPr>
        <w:t xml:space="preserve">cable television services, and </w:t>
      </w:r>
      <w:r w:rsidR="00464C17">
        <w:rPr>
          <w:szCs w:val="22"/>
        </w:rPr>
        <w:t xml:space="preserve">using revenues, subscribers, </w:t>
      </w:r>
      <w:r w:rsidR="00581F89">
        <w:rPr>
          <w:szCs w:val="22"/>
        </w:rPr>
        <w:t>telephone numbers</w:t>
      </w:r>
      <w:r w:rsidR="00464C17">
        <w:rPr>
          <w:szCs w:val="22"/>
        </w:rPr>
        <w:t>, or another means</w:t>
      </w:r>
      <w:r w:rsidR="00581F89">
        <w:rPr>
          <w:szCs w:val="22"/>
        </w:rPr>
        <w:t xml:space="preserve"> </w:t>
      </w:r>
      <w:r w:rsidRPr="009D0104">
        <w:rPr>
          <w:szCs w:val="22"/>
        </w:rPr>
        <w:t>as the basis for calculating regulatory fees;</w:t>
      </w:r>
      <w:r w:rsidR="00DE4A32">
        <w:rPr>
          <w:szCs w:val="22"/>
        </w:rPr>
        <w:t xml:space="preserve"> </w:t>
      </w:r>
      <w:r w:rsidR="00F4057D">
        <w:rPr>
          <w:szCs w:val="22"/>
        </w:rPr>
        <w:t xml:space="preserve">and </w:t>
      </w:r>
      <w:r w:rsidR="00DE4A32">
        <w:rPr>
          <w:szCs w:val="22"/>
        </w:rPr>
        <w:t xml:space="preserve">(2) creating new categories for </w:t>
      </w:r>
      <w:r w:rsidRPr="005D7588">
        <w:rPr>
          <w:szCs w:val="22"/>
        </w:rPr>
        <w:t>non-U.S.-Licensed Space Stations; Direct Broadcast Satellite</w:t>
      </w:r>
      <w:r w:rsidR="00E17B84">
        <w:rPr>
          <w:szCs w:val="22"/>
        </w:rPr>
        <w:t xml:space="preserve"> service</w:t>
      </w:r>
      <w:r w:rsidRPr="005D7588">
        <w:rPr>
          <w:szCs w:val="22"/>
        </w:rPr>
        <w:t>;</w:t>
      </w:r>
      <w:r>
        <w:rPr>
          <w:szCs w:val="22"/>
        </w:rPr>
        <w:t xml:space="preserve"> and </w:t>
      </w:r>
      <w:r w:rsidR="00006531">
        <w:rPr>
          <w:szCs w:val="22"/>
        </w:rPr>
        <w:t xml:space="preserve">toll free numbers </w:t>
      </w:r>
      <w:r w:rsidRPr="00C21178">
        <w:rPr>
          <w:szCs w:val="22"/>
        </w:rPr>
        <w:t>in our regulatory fee process.  We invit</w:t>
      </w:r>
      <w:r w:rsidRPr="009D0104">
        <w:rPr>
          <w:szCs w:val="22"/>
        </w:rPr>
        <w:t>e comment on these topics to better inform the Commission concerning whether and/or how these services should be assessed under our regulatory fee methodology in future years.</w:t>
      </w:r>
      <w:r>
        <w:rPr>
          <w:szCs w:val="22"/>
        </w:rPr>
        <w:t xml:space="preserve">     </w:t>
      </w:r>
      <w:r>
        <w:rPr>
          <w:spacing w:val="-2"/>
          <w:szCs w:val="22"/>
        </w:rPr>
        <w:tab/>
      </w:r>
    </w:p>
    <w:p w:rsidR="00392EF0" w:rsidRPr="007521D5" w:rsidRDefault="00392EF0" w:rsidP="00392EF0">
      <w:pPr>
        <w:tabs>
          <w:tab w:val="left" w:pos="1440"/>
        </w:tabs>
        <w:suppressAutoHyphens/>
        <w:spacing w:line="240" w:lineRule="atLeast"/>
        <w:ind w:firstLine="720"/>
        <w:jc w:val="center"/>
        <w:rPr>
          <w:spacing w:val="-2"/>
          <w:szCs w:val="22"/>
        </w:rPr>
      </w:pPr>
    </w:p>
    <w:p w:rsidR="00392EF0" w:rsidRPr="00F131E7" w:rsidRDefault="00392EF0" w:rsidP="00392EF0">
      <w:pPr>
        <w:tabs>
          <w:tab w:val="left" w:pos="1440"/>
        </w:tabs>
        <w:suppressAutoHyphens/>
        <w:spacing w:line="240" w:lineRule="atLeast"/>
        <w:ind w:firstLine="720"/>
        <w:rPr>
          <w:b/>
          <w:spacing w:val="-2"/>
          <w:szCs w:val="22"/>
        </w:rPr>
      </w:pPr>
      <w:r w:rsidRPr="00F131E7">
        <w:rPr>
          <w:b/>
          <w:spacing w:val="-2"/>
          <w:szCs w:val="22"/>
        </w:rPr>
        <w:t>II.</w:t>
      </w:r>
      <w:r w:rsidRPr="00F131E7">
        <w:rPr>
          <w:b/>
          <w:spacing w:val="-2"/>
          <w:szCs w:val="22"/>
        </w:rPr>
        <w:tab/>
        <w:t>Legal Basis:</w:t>
      </w:r>
    </w:p>
    <w:p w:rsidR="00392EF0" w:rsidRPr="007521D5" w:rsidRDefault="00392EF0" w:rsidP="00392EF0">
      <w:pPr>
        <w:tabs>
          <w:tab w:val="left" w:pos="1440"/>
        </w:tabs>
        <w:suppressAutoHyphens/>
        <w:spacing w:line="240" w:lineRule="atLeast"/>
        <w:ind w:firstLine="720"/>
        <w:jc w:val="center"/>
        <w:rPr>
          <w:spacing w:val="-2"/>
          <w:szCs w:val="22"/>
        </w:rPr>
      </w:pPr>
    </w:p>
    <w:p w:rsidR="00392EF0" w:rsidRPr="007521D5" w:rsidRDefault="00392EF0" w:rsidP="00392EF0">
      <w:pPr>
        <w:tabs>
          <w:tab w:val="left" w:pos="1440"/>
        </w:tabs>
        <w:suppressAutoHyphens/>
        <w:spacing w:line="240" w:lineRule="atLeast"/>
        <w:ind w:firstLine="720"/>
        <w:rPr>
          <w:spacing w:val="-2"/>
          <w:szCs w:val="22"/>
        </w:rPr>
      </w:pPr>
      <w:r>
        <w:rPr>
          <w:spacing w:val="-2"/>
          <w:szCs w:val="22"/>
        </w:rPr>
        <w:t>5</w:t>
      </w:r>
      <w:r w:rsidRPr="007521D5">
        <w:rPr>
          <w:spacing w:val="-2"/>
          <w:szCs w:val="22"/>
        </w:rPr>
        <w:t>.</w:t>
      </w:r>
      <w:r w:rsidRPr="007521D5">
        <w:rPr>
          <w:spacing w:val="-2"/>
          <w:szCs w:val="22"/>
        </w:rPr>
        <w:tab/>
        <w:t>This action, including publication of proposed rules, is authorized under Sections (4)(i) and (j), 9, and 303(r) of the Communications Act of 1934, as amended.</w:t>
      </w:r>
      <w:r>
        <w:rPr>
          <w:rStyle w:val="FootnoteReference"/>
          <w:spacing w:val="-2"/>
          <w:szCs w:val="22"/>
        </w:rPr>
        <w:footnoteReference w:id="111"/>
      </w:r>
      <w:r w:rsidRPr="007521D5">
        <w:rPr>
          <w:spacing w:val="-2"/>
          <w:szCs w:val="22"/>
        </w:rPr>
        <w:t xml:space="preserve"> </w:t>
      </w:r>
    </w:p>
    <w:p w:rsidR="00392EF0" w:rsidRPr="007521D5" w:rsidRDefault="00392EF0" w:rsidP="00392EF0">
      <w:pPr>
        <w:tabs>
          <w:tab w:val="left" w:pos="1440"/>
        </w:tabs>
        <w:suppressAutoHyphens/>
        <w:spacing w:line="240" w:lineRule="atLeast"/>
        <w:ind w:firstLine="720"/>
        <w:jc w:val="center"/>
        <w:rPr>
          <w:spacing w:val="-2"/>
          <w:szCs w:val="22"/>
        </w:rPr>
      </w:pPr>
    </w:p>
    <w:p w:rsidR="00392EF0" w:rsidRPr="00100F78" w:rsidRDefault="00392EF0" w:rsidP="00392EF0">
      <w:pPr>
        <w:tabs>
          <w:tab w:val="left" w:pos="1440"/>
        </w:tabs>
        <w:suppressAutoHyphens/>
        <w:spacing w:line="240" w:lineRule="atLeast"/>
        <w:ind w:firstLine="720"/>
        <w:rPr>
          <w:b/>
          <w:spacing w:val="-2"/>
          <w:szCs w:val="22"/>
        </w:rPr>
      </w:pPr>
      <w:r w:rsidRPr="00100F78">
        <w:rPr>
          <w:b/>
          <w:spacing w:val="-2"/>
          <w:szCs w:val="22"/>
        </w:rPr>
        <w:t>III.</w:t>
      </w:r>
      <w:r w:rsidRPr="00100F78">
        <w:rPr>
          <w:b/>
          <w:spacing w:val="-2"/>
          <w:szCs w:val="22"/>
        </w:rPr>
        <w:tab/>
        <w:t>Description and Estimate of the Number of Small Entities to Which the Rules Will Apply:</w:t>
      </w:r>
    </w:p>
    <w:p w:rsidR="00392EF0" w:rsidRPr="007521D5" w:rsidRDefault="00392EF0" w:rsidP="00392EF0">
      <w:pPr>
        <w:tabs>
          <w:tab w:val="left" w:pos="1440"/>
        </w:tabs>
        <w:suppressAutoHyphens/>
        <w:spacing w:line="240" w:lineRule="atLeast"/>
        <w:ind w:firstLine="720"/>
        <w:jc w:val="center"/>
        <w:rPr>
          <w:spacing w:val="-2"/>
          <w:szCs w:val="22"/>
        </w:rPr>
      </w:pPr>
    </w:p>
    <w:p w:rsidR="00392EF0" w:rsidRDefault="00392EF0" w:rsidP="007148FC">
      <w:pPr>
        <w:widowControl/>
        <w:tabs>
          <w:tab w:val="left" w:pos="1440"/>
        </w:tabs>
        <w:suppressAutoHyphens/>
        <w:spacing w:line="240" w:lineRule="atLeast"/>
        <w:ind w:firstLine="720"/>
        <w:rPr>
          <w:spacing w:val="-2"/>
          <w:szCs w:val="22"/>
        </w:rPr>
      </w:pPr>
      <w:r>
        <w:rPr>
          <w:spacing w:val="-2"/>
          <w:szCs w:val="22"/>
        </w:rPr>
        <w:t>6</w:t>
      </w:r>
      <w:r w:rsidRPr="007521D5">
        <w:rPr>
          <w:spacing w:val="-2"/>
          <w:szCs w:val="22"/>
        </w:rPr>
        <w:t>.</w:t>
      </w:r>
      <w:r w:rsidRPr="007521D5">
        <w:rPr>
          <w:spacing w:val="-2"/>
          <w:szCs w:val="22"/>
        </w:rPr>
        <w:tab/>
        <w:t>The RFA directs agencies to provide a description of, and where feasible, an estimate of the number of small entities that may be affected by the proposed rules and policies, if adopted.</w:t>
      </w:r>
      <w:r>
        <w:rPr>
          <w:rStyle w:val="FootnoteReference"/>
          <w:spacing w:val="-2"/>
          <w:szCs w:val="22"/>
        </w:rPr>
        <w:footnoteReference w:id="112"/>
      </w:r>
      <w:r>
        <w:rPr>
          <w:spacing w:val="-2"/>
          <w:szCs w:val="22"/>
        </w:rPr>
        <w:t xml:space="preserve">  </w:t>
      </w:r>
      <w:r w:rsidRPr="007521D5">
        <w:rPr>
          <w:spacing w:val="-2"/>
          <w:szCs w:val="22"/>
        </w:rPr>
        <w:t>The RFA generally defines the term “small entity” as having the same meaning as the terms “small business,” “small organization,” and “small governmental jurisdiction.”</w:t>
      </w:r>
      <w:r>
        <w:rPr>
          <w:rStyle w:val="FootnoteReference"/>
          <w:spacing w:val="-2"/>
          <w:szCs w:val="22"/>
        </w:rPr>
        <w:footnoteReference w:id="113"/>
      </w:r>
      <w:r>
        <w:rPr>
          <w:spacing w:val="-2"/>
          <w:szCs w:val="22"/>
        </w:rPr>
        <w:t xml:space="preserve"> </w:t>
      </w:r>
      <w:r w:rsidRPr="007521D5">
        <w:rPr>
          <w:spacing w:val="-2"/>
          <w:szCs w:val="22"/>
        </w:rPr>
        <w:t xml:space="preserve"> In addition, the term “small business” has the same meaning as the term “small business concern” under the Small Business Act.</w:t>
      </w:r>
      <w:r>
        <w:rPr>
          <w:rStyle w:val="FootnoteReference"/>
          <w:spacing w:val="-2"/>
          <w:szCs w:val="22"/>
        </w:rPr>
        <w:footnoteReference w:id="114"/>
      </w:r>
      <w:r w:rsidRPr="007521D5">
        <w:rPr>
          <w:spacing w:val="-2"/>
          <w:szCs w:val="22"/>
        </w:rPr>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115"/>
      </w:r>
      <w:r w:rsidRPr="007521D5">
        <w:rPr>
          <w:spacing w:val="-2"/>
          <w:szCs w:val="22"/>
        </w:rPr>
        <w:t xml:space="preserve"> </w:t>
      </w:r>
    </w:p>
    <w:p w:rsidR="00392EF0" w:rsidRPr="007521D5"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Pr>
          <w:spacing w:val="-2"/>
          <w:szCs w:val="22"/>
        </w:rPr>
        <w:t>7</w:t>
      </w:r>
      <w:r w:rsidRPr="007521D5">
        <w:rPr>
          <w:spacing w:val="-2"/>
          <w:szCs w:val="22"/>
        </w:rPr>
        <w:t>.</w:t>
      </w:r>
      <w:r w:rsidRPr="007521D5">
        <w:rPr>
          <w:spacing w:val="-2"/>
          <w:szCs w:val="22"/>
        </w:rPr>
        <w:tab/>
      </w:r>
      <w:r w:rsidRPr="000272C1">
        <w:rPr>
          <w:b/>
          <w:spacing w:val="-2"/>
          <w:szCs w:val="22"/>
        </w:rPr>
        <w:t>Small Businesses.</w:t>
      </w:r>
      <w:r w:rsidRPr="007521D5">
        <w:rPr>
          <w:spacing w:val="-2"/>
          <w:szCs w:val="22"/>
        </w:rPr>
        <w:t xml:space="preserve">   Nationwide, there are a total of approximately 2</w:t>
      </w:r>
      <w:r>
        <w:rPr>
          <w:spacing w:val="-2"/>
          <w:szCs w:val="22"/>
        </w:rPr>
        <w:t>7.9</w:t>
      </w:r>
      <w:r w:rsidRPr="007521D5">
        <w:rPr>
          <w:spacing w:val="-2"/>
          <w:szCs w:val="22"/>
        </w:rPr>
        <w:t xml:space="preserve"> million small businesses, according to the SBA.</w:t>
      </w:r>
      <w:r>
        <w:rPr>
          <w:rStyle w:val="FootnoteReference"/>
          <w:spacing w:val="-2"/>
          <w:szCs w:val="22"/>
        </w:rPr>
        <w:footnoteReference w:id="116"/>
      </w:r>
      <w:r w:rsidRPr="007521D5">
        <w:rPr>
          <w:spacing w:val="-2"/>
          <w:szCs w:val="22"/>
        </w:rPr>
        <w:t xml:space="preserve">   </w:t>
      </w:r>
    </w:p>
    <w:p w:rsidR="00392EF0" w:rsidRPr="007521D5"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Pr>
          <w:spacing w:val="-2"/>
          <w:szCs w:val="22"/>
        </w:rPr>
        <w:t>8</w:t>
      </w:r>
      <w:r w:rsidRPr="007521D5">
        <w:rPr>
          <w:spacing w:val="-2"/>
          <w:szCs w:val="22"/>
        </w:rPr>
        <w:t>.</w:t>
      </w:r>
      <w:r w:rsidRPr="007521D5">
        <w:rPr>
          <w:spacing w:val="-2"/>
          <w:szCs w:val="22"/>
        </w:rPr>
        <w:tab/>
      </w:r>
      <w:r w:rsidRPr="000942B2">
        <w:rPr>
          <w:b/>
          <w:spacing w:val="-2"/>
          <w:szCs w:val="22"/>
        </w:rPr>
        <w:t>Wired Telecommunications Carriers</w:t>
      </w:r>
      <w:r w:rsidRPr="000942B2">
        <w:rPr>
          <w:spacing w:val="-2"/>
          <w:szCs w:val="22"/>
        </w:rPr>
        <w:t>. The SBA has developed a small business size</w:t>
      </w:r>
      <w:r>
        <w:rPr>
          <w:spacing w:val="-2"/>
          <w:szCs w:val="22"/>
        </w:rPr>
        <w:t xml:space="preserve"> </w:t>
      </w:r>
      <w:r w:rsidRPr="000942B2">
        <w:rPr>
          <w:spacing w:val="-2"/>
          <w:szCs w:val="22"/>
        </w:rPr>
        <w:t>standard for Wired Telecommunications Carriers, which consists of all such companies having 1,500 or</w:t>
      </w:r>
      <w:r>
        <w:rPr>
          <w:spacing w:val="-2"/>
          <w:szCs w:val="22"/>
        </w:rPr>
        <w:t xml:space="preserve"> </w:t>
      </w:r>
      <w:r w:rsidRPr="000942B2">
        <w:rPr>
          <w:spacing w:val="-2"/>
          <w:szCs w:val="22"/>
        </w:rPr>
        <w:t>fewer employees</w:t>
      </w:r>
      <w:r>
        <w:rPr>
          <w:spacing w:val="-2"/>
          <w:szCs w:val="22"/>
        </w:rPr>
        <w:t xml:space="preserve">. </w:t>
      </w:r>
      <w:r w:rsidRPr="000942B2">
        <w:rPr>
          <w:spacing w:val="-2"/>
          <w:szCs w:val="22"/>
        </w:rPr>
        <w:t xml:space="preserve"> Census data for 2007 shows that there were 31,996 establishments that operated that</w:t>
      </w:r>
      <w:r>
        <w:rPr>
          <w:spacing w:val="-2"/>
          <w:szCs w:val="22"/>
        </w:rPr>
        <w:t xml:space="preserve"> </w:t>
      </w:r>
      <w:r w:rsidRPr="000942B2">
        <w:rPr>
          <w:spacing w:val="-2"/>
          <w:szCs w:val="22"/>
        </w:rPr>
        <w:t xml:space="preserve">year. </w:t>
      </w:r>
      <w:r>
        <w:rPr>
          <w:spacing w:val="-2"/>
          <w:szCs w:val="22"/>
        </w:rPr>
        <w:t xml:space="preserve"> </w:t>
      </w:r>
      <w:r w:rsidRPr="000942B2">
        <w:rPr>
          <w:spacing w:val="-2"/>
          <w:szCs w:val="22"/>
        </w:rPr>
        <w:t xml:space="preserve">Of </w:t>
      </w:r>
      <w:r w:rsidR="003934FF">
        <w:rPr>
          <w:spacing w:val="-2"/>
          <w:szCs w:val="22"/>
        </w:rPr>
        <w:t>this total</w:t>
      </w:r>
      <w:r w:rsidRPr="000942B2">
        <w:rPr>
          <w:spacing w:val="-2"/>
          <w:szCs w:val="22"/>
        </w:rPr>
        <w:t>, 1,818 operated with more than 100 employees, and 30,178 operated with fewer</w:t>
      </w:r>
      <w:r>
        <w:rPr>
          <w:spacing w:val="-2"/>
          <w:szCs w:val="22"/>
        </w:rPr>
        <w:t xml:space="preserve"> </w:t>
      </w:r>
      <w:r w:rsidRPr="000942B2">
        <w:rPr>
          <w:spacing w:val="-2"/>
          <w:szCs w:val="22"/>
        </w:rPr>
        <w:t>than 100 employees.</w:t>
      </w:r>
      <w:r>
        <w:rPr>
          <w:rStyle w:val="FootnoteReference"/>
          <w:spacing w:val="-2"/>
          <w:szCs w:val="22"/>
        </w:rPr>
        <w:footnoteReference w:id="117"/>
      </w:r>
      <w:r w:rsidRPr="000942B2">
        <w:rPr>
          <w:spacing w:val="-2"/>
          <w:szCs w:val="22"/>
        </w:rPr>
        <w:t xml:space="preserve">  Thus, under this size standard, the majority of firms can be considered small.</w:t>
      </w:r>
    </w:p>
    <w:p w:rsidR="00392EF0" w:rsidRDefault="00392EF0" w:rsidP="00392EF0">
      <w:pPr>
        <w:tabs>
          <w:tab w:val="left" w:pos="1440"/>
        </w:tabs>
        <w:suppressAutoHyphens/>
        <w:spacing w:line="240" w:lineRule="atLeast"/>
        <w:rPr>
          <w:spacing w:val="-2"/>
          <w:szCs w:val="22"/>
        </w:rPr>
      </w:pPr>
    </w:p>
    <w:p w:rsidR="00392EF0" w:rsidRDefault="00392EF0" w:rsidP="00392EF0">
      <w:pPr>
        <w:tabs>
          <w:tab w:val="left" w:pos="1440"/>
        </w:tabs>
        <w:suppressAutoHyphens/>
        <w:spacing w:line="240" w:lineRule="atLeast"/>
        <w:ind w:firstLine="720"/>
        <w:rPr>
          <w:spacing w:val="-2"/>
          <w:szCs w:val="22"/>
        </w:rPr>
      </w:pPr>
      <w:r>
        <w:rPr>
          <w:spacing w:val="-2"/>
          <w:szCs w:val="22"/>
        </w:rPr>
        <w:t>9.</w:t>
      </w:r>
      <w:r>
        <w:rPr>
          <w:spacing w:val="-2"/>
          <w:szCs w:val="22"/>
        </w:rPr>
        <w:tab/>
      </w:r>
      <w:r w:rsidRPr="00703D26">
        <w:rPr>
          <w:b/>
          <w:spacing w:val="-2"/>
          <w:szCs w:val="22"/>
        </w:rPr>
        <w:t>Local Exchange Carriers (LECs)</w:t>
      </w:r>
      <w:r w:rsidRPr="00AE4963">
        <w:rPr>
          <w:spacing w:val="-2"/>
          <w:szCs w:val="22"/>
        </w:rPr>
        <w:t xml:space="preserve">. </w:t>
      </w:r>
      <w:r>
        <w:rPr>
          <w:spacing w:val="-2"/>
          <w:szCs w:val="22"/>
        </w:rPr>
        <w:t xml:space="preserve"> </w:t>
      </w:r>
      <w:r w:rsidRPr="00AE4963">
        <w:rPr>
          <w:spacing w:val="-2"/>
          <w:szCs w:val="22"/>
        </w:rPr>
        <w:t>Neither the Commission nor the SBA has developed</w:t>
      </w:r>
      <w:r>
        <w:rPr>
          <w:spacing w:val="-2"/>
          <w:szCs w:val="22"/>
        </w:rPr>
        <w:t xml:space="preserve"> </w:t>
      </w:r>
      <w:r w:rsidRPr="00AE4963">
        <w:rPr>
          <w:spacing w:val="-2"/>
          <w:szCs w:val="22"/>
        </w:rPr>
        <w:t xml:space="preserve">a size standard for small businesses specifically applicable to local exchange services. </w:t>
      </w:r>
      <w:r>
        <w:rPr>
          <w:spacing w:val="-2"/>
          <w:szCs w:val="22"/>
        </w:rPr>
        <w:t xml:space="preserve"> </w:t>
      </w:r>
      <w:r w:rsidRPr="00AE4963">
        <w:rPr>
          <w:spacing w:val="-2"/>
          <w:szCs w:val="22"/>
        </w:rPr>
        <w:t>The closest</w:t>
      </w:r>
      <w:r>
        <w:rPr>
          <w:spacing w:val="-2"/>
          <w:szCs w:val="22"/>
        </w:rPr>
        <w:t xml:space="preserve"> </w:t>
      </w:r>
      <w:r w:rsidRPr="00AE4963">
        <w:rPr>
          <w:spacing w:val="-2"/>
          <w:szCs w:val="22"/>
        </w:rPr>
        <w:t xml:space="preserve">applicable size standard under SBA rules is for Wired Telecommunications Carriers. </w:t>
      </w:r>
      <w:r>
        <w:rPr>
          <w:spacing w:val="-2"/>
          <w:szCs w:val="22"/>
        </w:rPr>
        <w:t xml:space="preserve"> </w:t>
      </w:r>
      <w:r w:rsidRPr="00AE4963">
        <w:rPr>
          <w:spacing w:val="-2"/>
          <w:szCs w:val="22"/>
        </w:rPr>
        <w:t>Under that size</w:t>
      </w:r>
      <w:r>
        <w:rPr>
          <w:spacing w:val="-2"/>
          <w:szCs w:val="22"/>
        </w:rPr>
        <w:t xml:space="preserve"> </w:t>
      </w:r>
      <w:r w:rsidRPr="00AE4963">
        <w:rPr>
          <w:spacing w:val="-2"/>
          <w:szCs w:val="22"/>
        </w:rPr>
        <w:t xml:space="preserve">standard, such a business is small if it </w:t>
      </w:r>
      <w:r>
        <w:rPr>
          <w:spacing w:val="-2"/>
          <w:szCs w:val="22"/>
        </w:rPr>
        <w:t>has 1,500 or fewer employees.</w:t>
      </w:r>
      <w:r>
        <w:rPr>
          <w:rStyle w:val="FootnoteReference"/>
          <w:spacing w:val="-2"/>
          <w:szCs w:val="22"/>
        </w:rPr>
        <w:footnoteReference w:id="118"/>
      </w:r>
      <w:r>
        <w:rPr>
          <w:spacing w:val="-2"/>
          <w:szCs w:val="22"/>
        </w:rPr>
        <w:t xml:space="preserve">  </w:t>
      </w:r>
      <w:r w:rsidRPr="00AE4963">
        <w:rPr>
          <w:spacing w:val="-2"/>
          <w:szCs w:val="22"/>
        </w:rPr>
        <w:t>According to Commission data,</w:t>
      </w:r>
      <w:r>
        <w:rPr>
          <w:spacing w:val="-2"/>
          <w:szCs w:val="22"/>
        </w:rPr>
        <w:t xml:space="preserve"> c</w:t>
      </w:r>
      <w:r w:rsidRPr="00AE4963">
        <w:rPr>
          <w:spacing w:val="-2"/>
          <w:szCs w:val="22"/>
        </w:rPr>
        <w:t xml:space="preserve">ensus data for 2007 shows that there were 31,996 establishments that operated that year. Of </w:t>
      </w:r>
      <w:r w:rsidR="003934FF">
        <w:rPr>
          <w:spacing w:val="-2"/>
          <w:szCs w:val="22"/>
        </w:rPr>
        <w:t>this total</w:t>
      </w:r>
      <w:r w:rsidRPr="00AE4963">
        <w:rPr>
          <w:spacing w:val="-2"/>
          <w:szCs w:val="22"/>
        </w:rPr>
        <w:t>, 1,818 operated with more than 100 employees, and 30,178 operated with fewer than 100</w:t>
      </w:r>
      <w:r>
        <w:rPr>
          <w:spacing w:val="-2"/>
          <w:szCs w:val="22"/>
        </w:rPr>
        <w:t xml:space="preserve"> employees.</w:t>
      </w:r>
      <w:r>
        <w:rPr>
          <w:rStyle w:val="FootnoteReference"/>
          <w:spacing w:val="-2"/>
          <w:szCs w:val="22"/>
        </w:rPr>
        <w:footnoteReference w:id="119"/>
      </w:r>
      <w:r>
        <w:rPr>
          <w:spacing w:val="-2"/>
          <w:szCs w:val="22"/>
        </w:rPr>
        <w:t xml:space="preserve">  T</w:t>
      </w:r>
      <w:r w:rsidRPr="00AE4963">
        <w:rPr>
          <w:spacing w:val="-2"/>
          <w:szCs w:val="22"/>
        </w:rPr>
        <w:t>he Commission estimates that most providers of local exchange service are</w:t>
      </w:r>
      <w:r>
        <w:rPr>
          <w:spacing w:val="-2"/>
          <w:szCs w:val="22"/>
        </w:rPr>
        <w:t xml:space="preserve"> </w:t>
      </w:r>
      <w:r w:rsidRPr="00AE4963">
        <w:rPr>
          <w:spacing w:val="-2"/>
          <w:szCs w:val="22"/>
        </w:rPr>
        <w:t xml:space="preserve">small entities that may be affected by the rules and policies proposed in the </w:t>
      </w:r>
      <w:r w:rsidR="00A3010E" w:rsidRPr="00432E28">
        <w:rPr>
          <w:i/>
          <w:spacing w:val="-2"/>
          <w:szCs w:val="22"/>
        </w:rPr>
        <w:t>FNPRM</w:t>
      </w:r>
      <w:r w:rsidR="00A3010E">
        <w:rPr>
          <w:spacing w:val="-2"/>
          <w:szCs w:val="22"/>
        </w:rPr>
        <w:t>.</w:t>
      </w:r>
    </w:p>
    <w:p w:rsidR="00392EF0" w:rsidRPr="007521D5"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sidRPr="007521D5">
        <w:rPr>
          <w:spacing w:val="-2"/>
          <w:szCs w:val="22"/>
        </w:rPr>
        <w:t>1</w:t>
      </w:r>
      <w:r>
        <w:rPr>
          <w:spacing w:val="-2"/>
          <w:szCs w:val="22"/>
        </w:rPr>
        <w:t>0</w:t>
      </w:r>
      <w:r w:rsidRPr="007521D5">
        <w:rPr>
          <w:spacing w:val="-2"/>
          <w:szCs w:val="22"/>
        </w:rPr>
        <w:t>.</w:t>
      </w:r>
      <w:r w:rsidRPr="007521D5">
        <w:rPr>
          <w:spacing w:val="-2"/>
          <w:szCs w:val="22"/>
        </w:rPr>
        <w:tab/>
      </w:r>
      <w:r w:rsidRPr="00DD099F">
        <w:rPr>
          <w:b/>
          <w:spacing w:val="-2"/>
          <w:szCs w:val="22"/>
        </w:rPr>
        <w:t>Incumbent</w:t>
      </w:r>
      <w:r>
        <w:rPr>
          <w:b/>
          <w:spacing w:val="-2"/>
          <w:szCs w:val="22"/>
        </w:rPr>
        <w:t xml:space="preserve"> LECs.</w:t>
      </w:r>
      <w:r w:rsidRPr="007521D5">
        <w:rPr>
          <w:spacing w:val="-2"/>
          <w:szCs w:val="22"/>
        </w:rPr>
        <w:t xml:space="preserve">  Neither the Commission nor the SBA has developed a small business size standard specifically for incumbent local exchange services.  The </w:t>
      </w:r>
      <w:r>
        <w:rPr>
          <w:spacing w:val="-2"/>
          <w:szCs w:val="22"/>
        </w:rPr>
        <w:t xml:space="preserve">closest applicable </w:t>
      </w:r>
      <w:r w:rsidRPr="007521D5">
        <w:rPr>
          <w:spacing w:val="-2"/>
          <w:szCs w:val="22"/>
        </w:rPr>
        <w:t>size standard under SBA rules is for the category Wired Telecommunications Carriers.  Under that size standard, such a business is small if it has 1,500 or fewer employees.</w:t>
      </w:r>
      <w:r>
        <w:rPr>
          <w:rStyle w:val="FootnoteReference"/>
          <w:spacing w:val="-2"/>
          <w:szCs w:val="22"/>
        </w:rPr>
        <w:footnoteReference w:id="120"/>
      </w:r>
      <w:r>
        <w:rPr>
          <w:spacing w:val="-2"/>
          <w:szCs w:val="22"/>
        </w:rPr>
        <w:t xml:space="preserve">  </w:t>
      </w:r>
      <w:r w:rsidRPr="007521D5">
        <w:rPr>
          <w:spacing w:val="-2"/>
          <w:szCs w:val="22"/>
        </w:rPr>
        <w:t>According to Commission data, 1,307 carriers reported that they were incumbent local exchange service providers.</w:t>
      </w:r>
      <w:r>
        <w:rPr>
          <w:rStyle w:val="FootnoteReference"/>
          <w:spacing w:val="-2"/>
          <w:szCs w:val="22"/>
        </w:rPr>
        <w:footnoteReference w:id="121"/>
      </w:r>
      <w:r>
        <w:rPr>
          <w:spacing w:val="-2"/>
          <w:szCs w:val="22"/>
        </w:rPr>
        <w:t xml:space="preserve">  </w:t>
      </w:r>
      <w:r w:rsidRPr="007521D5">
        <w:rPr>
          <w:spacing w:val="-2"/>
          <w:szCs w:val="22"/>
        </w:rPr>
        <w:t xml:space="preserve">Of </w:t>
      </w:r>
      <w:r w:rsidR="003934FF">
        <w:rPr>
          <w:spacing w:val="-2"/>
          <w:szCs w:val="22"/>
        </w:rPr>
        <w:t>this total</w:t>
      </w:r>
      <w:r w:rsidRPr="007521D5">
        <w:rPr>
          <w:spacing w:val="-2"/>
          <w:szCs w:val="22"/>
        </w:rPr>
        <w:t>, an estimated 1,006 have 1,500 or fewer employees and 301 have more than 1,500 employees.</w:t>
      </w:r>
      <w:r>
        <w:rPr>
          <w:rStyle w:val="FootnoteReference"/>
          <w:spacing w:val="-2"/>
          <w:szCs w:val="22"/>
        </w:rPr>
        <w:footnoteReference w:id="122"/>
      </w:r>
      <w:r w:rsidRPr="007521D5">
        <w:rPr>
          <w:spacing w:val="-2"/>
          <w:szCs w:val="22"/>
        </w:rPr>
        <w:t xml:space="preserve">   Consequently, the Commission estimates that most providers of </w:t>
      </w:r>
      <w:r>
        <w:rPr>
          <w:spacing w:val="-2"/>
          <w:szCs w:val="22"/>
        </w:rPr>
        <w:t xml:space="preserve">incumbent </w:t>
      </w:r>
      <w:r w:rsidRPr="007521D5">
        <w:rPr>
          <w:spacing w:val="-2"/>
          <w:szCs w:val="22"/>
        </w:rPr>
        <w:t xml:space="preserve">local exchange service are small </w:t>
      </w:r>
      <w:r>
        <w:rPr>
          <w:spacing w:val="-2"/>
          <w:szCs w:val="22"/>
        </w:rPr>
        <w:t>businesses</w:t>
      </w:r>
      <w:r w:rsidRPr="007521D5">
        <w:rPr>
          <w:spacing w:val="-2"/>
          <w:szCs w:val="22"/>
        </w:rPr>
        <w:t xml:space="preserve"> that may be affected by the rules a</w:t>
      </w:r>
      <w:r>
        <w:rPr>
          <w:spacing w:val="-2"/>
          <w:szCs w:val="22"/>
        </w:rPr>
        <w:t xml:space="preserve">nd policies proposed in the </w:t>
      </w:r>
      <w:r w:rsidR="00432E28" w:rsidRPr="00432E28">
        <w:rPr>
          <w:i/>
          <w:spacing w:val="-2"/>
          <w:szCs w:val="22"/>
        </w:rPr>
        <w:t>FNPRM</w:t>
      </w:r>
      <w:r w:rsidRPr="007521D5">
        <w:rPr>
          <w:spacing w:val="-2"/>
          <w:szCs w:val="22"/>
        </w:rPr>
        <w:t xml:space="preserve">.    </w:t>
      </w:r>
    </w:p>
    <w:p w:rsidR="00392EF0" w:rsidRPr="007521D5"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sidRPr="007521D5">
        <w:rPr>
          <w:spacing w:val="-2"/>
          <w:szCs w:val="22"/>
        </w:rPr>
        <w:t>1</w:t>
      </w:r>
      <w:r>
        <w:rPr>
          <w:spacing w:val="-2"/>
          <w:szCs w:val="22"/>
        </w:rPr>
        <w:t>1</w:t>
      </w:r>
      <w:r w:rsidRPr="007521D5">
        <w:rPr>
          <w:spacing w:val="-2"/>
          <w:szCs w:val="22"/>
        </w:rPr>
        <w:t>.</w:t>
      </w:r>
      <w:r w:rsidRPr="007521D5">
        <w:rPr>
          <w:spacing w:val="-2"/>
          <w:szCs w:val="22"/>
        </w:rPr>
        <w:tab/>
      </w:r>
      <w:r w:rsidRPr="00EB0B7B">
        <w:rPr>
          <w:b/>
          <w:spacing w:val="-2"/>
          <w:szCs w:val="22"/>
        </w:rPr>
        <w:t>Competitive Local Exchange Carriers (Competitive LECs), Competitive Access Providers (CAPs), Shared-Tenant Service Providers, and Other Local Service Providers.</w:t>
      </w:r>
      <w:r w:rsidRPr="007521D5">
        <w:rPr>
          <w:spacing w:val="-2"/>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rStyle w:val="FootnoteReference"/>
          <w:spacing w:val="-2"/>
          <w:szCs w:val="22"/>
        </w:rPr>
        <w:footnoteReference w:id="123"/>
      </w:r>
      <w:r w:rsidRPr="007521D5">
        <w:rPr>
          <w:spacing w:val="-2"/>
          <w:szCs w:val="22"/>
        </w:rPr>
        <w:t xml:space="preserve">   According to Commission data, 1,442 carriers reported that they were engaged in the provision of either competitive local exchange services or competitive access provider services.</w:t>
      </w:r>
      <w:r>
        <w:rPr>
          <w:rStyle w:val="FootnoteReference"/>
          <w:spacing w:val="-2"/>
          <w:szCs w:val="22"/>
        </w:rPr>
        <w:footnoteReference w:id="124"/>
      </w:r>
      <w:r w:rsidRPr="007521D5">
        <w:rPr>
          <w:spacing w:val="-2"/>
          <w:szCs w:val="22"/>
        </w:rPr>
        <w:t xml:space="preserve">   Of these 1,442 carriers, an estimated 1,256 have 1,500 or fewer employees and 186 have more than 1,500 employees.</w:t>
      </w:r>
      <w:r>
        <w:rPr>
          <w:rStyle w:val="FootnoteReference"/>
          <w:spacing w:val="-2"/>
          <w:szCs w:val="22"/>
        </w:rPr>
        <w:footnoteReference w:id="125"/>
      </w:r>
      <w:r w:rsidRPr="007521D5">
        <w:rPr>
          <w:spacing w:val="-2"/>
          <w:szCs w:val="22"/>
        </w:rPr>
        <w:t xml:space="preserve">   In addition, 17 carriers have reported that they are Shared-Tenant Service Providers, and all 17 are estimated to have 1,500 or fewer employees.</w:t>
      </w:r>
      <w:r>
        <w:rPr>
          <w:rStyle w:val="FootnoteReference"/>
          <w:spacing w:val="-2"/>
          <w:szCs w:val="22"/>
        </w:rPr>
        <w:footnoteReference w:id="126"/>
      </w:r>
      <w:r w:rsidRPr="007521D5">
        <w:rPr>
          <w:spacing w:val="-2"/>
          <w:szCs w:val="22"/>
        </w:rPr>
        <w:t xml:space="preserve">   In addition, 72 carriers have reported that they are Other Local Service Providers.</w:t>
      </w:r>
      <w:r>
        <w:rPr>
          <w:rStyle w:val="FootnoteReference"/>
          <w:spacing w:val="-2"/>
          <w:szCs w:val="22"/>
        </w:rPr>
        <w:footnoteReference w:id="127"/>
      </w:r>
      <w:r>
        <w:rPr>
          <w:spacing w:val="-2"/>
          <w:szCs w:val="22"/>
        </w:rPr>
        <w:t xml:space="preserve">   Of </w:t>
      </w:r>
      <w:r w:rsidR="003934FF">
        <w:rPr>
          <w:spacing w:val="-2"/>
          <w:szCs w:val="22"/>
        </w:rPr>
        <w:t>this total, 70</w:t>
      </w:r>
      <w:r w:rsidRPr="007521D5">
        <w:rPr>
          <w:spacing w:val="-2"/>
          <w:szCs w:val="22"/>
        </w:rPr>
        <w:t xml:space="preserve"> have 1,500 or fewer employees and two have more than 1,500 employees.</w:t>
      </w:r>
      <w:r>
        <w:rPr>
          <w:rStyle w:val="FootnoteReference"/>
          <w:spacing w:val="-2"/>
          <w:szCs w:val="22"/>
        </w:rPr>
        <w:footnoteReference w:id="128"/>
      </w:r>
      <w:r w:rsidRPr="007521D5">
        <w:rPr>
          <w:spacing w:val="-2"/>
          <w:szCs w:val="22"/>
        </w:rPr>
        <w:t xml:space="preserve">   Consequently, the Commission estimates that most providers of competitive local exchange service, competitive access providers, Shared-Tenant Service Providers, and Other Local Service Providers are small entities that may be affected by ru</w:t>
      </w:r>
      <w:r>
        <w:rPr>
          <w:spacing w:val="-2"/>
          <w:szCs w:val="22"/>
        </w:rPr>
        <w:t xml:space="preserve">les adopted pursuant to the proposals in this </w:t>
      </w:r>
      <w:r w:rsidRPr="00432E28">
        <w:rPr>
          <w:i/>
          <w:spacing w:val="-2"/>
          <w:szCs w:val="22"/>
        </w:rPr>
        <w:t>F</w:t>
      </w:r>
      <w:r w:rsidR="00432E28" w:rsidRPr="00432E28">
        <w:rPr>
          <w:i/>
          <w:spacing w:val="-2"/>
          <w:szCs w:val="22"/>
        </w:rPr>
        <w:t>NPRM</w:t>
      </w:r>
      <w:r w:rsidRPr="007521D5">
        <w:rPr>
          <w:spacing w:val="-2"/>
          <w:szCs w:val="22"/>
        </w:rPr>
        <w:t xml:space="preserve">. </w:t>
      </w:r>
    </w:p>
    <w:p w:rsidR="00392EF0"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sidRPr="007521D5">
        <w:rPr>
          <w:spacing w:val="-2"/>
          <w:szCs w:val="22"/>
        </w:rPr>
        <w:t>1</w:t>
      </w:r>
      <w:r>
        <w:rPr>
          <w:spacing w:val="-2"/>
          <w:szCs w:val="22"/>
        </w:rPr>
        <w:t>2</w:t>
      </w:r>
      <w:r w:rsidRPr="007521D5">
        <w:rPr>
          <w:spacing w:val="-2"/>
          <w:szCs w:val="22"/>
        </w:rPr>
        <w:t>.</w:t>
      </w:r>
      <w:r w:rsidRPr="007521D5">
        <w:rPr>
          <w:spacing w:val="-2"/>
          <w:szCs w:val="22"/>
        </w:rPr>
        <w:tab/>
      </w:r>
      <w:r w:rsidRPr="005B1923">
        <w:rPr>
          <w:b/>
          <w:spacing w:val="-2"/>
          <w:szCs w:val="22"/>
        </w:rPr>
        <w:t>Interexchange Carriers (IXCs)</w:t>
      </w:r>
      <w:r w:rsidRPr="007521D5">
        <w:rPr>
          <w:spacing w:val="-2"/>
          <w:szCs w:val="22"/>
        </w:rPr>
        <w:t xml:space="preserve">.  Neither the Commission nor the SBA has developed a small business size standard specifically </w:t>
      </w:r>
      <w:r>
        <w:rPr>
          <w:spacing w:val="-2"/>
          <w:szCs w:val="22"/>
        </w:rPr>
        <w:t xml:space="preserve">applicable to </w:t>
      </w:r>
      <w:r w:rsidRPr="007521D5">
        <w:rPr>
          <w:spacing w:val="-2"/>
          <w:szCs w:val="22"/>
        </w:rPr>
        <w:t xml:space="preserve">interexchange services.  The </w:t>
      </w:r>
      <w:r>
        <w:rPr>
          <w:spacing w:val="-2"/>
          <w:szCs w:val="22"/>
        </w:rPr>
        <w:t>applicable</w:t>
      </w:r>
      <w:r w:rsidRPr="007521D5">
        <w:rPr>
          <w:spacing w:val="-2"/>
          <w:szCs w:val="22"/>
        </w:rPr>
        <w:t xml:space="preserve"> size standard under SBA rules is for the Wired Telecommunications Carriers.  Under that size standard, such a business is small if it has 1,500 or fewer employees.</w:t>
      </w:r>
      <w:r>
        <w:rPr>
          <w:rStyle w:val="FootnoteReference"/>
          <w:spacing w:val="-2"/>
          <w:szCs w:val="22"/>
        </w:rPr>
        <w:footnoteReference w:id="129"/>
      </w:r>
      <w:r w:rsidRPr="007521D5">
        <w:rPr>
          <w:spacing w:val="-2"/>
          <w:szCs w:val="22"/>
        </w:rPr>
        <w:t xml:space="preserve">  According to Commission data, 359 companies reported that their primary telecommunications service activity was the provision of interexchange services.</w:t>
      </w:r>
      <w:r>
        <w:rPr>
          <w:rStyle w:val="FootnoteReference"/>
          <w:spacing w:val="-2"/>
          <w:szCs w:val="22"/>
        </w:rPr>
        <w:footnoteReference w:id="130"/>
      </w:r>
      <w:r w:rsidRPr="007521D5">
        <w:rPr>
          <w:spacing w:val="-2"/>
          <w:szCs w:val="22"/>
        </w:rPr>
        <w:t xml:space="preserve">   Of </w:t>
      </w:r>
      <w:r w:rsidR="003934FF">
        <w:rPr>
          <w:spacing w:val="-2"/>
          <w:szCs w:val="22"/>
        </w:rPr>
        <w:t>this total</w:t>
      </w:r>
      <w:r w:rsidRPr="007521D5">
        <w:rPr>
          <w:spacing w:val="-2"/>
          <w:szCs w:val="22"/>
        </w:rPr>
        <w:t>, an estimated 317 have 1,500 or fewer employees and 42 have more than 1,500 employees.</w:t>
      </w:r>
      <w:r>
        <w:rPr>
          <w:rStyle w:val="FootnoteReference"/>
          <w:spacing w:val="-2"/>
          <w:szCs w:val="22"/>
        </w:rPr>
        <w:footnoteReference w:id="131"/>
      </w:r>
      <w:r w:rsidRPr="007521D5">
        <w:rPr>
          <w:spacing w:val="-2"/>
          <w:szCs w:val="22"/>
        </w:rPr>
        <w:t xml:space="preserve">   Consequently, the Commission estimates that the majority of interexchange service providers are small entities that may be affected by rules adopted pursuant to the </w:t>
      </w:r>
      <w:r w:rsidR="00432E28" w:rsidRPr="00432E28">
        <w:rPr>
          <w:i/>
          <w:spacing w:val="-2"/>
          <w:szCs w:val="22"/>
        </w:rPr>
        <w:t>FNPRM</w:t>
      </w:r>
      <w:r w:rsidRPr="007521D5">
        <w:rPr>
          <w:spacing w:val="-2"/>
          <w:szCs w:val="22"/>
        </w:rPr>
        <w:t>.</w:t>
      </w:r>
    </w:p>
    <w:p w:rsidR="00392EF0"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Pr>
          <w:spacing w:val="-2"/>
          <w:szCs w:val="22"/>
        </w:rPr>
        <w:t>13.</w:t>
      </w:r>
      <w:r>
        <w:rPr>
          <w:spacing w:val="-2"/>
          <w:szCs w:val="22"/>
        </w:rPr>
        <w:tab/>
      </w:r>
      <w:r w:rsidRPr="00AC5A57">
        <w:rPr>
          <w:b/>
          <w:spacing w:val="-2"/>
          <w:szCs w:val="22"/>
        </w:rPr>
        <w:t>Prepaid Calling Card Providers.</w:t>
      </w:r>
      <w:r w:rsidRPr="00AC5A57">
        <w:rPr>
          <w:spacing w:val="-2"/>
          <w:szCs w:val="22"/>
        </w:rPr>
        <w:t xml:space="preserve">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pacing w:val="-2"/>
          <w:szCs w:val="22"/>
        </w:rPr>
        <w:footnoteReference w:id="132"/>
      </w:r>
      <w:r w:rsidRPr="00AC5A57">
        <w:rPr>
          <w:spacing w:val="-2"/>
          <w:szCs w:val="22"/>
        </w:rPr>
        <w:t xml:space="preserve">   Census data for 2007 show that 1,523 firms provided resale services during that year.  Of that number, 1,522 operated with fewer than 1000 employees and one operated with more than 1,000.</w:t>
      </w:r>
      <w:r>
        <w:rPr>
          <w:rStyle w:val="FootnoteReference"/>
          <w:spacing w:val="-2"/>
          <w:szCs w:val="22"/>
        </w:rPr>
        <w:footnoteReference w:id="133"/>
      </w:r>
      <w:r w:rsidRPr="00AC5A57">
        <w:rPr>
          <w:spacing w:val="-2"/>
          <w:szCs w:val="22"/>
        </w:rPr>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rStyle w:val="FootnoteReference"/>
          <w:spacing w:val="-2"/>
          <w:szCs w:val="22"/>
        </w:rPr>
        <w:footnoteReference w:id="134"/>
      </w:r>
      <w:r w:rsidRPr="00AC5A57">
        <w:rPr>
          <w:spacing w:val="-2"/>
          <w:szCs w:val="22"/>
        </w:rPr>
        <w:t xml:space="preserve">   </w:t>
      </w:r>
      <w:r w:rsidR="003934FF">
        <w:rPr>
          <w:spacing w:val="-2"/>
          <w:szCs w:val="22"/>
        </w:rPr>
        <w:t>A</w:t>
      </w:r>
      <w:r w:rsidRPr="00AC5A57">
        <w:rPr>
          <w:spacing w:val="-2"/>
          <w:szCs w:val="22"/>
        </w:rPr>
        <w:t>ll 193</w:t>
      </w:r>
      <w:r w:rsidR="003934FF">
        <w:rPr>
          <w:spacing w:val="-2"/>
          <w:szCs w:val="22"/>
        </w:rPr>
        <w:t xml:space="preserve"> carriers</w:t>
      </w:r>
      <w:r w:rsidRPr="00AC5A57">
        <w:rPr>
          <w:spacing w:val="-2"/>
          <w:szCs w:val="22"/>
        </w:rPr>
        <w:t xml:space="preserve"> have 1,500 or fewer employees and none have more than 1,500 employees.</w:t>
      </w:r>
      <w:r>
        <w:rPr>
          <w:rStyle w:val="FootnoteReference"/>
          <w:spacing w:val="-2"/>
          <w:szCs w:val="22"/>
        </w:rPr>
        <w:footnoteReference w:id="135"/>
      </w:r>
      <w:r w:rsidRPr="00AC5A57">
        <w:rPr>
          <w:spacing w:val="-2"/>
          <w:szCs w:val="22"/>
        </w:rPr>
        <w:t xml:space="preserve">   Consequently, the Commission estimates that the majority of prepaid calling card providers are small entities that may be affected by rules adopted pursuant to the </w:t>
      </w:r>
      <w:r w:rsidR="00432E28" w:rsidRPr="00432E28">
        <w:rPr>
          <w:i/>
          <w:spacing w:val="-2"/>
          <w:szCs w:val="22"/>
        </w:rPr>
        <w:t>FNPRM</w:t>
      </w:r>
      <w:r w:rsidRPr="00AC5A57">
        <w:rPr>
          <w:spacing w:val="-2"/>
          <w:szCs w:val="22"/>
        </w:rPr>
        <w:t>.</w:t>
      </w:r>
    </w:p>
    <w:p w:rsidR="00392EF0" w:rsidRPr="007521D5"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sidRPr="007521D5">
        <w:rPr>
          <w:spacing w:val="-2"/>
          <w:szCs w:val="22"/>
        </w:rPr>
        <w:t>1</w:t>
      </w:r>
      <w:r>
        <w:rPr>
          <w:spacing w:val="-2"/>
          <w:szCs w:val="22"/>
        </w:rPr>
        <w:t>4</w:t>
      </w:r>
      <w:r w:rsidRPr="007521D5">
        <w:rPr>
          <w:spacing w:val="-2"/>
          <w:szCs w:val="22"/>
        </w:rPr>
        <w:t>.</w:t>
      </w:r>
      <w:r w:rsidRPr="007521D5">
        <w:rPr>
          <w:spacing w:val="-2"/>
          <w:szCs w:val="22"/>
        </w:rPr>
        <w:tab/>
      </w:r>
      <w:r w:rsidRPr="00CE14D5">
        <w:rPr>
          <w:b/>
          <w:spacing w:val="-2"/>
          <w:szCs w:val="22"/>
        </w:rPr>
        <w:t>Local Resellers</w:t>
      </w:r>
      <w:r w:rsidRPr="007521D5">
        <w:rPr>
          <w:spacing w:val="-2"/>
          <w:szCs w:val="22"/>
        </w:rPr>
        <w:t>.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136"/>
      </w:r>
      <w:r w:rsidRPr="007521D5">
        <w:rPr>
          <w:spacing w:val="-2"/>
          <w:szCs w:val="22"/>
        </w:rPr>
        <w:t xml:space="preserve">   Census data for 2007 show that 1,523 firms provided resale services during that year.  Of that number, 1,522 operated with fewer than 1000 employees and one operated with more than 1,000.</w:t>
      </w:r>
      <w:r>
        <w:rPr>
          <w:rStyle w:val="FootnoteReference"/>
          <w:spacing w:val="-2"/>
          <w:szCs w:val="22"/>
        </w:rPr>
        <w:footnoteReference w:id="137"/>
      </w:r>
      <w:r>
        <w:rPr>
          <w:spacing w:val="-2"/>
          <w:szCs w:val="22"/>
        </w:rPr>
        <w:t xml:space="preserve">  U</w:t>
      </w:r>
      <w:r w:rsidRPr="007521D5">
        <w:rPr>
          <w:spacing w:val="-2"/>
          <w:szCs w:val="22"/>
        </w:rPr>
        <w:t>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pacing w:val="-2"/>
          <w:szCs w:val="22"/>
        </w:rPr>
        <w:footnoteReference w:id="138"/>
      </w:r>
      <w:r w:rsidRPr="007521D5">
        <w:rPr>
          <w:spacing w:val="-2"/>
          <w:szCs w:val="22"/>
        </w:rPr>
        <w:t xml:space="preserve">   Of th</w:t>
      </w:r>
      <w:r w:rsidR="003934FF">
        <w:rPr>
          <w:spacing w:val="-2"/>
          <w:szCs w:val="22"/>
        </w:rPr>
        <w:t>is total</w:t>
      </w:r>
      <w:r w:rsidRPr="007521D5">
        <w:rPr>
          <w:spacing w:val="-2"/>
          <w:szCs w:val="22"/>
        </w:rPr>
        <w:t>, an estimated 211 have 1,500 or fewer employees and two have more than 1,500 employees.</w:t>
      </w:r>
      <w:r>
        <w:rPr>
          <w:rStyle w:val="FootnoteReference"/>
          <w:spacing w:val="-2"/>
          <w:szCs w:val="22"/>
        </w:rPr>
        <w:footnoteReference w:id="139"/>
      </w:r>
      <w:r w:rsidRPr="007521D5">
        <w:rPr>
          <w:spacing w:val="-2"/>
          <w:szCs w:val="22"/>
        </w:rPr>
        <w:t xml:space="preserve">   Consequently, the Commission estimates that the majority of local resellers are small entities that may be affected by rules adopted pursuant to the </w:t>
      </w:r>
      <w:r>
        <w:rPr>
          <w:spacing w:val="-2"/>
          <w:szCs w:val="22"/>
        </w:rPr>
        <w:t xml:space="preserve">proposals in this </w:t>
      </w:r>
      <w:r w:rsidR="00432E28" w:rsidRPr="00432E28">
        <w:rPr>
          <w:i/>
          <w:spacing w:val="-2"/>
          <w:szCs w:val="22"/>
        </w:rPr>
        <w:t>FNPRM</w:t>
      </w:r>
      <w:r w:rsidRPr="007521D5">
        <w:rPr>
          <w:spacing w:val="-2"/>
          <w:szCs w:val="22"/>
        </w:rPr>
        <w:t xml:space="preserve">. </w:t>
      </w:r>
    </w:p>
    <w:p w:rsidR="00392EF0" w:rsidRPr="007521D5"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sidRPr="007521D5">
        <w:rPr>
          <w:spacing w:val="-2"/>
          <w:szCs w:val="22"/>
        </w:rPr>
        <w:t>1</w:t>
      </w:r>
      <w:r>
        <w:rPr>
          <w:spacing w:val="-2"/>
          <w:szCs w:val="22"/>
        </w:rPr>
        <w:t>5</w:t>
      </w:r>
      <w:r w:rsidRPr="007521D5">
        <w:rPr>
          <w:spacing w:val="-2"/>
          <w:szCs w:val="22"/>
        </w:rPr>
        <w:t>.</w:t>
      </w:r>
      <w:r w:rsidRPr="007521D5">
        <w:rPr>
          <w:spacing w:val="-2"/>
          <w:szCs w:val="22"/>
        </w:rPr>
        <w:tab/>
      </w:r>
      <w:r w:rsidRPr="00D96FF2">
        <w:rPr>
          <w:b/>
          <w:spacing w:val="-2"/>
          <w:szCs w:val="22"/>
        </w:rPr>
        <w:t>Toll Resellers</w:t>
      </w:r>
      <w:r w:rsidRPr="007521D5">
        <w:rPr>
          <w:spacing w:val="-2"/>
          <w:szCs w:val="22"/>
        </w:rPr>
        <w:t>.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140"/>
      </w:r>
      <w:r w:rsidRPr="007521D5">
        <w:rPr>
          <w:spacing w:val="-2"/>
          <w:szCs w:val="22"/>
        </w:rPr>
        <w:t xml:space="preserve">   Census data for 2007 show that 1,523 firms provided resale services during that year.  Of that number, 1,522 operated with fewer than 1,000 employees and one operated with more than 1,000.</w:t>
      </w:r>
      <w:r>
        <w:rPr>
          <w:rStyle w:val="FootnoteReference"/>
          <w:spacing w:val="-2"/>
          <w:szCs w:val="22"/>
        </w:rPr>
        <w:footnoteReference w:id="141"/>
      </w:r>
      <w:r w:rsidRPr="007521D5">
        <w:rPr>
          <w:spacing w:val="-2"/>
          <w:szCs w:val="22"/>
        </w:rPr>
        <w:t xml:space="preserve">  Thus</w:t>
      </w:r>
      <w:r>
        <w:rPr>
          <w:spacing w:val="-2"/>
          <w:szCs w:val="22"/>
        </w:rPr>
        <w:t>,</w:t>
      </w:r>
      <w:r w:rsidRPr="007521D5">
        <w:rPr>
          <w:spacing w:val="-2"/>
          <w:szCs w:val="22"/>
        </w:rPr>
        <w:t xml:space="preserve"> under this category and the associated small business size standard, the majority of these resellers can be considered small entities.</w:t>
      </w:r>
      <w:r>
        <w:rPr>
          <w:spacing w:val="-2"/>
          <w:szCs w:val="22"/>
        </w:rPr>
        <w:t xml:space="preserve">  According to Commission data,</w:t>
      </w:r>
      <w:r w:rsidRPr="007521D5">
        <w:rPr>
          <w:spacing w:val="-2"/>
          <w:szCs w:val="22"/>
        </w:rPr>
        <w:t xml:space="preserve"> 881 carriers have reported that they are engaged in the provision of toll resale services.</w:t>
      </w:r>
      <w:r>
        <w:rPr>
          <w:rStyle w:val="FootnoteReference"/>
          <w:spacing w:val="-2"/>
          <w:szCs w:val="22"/>
        </w:rPr>
        <w:footnoteReference w:id="142"/>
      </w:r>
      <w:r w:rsidRPr="007521D5">
        <w:rPr>
          <w:spacing w:val="-2"/>
          <w:szCs w:val="22"/>
        </w:rPr>
        <w:t xml:space="preserve">  Of th</w:t>
      </w:r>
      <w:r w:rsidR="003934FF">
        <w:rPr>
          <w:spacing w:val="-2"/>
          <w:szCs w:val="22"/>
        </w:rPr>
        <w:t>is total</w:t>
      </w:r>
      <w:r w:rsidRPr="007521D5">
        <w:rPr>
          <w:spacing w:val="-2"/>
          <w:szCs w:val="22"/>
        </w:rPr>
        <w:t>, an estimated 857 have 1,500 or fewer employees and 24 have more than 1,500 employees.</w:t>
      </w:r>
      <w:r>
        <w:rPr>
          <w:rStyle w:val="FootnoteReference"/>
          <w:spacing w:val="-2"/>
          <w:szCs w:val="22"/>
        </w:rPr>
        <w:footnoteReference w:id="143"/>
      </w:r>
      <w:r w:rsidRPr="007521D5">
        <w:rPr>
          <w:spacing w:val="-2"/>
          <w:szCs w:val="22"/>
        </w:rPr>
        <w:t xml:space="preserve">  Consequently, the Commission estimates that the majority of toll resellers are small entities that may </w:t>
      </w:r>
      <w:r>
        <w:rPr>
          <w:spacing w:val="-2"/>
          <w:szCs w:val="22"/>
        </w:rPr>
        <w:t xml:space="preserve">be affected by our proposals in the </w:t>
      </w:r>
      <w:r w:rsidR="00432E28" w:rsidRPr="00432E28">
        <w:rPr>
          <w:i/>
          <w:spacing w:val="-2"/>
          <w:szCs w:val="22"/>
        </w:rPr>
        <w:t>FNPRM</w:t>
      </w:r>
      <w:r w:rsidRPr="007521D5">
        <w:rPr>
          <w:spacing w:val="-2"/>
          <w:szCs w:val="22"/>
        </w:rPr>
        <w:t>.</w:t>
      </w:r>
    </w:p>
    <w:p w:rsidR="00392EF0"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Pr>
          <w:spacing w:val="-2"/>
          <w:szCs w:val="22"/>
        </w:rPr>
        <w:t>16.</w:t>
      </w:r>
      <w:r>
        <w:rPr>
          <w:spacing w:val="-2"/>
          <w:szCs w:val="22"/>
        </w:rPr>
        <w:tab/>
      </w:r>
      <w:r w:rsidRPr="009C04AC">
        <w:rPr>
          <w:b/>
          <w:spacing w:val="-2"/>
          <w:szCs w:val="22"/>
        </w:rPr>
        <w:t>Other Toll Carriers.</w:t>
      </w:r>
      <w:r w:rsidRPr="00CD1070">
        <w:rPr>
          <w:spacing w:val="-2"/>
          <w:szCs w:val="22"/>
        </w:rPr>
        <w:t xml:space="preserve"> </w:t>
      </w:r>
      <w:r>
        <w:rPr>
          <w:spacing w:val="-2"/>
          <w:szCs w:val="22"/>
        </w:rPr>
        <w:t xml:space="preserve"> </w:t>
      </w:r>
      <w:r w:rsidRPr="00CD1070">
        <w:rPr>
          <w:spacing w:val="-2"/>
          <w:szCs w:val="22"/>
        </w:rPr>
        <w:t>Neither the Commission nor the SBA has developed a size</w:t>
      </w:r>
      <w:r>
        <w:rPr>
          <w:spacing w:val="-2"/>
          <w:szCs w:val="22"/>
        </w:rPr>
        <w:t xml:space="preserve"> </w:t>
      </w:r>
      <w:r w:rsidRPr="00CD1070">
        <w:rPr>
          <w:spacing w:val="-2"/>
          <w:szCs w:val="22"/>
        </w:rPr>
        <w:t>standard for small businesses specifically applicable to Other Toll Carriers. This category includes toll</w:t>
      </w:r>
      <w:r>
        <w:rPr>
          <w:spacing w:val="-2"/>
          <w:szCs w:val="22"/>
        </w:rPr>
        <w:t xml:space="preserve"> </w:t>
      </w:r>
      <w:r w:rsidRPr="00CD1070">
        <w:rPr>
          <w:spacing w:val="-2"/>
          <w:szCs w:val="22"/>
        </w:rPr>
        <w:t>carriers that do not fall within the categories of interexchange carriers, operator service providers, prepaid</w:t>
      </w:r>
      <w:r>
        <w:rPr>
          <w:spacing w:val="-2"/>
          <w:szCs w:val="22"/>
        </w:rPr>
        <w:t xml:space="preserve"> </w:t>
      </w:r>
      <w:r w:rsidRPr="00CD1070">
        <w:rPr>
          <w:spacing w:val="-2"/>
          <w:szCs w:val="22"/>
        </w:rPr>
        <w:t>calling card providers, satellite service carriers, or toll resellers. The closest applicable size standard</w:t>
      </w:r>
      <w:r>
        <w:rPr>
          <w:spacing w:val="-2"/>
          <w:szCs w:val="22"/>
        </w:rPr>
        <w:t xml:space="preserve"> </w:t>
      </w:r>
      <w:r w:rsidRPr="00CD1070">
        <w:rPr>
          <w:spacing w:val="-2"/>
          <w:szCs w:val="22"/>
        </w:rPr>
        <w:t>under SBA rules is for Wired Telecommunications Carriers. Under that size standard, such a business is</w:t>
      </w:r>
      <w:r>
        <w:rPr>
          <w:spacing w:val="-2"/>
          <w:szCs w:val="22"/>
        </w:rPr>
        <w:t xml:space="preserve"> </w:t>
      </w:r>
      <w:r w:rsidRPr="00CD1070">
        <w:rPr>
          <w:spacing w:val="-2"/>
          <w:szCs w:val="22"/>
        </w:rPr>
        <w:t xml:space="preserve">small if it </w:t>
      </w:r>
      <w:r>
        <w:rPr>
          <w:spacing w:val="-2"/>
          <w:szCs w:val="22"/>
        </w:rPr>
        <w:t>has 1,500 or fewer employees.</w:t>
      </w:r>
      <w:r>
        <w:rPr>
          <w:rStyle w:val="FootnoteReference"/>
          <w:spacing w:val="-2"/>
          <w:szCs w:val="22"/>
        </w:rPr>
        <w:footnoteReference w:id="144"/>
      </w:r>
      <w:r>
        <w:rPr>
          <w:spacing w:val="-2"/>
          <w:szCs w:val="22"/>
        </w:rPr>
        <w:t xml:space="preserve">  </w:t>
      </w:r>
      <w:r w:rsidRPr="00CD1070">
        <w:rPr>
          <w:spacing w:val="-2"/>
          <w:szCs w:val="22"/>
        </w:rPr>
        <w:t>Census data for 2007 shows that there were 31,996</w:t>
      </w:r>
      <w:r>
        <w:rPr>
          <w:spacing w:val="-2"/>
          <w:szCs w:val="22"/>
        </w:rPr>
        <w:t xml:space="preserve"> </w:t>
      </w:r>
      <w:r w:rsidRPr="00CD1070">
        <w:rPr>
          <w:spacing w:val="-2"/>
          <w:szCs w:val="22"/>
        </w:rPr>
        <w:t xml:space="preserve">establishments that operated that year. </w:t>
      </w:r>
      <w:r>
        <w:rPr>
          <w:spacing w:val="-2"/>
          <w:szCs w:val="22"/>
        </w:rPr>
        <w:t xml:space="preserve"> </w:t>
      </w:r>
      <w:r w:rsidRPr="00CD1070">
        <w:rPr>
          <w:spacing w:val="-2"/>
          <w:szCs w:val="22"/>
        </w:rPr>
        <w:t>Of th</w:t>
      </w:r>
      <w:r w:rsidR="0069039C">
        <w:rPr>
          <w:spacing w:val="-2"/>
          <w:szCs w:val="22"/>
        </w:rPr>
        <w:t>is total</w:t>
      </w:r>
      <w:r w:rsidRPr="00CD1070">
        <w:rPr>
          <w:spacing w:val="-2"/>
          <w:szCs w:val="22"/>
        </w:rPr>
        <w:t>, 1,818 operated with more than 100 employees,</w:t>
      </w:r>
      <w:r>
        <w:rPr>
          <w:spacing w:val="-2"/>
          <w:szCs w:val="22"/>
        </w:rPr>
        <w:t xml:space="preserve"> </w:t>
      </w:r>
      <w:r w:rsidRPr="00CD1070">
        <w:rPr>
          <w:spacing w:val="-2"/>
          <w:szCs w:val="22"/>
        </w:rPr>
        <w:t>and 30,178 operated with fewer than 100 employees.</w:t>
      </w:r>
      <w:r>
        <w:rPr>
          <w:rStyle w:val="FootnoteReference"/>
          <w:spacing w:val="-2"/>
          <w:szCs w:val="22"/>
        </w:rPr>
        <w:footnoteReference w:id="145"/>
      </w:r>
      <w:r>
        <w:rPr>
          <w:spacing w:val="-2"/>
          <w:szCs w:val="22"/>
        </w:rPr>
        <w:t xml:space="preserve">  </w:t>
      </w:r>
      <w:r w:rsidRPr="00CD1070">
        <w:rPr>
          <w:spacing w:val="-2"/>
          <w:szCs w:val="22"/>
        </w:rPr>
        <w:t>Thus, under this category and the associated</w:t>
      </w:r>
      <w:r>
        <w:rPr>
          <w:spacing w:val="-2"/>
          <w:szCs w:val="22"/>
        </w:rPr>
        <w:t xml:space="preserve"> </w:t>
      </w:r>
      <w:r w:rsidRPr="00CD1070">
        <w:rPr>
          <w:spacing w:val="-2"/>
          <w:szCs w:val="22"/>
        </w:rPr>
        <w:t xml:space="preserve">small business size standard, the majority of Other Toll Carriers can be considered small. </w:t>
      </w:r>
      <w:r>
        <w:rPr>
          <w:spacing w:val="-2"/>
          <w:szCs w:val="22"/>
        </w:rPr>
        <w:t xml:space="preserve"> </w:t>
      </w:r>
      <w:r w:rsidRPr="00CD1070">
        <w:rPr>
          <w:spacing w:val="-2"/>
          <w:szCs w:val="22"/>
        </w:rPr>
        <w:t>According to</w:t>
      </w:r>
      <w:r>
        <w:rPr>
          <w:spacing w:val="-2"/>
          <w:szCs w:val="22"/>
        </w:rPr>
        <w:t xml:space="preserve"> </w:t>
      </w:r>
      <w:r w:rsidRPr="00CD1070">
        <w:rPr>
          <w:spacing w:val="-2"/>
          <w:szCs w:val="22"/>
        </w:rPr>
        <w:t>Commission data, 284 companies reported that their primary telecommunications service activity was the</w:t>
      </w:r>
      <w:r>
        <w:rPr>
          <w:spacing w:val="-2"/>
          <w:szCs w:val="22"/>
        </w:rPr>
        <w:t xml:space="preserve"> </w:t>
      </w:r>
      <w:r w:rsidRPr="00CD1070">
        <w:rPr>
          <w:spacing w:val="-2"/>
          <w:szCs w:val="22"/>
        </w:rPr>
        <w:t>prov</w:t>
      </w:r>
      <w:r>
        <w:rPr>
          <w:spacing w:val="-2"/>
          <w:szCs w:val="22"/>
        </w:rPr>
        <w:t>ision of other toll carriage.</w:t>
      </w:r>
      <w:r>
        <w:rPr>
          <w:rStyle w:val="FootnoteReference"/>
          <w:spacing w:val="-2"/>
          <w:szCs w:val="22"/>
        </w:rPr>
        <w:footnoteReference w:id="146"/>
      </w:r>
      <w:r>
        <w:rPr>
          <w:spacing w:val="-2"/>
          <w:szCs w:val="22"/>
        </w:rPr>
        <w:t xml:space="preserve">  </w:t>
      </w:r>
      <w:r w:rsidRPr="00CD1070">
        <w:rPr>
          <w:spacing w:val="-2"/>
          <w:szCs w:val="22"/>
        </w:rPr>
        <w:t>Of these, an estimated 279 have 1,500 or fewer employees and five</w:t>
      </w:r>
      <w:r>
        <w:rPr>
          <w:spacing w:val="-2"/>
          <w:szCs w:val="22"/>
        </w:rPr>
        <w:t xml:space="preserve"> </w:t>
      </w:r>
      <w:r w:rsidRPr="00CD1070">
        <w:rPr>
          <w:spacing w:val="-2"/>
          <w:szCs w:val="22"/>
        </w:rPr>
        <w:t>ha</w:t>
      </w:r>
      <w:r>
        <w:rPr>
          <w:spacing w:val="-2"/>
          <w:szCs w:val="22"/>
        </w:rPr>
        <w:t>ve more than 1,500 employees.</w:t>
      </w:r>
      <w:r>
        <w:rPr>
          <w:rStyle w:val="FootnoteReference"/>
          <w:spacing w:val="-2"/>
          <w:szCs w:val="22"/>
        </w:rPr>
        <w:footnoteReference w:id="147"/>
      </w:r>
      <w:r>
        <w:rPr>
          <w:spacing w:val="-2"/>
          <w:szCs w:val="22"/>
        </w:rPr>
        <w:t xml:space="preserve">  </w:t>
      </w:r>
      <w:r w:rsidRPr="00CD1070">
        <w:rPr>
          <w:spacing w:val="-2"/>
          <w:szCs w:val="22"/>
        </w:rPr>
        <w:t>Consequently, the Commission estimates that most Other Toll</w:t>
      </w:r>
      <w:r>
        <w:rPr>
          <w:spacing w:val="-2"/>
          <w:szCs w:val="22"/>
        </w:rPr>
        <w:t xml:space="preserve"> </w:t>
      </w:r>
      <w:r w:rsidRPr="00CD1070">
        <w:rPr>
          <w:spacing w:val="-2"/>
          <w:szCs w:val="22"/>
        </w:rPr>
        <w:t>Carriers are small entities that may be affected by the rules and polic</w:t>
      </w:r>
      <w:r>
        <w:rPr>
          <w:spacing w:val="-2"/>
          <w:szCs w:val="22"/>
        </w:rPr>
        <w:t xml:space="preserve">ies adopted pursuant to the </w:t>
      </w:r>
      <w:r w:rsidR="00A3010E" w:rsidRPr="00432E28">
        <w:rPr>
          <w:i/>
          <w:spacing w:val="-2"/>
          <w:szCs w:val="22"/>
        </w:rPr>
        <w:t>FNPRM</w:t>
      </w:r>
      <w:r w:rsidRPr="00CD1070">
        <w:rPr>
          <w:spacing w:val="-2"/>
          <w:szCs w:val="22"/>
        </w:rPr>
        <w:t>.</w:t>
      </w:r>
    </w:p>
    <w:p w:rsidR="00392EF0"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Pr>
          <w:spacing w:val="-2"/>
          <w:szCs w:val="22"/>
        </w:rPr>
        <w:t>17.</w:t>
      </w:r>
      <w:r>
        <w:rPr>
          <w:spacing w:val="-2"/>
          <w:szCs w:val="22"/>
        </w:rPr>
        <w:tab/>
      </w:r>
      <w:r w:rsidRPr="00A50BC3">
        <w:rPr>
          <w:b/>
          <w:spacing w:val="-2"/>
          <w:szCs w:val="22"/>
        </w:rPr>
        <w:t xml:space="preserve">Wireless Telecommunications Carriers (except </w:t>
      </w:r>
      <w:r>
        <w:rPr>
          <w:b/>
          <w:spacing w:val="-2"/>
          <w:szCs w:val="22"/>
        </w:rPr>
        <w:t>S</w:t>
      </w:r>
      <w:r w:rsidRPr="00A50BC3">
        <w:rPr>
          <w:b/>
          <w:spacing w:val="-2"/>
          <w:szCs w:val="22"/>
        </w:rPr>
        <w:t>atellite).</w:t>
      </w:r>
      <w:r w:rsidRPr="00A50BC3">
        <w:rPr>
          <w:spacing w:val="-2"/>
          <w:szCs w:val="22"/>
        </w:rPr>
        <w:t xml:space="preserve">  </w:t>
      </w:r>
      <w:r w:rsidRPr="00A9716B">
        <w:rPr>
          <w:spacing w:val="-2"/>
          <w:szCs w:val="22"/>
        </w:rPr>
        <w:t>Since 2007, the SBA has</w:t>
      </w:r>
      <w:r>
        <w:rPr>
          <w:spacing w:val="-2"/>
          <w:szCs w:val="22"/>
        </w:rPr>
        <w:t xml:space="preserve"> </w:t>
      </w:r>
      <w:r w:rsidRPr="00A9716B">
        <w:rPr>
          <w:spacing w:val="-2"/>
          <w:szCs w:val="22"/>
        </w:rPr>
        <w:t>recognized wireless firms within this new, bro</w:t>
      </w:r>
      <w:r>
        <w:rPr>
          <w:spacing w:val="-2"/>
          <w:szCs w:val="22"/>
        </w:rPr>
        <w:t>ad, economic census category.</w:t>
      </w:r>
      <w:r>
        <w:rPr>
          <w:rStyle w:val="FootnoteReference"/>
          <w:spacing w:val="-2"/>
          <w:szCs w:val="22"/>
        </w:rPr>
        <w:footnoteReference w:id="148"/>
      </w:r>
      <w:r>
        <w:rPr>
          <w:spacing w:val="-2"/>
          <w:szCs w:val="22"/>
        </w:rPr>
        <w:t xml:space="preserve">  </w:t>
      </w:r>
      <w:r w:rsidRPr="00A9716B">
        <w:rPr>
          <w:spacing w:val="-2"/>
          <w:szCs w:val="22"/>
        </w:rPr>
        <w:t>Prior to that time, such</w:t>
      </w:r>
      <w:r>
        <w:rPr>
          <w:spacing w:val="-2"/>
          <w:szCs w:val="22"/>
        </w:rPr>
        <w:t xml:space="preserve"> </w:t>
      </w:r>
      <w:r w:rsidRPr="00A9716B">
        <w:rPr>
          <w:spacing w:val="-2"/>
          <w:szCs w:val="22"/>
        </w:rPr>
        <w:t>firms were within the now-superseded categories of Paging and Cellular and Other Wireless</w:t>
      </w:r>
      <w:r>
        <w:rPr>
          <w:spacing w:val="-2"/>
          <w:szCs w:val="22"/>
        </w:rPr>
        <w:t xml:space="preserve">  T</w:t>
      </w:r>
      <w:r w:rsidRPr="00A9716B">
        <w:rPr>
          <w:spacing w:val="-2"/>
          <w:szCs w:val="22"/>
        </w:rPr>
        <w:t>elecommunications.</w:t>
      </w:r>
      <w:r>
        <w:rPr>
          <w:rStyle w:val="FootnoteReference"/>
          <w:spacing w:val="-2"/>
          <w:szCs w:val="22"/>
        </w:rPr>
        <w:footnoteReference w:id="149"/>
      </w:r>
      <w:r>
        <w:rPr>
          <w:spacing w:val="-2"/>
          <w:szCs w:val="22"/>
        </w:rPr>
        <w:t xml:space="preserve">  </w:t>
      </w:r>
      <w:r w:rsidRPr="00A9716B">
        <w:rPr>
          <w:spacing w:val="-2"/>
          <w:szCs w:val="22"/>
        </w:rPr>
        <w:t>Under the present and prior categories, the SBA has deemed a wireless business</w:t>
      </w:r>
      <w:r>
        <w:rPr>
          <w:spacing w:val="-2"/>
          <w:szCs w:val="22"/>
        </w:rPr>
        <w:t xml:space="preserve"> </w:t>
      </w:r>
      <w:r w:rsidRPr="00A9716B">
        <w:rPr>
          <w:spacing w:val="-2"/>
          <w:szCs w:val="22"/>
        </w:rPr>
        <w:t>to be small if it has 1,500 or fewer employees.</w:t>
      </w:r>
      <w:r>
        <w:rPr>
          <w:rStyle w:val="FootnoteReference"/>
          <w:spacing w:val="-2"/>
          <w:szCs w:val="22"/>
        </w:rPr>
        <w:footnoteReference w:id="150"/>
      </w:r>
      <w:r>
        <w:rPr>
          <w:spacing w:val="-2"/>
          <w:szCs w:val="22"/>
        </w:rPr>
        <w:t xml:space="preserve">  </w:t>
      </w:r>
      <w:r w:rsidRPr="00A9716B">
        <w:rPr>
          <w:spacing w:val="-2"/>
          <w:szCs w:val="22"/>
        </w:rPr>
        <w:t>For this category, census data for 2007 show that there</w:t>
      </w:r>
      <w:r>
        <w:rPr>
          <w:spacing w:val="-2"/>
          <w:szCs w:val="22"/>
        </w:rPr>
        <w:t xml:space="preserve"> </w:t>
      </w:r>
      <w:r w:rsidRPr="00A9716B">
        <w:rPr>
          <w:spacing w:val="-2"/>
          <w:szCs w:val="22"/>
        </w:rPr>
        <w:t xml:space="preserve">were 11,163 establishments that </w:t>
      </w:r>
      <w:r>
        <w:rPr>
          <w:spacing w:val="-2"/>
          <w:szCs w:val="22"/>
        </w:rPr>
        <w:t>operated for the entire year.</w:t>
      </w:r>
      <w:r>
        <w:rPr>
          <w:rStyle w:val="FootnoteReference"/>
          <w:spacing w:val="-2"/>
          <w:szCs w:val="22"/>
        </w:rPr>
        <w:footnoteReference w:id="151"/>
      </w:r>
      <w:r>
        <w:rPr>
          <w:spacing w:val="-2"/>
          <w:szCs w:val="22"/>
        </w:rPr>
        <w:t xml:space="preserve">  </w:t>
      </w:r>
      <w:r w:rsidRPr="00A9716B">
        <w:rPr>
          <w:spacing w:val="-2"/>
          <w:szCs w:val="22"/>
        </w:rPr>
        <w:t>Of this total, 10,791 establishments had</w:t>
      </w:r>
      <w:r>
        <w:rPr>
          <w:spacing w:val="-2"/>
          <w:szCs w:val="22"/>
        </w:rPr>
        <w:t xml:space="preserve"> </w:t>
      </w:r>
      <w:r w:rsidRPr="00A9716B">
        <w:rPr>
          <w:spacing w:val="-2"/>
          <w:szCs w:val="22"/>
        </w:rPr>
        <w:t>employment of 999 or fewer employees and 372 had employment of 1000 employees or more.</w:t>
      </w:r>
      <w:r>
        <w:rPr>
          <w:rStyle w:val="FootnoteReference"/>
          <w:spacing w:val="-2"/>
          <w:szCs w:val="22"/>
        </w:rPr>
        <w:footnoteReference w:id="152"/>
      </w:r>
      <w:r>
        <w:rPr>
          <w:spacing w:val="-2"/>
          <w:szCs w:val="22"/>
        </w:rPr>
        <w:t xml:space="preserve">  </w:t>
      </w:r>
      <w:r w:rsidRPr="004740E3">
        <w:rPr>
          <w:spacing w:val="-2"/>
          <w:szCs w:val="22"/>
        </w:rPr>
        <w:t>Thus,</w:t>
      </w:r>
      <w:r w:rsidRPr="004740E3">
        <w:rPr>
          <w:szCs w:val="22"/>
        </w:rPr>
        <w:t xml:space="preserve"> under this category and the associated small business size standard, the Commission estimates that the m</w:t>
      </w:r>
      <w:r w:rsidRPr="004740E3">
        <w:rPr>
          <w:spacing w:val="-2"/>
          <w:szCs w:val="22"/>
        </w:rPr>
        <w:t>ajority of wireless telecommunications carriers (except satellite) are small entities that may be affected by our proposed action.</w:t>
      </w:r>
    </w:p>
    <w:p w:rsidR="00392EF0"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Pr>
          <w:spacing w:val="-2"/>
          <w:szCs w:val="22"/>
        </w:rPr>
        <w:t>18.</w:t>
      </w:r>
      <w:r>
        <w:rPr>
          <w:spacing w:val="-2"/>
          <w:szCs w:val="22"/>
        </w:rPr>
        <w:tab/>
      </w:r>
      <w:r w:rsidRPr="004740E3">
        <w:rPr>
          <w:spacing w:val="-2"/>
          <w:szCs w:val="22"/>
        </w:rPr>
        <w:t>Similarly, according to Commission data, 413 carriers reported</w:t>
      </w:r>
      <w:r w:rsidRPr="00A9716B">
        <w:rPr>
          <w:spacing w:val="-2"/>
          <w:szCs w:val="22"/>
        </w:rPr>
        <w:t xml:space="preserve"> that they were engaged in</w:t>
      </w:r>
      <w:r>
        <w:rPr>
          <w:spacing w:val="-2"/>
          <w:szCs w:val="22"/>
        </w:rPr>
        <w:t xml:space="preserve"> </w:t>
      </w:r>
      <w:r w:rsidRPr="00A9716B">
        <w:rPr>
          <w:spacing w:val="-2"/>
          <w:szCs w:val="22"/>
        </w:rPr>
        <w:t>the provision of wireless telephony, including cellular service, Personal Communications Service (PCS),</w:t>
      </w:r>
      <w:r>
        <w:rPr>
          <w:spacing w:val="-2"/>
          <w:szCs w:val="22"/>
        </w:rPr>
        <w:t xml:space="preserve"> </w:t>
      </w:r>
      <w:r w:rsidRPr="00A9716B">
        <w:rPr>
          <w:spacing w:val="-2"/>
          <w:szCs w:val="22"/>
        </w:rPr>
        <w:t>and Specialized Mobile Radio (SMR) Telephony services.</w:t>
      </w:r>
      <w:r>
        <w:rPr>
          <w:rStyle w:val="FootnoteReference"/>
          <w:spacing w:val="-2"/>
          <w:szCs w:val="22"/>
        </w:rPr>
        <w:footnoteReference w:id="153"/>
      </w:r>
      <w:r>
        <w:rPr>
          <w:spacing w:val="-2"/>
          <w:szCs w:val="22"/>
        </w:rPr>
        <w:t xml:space="preserve">  </w:t>
      </w:r>
      <w:r w:rsidRPr="00A9716B">
        <w:rPr>
          <w:spacing w:val="-2"/>
          <w:szCs w:val="22"/>
        </w:rPr>
        <w:t>Of th</w:t>
      </w:r>
      <w:r w:rsidR="003934FF">
        <w:rPr>
          <w:spacing w:val="-2"/>
          <w:szCs w:val="22"/>
        </w:rPr>
        <w:t>is total</w:t>
      </w:r>
      <w:r w:rsidRPr="00A9716B">
        <w:rPr>
          <w:spacing w:val="-2"/>
          <w:szCs w:val="22"/>
        </w:rPr>
        <w:t>, an estimated 261 have 1,500 or</w:t>
      </w:r>
      <w:r>
        <w:rPr>
          <w:spacing w:val="-2"/>
          <w:szCs w:val="22"/>
        </w:rPr>
        <w:t xml:space="preserve"> </w:t>
      </w:r>
      <w:r w:rsidRPr="00A9716B">
        <w:rPr>
          <w:spacing w:val="-2"/>
          <w:szCs w:val="22"/>
        </w:rPr>
        <w:t>fewer employees and 152 ha</w:t>
      </w:r>
      <w:r>
        <w:rPr>
          <w:spacing w:val="-2"/>
          <w:szCs w:val="22"/>
        </w:rPr>
        <w:t>ve more than 1,500 employees.</w:t>
      </w:r>
      <w:r>
        <w:rPr>
          <w:rStyle w:val="FootnoteReference"/>
          <w:spacing w:val="-2"/>
          <w:szCs w:val="22"/>
        </w:rPr>
        <w:footnoteReference w:id="154"/>
      </w:r>
      <w:r>
        <w:rPr>
          <w:spacing w:val="-2"/>
          <w:szCs w:val="22"/>
        </w:rPr>
        <w:t xml:space="preserve">  </w:t>
      </w:r>
      <w:r w:rsidRPr="00A9716B">
        <w:rPr>
          <w:spacing w:val="-2"/>
          <w:szCs w:val="22"/>
        </w:rPr>
        <w:t>Consequently, the Commission estimates</w:t>
      </w:r>
      <w:r>
        <w:rPr>
          <w:spacing w:val="-2"/>
          <w:szCs w:val="22"/>
        </w:rPr>
        <w:t xml:space="preserve"> </w:t>
      </w:r>
      <w:r w:rsidRPr="00A9716B">
        <w:rPr>
          <w:spacing w:val="-2"/>
          <w:szCs w:val="22"/>
        </w:rPr>
        <w:t>that approximately half or more of these firms can be considered small. Thus, using available data, we</w:t>
      </w:r>
      <w:r>
        <w:rPr>
          <w:spacing w:val="-2"/>
          <w:szCs w:val="22"/>
        </w:rPr>
        <w:t xml:space="preserve"> </w:t>
      </w:r>
      <w:r w:rsidRPr="00A9716B">
        <w:rPr>
          <w:spacing w:val="-2"/>
          <w:szCs w:val="22"/>
        </w:rPr>
        <w:t>estimate that the majority of wireless firms can be considered small.</w:t>
      </w:r>
    </w:p>
    <w:p w:rsidR="00392EF0"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Pr>
          <w:spacing w:val="-2"/>
          <w:szCs w:val="22"/>
        </w:rPr>
        <w:t>19.</w:t>
      </w:r>
      <w:r>
        <w:rPr>
          <w:spacing w:val="-2"/>
          <w:szCs w:val="22"/>
        </w:rPr>
        <w:tab/>
      </w:r>
      <w:r w:rsidRPr="0065680B">
        <w:rPr>
          <w:b/>
          <w:spacing w:val="-2"/>
          <w:szCs w:val="22"/>
        </w:rPr>
        <w:t>Cable Television and other Program Distribution</w:t>
      </w:r>
      <w:r w:rsidRPr="0065680B">
        <w:rPr>
          <w:spacing w:val="-2"/>
          <w:szCs w:val="22"/>
        </w:rP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pacing w:val="-2"/>
          <w:szCs w:val="22"/>
        </w:rPr>
        <w:footnoteReference w:id="155"/>
      </w:r>
      <w:r>
        <w:rPr>
          <w:spacing w:val="-2"/>
          <w:szCs w:val="22"/>
        </w:rPr>
        <w:t xml:space="preserve">  </w:t>
      </w:r>
      <w:r w:rsidRPr="0065680B">
        <w:rPr>
          <w:spacing w:val="-2"/>
          <w:szCs w:val="22"/>
        </w:rPr>
        <w:t>The SBA has developed a small business size standard for this category, which is:  all such firms having 1,500 or fewer employees.</w:t>
      </w:r>
      <w:r>
        <w:rPr>
          <w:rStyle w:val="FootnoteReference"/>
          <w:spacing w:val="-2"/>
          <w:szCs w:val="22"/>
        </w:rPr>
        <w:footnoteReference w:id="156"/>
      </w:r>
      <w:r w:rsidRPr="0065680B">
        <w:rPr>
          <w:spacing w:val="-2"/>
          <w:szCs w:val="22"/>
        </w:rPr>
        <w:t xml:space="preserve">  Census data for 2007 shows that there were </w:t>
      </w:r>
      <w:r>
        <w:rPr>
          <w:spacing w:val="-2"/>
          <w:szCs w:val="22"/>
        </w:rPr>
        <w:t xml:space="preserve">31,996 establishments that operated </w:t>
      </w:r>
      <w:r w:rsidRPr="0065680B">
        <w:rPr>
          <w:spacing w:val="-2"/>
          <w:szCs w:val="22"/>
        </w:rPr>
        <w:t>that year.   Of th</w:t>
      </w:r>
      <w:r w:rsidR="003934FF">
        <w:rPr>
          <w:spacing w:val="-2"/>
          <w:szCs w:val="22"/>
        </w:rPr>
        <w:t>is total</w:t>
      </w:r>
      <w:r>
        <w:rPr>
          <w:spacing w:val="-2"/>
          <w:szCs w:val="22"/>
        </w:rPr>
        <w:t>, 1,818</w:t>
      </w:r>
      <w:r w:rsidRPr="0065680B">
        <w:rPr>
          <w:spacing w:val="-2"/>
          <w:szCs w:val="22"/>
        </w:rPr>
        <w:t xml:space="preserve"> had </w:t>
      </w:r>
      <w:r>
        <w:rPr>
          <w:spacing w:val="-2"/>
          <w:szCs w:val="22"/>
        </w:rPr>
        <w:t>more</w:t>
      </w:r>
      <w:r w:rsidRPr="0065680B">
        <w:rPr>
          <w:spacing w:val="-2"/>
          <w:szCs w:val="22"/>
        </w:rPr>
        <w:t xml:space="preserve"> than 100 employees, and </w:t>
      </w:r>
      <w:r>
        <w:rPr>
          <w:spacing w:val="-2"/>
          <w:szCs w:val="22"/>
        </w:rPr>
        <w:t>30,178 operated with fewer than 100 employees</w:t>
      </w:r>
      <w:r w:rsidRPr="0065680B">
        <w:rPr>
          <w:spacing w:val="-2"/>
          <w:szCs w:val="22"/>
        </w:rPr>
        <w:t xml:space="preserve">.  Thus under this </w:t>
      </w:r>
      <w:r>
        <w:rPr>
          <w:spacing w:val="-2"/>
          <w:szCs w:val="22"/>
        </w:rPr>
        <w:t xml:space="preserve">size standard, </w:t>
      </w:r>
      <w:r w:rsidRPr="0065680B">
        <w:rPr>
          <w:spacing w:val="-2"/>
          <w:szCs w:val="22"/>
        </w:rPr>
        <w:t xml:space="preserve">the majority of firms </w:t>
      </w:r>
      <w:r>
        <w:rPr>
          <w:spacing w:val="-2"/>
          <w:szCs w:val="22"/>
        </w:rPr>
        <w:t xml:space="preserve">offering cable and other program distribution services </w:t>
      </w:r>
      <w:r w:rsidRPr="0065680B">
        <w:rPr>
          <w:spacing w:val="-2"/>
          <w:szCs w:val="22"/>
        </w:rPr>
        <w:t>can be considered small</w:t>
      </w:r>
      <w:r>
        <w:rPr>
          <w:spacing w:val="-2"/>
          <w:szCs w:val="22"/>
        </w:rPr>
        <w:t xml:space="preserve"> and may be affected by rules adopted pursuant to the </w:t>
      </w:r>
      <w:r w:rsidR="00A3010E" w:rsidRPr="00432E28">
        <w:rPr>
          <w:i/>
          <w:spacing w:val="-2"/>
          <w:szCs w:val="22"/>
        </w:rPr>
        <w:t>FNPRM</w:t>
      </w:r>
      <w:r w:rsidRPr="0065680B">
        <w:rPr>
          <w:spacing w:val="-2"/>
          <w:szCs w:val="22"/>
        </w:rPr>
        <w:t>.</w:t>
      </w:r>
    </w:p>
    <w:p w:rsidR="00392EF0" w:rsidRPr="0065680B"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Pr>
          <w:spacing w:val="-2"/>
          <w:szCs w:val="22"/>
        </w:rPr>
        <w:t>2</w:t>
      </w:r>
      <w:r w:rsidRPr="0065680B">
        <w:rPr>
          <w:spacing w:val="-2"/>
          <w:szCs w:val="22"/>
        </w:rPr>
        <w:t>0.</w:t>
      </w:r>
      <w:r w:rsidRPr="0065680B">
        <w:rPr>
          <w:spacing w:val="-2"/>
          <w:szCs w:val="22"/>
        </w:rPr>
        <w:tab/>
      </w:r>
      <w:r w:rsidRPr="00FB045B">
        <w:rPr>
          <w:b/>
          <w:spacing w:val="-2"/>
          <w:szCs w:val="22"/>
        </w:rPr>
        <w:t>Cable Companies and Systems</w:t>
      </w:r>
      <w:r w:rsidRPr="0065680B">
        <w:rPr>
          <w:spacing w:val="-2"/>
          <w:szCs w:val="22"/>
        </w:rPr>
        <w:t>.  The Commission has developed its own small business size standards, for the purpose of cable rate regulation.  Under the Commission’s rules, a “small cable company” is one serving 400,000 or fewer subscribers, nationwide.</w:t>
      </w:r>
      <w:r>
        <w:rPr>
          <w:rStyle w:val="FootnoteReference"/>
          <w:spacing w:val="-2"/>
          <w:szCs w:val="22"/>
        </w:rPr>
        <w:footnoteReference w:id="157"/>
      </w:r>
      <w:r>
        <w:rPr>
          <w:spacing w:val="-2"/>
          <w:szCs w:val="22"/>
        </w:rPr>
        <w:t xml:space="preserve">  </w:t>
      </w:r>
      <w:r w:rsidRPr="0065680B">
        <w:rPr>
          <w:spacing w:val="-2"/>
          <w:szCs w:val="22"/>
        </w:rPr>
        <w:t>Industry data indicate that, of 1,076 cable operators nationwide, all but eleven are small under this size standard.</w:t>
      </w:r>
      <w:r>
        <w:rPr>
          <w:rStyle w:val="FootnoteReference"/>
          <w:spacing w:val="-2"/>
          <w:szCs w:val="22"/>
        </w:rPr>
        <w:footnoteReference w:id="158"/>
      </w:r>
      <w:r>
        <w:rPr>
          <w:spacing w:val="-2"/>
          <w:szCs w:val="22"/>
        </w:rPr>
        <w:t xml:space="preserve"> </w:t>
      </w:r>
      <w:r w:rsidRPr="0065680B">
        <w:rPr>
          <w:spacing w:val="-2"/>
          <w:szCs w:val="22"/>
        </w:rPr>
        <w:t xml:space="preserve"> In addition, under the Commission’s rules, a “small system” is a cable system serving 15,000 or fewer subscribers.</w:t>
      </w:r>
      <w:r>
        <w:rPr>
          <w:rStyle w:val="FootnoteReference"/>
          <w:spacing w:val="-2"/>
          <w:szCs w:val="22"/>
        </w:rPr>
        <w:footnoteReference w:id="159"/>
      </w:r>
      <w:r w:rsidRPr="0065680B">
        <w:rPr>
          <w:spacing w:val="-2"/>
          <w:szCs w:val="22"/>
        </w:rPr>
        <w:t xml:space="preserve">   Industry data indicate that, of 6,635 systems nationwide, 5,802 systems have under 10,000 subscribers, and an additional 302 systems have 10,000-19,999 subscribers.</w:t>
      </w:r>
      <w:r>
        <w:rPr>
          <w:rStyle w:val="FootnoteReference"/>
          <w:spacing w:val="-2"/>
          <w:szCs w:val="22"/>
        </w:rPr>
        <w:footnoteReference w:id="160"/>
      </w:r>
      <w:r w:rsidRPr="0065680B">
        <w:rPr>
          <w:spacing w:val="-2"/>
          <w:szCs w:val="22"/>
        </w:rPr>
        <w:t xml:space="preserve">   Thus, under this second size standar</w:t>
      </w:r>
      <w:r>
        <w:rPr>
          <w:spacing w:val="-2"/>
          <w:szCs w:val="22"/>
        </w:rPr>
        <w:t xml:space="preserve">d, most cable systems are small and may be affected by rules adopted pursuant to the </w:t>
      </w:r>
      <w:r w:rsidR="00A3010E" w:rsidRPr="00432E28">
        <w:rPr>
          <w:i/>
          <w:spacing w:val="-2"/>
          <w:szCs w:val="22"/>
        </w:rPr>
        <w:t>FNPRM</w:t>
      </w:r>
      <w:r>
        <w:rPr>
          <w:spacing w:val="-2"/>
          <w:szCs w:val="22"/>
        </w:rPr>
        <w:t>.</w:t>
      </w:r>
    </w:p>
    <w:p w:rsidR="00392EF0"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Pr>
          <w:spacing w:val="-2"/>
          <w:szCs w:val="22"/>
        </w:rPr>
        <w:t>21.</w:t>
      </w:r>
      <w:r>
        <w:rPr>
          <w:spacing w:val="-2"/>
          <w:szCs w:val="22"/>
        </w:rPr>
        <w:tab/>
      </w:r>
      <w:r w:rsidRPr="00A205F0">
        <w:rPr>
          <w:b/>
          <w:spacing w:val="-2"/>
          <w:szCs w:val="22"/>
        </w:rPr>
        <w:t>All Other Telecommunications</w:t>
      </w:r>
      <w:r w:rsidRPr="00A205F0">
        <w:rPr>
          <w:spacing w:val="-2"/>
          <w:szCs w:val="22"/>
        </w:rPr>
        <w:t xml:space="preserve">. </w:t>
      </w:r>
      <w:r>
        <w:rPr>
          <w:spacing w:val="-2"/>
          <w:szCs w:val="22"/>
        </w:rPr>
        <w:t xml:space="preserve"> </w:t>
      </w:r>
      <w:r w:rsidRPr="00A205F0">
        <w:rPr>
          <w:spacing w:val="-2"/>
          <w:szCs w:val="22"/>
        </w:rPr>
        <w:t>The Census Bureau defines this industry as including</w:t>
      </w:r>
      <w:r>
        <w:rPr>
          <w:spacing w:val="-2"/>
          <w:szCs w:val="22"/>
        </w:rPr>
        <w:t xml:space="preserve"> </w:t>
      </w:r>
      <w:r w:rsidRPr="00A205F0">
        <w:rPr>
          <w:spacing w:val="-2"/>
          <w:szCs w:val="22"/>
        </w:rPr>
        <w:t>“establishments primarily engaged in providing specialized telecommunications services, such as satellite</w:t>
      </w:r>
      <w:r>
        <w:rPr>
          <w:spacing w:val="-2"/>
          <w:szCs w:val="22"/>
        </w:rPr>
        <w:t xml:space="preserve"> </w:t>
      </w:r>
      <w:r w:rsidRPr="00A205F0">
        <w:rPr>
          <w:spacing w:val="-2"/>
          <w:szCs w:val="22"/>
        </w:rPr>
        <w:t xml:space="preserve">tracking, communications telemetry, and radar station operation. </w:t>
      </w:r>
      <w:r>
        <w:rPr>
          <w:spacing w:val="-2"/>
          <w:szCs w:val="22"/>
        </w:rPr>
        <w:t xml:space="preserve"> </w:t>
      </w:r>
      <w:r w:rsidRPr="00A205F0">
        <w:rPr>
          <w:spacing w:val="-2"/>
          <w:szCs w:val="22"/>
        </w:rPr>
        <w:t>This industry also includes</w:t>
      </w:r>
      <w:r>
        <w:rPr>
          <w:spacing w:val="-2"/>
          <w:szCs w:val="22"/>
        </w:rPr>
        <w:t xml:space="preserve"> </w:t>
      </w:r>
      <w:r w:rsidRPr="00A205F0">
        <w:rPr>
          <w:spacing w:val="-2"/>
          <w:szCs w:val="22"/>
        </w:rPr>
        <w:t>establishments</w:t>
      </w:r>
      <w:r>
        <w:rPr>
          <w:spacing w:val="-2"/>
          <w:szCs w:val="22"/>
        </w:rPr>
        <w:t xml:space="preserve"> </w:t>
      </w:r>
      <w:r w:rsidRPr="00A205F0">
        <w:rPr>
          <w:spacing w:val="-2"/>
          <w:szCs w:val="22"/>
        </w:rPr>
        <w:t>primarily engaged in providing satellite terminal stations and associated facilities</w:t>
      </w:r>
      <w:r>
        <w:rPr>
          <w:spacing w:val="-2"/>
          <w:szCs w:val="22"/>
        </w:rPr>
        <w:t xml:space="preserve"> </w:t>
      </w:r>
      <w:r w:rsidRPr="00A205F0">
        <w:rPr>
          <w:spacing w:val="-2"/>
          <w:szCs w:val="22"/>
        </w:rPr>
        <w:t>connected with one or</w:t>
      </w:r>
      <w:r>
        <w:rPr>
          <w:spacing w:val="-2"/>
          <w:szCs w:val="22"/>
        </w:rPr>
        <w:t xml:space="preserve"> </w:t>
      </w:r>
      <w:r w:rsidRPr="00A205F0">
        <w:rPr>
          <w:spacing w:val="-2"/>
          <w:szCs w:val="22"/>
        </w:rPr>
        <w:t>more terrestrial systems and capable of transmitting telecommunications to, and</w:t>
      </w:r>
      <w:r>
        <w:rPr>
          <w:spacing w:val="-2"/>
          <w:szCs w:val="22"/>
        </w:rPr>
        <w:t xml:space="preserve"> </w:t>
      </w:r>
      <w:r w:rsidRPr="00A205F0">
        <w:rPr>
          <w:spacing w:val="-2"/>
          <w:szCs w:val="22"/>
        </w:rPr>
        <w:t>receiving</w:t>
      </w:r>
      <w:r>
        <w:rPr>
          <w:spacing w:val="-2"/>
          <w:szCs w:val="22"/>
        </w:rPr>
        <w:t xml:space="preserve"> </w:t>
      </w:r>
      <w:r w:rsidRPr="00A205F0">
        <w:rPr>
          <w:spacing w:val="-2"/>
          <w:szCs w:val="22"/>
        </w:rPr>
        <w:t>telecommunications from, satellite systems. Establishments providing Internet services or</w:t>
      </w:r>
      <w:r>
        <w:rPr>
          <w:spacing w:val="-2"/>
          <w:szCs w:val="22"/>
        </w:rPr>
        <w:t xml:space="preserve"> </w:t>
      </w:r>
      <w:r w:rsidRPr="00A205F0">
        <w:rPr>
          <w:spacing w:val="-2"/>
          <w:szCs w:val="22"/>
        </w:rPr>
        <w:t>Voice over</w:t>
      </w:r>
      <w:r>
        <w:rPr>
          <w:spacing w:val="-2"/>
          <w:szCs w:val="22"/>
        </w:rPr>
        <w:t xml:space="preserve"> </w:t>
      </w:r>
      <w:r w:rsidRPr="00A205F0">
        <w:rPr>
          <w:spacing w:val="-2"/>
          <w:szCs w:val="22"/>
        </w:rPr>
        <w:t>Internet Protocol (VoIP) services via client-supplied telecommunications connections are also</w:t>
      </w:r>
      <w:r>
        <w:rPr>
          <w:spacing w:val="-2"/>
          <w:szCs w:val="22"/>
        </w:rPr>
        <w:t xml:space="preserve"> </w:t>
      </w:r>
      <w:r w:rsidRPr="00A205F0">
        <w:rPr>
          <w:spacing w:val="-2"/>
          <w:szCs w:val="22"/>
        </w:rPr>
        <w:t>included in</w:t>
      </w:r>
      <w:r>
        <w:rPr>
          <w:spacing w:val="-2"/>
          <w:szCs w:val="22"/>
        </w:rPr>
        <w:t xml:space="preserve"> this industry.”</w:t>
      </w:r>
      <w:r>
        <w:rPr>
          <w:rStyle w:val="FootnoteReference"/>
          <w:spacing w:val="-2"/>
          <w:szCs w:val="22"/>
        </w:rPr>
        <w:footnoteReference w:id="161"/>
      </w:r>
      <w:r>
        <w:rPr>
          <w:spacing w:val="-2"/>
          <w:szCs w:val="22"/>
        </w:rPr>
        <w:t xml:space="preserve">  </w:t>
      </w:r>
      <w:r w:rsidRPr="00A205F0">
        <w:rPr>
          <w:spacing w:val="-2"/>
          <w:szCs w:val="22"/>
        </w:rPr>
        <w:t>The SBA has developed a small business size standard for this category; that</w:t>
      </w:r>
      <w:r>
        <w:rPr>
          <w:spacing w:val="-2"/>
          <w:szCs w:val="22"/>
        </w:rPr>
        <w:t xml:space="preserve"> </w:t>
      </w:r>
      <w:r w:rsidRPr="00A205F0">
        <w:rPr>
          <w:spacing w:val="-2"/>
          <w:szCs w:val="22"/>
        </w:rPr>
        <w:t>size standard</w:t>
      </w:r>
      <w:r>
        <w:rPr>
          <w:spacing w:val="-2"/>
          <w:szCs w:val="22"/>
        </w:rPr>
        <w:t xml:space="preserve"> </w:t>
      </w:r>
      <w:r w:rsidRPr="00A205F0">
        <w:rPr>
          <w:spacing w:val="-2"/>
          <w:szCs w:val="22"/>
        </w:rPr>
        <w:t>is $30.0 million or less in average annual receipts.</w:t>
      </w:r>
      <w:r>
        <w:rPr>
          <w:rStyle w:val="FootnoteReference"/>
          <w:spacing w:val="-2"/>
          <w:szCs w:val="22"/>
        </w:rPr>
        <w:footnoteReference w:id="162"/>
      </w:r>
      <w:r>
        <w:rPr>
          <w:spacing w:val="-2"/>
          <w:szCs w:val="22"/>
        </w:rPr>
        <w:t xml:space="preserve">  </w:t>
      </w:r>
      <w:r w:rsidRPr="00A205F0">
        <w:rPr>
          <w:spacing w:val="-2"/>
          <w:szCs w:val="22"/>
        </w:rPr>
        <w:t>According to Census Bureau data for</w:t>
      </w:r>
      <w:r>
        <w:rPr>
          <w:spacing w:val="-2"/>
          <w:szCs w:val="22"/>
        </w:rPr>
        <w:t xml:space="preserve"> </w:t>
      </w:r>
      <w:r w:rsidRPr="00A205F0">
        <w:rPr>
          <w:spacing w:val="-2"/>
          <w:szCs w:val="22"/>
        </w:rPr>
        <w:t>2007, there were</w:t>
      </w:r>
      <w:r>
        <w:rPr>
          <w:spacing w:val="-2"/>
          <w:szCs w:val="22"/>
        </w:rPr>
        <w:t xml:space="preserve"> </w:t>
      </w:r>
      <w:r w:rsidRPr="00A205F0">
        <w:rPr>
          <w:spacing w:val="-2"/>
          <w:szCs w:val="22"/>
        </w:rPr>
        <w:t xml:space="preserve">2,623 firms in this category that </w:t>
      </w:r>
      <w:r>
        <w:rPr>
          <w:spacing w:val="-2"/>
          <w:szCs w:val="22"/>
        </w:rPr>
        <w:t>operated for the entire year.</w:t>
      </w:r>
      <w:r>
        <w:rPr>
          <w:rStyle w:val="FootnoteReference"/>
          <w:spacing w:val="-2"/>
          <w:szCs w:val="22"/>
        </w:rPr>
        <w:footnoteReference w:id="163"/>
      </w:r>
      <w:r>
        <w:rPr>
          <w:spacing w:val="-2"/>
          <w:szCs w:val="22"/>
        </w:rPr>
        <w:t xml:space="preserve">  </w:t>
      </w:r>
      <w:r w:rsidRPr="00A205F0">
        <w:rPr>
          <w:spacing w:val="-2"/>
          <w:szCs w:val="22"/>
        </w:rPr>
        <w:t xml:space="preserve">Of </w:t>
      </w:r>
      <w:r w:rsidR="003934FF">
        <w:rPr>
          <w:spacing w:val="-2"/>
          <w:szCs w:val="22"/>
        </w:rPr>
        <w:t>this total</w:t>
      </w:r>
      <w:r w:rsidRPr="00A205F0">
        <w:rPr>
          <w:spacing w:val="-2"/>
          <w:szCs w:val="22"/>
        </w:rPr>
        <w:t>, 2478</w:t>
      </w:r>
      <w:r>
        <w:rPr>
          <w:spacing w:val="-2"/>
          <w:szCs w:val="22"/>
        </w:rPr>
        <w:t xml:space="preserve"> </w:t>
      </w:r>
      <w:r w:rsidRPr="00A205F0">
        <w:rPr>
          <w:spacing w:val="-2"/>
          <w:szCs w:val="22"/>
        </w:rPr>
        <w:t>establishments had annual</w:t>
      </w:r>
      <w:r>
        <w:rPr>
          <w:spacing w:val="-2"/>
          <w:szCs w:val="22"/>
        </w:rPr>
        <w:t xml:space="preserve"> </w:t>
      </w:r>
      <w:r w:rsidRPr="00A205F0">
        <w:rPr>
          <w:spacing w:val="-2"/>
          <w:szCs w:val="22"/>
        </w:rPr>
        <w:t>receipts of under $10 million and 145 establishments had annual receipts of</w:t>
      </w:r>
      <w:r>
        <w:rPr>
          <w:spacing w:val="-2"/>
          <w:szCs w:val="22"/>
        </w:rPr>
        <w:t xml:space="preserve"> $10 million or more.</w:t>
      </w:r>
      <w:r>
        <w:rPr>
          <w:rStyle w:val="FootnoteReference"/>
          <w:spacing w:val="-2"/>
          <w:szCs w:val="22"/>
        </w:rPr>
        <w:footnoteReference w:id="164"/>
      </w:r>
      <w:r>
        <w:rPr>
          <w:spacing w:val="-2"/>
          <w:szCs w:val="22"/>
        </w:rPr>
        <w:t xml:space="preserve"> </w:t>
      </w:r>
      <w:r w:rsidRPr="00A205F0">
        <w:rPr>
          <w:spacing w:val="-2"/>
          <w:szCs w:val="22"/>
        </w:rPr>
        <w:t>Consequently, we estimate that the majority of these firms are small entities that</w:t>
      </w:r>
      <w:r>
        <w:rPr>
          <w:spacing w:val="-2"/>
          <w:szCs w:val="22"/>
        </w:rPr>
        <w:t xml:space="preserve"> </w:t>
      </w:r>
      <w:r w:rsidRPr="00A205F0">
        <w:rPr>
          <w:spacing w:val="-2"/>
          <w:szCs w:val="22"/>
        </w:rPr>
        <w:t>may be affected by our action</w:t>
      </w:r>
      <w:r w:rsidR="00A3010E">
        <w:rPr>
          <w:spacing w:val="-2"/>
          <w:szCs w:val="22"/>
        </w:rPr>
        <w:t xml:space="preserve"> in this </w:t>
      </w:r>
      <w:r w:rsidR="00A3010E" w:rsidRPr="00432E28">
        <w:rPr>
          <w:i/>
          <w:spacing w:val="-2"/>
          <w:szCs w:val="22"/>
        </w:rPr>
        <w:t>FNPRM</w:t>
      </w:r>
      <w:r w:rsidRPr="00A205F0">
        <w:rPr>
          <w:spacing w:val="-2"/>
          <w:szCs w:val="22"/>
        </w:rPr>
        <w:t>.</w:t>
      </w:r>
    </w:p>
    <w:p w:rsidR="00392EF0" w:rsidRPr="007521D5" w:rsidRDefault="00392EF0" w:rsidP="00392EF0">
      <w:pPr>
        <w:tabs>
          <w:tab w:val="left" w:pos="1440"/>
        </w:tabs>
        <w:suppressAutoHyphens/>
        <w:spacing w:line="240" w:lineRule="atLeast"/>
        <w:ind w:firstLine="720"/>
        <w:jc w:val="center"/>
        <w:rPr>
          <w:spacing w:val="-2"/>
          <w:szCs w:val="22"/>
        </w:rPr>
      </w:pPr>
      <w:r w:rsidRPr="007521D5">
        <w:rPr>
          <w:spacing w:val="-2"/>
          <w:szCs w:val="22"/>
        </w:rPr>
        <w:tab/>
        <w:t xml:space="preserve"> </w:t>
      </w:r>
    </w:p>
    <w:p w:rsidR="00392EF0" w:rsidRPr="007521D5" w:rsidRDefault="00392EF0" w:rsidP="00392EF0">
      <w:pPr>
        <w:tabs>
          <w:tab w:val="left" w:pos="1440"/>
        </w:tabs>
        <w:suppressAutoHyphens/>
        <w:spacing w:line="240" w:lineRule="atLeast"/>
        <w:ind w:firstLine="720"/>
        <w:rPr>
          <w:spacing w:val="-2"/>
          <w:szCs w:val="22"/>
        </w:rPr>
      </w:pPr>
      <w:r w:rsidRPr="001502DB">
        <w:rPr>
          <w:b/>
          <w:spacing w:val="-2"/>
          <w:szCs w:val="22"/>
        </w:rPr>
        <w:t>IV.  Description of Projected Reporting, Recordkeeping and Other Compliance Requirements</w:t>
      </w:r>
    </w:p>
    <w:p w:rsidR="00392EF0" w:rsidRPr="007521D5" w:rsidRDefault="00392EF0" w:rsidP="00392EF0">
      <w:pPr>
        <w:tabs>
          <w:tab w:val="left" w:pos="1440"/>
        </w:tabs>
        <w:suppressAutoHyphens/>
        <w:spacing w:line="240" w:lineRule="atLeast"/>
        <w:ind w:firstLine="720"/>
        <w:jc w:val="center"/>
        <w:rPr>
          <w:spacing w:val="-2"/>
          <w:szCs w:val="22"/>
        </w:rPr>
      </w:pPr>
    </w:p>
    <w:p w:rsidR="00392EF0" w:rsidRDefault="00392EF0" w:rsidP="00392EF0">
      <w:pPr>
        <w:tabs>
          <w:tab w:val="left" w:pos="1440"/>
        </w:tabs>
        <w:suppressAutoHyphens/>
        <w:spacing w:line="240" w:lineRule="atLeast"/>
        <w:ind w:firstLine="720"/>
        <w:rPr>
          <w:spacing w:val="-2"/>
          <w:szCs w:val="22"/>
        </w:rPr>
      </w:pPr>
      <w:r>
        <w:rPr>
          <w:spacing w:val="-2"/>
          <w:szCs w:val="22"/>
        </w:rPr>
        <w:t>2</w:t>
      </w:r>
      <w:r w:rsidRPr="007521D5">
        <w:rPr>
          <w:spacing w:val="-2"/>
          <w:szCs w:val="22"/>
        </w:rPr>
        <w:t>2.</w:t>
      </w:r>
      <w:r w:rsidRPr="007521D5">
        <w:rPr>
          <w:spacing w:val="-2"/>
          <w:szCs w:val="22"/>
        </w:rPr>
        <w:tab/>
        <w:t xml:space="preserve">This </w:t>
      </w:r>
      <w:r w:rsidR="00581F89" w:rsidRPr="00581F89">
        <w:rPr>
          <w:i/>
          <w:spacing w:val="-2"/>
          <w:szCs w:val="22"/>
        </w:rPr>
        <w:t>FNPRM</w:t>
      </w:r>
      <w:r w:rsidRPr="007521D5">
        <w:rPr>
          <w:spacing w:val="-2"/>
          <w:szCs w:val="22"/>
        </w:rPr>
        <w:t xml:space="preserve"> </w:t>
      </w:r>
      <w:r>
        <w:rPr>
          <w:spacing w:val="-2"/>
          <w:szCs w:val="22"/>
        </w:rPr>
        <w:t>seeks comment on</w:t>
      </w:r>
      <w:r w:rsidRPr="007521D5">
        <w:rPr>
          <w:spacing w:val="-2"/>
          <w:szCs w:val="22"/>
        </w:rPr>
        <w:t xml:space="preserve"> changes to the Commission</w:t>
      </w:r>
      <w:r>
        <w:rPr>
          <w:spacing w:val="-2"/>
          <w:szCs w:val="22"/>
        </w:rPr>
        <w:t>’</w:t>
      </w:r>
      <w:r w:rsidRPr="007521D5">
        <w:rPr>
          <w:spacing w:val="-2"/>
          <w:szCs w:val="22"/>
        </w:rPr>
        <w:t xml:space="preserve">s current </w:t>
      </w:r>
      <w:r>
        <w:rPr>
          <w:spacing w:val="-2"/>
          <w:szCs w:val="22"/>
        </w:rPr>
        <w:t xml:space="preserve">regulatory fee methodology and schedule which may result in additional </w:t>
      </w:r>
      <w:r w:rsidRPr="007521D5">
        <w:rPr>
          <w:spacing w:val="-2"/>
          <w:szCs w:val="22"/>
        </w:rPr>
        <w:t xml:space="preserve">information collection, reporting, and recordkeeping requirements. </w:t>
      </w:r>
      <w:r w:rsidR="00007E91">
        <w:rPr>
          <w:spacing w:val="-2"/>
          <w:szCs w:val="22"/>
        </w:rPr>
        <w:t xml:space="preserve"> </w:t>
      </w:r>
      <w:r>
        <w:rPr>
          <w:spacing w:val="-2"/>
          <w:szCs w:val="22"/>
        </w:rPr>
        <w:t xml:space="preserve">Specifically, the </w:t>
      </w:r>
      <w:r w:rsidR="00581F89" w:rsidRPr="00581F89">
        <w:rPr>
          <w:i/>
          <w:spacing w:val="-2"/>
          <w:szCs w:val="22"/>
        </w:rPr>
        <w:t>FNPRM</w:t>
      </w:r>
      <w:r>
        <w:rPr>
          <w:spacing w:val="-2"/>
          <w:szCs w:val="22"/>
        </w:rPr>
        <w:t xml:space="preserve"> seeks comment on </w:t>
      </w:r>
      <w:r w:rsidR="002F0E16">
        <w:rPr>
          <w:spacing w:val="-2"/>
          <w:szCs w:val="22"/>
        </w:rPr>
        <w:t xml:space="preserve">combining fee categories and possibly </w:t>
      </w:r>
      <w:r>
        <w:rPr>
          <w:spacing w:val="-2"/>
          <w:szCs w:val="22"/>
        </w:rPr>
        <w:t xml:space="preserve">using revenues </w:t>
      </w:r>
      <w:r w:rsidR="00306C09">
        <w:rPr>
          <w:spacing w:val="-2"/>
          <w:szCs w:val="22"/>
        </w:rPr>
        <w:t xml:space="preserve">or some other means </w:t>
      </w:r>
      <w:r w:rsidR="002F0E16">
        <w:rPr>
          <w:spacing w:val="-2"/>
          <w:szCs w:val="22"/>
        </w:rPr>
        <w:t>to calculate regulatory fees</w:t>
      </w:r>
      <w:r>
        <w:rPr>
          <w:spacing w:val="-2"/>
          <w:szCs w:val="22"/>
        </w:rPr>
        <w:t xml:space="preserve">.  If </w:t>
      </w:r>
      <w:r w:rsidR="00306C09">
        <w:rPr>
          <w:spacing w:val="-2"/>
          <w:szCs w:val="22"/>
        </w:rPr>
        <w:t xml:space="preserve">a revenue-based option is </w:t>
      </w:r>
      <w:r>
        <w:rPr>
          <w:spacing w:val="-2"/>
          <w:szCs w:val="22"/>
        </w:rPr>
        <w:t xml:space="preserve">adopted, this </w:t>
      </w:r>
      <w:r w:rsidR="00D6635D">
        <w:rPr>
          <w:spacing w:val="-2"/>
          <w:szCs w:val="22"/>
        </w:rPr>
        <w:t>may</w:t>
      </w:r>
      <w:r>
        <w:rPr>
          <w:spacing w:val="-2"/>
          <w:szCs w:val="22"/>
        </w:rPr>
        <w:t xml:space="preserve"> require entities that do not currently file a Form 499-A to provide the Commission with revenue information.  </w:t>
      </w:r>
      <w:r w:rsidR="00BB5474">
        <w:rPr>
          <w:spacing w:val="-2"/>
          <w:szCs w:val="22"/>
        </w:rPr>
        <w:t xml:space="preserve">The </w:t>
      </w:r>
      <w:r w:rsidR="00BB5474" w:rsidRPr="00432E28">
        <w:rPr>
          <w:i/>
          <w:spacing w:val="-2"/>
          <w:szCs w:val="22"/>
        </w:rPr>
        <w:t>FNPRM</w:t>
      </w:r>
      <w:r w:rsidR="00BB5474">
        <w:rPr>
          <w:spacing w:val="-2"/>
          <w:szCs w:val="22"/>
        </w:rPr>
        <w:t xml:space="preserve"> seeks comment on using subscribers, telephone numbers, or another method of calculating regulatory fees, which may involve additional recordkeeping</w:t>
      </w:r>
      <w:r w:rsidR="00D6635D">
        <w:rPr>
          <w:spacing w:val="-2"/>
          <w:szCs w:val="22"/>
        </w:rPr>
        <w:t>, if such proposals are adopted</w:t>
      </w:r>
      <w:r w:rsidR="00BB5474">
        <w:rPr>
          <w:spacing w:val="-2"/>
          <w:szCs w:val="22"/>
        </w:rPr>
        <w:t xml:space="preserve">.  </w:t>
      </w:r>
      <w:r>
        <w:rPr>
          <w:spacing w:val="-2"/>
          <w:szCs w:val="22"/>
        </w:rPr>
        <w:t xml:space="preserve">The </w:t>
      </w:r>
      <w:r w:rsidR="00BB5474" w:rsidRPr="00BB5474">
        <w:rPr>
          <w:i/>
          <w:spacing w:val="-2"/>
          <w:szCs w:val="22"/>
        </w:rPr>
        <w:t>FNPRM</w:t>
      </w:r>
      <w:r>
        <w:rPr>
          <w:spacing w:val="-2"/>
          <w:szCs w:val="22"/>
        </w:rPr>
        <w:t xml:space="preserve"> also seeks comment on adding categories to our regulatory fee schedule by changing t</w:t>
      </w:r>
      <w:r w:rsidRPr="00FF6BDF">
        <w:rPr>
          <w:szCs w:val="22"/>
        </w:rPr>
        <w:t>he treatment of non-U.S.-Licensed Space Stati</w:t>
      </w:r>
      <w:r w:rsidR="009501CB">
        <w:rPr>
          <w:szCs w:val="22"/>
        </w:rPr>
        <w:t>ons; Direct Broadcast Satellite</w:t>
      </w:r>
      <w:r w:rsidRPr="00FF6BDF">
        <w:rPr>
          <w:szCs w:val="22"/>
        </w:rPr>
        <w:t xml:space="preserve">; </w:t>
      </w:r>
      <w:r w:rsidR="00BB5474">
        <w:rPr>
          <w:szCs w:val="22"/>
        </w:rPr>
        <w:t>an</w:t>
      </w:r>
      <w:r>
        <w:rPr>
          <w:szCs w:val="22"/>
        </w:rPr>
        <w:t xml:space="preserve">d </w:t>
      </w:r>
      <w:r w:rsidR="00495906">
        <w:rPr>
          <w:szCs w:val="22"/>
        </w:rPr>
        <w:t xml:space="preserve">toll free number subscribers </w:t>
      </w:r>
      <w:r w:rsidRPr="00FF6BDF">
        <w:rPr>
          <w:szCs w:val="22"/>
        </w:rPr>
        <w:t xml:space="preserve">in our regulatory fee process.  </w:t>
      </w:r>
      <w:r>
        <w:rPr>
          <w:spacing w:val="-2"/>
          <w:szCs w:val="22"/>
        </w:rPr>
        <w:t>If adopted, those entities that currently do not pay regulatory fees</w:t>
      </w:r>
      <w:r w:rsidR="00ED0959">
        <w:rPr>
          <w:spacing w:val="-2"/>
          <w:szCs w:val="22"/>
        </w:rPr>
        <w:t>, such as n</w:t>
      </w:r>
      <w:r w:rsidRPr="00FF6BDF">
        <w:rPr>
          <w:szCs w:val="22"/>
        </w:rPr>
        <w:t>on-U.S.-Licensed Space Stations</w:t>
      </w:r>
      <w:r w:rsidR="00495906">
        <w:rPr>
          <w:szCs w:val="22"/>
        </w:rPr>
        <w:t xml:space="preserve"> and toll free number subscribers</w:t>
      </w:r>
      <w:r w:rsidR="00ED0959">
        <w:rPr>
          <w:szCs w:val="22"/>
        </w:rPr>
        <w:t xml:space="preserve">, </w:t>
      </w:r>
      <w:r>
        <w:rPr>
          <w:spacing w:val="-2"/>
          <w:szCs w:val="22"/>
        </w:rPr>
        <w:t>would be required to pay regulatory fees to the Commission and DBS providers would pay regulatory fees in a different category.</w:t>
      </w:r>
      <w:r w:rsidR="00007E91">
        <w:rPr>
          <w:spacing w:val="-2"/>
          <w:szCs w:val="22"/>
        </w:rPr>
        <w:t xml:space="preserve">  The </w:t>
      </w:r>
      <w:r w:rsidR="00007E91" w:rsidRPr="00007E91">
        <w:rPr>
          <w:i/>
          <w:spacing w:val="-2"/>
          <w:szCs w:val="22"/>
        </w:rPr>
        <w:t>FNPRM</w:t>
      </w:r>
      <w:r w:rsidR="00007E91">
        <w:rPr>
          <w:spacing w:val="-2"/>
          <w:szCs w:val="22"/>
        </w:rPr>
        <w:t xml:space="preserve"> also seeks comment on increasing our de minimis threshold</w:t>
      </w:r>
      <w:r w:rsidR="00D6635D">
        <w:rPr>
          <w:spacing w:val="-2"/>
          <w:szCs w:val="22"/>
        </w:rPr>
        <w:t xml:space="preserve"> and eliminating certain fee categories</w:t>
      </w:r>
      <w:r w:rsidR="00007E91">
        <w:rPr>
          <w:spacing w:val="-2"/>
          <w:szCs w:val="22"/>
        </w:rPr>
        <w:t xml:space="preserve">, which, if adopted, would result in more carriers </w:t>
      </w:r>
      <w:r w:rsidR="00007E91" w:rsidRPr="00ED0959">
        <w:rPr>
          <w:i/>
          <w:spacing w:val="-2"/>
          <w:szCs w:val="22"/>
        </w:rPr>
        <w:t>not</w:t>
      </w:r>
      <w:r w:rsidR="00007E91">
        <w:rPr>
          <w:spacing w:val="-2"/>
          <w:szCs w:val="22"/>
        </w:rPr>
        <w:t xml:space="preserve"> paying regulatory fees to the Commission.</w:t>
      </w:r>
    </w:p>
    <w:p w:rsidR="00392EF0" w:rsidRPr="007521D5" w:rsidRDefault="00392EF0" w:rsidP="00392EF0">
      <w:pPr>
        <w:tabs>
          <w:tab w:val="left" w:pos="1440"/>
        </w:tabs>
        <w:suppressAutoHyphens/>
        <w:spacing w:line="240" w:lineRule="atLeast"/>
        <w:ind w:firstLine="720"/>
        <w:rPr>
          <w:spacing w:val="-2"/>
          <w:szCs w:val="22"/>
        </w:rPr>
      </w:pPr>
    </w:p>
    <w:p w:rsidR="00392EF0" w:rsidRPr="007521D5" w:rsidRDefault="00392EF0" w:rsidP="00392EF0">
      <w:pPr>
        <w:tabs>
          <w:tab w:val="left" w:pos="1440"/>
        </w:tabs>
        <w:suppressAutoHyphens/>
        <w:spacing w:line="240" w:lineRule="atLeast"/>
        <w:ind w:firstLine="720"/>
        <w:rPr>
          <w:spacing w:val="-2"/>
          <w:szCs w:val="22"/>
        </w:rPr>
      </w:pPr>
      <w:r w:rsidRPr="001502DB">
        <w:rPr>
          <w:b/>
          <w:spacing w:val="-2"/>
          <w:szCs w:val="22"/>
        </w:rPr>
        <w:t>V.  Steps Taken to Minimize Significant Economic Impact on Small Entities, and Significant Alternatives Considered</w:t>
      </w:r>
    </w:p>
    <w:p w:rsidR="00392EF0" w:rsidRPr="007521D5" w:rsidRDefault="00392EF0" w:rsidP="00392EF0">
      <w:pPr>
        <w:tabs>
          <w:tab w:val="left" w:pos="1440"/>
        </w:tabs>
        <w:suppressAutoHyphens/>
        <w:spacing w:line="240" w:lineRule="atLeast"/>
        <w:ind w:firstLine="720"/>
        <w:jc w:val="center"/>
        <w:rPr>
          <w:spacing w:val="-2"/>
          <w:szCs w:val="22"/>
        </w:rPr>
      </w:pPr>
    </w:p>
    <w:p w:rsidR="00392EF0" w:rsidRDefault="00392EF0" w:rsidP="00392EF0">
      <w:pPr>
        <w:tabs>
          <w:tab w:val="left" w:pos="1440"/>
        </w:tabs>
        <w:suppressAutoHyphens/>
        <w:spacing w:line="240" w:lineRule="atLeast"/>
        <w:ind w:firstLine="720"/>
        <w:rPr>
          <w:spacing w:val="-2"/>
          <w:szCs w:val="22"/>
        </w:rPr>
      </w:pPr>
      <w:r>
        <w:rPr>
          <w:spacing w:val="-2"/>
          <w:szCs w:val="22"/>
        </w:rPr>
        <w:t>2</w:t>
      </w:r>
      <w:r w:rsidRPr="007521D5">
        <w:rPr>
          <w:spacing w:val="-2"/>
          <w:szCs w:val="22"/>
        </w:rPr>
        <w:t>3.</w:t>
      </w:r>
      <w:r w:rsidRPr="007521D5">
        <w:rPr>
          <w:spacing w:val="-2"/>
          <w:szCs w:val="22"/>
        </w:rPr>
        <w:tab/>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165"/>
      </w:r>
      <w:r w:rsidRPr="007521D5">
        <w:rPr>
          <w:spacing w:val="-2"/>
          <w:szCs w:val="22"/>
        </w:rPr>
        <w:t xml:space="preserve">   </w:t>
      </w:r>
    </w:p>
    <w:p w:rsidR="00392EF0"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Pr>
          <w:spacing w:val="-2"/>
          <w:szCs w:val="22"/>
        </w:rPr>
        <w:t>24.</w:t>
      </w:r>
      <w:r>
        <w:rPr>
          <w:spacing w:val="-2"/>
          <w:szCs w:val="22"/>
        </w:rPr>
        <w:tab/>
        <w:t>With respect to reporting requirements, t</w:t>
      </w:r>
      <w:r w:rsidRPr="00544880">
        <w:rPr>
          <w:spacing w:val="-2"/>
          <w:szCs w:val="22"/>
        </w:rPr>
        <w:t>he Commission is aware that some of the proposals under consideration will impact</w:t>
      </w:r>
      <w:r>
        <w:rPr>
          <w:spacing w:val="-2"/>
          <w:szCs w:val="22"/>
        </w:rPr>
        <w:t xml:space="preserve"> </w:t>
      </w:r>
      <w:r w:rsidRPr="00544880">
        <w:rPr>
          <w:spacing w:val="-2"/>
          <w:szCs w:val="22"/>
        </w:rPr>
        <w:t>small entities by imposing costs and administrative burdens</w:t>
      </w:r>
      <w:r>
        <w:rPr>
          <w:spacing w:val="-2"/>
          <w:szCs w:val="22"/>
        </w:rPr>
        <w:t xml:space="preserve"> if these entities will be required to calculate regulatory fees under a different methodology</w:t>
      </w:r>
      <w:r w:rsidRPr="00544880">
        <w:rPr>
          <w:spacing w:val="-2"/>
          <w:szCs w:val="22"/>
        </w:rPr>
        <w:t>.</w:t>
      </w:r>
      <w:r>
        <w:rPr>
          <w:spacing w:val="-2"/>
          <w:szCs w:val="22"/>
        </w:rPr>
        <w:t xml:space="preserve">  For example, if the Commission were to adopt a revenue-based approach for calculating regulatory fees, certain entities that currently do not report revenues to the Commission—or that only report some revenues and not others—</w:t>
      </w:r>
      <w:r w:rsidR="00D6635D">
        <w:rPr>
          <w:spacing w:val="-2"/>
          <w:szCs w:val="22"/>
        </w:rPr>
        <w:t xml:space="preserve">may </w:t>
      </w:r>
      <w:r>
        <w:rPr>
          <w:spacing w:val="-2"/>
          <w:szCs w:val="22"/>
        </w:rPr>
        <w:t>have to report such information</w:t>
      </w:r>
      <w:r w:rsidRPr="00544880">
        <w:rPr>
          <w:spacing w:val="-2"/>
          <w:szCs w:val="22"/>
        </w:rPr>
        <w:t>.</w:t>
      </w:r>
      <w:r>
        <w:rPr>
          <w:spacing w:val="-2"/>
          <w:szCs w:val="22"/>
        </w:rPr>
        <w:t xml:space="preserve">  </w:t>
      </w:r>
    </w:p>
    <w:p w:rsidR="00392EF0" w:rsidRPr="007521D5" w:rsidRDefault="00392EF0" w:rsidP="00392EF0">
      <w:pPr>
        <w:tabs>
          <w:tab w:val="left" w:pos="1440"/>
        </w:tabs>
        <w:suppressAutoHyphens/>
        <w:spacing w:line="240" w:lineRule="atLeast"/>
        <w:ind w:firstLine="720"/>
        <w:rPr>
          <w:spacing w:val="-2"/>
          <w:szCs w:val="22"/>
        </w:rPr>
      </w:pPr>
    </w:p>
    <w:p w:rsidR="00254381" w:rsidRDefault="00392EF0" w:rsidP="00392EF0">
      <w:pPr>
        <w:tabs>
          <w:tab w:val="left" w:pos="1440"/>
        </w:tabs>
        <w:suppressAutoHyphens/>
        <w:spacing w:line="240" w:lineRule="atLeast"/>
        <w:ind w:firstLine="720"/>
        <w:rPr>
          <w:szCs w:val="22"/>
        </w:rPr>
      </w:pPr>
      <w:r>
        <w:rPr>
          <w:spacing w:val="-2"/>
          <w:szCs w:val="22"/>
        </w:rPr>
        <w:t>25</w:t>
      </w:r>
      <w:r w:rsidRPr="007521D5">
        <w:rPr>
          <w:spacing w:val="-2"/>
          <w:szCs w:val="22"/>
        </w:rPr>
        <w:t>.</w:t>
      </w:r>
      <w:r w:rsidRPr="007521D5">
        <w:rPr>
          <w:spacing w:val="-2"/>
          <w:szCs w:val="22"/>
        </w:rPr>
        <w:tab/>
      </w:r>
      <w:r>
        <w:rPr>
          <w:spacing w:val="-2"/>
          <w:szCs w:val="22"/>
        </w:rPr>
        <w:t xml:space="preserve">This </w:t>
      </w:r>
      <w:r w:rsidR="00BB5474" w:rsidRPr="00BB5474">
        <w:rPr>
          <w:i/>
          <w:spacing w:val="-2"/>
          <w:szCs w:val="22"/>
        </w:rPr>
        <w:t>FNPRM</w:t>
      </w:r>
      <w:r>
        <w:rPr>
          <w:spacing w:val="-2"/>
          <w:szCs w:val="22"/>
        </w:rPr>
        <w:t xml:space="preserve"> seeks to reform the regulatory fee methodology</w:t>
      </w:r>
      <w:r>
        <w:rPr>
          <w:szCs w:val="22"/>
        </w:rPr>
        <w:t xml:space="preserve">.  </w:t>
      </w:r>
      <w:r w:rsidR="0037595A">
        <w:rPr>
          <w:szCs w:val="22"/>
        </w:rPr>
        <w:t xml:space="preserve">We specifically seek comment on ways to lessen the regulatory fee burden on small companies by, for example, adopting a </w:t>
      </w:r>
      <w:r w:rsidR="00007E91">
        <w:rPr>
          <w:szCs w:val="22"/>
        </w:rPr>
        <w:t xml:space="preserve">higher </w:t>
      </w:r>
      <w:r w:rsidR="0037595A">
        <w:rPr>
          <w:szCs w:val="22"/>
        </w:rPr>
        <w:t>de minimis threshold</w:t>
      </w:r>
      <w:r w:rsidR="00254381">
        <w:rPr>
          <w:szCs w:val="22"/>
        </w:rPr>
        <w:t xml:space="preserve"> or exempting certain categories from regulatory fees</w:t>
      </w:r>
      <w:r w:rsidR="0037595A">
        <w:rPr>
          <w:szCs w:val="22"/>
        </w:rPr>
        <w:t xml:space="preserve">.  We also seek comment on ways to improve the regulatory fee process for companies that have difficulty with the Commission’s rules, by, for example, improving our website.  </w:t>
      </w:r>
    </w:p>
    <w:p w:rsidR="00254381" w:rsidRDefault="00254381" w:rsidP="00392EF0">
      <w:pPr>
        <w:tabs>
          <w:tab w:val="left" w:pos="1440"/>
        </w:tabs>
        <w:suppressAutoHyphens/>
        <w:spacing w:line="240" w:lineRule="atLeast"/>
        <w:ind w:firstLine="720"/>
        <w:rPr>
          <w:szCs w:val="22"/>
        </w:rPr>
      </w:pPr>
    </w:p>
    <w:p w:rsidR="00392EF0" w:rsidRDefault="00254381" w:rsidP="00392EF0">
      <w:pPr>
        <w:tabs>
          <w:tab w:val="left" w:pos="1440"/>
        </w:tabs>
        <w:suppressAutoHyphens/>
        <w:spacing w:line="240" w:lineRule="atLeast"/>
        <w:ind w:firstLine="720"/>
        <w:rPr>
          <w:spacing w:val="-2"/>
          <w:szCs w:val="22"/>
        </w:rPr>
      </w:pPr>
      <w:r>
        <w:rPr>
          <w:szCs w:val="22"/>
        </w:rPr>
        <w:t>26.</w:t>
      </w:r>
      <w:r>
        <w:rPr>
          <w:szCs w:val="22"/>
        </w:rPr>
        <w:tab/>
      </w:r>
      <w:r w:rsidR="0037595A">
        <w:rPr>
          <w:szCs w:val="22"/>
        </w:rPr>
        <w:t xml:space="preserve">It is possible that some of our proposals, if adopted, would result in </w:t>
      </w:r>
      <w:r w:rsidR="00392EF0">
        <w:rPr>
          <w:szCs w:val="22"/>
        </w:rPr>
        <w:t xml:space="preserve">increasing or imposing a regulatory fee burden </w:t>
      </w:r>
      <w:r w:rsidR="00392EF0">
        <w:rPr>
          <w:spacing w:val="-2"/>
          <w:szCs w:val="22"/>
        </w:rPr>
        <w:t>on small entities</w:t>
      </w:r>
      <w:r w:rsidR="0037595A">
        <w:rPr>
          <w:spacing w:val="-2"/>
          <w:szCs w:val="22"/>
        </w:rPr>
        <w:t>.  For example, our reallocations, if adopted, may result in higher regulatory fees for certain categories of regulatory fee payors.  We anticipate that if that should occur the increase would be minimal and</w:t>
      </w:r>
      <w:r w:rsidR="00392EF0">
        <w:rPr>
          <w:spacing w:val="-2"/>
          <w:szCs w:val="22"/>
        </w:rPr>
        <w:t xml:space="preserve"> </w:t>
      </w:r>
      <w:r w:rsidR="00392EF0" w:rsidRPr="007521D5">
        <w:rPr>
          <w:spacing w:val="-2"/>
          <w:szCs w:val="22"/>
        </w:rPr>
        <w:t>we intend to mitigate any inequities</w:t>
      </w:r>
      <w:r w:rsidR="00392EF0">
        <w:rPr>
          <w:spacing w:val="-2"/>
          <w:szCs w:val="22"/>
        </w:rPr>
        <w:t xml:space="preserve"> that might result from such increases, by, for example, limiting the annual increase.  I</w:t>
      </w:r>
      <w:r w:rsidR="00392EF0" w:rsidRPr="007521D5">
        <w:rPr>
          <w:spacing w:val="-2"/>
          <w:szCs w:val="22"/>
        </w:rPr>
        <w:t xml:space="preserve">n keeping with the requirements of the Regulatory Flexibility Act, we have considered certain alternative means of mitigating the effects of fee increases to a particular industry segment.  </w:t>
      </w:r>
      <w:r w:rsidR="00007E91">
        <w:rPr>
          <w:spacing w:val="-2"/>
          <w:szCs w:val="22"/>
        </w:rPr>
        <w:t xml:space="preserve">The </w:t>
      </w:r>
      <w:r w:rsidR="00007E91" w:rsidRPr="00007E91">
        <w:rPr>
          <w:i/>
          <w:spacing w:val="-2"/>
          <w:szCs w:val="22"/>
        </w:rPr>
        <w:t>FNPRM</w:t>
      </w:r>
      <w:r w:rsidR="00007E91">
        <w:rPr>
          <w:spacing w:val="-2"/>
          <w:szCs w:val="22"/>
        </w:rPr>
        <w:t xml:space="preserve"> seeks comment on capping any regulatory fee increases at 7.5 </w:t>
      </w:r>
      <w:r w:rsidR="00D6635D">
        <w:rPr>
          <w:spacing w:val="-2"/>
          <w:szCs w:val="22"/>
        </w:rPr>
        <w:t xml:space="preserve">or 10 </w:t>
      </w:r>
      <w:r w:rsidR="00007E91">
        <w:rPr>
          <w:spacing w:val="-2"/>
          <w:szCs w:val="22"/>
        </w:rPr>
        <w:t xml:space="preserve">percent.  </w:t>
      </w:r>
      <w:r w:rsidR="00306C09">
        <w:rPr>
          <w:spacing w:val="-2"/>
          <w:szCs w:val="22"/>
        </w:rPr>
        <w:t xml:space="preserve">This </w:t>
      </w:r>
      <w:r w:rsidR="00306C09" w:rsidRPr="00306C09">
        <w:rPr>
          <w:i/>
          <w:spacing w:val="-2"/>
          <w:szCs w:val="22"/>
        </w:rPr>
        <w:t>FNPRM</w:t>
      </w:r>
      <w:r w:rsidR="00306C09">
        <w:rPr>
          <w:spacing w:val="-2"/>
          <w:szCs w:val="22"/>
        </w:rPr>
        <w:t xml:space="preserve"> also proposes adopting a </w:t>
      </w:r>
      <w:r w:rsidR="00007E91">
        <w:rPr>
          <w:spacing w:val="-2"/>
          <w:szCs w:val="22"/>
        </w:rPr>
        <w:t xml:space="preserve">higher </w:t>
      </w:r>
      <w:r w:rsidR="00306C09">
        <w:rPr>
          <w:spacing w:val="-2"/>
          <w:szCs w:val="22"/>
        </w:rPr>
        <w:t xml:space="preserve">de minimis standard to exempt </w:t>
      </w:r>
      <w:r w:rsidR="00ED0959">
        <w:rPr>
          <w:spacing w:val="-2"/>
          <w:szCs w:val="22"/>
        </w:rPr>
        <w:t xml:space="preserve">the </w:t>
      </w:r>
      <w:r w:rsidR="00306C09">
        <w:rPr>
          <w:spacing w:val="-2"/>
          <w:szCs w:val="22"/>
        </w:rPr>
        <w:t xml:space="preserve">smaller entities from paying </w:t>
      </w:r>
      <w:r w:rsidR="00ED0959">
        <w:rPr>
          <w:spacing w:val="-2"/>
          <w:szCs w:val="22"/>
        </w:rPr>
        <w:t xml:space="preserve">any </w:t>
      </w:r>
      <w:r w:rsidR="00306C09">
        <w:rPr>
          <w:spacing w:val="-2"/>
          <w:szCs w:val="22"/>
        </w:rPr>
        <w:t>regulatory fees</w:t>
      </w:r>
      <w:r w:rsidR="00D6635D">
        <w:rPr>
          <w:spacing w:val="-2"/>
          <w:szCs w:val="22"/>
        </w:rPr>
        <w:t xml:space="preserve"> and to eliminate certain regulatory fee categories entirely</w:t>
      </w:r>
      <w:r w:rsidR="00306C09">
        <w:rPr>
          <w:spacing w:val="-2"/>
          <w:szCs w:val="22"/>
        </w:rPr>
        <w:t xml:space="preserve">.  </w:t>
      </w:r>
      <w:r w:rsidR="00392EF0">
        <w:rPr>
          <w:spacing w:val="-2"/>
          <w:szCs w:val="22"/>
        </w:rPr>
        <w:t>T</w:t>
      </w:r>
      <w:r w:rsidR="00392EF0" w:rsidRPr="007521D5">
        <w:rPr>
          <w:spacing w:val="-2"/>
          <w:szCs w:val="22"/>
        </w:rPr>
        <w:t>he Commission seeks comment on the abovementioned, and any other, means and methods that would minimize any significant economic impact of our proposed rules on small entities.</w:t>
      </w:r>
    </w:p>
    <w:p w:rsidR="00392EF0" w:rsidRPr="007521D5" w:rsidRDefault="00392EF0" w:rsidP="00392EF0">
      <w:pPr>
        <w:tabs>
          <w:tab w:val="left" w:pos="1440"/>
        </w:tabs>
        <w:suppressAutoHyphens/>
        <w:spacing w:line="240" w:lineRule="atLeast"/>
        <w:ind w:firstLine="720"/>
        <w:rPr>
          <w:spacing w:val="-2"/>
          <w:szCs w:val="22"/>
        </w:rPr>
      </w:pPr>
    </w:p>
    <w:p w:rsidR="00392EF0" w:rsidRPr="002C3FFF" w:rsidRDefault="00392EF0" w:rsidP="00392EF0">
      <w:pPr>
        <w:tabs>
          <w:tab w:val="left" w:pos="1440"/>
        </w:tabs>
        <w:suppressAutoHyphens/>
        <w:spacing w:line="240" w:lineRule="atLeast"/>
        <w:ind w:firstLine="720"/>
        <w:rPr>
          <w:b/>
          <w:spacing w:val="-2"/>
          <w:szCs w:val="22"/>
        </w:rPr>
      </w:pPr>
      <w:r w:rsidRPr="002C3FFF">
        <w:rPr>
          <w:b/>
          <w:spacing w:val="-2"/>
          <w:szCs w:val="22"/>
        </w:rPr>
        <w:t>VI.  Federal Rules that May Duplicate, Overlap, or Conflict with the Proposed Rules</w:t>
      </w:r>
    </w:p>
    <w:p w:rsidR="00392EF0" w:rsidRPr="007521D5" w:rsidRDefault="00392EF0" w:rsidP="00392EF0">
      <w:pPr>
        <w:tabs>
          <w:tab w:val="left" w:pos="1440"/>
        </w:tabs>
        <w:suppressAutoHyphens/>
        <w:spacing w:line="240" w:lineRule="atLeast"/>
        <w:ind w:firstLine="720"/>
        <w:rPr>
          <w:spacing w:val="-2"/>
          <w:szCs w:val="22"/>
        </w:rPr>
      </w:pPr>
    </w:p>
    <w:p w:rsidR="00392EF0" w:rsidRDefault="00392EF0" w:rsidP="00392EF0">
      <w:pPr>
        <w:tabs>
          <w:tab w:val="left" w:pos="1440"/>
        </w:tabs>
        <w:suppressAutoHyphens/>
        <w:spacing w:line="240" w:lineRule="atLeast"/>
        <w:ind w:firstLine="720"/>
        <w:rPr>
          <w:spacing w:val="-2"/>
          <w:szCs w:val="22"/>
        </w:rPr>
      </w:pPr>
      <w:r>
        <w:rPr>
          <w:spacing w:val="-2"/>
          <w:szCs w:val="22"/>
        </w:rPr>
        <w:t>2</w:t>
      </w:r>
      <w:r w:rsidR="00254381">
        <w:rPr>
          <w:spacing w:val="-2"/>
          <w:szCs w:val="22"/>
        </w:rPr>
        <w:t>7</w:t>
      </w:r>
      <w:r w:rsidRPr="007521D5">
        <w:rPr>
          <w:spacing w:val="-2"/>
          <w:szCs w:val="22"/>
        </w:rPr>
        <w:t>.</w:t>
      </w:r>
      <w:r w:rsidRPr="007521D5">
        <w:rPr>
          <w:spacing w:val="-2"/>
          <w:szCs w:val="22"/>
        </w:rPr>
        <w:tab/>
        <w:t>None.</w:t>
      </w:r>
    </w:p>
    <w:p w:rsidR="005A5E5C" w:rsidRDefault="005A5E5C" w:rsidP="00392EF0">
      <w:pPr>
        <w:tabs>
          <w:tab w:val="left" w:pos="1440"/>
        </w:tabs>
        <w:suppressAutoHyphens/>
        <w:spacing w:line="240" w:lineRule="atLeast"/>
        <w:ind w:firstLine="720"/>
        <w:rPr>
          <w:spacing w:val="-2"/>
          <w:szCs w:val="22"/>
        </w:rPr>
      </w:pPr>
    </w:p>
    <w:p w:rsidR="005A5E5C" w:rsidRDefault="005A5E5C">
      <w:pPr>
        <w:rPr>
          <w:spacing w:val="-2"/>
          <w:szCs w:val="22"/>
        </w:rPr>
      </w:pPr>
      <w:r>
        <w:rPr>
          <w:spacing w:val="-2"/>
          <w:szCs w:val="22"/>
        </w:rPr>
        <w:br w:type="page"/>
      </w:r>
    </w:p>
    <w:p w:rsidR="005A5E5C" w:rsidRDefault="005A5E5C" w:rsidP="005A5E5C">
      <w:pPr>
        <w:autoSpaceDE w:val="0"/>
        <w:autoSpaceDN w:val="0"/>
        <w:adjustRightInd w:val="0"/>
        <w:jc w:val="center"/>
        <w:rPr>
          <w:b/>
        </w:rPr>
      </w:pPr>
      <w:r>
        <w:rPr>
          <w:b/>
        </w:rPr>
        <w:t>ATTACHMENT F</w:t>
      </w:r>
    </w:p>
    <w:p w:rsidR="005A5E5C" w:rsidRDefault="005A5E5C" w:rsidP="005A5E5C">
      <w:pPr>
        <w:autoSpaceDE w:val="0"/>
        <w:autoSpaceDN w:val="0"/>
        <w:adjustRightInd w:val="0"/>
        <w:jc w:val="center"/>
        <w:rPr>
          <w:b/>
        </w:rPr>
      </w:pPr>
    </w:p>
    <w:p w:rsidR="005A5E5C" w:rsidRDefault="005A5E5C" w:rsidP="005A5E5C">
      <w:pPr>
        <w:autoSpaceDE w:val="0"/>
        <w:autoSpaceDN w:val="0"/>
        <w:adjustRightInd w:val="0"/>
        <w:jc w:val="center"/>
        <w:rPr>
          <w:b/>
          <w:vertAlign w:val="superscript"/>
        </w:rPr>
      </w:pPr>
      <w:r>
        <w:rPr>
          <w:b/>
        </w:rPr>
        <w:t>Revised FTE (as of 9/30/12) Allocations,</w:t>
      </w:r>
    </w:p>
    <w:p w:rsidR="005A5E5C" w:rsidRDefault="005A5E5C" w:rsidP="005A5E5C">
      <w:pPr>
        <w:jc w:val="center"/>
        <w:rPr>
          <w:b/>
        </w:rPr>
      </w:pPr>
      <w:r>
        <w:rPr>
          <w:b/>
        </w:rPr>
        <w:t>Fee Rate Increases Capped at 7.5%</w:t>
      </w:r>
    </w:p>
    <w:p w:rsidR="005A5E5C" w:rsidRDefault="005A5E5C" w:rsidP="005A5E5C">
      <w:pPr>
        <w:jc w:val="center"/>
        <w:rPr>
          <w:b/>
        </w:rPr>
      </w:pPr>
    </w:p>
    <w:p w:rsidR="005A5E5C" w:rsidRDefault="005A5E5C" w:rsidP="005A5E5C">
      <w:pPr>
        <w:jc w:val="center"/>
        <w:rPr>
          <w:b/>
        </w:rPr>
      </w:pPr>
      <w:r>
        <w:rPr>
          <w:b/>
        </w:rPr>
        <w:t>FY 2013 Schedule of Regulatory Fees</w:t>
      </w:r>
    </w:p>
    <w:p w:rsidR="005A5E5C" w:rsidRDefault="005A5E5C" w:rsidP="005A5E5C">
      <w:pPr>
        <w:jc w:val="center"/>
        <w:rPr>
          <w:b/>
        </w:rPr>
      </w:pPr>
    </w:p>
    <w:p w:rsidR="005A5E5C" w:rsidRDefault="005A5E5C" w:rsidP="005A5E5C">
      <w:pPr>
        <w:tabs>
          <w:tab w:val="center" w:pos="5040"/>
        </w:tabs>
        <w:suppressAutoHyphens/>
        <w:outlineLvl w:val="0"/>
        <w:rPr>
          <w:szCs w:val="22"/>
        </w:rPr>
      </w:pPr>
      <w:bookmarkStart w:id="334" w:name="_Toc382499687"/>
      <w:bookmarkStart w:id="335" w:name="_Toc382567947"/>
      <w:bookmarkStart w:id="336" w:name="_Toc382576279"/>
      <w:bookmarkStart w:id="337" w:name="_Toc384227084"/>
      <w:r>
        <w:rPr>
          <w:szCs w:val="22"/>
        </w:rPr>
        <w:t>Regulatory fees for the categories shaded in gray are collected by the Commission in advance to cover the term of the license and are submitted at the time the application is filed.</w:t>
      </w:r>
      <w:bookmarkEnd w:id="334"/>
      <w:bookmarkEnd w:id="335"/>
      <w:bookmarkEnd w:id="336"/>
      <w:bookmarkEnd w:id="337"/>
    </w:p>
    <w:p w:rsidR="005A5E5C" w:rsidRDefault="005A5E5C" w:rsidP="005A5E5C">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r>
        <w:rPr>
          <w:sz w:val="20"/>
        </w:rPr>
        <w:tab/>
      </w:r>
      <w:r>
        <w:rPr>
          <w:sz w:val="20"/>
        </w:rPr>
        <w:tab/>
      </w:r>
      <w:r>
        <w:rPr>
          <w:sz w:val="20"/>
        </w:rPr>
        <w:tab/>
      </w:r>
    </w:p>
    <w:tbl>
      <w:tblPr>
        <w:tblW w:w="8550" w:type="dxa"/>
        <w:tblInd w:w="210" w:type="dxa"/>
        <w:tblLayout w:type="fixed"/>
        <w:tblCellMar>
          <w:left w:w="120" w:type="dxa"/>
          <w:right w:w="120" w:type="dxa"/>
        </w:tblCellMar>
        <w:tblLook w:val="0000" w:firstRow="0" w:lastRow="0" w:firstColumn="0" w:lastColumn="0" w:noHBand="0" w:noVBand="0"/>
      </w:tblPr>
      <w:tblGrid>
        <w:gridCol w:w="7020"/>
        <w:gridCol w:w="1530"/>
      </w:tblGrid>
      <w:tr w:rsidR="005A5E5C" w:rsidTr="002539A3">
        <w:trPr>
          <w:tblHeader/>
        </w:trPr>
        <w:tc>
          <w:tcPr>
            <w:tcW w:w="7020" w:type="dxa"/>
            <w:tcBorders>
              <w:top w:val="double" w:sz="6" w:space="0" w:color="auto"/>
              <w:left w:val="double" w:sz="6" w:space="0" w:color="auto"/>
              <w:bottom w:val="single" w:sz="8" w:space="0" w:color="auto"/>
            </w:tcBorders>
          </w:tcPr>
          <w:p w:rsidR="005A5E5C" w:rsidRDefault="00253DF7"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sidR="005A5E5C">
              <w:rPr>
                <w:sz w:val="20"/>
              </w:rPr>
              <w:instrText xml:space="preserve">PRIVATE </w:instrText>
            </w:r>
            <w:r>
              <w:rPr>
                <w:sz w:val="20"/>
              </w:rPr>
              <w:fldChar w:fldCharType="end"/>
            </w: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530" w:type="dxa"/>
            <w:tcBorders>
              <w:top w:val="double" w:sz="6" w:space="0" w:color="auto"/>
              <w:left w:val="single" w:sz="6" w:space="0" w:color="auto"/>
              <w:bottom w:val="single" w:sz="8" w:space="0" w:color="auto"/>
              <w:righ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5A5E5C" w:rsidRDefault="005A5E5C" w:rsidP="002539A3">
            <w:pPr>
              <w:tabs>
                <w:tab w:val="center" w:pos="850"/>
              </w:tabs>
              <w:suppressAutoHyphens/>
              <w:spacing w:after="54"/>
              <w:jc w:val="center"/>
              <w:rPr>
                <w:b/>
                <w:sz w:val="20"/>
              </w:rPr>
            </w:pPr>
            <w:r>
              <w:rPr>
                <w:b/>
                <w:sz w:val="20"/>
              </w:rPr>
              <w:t>(U.S. $'s)</w:t>
            </w:r>
          </w:p>
        </w:tc>
      </w:tr>
      <w:tr w:rsidR="005A5E5C" w:rsidTr="002539A3">
        <w:tc>
          <w:tcPr>
            <w:tcW w:w="7020" w:type="dxa"/>
            <w:tcBorders>
              <w:top w:val="single" w:sz="8" w:space="0" w:color="auto"/>
              <w:left w:val="double" w:sz="12" w:space="0" w:color="auto"/>
              <w:bottom w:val="single" w:sz="8" w:space="0" w:color="auto"/>
              <w:right w:val="single" w:sz="8" w:space="0" w:color="auto"/>
            </w:tcBorders>
            <w:shd w:val="clear" w:color="auto" w:fill="C0C0C0"/>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5A5E5C" w:rsidRDefault="005A5E5C" w:rsidP="002539A3">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40</w:t>
            </w:r>
          </w:p>
        </w:tc>
      </w:tr>
      <w:tr w:rsidR="005A5E5C" w:rsidTr="002539A3">
        <w:tc>
          <w:tcPr>
            <w:tcW w:w="7020" w:type="dxa"/>
            <w:tcBorders>
              <w:top w:val="single" w:sz="8" w:space="0" w:color="auto"/>
              <w:left w:val="double" w:sz="12" w:space="0" w:color="auto"/>
              <w:bottom w:val="single" w:sz="8" w:space="0" w:color="auto"/>
              <w:right w:val="single" w:sz="8" w:space="0" w:color="auto"/>
            </w:tcBorders>
            <w:shd w:val="clear" w:color="auto" w:fill="C0C0C0"/>
          </w:tcPr>
          <w:p w:rsidR="005A5E5C" w:rsidRDefault="005A5E5C" w:rsidP="002539A3">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5A5E5C" w:rsidRDefault="005A5E5C" w:rsidP="002539A3">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20</w:t>
            </w:r>
          </w:p>
        </w:tc>
      </w:tr>
      <w:tr w:rsidR="005A5E5C" w:rsidTr="002539A3">
        <w:tc>
          <w:tcPr>
            <w:tcW w:w="7020" w:type="dxa"/>
            <w:tcBorders>
              <w:top w:val="single" w:sz="8" w:space="0" w:color="auto"/>
              <w:left w:val="double" w:sz="12" w:space="0" w:color="auto"/>
              <w:bottom w:val="single" w:sz="8" w:space="0" w:color="auto"/>
              <w:right w:val="single" w:sz="8" w:space="0" w:color="auto"/>
            </w:tcBorders>
            <w:shd w:val="clear" w:color="auto" w:fill="C0C0C0"/>
          </w:tcPr>
          <w:p w:rsidR="005A5E5C" w:rsidRDefault="005A5E5C" w:rsidP="002539A3">
            <w:pPr>
              <w:tabs>
                <w:tab w:val="left" w:pos="-1440"/>
                <w:tab w:val="left" w:pos="-720"/>
                <w:tab w:val="left" w:pos="0"/>
                <w:tab w:val="left" w:pos="720"/>
                <w:tab w:val="left" w:pos="1440"/>
                <w:tab w:val="left" w:pos="2160"/>
                <w:tab w:val="left" w:pos="2880"/>
                <w:tab w:val="right" w:pos="3461"/>
                <w:tab w:val="left" w:pos="3600"/>
              </w:tabs>
              <w:suppressAutoHyphens/>
              <w:spacing w:before="90" w:after="54"/>
              <w:rPr>
                <w:sz w:val="20"/>
              </w:rPr>
            </w:pPr>
            <w:r>
              <w:rPr>
                <w:sz w:val="20"/>
              </w:rPr>
              <w:t>218-219 MHz (Formerly Interactive Video Data Service) (per license) (47 CFR part 95)</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5A5E5C" w:rsidRDefault="005A5E5C" w:rsidP="002539A3">
            <w:pPr>
              <w:tabs>
                <w:tab w:val="left" w:pos="-1440"/>
                <w:tab w:val="left" w:pos="-720"/>
              </w:tabs>
              <w:suppressAutoHyphens/>
              <w:spacing w:before="90" w:after="54"/>
              <w:jc w:val="center"/>
              <w:rPr>
                <w:sz w:val="20"/>
              </w:rPr>
            </w:pPr>
            <w:r>
              <w:rPr>
                <w:sz w:val="20"/>
              </w:rPr>
              <w:t>75</w:t>
            </w:r>
          </w:p>
        </w:tc>
      </w:tr>
      <w:tr w:rsidR="005A5E5C" w:rsidTr="002539A3">
        <w:tc>
          <w:tcPr>
            <w:tcW w:w="7020" w:type="dxa"/>
            <w:tcBorders>
              <w:top w:val="single" w:sz="8" w:space="0" w:color="auto"/>
              <w:left w:val="double" w:sz="12" w:space="0" w:color="auto"/>
              <w:bottom w:val="single" w:sz="8" w:space="0" w:color="auto"/>
              <w:right w:val="single" w:sz="8" w:space="0" w:color="auto"/>
            </w:tcBorders>
            <w:shd w:val="clear" w:color="auto" w:fill="C0C0C0"/>
          </w:tcPr>
          <w:p w:rsidR="005A5E5C" w:rsidRDefault="005A5E5C" w:rsidP="002539A3">
            <w:pPr>
              <w:tabs>
                <w:tab w:val="left" w:pos="-1440"/>
                <w:tab w:val="left" w:pos="-720"/>
              </w:tabs>
              <w:suppressAutoHyphens/>
              <w:spacing w:before="90" w:after="54"/>
              <w:rPr>
                <w:sz w:val="20"/>
              </w:rPr>
            </w:pPr>
            <w:r>
              <w:rPr>
                <w:sz w:val="20"/>
              </w:rPr>
              <w:t>Marine (Ship) (per station) (47 CFR part 80)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5A5E5C" w:rsidRDefault="005A5E5C" w:rsidP="002539A3">
            <w:pPr>
              <w:tabs>
                <w:tab w:val="left" w:pos="-1440"/>
                <w:tab w:val="left" w:pos="-720"/>
              </w:tabs>
              <w:suppressAutoHyphens/>
              <w:spacing w:before="90" w:after="54"/>
              <w:jc w:val="center"/>
              <w:rPr>
                <w:sz w:val="20"/>
              </w:rPr>
            </w:pPr>
            <w:r>
              <w:rPr>
                <w:sz w:val="20"/>
              </w:rPr>
              <w:t>10</w:t>
            </w:r>
          </w:p>
        </w:tc>
      </w:tr>
      <w:tr w:rsidR="005A5E5C" w:rsidTr="002539A3">
        <w:tc>
          <w:tcPr>
            <w:tcW w:w="7020" w:type="dxa"/>
            <w:tcBorders>
              <w:top w:val="single" w:sz="8" w:space="0" w:color="auto"/>
              <w:left w:val="double" w:sz="12" w:space="0" w:color="auto"/>
              <w:bottom w:val="single" w:sz="8" w:space="0" w:color="auto"/>
              <w:right w:val="single" w:sz="8" w:space="0" w:color="auto"/>
            </w:tcBorders>
            <w:shd w:val="clear" w:color="auto" w:fill="C0C0C0"/>
          </w:tcPr>
          <w:p w:rsidR="005A5E5C" w:rsidRDefault="005A5E5C" w:rsidP="002539A3">
            <w:pPr>
              <w:tabs>
                <w:tab w:val="left" w:pos="-1440"/>
                <w:tab w:val="left" w:pos="-720"/>
              </w:tabs>
              <w:suppressAutoHyphens/>
              <w:spacing w:before="90" w:after="54"/>
              <w:rPr>
                <w:sz w:val="20"/>
              </w:rPr>
            </w:pPr>
            <w:r>
              <w:rPr>
                <w:sz w:val="20"/>
              </w:rPr>
              <w:t>Marine (Coast) (per license) (47 CFR part 80)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5A5E5C" w:rsidRDefault="005A5E5C" w:rsidP="002539A3">
            <w:pPr>
              <w:tabs>
                <w:tab w:val="left" w:pos="-1440"/>
                <w:tab w:val="left" w:pos="-720"/>
              </w:tabs>
              <w:suppressAutoHyphens/>
              <w:spacing w:before="90" w:after="54"/>
              <w:jc w:val="center"/>
              <w:rPr>
                <w:sz w:val="20"/>
              </w:rPr>
            </w:pPr>
            <w:r>
              <w:rPr>
                <w:sz w:val="20"/>
              </w:rPr>
              <w:t>55</w:t>
            </w:r>
          </w:p>
        </w:tc>
      </w:tr>
      <w:tr w:rsidR="005A5E5C" w:rsidTr="002539A3">
        <w:tc>
          <w:tcPr>
            <w:tcW w:w="7020" w:type="dxa"/>
            <w:tcBorders>
              <w:top w:val="single" w:sz="8" w:space="0" w:color="auto"/>
              <w:left w:val="double" w:sz="12" w:space="0" w:color="auto"/>
              <w:bottom w:val="single" w:sz="8" w:space="0" w:color="auto"/>
              <w:right w:val="single" w:sz="8" w:space="0" w:color="auto"/>
            </w:tcBorders>
            <w:shd w:val="clear" w:color="auto" w:fill="C0C0C0"/>
          </w:tcPr>
          <w:p w:rsidR="005A5E5C" w:rsidRDefault="005A5E5C" w:rsidP="002539A3">
            <w:pPr>
              <w:tabs>
                <w:tab w:val="left" w:pos="-1440"/>
                <w:tab w:val="left" w:pos="-720"/>
              </w:tabs>
              <w:suppressAutoHyphens/>
              <w:spacing w:before="90" w:after="54"/>
              <w:rPr>
                <w:sz w:val="20"/>
              </w:rPr>
            </w:pPr>
            <w:r>
              <w:rPr>
                <w:sz w:val="20"/>
              </w:rPr>
              <w:t>General Mobile Radio Service (per license) (47 CFR part 95)</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5A5E5C" w:rsidRDefault="005A5E5C" w:rsidP="002539A3">
            <w:pPr>
              <w:tabs>
                <w:tab w:val="left" w:pos="-1440"/>
                <w:tab w:val="left" w:pos="-720"/>
              </w:tabs>
              <w:suppressAutoHyphens/>
              <w:spacing w:before="90" w:after="54"/>
              <w:jc w:val="center"/>
              <w:rPr>
                <w:sz w:val="20"/>
              </w:rPr>
            </w:pPr>
            <w:r>
              <w:rPr>
                <w:sz w:val="20"/>
              </w:rPr>
              <w:t>5</w:t>
            </w:r>
          </w:p>
        </w:tc>
      </w:tr>
      <w:tr w:rsidR="005A5E5C" w:rsidTr="002539A3">
        <w:tc>
          <w:tcPr>
            <w:tcW w:w="7020" w:type="dxa"/>
            <w:tcBorders>
              <w:top w:val="single" w:sz="8" w:space="0" w:color="auto"/>
              <w:left w:val="double" w:sz="12" w:space="0" w:color="auto"/>
              <w:bottom w:val="single" w:sz="8" w:space="0" w:color="auto"/>
              <w:right w:val="single" w:sz="8" w:space="0" w:color="auto"/>
            </w:tcBorders>
            <w:shd w:val="clear" w:color="auto" w:fill="C0C0C0"/>
          </w:tcPr>
          <w:p w:rsidR="005A5E5C" w:rsidRDefault="005A5E5C" w:rsidP="002539A3">
            <w:pPr>
              <w:tabs>
                <w:tab w:val="left" w:pos="-1440"/>
                <w:tab w:val="left" w:pos="-720"/>
              </w:tabs>
              <w:suppressAutoHyphens/>
              <w:spacing w:before="90" w:after="54"/>
              <w:rPr>
                <w:sz w:val="20"/>
              </w:rPr>
            </w:pPr>
            <w:r>
              <w:rPr>
                <w:sz w:val="20"/>
              </w:rPr>
              <w:t>Rural Radio (47 CFR part 22) (previously listed under the Land Mobile category)</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5A5E5C" w:rsidRDefault="005A5E5C" w:rsidP="002539A3">
            <w:pPr>
              <w:tabs>
                <w:tab w:val="left" w:pos="-1440"/>
                <w:tab w:val="left" w:pos="-720"/>
              </w:tabs>
              <w:suppressAutoHyphens/>
              <w:spacing w:before="90" w:after="54"/>
              <w:jc w:val="center"/>
              <w:rPr>
                <w:sz w:val="20"/>
              </w:rPr>
            </w:pPr>
            <w:r>
              <w:rPr>
                <w:sz w:val="20"/>
              </w:rPr>
              <w:t>15</w:t>
            </w:r>
          </w:p>
        </w:tc>
      </w:tr>
      <w:tr w:rsidR="005A5E5C" w:rsidTr="002539A3">
        <w:tc>
          <w:tcPr>
            <w:tcW w:w="7020" w:type="dxa"/>
            <w:tcBorders>
              <w:top w:val="single" w:sz="8" w:space="0" w:color="auto"/>
              <w:left w:val="double" w:sz="12" w:space="0" w:color="auto"/>
              <w:bottom w:val="single" w:sz="8" w:space="0" w:color="auto"/>
              <w:right w:val="single" w:sz="8" w:space="0" w:color="auto"/>
            </w:tcBorders>
            <w:shd w:val="clear" w:color="auto" w:fill="C0C0C0"/>
          </w:tcPr>
          <w:p w:rsidR="005A5E5C" w:rsidRDefault="005A5E5C" w:rsidP="002539A3">
            <w:pPr>
              <w:tabs>
                <w:tab w:val="left" w:pos="-1440"/>
                <w:tab w:val="left" w:pos="-720"/>
              </w:tabs>
              <w:suppressAutoHyphens/>
              <w:spacing w:before="90" w:after="54"/>
              <w:rPr>
                <w:sz w:val="20"/>
              </w:rPr>
            </w:pPr>
            <w:r>
              <w:rPr>
                <w:sz w:val="20"/>
              </w:rPr>
              <w:t>PLMRS (Shared Use) (per license) (47 CFR part 90)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5A5E5C" w:rsidRDefault="005A5E5C" w:rsidP="002539A3">
            <w:pPr>
              <w:tabs>
                <w:tab w:val="left" w:pos="-1440"/>
                <w:tab w:val="left" w:pos="-720"/>
              </w:tabs>
              <w:suppressAutoHyphens/>
              <w:spacing w:before="90" w:after="54"/>
              <w:jc w:val="center"/>
              <w:rPr>
                <w:sz w:val="20"/>
              </w:rPr>
            </w:pPr>
            <w:r>
              <w:rPr>
                <w:sz w:val="20"/>
              </w:rPr>
              <w:t>15</w:t>
            </w:r>
          </w:p>
        </w:tc>
      </w:tr>
      <w:tr w:rsidR="005A5E5C" w:rsidTr="002539A3">
        <w:tc>
          <w:tcPr>
            <w:tcW w:w="7020" w:type="dxa"/>
            <w:tcBorders>
              <w:top w:val="single" w:sz="8" w:space="0" w:color="auto"/>
              <w:left w:val="double" w:sz="12" w:space="0" w:color="auto"/>
              <w:bottom w:val="single" w:sz="8" w:space="0" w:color="auto"/>
              <w:right w:val="single" w:sz="8" w:space="0" w:color="auto"/>
            </w:tcBorders>
            <w:shd w:val="clear" w:color="auto" w:fill="C0C0C0"/>
          </w:tcPr>
          <w:p w:rsidR="005A5E5C" w:rsidRDefault="005A5E5C" w:rsidP="002539A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5A5E5C" w:rsidRDefault="005A5E5C" w:rsidP="002539A3">
            <w:pPr>
              <w:tabs>
                <w:tab w:val="left" w:pos="-1440"/>
                <w:tab w:val="left" w:pos="-720"/>
              </w:tabs>
              <w:suppressAutoHyphens/>
              <w:spacing w:before="90" w:after="54"/>
              <w:jc w:val="center"/>
              <w:rPr>
                <w:sz w:val="20"/>
              </w:rPr>
            </w:pPr>
            <w:r>
              <w:rPr>
                <w:sz w:val="20"/>
              </w:rPr>
              <w:t>10</w:t>
            </w:r>
          </w:p>
        </w:tc>
      </w:tr>
      <w:tr w:rsidR="005A5E5C" w:rsidTr="002539A3">
        <w:tc>
          <w:tcPr>
            <w:tcW w:w="7020" w:type="dxa"/>
            <w:tcBorders>
              <w:top w:val="single" w:sz="8" w:space="0" w:color="auto"/>
              <w:left w:val="double" w:sz="12" w:space="0" w:color="auto"/>
              <w:bottom w:val="single" w:sz="8" w:space="0" w:color="auto"/>
              <w:right w:val="single" w:sz="8" w:space="0" w:color="auto"/>
            </w:tcBorders>
            <w:shd w:val="clear" w:color="auto" w:fill="C0C0C0"/>
          </w:tcPr>
          <w:p w:rsidR="005A5E5C" w:rsidRDefault="005A5E5C" w:rsidP="002539A3">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5A5E5C" w:rsidRDefault="005A5E5C" w:rsidP="002539A3">
            <w:pPr>
              <w:tabs>
                <w:tab w:val="left" w:pos="-1440"/>
                <w:tab w:val="left" w:pos="-720"/>
              </w:tabs>
              <w:suppressAutoHyphens/>
              <w:spacing w:before="90" w:after="54"/>
              <w:jc w:val="center"/>
              <w:rPr>
                <w:sz w:val="20"/>
              </w:rPr>
            </w:pPr>
            <w:r>
              <w:rPr>
                <w:sz w:val="20"/>
              </w:rPr>
              <w:t>15</w:t>
            </w:r>
          </w:p>
        </w:tc>
      </w:tr>
      <w:tr w:rsidR="005A5E5C" w:rsidTr="002539A3">
        <w:tc>
          <w:tcPr>
            <w:tcW w:w="7020" w:type="dxa"/>
            <w:tcBorders>
              <w:top w:val="single" w:sz="8" w:space="0" w:color="auto"/>
              <w:left w:val="double" w:sz="12" w:space="0" w:color="auto"/>
              <w:bottom w:val="single" w:sz="8" w:space="0" w:color="auto"/>
              <w:right w:val="single" w:sz="8" w:space="0" w:color="auto"/>
            </w:tcBorders>
            <w:shd w:val="clear" w:color="auto" w:fill="C0C0C0"/>
          </w:tcPr>
          <w:p w:rsidR="005A5E5C" w:rsidRDefault="005A5E5C" w:rsidP="002539A3">
            <w:pPr>
              <w:tabs>
                <w:tab w:val="left" w:pos="-1440"/>
                <w:tab w:val="left" w:pos="-720"/>
              </w:tabs>
              <w:suppressAutoHyphens/>
              <w:spacing w:before="90" w:after="54"/>
              <w:rPr>
                <w:sz w:val="20"/>
              </w:rPr>
            </w:pPr>
            <w:r>
              <w:rPr>
                <w:sz w:val="20"/>
              </w:rPr>
              <w:t xml:space="preserve">Amateur Vanity Call Signs (per call sign) (47 CFR part 97) </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5A5E5C" w:rsidRDefault="005A5E5C" w:rsidP="002539A3">
            <w:pPr>
              <w:tabs>
                <w:tab w:val="left" w:pos="-1440"/>
                <w:tab w:val="left" w:pos="-720"/>
              </w:tabs>
              <w:suppressAutoHyphens/>
              <w:spacing w:before="90" w:after="54"/>
              <w:jc w:val="center"/>
              <w:rPr>
                <w:sz w:val="20"/>
              </w:rPr>
            </w:pPr>
            <w:r>
              <w:rPr>
                <w:sz w:val="20"/>
              </w:rPr>
              <w:t>1.61</w:t>
            </w:r>
          </w:p>
        </w:tc>
      </w:tr>
      <w:tr w:rsidR="005A5E5C" w:rsidTr="002539A3">
        <w:tc>
          <w:tcPr>
            <w:tcW w:w="7020" w:type="dxa"/>
            <w:tcBorders>
              <w:top w:val="single" w:sz="8"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CMRS Mobile/Cellular Services (per unit) (47 CFR parts 20, 22, 24, 27, 80 and 90)</w:t>
            </w:r>
          </w:p>
        </w:tc>
        <w:tc>
          <w:tcPr>
            <w:tcW w:w="1530" w:type="dxa"/>
            <w:tcBorders>
              <w:top w:val="single" w:sz="8"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.18</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CMRS Messaging Services (per unit) (47 CFR parts 20, 22, 24 and 90)</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.08</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Broadband Radio Service (formerly MMDS/ MDS) (per license) (47 CFR part 27)</w:t>
            </w:r>
          </w:p>
          <w:p w:rsidR="005A5E5C" w:rsidRDefault="005A5E5C" w:rsidP="002539A3">
            <w:pPr>
              <w:tabs>
                <w:tab w:val="left" w:pos="-1440"/>
                <w:tab w:val="left" w:pos="-720"/>
              </w:tabs>
              <w:suppressAutoHyphens/>
              <w:spacing w:before="90" w:after="54"/>
              <w:rPr>
                <w:sz w:val="20"/>
              </w:rPr>
            </w:pPr>
            <w:r>
              <w:rPr>
                <w:sz w:val="20"/>
              </w:rPr>
              <w:t>Local Multipoint Distribution Service (per call sign) (47 CFR, part 101)</w:t>
            </w:r>
          </w:p>
          <w:p w:rsidR="005A5E5C" w:rsidRDefault="005A5E5C" w:rsidP="002539A3">
            <w:pPr>
              <w:tabs>
                <w:tab w:val="left" w:pos="-1440"/>
                <w:tab w:val="left" w:pos="-720"/>
              </w:tabs>
              <w:suppressAutoHyphens/>
              <w:spacing w:before="90" w:after="54"/>
              <w:rPr>
                <w:sz w:val="20"/>
              </w:rPr>
            </w:pP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510</w:t>
            </w:r>
          </w:p>
          <w:p w:rsidR="005A5E5C" w:rsidRDefault="005A5E5C" w:rsidP="002539A3">
            <w:pPr>
              <w:tabs>
                <w:tab w:val="left" w:pos="-1440"/>
                <w:tab w:val="left" w:pos="-720"/>
              </w:tabs>
              <w:suppressAutoHyphens/>
              <w:spacing w:before="90" w:after="54"/>
              <w:jc w:val="center"/>
              <w:rPr>
                <w:sz w:val="20"/>
              </w:rPr>
            </w:pPr>
            <w:r>
              <w:rPr>
                <w:sz w:val="20"/>
              </w:rPr>
              <w:t>510</w:t>
            </w:r>
          </w:p>
          <w:p w:rsidR="005A5E5C" w:rsidRDefault="005A5E5C" w:rsidP="002539A3">
            <w:pPr>
              <w:tabs>
                <w:tab w:val="left" w:pos="-1440"/>
                <w:tab w:val="left" w:pos="-720"/>
              </w:tabs>
              <w:suppressAutoHyphens/>
              <w:spacing w:before="90" w:after="54"/>
              <w:jc w:val="center"/>
              <w:rPr>
                <w:sz w:val="20"/>
              </w:rPr>
            </w:pP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AM Radio Construction Permits</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590</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FM Radio Construction Permits</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750</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TV (47 CFR part 73) VHF Commercial</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right"/>
              <w:rPr>
                <w:sz w:val="20"/>
              </w:rPr>
            </w:pP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86,075</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s>
              <w:suppressAutoHyphens/>
              <w:spacing w:before="90" w:after="54"/>
              <w:ind w:left="720" w:hanging="720"/>
              <w:rPr>
                <w:sz w:val="20"/>
              </w:rPr>
            </w:pPr>
            <w:r>
              <w:rPr>
                <w:sz w:val="20"/>
              </w:rPr>
              <w:tab/>
              <w:t>Markets 11-25</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78,975</w:t>
            </w:r>
          </w:p>
        </w:tc>
      </w:tr>
      <w:tr w:rsidR="005A5E5C" w:rsidTr="002539A3">
        <w:tc>
          <w:tcPr>
            <w:tcW w:w="7020" w:type="dxa"/>
            <w:tcBorders>
              <w:top w:val="single" w:sz="2" w:space="0" w:color="auto"/>
              <w:left w:val="double" w:sz="2" w:space="0" w:color="auto"/>
              <w:right w:val="single" w:sz="2" w:space="0" w:color="auto"/>
            </w:tcBorders>
          </w:tcPr>
          <w:p w:rsidR="005A5E5C" w:rsidRDefault="005A5E5C" w:rsidP="002539A3">
            <w:pPr>
              <w:tabs>
                <w:tab w:val="left" w:pos="-1440"/>
                <w:tab w:val="left" w:pos="-720"/>
                <w:tab w:val="left" w:pos="0"/>
              </w:tabs>
              <w:suppressAutoHyphens/>
              <w:spacing w:before="90" w:after="54"/>
              <w:ind w:left="720" w:hanging="720"/>
              <w:rPr>
                <w:sz w:val="20"/>
              </w:rPr>
            </w:pPr>
            <w:r>
              <w:rPr>
                <w:sz w:val="20"/>
              </w:rPr>
              <w:tab/>
              <w:t>Markets 26-50</w:t>
            </w:r>
          </w:p>
        </w:tc>
        <w:tc>
          <w:tcPr>
            <w:tcW w:w="1530" w:type="dxa"/>
            <w:tcBorders>
              <w:top w:val="single" w:sz="2" w:space="0" w:color="auto"/>
              <w:left w:val="single" w:sz="2" w:space="0" w:color="auto"/>
              <w:right w:val="double" w:sz="2" w:space="0" w:color="auto"/>
            </w:tcBorders>
          </w:tcPr>
          <w:p w:rsidR="005A5E5C" w:rsidRDefault="005A5E5C" w:rsidP="002539A3">
            <w:pPr>
              <w:tabs>
                <w:tab w:val="left" w:pos="-1440"/>
                <w:tab w:val="left" w:pos="-720"/>
              </w:tabs>
              <w:suppressAutoHyphens/>
              <w:spacing w:before="90" w:after="54"/>
              <w:jc w:val="center"/>
              <w:rPr>
                <w:sz w:val="20"/>
              </w:rPr>
            </w:pPr>
            <w:r>
              <w:rPr>
                <w:sz w:val="20"/>
              </w:rPr>
              <w:t>42,775</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22,475</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s>
              <w:suppressAutoHyphens/>
              <w:spacing w:before="90" w:after="54"/>
              <w:ind w:left="720" w:hanging="720"/>
              <w:rPr>
                <w:sz w:val="20"/>
              </w:rPr>
            </w:pPr>
            <w:r>
              <w:rPr>
                <w:sz w:val="20"/>
              </w:rPr>
              <w:tab/>
              <w:t>Remaining Markets</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6,250</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s>
              <w:suppressAutoHyphens/>
              <w:spacing w:before="90" w:after="54"/>
              <w:ind w:left="720" w:hanging="720"/>
              <w:rPr>
                <w:sz w:val="20"/>
              </w:rPr>
            </w:pPr>
            <w:r>
              <w:rPr>
                <w:sz w:val="20"/>
              </w:rPr>
              <w:tab/>
              <w:t>Construction Permits</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6,250</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TV (47 CFR part 73) UHF Commercial</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right"/>
              <w:rPr>
                <w:sz w:val="20"/>
              </w:rPr>
            </w:pP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s>
              <w:suppressAutoHyphens/>
              <w:spacing w:before="90" w:after="54"/>
              <w:ind w:left="720" w:hanging="720"/>
              <w:rPr>
                <w:sz w:val="20"/>
              </w:rPr>
            </w:pPr>
            <w:r>
              <w:rPr>
                <w:sz w:val="20"/>
              </w:rPr>
              <w:tab/>
              <w:t>Markets 1-10</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38,000</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s>
              <w:suppressAutoHyphens/>
              <w:spacing w:before="90" w:after="54"/>
              <w:ind w:left="720" w:hanging="720"/>
              <w:rPr>
                <w:sz w:val="20"/>
              </w:rPr>
            </w:pPr>
            <w:r>
              <w:rPr>
                <w:sz w:val="20"/>
              </w:rPr>
              <w:tab/>
              <w:t>Markets 11-25</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35,050</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s>
              <w:suppressAutoHyphens/>
              <w:spacing w:before="90" w:after="54"/>
              <w:ind w:left="720" w:hanging="720"/>
              <w:rPr>
                <w:sz w:val="20"/>
              </w:rPr>
            </w:pPr>
            <w:r>
              <w:rPr>
                <w:sz w:val="20"/>
              </w:rPr>
              <w:tab/>
              <w:t>Markets 26-50</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23,550</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s>
              <w:suppressAutoHyphens/>
              <w:spacing w:before="90" w:after="54"/>
              <w:ind w:left="720" w:hanging="720"/>
              <w:rPr>
                <w:sz w:val="20"/>
              </w:rPr>
            </w:pPr>
            <w:r>
              <w:rPr>
                <w:sz w:val="20"/>
              </w:rPr>
              <w:tab/>
              <w:t>Markets 51-100</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13,700</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s>
              <w:suppressAutoHyphens/>
              <w:spacing w:before="90" w:after="54"/>
              <w:ind w:left="720" w:hanging="720"/>
              <w:rPr>
                <w:sz w:val="20"/>
              </w:rPr>
            </w:pPr>
            <w:r>
              <w:rPr>
                <w:sz w:val="20"/>
              </w:rPr>
              <w:tab/>
              <w:t>Remaining Markets</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3,675</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Construction Permits</w:t>
            </w:r>
            <w:r>
              <w:rPr>
                <w:sz w:val="20"/>
              </w:rPr>
              <w:tab/>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3,675</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 xml:space="preserve">Satellite Television Stations  (All Markets)   </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1,525</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Construction Permits – Satellite Television Stations</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960</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410</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s>
              <w:suppressAutoHyphens/>
              <w:spacing w:before="90" w:after="54"/>
              <w:ind w:left="3600" w:hanging="3600"/>
              <w:rPr>
                <w:sz w:val="20"/>
              </w:rPr>
            </w:pPr>
            <w:r>
              <w:rPr>
                <w:sz w:val="20"/>
              </w:rPr>
              <w:t>Broadcast Auxiliaries (47 CFR part 74)</w:t>
            </w:r>
            <w:r>
              <w:rPr>
                <w:sz w:val="20"/>
              </w:rPr>
              <w:tab/>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10</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510</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Cable Television Systems (per subscriber) (47 CFR part 76)</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1.02</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Interstate Telecommunication Service Providers (per revenue dollar)</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.00347</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Earth Stations (47 CFR part 25)</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275</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Space Stations (per operational station in geostationary orbit) (47 CFR part 25) also includes DBS Service (per operat</w:t>
            </w:r>
            <w:r w:rsidR="00510B1A">
              <w:rPr>
                <w:sz w:val="20"/>
              </w:rPr>
              <w:t>ional station)</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jc w:val="center"/>
              <w:rPr>
                <w:sz w:val="20"/>
              </w:rPr>
            </w:pPr>
          </w:p>
          <w:p w:rsidR="005A5E5C" w:rsidRDefault="005A5E5C" w:rsidP="002539A3">
            <w:pPr>
              <w:tabs>
                <w:tab w:val="left" w:pos="-1440"/>
                <w:tab w:val="left" w:pos="-720"/>
              </w:tabs>
              <w:suppressAutoHyphens/>
              <w:spacing w:after="54"/>
              <w:jc w:val="center"/>
              <w:rPr>
                <w:sz w:val="20"/>
              </w:rPr>
            </w:pPr>
            <w:r>
              <w:rPr>
                <w:sz w:val="20"/>
              </w:rPr>
              <w:t>139,100</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Space Stations (per operational system in non-geostationary orbit) (47 CFR part 25)</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149,875</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.27</w:t>
            </w:r>
          </w:p>
        </w:tc>
      </w:tr>
      <w:tr w:rsidR="005A5E5C" w:rsidTr="002539A3">
        <w:tc>
          <w:tcPr>
            <w:tcW w:w="7020" w:type="dxa"/>
            <w:tcBorders>
              <w:top w:val="single" w:sz="6" w:space="0" w:color="auto"/>
              <w:lef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International Bearer Circuits - Submarine Cable </w:t>
            </w:r>
          </w:p>
        </w:tc>
        <w:tc>
          <w:tcPr>
            <w:tcW w:w="1530" w:type="dxa"/>
            <w:tcBorders>
              <w:top w:val="single" w:sz="6" w:space="0" w:color="auto"/>
              <w:left w:val="single" w:sz="6" w:space="0" w:color="auto"/>
              <w:right w:val="double" w:sz="6" w:space="0" w:color="auto"/>
            </w:tcBorders>
          </w:tcPr>
          <w:p w:rsidR="005A5E5C" w:rsidRDefault="005A5E5C" w:rsidP="002539A3">
            <w:pPr>
              <w:tabs>
                <w:tab w:val="left" w:pos="-1440"/>
                <w:tab w:val="left" w:pos="-720"/>
              </w:tabs>
              <w:suppressAutoHyphens/>
              <w:spacing w:before="90" w:after="54"/>
              <w:jc w:val="center"/>
              <w:rPr>
                <w:sz w:val="20"/>
              </w:rPr>
            </w:pPr>
            <w:r>
              <w:rPr>
                <w:sz w:val="20"/>
              </w:rPr>
              <w:t>See Table Below</w:t>
            </w:r>
          </w:p>
        </w:tc>
      </w:tr>
      <w:tr w:rsidR="005A5E5C" w:rsidTr="002539A3">
        <w:trPr>
          <w:trHeight w:val="57"/>
        </w:trPr>
        <w:tc>
          <w:tcPr>
            <w:tcW w:w="7020" w:type="dxa"/>
            <w:tcBorders>
              <w:top w:val="single" w:sz="6" w:space="0" w:color="auto"/>
              <w:left w:val="double" w:sz="6" w:space="0" w:color="auto"/>
              <w:bottom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530" w:type="dxa"/>
            <w:tcBorders>
              <w:top w:val="single" w:sz="6" w:space="0" w:color="auto"/>
              <w:left w:val="single" w:sz="6" w:space="0" w:color="auto"/>
              <w:bottom w:val="double" w:sz="6" w:space="0" w:color="auto"/>
              <w:right w:val="double" w:sz="6" w:space="0" w:color="auto"/>
            </w:tcBorders>
          </w:tcPr>
          <w:p w:rsidR="005A5E5C" w:rsidRDefault="005A5E5C" w:rsidP="002539A3">
            <w:pPr>
              <w:tabs>
                <w:tab w:val="center" w:pos="850"/>
              </w:tabs>
              <w:suppressAutoHyphens/>
              <w:spacing w:before="90" w:after="54"/>
              <w:jc w:val="center"/>
              <w:rPr>
                <w:sz w:val="20"/>
              </w:rPr>
            </w:pPr>
          </w:p>
        </w:tc>
      </w:tr>
    </w:tbl>
    <w:p w:rsidR="005A5E5C" w:rsidRDefault="005A5E5C" w:rsidP="005A5E5C">
      <w:pPr>
        <w:spacing w:after="200" w:line="276" w:lineRule="auto"/>
        <w:rPr>
          <w:sz w:val="20"/>
        </w:rPr>
      </w:pPr>
    </w:p>
    <w:p w:rsidR="005A5E5C" w:rsidRDefault="005A5E5C" w:rsidP="005A5E5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sz w:val="20"/>
        </w:rPr>
      </w:pPr>
      <w:r>
        <w:rPr>
          <w:sz w:val="20"/>
        </w:rPr>
        <w:t xml:space="preserve"> </w:t>
      </w:r>
    </w:p>
    <w:p w:rsidR="005A5E5C" w:rsidRDefault="005A5E5C" w:rsidP="005A5E5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r>
        <w:rPr>
          <w:sz w:val="20"/>
        </w:rPr>
        <w:br w:type="page"/>
      </w:r>
      <w:bookmarkStart w:id="338" w:name="_Toc353987749"/>
      <w:bookmarkStart w:id="339" w:name="_Toc353988070"/>
      <w:bookmarkStart w:id="340" w:name="_Toc382499688"/>
      <w:bookmarkStart w:id="341" w:name="_Toc382567948"/>
      <w:bookmarkStart w:id="342" w:name="_Toc382576280"/>
      <w:bookmarkStart w:id="343" w:name="_Toc384227085"/>
      <w:r>
        <w:rPr>
          <w:b/>
          <w:szCs w:val="22"/>
        </w:rPr>
        <w:t xml:space="preserve">FY 2013 SCHEDULE OF REGULATORY FEES: </w:t>
      </w:r>
      <w:r>
        <w:rPr>
          <w:b/>
        </w:rPr>
        <w:t>Fee Rate Increases Capped at 7.5%</w:t>
      </w:r>
      <w:bookmarkStart w:id="344" w:name="_Toc353870723"/>
      <w:bookmarkStart w:id="345" w:name="_Toc353987750"/>
      <w:bookmarkStart w:id="346" w:name="_Toc353988071"/>
      <w:bookmarkEnd w:id="338"/>
      <w:bookmarkEnd w:id="339"/>
      <w:bookmarkEnd w:id="340"/>
      <w:bookmarkEnd w:id="341"/>
      <w:bookmarkEnd w:id="342"/>
      <w:bookmarkEnd w:id="343"/>
      <w:r>
        <w:rPr>
          <w:rFonts w:ascii="Times New Roman Bold" w:hAnsi="Times New Roman Bold"/>
          <w:b/>
          <w:szCs w:val="22"/>
        </w:rPr>
        <w:t xml:space="preserve"> </w:t>
      </w:r>
    </w:p>
    <w:p w:rsidR="005A5E5C" w:rsidRDefault="005A5E5C" w:rsidP="005A5E5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bookmarkStart w:id="347" w:name="_Toc382499689"/>
      <w:bookmarkStart w:id="348" w:name="_Toc382567949"/>
      <w:bookmarkStart w:id="349" w:name="_Toc382576281"/>
      <w:bookmarkStart w:id="350" w:name="_Toc384227086"/>
      <w:r>
        <w:rPr>
          <w:rFonts w:ascii="Times New Roman Bold" w:hAnsi="Times New Roman Bold"/>
          <w:b/>
          <w:szCs w:val="22"/>
        </w:rPr>
        <w:t>(continued)</w:t>
      </w:r>
      <w:bookmarkEnd w:id="344"/>
      <w:bookmarkEnd w:id="345"/>
      <w:bookmarkEnd w:id="346"/>
      <w:bookmarkEnd w:id="347"/>
      <w:bookmarkEnd w:id="348"/>
      <w:bookmarkEnd w:id="349"/>
      <w:bookmarkEnd w:id="350"/>
    </w:p>
    <w:p w:rsidR="005A5E5C" w:rsidRDefault="005A5E5C" w:rsidP="005A5E5C">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 w:val="20"/>
        </w:rPr>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5A5E5C" w:rsidTr="002539A3">
        <w:tc>
          <w:tcPr>
            <w:tcW w:w="8550" w:type="dxa"/>
            <w:gridSpan w:val="7"/>
            <w:tcBorders>
              <w:top w:val="double" w:sz="6" w:space="0" w:color="auto"/>
              <w:left w:val="double" w:sz="6" w:space="0" w:color="auto"/>
              <w:righ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2013 </w:t>
            </w:r>
            <w:r w:rsidR="00253DF7">
              <w:rPr>
                <w:b/>
                <w:sz w:val="20"/>
              </w:rPr>
              <w:fldChar w:fldCharType="begin"/>
            </w:r>
            <w:r>
              <w:rPr>
                <w:b/>
                <w:sz w:val="20"/>
              </w:rPr>
              <w:instrText xml:space="preserve">PRIVATE </w:instrText>
            </w:r>
            <w:r w:rsidR="00253DF7">
              <w:rPr>
                <w:b/>
                <w:sz w:val="20"/>
              </w:rPr>
              <w:fldChar w:fldCharType="end"/>
            </w:r>
            <w:r>
              <w:rPr>
                <w:b/>
                <w:sz w:val="20"/>
              </w:rPr>
              <w:t>RADIO STATION REGULATORY FEES</w:t>
            </w:r>
          </w:p>
        </w:tc>
      </w:tr>
      <w:tr w:rsidR="005A5E5C" w:rsidRPr="00445C3B" w:rsidTr="002539A3">
        <w:tc>
          <w:tcPr>
            <w:tcW w:w="1890" w:type="dxa"/>
            <w:tcBorders>
              <w:top w:val="single" w:sz="6" w:space="0" w:color="auto"/>
              <w:lef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5A5E5C" w:rsidRPr="00445C3B"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5A5E5C" w:rsidRPr="00445C3B"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A, B1 &amp; C3</w:t>
            </w:r>
          </w:p>
        </w:tc>
        <w:tc>
          <w:tcPr>
            <w:tcW w:w="1350" w:type="dxa"/>
            <w:tcBorders>
              <w:top w:val="single" w:sz="6" w:space="0" w:color="auto"/>
              <w:left w:val="single" w:sz="6" w:space="0" w:color="auto"/>
              <w:right w:val="double" w:sz="6" w:space="0" w:color="auto"/>
            </w:tcBorders>
          </w:tcPr>
          <w:p w:rsidR="005A5E5C" w:rsidRPr="00445C3B"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5A5E5C" w:rsidRPr="00445C3B"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B, C, C0, C1 &amp; C2</w:t>
            </w:r>
          </w:p>
        </w:tc>
      </w:tr>
      <w:tr w:rsidR="005A5E5C" w:rsidTr="002539A3">
        <w:tc>
          <w:tcPr>
            <w:tcW w:w="1890" w:type="dxa"/>
            <w:tcBorders>
              <w:top w:val="single" w:sz="6" w:space="0" w:color="auto"/>
              <w:lef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w:t>
            </w:r>
          </w:p>
        </w:tc>
        <w:tc>
          <w:tcPr>
            <w:tcW w:w="99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$645</w:t>
            </w:r>
          </w:p>
        </w:tc>
        <w:tc>
          <w:tcPr>
            <w:tcW w:w="90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$590</w:t>
            </w:r>
          </w:p>
        </w:tc>
        <w:tc>
          <w:tcPr>
            <w:tcW w:w="90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$670</w:t>
            </w:r>
          </w:p>
        </w:tc>
        <w:tc>
          <w:tcPr>
            <w:tcW w:w="144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$750</w:t>
            </w:r>
          </w:p>
        </w:tc>
        <w:tc>
          <w:tcPr>
            <w:tcW w:w="1350" w:type="dxa"/>
            <w:tcBorders>
              <w:top w:val="single" w:sz="6" w:space="0" w:color="auto"/>
              <w:left w:val="single" w:sz="6" w:space="0" w:color="auto"/>
              <w:righ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w:t>
            </w:r>
          </w:p>
        </w:tc>
      </w:tr>
      <w:tr w:rsidR="005A5E5C" w:rsidTr="002539A3">
        <w:tc>
          <w:tcPr>
            <w:tcW w:w="1890" w:type="dxa"/>
            <w:tcBorders>
              <w:top w:val="single" w:sz="6" w:space="0" w:color="auto"/>
              <w:lef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$1,550</w:t>
            </w:r>
          </w:p>
        </w:tc>
        <w:tc>
          <w:tcPr>
            <w:tcW w:w="99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$1,300</w:t>
            </w:r>
          </w:p>
        </w:tc>
        <w:tc>
          <w:tcPr>
            <w:tcW w:w="90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$900</w:t>
            </w:r>
          </w:p>
        </w:tc>
        <w:tc>
          <w:tcPr>
            <w:tcW w:w="90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$1,000</w:t>
            </w:r>
          </w:p>
        </w:tc>
        <w:tc>
          <w:tcPr>
            <w:tcW w:w="144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$1,500</w:t>
            </w:r>
          </w:p>
        </w:tc>
        <w:tc>
          <w:tcPr>
            <w:tcW w:w="1350" w:type="dxa"/>
            <w:tcBorders>
              <w:top w:val="single" w:sz="6" w:space="0" w:color="auto"/>
              <w:left w:val="single" w:sz="6" w:space="0" w:color="auto"/>
              <w:righ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r>
      <w:tr w:rsidR="005A5E5C" w:rsidTr="002539A3">
        <w:tc>
          <w:tcPr>
            <w:tcW w:w="1890" w:type="dxa"/>
            <w:tcBorders>
              <w:top w:val="single" w:sz="6" w:space="0" w:color="auto"/>
              <w:lef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$2,325</w:t>
            </w:r>
          </w:p>
        </w:tc>
        <w:tc>
          <w:tcPr>
            <w:tcW w:w="99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c>
          <w:tcPr>
            <w:tcW w:w="90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$1,200</w:t>
            </w:r>
          </w:p>
        </w:tc>
        <w:tc>
          <w:tcPr>
            <w:tcW w:w="90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$1,675</w:t>
            </w:r>
          </w:p>
        </w:tc>
        <w:tc>
          <w:tcPr>
            <w:tcW w:w="144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$2,050</w:t>
            </w:r>
          </w:p>
        </w:tc>
        <w:tc>
          <w:tcPr>
            <w:tcW w:w="1350" w:type="dxa"/>
            <w:tcBorders>
              <w:top w:val="single" w:sz="6" w:space="0" w:color="auto"/>
              <w:left w:val="single" w:sz="6" w:space="0" w:color="auto"/>
              <w:righ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r>
      <w:tr w:rsidR="005A5E5C" w:rsidTr="002539A3">
        <w:tc>
          <w:tcPr>
            <w:tcW w:w="1890" w:type="dxa"/>
            <w:tcBorders>
              <w:top w:val="single" w:sz="6" w:space="0" w:color="auto"/>
              <w:lef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$3,475</w:t>
            </w:r>
          </w:p>
        </w:tc>
        <w:tc>
          <w:tcPr>
            <w:tcW w:w="99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$2,750</w:t>
            </w:r>
          </w:p>
        </w:tc>
        <w:tc>
          <w:tcPr>
            <w:tcW w:w="90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$1,800</w:t>
            </w:r>
          </w:p>
        </w:tc>
        <w:tc>
          <w:tcPr>
            <w:tcW w:w="90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$2,025</w:t>
            </w:r>
          </w:p>
        </w:tc>
        <w:tc>
          <w:tcPr>
            <w:tcW w:w="144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$3,175</w:t>
            </w:r>
          </w:p>
        </w:tc>
        <w:tc>
          <w:tcPr>
            <w:tcW w:w="1350" w:type="dxa"/>
            <w:tcBorders>
              <w:top w:val="single" w:sz="6" w:space="0" w:color="auto"/>
              <w:left w:val="single" w:sz="6" w:space="0" w:color="auto"/>
              <w:righ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$3,925</w:t>
            </w:r>
          </w:p>
        </w:tc>
      </w:tr>
      <w:tr w:rsidR="005A5E5C" w:rsidTr="002539A3">
        <w:tc>
          <w:tcPr>
            <w:tcW w:w="1890" w:type="dxa"/>
            <w:tcBorders>
              <w:top w:val="single" w:sz="6" w:space="0" w:color="auto"/>
              <w:lef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$5,025</w:t>
            </w:r>
          </w:p>
        </w:tc>
        <w:tc>
          <w:tcPr>
            <w:tcW w:w="99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$4,225</w:t>
            </w:r>
          </w:p>
        </w:tc>
        <w:tc>
          <w:tcPr>
            <w:tcW w:w="90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c>
          <w:tcPr>
            <w:tcW w:w="90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$3,375</w:t>
            </w:r>
          </w:p>
        </w:tc>
        <w:tc>
          <w:tcPr>
            <w:tcW w:w="1440" w:type="dxa"/>
            <w:tcBorders>
              <w:top w:val="single" w:sz="6" w:space="0" w:color="auto"/>
              <w:left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$5,050</w:t>
            </w:r>
          </w:p>
        </w:tc>
        <w:tc>
          <w:tcPr>
            <w:tcW w:w="1350" w:type="dxa"/>
            <w:tcBorders>
              <w:top w:val="single" w:sz="6" w:space="0" w:color="auto"/>
              <w:left w:val="single" w:sz="6" w:space="0" w:color="auto"/>
              <w:righ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$5,775</w:t>
            </w:r>
          </w:p>
        </w:tc>
      </w:tr>
      <w:tr w:rsidR="005A5E5C" w:rsidTr="002539A3">
        <w:trPr>
          <w:trHeight w:val="361"/>
        </w:trPr>
        <w:tc>
          <w:tcPr>
            <w:tcW w:w="1890" w:type="dxa"/>
            <w:tcBorders>
              <w:top w:val="single" w:sz="6" w:space="0" w:color="auto"/>
              <w:left w:val="double" w:sz="6" w:space="0" w:color="auto"/>
              <w:bottom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$7,750</w:t>
            </w:r>
          </w:p>
        </w:tc>
        <w:tc>
          <w:tcPr>
            <w:tcW w:w="990" w:type="dxa"/>
            <w:tcBorders>
              <w:top w:val="single" w:sz="6" w:space="0" w:color="auto"/>
              <w:left w:val="single" w:sz="6" w:space="0" w:color="auto"/>
              <w:bottom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$6,500</w:t>
            </w:r>
          </w:p>
        </w:tc>
        <w:tc>
          <w:tcPr>
            <w:tcW w:w="900" w:type="dxa"/>
            <w:tcBorders>
              <w:top w:val="single" w:sz="6" w:space="0" w:color="auto"/>
              <w:left w:val="single" w:sz="6" w:space="0" w:color="auto"/>
              <w:bottom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$4,500</w:t>
            </w:r>
          </w:p>
        </w:tc>
        <w:tc>
          <w:tcPr>
            <w:tcW w:w="900" w:type="dxa"/>
            <w:tcBorders>
              <w:top w:val="single" w:sz="6" w:space="0" w:color="auto"/>
              <w:left w:val="single" w:sz="6" w:space="0" w:color="auto"/>
              <w:bottom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$5,400</w:t>
            </w:r>
          </w:p>
        </w:tc>
        <w:tc>
          <w:tcPr>
            <w:tcW w:w="1440" w:type="dxa"/>
            <w:tcBorders>
              <w:top w:val="single" w:sz="6" w:space="0" w:color="auto"/>
              <w:left w:val="single" w:sz="6" w:space="0" w:color="auto"/>
              <w:bottom w:val="sing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$8,250</w:t>
            </w:r>
          </w:p>
        </w:tc>
        <w:tc>
          <w:tcPr>
            <w:tcW w:w="1350" w:type="dxa"/>
            <w:tcBorders>
              <w:top w:val="single" w:sz="6" w:space="0" w:color="auto"/>
              <w:left w:val="single" w:sz="6" w:space="0" w:color="auto"/>
              <w:bottom w:val="single" w:sz="6" w:space="0" w:color="auto"/>
              <w:righ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$9,250</w:t>
            </w:r>
          </w:p>
        </w:tc>
      </w:tr>
      <w:tr w:rsidR="005A5E5C" w:rsidTr="002539A3">
        <w:tc>
          <w:tcPr>
            <w:tcW w:w="1890" w:type="dxa"/>
            <w:tcBorders>
              <w:top w:val="single" w:sz="6" w:space="0" w:color="auto"/>
              <w:left w:val="double" w:sz="6" w:space="0" w:color="auto"/>
              <w:bottom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&gt;3,000,000</w:t>
            </w:r>
          </w:p>
        </w:tc>
        <w:tc>
          <w:tcPr>
            <w:tcW w:w="1080" w:type="dxa"/>
            <w:tcBorders>
              <w:top w:val="single" w:sz="6" w:space="0" w:color="auto"/>
              <w:left w:val="single" w:sz="6" w:space="0" w:color="auto"/>
              <w:bottom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$9,300</w:t>
            </w:r>
          </w:p>
        </w:tc>
        <w:tc>
          <w:tcPr>
            <w:tcW w:w="990" w:type="dxa"/>
            <w:tcBorders>
              <w:top w:val="single" w:sz="6" w:space="0" w:color="auto"/>
              <w:left w:val="single" w:sz="6" w:space="0" w:color="auto"/>
              <w:bottom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$7,800</w:t>
            </w:r>
          </w:p>
        </w:tc>
        <w:tc>
          <w:tcPr>
            <w:tcW w:w="900" w:type="dxa"/>
            <w:tcBorders>
              <w:top w:val="single" w:sz="6" w:space="0" w:color="auto"/>
              <w:left w:val="single" w:sz="6" w:space="0" w:color="auto"/>
              <w:bottom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$5,700</w:t>
            </w:r>
          </w:p>
        </w:tc>
        <w:tc>
          <w:tcPr>
            <w:tcW w:w="900" w:type="dxa"/>
            <w:tcBorders>
              <w:top w:val="single" w:sz="6" w:space="0" w:color="auto"/>
              <w:left w:val="single" w:sz="6" w:space="0" w:color="auto"/>
              <w:bottom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$6,750</w:t>
            </w:r>
          </w:p>
        </w:tc>
        <w:tc>
          <w:tcPr>
            <w:tcW w:w="1440" w:type="dxa"/>
            <w:tcBorders>
              <w:top w:val="single" w:sz="6" w:space="0" w:color="auto"/>
              <w:left w:val="single" w:sz="6" w:space="0" w:color="auto"/>
              <w:bottom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$10,500</w:t>
            </w:r>
          </w:p>
        </w:tc>
        <w:tc>
          <w:tcPr>
            <w:tcW w:w="1350" w:type="dxa"/>
            <w:tcBorders>
              <w:top w:val="single" w:sz="6" w:space="0" w:color="auto"/>
              <w:left w:val="single" w:sz="6" w:space="0" w:color="auto"/>
              <w:bottom w:val="double" w:sz="6" w:space="0" w:color="auto"/>
              <w:right w:val="double" w:sz="6" w:space="0" w:color="auto"/>
            </w:tcBorders>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$12,025</w:t>
            </w:r>
          </w:p>
        </w:tc>
      </w:tr>
    </w:tbl>
    <w:p w:rsidR="005A5E5C" w:rsidRDefault="005A5E5C" w:rsidP="005A5E5C">
      <w:pPr>
        <w:tabs>
          <w:tab w:val="right" w:pos="10080"/>
        </w:tabs>
        <w:suppressAutoHyphens/>
        <w:ind w:left="450"/>
        <w:jc w:val="center"/>
        <w:outlineLvl w:val="0"/>
        <w:rPr>
          <w:b/>
          <w:szCs w:val="22"/>
        </w:rPr>
      </w:pPr>
    </w:p>
    <w:p w:rsidR="005A5E5C" w:rsidRDefault="005A5E5C" w:rsidP="005A5E5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rPr>
      </w:pPr>
      <w:bookmarkStart w:id="351" w:name="_Toc382499690"/>
      <w:bookmarkStart w:id="352" w:name="_Toc382567950"/>
      <w:bookmarkStart w:id="353" w:name="_Toc382576282"/>
      <w:bookmarkStart w:id="354" w:name="_Toc384227087"/>
      <w:bookmarkStart w:id="355" w:name="_Toc353870724"/>
      <w:bookmarkStart w:id="356" w:name="_Toc353987751"/>
      <w:bookmarkStart w:id="357" w:name="_Toc353988072"/>
      <w:r>
        <w:rPr>
          <w:b/>
          <w:szCs w:val="22"/>
        </w:rPr>
        <w:t xml:space="preserve">FY 2013 SCHEDULE OF REGULATORY FEES: </w:t>
      </w:r>
      <w:r>
        <w:rPr>
          <w:b/>
        </w:rPr>
        <w:t>Fee Rate Increases</w:t>
      </w:r>
      <w:bookmarkEnd w:id="351"/>
      <w:bookmarkEnd w:id="352"/>
      <w:bookmarkEnd w:id="353"/>
      <w:bookmarkEnd w:id="354"/>
    </w:p>
    <w:p w:rsidR="005A5E5C" w:rsidRDefault="005A5E5C" w:rsidP="005A5E5C">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Cs w:val="22"/>
        </w:rPr>
      </w:pPr>
      <w:bookmarkStart w:id="358" w:name="_Toc382499691"/>
      <w:bookmarkStart w:id="359" w:name="_Toc382567951"/>
      <w:bookmarkStart w:id="360" w:name="_Toc382576283"/>
      <w:bookmarkStart w:id="361" w:name="_Toc384227088"/>
      <w:r>
        <w:rPr>
          <w:b/>
        </w:rPr>
        <w:t>Capped at 7.5%</w:t>
      </w:r>
      <w:bookmarkEnd w:id="358"/>
      <w:bookmarkEnd w:id="359"/>
      <w:bookmarkEnd w:id="360"/>
      <w:bookmarkEnd w:id="361"/>
    </w:p>
    <w:p w:rsidR="005A5E5C" w:rsidRDefault="005A5E5C" w:rsidP="005A5E5C">
      <w:pPr>
        <w:tabs>
          <w:tab w:val="right" w:pos="10080"/>
        </w:tabs>
        <w:suppressAutoHyphens/>
        <w:ind w:left="450"/>
        <w:jc w:val="center"/>
        <w:outlineLvl w:val="0"/>
        <w:rPr>
          <w:b/>
          <w:szCs w:val="22"/>
        </w:rPr>
      </w:pPr>
      <w:bookmarkStart w:id="362" w:name="_Toc382499692"/>
      <w:bookmarkStart w:id="363" w:name="_Toc382567952"/>
      <w:bookmarkStart w:id="364" w:name="_Toc382576284"/>
      <w:bookmarkStart w:id="365" w:name="_Toc384227089"/>
      <w:r>
        <w:rPr>
          <w:b/>
          <w:szCs w:val="22"/>
        </w:rPr>
        <w:t>International Bearer Circuits - Submarine Cable</w:t>
      </w:r>
      <w:bookmarkEnd w:id="362"/>
      <w:bookmarkEnd w:id="363"/>
      <w:bookmarkEnd w:id="364"/>
      <w:bookmarkEnd w:id="365"/>
    </w:p>
    <w:p w:rsidR="005A5E5C" w:rsidRDefault="005A5E5C" w:rsidP="005A5E5C">
      <w:pPr>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A5E5C" w:rsidTr="002539A3">
        <w:tc>
          <w:tcPr>
            <w:tcW w:w="3192" w:type="dxa"/>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Submarine Cable Systems</w:t>
            </w: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Pr>
                <w:sz w:val="20"/>
              </w:rPr>
              <w:t>(capacity as of December 31, 2012)</w:t>
            </w:r>
          </w:p>
        </w:tc>
        <w:tc>
          <w:tcPr>
            <w:tcW w:w="3192" w:type="dxa"/>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Fee amount</w:t>
            </w:r>
          </w:p>
        </w:tc>
        <w:tc>
          <w:tcPr>
            <w:tcW w:w="3192" w:type="dxa"/>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Address</w:t>
            </w:r>
          </w:p>
        </w:tc>
      </w:tr>
      <w:tr w:rsidR="005A5E5C" w:rsidTr="002539A3">
        <w:trPr>
          <w:trHeight w:val="1034"/>
        </w:trPr>
        <w:tc>
          <w:tcPr>
            <w:tcW w:w="3192" w:type="dxa"/>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Pr>
                <w:b/>
                <w:szCs w:val="22"/>
              </w:rPr>
              <w:t>&lt; 2.5 Gbps</w:t>
            </w:r>
          </w:p>
        </w:tc>
        <w:tc>
          <w:tcPr>
            <w:tcW w:w="3192" w:type="dxa"/>
            <w:vAlign w:val="center"/>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bCs/>
                <w:szCs w:val="22"/>
              </w:rPr>
              <w:t>$13,600</w:t>
            </w:r>
          </w:p>
        </w:tc>
        <w:tc>
          <w:tcPr>
            <w:tcW w:w="3192" w:type="dxa"/>
          </w:tcPr>
          <w:p w:rsidR="005A5E5C" w:rsidRDefault="005A5E5C" w:rsidP="002539A3">
            <w:pPr>
              <w:rPr>
                <w:szCs w:val="22"/>
              </w:rPr>
            </w:pPr>
            <w:r>
              <w:rPr>
                <w:szCs w:val="22"/>
              </w:rPr>
              <w:t>FCC, International, P.O. Box 979084, St. Louis, MO 63197-9000</w:t>
            </w: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r w:rsidR="005A5E5C" w:rsidTr="002539A3">
        <w:trPr>
          <w:trHeight w:val="1034"/>
        </w:trPr>
        <w:tc>
          <w:tcPr>
            <w:tcW w:w="3192" w:type="dxa"/>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2.5 Gbps or greater, but less than 5 Gbps</w:t>
            </w:r>
          </w:p>
        </w:tc>
        <w:tc>
          <w:tcPr>
            <w:tcW w:w="3192" w:type="dxa"/>
            <w:vAlign w:val="center"/>
          </w:tcPr>
          <w:p w:rsidR="005A5E5C" w:rsidRDefault="005A5E5C" w:rsidP="002539A3">
            <w:pPr>
              <w:jc w:val="center"/>
              <w:rPr>
                <w:bCs/>
                <w:szCs w:val="22"/>
              </w:rPr>
            </w:pPr>
            <w:r>
              <w:rPr>
                <w:bCs/>
                <w:szCs w:val="22"/>
              </w:rPr>
              <w:t>$27,200</w:t>
            </w: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5A5E5C" w:rsidRDefault="005A5E5C" w:rsidP="002539A3">
            <w:pPr>
              <w:rPr>
                <w:szCs w:val="22"/>
              </w:rPr>
            </w:pPr>
            <w:r>
              <w:rPr>
                <w:szCs w:val="22"/>
              </w:rPr>
              <w:t>FCC, International, P.O. Box 979084, St. Louis, MO 63197-9000</w:t>
            </w: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5A5E5C" w:rsidTr="002539A3">
        <w:tc>
          <w:tcPr>
            <w:tcW w:w="3192" w:type="dxa"/>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5 Gbps or greater, but less than 10 Gbps</w:t>
            </w:r>
          </w:p>
        </w:tc>
        <w:tc>
          <w:tcPr>
            <w:tcW w:w="3192" w:type="dxa"/>
            <w:vAlign w:val="center"/>
          </w:tcPr>
          <w:p w:rsidR="005A5E5C" w:rsidRDefault="005A5E5C" w:rsidP="002539A3">
            <w:pPr>
              <w:jc w:val="center"/>
              <w:rPr>
                <w:bCs/>
                <w:szCs w:val="22"/>
              </w:rPr>
            </w:pPr>
            <w:r>
              <w:rPr>
                <w:bCs/>
                <w:szCs w:val="22"/>
              </w:rPr>
              <w:t xml:space="preserve">$54,425 </w:t>
            </w: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5A5E5C" w:rsidRDefault="005A5E5C" w:rsidP="002539A3">
            <w:pPr>
              <w:rPr>
                <w:szCs w:val="22"/>
              </w:rPr>
            </w:pPr>
            <w:r>
              <w:rPr>
                <w:szCs w:val="22"/>
              </w:rPr>
              <w:t>FCC, International, P.O. Box 979084, St. Louis, MO 63197-9000</w:t>
            </w: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5A5E5C" w:rsidTr="002539A3">
        <w:trPr>
          <w:trHeight w:val="998"/>
        </w:trPr>
        <w:tc>
          <w:tcPr>
            <w:tcW w:w="3192" w:type="dxa"/>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10 Gbps or greater, but less than 20 Gbps</w:t>
            </w: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192" w:type="dxa"/>
            <w:vAlign w:val="center"/>
          </w:tcPr>
          <w:p w:rsidR="005A5E5C" w:rsidRDefault="005A5E5C" w:rsidP="002539A3">
            <w:pPr>
              <w:jc w:val="center"/>
              <w:rPr>
                <w:bCs/>
                <w:szCs w:val="22"/>
              </w:rPr>
            </w:pPr>
            <w:r>
              <w:rPr>
                <w:bCs/>
                <w:szCs w:val="22"/>
              </w:rPr>
              <w:t xml:space="preserve">$108,850 </w:t>
            </w: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5A5E5C" w:rsidRDefault="005A5E5C" w:rsidP="002539A3">
            <w:pPr>
              <w:rPr>
                <w:spacing w:val="-3"/>
                <w:szCs w:val="22"/>
              </w:rPr>
            </w:pPr>
            <w:r>
              <w:rPr>
                <w:szCs w:val="22"/>
              </w:rPr>
              <w:t>FCC, International, P.O. Box 979084, St. Louis, MO 63197-9000</w:t>
            </w: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5A5E5C" w:rsidTr="002539A3">
        <w:trPr>
          <w:trHeight w:val="998"/>
        </w:trPr>
        <w:tc>
          <w:tcPr>
            <w:tcW w:w="3192" w:type="dxa"/>
          </w:tcPr>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20 Gbps or greater</w:t>
            </w: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192" w:type="dxa"/>
            <w:vAlign w:val="center"/>
          </w:tcPr>
          <w:p w:rsidR="005A5E5C" w:rsidRDefault="005A5E5C" w:rsidP="002539A3">
            <w:pPr>
              <w:jc w:val="center"/>
            </w:pPr>
            <w:r>
              <w:rPr>
                <w:bCs/>
                <w:szCs w:val="22"/>
              </w:rPr>
              <w:t>$217,675</w:t>
            </w:r>
          </w:p>
        </w:tc>
        <w:tc>
          <w:tcPr>
            <w:tcW w:w="3192" w:type="dxa"/>
          </w:tcPr>
          <w:p w:rsidR="005A5E5C" w:rsidRDefault="005A5E5C" w:rsidP="002539A3">
            <w:pPr>
              <w:rPr>
                <w:spacing w:val="-3"/>
              </w:rPr>
            </w:pPr>
            <w:r>
              <w:rPr>
                <w:szCs w:val="22"/>
              </w:rPr>
              <w:t>FCC, International, P.O. Box 979084, St. Louis, MO 63197-9000</w:t>
            </w:r>
          </w:p>
          <w:p w:rsidR="005A5E5C" w:rsidRDefault="005A5E5C" w:rsidP="002539A3">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bookmarkEnd w:id="355"/>
      <w:bookmarkEnd w:id="356"/>
      <w:bookmarkEnd w:id="357"/>
    </w:tbl>
    <w:p w:rsidR="005A5E5C" w:rsidRDefault="005A5E5C" w:rsidP="005A5E5C"/>
    <w:p w:rsidR="00A70714" w:rsidRDefault="00A70714">
      <w:pPr>
        <w:rPr>
          <w:spacing w:val="-2"/>
          <w:szCs w:val="22"/>
        </w:rPr>
      </w:pPr>
      <w:r>
        <w:rPr>
          <w:spacing w:val="-2"/>
          <w:szCs w:val="22"/>
        </w:rPr>
        <w:br w:type="page"/>
      </w:r>
    </w:p>
    <w:p w:rsidR="00A70714" w:rsidRPr="00AB7F46" w:rsidRDefault="00A70714" w:rsidP="00A70714">
      <w:pPr>
        <w:tabs>
          <w:tab w:val="left" w:pos="-720"/>
        </w:tabs>
        <w:suppressAutoHyphens/>
        <w:jc w:val="center"/>
        <w:rPr>
          <w:b/>
          <w:szCs w:val="22"/>
        </w:rPr>
      </w:pPr>
      <w:r w:rsidRPr="00AB7F46">
        <w:rPr>
          <w:b/>
          <w:szCs w:val="22"/>
        </w:rPr>
        <w:t>A</w:t>
      </w:r>
      <w:r w:rsidR="00BA6390">
        <w:rPr>
          <w:b/>
          <w:szCs w:val="22"/>
        </w:rPr>
        <w:t>TTACHMENT G</w:t>
      </w:r>
    </w:p>
    <w:p w:rsidR="00C838E6" w:rsidRPr="00AB7F46" w:rsidRDefault="00C838E6" w:rsidP="00C838E6">
      <w:pPr>
        <w:tabs>
          <w:tab w:val="left" w:pos="-720"/>
        </w:tabs>
        <w:suppressAutoHyphens/>
        <w:jc w:val="center"/>
        <w:rPr>
          <w:b/>
        </w:rPr>
      </w:pPr>
    </w:p>
    <w:p w:rsidR="00C838E6" w:rsidRPr="00AB7F46" w:rsidRDefault="00C838E6" w:rsidP="00C838E6">
      <w:pPr>
        <w:autoSpaceDE w:val="0"/>
        <w:autoSpaceDN w:val="0"/>
        <w:adjustRightInd w:val="0"/>
        <w:rPr>
          <w:b/>
          <w:color w:val="010101"/>
        </w:rPr>
      </w:pPr>
      <w:r w:rsidRPr="00AB7F46">
        <w:rPr>
          <w:b/>
          <w:color w:val="010101"/>
        </w:rPr>
        <w:t>PART 1 – PRACTICE AND PROCEDURE</w:t>
      </w:r>
    </w:p>
    <w:p w:rsidR="00C838E6" w:rsidRPr="00AB7F46" w:rsidRDefault="00C838E6" w:rsidP="00C838E6">
      <w:pPr>
        <w:autoSpaceDE w:val="0"/>
        <w:autoSpaceDN w:val="0"/>
        <w:adjustRightInd w:val="0"/>
        <w:rPr>
          <w:color w:val="010101"/>
        </w:rPr>
      </w:pPr>
    </w:p>
    <w:p w:rsidR="00C838E6" w:rsidRPr="00EF55E8" w:rsidRDefault="00C838E6" w:rsidP="00C838E6">
      <w:pPr>
        <w:autoSpaceDE w:val="0"/>
        <w:autoSpaceDN w:val="0"/>
        <w:adjustRightInd w:val="0"/>
        <w:spacing w:before="100" w:after="100"/>
      </w:pPr>
      <w:r w:rsidRPr="00AB7F46">
        <w:t>1. The authority citation for Part 0 continues to read as follows:</w:t>
      </w:r>
      <w:r w:rsidRPr="00AB7F46">
        <w:br/>
      </w:r>
      <w:r w:rsidRPr="00AB7F46">
        <w:br/>
      </w:r>
      <w:bookmarkStart w:id="366" w:name="sp_999_8"/>
      <w:bookmarkStart w:id="367" w:name="SDU_8"/>
      <w:bookmarkEnd w:id="366"/>
      <w:bookmarkEnd w:id="367"/>
      <w:r w:rsidRPr="00EF55E8">
        <w:t xml:space="preserve">Authority: Secs. 5, 48 Stat. 1068, as amended; </w:t>
      </w:r>
      <w:hyperlink r:id="rId12" w:history="1">
        <w:r w:rsidRPr="00EF55E8">
          <w:rPr>
            <w:rStyle w:val="Hyperlink"/>
            <w:color w:val="auto"/>
          </w:rPr>
          <w:t>47 U.S.C. 155</w:t>
        </w:r>
      </w:hyperlink>
      <w:r w:rsidRPr="00EF55E8">
        <w:t>.</w:t>
      </w:r>
      <w:r w:rsidRPr="00EF55E8">
        <w:br/>
      </w:r>
    </w:p>
    <w:p w:rsidR="00456012" w:rsidRPr="00FB6B30" w:rsidRDefault="00253DF7" w:rsidP="00FB6B30">
      <w:pPr>
        <w:widowControl/>
        <w:autoSpaceDE w:val="0"/>
        <w:autoSpaceDN w:val="0"/>
        <w:adjustRightInd w:val="0"/>
        <w:rPr>
          <w:color w:val="000000" w:themeColor="text1"/>
        </w:rPr>
      </w:pPr>
      <w:r w:rsidRPr="00FB6B30">
        <w:rPr>
          <w:color w:val="000000" w:themeColor="text1"/>
        </w:rPr>
        <w:t xml:space="preserve">2. </w:t>
      </w:r>
      <w:r w:rsidR="00357343" w:rsidRPr="00EA4E30">
        <w:rPr>
          <w:color w:val="000000" w:themeColor="text1"/>
          <w:szCs w:val="22"/>
        </w:rPr>
        <w:t xml:space="preserve"> Section</w:t>
      </w:r>
      <w:r w:rsidRPr="00FB6B30">
        <w:rPr>
          <w:color w:val="000000" w:themeColor="text1"/>
        </w:rPr>
        <w:t xml:space="preserve"> 1.1112</w:t>
      </w:r>
      <w:r w:rsidR="00357343" w:rsidRPr="00EA4E30">
        <w:rPr>
          <w:color w:val="000000" w:themeColor="text1"/>
          <w:szCs w:val="22"/>
        </w:rPr>
        <w:t>(a) is amended to read</w:t>
      </w:r>
      <w:r w:rsidRPr="00FB6B30">
        <w:rPr>
          <w:color w:val="000000" w:themeColor="text1"/>
        </w:rPr>
        <w:t xml:space="preserve"> as follows:</w:t>
      </w:r>
    </w:p>
    <w:p w:rsidR="00456012" w:rsidRPr="00FB6B30" w:rsidRDefault="00456012" w:rsidP="00FB6B30">
      <w:pPr>
        <w:widowControl/>
        <w:autoSpaceDE w:val="0"/>
        <w:autoSpaceDN w:val="0"/>
        <w:adjustRightInd w:val="0"/>
        <w:rPr>
          <w:b/>
          <w:color w:val="000000" w:themeColor="text1"/>
        </w:rPr>
      </w:pPr>
    </w:p>
    <w:p w:rsidR="00456012" w:rsidRPr="00FB6B30" w:rsidRDefault="00253DF7" w:rsidP="00FB6B30">
      <w:pPr>
        <w:widowControl/>
        <w:spacing w:before="200" w:after="100"/>
        <w:outlineLvl w:val="1"/>
        <w:rPr>
          <w:b/>
          <w:color w:val="000000" w:themeColor="text1"/>
        </w:rPr>
      </w:pPr>
      <w:r w:rsidRPr="00FB6B30">
        <w:rPr>
          <w:b/>
          <w:color w:val="000000" w:themeColor="text1"/>
        </w:rPr>
        <w:t xml:space="preserve">§ 1.1112   Form of payment.  </w:t>
      </w:r>
    </w:p>
    <w:p w:rsidR="00456012" w:rsidRPr="00FB6B30" w:rsidRDefault="00253DF7" w:rsidP="00FB6B30">
      <w:pPr>
        <w:widowControl/>
        <w:spacing w:before="100" w:beforeAutospacing="1" w:after="100" w:afterAutospacing="1"/>
        <w:rPr>
          <w:color w:val="000000" w:themeColor="text1"/>
        </w:rPr>
      </w:pPr>
      <w:r w:rsidRPr="00FB6B30">
        <w:rPr>
          <w:color w:val="000000" w:themeColor="text1"/>
        </w:rPr>
        <w:t xml:space="preserve">(a) </w:t>
      </w:r>
      <w:r w:rsidR="00357343" w:rsidRPr="00EA4E30">
        <w:rPr>
          <w:color w:val="000000" w:themeColor="text1"/>
          <w:szCs w:val="22"/>
        </w:rPr>
        <w:t xml:space="preserve">Annual and multiple year regulatory fees must be paid electronically as described below in Section 1.1112(e).  </w:t>
      </w:r>
      <w:r w:rsidRPr="00FB6B30">
        <w:rPr>
          <w:color w:val="000000" w:themeColor="text1"/>
        </w:rPr>
        <w:t xml:space="preserve">Fee payments, </w:t>
      </w:r>
      <w:r w:rsidR="00357343" w:rsidRPr="00EA4E30">
        <w:rPr>
          <w:color w:val="000000" w:themeColor="text1"/>
          <w:szCs w:val="22"/>
        </w:rPr>
        <w:t xml:space="preserve">other than </w:t>
      </w:r>
      <w:r w:rsidR="00DD2A60" w:rsidRPr="00EA4E30">
        <w:rPr>
          <w:color w:val="000000" w:themeColor="text1"/>
          <w:szCs w:val="22"/>
        </w:rPr>
        <w:t>annual and multiple year</w:t>
      </w:r>
      <w:r w:rsidRPr="00FB6B30">
        <w:rPr>
          <w:color w:val="000000" w:themeColor="text1"/>
        </w:rPr>
        <w:t xml:space="preserve"> regulatory fee payments</w:t>
      </w:r>
      <w:r w:rsidR="00357343" w:rsidRPr="00EA4E30">
        <w:rPr>
          <w:color w:val="000000" w:themeColor="text1"/>
          <w:szCs w:val="22"/>
        </w:rPr>
        <w:t>,</w:t>
      </w:r>
      <w:r w:rsidRPr="00FB6B30">
        <w:rPr>
          <w:color w:val="000000" w:themeColor="text1"/>
        </w:rPr>
        <w:t xml:space="preserve"> should be in the form of a check, cashier’s check, </w:t>
      </w:r>
      <w:r w:rsidR="00357343" w:rsidRPr="00EA4E30">
        <w:rPr>
          <w:color w:val="000000" w:themeColor="text1"/>
          <w:szCs w:val="22"/>
        </w:rPr>
        <w:t>or</w:t>
      </w:r>
      <w:r w:rsidRPr="00FB6B30">
        <w:rPr>
          <w:color w:val="000000" w:themeColor="text1"/>
        </w:rPr>
        <w:t xml:space="preserve"> money order denominated in U.S. dollars and drawn on a United States financial institution and made payable to the Federal Communications Commission or by a Visa, MasterCard, American Express, or Discover credit card. No other credit card is acceptable. Fees for applications and other filings paid by credit card will not be accepted unless the credit card section of FCC Form 159 is completed in full. The Commission discourages applicants from submitting cash and will not be responsible for cash sent through the mail. Personal or corporate checks dated more than six months prior to their submission to the Commission's lockbox bank and postdated checks will not be accepted and will be returned as deficient. Third party checks (</w:t>
      </w:r>
      <w:r w:rsidRPr="00FB6B30">
        <w:rPr>
          <w:i/>
          <w:color w:val="000000" w:themeColor="text1"/>
        </w:rPr>
        <w:t>i.e.</w:t>
      </w:r>
      <w:r w:rsidRPr="00FB6B30">
        <w:rPr>
          <w:color w:val="000000" w:themeColor="text1"/>
        </w:rPr>
        <w:t>, checks with a third party as maker or endorser) will not be accepted.</w:t>
      </w:r>
    </w:p>
    <w:p w:rsidR="00182B17" w:rsidRPr="00EA4E30" w:rsidRDefault="00182B17" w:rsidP="00182B17">
      <w:pPr>
        <w:widowControl/>
        <w:tabs>
          <w:tab w:val="left" w:pos="450"/>
        </w:tabs>
        <w:spacing w:before="100" w:beforeAutospacing="1" w:after="100" w:afterAutospacing="1"/>
        <w:rPr>
          <w:color w:val="000000" w:themeColor="text1"/>
          <w:szCs w:val="22"/>
        </w:rPr>
      </w:pPr>
      <w:r w:rsidRPr="00EA4E30">
        <w:rPr>
          <w:color w:val="000000" w:themeColor="text1"/>
          <w:szCs w:val="22"/>
        </w:rPr>
        <w:t>3.  Paragraph (a)(1) is renumbered paragraph (a)(2), paragraph (a)(2) is renumbered paragraph (a)(3), and a new paragraph (a)(1) is added, to read as follows:</w:t>
      </w:r>
    </w:p>
    <w:p w:rsidR="00182B17" w:rsidRPr="00EF5E6A" w:rsidRDefault="00253DF7" w:rsidP="00EF5E6A">
      <w:pPr>
        <w:widowControl/>
        <w:tabs>
          <w:tab w:val="left" w:pos="450"/>
        </w:tabs>
        <w:spacing w:before="100" w:beforeAutospacing="1" w:after="100" w:afterAutospacing="1"/>
        <w:rPr>
          <w:color w:val="000000" w:themeColor="text1"/>
        </w:rPr>
      </w:pPr>
      <w:r w:rsidRPr="00FB6B30">
        <w:rPr>
          <w:color w:val="000000" w:themeColor="text1"/>
        </w:rPr>
        <w:tab/>
        <w:t>(1)   Although payments</w:t>
      </w:r>
      <w:r w:rsidR="00182B17" w:rsidRPr="00EA4E30">
        <w:rPr>
          <w:color w:val="000000" w:themeColor="text1"/>
          <w:szCs w:val="22"/>
        </w:rPr>
        <w:t xml:space="preserve"> (other than annual and multiple year regulatory fee payments)</w:t>
      </w:r>
      <w:r w:rsidRPr="00FB6B30">
        <w:rPr>
          <w:color w:val="000000" w:themeColor="text1"/>
        </w:rPr>
        <w:t xml:space="preserve"> may be submitted in the form of a check, cashier’s check, or money order, payors of these fees are encouraged to submit these payments electronically under the procedures described in Section 1.1112 (e).</w:t>
      </w:r>
    </w:p>
    <w:p w:rsidR="00182B17" w:rsidRPr="00EA4E30" w:rsidRDefault="00182B17" w:rsidP="00182B17">
      <w:pPr>
        <w:widowControl/>
        <w:spacing w:before="100" w:beforeAutospacing="1" w:after="100" w:afterAutospacing="1"/>
        <w:rPr>
          <w:color w:val="000000" w:themeColor="text1"/>
          <w:szCs w:val="22"/>
        </w:rPr>
      </w:pPr>
      <w:r w:rsidRPr="00EA4E30">
        <w:rPr>
          <w:color w:val="000000" w:themeColor="text1"/>
          <w:szCs w:val="22"/>
        </w:rPr>
        <w:t>4.   Paragraph (a)(3) is renumbered paragraph (a)(4), and is amended to read as follows:</w:t>
      </w:r>
    </w:p>
    <w:p w:rsidR="00456012" w:rsidRPr="00FB6B30" w:rsidRDefault="00182B17" w:rsidP="00FB6B30">
      <w:pPr>
        <w:widowControl/>
        <w:spacing w:before="100" w:beforeAutospacing="1" w:after="100" w:afterAutospacing="1"/>
        <w:ind w:firstLine="480"/>
        <w:rPr>
          <w:color w:val="000000" w:themeColor="text1"/>
        </w:rPr>
      </w:pPr>
      <w:r w:rsidRPr="00EA4E30">
        <w:rPr>
          <w:color w:val="000000" w:themeColor="text1"/>
          <w:szCs w:val="22"/>
        </w:rPr>
        <w:t xml:space="preserve">(4)   </w:t>
      </w:r>
      <w:r w:rsidR="00253DF7" w:rsidRPr="00FB6B30">
        <w:rPr>
          <w:color w:val="000000" w:themeColor="text1"/>
        </w:rPr>
        <w:t xml:space="preserve">To insure proper credit, applicants making wire transfer payments must follow the instructions set out in the appropriate Bureau/Office fee filing guide. </w:t>
      </w:r>
    </w:p>
    <w:p w:rsidR="00182B17" w:rsidRPr="00EA4E30" w:rsidRDefault="00182B17" w:rsidP="00182B17">
      <w:pPr>
        <w:widowControl/>
        <w:spacing w:before="100" w:beforeAutospacing="1" w:after="100" w:afterAutospacing="1"/>
        <w:rPr>
          <w:color w:val="000000" w:themeColor="text1"/>
          <w:szCs w:val="22"/>
        </w:rPr>
      </w:pPr>
      <w:r w:rsidRPr="00EA4E30">
        <w:rPr>
          <w:color w:val="000000" w:themeColor="text1"/>
          <w:szCs w:val="22"/>
        </w:rPr>
        <w:t>5.</w:t>
      </w:r>
      <w:r w:rsidRPr="00EA4E30">
        <w:rPr>
          <w:color w:val="000000" w:themeColor="text1"/>
          <w:szCs w:val="22"/>
        </w:rPr>
        <w:tab/>
        <w:t>Paragraph (b) is amended to read as follows:</w:t>
      </w:r>
    </w:p>
    <w:p w:rsidR="00456012" w:rsidRPr="00FB6B30" w:rsidRDefault="00253DF7" w:rsidP="00FB6B30">
      <w:pPr>
        <w:widowControl/>
        <w:spacing w:before="100" w:beforeAutospacing="1" w:after="100" w:afterAutospacing="1"/>
        <w:rPr>
          <w:color w:val="000000" w:themeColor="text1"/>
        </w:rPr>
      </w:pPr>
      <w:r w:rsidRPr="00FB6B30">
        <w:rPr>
          <w:color w:val="000000" w:themeColor="text1"/>
        </w:rPr>
        <w:t>(b) Applicants are required to submit one payment instrument (check, cashier’s check, or money order) and FCC Form 159 with each application or filing</w:t>
      </w:r>
      <w:r w:rsidR="008A5E7D" w:rsidRPr="00EA4E30">
        <w:rPr>
          <w:color w:val="000000" w:themeColor="text1"/>
          <w:szCs w:val="22"/>
        </w:rPr>
        <w:t>; m</w:t>
      </w:r>
      <w:r w:rsidR="00182B17" w:rsidRPr="00EA4E30">
        <w:rPr>
          <w:color w:val="000000" w:themeColor="text1"/>
          <w:szCs w:val="22"/>
        </w:rPr>
        <w:t>ultiple</w:t>
      </w:r>
      <w:r w:rsidRPr="00FB6B30">
        <w:rPr>
          <w:color w:val="000000" w:themeColor="text1"/>
        </w:rPr>
        <w:t xml:space="preserve"> payment instruments for a single application or filing are not permitted. </w:t>
      </w:r>
      <w:r w:rsidR="00182B17" w:rsidRPr="00EA4E30">
        <w:rPr>
          <w:color w:val="000000" w:themeColor="text1"/>
          <w:szCs w:val="22"/>
        </w:rPr>
        <w:t xml:space="preserve"> A</w:t>
      </w:r>
      <w:r w:rsidRPr="00FB6B30">
        <w:rPr>
          <w:color w:val="000000" w:themeColor="text1"/>
        </w:rPr>
        <w:t xml:space="preserve"> separate Fee Form (FCC Form 159) will not be required once the information requirements of that form (the Fee Code, fee amount, and total fee remitted) are incorporated into the underlying application form. </w:t>
      </w:r>
    </w:p>
    <w:p w:rsidR="00182B17" w:rsidRPr="00EA4E30" w:rsidRDefault="00182B17" w:rsidP="00182B17">
      <w:pPr>
        <w:widowControl/>
        <w:spacing w:before="100" w:beforeAutospacing="1" w:after="100" w:afterAutospacing="1"/>
        <w:rPr>
          <w:color w:val="000000" w:themeColor="text1"/>
          <w:szCs w:val="22"/>
        </w:rPr>
      </w:pPr>
    </w:p>
    <w:p w:rsidR="00182B17" w:rsidRPr="00EA4E30" w:rsidRDefault="00182B17" w:rsidP="00182B17">
      <w:pPr>
        <w:widowControl/>
        <w:spacing w:before="100" w:beforeAutospacing="1" w:after="100" w:afterAutospacing="1"/>
        <w:ind w:firstLine="480"/>
        <w:rPr>
          <w:color w:val="000000" w:themeColor="text1"/>
          <w:szCs w:val="22"/>
        </w:rPr>
      </w:pPr>
    </w:p>
    <w:p w:rsidR="00182B17" w:rsidRPr="00EA4E30" w:rsidRDefault="00182B17" w:rsidP="00182B17">
      <w:pPr>
        <w:widowControl/>
        <w:spacing w:before="100" w:beforeAutospacing="1" w:after="100" w:afterAutospacing="1"/>
        <w:rPr>
          <w:color w:val="000000" w:themeColor="text1"/>
          <w:szCs w:val="22"/>
        </w:rPr>
      </w:pPr>
      <w:r w:rsidRPr="00EA4E30">
        <w:rPr>
          <w:color w:val="000000" w:themeColor="text1"/>
          <w:szCs w:val="22"/>
        </w:rPr>
        <w:t>6.   Paragraph (e) is renumbered paragraph (f), paragraph (f) is renumbered paragraph (g), and a new paragraph (e) is added, to read as follows:</w:t>
      </w:r>
    </w:p>
    <w:p w:rsidR="00456012" w:rsidRPr="00FB6B30" w:rsidRDefault="00253DF7" w:rsidP="00FB6B30">
      <w:pPr>
        <w:widowControl/>
        <w:spacing w:before="100" w:beforeAutospacing="1" w:after="100" w:afterAutospacing="1"/>
        <w:rPr>
          <w:color w:val="000000" w:themeColor="text1"/>
        </w:rPr>
      </w:pPr>
      <w:r w:rsidRPr="00FB6B30">
        <w:rPr>
          <w:color w:val="000000" w:themeColor="text1"/>
        </w:rPr>
        <w:t>(e) Annual</w:t>
      </w:r>
      <w:r w:rsidR="00182B17" w:rsidRPr="00EA4E30">
        <w:rPr>
          <w:color w:val="000000" w:themeColor="text1"/>
          <w:szCs w:val="22"/>
        </w:rPr>
        <w:t xml:space="preserve"> and multiple year</w:t>
      </w:r>
      <w:r w:rsidRPr="00FB6B30">
        <w:rPr>
          <w:color w:val="000000" w:themeColor="text1"/>
        </w:rPr>
        <w:t xml:space="preserve"> regulatory fee payments shall be submitted by online ACH payment, online Visa, MasterCard, American Express, or Discover credit card payment, or wire transfer payment denominated in U.S. dollars and drawn on a United States financial institution and made payable to the Federal Communications Commission.  No other credit card is acceptable.  Any other form of payment</w:t>
      </w:r>
      <w:r w:rsidR="00182B17" w:rsidRPr="00EA4E30">
        <w:rPr>
          <w:color w:val="000000" w:themeColor="text1"/>
          <w:szCs w:val="22"/>
        </w:rPr>
        <w:t xml:space="preserve"> for regulatory fees</w:t>
      </w:r>
      <w:r w:rsidRPr="00FB6B30">
        <w:rPr>
          <w:color w:val="000000" w:themeColor="text1"/>
        </w:rPr>
        <w:t xml:space="preserve"> (</w:t>
      </w:r>
      <w:r w:rsidRPr="00FB6B30">
        <w:rPr>
          <w:i/>
          <w:color w:val="000000" w:themeColor="text1"/>
        </w:rPr>
        <w:t>e.g</w:t>
      </w:r>
      <w:r w:rsidRPr="00FB6B30">
        <w:rPr>
          <w:color w:val="000000" w:themeColor="text1"/>
        </w:rPr>
        <w:t>., paper checks) will be rejected and sent back to the payor.</w:t>
      </w:r>
    </w:p>
    <w:p w:rsidR="00182B17" w:rsidRPr="00EA4E30" w:rsidRDefault="00182B17" w:rsidP="00182B17">
      <w:pPr>
        <w:widowControl/>
        <w:spacing w:before="100" w:beforeAutospacing="1" w:after="100" w:afterAutospacing="1"/>
        <w:rPr>
          <w:color w:val="000000" w:themeColor="text1"/>
          <w:szCs w:val="22"/>
        </w:rPr>
      </w:pPr>
      <w:r w:rsidRPr="00EA4E30">
        <w:rPr>
          <w:color w:val="000000" w:themeColor="text1"/>
          <w:szCs w:val="22"/>
        </w:rPr>
        <w:t>************</w:t>
      </w:r>
    </w:p>
    <w:p w:rsidR="00182B17" w:rsidRPr="00EA4E30" w:rsidRDefault="00182B17" w:rsidP="00182B17">
      <w:pPr>
        <w:widowControl/>
        <w:autoSpaceDE w:val="0"/>
        <w:autoSpaceDN w:val="0"/>
        <w:adjustRightInd w:val="0"/>
        <w:rPr>
          <w:color w:val="000000" w:themeColor="text1"/>
          <w:szCs w:val="22"/>
        </w:rPr>
      </w:pPr>
      <w:r w:rsidRPr="00EA4E30">
        <w:rPr>
          <w:color w:val="000000" w:themeColor="text1"/>
          <w:szCs w:val="22"/>
        </w:rPr>
        <w:t>7.  Section 1.1158 is amended to read as follows:</w:t>
      </w:r>
    </w:p>
    <w:p w:rsidR="00182B17" w:rsidRPr="00EA4E30" w:rsidRDefault="00182B17" w:rsidP="00182B17">
      <w:pPr>
        <w:widowControl/>
        <w:autoSpaceDE w:val="0"/>
        <w:autoSpaceDN w:val="0"/>
        <w:adjustRightInd w:val="0"/>
        <w:rPr>
          <w:color w:val="000000" w:themeColor="text1"/>
          <w:szCs w:val="22"/>
        </w:rPr>
      </w:pPr>
      <w:r w:rsidRPr="00EA4E30">
        <w:rPr>
          <w:color w:val="000000" w:themeColor="text1"/>
          <w:szCs w:val="22"/>
        </w:rPr>
        <w:t xml:space="preserve"> </w:t>
      </w:r>
    </w:p>
    <w:p w:rsidR="00182B17" w:rsidRPr="00FB6B30" w:rsidRDefault="00253DF7" w:rsidP="00182B17">
      <w:pPr>
        <w:pStyle w:val="Heading2"/>
        <w:numPr>
          <w:ilvl w:val="0"/>
          <w:numId w:val="0"/>
        </w:numPr>
        <w:rPr>
          <w:color w:val="000000" w:themeColor="text1"/>
        </w:rPr>
      </w:pPr>
      <w:r w:rsidRPr="00FB6B30">
        <w:rPr>
          <w:color w:val="000000" w:themeColor="text1"/>
        </w:rPr>
        <w:t>§ 1.1158   Form of payment for regulatory fees.</w:t>
      </w:r>
    </w:p>
    <w:p w:rsidR="00182B17" w:rsidRPr="00FB6B30" w:rsidRDefault="00253DF7" w:rsidP="00182B17">
      <w:pPr>
        <w:pStyle w:val="NormalWeb"/>
        <w:rPr>
          <w:color w:val="000000" w:themeColor="text1"/>
        </w:rPr>
      </w:pPr>
      <w:r w:rsidRPr="00FB6B30">
        <w:rPr>
          <w:color w:val="000000" w:themeColor="text1"/>
        </w:rPr>
        <w:t xml:space="preserve">Any annual </w:t>
      </w:r>
      <w:r w:rsidR="008A5E7D" w:rsidRPr="00EA4E30">
        <w:rPr>
          <w:color w:val="000000" w:themeColor="text1"/>
          <w:szCs w:val="22"/>
        </w:rPr>
        <w:t xml:space="preserve">and multiple year </w:t>
      </w:r>
      <w:r w:rsidRPr="00FB6B30">
        <w:rPr>
          <w:color w:val="000000" w:themeColor="text1"/>
        </w:rPr>
        <w:t>regulatory fee payment must be submitted by online Automatic Clearing House</w:t>
      </w:r>
      <w:r w:rsidR="00182B17" w:rsidRPr="00EA4E30">
        <w:rPr>
          <w:color w:val="000000" w:themeColor="text1"/>
          <w:szCs w:val="22"/>
        </w:rPr>
        <w:t xml:space="preserve"> (ACH)</w:t>
      </w:r>
      <w:r w:rsidRPr="00FB6B30">
        <w:rPr>
          <w:color w:val="000000" w:themeColor="text1"/>
        </w:rPr>
        <w:t xml:space="preserve"> payment, online Visa, MasterCard, American Express, or Discover credit card payment, or wire transfer payment denominated in U.S. dollars and drawn on a United States financial institution and made payable to the Federal Communications Commission.  No other credit card is acceptable.  Any other form of payment</w:t>
      </w:r>
      <w:r w:rsidR="00182B17" w:rsidRPr="00EA4E30">
        <w:rPr>
          <w:color w:val="000000" w:themeColor="text1"/>
          <w:szCs w:val="22"/>
        </w:rPr>
        <w:t xml:space="preserve"> for annual and multiple year regulatory fees</w:t>
      </w:r>
      <w:r w:rsidRPr="00FB6B30">
        <w:rPr>
          <w:color w:val="000000" w:themeColor="text1"/>
        </w:rPr>
        <w:t xml:space="preserve"> (</w:t>
      </w:r>
      <w:r w:rsidRPr="00FB6B30">
        <w:rPr>
          <w:i/>
          <w:color w:val="000000" w:themeColor="text1"/>
        </w:rPr>
        <w:t>e.g</w:t>
      </w:r>
      <w:r w:rsidRPr="00FB6B30">
        <w:rPr>
          <w:color w:val="000000" w:themeColor="text1"/>
        </w:rPr>
        <w:t>., paper checks, cash) will be rejected and sent back to the payor.  The Commission will not be responsible for cash, under any circumstances, sent through the mail.</w:t>
      </w:r>
    </w:p>
    <w:p w:rsidR="00182B17" w:rsidRPr="00FB6B30" w:rsidRDefault="00182B17" w:rsidP="00182B17">
      <w:pPr>
        <w:pStyle w:val="NormalWeb"/>
        <w:rPr>
          <w:color w:val="000000" w:themeColor="text1"/>
        </w:rPr>
      </w:pPr>
    </w:p>
    <w:p w:rsidR="00182B17" w:rsidRPr="00EA4E30" w:rsidRDefault="00182B17" w:rsidP="00182B17">
      <w:pPr>
        <w:pStyle w:val="NormalWeb"/>
        <w:rPr>
          <w:color w:val="000000" w:themeColor="text1"/>
          <w:szCs w:val="22"/>
        </w:rPr>
      </w:pPr>
      <w:r w:rsidRPr="00EA4E30">
        <w:rPr>
          <w:color w:val="000000" w:themeColor="text1"/>
          <w:szCs w:val="22"/>
        </w:rPr>
        <w:t>8.  Paragraph (a) is amended to read as follows:</w:t>
      </w:r>
    </w:p>
    <w:p w:rsidR="00182B17" w:rsidRPr="00EA4E30" w:rsidRDefault="00182B17" w:rsidP="00182B17">
      <w:pPr>
        <w:pStyle w:val="NormalWeb"/>
        <w:rPr>
          <w:color w:val="000000" w:themeColor="text1"/>
          <w:szCs w:val="22"/>
        </w:rPr>
      </w:pPr>
    </w:p>
    <w:p w:rsidR="00182B17" w:rsidRPr="00FB6B30" w:rsidRDefault="00253DF7" w:rsidP="00182B17">
      <w:pPr>
        <w:pStyle w:val="NormalWeb"/>
        <w:rPr>
          <w:color w:val="000000" w:themeColor="text1"/>
        </w:rPr>
      </w:pPr>
      <w:r w:rsidRPr="00FB6B30">
        <w:rPr>
          <w:color w:val="000000" w:themeColor="text1"/>
        </w:rPr>
        <w:t>(a) Payors making wire transfer payments must submit an accompanying FCC Form 159-E via facsimile</w:t>
      </w:r>
      <w:r w:rsidR="00182B17" w:rsidRPr="00EA4E30">
        <w:rPr>
          <w:color w:val="000000" w:themeColor="text1"/>
          <w:szCs w:val="22"/>
        </w:rPr>
        <w:t xml:space="preserve">. </w:t>
      </w:r>
    </w:p>
    <w:p w:rsidR="00182B17" w:rsidRPr="00EA4E30" w:rsidRDefault="00182B17" w:rsidP="00182B17">
      <w:pPr>
        <w:pStyle w:val="NormalWeb"/>
        <w:rPr>
          <w:color w:val="000000" w:themeColor="text1"/>
          <w:szCs w:val="22"/>
        </w:rPr>
      </w:pPr>
    </w:p>
    <w:p w:rsidR="00182B17" w:rsidRPr="00EA4E30" w:rsidRDefault="00182B17" w:rsidP="00182B17">
      <w:pPr>
        <w:widowControl/>
        <w:autoSpaceDE w:val="0"/>
        <w:autoSpaceDN w:val="0"/>
        <w:adjustRightInd w:val="0"/>
        <w:rPr>
          <w:color w:val="000000" w:themeColor="text1"/>
          <w:szCs w:val="22"/>
        </w:rPr>
      </w:pPr>
      <w:r w:rsidRPr="00EA4E30">
        <w:rPr>
          <w:color w:val="000000" w:themeColor="text1"/>
          <w:szCs w:val="22"/>
        </w:rPr>
        <w:t>* * * * *</w:t>
      </w:r>
    </w:p>
    <w:p w:rsidR="00182B17" w:rsidRPr="00EA4E30" w:rsidRDefault="00182B17" w:rsidP="00182B17">
      <w:pPr>
        <w:widowControl/>
        <w:autoSpaceDE w:val="0"/>
        <w:autoSpaceDN w:val="0"/>
        <w:adjustRightInd w:val="0"/>
        <w:rPr>
          <w:color w:val="000000" w:themeColor="text1"/>
          <w:szCs w:val="22"/>
        </w:rPr>
      </w:pPr>
      <w:r w:rsidRPr="00EA4E30">
        <w:rPr>
          <w:color w:val="000000" w:themeColor="text1"/>
          <w:szCs w:val="22"/>
        </w:rPr>
        <w:t>9.   Section 1.1161 (a) is amended to read as follows:</w:t>
      </w:r>
    </w:p>
    <w:p w:rsidR="00456012" w:rsidRPr="00FB6B30" w:rsidRDefault="00456012" w:rsidP="00FB6B30">
      <w:pPr>
        <w:widowControl/>
        <w:autoSpaceDE w:val="0"/>
        <w:autoSpaceDN w:val="0"/>
        <w:adjustRightInd w:val="0"/>
        <w:rPr>
          <w:color w:val="000000" w:themeColor="text1"/>
        </w:rPr>
      </w:pPr>
    </w:p>
    <w:p w:rsidR="00182B17" w:rsidRPr="00FB6B30" w:rsidRDefault="00253DF7" w:rsidP="00182B17">
      <w:pPr>
        <w:pStyle w:val="Heading2"/>
        <w:numPr>
          <w:ilvl w:val="0"/>
          <w:numId w:val="0"/>
        </w:numPr>
        <w:rPr>
          <w:color w:val="000000" w:themeColor="text1"/>
        </w:rPr>
      </w:pPr>
      <w:r w:rsidRPr="00FB6B30">
        <w:rPr>
          <w:color w:val="000000" w:themeColor="text1"/>
        </w:rPr>
        <w:t>§1.1161   Conditional license grants and delegated authorizations.</w:t>
      </w:r>
    </w:p>
    <w:p w:rsidR="00182B17" w:rsidRPr="00EA4E30" w:rsidRDefault="00253DF7" w:rsidP="00182B17">
      <w:pPr>
        <w:pStyle w:val="NormalWeb"/>
        <w:numPr>
          <w:ilvl w:val="0"/>
          <w:numId w:val="14"/>
        </w:numPr>
        <w:rPr>
          <w:color w:val="000000" w:themeColor="text1"/>
          <w:szCs w:val="22"/>
        </w:rPr>
      </w:pPr>
      <w:r w:rsidRPr="00FB6B30">
        <w:rPr>
          <w:color w:val="000000" w:themeColor="text1"/>
        </w:rPr>
        <w:t xml:space="preserve">Grant of any application or an instrument of authorization or other filing for which </w:t>
      </w:r>
      <w:r w:rsidR="00182B17" w:rsidRPr="00EA4E30">
        <w:rPr>
          <w:color w:val="000000" w:themeColor="text1"/>
          <w:szCs w:val="22"/>
        </w:rPr>
        <w:t>a</w:t>
      </w:r>
      <w:r w:rsidR="008A5E7D" w:rsidRPr="00EA4E30">
        <w:rPr>
          <w:color w:val="000000" w:themeColor="text1"/>
          <w:szCs w:val="22"/>
        </w:rPr>
        <w:t>n annual or multiple year</w:t>
      </w:r>
      <w:r w:rsidRPr="00FB6B30">
        <w:rPr>
          <w:color w:val="000000" w:themeColor="text1"/>
        </w:rPr>
        <w:t xml:space="preserve"> regulatory fee is required to accompany the application or filing will be conditioned upon final payment of the current or delinquent regulatory fees. </w:t>
      </w:r>
      <w:r w:rsidR="00182B17" w:rsidRPr="00EA4E30">
        <w:rPr>
          <w:color w:val="000000" w:themeColor="text1"/>
          <w:szCs w:val="22"/>
        </w:rPr>
        <w:t xml:space="preserve"> Current </w:t>
      </w:r>
      <w:r w:rsidR="008A5E7D" w:rsidRPr="00EA4E30">
        <w:rPr>
          <w:color w:val="000000" w:themeColor="text1"/>
          <w:szCs w:val="22"/>
        </w:rPr>
        <w:t xml:space="preserve">annual and multiple year </w:t>
      </w:r>
      <w:r w:rsidR="00182B17" w:rsidRPr="00EA4E30">
        <w:rPr>
          <w:color w:val="000000" w:themeColor="text1"/>
          <w:szCs w:val="22"/>
        </w:rPr>
        <w:t xml:space="preserve">regulatory fees must be paid electronically as described in Section 1.1112(e).  For all other fees, </w:t>
      </w:r>
      <w:r w:rsidR="00796A15" w:rsidRPr="00EA4E30">
        <w:rPr>
          <w:color w:val="000000" w:themeColor="text1"/>
          <w:szCs w:val="22"/>
          <w:u w:val="single"/>
        </w:rPr>
        <w:t>(e.g., application fees, delinquent regulatory fees)</w:t>
      </w:r>
      <w:r w:rsidR="00796A15" w:rsidRPr="00EA4E30">
        <w:rPr>
          <w:color w:val="000000" w:themeColor="text1"/>
          <w:szCs w:val="22"/>
        </w:rPr>
        <w:t xml:space="preserve"> </w:t>
      </w:r>
      <w:r w:rsidR="00182B17" w:rsidRPr="00EA4E30">
        <w:rPr>
          <w:color w:val="000000" w:themeColor="text1"/>
          <w:szCs w:val="22"/>
        </w:rPr>
        <w:t>final</w:t>
      </w:r>
      <w:r w:rsidRPr="00FB6B30">
        <w:rPr>
          <w:color w:val="000000" w:themeColor="text1"/>
        </w:rPr>
        <w:t xml:space="preserve"> payment shall mean receipt by the U.S. Treasury of funds cleared by the financial institution on which the check, cashier’s check, or money order is drawn.  Electronic payments are considered timely when a wire transfer was received by the Commission’s bank no later than 6:00 pm on the due date; confirmation to pay.gov that a credit card payment was successful no later than 11:59 pm (EST) on the due date; or confirmation an ACH was credited no later than 11:59 pm (EST) on the due date. </w:t>
      </w:r>
      <w:r w:rsidR="00182B17" w:rsidRPr="00EA4E30" w:rsidDel="00F72DE4">
        <w:rPr>
          <w:color w:val="000000" w:themeColor="text1"/>
          <w:szCs w:val="22"/>
        </w:rPr>
        <w:t xml:space="preserve"> </w:t>
      </w:r>
    </w:p>
    <w:p w:rsidR="00182B17" w:rsidRPr="00EA4E30" w:rsidRDefault="00182B17" w:rsidP="00182B17">
      <w:pPr>
        <w:pStyle w:val="NormalWeb"/>
        <w:ind w:left="720"/>
        <w:rPr>
          <w:color w:val="000000" w:themeColor="text1"/>
          <w:szCs w:val="22"/>
        </w:rPr>
      </w:pPr>
    </w:p>
    <w:p w:rsidR="00182B17" w:rsidRPr="00EA4E30" w:rsidRDefault="00182B17" w:rsidP="00182B17">
      <w:pPr>
        <w:widowControl/>
        <w:autoSpaceDE w:val="0"/>
        <w:autoSpaceDN w:val="0"/>
        <w:adjustRightInd w:val="0"/>
        <w:rPr>
          <w:color w:val="000000" w:themeColor="text1"/>
          <w:szCs w:val="22"/>
        </w:rPr>
      </w:pPr>
      <w:r w:rsidRPr="00EA4E30">
        <w:rPr>
          <w:color w:val="000000" w:themeColor="text1"/>
          <w:szCs w:val="22"/>
        </w:rPr>
        <w:t>* * * * *</w:t>
      </w:r>
    </w:p>
    <w:p w:rsidR="00182B17" w:rsidRPr="00EA4E30" w:rsidRDefault="00FE1FB6" w:rsidP="00182B17">
      <w:pPr>
        <w:widowControl/>
        <w:autoSpaceDE w:val="0"/>
        <w:autoSpaceDN w:val="0"/>
        <w:adjustRightInd w:val="0"/>
        <w:rPr>
          <w:color w:val="000000" w:themeColor="text1"/>
          <w:szCs w:val="22"/>
        </w:rPr>
      </w:pPr>
      <w:r w:rsidRPr="00EA4E30">
        <w:rPr>
          <w:color w:val="000000" w:themeColor="text1"/>
          <w:szCs w:val="22"/>
        </w:rPr>
        <w:t>10</w:t>
      </w:r>
      <w:r w:rsidR="00182B17" w:rsidRPr="00EA4E30">
        <w:rPr>
          <w:color w:val="000000" w:themeColor="text1"/>
          <w:szCs w:val="22"/>
        </w:rPr>
        <w:t>.  Section 1.1164 is amended to read as follows:</w:t>
      </w:r>
    </w:p>
    <w:p w:rsidR="00456012" w:rsidRPr="00FB6B30" w:rsidRDefault="00456012" w:rsidP="00FB6B30">
      <w:pPr>
        <w:widowControl/>
        <w:autoSpaceDE w:val="0"/>
        <w:autoSpaceDN w:val="0"/>
        <w:adjustRightInd w:val="0"/>
        <w:rPr>
          <w:color w:val="000000" w:themeColor="text1"/>
        </w:rPr>
      </w:pPr>
    </w:p>
    <w:p w:rsidR="00182B17" w:rsidRPr="00FB6B30" w:rsidRDefault="00253DF7" w:rsidP="00182B17">
      <w:pPr>
        <w:pStyle w:val="Heading2"/>
        <w:numPr>
          <w:ilvl w:val="0"/>
          <w:numId w:val="0"/>
        </w:numPr>
        <w:rPr>
          <w:color w:val="000000" w:themeColor="text1"/>
        </w:rPr>
      </w:pPr>
      <w:r w:rsidRPr="00FB6B30">
        <w:rPr>
          <w:color w:val="000000" w:themeColor="text1"/>
        </w:rPr>
        <w:t>§ 1.1164   Penalties for late or insufficient regulatory fee payments.</w:t>
      </w:r>
    </w:p>
    <w:p w:rsidR="00456012" w:rsidRPr="00FB6B30" w:rsidRDefault="00253DF7" w:rsidP="00FB6B30">
      <w:pPr>
        <w:spacing w:before="90" w:after="54"/>
        <w:rPr>
          <w:color w:val="000000" w:themeColor="text1"/>
        </w:rPr>
      </w:pPr>
      <w:r w:rsidRPr="00FB6B30">
        <w:rPr>
          <w:snapToGrid/>
          <w:color w:val="000000" w:themeColor="text1"/>
        </w:rPr>
        <w:t xml:space="preserve">Electronic payments are considered timely when a wire transfer was received by the Commission’s bank no later than 6:00 pm on the due date; confirmation to pay.gov that a credit card payment was successful no later than 11:59 pm (EST) on the due date; or confirmation an ACH was credited no later than 11:59 pm (EST) on the due date. </w:t>
      </w:r>
      <w:r w:rsidR="00182B17" w:rsidRPr="00EA4E30">
        <w:rPr>
          <w:color w:val="000000" w:themeColor="text1"/>
          <w:szCs w:val="22"/>
        </w:rPr>
        <w:t xml:space="preserve">In instances where a non-annual regulatory payment (i.e., delinquent payment) is made by check, cashier’s check, or money order, a timely fee payment or installment payment is one received at the Commission's lockbox bank by the due date specified by the Commission or by the Managing Director.  Where a non-annual regulatory fee payment is made by check, cashier’s check, or money order, a timely fee payment or installment payment is one received at the Commission’s lockbox bank by the due date specified by the Commission or the Managing Director. </w:t>
      </w:r>
      <w:r w:rsidRPr="00FB6B30">
        <w:rPr>
          <w:color w:val="000000" w:themeColor="text1"/>
        </w:rPr>
        <w:t>Any late payment or insufficient payment of a regulatory fee, not excused by bank error, shall subject the regulatee to a 25 percent penalty of the amount of the fee of installment payment which was not paid in a timely manner.  A payment will also be considered late filed if the payment instrument (check, money order, cashier’s check, or credit card) is uncollectible.</w:t>
      </w:r>
    </w:p>
    <w:p w:rsidR="00182B17" w:rsidRPr="00EA4E30" w:rsidRDefault="00182B17" w:rsidP="00182B17">
      <w:pPr>
        <w:spacing w:before="90" w:after="54"/>
        <w:rPr>
          <w:color w:val="000000" w:themeColor="text1"/>
          <w:szCs w:val="22"/>
        </w:rPr>
      </w:pPr>
      <w:r w:rsidRPr="00EA4E30" w:rsidDel="00CB063C">
        <w:rPr>
          <w:color w:val="000000" w:themeColor="text1"/>
          <w:szCs w:val="22"/>
        </w:rPr>
        <w:t xml:space="preserve"> </w:t>
      </w:r>
      <w:r w:rsidR="008A5E7D" w:rsidRPr="00EA4E30">
        <w:rPr>
          <w:color w:val="000000" w:themeColor="text1"/>
          <w:szCs w:val="22"/>
        </w:rPr>
        <w:t xml:space="preserve"> </w:t>
      </w:r>
    </w:p>
    <w:p w:rsidR="00AF1A9B" w:rsidRPr="00FB6B30" w:rsidRDefault="00AF1A9B" w:rsidP="00FB6B30">
      <w:pPr>
        <w:spacing w:before="90" w:after="54"/>
        <w:rPr>
          <w:color w:val="000000" w:themeColor="text1"/>
          <w:spacing w:val="-2"/>
        </w:rPr>
      </w:pPr>
    </w:p>
    <w:sectPr w:rsidR="00AF1A9B" w:rsidRPr="00FB6B30" w:rsidSect="0034064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59" w:rsidRDefault="00665F59">
      <w:r>
        <w:separator/>
      </w:r>
    </w:p>
  </w:endnote>
  <w:endnote w:type="continuationSeparator" w:id="0">
    <w:p w:rsidR="00665F59" w:rsidRDefault="00665F59">
      <w:r>
        <w:continuationSeparator/>
      </w:r>
    </w:p>
  </w:endnote>
  <w:endnote w:type="continuationNotice" w:id="1">
    <w:p w:rsidR="00665F59" w:rsidRDefault="00665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OMDAA K+ Century">
    <w:altName w:val="Centu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FF" w:rsidRDefault="00B04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59" w:rsidRDefault="00665F59" w:rsidP="00B32272">
    <w:pPr>
      <w:pStyle w:val="Footer"/>
      <w:jc w:val="center"/>
    </w:pPr>
    <w:r>
      <w:fldChar w:fldCharType="begin"/>
    </w:r>
    <w:r>
      <w:instrText xml:space="preserve"> PAGE   \* MERGEFORMAT </w:instrText>
    </w:r>
    <w:r>
      <w:fldChar w:fldCharType="separate"/>
    </w:r>
    <w:r w:rsidR="005B5334">
      <w:rPr>
        <w:noProof/>
      </w:rPr>
      <w:t>41</w:t>
    </w:r>
    <w:r>
      <w:rPr>
        <w:noProof/>
      </w:rPr>
      <w:fldChar w:fldCharType="end"/>
    </w:r>
  </w:p>
  <w:p w:rsidR="00665F59" w:rsidRDefault="00665F5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59" w:rsidRPr="005964CB" w:rsidRDefault="00665F59" w:rsidP="001163F6">
    <w:pPr>
      <w:pStyle w:val="Footer"/>
      <w:jc w:val="center"/>
      <w:rPr>
        <w:szCs w:val="22"/>
      </w:rPr>
    </w:pPr>
  </w:p>
  <w:p w:rsidR="00665F59" w:rsidRDefault="00665F59" w:rsidP="00B32272">
    <w:pPr>
      <w:pStyle w:val="Footer"/>
      <w:jc w:val="center"/>
    </w:pPr>
  </w:p>
  <w:p w:rsidR="00665F59" w:rsidRDefault="00665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59" w:rsidRDefault="00665F59">
      <w:pPr>
        <w:rPr>
          <w:sz w:val="20"/>
        </w:rPr>
      </w:pPr>
      <w:r>
        <w:rPr>
          <w:sz w:val="20"/>
        </w:rPr>
        <w:separator/>
      </w:r>
    </w:p>
  </w:footnote>
  <w:footnote w:type="continuationSeparator" w:id="0">
    <w:p w:rsidR="00665F59" w:rsidRDefault="00665F59">
      <w:pPr>
        <w:rPr>
          <w:sz w:val="20"/>
        </w:rPr>
      </w:pPr>
      <w:r>
        <w:rPr>
          <w:sz w:val="20"/>
        </w:rPr>
        <w:separator/>
      </w:r>
    </w:p>
    <w:p w:rsidR="00665F59" w:rsidRDefault="00665F59">
      <w:pPr>
        <w:rPr>
          <w:sz w:val="20"/>
        </w:rPr>
      </w:pPr>
      <w:r>
        <w:rPr>
          <w:sz w:val="20"/>
        </w:rPr>
        <w:t>(...continued from previous page)</w:t>
      </w:r>
    </w:p>
  </w:footnote>
  <w:footnote w:type="continuationNotice" w:id="1">
    <w:p w:rsidR="00665F59" w:rsidRDefault="00665F59">
      <w:pPr>
        <w:jc w:val="right"/>
        <w:rPr>
          <w:sz w:val="20"/>
        </w:rPr>
      </w:pPr>
      <w:r>
        <w:rPr>
          <w:sz w:val="20"/>
        </w:rPr>
        <w:t>(continued....)</w:t>
      </w:r>
    </w:p>
  </w:footnote>
  <w:footnote w:id="2">
    <w:p w:rsidR="00665F59" w:rsidRDefault="00665F59">
      <w:pPr>
        <w:pStyle w:val="FootnoteText"/>
      </w:pPr>
      <w:r>
        <w:rPr>
          <w:rStyle w:val="FootnoteReference"/>
        </w:rPr>
        <w:footnoteRef/>
      </w:r>
      <w:r>
        <w:t xml:space="preserve"> </w:t>
      </w:r>
      <w:r w:rsidRPr="001163F6">
        <w:rPr>
          <w:i/>
        </w:rPr>
        <w:t>Procedures for Assessment and Collection of Regulatory Fees; Assessment and Collection of Regulatory Fees for Fiscal Year 2013</w:t>
      </w:r>
      <w:r>
        <w:t>, Notice of Proposed Rulemaking and Further Notice of Proposed Rulemaking, 28 FCC Rcd 7790 (2013) (</w:t>
      </w:r>
      <w:r w:rsidRPr="00F906EF">
        <w:rPr>
          <w:i/>
        </w:rPr>
        <w:t xml:space="preserve">FY 2013 </w:t>
      </w:r>
      <w:r w:rsidRPr="007C7421">
        <w:rPr>
          <w:i/>
        </w:rPr>
        <w:t>NPRM</w:t>
      </w:r>
      <w:r>
        <w:t>).  R</w:t>
      </w:r>
      <w:r w:rsidRPr="001144AB">
        <w:rPr>
          <w:szCs w:val="22"/>
        </w:rPr>
        <w:t xml:space="preserve">egulatory fees are mandated by Congress </w:t>
      </w:r>
      <w:r>
        <w:rPr>
          <w:szCs w:val="22"/>
        </w:rPr>
        <w:t xml:space="preserve">in section 9 of the Communications Act of 1934, as amended (Communications Act or Act), </w:t>
      </w:r>
      <w:r w:rsidRPr="001144AB">
        <w:rPr>
          <w:szCs w:val="22"/>
        </w:rPr>
        <w:t>and collected to recover the regulatory costs associated with the Commission’s enforcement, policy and rulemaking, user information, and international activities</w:t>
      </w:r>
      <w:r>
        <w:rPr>
          <w:szCs w:val="22"/>
        </w:rPr>
        <w:t>.</w:t>
      </w:r>
      <w:r w:rsidRPr="00745D9D">
        <w:rPr>
          <w:color w:val="000000"/>
        </w:rPr>
        <w:t xml:space="preserve"> </w:t>
      </w:r>
      <w:r>
        <w:rPr>
          <w:color w:val="000000"/>
        </w:rPr>
        <w:t xml:space="preserve"> </w:t>
      </w:r>
      <w:r w:rsidRPr="00A1103B">
        <w:rPr>
          <w:color w:val="000000"/>
        </w:rPr>
        <w:t>47 U.S.C. § 159(a).</w:t>
      </w:r>
    </w:p>
  </w:footnote>
  <w:footnote w:id="3">
    <w:p w:rsidR="00665F59" w:rsidRDefault="00665F59">
      <w:pPr>
        <w:pStyle w:val="FootnoteText"/>
      </w:pPr>
      <w:r>
        <w:rPr>
          <w:rStyle w:val="FootnoteReference"/>
        </w:rPr>
        <w:footnoteRef/>
      </w:r>
      <w:r>
        <w:t xml:space="preserve"> O</w:t>
      </w:r>
      <w:r w:rsidRPr="006A303E">
        <w:t>ne FTE</w:t>
      </w:r>
      <w:r>
        <w:t>, a “Full Time Equivalent” or “Full Time Employee,”</w:t>
      </w:r>
      <w:r w:rsidRPr="006A303E">
        <w:t xml:space="preserve"> is a unit of measure equal to the work performed annually by a full ti</w:t>
      </w:r>
      <w:r>
        <w:t>me</w:t>
      </w:r>
      <w:r w:rsidRPr="006A303E">
        <w:t xml:space="preserve"> person </w:t>
      </w:r>
      <w:r>
        <w:t xml:space="preserve">(working a 40 hour workweek for a full year) </w:t>
      </w:r>
      <w:r w:rsidRPr="006A303E">
        <w:t>assigned to the particular</w:t>
      </w:r>
      <w:r>
        <w:t xml:space="preserve"> job</w:t>
      </w:r>
      <w:r w:rsidRPr="006A303E">
        <w:t>, and subject to agency personnel staffing limitations established by the U.S. Office of Management and Budget.</w:t>
      </w:r>
    </w:p>
  </w:footnote>
  <w:footnote w:id="4">
    <w:p w:rsidR="00665F59" w:rsidRDefault="00665F59" w:rsidP="001A1EF1">
      <w:pPr>
        <w:pStyle w:val="FootnoteText"/>
      </w:pPr>
      <w:r w:rsidRPr="00920C3F">
        <w:rPr>
          <w:rStyle w:val="FootnoteReference"/>
        </w:rPr>
        <w:footnoteRef/>
      </w:r>
      <w:r>
        <w:t xml:space="preserve"> </w:t>
      </w:r>
      <w:r w:rsidRPr="00E77F84">
        <w:rPr>
          <w:i/>
        </w:rPr>
        <w:t>Assessment and Collection of Regulatory Fees for Fiscal Year 2013</w:t>
      </w:r>
      <w:r>
        <w:t>, Report and Order, 28 FCC Rcd 12351 (2013) (</w:t>
      </w:r>
      <w:r w:rsidRPr="00E77F84">
        <w:rPr>
          <w:i/>
        </w:rPr>
        <w:t>FY 2013 Report and Order</w:t>
      </w:r>
      <w:r>
        <w:t xml:space="preserve">).     </w:t>
      </w:r>
    </w:p>
  </w:footnote>
  <w:footnote w:id="5">
    <w:p w:rsidR="00665F59" w:rsidRDefault="00665F59">
      <w:pPr>
        <w:pStyle w:val="FootnoteText"/>
      </w:pPr>
      <w:r>
        <w:rPr>
          <w:rStyle w:val="FootnoteReference"/>
        </w:rPr>
        <w:footnoteRef/>
      </w:r>
      <w:r>
        <w:t xml:space="preserve"> </w:t>
      </w:r>
      <w:r w:rsidRPr="00A1103B">
        <w:t>47 U.S.C. § 159</w:t>
      </w:r>
      <w:r>
        <w:t>.</w:t>
      </w:r>
    </w:p>
  </w:footnote>
  <w:footnote w:id="6">
    <w:p w:rsidR="00665F59" w:rsidRDefault="00665F59" w:rsidP="00E86B96">
      <w:pPr>
        <w:pStyle w:val="FootnoteText"/>
      </w:pPr>
      <w:r>
        <w:rPr>
          <w:rStyle w:val="FootnoteReference"/>
        </w:rPr>
        <w:footnoteRef/>
      </w:r>
      <w:r>
        <w:t xml:space="preserve"> 47 C</w:t>
      </w:r>
      <w:r w:rsidRPr="00A1103B">
        <w:t>.</w:t>
      </w:r>
      <w:r>
        <w:t>F</w:t>
      </w:r>
      <w:r w:rsidRPr="00A1103B">
        <w:t>.</w:t>
      </w:r>
      <w:r>
        <w:t>R</w:t>
      </w:r>
      <w:r w:rsidRPr="00A1103B">
        <w:t xml:space="preserve">. §§ </w:t>
      </w:r>
      <w:r>
        <w:t xml:space="preserve">1.1112, 1.1158, 1.1161, 1.1164.  </w:t>
      </w:r>
      <w:r w:rsidRPr="00527901">
        <w:rPr>
          <w:i/>
        </w:rPr>
        <w:t>See</w:t>
      </w:r>
      <w:r w:rsidRPr="00527901">
        <w:t xml:space="preserve"> Attachment G for the </w:t>
      </w:r>
      <w:r>
        <w:t>revised rules</w:t>
      </w:r>
      <w:r w:rsidRPr="00527901">
        <w:t>.</w:t>
      </w:r>
    </w:p>
  </w:footnote>
  <w:footnote w:id="7">
    <w:p w:rsidR="00665F59" w:rsidRDefault="00665F59" w:rsidP="00E86B96">
      <w:pPr>
        <w:pStyle w:val="FootnoteText"/>
      </w:pPr>
      <w:r>
        <w:rPr>
          <w:rStyle w:val="FootnoteReference"/>
        </w:rPr>
        <w:footnoteRef/>
      </w:r>
      <w:r>
        <w:t xml:space="preserve"> </w:t>
      </w:r>
      <w:r w:rsidRPr="00F41E9F">
        <w:rPr>
          <w:i/>
        </w:rPr>
        <w:t>See FY 2013 Report and Order</w:t>
      </w:r>
      <w:r>
        <w:t>, 28 FCC Rcd at 12365-66, para. 44.</w:t>
      </w:r>
    </w:p>
  </w:footnote>
  <w:footnote w:id="8">
    <w:p w:rsidR="00665F59" w:rsidRPr="00A1103B" w:rsidRDefault="00665F59" w:rsidP="00643B6B">
      <w:pPr>
        <w:pStyle w:val="FootnoteText"/>
      </w:pPr>
      <w:r w:rsidRPr="00A1103B">
        <w:rPr>
          <w:rStyle w:val="FootnoteReference"/>
        </w:rPr>
        <w:footnoteRef/>
      </w:r>
      <w:r w:rsidRPr="00A1103B">
        <w:t xml:space="preserve"> 47 U.S.C. § 159(a).</w:t>
      </w:r>
    </w:p>
  </w:footnote>
  <w:footnote w:id="9">
    <w:p w:rsidR="00665F59" w:rsidRPr="00A1103B" w:rsidRDefault="00665F59" w:rsidP="00643B6B">
      <w:pPr>
        <w:pStyle w:val="FootnoteText"/>
      </w:pPr>
      <w:r w:rsidRPr="00A1103B">
        <w:rPr>
          <w:rStyle w:val="FootnoteReference"/>
        </w:rPr>
        <w:footnoteRef/>
      </w:r>
      <w:r w:rsidRPr="00A1103B">
        <w:t xml:space="preserve"> 47 U.S.C. § 159(b)(1)(A).</w:t>
      </w:r>
    </w:p>
  </w:footnote>
  <w:footnote w:id="10">
    <w:p w:rsidR="00665F59" w:rsidRPr="00A1103B" w:rsidRDefault="00665F59" w:rsidP="00643B6B">
      <w:pPr>
        <w:pStyle w:val="FootnoteText"/>
      </w:pPr>
      <w:r w:rsidRPr="00A1103B">
        <w:rPr>
          <w:rStyle w:val="FootnoteReference"/>
        </w:rPr>
        <w:footnoteRef/>
      </w:r>
      <w:r w:rsidRPr="00A1103B">
        <w:t xml:space="preserve"> </w:t>
      </w:r>
      <w:r w:rsidRPr="00A1103B">
        <w:rPr>
          <w:i/>
        </w:rPr>
        <w:t>See Assessment and Collection of Regulatory Fees for Fiscal Year 2004</w:t>
      </w:r>
      <w:r w:rsidRPr="00A1103B">
        <w:t>, Report and Order, 19 FCC Rcd 11662, 11666, para. 11 (2004) (</w:t>
      </w:r>
      <w:r w:rsidRPr="00A1103B">
        <w:rPr>
          <w:i/>
        </w:rPr>
        <w:t>FY 2004 Report and Order</w:t>
      </w:r>
      <w:r w:rsidRPr="00A1103B">
        <w:t xml:space="preserve">).  </w:t>
      </w:r>
    </w:p>
  </w:footnote>
  <w:footnote w:id="11">
    <w:p w:rsidR="00665F59" w:rsidRDefault="00665F59">
      <w:pPr>
        <w:pStyle w:val="FootnoteText"/>
      </w:pPr>
      <w:r>
        <w:rPr>
          <w:rStyle w:val="FootnoteReference"/>
        </w:rPr>
        <w:footnoteRef/>
      </w:r>
      <w:r>
        <w:t xml:space="preserve"> For example, governmental and nonprofit entities are exempt from regulatory fees under section 9(h) of the Act.  47 U.S.C. </w:t>
      </w:r>
      <w:r w:rsidRPr="00A1103B">
        <w:t>§</w:t>
      </w:r>
      <w:r>
        <w:t xml:space="preserve"> 159(h); 47 C.F.R. </w:t>
      </w:r>
      <w:r w:rsidRPr="00A1103B">
        <w:t>§</w:t>
      </w:r>
      <w:r>
        <w:t xml:space="preserve"> 1.1162.</w:t>
      </w:r>
    </w:p>
  </w:footnote>
  <w:footnote w:id="12">
    <w:p w:rsidR="00665F59" w:rsidRDefault="00665F59">
      <w:pPr>
        <w:pStyle w:val="FootnoteText"/>
      </w:pPr>
      <w:r>
        <w:rPr>
          <w:rStyle w:val="FootnoteReference"/>
        </w:rPr>
        <w:footnoteRef/>
      </w:r>
      <w:r>
        <w:t xml:space="preserve"> 47 C.F.R.</w:t>
      </w:r>
      <w:r w:rsidRPr="00410E02">
        <w:t xml:space="preserve"> </w:t>
      </w:r>
      <w:r w:rsidRPr="00A1103B">
        <w:t>§</w:t>
      </w:r>
      <w:r>
        <w:t xml:space="preserve"> 1.1166.</w:t>
      </w:r>
    </w:p>
  </w:footnote>
  <w:footnote w:id="13">
    <w:p w:rsidR="00665F59" w:rsidRDefault="00665F59">
      <w:pPr>
        <w:pStyle w:val="FootnoteText"/>
      </w:pPr>
      <w:r>
        <w:rPr>
          <w:rStyle w:val="FootnoteReference"/>
        </w:rPr>
        <w:footnoteRef/>
      </w:r>
      <w:r>
        <w:t xml:space="preserve"> For example, broadband services.</w:t>
      </w:r>
    </w:p>
  </w:footnote>
  <w:footnote w:id="14">
    <w:p w:rsidR="00665F59" w:rsidRPr="00A1103B" w:rsidRDefault="00665F59" w:rsidP="00352312">
      <w:pPr>
        <w:pStyle w:val="FootnoteText"/>
      </w:pPr>
      <w:r w:rsidRPr="00A1103B">
        <w:rPr>
          <w:rStyle w:val="FootnoteReference"/>
        </w:rPr>
        <w:footnoteRef/>
      </w:r>
      <w:r w:rsidRPr="00A1103B">
        <w:t xml:space="preserve"> The </w:t>
      </w:r>
      <w:r>
        <w:t xml:space="preserve">core bureaus are the Wireline Competition Bureau, Wireless Telecommunications Bureau, Media Bureau, and part of the International Bureau.  The </w:t>
      </w:r>
      <w:r w:rsidRPr="00A1103B">
        <w:t xml:space="preserve">“indirect” FTEs are the employees from the following bureaus and offices:  </w:t>
      </w:r>
      <w:r>
        <w:t>Enforcement Bureau, Consumer &amp;</w:t>
      </w:r>
      <w:r w:rsidRPr="00A1103B">
        <w:t xml:space="preserve"> Governmental Affairs Bureau, Public Safety and Homeland Security Bureau, Chairman and Commissioners’ offices, Office of Managing Director, Office of General Counsel</w:t>
      </w:r>
      <w:r w:rsidRPr="004330AC">
        <w:t>, Office of the Inspector General, Office of Communications Business Opportunities, Office of Engineering and</w:t>
      </w:r>
      <w:r w:rsidRPr="00A1103B">
        <w:t xml:space="preserve"> Technology, Office of Legislative Affairs, Office of Strategic Planning and Policy Analysis, </w:t>
      </w:r>
      <w:r>
        <w:t>O</w:t>
      </w:r>
      <w:r w:rsidRPr="00A1103B">
        <w:t xml:space="preserve">ffice of Workplace Diversity, </w:t>
      </w:r>
      <w:r>
        <w:t xml:space="preserve">Office of Media Relations, and Office of Administrative Law Judges, </w:t>
      </w:r>
      <w:r w:rsidRPr="00A1103B">
        <w:t xml:space="preserve">totaling </w:t>
      </w:r>
      <w:r w:rsidRPr="00FB6B30">
        <w:t>9</w:t>
      </w:r>
      <w:r>
        <w:t>54</w:t>
      </w:r>
      <w:r w:rsidRPr="00A1103B">
        <w:t xml:space="preserve"> FTEs (excluding auctions FTEs).  </w:t>
      </w:r>
    </w:p>
  </w:footnote>
  <w:footnote w:id="15">
    <w:p w:rsidR="00665F59" w:rsidRDefault="00665F59" w:rsidP="00CA0FF3">
      <w:pPr>
        <w:pStyle w:val="FootnoteText"/>
      </w:pPr>
      <w:r>
        <w:rPr>
          <w:rStyle w:val="FootnoteReference"/>
        </w:rPr>
        <w:footnoteRef/>
      </w:r>
      <w:r>
        <w:t xml:space="preserve"> </w:t>
      </w:r>
      <w:r w:rsidRPr="00D61486">
        <w:rPr>
          <w:i/>
        </w:rPr>
        <w:t xml:space="preserve">See </w:t>
      </w:r>
      <w:r>
        <w:rPr>
          <w:i/>
        </w:rPr>
        <w:t xml:space="preserve">Assessment and Collection of Regulatory Fees for Fiscal Year 2012, </w:t>
      </w:r>
      <w:r>
        <w:t>Notice of Proposed Rulemaking, 27 FCC Rcd 8458 (2012) (</w:t>
      </w:r>
      <w:r w:rsidRPr="00381FEA">
        <w:rPr>
          <w:i/>
        </w:rPr>
        <w:t>FY 2012 NPRM</w:t>
      </w:r>
      <w:r>
        <w:t>)</w:t>
      </w:r>
      <w:r w:rsidRPr="00EC449E">
        <w:t>.</w:t>
      </w:r>
      <w:r w:rsidRPr="00A55970">
        <w:rPr>
          <w:i/>
        </w:rPr>
        <w:t xml:space="preserve"> </w:t>
      </w:r>
      <w:r>
        <w:t xml:space="preserve">  </w:t>
      </w:r>
    </w:p>
  </w:footnote>
  <w:footnote w:id="16">
    <w:p w:rsidR="00665F59" w:rsidRDefault="00665F59" w:rsidP="00CA0FF3">
      <w:pPr>
        <w:pStyle w:val="FootnoteText"/>
      </w:pPr>
      <w:r>
        <w:rPr>
          <w:rStyle w:val="FootnoteReference"/>
        </w:rPr>
        <w:footnoteRef/>
      </w:r>
      <w:r>
        <w:rPr>
          <w:i/>
        </w:rPr>
        <w:t xml:space="preserve"> </w:t>
      </w:r>
      <w:r w:rsidRPr="00A5122D">
        <w:rPr>
          <w:i/>
        </w:rPr>
        <w:t>FY 20</w:t>
      </w:r>
      <w:r>
        <w:rPr>
          <w:i/>
        </w:rPr>
        <w:t>12 NPRM</w:t>
      </w:r>
      <w:r w:rsidRPr="00186823">
        <w:t>, 27 FCC Rcd at 8461, para. 8.</w:t>
      </w:r>
      <w:r>
        <w:t xml:space="preserve">  This issue was also examined by the GAO. </w:t>
      </w:r>
      <w:r w:rsidRPr="00CE7E50">
        <w:rPr>
          <w:i/>
        </w:rPr>
        <w:t xml:space="preserve"> </w:t>
      </w:r>
      <w:r w:rsidRPr="00C55F00">
        <w:rPr>
          <w:i/>
        </w:rPr>
        <w:t>See</w:t>
      </w:r>
      <w:r>
        <w:t xml:space="preserve"> GAO, Federal Communications Commission, “Regulatory Fee Process Needs to be Updated,” Aug. 2012, GAO-12-686 (GAO Report).</w:t>
      </w:r>
      <w:r w:rsidRPr="007214EE">
        <w:rPr>
          <w:szCs w:val="22"/>
        </w:rPr>
        <w:t xml:space="preserve"> </w:t>
      </w:r>
      <w:r>
        <w:rPr>
          <w:szCs w:val="22"/>
        </w:rPr>
        <w:t xml:space="preserve"> T</w:t>
      </w:r>
      <w:r w:rsidRPr="006C2D9F">
        <w:rPr>
          <w:szCs w:val="22"/>
        </w:rPr>
        <w:t>he GAO concluded that the Commission should perform an updated FTE analysis to determine whether the fee categories should be revised</w:t>
      </w:r>
      <w:r>
        <w:rPr>
          <w:szCs w:val="22"/>
        </w:rPr>
        <w:t>.</w:t>
      </w:r>
    </w:p>
  </w:footnote>
  <w:footnote w:id="17">
    <w:p w:rsidR="00665F59" w:rsidRDefault="00665F59">
      <w:pPr>
        <w:pStyle w:val="FootnoteText"/>
      </w:pPr>
      <w:r>
        <w:rPr>
          <w:rStyle w:val="FootnoteReference"/>
        </w:rPr>
        <w:footnoteRef/>
      </w:r>
      <w:r>
        <w:t xml:space="preserve"> </w:t>
      </w:r>
      <w:r w:rsidRPr="0061074F">
        <w:rPr>
          <w:i/>
        </w:rPr>
        <w:t>FY 201</w:t>
      </w:r>
      <w:r>
        <w:rPr>
          <w:i/>
        </w:rPr>
        <w:t>3</w:t>
      </w:r>
      <w:r w:rsidRPr="0061074F">
        <w:rPr>
          <w:i/>
        </w:rPr>
        <w:t xml:space="preserve"> Report and Order</w:t>
      </w:r>
      <w:r>
        <w:t>, 28 FCC Rcd at 12355-56, para. 14.</w:t>
      </w:r>
      <w:r w:rsidRPr="000704EE">
        <w:t xml:space="preserve"> </w:t>
      </w:r>
      <w:r>
        <w:t xml:space="preserve"> For example, t</w:t>
      </w:r>
      <w:r w:rsidRPr="00A438CD">
        <w:t>he International Bureau’s largest division, Strategic Analysis and Negotiation Division (SAND), is responsible for intergovernmental and regional leadership, negotiation, and planning and overs</w:t>
      </w:r>
      <w:r>
        <w:t>ight of</w:t>
      </w:r>
      <w:r w:rsidRPr="00A438CD">
        <w:t xml:space="preserve"> the Commission’s participation in international forums and conferences.  SAND’s activities also cover telecommunications services outside of the </w:t>
      </w:r>
      <w:r>
        <w:t>International B</w:t>
      </w:r>
      <w:r w:rsidRPr="00A438CD">
        <w:t xml:space="preserve">ureau’s oversight and regulatory activities; e.g., coordination of wireless services with Canada and Mexico.  Because the activities of the SAND FTEs benefit the </w:t>
      </w:r>
      <w:r>
        <w:t xml:space="preserve">licensees in other bureaus in addition to its own licensees, </w:t>
      </w:r>
      <w:r w:rsidRPr="00A438CD">
        <w:t>the Commission reallocated the FTEs in SAND as indirect FTEs</w:t>
      </w:r>
      <w:r>
        <w:t>.</w:t>
      </w:r>
    </w:p>
  </w:footnote>
  <w:footnote w:id="18">
    <w:p w:rsidR="00665F59" w:rsidRDefault="00665F59">
      <w:pPr>
        <w:pStyle w:val="FootnoteText"/>
      </w:pPr>
      <w:r>
        <w:rPr>
          <w:rStyle w:val="FootnoteReference"/>
        </w:rPr>
        <w:footnoteRef/>
      </w:r>
      <w:r>
        <w:t xml:space="preserve"> </w:t>
      </w:r>
      <w:r w:rsidRPr="0061074F">
        <w:rPr>
          <w:i/>
        </w:rPr>
        <w:t>FY 201</w:t>
      </w:r>
      <w:r>
        <w:rPr>
          <w:i/>
        </w:rPr>
        <w:t>3</w:t>
      </w:r>
      <w:r w:rsidRPr="0061074F">
        <w:rPr>
          <w:i/>
        </w:rPr>
        <w:t xml:space="preserve"> Report and Order</w:t>
      </w:r>
      <w:r>
        <w:t>, 28 FCC Rcd at 12355-56, para. 14.</w:t>
      </w:r>
      <w:r w:rsidRPr="000704EE">
        <w:t xml:space="preserve"> </w:t>
      </w:r>
      <w:r>
        <w:t xml:space="preserve"> </w:t>
      </w:r>
    </w:p>
  </w:footnote>
  <w:footnote w:id="19">
    <w:p w:rsidR="00665F59" w:rsidRPr="00F0521E" w:rsidRDefault="00665F59" w:rsidP="00664EB6">
      <w:pPr>
        <w:pStyle w:val="FootnoteText"/>
      </w:pPr>
      <w:r w:rsidRPr="00B97BD6">
        <w:rPr>
          <w:rStyle w:val="FootnoteReference"/>
        </w:rPr>
        <w:footnoteRef/>
      </w:r>
      <w:r>
        <w:t xml:space="preserve"> </w:t>
      </w:r>
      <w:r>
        <w:rPr>
          <w:i/>
        </w:rPr>
        <w:t>Id.</w:t>
      </w:r>
      <w:r>
        <w:t>, 28 FCC Rcd at 12352, para. 5.</w:t>
      </w:r>
    </w:p>
  </w:footnote>
  <w:footnote w:id="20">
    <w:p w:rsidR="00665F59" w:rsidRPr="0099542B" w:rsidRDefault="00665F59">
      <w:pPr>
        <w:pStyle w:val="FootnoteText"/>
        <w:rPr>
          <w:b/>
        </w:rPr>
      </w:pPr>
      <w:r>
        <w:rPr>
          <w:rStyle w:val="FootnoteReference"/>
        </w:rPr>
        <w:footnoteRef/>
      </w:r>
      <w:r>
        <w:t xml:space="preserve"> </w:t>
      </w:r>
      <w:r w:rsidRPr="00BC7CF2">
        <w:rPr>
          <w:i/>
        </w:rPr>
        <w:t>See, e.g</w:t>
      </w:r>
      <w:r>
        <w:t>., Enterprise Wireless Alliance, Notice of Ex Parte Presentation (Nov. 1, 2013); Competitive Carriers Association, Notice of Ex Parte Presentation (Nov. 8, 2013); Critical Messaging Association, Ex Parte Memorandum (Nov. 14, 2013); CTIA—The Wireless Association, AT&amp;T, Verizon, and T-Mobile, Notice of Ex Parte Presentation (Nov. 15, 2013); United States Telecom Association (USTelecom), Notice of Ex Parte Presentation (Nov. 15, 2013); Satellite Industry Association (SIA), Notice of Oral Ex Parte Presentation (Nov. 22, 2013); American Cable Association (ACA), Notice of Ex Parte Presentation (Nov. 22, 2013); Independent Telephone and Telecommunications Alliance (ITTA), Notice of Ex Parte Communication (Nov. 22, 2013); North American Submarine Cable Association (NASCA), Notice of Ex Parte Presentation (Dec. 5, 2013); Intelsat Corporation Notice of Oral Ex Parte Presentation (Dec. 13, 2013); SES, Inmarsat, and Telesat, Notice of Oral Ex Parte Presentation (Dec. 13, 2013); DIRECTV, DISH Network Corp., Hughes Network Systems, and Echostar Corp., Notice of Ex Parte Presentation (Dec. 13, 2013), National Association of Broadcasters (NAB), Notice of Late-Filed Ex Parte Communication (Jan. 24, 2014).</w:t>
      </w:r>
    </w:p>
  </w:footnote>
  <w:footnote w:id="21">
    <w:p w:rsidR="00665F59" w:rsidRDefault="00665F59" w:rsidP="003B6D34">
      <w:pPr>
        <w:pStyle w:val="FootnoteText"/>
      </w:pPr>
      <w:r>
        <w:rPr>
          <w:rStyle w:val="FootnoteReference"/>
        </w:rPr>
        <w:footnoteRef/>
      </w:r>
      <w:r>
        <w:t xml:space="preserve"> </w:t>
      </w:r>
      <w:r w:rsidRPr="00FF7C06">
        <w:rPr>
          <w:i/>
        </w:rPr>
        <w:t>FY 2013 Report and Order</w:t>
      </w:r>
      <w:r>
        <w:t>, 28 FCC Rcd at 12361-62, paras. 29-31.</w:t>
      </w:r>
    </w:p>
  </w:footnote>
  <w:footnote w:id="22">
    <w:p w:rsidR="00665F59" w:rsidRDefault="00665F59" w:rsidP="003B6D34">
      <w:pPr>
        <w:pStyle w:val="FootnoteText"/>
      </w:pPr>
      <w:r>
        <w:rPr>
          <w:rStyle w:val="FootnoteReference"/>
        </w:rPr>
        <w:footnoteRef/>
      </w:r>
      <w:r>
        <w:t xml:space="preserve"> </w:t>
      </w:r>
      <w:r w:rsidRPr="00255B31">
        <w:rPr>
          <w:i/>
        </w:rPr>
        <w:t>Id.</w:t>
      </w:r>
      <w:r>
        <w:t>, 28 FCC Rcd at 12362-63, paras. 32-33.</w:t>
      </w:r>
    </w:p>
  </w:footnote>
  <w:footnote w:id="23">
    <w:p w:rsidR="00665F59" w:rsidRDefault="00665F59" w:rsidP="003B6D34">
      <w:pPr>
        <w:pStyle w:val="FootnoteText"/>
      </w:pPr>
      <w:r>
        <w:rPr>
          <w:rStyle w:val="FootnoteReference"/>
        </w:rPr>
        <w:footnoteRef/>
      </w:r>
      <w:r>
        <w:t xml:space="preserve"> </w:t>
      </w:r>
      <w:r>
        <w:rPr>
          <w:i/>
        </w:rPr>
        <w:t>Id.</w:t>
      </w:r>
      <w:r>
        <w:t>, 28 FCC Rcd at 12363-64, paras. 35-36.</w:t>
      </w:r>
    </w:p>
  </w:footnote>
  <w:footnote w:id="24">
    <w:p w:rsidR="00665F59" w:rsidRPr="00C20F6E" w:rsidRDefault="00665F59" w:rsidP="004709B8">
      <w:pPr>
        <w:pStyle w:val="FootnoteText"/>
      </w:pPr>
      <w:r>
        <w:rPr>
          <w:rStyle w:val="FootnoteReference"/>
        </w:rPr>
        <w:footnoteRef/>
      </w:r>
      <w:r>
        <w:t xml:space="preserve"> </w:t>
      </w:r>
      <w:r>
        <w:rPr>
          <w:i/>
        </w:rPr>
        <w:t>Id.</w:t>
      </w:r>
      <w:r w:rsidRPr="00C643CD">
        <w:t>, 28 FCC Rcd at</w:t>
      </w:r>
      <w:r>
        <w:t xml:space="preserve"> 12362</w:t>
      </w:r>
      <w:r>
        <w:rPr>
          <w:i/>
        </w:rPr>
        <w:t xml:space="preserve">, </w:t>
      </w:r>
      <w:r>
        <w:t>para. 30.</w:t>
      </w:r>
    </w:p>
  </w:footnote>
  <w:footnote w:id="25">
    <w:p w:rsidR="00665F59" w:rsidRDefault="00665F59" w:rsidP="00664EB6">
      <w:pPr>
        <w:pStyle w:val="FootnoteText"/>
      </w:pPr>
      <w:r w:rsidRPr="00D96492">
        <w:rPr>
          <w:rStyle w:val="FootnoteReference"/>
        </w:rPr>
        <w:footnoteRef/>
      </w:r>
      <w:r w:rsidRPr="00D96492">
        <w:t xml:space="preserve"> </w:t>
      </w:r>
      <w:r w:rsidRPr="00D96492">
        <w:rPr>
          <w:i/>
        </w:rPr>
        <w:t>See</w:t>
      </w:r>
      <w:r w:rsidRPr="00C4653F">
        <w:rPr>
          <w:i/>
        </w:rPr>
        <w:t xml:space="preserve"> </w:t>
      </w:r>
      <w:r w:rsidRPr="00C643CD">
        <w:rPr>
          <w:i/>
        </w:rPr>
        <w:t>FY 2013</w:t>
      </w:r>
      <w:r>
        <w:t xml:space="preserve"> </w:t>
      </w:r>
      <w:r w:rsidRPr="00C20F6E">
        <w:rPr>
          <w:i/>
        </w:rPr>
        <w:t>Report and Order</w:t>
      </w:r>
      <w:r w:rsidRPr="00C643CD">
        <w:t>, 28 FCC Rcd at</w:t>
      </w:r>
      <w:r>
        <w:t xml:space="preserve"> 12363</w:t>
      </w:r>
      <w:r>
        <w:rPr>
          <w:i/>
        </w:rPr>
        <w:t xml:space="preserve">, </w:t>
      </w:r>
      <w:r>
        <w:t>para. 33</w:t>
      </w:r>
      <w:r w:rsidRPr="00D96492">
        <w:t>.</w:t>
      </w:r>
      <w:r>
        <w:t xml:space="preserve">  </w:t>
      </w:r>
      <w:r w:rsidRPr="003766A3">
        <w:t xml:space="preserve">For purposes of this fee, IPTV providers include the AT&amp;T U-Verse service and other wireline providers that deliver multiple channels of video using Internet protocol. </w:t>
      </w:r>
      <w:r>
        <w:t xml:space="preserve"> </w:t>
      </w:r>
      <w:r w:rsidRPr="003766A3">
        <w:t xml:space="preserve">We note that this regulatory fee will not apply to online video distributors (OVDs), e.g., over-the-top video providers  </w:t>
      </w:r>
      <w:r w:rsidRPr="003766A3">
        <w:rPr>
          <w:i/>
        </w:rPr>
        <w:t>See Annual Assessment of the Status of Competition in the Market for the Delivery of Video Programming</w:t>
      </w:r>
      <w:r w:rsidRPr="003766A3">
        <w:t>, 28 FCC Rcd 10496, 10499 n.4 (2013).</w:t>
      </w:r>
    </w:p>
  </w:footnote>
  <w:footnote w:id="26">
    <w:p w:rsidR="00665F59" w:rsidRPr="007A6CCF" w:rsidRDefault="00665F59" w:rsidP="00664EB6">
      <w:pPr>
        <w:pStyle w:val="FootnoteText"/>
      </w:pPr>
      <w:r w:rsidRPr="00A1103B">
        <w:rPr>
          <w:rStyle w:val="FootnoteReference"/>
        </w:rPr>
        <w:footnoteRef/>
      </w:r>
      <w:r w:rsidRPr="00A1103B">
        <w:t xml:space="preserve"> </w:t>
      </w:r>
      <w:r w:rsidRPr="007A6CCF">
        <w:t>47 U.S.C. § 159(b)(3)</w:t>
      </w:r>
      <w:r>
        <w:t xml:space="preserve">; </w:t>
      </w:r>
      <w:r w:rsidRPr="007A6CCF">
        <w:t>47 U.S.C. § 159(b)(4)(B).</w:t>
      </w:r>
    </w:p>
  </w:footnote>
  <w:footnote w:id="27">
    <w:p w:rsidR="00665F59" w:rsidRDefault="00665F59" w:rsidP="00664EB6">
      <w:pPr>
        <w:pStyle w:val="FootnoteText"/>
      </w:pPr>
      <w:r>
        <w:rPr>
          <w:rStyle w:val="FootnoteReference"/>
        </w:rPr>
        <w:footnoteRef/>
      </w:r>
      <w:r>
        <w:t xml:space="preserve"> </w:t>
      </w:r>
      <w:r w:rsidRPr="003E0EFD">
        <w:t xml:space="preserve">47 U.S.C. § 159(b)(4)(B); </w:t>
      </w:r>
      <w:r w:rsidRPr="003E0EFD">
        <w:rPr>
          <w:rStyle w:val="Footnote"/>
        </w:rPr>
        <w:t>Letter concerning permitted amendment from Office of Managing Director, Federal Communications Commission to Chair and Ranking Members of U.S. House of Representatives’ Committees on Energy and Commerce and Appropriations and applicable Subcommittees and to Chair and Ranking Members of  the United States Senate Committees on Commerce, Science, and Transportation and Appropriations and applicable Subcommittees (</w:t>
      </w:r>
      <w:r w:rsidRPr="00776A32">
        <w:rPr>
          <w:rStyle w:val="Footnote"/>
        </w:rPr>
        <w:t>Mar</w:t>
      </w:r>
      <w:r>
        <w:rPr>
          <w:rStyle w:val="Footnote"/>
        </w:rPr>
        <w:t>.</w:t>
      </w:r>
      <w:r w:rsidRPr="00776A32">
        <w:rPr>
          <w:rStyle w:val="Footnote"/>
        </w:rPr>
        <w:t xml:space="preserve"> 27, 2014</w:t>
      </w:r>
      <w:r w:rsidRPr="003E0EFD">
        <w:rPr>
          <w:rStyle w:val="Footnote"/>
        </w:rPr>
        <w:t>).</w:t>
      </w:r>
    </w:p>
  </w:footnote>
  <w:footnote w:id="28">
    <w:p w:rsidR="00665F59" w:rsidRPr="00A1103B" w:rsidRDefault="00665F59" w:rsidP="00664EB6">
      <w:pPr>
        <w:pStyle w:val="FootnoteText"/>
      </w:pPr>
      <w:r w:rsidRPr="00A1103B">
        <w:rPr>
          <w:rStyle w:val="FootnoteReference"/>
        </w:rPr>
        <w:footnoteRef/>
      </w:r>
      <w:r w:rsidRPr="00A1103B">
        <w:t xml:space="preserve"> </w:t>
      </w:r>
      <w:r w:rsidRPr="00A1103B">
        <w:rPr>
          <w:i/>
        </w:rPr>
        <w:t>See Assessment and Collection of Regulatory Fees for Fiscal Year 1997</w:t>
      </w:r>
      <w:r w:rsidRPr="00A1103B">
        <w:t>, Report and Order, 12 FCC Rcd 17161, 17184-85, para. 60 (1997) (</w:t>
      </w:r>
      <w:r w:rsidRPr="00A1103B">
        <w:rPr>
          <w:i/>
        </w:rPr>
        <w:t>FY 1997 Report and Order</w:t>
      </w:r>
      <w:r w:rsidRPr="00A1103B">
        <w:t>).</w:t>
      </w:r>
    </w:p>
  </w:footnote>
  <w:footnote w:id="29">
    <w:p w:rsidR="00665F59" w:rsidRPr="00A1103B" w:rsidRDefault="00665F59" w:rsidP="00664EB6">
      <w:pPr>
        <w:pStyle w:val="FootnoteText"/>
      </w:pPr>
      <w:r w:rsidRPr="00A1103B">
        <w:rPr>
          <w:rStyle w:val="FootnoteReference"/>
        </w:rPr>
        <w:footnoteRef/>
      </w:r>
      <w:r w:rsidRPr="00A1103B">
        <w:t xml:space="preserve"> </w:t>
      </w:r>
      <w:r w:rsidRPr="00A1103B">
        <w:rPr>
          <w:i/>
        </w:rPr>
        <w:t>Assessment and Collection of Regulatory Fees for Fiscal Year 2003</w:t>
      </w:r>
      <w:r w:rsidRPr="00A1103B">
        <w:t>, Report and Order, 18 FCC Rcd 15985, 15992, para. 22 (2003) (</w:t>
      </w:r>
      <w:r w:rsidRPr="00A1103B">
        <w:rPr>
          <w:i/>
        </w:rPr>
        <w:t>FY 2003 Report and Order</w:t>
      </w:r>
      <w:r w:rsidRPr="00A1103B">
        <w:t>).</w:t>
      </w:r>
    </w:p>
  </w:footnote>
  <w:footnote w:id="30">
    <w:p w:rsidR="00665F59" w:rsidRPr="00A1103B" w:rsidRDefault="00665F59" w:rsidP="00664EB6">
      <w:pPr>
        <w:pStyle w:val="FootnoteText"/>
      </w:pPr>
      <w:r w:rsidRPr="00A1103B">
        <w:rPr>
          <w:rStyle w:val="FootnoteReference"/>
        </w:rPr>
        <w:footnoteRef/>
      </w:r>
      <w:r w:rsidRPr="00A1103B">
        <w:t xml:space="preserve"> </w:t>
      </w:r>
      <w:r w:rsidRPr="00A1103B">
        <w:rPr>
          <w:i/>
        </w:rPr>
        <w:t>FY 2003 Report and Order,</w:t>
      </w:r>
      <w:r w:rsidRPr="00A1103B">
        <w:t xml:space="preserve"> 18 FCC Rcd </w:t>
      </w:r>
      <w:r>
        <w:t xml:space="preserve">at </w:t>
      </w:r>
      <w:r w:rsidRPr="00A1103B">
        <w:t>15992, para. 21.</w:t>
      </w:r>
      <w:r w:rsidRPr="00476495">
        <w:t xml:space="preserve"> </w:t>
      </w:r>
      <w:r w:rsidRPr="00A1103B">
        <w:t xml:space="preserve">The subscriber base in the paging industry declined </w:t>
      </w:r>
      <w:r>
        <w:t>93</w:t>
      </w:r>
      <w:r w:rsidRPr="00A1103B">
        <w:t xml:space="preserve"> percent from 40.8 million to </w:t>
      </w:r>
      <w:r>
        <w:t>2.97</w:t>
      </w:r>
      <w:r w:rsidRPr="00A1103B">
        <w:t xml:space="preserve"> million between FY 1997 and FY 201</w:t>
      </w:r>
      <w:r>
        <w:t>3</w:t>
      </w:r>
      <w:r w:rsidRPr="00A1103B">
        <w:t>, according to FY 201</w:t>
      </w:r>
      <w:r>
        <w:t>3</w:t>
      </w:r>
      <w:r w:rsidRPr="00A1103B">
        <w:t xml:space="preserve"> collection data as of Sept. 30, 201</w:t>
      </w:r>
      <w:r>
        <w:t>3</w:t>
      </w:r>
      <w:r w:rsidRPr="00A1103B">
        <w:t xml:space="preserve">. </w:t>
      </w:r>
      <w:r>
        <w:t xml:space="preserve">  </w:t>
      </w:r>
    </w:p>
  </w:footnote>
  <w:footnote w:id="31">
    <w:p w:rsidR="00665F59" w:rsidRDefault="00665F59" w:rsidP="00664EB6">
      <w:pPr>
        <w:pStyle w:val="FootnoteText"/>
      </w:pPr>
      <w:r>
        <w:rPr>
          <w:rStyle w:val="FootnoteReference"/>
        </w:rPr>
        <w:footnoteRef/>
      </w:r>
      <w:r>
        <w:t xml:space="preserve"> If the fee rate were not frozen at $.08 per subscriber, the actual fee rate for the CMRS Messaging fee category would have been $.46 per subscriber (.39% of all fees with a projected unit count of 2.9 million).   </w:t>
      </w:r>
    </w:p>
  </w:footnote>
  <w:footnote w:id="32">
    <w:p w:rsidR="00665F59" w:rsidRDefault="00665F59">
      <w:pPr>
        <w:pStyle w:val="FootnoteText"/>
      </w:pPr>
      <w:r>
        <w:rPr>
          <w:rStyle w:val="FootnoteReference"/>
        </w:rPr>
        <w:footnoteRef/>
      </w:r>
      <w:r>
        <w:t xml:space="preserve"> </w:t>
      </w:r>
      <w:r w:rsidRPr="00F41E9F">
        <w:rPr>
          <w:i/>
        </w:rPr>
        <w:t>See FY 2013 Report and Order</w:t>
      </w:r>
      <w:r>
        <w:t>, 28 FCC Rcd at 12365-66, para. 44.</w:t>
      </w:r>
    </w:p>
  </w:footnote>
  <w:footnote w:id="33">
    <w:p w:rsidR="00665F59" w:rsidRDefault="00665F59" w:rsidP="00BB6A3A">
      <w:pPr>
        <w:pStyle w:val="FootnoteText"/>
      </w:pPr>
      <w:r>
        <w:rPr>
          <w:rStyle w:val="FootnoteReference"/>
        </w:rPr>
        <w:footnoteRef/>
      </w:r>
      <w:r>
        <w:t xml:space="preserve"> 47 C</w:t>
      </w:r>
      <w:r w:rsidRPr="00A1103B">
        <w:t>.</w:t>
      </w:r>
      <w:r>
        <w:t>F</w:t>
      </w:r>
      <w:r w:rsidRPr="00A1103B">
        <w:t>.</w:t>
      </w:r>
      <w:r>
        <w:t>R</w:t>
      </w:r>
      <w:r w:rsidRPr="00A1103B">
        <w:t xml:space="preserve">. §§ </w:t>
      </w:r>
      <w:r>
        <w:t xml:space="preserve">1.1112, 1.1158, 1.1161, 1.1164.  </w:t>
      </w:r>
    </w:p>
  </w:footnote>
  <w:footnote w:id="34">
    <w:p w:rsidR="00665F59" w:rsidRDefault="00665F59">
      <w:pPr>
        <w:pStyle w:val="FootnoteText"/>
      </w:pPr>
      <w:r>
        <w:rPr>
          <w:rStyle w:val="FootnoteReference"/>
        </w:rPr>
        <w:footnoteRef/>
      </w:r>
      <w:r>
        <w:t xml:space="preserve"> </w:t>
      </w:r>
      <w:r w:rsidRPr="0016307D">
        <w:rPr>
          <w:i/>
        </w:rPr>
        <w:t>S</w:t>
      </w:r>
      <w:r w:rsidRPr="00B62406">
        <w:rPr>
          <w:i/>
          <w:szCs w:val="22"/>
        </w:rPr>
        <w:t xml:space="preserve">ee </w:t>
      </w:r>
      <w:r>
        <w:rPr>
          <w:szCs w:val="22"/>
        </w:rPr>
        <w:t>Attachment G.</w:t>
      </w:r>
    </w:p>
  </w:footnote>
  <w:footnote w:id="35">
    <w:p w:rsidR="00665F59" w:rsidRPr="00F62DC9" w:rsidRDefault="00665F59" w:rsidP="002C523B">
      <w:pPr>
        <w:pStyle w:val="FootnoteText"/>
      </w:pPr>
      <w:r w:rsidRPr="00F62DC9">
        <w:rPr>
          <w:rStyle w:val="FootnoteReference"/>
        </w:rPr>
        <w:footnoteRef/>
      </w:r>
      <w:r w:rsidRPr="00F62DC9">
        <w:t xml:space="preserve"> </w:t>
      </w:r>
      <w:r w:rsidRPr="00F62DC9">
        <w:rPr>
          <w:i/>
          <w:iCs/>
        </w:rPr>
        <w:t xml:space="preserve">See Assessment and Collection of Regulatory Fees for Fiscal Year 2005 and Assessment and Collection of Regulatory Fees for Fiscal Year 2004, </w:t>
      </w:r>
      <w:r w:rsidRPr="00F62DC9">
        <w:rPr>
          <w:iCs/>
        </w:rPr>
        <w:t xml:space="preserve">MD Docket Nos. 05-59 and 04-73, Report and Order and Order on Reconsideration, </w:t>
      </w:r>
      <w:r w:rsidRPr="00F62DC9">
        <w:t>20 FCC Rcd 12259, 12264, paras. 38-44 (2005)</w:t>
      </w:r>
      <w:r w:rsidRPr="00F62DC9">
        <w:rPr>
          <w:iCs/>
        </w:rPr>
        <w:t>.</w:t>
      </w:r>
    </w:p>
  </w:footnote>
  <w:footnote w:id="36">
    <w:p w:rsidR="00665F59" w:rsidRDefault="00665F59" w:rsidP="00761450">
      <w:pPr>
        <w:pStyle w:val="FootnoteText"/>
      </w:pPr>
      <w:r>
        <w:rPr>
          <w:rStyle w:val="FootnoteReference"/>
        </w:rPr>
        <w:footnoteRef/>
      </w:r>
      <w:r>
        <w:t xml:space="preserve"> Attachment </w:t>
      </w:r>
      <w:r w:rsidRPr="00AF6DF8">
        <w:t xml:space="preserve">A </w:t>
      </w:r>
      <w:r>
        <w:t xml:space="preserve">lists the proposed regulatory fees for FY 2014 if none of the changes proposed in the Notice are adopted.  In FY 2013, the Commission was also required to collect $339,844,000 in regulatory fees.  The final collection amount was $10.9 million over this total, which the Commission deposited into the U.S. Treasury.  The year-to-date accumulated total is $81.9 million.  </w:t>
      </w:r>
    </w:p>
  </w:footnote>
  <w:footnote w:id="37">
    <w:p w:rsidR="00665F59" w:rsidRDefault="00665F59" w:rsidP="00E27FB4">
      <w:pPr>
        <w:pStyle w:val="FootnoteText"/>
      </w:pPr>
      <w:r>
        <w:rPr>
          <w:rStyle w:val="FootnoteReference"/>
        </w:rPr>
        <w:footnoteRef/>
      </w:r>
      <w:r>
        <w:t xml:space="preserve"> The FY 2013 (uncapped) column represents the allocation percentages </w:t>
      </w:r>
      <w:r w:rsidRPr="00B530E9">
        <w:rPr>
          <w:u w:val="single"/>
        </w:rPr>
        <w:t>before</w:t>
      </w:r>
      <w:r>
        <w:t xml:space="preserve"> a fee increase cap of 7.5% was applied to regulatory fee categories.  </w:t>
      </w:r>
    </w:p>
  </w:footnote>
  <w:footnote w:id="38">
    <w:p w:rsidR="00665F59" w:rsidRDefault="00665F59" w:rsidP="00E27FB4">
      <w:pPr>
        <w:pStyle w:val="FootnoteText"/>
      </w:pPr>
      <w:r>
        <w:rPr>
          <w:rStyle w:val="FootnoteReference"/>
        </w:rPr>
        <w:footnoteRef/>
      </w:r>
      <w:r>
        <w:t xml:space="preserve"> The FY 2013 (capped) column represents the allocation percentages </w:t>
      </w:r>
      <w:r>
        <w:rPr>
          <w:u w:val="single"/>
        </w:rPr>
        <w:t>after</w:t>
      </w:r>
      <w:r>
        <w:t xml:space="preserve"> a fee increase cap of 7.5% was applied to regulatory fee categories.</w:t>
      </w:r>
    </w:p>
  </w:footnote>
  <w:footnote w:id="39">
    <w:p w:rsidR="00665F59" w:rsidRDefault="00665F59" w:rsidP="00E27FB4">
      <w:pPr>
        <w:pStyle w:val="FootnoteText"/>
      </w:pPr>
      <w:r>
        <w:rPr>
          <w:rStyle w:val="FootnoteReference"/>
        </w:rPr>
        <w:footnoteRef/>
      </w:r>
      <w:r>
        <w:t xml:space="preserve"> The FY 2014 (uncapped) column represents the allocation percentages using updated FY 2014 FTE counts (through September 30, 2013). </w:t>
      </w:r>
    </w:p>
  </w:footnote>
  <w:footnote w:id="40">
    <w:p w:rsidR="00665F59" w:rsidRDefault="00665F59" w:rsidP="007371FB">
      <w:pPr>
        <w:pStyle w:val="FootnoteText"/>
      </w:pPr>
      <w:r>
        <w:rPr>
          <w:rStyle w:val="FootnoteReference"/>
        </w:rPr>
        <w:footnoteRef/>
      </w:r>
      <w:r>
        <w:t xml:space="preserve"> The FY 2014 (capped) column represents the allocation percentages using updated FY 2014 FTE counts (through September 30, 2013), if a cap is applied, e.g. a cap of 7.5%.</w:t>
      </w:r>
    </w:p>
  </w:footnote>
  <w:footnote w:id="41">
    <w:p w:rsidR="00665F59" w:rsidRDefault="00665F59" w:rsidP="00292AF8">
      <w:pPr>
        <w:pStyle w:val="FootnoteText"/>
      </w:pPr>
      <w:r>
        <w:rPr>
          <w:rStyle w:val="FootnoteReference"/>
        </w:rPr>
        <w:footnoteRef/>
      </w:r>
      <w:r>
        <w:t xml:space="preserve"> </w:t>
      </w:r>
      <w:r w:rsidRPr="00CE2BC5">
        <w:rPr>
          <w:i/>
        </w:rPr>
        <w:t>See</w:t>
      </w:r>
      <w:r>
        <w:rPr>
          <w:i/>
        </w:rPr>
        <w:t xml:space="preserve"> Assessment and Collection of Regulatory Fees for Fiscal Year 2008, </w:t>
      </w:r>
      <w:r>
        <w:t xml:space="preserve">Report and Order and Further Notice of Proposed Rulemaking, </w:t>
      </w:r>
      <w:r w:rsidRPr="00EF23A7">
        <w:t>24</w:t>
      </w:r>
      <w:r>
        <w:t xml:space="preserve"> FCC Rcd 6388, 6393, para. 13 (2008) (</w:t>
      </w:r>
      <w:r w:rsidRPr="00EF23A7">
        <w:rPr>
          <w:i/>
        </w:rPr>
        <w:t>FY 2008 FNPRM</w:t>
      </w:r>
      <w:r>
        <w:t>).</w:t>
      </w:r>
    </w:p>
  </w:footnote>
  <w:footnote w:id="42">
    <w:p w:rsidR="00665F59" w:rsidRDefault="00665F59" w:rsidP="00E11B95">
      <w:pPr>
        <w:pStyle w:val="FootnoteText"/>
      </w:pPr>
      <w:r>
        <w:rPr>
          <w:rStyle w:val="FootnoteReference"/>
        </w:rPr>
        <w:footnoteRef/>
      </w:r>
      <w:r>
        <w:t xml:space="preserve"> </w:t>
      </w:r>
      <w:r w:rsidRPr="00EF23A7">
        <w:rPr>
          <w:i/>
        </w:rPr>
        <w:t>FY 2008 FNPRM</w:t>
      </w:r>
      <w:r>
        <w:rPr>
          <w:i/>
        </w:rPr>
        <w:t xml:space="preserve">, </w:t>
      </w:r>
      <w:r>
        <w:t>24 FCC Rcd at 6393, para.13 &amp; n.24.</w:t>
      </w:r>
    </w:p>
  </w:footnote>
  <w:footnote w:id="43">
    <w:p w:rsidR="00665F59" w:rsidRDefault="00665F59">
      <w:pPr>
        <w:pStyle w:val="FootnoteText"/>
      </w:pPr>
      <w:r>
        <w:rPr>
          <w:rStyle w:val="FootnoteReference"/>
        </w:rPr>
        <w:footnoteRef/>
      </w:r>
      <w:r>
        <w:t xml:space="preserve"> </w:t>
      </w:r>
      <w:r w:rsidRPr="008E04FA">
        <w:rPr>
          <w:i/>
        </w:rPr>
        <w:t>See</w:t>
      </w:r>
      <w:r>
        <w:t xml:space="preserve"> </w:t>
      </w:r>
      <w:r w:rsidRPr="00776A32">
        <w:rPr>
          <w:i/>
        </w:rPr>
        <w:t>supra</w:t>
      </w:r>
      <w:r>
        <w:t xml:space="preserve"> para. 9.</w:t>
      </w:r>
    </w:p>
  </w:footnote>
  <w:footnote w:id="44">
    <w:p w:rsidR="00665F59" w:rsidRDefault="00665F59" w:rsidP="00664EB6">
      <w:pPr>
        <w:pStyle w:val="FootnoteText"/>
      </w:pPr>
      <w:r>
        <w:rPr>
          <w:rStyle w:val="FootnoteReference"/>
        </w:rPr>
        <w:footnoteRef/>
      </w:r>
      <w:r>
        <w:t xml:space="preserve"> </w:t>
      </w:r>
      <w:r w:rsidRPr="006C5A22">
        <w:rPr>
          <w:i/>
        </w:rPr>
        <w:t>FY 2013 NPRM</w:t>
      </w:r>
      <w:r>
        <w:t>, 28 FCC Rcd at 7803, para. 29.</w:t>
      </w:r>
    </w:p>
  </w:footnote>
  <w:footnote w:id="45">
    <w:p w:rsidR="00665F59" w:rsidRDefault="00665F59" w:rsidP="00664EB6">
      <w:pPr>
        <w:pStyle w:val="FootnoteText"/>
      </w:pPr>
      <w:r>
        <w:rPr>
          <w:rStyle w:val="FootnoteReference"/>
        </w:rPr>
        <w:footnoteRef/>
      </w:r>
      <w:r>
        <w:t xml:space="preserve"> SIA Comments at 10 (filed June 19, 2013).</w:t>
      </w:r>
    </w:p>
  </w:footnote>
  <w:footnote w:id="46">
    <w:p w:rsidR="00665F59" w:rsidRDefault="00665F59" w:rsidP="00664EB6">
      <w:pPr>
        <w:pStyle w:val="FootnoteText"/>
      </w:pPr>
      <w:r>
        <w:rPr>
          <w:rStyle w:val="FootnoteReference"/>
        </w:rPr>
        <w:footnoteRef/>
      </w:r>
      <w:r>
        <w:t xml:space="preserve"> For the locations of the regional and field offices, </w:t>
      </w:r>
      <w:r w:rsidRPr="006C62F9">
        <w:rPr>
          <w:i/>
        </w:rPr>
        <w:t xml:space="preserve">see </w:t>
      </w:r>
      <w:hyperlink r:id="rId1" w:history="1">
        <w:r w:rsidRPr="00996EC9">
          <w:rPr>
            <w:rStyle w:val="Hyperlink"/>
          </w:rPr>
          <w:t>http://transition.fcc.gov/eb/rfo/.</w:t>
        </w:r>
      </w:hyperlink>
    </w:p>
  </w:footnote>
  <w:footnote w:id="47">
    <w:p w:rsidR="00665F59" w:rsidRDefault="00665F59" w:rsidP="00664EB6">
      <w:pPr>
        <w:pStyle w:val="FootnoteText"/>
      </w:pPr>
      <w:r>
        <w:rPr>
          <w:rStyle w:val="FootnoteReference"/>
        </w:rPr>
        <w:footnoteRef/>
      </w:r>
      <w:r>
        <w:t xml:space="preserve"> In FY 2013, the Enforcement Bureau database shows that investigations done by the regional and field offices were almost evenly split between wireless and broadcast-related cases.  The r</w:t>
      </w:r>
      <w:r w:rsidRPr="00A438CD">
        <w:t>egional and field offices</w:t>
      </w:r>
      <w:r>
        <w:t>’ work involving wireline carriers is</w:t>
      </w:r>
      <w:r w:rsidRPr="00A438CD">
        <w:t xml:space="preserve"> </w:t>
      </w:r>
      <w:r>
        <w:t>limited to</w:t>
      </w:r>
      <w:r w:rsidRPr="00A438CD">
        <w:t xml:space="preserve"> disaster relief efforts</w:t>
      </w:r>
      <w:r>
        <w:t>.  In addition, the regional and field offices as a whole employ</w:t>
      </w:r>
      <w:r w:rsidRPr="00A438CD">
        <w:t xml:space="preserve"> one engineer responsible for </w:t>
      </w:r>
      <w:r>
        <w:t xml:space="preserve">addressing all of the Enforcement Bureau’s </w:t>
      </w:r>
      <w:r w:rsidRPr="00A438CD">
        <w:t>satellite interference issues</w:t>
      </w:r>
      <w:r>
        <w:t xml:space="preserve">.  Thus, the regional and field offices of the Enforcement Bureau devote nearly all of their work (with the exception of one FTE) to </w:t>
      </w:r>
      <w:r w:rsidRPr="00A438CD">
        <w:t xml:space="preserve">media/broadcast and wireless </w:t>
      </w:r>
      <w:r>
        <w:t xml:space="preserve">enforcement.  </w:t>
      </w:r>
      <w:r w:rsidRPr="00A438CD">
        <w:t xml:space="preserve"> </w:t>
      </w:r>
    </w:p>
  </w:footnote>
  <w:footnote w:id="48">
    <w:p w:rsidR="00665F59" w:rsidRDefault="00665F59" w:rsidP="00664EB6">
      <w:pPr>
        <w:pStyle w:val="FootnoteText"/>
      </w:pPr>
      <w:r>
        <w:rPr>
          <w:rStyle w:val="FootnoteReference"/>
        </w:rPr>
        <w:footnoteRef/>
      </w:r>
      <w:r>
        <w:t xml:space="preserve"> The Enforcement Bureau has </w:t>
      </w:r>
      <w:r w:rsidRPr="00FB6B30">
        <w:t>262</w:t>
      </w:r>
      <w:r>
        <w:t xml:space="preserve"> FTEs as of September 30, 2013.</w:t>
      </w:r>
    </w:p>
  </w:footnote>
  <w:footnote w:id="49">
    <w:p w:rsidR="00665F59" w:rsidRDefault="00665F59">
      <w:pPr>
        <w:pStyle w:val="FootnoteText"/>
      </w:pPr>
      <w:r>
        <w:rPr>
          <w:rStyle w:val="FootnoteReference"/>
        </w:rPr>
        <w:footnoteRef/>
      </w:r>
      <w:r>
        <w:t xml:space="preserve"> The Enforcement Bureau consists of the following:  </w:t>
      </w:r>
      <w:r w:rsidRPr="001B4557">
        <w:t>Office of the Bureau Chief, the Investigations and Hearings Division, the Market Disputes Resolution Division, the Spectrum Enforcement Division, the Telecommunications Consumers Division, and the Regional and Field Offices (discussed above).  The bureau’s efforts are primarily focused on enforcement activity in the wireline, wireless, and broadcast or media industries.</w:t>
      </w:r>
    </w:p>
  </w:footnote>
  <w:footnote w:id="50">
    <w:p w:rsidR="00665F59" w:rsidRDefault="00665F59" w:rsidP="00664EB6">
      <w:pPr>
        <w:pStyle w:val="FootnoteText"/>
      </w:pPr>
      <w:r>
        <w:rPr>
          <w:rStyle w:val="FootnoteReference"/>
        </w:rPr>
        <w:footnoteRef/>
      </w:r>
      <w:r>
        <w:t xml:space="preserve"> </w:t>
      </w:r>
      <w:r w:rsidRPr="00070BE9">
        <w:rPr>
          <w:i/>
        </w:rPr>
        <w:t>See, e.g., Intelsat License, LLC</w:t>
      </w:r>
      <w:r>
        <w:t>, Notice of Apparent Liability for Forfeiture, 28 FCC Rcd 17183 (2013) (apparent violation of section 25.158(e) of the Commission’s rules).</w:t>
      </w:r>
    </w:p>
  </w:footnote>
  <w:footnote w:id="51">
    <w:p w:rsidR="00665F59" w:rsidRDefault="00665F59" w:rsidP="00664EB6">
      <w:pPr>
        <w:pStyle w:val="FootnoteText"/>
      </w:pPr>
      <w:r>
        <w:rPr>
          <w:rStyle w:val="FootnoteReference"/>
        </w:rPr>
        <w:footnoteRef/>
      </w:r>
      <w:r>
        <w:t xml:space="preserve"> CGB has </w:t>
      </w:r>
      <w:r w:rsidRPr="00FB6B30">
        <w:t>156</w:t>
      </w:r>
      <w:r>
        <w:t xml:space="preserve"> FTEs.  The division responsible for informal complaints is the Consumer Inquiries and Complaints Division, with </w:t>
      </w:r>
      <w:r w:rsidRPr="00FB6B30">
        <w:t>55</w:t>
      </w:r>
      <w:r>
        <w:t xml:space="preserve"> FTEs.</w:t>
      </w:r>
      <w:r w:rsidRPr="005E6D4E">
        <w:t xml:space="preserve"> </w:t>
      </w:r>
      <w:r>
        <w:t xml:space="preserve"> </w:t>
      </w:r>
      <w:r w:rsidRPr="005E6D4E">
        <w:t xml:space="preserve">CGB develops and implements the Commission’s consumer policies, including disability access issues; provides outreach and education to consumers; and responds to consumer inquiries and informal complaints.  CGB also maintains partnerships with state, local, and Tribal governments on issues of emergency preparedness and implementation of new technologies.    </w:t>
      </w:r>
    </w:p>
  </w:footnote>
  <w:footnote w:id="52">
    <w:p w:rsidR="00665F59" w:rsidRDefault="00665F59" w:rsidP="00664EB6">
      <w:pPr>
        <w:pStyle w:val="FootnoteText"/>
      </w:pPr>
      <w:r>
        <w:rPr>
          <w:rStyle w:val="FootnoteReference"/>
        </w:rPr>
        <w:footnoteRef/>
      </w:r>
      <w:r>
        <w:t xml:space="preserve"> A</w:t>
      </w:r>
      <w:r w:rsidRPr="00CF29EC">
        <w:t xml:space="preserve">lthough DBS providers are licensed by the International Bureau, </w:t>
      </w:r>
      <w:r>
        <w:t>the Media Bureau is responsible for overseeing DBS providers’</w:t>
      </w:r>
      <w:r w:rsidRPr="00CF29EC">
        <w:t xml:space="preserve"> </w:t>
      </w:r>
      <w:r>
        <w:t xml:space="preserve">compliance with </w:t>
      </w:r>
      <w:r w:rsidRPr="00CF29EC">
        <w:t xml:space="preserve">the Commission’s rules.  Informal complaints filed by consumers against </w:t>
      </w:r>
      <w:r>
        <w:t>DBS providers c</w:t>
      </w:r>
      <w:r w:rsidRPr="00CF29EC">
        <w:t xml:space="preserve">ould </w:t>
      </w:r>
      <w:r>
        <w:t xml:space="preserve">therefore </w:t>
      </w:r>
      <w:r w:rsidRPr="00CF29EC">
        <w:t>be</w:t>
      </w:r>
      <w:r>
        <w:t xml:space="preserve"> considered</w:t>
      </w:r>
      <w:r w:rsidRPr="00CF29EC">
        <w:t xml:space="preserve"> Media Bureau issues rather than International Bureau issues</w:t>
      </w:r>
      <w:r>
        <w:t>.</w:t>
      </w:r>
    </w:p>
  </w:footnote>
  <w:footnote w:id="53">
    <w:p w:rsidR="00665F59" w:rsidRDefault="00665F59" w:rsidP="00664EB6">
      <w:pPr>
        <w:pStyle w:val="FootnoteText"/>
      </w:pPr>
      <w:r>
        <w:rPr>
          <w:rStyle w:val="FootnoteReference"/>
        </w:rPr>
        <w:footnoteRef/>
      </w:r>
      <w:r>
        <w:t xml:space="preserve"> We also note that one of the CGB divisions, the Reference Information Center, contains public filings from all telecommunications industries, including International Space Station files.</w:t>
      </w:r>
    </w:p>
  </w:footnote>
  <w:footnote w:id="54">
    <w:p w:rsidR="00665F59" w:rsidRDefault="00665F59" w:rsidP="00E00E10">
      <w:pPr>
        <w:pStyle w:val="FootnoteText"/>
      </w:pPr>
      <w:r>
        <w:rPr>
          <w:rStyle w:val="FootnoteReference"/>
        </w:rPr>
        <w:footnoteRef/>
      </w:r>
      <w:r>
        <w:t xml:space="preserve"> This illustration is based on the adoption of the proposals to allocate the FTEs from the Enforcement Bureau Regional and Field offices and CGB.</w:t>
      </w:r>
    </w:p>
  </w:footnote>
  <w:footnote w:id="55">
    <w:p w:rsidR="00665F59" w:rsidRDefault="00665F59" w:rsidP="00664EB6">
      <w:pPr>
        <w:pStyle w:val="FootnoteText"/>
      </w:pPr>
      <w:r>
        <w:rPr>
          <w:rStyle w:val="FootnoteReference"/>
        </w:rPr>
        <w:footnoteRef/>
      </w:r>
      <w:r>
        <w:t xml:space="preserve"> </w:t>
      </w:r>
      <w:r w:rsidRPr="00AC5A11">
        <w:rPr>
          <w:i/>
        </w:rPr>
        <w:t>FY 2013 NPRM</w:t>
      </w:r>
      <w:r>
        <w:t>, 28 FCC Rcd at 7802, para. 27.</w:t>
      </w:r>
      <w:r w:rsidRPr="001A6CA4">
        <w:t xml:space="preserve"> </w:t>
      </w:r>
      <w:r>
        <w:t xml:space="preserve"> </w:t>
      </w:r>
    </w:p>
  </w:footnote>
  <w:footnote w:id="56">
    <w:p w:rsidR="00665F59" w:rsidRDefault="00665F59" w:rsidP="00664EB6">
      <w:pPr>
        <w:pStyle w:val="FootnoteText"/>
      </w:pPr>
      <w:r>
        <w:rPr>
          <w:rStyle w:val="FootnoteReference"/>
        </w:rPr>
        <w:footnoteRef/>
      </w:r>
      <w:r>
        <w:t xml:space="preserve"> </w:t>
      </w:r>
      <w:r w:rsidRPr="001A36BE">
        <w:rPr>
          <w:i/>
        </w:rPr>
        <w:t>Id.</w:t>
      </w:r>
    </w:p>
  </w:footnote>
  <w:footnote w:id="57">
    <w:p w:rsidR="00665F59" w:rsidRDefault="00665F59" w:rsidP="00664EB6">
      <w:pPr>
        <w:pStyle w:val="FootnoteText"/>
      </w:pPr>
      <w:r>
        <w:rPr>
          <w:rStyle w:val="FootnoteReference"/>
        </w:rPr>
        <w:footnoteRef/>
      </w:r>
      <w:r>
        <w:t xml:space="preserve"> </w:t>
      </w:r>
      <w:r w:rsidRPr="008829AE">
        <w:rPr>
          <w:i/>
        </w:rPr>
        <w:t>See, e.g</w:t>
      </w:r>
      <w:r>
        <w:t>., NASCA Comments at 8-9 (filed June 19, 2013); Telstra Comments at 2 (filed June 19, 2013);</w:t>
      </w:r>
      <w:r w:rsidRPr="007607B5">
        <w:t xml:space="preserve"> </w:t>
      </w:r>
      <w:r>
        <w:t>ICC Reply Comments at 2 (filed June 19, 2013).</w:t>
      </w:r>
    </w:p>
  </w:footnote>
  <w:footnote w:id="58">
    <w:p w:rsidR="00665F59" w:rsidRDefault="00665F59" w:rsidP="00664EB6">
      <w:pPr>
        <w:pStyle w:val="FootnoteText"/>
      </w:pPr>
      <w:r>
        <w:rPr>
          <w:rStyle w:val="FootnoteReference"/>
        </w:rPr>
        <w:footnoteRef/>
      </w:r>
      <w:r>
        <w:t xml:space="preserve"> The revenue allocation between submarine cable operators and common carrier terrestrial/satellite circuits is 87.6 percent/12.4 percent.  This was adopted in the </w:t>
      </w:r>
      <w:r w:rsidRPr="002937E0">
        <w:rPr>
          <w:i/>
        </w:rPr>
        <w:t>Submarine Cable Order</w:t>
      </w:r>
      <w:r>
        <w:t xml:space="preserve">.  </w:t>
      </w:r>
      <w:r w:rsidRPr="002937E0">
        <w:rPr>
          <w:i/>
        </w:rPr>
        <w:t>See Assessment and Collection of Regulatory Fees for Fiscal Year 2008</w:t>
      </w:r>
      <w:r>
        <w:t>, Second Report and Order, 24 FCC Rcd 4208 (2009) (</w:t>
      </w:r>
      <w:r w:rsidRPr="002937E0">
        <w:rPr>
          <w:i/>
        </w:rPr>
        <w:t>Submarine Cable</w:t>
      </w:r>
      <w:r>
        <w:t xml:space="preserve"> </w:t>
      </w:r>
      <w:r w:rsidRPr="002937E0">
        <w:rPr>
          <w:i/>
        </w:rPr>
        <w:t>Order</w:t>
      </w:r>
      <w:r>
        <w:t>).  We do not propose any change to the 87.6/12.4 allocation between submarine cable operators and common carrier terrestrial/satellite circuits.</w:t>
      </w:r>
    </w:p>
  </w:footnote>
  <w:footnote w:id="59">
    <w:p w:rsidR="00665F59" w:rsidRDefault="00665F59" w:rsidP="00664EB6">
      <w:pPr>
        <w:pStyle w:val="FootnoteText"/>
      </w:pPr>
      <w:r>
        <w:rPr>
          <w:rStyle w:val="FootnoteReference"/>
        </w:rPr>
        <w:footnoteRef/>
      </w:r>
      <w:r>
        <w:t xml:space="preserve"> </w:t>
      </w:r>
      <w:r>
        <w:rPr>
          <w:szCs w:val="22"/>
        </w:rPr>
        <w:t>Our proposal would exclude these two categories from regulatory fees going forward, not just for FY 2014.</w:t>
      </w:r>
    </w:p>
  </w:footnote>
  <w:footnote w:id="60">
    <w:p w:rsidR="00665F59" w:rsidRDefault="00665F59" w:rsidP="00513EDA">
      <w:pPr>
        <w:pStyle w:val="FootnoteText"/>
      </w:pPr>
      <w:r>
        <w:rPr>
          <w:rStyle w:val="FootnoteReference"/>
        </w:rPr>
        <w:footnoteRef/>
      </w:r>
      <w:r>
        <w:t xml:space="preserve"> </w:t>
      </w:r>
      <w:r w:rsidRPr="00A1103B">
        <w:t>47 U.S.C. § 159(b)(3).</w:t>
      </w:r>
    </w:p>
  </w:footnote>
  <w:footnote w:id="61">
    <w:p w:rsidR="00665F59" w:rsidRPr="00A1103B" w:rsidRDefault="00665F59" w:rsidP="00513EDA">
      <w:pPr>
        <w:pStyle w:val="FootnoteText"/>
      </w:pPr>
      <w:r w:rsidRPr="00A1103B">
        <w:rPr>
          <w:rStyle w:val="FootnoteReference"/>
        </w:rPr>
        <w:footnoteRef/>
      </w:r>
      <w:r w:rsidRPr="00A1103B">
        <w:t xml:space="preserve"> 47 U.S.C. § 159(b)(4)(B).</w:t>
      </w:r>
    </w:p>
  </w:footnote>
  <w:footnote w:id="62">
    <w:p w:rsidR="00665F59" w:rsidRDefault="00665F59">
      <w:pPr>
        <w:pStyle w:val="FootnoteText"/>
      </w:pPr>
      <w:r>
        <w:rPr>
          <w:rStyle w:val="FootnoteReference"/>
        </w:rPr>
        <w:footnoteRef/>
      </w:r>
      <w:r>
        <w:t xml:space="preserve"> </w:t>
      </w:r>
      <w:r w:rsidRPr="00CA4ED6">
        <w:rPr>
          <w:i/>
          <w:spacing w:val="-2"/>
          <w:szCs w:val="22"/>
        </w:rPr>
        <w:t>See, e.g.</w:t>
      </w:r>
      <w:r>
        <w:rPr>
          <w:spacing w:val="-2"/>
          <w:szCs w:val="22"/>
        </w:rPr>
        <w:t xml:space="preserve">, Table 1 at para. 18.  </w:t>
      </w:r>
    </w:p>
  </w:footnote>
  <w:footnote w:id="63">
    <w:p w:rsidR="00665F59" w:rsidRDefault="00665F59" w:rsidP="00664EB6">
      <w:pPr>
        <w:pStyle w:val="FootnoteText"/>
      </w:pPr>
      <w:r>
        <w:rPr>
          <w:rStyle w:val="FootnoteReference"/>
        </w:rPr>
        <w:footnoteRef/>
      </w:r>
      <w:r>
        <w:t xml:space="preserve"> </w:t>
      </w:r>
      <w:r w:rsidRPr="00011FC4">
        <w:rPr>
          <w:i/>
        </w:rPr>
        <w:t>See Assessment and Collection of Regulatory Fees for Fiscal Year 1997</w:t>
      </w:r>
      <w:r>
        <w:t>, Report and Order, 12 FCC 17161, 17176, para. 37 (1997).</w:t>
      </w:r>
    </w:p>
  </w:footnote>
  <w:footnote w:id="64">
    <w:p w:rsidR="00665F59" w:rsidRDefault="00665F59" w:rsidP="00664EB6">
      <w:pPr>
        <w:pStyle w:val="FootnoteText"/>
      </w:pPr>
      <w:r>
        <w:rPr>
          <w:rStyle w:val="FootnoteReference"/>
        </w:rPr>
        <w:footnoteRef/>
      </w:r>
      <w:r>
        <w:t xml:space="preserve"> This cap would apply to an increase to an entire fee category as a result of FTE reallocations or reform measures; such cap would not apply to limit changes in regulatory fees for a particular payor resulting from other factors, such as increased or decreased revenues, changes in subscriber numbers, number of licenses, etc.</w:t>
      </w:r>
      <w:r w:rsidRPr="003F5238">
        <w:rPr>
          <w:spacing w:val="-2"/>
          <w:szCs w:val="22"/>
        </w:rPr>
        <w:t xml:space="preserve"> </w:t>
      </w:r>
      <w:r>
        <w:rPr>
          <w:spacing w:val="-2"/>
          <w:szCs w:val="22"/>
        </w:rPr>
        <w:t xml:space="preserve"> For example, UHF television fees in Markets 1-10 will increase from $38,000 (FY 2013) to $44,875 (FY 2014) as a result of our regulatory reform measure in combining the UHF and VHF fee categories.  </w:t>
      </w:r>
    </w:p>
  </w:footnote>
  <w:footnote w:id="65">
    <w:p w:rsidR="00665F59" w:rsidRDefault="00665F59" w:rsidP="00664EB6">
      <w:pPr>
        <w:pStyle w:val="FootnoteText"/>
      </w:pPr>
      <w:r>
        <w:rPr>
          <w:rStyle w:val="FootnoteReference"/>
        </w:rPr>
        <w:footnoteRef/>
      </w:r>
      <w:r>
        <w:t xml:space="preserve"> </w:t>
      </w:r>
      <w:hyperlink r:id="rId2" w:history="1">
        <w:r w:rsidRPr="003B7222">
          <w:rPr>
            <w:rStyle w:val="Hyperlink"/>
          </w:rPr>
          <w:t>http://transition.fcc.gov/Daily_Releases/Daily_Business/2014/db0214/DA-14-199A2.pdf</w:t>
        </w:r>
      </w:hyperlink>
      <w:r>
        <w:t>.</w:t>
      </w:r>
    </w:p>
  </w:footnote>
  <w:footnote w:id="66">
    <w:p w:rsidR="00665F59" w:rsidRDefault="00665F59" w:rsidP="00064BD5">
      <w:pPr>
        <w:pStyle w:val="FootnoteText"/>
      </w:pPr>
      <w:r>
        <w:rPr>
          <w:rStyle w:val="FootnoteReference"/>
        </w:rPr>
        <w:footnoteRef/>
      </w:r>
      <w:r>
        <w:t xml:space="preserve"> </w:t>
      </w:r>
      <w:r w:rsidRPr="008301B7">
        <w:rPr>
          <w:i/>
        </w:rPr>
        <w:t>FY 2013 NPRM</w:t>
      </w:r>
      <w:r>
        <w:t xml:space="preserve">, 28 FCC Rcd at 7796, para. 12.  </w:t>
      </w:r>
      <w:r w:rsidRPr="00B65F23">
        <w:rPr>
          <w:i/>
        </w:rPr>
        <w:t>See, e.g</w:t>
      </w:r>
      <w:r>
        <w:t xml:space="preserve">., ITTA Comments at 2-3 (filed June 19, 2013).  ITTA’s proposal was also discussed in the </w:t>
      </w:r>
      <w:r w:rsidRPr="00926482">
        <w:rPr>
          <w:i/>
        </w:rPr>
        <w:t>FY 2008 FNPRM</w:t>
      </w:r>
      <w:r>
        <w:t xml:space="preserve">, 24 FCC Rcd at 6404-05, paras. 40-41.  In that proceeding, the Commission stated that “ITTA recommends that the Commission extend the process by which it added interconnected Voice over Internet Protocol (‘VoIP’) providers to the ITSP category and also include wireless providers in the ITSP category.”  </w:t>
      </w:r>
      <w:r w:rsidRPr="00926482">
        <w:rPr>
          <w:i/>
        </w:rPr>
        <w:t>Id</w:t>
      </w:r>
      <w:r>
        <w:t>., 24 FCC Rcd at 6404, para. 40.</w:t>
      </w:r>
    </w:p>
  </w:footnote>
  <w:footnote w:id="67">
    <w:p w:rsidR="00665F59" w:rsidRDefault="00665F59" w:rsidP="00064BD5">
      <w:pPr>
        <w:pStyle w:val="FootnoteText"/>
      </w:pPr>
      <w:r>
        <w:rPr>
          <w:rStyle w:val="FootnoteReference"/>
        </w:rPr>
        <w:footnoteRef/>
      </w:r>
      <w:r>
        <w:t xml:space="preserve"> </w:t>
      </w:r>
      <w:r w:rsidRPr="008301B7">
        <w:rPr>
          <w:i/>
        </w:rPr>
        <w:t>FY 2013 NPRM</w:t>
      </w:r>
      <w:r>
        <w:t xml:space="preserve">, 28 FCC Rcd at 7796, para. 12.  </w:t>
      </w:r>
    </w:p>
  </w:footnote>
  <w:footnote w:id="68">
    <w:p w:rsidR="00665F59" w:rsidRDefault="00665F59" w:rsidP="00064BD5">
      <w:pPr>
        <w:pStyle w:val="FootnoteText"/>
      </w:pPr>
      <w:r>
        <w:rPr>
          <w:rStyle w:val="FootnoteReference"/>
        </w:rPr>
        <w:footnoteRef/>
      </w:r>
      <w:r>
        <w:t xml:space="preserve"> ITTA Comments at 4 (filed June 19, 2013).</w:t>
      </w:r>
    </w:p>
  </w:footnote>
  <w:footnote w:id="69">
    <w:p w:rsidR="00665F59" w:rsidRDefault="00665F59" w:rsidP="00064BD5">
      <w:pPr>
        <w:pStyle w:val="FootnoteText"/>
      </w:pPr>
      <w:r>
        <w:rPr>
          <w:rStyle w:val="FootnoteReference"/>
        </w:rPr>
        <w:footnoteRef/>
      </w:r>
      <w:r>
        <w:t xml:space="preserve"> 47 C.F.R. § 54.706; </w:t>
      </w:r>
      <w:r w:rsidRPr="00031A02">
        <w:rPr>
          <w:i/>
        </w:rPr>
        <w:t>Schools and Libraries Universal Support Mechanism, Eligible Services List</w:t>
      </w:r>
      <w:r>
        <w:t xml:space="preserve">, CC Docket No. 02-6, GN Docket No. 09-51, Order, 28 FCC Rcd 14534 (WCB 1993); Federal Communications Commission Consumer Guide, Lifeline:  Affordable Telephone Service for Income-Eligible Consumers (2013), available at </w:t>
      </w:r>
      <w:hyperlink r:id="rId3" w:history="1">
        <w:r w:rsidRPr="00031A02">
          <w:rPr>
            <w:rStyle w:val="Hyperlink"/>
          </w:rPr>
          <w:t>http://transition.fcc.gov/cgb/consumerfacts/lllu.pdf</w:t>
        </w:r>
      </w:hyperlink>
      <w:r>
        <w:t xml:space="preserve">; </w:t>
      </w:r>
      <w:r w:rsidRPr="00031A02">
        <w:rPr>
          <w:i/>
        </w:rPr>
        <w:t>Connect America Fund, et al</w:t>
      </w:r>
      <w:r>
        <w:t xml:space="preserve">., WC Docket No. 10-90, Report and Order and Further Notice of Proposed Rulemaking, 26 FCC Rcd 17633 (2011), petitions for review pending sub nom, </w:t>
      </w:r>
      <w:r w:rsidRPr="00216BC7">
        <w:rPr>
          <w:i/>
        </w:rPr>
        <w:t>In Re Federal Communications Commission 11-161</w:t>
      </w:r>
      <w:r>
        <w:t>, No. 11-9900 (10</w:t>
      </w:r>
      <w:r w:rsidRPr="00031A02">
        <w:rPr>
          <w:vertAlign w:val="superscript"/>
        </w:rPr>
        <w:t>th</w:t>
      </w:r>
      <w:r>
        <w:t xml:space="preserve"> Cir, filed Dec. 18, 2011).</w:t>
      </w:r>
    </w:p>
  </w:footnote>
  <w:footnote w:id="70">
    <w:p w:rsidR="00665F59" w:rsidRDefault="00665F59" w:rsidP="00064BD5">
      <w:pPr>
        <w:pStyle w:val="FootnoteText"/>
      </w:pPr>
      <w:r>
        <w:rPr>
          <w:rStyle w:val="FootnoteReference"/>
        </w:rPr>
        <w:footnoteRef/>
      </w:r>
      <w:r>
        <w:t xml:space="preserve"> Commenters advocating using revenues for assessing regulatory fees in a combination of services should take into account that wireless carriers provide “voice” service without charge for customers with data plans.  </w:t>
      </w:r>
    </w:p>
  </w:footnote>
  <w:footnote w:id="71">
    <w:p w:rsidR="00665F59" w:rsidRDefault="00665F59" w:rsidP="00064BD5">
      <w:pPr>
        <w:pStyle w:val="FootnoteText"/>
      </w:pPr>
      <w:r>
        <w:rPr>
          <w:rStyle w:val="FootnoteReference"/>
        </w:rPr>
        <w:footnoteRef/>
      </w:r>
      <w:r>
        <w:t xml:space="preserve"> By way of illustration, if we capped the increase at 10%, the cellular wireless projected regulatory fee revenue would increase from approximately $58.9M to $64.8M for FY 2014, to $71.3M for FY 2015, to $78.4M for FY 2016, to $86.2 for FY 2017, and to $94.9M for FY 2018, at which point the two categories would be combined into one ITSP category.  During this phase-in process, the wireline regulatory fee revenues would decrease each year, from approximately $131.2M to $125.3M for FY 2014, to $118.8M for FY 2015, to $111.7M for FY 2016, to $103.8M for FY 2017, and to $95.2M in FY 2018.</w:t>
      </w:r>
    </w:p>
  </w:footnote>
  <w:footnote w:id="72">
    <w:p w:rsidR="00665F59" w:rsidRDefault="00665F59" w:rsidP="00064BD5">
      <w:pPr>
        <w:pStyle w:val="FootnoteText"/>
      </w:pPr>
      <w:r>
        <w:rPr>
          <w:rStyle w:val="FootnoteReference"/>
        </w:rPr>
        <w:footnoteRef/>
      </w:r>
      <w:r>
        <w:t xml:space="preserve"> </w:t>
      </w:r>
      <w:r w:rsidRPr="00A1103B">
        <w:t>47 U.S.C. § 159(b)(3).</w:t>
      </w:r>
    </w:p>
  </w:footnote>
  <w:footnote w:id="73">
    <w:p w:rsidR="00665F59" w:rsidRPr="00A1103B" w:rsidRDefault="00665F59" w:rsidP="00064BD5">
      <w:pPr>
        <w:pStyle w:val="FootnoteText"/>
      </w:pPr>
      <w:r w:rsidRPr="00A1103B">
        <w:rPr>
          <w:rStyle w:val="FootnoteReference"/>
        </w:rPr>
        <w:footnoteRef/>
      </w:r>
      <w:r w:rsidRPr="00A1103B">
        <w:t xml:space="preserve"> 47 U.S.C. § 159(b)(4)(B).</w:t>
      </w:r>
    </w:p>
  </w:footnote>
  <w:footnote w:id="74">
    <w:p w:rsidR="00665F59" w:rsidRDefault="00665F59" w:rsidP="00664EB6">
      <w:pPr>
        <w:pStyle w:val="FootnoteText"/>
      </w:pPr>
      <w:r>
        <w:rPr>
          <w:rStyle w:val="FootnoteReference"/>
        </w:rPr>
        <w:footnoteRef/>
      </w:r>
      <w:r>
        <w:t xml:space="preserve"> </w:t>
      </w:r>
      <w:r w:rsidRPr="00C5729C">
        <w:t>Previously, when this issue has been proposed by the cable industry</w:t>
      </w:r>
      <w:r>
        <w:t>,</w:t>
      </w:r>
      <w:r w:rsidRPr="00C5729C">
        <w:t xml:space="preserve"> we declined to modify our methodology.</w:t>
      </w:r>
      <w:r>
        <w:t xml:space="preserve"> </w:t>
      </w:r>
      <w:r w:rsidRPr="00C5729C">
        <w:t xml:space="preserve"> </w:t>
      </w:r>
      <w:r w:rsidRPr="00C5729C">
        <w:rPr>
          <w:i/>
          <w:iCs/>
        </w:rPr>
        <w:t>See, e.g., FY 2013 NPRM</w:t>
      </w:r>
      <w:r w:rsidRPr="00C5729C">
        <w:t xml:space="preserve">, 28 FCC Rcd at 7810-11, paras. 50-52; </w:t>
      </w:r>
      <w:r w:rsidRPr="00C5729C">
        <w:rPr>
          <w:i/>
          <w:iCs/>
        </w:rPr>
        <w:t>FY 2008 FNPRM</w:t>
      </w:r>
      <w:r w:rsidRPr="00C5729C">
        <w:t>, 24 FCC Rcd at 6407, para. 50.</w:t>
      </w:r>
      <w:r>
        <w:t xml:space="preserve"> </w:t>
      </w:r>
      <w:r w:rsidRPr="00C5729C">
        <w:t xml:space="preserve"> For FY 2014, we adopted a new category that includes cable television and IPTV.</w:t>
      </w:r>
      <w:r>
        <w:t xml:space="preserve"> </w:t>
      </w:r>
      <w:r w:rsidRPr="00C5729C">
        <w:t xml:space="preserve"> We now seek further comment whether DBS providers should also be </w:t>
      </w:r>
      <w:r>
        <w:t>included in</w:t>
      </w:r>
      <w:r w:rsidRPr="00C5729C">
        <w:t xml:space="preserve"> the cable television and IPTV category.</w:t>
      </w:r>
    </w:p>
  </w:footnote>
  <w:footnote w:id="75">
    <w:p w:rsidR="00665F59" w:rsidRPr="00A1103B" w:rsidRDefault="00665F59" w:rsidP="00664EB6">
      <w:pPr>
        <w:pStyle w:val="FootnoteText"/>
      </w:pPr>
      <w:r w:rsidRPr="00A1103B">
        <w:rPr>
          <w:rStyle w:val="FootnoteReference"/>
        </w:rPr>
        <w:footnoteRef/>
      </w:r>
      <w:r w:rsidRPr="00A1103B">
        <w:t xml:space="preserve"> 47 U.S.C. § 548; 47 C.F.R. § 76.1000-1004.</w:t>
      </w:r>
    </w:p>
  </w:footnote>
  <w:footnote w:id="76">
    <w:p w:rsidR="00665F59" w:rsidRPr="00A1103B" w:rsidRDefault="00665F59" w:rsidP="00664EB6">
      <w:pPr>
        <w:pStyle w:val="FootnoteText"/>
      </w:pPr>
      <w:r w:rsidRPr="00A1103B">
        <w:rPr>
          <w:rStyle w:val="FootnoteReference"/>
        </w:rPr>
        <w:footnoteRef/>
      </w:r>
      <w:r w:rsidRPr="00A1103B">
        <w:t xml:space="preserve"> 47 U.S.C. §§</w:t>
      </w:r>
      <w:r>
        <w:t xml:space="preserve"> </w:t>
      </w:r>
      <w:r w:rsidRPr="00A1103B">
        <w:t>325(b)(1), (3)(C)(ii); 47 C.F.R. § 76.65(b).</w:t>
      </w:r>
    </w:p>
  </w:footnote>
  <w:footnote w:id="77">
    <w:p w:rsidR="00665F59" w:rsidRPr="00A1103B" w:rsidRDefault="00665F59" w:rsidP="00664EB6">
      <w:pPr>
        <w:pStyle w:val="FootnoteText"/>
      </w:pPr>
      <w:r w:rsidRPr="00A1103B">
        <w:rPr>
          <w:rStyle w:val="FootnoteReference"/>
        </w:rPr>
        <w:footnoteRef/>
      </w:r>
      <w:r w:rsidRPr="00A1103B">
        <w:t xml:space="preserve"> </w:t>
      </w:r>
      <w:r w:rsidRPr="00A1103B">
        <w:rPr>
          <w:i/>
        </w:rPr>
        <w:t>See Implementation of the Commercial Advertisement, Loudness Mitigation (CALM) Act</w:t>
      </w:r>
      <w:r w:rsidRPr="00A1103B">
        <w:t>, Report and Order, 26 FCC Rcd 17222 (2011).</w:t>
      </w:r>
    </w:p>
  </w:footnote>
  <w:footnote w:id="78">
    <w:p w:rsidR="00665F59" w:rsidRPr="00A1103B" w:rsidRDefault="00665F59" w:rsidP="00664EB6">
      <w:pPr>
        <w:pStyle w:val="FootnoteText"/>
      </w:pPr>
      <w:r w:rsidRPr="00A1103B">
        <w:rPr>
          <w:rStyle w:val="FootnoteReference"/>
        </w:rPr>
        <w:footnoteRef/>
      </w:r>
      <w:r w:rsidRPr="00A1103B">
        <w:t xml:space="preserve"> 47 U.S.C. § 618(b).</w:t>
      </w:r>
    </w:p>
  </w:footnote>
  <w:footnote w:id="79">
    <w:p w:rsidR="00665F59" w:rsidRDefault="00665F59" w:rsidP="00664EB6">
      <w:pPr>
        <w:pStyle w:val="FootnoteText"/>
      </w:pPr>
      <w:r>
        <w:rPr>
          <w:rStyle w:val="FootnoteReference"/>
        </w:rPr>
        <w:footnoteRef/>
      </w:r>
      <w:r>
        <w:t xml:space="preserve"> 47 C.F.R. Part 79.</w:t>
      </w:r>
    </w:p>
  </w:footnote>
  <w:footnote w:id="80">
    <w:p w:rsidR="00665F59" w:rsidRDefault="00665F59" w:rsidP="00664EB6">
      <w:pPr>
        <w:pStyle w:val="FootnoteText"/>
      </w:pPr>
      <w:r>
        <w:rPr>
          <w:rStyle w:val="FootnoteReference"/>
        </w:rPr>
        <w:footnoteRef/>
      </w:r>
      <w:r>
        <w:t xml:space="preserve"> </w:t>
      </w:r>
      <w:r w:rsidRPr="00FE30CA">
        <w:rPr>
          <w:i/>
        </w:rPr>
        <w:t>See, e.g</w:t>
      </w:r>
      <w:r>
        <w:t>., DIRECTV Comments at 8-17 (filed June 19, 2013); EchoStar Corporation and DISH Network Reply Comments at 4-6 (filed June 26, 2013).</w:t>
      </w:r>
    </w:p>
  </w:footnote>
  <w:footnote w:id="81">
    <w:p w:rsidR="00665F59" w:rsidRPr="00194701" w:rsidRDefault="00665F59" w:rsidP="005273F4">
      <w:pPr>
        <w:pStyle w:val="FootnoteText"/>
      </w:pPr>
      <w:r w:rsidRPr="00194701">
        <w:rPr>
          <w:rStyle w:val="FootnoteReference"/>
        </w:rPr>
        <w:footnoteRef/>
      </w:r>
      <w:r w:rsidRPr="00194701">
        <w:t xml:space="preserve"> For example, DIRECTV operates a number of Ka-band satellites used to provide satellite television services to consumers in the U</w:t>
      </w:r>
      <w:r>
        <w:t>nited States</w:t>
      </w:r>
      <w:r w:rsidRPr="00194701">
        <w:t xml:space="preserve"> in addition to its fleet of DBS satellites.</w:t>
      </w:r>
    </w:p>
  </w:footnote>
  <w:footnote w:id="82">
    <w:p w:rsidR="00665F59" w:rsidRPr="00194701" w:rsidRDefault="00665F59" w:rsidP="00D76E2F">
      <w:pPr>
        <w:pStyle w:val="FootnoteText"/>
      </w:pPr>
      <w:r w:rsidRPr="00194701">
        <w:rPr>
          <w:rStyle w:val="FootnoteReference"/>
        </w:rPr>
        <w:footnoteRef/>
      </w:r>
      <w:r w:rsidRPr="00194701">
        <w:t xml:space="preserve"> Compare definition of DBS in Section 25.103 used for satellite licensing with the definition for DBS in Section 25.701 used for other public interest obligations. 47 C.F.R. §§ 25.103, 25.701</w:t>
      </w:r>
      <w:r>
        <w:t>.</w:t>
      </w:r>
    </w:p>
  </w:footnote>
  <w:footnote w:id="83">
    <w:p w:rsidR="00665F59" w:rsidRDefault="00665F59" w:rsidP="00D76E2F">
      <w:pPr>
        <w:pStyle w:val="FootnoteText"/>
      </w:pPr>
      <w:r w:rsidRPr="00194701">
        <w:rPr>
          <w:rStyle w:val="FootnoteReference"/>
        </w:rPr>
        <w:footnoteRef/>
      </w:r>
      <w:r w:rsidRPr="00194701">
        <w:t xml:space="preserve"> </w:t>
      </w:r>
      <w:r w:rsidRPr="00194701">
        <w:rPr>
          <w:i/>
        </w:rPr>
        <w:t>See, e.g., EchoStar Satellite, LLC</w:t>
      </w:r>
      <w:r w:rsidRPr="00194701">
        <w:t>, Order and Authorization, 20 FCC Rcd 20083 (International Bureau 2005).</w:t>
      </w:r>
    </w:p>
  </w:footnote>
  <w:footnote w:id="84">
    <w:p w:rsidR="00665F59" w:rsidRPr="00A1103B" w:rsidRDefault="00665F59" w:rsidP="00664EB6">
      <w:pPr>
        <w:pStyle w:val="FootnoteText"/>
      </w:pPr>
      <w:r w:rsidRPr="00A1103B">
        <w:rPr>
          <w:rStyle w:val="FootnoteReference"/>
        </w:rPr>
        <w:footnoteRef/>
      </w:r>
      <w:r w:rsidRPr="00A1103B">
        <w:t xml:space="preserve"> 47 C.F.R. §1.1156.</w:t>
      </w:r>
    </w:p>
  </w:footnote>
  <w:footnote w:id="85">
    <w:p w:rsidR="00665F59" w:rsidRDefault="00665F59">
      <w:pPr>
        <w:pStyle w:val="FootnoteText"/>
      </w:pPr>
      <w:r>
        <w:rPr>
          <w:rStyle w:val="FootnoteReference"/>
        </w:rPr>
        <w:footnoteRef/>
      </w:r>
      <w:r>
        <w:t xml:space="preserve"> </w:t>
      </w:r>
      <w:r w:rsidRPr="00A1103B">
        <w:rPr>
          <w:szCs w:val="22"/>
        </w:rPr>
        <w:t xml:space="preserve">This issue was raised in the </w:t>
      </w:r>
      <w:r w:rsidRPr="00A1103B">
        <w:rPr>
          <w:i/>
          <w:szCs w:val="22"/>
        </w:rPr>
        <w:t>FY 1999 Report and Order</w:t>
      </w:r>
      <w:r w:rsidRPr="00A1103B">
        <w:rPr>
          <w:szCs w:val="22"/>
        </w:rPr>
        <w:t xml:space="preserve"> where the Commission observed that that the legislative history provides that only space stations licensed under Title III—which does not include non-U.S.-licensed satellite operators—may be subject to regulatory fees.</w:t>
      </w:r>
      <w:r>
        <w:rPr>
          <w:szCs w:val="22"/>
        </w:rPr>
        <w:t xml:space="preserve">  </w:t>
      </w:r>
      <w:r w:rsidRPr="00A1103B">
        <w:rPr>
          <w:i/>
        </w:rPr>
        <w:t>Assessment and Collection of Regulatory Fees for Fiscal Year 1999</w:t>
      </w:r>
      <w:r w:rsidRPr="00A1103B">
        <w:t>, Report and Order, 14 FCC Rcd 9896, 9882, para. 39 (1999) (</w:t>
      </w:r>
      <w:r w:rsidRPr="00A1103B">
        <w:rPr>
          <w:i/>
        </w:rPr>
        <w:t>FY 1999 Report and Order</w:t>
      </w:r>
      <w:r w:rsidRPr="00A1103B">
        <w:t>).</w:t>
      </w:r>
      <w:r>
        <w:t xml:space="preserve">  </w:t>
      </w:r>
    </w:p>
  </w:footnote>
  <w:footnote w:id="86">
    <w:p w:rsidR="00665F59" w:rsidRPr="00A1103B" w:rsidRDefault="00665F59" w:rsidP="00664EB6">
      <w:pPr>
        <w:pStyle w:val="FootnoteText"/>
      </w:pPr>
      <w:r w:rsidRPr="00A1103B">
        <w:rPr>
          <w:rStyle w:val="FootnoteReference"/>
        </w:rPr>
        <w:footnoteRef/>
      </w:r>
      <w:r w:rsidRPr="00A1103B">
        <w:t xml:space="preserve"> </w:t>
      </w:r>
      <w:r>
        <w:rPr>
          <w:i/>
        </w:rPr>
        <w:t xml:space="preserve">See </w:t>
      </w:r>
      <w:r w:rsidRPr="00A94A0D">
        <w:rPr>
          <w:i/>
        </w:rPr>
        <w:t>FY 2013 NPRM</w:t>
      </w:r>
      <w:r>
        <w:t>, 28 FCC Rcd at 7809-810, paras. 47-49.</w:t>
      </w:r>
    </w:p>
  </w:footnote>
  <w:footnote w:id="87">
    <w:p w:rsidR="00665F59" w:rsidRDefault="00665F59" w:rsidP="00664EB6">
      <w:pPr>
        <w:pStyle w:val="FootnoteText"/>
      </w:pPr>
      <w:r>
        <w:rPr>
          <w:rStyle w:val="FootnoteReference"/>
        </w:rPr>
        <w:footnoteRef/>
      </w:r>
      <w:r>
        <w:t xml:space="preserve"> Intelsat Comments (June 19, 2013).</w:t>
      </w:r>
    </w:p>
  </w:footnote>
  <w:footnote w:id="88">
    <w:p w:rsidR="00665F59" w:rsidRDefault="00665F59" w:rsidP="00664EB6">
      <w:pPr>
        <w:pStyle w:val="FootnoteText"/>
      </w:pPr>
      <w:r>
        <w:rPr>
          <w:rStyle w:val="FootnoteReference"/>
        </w:rPr>
        <w:footnoteRef/>
      </w:r>
      <w:r>
        <w:t xml:space="preserve"> </w:t>
      </w:r>
      <w:r w:rsidRPr="002D647A">
        <w:rPr>
          <w:i/>
        </w:rPr>
        <w:t>See, e.g</w:t>
      </w:r>
      <w:r>
        <w:t>., EchoStar Corporation and DISH Network Comments at 15-18 (contending that the Commission lacks the authority to impose such regulatory fees and that doing so would also be inconsistent with established multilateral trade agreements) (June 19, 2013); SES Americom, Inc., Inmarsat, Inc., and Telesat Canada Comments at 2-12) (June 19, 2013).</w:t>
      </w:r>
    </w:p>
  </w:footnote>
  <w:footnote w:id="89">
    <w:p w:rsidR="00665F59" w:rsidRPr="00A1103B" w:rsidRDefault="00665F59" w:rsidP="00664EB6">
      <w:pPr>
        <w:pStyle w:val="FootnoteText"/>
      </w:pPr>
      <w:r w:rsidRPr="00A1103B">
        <w:rPr>
          <w:rStyle w:val="FootnoteReference"/>
        </w:rPr>
        <w:footnoteRef/>
      </w:r>
      <w:r w:rsidRPr="00A1103B">
        <w:t xml:space="preserve"> </w:t>
      </w:r>
      <w:r w:rsidRPr="00A1103B">
        <w:rPr>
          <w:i/>
        </w:rPr>
        <w:t>FY 1999 Report and Order</w:t>
      </w:r>
      <w:r w:rsidRPr="00A1103B">
        <w:t>, 14 FCC Rcd at 9882, para. 39.</w:t>
      </w:r>
    </w:p>
  </w:footnote>
  <w:footnote w:id="90">
    <w:p w:rsidR="00665F59" w:rsidRDefault="00665F59">
      <w:pPr>
        <w:pStyle w:val="FootnoteText"/>
      </w:pPr>
      <w:r>
        <w:rPr>
          <w:rStyle w:val="FootnoteReference"/>
        </w:rPr>
        <w:footnoteRef/>
      </w:r>
      <w:r>
        <w:t xml:space="preserve"> Intelsat Comments at 4 (June 19, 2013).</w:t>
      </w:r>
    </w:p>
  </w:footnote>
  <w:footnote w:id="91">
    <w:p w:rsidR="00665F59" w:rsidRDefault="00665F59">
      <w:pPr>
        <w:pStyle w:val="FootnoteText"/>
      </w:pPr>
      <w:r>
        <w:rPr>
          <w:rStyle w:val="FootnoteReference"/>
        </w:rPr>
        <w:footnoteRef/>
      </w:r>
      <w:r>
        <w:t xml:space="preserve"> </w:t>
      </w:r>
      <w:r w:rsidRPr="00AF1916">
        <w:t xml:space="preserve">Toll free numbers are telephone numbers for which the toll charges for completed calls are paid by the toll free subscriber.  See 47 C.F.R. § 52.101(f).  </w:t>
      </w:r>
    </w:p>
  </w:footnote>
  <w:footnote w:id="92">
    <w:p w:rsidR="00665F59" w:rsidRDefault="00665F59">
      <w:pPr>
        <w:pStyle w:val="FootnoteText"/>
      </w:pPr>
      <w:r>
        <w:rPr>
          <w:rStyle w:val="FootnoteReference"/>
        </w:rPr>
        <w:footnoteRef/>
      </w:r>
      <w:r>
        <w:t xml:space="preserve"> </w:t>
      </w:r>
      <w:r w:rsidRPr="00064BD5">
        <w:rPr>
          <w:i/>
        </w:rPr>
        <w:t>See, e.g., Richard Jackowitz, IT Connect, Inc</w:t>
      </w:r>
      <w:r w:rsidRPr="00CF4F47">
        <w:t xml:space="preserve">., Notice of Apparent Liability for Forfeiture, </w:t>
      </w:r>
      <w:r>
        <w:t>29 FCC Rcd 3318</w:t>
      </w:r>
      <w:r w:rsidRPr="00CF4F47">
        <w:t xml:space="preserve"> </w:t>
      </w:r>
      <w:r>
        <w:t>(</w:t>
      </w:r>
      <w:r w:rsidRPr="00CF4F47">
        <w:t xml:space="preserve">2014); </w:t>
      </w:r>
      <w:r w:rsidRPr="00064BD5">
        <w:rPr>
          <w:i/>
        </w:rPr>
        <w:t>Richard Jackowitz, IT Connect, Inc</w:t>
      </w:r>
      <w:r w:rsidRPr="00CF4F47">
        <w:t xml:space="preserve">., Notice of Apparent Liability for Forfeiture, 28 FCC Rcd 6692 (2013); </w:t>
      </w:r>
      <w:r w:rsidRPr="00064BD5">
        <w:rPr>
          <w:i/>
        </w:rPr>
        <w:t>Telseven, LLC, et al</w:t>
      </w:r>
      <w:r w:rsidRPr="00CF4F47">
        <w:t>., Notice of Apparent Liability for Forfeiture, 27 FCC Rcd 15558 (2013).</w:t>
      </w:r>
    </w:p>
  </w:footnote>
  <w:footnote w:id="93">
    <w:p w:rsidR="00665F59" w:rsidRDefault="00665F59">
      <w:pPr>
        <w:pStyle w:val="FootnoteText"/>
      </w:pPr>
      <w:r>
        <w:rPr>
          <w:rStyle w:val="FootnoteReference"/>
        </w:rPr>
        <w:footnoteRef/>
      </w:r>
      <w:r>
        <w:t xml:space="preserve"> </w:t>
      </w:r>
      <w:r w:rsidRPr="00064BD5">
        <w:rPr>
          <w:i/>
        </w:rPr>
        <w:t>See, e.g., Toll Free Access Codes</w:t>
      </w:r>
      <w:r w:rsidRPr="00C5551F">
        <w:t>, Second Report and Order and Further Notice of Proposed Rulemaking, 12 FCC Rcd 11162 (1997).</w:t>
      </w:r>
    </w:p>
  </w:footnote>
  <w:footnote w:id="94">
    <w:p w:rsidR="00665F59" w:rsidRDefault="00665F59">
      <w:pPr>
        <w:pStyle w:val="FootnoteText"/>
      </w:pPr>
      <w:r>
        <w:rPr>
          <w:rStyle w:val="FootnoteReference"/>
        </w:rPr>
        <w:footnoteRef/>
      </w:r>
      <w:r>
        <w:t xml:space="preserve"> </w:t>
      </w:r>
      <w:r w:rsidRPr="00927E1D">
        <w:rPr>
          <w:i/>
        </w:rPr>
        <w:t>See generally, Universal Service Contribution Methodology</w:t>
      </w:r>
      <w:r>
        <w:t>, Further Notice of Proposed Rulemaking, 27 FCC Rcd 5357, 5463-64, para. 306 (2012).</w:t>
      </w:r>
    </w:p>
  </w:footnote>
  <w:footnote w:id="95">
    <w:p w:rsidR="00665F59" w:rsidRDefault="00665F59">
      <w:pPr>
        <w:pStyle w:val="FootnoteText"/>
      </w:pPr>
      <w:r>
        <w:rPr>
          <w:rStyle w:val="FootnoteReference"/>
        </w:rPr>
        <w:footnoteRef/>
      </w:r>
      <w:r>
        <w:t xml:space="preserve"> Enforcement Bureau staff also work on toll free issues.</w:t>
      </w:r>
    </w:p>
  </w:footnote>
  <w:footnote w:id="96">
    <w:p w:rsidR="00665F59" w:rsidRDefault="00665F59" w:rsidP="00B04C42">
      <w:pPr>
        <w:pStyle w:val="FootnoteText"/>
      </w:pPr>
      <w:r>
        <w:rPr>
          <w:rStyle w:val="FootnoteReference"/>
        </w:rPr>
        <w:footnoteRef/>
      </w:r>
      <w:r>
        <w:t xml:space="preserve"> </w:t>
      </w:r>
      <w:r w:rsidRPr="00A1103B">
        <w:t>47 U.S.C. § 159(b)(3).</w:t>
      </w:r>
    </w:p>
  </w:footnote>
  <w:footnote w:id="97">
    <w:p w:rsidR="00665F59" w:rsidRPr="00A1103B" w:rsidRDefault="00665F59" w:rsidP="00B04C42">
      <w:pPr>
        <w:pStyle w:val="FootnoteText"/>
      </w:pPr>
      <w:r w:rsidRPr="00A1103B">
        <w:rPr>
          <w:rStyle w:val="FootnoteReference"/>
        </w:rPr>
        <w:footnoteRef/>
      </w:r>
      <w:r w:rsidRPr="00A1103B">
        <w:t xml:space="preserve"> 47 U.S.C. § 159(b)(4)(B).</w:t>
      </w:r>
    </w:p>
  </w:footnote>
  <w:footnote w:id="98">
    <w:p w:rsidR="00665F59" w:rsidRDefault="00665F59">
      <w:pPr>
        <w:pStyle w:val="FootnoteText"/>
      </w:pPr>
      <w:r>
        <w:rPr>
          <w:rStyle w:val="FootnoteReference"/>
        </w:rPr>
        <w:footnoteRef/>
      </w:r>
      <w:r>
        <w:t xml:space="preserve"> We incorporate this change into our rules at Attachment G.</w:t>
      </w:r>
    </w:p>
  </w:footnote>
  <w:footnote w:id="99">
    <w:p w:rsidR="00665F59" w:rsidRPr="00F62DC9" w:rsidRDefault="00665F59" w:rsidP="00664EB6">
      <w:pPr>
        <w:pStyle w:val="FootnoteText"/>
      </w:pPr>
      <w:r w:rsidRPr="00F62DC9">
        <w:rPr>
          <w:rStyle w:val="FootnoteReference"/>
        </w:rPr>
        <w:footnoteRef/>
      </w:r>
      <w:r w:rsidRPr="00F62DC9">
        <w:t xml:space="preserve"> In accordance with U.S. Treasury Financial Manual Announcement No. A-2012-02, the U.S. Treasury will reject credit card transactions greater than $49,999.99 from a single credit card in a single day.  This includes online transactions conducted via Pay.gov, transactions conducted via other channels, and direct-over-the counter transactions made at a U.S. Government facility.  Individual credit card transactions larger than the $49,999.99 limit may not be split into multiple transactions using the same credit card, whether or not the split transactions are assigned to multiple days.  Splitting a transaction violates card network and Financial Management Service (FMS) rules.  However, credit card transactions exceeding the daily limit may be split between two or </w:t>
      </w:r>
      <w:r w:rsidRPr="0012641D">
        <w:t>more different</w:t>
      </w:r>
      <w:r w:rsidRPr="00F62DC9">
        <w:rPr>
          <w:u w:val="single"/>
        </w:rPr>
        <w:t xml:space="preserve"> </w:t>
      </w:r>
      <w:r w:rsidRPr="00F62DC9">
        <w:t>credit cards.  Other alternatives for transactions</w:t>
      </w:r>
      <w:r w:rsidRPr="00B60211">
        <w:t xml:space="preserve"> </w:t>
      </w:r>
      <w:r w:rsidRPr="00F62DC9">
        <w:t>exceeding the $49,999.99 credit card limit include payment by check, electronic debit from your bank account, and wire transfer.</w:t>
      </w:r>
    </w:p>
  </w:footnote>
  <w:footnote w:id="100">
    <w:p w:rsidR="00665F59" w:rsidRPr="00F62DC9" w:rsidRDefault="00665F59" w:rsidP="00664EB6">
      <w:pPr>
        <w:pStyle w:val="FootnoteText"/>
      </w:pPr>
      <w:r w:rsidRPr="00F62DC9">
        <w:rPr>
          <w:rStyle w:val="FootnoteReference"/>
        </w:rPr>
        <w:footnoteRef/>
      </w:r>
      <w:r w:rsidRPr="00F62DC9">
        <w:t xml:space="preserve"> In accordance with U.S. Treasury Financial Manual Announcement No. A-2012-02, the maximum dollar-value limit for debit card transactions will be eliminated.  It should also be noted that only Visa and MasterCard branded debit cards are accepted by Pay.gov.</w:t>
      </w:r>
    </w:p>
  </w:footnote>
  <w:footnote w:id="101">
    <w:p w:rsidR="00665F59" w:rsidRPr="00B60211" w:rsidRDefault="00665F59" w:rsidP="00664EB6">
      <w:pPr>
        <w:pStyle w:val="FootnoteText"/>
      </w:pPr>
      <w:r w:rsidRPr="00F62DC9">
        <w:rPr>
          <w:rStyle w:val="FootnoteReference"/>
        </w:rPr>
        <w:footnoteRef/>
      </w:r>
      <w:r w:rsidRPr="00F62DC9">
        <w:t xml:space="preserve"> Audio bridging services are toll teleconferencing services.</w:t>
      </w:r>
      <w:r w:rsidRPr="00B60211">
        <w:t xml:space="preserve"> </w:t>
      </w:r>
    </w:p>
  </w:footnote>
  <w:footnote w:id="102">
    <w:p w:rsidR="00665F59" w:rsidRPr="00F62DC9" w:rsidRDefault="00665F59" w:rsidP="00664EB6">
      <w:pPr>
        <w:pStyle w:val="FootnoteText"/>
      </w:pPr>
      <w:r w:rsidRPr="00B60211">
        <w:rPr>
          <w:rStyle w:val="FootnoteReference"/>
          <w:color w:val="000000"/>
        </w:rPr>
        <w:footnoteRef/>
      </w:r>
      <w:r w:rsidRPr="00B60211">
        <w:rPr>
          <w:color w:val="000000"/>
        </w:rPr>
        <w:t xml:space="preserve"> </w:t>
      </w:r>
      <w:r w:rsidRPr="00F62DC9">
        <w:rPr>
          <w:color w:val="000000"/>
        </w:rPr>
        <w:t xml:space="preserve">Cable television system operators should compute their number of basic subscribers as follows: Number of single family dwellings + number of individual households in multiple dwelling unit (apartments, condominiums, mobile home parks, etc.)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2013, rather than on a count as of December 31, 2013. </w:t>
      </w:r>
    </w:p>
  </w:footnote>
  <w:footnote w:id="103">
    <w:p w:rsidR="00665F59" w:rsidRPr="00F62DC9" w:rsidRDefault="00665F59" w:rsidP="00664EB6">
      <w:pPr>
        <w:pStyle w:val="FootnoteText"/>
      </w:pPr>
      <w:r w:rsidRPr="00B60211">
        <w:rPr>
          <w:rStyle w:val="FootnoteReference"/>
        </w:rPr>
        <w:footnoteRef/>
      </w:r>
      <w:r w:rsidRPr="00B60211">
        <w:t xml:space="preserve"> </w:t>
      </w:r>
      <w:r w:rsidRPr="00F62DC9">
        <w:t>47 U.S.C. § 159(c).</w:t>
      </w:r>
    </w:p>
  </w:footnote>
  <w:footnote w:id="104">
    <w:p w:rsidR="00665F59" w:rsidRPr="00F62DC9" w:rsidRDefault="00665F59" w:rsidP="00664EB6">
      <w:pPr>
        <w:pStyle w:val="FootnoteText"/>
      </w:pPr>
      <w:r w:rsidRPr="00F62DC9">
        <w:rPr>
          <w:rStyle w:val="FootnoteReference"/>
        </w:rPr>
        <w:footnoteRef/>
      </w:r>
      <w:r w:rsidRPr="00F62DC9">
        <w:t xml:space="preserve"> </w:t>
      </w:r>
      <w:r w:rsidRPr="00F62DC9">
        <w:rPr>
          <w:i/>
        </w:rPr>
        <w:t>See</w:t>
      </w:r>
      <w:r w:rsidRPr="00F62DC9">
        <w:t xml:space="preserve"> 47 C.F.R. § 1.1910.</w:t>
      </w:r>
    </w:p>
  </w:footnote>
  <w:footnote w:id="105">
    <w:p w:rsidR="00665F59" w:rsidRPr="00F62DC9" w:rsidRDefault="00665F59" w:rsidP="00664EB6">
      <w:pPr>
        <w:pStyle w:val="FootnoteText"/>
      </w:pPr>
      <w:r w:rsidRPr="00F62DC9">
        <w:rPr>
          <w:rStyle w:val="FootnoteReference"/>
        </w:rPr>
        <w:footnoteRef/>
      </w:r>
      <w:r w:rsidRPr="00F62DC9">
        <w:t xml:space="preserve"> Delinquent debt owed to the Commission triggers application of the “red light rule” which requires offsets or holds on pending disbursements.  47 C.F.R. § 1.1910.  In 2004, the Commission adopted rules implementing the requirements of the DCIA. </w:t>
      </w:r>
      <w:r w:rsidRPr="00F62DC9">
        <w:rPr>
          <w:i/>
        </w:rPr>
        <w:t>See</w:t>
      </w:r>
      <w:r w:rsidRPr="00F62DC9">
        <w:t xml:space="preserve"> </w:t>
      </w:r>
      <w:r w:rsidRPr="00F62DC9">
        <w:rPr>
          <w:i/>
        </w:rPr>
        <w:t>Amendment of Parts 0 and 1 of the Commission’s Rules</w:t>
      </w:r>
      <w:r w:rsidRPr="00F62DC9">
        <w:t>, MD Docket No. 02-339, Report and Order, 19 FCC Rcd 6540 (2004); 47 C.F.R. Part 1, Subpart O, Collection of Claims Owed the United States.</w:t>
      </w:r>
    </w:p>
  </w:footnote>
  <w:footnote w:id="106">
    <w:p w:rsidR="00665F59" w:rsidRPr="00F62DC9" w:rsidRDefault="00665F59" w:rsidP="00664EB6">
      <w:pPr>
        <w:pStyle w:val="FootnoteText"/>
      </w:pPr>
      <w:r w:rsidRPr="00F62DC9">
        <w:rPr>
          <w:rStyle w:val="FootnoteReference"/>
        </w:rPr>
        <w:footnoteRef/>
      </w:r>
      <w:r w:rsidRPr="00F62DC9">
        <w:t xml:space="preserve"> 47 C.F.R. § 1.1940(d).</w:t>
      </w:r>
    </w:p>
  </w:footnote>
  <w:footnote w:id="107">
    <w:p w:rsidR="00665F59" w:rsidRPr="00B60211" w:rsidRDefault="00665F59" w:rsidP="00664EB6">
      <w:pPr>
        <w:pStyle w:val="FootnoteText"/>
      </w:pPr>
      <w:r w:rsidRPr="00F62DC9">
        <w:rPr>
          <w:rStyle w:val="FootnoteReference"/>
        </w:rPr>
        <w:footnoteRef/>
      </w:r>
      <w:r w:rsidRPr="00F62DC9">
        <w:t xml:space="preserve"> </w:t>
      </w:r>
      <w:r w:rsidRPr="00F62DC9">
        <w:rPr>
          <w:i/>
        </w:rPr>
        <w:t>See</w:t>
      </w:r>
      <w:r w:rsidRPr="00F62DC9">
        <w:t xml:space="preserve"> 47 C.F.R. §§ 1.1161(c), 1.1164(f)(5), and 1.1910.</w:t>
      </w:r>
      <w:r w:rsidRPr="00B60211">
        <w:t xml:space="preserve">  </w:t>
      </w:r>
    </w:p>
  </w:footnote>
  <w:footnote w:id="108">
    <w:p w:rsidR="00665F59" w:rsidRDefault="00665F59" w:rsidP="00392EF0">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109">
    <w:p w:rsidR="00665F59" w:rsidRDefault="00665F59" w:rsidP="00392EF0">
      <w:pPr>
        <w:pStyle w:val="FootnoteText"/>
      </w:pPr>
      <w:r>
        <w:rPr>
          <w:rStyle w:val="FootnoteReference"/>
        </w:rPr>
        <w:footnoteRef/>
      </w:r>
      <w:r>
        <w:t xml:space="preserve"> 5 U.S.C.</w:t>
      </w:r>
      <w:r>
        <w:rPr>
          <w:spacing w:val="-2"/>
        </w:rPr>
        <w:t xml:space="preserve"> §</w:t>
      </w:r>
      <w:r>
        <w:t xml:space="preserve"> 603(a).</w:t>
      </w:r>
    </w:p>
  </w:footnote>
  <w:footnote w:id="110">
    <w:p w:rsidR="00665F59" w:rsidRDefault="00665F59" w:rsidP="00392EF0">
      <w:pPr>
        <w:pStyle w:val="FootnoteText"/>
      </w:pPr>
      <w:r>
        <w:rPr>
          <w:rStyle w:val="FootnoteReference"/>
        </w:rPr>
        <w:footnoteRef/>
      </w:r>
      <w:r>
        <w:t xml:space="preserve"> </w:t>
      </w:r>
      <w:r w:rsidRPr="00820DF8">
        <w:rPr>
          <w:i/>
        </w:rPr>
        <w:t>Id.</w:t>
      </w:r>
    </w:p>
  </w:footnote>
  <w:footnote w:id="111">
    <w:p w:rsidR="00665F59" w:rsidRDefault="00665F59" w:rsidP="00392EF0">
      <w:pPr>
        <w:pStyle w:val="FootnoteText"/>
      </w:pPr>
      <w:r>
        <w:rPr>
          <w:rStyle w:val="FootnoteReference"/>
        </w:rPr>
        <w:footnoteRef/>
      </w:r>
      <w:r>
        <w:t xml:space="preserve"> 47 U.S.C. </w:t>
      </w:r>
      <w:r>
        <w:rPr>
          <w:rStyle w:val="Footnote"/>
        </w:rPr>
        <w:t xml:space="preserve">§§ </w:t>
      </w:r>
      <w:r>
        <w:t>154(i) and (j), 159, and 303(r).</w:t>
      </w:r>
    </w:p>
  </w:footnote>
  <w:footnote w:id="112">
    <w:p w:rsidR="00665F59" w:rsidRDefault="00665F59" w:rsidP="00392EF0">
      <w:pPr>
        <w:pStyle w:val="FootnoteText"/>
      </w:pPr>
      <w:r>
        <w:rPr>
          <w:rStyle w:val="FootnoteReference"/>
        </w:rPr>
        <w:footnoteRef/>
      </w:r>
      <w:r>
        <w:t xml:space="preserve"> </w:t>
      </w:r>
      <w:r>
        <w:rPr>
          <w:rStyle w:val="Footnote"/>
        </w:rPr>
        <w:t>5 U.S.C. § 603(b)(3).</w:t>
      </w:r>
    </w:p>
  </w:footnote>
  <w:footnote w:id="113">
    <w:p w:rsidR="00665F59" w:rsidRDefault="00665F59" w:rsidP="00392EF0">
      <w:pPr>
        <w:pStyle w:val="FootnoteText"/>
      </w:pPr>
      <w:r>
        <w:rPr>
          <w:rStyle w:val="FootnoteReference"/>
        </w:rPr>
        <w:footnoteRef/>
      </w:r>
      <w:r>
        <w:t xml:space="preserve"> </w:t>
      </w:r>
      <w:r>
        <w:rPr>
          <w:rStyle w:val="Footnote"/>
        </w:rPr>
        <w:t>5 U.S.C. § 601(6).</w:t>
      </w:r>
    </w:p>
  </w:footnote>
  <w:footnote w:id="114">
    <w:p w:rsidR="00665F59" w:rsidRDefault="00665F59" w:rsidP="00392EF0">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15">
    <w:p w:rsidR="00665F59" w:rsidRDefault="00665F59" w:rsidP="00392EF0">
      <w:pPr>
        <w:pStyle w:val="FootnoteText"/>
      </w:pPr>
      <w:r>
        <w:rPr>
          <w:rStyle w:val="FootnoteReference"/>
        </w:rPr>
        <w:footnoteRef/>
      </w:r>
      <w:r>
        <w:t xml:space="preserve"> </w:t>
      </w:r>
      <w:r>
        <w:rPr>
          <w:rStyle w:val="Footnote"/>
        </w:rPr>
        <w:t>15 U.S.C. § 632.</w:t>
      </w:r>
    </w:p>
  </w:footnote>
  <w:footnote w:id="116">
    <w:p w:rsidR="00665F59" w:rsidRDefault="00665F59" w:rsidP="00392EF0">
      <w:pPr>
        <w:pStyle w:val="FootnoteText"/>
      </w:pPr>
      <w:r>
        <w:rPr>
          <w:rStyle w:val="FootnoteReference"/>
        </w:rPr>
        <w:footnoteRef/>
      </w:r>
      <w:r>
        <w:t xml:space="preserve"> </w:t>
      </w:r>
      <w:r w:rsidRPr="005A3505">
        <w:rPr>
          <w:i/>
        </w:rPr>
        <w:t>See</w:t>
      </w:r>
      <w:r w:rsidRPr="005A3505">
        <w:t xml:space="preserve"> SBA, Office of Advocacy, “Frequently Asked Questions,” </w:t>
      </w:r>
      <w:hyperlink r:id="rId4" w:history="1">
        <w:r w:rsidRPr="00C31A4B">
          <w:rPr>
            <w:rStyle w:val="Hyperlink"/>
          </w:rPr>
          <w:t>http://www.sba.gov/sites/default/files/FAQ_Sept_2012.pdf.</w:t>
        </w:r>
      </w:hyperlink>
    </w:p>
  </w:footnote>
  <w:footnote w:id="117">
    <w:p w:rsidR="00665F59" w:rsidRDefault="00665F59" w:rsidP="00392EF0">
      <w:pPr>
        <w:pStyle w:val="FootnoteText"/>
      </w:pPr>
      <w:r>
        <w:rPr>
          <w:rStyle w:val="FootnoteReference"/>
        </w:rPr>
        <w:footnoteRef/>
      </w:r>
      <w:r>
        <w:t xml:space="preserve"> </w:t>
      </w:r>
      <w:r w:rsidRPr="00751F6C">
        <w:rPr>
          <w:i/>
        </w:rPr>
        <w:t>See id.</w:t>
      </w:r>
    </w:p>
  </w:footnote>
  <w:footnote w:id="118">
    <w:p w:rsidR="00665F59" w:rsidRDefault="00665F59" w:rsidP="00392EF0">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119">
    <w:p w:rsidR="00665F59" w:rsidRDefault="00665F59" w:rsidP="00392EF0">
      <w:pPr>
        <w:pStyle w:val="FootnoteText"/>
      </w:pPr>
      <w:r>
        <w:rPr>
          <w:rStyle w:val="FootnoteReference"/>
        </w:rPr>
        <w:footnoteRef/>
      </w:r>
      <w:r>
        <w:t xml:space="preserve"> </w:t>
      </w:r>
      <w:r w:rsidRPr="00280043">
        <w:rPr>
          <w:i/>
        </w:rPr>
        <w:t>See id.</w:t>
      </w:r>
    </w:p>
  </w:footnote>
  <w:footnote w:id="120">
    <w:p w:rsidR="00665F59" w:rsidRDefault="00665F59" w:rsidP="00392EF0">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121">
    <w:p w:rsidR="00665F59" w:rsidRDefault="00665F59" w:rsidP="00392EF0">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122">
    <w:p w:rsidR="00665F59" w:rsidRDefault="00665F59" w:rsidP="00392EF0">
      <w:pPr>
        <w:pStyle w:val="FootnoteText"/>
      </w:pPr>
      <w:r>
        <w:rPr>
          <w:rStyle w:val="FootnoteReference"/>
        </w:rPr>
        <w:footnoteRef/>
      </w:r>
      <w:r>
        <w:t xml:space="preserve"> </w:t>
      </w:r>
      <w:r w:rsidRPr="00007763">
        <w:rPr>
          <w:i/>
        </w:rPr>
        <w:t>Id.</w:t>
      </w:r>
    </w:p>
  </w:footnote>
  <w:footnote w:id="123">
    <w:p w:rsidR="00665F59" w:rsidRDefault="00665F59" w:rsidP="00392EF0">
      <w:pPr>
        <w:pStyle w:val="FootnoteText"/>
      </w:pPr>
      <w:r>
        <w:rPr>
          <w:rStyle w:val="FootnoteReference"/>
        </w:rPr>
        <w:footnoteRef/>
      </w:r>
      <w:r>
        <w:t xml:space="preserve"> </w:t>
      </w:r>
      <w:r>
        <w:rPr>
          <w:rStyle w:val="FootnoteTextChar4"/>
        </w:rPr>
        <w:t>13 C.F.R. § 121.201, NAICS code 517110.</w:t>
      </w:r>
    </w:p>
  </w:footnote>
  <w:footnote w:id="124">
    <w:p w:rsidR="00665F59" w:rsidRDefault="00665F59" w:rsidP="00392EF0">
      <w:pPr>
        <w:pStyle w:val="FootnoteText"/>
      </w:pPr>
      <w:r>
        <w:rPr>
          <w:rStyle w:val="FootnoteReference"/>
        </w:rPr>
        <w:footnoteRef/>
      </w:r>
      <w:r>
        <w:t xml:space="preserve"> </w:t>
      </w:r>
      <w:r>
        <w:rPr>
          <w:i/>
        </w:rPr>
        <w:t>See Trends in Telephone Service,</w:t>
      </w:r>
      <w:r>
        <w:t xml:space="preserve"> at tbl. 5.3.</w:t>
      </w:r>
    </w:p>
  </w:footnote>
  <w:footnote w:id="125">
    <w:p w:rsidR="00665F59" w:rsidRDefault="00665F59" w:rsidP="00392EF0">
      <w:pPr>
        <w:pStyle w:val="FootnoteText"/>
      </w:pPr>
      <w:r>
        <w:rPr>
          <w:rStyle w:val="FootnoteReference"/>
        </w:rPr>
        <w:footnoteRef/>
      </w:r>
      <w:r>
        <w:t xml:space="preserve"> </w:t>
      </w:r>
      <w:r>
        <w:rPr>
          <w:i/>
        </w:rPr>
        <w:t>I</w:t>
      </w:r>
      <w:r w:rsidRPr="00F71FA2">
        <w:rPr>
          <w:i/>
        </w:rPr>
        <w:t>d.</w:t>
      </w:r>
    </w:p>
  </w:footnote>
  <w:footnote w:id="126">
    <w:p w:rsidR="00665F59" w:rsidRDefault="00665F59" w:rsidP="00392EF0">
      <w:pPr>
        <w:pStyle w:val="FootnoteText"/>
      </w:pPr>
      <w:r>
        <w:rPr>
          <w:rStyle w:val="FootnoteReference"/>
        </w:rPr>
        <w:footnoteRef/>
      </w:r>
      <w:r>
        <w:t xml:space="preserve"> </w:t>
      </w:r>
      <w:r w:rsidRPr="00C71B0F">
        <w:rPr>
          <w:i/>
        </w:rPr>
        <w:t>Id.</w:t>
      </w:r>
    </w:p>
  </w:footnote>
  <w:footnote w:id="127">
    <w:p w:rsidR="00665F59" w:rsidRDefault="00665F59" w:rsidP="00392EF0">
      <w:pPr>
        <w:pStyle w:val="FootnoteText"/>
      </w:pPr>
      <w:r>
        <w:rPr>
          <w:rStyle w:val="FootnoteReference"/>
        </w:rPr>
        <w:footnoteRef/>
      </w:r>
      <w:r>
        <w:t xml:space="preserve"> </w:t>
      </w:r>
      <w:r w:rsidRPr="00C71B0F">
        <w:rPr>
          <w:i/>
        </w:rPr>
        <w:t>Id.</w:t>
      </w:r>
    </w:p>
  </w:footnote>
  <w:footnote w:id="128">
    <w:p w:rsidR="00665F59" w:rsidRDefault="00665F59" w:rsidP="00392EF0">
      <w:pPr>
        <w:pStyle w:val="FootnoteText"/>
      </w:pPr>
      <w:r>
        <w:rPr>
          <w:rStyle w:val="FootnoteReference"/>
        </w:rPr>
        <w:footnoteRef/>
      </w:r>
      <w:r>
        <w:t xml:space="preserve"> </w:t>
      </w:r>
      <w:r w:rsidRPr="00C71B0F">
        <w:rPr>
          <w:i/>
        </w:rPr>
        <w:t>Id.</w:t>
      </w:r>
    </w:p>
  </w:footnote>
  <w:footnote w:id="129">
    <w:p w:rsidR="00665F59" w:rsidRDefault="00665F59" w:rsidP="00392EF0">
      <w:pPr>
        <w:pStyle w:val="FootnoteText"/>
      </w:pPr>
      <w:r>
        <w:rPr>
          <w:rStyle w:val="FootnoteReference"/>
        </w:rPr>
        <w:footnoteRef/>
      </w:r>
      <w:r>
        <w:t xml:space="preserve"> </w:t>
      </w:r>
      <w:r>
        <w:rPr>
          <w:color w:val="000000"/>
        </w:rPr>
        <w:t>13 C.F.R. § 121.201, NAICS code 517110.</w:t>
      </w:r>
    </w:p>
  </w:footnote>
  <w:footnote w:id="130">
    <w:p w:rsidR="00665F59" w:rsidRDefault="00665F59" w:rsidP="00392EF0">
      <w:pPr>
        <w:pStyle w:val="FootnoteText"/>
      </w:pPr>
      <w:r>
        <w:rPr>
          <w:rStyle w:val="FootnoteReference"/>
        </w:rPr>
        <w:footnoteRef/>
      </w:r>
      <w:r>
        <w:t xml:space="preserve"> </w:t>
      </w:r>
      <w:r>
        <w:rPr>
          <w:i/>
        </w:rPr>
        <w:t>See Trends in Telephone Service,</w:t>
      </w:r>
      <w:r>
        <w:t xml:space="preserve"> at tbl. 5.3.</w:t>
      </w:r>
    </w:p>
  </w:footnote>
  <w:footnote w:id="131">
    <w:p w:rsidR="00665F59" w:rsidRDefault="00665F59" w:rsidP="00392EF0">
      <w:pPr>
        <w:pStyle w:val="FootnoteText"/>
      </w:pPr>
      <w:r>
        <w:rPr>
          <w:rStyle w:val="FootnoteReference"/>
        </w:rPr>
        <w:footnoteRef/>
      </w:r>
      <w:r>
        <w:t xml:space="preserve"> </w:t>
      </w:r>
      <w:r w:rsidRPr="0026657E">
        <w:rPr>
          <w:i/>
        </w:rPr>
        <w:t>Id.</w:t>
      </w:r>
    </w:p>
  </w:footnote>
  <w:footnote w:id="132">
    <w:p w:rsidR="00665F59" w:rsidRDefault="00665F59" w:rsidP="00392EF0">
      <w:pPr>
        <w:pStyle w:val="FootnoteText"/>
      </w:pPr>
      <w:r>
        <w:rPr>
          <w:rStyle w:val="FootnoteReference"/>
        </w:rPr>
        <w:footnoteRef/>
      </w:r>
      <w:r>
        <w:t xml:space="preserve"> </w:t>
      </w:r>
      <w:r>
        <w:rPr>
          <w:color w:val="000000"/>
        </w:rPr>
        <w:t>13 C.F.R. § 121.201, NAICS code 517911.</w:t>
      </w:r>
    </w:p>
  </w:footnote>
  <w:footnote w:id="133">
    <w:p w:rsidR="00665F59" w:rsidRDefault="00665F59" w:rsidP="00392EF0">
      <w:pPr>
        <w:pStyle w:val="FootnoteText"/>
      </w:pPr>
      <w:r>
        <w:rPr>
          <w:rStyle w:val="FootnoteReference"/>
        </w:rPr>
        <w:footnoteRef/>
      </w:r>
      <w:r>
        <w:t xml:space="preserve"> </w:t>
      </w:r>
      <w:r w:rsidRPr="00860117">
        <w:rPr>
          <w:i/>
        </w:rPr>
        <w:t>Id.</w:t>
      </w:r>
    </w:p>
  </w:footnote>
  <w:footnote w:id="134">
    <w:p w:rsidR="00665F59" w:rsidRDefault="00665F59" w:rsidP="00392EF0">
      <w:pPr>
        <w:pStyle w:val="FootnoteText"/>
      </w:pPr>
      <w:r>
        <w:rPr>
          <w:rStyle w:val="FootnoteReference"/>
        </w:rPr>
        <w:footnoteRef/>
      </w:r>
      <w:r>
        <w:t xml:space="preserve"> </w:t>
      </w:r>
      <w:r>
        <w:rPr>
          <w:i/>
        </w:rPr>
        <w:t>See Trends in Telephone Service,</w:t>
      </w:r>
      <w:r>
        <w:t xml:space="preserve"> at tbl. 5.3.</w:t>
      </w:r>
    </w:p>
  </w:footnote>
  <w:footnote w:id="135">
    <w:p w:rsidR="00665F59" w:rsidRDefault="00665F59" w:rsidP="00392EF0">
      <w:pPr>
        <w:pStyle w:val="FootnoteText"/>
      </w:pPr>
      <w:r>
        <w:rPr>
          <w:rStyle w:val="FootnoteReference"/>
        </w:rPr>
        <w:footnoteRef/>
      </w:r>
      <w:r>
        <w:t xml:space="preserve"> </w:t>
      </w:r>
      <w:r w:rsidRPr="00860117">
        <w:rPr>
          <w:i/>
        </w:rPr>
        <w:t>Id.</w:t>
      </w:r>
    </w:p>
  </w:footnote>
  <w:footnote w:id="136">
    <w:p w:rsidR="00665F59" w:rsidRDefault="00665F59" w:rsidP="00392EF0">
      <w:pPr>
        <w:pStyle w:val="FootnoteText"/>
      </w:pPr>
      <w:r>
        <w:rPr>
          <w:rStyle w:val="FootnoteReference"/>
        </w:rPr>
        <w:footnoteRef/>
      </w:r>
      <w:r>
        <w:t xml:space="preserve"> </w:t>
      </w:r>
      <w:r>
        <w:rPr>
          <w:color w:val="000000"/>
        </w:rPr>
        <w:t>13 C.F.R. § 121.201, NAICS code 517911.</w:t>
      </w:r>
    </w:p>
  </w:footnote>
  <w:footnote w:id="137">
    <w:p w:rsidR="00665F59" w:rsidRDefault="00665F59" w:rsidP="00392EF0">
      <w:pPr>
        <w:pStyle w:val="FootnoteText"/>
      </w:pPr>
      <w:r>
        <w:rPr>
          <w:rStyle w:val="FootnoteReference"/>
        </w:rPr>
        <w:footnoteRef/>
      </w:r>
      <w:r>
        <w:t xml:space="preserve"> </w:t>
      </w:r>
      <w:r w:rsidRPr="009567E6">
        <w:rPr>
          <w:i/>
        </w:rPr>
        <w:t>Id.</w:t>
      </w:r>
    </w:p>
  </w:footnote>
  <w:footnote w:id="138">
    <w:p w:rsidR="00665F59" w:rsidRDefault="00665F59" w:rsidP="00392EF0">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139">
    <w:p w:rsidR="00665F59" w:rsidRDefault="00665F59" w:rsidP="00392EF0">
      <w:pPr>
        <w:pStyle w:val="FootnoteText"/>
      </w:pPr>
      <w:r>
        <w:rPr>
          <w:rStyle w:val="FootnoteReference"/>
        </w:rPr>
        <w:footnoteRef/>
      </w:r>
      <w:r>
        <w:t xml:space="preserve"> </w:t>
      </w:r>
      <w:r w:rsidRPr="00E024DD">
        <w:rPr>
          <w:i/>
        </w:rPr>
        <w:t>Id.</w:t>
      </w:r>
    </w:p>
  </w:footnote>
  <w:footnote w:id="140">
    <w:p w:rsidR="00665F59" w:rsidRDefault="00665F59" w:rsidP="00392EF0">
      <w:pPr>
        <w:pStyle w:val="FootnoteText"/>
      </w:pPr>
      <w:r>
        <w:rPr>
          <w:rStyle w:val="FootnoteReference"/>
        </w:rPr>
        <w:footnoteRef/>
      </w:r>
      <w:r>
        <w:t xml:space="preserve"> </w:t>
      </w:r>
      <w:r>
        <w:rPr>
          <w:color w:val="000000"/>
        </w:rPr>
        <w:t>13 C.F.R. § 121.201, NAICS code 517911.</w:t>
      </w:r>
    </w:p>
  </w:footnote>
  <w:footnote w:id="141">
    <w:p w:rsidR="00665F59" w:rsidRDefault="00665F59" w:rsidP="00392EF0">
      <w:pPr>
        <w:pStyle w:val="FootnoteText"/>
      </w:pPr>
      <w:r>
        <w:rPr>
          <w:rStyle w:val="FootnoteReference"/>
        </w:rPr>
        <w:footnoteRef/>
      </w:r>
      <w:r>
        <w:t xml:space="preserve"> </w:t>
      </w:r>
      <w:r w:rsidRPr="004076C3">
        <w:rPr>
          <w:i/>
        </w:rPr>
        <w:t>Id.</w:t>
      </w:r>
    </w:p>
  </w:footnote>
  <w:footnote w:id="142">
    <w:p w:rsidR="00665F59" w:rsidRDefault="00665F59" w:rsidP="00392EF0">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43">
    <w:p w:rsidR="00665F59" w:rsidRDefault="00665F59" w:rsidP="00392EF0">
      <w:pPr>
        <w:pStyle w:val="FootnoteText"/>
      </w:pPr>
      <w:r>
        <w:rPr>
          <w:rStyle w:val="FootnoteReference"/>
        </w:rPr>
        <w:footnoteRef/>
      </w:r>
      <w:r>
        <w:t xml:space="preserve"> </w:t>
      </w:r>
      <w:r w:rsidRPr="00E52E8F">
        <w:rPr>
          <w:i/>
        </w:rPr>
        <w:t>Id.</w:t>
      </w:r>
    </w:p>
  </w:footnote>
  <w:footnote w:id="144">
    <w:p w:rsidR="00665F59" w:rsidRDefault="00665F59" w:rsidP="00392EF0">
      <w:pPr>
        <w:pStyle w:val="FootnoteText"/>
      </w:pPr>
      <w:r>
        <w:rPr>
          <w:rStyle w:val="FootnoteReference"/>
        </w:rPr>
        <w:footnoteRef/>
      </w:r>
      <w:r>
        <w:t xml:space="preserve"> </w:t>
      </w:r>
      <w:r>
        <w:rPr>
          <w:color w:val="000000"/>
        </w:rPr>
        <w:t>13 C.F.R. § 121.201, NAICS code 517110.</w:t>
      </w:r>
    </w:p>
  </w:footnote>
  <w:footnote w:id="145">
    <w:p w:rsidR="00665F59" w:rsidRDefault="00665F59" w:rsidP="00392EF0">
      <w:pPr>
        <w:pStyle w:val="FootnoteText"/>
      </w:pPr>
      <w:r>
        <w:rPr>
          <w:rStyle w:val="FootnoteReference"/>
        </w:rPr>
        <w:footnoteRef/>
      </w:r>
      <w:r>
        <w:t xml:space="preserve"> </w:t>
      </w:r>
      <w:r w:rsidRPr="00235678">
        <w:rPr>
          <w:i/>
        </w:rPr>
        <w:t>Id.</w:t>
      </w:r>
    </w:p>
  </w:footnote>
  <w:footnote w:id="146">
    <w:p w:rsidR="00665F59" w:rsidRDefault="00665F59" w:rsidP="00392EF0">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47">
    <w:p w:rsidR="00665F59" w:rsidRDefault="00665F59" w:rsidP="00392EF0">
      <w:pPr>
        <w:pStyle w:val="FootnoteText"/>
      </w:pPr>
      <w:r>
        <w:rPr>
          <w:rStyle w:val="FootnoteReference"/>
        </w:rPr>
        <w:footnoteRef/>
      </w:r>
      <w:r>
        <w:t xml:space="preserve"> </w:t>
      </w:r>
      <w:r w:rsidRPr="00B605CD">
        <w:rPr>
          <w:i/>
        </w:rPr>
        <w:t>Id.</w:t>
      </w:r>
    </w:p>
  </w:footnote>
  <w:footnote w:id="148">
    <w:p w:rsidR="00665F59" w:rsidRDefault="00665F59" w:rsidP="00392EF0">
      <w:pPr>
        <w:pStyle w:val="FootnoteText"/>
      </w:pPr>
      <w:r>
        <w:rPr>
          <w:rStyle w:val="FootnoteReference"/>
        </w:rPr>
        <w:footnoteRef/>
      </w:r>
      <w:r>
        <w:t xml:space="preserve"> </w:t>
      </w:r>
      <w:r>
        <w:rPr>
          <w:color w:val="000000"/>
        </w:rPr>
        <w:t>13 C.F.R. § 121.201, NAICS code 517210.</w:t>
      </w:r>
    </w:p>
  </w:footnote>
  <w:footnote w:id="149">
    <w:p w:rsidR="00665F59" w:rsidRDefault="00665F59" w:rsidP="00392EF0">
      <w:pPr>
        <w:pStyle w:val="FootnoteText"/>
      </w:pPr>
      <w:r>
        <w:rPr>
          <w:rStyle w:val="FootnoteReference"/>
        </w:rPr>
        <w:footnoteRef/>
      </w:r>
      <w:r>
        <w:t xml:space="preserve"> U.S. Census Bureau, 2002 NAICS Definitions, “517211 Paging,” available at </w:t>
      </w:r>
      <w:hyperlink r:id="rId5" w:history="1">
        <w:r w:rsidRPr="006B6A44">
          <w:rPr>
            <w:rStyle w:val="Hyperlink"/>
          </w:rPr>
          <w:t>http://www.census.gov/cgibin/ sssd/naics/naicsrch?code=517211&amp;search=2002%20NAICS%20Search</w:t>
        </w:r>
      </w:hyperlink>
      <w:r>
        <w:t xml:space="preserve">; U.S. Census Bureau, 2002 NAICS Definitions, “517212 Cellular and Other Wireless Telecommunications,” available at </w:t>
      </w:r>
      <w:hyperlink r:id="rId6" w:history="1">
        <w:r w:rsidRPr="006B6A44">
          <w:rPr>
            <w:rStyle w:val="Hyperlink"/>
          </w:rPr>
          <w:t>http://www.census.gov/cgi-bin/sssd/naics/naicsrch?code=517212&amp;search=2002%20NAICS%20Search</w:t>
        </w:r>
      </w:hyperlink>
      <w:r>
        <w:t>.</w:t>
      </w:r>
    </w:p>
  </w:footnote>
  <w:footnote w:id="150">
    <w:p w:rsidR="00665F59" w:rsidRDefault="00665F59" w:rsidP="00392EF0">
      <w:pPr>
        <w:pStyle w:val="FootnoteText"/>
      </w:pPr>
      <w:r>
        <w:rPr>
          <w:rStyle w:val="FootnoteReference"/>
        </w:rPr>
        <w:footnoteRef/>
      </w:r>
      <w:r>
        <w:t xml:space="preserve"> 13 C.F.R. § 121.201, NAICS code 517210. The now-superseded, pre-2007 C.F.R. citations were 13 C.F.R. § 121.201, NAICS codes 517211 and 517212 (referring to the 2002 NAICS).</w:t>
      </w:r>
    </w:p>
  </w:footnote>
  <w:footnote w:id="151">
    <w:p w:rsidR="00665F59" w:rsidRDefault="00665F59" w:rsidP="00392EF0">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152">
    <w:p w:rsidR="00665F59" w:rsidRDefault="00665F59" w:rsidP="00392EF0">
      <w:pPr>
        <w:pStyle w:val="FootnoteText"/>
      </w:pPr>
      <w:r>
        <w:rPr>
          <w:rStyle w:val="FootnoteReference"/>
        </w:rPr>
        <w:footnoteRef/>
      </w:r>
      <w:r>
        <w:t xml:space="preserve"> </w:t>
      </w:r>
      <w:r w:rsidRPr="00005C93">
        <w:rPr>
          <w:i/>
        </w:rPr>
        <w:t>Id.</w:t>
      </w:r>
      <w:r>
        <w:t xml:space="preserve"> Available census data do not provide a more precise estimate of the number of firms that have employment of 1,500 or fewer employees; the largest category provided is for firms with “100 employees or more.”</w:t>
      </w:r>
    </w:p>
  </w:footnote>
  <w:footnote w:id="153">
    <w:p w:rsidR="00665F59" w:rsidRDefault="00665F59" w:rsidP="00392EF0">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54">
    <w:p w:rsidR="00665F59" w:rsidRDefault="00665F59" w:rsidP="00392EF0">
      <w:pPr>
        <w:pStyle w:val="FootnoteText"/>
      </w:pPr>
      <w:r>
        <w:rPr>
          <w:rStyle w:val="FootnoteReference"/>
        </w:rPr>
        <w:footnoteRef/>
      </w:r>
      <w:r>
        <w:t xml:space="preserve"> </w:t>
      </w:r>
      <w:r w:rsidRPr="00233E31">
        <w:rPr>
          <w:i/>
        </w:rPr>
        <w:t>Id.</w:t>
      </w:r>
    </w:p>
  </w:footnote>
  <w:footnote w:id="155">
    <w:p w:rsidR="00665F59" w:rsidRDefault="00665F59" w:rsidP="00392EF0">
      <w:pPr>
        <w:pStyle w:val="FootnoteText"/>
      </w:pPr>
      <w:r>
        <w:rPr>
          <w:rStyle w:val="FootnoteReference"/>
        </w:rPr>
        <w:footnoteRef/>
      </w:r>
      <w:r>
        <w:t xml:space="preserve"> U.S. Census Bureau, 2007 NAICS Definitions, “517110 Wired Telecommunications Carriers” (partial definition), available at </w:t>
      </w:r>
      <w:hyperlink r:id="rId7" w:history="1">
        <w:r w:rsidRPr="003D56E0">
          <w:rPr>
            <w:rStyle w:val="Hyperlink"/>
          </w:rPr>
          <w:t>http://www.census.gov/cgi-bin/sssd/naics/naicsrch?code=517110&amp;search=2007%20NAICS%20Search</w:t>
        </w:r>
      </w:hyperlink>
      <w:r>
        <w:t>.</w:t>
      </w:r>
    </w:p>
  </w:footnote>
  <w:footnote w:id="156">
    <w:p w:rsidR="00665F59" w:rsidRDefault="00665F59" w:rsidP="00392EF0">
      <w:pPr>
        <w:pStyle w:val="FootnoteText"/>
      </w:pPr>
      <w:r>
        <w:rPr>
          <w:rStyle w:val="FootnoteReference"/>
        </w:rPr>
        <w:footnoteRef/>
      </w:r>
      <w:r>
        <w:t xml:space="preserve"> </w:t>
      </w:r>
      <w:r>
        <w:rPr>
          <w:color w:val="000000"/>
        </w:rPr>
        <w:t>13 C.F.R. § 121.201, NAICS code 517110.</w:t>
      </w:r>
    </w:p>
  </w:footnote>
  <w:footnote w:id="157">
    <w:p w:rsidR="00665F59" w:rsidRDefault="00665F59" w:rsidP="00392EF0">
      <w:pPr>
        <w:pStyle w:val="FootnoteText"/>
      </w:pPr>
      <w:r>
        <w:rPr>
          <w:rStyle w:val="FootnoteReference"/>
        </w:rPr>
        <w:footnoteRef/>
      </w:r>
      <w:r>
        <w:t xml:space="preserve"> </w:t>
      </w:r>
      <w:r w:rsidRPr="00FB045B">
        <w:rPr>
          <w:i/>
        </w:rPr>
        <w:t>See</w:t>
      </w:r>
      <w:r>
        <w:t xml:space="preserve"> 47 C.F.R. § 76.901(e). The Commission determined that this size standard equates approximately to a size standard of $100 million or less in annual revenues. </w:t>
      </w:r>
      <w:r w:rsidRPr="00FB045B">
        <w:rPr>
          <w:i/>
        </w:rPr>
        <w:t>See Implementation of Sections of the 1992 Cable Television Consumer Protection and Competition Act: Rate Regulation</w:t>
      </w:r>
      <w:r>
        <w:t>, MM Docket Nos. 92-266, 93-215, Sixth Report and Order and Eleventh Order on Reconsideration, 10 FCC Rcd 7393, 7408, para. 28 (1995).</w:t>
      </w:r>
    </w:p>
  </w:footnote>
  <w:footnote w:id="158">
    <w:p w:rsidR="00665F59" w:rsidRDefault="00665F59" w:rsidP="00392EF0">
      <w:pPr>
        <w:pStyle w:val="FootnoteText"/>
      </w:pPr>
      <w:r>
        <w:rPr>
          <w:rStyle w:val="FootnoteReference"/>
        </w:rPr>
        <w:footnoteRef/>
      </w:r>
      <w:r>
        <w:t xml:space="preserve"> These data are derived from R.R. BOWKER, BROADCASTING &amp; CABLE YEARBOOK 2006, “Top 25 Cable/Satellite Operators,” pages A-8 &amp; C-2 (data current as of June 30, 2005); WARREN COMMUNICATIONS NEWS, TELEVISION &amp; CABLE FACTBOOK 2006, “Ownership of Cable Systems in the United States,” pages D-1805 to D-1857.</w:t>
      </w:r>
    </w:p>
  </w:footnote>
  <w:footnote w:id="159">
    <w:p w:rsidR="00665F59" w:rsidRDefault="00665F59" w:rsidP="00392EF0">
      <w:pPr>
        <w:pStyle w:val="FootnoteText"/>
      </w:pPr>
      <w:r>
        <w:rPr>
          <w:rStyle w:val="FootnoteReference"/>
        </w:rPr>
        <w:footnoteRef/>
      </w:r>
      <w:r>
        <w:t xml:space="preserve"> </w:t>
      </w:r>
      <w:r w:rsidRPr="007C15AD">
        <w:rPr>
          <w:i/>
        </w:rPr>
        <w:t xml:space="preserve">See </w:t>
      </w:r>
      <w:r w:rsidRPr="007C15AD">
        <w:t>47 C.F.R. § 76.901(c).</w:t>
      </w:r>
    </w:p>
  </w:footnote>
  <w:footnote w:id="160">
    <w:p w:rsidR="00665F59" w:rsidRDefault="00665F59" w:rsidP="00392EF0">
      <w:pPr>
        <w:pStyle w:val="FootnoteText"/>
      </w:pPr>
      <w:r>
        <w:rPr>
          <w:rStyle w:val="FootnoteReference"/>
        </w:rPr>
        <w:footnoteRef/>
      </w:r>
      <w:r>
        <w:t xml:space="preserve"> WARREN COMMUNICATIONS NEWS, TELEVISION &amp; CABLE FACTBOOK 2006, “U.S. Cable Systems by Subscriber Size,” page F-2 (data current as of Oct. 2007). The data do not include 851 systems for which classifying data were not available.</w:t>
      </w:r>
    </w:p>
  </w:footnote>
  <w:footnote w:id="161">
    <w:p w:rsidR="00665F59" w:rsidRDefault="00665F59" w:rsidP="00392EF0">
      <w:pPr>
        <w:pStyle w:val="FootnoteText"/>
      </w:pPr>
      <w:r>
        <w:rPr>
          <w:rStyle w:val="FootnoteReference"/>
        </w:rPr>
        <w:footnoteRef/>
      </w:r>
      <w:r>
        <w:t xml:space="preserve"> U.S. Census Bureau, “2007 NAICS Definitions: 517919 All Other Telecommunications,” available at </w:t>
      </w:r>
      <w:hyperlink r:id="rId8" w:history="1">
        <w:r w:rsidRPr="00D33F9D">
          <w:rPr>
            <w:rStyle w:val="Hyperlink"/>
          </w:rPr>
          <w:t>http://www.census.gov/cgi-bin/sssd/naics/naicsrch?code=517919&amp;search=2007%20NAICS%20Search</w:t>
        </w:r>
      </w:hyperlink>
      <w:r>
        <w:t>.</w:t>
      </w:r>
    </w:p>
  </w:footnote>
  <w:footnote w:id="162">
    <w:p w:rsidR="00665F59" w:rsidRDefault="00665F59" w:rsidP="00392EF0">
      <w:pPr>
        <w:pStyle w:val="FootnoteText"/>
      </w:pPr>
      <w:r>
        <w:rPr>
          <w:rStyle w:val="FootnoteReference"/>
        </w:rPr>
        <w:footnoteRef/>
      </w:r>
      <w:r>
        <w:t xml:space="preserve"> </w:t>
      </w:r>
      <w:r>
        <w:rPr>
          <w:color w:val="000000"/>
        </w:rPr>
        <w:t>13 C.F.R. § 121.201, NAICS code 517919.</w:t>
      </w:r>
    </w:p>
  </w:footnote>
  <w:footnote w:id="163">
    <w:p w:rsidR="00665F59" w:rsidRDefault="00665F59" w:rsidP="00392EF0">
      <w:pPr>
        <w:pStyle w:val="FootnoteText"/>
      </w:pPr>
      <w:r>
        <w:rPr>
          <w:rStyle w:val="FootnoteReference"/>
        </w:rPr>
        <w:footnoteRef/>
      </w:r>
      <w:r>
        <w:t xml:space="preserve"> U.S. Census Bureau, 2007 Economic Census, Subject Series: Information, Table 4, “Establishment and Firm Size:  Receipts Size of Firms for the United States: 2007 NAICS Code 517919” (issued Nov. 2010).</w:t>
      </w:r>
    </w:p>
  </w:footnote>
  <w:footnote w:id="164">
    <w:p w:rsidR="00665F59" w:rsidRDefault="00665F59" w:rsidP="00392EF0">
      <w:pPr>
        <w:pStyle w:val="FootnoteText"/>
      </w:pPr>
      <w:r>
        <w:rPr>
          <w:rStyle w:val="FootnoteReference"/>
        </w:rPr>
        <w:footnoteRef/>
      </w:r>
      <w:r>
        <w:t xml:space="preserve"> </w:t>
      </w:r>
      <w:r w:rsidRPr="001502DB">
        <w:rPr>
          <w:i/>
        </w:rPr>
        <w:t>Id.</w:t>
      </w:r>
    </w:p>
  </w:footnote>
  <w:footnote w:id="165">
    <w:p w:rsidR="00665F59" w:rsidRDefault="00665F59" w:rsidP="00392EF0">
      <w:pPr>
        <w:pStyle w:val="FootnoteText"/>
      </w:pPr>
      <w:r>
        <w:rPr>
          <w:rStyle w:val="FootnoteReference"/>
        </w:rPr>
        <w:footnoteRef/>
      </w:r>
      <w:r>
        <w:t xml:space="preserve"> </w:t>
      </w:r>
      <w:r w:rsidRPr="00185ED3">
        <w:t>5 U.S.C. § 603(c)(1)–(c)(4).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FF" w:rsidRDefault="00B04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59" w:rsidRDefault="00665F59" w:rsidP="00231713">
    <w:pPr>
      <w:pStyle w:val="Header"/>
    </w:pPr>
    <w:r>
      <w:tab/>
      <w:t>Federal Communications Commission</w:t>
    </w:r>
    <w:r>
      <w:tab/>
      <w:t xml:space="preserve"> FCC 14-88 </w:t>
    </w:r>
  </w:p>
  <w:p w:rsidR="00665F59" w:rsidRDefault="00665F59" w:rsidP="00231713">
    <w:pPr>
      <w:pStyle w:val="Header"/>
    </w:pPr>
    <w:r>
      <w:rPr>
        <w:noProof/>
        <w:snapToGrid/>
      </w:rPr>
      <mc:AlternateContent>
        <mc:Choice Requires="wps">
          <w:drawing>
            <wp:anchor distT="4294967291" distB="4294967291" distL="114300" distR="114300" simplePos="0" relativeHeight="251662336" behindDoc="0" locked="0" layoutInCell="0" allowOverlap="1" wp14:anchorId="50D08D42" wp14:editId="6BC7EAC0">
              <wp:simplePos x="0" y="0"/>
              <wp:positionH relativeFrom="column">
                <wp:posOffset>0</wp:posOffset>
              </wp:positionH>
              <wp:positionV relativeFrom="paragraph">
                <wp:posOffset>22224</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G1qMxcSAgAA&#10;KQQAAA4AAAAAAAAAAAAAAAAALgIAAGRycy9lMm9Eb2MueG1sUEsBAi0AFAAGAAgAAAAhAO4pKK7Y&#10;AAAABAEAAA8AAAAAAAAAAAAAAAAAbAQAAGRycy9kb3ducmV2LnhtbFBLBQYAAAAABAAEAPMAAABx&#10;BQAAAAA=&#10;" o:allowincell="f" strokeweight="1.5pt"/>
          </w:pict>
        </mc:Fallback>
      </mc:AlternateContent>
    </w:r>
    <w:r>
      <w:rPr>
        <w:noProof/>
        <w:snapToGrid/>
      </w:rPr>
      <mc:AlternateContent>
        <mc:Choice Requires="wps">
          <w:drawing>
            <wp:anchor distT="4294967291" distB="4294967291" distL="114300" distR="114300" simplePos="0" relativeHeight="251658240" behindDoc="0" locked="0" layoutInCell="0" allowOverlap="1" wp14:anchorId="6F85B66B" wp14:editId="77B40BA6">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65F59" w:rsidRDefault="00665F59" w:rsidP="002317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59" w:rsidRPr="00231713" w:rsidRDefault="00665F59" w:rsidP="00231713">
    <w:pPr>
      <w:pStyle w:val="Header"/>
    </w:pPr>
    <w:r>
      <w:tab/>
    </w:r>
    <w:r w:rsidR="00340640">
      <w:t>Federal Communications Commission</w:t>
    </w:r>
    <w:r w:rsidR="00340640">
      <w:tab/>
      <w:t>FCC 14-88</w:t>
    </w:r>
    <w:r w:rsidRPr="00231713">
      <w:t xml:space="preserve"> </w:t>
    </w:r>
  </w:p>
  <w:p w:rsidR="00665F59" w:rsidRDefault="00665F59" w:rsidP="00231713">
    <w:pPr>
      <w:pStyle w:val="Header"/>
    </w:pPr>
    <w:r>
      <w:rPr>
        <w:noProof/>
        <w:snapToGrid/>
      </w:rPr>
      <mc:AlternateContent>
        <mc:Choice Requires="wps">
          <w:drawing>
            <wp:anchor distT="4294967291" distB="4294967291" distL="114300" distR="114300" simplePos="0" relativeHeight="251660288" behindDoc="0" locked="0" layoutInCell="0" allowOverlap="1" wp14:anchorId="512FC4FB" wp14:editId="30A4BDC2">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65B"/>
    <w:multiLevelType w:val="hybridMultilevel"/>
    <w:tmpl w:val="1DD01046"/>
    <w:lvl w:ilvl="0" w:tplc="861C6D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7680E"/>
    <w:multiLevelType w:val="hybridMultilevel"/>
    <w:tmpl w:val="96DE426A"/>
    <w:lvl w:ilvl="0" w:tplc="E3B88EBE">
      <w:start w:val="1"/>
      <w:numFmt w:val="bullet"/>
      <w:lvlText w:val=""/>
      <w:lvlJc w:val="left"/>
      <w:pPr>
        <w:ind w:left="1350" w:hanging="360"/>
      </w:pPr>
      <w:rPr>
        <w:rFonts w:ascii="Symbol" w:hAnsi="Symbol" w:hint="default"/>
      </w:rPr>
    </w:lvl>
    <w:lvl w:ilvl="1" w:tplc="906864D0">
      <w:start w:val="1"/>
      <w:numFmt w:val="bullet"/>
      <w:lvlText w:val="o"/>
      <w:lvlJc w:val="left"/>
      <w:pPr>
        <w:ind w:left="2070" w:hanging="360"/>
      </w:pPr>
      <w:rPr>
        <w:rFonts w:ascii="Courier New" w:hAnsi="Courier New" w:cs="Courier New" w:hint="default"/>
      </w:rPr>
    </w:lvl>
    <w:lvl w:ilvl="2" w:tplc="DE6C7718" w:tentative="1">
      <w:start w:val="1"/>
      <w:numFmt w:val="bullet"/>
      <w:lvlText w:val=""/>
      <w:lvlJc w:val="left"/>
      <w:pPr>
        <w:ind w:left="2790" w:hanging="360"/>
      </w:pPr>
      <w:rPr>
        <w:rFonts w:ascii="Wingdings" w:hAnsi="Wingdings" w:hint="default"/>
      </w:rPr>
    </w:lvl>
    <w:lvl w:ilvl="3" w:tplc="3D507CE4" w:tentative="1">
      <w:start w:val="1"/>
      <w:numFmt w:val="bullet"/>
      <w:lvlText w:val=""/>
      <w:lvlJc w:val="left"/>
      <w:pPr>
        <w:ind w:left="3510" w:hanging="360"/>
      </w:pPr>
      <w:rPr>
        <w:rFonts w:ascii="Symbol" w:hAnsi="Symbol" w:hint="default"/>
      </w:rPr>
    </w:lvl>
    <w:lvl w:ilvl="4" w:tplc="D3D64D16" w:tentative="1">
      <w:start w:val="1"/>
      <w:numFmt w:val="bullet"/>
      <w:lvlText w:val="o"/>
      <w:lvlJc w:val="left"/>
      <w:pPr>
        <w:ind w:left="4230" w:hanging="360"/>
      </w:pPr>
      <w:rPr>
        <w:rFonts w:ascii="Courier New" w:hAnsi="Courier New" w:cs="Courier New" w:hint="default"/>
      </w:rPr>
    </w:lvl>
    <w:lvl w:ilvl="5" w:tplc="C2A00612" w:tentative="1">
      <w:start w:val="1"/>
      <w:numFmt w:val="bullet"/>
      <w:lvlText w:val=""/>
      <w:lvlJc w:val="left"/>
      <w:pPr>
        <w:ind w:left="4950" w:hanging="360"/>
      </w:pPr>
      <w:rPr>
        <w:rFonts w:ascii="Wingdings" w:hAnsi="Wingdings" w:hint="default"/>
      </w:rPr>
    </w:lvl>
    <w:lvl w:ilvl="6" w:tplc="303CE5F4" w:tentative="1">
      <w:start w:val="1"/>
      <w:numFmt w:val="bullet"/>
      <w:lvlText w:val=""/>
      <w:lvlJc w:val="left"/>
      <w:pPr>
        <w:ind w:left="5670" w:hanging="360"/>
      </w:pPr>
      <w:rPr>
        <w:rFonts w:ascii="Symbol" w:hAnsi="Symbol" w:hint="default"/>
      </w:rPr>
    </w:lvl>
    <w:lvl w:ilvl="7" w:tplc="6C0EE500" w:tentative="1">
      <w:start w:val="1"/>
      <w:numFmt w:val="bullet"/>
      <w:lvlText w:val="o"/>
      <w:lvlJc w:val="left"/>
      <w:pPr>
        <w:ind w:left="6390" w:hanging="360"/>
      </w:pPr>
      <w:rPr>
        <w:rFonts w:ascii="Courier New" w:hAnsi="Courier New" w:cs="Courier New" w:hint="default"/>
      </w:rPr>
    </w:lvl>
    <w:lvl w:ilvl="8" w:tplc="BB76544E" w:tentative="1">
      <w:start w:val="1"/>
      <w:numFmt w:val="bullet"/>
      <w:lvlText w:val=""/>
      <w:lvlJc w:val="left"/>
      <w:pPr>
        <w:ind w:left="7110" w:hanging="360"/>
      </w:pPr>
      <w:rPr>
        <w:rFonts w:ascii="Wingdings" w:hAnsi="Wingdings" w:hint="default"/>
      </w:rPr>
    </w:lvl>
  </w:abstractNum>
  <w:abstractNum w:abstractNumId="6">
    <w:nsid w:val="43887937"/>
    <w:multiLevelType w:val="hybridMultilevel"/>
    <w:tmpl w:val="0226C000"/>
    <w:lvl w:ilvl="0" w:tplc="CC625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B81240C"/>
    <w:multiLevelType w:val="hybridMultilevel"/>
    <w:tmpl w:val="292E23E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12">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2"/>
  </w:num>
  <w:num w:numId="3">
    <w:abstractNumId w:val="11"/>
  </w:num>
  <w:num w:numId="4">
    <w:abstractNumId w:val="10"/>
  </w:num>
  <w:num w:numId="5">
    <w:abstractNumId w:val="4"/>
  </w:num>
  <w:num w:numId="6">
    <w:abstractNumId w:val="5"/>
  </w:num>
  <w:num w:numId="7">
    <w:abstractNumId w:val="9"/>
  </w:num>
  <w:num w:numId="8">
    <w:abstractNumId w:val="0"/>
  </w:num>
  <w:num w:numId="9">
    <w:abstractNumId w:val="2"/>
  </w:num>
  <w:num w:numId="10">
    <w:abstractNumId w:val="7"/>
  </w:num>
  <w:num w:numId="11">
    <w:abstractNumId w:val="3"/>
  </w:num>
  <w:num w:numId="12">
    <w:abstractNumId w:val="1"/>
  </w:num>
  <w:num w:numId="13">
    <w:abstractNumId w:val="4"/>
  </w:num>
  <w:num w:numId="14">
    <w:abstractNumId w:val="6"/>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0"/>
  </w:num>
  <w:num w:numId="19">
    <w:abstractNumId w:val="10"/>
  </w:num>
  <w:num w:numId="20">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a Savir">
    <w15:presenceInfo w15:providerId="Windows Live" w15:userId="771a5602873cf6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BD"/>
    <w:rsid w:val="0000013B"/>
    <w:rsid w:val="000013F3"/>
    <w:rsid w:val="00001B55"/>
    <w:rsid w:val="000021F2"/>
    <w:rsid w:val="000023CE"/>
    <w:rsid w:val="00002595"/>
    <w:rsid w:val="00002BFD"/>
    <w:rsid w:val="00002E0B"/>
    <w:rsid w:val="000037C7"/>
    <w:rsid w:val="00003B30"/>
    <w:rsid w:val="00004073"/>
    <w:rsid w:val="00006531"/>
    <w:rsid w:val="000072C1"/>
    <w:rsid w:val="00007E91"/>
    <w:rsid w:val="000105A4"/>
    <w:rsid w:val="0001128D"/>
    <w:rsid w:val="00014534"/>
    <w:rsid w:val="00015410"/>
    <w:rsid w:val="00015478"/>
    <w:rsid w:val="000156B5"/>
    <w:rsid w:val="00017793"/>
    <w:rsid w:val="00020403"/>
    <w:rsid w:val="00020EE1"/>
    <w:rsid w:val="00021046"/>
    <w:rsid w:val="00021D5D"/>
    <w:rsid w:val="000225CD"/>
    <w:rsid w:val="00024B58"/>
    <w:rsid w:val="00024C4A"/>
    <w:rsid w:val="000250D5"/>
    <w:rsid w:val="000251CF"/>
    <w:rsid w:val="0002575C"/>
    <w:rsid w:val="00025ADA"/>
    <w:rsid w:val="00025B47"/>
    <w:rsid w:val="00025CA3"/>
    <w:rsid w:val="00025EB2"/>
    <w:rsid w:val="00026ED7"/>
    <w:rsid w:val="00030188"/>
    <w:rsid w:val="0003079A"/>
    <w:rsid w:val="00030A18"/>
    <w:rsid w:val="000311FD"/>
    <w:rsid w:val="0003175B"/>
    <w:rsid w:val="00031A02"/>
    <w:rsid w:val="00032720"/>
    <w:rsid w:val="00033B0C"/>
    <w:rsid w:val="00033BC5"/>
    <w:rsid w:val="00033CE4"/>
    <w:rsid w:val="000342B2"/>
    <w:rsid w:val="000349AA"/>
    <w:rsid w:val="00035821"/>
    <w:rsid w:val="00035F8D"/>
    <w:rsid w:val="000364A6"/>
    <w:rsid w:val="000406D0"/>
    <w:rsid w:val="0004101B"/>
    <w:rsid w:val="00042129"/>
    <w:rsid w:val="00042811"/>
    <w:rsid w:val="00042952"/>
    <w:rsid w:val="000446AA"/>
    <w:rsid w:val="000449DF"/>
    <w:rsid w:val="00045057"/>
    <w:rsid w:val="00045486"/>
    <w:rsid w:val="00045FD5"/>
    <w:rsid w:val="00046608"/>
    <w:rsid w:val="00047705"/>
    <w:rsid w:val="00047798"/>
    <w:rsid w:val="000509EC"/>
    <w:rsid w:val="00050A4D"/>
    <w:rsid w:val="000511A8"/>
    <w:rsid w:val="00051328"/>
    <w:rsid w:val="000519E2"/>
    <w:rsid w:val="00052480"/>
    <w:rsid w:val="00052D9F"/>
    <w:rsid w:val="00053193"/>
    <w:rsid w:val="00053984"/>
    <w:rsid w:val="00054A29"/>
    <w:rsid w:val="00054E42"/>
    <w:rsid w:val="0005570D"/>
    <w:rsid w:val="00055F8F"/>
    <w:rsid w:val="0005796C"/>
    <w:rsid w:val="00057AFA"/>
    <w:rsid w:val="000600AA"/>
    <w:rsid w:val="00060403"/>
    <w:rsid w:val="00060D74"/>
    <w:rsid w:val="00061D2F"/>
    <w:rsid w:val="00061F34"/>
    <w:rsid w:val="000626FE"/>
    <w:rsid w:val="000633E9"/>
    <w:rsid w:val="00063D65"/>
    <w:rsid w:val="00063EF5"/>
    <w:rsid w:val="00064BD5"/>
    <w:rsid w:val="00064FE8"/>
    <w:rsid w:val="0006527D"/>
    <w:rsid w:val="000667B8"/>
    <w:rsid w:val="00067117"/>
    <w:rsid w:val="00067B87"/>
    <w:rsid w:val="00070006"/>
    <w:rsid w:val="000704EE"/>
    <w:rsid w:val="00070BE9"/>
    <w:rsid w:val="000715D3"/>
    <w:rsid w:val="00071817"/>
    <w:rsid w:val="000725D1"/>
    <w:rsid w:val="000730A2"/>
    <w:rsid w:val="00073DE3"/>
    <w:rsid w:val="00073F3A"/>
    <w:rsid w:val="00074268"/>
    <w:rsid w:val="0007437E"/>
    <w:rsid w:val="00074E1D"/>
    <w:rsid w:val="00075493"/>
    <w:rsid w:val="00077320"/>
    <w:rsid w:val="000806D2"/>
    <w:rsid w:val="00080BA5"/>
    <w:rsid w:val="00081D75"/>
    <w:rsid w:val="0008216F"/>
    <w:rsid w:val="000835E9"/>
    <w:rsid w:val="0008363F"/>
    <w:rsid w:val="00083865"/>
    <w:rsid w:val="00083F80"/>
    <w:rsid w:val="00083FFA"/>
    <w:rsid w:val="000842AE"/>
    <w:rsid w:val="000843A2"/>
    <w:rsid w:val="000861F4"/>
    <w:rsid w:val="0008697F"/>
    <w:rsid w:val="00086A51"/>
    <w:rsid w:val="00087256"/>
    <w:rsid w:val="00087C88"/>
    <w:rsid w:val="00090B78"/>
    <w:rsid w:val="00091420"/>
    <w:rsid w:val="00091E79"/>
    <w:rsid w:val="0009433E"/>
    <w:rsid w:val="0009569F"/>
    <w:rsid w:val="00095D09"/>
    <w:rsid w:val="00095F51"/>
    <w:rsid w:val="00095F9C"/>
    <w:rsid w:val="000975E5"/>
    <w:rsid w:val="00097D63"/>
    <w:rsid w:val="00097EEB"/>
    <w:rsid w:val="000A002E"/>
    <w:rsid w:val="000A1AF7"/>
    <w:rsid w:val="000A1C31"/>
    <w:rsid w:val="000A2105"/>
    <w:rsid w:val="000A279A"/>
    <w:rsid w:val="000A2A87"/>
    <w:rsid w:val="000A3072"/>
    <w:rsid w:val="000A310B"/>
    <w:rsid w:val="000A3189"/>
    <w:rsid w:val="000A348F"/>
    <w:rsid w:val="000A3550"/>
    <w:rsid w:val="000A37D2"/>
    <w:rsid w:val="000A3F97"/>
    <w:rsid w:val="000A4240"/>
    <w:rsid w:val="000A56A1"/>
    <w:rsid w:val="000A5B6D"/>
    <w:rsid w:val="000A6635"/>
    <w:rsid w:val="000A68C6"/>
    <w:rsid w:val="000A6F0B"/>
    <w:rsid w:val="000A71C7"/>
    <w:rsid w:val="000A7604"/>
    <w:rsid w:val="000A762E"/>
    <w:rsid w:val="000B15F0"/>
    <w:rsid w:val="000B1C00"/>
    <w:rsid w:val="000B2AD2"/>
    <w:rsid w:val="000B412F"/>
    <w:rsid w:val="000B452E"/>
    <w:rsid w:val="000B4CB5"/>
    <w:rsid w:val="000B50D8"/>
    <w:rsid w:val="000B6208"/>
    <w:rsid w:val="000B7AB2"/>
    <w:rsid w:val="000C1E41"/>
    <w:rsid w:val="000C1F78"/>
    <w:rsid w:val="000C25C4"/>
    <w:rsid w:val="000C25D7"/>
    <w:rsid w:val="000C28D5"/>
    <w:rsid w:val="000C2DA1"/>
    <w:rsid w:val="000C2EE5"/>
    <w:rsid w:val="000C3709"/>
    <w:rsid w:val="000C3CA2"/>
    <w:rsid w:val="000C3D58"/>
    <w:rsid w:val="000C413D"/>
    <w:rsid w:val="000C4618"/>
    <w:rsid w:val="000C4759"/>
    <w:rsid w:val="000C5229"/>
    <w:rsid w:val="000C52EC"/>
    <w:rsid w:val="000C5C80"/>
    <w:rsid w:val="000C6039"/>
    <w:rsid w:val="000C7799"/>
    <w:rsid w:val="000C7B73"/>
    <w:rsid w:val="000D030D"/>
    <w:rsid w:val="000D0749"/>
    <w:rsid w:val="000D1284"/>
    <w:rsid w:val="000D15F8"/>
    <w:rsid w:val="000D19F6"/>
    <w:rsid w:val="000D1AE7"/>
    <w:rsid w:val="000D1CD8"/>
    <w:rsid w:val="000D3CF6"/>
    <w:rsid w:val="000D52E4"/>
    <w:rsid w:val="000D580E"/>
    <w:rsid w:val="000D5C9D"/>
    <w:rsid w:val="000D6329"/>
    <w:rsid w:val="000D6546"/>
    <w:rsid w:val="000D65F2"/>
    <w:rsid w:val="000D6601"/>
    <w:rsid w:val="000D70BF"/>
    <w:rsid w:val="000D7766"/>
    <w:rsid w:val="000E1A50"/>
    <w:rsid w:val="000E333B"/>
    <w:rsid w:val="000E36C9"/>
    <w:rsid w:val="000E38BC"/>
    <w:rsid w:val="000E395D"/>
    <w:rsid w:val="000E39B0"/>
    <w:rsid w:val="000E420C"/>
    <w:rsid w:val="000E4F66"/>
    <w:rsid w:val="000E7158"/>
    <w:rsid w:val="000E7277"/>
    <w:rsid w:val="000E7474"/>
    <w:rsid w:val="000E7541"/>
    <w:rsid w:val="000E7CA8"/>
    <w:rsid w:val="000F0B33"/>
    <w:rsid w:val="000F1926"/>
    <w:rsid w:val="000F1C35"/>
    <w:rsid w:val="000F1F25"/>
    <w:rsid w:val="000F23AF"/>
    <w:rsid w:val="000F25F0"/>
    <w:rsid w:val="000F262E"/>
    <w:rsid w:val="000F289B"/>
    <w:rsid w:val="000F38E9"/>
    <w:rsid w:val="000F398A"/>
    <w:rsid w:val="000F3D95"/>
    <w:rsid w:val="000F405C"/>
    <w:rsid w:val="000F429A"/>
    <w:rsid w:val="000F5BB1"/>
    <w:rsid w:val="000F5F1C"/>
    <w:rsid w:val="000F71B5"/>
    <w:rsid w:val="000F74F9"/>
    <w:rsid w:val="000F7E16"/>
    <w:rsid w:val="00100C17"/>
    <w:rsid w:val="001011BF"/>
    <w:rsid w:val="0010195C"/>
    <w:rsid w:val="00101DE7"/>
    <w:rsid w:val="00102AB6"/>
    <w:rsid w:val="00102ECE"/>
    <w:rsid w:val="00103371"/>
    <w:rsid w:val="0010343B"/>
    <w:rsid w:val="001034CA"/>
    <w:rsid w:val="001035F4"/>
    <w:rsid w:val="00103619"/>
    <w:rsid w:val="00103638"/>
    <w:rsid w:val="00103E14"/>
    <w:rsid w:val="001043D2"/>
    <w:rsid w:val="00104648"/>
    <w:rsid w:val="001047D0"/>
    <w:rsid w:val="00104A93"/>
    <w:rsid w:val="00104E54"/>
    <w:rsid w:val="00105154"/>
    <w:rsid w:val="00105CD6"/>
    <w:rsid w:val="00106799"/>
    <w:rsid w:val="00106F7D"/>
    <w:rsid w:val="00106FC2"/>
    <w:rsid w:val="00107898"/>
    <w:rsid w:val="0011024C"/>
    <w:rsid w:val="0011093C"/>
    <w:rsid w:val="00110A2C"/>
    <w:rsid w:val="00110A76"/>
    <w:rsid w:val="00110C40"/>
    <w:rsid w:val="00110F55"/>
    <w:rsid w:val="00111066"/>
    <w:rsid w:val="0011127C"/>
    <w:rsid w:val="00111486"/>
    <w:rsid w:val="00111BE5"/>
    <w:rsid w:val="0011242B"/>
    <w:rsid w:val="0011286D"/>
    <w:rsid w:val="00112A7F"/>
    <w:rsid w:val="00113158"/>
    <w:rsid w:val="0011334B"/>
    <w:rsid w:val="001137F5"/>
    <w:rsid w:val="00113BA5"/>
    <w:rsid w:val="00113D8D"/>
    <w:rsid w:val="001144AB"/>
    <w:rsid w:val="00115394"/>
    <w:rsid w:val="001155A4"/>
    <w:rsid w:val="00115607"/>
    <w:rsid w:val="00115BF1"/>
    <w:rsid w:val="00115EB0"/>
    <w:rsid w:val="0011609A"/>
    <w:rsid w:val="00116379"/>
    <w:rsid w:val="001163F6"/>
    <w:rsid w:val="001169B0"/>
    <w:rsid w:val="00116B9C"/>
    <w:rsid w:val="001172B3"/>
    <w:rsid w:val="0011792F"/>
    <w:rsid w:val="00117BEE"/>
    <w:rsid w:val="001203E7"/>
    <w:rsid w:val="00120BF0"/>
    <w:rsid w:val="00121162"/>
    <w:rsid w:val="001217C2"/>
    <w:rsid w:val="00121B93"/>
    <w:rsid w:val="00121C12"/>
    <w:rsid w:val="001228E9"/>
    <w:rsid w:val="001234AA"/>
    <w:rsid w:val="00123957"/>
    <w:rsid w:val="00123B4F"/>
    <w:rsid w:val="00123F73"/>
    <w:rsid w:val="0012456D"/>
    <w:rsid w:val="001246B2"/>
    <w:rsid w:val="00124917"/>
    <w:rsid w:val="0012501D"/>
    <w:rsid w:val="0012506E"/>
    <w:rsid w:val="00125A46"/>
    <w:rsid w:val="00125A6B"/>
    <w:rsid w:val="00125CAF"/>
    <w:rsid w:val="0012628A"/>
    <w:rsid w:val="0012641D"/>
    <w:rsid w:val="0012692F"/>
    <w:rsid w:val="00127411"/>
    <w:rsid w:val="00127B0F"/>
    <w:rsid w:val="00130583"/>
    <w:rsid w:val="001305DA"/>
    <w:rsid w:val="001325A8"/>
    <w:rsid w:val="00132EFD"/>
    <w:rsid w:val="001330F7"/>
    <w:rsid w:val="001339E4"/>
    <w:rsid w:val="0013487C"/>
    <w:rsid w:val="00134B05"/>
    <w:rsid w:val="001350CA"/>
    <w:rsid w:val="00135F32"/>
    <w:rsid w:val="00136228"/>
    <w:rsid w:val="00136DCF"/>
    <w:rsid w:val="00136DD6"/>
    <w:rsid w:val="00140220"/>
    <w:rsid w:val="00140CBD"/>
    <w:rsid w:val="00141889"/>
    <w:rsid w:val="001424C8"/>
    <w:rsid w:val="0014263B"/>
    <w:rsid w:val="0014314B"/>
    <w:rsid w:val="0014377F"/>
    <w:rsid w:val="00143AB1"/>
    <w:rsid w:val="0014430F"/>
    <w:rsid w:val="001451C8"/>
    <w:rsid w:val="0014590B"/>
    <w:rsid w:val="00146429"/>
    <w:rsid w:val="0015031A"/>
    <w:rsid w:val="00150384"/>
    <w:rsid w:val="001508DC"/>
    <w:rsid w:val="00151651"/>
    <w:rsid w:val="001523CE"/>
    <w:rsid w:val="001527E0"/>
    <w:rsid w:val="00152A33"/>
    <w:rsid w:val="00153E41"/>
    <w:rsid w:val="0015434B"/>
    <w:rsid w:val="00154CE5"/>
    <w:rsid w:val="00155FD7"/>
    <w:rsid w:val="0015729D"/>
    <w:rsid w:val="00157425"/>
    <w:rsid w:val="0015764E"/>
    <w:rsid w:val="00157B67"/>
    <w:rsid w:val="00160543"/>
    <w:rsid w:val="00160C25"/>
    <w:rsid w:val="00160E50"/>
    <w:rsid w:val="00160E5B"/>
    <w:rsid w:val="0016108A"/>
    <w:rsid w:val="0016111A"/>
    <w:rsid w:val="001617BB"/>
    <w:rsid w:val="00161914"/>
    <w:rsid w:val="00161A7D"/>
    <w:rsid w:val="00161E90"/>
    <w:rsid w:val="001625BC"/>
    <w:rsid w:val="0016301B"/>
    <w:rsid w:val="0016307D"/>
    <w:rsid w:val="001630FA"/>
    <w:rsid w:val="001632AE"/>
    <w:rsid w:val="001639EF"/>
    <w:rsid w:val="00163EC9"/>
    <w:rsid w:val="00164649"/>
    <w:rsid w:val="00164DBF"/>
    <w:rsid w:val="00164FE6"/>
    <w:rsid w:val="00165449"/>
    <w:rsid w:val="001654A4"/>
    <w:rsid w:val="001662C6"/>
    <w:rsid w:val="00166985"/>
    <w:rsid w:val="00167267"/>
    <w:rsid w:val="0016737B"/>
    <w:rsid w:val="00167EF6"/>
    <w:rsid w:val="0017044A"/>
    <w:rsid w:val="001706F5"/>
    <w:rsid w:val="00170BB5"/>
    <w:rsid w:val="00172F89"/>
    <w:rsid w:val="0017341D"/>
    <w:rsid w:val="001734DA"/>
    <w:rsid w:val="001747F4"/>
    <w:rsid w:val="0017503B"/>
    <w:rsid w:val="001761BB"/>
    <w:rsid w:val="00176953"/>
    <w:rsid w:val="001771B0"/>
    <w:rsid w:val="00177490"/>
    <w:rsid w:val="0017753A"/>
    <w:rsid w:val="0017796F"/>
    <w:rsid w:val="00180B3F"/>
    <w:rsid w:val="001813B5"/>
    <w:rsid w:val="001819CE"/>
    <w:rsid w:val="00181D86"/>
    <w:rsid w:val="0018208F"/>
    <w:rsid w:val="0018289D"/>
    <w:rsid w:val="001828DD"/>
    <w:rsid w:val="00182B17"/>
    <w:rsid w:val="00182B7F"/>
    <w:rsid w:val="00182E23"/>
    <w:rsid w:val="00183541"/>
    <w:rsid w:val="00183AE2"/>
    <w:rsid w:val="00183E71"/>
    <w:rsid w:val="00184741"/>
    <w:rsid w:val="00184C06"/>
    <w:rsid w:val="00184C33"/>
    <w:rsid w:val="00184CC8"/>
    <w:rsid w:val="00184DAE"/>
    <w:rsid w:val="00184F71"/>
    <w:rsid w:val="00185018"/>
    <w:rsid w:val="0018511B"/>
    <w:rsid w:val="00185404"/>
    <w:rsid w:val="00185DE3"/>
    <w:rsid w:val="0018629A"/>
    <w:rsid w:val="001864D4"/>
    <w:rsid w:val="00186AF7"/>
    <w:rsid w:val="0018774A"/>
    <w:rsid w:val="001904A0"/>
    <w:rsid w:val="00190856"/>
    <w:rsid w:val="00190A16"/>
    <w:rsid w:val="00190BC6"/>
    <w:rsid w:val="00191920"/>
    <w:rsid w:val="00191E7D"/>
    <w:rsid w:val="00191FFA"/>
    <w:rsid w:val="001929A6"/>
    <w:rsid w:val="0019333C"/>
    <w:rsid w:val="00193ADD"/>
    <w:rsid w:val="00194DB8"/>
    <w:rsid w:val="00194EAB"/>
    <w:rsid w:val="0019517A"/>
    <w:rsid w:val="0019555D"/>
    <w:rsid w:val="00196046"/>
    <w:rsid w:val="00196419"/>
    <w:rsid w:val="00196431"/>
    <w:rsid w:val="001A0AA0"/>
    <w:rsid w:val="001A0E58"/>
    <w:rsid w:val="001A0FD7"/>
    <w:rsid w:val="001A1DC5"/>
    <w:rsid w:val="001A1EF1"/>
    <w:rsid w:val="001A3029"/>
    <w:rsid w:val="001A3452"/>
    <w:rsid w:val="001A36BE"/>
    <w:rsid w:val="001A4165"/>
    <w:rsid w:val="001A5087"/>
    <w:rsid w:val="001A5787"/>
    <w:rsid w:val="001A65D8"/>
    <w:rsid w:val="001A6CA4"/>
    <w:rsid w:val="001A74CC"/>
    <w:rsid w:val="001B01F7"/>
    <w:rsid w:val="001B0CF8"/>
    <w:rsid w:val="001B0FC1"/>
    <w:rsid w:val="001B1B0F"/>
    <w:rsid w:val="001B23C1"/>
    <w:rsid w:val="001B2D59"/>
    <w:rsid w:val="001B308B"/>
    <w:rsid w:val="001B34AA"/>
    <w:rsid w:val="001B3706"/>
    <w:rsid w:val="001B3AFD"/>
    <w:rsid w:val="001B3B24"/>
    <w:rsid w:val="001B3FEB"/>
    <w:rsid w:val="001B4557"/>
    <w:rsid w:val="001B477C"/>
    <w:rsid w:val="001B4BE1"/>
    <w:rsid w:val="001B4CA4"/>
    <w:rsid w:val="001B61C0"/>
    <w:rsid w:val="001B629D"/>
    <w:rsid w:val="001B6501"/>
    <w:rsid w:val="001B6EF4"/>
    <w:rsid w:val="001B7112"/>
    <w:rsid w:val="001B73A5"/>
    <w:rsid w:val="001B7E47"/>
    <w:rsid w:val="001C0166"/>
    <w:rsid w:val="001C11D0"/>
    <w:rsid w:val="001C1A7C"/>
    <w:rsid w:val="001C2006"/>
    <w:rsid w:val="001C3D61"/>
    <w:rsid w:val="001C50C8"/>
    <w:rsid w:val="001C5345"/>
    <w:rsid w:val="001C5937"/>
    <w:rsid w:val="001C5E80"/>
    <w:rsid w:val="001C6185"/>
    <w:rsid w:val="001C667C"/>
    <w:rsid w:val="001C7E40"/>
    <w:rsid w:val="001D0F7F"/>
    <w:rsid w:val="001D1608"/>
    <w:rsid w:val="001D1946"/>
    <w:rsid w:val="001D1B23"/>
    <w:rsid w:val="001D24F3"/>
    <w:rsid w:val="001D3301"/>
    <w:rsid w:val="001D39FA"/>
    <w:rsid w:val="001D4118"/>
    <w:rsid w:val="001D50FB"/>
    <w:rsid w:val="001D52F4"/>
    <w:rsid w:val="001D5F72"/>
    <w:rsid w:val="001D5F93"/>
    <w:rsid w:val="001D6942"/>
    <w:rsid w:val="001D7B8F"/>
    <w:rsid w:val="001D7F9F"/>
    <w:rsid w:val="001E058B"/>
    <w:rsid w:val="001E0A71"/>
    <w:rsid w:val="001E0EE6"/>
    <w:rsid w:val="001E1FE6"/>
    <w:rsid w:val="001E2321"/>
    <w:rsid w:val="001E2372"/>
    <w:rsid w:val="001E36AD"/>
    <w:rsid w:val="001E3959"/>
    <w:rsid w:val="001E3FDC"/>
    <w:rsid w:val="001E5422"/>
    <w:rsid w:val="001E55EA"/>
    <w:rsid w:val="001E5854"/>
    <w:rsid w:val="001E5BF3"/>
    <w:rsid w:val="001E615A"/>
    <w:rsid w:val="001E6E12"/>
    <w:rsid w:val="001F06E7"/>
    <w:rsid w:val="001F0B34"/>
    <w:rsid w:val="001F0E88"/>
    <w:rsid w:val="001F1EDF"/>
    <w:rsid w:val="001F25B4"/>
    <w:rsid w:val="001F2A0C"/>
    <w:rsid w:val="001F2A28"/>
    <w:rsid w:val="001F2E4D"/>
    <w:rsid w:val="001F2FF6"/>
    <w:rsid w:val="001F32C9"/>
    <w:rsid w:val="001F3940"/>
    <w:rsid w:val="001F4665"/>
    <w:rsid w:val="001F472E"/>
    <w:rsid w:val="001F4781"/>
    <w:rsid w:val="001F4E91"/>
    <w:rsid w:val="001F52E1"/>
    <w:rsid w:val="001F54CD"/>
    <w:rsid w:val="001F60FD"/>
    <w:rsid w:val="001F66C3"/>
    <w:rsid w:val="001F7036"/>
    <w:rsid w:val="001F7489"/>
    <w:rsid w:val="001F76C4"/>
    <w:rsid w:val="001F7E8B"/>
    <w:rsid w:val="0020132C"/>
    <w:rsid w:val="0020178C"/>
    <w:rsid w:val="00201997"/>
    <w:rsid w:val="00201A27"/>
    <w:rsid w:val="00201EE8"/>
    <w:rsid w:val="002022B7"/>
    <w:rsid w:val="002024E1"/>
    <w:rsid w:val="00204AD5"/>
    <w:rsid w:val="00204CCF"/>
    <w:rsid w:val="00205444"/>
    <w:rsid w:val="0020552A"/>
    <w:rsid w:val="002055D9"/>
    <w:rsid w:val="00206384"/>
    <w:rsid w:val="002063C6"/>
    <w:rsid w:val="00206AF5"/>
    <w:rsid w:val="00206EB4"/>
    <w:rsid w:val="00210F3A"/>
    <w:rsid w:val="00210F79"/>
    <w:rsid w:val="0021151D"/>
    <w:rsid w:val="00211C1A"/>
    <w:rsid w:val="00212D52"/>
    <w:rsid w:val="00214B36"/>
    <w:rsid w:val="00214DA1"/>
    <w:rsid w:val="002151AC"/>
    <w:rsid w:val="00215F95"/>
    <w:rsid w:val="00216AC0"/>
    <w:rsid w:val="00216BC7"/>
    <w:rsid w:val="002172C3"/>
    <w:rsid w:val="00217573"/>
    <w:rsid w:val="00220837"/>
    <w:rsid w:val="00223017"/>
    <w:rsid w:val="00223331"/>
    <w:rsid w:val="0022480A"/>
    <w:rsid w:val="00226E2D"/>
    <w:rsid w:val="002274B9"/>
    <w:rsid w:val="00227B83"/>
    <w:rsid w:val="00227EC9"/>
    <w:rsid w:val="00231713"/>
    <w:rsid w:val="002319F0"/>
    <w:rsid w:val="00232025"/>
    <w:rsid w:val="00232C73"/>
    <w:rsid w:val="00232E0E"/>
    <w:rsid w:val="002336CE"/>
    <w:rsid w:val="0023371F"/>
    <w:rsid w:val="002339E8"/>
    <w:rsid w:val="00233F8A"/>
    <w:rsid w:val="00234340"/>
    <w:rsid w:val="00234E90"/>
    <w:rsid w:val="00235389"/>
    <w:rsid w:val="00235538"/>
    <w:rsid w:val="00236318"/>
    <w:rsid w:val="00240739"/>
    <w:rsid w:val="002409CA"/>
    <w:rsid w:val="00240A9A"/>
    <w:rsid w:val="0024110F"/>
    <w:rsid w:val="00241D84"/>
    <w:rsid w:val="002421B0"/>
    <w:rsid w:val="00242202"/>
    <w:rsid w:val="002424B5"/>
    <w:rsid w:val="002424EF"/>
    <w:rsid w:val="00242A4C"/>
    <w:rsid w:val="00242C1B"/>
    <w:rsid w:val="002431C0"/>
    <w:rsid w:val="002432A1"/>
    <w:rsid w:val="0024394D"/>
    <w:rsid w:val="00243E96"/>
    <w:rsid w:val="002442CD"/>
    <w:rsid w:val="00245DC2"/>
    <w:rsid w:val="00246F15"/>
    <w:rsid w:val="0025047C"/>
    <w:rsid w:val="00250C13"/>
    <w:rsid w:val="00251866"/>
    <w:rsid w:val="00251A61"/>
    <w:rsid w:val="00251DE6"/>
    <w:rsid w:val="002532FD"/>
    <w:rsid w:val="002539A3"/>
    <w:rsid w:val="00253DF7"/>
    <w:rsid w:val="00253F88"/>
    <w:rsid w:val="00254381"/>
    <w:rsid w:val="0025539F"/>
    <w:rsid w:val="0025593E"/>
    <w:rsid w:val="00255B31"/>
    <w:rsid w:val="00255DC8"/>
    <w:rsid w:val="002566A7"/>
    <w:rsid w:val="00256D00"/>
    <w:rsid w:val="00257EEE"/>
    <w:rsid w:val="002606C1"/>
    <w:rsid w:val="00260780"/>
    <w:rsid w:val="002607AF"/>
    <w:rsid w:val="00261168"/>
    <w:rsid w:val="00261731"/>
    <w:rsid w:val="00262413"/>
    <w:rsid w:val="002629E0"/>
    <w:rsid w:val="00262A4D"/>
    <w:rsid w:val="00262D0A"/>
    <w:rsid w:val="00263869"/>
    <w:rsid w:val="00263D2B"/>
    <w:rsid w:val="0026425F"/>
    <w:rsid w:val="002643DE"/>
    <w:rsid w:val="0026465F"/>
    <w:rsid w:val="0026480E"/>
    <w:rsid w:val="00264B34"/>
    <w:rsid w:val="00264D6C"/>
    <w:rsid w:val="00265D97"/>
    <w:rsid w:val="00266462"/>
    <w:rsid w:val="00266A8E"/>
    <w:rsid w:val="00270333"/>
    <w:rsid w:val="0027096D"/>
    <w:rsid w:val="002715A9"/>
    <w:rsid w:val="0027269E"/>
    <w:rsid w:val="00273574"/>
    <w:rsid w:val="00274E91"/>
    <w:rsid w:val="00275B8F"/>
    <w:rsid w:val="00275FB2"/>
    <w:rsid w:val="002766CC"/>
    <w:rsid w:val="00276861"/>
    <w:rsid w:val="002770BE"/>
    <w:rsid w:val="0028010D"/>
    <w:rsid w:val="00280CF8"/>
    <w:rsid w:val="00282408"/>
    <w:rsid w:val="00282DC1"/>
    <w:rsid w:val="00282E68"/>
    <w:rsid w:val="00283105"/>
    <w:rsid w:val="00283AAE"/>
    <w:rsid w:val="002841F1"/>
    <w:rsid w:val="0028451D"/>
    <w:rsid w:val="00284DBF"/>
    <w:rsid w:val="002856AA"/>
    <w:rsid w:val="00285A46"/>
    <w:rsid w:val="0028665A"/>
    <w:rsid w:val="002868FF"/>
    <w:rsid w:val="00287BF6"/>
    <w:rsid w:val="00287DC5"/>
    <w:rsid w:val="00291574"/>
    <w:rsid w:val="00291FF6"/>
    <w:rsid w:val="00292AF8"/>
    <w:rsid w:val="00293559"/>
    <w:rsid w:val="002937BF"/>
    <w:rsid w:val="002937E0"/>
    <w:rsid w:val="00295980"/>
    <w:rsid w:val="00295B13"/>
    <w:rsid w:val="0029605D"/>
    <w:rsid w:val="00296D11"/>
    <w:rsid w:val="002A06E7"/>
    <w:rsid w:val="002A07E3"/>
    <w:rsid w:val="002A1C00"/>
    <w:rsid w:val="002A1D26"/>
    <w:rsid w:val="002A1EF7"/>
    <w:rsid w:val="002A255C"/>
    <w:rsid w:val="002A2AA4"/>
    <w:rsid w:val="002A2B9E"/>
    <w:rsid w:val="002A3F21"/>
    <w:rsid w:val="002A5636"/>
    <w:rsid w:val="002A5D04"/>
    <w:rsid w:val="002A5F7C"/>
    <w:rsid w:val="002A7A0C"/>
    <w:rsid w:val="002B0880"/>
    <w:rsid w:val="002B0CD7"/>
    <w:rsid w:val="002B1125"/>
    <w:rsid w:val="002B25DA"/>
    <w:rsid w:val="002B280B"/>
    <w:rsid w:val="002B285D"/>
    <w:rsid w:val="002B2BC9"/>
    <w:rsid w:val="002B3729"/>
    <w:rsid w:val="002B3CF2"/>
    <w:rsid w:val="002B4295"/>
    <w:rsid w:val="002B492D"/>
    <w:rsid w:val="002B4B8B"/>
    <w:rsid w:val="002B57EC"/>
    <w:rsid w:val="002B62B3"/>
    <w:rsid w:val="002B7B10"/>
    <w:rsid w:val="002B7FA1"/>
    <w:rsid w:val="002C006B"/>
    <w:rsid w:val="002C0B83"/>
    <w:rsid w:val="002C15F6"/>
    <w:rsid w:val="002C1A9F"/>
    <w:rsid w:val="002C1DE0"/>
    <w:rsid w:val="002C2C9B"/>
    <w:rsid w:val="002C4422"/>
    <w:rsid w:val="002C44D2"/>
    <w:rsid w:val="002C523B"/>
    <w:rsid w:val="002C5A91"/>
    <w:rsid w:val="002C6953"/>
    <w:rsid w:val="002C71E0"/>
    <w:rsid w:val="002C7657"/>
    <w:rsid w:val="002C77E7"/>
    <w:rsid w:val="002D0134"/>
    <w:rsid w:val="002D03E7"/>
    <w:rsid w:val="002D1590"/>
    <w:rsid w:val="002D268E"/>
    <w:rsid w:val="002D2874"/>
    <w:rsid w:val="002D3083"/>
    <w:rsid w:val="002D321C"/>
    <w:rsid w:val="002D3820"/>
    <w:rsid w:val="002D3B54"/>
    <w:rsid w:val="002D4977"/>
    <w:rsid w:val="002D4FCB"/>
    <w:rsid w:val="002D5067"/>
    <w:rsid w:val="002D645F"/>
    <w:rsid w:val="002D647A"/>
    <w:rsid w:val="002D7567"/>
    <w:rsid w:val="002D766C"/>
    <w:rsid w:val="002D79B5"/>
    <w:rsid w:val="002D7ADF"/>
    <w:rsid w:val="002E055C"/>
    <w:rsid w:val="002E08CC"/>
    <w:rsid w:val="002E0E9A"/>
    <w:rsid w:val="002E141C"/>
    <w:rsid w:val="002E24A4"/>
    <w:rsid w:val="002E3ADF"/>
    <w:rsid w:val="002E48A9"/>
    <w:rsid w:val="002E54C2"/>
    <w:rsid w:val="002E56E3"/>
    <w:rsid w:val="002E6389"/>
    <w:rsid w:val="002E641A"/>
    <w:rsid w:val="002E6C8B"/>
    <w:rsid w:val="002E77B9"/>
    <w:rsid w:val="002F0990"/>
    <w:rsid w:val="002F0E16"/>
    <w:rsid w:val="002F13B6"/>
    <w:rsid w:val="002F14D2"/>
    <w:rsid w:val="002F1744"/>
    <w:rsid w:val="002F17FD"/>
    <w:rsid w:val="002F1F1B"/>
    <w:rsid w:val="002F2C14"/>
    <w:rsid w:val="002F4525"/>
    <w:rsid w:val="002F4B12"/>
    <w:rsid w:val="002F502F"/>
    <w:rsid w:val="002F55B5"/>
    <w:rsid w:val="002F5671"/>
    <w:rsid w:val="002F5974"/>
    <w:rsid w:val="00300444"/>
    <w:rsid w:val="003007A7"/>
    <w:rsid w:val="00300AAB"/>
    <w:rsid w:val="00300BB2"/>
    <w:rsid w:val="00300BDD"/>
    <w:rsid w:val="00301472"/>
    <w:rsid w:val="00301937"/>
    <w:rsid w:val="003019DC"/>
    <w:rsid w:val="00301BC7"/>
    <w:rsid w:val="00301F62"/>
    <w:rsid w:val="00302E67"/>
    <w:rsid w:val="003036DB"/>
    <w:rsid w:val="00303A13"/>
    <w:rsid w:val="00304274"/>
    <w:rsid w:val="0030496B"/>
    <w:rsid w:val="003049CC"/>
    <w:rsid w:val="0030506A"/>
    <w:rsid w:val="003052B5"/>
    <w:rsid w:val="00305D31"/>
    <w:rsid w:val="003061EF"/>
    <w:rsid w:val="0030635C"/>
    <w:rsid w:val="00306B3E"/>
    <w:rsid w:val="00306C09"/>
    <w:rsid w:val="00306E5D"/>
    <w:rsid w:val="0031110E"/>
    <w:rsid w:val="00311395"/>
    <w:rsid w:val="003127A6"/>
    <w:rsid w:val="00312DB4"/>
    <w:rsid w:val="00313684"/>
    <w:rsid w:val="00313751"/>
    <w:rsid w:val="00314AF7"/>
    <w:rsid w:val="00314B55"/>
    <w:rsid w:val="00314F90"/>
    <w:rsid w:val="003163DC"/>
    <w:rsid w:val="00316B7B"/>
    <w:rsid w:val="00316D20"/>
    <w:rsid w:val="00316DA2"/>
    <w:rsid w:val="003174C6"/>
    <w:rsid w:val="003176C7"/>
    <w:rsid w:val="00317D09"/>
    <w:rsid w:val="00317DDB"/>
    <w:rsid w:val="00317F41"/>
    <w:rsid w:val="0032026D"/>
    <w:rsid w:val="00320A1D"/>
    <w:rsid w:val="00320E2D"/>
    <w:rsid w:val="00321BD0"/>
    <w:rsid w:val="00321C72"/>
    <w:rsid w:val="00323488"/>
    <w:rsid w:val="0032368A"/>
    <w:rsid w:val="00323C9E"/>
    <w:rsid w:val="00325AA4"/>
    <w:rsid w:val="00326C89"/>
    <w:rsid w:val="00327A4F"/>
    <w:rsid w:val="00327C19"/>
    <w:rsid w:val="00330FB3"/>
    <w:rsid w:val="0033132C"/>
    <w:rsid w:val="00331446"/>
    <w:rsid w:val="00331E33"/>
    <w:rsid w:val="00332429"/>
    <w:rsid w:val="00332B70"/>
    <w:rsid w:val="00333068"/>
    <w:rsid w:val="00333A2A"/>
    <w:rsid w:val="00333ED2"/>
    <w:rsid w:val="00334377"/>
    <w:rsid w:val="003356EC"/>
    <w:rsid w:val="00336D69"/>
    <w:rsid w:val="00336DA1"/>
    <w:rsid w:val="003370F2"/>
    <w:rsid w:val="00337306"/>
    <w:rsid w:val="00337397"/>
    <w:rsid w:val="00337A3F"/>
    <w:rsid w:val="0034021C"/>
    <w:rsid w:val="00340640"/>
    <w:rsid w:val="00340B7E"/>
    <w:rsid w:val="00341317"/>
    <w:rsid w:val="00342084"/>
    <w:rsid w:val="00342105"/>
    <w:rsid w:val="003425D3"/>
    <w:rsid w:val="00342D78"/>
    <w:rsid w:val="00343AB2"/>
    <w:rsid w:val="00343B23"/>
    <w:rsid w:val="00343CC3"/>
    <w:rsid w:val="00343D32"/>
    <w:rsid w:val="00344968"/>
    <w:rsid w:val="00345472"/>
    <w:rsid w:val="0034577A"/>
    <w:rsid w:val="003458EA"/>
    <w:rsid w:val="00345AD0"/>
    <w:rsid w:val="00346AE5"/>
    <w:rsid w:val="00347262"/>
    <w:rsid w:val="00347A73"/>
    <w:rsid w:val="00347CA9"/>
    <w:rsid w:val="003501B2"/>
    <w:rsid w:val="00350376"/>
    <w:rsid w:val="003514C0"/>
    <w:rsid w:val="0035164D"/>
    <w:rsid w:val="00352312"/>
    <w:rsid w:val="0035299F"/>
    <w:rsid w:val="0035324D"/>
    <w:rsid w:val="003545BC"/>
    <w:rsid w:val="00354FCC"/>
    <w:rsid w:val="00355270"/>
    <w:rsid w:val="00356B93"/>
    <w:rsid w:val="00356D85"/>
    <w:rsid w:val="00357107"/>
    <w:rsid w:val="00357343"/>
    <w:rsid w:val="00357A56"/>
    <w:rsid w:val="00361219"/>
    <w:rsid w:val="00361DF9"/>
    <w:rsid w:val="00361F7A"/>
    <w:rsid w:val="0036433B"/>
    <w:rsid w:val="003648C4"/>
    <w:rsid w:val="003652FE"/>
    <w:rsid w:val="003656DB"/>
    <w:rsid w:val="00365915"/>
    <w:rsid w:val="003662AE"/>
    <w:rsid w:val="00366730"/>
    <w:rsid w:val="00366AC8"/>
    <w:rsid w:val="00366ADE"/>
    <w:rsid w:val="00366BCC"/>
    <w:rsid w:val="0036742D"/>
    <w:rsid w:val="00367994"/>
    <w:rsid w:val="003700B3"/>
    <w:rsid w:val="00370B00"/>
    <w:rsid w:val="00372273"/>
    <w:rsid w:val="00372A5E"/>
    <w:rsid w:val="00372C38"/>
    <w:rsid w:val="003748D7"/>
    <w:rsid w:val="00374B1B"/>
    <w:rsid w:val="00375753"/>
    <w:rsid w:val="0037595A"/>
    <w:rsid w:val="00375D39"/>
    <w:rsid w:val="003763D2"/>
    <w:rsid w:val="003764D5"/>
    <w:rsid w:val="003766A3"/>
    <w:rsid w:val="00376A1E"/>
    <w:rsid w:val="00380879"/>
    <w:rsid w:val="00380F5A"/>
    <w:rsid w:val="00381B32"/>
    <w:rsid w:val="00381FEA"/>
    <w:rsid w:val="00382604"/>
    <w:rsid w:val="00382998"/>
    <w:rsid w:val="00383985"/>
    <w:rsid w:val="00385A20"/>
    <w:rsid w:val="00385E88"/>
    <w:rsid w:val="00385F21"/>
    <w:rsid w:val="003860A8"/>
    <w:rsid w:val="00386217"/>
    <w:rsid w:val="00387825"/>
    <w:rsid w:val="00387D5A"/>
    <w:rsid w:val="0039009C"/>
    <w:rsid w:val="0039026B"/>
    <w:rsid w:val="003905BF"/>
    <w:rsid w:val="003909AC"/>
    <w:rsid w:val="00392625"/>
    <w:rsid w:val="003927E3"/>
    <w:rsid w:val="00392EF0"/>
    <w:rsid w:val="003934FF"/>
    <w:rsid w:val="0039397E"/>
    <w:rsid w:val="00393D60"/>
    <w:rsid w:val="0039408A"/>
    <w:rsid w:val="00394751"/>
    <w:rsid w:val="00394B08"/>
    <w:rsid w:val="00394CA7"/>
    <w:rsid w:val="00395DC0"/>
    <w:rsid w:val="003960F4"/>
    <w:rsid w:val="00396555"/>
    <w:rsid w:val="003971E4"/>
    <w:rsid w:val="00397311"/>
    <w:rsid w:val="003A00E9"/>
    <w:rsid w:val="003A194E"/>
    <w:rsid w:val="003A1AAB"/>
    <w:rsid w:val="003A4042"/>
    <w:rsid w:val="003A40F2"/>
    <w:rsid w:val="003A5654"/>
    <w:rsid w:val="003A5863"/>
    <w:rsid w:val="003A7249"/>
    <w:rsid w:val="003A741C"/>
    <w:rsid w:val="003B0941"/>
    <w:rsid w:val="003B09F6"/>
    <w:rsid w:val="003B0D88"/>
    <w:rsid w:val="003B0F3C"/>
    <w:rsid w:val="003B0FBF"/>
    <w:rsid w:val="003B187E"/>
    <w:rsid w:val="003B1C5E"/>
    <w:rsid w:val="003B1D14"/>
    <w:rsid w:val="003B1DE7"/>
    <w:rsid w:val="003B431C"/>
    <w:rsid w:val="003B4F39"/>
    <w:rsid w:val="003B5185"/>
    <w:rsid w:val="003B56D3"/>
    <w:rsid w:val="003B6D34"/>
    <w:rsid w:val="003B7222"/>
    <w:rsid w:val="003B7538"/>
    <w:rsid w:val="003C0F0B"/>
    <w:rsid w:val="003C13BC"/>
    <w:rsid w:val="003C2B0B"/>
    <w:rsid w:val="003C2BCF"/>
    <w:rsid w:val="003C2C0D"/>
    <w:rsid w:val="003C312D"/>
    <w:rsid w:val="003C3FB1"/>
    <w:rsid w:val="003C416E"/>
    <w:rsid w:val="003C41A5"/>
    <w:rsid w:val="003C48F4"/>
    <w:rsid w:val="003C4923"/>
    <w:rsid w:val="003C4D9D"/>
    <w:rsid w:val="003C543F"/>
    <w:rsid w:val="003C6B3A"/>
    <w:rsid w:val="003C6C86"/>
    <w:rsid w:val="003C762E"/>
    <w:rsid w:val="003C7C4E"/>
    <w:rsid w:val="003D08E8"/>
    <w:rsid w:val="003D0D5C"/>
    <w:rsid w:val="003D1195"/>
    <w:rsid w:val="003D16C4"/>
    <w:rsid w:val="003D1784"/>
    <w:rsid w:val="003D1F4B"/>
    <w:rsid w:val="003D1FEF"/>
    <w:rsid w:val="003D2779"/>
    <w:rsid w:val="003D29CE"/>
    <w:rsid w:val="003D35FB"/>
    <w:rsid w:val="003D3CAB"/>
    <w:rsid w:val="003D43AD"/>
    <w:rsid w:val="003D4C6D"/>
    <w:rsid w:val="003D5F46"/>
    <w:rsid w:val="003D5F8B"/>
    <w:rsid w:val="003D6003"/>
    <w:rsid w:val="003D6FFD"/>
    <w:rsid w:val="003D7E87"/>
    <w:rsid w:val="003E023D"/>
    <w:rsid w:val="003E1365"/>
    <w:rsid w:val="003E175B"/>
    <w:rsid w:val="003E3182"/>
    <w:rsid w:val="003E34F7"/>
    <w:rsid w:val="003E4462"/>
    <w:rsid w:val="003E5183"/>
    <w:rsid w:val="003E5949"/>
    <w:rsid w:val="003E5AA1"/>
    <w:rsid w:val="003E70DD"/>
    <w:rsid w:val="003E74CB"/>
    <w:rsid w:val="003F09CE"/>
    <w:rsid w:val="003F1DF5"/>
    <w:rsid w:val="003F286B"/>
    <w:rsid w:val="003F3351"/>
    <w:rsid w:val="003F40B8"/>
    <w:rsid w:val="003F42B1"/>
    <w:rsid w:val="003F50B5"/>
    <w:rsid w:val="003F5238"/>
    <w:rsid w:val="003F6530"/>
    <w:rsid w:val="003F68EC"/>
    <w:rsid w:val="003F699A"/>
    <w:rsid w:val="003F6CDB"/>
    <w:rsid w:val="00400B0F"/>
    <w:rsid w:val="00402F9B"/>
    <w:rsid w:val="0040313B"/>
    <w:rsid w:val="00403788"/>
    <w:rsid w:val="00404379"/>
    <w:rsid w:val="00404533"/>
    <w:rsid w:val="00404ABB"/>
    <w:rsid w:val="00404E54"/>
    <w:rsid w:val="0040545A"/>
    <w:rsid w:val="00406439"/>
    <w:rsid w:val="004066A9"/>
    <w:rsid w:val="004067B0"/>
    <w:rsid w:val="00406D54"/>
    <w:rsid w:val="00407507"/>
    <w:rsid w:val="00410E02"/>
    <w:rsid w:val="0041118E"/>
    <w:rsid w:val="00411722"/>
    <w:rsid w:val="00412CD6"/>
    <w:rsid w:val="00412CF0"/>
    <w:rsid w:val="00412EDE"/>
    <w:rsid w:val="00413291"/>
    <w:rsid w:val="00414099"/>
    <w:rsid w:val="00415F67"/>
    <w:rsid w:val="00420A66"/>
    <w:rsid w:val="00421CE9"/>
    <w:rsid w:val="0042251F"/>
    <w:rsid w:val="0042278F"/>
    <w:rsid w:val="004228A3"/>
    <w:rsid w:val="0042381D"/>
    <w:rsid w:val="00424F81"/>
    <w:rsid w:val="00424FD7"/>
    <w:rsid w:val="004254CD"/>
    <w:rsid w:val="00426F38"/>
    <w:rsid w:val="004305F2"/>
    <w:rsid w:val="0043278A"/>
    <w:rsid w:val="00432E28"/>
    <w:rsid w:val="004330AC"/>
    <w:rsid w:val="00433C49"/>
    <w:rsid w:val="0043480E"/>
    <w:rsid w:val="00434C1A"/>
    <w:rsid w:val="004351E1"/>
    <w:rsid w:val="004352A5"/>
    <w:rsid w:val="004354F6"/>
    <w:rsid w:val="004355FD"/>
    <w:rsid w:val="0043691E"/>
    <w:rsid w:val="00436BB4"/>
    <w:rsid w:val="00436E89"/>
    <w:rsid w:val="00437320"/>
    <w:rsid w:val="00441082"/>
    <w:rsid w:val="004411BE"/>
    <w:rsid w:val="00441BD3"/>
    <w:rsid w:val="00441FE5"/>
    <w:rsid w:val="00442B0E"/>
    <w:rsid w:val="004435D9"/>
    <w:rsid w:val="00443B09"/>
    <w:rsid w:val="00443BEC"/>
    <w:rsid w:val="00443F03"/>
    <w:rsid w:val="00444748"/>
    <w:rsid w:val="00444C4F"/>
    <w:rsid w:val="004453BD"/>
    <w:rsid w:val="004453DF"/>
    <w:rsid w:val="00445810"/>
    <w:rsid w:val="004477D6"/>
    <w:rsid w:val="00447A0E"/>
    <w:rsid w:val="00450CA8"/>
    <w:rsid w:val="00451692"/>
    <w:rsid w:val="00452A5B"/>
    <w:rsid w:val="00453F64"/>
    <w:rsid w:val="004540E1"/>
    <w:rsid w:val="00454148"/>
    <w:rsid w:val="00454320"/>
    <w:rsid w:val="00454342"/>
    <w:rsid w:val="00454629"/>
    <w:rsid w:val="004549F4"/>
    <w:rsid w:val="00454FE7"/>
    <w:rsid w:val="00455666"/>
    <w:rsid w:val="00455671"/>
    <w:rsid w:val="00455767"/>
    <w:rsid w:val="00456012"/>
    <w:rsid w:val="0045680F"/>
    <w:rsid w:val="00456A65"/>
    <w:rsid w:val="00457324"/>
    <w:rsid w:val="00457770"/>
    <w:rsid w:val="0046022B"/>
    <w:rsid w:val="00460895"/>
    <w:rsid w:val="00461256"/>
    <w:rsid w:val="004614A5"/>
    <w:rsid w:val="0046182E"/>
    <w:rsid w:val="00461DBE"/>
    <w:rsid w:val="004621A5"/>
    <w:rsid w:val="004623D5"/>
    <w:rsid w:val="00462E94"/>
    <w:rsid w:val="0046330A"/>
    <w:rsid w:val="004638C1"/>
    <w:rsid w:val="00463CAE"/>
    <w:rsid w:val="00464C17"/>
    <w:rsid w:val="004653DC"/>
    <w:rsid w:val="0046563E"/>
    <w:rsid w:val="00466358"/>
    <w:rsid w:val="00466381"/>
    <w:rsid w:val="00466A0E"/>
    <w:rsid w:val="00466C35"/>
    <w:rsid w:val="00466F47"/>
    <w:rsid w:val="00467545"/>
    <w:rsid w:val="00470957"/>
    <w:rsid w:val="004709B8"/>
    <w:rsid w:val="00470FCC"/>
    <w:rsid w:val="0047145D"/>
    <w:rsid w:val="0047253D"/>
    <w:rsid w:val="00472BDF"/>
    <w:rsid w:val="00473664"/>
    <w:rsid w:val="00473695"/>
    <w:rsid w:val="00473955"/>
    <w:rsid w:val="004739BE"/>
    <w:rsid w:val="00473AF0"/>
    <w:rsid w:val="004746CD"/>
    <w:rsid w:val="0047488B"/>
    <w:rsid w:val="00475F26"/>
    <w:rsid w:val="00475FFF"/>
    <w:rsid w:val="00476495"/>
    <w:rsid w:val="00476659"/>
    <w:rsid w:val="00476B58"/>
    <w:rsid w:val="004777BD"/>
    <w:rsid w:val="00477981"/>
    <w:rsid w:val="004779F8"/>
    <w:rsid w:val="00477D82"/>
    <w:rsid w:val="00477FFA"/>
    <w:rsid w:val="0048186C"/>
    <w:rsid w:val="00481B23"/>
    <w:rsid w:val="00482859"/>
    <w:rsid w:val="004829D9"/>
    <w:rsid w:val="00482C9A"/>
    <w:rsid w:val="004838E6"/>
    <w:rsid w:val="004838F5"/>
    <w:rsid w:val="0048447F"/>
    <w:rsid w:val="00484942"/>
    <w:rsid w:val="004849EA"/>
    <w:rsid w:val="00485214"/>
    <w:rsid w:val="00485B7A"/>
    <w:rsid w:val="0048638B"/>
    <w:rsid w:val="004869AA"/>
    <w:rsid w:val="00490767"/>
    <w:rsid w:val="004908D7"/>
    <w:rsid w:val="00491E66"/>
    <w:rsid w:val="00492196"/>
    <w:rsid w:val="00492282"/>
    <w:rsid w:val="0049279E"/>
    <w:rsid w:val="0049281F"/>
    <w:rsid w:val="00492893"/>
    <w:rsid w:val="00492A36"/>
    <w:rsid w:val="00493158"/>
    <w:rsid w:val="00493F79"/>
    <w:rsid w:val="0049418E"/>
    <w:rsid w:val="00494E81"/>
    <w:rsid w:val="00495906"/>
    <w:rsid w:val="004960C2"/>
    <w:rsid w:val="004962BA"/>
    <w:rsid w:val="00496C86"/>
    <w:rsid w:val="00497711"/>
    <w:rsid w:val="0049787A"/>
    <w:rsid w:val="00497B39"/>
    <w:rsid w:val="004A0E0C"/>
    <w:rsid w:val="004A15A3"/>
    <w:rsid w:val="004A16C6"/>
    <w:rsid w:val="004A176E"/>
    <w:rsid w:val="004A1E52"/>
    <w:rsid w:val="004A1F47"/>
    <w:rsid w:val="004A33E7"/>
    <w:rsid w:val="004A343E"/>
    <w:rsid w:val="004A35AF"/>
    <w:rsid w:val="004A3757"/>
    <w:rsid w:val="004A41EE"/>
    <w:rsid w:val="004A454B"/>
    <w:rsid w:val="004A5390"/>
    <w:rsid w:val="004A65A6"/>
    <w:rsid w:val="004A7B26"/>
    <w:rsid w:val="004B0B3A"/>
    <w:rsid w:val="004B1FF8"/>
    <w:rsid w:val="004B26D9"/>
    <w:rsid w:val="004B2BD6"/>
    <w:rsid w:val="004B30E4"/>
    <w:rsid w:val="004B3B11"/>
    <w:rsid w:val="004B3D4C"/>
    <w:rsid w:val="004B4458"/>
    <w:rsid w:val="004B46F3"/>
    <w:rsid w:val="004B47BE"/>
    <w:rsid w:val="004B4EAD"/>
    <w:rsid w:val="004B4ED4"/>
    <w:rsid w:val="004B5055"/>
    <w:rsid w:val="004B53B8"/>
    <w:rsid w:val="004B5895"/>
    <w:rsid w:val="004B5B82"/>
    <w:rsid w:val="004B640A"/>
    <w:rsid w:val="004B705E"/>
    <w:rsid w:val="004B75EF"/>
    <w:rsid w:val="004C0CFA"/>
    <w:rsid w:val="004C18ED"/>
    <w:rsid w:val="004C1E0F"/>
    <w:rsid w:val="004C2232"/>
    <w:rsid w:val="004C2540"/>
    <w:rsid w:val="004C299A"/>
    <w:rsid w:val="004C2B6B"/>
    <w:rsid w:val="004C314D"/>
    <w:rsid w:val="004C35A1"/>
    <w:rsid w:val="004C3E3C"/>
    <w:rsid w:val="004C42AD"/>
    <w:rsid w:val="004C4882"/>
    <w:rsid w:val="004C4E9F"/>
    <w:rsid w:val="004C5EF3"/>
    <w:rsid w:val="004C5FE0"/>
    <w:rsid w:val="004C72BB"/>
    <w:rsid w:val="004D00BA"/>
    <w:rsid w:val="004D07B6"/>
    <w:rsid w:val="004D1137"/>
    <w:rsid w:val="004D201E"/>
    <w:rsid w:val="004D2F46"/>
    <w:rsid w:val="004D31D1"/>
    <w:rsid w:val="004D3CE7"/>
    <w:rsid w:val="004D41E9"/>
    <w:rsid w:val="004D4368"/>
    <w:rsid w:val="004D4943"/>
    <w:rsid w:val="004D49AF"/>
    <w:rsid w:val="004D4EC1"/>
    <w:rsid w:val="004D50FF"/>
    <w:rsid w:val="004D52D2"/>
    <w:rsid w:val="004D53A3"/>
    <w:rsid w:val="004D56DA"/>
    <w:rsid w:val="004D5872"/>
    <w:rsid w:val="004D5972"/>
    <w:rsid w:val="004D74C0"/>
    <w:rsid w:val="004D7AB7"/>
    <w:rsid w:val="004D7C0B"/>
    <w:rsid w:val="004D7EA7"/>
    <w:rsid w:val="004E0055"/>
    <w:rsid w:val="004E0B8E"/>
    <w:rsid w:val="004E0BDC"/>
    <w:rsid w:val="004E18BF"/>
    <w:rsid w:val="004E2CB0"/>
    <w:rsid w:val="004E2FC1"/>
    <w:rsid w:val="004E2FF6"/>
    <w:rsid w:val="004E300E"/>
    <w:rsid w:val="004E3585"/>
    <w:rsid w:val="004E371D"/>
    <w:rsid w:val="004E456D"/>
    <w:rsid w:val="004E622E"/>
    <w:rsid w:val="004E6394"/>
    <w:rsid w:val="004E657F"/>
    <w:rsid w:val="004E65F6"/>
    <w:rsid w:val="004E6AE4"/>
    <w:rsid w:val="004E73E2"/>
    <w:rsid w:val="004E7A6A"/>
    <w:rsid w:val="004E7BD6"/>
    <w:rsid w:val="004F28CB"/>
    <w:rsid w:val="004F3DD6"/>
    <w:rsid w:val="004F434C"/>
    <w:rsid w:val="004F4D73"/>
    <w:rsid w:val="004F58F4"/>
    <w:rsid w:val="004F5A75"/>
    <w:rsid w:val="004F6A48"/>
    <w:rsid w:val="004F73CF"/>
    <w:rsid w:val="004F7474"/>
    <w:rsid w:val="004F7DE4"/>
    <w:rsid w:val="004F7FDA"/>
    <w:rsid w:val="00500CB9"/>
    <w:rsid w:val="00501C9A"/>
    <w:rsid w:val="00502299"/>
    <w:rsid w:val="00502976"/>
    <w:rsid w:val="00502CCD"/>
    <w:rsid w:val="005033AC"/>
    <w:rsid w:val="00503A3A"/>
    <w:rsid w:val="00503DFB"/>
    <w:rsid w:val="005044F6"/>
    <w:rsid w:val="00504D02"/>
    <w:rsid w:val="00504F2F"/>
    <w:rsid w:val="00504FA2"/>
    <w:rsid w:val="00505A24"/>
    <w:rsid w:val="00505AB7"/>
    <w:rsid w:val="00505C92"/>
    <w:rsid w:val="00506EB4"/>
    <w:rsid w:val="00507C30"/>
    <w:rsid w:val="00510A39"/>
    <w:rsid w:val="00510B1A"/>
    <w:rsid w:val="0051124E"/>
    <w:rsid w:val="00511263"/>
    <w:rsid w:val="005116E6"/>
    <w:rsid w:val="005117AD"/>
    <w:rsid w:val="00511B94"/>
    <w:rsid w:val="00512B50"/>
    <w:rsid w:val="00512D7B"/>
    <w:rsid w:val="00513143"/>
    <w:rsid w:val="005132A2"/>
    <w:rsid w:val="00513EDA"/>
    <w:rsid w:val="00515051"/>
    <w:rsid w:val="00515BD9"/>
    <w:rsid w:val="00515EB6"/>
    <w:rsid w:val="00520538"/>
    <w:rsid w:val="00520705"/>
    <w:rsid w:val="005208CC"/>
    <w:rsid w:val="00520A17"/>
    <w:rsid w:val="00520AB9"/>
    <w:rsid w:val="00520FA6"/>
    <w:rsid w:val="005218CC"/>
    <w:rsid w:val="00521FF4"/>
    <w:rsid w:val="0052201A"/>
    <w:rsid w:val="005222FF"/>
    <w:rsid w:val="0052238D"/>
    <w:rsid w:val="00522D11"/>
    <w:rsid w:val="00522FA3"/>
    <w:rsid w:val="0052325B"/>
    <w:rsid w:val="0052346A"/>
    <w:rsid w:val="005242D3"/>
    <w:rsid w:val="00524431"/>
    <w:rsid w:val="00524AB3"/>
    <w:rsid w:val="00524B3A"/>
    <w:rsid w:val="00524D9A"/>
    <w:rsid w:val="00525250"/>
    <w:rsid w:val="00525674"/>
    <w:rsid w:val="00525750"/>
    <w:rsid w:val="00526E69"/>
    <w:rsid w:val="00527246"/>
    <w:rsid w:val="005273F4"/>
    <w:rsid w:val="00527901"/>
    <w:rsid w:val="00527B53"/>
    <w:rsid w:val="00527F53"/>
    <w:rsid w:val="00530E10"/>
    <w:rsid w:val="005319D0"/>
    <w:rsid w:val="00531BC0"/>
    <w:rsid w:val="0053263C"/>
    <w:rsid w:val="005328E3"/>
    <w:rsid w:val="00532D2D"/>
    <w:rsid w:val="005334C8"/>
    <w:rsid w:val="00535843"/>
    <w:rsid w:val="00535A9C"/>
    <w:rsid w:val="00535B69"/>
    <w:rsid w:val="00535EDA"/>
    <w:rsid w:val="00536DCA"/>
    <w:rsid w:val="0053737B"/>
    <w:rsid w:val="0053779E"/>
    <w:rsid w:val="00540822"/>
    <w:rsid w:val="00540D73"/>
    <w:rsid w:val="00541F56"/>
    <w:rsid w:val="00542264"/>
    <w:rsid w:val="0054238A"/>
    <w:rsid w:val="005429A2"/>
    <w:rsid w:val="005430D9"/>
    <w:rsid w:val="00543124"/>
    <w:rsid w:val="00543250"/>
    <w:rsid w:val="00544B5E"/>
    <w:rsid w:val="00544F00"/>
    <w:rsid w:val="005476FE"/>
    <w:rsid w:val="00547998"/>
    <w:rsid w:val="0055042E"/>
    <w:rsid w:val="00551416"/>
    <w:rsid w:val="0055291C"/>
    <w:rsid w:val="00553465"/>
    <w:rsid w:val="005545E2"/>
    <w:rsid w:val="0055560F"/>
    <w:rsid w:val="00555C8E"/>
    <w:rsid w:val="00557B95"/>
    <w:rsid w:val="0056059C"/>
    <w:rsid w:val="005608A7"/>
    <w:rsid w:val="00560B11"/>
    <w:rsid w:val="00560FD5"/>
    <w:rsid w:val="00561179"/>
    <w:rsid w:val="00561FCA"/>
    <w:rsid w:val="00561FF3"/>
    <w:rsid w:val="0056250D"/>
    <w:rsid w:val="0056266B"/>
    <w:rsid w:val="005628BE"/>
    <w:rsid w:val="0056416C"/>
    <w:rsid w:val="0056453C"/>
    <w:rsid w:val="005649C5"/>
    <w:rsid w:val="00565191"/>
    <w:rsid w:val="00566023"/>
    <w:rsid w:val="0056681B"/>
    <w:rsid w:val="0056690B"/>
    <w:rsid w:val="00566E32"/>
    <w:rsid w:val="00567183"/>
    <w:rsid w:val="00567F75"/>
    <w:rsid w:val="0057033B"/>
    <w:rsid w:val="00570454"/>
    <w:rsid w:val="00571026"/>
    <w:rsid w:val="0057139F"/>
    <w:rsid w:val="00571A2B"/>
    <w:rsid w:val="0057205F"/>
    <w:rsid w:val="0057216B"/>
    <w:rsid w:val="005721F8"/>
    <w:rsid w:val="005723A5"/>
    <w:rsid w:val="005726A6"/>
    <w:rsid w:val="00572A9A"/>
    <w:rsid w:val="005732CA"/>
    <w:rsid w:val="005737A1"/>
    <w:rsid w:val="00574337"/>
    <w:rsid w:val="00575FB7"/>
    <w:rsid w:val="0057634B"/>
    <w:rsid w:val="00576B20"/>
    <w:rsid w:val="00576C52"/>
    <w:rsid w:val="00576D37"/>
    <w:rsid w:val="00580010"/>
    <w:rsid w:val="00581908"/>
    <w:rsid w:val="00581F89"/>
    <w:rsid w:val="0058226B"/>
    <w:rsid w:val="005824CA"/>
    <w:rsid w:val="0058266D"/>
    <w:rsid w:val="005827D1"/>
    <w:rsid w:val="00582B05"/>
    <w:rsid w:val="00582C4C"/>
    <w:rsid w:val="005832F6"/>
    <w:rsid w:val="005835D5"/>
    <w:rsid w:val="00583B39"/>
    <w:rsid w:val="00583D50"/>
    <w:rsid w:val="00585B87"/>
    <w:rsid w:val="0058667D"/>
    <w:rsid w:val="005872AC"/>
    <w:rsid w:val="00587A73"/>
    <w:rsid w:val="005912E5"/>
    <w:rsid w:val="005916BB"/>
    <w:rsid w:val="00591870"/>
    <w:rsid w:val="005920AC"/>
    <w:rsid w:val="00593459"/>
    <w:rsid w:val="00594802"/>
    <w:rsid w:val="00595857"/>
    <w:rsid w:val="00595C84"/>
    <w:rsid w:val="00596298"/>
    <w:rsid w:val="00596353"/>
    <w:rsid w:val="005964CB"/>
    <w:rsid w:val="005A040B"/>
    <w:rsid w:val="005A1341"/>
    <w:rsid w:val="005A1F23"/>
    <w:rsid w:val="005A2109"/>
    <w:rsid w:val="005A27BF"/>
    <w:rsid w:val="005A33DA"/>
    <w:rsid w:val="005A3DCA"/>
    <w:rsid w:val="005A3FF9"/>
    <w:rsid w:val="005A5023"/>
    <w:rsid w:val="005A564F"/>
    <w:rsid w:val="005A5E5C"/>
    <w:rsid w:val="005A6C62"/>
    <w:rsid w:val="005A7239"/>
    <w:rsid w:val="005A7A46"/>
    <w:rsid w:val="005A7B1F"/>
    <w:rsid w:val="005B007A"/>
    <w:rsid w:val="005B083C"/>
    <w:rsid w:val="005B2CDD"/>
    <w:rsid w:val="005B2E61"/>
    <w:rsid w:val="005B3F5F"/>
    <w:rsid w:val="005B404D"/>
    <w:rsid w:val="005B4BB9"/>
    <w:rsid w:val="005B5146"/>
    <w:rsid w:val="005B5334"/>
    <w:rsid w:val="005B53DC"/>
    <w:rsid w:val="005B6166"/>
    <w:rsid w:val="005B65F0"/>
    <w:rsid w:val="005B72F2"/>
    <w:rsid w:val="005B7F17"/>
    <w:rsid w:val="005B7FD8"/>
    <w:rsid w:val="005C01E8"/>
    <w:rsid w:val="005C0419"/>
    <w:rsid w:val="005C10C0"/>
    <w:rsid w:val="005C1410"/>
    <w:rsid w:val="005C1FD8"/>
    <w:rsid w:val="005C35C7"/>
    <w:rsid w:val="005C3850"/>
    <w:rsid w:val="005C3E2B"/>
    <w:rsid w:val="005C3E47"/>
    <w:rsid w:val="005C3E80"/>
    <w:rsid w:val="005C3F19"/>
    <w:rsid w:val="005C40BF"/>
    <w:rsid w:val="005C410F"/>
    <w:rsid w:val="005C4DA1"/>
    <w:rsid w:val="005C58B7"/>
    <w:rsid w:val="005D1331"/>
    <w:rsid w:val="005D138D"/>
    <w:rsid w:val="005D164E"/>
    <w:rsid w:val="005D1C65"/>
    <w:rsid w:val="005D25FB"/>
    <w:rsid w:val="005D3071"/>
    <w:rsid w:val="005D3A44"/>
    <w:rsid w:val="005D3FE8"/>
    <w:rsid w:val="005D467F"/>
    <w:rsid w:val="005D4C2D"/>
    <w:rsid w:val="005D5928"/>
    <w:rsid w:val="005D6311"/>
    <w:rsid w:val="005D729E"/>
    <w:rsid w:val="005D7588"/>
    <w:rsid w:val="005D7847"/>
    <w:rsid w:val="005D79F2"/>
    <w:rsid w:val="005E045E"/>
    <w:rsid w:val="005E0BD4"/>
    <w:rsid w:val="005E0EEA"/>
    <w:rsid w:val="005E1110"/>
    <w:rsid w:val="005E16BC"/>
    <w:rsid w:val="005E1B9F"/>
    <w:rsid w:val="005E1E4E"/>
    <w:rsid w:val="005E2152"/>
    <w:rsid w:val="005E2EC8"/>
    <w:rsid w:val="005E370C"/>
    <w:rsid w:val="005E3BCF"/>
    <w:rsid w:val="005E3EA9"/>
    <w:rsid w:val="005E46D0"/>
    <w:rsid w:val="005E49C9"/>
    <w:rsid w:val="005E574D"/>
    <w:rsid w:val="005E5B70"/>
    <w:rsid w:val="005E5FF8"/>
    <w:rsid w:val="005E664B"/>
    <w:rsid w:val="005E6D4E"/>
    <w:rsid w:val="005F0141"/>
    <w:rsid w:val="005F0CAD"/>
    <w:rsid w:val="005F15FE"/>
    <w:rsid w:val="005F1851"/>
    <w:rsid w:val="005F1B48"/>
    <w:rsid w:val="005F1BF8"/>
    <w:rsid w:val="005F25E7"/>
    <w:rsid w:val="005F26A7"/>
    <w:rsid w:val="005F39DE"/>
    <w:rsid w:val="005F3FB2"/>
    <w:rsid w:val="005F49A0"/>
    <w:rsid w:val="005F4D04"/>
    <w:rsid w:val="005F50EE"/>
    <w:rsid w:val="005F585D"/>
    <w:rsid w:val="005F5C89"/>
    <w:rsid w:val="005F5D58"/>
    <w:rsid w:val="005F6154"/>
    <w:rsid w:val="005F6ECA"/>
    <w:rsid w:val="005F7EA7"/>
    <w:rsid w:val="005F7F5F"/>
    <w:rsid w:val="00600472"/>
    <w:rsid w:val="00600C9F"/>
    <w:rsid w:val="006011D6"/>
    <w:rsid w:val="00601314"/>
    <w:rsid w:val="006014E0"/>
    <w:rsid w:val="006020C3"/>
    <w:rsid w:val="006020D5"/>
    <w:rsid w:val="006029A6"/>
    <w:rsid w:val="00602B12"/>
    <w:rsid w:val="00602B18"/>
    <w:rsid w:val="00602D44"/>
    <w:rsid w:val="00602E9A"/>
    <w:rsid w:val="00602EBF"/>
    <w:rsid w:val="006049D1"/>
    <w:rsid w:val="0060596B"/>
    <w:rsid w:val="00605B6E"/>
    <w:rsid w:val="00605EFB"/>
    <w:rsid w:val="00606928"/>
    <w:rsid w:val="00606F81"/>
    <w:rsid w:val="0060700B"/>
    <w:rsid w:val="0060717E"/>
    <w:rsid w:val="00610264"/>
    <w:rsid w:val="00610549"/>
    <w:rsid w:val="00610667"/>
    <w:rsid w:val="0061074F"/>
    <w:rsid w:val="00611345"/>
    <w:rsid w:val="006114AE"/>
    <w:rsid w:val="00611C0A"/>
    <w:rsid w:val="00612211"/>
    <w:rsid w:val="006134B8"/>
    <w:rsid w:val="00613679"/>
    <w:rsid w:val="00613738"/>
    <w:rsid w:val="0061430D"/>
    <w:rsid w:val="00614344"/>
    <w:rsid w:val="00616468"/>
    <w:rsid w:val="00616A30"/>
    <w:rsid w:val="00616C27"/>
    <w:rsid w:val="00617CC9"/>
    <w:rsid w:val="00620220"/>
    <w:rsid w:val="00621D63"/>
    <w:rsid w:val="00622238"/>
    <w:rsid w:val="00622A90"/>
    <w:rsid w:val="006239A9"/>
    <w:rsid w:val="00623D7C"/>
    <w:rsid w:val="006249DF"/>
    <w:rsid w:val="00624B43"/>
    <w:rsid w:val="00624F4D"/>
    <w:rsid w:val="006250ED"/>
    <w:rsid w:val="0062593E"/>
    <w:rsid w:val="006266BD"/>
    <w:rsid w:val="0062708D"/>
    <w:rsid w:val="0062713B"/>
    <w:rsid w:val="00627295"/>
    <w:rsid w:val="00627780"/>
    <w:rsid w:val="00630131"/>
    <w:rsid w:val="00630B2B"/>
    <w:rsid w:val="0063110B"/>
    <w:rsid w:val="006312E9"/>
    <w:rsid w:val="00631AEF"/>
    <w:rsid w:val="00632FDF"/>
    <w:rsid w:val="00633265"/>
    <w:rsid w:val="0063387F"/>
    <w:rsid w:val="00633A3E"/>
    <w:rsid w:val="00635355"/>
    <w:rsid w:val="00635720"/>
    <w:rsid w:val="00640358"/>
    <w:rsid w:val="006411F4"/>
    <w:rsid w:val="00641303"/>
    <w:rsid w:val="00641ED3"/>
    <w:rsid w:val="00642D1B"/>
    <w:rsid w:val="00642FDA"/>
    <w:rsid w:val="006432BC"/>
    <w:rsid w:val="00643B6B"/>
    <w:rsid w:val="00643BC0"/>
    <w:rsid w:val="00644276"/>
    <w:rsid w:val="00644382"/>
    <w:rsid w:val="00645B25"/>
    <w:rsid w:val="00645D15"/>
    <w:rsid w:val="00646724"/>
    <w:rsid w:val="00646C1C"/>
    <w:rsid w:val="006477D7"/>
    <w:rsid w:val="006503FC"/>
    <w:rsid w:val="00650A7F"/>
    <w:rsid w:val="0065112D"/>
    <w:rsid w:val="0065253D"/>
    <w:rsid w:val="00654EDA"/>
    <w:rsid w:val="0065590D"/>
    <w:rsid w:val="00655DE0"/>
    <w:rsid w:val="006566C3"/>
    <w:rsid w:val="006577B3"/>
    <w:rsid w:val="00657E2C"/>
    <w:rsid w:val="00660AC5"/>
    <w:rsid w:val="00660D70"/>
    <w:rsid w:val="00660F53"/>
    <w:rsid w:val="0066216A"/>
    <w:rsid w:val="00662942"/>
    <w:rsid w:val="00663222"/>
    <w:rsid w:val="00663964"/>
    <w:rsid w:val="00664819"/>
    <w:rsid w:val="00664C11"/>
    <w:rsid w:val="00664C99"/>
    <w:rsid w:val="00664EB6"/>
    <w:rsid w:val="00665010"/>
    <w:rsid w:val="00665F59"/>
    <w:rsid w:val="006663CB"/>
    <w:rsid w:val="006665AC"/>
    <w:rsid w:val="00666A94"/>
    <w:rsid w:val="00670048"/>
    <w:rsid w:val="00670259"/>
    <w:rsid w:val="006702A8"/>
    <w:rsid w:val="00671462"/>
    <w:rsid w:val="00672177"/>
    <w:rsid w:val="0067302B"/>
    <w:rsid w:val="0067357D"/>
    <w:rsid w:val="00673B06"/>
    <w:rsid w:val="00673DAE"/>
    <w:rsid w:val="0067401D"/>
    <w:rsid w:val="006746C5"/>
    <w:rsid w:val="006756AB"/>
    <w:rsid w:val="00675A11"/>
    <w:rsid w:val="00675A5E"/>
    <w:rsid w:val="00675DF0"/>
    <w:rsid w:val="00677559"/>
    <w:rsid w:val="0068028D"/>
    <w:rsid w:val="0068063F"/>
    <w:rsid w:val="00680A51"/>
    <w:rsid w:val="00680D85"/>
    <w:rsid w:val="00682249"/>
    <w:rsid w:val="006827A4"/>
    <w:rsid w:val="00682C7C"/>
    <w:rsid w:val="00684699"/>
    <w:rsid w:val="00684E54"/>
    <w:rsid w:val="0068541F"/>
    <w:rsid w:val="006855ED"/>
    <w:rsid w:val="00686904"/>
    <w:rsid w:val="00686BCA"/>
    <w:rsid w:val="00686BE2"/>
    <w:rsid w:val="006874A4"/>
    <w:rsid w:val="00687996"/>
    <w:rsid w:val="0069039C"/>
    <w:rsid w:val="006909C7"/>
    <w:rsid w:val="00691A55"/>
    <w:rsid w:val="00691C76"/>
    <w:rsid w:val="00692D7E"/>
    <w:rsid w:val="00692DA5"/>
    <w:rsid w:val="00694421"/>
    <w:rsid w:val="00694522"/>
    <w:rsid w:val="00694844"/>
    <w:rsid w:val="00694BFF"/>
    <w:rsid w:val="00694FA6"/>
    <w:rsid w:val="00695036"/>
    <w:rsid w:val="00695162"/>
    <w:rsid w:val="006953E7"/>
    <w:rsid w:val="00695651"/>
    <w:rsid w:val="0069598D"/>
    <w:rsid w:val="00696B9E"/>
    <w:rsid w:val="00696EA8"/>
    <w:rsid w:val="0069719F"/>
    <w:rsid w:val="006973D9"/>
    <w:rsid w:val="00697574"/>
    <w:rsid w:val="006A000A"/>
    <w:rsid w:val="006A00BA"/>
    <w:rsid w:val="006A1C9B"/>
    <w:rsid w:val="006A1D6A"/>
    <w:rsid w:val="006A1ED7"/>
    <w:rsid w:val="006A232F"/>
    <w:rsid w:val="006A2676"/>
    <w:rsid w:val="006A303E"/>
    <w:rsid w:val="006A3395"/>
    <w:rsid w:val="006A462C"/>
    <w:rsid w:val="006A50B6"/>
    <w:rsid w:val="006A60E4"/>
    <w:rsid w:val="006A62C6"/>
    <w:rsid w:val="006A6683"/>
    <w:rsid w:val="006A6B30"/>
    <w:rsid w:val="006A7305"/>
    <w:rsid w:val="006B02D9"/>
    <w:rsid w:val="006B02FB"/>
    <w:rsid w:val="006B1578"/>
    <w:rsid w:val="006B1ED1"/>
    <w:rsid w:val="006B1FDA"/>
    <w:rsid w:val="006B302B"/>
    <w:rsid w:val="006B5018"/>
    <w:rsid w:val="006B55AC"/>
    <w:rsid w:val="006B5AE6"/>
    <w:rsid w:val="006B5BE3"/>
    <w:rsid w:val="006B5D7A"/>
    <w:rsid w:val="006B5F6E"/>
    <w:rsid w:val="006B6127"/>
    <w:rsid w:val="006B6789"/>
    <w:rsid w:val="006B6CB7"/>
    <w:rsid w:val="006B73A1"/>
    <w:rsid w:val="006B7D53"/>
    <w:rsid w:val="006C04C0"/>
    <w:rsid w:val="006C0858"/>
    <w:rsid w:val="006C148C"/>
    <w:rsid w:val="006C1498"/>
    <w:rsid w:val="006C158D"/>
    <w:rsid w:val="006C1D51"/>
    <w:rsid w:val="006C219C"/>
    <w:rsid w:val="006C24B0"/>
    <w:rsid w:val="006C2D9F"/>
    <w:rsid w:val="006C30D7"/>
    <w:rsid w:val="006C34C1"/>
    <w:rsid w:val="006C39AD"/>
    <w:rsid w:val="006C40E8"/>
    <w:rsid w:val="006C4828"/>
    <w:rsid w:val="006C4C57"/>
    <w:rsid w:val="006C5A22"/>
    <w:rsid w:val="006C62F9"/>
    <w:rsid w:val="006C7057"/>
    <w:rsid w:val="006C74D8"/>
    <w:rsid w:val="006D01DC"/>
    <w:rsid w:val="006D0856"/>
    <w:rsid w:val="006D1967"/>
    <w:rsid w:val="006D2637"/>
    <w:rsid w:val="006D2985"/>
    <w:rsid w:val="006D2EC8"/>
    <w:rsid w:val="006D37F0"/>
    <w:rsid w:val="006D44C5"/>
    <w:rsid w:val="006D47CF"/>
    <w:rsid w:val="006D4CCE"/>
    <w:rsid w:val="006D51B7"/>
    <w:rsid w:val="006D5939"/>
    <w:rsid w:val="006D5D0C"/>
    <w:rsid w:val="006D5ED9"/>
    <w:rsid w:val="006D5FB5"/>
    <w:rsid w:val="006D6267"/>
    <w:rsid w:val="006D6AE8"/>
    <w:rsid w:val="006D6C14"/>
    <w:rsid w:val="006D7044"/>
    <w:rsid w:val="006D76DE"/>
    <w:rsid w:val="006D7800"/>
    <w:rsid w:val="006D785D"/>
    <w:rsid w:val="006D7A81"/>
    <w:rsid w:val="006D7BDA"/>
    <w:rsid w:val="006D7CC2"/>
    <w:rsid w:val="006D7E19"/>
    <w:rsid w:val="006E08CB"/>
    <w:rsid w:val="006E14DF"/>
    <w:rsid w:val="006E1EFA"/>
    <w:rsid w:val="006E25A5"/>
    <w:rsid w:val="006E27A5"/>
    <w:rsid w:val="006E38E4"/>
    <w:rsid w:val="006E3DF8"/>
    <w:rsid w:val="006E4DEC"/>
    <w:rsid w:val="006E5530"/>
    <w:rsid w:val="006E5581"/>
    <w:rsid w:val="006E5D92"/>
    <w:rsid w:val="006E7047"/>
    <w:rsid w:val="006E7666"/>
    <w:rsid w:val="006E7A99"/>
    <w:rsid w:val="006F068C"/>
    <w:rsid w:val="006F0D93"/>
    <w:rsid w:val="006F1091"/>
    <w:rsid w:val="006F129D"/>
    <w:rsid w:val="006F327A"/>
    <w:rsid w:val="006F4517"/>
    <w:rsid w:val="006F6346"/>
    <w:rsid w:val="006F6AB6"/>
    <w:rsid w:val="006F6C54"/>
    <w:rsid w:val="006F6C55"/>
    <w:rsid w:val="006F7007"/>
    <w:rsid w:val="00700F36"/>
    <w:rsid w:val="00701642"/>
    <w:rsid w:val="007017F4"/>
    <w:rsid w:val="0070194E"/>
    <w:rsid w:val="00703448"/>
    <w:rsid w:val="007038D2"/>
    <w:rsid w:val="00703FB1"/>
    <w:rsid w:val="007040A7"/>
    <w:rsid w:val="007044EC"/>
    <w:rsid w:val="00705095"/>
    <w:rsid w:val="00706BE8"/>
    <w:rsid w:val="007074BF"/>
    <w:rsid w:val="00707CB6"/>
    <w:rsid w:val="00707E7F"/>
    <w:rsid w:val="00710446"/>
    <w:rsid w:val="00710895"/>
    <w:rsid w:val="007113B2"/>
    <w:rsid w:val="00711436"/>
    <w:rsid w:val="0071232B"/>
    <w:rsid w:val="00712589"/>
    <w:rsid w:val="00714675"/>
    <w:rsid w:val="007148FC"/>
    <w:rsid w:val="00715338"/>
    <w:rsid w:val="007153A1"/>
    <w:rsid w:val="007155C8"/>
    <w:rsid w:val="007155ED"/>
    <w:rsid w:val="00715772"/>
    <w:rsid w:val="00715A77"/>
    <w:rsid w:val="00715D8B"/>
    <w:rsid w:val="00716513"/>
    <w:rsid w:val="007165CD"/>
    <w:rsid w:val="00716B46"/>
    <w:rsid w:val="0071760B"/>
    <w:rsid w:val="0071781E"/>
    <w:rsid w:val="00717AD8"/>
    <w:rsid w:val="007214EE"/>
    <w:rsid w:val="0072203F"/>
    <w:rsid w:val="007225A3"/>
    <w:rsid w:val="0072277C"/>
    <w:rsid w:val="00723102"/>
    <w:rsid w:val="00723B8A"/>
    <w:rsid w:val="00724556"/>
    <w:rsid w:val="0072488A"/>
    <w:rsid w:val="00724E1D"/>
    <w:rsid w:val="00725216"/>
    <w:rsid w:val="00725B9A"/>
    <w:rsid w:val="007261F5"/>
    <w:rsid w:val="00726576"/>
    <w:rsid w:val="00726A6E"/>
    <w:rsid w:val="00726E19"/>
    <w:rsid w:val="00727669"/>
    <w:rsid w:val="00730DBF"/>
    <w:rsid w:val="007313FD"/>
    <w:rsid w:val="007322B6"/>
    <w:rsid w:val="00732EBC"/>
    <w:rsid w:val="00735A78"/>
    <w:rsid w:val="00735CE0"/>
    <w:rsid w:val="00735D34"/>
    <w:rsid w:val="007368B0"/>
    <w:rsid w:val="0073713A"/>
    <w:rsid w:val="007371FB"/>
    <w:rsid w:val="0074007B"/>
    <w:rsid w:val="007403AD"/>
    <w:rsid w:val="00740894"/>
    <w:rsid w:val="00741011"/>
    <w:rsid w:val="00741CE0"/>
    <w:rsid w:val="007426B2"/>
    <w:rsid w:val="007427DB"/>
    <w:rsid w:val="00742869"/>
    <w:rsid w:val="00743626"/>
    <w:rsid w:val="00743725"/>
    <w:rsid w:val="00743E86"/>
    <w:rsid w:val="00744BA3"/>
    <w:rsid w:val="00744D85"/>
    <w:rsid w:val="007454B2"/>
    <w:rsid w:val="00745D9D"/>
    <w:rsid w:val="00747D86"/>
    <w:rsid w:val="007508D6"/>
    <w:rsid w:val="00750ABA"/>
    <w:rsid w:val="007515DF"/>
    <w:rsid w:val="0075173E"/>
    <w:rsid w:val="00751D31"/>
    <w:rsid w:val="00752493"/>
    <w:rsid w:val="00752664"/>
    <w:rsid w:val="007526F4"/>
    <w:rsid w:val="007529F7"/>
    <w:rsid w:val="007548E3"/>
    <w:rsid w:val="00754D4D"/>
    <w:rsid w:val="00755D45"/>
    <w:rsid w:val="00755F24"/>
    <w:rsid w:val="00756BD2"/>
    <w:rsid w:val="00756EF6"/>
    <w:rsid w:val="007570C8"/>
    <w:rsid w:val="00757432"/>
    <w:rsid w:val="007575AE"/>
    <w:rsid w:val="00757AE3"/>
    <w:rsid w:val="007607B5"/>
    <w:rsid w:val="0076113E"/>
    <w:rsid w:val="00761450"/>
    <w:rsid w:val="00761735"/>
    <w:rsid w:val="00761986"/>
    <w:rsid w:val="00762844"/>
    <w:rsid w:val="00763246"/>
    <w:rsid w:val="007638D8"/>
    <w:rsid w:val="007646B1"/>
    <w:rsid w:val="00764E41"/>
    <w:rsid w:val="00765153"/>
    <w:rsid w:val="007660B0"/>
    <w:rsid w:val="00766487"/>
    <w:rsid w:val="00766B33"/>
    <w:rsid w:val="00766CCD"/>
    <w:rsid w:val="00766CD1"/>
    <w:rsid w:val="00766D31"/>
    <w:rsid w:val="00766E5C"/>
    <w:rsid w:val="0076715B"/>
    <w:rsid w:val="00767D3B"/>
    <w:rsid w:val="0077084B"/>
    <w:rsid w:val="00771BEF"/>
    <w:rsid w:val="007724AD"/>
    <w:rsid w:val="00773362"/>
    <w:rsid w:val="00773596"/>
    <w:rsid w:val="00774D71"/>
    <w:rsid w:val="00775646"/>
    <w:rsid w:val="007764D3"/>
    <w:rsid w:val="00776547"/>
    <w:rsid w:val="00776A32"/>
    <w:rsid w:val="00776C17"/>
    <w:rsid w:val="00780465"/>
    <w:rsid w:val="0078092F"/>
    <w:rsid w:val="00782ABA"/>
    <w:rsid w:val="00782FC7"/>
    <w:rsid w:val="007833B6"/>
    <w:rsid w:val="007853F8"/>
    <w:rsid w:val="007859B9"/>
    <w:rsid w:val="00786294"/>
    <w:rsid w:val="00787879"/>
    <w:rsid w:val="00790D54"/>
    <w:rsid w:val="00791ED4"/>
    <w:rsid w:val="00792CED"/>
    <w:rsid w:val="00793108"/>
    <w:rsid w:val="007932CB"/>
    <w:rsid w:val="00794495"/>
    <w:rsid w:val="00794CB8"/>
    <w:rsid w:val="00794E67"/>
    <w:rsid w:val="007954C7"/>
    <w:rsid w:val="00796A15"/>
    <w:rsid w:val="007970A3"/>
    <w:rsid w:val="007A007A"/>
    <w:rsid w:val="007A010D"/>
    <w:rsid w:val="007A0294"/>
    <w:rsid w:val="007A0D85"/>
    <w:rsid w:val="007A1103"/>
    <w:rsid w:val="007A1648"/>
    <w:rsid w:val="007A2FDA"/>
    <w:rsid w:val="007A307D"/>
    <w:rsid w:val="007A35B7"/>
    <w:rsid w:val="007A35DE"/>
    <w:rsid w:val="007A476C"/>
    <w:rsid w:val="007A5703"/>
    <w:rsid w:val="007A59DC"/>
    <w:rsid w:val="007A7F35"/>
    <w:rsid w:val="007B09D1"/>
    <w:rsid w:val="007B1052"/>
    <w:rsid w:val="007B24B0"/>
    <w:rsid w:val="007B2FBD"/>
    <w:rsid w:val="007B3A81"/>
    <w:rsid w:val="007B3B98"/>
    <w:rsid w:val="007B3D6F"/>
    <w:rsid w:val="007B401E"/>
    <w:rsid w:val="007B48EF"/>
    <w:rsid w:val="007B4D77"/>
    <w:rsid w:val="007B4F32"/>
    <w:rsid w:val="007B5CD5"/>
    <w:rsid w:val="007B63DA"/>
    <w:rsid w:val="007B6435"/>
    <w:rsid w:val="007C0518"/>
    <w:rsid w:val="007C113E"/>
    <w:rsid w:val="007C1450"/>
    <w:rsid w:val="007C1C06"/>
    <w:rsid w:val="007C2FB7"/>
    <w:rsid w:val="007C3A0B"/>
    <w:rsid w:val="007C3DB8"/>
    <w:rsid w:val="007C423F"/>
    <w:rsid w:val="007C43E3"/>
    <w:rsid w:val="007C4760"/>
    <w:rsid w:val="007C4DC7"/>
    <w:rsid w:val="007C4EAF"/>
    <w:rsid w:val="007C50E7"/>
    <w:rsid w:val="007C5224"/>
    <w:rsid w:val="007C5540"/>
    <w:rsid w:val="007C57E3"/>
    <w:rsid w:val="007C5BFA"/>
    <w:rsid w:val="007C5C26"/>
    <w:rsid w:val="007C6AD7"/>
    <w:rsid w:val="007C6C87"/>
    <w:rsid w:val="007C6CBE"/>
    <w:rsid w:val="007C7421"/>
    <w:rsid w:val="007C7B9D"/>
    <w:rsid w:val="007D0130"/>
    <w:rsid w:val="007D08B8"/>
    <w:rsid w:val="007D12DA"/>
    <w:rsid w:val="007D1336"/>
    <w:rsid w:val="007D23C3"/>
    <w:rsid w:val="007D2A31"/>
    <w:rsid w:val="007D2AC3"/>
    <w:rsid w:val="007D2EC2"/>
    <w:rsid w:val="007D4461"/>
    <w:rsid w:val="007D5118"/>
    <w:rsid w:val="007E02ED"/>
    <w:rsid w:val="007E08D3"/>
    <w:rsid w:val="007E0DA3"/>
    <w:rsid w:val="007E15AB"/>
    <w:rsid w:val="007E19FF"/>
    <w:rsid w:val="007E1CEB"/>
    <w:rsid w:val="007E2541"/>
    <w:rsid w:val="007E2F7E"/>
    <w:rsid w:val="007E3524"/>
    <w:rsid w:val="007E4EFA"/>
    <w:rsid w:val="007E5BF1"/>
    <w:rsid w:val="007E5E70"/>
    <w:rsid w:val="007E6CEC"/>
    <w:rsid w:val="007E7EF4"/>
    <w:rsid w:val="007F106E"/>
    <w:rsid w:val="007F12DF"/>
    <w:rsid w:val="007F168B"/>
    <w:rsid w:val="007F188B"/>
    <w:rsid w:val="007F1F48"/>
    <w:rsid w:val="007F20A6"/>
    <w:rsid w:val="007F2524"/>
    <w:rsid w:val="007F2747"/>
    <w:rsid w:val="007F2F77"/>
    <w:rsid w:val="007F3A46"/>
    <w:rsid w:val="007F42FA"/>
    <w:rsid w:val="007F43BD"/>
    <w:rsid w:val="007F4C3E"/>
    <w:rsid w:val="007F4D86"/>
    <w:rsid w:val="007F4F6E"/>
    <w:rsid w:val="007F5592"/>
    <w:rsid w:val="007F60E8"/>
    <w:rsid w:val="007F6D2D"/>
    <w:rsid w:val="007F7679"/>
    <w:rsid w:val="007F7A6E"/>
    <w:rsid w:val="007F7B4B"/>
    <w:rsid w:val="007F7F80"/>
    <w:rsid w:val="008003DD"/>
    <w:rsid w:val="00800C19"/>
    <w:rsid w:val="008018A0"/>
    <w:rsid w:val="00801A5C"/>
    <w:rsid w:val="0080391C"/>
    <w:rsid w:val="0080394C"/>
    <w:rsid w:val="00804591"/>
    <w:rsid w:val="00804866"/>
    <w:rsid w:val="00804BD9"/>
    <w:rsid w:val="008050EB"/>
    <w:rsid w:val="008058A3"/>
    <w:rsid w:val="00805A80"/>
    <w:rsid w:val="00805FAD"/>
    <w:rsid w:val="0080687A"/>
    <w:rsid w:val="00807219"/>
    <w:rsid w:val="00810C0D"/>
    <w:rsid w:val="00810CCE"/>
    <w:rsid w:val="008110DA"/>
    <w:rsid w:val="00811989"/>
    <w:rsid w:val="008120B3"/>
    <w:rsid w:val="00812278"/>
    <w:rsid w:val="0081289B"/>
    <w:rsid w:val="00812A73"/>
    <w:rsid w:val="0081410C"/>
    <w:rsid w:val="00814C9C"/>
    <w:rsid w:val="00815FA6"/>
    <w:rsid w:val="0081630E"/>
    <w:rsid w:val="00816893"/>
    <w:rsid w:val="00816DD8"/>
    <w:rsid w:val="00817077"/>
    <w:rsid w:val="00817464"/>
    <w:rsid w:val="00817B22"/>
    <w:rsid w:val="00817FAE"/>
    <w:rsid w:val="00820582"/>
    <w:rsid w:val="008206A7"/>
    <w:rsid w:val="00820AA4"/>
    <w:rsid w:val="00820F0C"/>
    <w:rsid w:val="00820F9B"/>
    <w:rsid w:val="00820FF6"/>
    <w:rsid w:val="00821EA3"/>
    <w:rsid w:val="00822616"/>
    <w:rsid w:val="00823C30"/>
    <w:rsid w:val="00823E18"/>
    <w:rsid w:val="008245A2"/>
    <w:rsid w:val="008249D2"/>
    <w:rsid w:val="00824BDF"/>
    <w:rsid w:val="00825D4C"/>
    <w:rsid w:val="00825D4F"/>
    <w:rsid w:val="00827296"/>
    <w:rsid w:val="008278FF"/>
    <w:rsid w:val="0082791F"/>
    <w:rsid w:val="00827B87"/>
    <w:rsid w:val="00830024"/>
    <w:rsid w:val="008301B7"/>
    <w:rsid w:val="0083075A"/>
    <w:rsid w:val="008309CE"/>
    <w:rsid w:val="00830EFB"/>
    <w:rsid w:val="008314F3"/>
    <w:rsid w:val="00832C31"/>
    <w:rsid w:val="0083304C"/>
    <w:rsid w:val="00833101"/>
    <w:rsid w:val="008353AE"/>
    <w:rsid w:val="00835624"/>
    <w:rsid w:val="0083660F"/>
    <w:rsid w:val="00836CEA"/>
    <w:rsid w:val="00836FF4"/>
    <w:rsid w:val="0084062B"/>
    <w:rsid w:val="00840FCA"/>
    <w:rsid w:val="00842DAC"/>
    <w:rsid w:val="008432BC"/>
    <w:rsid w:val="00844F93"/>
    <w:rsid w:val="008450E3"/>
    <w:rsid w:val="00846191"/>
    <w:rsid w:val="008466B0"/>
    <w:rsid w:val="008467B7"/>
    <w:rsid w:val="00847ECE"/>
    <w:rsid w:val="00847FFC"/>
    <w:rsid w:val="00850091"/>
    <w:rsid w:val="0085140E"/>
    <w:rsid w:val="00852248"/>
    <w:rsid w:val="008524B2"/>
    <w:rsid w:val="00853AAB"/>
    <w:rsid w:val="00854397"/>
    <w:rsid w:val="00854822"/>
    <w:rsid w:val="00855491"/>
    <w:rsid w:val="008561DF"/>
    <w:rsid w:val="00856A71"/>
    <w:rsid w:val="0086014F"/>
    <w:rsid w:val="008609EB"/>
    <w:rsid w:val="0086110D"/>
    <w:rsid w:val="0086111B"/>
    <w:rsid w:val="00861F9C"/>
    <w:rsid w:val="008625AD"/>
    <w:rsid w:val="008631F1"/>
    <w:rsid w:val="00863761"/>
    <w:rsid w:val="00863A53"/>
    <w:rsid w:val="00864AE5"/>
    <w:rsid w:val="00864FA0"/>
    <w:rsid w:val="00865120"/>
    <w:rsid w:val="00866463"/>
    <w:rsid w:val="008667BA"/>
    <w:rsid w:val="00866C6F"/>
    <w:rsid w:val="00867CC5"/>
    <w:rsid w:val="00867EA0"/>
    <w:rsid w:val="00870B70"/>
    <w:rsid w:val="00871E4F"/>
    <w:rsid w:val="008727CA"/>
    <w:rsid w:val="0087283C"/>
    <w:rsid w:val="00872D9D"/>
    <w:rsid w:val="008734B9"/>
    <w:rsid w:val="0087369D"/>
    <w:rsid w:val="00873891"/>
    <w:rsid w:val="00873AF8"/>
    <w:rsid w:val="00873B52"/>
    <w:rsid w:val="00873E2B"/>
    <w:rsid w:val="008741F0"/>
    <w:rsid w:val="008749F5"/>
    <w:rsid w:val="0087515B"/>
    <w:rsid w:val="0087535E"/>
    <w:rsid w:val="0087745B"/>
    <w:rsid w:val="008777F9"/>
    <w:rsid w:val="008800D4"/>
    <w:rsid w:val="0088043A"/>
    <w:rsid w:val="00880682"/>
    <w:rsid w:val="00881486"/>
    <w:rsid w:val="0088186B"/>
    <w:rsid w:val="00881ECB"/>
    <w:rsid w:val="00881F70"/>
    <w:rsid w:val="00882151"/>
    <w:rsid w:val="008826AB"/>
    <w:rsid w:val="008829AE"/>
    <w:rsid w:val="00882BC9"/>
    <w:rsid w:val="008839D5"/>
    <w:rsid w:val="0088462E"/>
    <w:rsid w:val="00885A30"/>
    <w:rsid w:val="00885EF3"/>
    <w:rsid w:val="00885F6A"/>
    <w:rsid w:val="00886036"/>
    <w:rsid w:val="00886543"/>
    <w:rsid w:val="0088704F"/>
    <w:rsid w:val="008875BB"/>
    <w:rsid w:val="008877B5"/>
    <w:rsid w:val="00890609"/>
    <w:rsid w:val="00890768"/>
    <w:rsid w:val="00890E36"/>
    <w:rsid w:val="00891179"/>
    <w:rsid w:val="008913E8"/>
    <w:rsid w:val="00892661"/>
    <w:rsid w:val="0089337E"/>
    <w:rsid w:val="008933BE"/>
    <w:rsid w:val="008933CB"/>
    <w:rsid w:val="00893AC6"/>
    <w:rsid w:val="008941DF"/>
    <w:rsid w:val="00894515"/>
    <w:rsid w:val="00894FC1"/>
    <w:rsid w:val="00895142"/>
    <w:rsid w:val="00895DED"/>
    <w:rsid w:val="0089785D"/>
    <w:rsid w:val="008978E4"/>
    <w:rsid w:val="00897FF6"/>
    <w:rsid w:val="008A12A0"/>
    <w:rsid w:val="008A2270"/>
    <w:rsid w:val="008A23C3"/>
    <w:rsid w:val="008A2662"/>
    <w:rsid w:val="008A2DD3"/>
    <w:rsid w:val="008A3236"/>
    <w:rsid w:val="008A36BE"/>
    <w:rsid w:val="008A36FA"/>
    <w:rsid w:val="008A4D1B"/>
    <w:rsid w:val="008A584E"/>
    <w:rsid w:val="008A5E7D"/>
    <w:rsid w:val="008A6101"/>
    <w:rsid w:val="008A6483"/>
    <w:rsid w:val="008A658D"/>
    <w:rsid w:val="008A669A"/>
    <w:rsid w:val="008A6739"/>
    <w:rsid w:val="008A6A65"/>
    <w:rsid w:val="008A6B42"/>
    <w:rsid w:val="008A70F4"/>
    <w:rsid w:val="008B097C"/>
    <w:rsid w:val="008B1BD6"/>
    <w:rsid w:val="008B2B5A"/>
    <w:rsid w:val="008B387F"/>
    <w:rsid w:val="008B4237"/>
    <w:rsid w:val="008B494C"/>
    <w:rsid w:val="008B527F"/>
    <w:rsid w:val="008B6D33"/>
    <w:rsid w:val="008B7633"/>
    <w:rsid w:val="008B7AEE"/>
    <w:rsid w:val="008C04DA"/>
    <w:rsid w:val="008C07EC"/>
    <w:rsid w:val="008C0982"/>
    <w:rsid w:val="008C0EA8"/>
    <w:rsid w:val="008C161B"/>
    <w:rsid w:val="008C17E7"/>
    <w:rsid w:val="008C1AE4"/>
    <w:rsid w:val="008C21E8"/>
    <w:rsid w:val="008C26C2"/>
    <w:rsid w:val="008C3ED2"/>
    <w:rsid w:val="008C4855"/>
    <w:rsid w:val="008C5936"/>
    <w:rsid w:val="008C5F88"/>
    <w:rsid w:val="008C6563"/>
    <w:rsid w:val="008C6AD1"/>
    <w:rsid w:val="008C742A"/>
    <w:rsid w:val="008D06D4"/>
    <w:rsid w:val="008D14DE"/>
    <w:rsid w:val="008D1868"/>
    <w:rsid w:val="008D1BD5"/>
    <w:rsid w:val="008D342C"/>
    <w:rsid w:val="008D3542"/>
    <w:rsid w:val="008D3806"/>
    <w:rsid w:val="008D39D4"/>
    <w:rsid w:val="008D4A06"/>
    <w:rsid w:val="008D52E3"/>
    <w:rsid w:val="008D5910"/>
    <w:rsid w:val="008D68F6"/>
    <w:rsid w:val="008D7B18"/>
    <w:rsid w:val="008E04FA"/>
    <w:rsid w:val="008E09AC"/>
    <w:rsid w:val="008E0F5B"/>
    <w:rsid w:val="008E1026"/>
    <w:rsid w:val="008E128A"/>
    <w:rsid w:val="008E2143"/>
    <w:rsid w:val="008E35FB"/>
    <w:rsid w:val="008E3756"/>
    <w:rsid w:val="008E3CAC"/>
    <w:rsid w:val="008E4D72"/>
    <w:rsid w:val="008E4E9B"/>
    <w:rsid w:val="008E4F8A"/>
    <w:rsid w:val="008E627E"/>
    <w:rsid w:val="008E6600"/>
    <w:rsid w:val="008E7210"/>
    <w:rsid w:val="008E723F"/>
    <w:rsid w:val="008E72EF"/>
    <w:rsid w:val="008E7A7D"/>
    <w:rsid w:val="008E7D3B"/>
    <w:rsid w:val="008E7E2D"/>
    <w:rsid w:val="008F0058"/>
    <w:rsid w:val="008F06F2"/>
    <w:rsid w:val="008F1257"/>
    <w:rsid w:val="008F164E"/>
    <w:rsid w:val="008F2077"/>
    <w:rsid w:val="008F2147"/>
    <w:rsid w:val="008F27AE"/>
    <w:rsid w:val="008F3EA9"/>
    <w:rsid w:val="008F4226"/>
    <w:rsid w:val="008F47C0"/>
    <w:rsid w:val="008F567A"/>
    <w:rsid w:val="008F5F57"/>
    <w:rsid w:val="008F6131"/>
    <w:rsid w:val="008F62E3"/>
    <w:rsid w:val="008F6BD3"/>
    <w:rsid w:val="008F6D14"/>
    <w:rsid w:val="008F7445"/>
    <w:rsid w:val="008F7615"/>
    <w:rsid w:val="008F7991"/>
    <w:rsid w:val="008F7A2E"/>
    <w:rsid w:val="0090073D"/>
    <w:rsid w:val="00900B75"/>
    <w:rsid w:val="00902233"/>
    <w:rsid w:val="00902F52"/>
    <w:rsid w:val="00904897"/>
    <w:rsid w:val="0090532C"/>
    <w:rsid w:val="00905784"/>
    <w:rsid w:val="00905E21"/>
    <w:rsid w:val="0090623C"/>
    <w:rsid w:val="00906B73"/>
    <w:rsid w:val="0090750F"/>
    <w:rsid w:val="009101DB"/>
    <w:rsid w:val="00910E26"/>
    <w:rsid w:val="00911F9C"/>
    <w:rsid w:val="00912DCD"/>
    <w:rsid w:val="00913002"/>
    <w:rsid w:val="0091337C"/>
    <w:rsid w:val="00914085"/>
    <w:rsid w:val="00914756"/>
    <w:rsid w:val="00914AB3"/>
    <w:rsid w:val="00914AC6"/>
    <w:rsid w:val="00914CE3"/>
    <w:rsid w:val="00915FA4"/>
    <w:rsid w:val="009161E8"/>
    <w:rsid w:val="00916459"/>
    <w:rsid w:val="009165C7"/>
    <w:rsid w:val="009168A8"/>
    <w:rsid w:val="00916AAD"/>
    <w:rsid w:val="00917B19"/>
    <w:rsid w:val="009220A1"/>
    <w:rsid w:val="009227C3"/>
    <w:rsid w:val="0092283E"/>
    <w:rsid w:val="009233DA"/>
    <w:rsid w:val="00924899"/>
    <w:rsid w:val="009251B4"/>
    <w:rsid w:val="00925268"/>
    <w:rsid w:val="00925F51"/>
    <w:rsid w:val="00926482"/>
    <w:rsid w:val="00926B3F"/>
    <w:rsid w:val="00926BF5"/>
    <w:rsid w:val="00926D37"/>
    <w:rsid w:val="00927C70"/>
    <w:rsid w:val="00927E1D"/>
    <w:rsid w:val="00927F1F"/>
    <w:rsid w:val="009312A3"/>
    <w:rsid w:val="00931E89"/>
    <w:rsid w:val="00931FB3"/>
    <w:rsid w:val="009320B6"/>
    <w:rsid w:val="0093218A"/>
    <w:rsid w:val="009323DC"/>
    <w:rsid w:val="0093286B"/>
    <w:rsid w:val="00932C30"/>
    <w:rsid w:val="00932CB9"/>
    <w:rsid w:val="0093398E"/>
    <w:rsid w:val="00933F5B"/>
    <w:rsid w:val="009343DE"/>
    <w:rsid w:val="00934874"/>
    <w:rsid w:val="009350CA"/>
    <w:rsid w:val="00936464"/>
    <w:rsid w:val="00936D8C"/>
    <w:rsid w:val="0093762B"/>
    <w:rsid w:val="009402D0"/>
    <w:rsid w:val="00940428"/>
    <w:rsid w:val="00940556"/>
    <w:rsid w:val="00940647"/>
    <w:rsid w:val="009410DE"/>
    <w:rsid w:val="00941152"/>
    <w:rsid w:val="009412A9"/>
    <w:rsid w:val="0094188E"/>
    <w:rsid w:val="00942291"/>
    <w:rsid w:val="00942C57"/>
    <w:rsid w:val="00943695"/>
    <w:rsid w:val="0094401D"/>
    <w:rsid w:val="00944335"/>
    <w:rsid w:val="00945082"/>
    <w:rsid w:val="009462D1"/>
    <w:rsid w:val="00946AC0"/>
    <w:rsid w:val="009501CB"/>
    <w:rsid w:val="009502AF"/>
    <w:rsid w:val="009508A4"/>
    <w:rsid w:val="00950B3A"/>
    <w:rsid w:val="00951F5B"/>
    <w:rsid w:val="00952B28"/>
    <w:rsid w:val="00953BFE"/>
    <w:rsid w:val="0095427F"/>
    <w:rsid w:val="009546D4"/>
    <w:rsid w:val="00954759"/>
    <w:rsid w:val="009549AB"/>
    <w:rsid w:val="00954FC7"/>
    <w:rsid w:val="00955A8F"/>
    <w:rsid w:val="009562B7"/>
    <w:rsid w:val="009566E5"/>
    <w:rsid w:val="00956A14"/>
    <w:rsid w:val="00956CAA"/>
    <w:rsid w:val="00956CFD"/>
    <w:rsid w:val="0095724A"/>
    <w:rsid w:val="00957984"/>
    <w:rsid w:val="009579A2"/>
    <w:rsid w:val="009602EC"/>
    <w:rsid w:val="00960964"/>
    <w:rsid w:val="00960FF9"/>
    <w:rsid w:val="00961260"/>
    <w:rsid w:val="0096145B"/>
    <w:rsid w:val="00961514"/>
    <w:rsid w:val="00963051"/>
    <w:rsid w:val="00963102"/>
    <w:rsid w:val="00963537"/>
    <w:rsid w:val="00964365"/>
    <w:rsid w:val="009648BA"/>
    <w:rsid w:val="009649E8"/>
    <w:rsid w:val="00965B28"/>
    <w:rsid w:val="00965DCD"/>
    <w:rsid w:val="00966486"/>
    <w:rsid w:val="00966578"/>
    <w:rsid w:val="009667EA"/>
    <w:rsid w:val="00966D58"/>
    <w:rsid w:val="00966E22"/>
    <w:rsid w:val="00967D5E"/>
    <w:rsid w:val="00970FDA"/>
    <w:rsid w:val="00971593"/>
    <w:rsid w:val="009719FA"/>
    <w:rsid w:val="00971CD0"/>
    <w:rsid w:val="00972315"/>
    <w:rsid w:val="0097281B"/>
    <w:rsid w:val="00973F1F"/>
    <w:rsid w:val="00974904"/>
    <w:rsid w:val="00974C94"/>
    <w:rsid w:val="00976A7D"/>
    <w:rsid w:val="00976DB6"/>
    <w:rsid w:val="00977DB1"/>
    <w:rsid w:val="0098021B"/>
    <w:rsid w:val="00980818"/>
    <w:rsid w:val="00980876"/>
    <w:rsid w:val="00981646"/>
    <w:rsid w:val="00981865"/>
    <w:rsid w:val="00983957"/>
    <w:rsid w:val="00983998"/>
    <w:rsid w:val="00983FE2"/>
    <w:rsid w:val="00984BC5"/>
    <w:rsid w:val="00984CAF"/>
    <w:rsid w:val="009853D9"/>
    <w:rsid w:val="00985409"/>
    <w:rsid w:val="0098633C"/>
    <w:rsid w:val="0098646F"/>
    <w:rsid w:val="00986A92"/>
    <w:rsid w:val="0099092F"/>
    <w:rsid w:val="009913AA"/>
    <w:rsid w:val="0099197F"/>
    <w:rsid w:val="009919C5"/>
    <w:rsid w:val="00992BFE"/>
    <w:rsid w:val="009931E2"/>
    <w:rsid w:val="00993BA9"/>
    <w:rsid w:val="0099542B"/>
    <w:rsid w:val="009956EF"/>
    <w:rsid w:val="0099631A"/>
    <w:rsid w:val="00996415"/>
    <w:rsid w:val="0099697F"/>
    <w:rsid w:val="00996EC9"/>
    <w:rsid w:val="009975E1"/>
    <w:rsid w:val="00997715"/>
    <w:rsid w:val="00997A61"/>
    <w:rsid w:val="00997D85"/>
    <w:rsid w:val="00997E0F"/>
    <w:rsid w:val="00997E9A"/>
    <w:rsid w:val="009A0883"/>
    <w:rsid w:val="009A1227"/>
    <w:rsid w:val="009A2E12"/>
    <w:rsid w:val="009A3B34"/>
    <w:rsid w:val="009A46D1"/>
    <w:rsid w:val="009A49CF"/>
    <w:rsid w:val="009A4C29"/>
    <w:rsid w:val="009A4FE6"/>
    <w:rsid w:val="009A504F"/>
    <w:rsid w:val="009A5437"/>
    <w:rsid w:val="009A5CF0"/>
    <w:rsid w:val="009B04AE"/>
    <w:rsid w:val="009B1455"/>
    <w:rsid w:val="009B2633"/>
    <w:rsid w:val="009B3441"/>
    <w:rsid w:val="009B3CEC"/>
    <w:rsid w:val="009B3FC3"/>
    <w:rsid w:val="009B4276"/>
    <w:rsid w:val="009B4644"/>
    <w:rsid w:val="009B52A5"/>
    <w:rsid w:val="009B564E"/>
    <w:rsid w:val="009B71C2"/>
    <w:rsid w:val="009B793B"/>
    <w:rsid w:val="009B7DE5"/>
    <w:rsid w:val="009B7EE6"/>
    <w:rsid w:val="009C004A"/>
    <w:rsid w:val="009C02F0"/>
    <w:rsid w:val="009C0CB7"/>
    <w:rsid w:val="009C0D81"/>
    <w:rsid w:val="009C1075"/>
    <w:rsid w:val="009C168B"/>
    <w:rsid w:val="009C2332"/>
    <w:rsid w:val="009C348B"/>
    <w:rsid w:val="009C3583"/>
    <w:rsid w:val="009C3A6B"/>
    <w:rsid w:val="009C3F60"/>
    <w:rsid w:val="009C47BD"/>
    <w:rsid w:val="009C5061"/>
    <w:rsid w:val="009C5173"/>
    <w:rsid w:val="009C5579"/>
    <w:rsid w:val="009C6F71"/>
    <w:rsid w:val="009C736D"/>
    <w:rsid w:val="009C7D23"/>
    <w:rsid w:val="009D0104"/>
    <w:rsid w:val="009D0E2C"/>
    <w:rsid w:val="009D1650"/>
    <w:rsid w:val="009D1E04"/>
    <w:rsid w:val="009D2AD3"/>
    <w:rsid w:val="009D2E31"/>
    <w:rsid w:val="009D2EE8"/>
    <w:rsid w:val="009D32F8"/>
    <w:rsid w:val="009D3C09"/>
    <w:rsid w:val="009D4404"/>
    <w:rsid w:val="009D4C03"/>
    <w:rsid w:val="009D4D72"/>
    <w:rsid w:val="009D52AE"/>
    <w:rsid w:val="009D56DA"/>
    <w:rsid w:val="009D5A05"/>
    <w:rsid w:val="009D6043"/>
    <w:rsid w:val="009D6249"/>
    <w:rsid w:val="009D68BF"/>
    <w:rsid w:val="009D700B"/>
    <w:rsid w:val="009D796A"/>
    <w:rsid w:val="009D7FB3"/>
    <w:rsid w:val="009E04DD"/>
    <w:rsid w:val="009E079D"/>
    <w:rsid w:val="009E0892"/>
    <w:rsid w:val="009E141E"/>
    <w:rsid w:val="009E195F"/>
    <w:rsid w:val="009E24AC"/>
    <w:rsid w:val="009E3BA1"/>
    <w:rsid w:val="009E3BC1"/>
    <w:rsid w:val="009E3D5B"/>
    <w:rsid w:val="009E4068"/>
    <w:rsid w:val="009E50F9"/>
    <w:rsid w:val="009E55D6"/>
    <w:rsid w:val="009E5857"/>
    <w:rsid w:val="009E5AA0"/>
    <w:rsid w:val="009E5B6F"/>
    <w:rsid w:val="009E5F04"/>
    <w:rsid w:val="009F1268"/>
    <w:rsid w:val="009F15E3"/>
    <w:rsid w:val="009F190A"/>
    <w:rsid w:val="009F19C1"/>
    <w:rsid w:val="009F20C6"/>
    <w:rsid w:val="009F2BEB"/>
    <w:rsid w:val="009F3579"/>
    <w:rsid w:val="009F4D6B"/>
    <w:rsid w:val="009F4E73"/>
    <w:rsid w:val="009F635D"/>
    <w:rsid w:val="009F6A5E"/>
    <w:rsid w:val="009F6DC0"/>
    <w:rsid w:val="009F6F6D"/>
    <w:rsid w:val="009F7275"/>
    <w:rsid w:val="00A00E1B"/>
    <w:rsid w:val="00A00E8F"/>
    <w:rsid w:val="00A01BBE"/>
    <w:rsid w:val="00A02100"/>
    <w:rsid w:val="00A02373"/>
    <w:rsid w:val="00A0250D"/>
    <w:rsid w:val="00A026A8"/>
    <w:rsid w:val="00A03836"/>
    <w:rsid w:val="00A051C5"/>
    <w:rsid w:val="00A05388"/>
    <w:rsid w:val="00A05F97"/>
    <w:rsid w:val="00A06FF8"/>
    <w:rsid w:val="00A07A0B"/>
    <w:rsid w:val="00A07C25"/>
    <w:rsid w:val="00A10169"/>
    <w:rsid w:val="00A10249"/>
    <w:rsid w:val="00A107E8"/>
    <w:rsid w:val="00A10886"/>
    <w:rsid w:val="00A10E87"/>
    <w:rsid w:val="00A1103B"/>
    <w:rsid w:val="00A113EB"/>
    <w:rsid w:val="00A11977"/>
    <w:rsid w:val="00A11DC8"/>
    <w:rsid w:val="00A12837"/>
    <w:rsid w:val="00A12DDE"/>
    <w:rsid w:val="00A13106"/>
    <w:rsid w:val="00A1396E"/>
    <w:rsid w:val="00A13CB3"/>
    <w:rsid w:val="00A14C6E"/>
    <w:rsid w:val="00A15982"/>
    <w:rsid w:val="00A16257"/>
    <w:rsid w:val="00A16414"/>
    <w:rsid w:val="00A16621"/>
    <w:rsid w:val="00A16815"/>
    <w:rsid w:val="00A16C1E"/>
    <w:rsid w:val="00A17653"/>
    <w:rsid w:val="00A1780B"/>
    <w:rsid w:val="00A20BDA"/>
    <w:rsid w:val="00A2185D"/>
    <w:rsid w:val="00A21C76"/>
    <w:rsid w:val="00A222F2"/>
    <w:rsid w:val="00A22B8A"/>
    <w:rsid w:val="00A24947"/>
    <w:rsid w:val="00A25315"/>
    <w:rsid w:val="00A2551B"/>
    <w:rsid w:val="00A2590C"/>
    <w:rsid w:val="00A25A85"/>
    <w:rsid w:val="00A25AEA"/>
    <w:rsid w:val="00A27D9B"/>
    <w:rsid w:val="00A3010E"/>
    <w:rsid w:val="00A30689"/>
    <w:rsid w:val="00A3233A"/>
    <w:rsid w:val="00A32628"/>
    <w:rsid w:val="00A33250"/>
    <w:rsid w:val="00A33C57"/>
    <w:rsid w:val="00A33EF2"/>
    <w:rsid w:val="00A34741"/>
    <w:rsid w:val="00A35811"/>
    <w:rsid w:val="00A35F40"/>
    <w:rsid w:val="00A36D63"/>
    <w:rsid w:val="00A37AB1"/>
    <w:rsid w:val="00A41622"/>
    <w:rsid w:val="00A41ABA"/>
    <w:rsid w:val="00A42258"/>
    <w:rsid w:val="00A43489"/>
    <w:rsid w:val="00A438CD"/>
    <w:rsid w:val="00A43F07"/>
    <w:rsid w:val="00A43FAD"/>
    <w:rsid w:val="00A443EB"/>
    <w:rsid w:val="00A44CC8"/>
    <w:rsid w:val="00A46745"/>
    <w:rsid w:val="00A4727C"/>
    <w:rsid w:val="00A50913"/>
    <w:rsid w:val="00A50F29"/>
    <w:rsid w:val="00A513AB"/>
    <w:rsid w:val="00A513B0"/>
    <w:rsid w:val="00A5287F"/>
    <w:rsid w:val="00A52CA4"/>
    <w:rsid w:val="00A53336"/>
    <w:rsid w:val="00A54D3B"/>
    <w:rsid w:val="00A54E52"/>
    <w:rsid w:val="00A55137"/>
    <w:rsid w:val="00A55B0A"/>
    <w:rsid w:val="00A561B2"/>
    <w:rsid w:val="00A563B2"/>
    <w:rsid w:val="00A56581"/>
    <w:rsid w:val="00A570D8"/>
    <w:rsid w:val="00A57FB7"/>
    <w:rsid w:val="00A60698"/>
    <w:rsid w:val="00A60DED"/>
    <w:rsid w:val="00A6147A"/>
    <w:rsid w:val="00A618A2"/>
    <w:rsid w:val="00A6261F"/>
    <w:rsid w:val="00A634A7"/>
    <w:rsid w:val="00A6394D"/>
    <w:rsid w:val="00A640BA"/>
    <w:rsid w:val="00A644FF"/>
    <w:rsid w:val="00A65807"/>
    <w:rsid w:val="00A66139"/>
    <w:rsid w:val="00A664FC"/>
    <w:rsid w:val="00A67432"/>
    <w:rsid w:val="00A67B4A"/>
    <w:rsid w:val="00A70141"/>
    <w:rsid w:val="00A703D5"/>
    <w:rsid w:val="00A70714"/>
    <w:rsid w:val="00A7113C"/>
    <w:rsid w:val="00A717BA"/>
    <w:rsid w:val="00A71FBF"/>
    <w:rsid w:val="00A73262"/>
    <w:rsid w:val="00A73513"/>
    <w:rsid w:val="00A736D3"/>
    <w:rsid w:val="00A73905"/>
    <w:rsid w:val="00A739C2"/>
    <w:rsid w:val="00A73D45"/>
    <w:rsid w:val="00A741B0"/>
    <w:rsid w:val="00A74989"/>
    <w:rsid w:val="00A74EC5"/>
    <w:rsid w:val="00A75174"/>
    <w:rsid w:val="00A7535E"/>
    <w:rsid w:val="00A75399"/>
    <w:rsid w:val="00A760E0"/>
    <w:rsid w:val="00A7626D"/>
    <w:rsid w:val="00A76C18"/>
    <w:rsid w:val="00A76F08"/>
    <w:rsid w:val="00A77371"/>
    <w:rsid w:val="00A8022D"/>
    <w:rsid w:val="00A804DF"/>
    <w:rsid w:val="00A80F55"/>
    <w:rsid w:val="00A812CE"/>
    <w:rsid w:val="00A812DE"/>
    <w:rsid w:val="00A81713"/>
    <w:rsid w:val="00A8233E"/>
    <w:rsid w:val="00A8245C"/>
    <w:rsid w:val="00A826EA"/>
    <w:rsid w:val="00A82DC3"/>
    <w:rsid w:val="00A83039"/>
    <w:rsid w:val="00A83227"/>
    <w:rsid w:val="00A83845"/>
    <w:rsid w:val="00A84AA2"/>
    <w:rsid w:val="00A851C7"/>
    <w:rsid w:val="00A85327"/>
    <w:rsid w:val="00A854B9"/>
    <w:rsid w:val="00A85D5F"/>
    <w:rsid w:val="00A8790E"/>
    <w:rsid w:val="00A87936"/>
    <w:rsid w:val="00A9074D"/>
    <w:rsid w:val="00A9084C"/>
    <w:rsid w:val="00A90B6A"/>
    <w:rsid w:val="00A90BDC"/>
    <w:rsid w:val="00A91F4B"/>
    <w:rsid w:val="00A92A74"/>
    <w:rsid w:val="00A92BF7"/>
    <w:rsid w:val="00A941C5"/>
    <w:rsid w:val="00A94A0D"/>
    <w:rsid w:val="00A958B5"/>
    <w:rsid w:val="00A9600B"/>
    <w:rsid w:val="00A96306"/>
    <w:rsid w:val="00A96500"/>
    <w:rsid w:val="00A97221"/>
    <w:rsid w:val="00A97C01"/>
    <w:rsid w:val="00A97E61"/>
    <w:rsid w:val="00AA00DC"/>
    <w:rsid w:val="00AA2E0B"/>
    <w:rsid w:val="00AA4124"/>
    <w:rsid w:val="00AA43F1"/>
    <w:rsid w:val="00AA44D7"/>
    <w:rsid w:val="00AA5610"/>
    <w:rsid w:val="00AA5A72"/>
    <w:rsid w:val="00AA7030"/>
    <w:rsid w:val="00AB00BA"/>
    <w:rsid w:val="00AB10E5"/>
    <w:rsid w:val="00AB16F7"/>
    <w:rsid w:val="00AB196F"/>
    <w:rsid w:val="00AB1BF0"/>
    <w:rsid w:val="00AB21C6"/>
    <w:rsid w:val="00AB26CD"/>
    <w:rsid w:val="00AB28FA"/>
    <w:rsid w:val="00AB298C"/>
    <w:rsid w:val="00AB2A67"/>
    <w:rsid w:val="00AB2AC5"/>
    <w:rsid w:val="00AB3642"/>
    <w:rsid w:val="00AB4C93"/>
    <w:rsid w:val="00AB57E8"/>
    <w:rsid w:val="00AB5E4C"/>
    <w:rsid w:val="00AB5F72"/>
    <w:rsid w:val="00AB60CB"/>
    <w:rsid w:val="00AB68B2"/>
    <w:rsid w:val="00AB68C6"/>
    <w:rsid w:val="00AB6B93"/>
    <w:rsid w:val="00AB6C56"/>
    <w:rsid w:val="00AB7063"/>
    <w:rsid w:val="00AB7614"/>
    <w:rsid w:val="00AB7617"/>
    <w:rsid w:val="00AB77A3"/>
    <w:rsid w:val="00AC02C7"/>
    <w:rsid w:val="00AC05EE"/>
    <w:rsid w:val="00AC06C2"/>
    <w:rsid w:val="00AC09BC"/>
    <w:rsid w:val="00AC1003"/>
    <w:rsid w:val="00AC138A"/>
    <w:rsid w:val="00AC1B12"/>
    <w:rsid w:val="00AC24C9"/>
    <w:rsid w:val="00AC395B"/>
    <w:rsid w:val="00AC39D1"/>
    <w:rsid w:val="00AC4578"/>
    <w:rsid w:val="00AC46F3"/>
    <w:rsid w:val="00AC5A11"/>
    <w:rsid w:val="00AC5BC1"/>
    <w:rsid w:val="00AC6906"/>
    <w:rsid w:val="00AC7234"/>
    <w:rsid w:val="00AC7640"/>
    <w:rsid w:val="00AC7680"/>
    <w:rsid w:val="00AC771A"/>
    <w:rsid w:val="00AC7B9E"/>
    <w:rsid w:val="00AD1133"/>
    <w:rsid w:val="00AD1772"/>
    <w:rsid w:val="00AD1B72"/>
    <w:rsid w:val="00AD2EBC"/>
    <w:rsid w:val="00AD455C"/>
    <w:rsid w:val="00AD49DF"/>
    <w:rsid w:val="00AD7310"/>
    <w:rsid w:val="00AD7854"/>
    <w:rsid w:val="00AD79CC"/>
    <w:rsid w:val="00AD7EEF"/>
    <w:rsid w:val="00AE09B8"/>
    <w:rsid w:val="00AE1AD9"/>
    <w:rsid w:val="00AE212D"/>
    <w:rsid w:val="00AE28F5"/>
    <w:rsid w:val="00AE2AFD"/>
    <w:rsid w:val="00AE2DBB"/>
    <w:rsid w:val="00AE4063"/>
    <w:rsid w:val="00AE4E8B"/>
    <w:rsid w:val="00AE5CC3"/>
    <w:rsid w:val="00AE5D28"/>
    <w:rsid w:val="00AE6E5B"/>
    <w:rsid w:val="00AE708B"/>
    <w:rsid w:val="00AE72E2"/>
    <w:rsid w:val="00AE776E"/>
    <w:rsid w:val="00AE7E28"/>
    <w:rsid w:val="00AF0D8B"/>
    <w:rsid w:val="00AF1916"/>
    <w:rsid w:val="00AF1A9B"/>
    <w:rsid w:val="00AF20CA"/>
    <w:rsid w:val="00AF262C"/>
    <w:rsid w:val="00AF3A09"/>
    <w:rsid w:val="00AF40D2"/>
    <w:rsid w:val="00AF5460"/>
    <w:rsid w:val="00AF566B"/>
    <w:rsid w:val="00AF66CF"/>
    <w:rsid w:val="00AF6AD2"/>
    <w:rsid w:val="00AF6DF8"/>
    <w:rsid w:val="00AF7A46"/>
    <w:rsid w:val="00AF7CFB"/>
    <w:rsid w:val="00AF7FCC"/>
    <w:rsid w:val="00B00247"/>
    <w:rsid w:val="00B008E0"/>
    <w:rsid w:val="00B00C2E"/>
    <w:rsid w:val="00B0100D"/>
    <w:rsid w:val="00B0170E"/>
    <w:rsid w:val="00B01AF2"/>
    <w:rsid w:val="00B01B69"/>
    <w:rsid w:val="00B024DA"/>
    <w:rsid w:val="00B02DDC"/>
    <w:rsid w:val="00B0349E"/>
    <w:rsid w:val="00B03601"/>
    <w:rsid w:val="00B03B81"/>
    <w:rsid w:val="00B049FF"/>
    <w:rsid w:val="00B04ABA"/>
    <w:rsid w:val="00B04C42"/>
    <w:rsid w:val="00B0560E"/>
    <w:rsid w:val="00B07152"/>
    <w:rsid w:val="00B07154"/>
    <w:rsid w:val="00B074F6"/>
    <w:rsid w:val="00B10C19"/>
    <w:rsid w:val="00B10E51"/>
    <w:rsid w:val="00B10E9C"/>
    <w:rsid w:val="00B118F7"/>
    <w:rsid w:val="00B11B2E"/>
    <w:rsid w:val="00B12B10"/>
    <w:rsid w:val="00B130B6"/>
    <w:rsid w:val="00B13597"/>
    <w:rsid w:val="00B14BC5"/>
    <w:rsid w:val="00B161F6"/>
    <w:rsid w:val="00B174BF"/>
    <w:rsid w:val="00B176FA"/>
    <w:rsid w:val="00B17A22"/>
    <w:rsid w:val="00B17FE2"/>
    <w:rsid w:val="00B2020C"/>
    <w:rsid w:val="00B2033C"/>
    <w:rsid w:val="00B20F00"/>
    <w:rsid w:val="00B220BD"/>
    <w:rsid w:val="00B23147"/>
    <w:rsid w:val="00B23F8F"/>
    <w:rsid w:val="00B246AB"/>
    <w:rsid w:val="00B250B9"/>
    <w:rsid w:val="00B2538B"/>
    <w:rsid w:val="00B25C66"/>
    <w:rsid w:val="00B25CF1"/>
    <w:rsid w:val="00B25FA8"/>
    <w:rsid w:val="00B26431"/>
    <w:rsid w:val="00B27665"/>
    <w:rsid w:val="00B279B3"/>
    <w:rsid w:val="00B309B6"/>
    <w:rsid w:val="00B31251"/>
    <w:rsid w:val="00B31327"/>
    <w:rsid w:val="00B3165F"/>
    <w:rsid w:val="00B31A7A"/>
    <w:rsid w:val="00B32272"/>
    <w:rsid w:val="00B32779"/>
    <w:rsid w:val="00B32CCF"/>
    <w:rsid w:val="00B32D1F"/>
    <w:rsid w:val="00B32F49"/>
    <w:rsid w:val="00B33593"/>
    <w:rsid w:val="00B33B05"/>
    <w:rsid w:val="00B347A1"/>
    <w:rsid w:val="00B34A22"/>
    <w:rsid w:val="00B34B2A"/>
    <w:rsid w:val="00B35123"/>
    <w:rsid w:val="00B358A1"/>
    <w:rsid w:val="00B35BDC"/>
    <w:rsid w:val="00B368AA"/>
    <w:rsid w:val="00B36F5F"/>
    <w:rsid w:val="00B376D4"/>
    <w:rsid w:val="00B40C32"/>
    <w:rsid w:val="00B416AA"/>
    <w:rsid w:val="00B41869"/>
    <w:rsid w:val="00B42172"/>
    <w:rsid w:val="00B42476"/>
    <w:rsid w:val="00B424A1"/>
    <w:rsid w:val="00B428A3"/>
    <w:rsid w:val="00B42C54"/>
    <w:rsid w:val="00B42DC3"/>
    <w:rsid w:val="00B42FC4"/>
    <w:rsid w:val="00B43EDC"/>
    <w:rsid w:val="00B4443B"/>
    <w:rsid w:val="00B44833"/>
    <w:rsid w:val="00B44E6D"/>
    <w:rsid w:val="00B44F36"/>
    <w:rsid w:val="00B4599E"/>
    <w:rsid w:val="00B45C70"/>
    <w:rsid w:val="00B468B5"/>
    <w:rsid w:val="00B47278"/>
    <w:rsid w:val="00B474CA"/>
    <w:rsid w:val="00B504C5"/>
    <w:rsid w:val="00B50AAB"/>
    <w:rsid w:val="00B527EB"/>
    <w:rsid w:val="00B52F19"/>
    <w:rsid w:val="00B53096"/>
    <w:rsid w:val="00B53718"/>
    <w:rsid w:val="00B53D0B"/>
    <w:rsid w:val="00B54290"/>
    <w:rsid w:val="00B545A3"/>
    <w:rsid w:val="00B5582E"/>
    <w:rsid w:val="00B5593C"/>
    <w:rsid w:val="00B55C93"/>
    <w:rsid w:val="00B55D57"/>
    <w:rsid w:val="00B56892"/>
    <w:rsid w:val="00B5693D"/>
    <w:rsid w:val="00B575BB"/>
    <w:rsid w:val="00B57BA0"/>
    <w:rsid w:val="00B57DAC"/>
    <w:rsid w:val="00B60937"/>
    <w:rsid w:val="00B613F2"/>
    <w:rsid w:val="00B614B0"/>
    <w:rsid w:val="00B6182C"/>
    <w:rsid w:val="00B62184"/>
    <w:rsid w:val="00B62406"/>
    <w:rsid w:val="00B62614"/>
    <w:rsid w:val="00B6272F"/>
    <w:rsid w:val="00B628CF"/>
    <w:rsid w:val="00B62ADC"/>
    <w:rsid w:val="00B62D86"/>
    <w:rsid w:val="00B63D45"/>
    <w:rsid w:val="00B63DD8"/>
    <w:rsid w:val="00B63EE3"/>
    <w:rsid w:val="00B64B34"/>
    <w:rsid w:val="00B64EB2"/>
    <w:rsid w:val="00B653CB"/>
    <w:rsid w:val="00B65E74"/>
    <w:rsid w:val="00B65F23"/>
    <w:rsid w:val="00B66746"/>
    <w:rsid w:val="00B66C0B"/>
    <w:rsid w:val="00B670A5"/>
    <w:rsid w:val="00B67408"/>
    <w:rsid w:val="00B67422"/>
    <w:rsid w:val="00B702D4"/>
    <w:rsid w:val="00B71246"/>
    <w:rsid w:val="00B714B8"/>
    <w:rsid w:val="00B729C2"/>
    <w:rsid w:val="00B72C4B"/>
    <w:rsid w:val="00B72F67"/>
    <w:rsid w:val="00B73B64"/>
    <w:rsid w:val="00B74339"/>
    <w:rsid w:val="00B745BC"/>
    <w:rsid w:val="00B74901"/>
    <w:rsid w:val="00B75830"/>
    <w:rsid w:val="00B761C6"/>
    <w:rsid w:val="00B76869"/>
    <w:rsid w:val="00B76A0E"/>
    <w:rsid w:val="00B76FFA"/>
    <w:rsid w:val="00B775B6"/>
    <w:rsid w:val="00B800E5"/>
    <w:rsid w:val="00B80535"/>
    <w:rsid w:val="00B80796"/>
    <w:rsid w:val="00B80D85"/>
    <w:rsid w:val="00B80E94"/>
    <w:rsid w:val="00B80F63"/>
    <w:rsid w:val="00B8166F"/>
    <w:rsid w:val="00B81D4F"/>
    <w:rsid w:val="00B85066"/>
    <w:rsid w:val="00B85183"/>
    <w:rsid w:val="00B85ABB"/>
    <w:rsid w:val="00B86082"/>
    <w:rsid w:val="00B86136"/>
    <w:rsid w:val="00B866B5"/>
    <w:rsid w:val="00B86BF8"/>
    <w:rsid w:val="00B871AD"/>
    <w:rsid w:val="00B872CC"/>
    <w:rsid w:val="00B8792B"/>
    <w:rsid w:val="00B87F40"/>
    <w:rsid w:val="00B9014A"/>
    <w:rsid w:val="00B90308"/>
    <w:rsid w:val="00B91089"/>
    <w:rsid w:val="00B92941"/>
    <w:rsid w:val="00B9483E"/>
    <w:rsid w:val="00B9484B"/>
    <w:rsid w:val="00B953D3"/>
    <w:rsid w:val="00B95498"/>
    <w:rsid w:val="00B960C9"/>
    <w:rsid w:val="00B9670A"/>
    <w:rsid w:val="00B97160"/>
    <w:rsid w:val="00BA0B28"/>
    <w:rsid w:val="00BA229C"/>
    <w:rsid w:val="00BA34EE"/>
    <w:rsid w:val="00BA35A4"/>
    <w:rsid w:val="00BA39FC"/>
    <w:rsid w:val="00BA5DF8"/>
    <w:rsid w:val="00BA6390"/>
    <w:rsid w:val="00BA6B32"/>
    <w:rsid w:val="00BA7146"/>
    <w:rsid w:val="00BA71D7"/>
    <w:rsid w:val="00BA7498"/>
    <w:rsid w:val="00BA7B35"/>
    <w:rsid w:val="00BA7F81"/>
    <w:rsid w:val="00BB0957"/>
    <w:rsid w:val="00BB0B8A"/>
    <w:rsid w:val="00BB0EDB"/>
    <w:rsid w:val="00BB1A1F"/>
    <w:rsid w:val="00BB29EE"/>
    <w:rsid w:val="00BB382B"/>
    <w:rsid w:val="00BB45D4"/>
    <w:rsid w:val="00BB5474"/>
    <w:rsid w:val="00BB5661"/>
    <w:rsid w:val="00BB5890"/>
    <w:rsid w:val="00BB5AF2"/>
    <w:rsid w:val="00BB5B4D"/>
    <w:rsid w:val="00BB6A3A"/>
    <w:rsid w:val="00BB7C12"/>
    <w:rsid w:val="00BB7F59"/>
    <w:rsid w:val="00BB7FDE"/>
    <w:rsid w:val="00BC08B1"/>
    <w:rsid w:val="00BC1812"/>
    <w:rsid w:val="00BC1876"/>
    <w:rsid w:val="00BC1DAB"/>
    <w:rsid w:val="00BC1E9A"/>
    <w:rsid w:val="00BC2B14"/>
    <w:rsid w:val="00BC2BE8"/>
    <w:rsid w:val="00BC30DE"/>
    <w:rsid w:val="00BC3415"/>
    <w:rsid w:val="00BC3EAD"/>
    <w:rsid w:val="00BC672E"/>
    <w:rsid w:val="00BC677F"/>
    <w:rsid w:val="00BC71A7"/>
    <w:rsid w:val="00BC745E"/>
    <w:rsid w:val="00BC74BF"/>
    <w:rsid w:val="00BC7561"/>
    <w:rsid w:val="00BC7CF2"/>
    <w:rsid w:val="00BC7E07"/>
    <w:rsid w:val="00BD06FB"/>
    <w:rsid w:val="00BD08C1"/>
    <w:rsid w:val="00BD1327"/>
    <w:rsid w:val="00BD19F8"/>
    <w:rsid w:val="00BD1B83"/>
    <w:rsid w:val="00BD2896"/>
    <w:rsid w:val="00BD3448"/>
    <w:rsid w:val="00BD389A"/>
    <w:rsid w:val="00BD3B7F"/>
    <w:rsid w:val="00BD4CAB"/>
    <w:rsid w:val="00BD4E10"/>
    <w:rsid w:val="00BD5DDF"/>
    <w:rsid w:val="00BD5F33"/>
    <w:rsid w:val="00BD66DA"/>
    <w:rsid w:val="00BD7E45"/>
    <w:rsid w:val="00BE0885"/>
    <w:rsid w:val="00BE09E3"/>
    <w:rsid w:val="00BE09F5"/>
    <w:rsid w:val="00BE0DF7"/>
    <w:rsid w:val="00BE24BF"/>
    <w:rsid w:val="00BE289B"/>
    <w:rsid w:val="00BE2C7D"/>
    <w:rsid w:val="00BE2F11"/>
    <w:rsid w:val="00BE3347"/>
    <w:rsid w:val="00BE41F9"/>
    <w:rsid w:val="00BE4B7D"/>
    <w:rsid w:val="00BE573B"/>
    <w:rsid w:val="00BE57DB"/>
    <w:rsid w:val="00BE5893"/>
    <w:rsid w:val="00BE6929"/>
    <w:rsid w:val="00BE6E1B"/>
    <w:rsid w:val="00BE776C"/>
    <w:rsid w:val="00BE7CAA"/>
    <w:rsid w:val="00BF0778"/>
    <w:rsid w:val="00BF0788"/>
    <w:rsid w:val="00BF07A1"/>
    <w:rsid w:val="00BF0F71"/>
    <w:rsid w:val="00BF23AB"/>
    <w:rsid w:val="00BF293A"/>
    <w:rsid w:val="00BF3A11"/>
    <w:rsid w:val="00BF49D3"/>
    <w:rsid w:val="00BF5592"/>
    <w:rsid w:val="00BF58D5"/>
    <w:rsid w:val="00BF5F41"/>
    <w:rsid w:val="00BF67D1"/>
    <w:rsid w:val="00BF6D71"/>
    <w:rsid w:val="00BF76AF"/>
    <w:rsid w:val="00BF76E4"/>
    <w:rsid w:val="00C004CF"/>
    <w:rsid w:val="00C00797"/>
    <w:rsid w:val="00C0085E"/>
    <w:rsid w:val="00C01527"/>
    <w:rsid w:val="00C01861"/>
    <w:rsid w:val="00C01C6A"/>
    <w:rsid w:val="00C03290"/>
    <w:rsid w:val="00C041BC"/>
    <w:rsid w:val="00C04516"/>
    <w:rsid w:val="00C04AD6"/>
    <w:rsid w:val="00C04D20"/>
    <w:rsid w:val="00C04DDB"/>
    <w:rsid w:val="00C04F25"/>
    <w:rsid w:val="00C05059"/>
    <w:rsid w:val="00C050B6"/>
    <w:rsid w:val="00C05216"/>
    <w:rsid w:val="00C058D8"/>
    <w:rsid w:val="00C073AB"/>
    <w:rsid w:val="00C078FD"/>
    <w:rsid w:val="00C07E91"/>
    <w:rsid w:val="00C07E9F"/>
    <w:rsid w:val="00C1046B"/>
    <w:rsid w:val="00C1146A"/>
    <w:rsid w:val="00C114D1"/>
    <w:rsid w:val="00C114F1"/>
    <w:rsid w:val="00C115E8"/>
    <w:rsid w:val="00C11763"/>
    <w:rsid w:val="00C12972"/>
    <w:rsid w:val="00C12FE3"/>
    <w:rsid w:val="00C13535"/>
    <w:rsid w:val="00C13907"/>
    <w:rsid w:val="00C1416B"/>
    <w:rsid w:val="00C1433B"/>
    <w:rsid w:val="00C14815"/>
    <w:rsid w:val="00C14A3A"/>
    <w:rsid w:val="00C17D49"/>
    <w:rsid w:val="00C17E40"/>
    <w:rsid w:val="00C200C4"/>
    <w:rsid w:val="00C20116"/>
    <w:rsid w:val="00C20119"/>
    <w:rsid w:val="00C20502"/>
    <w:rsid w:val="00C20769"/>
    <w:rsid w:val="00C20F31"/>
    <w:rsid w:val="00C21178"/>
    <w:rsid w:val="00C223A5"/>
    <w:rsid w:val="00C229B0"/>
    <w:rsid w:val="00C23A91"/>
    <w:rsid w:val="00C240A9"/>
    <w:rsid w:val="00C24EA4"/>
    <w:rsid w:val="00C25606"/>
    <w:rsid w:val="00C25BAB"/>
    <w:rsid w:val="00C25C43"/>
    <w:rsid w:val="00C26340"/>
    <w:rsid w:val="00C30189"/>
    <w:rsid w:val="00C307C9"/>
    <w:rsid w:val="00C30C13"/>
    <w:rsid w:val="00C31021"/>
    <w:rsid w:val="00C3259D"/>
    <w:rsid w:val="00C34234"/>
    <w:rsid w:val="00C34C42"/>
    <w:rsid w:val="00C34C7E"/>
    <w:rsid w:val="00C34CF3"/>
    <w:rsid w:val="00C35305"/>
    <w:rsid w:val="00C36178"/>
    <w:rsid w:val="00C37F05"/>
    <w:rsid w:val="00C400A4"/>
    <w:rsid w:val="00C41856"/>
    <w:rsid w:val="00C41A1C"/>
    <w:rsid w:val="00C42A9F"/>
    <w:rsid w:val="00C42F21"/>
    <w:rsid w:val="00C4361F"/>
    <w:rsid w:val="00C437E7"/>
    <w:rsid w:val="00C43BC2"/>
    <w:rsid w:val="00C43DBA"/>
    <w:rsid w:val="00C440F5"/>
    <w:rsid w:val="00C445EC"/>
    <w:rsid w:val="00C44A84"/>
    <w:rsid w:val="00C45254"/>
    <w:rsid w:val="00C45768"/>
    <w:rsid w:val="00C4653F"/>
    <w:rsid w:val="00C468C3"/>
    <w:rsid w:val="00C501E1"/>
    <w:rsid w:val="00C5052D"/>
    <w:rsid w:val="00C505A8"/>
    <w:rsid w:val="00C517DD"/>
    <w:rsid w:val="00C5288F"/>
    <w:rsid w:val="00C544CB"/>
    <w:rsid w:val="00C545DE"/>
    <w:rsid w:val="00C54FE4"/>
    <w:rsid w:val="00C5551F"/>
    <w:rsid w:val="00C556B7"/>
    <w:rsid w:val="00C55DB5"/>
    <w:rsid w:val="00C56119"/>
    <w:rsid w:val="00C5729C"/>
    <w:rsid w:val="00C57399"/>
    <w:rsid w:val="00C57E4C"/>
    <w:rsid w:val="00C57EDB"/>
    <w:rsid w:val="00C61634"/>
    <w:rsid w:val="00C61C1F"/>
    <w:rsid w:val="00C61FF3"/>
    <w:rsid w:val="00C6228A"/>
    <w:rsid w:val="00C624B6"/>
    <w:rsid w:val="00C630A7"/>
    <w:rsid w:val="00C63CF9"/>
    <w:rsid w:val="00C6426C"/>
    <w:rsid w:val="00C643CD"/>
    <w:rsid w:val="00C64F64"/>
    <w:rsid w:val="00C65AAE"/>
    <w:rsid w:val="00C662F9"/>
    <w:rsid w:val="00C6662F"/>
    <w:rsid w:val="00C66A8A"/>
    <w:rsid w:val="00C673B0"/>
    <w:rsid w:val="00C6741C"/>
    <w:rsid w:val="00C67480"/>
    <w:rsid w:val="00C67A8A"/>
    <w:rsid w:val="00C67E02"/>
    <w:rsid w:val="00C702F7"/>
    <w:rsid w:val="00C703FF"/>
    <w:rsid w:val="00C709E6"/>
    <w:rsid w:val="00C70AC2"/>
    <w:rsid w:val="00C71736"/>
    <w:rsid w:val="00C71887"/>
    <w:rsid w:val="00C72A23"/>
    <w:rsid w:val="00C72DBC"/>
    <w:rsid w:val="00C72E58"/>
    <w:rsid w:val="00C72EA6"/>
    <w:rsid w:val="00C73043"/>
    <w:rsid w:val="00C7307E"/>
    <w:rsid w:val="00C734FE"/>
    <w:rsid w:val="00C73E2C"/>
    <w:rsid w:val="00C74104"/>
    <w:rsid w:val="00C761A3"/>
    <w:rsid w:val="00C76C63"/>
    <w:rsid w:val="00C77150"/>
    <w:rsid w:val="00C77209"/>
    <w:rsid w:val="00C77CE0"/>
    <w:rsid w:val="00C77F79"/>
    <w:rsid w:val="00C813DE"/>
    <w:rsid w:val="00C81414"/>
    <w:rsid w:val="00C8166B"/>
    <w:rsid w:val="00C824F7"/>
    <w:rsid w:val="00C838E6"/>
    <w:rsid w:val="00C859AE"/>
    <w:rsid w:val="00C87AEC"/>
    <w:rsid w:val="00C87DC4"/>
    <w:rsid w:val="00C90FC3"/>
    <w:rsid w:val="00C91353"/>
    <w:rsid w:val="00C91C05"/>
    <w:rsid w:val="00C92764"/>
    <w:rsid w:val="00C927C5"/>
    <w:rsid w:val="00C929D8"/>
    <w:rsid w:val="00C92FB3"/>
    <w:rsid w:val="00C938D9"/>
    <w:rsid w:val="00C94103"/>
    <w:rsid w:val="00C94371"/>
    <w:rsid w:val="00C9456B"/>
    <w:rsid w:val="00C95165"/>
    <w:rsid w:val="00C95A5B"/>
    <w:rsid w:val="00C95E5E"/>
    <w:rsid w:val="00C9680C"/>
    <w:rsid w:val="00C96F24"/>
    <w:rsid w:val="00C97497"/>
    <w:rsid w:val="00C975D3"/>
    <w:rsid w:val="00C97F25"/>
    <w:rsid w:val="00C97FF4"/>
    <w:rsid w:val="00CA045B"/>
    <w:rsid w:val="00CA0DF2"/>
    <w:rsid w:val="00CA0FF3"/>
    <w:rsid w:val="00CA11E1"/>
    <w:rsid w:val="00CA269E"/>
    <w:rsid w:val="00CA2973"/>
    <w:rsid w:val="00CA2CD6"/>
    <w:rsid w:val="00CA3075"/>
    <w:rsid w:val="00CA3559"/>
    <w:rsid w:val="00CA35D2"/>
    <w:rsid w:val="00CA4115"/>
    <w:rsid w:val="00CA4370"/>
    <w:rsid w:val="00CA4814"/>
    <w:rsid w:val="00CA4AFF"/>
    <w:rsid w:val="00CA4C23"/>
    <w:rsid w:val="00CA4ED6"/>
    <w:rsid w:val="00CA5489"/>
    <w:rsid w:val="00CA5520"/>
    <w:rsid w:val="00CA5BEE"/>
    <w:rsid w:val="00CA755F"/>
    <w:rsid w:val="00CA7DEF"/>
    <w:rsid w:val="00CA7EEC"/>
    <w:rsid w:val="00CB0C49"/>
    <w:rsid w:val="00CB0E63"/>
    <w:rsid w:val="00CB11E9"/>
    <w:rsid w:val="00CB19E0"/>
    <w:rsid w:val="00CB1C88"/>
    <w:rsid w:val="00CB2112"/>
    <w:rsid w:val="00CB24D7"/>
    <w:rsid w:val="00CB2D85"/>
    <w:rsid w:val="00CB35F7"/>
    <w:rsid w:val="00CB3FA5"/>
    <w:rsid w:val="00CB4024"/>
    <w:rsid w:val="00CB458E"/>
    <w:rsid w:val="00CB4D7B"/>
    <w:rsid w:val="00CB5025"/>
    <w:rsid w:val="00CB51F6"/>
    <w:rsid w:val="00CB5951"/>
    <w:rsid w:val="00CB5A2A"/>
    <w:rsid w:val="00CB5A99"/>
    <w:rsid w:val="00CB5CA9"/>
    <w:rsid w:val="00CB6B34"/>
    <w:rsid w:val="00CB6D12"/>
    <w:rsid w:val="00CB6FA1"/>
    <w:rsid w:val="00CB71C4"/>
    <w:rsid w:val="00CB7520"/>
    <w:rsid w:val="00CC0D3F"/>
    <w:rsid w:val="00CC0DB3"/>
    <w:rsid w:val="00CC2EBD"/>
    <w:rsid w:val="00CC39CE"/>
    <w:rsid w:val="00CC3CF9"/>
    <w:rsid w:val="00CC4BFB"/>
    <w:rsid w:val="00CC5011"/>
    <w:rsid w:val="00CC52FC"/>
    <w:rsid w:val="00CC56FF"/>
    <w:rsid w:val="00CC6708"/>
    <w:rsid w:val="00CC6889"/>
    <w:rsid w:val="00CC74C8"/>
    <w:rsid w:val="00CC7727"/>
    <w:rsid w:val="00CC7E65"/>
    <w:rsid w:val="00CD0043"/>
    <w:rsid w:val="00CD0072"/>
    <w:rsid w:val="00CD0BAA"/>
    <w:rsid w:val="00CD1CDF"/>
    <w:rsid w:val="00CD3182"/>
    <w:rsid w:val="00CD3FA1"/>
    <w:rsid w:val="00CD59D5"/>
    <w:rsid w:val="00CD7809"/>
    <w:rsid w:val="00CD7D95"/>
    <w:rsid w:val="00CE0DD3"/>
    <w:rsid w:val="00CE11DB"/>
    <w:rsid w:val="00CE2FA6"/>
    <w:rsid w:val="00CE31F2"/>
    <w:rsid w:val="00CE352C"/>
    <w:rsid w:val="00CE39AF"/>
    <w:rsid w:val="00CE3A06"/>
    <w:rsid w:val="00CE4768"/>
    <w:rsid w:val="00CE4787"/>
    <w:rsid w:val="00CE52D6"/>
    <w:rsid w:val="00CE587F"/>
    <w:rsid w:val="00CE5BED"/>
    <w:rsid w:val="00CE5C11"/>
    <w:rsid w:val="00CE6608"/>
    <w:rsid w:val="00CE6DCD"/>
    <w:rsid w:val="00CE6E8B"/>
    <w:rsid w:val="00CE702C"/>
    <w:rsid w:val="00CE7247"/>
    <w:rsid w:val="00CE7260"/>
    <w:rsid w:val="00CE7331"/>
    <w:rsid w:val="00CE745C"/>
    <w:rsid w:val="00CE7E50"/>
    <w:rsid w:val="00CE7FA5"/>
    <w:rsid w:val="00CF0462"/>
    <w:rsid w:val="00CF0A1B"/>
    <w:rsid w:val="00CF0A27"/>
    <w:rsid w:val="00CF1212"/>
    <w:rsid w:val="00CF16E8"/>
    <w:rsid w:val="00CF29EC"/>
    <w:rsid w:val="00CF2C38"/>
    <w:rsid w:val="00CF2DC1"/>
    <w:rsid w:val="00CF39D4"/>
    <w:rsid w:val="00CF4185"/>
    <w:rsid w:val="00CF473A"/>
    <w:rsid w:val="00CF47A7"/>
    <w:rsid w:val="00CF4F47"/>
    <w:rsid w:val="00CF5BA7"/>
    <w:rsid w:val="00CF5FF7"/>
    <w:rsid w:val="00CF6813"/>
    <w:rsid w:val="00CF78A6"/>
    <w:rsid w:val="00CF7EED"/>
    <w:rsid w:val="00D0042C"/>
    <w:rsid w:val="00D00535"/>
    <w:rsid w:val="00D00BD3"/>
    <w:rsid w:val="00D00F10"/>
    <w:rsid w:val="00D0144A"/>
    <w:rsid w:val="00D01A7F"/>
    <w:rsid w:val="00D02023"/>
    <w:rsid w:val="00D020E5"/>
    <w:rsid w:val="00D03A76"/>
    <w:rsid w:val="00D03BB6"/>
    <w:rsid w:val="00D04434"/>
    <w:rsid w:val="00D04A3A"/>
    <w:rsid w:val="00D05091"/>
    <w:rsid w:val="00D05A13"/>
    <w:rsid w:val="00D05FA2"/>
    <w:rsid w:val="00D05FB0"/>
    <w:rsid w:val="00D066AB"/>
    <w:rsid w:val="00D07050"/>
    <w:rsid w:val="00D10585"/>
    <w:rsid w:val="00D107C8"/>
    <w:rsid w:val="00D10C36"/>
    <w:rsid w:val="00D11531"/>
    <w:rsid w:val="00D1166B"/>
    <w:rsid w:val="00D12BDE"/>
    <w:rsid w:val="00D12E63"/>
    <w:rsid w:val="00D12F0F"/>
    <w:rsid w:val="00D1392E"/>
    <w:rsid w:val="00D13C63"/>
    <w:rsid w:val="00D13D5B"/>
    <w:rsid w:val="00D145D0"/>
    <w:rsid w:val="00D15040"/>
    <w:rsid w:val="00D16152"/>
    <w:rsid w:val="00D1675C"/>
    <w:rsid w:val="00D1686A"/>
    <w:rsid w:val="00D20151"/>
    <w:rsid w:val="00D20DB3"/>
    <w:rsid w:val="00D21482"/>
    <w:rsid w:val="00D21ACF"/>
    <w:rsid w:val="00D22543"/>
    <w:rsid w:val="00D227C0"/>
    <w:rsid w:val="00D22F24"/>
    <w:rsid w:val="00D231DC"/>
    <w:rsid w:val="00D23645"/>
    <w:rsid w:val="00D2439D"/>
    <w:rsid w:val="00D253D8"/>
    <w:rsid w:val="00D258D4"/>
    <w:rsid w:val="00D25B22"/>
    <w:rsid w:val="00D2752B"/>
    <w:rsid w:val="00D27AA6"/>
    <w:rsid w:val="00D3062C"/>
    <w:rsid w:val="00D30C25"/>
    <w:rsid w:val="00D328E7"/>
    <w:rsid w:val="00D32C88"/>
    <w:rsid w:val="00D33524"/>
    <w:rsid w:val="00D337CC"/>
    <w:rsid w:val="00D33F96"/>
    <w:rsid w:val="00D34024"/>
    <w:rsid w:val="00D3540C"/>
    <w:rsid w:val="00D3565B"/>
    <w:rsid w:val="00D35D1F"/>
    <w:rsid w:val="00D376D2"/>
    <w:rsid w:val="00D377C6"/>
    <w:rsid w:val="00D3792B"/>
    <w:rsid w:val="00D37E47"/>
    <w:rsid w:val="00D40B1F"/>
    <w:rsid w:val="00D41036"/>
    <w:rsid w:val="00D41FA7"/>
    <w:rsid w:val="00D42772"/>
    <w:rsid w:val="00D429BF"/>
    <w:rsid w:val="00D438D0"/>
    <w:rsid w:val="00D43D33"/>
    <w:rsid w:val="00D4400B"/>
    <w:rsid w:val="00D44758"/>
    <w:rsid w:val="00D44760"/>
    <w:rsid w:val="00D44E18"/>
    <w:rsid w:val="00D452B2"/>
    <w:rsid w:val="00D452D9"/>
    <w:rsid w:val="00D4549B"/>
    <w:rsid w:val="00D4618C"/>
    <w:rsid w:val="00D46350"/>
    <w:rsid w:val="00D466BD"/>
    <w:rsid w:val="00D46A4E"/>
    <w:rsid w:val="00D47751"/>
    <w:rsid w:val="00D47CAD"/>
    <w:rsid w:val="00D50F49"/>
    <w:rsid w:val="00D5148D"/>
    <w:rsid w:val="00D5266F"/>
    <w:rsid w:val="00D538E9"/>
    <w:rsid w:val="00D538EA"/>
    <w:rsid w:val="00D53BC0"/>
    <w:rsid w:val="00D542BE"/>
    <w:rsid w:val="00D55B86"/>
    <w:rsid w:val="00D55E4B"/>
    <w:rsid w:val="00D55E9B"/>
    <w:rsid w:val="00D5679C"/>
    <w:rsid w:val="00D56DDB"/>
    <w:rsid w:val="00D578D6"/>
    <w:rsid w:val="00D60183"/>
    <w:rsid w:val="00D61486"/>
    <w:rsid w:val="00D615DE"/>
    <w:rsid w:val="00D6222E"/>
    <w:rsid w:val="00D6249E"/>
    <w:rsid w:val="00D629EA"/>
    <w:rsid w:val="00D635AD"/>
    <w:rsid w:val="00D647C0"/>
    <w:rsid w:val="00D64969"/>
    <w:rsid w:val="00D6577A"/>
    <w:rsid w:val="00D6635D"/>
    <w:rsid w:val="00D664B4"/>
    <w:rsid w:val="00D6712D"/>
    <w:rsid w:val="00D70C6F"/>
    <w:rsid w:val="00D718BC"/>
    <w:rsid w:val="00D73B94"/>
    <w:rsid w:val="00D74241"/>
    <w:rsid w:val="00D753A2"/>
    <w:rsid w:val="00D76718"/>
    <w:rsid w:val="00D76B77"/>
    <w:rsid w:val="00D76E2F"/>
    <w:rsid w:val="00D7702E"/>
    <w:rsid w:val="00D77D5D"/>
    <w:rsid w:val="00D803A7"/>
    <w:rsid w:val="00D80526"/>
    <w:rsid w:val="00D80B79"/>
    <w:rsid w:val="00D80CCC"/>
    <w:rsid w:val="00D81219"/>
    <w:rsid w:val="00D81290"/>
    <w:rsid w:val="00D8131B"/>
    <w:rsid w:val="00D81F33"/>
    <w:rsid w:val="00D82125"/>
    <w:rsid w:val="00D82D59"/>
    <w:rsid w:val="00D82FE0"/>
    <w:rsid w:val="00D83A66"/>
    <w:rsid w:val="00D83C3F"/>
    <w:rsid w:val="00D83F7E"/>
    <w:rsid w:val="00D847C2"/>
    <w:rsid w:val="00D853D7"/>
    <w:rsid w:val="00D86EA9"/>
    <w:rsid w:val="00D876DC"/>
    <w:rsid w:val="00D87F90"/>
    <w:rsid w:val="00D904A6"/>
    <w:rsid w:val="00D90E42"/>
    <w:rsid w:val="00D91166"/>
    <w:rsid w:val="00D9194B"/>
    <w:rsid w:val="00D9196C"/>
    <w:rsid w:val="00D930FB"/>
    <w:rsid w:val="00D9326C"/>
    <w:rsid w:val="00D93BA1"/>
    <w:rsid w:val="00D93C71"/>
    <w:rsid w:val="00D946C3"/>
    <w:rsid w:val="00D94EB8"/>
    <w:rsid w:val="00D95082"/>
    <w:rsid w:val="00D9583B"/>
    <w:rsid w:val="00D965C2"/>
    <w:rsid w:val="00D96BE1"/>
    <w:rsid w:val="00D96CEE"/>
    <w:rsid w:val="00D97B5B"/>
    <w:rsid w:val="00DA153A"/>
    <w:rsid w:val="00DA2466"/>
    <w:rsid w:val="00DA2664"/>
    <w:rsid w:val="00DA34BC"/>
    <w:rsid w:val="00DA3E03"/>
    <w:rsid w:val="00DA3E35"/>
    <w:rsid w:val="00DA40B7"/>
    <w:rsid w:val="00DA4824"/>
    <w:rsid w:val="00DA548F"/>
    <w:rsid w:val="00DA65BD"/>
    <w:rsid w:val="00DA6B61"/>
    <w:rsid w:val="00DA776D"/>
    <w:rsid w:val="00DA77DA"/>
    <w:rsid w:val="00DB0047"/>
    <w:rsid w:val="00DB08A9"/>
    <w:rsid w:val="00DB0F34"/>
    <w:rsid w:val="00DB0F38"/>
    <w:rsid w:val="00DB15B7"/>
    <w:rsid w:val="00DB160D"/>
    <w:rsid w:val="00DB16BC"/>
    <w:rsid w:val="00DB2C4A"/>
    <w:rsid w:val="00DB33C9"/>
    <w:rsid w:val="00DB3458"/>
    <w:rsid w:val="00DB39E1"/>
    <w:rsid w:val="00DB3C2A"/>
    <w:rsid w:val="00DB3DDB"/>
    <w:rsid w:val="00DB57DF"/>
    <w:rsid w:val="00DB58F5"/>
    <w:rsid w:val="00DB5ADE"/>
    <w:rsid w:val="00DB620D"/>
    <w:rsid w:val="00DB63CD"/>
    <w:rsid w:val="00DB6AAD"/>
    <w:rsid w:val="00DB6C71"/>
    <w:rsid w:val="00DB6D79"/>
    <w:rsid w:val="00DB6DE0"/>
    <w:rsid w:val="00DB6EA3"/>
    <w:rsid w:val="00DB7593"/>
    <w:rsid w:val="00DB78A4"/>
    <w:rsid w:val="00DB7C2C"/>
    <w:rsid w:val="00DC01D9"/>
    <w:rsid w:val="00DC05A8"/>
    <w:rsid w:val="00DC0E30"/>
    <w:rsid w:val="00DC19B0"/>
    <w:rsid w:val="00DC2073"/>
    <w:rsid w:val="00DC3E79"/>
    <w:rsid w:val="00DC43BE"/>
    <w:rsid w:val="00DC4453"/>
    <w:rsid w:val="00DC48EA"/>
    <w:rsid w:val="00DC4E99"/>
    <w:rsid w:val="00DC5B8C"/>
    <w:rsid w:val="00DC5C37"/>
    <w:rsid w:val="00DC5DF5"/>
    <w:rsid w:val="00DC614B"/>
    <w:rsid w:val="00DC6A2F"/>
    <w:rsid w:val="00DC798F"/>
    <w:rsid w:val="00DD0200"/>
    <w:rsid w:val="00DD0447"/>
    <w:rsid w:val="00DD062B"/>
    <w:rsid w:val="00DD083C"/>
    <w:rsid w:val="00DD0888"/>
    <w:rsid w:val="00DD1529"/>
    <w:rsid w:val="00DD17BE"/>
    <w:rsid w:val="00DD1E99"/>
    <w:rsid w:val="00DD2677"/>
    <w:rsid w:val="00DD298A"/>
    <w:rsid w:val="00DD2A60"/>
    <w:rsid w:val="00DD3128"/>
    <w:rsid w:val="00DD3447"/>
    <w:rsid w:val="00DD352F"/>
    <w:rsid w:val="00DD381D"/>
    <w:rsid w:val="00DD3A8C"/>
    <w:rsid w:val="00DD3ECF"/>
    <w:rsid w:val="00DD454E"/>
    <w:rsid w:val="00DD4F89"/>
    <w:rsid w:val="00DD5098"/>
    <w:rsid w:val="00DD5911"/>
    <w:rsid w:val="00DD5E00"/>
    <w:rsid w:val="00DD5F5F"/>
    <w:rsid w:val="00DD7741"/>
    <w:rsid w:val="00DD7E83"/>
    <w:rsid w:val="00DE2D8E"/>
    <w:rsid w:val="00DE33AB"/>
    <w:rsid w:val="00DE365B"/>
    <w:rsid w:val="00DE3AA4"/>
    <w:rsid w:val="00DE41E0"/>
    <w:rsid w:val="00DE4456"/>
    <w:rsid w:val="00DE4A32"/>
    <w:rsid w:val="00DE4B57"/>
    <w:rsid w:val="00DE54B6"/>
    <w:rsid w:val="00DE552D"/>
    <w:rsid w:val="00DE56FB"/>
    <w:rsid w:val="00DE59AF"/>
    <w:rsid w:val="00DE5FD2"/>
    <w:rsid w:val="00DE68BB"/>
    <w:rsid w:val="00DE6ABF"/>
    <w:rsid w:val="00DE7500"/>
    <w:rsid w:val="00DE7E65"/>
    <w:rsid w:val="00DF057A"/>
    <w:rsid w:val="00DF068E"/>
    <w:rsid w:val="00DF0800"/>
    <w:rsid w:val="00DF1400"/>
    <w:rsid w:val="00DF274C"/>
    <w:rsid w:val="00DF2DF5"/>
    <w:rsid w:val="00DF3109"/>
    <w:rsid w:val="00DF392D"/>
    <w:rsid w:val="00DF47B8"/>
    <w:rsid w:val="00DF6A1E"/>
    <w:rsid w:val="00DF6E9C"/>
    <w:rsid w:val="00DF757A"/>
    <w:rsid w:val="00E001BD"/>
    <w:rsid w:val="00E00804"/>
    <w:rsid w:val="00E00E10"/>
    <w:rsid w:val="00E01C80"/>
    <w:rsid w:val="00E01ED9"/>
    <w:rsid w:val="00E0258B"/>
    <w:rsid w:val="00E028F7"/>
    <w:rsid w:val="00E03250"/>
    <w:rsid w:val="00E03A65"/>
    <w:rsid w:val="00E03BF4"/>
    <w:rsid w:val="00E03CAE"/>
    <w:rsid w:val="00E03DA7"/>
    <w:rsid w:val="00E03E8B"/>
    <w:rsid w:val="00E04657"/>
    <w:rsid w:val="00E05285"/>
    <w:rsid w:val="00E05D75"/>
    <w:rsid w:val="00E079B0"/>
    <w:rsid w:val="00E07D09"/>
    <w:rsid w:val="00E11B60"/>
    <w:rsid w:val="00E11B95"/>
    <w:rsid w:val="00E122FA"/>
    <w:rsid w:val="00E12B7C"/>
    <w:rsid w:val="00E133F3"/>
    <w:rsid w:val="00E13843"/>
    <w:rsid w:val="00E13D9D"/>
    <w:rsid w:val="00E141D1"/>
    <w:rsid w:val="00E14CBD"/>
    <w:rsid w:val="00E1518C"/>
    <w:rsid w:val="00E157A7"/>
    <w:rsid w:val="00E15C6C"/>
    <w:rsid w:val="00E15C7F"/>
    <w:rsid w:val="00E16BA0"/>
    <w:rsid w:val="00E17B20"/>
    <w:rsid w:val="00E17B84"/>
    <w:rsid w:val="00E17E39"/>
    <w:rsid w:val="00E21DE9"/>
    <w:rsid w:val="00E21ECE"/>
    <w:rsid w:val="00E22D7A"/>
    <w:rsid w:val="00E230A1"/>
    <w:rsid w:val="00E240EB"/>
    <w:rsid w:val="00E24237"/>
    <w:rsid w:val="00E2518C"/>
    <w:rsid w:val="00E2535B"/>
    <w:rsid w:val="00E2549B"/>
    <w:rsid w:val="00E25505"/>
    <w:rsid w:val="00E25876"/>
    <w:rsid w:val="00E258E8"/>
    <w:rsid w:val="00E25CC9"/>
    <w:rsid w:val="00E25DFE"/>
    <w:rsid w:val="00E26726"/>
    <w:rsid w:val="00E26960"/>
    <w:rsid w:val="00E27FB4"/>
    <w:rsid w:val="00E30938"/>
    <w:rsid w:val="00E3150D"/>
    <w:rsid w:val="00E31A68"/>
    <w:rsid w:val="00E321A3"/>
    <w:rsid w:val="00E3272C"/>
    <w:rsid w:val="00E32BEC"/>
    <w:rsid w:val="00E32E38"/>
    <w:rsid w:val="00E336C7"/>
    <w:rsid w:val="00E33F68"/>
    <w:rsid w:val="00E343F7"/>
    <w:rsid w:val="00E359C2"/>
    <w:rsid w:val="00E36334"/>
    <w:rsid w:val="00E36728"/>
    <w:rsid w:val="00E36770"/>
    <w:rsid w:val="00E36D3C"/>
    <w:rsid w:val="00E36D92"/>
    <w:rsid w:val="00E405BE"/>
    <w:rsid w:val="00E406E0"/>
    <w:rsid w:val="00E40DF3"/>
    <w:rsid w:val="00E4110D"/>
    <w:rsid w:val="00E41726"/>
    <w:rsid w:val="00E428AC"/>
    <w:rsid w:val="00E428C8"/>
    <w:rsid w:val="00E42A48"/>
    <w:rsid w:val="00E42D38"/>
    <w:rsid w:val="00E440E6"/>
    <w:rsid w:val="00E44439"/>
    <w:rsid w:val="00E4469C"/>
    <w:rsid w:val="00E447DC"/>
    <w:rsid w:val="00E44927"/>
    <w:rsid w:val="00E45070"/>
    <w:rsid w:val="00E453B1"/>
    <w:rsid w:val="00E4560F"/>
    <w:rsid w:val="00E45BF9"/>
    <w:rsid w:val="00E45CCE"/>
    <w:rsid w:val="00E45E1B"/>
    <w:rsid w:val="00E46023"/>
    <w:rsid w:val="00E4657F"/>
    <w:rsid w:val="00E4689E"/>
    <w:rsid w:val="00E4695F"/>
    <w:rsid w:val="00E46A9C"/>
    <w:rsid w:val="00E46D86"/>
    <w:rsid w:val="00E47C97"/>
    <w:rsid w:val="00E50652"/>
    <w:rsid w:val="00E51420"/>
    <w:rsid w:val="00E51630"/>
    <w:rsid w:val="00E51A0D"/>
    <w:rsid w:val="00E51A5A"/>
    <w:rsid w:val="00E529EE"/>
    <w:rsid w:val="00E53302"/>
    <w:rsid w:val="00E5333A"/>
    <w:rsid w:val="00E5443D"/>
    <w:rsid w:val="00E54497"/>
    <w:rsid w:val="00E54BB3"/>
    <w:rsid w:val="00E559C8"/>
    <w:rsid w:val="00E561EE"/>
    <w:rsid w:val="00E564A8"/>
    <w:rsid w:val="00E56974"/>
    <w:rsid w:val="00E57FAA"/>
    <w:rsid w:val="00E60780"/>
    <w:rsid w:val="00E61CAB"/>
    <w:rsid w:val="00E61F31"/>
    <w:rsid w:val="00E62340"/>
    <w:rsid w:val="00E62E21"/>
    <w:rsid w:val="00E62EF7"/>
    <w:rsid w:val="00E63BAC"/>
    <w:rsid w:val="00E63C9E"/>
    <w:rsid w:val="00E655C4"/>
    <w:rsid w:val="00E65705"/>
    <w:rsid w:val="00E66449"/>
    <w:rsid w:val="00E665AC"/>
    <w:rsid w:val="00E669DF"/>
    <w:rsid w:val="00E6721A"/>
    <w:rsid w:val="00E678AE"/>
    <w:rsid w:val="00E67EEF"/>
    <w:rsid w:val="00E701A2"/>
    <w:rsid w:val="00E706F0"/>
    <w:rsid w:val="00E72559"/>
    <w:rsid w:val="00E72602"/>
    <w:rsid w:val="00E72DD1"/>
    <w:rsid w:val="00E72E7D"/>
    <w:rsid w:val="00E7308E"/>
    <w:rsid w:val="00E732FE"/>
    <w:rsid w:val="00E740A3"/>
    <w:rsid w:val="00E74D16"/>
    <w:rsid w:val="00E75386"/>
    <w:rsid w:val="00E7540C"/>
    <w:rsid w:val="00E7577A"/>
    <w:rsid w:val="00E75CC1"/>
    <w:rsid w:val="00E76366"/>
    <w:rsid w:val="00E766F7"/>
    <w:rsid w:val="00E76BF3"/>
    <w:rsid w:val="00E7729F"/>
    <w:rsid w:val="00E801FC"/>
    <w:rsid w:val="00E8031A"/>
    <w:rsid w:val="00E815B4"/>
    <w:rsid w:val="00E83793"/>
    <w:rsid w:val="00E83DE7"/>
    <w:rsid w:val="00E83E3D"/>
    <w:rsid w:val="00E83F12"/>
    <w:rsid w:val="00E8512E"/>
    <w:rsid w:val="00E852D8"/>
    <w:rsid w:val="00E856A5"/>
    <w:rsid w:val="00E8609D"/>
    <w:rsid w:val="00E861B8"/>
    <w:rsid w:val="00E8660F"/>
    <w:rsid w:val="00E8679E"/>
    <w:rsid w:val="00E86B96"/>
    <w:rsid w:val="00E86C37"/>
    <w:rsid w:val="00E86D88"/>
    <w:rsid w:val="00E874EC"/>
    <w:rsid w:val="00E87888"/>
    <w:rsid w:val="00E87F30"/>
    <w:rsid w:val="00E90A18"/>
    <w:rsid w:val="00E90FB2"/>
    <w:rsid w:val="00E91212"/>
    <w:rsid w:val="00E9178C"/>
    <w:rsid w:val="00E91E5A"/>
    <w:rsid w:val="00E92021"/>
    <w:rsid w:val="00E934EF"/>
    <w:rsid w:val="00E93515"/>
    <w:rsid w:val="00E93A1D"/>
    <w:rsid w:val="00E94532"/>
    <w:rsid w:val="00E95537"/>
    <w:rsid w:val="00E95759"/>
    <w:rsid w:val="00E95CBB"/>
    <w:rsid w:val="00E95FC4"/>
    <w:rsid w:val="00E962EA"/>
    <w:rsid w:val="00E96860"/>
    <w:rsid w:val="00E96F3B"/>
    <w:rsid w:val="00EA0392"/>
    <w:rsid w:val="00EA06E9"/>
    <w:rsid w:val="00EA0E8B"/>
    <w:rsid w:val="00EA12F8"/>
    <w:rsid w:val="00EA178E"/>
    <w:rsid w:val="00EA24C2"/>
    <w:rsid w:val="00EA259C"/>
    <w:rsid w:val="00EA3BD1"/>
    <w:rsid w:val="00EA46E2"/>
    <w:rsid w:val="00EA4796"/>
    <w:rsid w:val="00EA49E0"/>
    <w:rsid w:val="00EA4E30"/>
    <w:rsid w:val="00EA58A8"/>
    <w:rsid w:val="00EA5E40"/>
    <w:rsid w:val="00EA6C31"/>
    <w:rsid w:val="00EA6F4B"/>
    <w:rsid w:val="00EA75A2"/>
    <w:rsid w:val="00EA7612"/>
    <w:rsid w:val="00EB0549"/>
    <w:rsid w:val="00EB0AA7"/>
    <w:rsid w:val="00EB137A"/>
    <w:rsid w:val="00EB2662"/>
    <w:rsid w:val="00EB3E70"/>
    <w:rsid w:val="00EB46FE"/>
    <w:rsid w:val="00EB48C1"/>
    <w:rsid w:val="00EB4D33"/>
    <w:rsid w:val="00EB6550"/>
    <w:rsid w:val="00EB7645"/>
    <w:rsid w:val="00EB7B8F"/>
    <w:rsid w:val="00EB7FAD"/>
    <w:rsid w:val="00EC03F6"/>
    <w:rsid w:val="00EC089F"/>
    <w:rsid w:val="00EC0947"/>
    <w:rsid w:val="00EC0EC5"/>
    <w:rsid w:val="00EC0F14"/>
    <w:rsid w:val="00EC1071"/>
    <w:rsid w:val="00EC13EC"/>
    <w:rsid w:val="00EC1F4C"/>
    <w:rsid w:val="00EC2B2C"/>
    <w:rsid w:val="00EC3AE4"/>
    <w:rsid w:val="00EC4B4F"/>
    <w:rsid w:val="00EC632B"/>
    <w:rsid w:val="00EC6398"/>
    <w:rsid w:val="00EC67EA"/>
    <w:rsid w:val="00EC7C33"/>
    <w:rsid w:val="00ED00FB"/>
    <w:rsid w:val="00ED0381"/>
    <w:rsid w:val="00ED071D"/>
    <w:rsid w:val="00ED0959"/>
    <w:rsid w:val="00ED1A86"/>
    <w:rsid w:val="00ED206C"/>
    <w:rsid w:val="00ED2721"/>
    <w:rsid w:val="00ED2755"/>
    <w:rsid w:val="00ED3762"/>
    <w:rsid w:val="00ED37C9"/>
    <w:rsid w:val="00ED4B7D"/>
    <w:rsid w:val="00ED4D6F"/>
    <w:rsid w:val="00ED5146"/>
    <w:rsid w:val="00ED6799"/>
    <w:rsid w:val="00ED6B32"/>
    <w:rsid w:val="00ED7636"/>
    <w:rsid w:val="00EE0AED"/>
    <w:rsid w:val="00EE1125"/>
    <w:rsid w:val="00EE1DE7"/>
    <w:rsid w:val="00EE24B6"/>
    <w:rsid w:val="00EE2D98"/>
    <w:rsid w:val="00EE2E3B"/>
    <w:rsid w:val="00EE30F3"/>
    <w:rsid w:val="00EE3137"/>
    <w:rsid w:val="00EE32A8"/>
    <w:rsid w:val="00EE35FC"/>
    <w:rsid w:val="00EE36AC"/>
    <w:rsid w:val="00EE36DB"/>
    <w:rsid w:val="00EE3C5C"/>
    <w:rsid w:val="00EE4CE1"/>
    <w:rsid w:val="00EE4F18"/>
    <w:rsid w:val="00EE6079"/>
    <w:rsid w:val="00EE6A12"/>
    <w:rsid w:val="00EE6CEB"/>
    <w:rsid w:val="00EE6E83"/>
    <w:rsid w:val="00EE7434"/>
    <w:rsid w:val="00EE75AE"/>
    <w:rsid w:val="00EF00DE"/>
    <w:rsid w:val="00EF0476"/>
    <w:rsid w:val="00EF1F36"/>
    <w:rsid w:val="00EF23A7"/>
    <w:rsid w:val="00EF288A"/>
    <w:rsid w:val="00EF2BDC"/>
    <w:rsid w:val="00EF3261"/>
    <w:rsid w:val="00EF3E35"/>
    <w:rsid w:val="00EF40C5"/>
    <w:rsid w:val="00EF4904"/>
    <w:rsid w:val="00EF4C23"/>
    <w:rsid w:val="00EF55E8"/>
    <w:rsid w:val="00EF5E6A"/>
    <w:rsid w:val="00EF62D5"/>
    <w:rsid w:val="00EF6EC1"/>
    <w:rsid w:val="00F01059"/>
    <w:rsid w:val="00F01366"/>
    <w:rsid w:val="00F017F0"/>
    <w:rsid w:val="00F01A04"/>
    <w:rsid w:val="00F01D55"/>
    <w:rsid w:val="00F04157"/>
    <w:rsid w:val="00F04270"/>
    <w:rsid w:val="00F04378"/>
    <w:rsid w:val="00F04778"/>
    <w:rsid w:val="00F047A8"/>
    <w:rsid w:val="00F05323"/>
    <w:rsid w:val="00F05B41"/>
    <w:rsid w:val="00F06118"/>
    <w:rsid w:val="00F06289"/>
    <w:rsid w:val="00F0661E"/>
    <w:rsid w:val="00F0750D"/>
    <w:rsid w:val="00F077D5"/>
    <w:rsid w:val="00F10591"/>
    <w:rsid w:val="00F110BC"/>
    <w:rsid w:val="00F1111B"/>
    <w:rsid w:val="00F12C08"/>
    <w:rsid w:val="00F12C68"/>
    <w:rsid w:val="00F12E25"/>
    <w:rsid w:val="00F12E41"/>
    <w:rsid w:val="00F13F62"/>
    <w:rsid w:val="00F152B6"/>
    <w:rsid w:val="00F1684A"/>
    <w:rsid w:val="00F16A1A"/>
    <w:rsid w:val="00F1731D"/>
    <w:rsid w:val="00F2014E"/>
    <w:rsid w:val="00F20622"/>
    <w:rsid w:val="00F20904"/>
    <w:rsid w:val="00F218A4"/>
    <w:rsid w:val="00F21B44"/>
    <w:rsid w:val="00F21DA6"/>
    <w:rsid w:val="00F222D2"/>
    <w:rsid w:val="00F231F3"/>
    <w:rsid w:val="00F232F7"/>
    <w:rsid w:val="00F236E1"/>
    <w:rsid w:val="00F23905"/>
    <w:rsid w:val="00F23D67"/>
    <w:rsid w:val="00F24557"/>
    <w:rsid w:val="00F246B2"/>
    <w:rsid w:val="00F253D2"/>
    <w:rsid w:val="00F2558E"/>
    <w:rsid w:val="00F268C9"/>
    <w:rsid w:val="00F27699"/>
    <w:rsid w:val="00F27B86"/>
    <w:rsid w:val="00F30471"/>
    <w:rsid w:val="00F306EF"/>
    <w:rsid w:val="00F30734"/>
    <w:rsid w:val="00F314C3"/>
    <w:rsid w:val="00F32322"/>
    <w:rsid w:val="00F32453"/>
    <w:rsid w:val="00F324CA"/>
    <w:rsid w:val="00F3353F"/>
    <w:rsid w:val="00F33EAD"/>
    <w:rsid w:val="00F340C9"/>
    <w:rsid w:val="00F3467D"/>
    <w:rsid w:val="00F3625E"/>
    <w:rsid w:val="00F36754"/>
    <w:rsid w:val="00F4057D"/>
    <w:rsid w:val="00F416BE"/>
    <w:rsid w:val="00F41E9F"/>
    <w:rsid w:val="00F421EA"/>
    <w:rsid w:val="00F42903"/>
    <w:rsid w:val="00F42A14"/>
    <w:rsid w:val="00F439E3"/>
    <w:rsid w:val="00F43B73"/>
    <w:rsid w:val="00F43D4F"/>
    <w:rsid w:val="00F44541"/>
    <w:rsid w:val="00F44614"/>
    <w:rsid w:val="00F4530A"/>
    <w:rsid w:val="00F4541B"/>
    <w:rsid w:val="00F45AEF"/>
    <w:rsid w:val="00F502C5"/>
    <w:rsid w:val="00F5080A"/>
    <w:rsid w:val="00F50BF8"/>
    <w:rsid w:val="00F511A8"/>
    <w:rsid w:val="00F515AD"/>
    <w:rsid w:val="00F51FE5"/>
    <w:rsid w:val="00F52C28"/>
    <w:rsid w:val="00F53345"/>
    <w:rsid w:val="00F53C87"/>
    <w:rsid w:val="00F5400D"/>
    <w:rsid w:val="00F54379"/>
    <w:rsid w:val="00F54ACB"/>
    <w:rsid w:val="00F54EFD"/>
    <w:rsid w:val="00F55129"/>
    <w:rsid w:val="00F5514B"/>
    <w:rsid w:val="00F554F7"/>
    <w:rsid w:val="00F55817"/>
    <w:rsid w:val="00F55AB2"/>
    <w:rsid w:val="00F55DCD"/>
    <w:rsid w:val="00F56383"/>
    <w:rsid w:val="00F568E1"/>
    <w:rsid w:val="00F56AAF"/>
    <w:rsid w:val="00F56FDE"/>
    <w:rsid w:val="00F606D5"/>
    <w:rsid w:val="00F615B0"/>
    <w:rsid w:val="00F615F7"/>
    <w:rsid w:val="00F616A2"/>
    <w:rsid w:val="00F6184B"/>
    <w:rsid w:val="00F6185D"/>
    <w:rsid w:val="00F630B9"/>
    <w:rsid w:val="00F63127"/>
    <w:rsid w:val="00F65139"/>
    <w:rsid w:val="00F6556F"/>
    <w:rsid w:val="00F65E4A"/>
    <w:rsid w:val="00F679C4"/>
    <w:rsid w:val="00F67FD7"/>
    <w:rsid w:val="00F702EF"/>
    <w:rsid w:val="00F70381"/>
    <w:rsid w:val="00F70880"/>
    <w:rsid w:val="00F7118E"/>
    <w:rsid w:val="00F71275"/>
    <w:rsid w:val="00F713F3"/>
    <w:rsid w:val="00F714B5"/>
    <w:rsid w:val="00F73A42"/>
    <w:rsid w:val="00F73BCF"/>
    <w:rsid w:val="00F73EC2"/>
    <w:rsid w:val="00F74BA2"/>
    <w:rsid w:val="00F753CE"/>
    <w:rsid w:val="00F76A84"/>
    <w:rsid w:val="00F772A6"/>
    <w:rsid w:val="00F77398"/>
    <w:rsid w:val="00F776A3"/>
    <w:rsid w:val="00F77807"/>
    <w:rsid w:val="00F77A1F"/>
    <w:rsid w:val="00F809E4"/>
    <w:rsid w:val="00F829A8"/>
    <w:rsid w:val="00F82CB9"/>
    <w:rsid w:val="00F82EE1"/>
    <w:rsid w:val="00F834D4"/>
    <w:rsid w:val="00F85CBD"/>
    <w:rsid w:val="00F85CBF"/>
    <w:rsid w:val="00F860BD"/>
    <w:rsid w:val="00F860EE"/>
    <w:rsid w:val="00F868FF"/>
    <w:rsid w:val="00F879B3"/>
    <w:rsid w:val="00F900B8"/>
    <w:rsid w:val="00F906EF"/>
    <w:rsid w:val="00F9116C"/>
    <w:rsid w:val="00F91882"/>
    <w:rsid w:val="00F91C62"/>
    <w:rsid w:val="00F91D10"/>
    <w:rsid w:val="00F9211E"/>
    <w:rsid w:val="00F922EB"/>
    <w:rsid w:val="00F9281A"/>
    <w:rsid w:val="00F92838"/>
    <w:rsid w:val="00F9290B"/>
    <w:rsid w:val="00F92E48"/>
    <w:rsid w:val="00F93961"/>
    <w:rsid w:val="00F943AA"/>
    <w:rsid w:val="00F94C23"/>
    <w:rsid w:val="00F94EF2"/>
    <w:rsid w:val="00F95076"/>
    <w:rsid w:val="00F954B2"/>
    <w:rsid w:val="00F957CF"/>
    <w:rsid w:val="00F965DA"/>
    <w:rsid w:val="00F96A2A"/>
    <w:rsid w:val="00F96BAC"/>
    <w:rsid w:val="00F971EF"/>
    <w:rsid w:val="00F974C9"/>
    <w:rsid w:val="00FA045A"/>
    <w:rsid w:val="00FA04DD"/>
    <w:rsid w:val="00FA0548"/>
    <w:rsid w:val="00FA0F34"/>
    <w:rsid w:val="00FA1ECB"/>
    <w:rsid w:val="00FA232C"/>
    <w:rsid w:val="00FA3A39"/>
    <w:rsid w:val="00FA3CF4"/>
    <w:rsid w:val="00FA60D2"/>
    <w:rsid w:val="00FA6513"/>
    <w:rsid w:val="00FA6B8C"/>
    <w:rsid w:val="00FA7200"/>
    <w:rsid w:val="00FA7B6B"/>
    <w:rsid w:val="00FB0137"/>
    <w:rsid w:val="00FB05DA"/>
    <w:rsid w:val="00FB0CD4"/>
    <w:rsid w:val="00FB1005"/>
    <w:rsid w:val="00FB1AFA"/>
    <w:rsid w:val="00FB1E08"/>
    <w:rsid w:val="00FB2593"/>
    <w:rsid w:val="00FB28EB"/>
    <w:rsid w:val="00FB3584"/>
    <w:rsid w:val="00FB416B"/>
    <w:rsid w:val="00FB58EE"/>
    <w:rsid w:val="00FB59C5"/>
    <w:rsid w:val="00FB6B30"/>
    <w:rsid w:val="00FB6E4D"/>
    <w:rsid w:val="00FB7018"/>
    <w:rsid w:val="00FC03D3"/>
    <w:rsid w:val="00FC1B2B"/>
    <w:rsid w:val="00FC1C9E"/>
    <w:rsid w:val="00FC1D5B"/>
    <w:rsid w:val="00FC341D"/>
    <w:rsid w:val="00FC4B24"/>
    <w:rsid w:val="00FC5DE8"/>
    <w:rsid w:val="00FD00FD"/>
    <w:rsid w:val="00FD0375"/>
    <w:rsid w:val="00FD09A6"/>
    <w:rsid w:val="00FD0B12"/>
    <w:rsid w:val="00FD0E97"/>
    <w:rsid w:val="00FD199B"/>
    <w:rsid w:val="00FD29A2"/>
    <w:rsid w:val="00FD360B"/>
    <w:rsid w:val="00FD3A84"/>
    <w:rsid w:val="00FD3C73"/>
    <w:rsid w:val="00FD44B3"/>
    <w:rsid w:val="00FD48E9"/>
    <w:rsid w:val="00FD5C53"/>
    <w:rsid w:val="00FD5FEE"/>
    <w:rsid w:val="00FD60D6"/>
    <w:rsid w:val="00FD615E"/>
    <w:rsid w:val="00FD6293"/>
    <w:rsid w:val="00FD670D"/>
    <w:rsid w:val="00FE0CDE"/>
    <w:rsid w:val="00FE0FE8"/>
    <w:rsid w:val="00FE12DD"/>
    <w:rsid w:val="00FE1FB6"/>
    <w:rsid w:val="00FE2090"/>
    <w:rsid w:val="00FE2586"/>
    <w:rsid w:val="00FE30CA"/>
    <w:rsid w:val="00FE39D5"/>
    <w:rsid w:val="00FE3A45"/>
    <w:rsid w:val="00FE4424"/>
    <w:rsid w:val="00FE4834"/>
    <w:rsid w:val="00FE59A8"/>
    <w:rsid w:val="00FE5E08"/>
    <w:rsid w:val="00FE5ED7"/>
    <w:rsid w:val="00FE6422"/>
    <w:rsid w:val="00FE6773"/>
    <w:rsid w:val="00FE684E"/>
    <w:rsid w:val="00FE72F0"/>
    <w:rsid w:val="00FE77A8"/>
    <w:rsid w:val="00FE7CFD"/>
    <w:rsid w:val="00FF0D39"/>
    <w:rsid w:val="00FF147D"/>
    <w:rsid w:val="00FF1F82"/>
    <w:rsid w:val="00FF254A"/>
    <w:rsid w:val="00FF2977"/>
    <w:rsid w:val="00FF33FE"/>
    <w:rsid w:val="00FF4A1E"/>
    <w:rsid w:val="00FF4BEB"/>
    <w:rsid w:val="00FF4C82"/>
    <w:rsid w:val="00FF673E"/>
    <w:rsid w:val="00FF6B3A"/>
    <w:rsid w:val="00FF6DB5"/>
    <w:rsid w:val="00FF6E18"/>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AC"/>
    <w:pPr>
      <w:widowControl w:val="0"/>
    </w:pPr>
    <w:rPr>
      <w:snapToGrid w:val="0"/>
      <w:kern w:val="28"/>
      <w:sz w:val="22"/>
    </w:rPr>
  </w:style>
  <w:style w:type="paragraph" w:styleId="Heading1">
    <w:name w:val="heading 1"/>
    <w:basedOn w:val="Normal"/>
    <w:next w:val="ParaNum"/>
    <w:link w:val="Heading1Char"/>
    <w:qFormat/>
    <w:rsid w:val="00EE36AC"/>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EE36AC"/>
    <w:pPr>
      <w:keepNext/>
      <w:numPr>
        <w:ilvl w:val="1"/>
        <w:numId w:val="5"/>
      </w:numPr>
      <w:spacing w:after="120"/>
      <w:outlineLvl w:val="1"/>
    </w:pPr>
    <w:rPr>
      <w:b/>
    </w:rPr>
  </w:style>
  <w:style w:type="paragraph" w:styleId="Heading3">
    <w:name w:val="heading 3"/>
    <w:basedOn w:val="Normal"/>
    <w:next w:val="ParaNum"/>
    <w:link w:val="Heading3Char"/>
    <w:qFormat/>
    <w:rsid w:val="00EE36AC"/>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EE36AC"/>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EE36AC"/>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E36AC"/>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EE36AC"/>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EE36AC"/>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E36AC"/>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E36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36AC"/>
  </w:style>
  <w:style w:type="paragraph" w:styleId="Caption">
    <w:name w:val="caption"/>
    <w:basedOn w:val="Normal"/>
    <w:next w:val="Normal"/>
    <w:qFormat/>
    <w:rsid w:val="00561FF3"/>
    <w:pPr>
      <w:spacing w:before="120" w:after="120"/>
    </w:pPr>
    <w:rPr>
      <w:b/>
      <w:snapToGrid/>
    </w:rPr>
  </w:style>
  <w:style w:type="paragraph" w:customStyle="1" w:styleId="ParaNum">
    <w:name w:val="ParaNum"/>
    <w:basedOn w:val="Normal"/>
    <w:link w:val="ParaNumChar1"/>
    <w:rsid w:val="00EE36AC"/>
    <w:pPr>
      <w:numPr>
        <w:numId w:val="4"/>
      </w:numPr>
      <w:tabs>
        <w:tab w:val="clear" w:pos="1080"/>
        <w:tab w:val="num" w:pos="1440"/>
      </w:tabs>
      <w:spacing w:after="120"/>
    </w:p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EE36AC"/>
    <w:pPr>
      <w:spacing w:after="120"/>
    </w:pPr>
  </w:style>
  <w:style w:type="paragraph" w:customStyle="1" w:styleId="Bullet">
    <w:name w:val="Bullet"/>
    <w:basedOn w:val="Normal"/>
    <w:rsid w:val="00EE36AC"/>
    <w:pPr>
      <w:tabs>
        <w:tab w:val="left" w:pos="2160"/>
      </w:tabs>
      <w:spacing w:after="220"/>
      <w:ind w:left="2160" w:hanging="720"/>
    </w:pPr>
  </w:style>
  <w:style w:type="paragraph" w:styleId="BlockText">
    <w:name w:val="Block Text"/>
    <w:basedOn w:val="Normal"/>
    <w:rsid w:val="00EE36AC"/>
    <w:pPr>
      <w:spacing w:after="240"/>
      <w:ind w:left="1440" w:right="1440"/>
    </w:pPr>
  </w:style>
  <w:style w:type="paragraph" w:customStyle="1" w:styleId="TableFormat">
    <w:name w:val="TableFormat"/>
    <w:basedOn w:val="Bullet"/>
    <w:rsid w:val="00EE36AC"/>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R,Style 17,Footnote Reference/,Style 6"/>
    <w:rsid w:val="00EE36AC"/>
    <w:rPr>
      <w:rFonts w:ascii="Times New Roman" w:hAnsi="Times New Roman"/>
      <w:dstrike w:val="0"/>
      <w:color w:val="auto"/>
      <w:sz w:val="20"/>
      <w:vertAlign w:val="superscript"/>
    </w:rPr>
  </w:style>
  <w:style w:type="paragraph" w:styleId="Header">
    <w:name w:val="header"/>
    <w:basedOn w:val="Normal"/>
    <w:link w:val="HeaderChar"/>
    <w:autoRedefine/>
    <w:rsid w:val="00EE36AC"/>
    <w:pPr>
      <w:tabs>
        <w:tab w:val="center" w:pos="4680"/>
        <w:tab w:val="right" w:pos="9360"/>
      </w:tabs>
    </w:pPr>
    <w:rPr>
      <w:b/>
    </w:rPr>
  </w:style>
  <w:style w:type="paragraph" w:styleId="Footer">
    <w:name w:val="footer"/>
    <w:basedOn w:val="Normal"/>
    <w:link w:val="FooterChar"/>
    <w:rsid w:val="00EE36AC"/>
    <w:pPr>
      <w:tabs>
        <w:tab w:val="center" w:pos="4320"/>
        <w:tab w:val="right" w:pos="8640"/>
      </w:tabs>
    </w:pPr>
  </w:style>
  <w:style w:type="paragraph" w:styleId="TOC2">
    <w:name w:val="toc 2"/>
    <w:basedOn w:val="Normal"/>
    <w:next w:val="Normal"/>
    <w:rsid w:val="00EE36AC"/>
    <w:pPr>
      <w:tabs>
        <w:tab w:val="left" w:pos="720"/>
        <w:tab w:val="right" w:leader="dot" w:pos="9360"/>
      </w:tabs>
      <w:suppressAutoHyphens/>
      <w:ind w:left="720" w:right="720" w:hanging="360"/>
    </w:pPr>
    <w:rPr>
      <w:noProof/>
    </w:rPr>
  </w:style>
  <w:style w:type="paragraph" w:customStyle="1" w:styleId="NumberedList">
    <w:name w:val="Numbered List"/>
    <w:basedOn w:val="Normal"/>
    <w:rsid w:val="00561FF3"/>
    <w:pPr>
      <w:numPr>
        <w:numId w:val="1"/>
      </w:numPr>
      <w:tabs>
        <w:tab w:val="clear" w:pos="1080"/>
      </w:tabs>
      <w:spacing w:after="220"/>
      <w:ind w:firstLine="0"/>
    </w:pPr>
    <w:rPr>
      <w:snapToGrid/>
    </w:rPr>
  </w:style>
  <w:style w:type="paragraph" w:styleId="TOC1">
    <w:name w:val="toc 1"/>
    <w:basedOn w:val="Normal"/>
    <w:next w:val="Normal"/>
    <w:rsid w:val="00EE36AC"/>
    <w:pPr>
      <w:tabs>
        <w:tab w:val="left" w:pos="360"/>
        <w:tab w:val="right" w:leader="dot" w:pos="9360"/>
      </w:tabs>
      <w:suppressAutoHyphens/>
      <w:ind w:left="360" w:right="720" w:hanging="360"/>
    </w:pPr>
    <w:rPr>
      <w:caps/>
      <w:noProof/>
    </w:rPr>
  </w:style>
  <w:style w:type="paragraph" w:styleId="TOC3">
    <w:name w:val="toc 3"/>
    <w:basedOn w:val="Normal"/>
    <w:next w:val="Normal"/>
    <w:rsid w:val="00EE36A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E36A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E36A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E36A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E36A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E36A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E36AC"/>
    <w:pPr>
      <w:tabs>
        <w:tab w:val="left" w:pos="3240"/>
        <w:tab w:val="right" w:leader="dot" w:pos="9360"/>
      </w:tabs>
      <w:suppressAutoHyphens/>
      <w:ind w:left="3240" w:hanging="360"/>
    </w:pPr>
    <w:rPr>
      <w:noProof/>
    </w:rPr>
  </w:style>
  <w:style w:type="character" w:styleId="PageNumber">
    <w:name w:val="page number"/>
    <w:basedOn w:val="DefaultParagraphFont"/>
    <w:rsid w:val="00EE36AC"/>
  </w:style>
  <w:style w:type="paragraph" w:styleId="Title">
    <w:name w:val="Title"/>
    <w:basedOn w:val="Normal"/>
    <w:link w:val="TitleChar"/>
    <w:qFormat/>
    <w:rsid w:val="00561FF3"/>
    <w:pPr>
      <w:jc w:val="center"/>
    </w:pPr>
    <w:rPr>
      <w:b/>
      <w:snapToGrid/>
    </w:rPr>
  </w:style>
  <w:style w:type="paragraph" w:customStyle="1" w:styleId="StyleBoldCentered">
    <w:name w:val="Style Bold Centered"/>
    <w:basedOn w:val="Normal"/>
    <w:rsid w:val="00EE36AC"/>
    <w:pPr>
      <w:jc w:val="center"/>
    </w:pPr>
    <w:rPr>
      <w:rFonts w:ascii="Times New Roman Bold" w:hAnsi="Times New Roman Bold"/>
      <w:b/>
      <w:bCs/>
      <w:caps/>
      <w:szCs w:val="22"/>
    </w:rPr>
  </w:style>
  <w:style w:type="paragraph" w:styleId="EndnoteText">
    <w:name w:val="endnote text"/>
    <w:basedOn w:val="Normal"/>
    <w:link w:val="EndnoteTextChar"/>
    <w:semiHidden/>
    <w:rsid w:val="00EE36AC"/>
    <w:rPr>
      <w:sz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4777BD"/>
  </w:style>
  <w:style w:type="character" w:customStyle="1" w:styleId="ParaNumChar1">
    <w:name w:val="ParaNum Char1"/>
    <w:link w:val="ParaNum"/>
    <w:locked/>
    <w:rsid w:val="004777BD"/>
    <w:rPr>
      <w:snapToGrid w:val="0"/>
      <w:kern w:val="28"/>
      <w:sz w:val="22"/>
    </w:rPr>
  </w:style>
  <w:style w:type="numbering" w:customStyle="1" w:styleId="Style1">
    <w:name w:val="Style1"/>
    <w:uiPriority w:val="99"/>
    <w:rsid w:val="004777BD"/>
    <w:pPr>
      <w:numPr>
        <w:numId w:val="2"/>
      </w:numPr>
    </w:pPr>
  </w:style>
  <w:style w:type="character" w:styleId="Hyperlink">
    <w:name w:val="Hyperlink"/>
    <w:rsid w:val="00EE36AC"/>
    <w:rPr>
      <w:color w:val="0000FF"/>
      <w:u w:val="single"/>
    </w:rPr>
  </w:style>
  <w:style w:type="paragraph" w:customStyle="1" w:styleId="Paranum0">
    <w:name w:val="Paranum"/>
    <w:rsid w:val="00863A53"/>
    <w:pPr>
      <w:numPr>
        <w:numId w:val="3"/>
      </w:numPr>
      <w:tabs>
        <w:tab w:val="left" w:pos="1440"/>
      </w:tabs>
      <w:spacing w:after="240"/>
      <w:jc w:val="both"/>
    </w:pPr>
    <w:rPr>
      <w:sz w:val="22"/>
    </w:rPr>
  </w:style>
  <w:style w:type="character" w:customStyle="1" w:styleId="ParaNumChar">
    <w:name w:val="ParaNum Char"/>
    <w:locked/>
    <w:rsid w:val="00344968"/>
    <w:rPr>
      <w:kern w:val="28"/>
      <w:sz w:val="22"/>
    </w:rPr>
  </w:style>
  <w:style w:type="paragraph" w:styleId="NormalWeb">
    <w:name w:val="Normal (Web)"/>
    <w:basedOn w:val="Normal"/>
    <w:uiPriority w:val="99"/>
    <w:rsid w:val="007764D3"/>
    <w:rPr>
      <w:snapToGrid/>
    </w:rPr>
  </w:style>
  <w:style w:type="character" w:styleId="Emphasis">
    <w:name w:val="Emphasis"/>
    <w:qFormat/>
    <w:rsid w:val="007764D3"/>
    <w:rPr>
      <w:i/>
      <w:iCs/>
    </w:rPr>
  </w:style>
  <w:style w:type="paragraph" w:styleId="BalloonText">
    <w:name w:val="Balloon Text"/>
    <w:basedOn w:val="Normal"/>
    <w:link w:val="BalloonTextChar"/>
    <w:rsid w:val="00816893"/>
    <w:rPr>
      <w:rFonts w:ascii="Tahoma" w:hAnsi="Tahoma"/>
      <w:snapToGrid/>
      <w:sz w:val="16"/>
      <w:szCs w:val="16"/>
    </w:rPr>
  </w:style>
  <w:style w:type="character" w:customStyle="1" w:styleId="BalloonTextChar">
    <w:name w:val="Balloon Text Char"/>
    <w:link w:val="BalloonText"/>
    <w:rsid w:val="00816893"/>
    <w:rPr>
      <w:rFonts w:ascii="Tahoma" w:hAnsi="Tahoma" w:cs="Tahoma"/>
      <w:sz w:val="16"/>
      <w:szCs w:val="16"/>
    </w:rPr>
  </w:style>
  <w:style w:type="character" w:styleId="CommentReference">
    <w:name w:val="annotation reference"/>
    <w:uiPriority w:val="99"/>
    <w:rsid w:val="004849EA"/>
    <w:rPr>
      <w:sz w:val="16"/>
      <w:szCs w:val="16"/>
    </w:rPr>
  </w:style>
  <w:style w:type="paragraph" w:styleId="CommentText">
    <w:name w:val="annotation text"/>
    <w:basedOn w:val="Normal"/>
    <w:link w:val="CommentTextChar"/>
    <w:uiPriority w:val="99"/>
    <w:rsid w:val="004849EA"/>
    <w:rPr>
      <w:snapToGrid/>
      <w:sz w:val="20"/>
    </w:rPr>
  </w:style>
  <w:style w:type="character" w:customStyle="1" w:styleId="CommentTextChar">
    <w:name w:val="Comment Text Char"/>
    <w:basedOn w:val="DefaultParagraphFont"/>
    <w:link w:val="CommentText"/>
    <w:uiPriority w:val="99"/>
    <w:rsid w:val="004849EA"/>
  </w:style>
  <w:style w:type="paragraph" w:styleId="CommentSubject">
    <w:name w:val="annotation subject"/>
    <w:basedOn w:val="CommentText"/>
    <w:next w:val="CommentText"/>
    <w:link w:val="CommentSubjectChar"/>
    <w:rsid w:val="004849EA"/>
    <w:rPr>
      <w:b/>
      <w:bCs/>
    </w:rPr>
  </w:style>
  <w:style w:type="character" w:customStyle="1" w:styleId="CommentSubjectChar">
    <w:name w:val="Comment Subject Char"/>
    <w:link w:val="CommentSubject"/>
    <w:rsid w:val="004849EA"/>
    <w:rPr>
      <w:b/>
      <w:bCs/>
    </w:rPr>
  </w:style>
  <w:style w:type="paragraph" w:customStyle="1" w:styleId="ColorfulShading-Accent11">
    <w:name w:val="Colorful Shading - Accent 11"/>
    <w:hidden/>
    <w:uiPriority w:val="99"/>
    <w:semiHidden/>
    <w:rsid w:val="004849EA"/>
    <w:rPr>
      <w:sz w:val="22"/>
    </w:rPr>
  </w:style>
  <w:style w:type="paragraph" w:customStyle="1" w:styleId="1">
    <w:name w:val="1"/>
    <w:basedOn w:val="Heading1"/>
    <w:next w:val="Normal"/>
    <w:uiPriority w:val="39"/>
    <w:unhideWhenUsed/>
    <w:qFormat/>
    <w:rsid w:val="00CC56F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rPr>
  </w:style>
  <w:style w:type="character" w:customStyle="1" w:styleId="documentbody1">
    <w:name w:val="documentbody1"/>
    <w:rsid w:val="00FA04DD"/>
    <w:rPr>
      <w:rFonts w:ascii="Verdana" w:hAnsi="Verdana" w:cs="Times New Roman"/>
      <w:sz w:val="19"/>
      <w:szCs w:val="19"/>
    </w:rPr>
  </w:style>
  <w:style w:type="character" w:customStyle="1" w:styleId="Footnote">
    <w:name w:val="Footnote"/>
    <w:rsid w:val="00AF7FCC"/>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AF7FCC"/>
    <w:rPr>
      <w:rFonts w:cs="Times New Roman"/>
      <w:lang w:val="en-US" w:eastAsia="en-US" w:bidi="ar-SA"/>
    </w:rPr>
  </w:style>
  <w:style w:type="character" w:customStyle="1" w:styleId="Unnamed1">
    <w:name w:val="Unnamed 1"/>
    <w:rsid w:val="00CB7520"/>
    <w:rPr>
      <w:rFonts w:ascii="Courier New" w:hAnsi="Courier New" w:cs="Courier New"/>
      <w:sz w:val="24"/>
      <w:lang w:val="en-US"/>
    </w:rPr>
  </w:style>
  <w:style w:type="character" w:customStyle="1" w:styleId="footnote0">
    <w:name w:val="footnote"/>
    <w:rsid w:val="00CB7520"/>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CB7520"/>
    <w:rPr>
      <w:rFonts w:cs="Times New Roman"/>
      <w:lang w:val="en-US" w:eastAsia="en-US" w:bidi="ar-SA"/>
    </w:rPr>
  </w:style>
  <w:style w:type="character" w:customStyle="1" w:styleId="Heading2CharChar2">
    <w:name w:val="Heading 2 Char Char2"/>
    <w:rsid w:val="00CB7520"/>
    <w:rPr>
      <w:rFonts w:cs="Times New Roman"/>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B7520"/>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CB7520"/>
    <w:rPr>
      <w:rFonts w:ascii="Times New Roman" w:hAnsi="Times New Roman"/>
      <w:dstrike w:val="0"/>
      <w:color w:val="auto"/>
      <w:sz w:val="20"/>
      <w:vertAlign w:val="superscript"/>
    </w:rPr>
  </w:style>
  <w:style w:type="character" w:customStyle="1" w:styleId="FooterChar">
    <w:name w:val="Footer Char"/>
    <w:link w:val="Footer"/>
    <w:rsid w:val="002C1DE0"/>
    <w:rPr>
      <w:snapToGrid w:val="0"/>
      <w:kern w:val="28"/>
      <w:sz w:val="22"/>
    </w:rPr>
  </w:style>
  <w:style w:type="paragraph" w:customStyle="1" w:styleId="TOCHeading1">
    <w:name w:val="TOC Heading1"/>
    <w:basedOn w:val="Heading1"/>
    <w:next w:val="Normal"/>
    <w:uiPriority w:val="39"/>
    <w:qFormat/>
    <w:rsid w:val="00CC56F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Revision">
    <w:name w:val="Revision"/>
    <w:hidden/>
    <w:uiPriority w:val="99"/>
    <w:semiHidden/>
    <w:rsid w:val="00524431"/>
    <w:rPr>
      <w:sz w:val="22"/>
    </w:rPr>
  </w:style>
  <w:style w:type="character" w:customStyle="1" w:styleId="SC465550">
    <w:name w:val="SC.4.65550"/>
    <w:uiPriority w:val="99"/>
    <w:rsid w:val="00B358A1"/>
    <w:rPr>
      <w:rFonts w:ascii="OMDAA K+ Century" w:hAnsi="OMDAA K+ Century" w:cs="OMDAA K+ Century" w:hint="default"/>
      <w:color w:val="000000"/>
      <w:sz w:val="20"/>
      <w:szCs w:val="20"/>
    </w:rPr>
  </w:style>
  <w:style w:type="character" w:customStyle="1" w:styleId="HeaderChar">
    <w:name w:val="Header Char"/>
    <w:basedOn w:val="DefaultParagraphFont"/>
    <w:link w:val="Header"/>
    <w:rsid w:val="00231713"/>
    <w:rPr>
      <w:b/>
      <w:snapToGrid w:val="0"/>
      <w:kern w:val="28"/>
      <w:sz w:val="22"/>
    </w:rPr>
  </w:style>
  <w:style w:type="character" w:styleId="FollowedHyperlink">
    <w:name w:val="FollowedHyperlink"/>
    <w:basedOn w:val="DefaultParagraphFont"/>
    <w:rsid w:val="0036742D"/>
    <w:rPr>
      <w:color w:val="800080" w:themeColor="followedHyperlink"/>
      <w:u w:val="single"/>
    </w:rPr>
  </w:style>
  <w:style w:type="character" w:customStyle="1" w:styleId="Heading1Char">
    <w:name w:val="Heading 1 Char"/>
    <w:basedOn w:val="DefaultParagraphFont"/>
    <w:link w:val="Heading1"/>
    <w:rsid w:val="009549AB"/>
    <w:rPr>
      <w:rFonts w:ascii="Times New Roman Bold" w:hAnsi="Times New Roman Bold"/>
      <w:b/>
      <w:caps/>
      <w:snapToGrid w:val="0"/>
      <w:kern w:val="28"/>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8E627E"/>
    <w:rPr>
      <w:b/>
      <w:snapToGrid w:val="0"/>
      <w:kern w:val="28"/>
      <w:sz w:val="22"/>
    </w:rPr>
  </w:style>
  <w:style w:type="character" w:customStyle="1" w:styleId="Heading3Char">
    <w:name w:val="Heading 3 Char"/>
    <w:basedOn w:val="DefaultParagraphFont"/>
    <w:link w:val="Heading3"/>
    <w:rsid w:val="009549AB"/>
    <w:rPr>
      <w:b/>
      <w:snapToGrid w:val="0"/>
      <w:kern w:val="28"/>
      <w:sz w:val="22"/>
    </w:rPr>
  </w:style>
  <w:style w:type="character" w:customStyle="1" w:styleId="Heading4Char">
    <w:name w:val="Heading 4 Char"/>
    <w:basedOn w:val="DefaultParagraphFont"/>
    <w:link w:val="Heading4"/>
    <w:rsid w:val="009549AB"/>
    <w:rPr>
      <w:b/>
      <w:snapToGrid w:val="0"/>
      <w:kern w:val="28"/>
      <w:sz w:val="22"/>
    </w:rPr>
  </w:style>
  <w:style w:type="character" w:customStyle="1" w:styleId="Heading5Char">
    <w:name w:val="Heading 5 Char"/>
    <w:basedOn w:val="DefaultParagraphFont"/>
    <w:link w:val="Heading5"/>
    <w:rsid w:val="009549AB"/>
    <w:rPr>
      <w:b/>
      <w:snapToGrid w:val="0"/>
      <w:kern w:val="28"/>
      <w:sz w:val="22"/>
    </w:rPr>
  </w:style>
  <w:style w:type="character" w:customStyle="1" w:styleId="Heading6Char">
    <w:name w:val="Heading 6 Char"/>
    <w:aliases w:val="h6 Char"/>
    <w:basedOn w:val="DefaultParagraphFont"/>
    <w:link w:val="Heading6"/>
    <w:rsid w:val="009549AB"/>
    <w:rPr>
      <w:b/>
      <w:snapToGrid w:val="0"/>
      <w:kern w:val="28"/>
      <w:sz w:val="22"/>
    </w:rPr>
  </w:style>
  <w:style w:type="character" w:customStyle="1" w:styleId="Heading7Char">
    <w:name w:val="Heading 7 Char"/>
    <w:basedOn w:val="DefaultParagraphFont"/>
    <w:link w:val="Heading7"/>
    <w:rsid w:val="009549AB"/>
    <w:rPr>
      <w:b/>
      <w:snapToGrid w:val="0"/>
      <w:kern w:val="28"/>
      <w:sz w:val="22"/>
    </w:rPr>
  </w:style>
  <w:style w:type="character" w:customStyle="1" w:styleId="Heading8Char">
    <w:name w:val="Heading 8 Char"/>
    <w:basedOn w:val="DefaultParagraphFont"/>
    <w:link w:val="Heading8"/>
    <w:rsid w:val="009549AB"/>
    <w:rPr>
      <w:b/>
      <w:snapToGrid w:val="0"/>
      <w:kern w:val="28"/>
      <w:sz w:val="22"/>
    </w:rPr>
  </w:style>
  <w:style w:type="character" w:customStyle="1" w:styleId="Heading9Char">
    <w:name w:val="Heading 9 Char"/>
    <w:basedOn w:val="DefaultParagraphFont"/>
    <w:link w:val="Heading9"/>
    <w:rsid w:val="009549AB"/>
    <w:rPr>
      <w:b/>
      <w:snapToGrid w:val="0"/>
      <w:kern w:val="28"/>
      <w:sz w:val="22"/>
    </w:rPr>
  </w:style>
  <w:style w:type="character" w:customStyle="1" w:styleId="TitleChar">
    <w:name w:val="Title Char"/>
    <w:basedOn w:val="DefaultParagraphFont"/>
    <w:link w:val="Title"/>
    <w:rsid w:val="009549AB"/>
    <w:rPr>
      <w:b/>
      <w:sz w:val="22"/>
    </w:rPr>
  </w:style>
  <w:style w:type="character" w:customStyle="1" w:styleId="EndnoteTextChar">
    <w:name w:val="Endnote Text Char"/>
    <w:basedOn w:val="DefaultParagraphFont"/>
    <w:link w:val="EndnoteText"/>
    <w:semiHidden/>
    <w:rsid w:val="009549AB"/>
    <w:rPr>
      <w:snapToGrid w:val="0"/>
      <w:kern w:val="28"/>
    </w:rPr>
  </w:style>
  <w:style w:type="paragraph" w:styleId="TOCHeading">
    <w:name w:val="TOC Heading"/>
    <w:basedOn w:val="Heading1"/>
    <w:next w:val="Normal"/>
    <w:uiPriority w:val="39"/>
    <w:unhideWhenUsed/>
    <w:qFormat/>
    <w:rsid w:val="00B17FE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styleId="EndnoteReference">
    <w:name w:val="endnote reference"/>
    <w:rsid w:val="00EE36AC"/>
    <w:rPr>
      <w:vertAlign w:val="superscript"/>
    </w:rPr>
  </w:style>
  <w:style w:type="paragraph" w:styleId="TOAHeading">
    <w:name w:val="toa heading"/>
    <w:basedOn w:val="Normal"/>
    <w:next w:val="Normal"/>
    <w:rsid w:val="00EE36AC"/>
    <w:pPr>
      <w:tabs>
        <w:tab w:val="right" w:pos="9360"/>
      </w:tabs>
      <w:suppressAutoHyphens/>
    </w:pPr>
  </w:style>
  <w:style w:type="character" w:customStyle="1" w:styleId="EquationCaption">
    <w:name w:val="_Equation Caption"/>
    <w:rsid w:val="00EE36AC"/>
  </w:style>
  <w:style w:type="paragraph" w:customStyle="1" w:styleId="Paratitle">
    <w:name w:val="Para title"/>
    <w:basedOn w:val="Normal"/>
    <w:rsid w:val="00EE36AC"/>
    <w:pPr>
      <w:tabs>
        <w:tab w:val="center" w:pos="9270"/>
      </w:tabs>
      <w:spacing w:after="240"/>
    </w:pPr>
    <w:rPr>
      <w:spacing w:val="-2"/>
    </w:rPr>
  </w:style>
  <w:style w:type="paragraph" w:customStyle="1" w:styleId="TOCTitle">
    <w:name w:val="TOC Title"/>
    <w:basedOn w:val="Normal"/>
    <w:rsid w:val="00EE36AC"/>
    <w:pPr>
      <w:spacing w:before="240" w:after="240"/>
      <w:jc w:val="center"/>
    </w:pPr>
    <w:rPr>
      <w:rFonts w:ascii="Times New Roman Bold" w:hAnsi="Times New Roman Bold"/>
      <w:b/>
      <w:caps/>
      <w:spacing w:val="-2"/>
    </w:rPr>
  </w:style>
  <w:style w:type="paragraph" w:styleId="ListParagraph">
    <w:name w:val="List Paragraph"/>
    <w:basedOn w:val="Normal"/>
    <w:uiPriority w:val="34"/>
    <w:qFormat/>
    <w:rsid w:val="001B1B0F"/>
    <w:pPr>
      <w:ind w:left="720"/>
      <w:contextualSpacing/>
    </w:pPr>
    <w:rPr>
      <w:snapToGrid/>
    </w:rPr>
  </w:style>
  <w:style w:type="table" w:styleId="TableGrid">
    <w:name w:val="Table Grid"/>
    <w:basedOn w:val="TableNormal"/>
    <w:uiPriority w:val="59"/>
    <w:rsid w:val="002A2B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7210"/>
    <w:pPr>
      <w:snapToGrid w:val="0"/>
      <w:spacing w:after="120"/>
    </w:pPr>
  </w:style>
  <w:style w:type="character" w:customStyle="1" w:styleId="BodyTextChar">
    <w:name w:val="Body Text Char"/>
    <w:basedOn w:val="DefaultParagraphFont"/>
    <w:link w:val="BodyText"/>
    <w:rsid w:val="008E7210"/>
    <w:rPr>
      <w:kern w:val="28"/>
      <w:sz w:val="24"/>
    </w:rPr>
  </w:style>
  <w:style w:type="character" w:styleId="Strong">
    <w:name w:val="Strong"/>
    <w:basedOn w:val="DefaultParagraphFont"/>
    <w:uiPriority w:val="22"/>
    <w:qFormat/>
    <w:rsid w:val="00206384"/>
    <w:rPr>
      <w:b/>
      <w:bCs/>
    </w:rPr>
  </w:style>
  <w:style w:type="paragraph" w:customStyle="1" w:styleId="cita">
    <w:name w:val="cita"/>
    <w:basedOn w:val="Normal"/>
    <w:rsid w:val="00A70714"/>
    <w:pPr>
      <w:spacing w:before="200" w:after="100" w:afterAutospacing="1"/>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AC"/>
    <w:pPr>
      <w:widowControl w:val="0"/>
    </w:pPr>
    <w:rPr>
      <w:snapToGrid w:val="0"/>
      <w:kern w:val="28"/>
      <w:sz w:val="22"/>
    </w:rPr>
  </w:style>
  <w:style w:type="paragraph" w:styleId="Heading1">
    <w:name w:val="heading 1"/>
    <w:basedOn w:val="Normal"/>
    <w:next w:val="ParaNum"/>
    <w:link w:val="Heading1Char"/>
    <w:qFormat/>
    <w:rsid w:val="00EE36AC"/>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EE36AC"/>
    <w:pPr>
      <w:keepNext/>
      <w:numPr>
        <w:ilvl w:val="1"/>
        <w:numId w:val="5"/>
      </w:numPr>
      <w:spacing w:after="120"/>
      <w:outlineLvl w:val="1"/>
    </w:pPr>
    <w:rPr>
      <w:b/>
    </w:rPr>
  </w:style>
  <w:style w:type="paragraph" w:styleId="Heading3">
    <w:name w:val="heading 3"/>
    <w:basedOn w:val="Normal"/>
    <w:next w:val="ParaNum"/>
    <w:link w:val="Heading3Char"/>
    <w:qFormat/>
    <w:rsid w:val="00EE36AC"/>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EE36AC"/>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EE36AC"/>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E36AC"/>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EE36AC"/>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EE36AC"/>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E36AC"/>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E36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36AC"/>
  </w:style>
  <w:style w:type="paragraph" w:styleId="Caption">
    <w:name w:val="caption"/>
    <w:basedOn w:val="Normal"/>
    <w:next w:val="Normal"/>
    <w:qFormat/>
    <w:rsid w:val="00561FF3"/>
    <w:pPr>
      <w:spacing w:before="120" w:after="120"/>
    </w:pPr>
    <w:rPr>
      <w:b/>
      <w:snapToGrid/>
    </w:rPr>
  </w:style>
  <w:style w:type="paragraph" w:customStyle="1" w:styleId="ParaNum">
    <w:name w:val="ParaNum"/>
    <w:basedOn w:val="Normal"/>
    <w:link w:val="ParaNumChar1"/>
    <w:rsid w:val="00EE36AC"/>
    <w:pPr>
      <w:numPr>
        <w:numId w:val="4"/>
      </w:numPr>
      <w:tabs>
        <w:tab w:val="clear" w:pos="1080"/>
        <w:tab w:val="num" w:pos="1440"/>
      </w:tabs>
      <w:spacing w:after="120"/>
    </w:p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EE36AC"/>
    <w:pPr>
      <w:spacing w:after="120"/>
    </w:pPr>
  </w:style>
  <w:style w:type="paragraph" w:customStyle="1" w:styleId="Bullet">
    <w:name w:val="Bullet"/>
    <w:basedOn w:val="Normal"/>
    <w:rsid w:val="00EE36AC"/>
    <w:pPr>
      <w:tabs>
        <w:tab w:val="left" w:pos="2160"/>
      </w:tabs>
      <w:spacing w:after="220"/>
      <w:ind w:left="2160" w:hanging="720"/>
    </w:pPr>
  </w:style>
  <w:style w:type="paragraph" w:styleId="BlockText">
    <w:name w:val="Block Text"/>
    <w:basedOn w:val="Normal"/>
    <w:rsid w:val="00EE36AC"/>
    <w:pPr>
      <w:spacing w:after="240"/>
      <w:ind w:left="1440" w:right="1440"/>
    </w:pPr>
  </w:style>
  <w:style w:type="paragraph" w:customStyle="1" w:styleId="TableFormat">
    <w:name w:val="TableFormat"/>
    <w:basedOn w:val="Bullet"/>
    <w:rsid w:val="00EE36AC"/>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R,Style 17,Footnote Reference/,Style 6"/>
    <w:rsid w:val="00EE36AC"/>
    <w:rPr>
      <w:rFonts w:ascii="Times New Roman" w:hAnsi="Times New Roman"/>
      <w:dstrike w:val="0"/>
      <w:color w:val="auto"/>
      <w:sz w:val="20"/>
      <w:vertAlign w:val="superscript"/>
    </w:rPr>
  </w:style>
  <w:style w:type="paragraph" w:styleId="Header">
    <w:name w:val="header"/>
    <w:basedOn w:val="Normal"/>
    <w:link w:val="HeaderChar"/>
    <w:autoRedefine/>
    <w:rsid w:val="00EE36AC"/>
    <w:pPr>
      <w:tabs>
        <w:tab w:val="center" w:pos="4680"/>
        <w:tab w:val="right" w:pos="9360"/>
      </w:tabs>
    </w:pPr>
    <w:rPr>
      <w:b/>
    </w:rPr>
  </w:style>
  <w:style w:type="paragraph" w:styleId="Footer">
    <w:name w:val="footer"/>
    <w:basedOn w:val="Normal"/>
    <w:link w:val="FooterChar"/>
    <w:rsid w:val="00EE36AC"/>
    <w:pPr>
      <w:tabs>
        <w:tab w:val="center" w:pos="4320"/>
        <w:tab w:val="right" w:pos="8640"/>
      </w:tabs>
    </w:pPr>
  </w:style>
  <w:style w:type="paragraph" w:styleId="TOC2">
    <w:name w:val="toc 2"/>
    <w:basedOn w:val="Normal"/>
    <w:next w:val="Normal"/>
    <w:rsid w:val="00EE36AC"/>
    <w:pPr>
      <w:tabs>
        <w:tab w:val="left" w:pos="720"/>
        <w:tab w:val="right" w:leader="dot" w:pos="9360"/>
      </w:tabs>
      <w:suppressAutoHyphens/>
      <w:ind w:left="720" w:right="720" w:hanging="360"/>
    </w:pPr>
    <w:rPr>
      <w:noProof/>
    </w:rPr>
  </w:style>
  <w:style w:type="paragraph" w:customStyle="1" w:styleId="NumberedList">
    <w:name w:val="Numbered List"/>
    <w:basedOn w:val="Normal"/>
    <w:rsid w:val="00561FF3"/>
    <w:pPr>
      <w:numPr>
        <w:numId w:val="1"/>
      </w:numPr>
      <w:tabs>
        <w:tab w:val="clear" w:pos="1080"/>
      </w:tabs>
      <w:spacing w:after="220"/>
      <w:ind w:firstLine="0"/>
    </w:pPr>
    <w:rPr>
      <w:snapToGrid/>
    </w:rPr>
  </w:style>
  <w:style w:type="paragraph" w:styleId="TOC1">
    <w:name w:val="toc 1"/>
    <w:basedOn w:val="Normal"/>
    <w:next w:val="Normal"/>
    <w:rsid w:val="00EE36AC"/>
    <w:pPr>
      <w:tabs>
        <w:tab w:val="left" w:pos="360"/>
        <w:tab w:val="right" w:leader="dot" w:pos="9360"/>
      </w:tabs>
      <w:suppressAutoHyphens/>
      <w:ind w:left="360" w:right="720" w:hanging="360"/>
    </w:pPr>
    <w:rPr>
      <w:caps/>
      <w:noProof/>
    </w:rPr>
  </w:style>
  <w:style w:type="paragraph" w:styleId="TOC3">
    <w:name w:val="toc 3"/>
    <w:basedOn w:val="Normal"/>
    <w:next w:val="Normal"/>
    <w:rsid w:val="00EE36A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E36A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E36A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E36A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E36A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E36A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E36AC"/>
    <w:pPr>
      <w:tabs>
        <w:tab w:val="left" w:pos="3240"/>
        <w:tab w:val="right" w:leader="dot" w:pos="9360"/>
      </w:tabs>
      <w:suppressAutoHyphens/>
      <w:ind w:left="3240" w:hanging="360"/>
    </w:pPr>
    <w:rPr>
      <w:noProof/>
    </w:rPr>
  </w:style>
  <w:style w:type="character" w:styleId="PageNumber">
    <w:name w:val="page number"/>
    <w:basedOn w:val="DefaultParagraphFont"/>
    <w:rsid w:val="00EE36AC"/>
  </w:style>
  <w:style w:type="paragraph" w:styleId="Title">
    <w:name w:val="Title"/>
    <w:basedOn w:val="Normal"/>
    <w:link w:val="TitleChar"/>
    <w:qFormat/>
    <w:rsid w:val="00561FF3"/>
    <w:pPr>
      <w:jc w:val="center"/>
    </w:pPr>
    <w:rPr>
      <w:b/>
      <w:snapToGrid/>
    </w:rPr>
  </w:style>
  <w:style w:type="paragraph" w:customStyle="1" w:styleId="StyleBoldCentered">
    <w:name w:val="Style Bold Centered"/>
    <w:basedOn w:val="Normal"/>
    <w:rsid w:val="00EE36AC"/>
    <w:pPr>
      <w:jc w:val="center"/>
    </w:pPr>
    <w:rPr>
      <w:rFonts w:ascii="Times New Roman Bold" w:hAnsi="Times New Roman Bold"/>
      <w:b/>
      <w:bCs/>
      <w:caps/>
      <w:szCs w:val="22"/>
    </w:rPr>
  </w:style>
  <w:style w:type="paragraph" w:styleId="EndnoteText">
    <w:name w:val="endnote text"/>
    <w:basedOn w:val="Normal"/>
    <w:link w:val="EndnoteTextChar"/>
    <w:semiHidden/>
    <w:rsid w:val="00EE36AC"/>
    <w:rPr>
      <w:sz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4777BD"/>
  </w:style>
  <w:style w:type="character" w:customStyle="1" w:styleId="ParaNumChar1">
    <w:name w:val="ParaNum Char1"/>
    <w:link w:val="ParaNum"/>
    <w:locked/>
    <w:rsid w:val="004777BD"/>
    <w:rPr>
      <w:snapToGrid w:val="0"/>
      <w:kern w:val="28"/>
      <w:sz w:val="22"/>
    </w:rPr>
  </w:style>
  <w:style w:type="numbering" w:customStyle="1" w:styleId="Style1">
    <w:name w:val="Style1"/>
    <w:uiPriority w:val="99"/>
    <w:rsid w:val="004777BD"/>
    <w:pPr>
      <w:numPr>
        <w:numId w:val="2"/>
      </w:numPr>
    </w:pPr>
  </w:style>
  <w:style w:type="character" w:styleId="Hyperlink">
    <w:name w:val="Hyperlink"/>
    <w:rsid w:val="00EE36AC"/>
    <w:rPr>
      <w:color w:val="0000FF"/>
      <w:u w:val="single"/>
    </w:rPr>
  </w:style>
  <w:style w:type="paragraph" w:customStyle="1" w:styleId="Paranum0">
    <w:name w:val="Paranum"/>
    <w:rsid w:val="00863A53"/>
    <w:pPr>
      <w:numPr>
        <w:numId w:val="3"/>
      </w:numPr>
      <w:tabs>
        <w:tab w:val="left" w:pos="1440"/>
      </w:tabs>
      <w:spacing w:after="240"/>
      <w:jc w:val="both"/>
    </w:pPr>
    <w:rPr>
      <w:sz w:val="22"/>
    </w:rPr>
  </w:style>
  <w:style w:type="character" w:customStyle="1" w:styleId="ParaNumChar">
    <w:name w:val="ParaNum Char"/>
    <w:locked/>
    <w:rsid w:val="00344968"/>
    <w:rPr>
      <w:kern w:val="28"/>
      <w:sz w:val="22"/>
    </w:rPr>
  </w:style>
  <w:style w:type="paragraph" w:styleId="NormalWeb">
    <w:name w:val="Normal (Web)"/>
    <w:basedOn w:val="Normal"/>
    <w:uiPriority w:val="99"/>
    <w:rsid w:val="007764D3"/>
    <w:rPr>
      <w:snapToGrid/>
    </w:rPr>
  </w:style>
  <w:style w:type="character" w:styleId="Emphasis">
    <w:name w:val="Emphasis"/>
    <w:qFormat/>
    <w:rsid w:val="007764D3"/>
    <w:rPr>
      <w:i/>
      <w:iCs/>
    </w:rPr>
  </w:style>
  <w:style w:type="paragraph" w:styleId="BalloonText">
    <w:name w:val="Balloon Text"/>
    <w:basedOn w:val="Normal"/>
    <w:link w:val="BalloonTextChar"/>
    <w:rsid w:val="00816893"/>
    <w:rPr>
      <w:rFonts w:ascii="Tahoma" w:hAnsi="Tahoma"/>
      <w:snapToGrid/>
      <w:sz w:val="16"/>
      <w:szCs w:val="16"/>
    </w:rPr>
  </w:style>
  <w:style w:type="character" w:customStyle="1" w:styleId="BalloonTextChar">
    <w:name w:val="Balloon Text Char"/>
    <w:link w:val="BalloonText"/>
    <w:rsid w:val="00816893"/>
    <w:rPr>
      <w:rFonts w:ascii="Tahoma" w:hAnsi="Tahoma" w:cs="Tahoma"/>
      <w:sz w:val="16"/>
      <w:szCs w:val="16"/>
    </w:rPr>
  </w:style>
  <w:style w:type="character" w:styleId="CommentReference">
    <w:name w:val="annotation reference"/>
    <w:uiPriority w:val="99"/>
    <w:rsid w:val="004849EA"/>
    <w:rPr>
      <w:sz w:val="16"/>
      <w:szCs w:val="16"/>
    </w:rPr>
  </w:style>
  <w:style w:type="paragraph" w:styleId="CommentText">
    <w:name w:val="annotation text"/>
    <w:basedOn w:val="Normal"/>
    <w:link w:val="CommentTextChar"/>
    <w:uiPriority w:val="99"/>
    <w:rsid w:val="004849EA"/>
    <w:rPr>
      <w:snapToGrid/>
      <w:sz w:val="20"/>
    </w:rPr>
  </w:style>
  <w:style w:type="character" w:customStyle="1" w:styleId="CommentTextChar">
    <w:name w:val="Comment Text Char"/>
    <w:basedOn w:val="DefaultParagraphFont"/>
    <w:link w:val="CommentText"/>
    <w:uiPriority w:val="99"/>
    <w:rsid w:val="004849EA"/>
  </w:style>
  <w:style w:type="paragraph" w:styleId="CommentSubject">
    <w:name w:val="annotation subject"/>
    <w:basedOn w:val="CommentText"/>
    <w:next w:val="CommentText"/>
    <w:link w:val="CommentSubjectChar"/>
    <w:rsid w:val="004849EA"/>
    <w:rPr>
      <w:b/>
      <w:bCs/>
    </w:rPr>
  </w:style>
  <w:style w:type="character" w:customStyle="1" w:styleId="CommentSubjectChar">
    <w:name w:val="Comment Subject Char"/>
    <w:link w:val="CommentSubject"/>
    <w:rsid w:val="004849EA"/>
    <w:rPr>
      <w:b/>
      <w:bCs/>
    </w:rPr>
  </w:style>
  <w:style w:type="paragraph" w:customStyle="1" w:styleId="ColorfulShading-Accent11">
    <w:name w:val="Colorful Shading - Accent 11"/>
    <w:hidden/>
    <w:uiPriority w:val="99"/>
    <w:semiHidden/>
    <w:rsid w:val="004849EA"/>
    <w:rPr>
      <w:sz w:val="22"/>
    </w:rPr>
  </w:style>
  <w:style w:type="paragraph" w:customStyle="1" w:styleId="1">
    <w:name w:val="1"/>
    <w:basedOn w:val="Heading1"/>
    <w:next w:val="Normal"/>
    <w:uiPriority w:val="39"/>
    <w:unhideWhenUsed/>
    <w:qFormat/>
    <w:rsid w:val="00CC56F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rPr>
  </w:style>
  <w:style w:type="character" w:customStyle="1" w:styleId="documentbody1">
    <w:name w:val="documentbody1"/>
    <w:rsid w:val="00FA04DD"/>
    <w:rPr>
      <w:rFonts w:ascii="Verdana" w:hAnsi="Verdana" w:cs="Times New Roman"/>
      <w:sz w:val="19"/>
      <w:szCs w:val="19"/>
    </w:rPr>
  </w:style>
  <w:style w:type="character" w:customStyle="1" w:styleId="Footnote">
    <w:name w:val="Footnote"/>
    <w:rsid w:val="00AF7FCC"/>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AF7FCC"/>
    <w:rPr>
      <w:rFonts w:cs="Times New Roman"/>
      <w:lang w:val="en-US" w:eastAsia="en-US" w:bidi="ar-SA"/>
    </w:rPr>
  </w:style>
  <w:style w:type="character" w:customStyle="1" w:styleId="Unnamed1">
    <w:name w:val="Unnamed 1"/>
    <w:rsid w:val="00CB7520"/>
    <w:rPr>
      <w:rFonts w:ascii="Courier New" w:hAnsi="Courier New" w:cs="Courier New"/>
      <w:sz w:val="24"/>
      <w:lang w:val="en-US"/>
    </w:rPr>
  </w:style>
  <w:style w:type="character" w:customStyle="1" w:styleId="footnote0">
    <w:name w:val="footnote"/>
    <w:rsid w:val="00CB7520"/>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CB7520"/>
    <w:rPr>
      <w:rFonts w:cs="Times New Roman"/>
      <w:lang w:val="en-US" w:eastAsia="en-US" w:bidi="ar-SA"/>
    </w:rPr>
  </w:style>
  <w:style w:type="character" w:customStyle="1" w:styleId="Heading2CharChar2">
    <w:name w:val="Heading 2 Char Char2"/>
    <w:rsid w:val="00CB7520"/>
    <w:rPr>
      <w:rFonts w:cs="Times New Roman"/>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B7520"/>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CB7520"/>
    <w:rPr>
      <w:rFonts w:ascii="Times New Roman" w:hAnsi="Times New Roman"/>
      <w:dstrike w:val="0"/>
      <w:color w:val="auto"/>
      <w:sz w:val="20"/>
      <w:vertAlign w:val="superscript"/>
    </w:rPr>
  </w:style>
  <w:style w:type="character" w:customStyle="1" w:styleId="FooterChar">
    <w:name w:val="Footer Char"/>
    <w:link w:val="Footer"/>
    <w:rsid w:val="002C1DE0"/>
    <w:rPr>
      <w:snapToGrid w:val="0"/>
      <w:kern w:val="28"/>
      <w:sz w:val="22"/>
    </w:rPr>
  </w:style>
  <w:style w:type="paragraph" w:customStyle="1" w:styleId="TOCHeading1">
    <w:name w:val="TOC Heading1"/>
    <w:basedOn w:val="Heading1"/>
    <w:next w:val="Normal"/>
    <w:uiPriority w:val="39"/>
    <w:qFormat/>
    <w:rsid w:val="00CC56F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Revision">
    <w:name w:val="Revision"/>
    <w:hidden/>
    <w:uiPriority w:val="99"/>
    <w:semiHidden/>
    <w:rsid w:val="00524431"/>
    <w:rPr>
      <w:sz w:val="22"/>
    </w:rPr>
  </w:style>
  <w:style w:type="character" w:customStyle="1" w:styleId="SC465550">
    <w:name w:val="SC.4.65550"/>
    <w:uiPriority w:val="99"/>
    <w:rsid w:val="00B358A1"/>
    <w:rPr>
      <w:rFonts w:ascii="OMDAA K+ Century" w:hAnsi="OMDAA K+ Century" w:cs="OMDAA K+ Century" w:hint="default"/>
      <w:color w:val="000000"/>
      <w:sz w:val="20"/>
      <w:szCs w:val="20"/>
    </w:rPr>
  </w:style>
  <w:style w:type="character" w:customStyle="1" w:styleId="HeaderChar">
    <w:name w:val="Header Char"/>
    <w:basedOn w:val="DefaultParagraphFont"/>
    <w:link w:val="Header"/>
    <w:rsid w:val="00231713"/>
    <w:rPr>
      <w:b/>
      <w:snapToGrid w:val="0"/>
      <w:kern w:val="28"/>
      <w:sz w:val="22"/>
    </w:rPr>
  </w:style>
  <w:style w:type="character" w:styleId="FollowedHyperlink">
    <w:name w:val="FollowedHyperlink"/>
    <w:basedOn w:val="DefaultParagraphFont"/>
    <w:rsid w:val="0036742D"/>
    <w:rPr>
      <w:color w:val="800080" w:themeColor="followedHyperlink"/>
      <w:u w:val="single"/>
    </w:rPr>
  </w:style>
  <w:style w:type="character" w:customStyle="1" w:styleId="Heading1Char">
    <w:name w:val="Heading 1 Char"/>
    <w:basedOn w:val="DefaultParagraphFont"/>
    <w:link w:val="Heading1"/>
    <w:rsid w:val="009549AB"/>
    <w:rPr>
      <w:rFonts w:ascii="Times New Roman Bold" w:hAnsi="Times New Roman Bold"/>
      <w:b/>
      <w:caps/>
      <w:snapToGrid w:val="0"/>
      <w:kern w:val="28"/>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8E627E"/>
    <w:rPr>
      <w:b/>
      <w:snapToGrid w:val="0"/>
      <w:kern w:val="28"/>
      <w:sz w:val="22"/>
    </w:rPr>
  </w:style>
  <w:style w:type="character" w:customStyle="1" w:styleId="Heading3Char">
    <w:name w:val="Heading 3 Char"/>
    <w:basedOn w:val="DefaultParagraphFont"/>
    <w:link w:val="Heading3"/>
    <w:rsid w:val="009549AB"/>
    <w:rPr>
      <w:b/>
      <w:snapToGrid w:val="0"/>
      <w:kern w:val="28"/>
      <w:sz w:val="22"/>
    </w:rPr>
  </w:style>
  <w:style w:type="character" w:customStyle="1" w:styleId="Heading4Char">
    <w:name w:val="Heading 4 Char"/>
    <w:basedOn w:val="DefaultParagraphFont"/>
    <w:link w:val="Heading4"/>
    <w:rsid w:val="009549AB"/>
    <w:rPr>
      <w:b/>
      <w:snapToGrid w:val="0"/>
      <w:kern w:val="28"/>
      <w:sz w:val="22"/>
    </w:rPr>
  </w:style>
  <w:style w:type="character" w:customStyle="1" w:styleId="Heading5Char">
    <w:name w:val="Heading 5 Char"/>
    <w:basedOn w:val="DefaultParagraphFont"/>
    <w:link w:val="Heading5"/>
    <w:rsid w:val="009549AB"/>
    <w:rPr>
      <w:b/>
      <w:snapToGrid w:val="0"/>
      <w:kern w:val="28"/>
      <w:sz w:val="22"/>
    </w:rPr>
  </w:style>
  <w:style w:type="character" w:customStyle="1" w:styleId="Heading6Char">
    <w:name w:val="Heading 6 Char"/>
    <w:aliases w:val="h6 Char"/>
    <w:basedOn w:val="DefaultParagraphFont"/>
    <w:link w:val="Heading6"/>
    <w:rsid w:val="009549AB"/>
    <w:rPr>
      <w:b/>
      <w:snapToGrid w:val="0"/>
      <w:kern w:val="28"/>
      <w:sz w:val="22"/>
    </w:rPr>
  </w:style>
  <w:style w:type="character" w:customStyle="1" w:styleId="Heading7Char">
    <w:name w:val="Heading 7 Char"/>
    <w:basedOn w:val="DefaultParagraphFont"/>
    <w:link w:val="Heading7"/>
    <w:rsid w:val="009549AB"/>
    <w:rPr>
      <w:b/>
      <w:snapToGrid w:val="0"/>
      <w:kern w:val="28"/>
      <w:sz w:val="22"/>
    </w:rPr>
  </w:style>
  <w:style w:type="character" w:customStyle="1" w:styleId="Heading8Char">
    <w:name w:val="Heading 8 Char"/>
    <w:basedOn w:val="DefaultParagraphFont"/>
    <w:link w:val="Heading8"/>
    <w:rsid w:val="009549AB"/>
    <w:rPr>
      <w:b/>
      <w:snapToGrid w:val="0"/>
      <w:kern w:val="28"/>
      <w:sz w:val="22"/>
    </w:rPr>
  </w:style>
  <w:style w:type="character" w:customStyle="1" w:styleId="Heading9Char">
    <w:name w:val="Heading 9 Char"/>
    <w:basedOn w:val="DefaultParagraphFont"/>
    <w:link w:val="Heading9"/>
    <w:rsid w:val="009549AB"/>
    <w:rPr>
      <w:b/>
      <w:snapToGrid w:val="0"/>
      <w:kern w:val="28"/>
      <w:sz w:val="22"/>
    </w:rPr>
  </w:style>
  <w:style w:type="character" w:customStyle="1" w:styleId="TitleChar">
    <w:name w:val="Title Char"/>
    <w:basedOn w:val="DefaultParagraphFont"/>
    <w:link w:val="Title"/>
    <w:rsid w:val="009549AB"/>
    <w:rPr>
      <w:b/>
      <w:sz w:val="22"/>
    </w:rPr>
  </w:style>
  <w:style w:type="character" w:customStyle="1" w:styleId="EndnoteTextChar">
    <w:name w:val="Endnote Text Char"/>
    <w:basedOn w:val="DefaultParagraphFont"/>
    <w:link w:val="EndnoteText"/>
    <w:semiHidden/>
    <w:rsid w:val="009549AB"/>
    <w:rPr>
      <w:snapToGrid w:val="0"/>
      <w:kern w:val="28"/>
    </w:rPr>
  </w:style>
  <w:style w:type="paragraph" w:styleId="TOCHeading">
    <w:name w:val="TOC Heading"/>
    <w:basedOn w:val="Heading1"/>
    <w:next w:val="Normal"/>
    <w:uiPriority w:val="39"/>
    <w:unhideWhenUsed/>
    <w:qFormat/>
    <w:rsid w:val="00B17FE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styleId="EndnoteReference">
    <w:name w:val="endnote reference"/>
    <w:rsid w:val="00EE36AC"/>
    <w:rPr>
      <w:vertAlign w:val="superscript"/>
    </w:rPr>
  </w:style>
  <w:style w:type="paragraph" w:styleId="TOAHeading">
    <w:name w:val="toa heading"/>
    <w:basedOn w:val="Normal"/>
    <w:next w:val="Normal"/>
    <w:rsid w:val="00EE36AC"/>
    <w:pPr>
      <w:tabs>
        <w:tab w:val="right" w:pos="9360"/>
      </w:tabs>
      <w:suppressAutoHyphens/>
    </w:pPr>
  </w:style>
  <w:style w:type="character" w:customStyle="1" w:styleId="EquationCaption">
    <w:name w:val="_Equation Caption"/>
    <w:rsid w:val="00EE36AC"/>
  </w:style>
  <w:style w:type="paragraph" w:customStyle="1" w:styleId="Paratitle">
    <w:name w:val="Para title"/>
    <w:basedOn w:val="Normal"/>
    <w:rsid w:val="00EE36AC"/>
    <w:pPr>
      <w:tabs>
        <w:tab w:val="center" w:pos="9270"/>
      </w:tabs>
      <w:spacing w:after="240"/>
    </w:pPr>
    <w:rPr>
      <w:spacing w:val="-2"/>
    </w:rPr>
  </w:style>
  <w:style w:type="paragraph" w:customStyle="1" w:styleId="TOCTitle">
    <w:name w:val="TOC Title"/>
    <w:basedOn w:val="Normal"/>
    <w:rsid w:val="00EE36AC"/>
    <w:pPr>
      <w:spacing w:before="240" w:after="240"/>
      <w:jc w:val="center"/>
    </w:pPr>
    <w:rPr>
      <w:rFonts w:ascii="Times New Roman Bold" w:hAnsi="Times New Roman Bold"/>
      <w:b/>
      <w:caps/>
      <w:spacing w:val="-2"/>
    </w:rPr>
  </w:style>
  <w:style w:type="paragraph" w:styleId="ListParagraph">
    <w:name w:val="List Paragraph"/>
    <w:basedOn w:val="Normal"/>
    <w:uiPriority w:val="34"/>
    <w:qFormat/>
    <w:rsid w:val="001B1B0F"/>
    <w:pPr>
      <w:ind w:left="720"/>
      <w:contextualSpacing/>
    </w:pPr>
    <w:rPr>
      <w:snapToGrid/>
    </w:rPr>
  </w:style>
  <w:style w:type="table" w:styleId="TableGrid">
    <w:name w:val="Table Grid"/>
    <w:basedOn w:val="TableNormal"/>
    <w:uiPriority w:val="59"/>
    <w:rsid w:val="002A2B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7210"/>
    <w:pPr>
      <w:snapToGrid w:val="0"/>
      <w:spacing w:after="120"/>
    </w:pPr>
  </w:style>
  <w:style w:type="character" w:customStyle="1" w:styleId="BodyTextChar">
    <w:name w:val="Body Text Char"/>
    <w:basedOn w:val="DefaultParagraphFont"/>
    <w:link w:val="BodyText"/>
    <w:rsid w:val="008E7210"/>
    <w:rPr>
      <w:kern w:val="28"/>
      <w:sz w:val="24"/>
    </w:rPr>
  </w:style>
  <w:style w:type="character" w:styleId="Strong">
    <w:name w:val="Strong"/>
    <w:basedOn w:val="DefaultParagraphFont"/>
    <w:uiPriority w:val="22"/>
    <w:qFormat/>
    <w:rsid w:val="00206384"/>
    <w:rPr>
      <w:b/>
      <w:bCs/>
    </w:rPr>
  </w:style>
  <w:style w:type="paragraph" w:customStyle="1" w:styleId="cita">
    <w:name w:val="cita"/>
    <w:basedOn w:val="Normal"/>
    <w:rsid w:val="00A70714"/>
    <w:pPr>
      <w:spacing w:before="200"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7572">
      <w:bodyDiv w:val="1"/>
      <w:marLeft w:val="0"/>
      <w:marRight w:val="0"/>
      <w:marTop w:val="0"/>
      <w:marBottom w:val="0"/>
      <w:divBdr>
        <w:top w:val="none" w:sz="0" w:space="0" w:color="auto"/>
        <w:left w:val="none" w:sz="0" w:space="0" w:color="auto"/>
        <w:bottom w:val="none" w:sz="0" w:space="0" w:color="auto"/>
        <w:right w:val="none" w:sz="0" w:space="0" w:color="auto"/>
      </w:divBdr>
    </w:div>
    <w:div w:id="233055040">
      <w:bodyDiv w:val="1"/>
      <w:marLeft w:val="0"/>
      <w:marRight w:val="0"/>
      <w:marTop w:val="0"/>
      <w:marBottom w:val="0"/>
      <w:divBdr>
        <w:top w:val="none" w:sz="0" w:space="0" w:color="auto"/>
        <w:left w:val="none" w:sz="0" w:space="0" w:color="auto"/>
        <w:bottom w:val="none" w:sz="0" w:space="0" w:color="auto"/>
        <w:right w:val="none" w:sz="0" w:space="0" w:color="auto"/>
      </w:divBdr>
    </w:div>
    <w:div w:id="267126919">
      <w:bodyDiv w:val="1"/>
      <w:marLeft w:val="0"/>
      <w:marRight w:val="0"/>
      <w:marTop w:val="0"/>
      <w:marBottom w:val="0"/>
      <w:divBdr>
        <w:top w:val="none" w:sz="0" w:space="0" w:color="auto"/>
        <w:left w:val="none" w:sz="0" w:space="0" w:color="auto"/>
        <w:bottom w:val="none" w:sz="0" w:space="0" w:color="auto"/>
        <w:right w:val="none" w:sz="0" w:space="0" w:color="auto"/>
      </w:divBdr>
    </w:div>
    <w:div w:id="755202926">
      <w:bodyDiv w:val="1"/>
      <w:marLeft w:val="0"/>
      <w:marRight w:val="0"/>
      <w:marTop w:val="0"/>
      <w:marBottom w:val="0"/>
      <w:divBdr>
        <w:top w:val="none" w:sz="0" w:space="0" w:color="auto"/>
        <w:left w:val="none" w:sz="0" w:space="0" w:color="auto"/>
        <w:bottom w:val="none" w:sz="0" w:space="0" w:color="auto"/>
        <w:right w:val="none" w:sz="0" w:space="0" w:color="auto"/>
      </w:divBdr>
    </w:div>
    <w:div w:id="1972052374">
      <w:bodyDiv w:val="1"/>
      <w:marLeft w:val="0"/>
      <w:marRight w:val="0"/>
      <w:marTop w:val="0"/>
      <w:marBottom w:val="0"/>
      <w:divBdr>
        <w:top w:val="none" w:sz="0" w:space="0" w:color="auto"/>
        <w:left w:val="none" w:sz="0" w:space="0" w:color="auto"/>
        <w:bottom w:val="none" w:sz="0" w:space="0" w:color="auto"/>
        <w:right w:val="none" w:sz="0" w:space="0" w:color="auto"/>
      </w:divBdr>
      <w:divsChild>
        <w:div w:id="84233401">
          <w:marLeft w:val="0"/>
          <w:marRight w:val="0"/>
          <w:marTop w:val="0"/>
          <w:marBottom w:val="0"/>
          <w:divBdr>
            <w:top w:val="none" w:sz="0" w:space="0" w:color="auto"/>
            <w:left w:val="none" w:sz="0" w:space="0" w:color="auto"/>
            <w:bottom w:val="none" w:sz="0" w:space="0" w:color="auto"/>
            <w:right w:val="none" w:sz="0" w:space="0" w:color="auto"/>
          </w:divBdr>
        </w:div>
      </w:divsChild>
    </w:div>
    <w:div w:id="20789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ition.fcc.gov/fees/regfee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2.westlaw.com/find/default.wl?mt=Westlaw&amp;db=1000546&amp;docname=47USCAS155&amp;rp=%2ffind%2fdefault.wl&amp;findtype=L&amp;ordoc=2026269166&amp;tc=-1&amp;vr=2.0&amp;fn=_top&amp;sv=Split&amp;tf=-1&amp;pbc=24BD7E74&amp;rs=WLW12.0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Thomas\AppData\Local\Microsoft\Windows\Temporary%20Internet%20Files\Content.IE5\AppData\Local\Microsoft\Windows\Temporary%20Internet%20Files\Content.IE5\Users\Mika.Savir\AppData\Local\Microsoft\Windows\Temporary%20Internet%20Files\AppData\Local\Microsoft\Windows\Temporary%20Internet%20Files\Content.IE5\Users\Roland.Helvajian\AppData\Local\Microsoft\Windows\Temporary%20Internet%20Files\Content.Outlook\Users\Mika.Savir\AppData\Local\Microsoft\Windows\Temporary%20Internet%20Files\Content.Outlook\Local%20Settings\Temporary%20Internet%20Files\Users\Mika.Savir\AppData\Local\Microsoft\Windows\Temporary%20Internet%20Files\AppData\Local\Microsoft\Windows\Temporary%20Internet%20Files\Content.IE5\Local%20Settings\Temporary%20Internet%20Files\AppData\Local\Microsoft\Windows\Temporary%20Internet%20Files\Content.IE5\Users\Mika.Savir\AppData\Local\Microsoft\Windows\Temporary%20Internet%20Files\Content.Outlook\204T2IWP\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jallfoss.fcc.gov/ecfs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nsition.fcc.gov/fees/wiretran.html" TargetMode="External"/><Relationship Id="rId14" Type="http://schemas.openxmlformats.org/officeDocument/2006/relationships/header" Target="header2.xm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code=517919&amp;search=2007%20NAICS%20Search" TargetMode="External"/><Relationship Id="rId3" Type="http://schemas.openxmlformats.org/officeDocument/2006/relationships/hyperlink" Target="http://transition.fcc.gov/cgb/consumerfacts/lllu.pdf" TargetMode="External"/><Relationship Id="rId7" Type="http://schemas.openxmlformats.org/officeDocument/2006/relationships/hyperlink" Target="http://www.census.gov/cgi-bin/sssd/naics/naicsrch?code=517110&amp;search=2007%20NAICS%20Search" TargetMode="External"/><Relationship Id="rId2" Type="http://schemas.openxmlformats.org/officeDocument/2006/relationships/hyperlink" Target="http://transition.fcc.gov/Daily_Releases/Daily_Business/2014/db0214/DA-14-199A2.pdf" TargetMode="External"/><Relationship Id="rId1" Type="http://schemas.openxmlformats.org/officeDocument/2006/relationships/hyperlink" Target="http://transition.fcc.gov/eb/rfo/" TargetMode="External"/><Relationship Id="rId6" Type="http://schemas.openxmlformats.org/officeDocument/2006/relationships/hyperlink" Target="http://www.census.gov/cgi-bin/sssd/naics/naicsrch?code=517212&amp;search=2002%20NAICS%20Search" TargetMode="External"/><Relationship Id="rId5" Type="http://schemas.openxmlformats.org/officeDocument/2006/relationships/hyperlink" Target="http://www.census.gov/cgibin/" TargetMode="External"/><Relationship Id="rId4" Type="http://schemas.openxmlformats.org/officeDocument/2006/relationships/hyperlink" Target="http://www.sba.gov/sites/default/files/FAQ_Sept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17477</Words>
  <Characters>96458</Characters>
  <Application>Microsoft Office Word</Application>
  <DocSecurity>0</DocSecurity>
  <Lines>2401</Lines>
  <Paragraphs>1142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113668</CharactersWithSpaces>
  <SharedDoc>false</SharedDoc>
  <HyperlinkBase> </HyperlinkBase>
  <HLinks>
    <vt:vector size="426" baseType="variant">
      <vt:variant>
        <vt:i4>6488123</vt:i4>
      </vt:variant>
      <vt:variant>
        <vt:i4>268</vt:i4>
      </vt:variant>
      <vt:variant>
        <vt:i4>0</vt:i4>
      </vt:variant>
      <vt:variant>
        <vt:i4>5</vt:i4>
      </vt:variant>
      <vt:variant>
        <vt:lpwstr>../AppData/Local/Microsoft/Windows/Temporary Internet Files/Content.IE5/AppData/Local/Microsoft/Windows/Temporary Internet Files/Content.IE5/Users/Mika.Savir/AppData/Local/Microsoft/Windows/Temporary Internet Files/AppData/Local/Microsoft/Windows/Temporary Internet Files/Content.IE5/Users/Roland.Helvajian/AppData/Local/Microsoft/Windows/Temporary Internet Files/Content.Outlook/Users/Mika.Savir/AppData/Local/Microsoft/Windows/Temporary Internet Files/Content.Outlook/Local Settings/Temporary Internet Files/Users/Mika.Savir/AppData/Local/Microsoft/Windows/Temporary Internet Files/AppData/Local/Microsoft/Windows/Temporary Internet Files/Content.IE5/Local Settings/Temporary Internet Files/AppData/Local/Microsoft/Windows/Temporary Internet Files/Content.IE5/Users/Mika.Savir/AppData/Local/Microsoft/Windows/Temporary Internet Files/Content.Outlook/204T2IWP/fcc504@fcc.gov</vt:lpwstr>
      </vt:variant>
      <vt:variant>
        <vt:lpwstr/>
      </vt:variant>
      <vt:variant>
        <vt:i4>7929897</vt:i4>
      </vt:variant>
      <vt:variant>
        <vt:i4>265</vt:i4>
      </vt:variant>
      <vt:variant>
        <vt:i4>0</vt:i4>
      </vt:variant>
      <vt:variant>
        <vt:i4>5</vt:i4>
      </vt:variant>
      <vt:variant>
        <vt:lpwstr>http://fjallfoss.fcc.gov/ecfs2/</vt:lpwstr>
      </vt:variant>
      <vt:variant>
        <vt:lpwstr/>
      </vt:variant>
      <vt:variant>
        <vt:i4>4522070</vt:i4>
      </vt:variant>
      <vt:variant>
        <vt:i4>262</vt:i4>
      </vt:variant>
      <vt:variant>
        <vt:i4>0</vt:i4>
      </vt:variant>
      <vt:variant>
        <vt:i4>5</vt:i4>
      </vt:variant>
      <vt:variant>
        <vt:lpwstr>http://transition.fcc.gov/fees/wiretran.html</vt:lpwstr>
      </vt:variant>
      <vt:variant>
        <vt:lpwstr/>
      </vt:variant>
      <vt:variant>
        <vt:i4>6619263</vt:i4>
      </vt:variant>
      <vt:variant>
        <vt:i4>259</vt:i4>
      </vt:variant>
      <vt:variant>
        <vt:i4>0</vt:i4>
      </vt:variant>
      <vt:variant>
        <vt:i4>5</vt:i4>
      </vt:variant>
      <vt:variant>
        <vt:lpwstr>http://transition.fcc.gov/fees/regfees.html</vt:lpwstr>
      </vt:variant>
      <vt:variant>
        <vt:lpwstr/>
      </vt:variant>
      <vt:variant>
        <vt:i4>1507379</vt:i4>
      </vt:variant>
      <vt:variant>
        <vt:i4>252</vt:i4>
      </vt:variant>
      <vt:variant>
        <vt:i4>0</vt:i4>
      </vt:variant>
      <vt:variant>
        <vt:i4>5</vt:i4>
      </vt:variant>
      <vt:variant>
        <vt:lpwstr/>
      </vt:variant>
      <vt:variant>
        <vt:lpwstr>_Toc353032079</vt:lpwstr>
      </vt:variant>
      <vt:variant>
        <vt:i4>1507379</vt:i4>
      </vt:variant>
      <vt:variant>
        <vt:i4>246</vt:i4>
      </vt:variant>
      <vt:variant>
        <vt:i4>0</vt:i4>
      </vt:variant>
      <vt:variant>
        <vt:i4>5</vt:i4>
      </vt:variant>
      <vt:variant>
        <vt:lpwstr/>
      </vt:variant>
      <vt:variant>
        <vt:lpwstr>_Toc353032078</vt:lpwstr>
      </vt:variant>
      <vt:variant>
        <vt:i4>1507379</vt:i4>
      </vt:variant>
      <vt:variant>
        <vt:i4>240</vt:i4>
      </vt:variant>
      <vt:variant>
        <vt:i4>0</vt:i4>
      </vt:variant>
      <vt:variant>
        <vt:i4>5</vt:i4>
      </vt:variant>
      <vt:variant>
        <vt:lpwstr/>
      </vt:variant>
      <vt:variant>
        <vt:lpwstr>_Toc353032077</vt:lpwstr>
      </vt:variant>
      <vt:variant>
        <vt:i4>1507379</vt:i4>
      </vt:variant>
      <vt:variant>
        <vt:i4>234</vt:i4>
      </vt:variant>
      <vt:variant>
        <vt:i4>0</vt:i4>
      </vt:variant>
      <vt:variant>
        <vt:i4>5</vt:i4>
      </vt:variant>
      <vt:variant>
        <vt:lpwstr/>
      </vt:variant>
      <vt:variant>
        <vt:lpwstr>_Toc353032076</vt:lpwstr>
      </vt:variant>
      <vt:variant>
        <vt:i4>1507379</vt:i4>
      </vt:variant>
      <vt:variant>
        <vt:i4>228</vt:i4>
      </vt:variant>
      <vt:variant>
        <vt:i4>0</vt:i4>
      </vt:variant>
      <vt:variant>
        <vt:i4>5</vt:i4>
      </vt:variant>
      <vt:variant>
        <vt:lpwstr/>
      </vt:variant>
      <vt:variant>
        <vt:lpwstr>_Toc353032075</vt:lpwstr>
      </vt:variant>
      <vt:variant>
        <vt:i4>1507379</vt:i4>
      </vt:variant>
      <vt:variant>
        <vt:i4>222</vt:i4>
      </vt:variant>
      <vt:variant>
        <vt:i4>0</vt:i4>
      </vt:variant>
      <vt:variant>
        <vt:i4>5</vt:i4>
      </vt:variant>
      <vt:variant>
        <vt:lpwstr/>
      </vt:variant>
      <vt:variant>
        <vt:lpwstr>_Toc353032074</vt:lpwstr>
      </vt:variant>
      <vt:variant>
        <vt:i4>1507379</vt:i4>
      </vt:variant>
      <vt:variant>
        <vt:i4>216</vt:i4>
      </vt:variant>
      <vt:variant>
        <vt:i4>0</vt:i4>
      </vt:variant>
      <vt:variant>
        <vt:i4>5</vt:i4>
      </vt:variant>
      <vt:variant>
        <vt:lpwstr/>
      </vt:variant>
      <vt:variant>
        <vt:lpwstr>_Toc353032073</vt:lpwstr>
      </vt:variant>
      <vt:variant>
        <vt:i4>1507379</vt:i4>
      </vt:variant>
      <vt:variant>
        <vt:i4>210</vt:i4>
      </vt:variant>
      <vt:variant>
        <vt:i4>0</vt:i4>
      </vt:variant>
      <vt:variant>
        <vt:i4>5</vt:i4>
      </vt:variant>
      <vt:variant>
        <vt:lpwstr/>
      </vt:variant>
      <vt:variant>
        <vt:lpwstr>_Toc353032072</vt:lpwstr>
      </vt:variant>
      <vt:variant>
        <vt:i4>1507379</vt:i4>
      </vt:variant>
      <vt:variant>
        <vt:i4>204</vt:i4>
      </vt:variant>
      <vt:variant>
        <vt:i4>0</vt:i4>
      </vt:variant>
      <vt:variant>
        <vt:i4>5</vt:i4>
      </vt:variant>
      <vt:variant>
        <vt:lpwstr/>
      </vt:variant>
      <vt:variant>
        <vt:lpwstr>_Toc353032071</vt:lpwstr>
      </vt:variant>
      <vt:variant>
        <vt:i4>1507379</vt:i4>
      </vt:variant>
      <vt:variant>
        <vt:i4>198</vt:i4>
      </vt:variant>
      <vt:variant>
        <vt:i4>0</vt:i4>
      </vt:variant>
      <vt:variant>
        <vt:i4>5</vt:i4>
      </vt:variant>
      <vt:variant>
        <vt:lpwstr/>
      </vt:variant>
      <vt:variant>
        <vt:lpwstr>_Toc353032070</vt:lpwstr>
      </vt:variant>
      <vt:variant>
        <vt:i4>1441843</vt:i4>
      </vt:variant>
      <vt:variant>
        <vt:i4>192</vt:i4>
      </vt:variant>
      <vt:variant>
        <vt:i4>0</vt:i4>
      </vt:variant>
      <vt:variant>
        <vt:i4>5</vt:i4>
      </vt:variant>
      <vt:variant>
        <vt:lpwstr/>
      </vt:variant>
      <vt:variant>
        <vt:lpwstr>_Toc353032069</vt:lpwstr>
      </vt:variant>
      <vt:variant>
        <vt:i4>1441843</vt:i4>
      </vt:variant>
      <vt:variant>
        <vt:i4>186</vt:i4>
      </vt:variant>
      <vt:variant>
        <vt:i4>0</vt:i4>
      </vt:variant>
      <vt:variant>
        <vt:i4>5</vt:i4>
      </vt:variant>
      <vt:variant>
        <vt:lpwstr/>
      </vt:variant>
      <vt:variant>
        <vt:lpwstr>_Toc353032068</vt:lpwstr>
      </vt:variant>
      <vt:variant>
        <vt:i4>1441843</vt:i4>
      </vt:variant>
      <vt:variant>
        <vt:i4>180</vt:i4>
      </vt:variant>
      <vt:variant>
        <vt:i4>0</vt:i4>
      </vt:variant>
      <vt:variant>
        <vt:i4>5</vt:i4>
      </vt:variant>
      <vt:variant>
        <vt:lpwstr/>
      </vt:variant>
      <vt:variant>
        <vt:lpwstr>_Toc353032067</vt:lpwstr>
      </vt:variant>
      <vt:variant>
        <vt:i4>1441843</vt:i4>
      </vt:variant>
      <vt:variant>
        <vt:i4>174</vt:i4>
      </vt:variant>
      <vt:variant>
        <vt:i4>0</vt:i4>
      </vt:variant>
      <vt:variant>
        <vt:i4>5</vt:i4>
      </vt:variant>
      <vt:variant>
        <vt:lpwstr/>
      </vt:variant>
      <vt:variant>
        <vt:lpwstr>_Toc353032066</vt:lpwstr>
      </vt:variant>
      <vt:variant>
        <vt:i4>1441843</vt:i4>
      </vt:variant>
      <vt:variant>
        <vt:i4>168</vt:i4>
      </vt:variant>
      <vt:variant>
        <vt:i4>0</vt:i4>
      </vt:variant>
      <vt:variant>
        <vt:i4>5</vt:i4>
      </vt:variant>
      <vt:variant>
        <vt:lpwstr/>
      </vt:variant>
      <vt:variant>
        <vt:lpwstr>_Toc353032065</vt:lpwstr>
      </vt:variant>
      <vt:variant>
        <vt:i4>1441843</vt:i4>
      </vt:variant>
      <vt:variant>
        <vt:i4>162</vt:i4>
      </vt:variant>
      <vt:variant>
        <vt:i4>0</vt:i4>
      </vt:variant>
      <vt:variant>
        <vt:i4>5</vt:i4>
      </vt:variant>
      <vt:variant>
        <vt:lpwstr/>
      </vt:variant>
      <vt:variant>
        <vt:lpwstr>_Toc353032064</vt:lpwstr>
      </vt:variant>
      <vt:variant>
        <vt:i4>1441843</vt:i4>
      </vt:variant>
      <vt:variant>
        <vt:i4>156</vt:i4>
      </vt:variant>
      <vt:variant>
        <vt:i4>0</vt:i4>
      </vt:variant>
      <vt:variant>
        <vt:i4>5</vt:i4>
      </vt:variant>
      <vt:variant>
        <vt:lpwstr/>
      </vt:variant>
      <vt:variant>
        <vt:lpwstr>_Toc353032063</vt:lpwstr>
      </vt:variant>
      <vt:variant>
        <vt:i4>1441843</vt:i4>
      </vt:variant>
      <vt:variant>
        <vt:i4>150</vt:i4>
      </vt:variant>
      <vt:variant>
        <vt:i4>0</vt:i4>
      </vt:variant>
      <vt:variant>
        <vt:i4>5</vt:i4>
      </vt:variant>
      <vt:variant>
        <vt:lpwstr/>
      </vt:variant>
      <vt:variant>
        <vt:lpwstr>_Toc353032062</vt:lpwstr>
      </vt:variant>
      <vt:variant>
        <vt:i4>1441843</vt:i4>
      </vt:variant>
      <vt:variant>
        <vt:i4>144</vt:i4>
      </vt:variant>
      <vt:variant>
        <vt:i4>0</vt:i4>
      </vt:variant>
      <vt:variant>
        <vt:i4>5</vt:i4>
      </vt:variant>
      <vt:variant>
        <vt:lpwstr/>
      </vt:variant>
      <vt:variant>
        <vt:lpwstr>_Toc353032061</vt:lpwstr>
      </vt:variant>
      <vt:variant>
        <vt:i4>1441843</vt:i4>
      </vt:variant>
      <vt:variant>
        <vt:i4>138</vt:i4>
      </vt:variant>
      <vt:variant>
        <vt:i4>0</vt:i4>
      </vt:variant>
      <vt:variant>
        <vt:i4>5</vt:i4>
      </vt:variant>
      <vt:variant>
        <vt:lpwstr/>
      </vt:variant>
      <vt:variant>
        <vt:lpwstr>_Toc353032060</vt:lpwstr>
      </vt:variant>
      <vt:variant>
        <vt:i4>1376307</vt:i4>
      </vt:variant>
      <vt:variant>
        <vt:i4>132</vt:i4>
      </vt:variant>
      <vt:variant>
        <vt:i4>0</vt:i4>
      </vt:variant>
      <vt:variant>
        <vt:i4>5</vt:i4>
      </vt:variant>
      <vt:variant>
        <vt:lpwstr/>
      </vt:variant>
      <vt:variant>
        <vt:lpwstr>_Toc353032059</vt:lpwstr>
      </vt:variant>
      <vt:variant>
        <vt:i4>1376307</vt:i4>
      </vt:variant>
      <vt:variant>
        <vt:i4>126</vt:i4>
      </vt:variant>
      <vt:variant>
        <vt:i4>0</vt:i4>
      </vt:variant>
      <vt:variant>
        <vt:i4>5</vt:i4>
      </vt:variant>
      <vt:variant>
        <vt:lpwstr/>
      </vt:variant>
      <vt:variant>
        <vt:lpwstr>_Toc353032058</vt:lpwstr>
      </vt:variant>
      <vt:variant>
        <vt:i4>1376307</vt:i4>
      </vt:variant>
      <vt:variant>
        <vt:i4>120</vt:i4>
      </vt:variant>
      <vt:variant>
        <vt:i4>0</vt:i4>
      </vt:variant>
      <vt:variant>
        <vt:i4>5</vt:i4>
      </vt:variant>
      <vt:variant>
        <vt:lpwstr/>
      </vt:variant>
      <vt:variant>
        <vt:lpwstr>_Toc353032057</vt:lpwstr>
      </vt:variant>
      <vt:variant>
        <vt:i4>1376307</vt:i4>
      </vt:variant>
      <vt:variant>
        <vt:i4>114</vt:i4>
      </vt:variant>
      <vt:variant>
        <vt:i4>0</vt:i4>
      </vt:variant>
      <vt:variant>
        <vt:i4>5</vt:i4>
      </vt:variant>
      <vt:variant>
        <vt:lpwstr/>
      </vt:variant>
      <vt:variant>
        <vt:lpwstr>_Toc353032056</vt:lpwstr>
      </vt:variant>
      <vt:variant>
        <vt:i4>1376307</vt:i4>
      </vt:variant>
      <vt:variant>
        <vt:i4>108</vt:i4>
      </vt:variant>
      <vt:variant>
        <vt:i4>0</vt:i4>
      </vt:variant>
      <vt:variant>
        <vt:i4>5</vt:i4>
      </vt:variant>
      <vt:variant>
        <vt:lpwstr/>
      </vt:variant>
      <vt:variant>
        <vt:lpwstr>_Toc353032055</vt:lpwstr>
      </vt:variant>
      <vt:variant>
        <vt:i4>1376307</vt:i4>
      </vt:variant>
      <vt:variant>
        <vt:i4>102</vt:i4>
      </vt:variant>
      <vt:variant>
        <vt:i4>0</vt:i4>
      </vt:variant>
      <vt:variant>
        <vt:i4>5</vt:i4>
      </vt:variant>
      <vt:variant>
        <vt:lpwstr/>
      </vt:variant>
      <vt:variant>
        <vt:lpwstr>_Toc353032054</vt:lpwstr>
      </vt:variant>
      <vt:variant>
        <vt:i4>1376307</vt:i4>
      </vt:variant>
      <vt:variant>
        <vt:i4>96</vt:i4>
      </vt:variant>
      <vt:variant>
        <vt:i4>0</vt:i4>
      </vt:variant>
      <vt:variant>
        <vt:i4>5</vt:i4>
      </vt:variant>
      <vt:variant>
        <vt:lpwstr/>
      </vt:variant>
      <vt:variant>
        <vt:lpwstr>_Toc353032053</vt:lpwstr>
      </vt:variant>
      <vt:variant>
        <vt:i4>1376307</vt:i4>
      </vt:variant>
      <vt:variant>
        <vt:i4>90</vt:i4>
      </vt:variant>
      <vt:variant>
        <vt:i4>0</vt:i4>
      </vt:variant>
      <vt:variant>
        <vt:i4>5</vt:i4>
      </vt:variant>
      <vt:variant>
        <vt:lpwstr/>
      </vt:variant>
      <vt:variant>
        <vt:lpwstr>_Toc353032052</vt:lpwstr>
      </vt:variant>
      <vt:variant>
        <vt:i4>1376307</vt:i4>
      </vt:variant>
      <vt:variant>
        <vt:i4>84</vt:i4>
      </vt:variant>
      <vt:variant>
        <vt:i4>0</vt:i4>
      </vt:variant>
      <vt:variant>
        <vt:i4>5</vt:i4>
      </vt:variant>
      <vt:variant>
        <vt:lpwstr/>
      </vt:variant>
      <vt:variant>
        <vt:lpwstr>_Toc353032051</vt:lpwstr>
      </vt:variant>
      <vt:variant>
        <vt:i4>1376307</vt:i4>
      </vt:variant>
      <vt:variant>
        <vt:i4>78</vt:i4>
      </vt:variant>
      <vt:variant>
        <vt:i4>0</vt:i4>
      </vt:variant>
      <vt:variant>
        <vt:i4>5</vt:i4>
      </vt:variant>
      <vt:variant>
        <vt:lpwstr/>
      </vt:variant>
      <vt:variant>
        <vt:lpwstr>_Toc353032050</vt:lpwstr>
      </vt:variant>
      <vt:variant>
        <vt:i4>1310771</vt:i4>
      </vt:variant>
      <vt:variant>
        <vt:i4>72</vt:i4>
      </vt:variant>
      <vt:variant>
        <vt:i4>0</vt:i4>
      </vt:variant>
      <vt:variant>
        <vt:i4>5</vt:i4>
      </vt:variant>
      <vt:variant>
        <vt:lpwstr/>
      </vt:variant>
      <vt:variant>
        <vt:lpwstr>_Toc353032049</vt:lpwstr>
      </vt:variant>
      <vt:variant>
        <vt:i4>1310771</vt:i4>
      </vt:variant>
      <vt:variant>
        <vt:i4>66</vt:i4>
      </vt:variant>
      <vt:variant>
        <vt:i4>0</vt:i4>
      </vt:variant>
      <vt:variant>
        <vt:i4>5</vt:i4>
      </vt:variant>
      <vt:variant>
        <vt:lpwstr/>
      </vt:variant>
      <vt:variant>
        <vt:lpwstr>_Toc353032048</vt:lpwstr>
      </vt:variant>
      <vt:variant>
        <vt:i4>1310771</vt:i4>
      </vt:variant>
      <vt:variant>
        <vt:i4>60</vt:i4>
      </vt:variant>
      <vt:variant>
        <vt:i4>0</vt:i4>
      </vt:variant>
      <vt:variant>
        <vt:i4>5</vt:i4>
      </vt:variant>
      <vt:variant>
        <vt:lpwstr/>
      </vt:variant>
      <vt:variant>
        <vt:lpwstr>_Toc353032047</vt:lpwstr>
      </vt:variant>
      <vt:variant>
        <vt:i4>1310771</vt:i4>
      </vt:variant>
      <vt:variant>
        <vt:i4>54</vt:i4>
      </vt:variant>
      <vt:variant>
        <vt:i4>0</vt:i4>
      </vt:variant>
      <vt:variant>
        <vt:i4>5</vt:i4>
      </vt:variant>
      <vt:variant>
        <vt:lpwstr/>
      </vt:variant>
      <vt:variant>
        <vt:lpwstr>_Toc353032046</vt:lpwstr>
      </vt:variant>
      <vt:variant>
        <vt:i4>1310771</vt:i4>
      </vt:variant>
      <vt:variant>
        <vt:i4>48</vt:i4>
      </vt:variant>
      <vt:variant>
        <vt:i4>0</vt:i4>
      </vt:variant>
      <vt:variant>
        <vt:i4>5</vt:i4>
      </vt:variant>
      <vt:variant>
        <vt:lpwstr/>
      </vt:variant>
      <vt:variant>
        <vt:lpwstr>_Toc353032045</vt:lpwstr>
      </vt:variant>
      <vt:variant>
        <vt:i4>1310771</vt:i4>
      </vt:variant>
      <vt:variant>
        <vt:i4>42</vt:i4>
      </vt:variant>
      <vt:variant>
        <vt:i4>0</vt:i4>
      </vt:variant>
      <vt:variant>
        <vt:i4>5</vt:i4>
      </vt:variant>
      <vt:variant>
        <vt:lpwstr/>
      </vt:variant>
      <vt:variant>
        <vt:lpwstr>_Toc353032044</vt:lpwstr>
      </vt:variant>
      <vt:variant>
        <vt:i4>1310771</vt:i4>
      </vt:variant>
      <vt:variant>
        <vt:i4>36</vt:i4>
      </vt:variant>
      <vt:variant>
        <vt:i4>0</vt:i4>
      </vt:variant>
      <vt:variant>
        <vt:i4>5</vt:i4>
      </vt:variant>
      <vt:variant>
        <vt:lpwstr/>
      </vt:variant>
      <vt:variant>
        <vt:lpwstr>_Toc353032043</vt:lpwstr>
      </vt:variant>
      <vt:variant>
        <vt:i4>1310771</vt:i4>
      </vt:variant>
      <vt:variant>
        <vt:i4>30</vt:i4>
      </vt:variant>
      <vt:variant>
        <vt:i4>0</vt:i4>
      </vt:variant>
      <vt:variant>
        <vt:i4>5</vt:i4>
      </vt:variant>
      <vt:variant>
        <vt:lpwstr/>
      </vt:variant>
      <vt:variant>
        <vt:lpwstr>_Toc353032042</vt:lpwstr>
      </vt:variant>
      <vt:variant>
        <vt:i4>1310771</vt:i4>
      </vt:variant>
      <vt:variant>
        <vt:i4>24</vt:i4>
      </vt:variant>
      <vt:variant>
        <vt:i4>0</vt:i4>
      </vt:variant>
      <vt:variant>
        <vt:i4>5</vt:i4>
      </vt:variant>
      <vt:variant>
        <vt:lpwstr/>
      </vt:variant>
      <vt:variant>
        <vt:lpwstr>_Toc353032041</vt:lpwstr>
      </vt:variant>
      <vt:variant>
        <vt:i4>1310771</vt:i4>
      </vt:variant>
      <vt:variant>
        <vt:i4>18</vt:i4>
      </vt:variant>
      <vt:variant>
        <vt:i4>0</vt:i4>
      </vt:variant>
      <vt:variant>
        <vt:i4>5</vt:i4>
      </vt:variant>
      <vt:variant>
        <vt:lpwstr/>
      </vt:variant>
      <vt:variant>
        <vt:lpwstr>_Toc353032040</vt:lpwstr>
      </vt:variant>
      <vt:variant>
        <vt:i4>1245235</vt:i4>
      </vt:variant>
      <vt:variant>
        <vt:i4>12</vt:i4>
      </vt:variant>
      <vt:variant>
        <vt:i4>0</vt:i4>
      </vt:variant>
      <vt:variant>
        <vt:i4>5</vt:i4>
      </vt:variant>
      <vt:variant>
        <vt:lpwstr/>
      </vt:variant>
      <vt:variant>
        <vt:lpwstr>_Toc353032039</vt:lpwstr>
      </vt:variant>
      <vt:variant>
        <vt:i4>1245235</vt:i4>
      </vt:variant>
      <vt:variant>
        <vt:i4>6</vt:i4>
      </vt:variant>
      <vt:variant>
        <vt:i4>0</vt:i4>
      </vt:variant>
      <vt:variant>
        <vt:i4>5</vt:i4>
      </vt:variant>
      <vt:variant>
        <vt:lpwstr/>
      </vt:variant>
      <vt:variant>
        <vt:lpwstr>_Toc353032038</vt:lpwstr>
      </vt:variant>
      <vt:variant>
        <vt:i4>6291563</vt:i4>
      </vt:variant>
      <vt:variant>
        <vt:i4>72</vt:i4>
      </vt:variant>
      <vt:variant>
        <vt:i4>0</vt:i4>
      </vt:variant>
      <vt:variant>
        <vt:i4>5</vt:i4>
      </vt:variant>
      <vt:variant>
        <vt:lpwstr>http://www.westlaw.com/Find/Default.wl?rs=++++1.0&amp;vr=2.0&amp;DB=1000547&amp;DocName=47CFRS90.33&amp;FindType=L</vt:lpwstr>
      </vt:variant>
      <vt:variant>
        <vt:lpwstr/>
      </vt:variant>
      <vt:variant>
        <vt:i4>6422637</vt:i4>
      </vt:variant>
      <vt:variant>
        <vt:i4>69</vt:i4>
      </vt:variant>
      <vt:variant>
        <vt:i4>0</vt:i4>
      </vt:variant>
      <vt:variant>
        <vt:i4>5</vt:i4>
      </vt:variant>
      <vt:variant>
        <vt:lpwstr>http://www.westlaw.com/Find/Default.wl?rs=++++1.0&amp;vr=2.0&amp;DB=1000547&amp;DocName=47CFRS90.15&amp;FindType=L</vt:lpwstr>
      </vt:variant>
      <vt:variant>
        <vt:lpwstr/>
      </vt:variant>
      <vt:variant>
        <vt:i4>8061012</vt:i4>
      </vt:variant>
      <vt:variant>
        <vt:i4>66</vt:i4>
      </vt:variant>
      <vt:variant>
        <vt:i4>0</vt:i4>
      </vt:variant>
      <vt:variant>
        <vt:i4>5</vt:i4>
      </vt:variant>
      <vt:variant>
        <vt:lpwstr>http://web2.westlaw.com/Find/Default.wl?DB=1000547&amp;DocName=47CFRS95%2E401&amp;FindType=L&amp;AP=&amp;RS=WLW2.86&amp;VR=2.0&amp;SV=Split&amp;MT=Westlaw&amp;FN=_top</vt:lpwstr>
      </vt:variant>
      <vt:variant>
        <vt:lpwstr/>
      </vt:variant>
      <vt:variant>
        <vt:i4>2162789</vt:i4>
      </vt:variant>
      <vt:variant>
        <vt:i4>63</vt:i4>
      </vt:variant>
      <vt:variant>
        <vt:i4>0</vt:i4>
      </vt:variant>
      <vt:variant>
        <vt:i4>5</vt:i4>
      </vt:variant>
      <vt:variant>
        <vt:lpwstr>http://www.census.gov/naics/2007/def/ND517110.HTM</vt:lpwstr>
      </vt:variant>
      <vt:variant>
        <vt:lpwstr>N517110</vt:lpwstr>
      </vt:variant>
      <vt:variant>
        <vt:i4>6422562</vt:i4>
      </vt:variant>
      <vt:variant>
        <vt:i4>60</vt:i4>
      </vt:variant>
      <vt:variant>
        <vt:i4>0</vt:i4>
      </vt:variant>
      <vt:variant>
        <vt:i4>5</vt:i4>
      </vt:variant>
      <vt:variant>
        <vt:lpwstr>http://transition.fcc.gov/Daily_Releases/Daily_Business/2012/db0106/DOC-311837A1.pdf</vt:lpwstr>
      </vt:variant>
      <vt:variant>
        <vt:lpwstr/>
      </vt:variant>
      <vt:variant>
        <vt:i4>2162791</vt:i4>
      </vt:variant>
      <vt:variant>
        <vt:i4>57</vt:i4>
      </vt:variant>
      <vt:variant>
        <vt:i4>0</vt:i4>
      </vt:variant>
      <vt:variant>
        <vt:i4>5</vt:i4>
      </vt:variant>
      <vt:variant>
        <vt:lpwstr>http://www.census.gov/naics/2007/def/ND515112.HTM</vt:lpwstr>
      </vt:variant>
      <vt:variant>
        <vt:lpwstr>N515112</vt:lpwstr>
      </vt:variant>
      <vt:variant>
        <vt:i4>6422562</vt:i4>
      </vt:variant>
      <vt:variant>
        <vt:i4>54</vt:i4>
      </vt:variant>
      <vt:variant>
        <vt:i4>0</vt:i4>
      </vt:variant>
      <vt:variant>
        <vt:i4>5</vt:i4>
      </vt:variant>
      <vt:variant>
        <vt:lpwstr>http://transition.fcc.gov/Daily_Releases/Daily_Business/2012/db0106/DOC-311837A1.pdf</vt:lpwstr>
      </vt:variant>
      <vt:variant>
        <vt:lpwstr/>
      </vt:variant>
      <vt:variant>
        <vt:i4>6422562</vt:i4>
      </vt:variant>
      <vt:variant>
        <vt:i4>51</vt:i4>
      </vt:variant>
      <vt:variant>
        <vt:i4>0</vt:i4>
      </vt:variant>
      <vt:variant>
        <vt:i4>5</vt:i4>
      </vt:variant>
      <vt:variant>
        <vt:lpwstr>http://transition.fcc.gov/Daily_Releases/Daily_Business/2012/db0106/DOC-311837A1.pdf</vt:lpwstr>
      </vt:variant>
      <vt:variant>
        <vt:lpwstr/>
      </vt:variant>
      <vt:variant>
        <vt:i4>6422562</vt:i4>
      </vt:variant>
      <vt:variant>
        <vt:i4>48</vt:i4>
      </vt:variant>
      <vt:variant>
        <vt:i4>0</vt:i4>
      </vt:variant>
      <vt:variant>
        <vt:i4>5</vt:i4>
      </vt:variant>
      <vt:variant>
        <vt:lpwstr>http://transition.fcc.gov/Daily_Releases/Daily_Business/2012/db0106/DOC-311837A1.pdf</vt:lpwstr>
      </vt:variant>
      <vt:variant>
        <vt:lpwstr/>
      </vt:variant>
      <vt:variant>
        <vt:i4>2162789</vt:i4>
      </vt:variant>
      <vt:variant>
        <vt:i4>45</vt:i4>
      </vt:variant>
      <vt:variant>
        <vt:i4>0</vt:i4>
      </vt:variant>
      <vt:variant>
        <vt:i4>5</vt:i4>
      </vt:variant>
      <vt:variant>
        <vt:lpwstr>http://www.census.gov/naics/2007/def/ND515120.HTM</vt:lpwstr>
      </vt:variant>
      <vt:variant>
        <vt:lpwstr>N515120</vt:lpwstr>
      </vt:variant>
      <vt:variant>
        <vt:i4>7471129</vt:i4>
      </vt:variant>
      <vt:variant>
        <vt:i4>42</vt:i4>
      </vt:variant>
      <vt:variant>
        <vt:i4>0</vt:i4>
      </vt:variant>
      <vt:variant>
        <vt:i4>5</vt:i4>
      </vt:variant>
      <vt:variant>
        <vt:lpwstr>https://web2.westlaw.com/find/default.wl?mt=122&amp;db=4493&amp;tc=-1&amp;rp=%2ffind%2fdefault.wl&amp;findtype=Y&amp;ordoc=2027888090&amp;serialnum=1997260934&amp;vr=2.0&amp;fn=_top&amp;sv=Split&amp;tf=-1&amp;referencepositiontype=S&amp;pbc=F7F00C7D&amp;referenceposition=12689&amp;rs=WLW12.04</vt:lpwstr>
      </vt:variant>
      <vt:variant>
        <vt:lpwstr/>
      </vt:variant>
      <vt:variant>
        <vt:i4>6029363</vt:i4>
      </vt:variant>
      <vt:variant>
        <vt:i4>39</vt:i4>
      </vt:variant>
      <vt:variant>
        <vt:i4>0</vt:i4>
      </vt:variant>
      <vt:variant>
        <vt:i4>5</vt:i4>
      </vt:variant>
      <vt:variant>
        <vt:lpwstr>https://web2.westlaw.com/find/default.wl?mt=122&amp;db=0004493&amp;tc=-1&amp;rp=%2ffind%2fdefault.wl&amp;findtype=Y&amp;ordoc=2027888090&amp;serialnum=1997260934&amp;vr=2.0&amp;fn=_top&amp;sv=Split&amp;tf=-1&amp;referencepositiontype=S&amp;pbc=F7F00C7D&amp;referenceposition=12689&amp;rs=WLW12.04</vt:lpwstr>
      </vt:variant>
      <vt:variant>
        <vt:lpwstr/>
      </vt:variant>
      <vt:variant>
        <vt:i4>2883710</vt:i4>
      </vt:variant>
      <vt:variant>
        <vt:i4>36</vt:i4>
      </vt:variant>
      <vt:variant>
        <vt:i4>0</vt:i4>
      </vt:variant>
      <vt:variant>
        <vt:i4>5</vt:i4>
      </vt:variant>
      <vt:variant>
        <vt:lpwstr>http://factfinder.census.gov/servlet/IBQTable?_bm=y&amp;-fds_name=EC0700A1&amp;-geo_id=&amp;-_skip=600&amp;-ds_name=EC0751SSSZ5&amp;-_lang=en</vt:lpwstr>
      </vt:variant>
      <vt:variant>
        <vt:lpwstr/>
      </vt:variant>
      <vt:variant>
        <vt:i4>2162789</vt:i4>
      </vt:variant>
      <vt:variant>
        <vt:i4>33</vt:i4>
      </vt:variant>
      <vt:variant>
        <vt:i4>0</vt:i4>
      </vt:variant>
      <vt:variant>
        <vt:i4>5</vt:i4>
      </vt:variant>
      <vt:variant>
        <vt:lpwstr>http://www.census.gov/naics/2007/def/ND517210.HTM</vt:lpwstr>
      </vt:variant>
      <vt:variant>
        <vt:lpwstr>N517210</vt:lpwstr>
      </vt:variant>
      <vt:variant>
        <vt:i4>2883710</vt:i4>
      </vt:variant>
      <vt:variant>
        <vt:i4>30</vt:i4>
      </vt:variant>
      <vt:variant>
        <vt:i4>0</vt:i4>
      </vt:variant>
      <vt:variant>
        <vt:i4>5</vt:i4>
      </vt:variant>
      <vt:variant>
        <vt:lpwstr>http://factfinder.census.gov/servlet/IBQTable?_bm=y&amp;-fds_name=EC0700A1&amp;-geo_id=&amp;-_skip=600&amp;-ds_name=EC0751SSSZ5&amp;-_lang=en</vt:lpwstr>
      </vt:variant>
      <vt:variant>
        <vt:lpwstr/>
      </vt:variant>
      <vt:variant>
        <vt:i4>6619263</vt:i4>
      </vt:variant>
      <vt:variant>
        <vt:i4>27</vt:i4>
      </vt:variant>
      <vt:variant>
        <vt:i4>0</vt:i4>
      </vt:variant>
      <vt:variant>
        <vt:i4>5</vt:i4>
      </vt:variant>
      <vt:variant>
        <vt:lpwstr>http://www.census.gov/cgi-bin/sssd/naics/naicsrch?code=517210&amp;search=2007%20NAICS%20Search</vt:lpwstr>
      </vt:variant>
      <vt:variant>
        <vt:lpwstr/>
      </vt:variant>
      <vt:variant>
        <vt:i4>2883710</vt:i4>
      </vt:variant>
      <vt:variant>
        <vt:i4>24</vt:i4>
      </vt:variant>
      <vt:variant>
        <vt:i4>0</vt:i4>
      </vt:variant>
      <vt:variant>
        <vt:i4>5</vt:i4>
      </vt:variant>
      <vt:variant>
        <vt:lpwstr>http://factfinder.census.gov/servlet/IBQTable?_bm=y&amp;-fds_name=EC0700A1&amp;-geo_id=&amp;-_skip=600&amp;-ds_name=EC0751SSSZ5&amp;-_lang=en</vt:lpwstr>
      </vt:variant>
      <vt:variant>
        <vt:lpwstr/>
      </vt:variant>
      <vt:variant>
        <vt:i4>2752559</vt:i4>
      </vt:variant>
      <vt:variant>
        <vt:i4>21</vt:i4>
      </vt:variant>
      <vt:variant>
        <vt:i4>0</vt:i4>
      </vt:variant>
      <vt:variant>
        <vt:i4>5</vt:i4>
      </vt:variant>
      <vt:variant>
        <vt:lpwstr>http://web.sba.gov/faqs</vt:lpwstr>
      </vt:variant>
      <vt:variant>
        <vt:lpwstr/>
      </vt:variant>
      <vt:variant>
        <vt:i4>6815776</vt:i4>
      </vt:variant>
      <vt:variant>
        <vt:i4>18</vt:i4>
      </vt:variant>
      <vt:variant>
        <vt:i4>0</vt:i4>
      </vt:variant>
      <vt:variant>
        <vt:i4>5</vt:i4>
      </vt:variant>
      <vt:variant>
        <vt:lpwstr>http://www.whitehouse.gov/the-press-office/2011/06/13/executive-order-13576-delivering-efficient-effective-and-accountable-gov</vt:lpwstr>
      </vt:variant>
      <vt:variant>
        <vt:lpwstr/>
      </vt:variant>
      <vt:variant>
        <vt:i4>1441874</vt:i4>
      </vt:variant>
      <vt:variant>
        <vt:i4>15</vt:i4>
      </vt:variant>
      <vt:variant>
        <vt:i4>0</vt:i4>
      </vt:variant>
      <vt:variant>
        <vt:i4>5</vt:i4>
      </vt:variant>
      <vt:variant>
        <vt:lpwstr>http://pewinternet.org/Reports/2012/Smartphone-Update-2012/Findings.aspx</vt:lpwstr>
      </vt:variant>
      <vt:variant>
        <vt:lpwstr/>
      </vt:variant>
      <vt:variant>
        <vt:i4>2752560</vt:i4>
      </vt:variant>
      <vt:variant>
        <vt:i4>12</vt:i4>
      </vt:variant>
      <vt:variant>
        <vt:i4>0</vt:i4>
      </vt:variant>
      <vt:variant>
        <vt:i4>5</vt:i4>
      </vt:variant>
      <vt:variant>
        <vt:lpwstr>http://www.ntia.doc.gov/report/2011/exploring-digital-nation-computer-and-internet-use-home</vt:lpwstr>
      </vt:variant>
      <vt:variant>
        <vt:lpwstr/>
      </vt:variant>
      <vt:variant>
        <vt:i4>6029312</vt:i4>
      </vt:variant>
      <vt:variant>
        <vt:i4>9</vt:i4>
      </vt:variant>
      <vt:variant>
        <vt:i4>0</vt:i4>
      </vt:variant>
      <vt:variant>
        <vt:i4>5</vt:i4>
      </vt:variant>
      <vt:variant>
        <vt:lpwstr>http://www22.verizon.com/?lid=//global//residential.</vt:lpwstr>
      </vt:variant>
      <vt:variant>
        <vt:lpwstr/>
      </vt:variant>
      <vt:variant>
        <vt:i4>786518</vt:i4>
      </vt:variant>
      <vt:variant>
        <vt:i4>6</vt:i4>
      </vt:variant>
      <vt:variant>
        <vt:i4>0</vt:i4>
      </vt:variant>
      <vt:variant>
        <vt:i4>5</vt:i4>
      </vt:variant>
      <vt:variant>
        <vt:lpwstr>http://www.comcast.com/Corporate/Learn/Bundles/bundles.html.</vt:lpwstr>
      </vt:variant>
      <vt:variant>
        <vt:lpwstr/>
      </vt:variant>
      <vt:variant>
        <vt:i4>1441874</vt:i4>
      </vt:variant>
      <vt:variant>
        <vt:i4>3</vt:i4>
      </vt:variant>
      <vt:variant>
        <vt:i4>0</vt:i4>
      </vt:variant>
      <vt:variant>
        <vt:i4>5</vt:i4>
      </vt:variant>
      <vt:variant>
        <vt:lpwstr>http://pewinternet.org/Reports/2012/Smartphone-Update-2012/Findings.aspx</vt:lpwstr>
      </vt:variant>
      <vt:variant>
        <vt:lpwstr/>
      </vt:variant>
      <vt:variant>
        <vt:i4>2752560</vt:i4>
      </vt:variant>
      <vt:variant>
        <vt:i4>0</vt:i4>
      </vt:variant>
      <vt:variant>
        <vt:i4>0</vt:i4>
      </vt:variant>
      <vt:variant>
        <vt:i4>5</vt:i4>
      </vt:variant>
      <vt:variant>
        <vt:lpwstr>http://www.ntia.doc.gov/report/2011/exploring-digital-nation-computer-and-internet-use-home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2014-06-13T17:23:00Z</cp:lastPrinted>
  <dcterms:created xsi:type="dcterms:W3CDTF">2014-06-13T17:48:00Z</dcterms:created>
  <dcterms:modified xsi:type="dcterms:W3CDTF">2014-06-13T17:48:00Z</dcterms:modified>
  <cp:category> </cp:category>
  <cp:contentStatus> </cp:contentStatus>
</cp:coreProperties>
</file>