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A81C34" w:rsidRDefault="004C2EE3">
      <w:pPr>
        <w:jc w:val="center"/>
        <w:rPr>
          <w:b/>
        </w:rPr>
      </w:pPr>
      <w:bookmarkStart w:id="0" w:name="_GoBack"/>
      <w:bookmarkEnd w:id="0"/>
      <w:r w:rsidRPr="00A81C34">
        <w:rPr>
          <w:b/>
        </w:rPr>
        <w:t>Before the</w:t>
      </w:r>
    </w:p>
    <w:p w:rsidR="00921803" w:rsidRPr="00A81C34" w:rsidRDefault="00921803" w:rsidP="00921803">
      <w:pPr>
        <w:pStyle w:val="StyleBoldCentered"/>
        <w:rPr>
          <w:rFonts w:ascii="Times New Roman" w:hAnsi="Times New Roman"/>
        </w:rPr>
      </w:pPr>
      <w:r w:rsidRPr="00A81C34">
        <w:rPr>
          <w:rFonts w:ascii="Times New Roman" w:hAnsi="Times New Roman"/>
        </w:rPr>
        <w:t>F</w:t>
      </w:r>
      <w:r w:rsidRPr="00A81C34">
        <w:rPr>
          <w:rFonts w:ascii="Times New Roman" w:hAnsi="Times New Roman"/>
          <w:caps w:val="0"/>
        </w:rPr>
        <w:t>ederal Communications Commission</w:t>
      </w:r>
    </w:p>
    <w:p w:rsidR="004C2EE3" w:rsidRPr="00A81C34" w:rsidRDefault="00810B6F" w:rsidP="00096D8C">
      <w:pPr>
        <w:pStyle w:val="StyleBoldCentered"/>
        <w:rPr>
          <w:rFonts w:ascii="Times New Roman" w:hAnsi="Times New Roman"/>
        </w:rPr>
      </w:pPr>
      <w:r w:rsidRPr="00A81C34">
        <w:rPr>
          <w:rFonts w:ascii="Times New Roman" w:hAnsi="Times New Roman"/>
          <w:caps w:val="0"/>
        </w:rPr>
        <w:t>Washington, D.C. 20554</w:t>
      </w:r>
    </w:p>
    <w:p w:rsidR="004C2EE3" w:rsidRPr="00A81C34" w:rsidRDefault="004C2EE3" w:rsidP="0070224F"/>
    <w:p w:rsidR="004C2EE3" w:rsidRPr="00A81C34" w:rsidRDefault="004C2EE3" w:rsidP="0070224F"/>
    <w:tbl>
      <w:tblPr>
        <w:tblW w:w="0" w:type="auto"/>
        <w:tblLayout w:type="fixed"/>
        <w:tblLook w:val="0000" w:firstRow="0" w:lastRow="0" w:firstColumn="0" w:lastColumn="0" w:noHBand="0" w:noVBand="0"/>
      </w:tblPr>
      <w:tblGrid>
        <w:gridCol w:w="4698"/>
        <w:gridCol w:w="630"/>
        <w:gridCol w:w="4248"/>
      </w:tblGrid>
      <w:tr w:rsidR="004C2EE3" w:rsidRPr="00A81C34">
        <w:tc>
          <w:tcPr>
            <w:tcW w:w="4698" w:type="dxa"/>
          </w:tcPr>
          <w:p w:rsidR="004C2EE3" w:rsidRPr="00A81C34" w:rsidRDefault="004C2EE3">
            <w:pPr>
              <w:tabs>
                <w:tab w:val="center" w:pos="4680"/>
              </w:tabs>
              <w:suppressAutoHyphens/>
              <w:rPr>
                <w:spacing w:val="-2"/>
              </w:rPr>
            </w:pPr>
            <w:r w:rsidRPr="00A81C34">
              <w:rPr>
                <w:spacing w:val="-2"/>
              </w:rPr>
              <w:t>In the Matter of</w:t>
            </w:r>
          </w:p>
          <w:p w:rsidR="004C2EE3" w:rsidRPr="00A81C34" w:rsidRDefault="004C2EE3">
            <w:pPr>
              <w:tabs>
                <w:tab w:val="center" w:pos="4680"/>
              </w:tabs>
              <w:suppressAutoHyphens/>
              <w:rPr>
                <w:spacing w:val="-2"/>
              </w:rPr>
            </w:pPr>
          </w:p>
          <w:p w:rsidR="009D0075" w:rsidRPr="00A81C34" w:rsidRDefault="009D0075" w:rsidP="009D0075">
            <w:pPr>
              <w:tabs>
                <w:tab w:val="center" w:pos="4680"/>
              </w:tabs>
              <w:suppressAutoHyphens/>
              <w:rPr>
                <w:spacing w:val="-2"/>
              </w:rPr>
            </w:pPr>
            <w:r w:rsidRPr="00A81C34">
              <w:rPr>
                <w:spacing w:val="-2"/>
              </w:rPr>
              <w:t>BVM Helping Hands</w:t>
            </w:r>
          </w:p>
          <w:p w:rsidR="009D0075" w:rsidRPr="00A81C34" w:rsidRDefault="009D0075" w:rsidP="009D0075">
            <w:pPr>
              <w:tabs>
                <w:tab w:val="center" w:pos="4680"/>
              </w:tabs>
              <w:suppressAutoHyphens/>
              <w:rPr>
                <w:spacing w:val="-2"/>
              </w:rPr>
            </w:pPr>
          </w:p>
          <w:p w:rsidR="009D0075" w:rsidRPr="00A81C34" w:rsidRDefault="009D0075" w:rsidP="009D0075">
            <w:pPr>
              <w:tabs>
                <w:tab w:val="center" w:pos="4680"/>
              </w:tabs>
              <w:suppressAutoHyphens/>
              <w:rPr>
                <w:spacing w:val="-2"/>
              </w:rPr>
            </w:pPr>
            <w:r w:rsidRPr="00A81C34">
              <w:rPr>
                <w:spacing w:val="-2"/>
              </w:rPr>
              <w:t>Application for Construction Permit for</w:t>
            </w:r>
          </w:p>
          <w:p w:rsidR="009D0075" w:rsidRPr="00A81C34" w:rsidRDefault="009D0075" w:rsidP="009D0075">
            <w:pPr>
              <w:tabs>
                <w:tab w:val="center" w:pos="4680"/>
              </w:tabs>
              <w:suppressAutoHyphens/>
              <w:rPr>
                <w:spacing w:val="-2"/>
              </w:rPr>
            </w:pPr>
            <w:r w:rsidRPr="00A81C34">
              <w:rPr>
                <w:spacing w:val="-2"/>
              </w:rPr>
              <w:t>New Noncommercial Educational FM Station</w:t>
            </w:r>
          </w:p>
          <w:p w:rsidR="004C2EE3" w:rsidRPr="00A81C34" w:rsidRDefault="009D0075" w:rsidP="009D0075">
            <w:pPr>
              <w:tabs>
                <w:tab w:val="center" w:pos="4680"/>
              </w:tabs>
              <w:suppressAutoHyphens/>
              <w:rPr>
                <w:spacing w:val="-2"/>
              </w:rPr>
            </w:pPr>
            <w:r w:rsidRPr="00A81C34">
              <w:rPr>
                <w:spacing w:val="-2"/>
              </w:rPr>
              <w:t>Antioch, Illinois</w:t>
            </w:r>
          </w:p>
        </w:tc>
        <w:tc>
          <w:tcPr>
            <w:tcW w:w="630" w:type="dxa"/>
          </w:tcPr>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420C49" w:rsidRDefault="004C2EE3">
            <w:pPr>
              <w:tabs>
                <w:tab w:val="center" w:pos="4680"/>
              </w:tabs>
              <w:suppressAutoHyphens/>
              <w:rPr>
                <w:b/>
                <w:spacing w:val="-2"/>
              </w:rPr>
            </w:pPr>
            <w:r w:rsidRPr="00A81C34">
              <w:rPr>
                <w:b/>
                <w:spacing w:val="-2"/>
              </w:rPr>
              <w:t>)</w:t>
            </w:r>
          </w:p>
        </w:tc>
        <w:tc>
          <w:tcPr>
            <w:tcW w:w="4248" w:type="dxa"/>
          </w:tcPr>
          <w:p w:rsidR="004C2EE3" w:rsidRPr="00A81C34" w:rsidRDefault="004C2EE3">
            <w:pPr>
              <w:tabs>
                <w:tab w:val="center" w:pos="4680"/>
              </w:tabs>
              <w:suppressAutoHyphens/>
              <w:rPr>
                <w:spacing w:val="-2"/>
              </w:rPr>
            </w:pPr>
          </w:p>
          <w:p w:rsidR="004C2EE3" w:rsidRPr="00A81C34" w:rsidRDefault="004C2EE3">
            <w:pPr>
              <w:pStyle w:val="TOAHeading"/>
              <w:tabs>
                <w:tab w:val="clear" w:pos="9360"/>
                <w:tab w:val="center" w:pos="4680"/>
              </w:tabs>
              <w:rPr>
                <w:spacing w:val="-2"/>
              </w:rPr>
            </w:pPr>
          </w:p>
          <w:p w:rsidR="00420C49" w:rsidRDefault="00420C49" w:rsidP="009D0075">
            <w:pPr>
              <w:pStyle w:val="TOAHeading"/>
              <w:tabs>
                <w:tab w:val="center" w:pos="4680"/>
              </w:tabs>
              <w:rPr>
                <w:spacing w:val="-2"/>
              </w:rPr>
            </w:pPr>
          </w:p>
          <w:p w:rsidR="00420C49" w:rsidRDefault="00420C49" w:rsidP="009D0075">
            <w:pPr>
              <w:pStyle w:val="TOAHeading"/>
              <w:tabs>
                <w:tab w:val="center" w:pos="4680"/>
              </w:tabs>
              <w:rPr>
                <w:spacing w:val="-2"/>
              </w:rPr>
            </w:pPr>
          </w:p>
          <w:p w:rsidR="009D0075" w:rsidRPr="00A81C34" w:rsidRDefault="009D0075" w:rsidP="009D0075">
            <w:pPr>
              <w:pStyle w:val="TOAHeading"/>
              <w:tabs>
                <w:tab w:val="center" w:pos="4680"/>
              </w:tabs>
              <w:rPr>
                <w:spacing w:val="-2"/>
              </w:rPr>
            </w:pPr>
            <w:r w:rsidRPr="00A81C34">
              <w:rPr>
                <w:spacing w:val="-2"/>
              </w:rPr>
              <w:t>File No. BNPED-20071022BJE</w:t>
            </w:r>
          </w:p>
          <w:p w:rsidR="004C2EE3" w:rsidRPr="00A81C34" w:rsidRDefault="009D0075" w:rsidP="009D0075">
            <w:pPr>
              <w:tabs>
                <w:tab w:val="center" w:pos="4680"/>
              </w:tabs>
              <w:suppressAutoHyphens/>
              <w:rPr>
                <w:spacing w:val="-2"/>
              </w:rPr>
            </w:pPr>
            <w:r w:rsidRPr="00A81C34">
              <w:rPr>
                <w:spacing w:val="-2"/>
              </w:rPr>
              <w:t>Facility ID No. 175700</w:t>
            </w:r>
          </w:p>
        </w:tc>
      </w:tr>
    </w:tbl>
    <w:p w:rsidR="004C2EE3" w:rsidRPr="00A81C34" w:rsidRDefault="004C2EE3" w:rsidP="0070224F"/>
    <w:p w:rsidR="00841AB1" w:rsidRPr="00A81C34" w:rsidRDefault="009D0075" w:rsidP="00F021FA">
      <w:pPr>
        <w:pStyle w:val="StyleBoldCentered"/>
        <w:rPr>
          <w:rFonts w:ascii="Times New Roman" w:hAnsi="Times New Roman"/>
        </w:rPr>
      </w:pPr>
      <w:r w:rsidRPr="00A81C34">
        <w:rPr>
          <w:rFonts w:ascii="Times New Roman" w:hAnsi="Times New Roman"/>
        </w:rPr>
        <w:t>Memorandum Opinion and order</w:t>
      </w:r>
    </w:p>
    <w:p w:rsidR="004C2EE3" w:rsidRPr="00A81C34" w:rsidRDefault="004C2EE3">
      <w:pPr>
        <w:tabs>
          <w:tab w:val="left" w:pos="-720"/>
        </w:tabs>
        <w:suppressAutoHyphens/>
        <w:spacing w:line="227" w:lineRule="auto"/>
        <w:rPr>
          <w:spacing w:val="-2"/>
        </w:rPr>
      </w:pPr>
    </w:p>
    <w:p w:rsidR="004C2EE3" w:rsidRPr="00A81C34" w:rsidRDefault="004C2EE3" w:rsidP="00133F79">
      <w:pPr>
        <w:tabs>
          <w:tab w:val="left" w:pos="720"/>
          <w:tab w:val="right" w:pos="9360"/>
        </w:tabs>
        <w:suppressAutoHyphens/>
        <w:spacing w:line="227" w:lineRule="auto"/>
        <w:rPr>
          <w:spacing w:val="-2"/>
        </w:rPr>
      </w:pPr>
      <w:r w:rsidRPr="00A81C34">
        <w:rPr>
          <w:b/>
          <w:spacing w:val="-2"/>
        </w:rPr>
        <w:t xml:space="preserve">Adopted:  </w:t>
      </w:r>
      <w:r w:rsidR="009540A1">
        <w:rPr>
          <w:b/>
          <w:spacing w:val="-2"/>
        </w:rPr>
        <w:t>June 12</w:t>
      </w:r>
      <w:r w:rsidR="004559CD">
        <w:rPr>
          <w:b/>
          <w:spacing w:val="-2"/>
        </w:rPr>
        <w:t>, 2014</w:t>
      </w:r>
      <w:r w:rsidRPr="00A81C34">
        <w:rPr>
          <w:b/>
          <w:spacing w:val="-2"/>
        </w:rPr>
        <w:tab/>
      </w:r>
      <w:r w:rsidR="00822CE0" w:rsidRPr="00A81C34">
        <w:rPr>
          <w:b/>
          <w:spacing w:val="-2"/>
        </w:rPr>
        <w:t>Released</w:t>
      </w:r>
      <w:r w:rsidRPr="00A81C34">
        <w:rPr>
          <w:b/>
          <w:spacing w:val="-2"/>
        </w:rPr>
        <w:t>:</w:t>
      </w:r>
      <w:r w:rsidR="00822CE0" w:rsidRPr="00A81C34">
        <w:rPr>
          <w:b/>
          <w:spacing w:val="-2"/>
        </w:rPr>
        <w:t xml:space="preserve"> </w:t>
      </w:r>
      <w:r w:rsidRPr="00A81C34">
        <w:rPr>
          <w:b/>
          <w:spacing w:val="-2"/>
        </w:rPr>
        <w:t xml:space="preserve"> </w:t>
      </w:r>
      <w:r w:rsidR="009540A1">
        <w:rPr>
          <w:b/>
          <w:spacing w:val="-2"/>
        </w:rPr>
        <w:t>June 13</w:t>
      </w:r>
      <w:r w:rsidR="004559CD">
        <w:rPr>
          <w:b/>
          <w:spacing w:val="-2"/>
        </w:rPr>
        <w:t>, 2014</w:t>
      </w:r>
    </w:p>
    <w:p w:rsidR="00822CE0" w:rsidRPr="00A81C34" w:rsidRDefault="00822CE0"/>
    <w:p w:rsidR="009D0075" w:rsidRPr="00A81C34" w:rsidRDefault="009D0075" w:rsidP="009D0075">
      <w:r w:rsidRPr="00A81C34">
        <w:t>By the Commission:</w:t>
      </w:r>
    </w:p>
    <w:p w:rsidR="009D0075" w:rsidRPr="00A81C34" w:rsidRDefault="009D0075" w:rsidP="009D0075"/>
    <w:p w:rsidR="009D0075" w:rsidRPr="00A81C34" w:rsidRDefault="009D0075" w:rsidP="00D266AB">
      <w:pPr>
        <w:pStyle w:val="ParaNum"/>
      </w:pPr>
      <w:r w:rsidRPr="00A81C34">
        <w:t>In this Memorandum Opinion and Order, we deny the Application for Review filed by Chicago Public Media, Inc. (“CPM”) on July 13, 2011.</w:t>
      </w:r>
      <w:r w:rsidRPr="00A81C34">
        <w:rPr>
          <w:vertAlign w:val="superscript"/>
        </w:rPr>
        <w:footnoteReference w:id="2"/>
      </w:r>
      <w:r w:rsidRPr="00A81C34">
        <w:t xml:space="preserve">  CPM seeks review of a June 13, 2011 action by the Media Bureau (“Bureau”),</w:t>
      </w:r>
      <w:r w:rsidRPr="00A81C34">
        <w:rPr>
          <w:vertAlign w:val="superscript"/>
        </w:rPr>
        <w:footnoteReference w:id="3"/>
      </w:r>
      <w:r w:rsidRPr="00A81C34">
        <w:t xml:space="preserve"> which denied CPM’s Petition for Reconsideration of a December 9, 2010, letter decision that: (1) granted the above-captioned application (“Application”) by BVM Helping Hands (“BVM”) for a new noncommercial educational (“NCE”) FM station in Antioch, Illinois; and (2) dismissed CPM’s mutually-exclusive application for a new NCE FM station in Kenosha, Wisconsin.</w:t>
      </w:r>
      <w:r w:rsidRPr="00A81C34">
        <w:rPr>
          <w:vertAlign w:val="superscript"/>
        </w:rPr>
        <w:footnoteReference w:id="4"/>
      </w:r>
    </w:p>
    <w:p w:rsidR="009D0075" w:rsidRPr="00A81C34" w:rsidRDefault="009D0075" w:rsidP="00620BB1">
      <w:pPr>
        <w:pStyle w:val="ParaNum"/>
        <w:widowControl/>
      </w:pPr>
      <w:r w:rsidRPr="00A81C34">
        <w:t>BVM and CPM filed mutually-exclusive (“MX”) applications in the October 2007 NCE filing window.</w:t>
      </w:r>
      <w:r w:rsidRPr="00A81C34">
        <w:rPr>
          <w:vertAlign w:val="superscript"/>
        </w:rPr>
        <w:footnoteReference w:id="5"/>
      </w:r>
      <w:r w:rsidRPr="00A81C34">
        <w:t xml:space="preserve">  At the time the Application was filed, NCE applicants were required to either protect nearby Channel 6 TV stations or submit a consent letter from each affected TV station, agreeing to the proposed NCE facilities.</w:t>
      </w:r>
      <w:r w:rsidRPr="00A81C34">
        <w:rPr>
          <w:vertAlign w:val="superscript"/>
        </w:rPr>
        <w:footnoteReference w:id="6"/>
      </w:r>
      <w:r w:rsidRPr="00A81C34">
        <w:t xml:space="preserve">  On October 27, 2009, a new processing policy became effective under which NCE applicants were no longer required to submit Channel 6 consent letters with respect to affected TV stations that had ceased analog operations.</w:t>
      </w:r>
      <w:r w:rsidRPr="00A81C34">
        <w:rPr>
          <w:vertAlign w:val="superscript"/>
        </w:rPr>
        <w:footnoteReference w:id="7"/>
      </w:r>
      <w:r w:rsidRPr="00A81C34">
        <w:t xml:space="preserve">  This policy was implemented by public notices released in April and October of 2009, which established a clear, fair, and transparent process for licensees and applicants to take advantage of the cessation of Channel 6 analog operations.</w:t>
      </w:r>
      <w:r w:rsidRPr="00A81C34">
        <w:rPr>
          <w:vertAlign w:val="superscript"/>
        </w:rPr>
        <w:footnoteReference w:id="8"/>
      </w:r>
      <w:r w:rsidRPr="00A81C34">
        <w:t xml:space="preserve">  On September 2, 2010, </w:t>
      </w:r>
      <w:r w:rsidRPr="00A81C34">
        <w:lastRenderedPageBreak/>
        <w:t>BVM was identified as the tentative selectee from MX Group 545.</w:t>
      </w:r>
      <w:r w:rsidRPr="00A81C34">
        <w:rPr>
          <w:vertAlign w:val="superscript"/>
        </w:rPr>
        <w:footnoteReference w:id="9"/>
      </w:r>
      <w:r w:rsidRPr="00A81C34">
        <w:t xml:space="preserve">  On December 9, 2010, the Application was granted by letter (the </w:t>
      </w:r>
      <w:r w:rsidRPr="00A81C34">
        <w:rPr>
          <w:i/>
        </w:rPr>
        <w:t>Staff Decision</w:t>
      </w:r>
      <w:r w:rsidRPr="00A81C34">
        <w:t xml:space="preserve">).  </w:t>
      </w:r>
    </w:p>
    <w:p w:rsidR="009D0075" w:rsidRPr="00A81C34" w:rsidRDefault="009D0075" w:rsidP="00D266AB">
      <w:pPr>
        <w:pStyle w:val="ParaNum"/>
      </w:pPr>
      <w:r w:rsidRPr="00A81C34">
        <w:t xml:space="preserve">As it did previously, CPM argues on review that BVM’s Application should have been dismissed for its alleged failure to provide a valid consent letter from Channel 6 TV Station WITI, Milwaukee, Wisconsin.  CPM cites various </w:t>
      </w:r>
      <w:r w:rsidR="00244333" w:rsidRPr="00A81C34">
        <w:t xml:space="preserve">alleged </w:t>
      </w:r>
      <w:r w:rsidRPr="00A81C34">
        <w:t xml:space="preserve">defects in BVM’s consent letter from Station WITI, including that it was impermissibly conditional and invalidated by </w:t>
      </w:r>
      <w:r w:rsidR="000C6822" w:rsidRPr="00A81C34">
        <w:t xml:space="preserve">the </w:t>
      </w:r>
      <w:r w:rsidRPr="00A81C34">
        <w:t>assignment of Station WITI to a new licensee.</w:t>
      </w:r>
      <w:r w:rsidRPr="00A81C34">
        <w:rPr>
          <w:vertAlign w:val="superscript"/>
        </w:rPr>
        <w:footnoteReference w:id="10"/>
      </w:r>
      <w:r w:rsidRPr="00A81C34">
        <w:t xml:space="preserve">  Grant of the Application, CPM contends, was unfair to NCE applicants whose applications had been dismissed prior to October 27, 2009, for failure to comply with Section 73.525.</w:t>
      </w:r>
      <w:r w:rsidRPr="00A81C34">
        <w:rPr>
          <w:vertAlign w:val="superscript"/>
        </w:rPr>
        <w:footnoteReference w:id="11"/>
      </w:r>
      <w:r w:rsidRPr="00A81C34">
        <w:t xml:space="preserve">  CPM also argues that BVM’s failure to provide an updated consent letter from the Station WITI </w:t>
      </w:r>
      <w:r w:rsidR="00F13C54" w:rsidRPr="00A81C34">
        <w:t>licensee</w:t>
      </w:r>
      <w:r w:rsidRPr="00A81C34">
        <w:t xml:space="preserve"> violated Section 1.65 of the Rules.</w:t>
      </w:r>
      <w:r w:rsidRPr="00A81C34">
        <w:rPr>
          <w:vertAlign w:val="superscript"/>
        </w:rPr>
        <w:footnoteReference w:id="12"/>
      </w:r>
    </w:p>
    <w:p w:rsidR="009D0075" w:rsidRPr="00A81C34" w:rsidRDefault="009D0075" w:rsidP="003833D4">
      <w:pPr>
        <w:pStyle w:val="ParaNum"/>
      </w:pPr>
      <w:r w:rsidRPr="00A81C34">
        <w:t>Upon review of the Application for Review and the entire record, we conclude that CPM has not demonstrated that the Bureau erred in granting BVM’s Application without requiring Channel 6 concurrence under Section 73.525.  After October 27, 2009,</w:t>
      </w:r>
      <w:r w:rsidR="00853968">
        <w:t xml:space="preserve"> </w:t>
      </w:r>
      <w:r w:rsidR="00244333" w:rsidRPr="00A81C34">
        <w:t xml:space="preserve">with WITI’s cessation of </w:t>
      </w:r>
      <w:r w:rsidR="008909FC" w:rsidRPr="00A81C34">
        <w:t>analog</w:t>
      </w:r>
      <w:r w:rsidR="00244333" w:rsidRPr="00A81C34">
        <w:t xml:space="preserve"> operations,</w:t>
      </w:r>
      <w:r w:rsidRPr="00A81C34">
        <w:t xml:space="preserve"> </w:t>
      </w:r>
      <w:r w:rsidR="00244333" w:rsidRPr="00A81C34">
        <w:t xml:space="preserve">WITI’s </w:t>
      </w:r>
      <w:r w:rsidRPr="00A81C34">
        <w:t>concurrence was no longer required.</w:t>
      </w:r>
      <w:r w:rsidR="002526F9" w:rsidRPr="00A81C34">
        <w:rPr>
          <w:rStyle w:val="FootnoteReference"/>
        </w:rPr>
        <w:footnoteReference w:id="13"/>
      </w:r>
      <w:r w:rsidRPr="00A81C34">
        <w:t xml:space="preserve">  </w:t>
      </w:r>
      <w:r w:rsidR="00D62249">
        <w:t>And t</w:t>
      </w:r>
      <w:r w:rsidRPr="00A81C34">
        <w:t xml:space="preserve">he Bureau </w:t>
      </w:r>
      <w:r w:rsidR="00D62249">
        <w:t xml:space="preserve">correctly </w:t>
      </w:r>
      <w:r w:rsidRPr="00A81C34">
        <w:t xml:space="preserve">noted that, even if the Application had been dismissed, BVM could have cured the defect by requesting reconsideration and reinstatement </w:t>
      </w:r>
      <w:r w:rsidRPr="00A81C34">
        <w:rPr>
          <w:i/>
        </w:rPr>
        <w:t xml:space="preserve">nunc pro tunc </w:t>
      </w:r>
      <w:r w:rsidRPr="00A81C34">
        <w:t>within 30 days of dismissal.</w:t>
      </w:r>
      <w:r w:rsidRPr="00A81C34">
        <w:rPr>
          <w:vertAlign w:val="superscript"/>
        </w:rPr>
        <w:footnoteReference w:id="14"/>
      </w:r>
      <w:r w:rsidRPr="00A81C34">
        <w:t xml:space="preserve">  Therefore, the Bureau </w:t>
      </w:r>
      <w:r w:rsidR="00215F7D">
        <w:t>reasonably</w:t>
      </w:r>
      <w:r w:rsidR="00215F7D" w:rsidRPr="00A81C34">
        <w:t xml:space="preserve"> </w:t>
      </w:r>
      <w:r w:rsidRPr="00A81C34">
        <w:t>declined to take adverse action based solely on an application’s earlier acceptability, when subsequent events—i.e., a change in applicable law</w:t>
      </w:r>
      <w:r w:rsidR="00244333" w:rsidRPr="00A81C34">
        <w:t xml:space="preserve"> and WITI’s termination of </w:t>
      </w:r>
      <w:r w:rsidR="00BD3523" w:rsidRPr="00A81C34">
        <w:t xml:space="preserve">analog </w:t>
      </w:r>
      <w:r w:rsidR="00244333" w:rsidRPr="00A81C34">
        <w:t xml:space="preserve">operations on Channel 6 </w:t>
      </w:r>
      <w:r w:rsidRPr="00A81C34">
        <w:t>—resulted in a fully acceptable application at the time of processing.</w:t>
      </w:r>
      <w:r w:rsidRPr="00A81C34">
        <w:rPr>
          <w:vertAlign w:val="superscript"/>
        </w:rPr>
        <w:footnoteReference w:id="15"/>
      </w:r>
      <w:r w:rsidRPr="00A81C34">
        <w:t xml:space="preserve"> </w:t>
      </w:r>
    </w:p>
    <w:p w:rsidR="009D0075" w:rsidRPr="00A81C34" w:rsidRDefault="009D0075" w:rsidP="00D266AB">
      <w:pPr>
        <w:pStyle w:val="ParaNum"/>
        <w:widowControl/>
      </w:pPr>
      <w:r w:rsidRPr="00A81C34">
        <w:t>With respect to CPM’s Section 1.65(a) allegations, we agree with the Bureau that CPM has not demonstrated that a rule violation occurred in this case.  Section 1.65(a) of the Rules requires an applicant to supplement an application whenever the information furnished in it is “no longer substantially accurate and complete in all significant respects” or “whenever there has been a substantial change as to any other matter which may be of decisional</w:t>
      </w:r>
      <w:r w:rsidR="008D77F4">
        <w:t xml:space="preserve"> significance.”  W</w:t>
      </w:r>
      <w:r w:rsidRPr="00A81C34">
        <w:t xml:space="preserve">e concur with the Bureau’s finding that </w:t>
      </w:r>
      <w:r w:rsidR="00CA36F1" w:rsidRPr="00A81C34">
        <w:t>the information on record</w:t>
      </w:r>
      <w:r w:rsidR="00715414" w:rsidRPr="00A81C34">
        <w:t xml:space="preserve"> did not </w:t>
      </w:r>
      <w:r w:rsidR="005F4A9A" w:rsidRPr="00A81C34">
        <w:t xml:space="preserve">necessarily </w:t>
      </w:r>
      <w:r w:rsidR="00715414" w:rsidRPr="00A81C34">
        <w:t xml:space="preserve">establish that </w:t>
      </w:r>
      <w:r w:rsidRPr="00A81C34">
        <w:t xml:space="preserve">the </w:t>
      </w:r>
      <w:r w:rsidR="000C6822" w:rsidRPr="00A81C34">
        <w:t xml:space="preserve">assignment of Station WITI and subsequent </w:t>
      </w:r>
      <w:r w:rsidRPr="00A81C34">
        <w:rPr>
          <w:i/>
        </w:rPr>
        <w:t>pro forma</w:t>
      </w:r>
      <w:r w:rsidRPr="00A81C34">
        <w:t xml:space="preserve"> commercial reorganization of </w:t>
      </w:r>
      <w:r w:rsidR="000C6822" w:rsidRPr="00A81C34">
        <w:t xml:space="preserve">the new </w:t>
      </w:r>
      <w:r w:rsidRPr="00A81C34">
        <w:t xml:space="preserve">licensee </w:t>
      </w:r>
      <w:r w:rsidR="000A7289" w:rsidRPr="00A81C34">
        <w:t>result</w:t>
      </w:r>
      <w:r w:rsidR="00B85EE3" w:rsidRPr="00A81C34">
        <w:t>ed</w:t>
      </w:r>
      <w:r w:rsidR="00715414" w:rsidRPr="00A81C34">
        <w:t xml:space="preserve"> in the cancellation of the WITI consent</w:t>
      </w:r>
      <w:r w:rsidR="00E36556">
        <w:t xml:space="preserve">.  Therefore, </w:t>
      </w:r>
      <w:r w:rsidR="00AE2643">
        <w:t>CPM has not</w:t>
      </w:r>
      <w:r w:rsidR="00E36556">
        <w:t xml:space="preserve"> demonstrated that the type of change occurred that would require BVM to supplement its Application</w:t>
      </w:r>
      <w:r w:rsidR="00AA491F">
        <w:t xml:space="preserve"> pursuant to Section 1.65</w:t>
      </w:r>
      <w:r w:rsidR="00DA64D4" w:rsidRPr="00A81C34">
        <w:t>.</w:t>
      </w:r>
      <w:r w:rsidR="000C6822" w:rsidRPr="00A81C34">
        <w:rPr>
          <w:rStyle w:val="FootnoteReference"/>
        </w:rPr>
        <w:footnoteReference w:id="16"/>
      </w:r>
      <w:r w:rsidRPr="00A81C34">
        <w:t xml:space="preserve"> </w:t>
      </w:r>
      <w:r w:rsidR="00AA5E70" w:rsidRPr="00A81C34">
        <w:t xml:space="preserve"> </w:t>
      </w:r>
    </w:p>
    <w:p w:rsidR="009D0075" w:rsidRPr="00A81C34" w:rsidRDefault="009D0075" w:rsidP="002F6C43">
      <w:pPr>
        <w:pStyle w:val="ParaNum"/>
      </w:pPr>
      <w:r w:rsidRPr="00A81C34">
        <w:lastRenderedPageBreak/>
        <w:t>Accordingly, IT IS ORDERED that, pursuant to Section 5(c)(5) of the Communications Act of 1934, as amended,</w:t>
      </w:r>
      <w:r w:rsidRPr="00A81C34">
        <w:rPr>
          <w:vertAlign w:val="superscript"/>
        </w:rPr>
        <w:footnoteReference w:id="17"/>
      </w:r>
      <w:r w:rsidRPr="00A81C34">
        <w:t xml:space="preserve"> and Section 1.115(g) of the Commission’s rules,</w:t>
      </w:r>
      <w:r w:rsidRPr="00A81C34">
        <w:rPr>
          <w:vertAlign w:val="superscript"/>
        </w:rPr>
        <w:footnoteReference w:id="18"/>
      </w:r>
      <w:r w:rsidRPr="00A81C34">
        <w:t xml:space="preserve"> the Application for Review IS DENIED.</w:t>
      </w:r>
    </w:p>
    <w:p w:rsidR="009D0075" w:rsidRPr="00A81C34" w:rsidRDefault="009D0075" w:rsidP="009D0075"/>
    <w:p w:rsidR="00E063CC" w:rsidRDefault="009D0075" w:rsidP="00E063CC">
      <w:pPr>
        <w:tabs>
          <w:tab w:val="left" w:pos="0"/>
        </w:tabs>
        <w:suppressAutoHyphens/>
        <w:ind w:firstLine="990"/>
        <w:jc w:val="both"/>
      </w:pPr>
      <w:r w:rsidRPr="00A81C34">
        <w:tab/>
      </w:r>
      <w:r w:rsidRPr="00A81C34">
        <w:tab/>
      </w:r>
      <w:r w:rsidRPr="00A81C34">
        <w:tab/>
      </w:r>
      <w:r w:rsidRPr="00A81C34">
        <w:tab/>
      </w:r>
      <w:r w:rsidRPr="00A81C34">
        <w:tab/>
      </w:r>
      <w:r w:rsidR="00E063CC">
        <w:t>FEDERAL COMMUNICATIONS COMMISSION</w:t>
      </w:r>
    </w:p>
    <w:p w:rsidR="00E063CC" w:rsidRDefault="00E063CC" w:rsidP="0017296B"/>
    <w:p w:rsidR="00E063CC" w:rsidRDefault="00E063CC" w:rsidP="0017296B"/>
    <w:p w:rsidR="00E063CC" w:rsidRDefault="00E063CC" w:rsidP="0017296B"/>
    <w:p w:rsidR="00E063CC" w:rsidRDefault="00E063CC" w:rsidP="0017296B"/>
    <w:p w:rsidR="00E063CC" w:rsidRDefault="00E063CC" w:rsidP="0017296B">
      <w:r>
        <w:tab/>
      </w:r>
      <w:r>
        <w:tab/>
      </w:r>
      <w:r>
        <w:tab/>
      </w:r>
      <w:r>
        <w:tab/>
      </w:r>
      <w:r>
        <w:tab/>
      </w:r>
      <w:r>
        <w:tab/>
        <w:t>Marlene H. Dortch</w:t>
      </w:r>
    </w:p>
    <w:p w:rsidR="00E063CC" w:rsidRDefault="00E063CC" w:rsidP="0017296B">
      <w:r>
        <w:tab/>
      </w:r>
      <w:r>
        <w:tab/>
      </w:r>
      <w:r>
        <w:tab/>
      </w:r>
      <w:r>
        <w:tab/>
      </w:r>
      <w:r>
        <w:tab/>
      </w:r>
      <w:r>
        <w:tab/>
        <w:t>Secretary</w:t>
      </w:r>
    </w:p>
    <w:p w:rsidR="004C2EE3" w:rsidRPr="00A81C34" w:rsidRDefault="004C2EE3">
      <w:pPr>
        <w:rPr>
          <w:spacing w:val="-2"/>
        </w:rPr>
      </w:pPr>
    </w:p>
    <w:p w:rsidR="00822CE0" w:rsidRPr="00A81C34" w:rsidRDefault="00822CE0">
      <w:pPr>
        <w:rPr>
          <w:spacing w:val="-2"/>
        </w:rPr>
      </w:pPr>
    </w:p>
    <w:sectPr w:rsidR="00822CE0" w:rsidRPr="00A81C3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CE" w:rsidRDefault="002574CE">
      <w:pPr>
        <w:spacing w:line="20" w:lineRule="exact"/>
      </w:pPr>
    </w:p>
  </w:endnote>
  <w:endnote w:type="continuationSeparator" w:id="0">
    <w:p w:rsidR="002574CE" w:rsidRDefault="002574CE">
      <w:r>
        <w:t xml:space="preserve"> </w:t>
      </w:r>
    </w:p>
  </w:endnote>
  <w:endnote w:type="continuationNotice" w:id="1">
    <w:p w:rsidR="002574CE" w:rsidRDefault="002574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E4C7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CE" w:rsidRDefault="002574CE">
      <w:r>
        <w:separator/>
      </w:r>
    </w:p>
  </w:footnote>
  <w:footnote w:type="continuationSeparator" w:id="0">
    <w:p w:rsidR="002574CE" w:rsidRDefault="002574CE" w:rsidP="00C721AC">
      <w:pPr>
        <w:spacing w:before="120"/>
        <w:rPr>
          <w:sz w:val="20"/>
        </w:rPr>
      </w:pPr>
      <w:r>
        <w:rPr>
          <w:sz w:val="20"/>
        </w:rPr>
        <w:t xml:space="preserve">(Continued from previous page)  </w:t>
      </w:r>
      <w:r>
        <w:rPr>
          <w:sz w:val="20"/>
        </w:rPr>
        <w:separator/>
      </w:r>
    </w:p>
  </w:footnote>
  <w:footnote w:type="continuationNotice" w:id="1">
    <w:p w:rsidR="002574CE" w:rsidRDefault="002574CE" w:rsidP="00C721AC">
      <w:pPr>
        <w:jc w:val="right"/>
        <w:rPr>
          <w:sz w:val="20"/>
        </w:rPr>
      </w:pPr>
      <w:r>
        <w:rPr>
          <w:sz w:val="20"/>
        </w:rPr>
        <w:t>(continued….)</w:t>
      </w:r>
    </w:p>
  </w:footnote>
  <w:footnote w:id="2">
    <w:p w:rsidR="009D0075" w:rsidRDefault="009D0075" w:rsidP="009D0075">
      <w:pPr>
        <w:pStyle w:val="FootnoteText"/>
      </w:pPr>
      <w:r>
        <w:rPr>
          <w:rStyle w:val="FootnoteReference"/>
        </w:rPr>
        <w:footnoteRef/>
      </w:r>
      <w:r>
        <w:t xml:space="preserve"> </w:t>
      </w:r>
      <w:r w:rsidRPr="00F3094B">
        <w:t xml:space="preserve">Prior to its corporate name change, </w:t>
      </w:r>
      <w:r>
        <w:t>CPM</w:t>
      </w:r>
      <w:r w:rsidRPr="00F3094B">
        <w:t xml:space="preserve"> was known as The WBEZ Alliance, Inc. </w:t>
      </w:r>
    </w:p>
  </w:footnote>
  <w:footnote w:id="3">
    <w:p w:rsidR="009D0075" w:rsidRPr="00BB78FC" w:rsidRDefault="009D0075" w:rsidP="009D0075">
      <w:pPr>
        <w:pStyle w:val="FootnoteText"/>
        <w:rPr>
          <w:i/>
        </w:rPr>
      </w:pPr>
      <w:r>
        <w:rPr>
          <w:rStyle w:val="FootnoteReference"/>
        </w:rPr>
        <w:footnoteRef/>
      </w:r>
      <w:r>
        <w:t xml:space="preserve"> </w:t>
      </w:r>
      <w:r>
        <w:rPr>
          <w:i/>
        </w:rPr>
        <w:t>Ernest T. Sanchez, Esq.</w:t>
      </w:r>
      <w:r>
        <w:t>, Letter, Ref. No. 1800B3-MM</w:t>
      </w:r>
      <w:r w:rsidRPr="00BB78FC">
        <w:t xml:space="preserve"> </w:t>
      </w:r>
      <w:r>
        <w:t xml:space="preserve">(MB 2011) </w:t>
      </w:r>
      <w:r w:rsidRPr="00BB78FC">
        <w:t>(“</w:t>
      </w:r>
      <w:r w:rsidRPr="00BB78FC">
        <w:rPr>
          <w:i/>
        </w:rPr>
        <w:t>Reconsideration Decision</w:t>
      </w:r>
      <w:r w:rsidRPr="00BB78FC">
        <w:t>”)</w:t>
      </w:r>
      <w:r>
        <w:t>.</w:t>
      </w:r>
    </w:p>
  </w:footnote>
  <w:footnote w:id="4">
    <w:p w:rsidR="009D0075" w:rsidRPr="009A2B50" w:rsidRDefault="009D0075" w:rsidP="009D0075">
      <w:pPr>
        <w:pStyle w:val="FootnoteText"/>
        <w:jc w:val="both"/>
      </w:pPr>
      <w:r w:rsidRPr="00BD179C">
        <w:rPr>
          <w:rStyle w:val="FootnoteReference"/>
        </w:rPr>
        <w:footnoteRef/>
      </w:r>
      <w:r w:rsidRPr="00BD179C">
        <w:t xml:space="preserve"> </w:t>
      </w:r>
      <w:r>
        <w:rPr>
          <w:i/>
        </w:rPr>
        <w:t>Ernest T. Sanchez, Esq.</w:t>
      </w:r>
      <w:r>
        <w:t>, Letter, Ref. No. 1800</w:t>
      </w:r>
      <w:r w:rsidRPr="00BD179C">
        <w:t>B3</w:t>
      </w:r>
      <w:r>
        <w:t>-KAD</w:t>
      </w:r>
      <w:r w:rsidRPr="00BD179C">
        <w:t xml:space="preserve"> (MB </w:t>
      </w:r>
      <w:r>
        <w:t>2010</w:t>
      </w:r>
      <w:r w:rsidRPr="00BD179C">
        <w:t>) (“</w:t>
      </w:r>
      <w:r>
        <w:rPr>
          <w:i/>
        </w:rPr>
        <w:t>Staff</w:t>
      </w:r>
      <w:r w:rsidRPr="00BD179C">
        <w:rPr>
          <w:i/>
        </w:rPr>
        <w:t xml:space="preserve"> Decision</w:t>
      </w:r>
      <w:r>
        <w:t xml:space="preserve">”).  </w:t>
      </w:r>
    </w:p>
  </w:footnote>
  <w:footnote w:id="5">
    <w:p w:rsidR="009D0075" w:rsidRPr="00962BE1" w:rsidRDefault="009D0075" w:rsidP="009D0075">
      <w:pPr>
        <w:pStyle w:val="FootnoteText"/>
      </w:pPr>
      <w:r>
        <w:rPr>
          <w:rStyle w:val="FootnoteReference"/>
        </w:rPr>
        <w:footnoteRef/>
      </w:r>
      <w:r>
        <w:t xml:space="preserve"> </w:t>
      </w:r>
      <w:r>
        <w:rPr>
          <w:i/>
        </w:rPr>
        <w:t>Media Bureau Identifies Groups of Mutually-Exclusive Applications Submitted in the October 2007 Filing Window for Noncommercial Educational FM Stations</w:t>
      </w:r>
      <w:r>
        <w:t>, Public Notice, 23 FCC Rcd 14730 (MB 2008).</w:t>
      </w:r>
    </w:p>
  </w:footnote>
  <w:footnote w:id="6">
    <w:p w:rsidR="009D0075" w:rsidRDefault="009D0075" w:rsidP="009D0075">
      <w:pPr>
        <w:pStyle w:val="FootnoteText"/>
      </w:pPr>
      <w:r>
        <w:rPr>
          <w:rStyle w:val="FootnoteReference"/>
        </w:rPr>
        <w:footnoteRef/>
      </w:r>
      <w:r>
        <w:t xml:space="preserve"> 47 C.F.R. § 73.525 (2007) (“Section 73.525”). </w:t>
      </w:r>
    </w:p>
  </w:footnote>
  <w:footnote w:id="7">
    <w:p w:rsidR="009D0075" w:rsidRPr="00116687" w:rsidRDefault="009D0075" w:rsidP="009D0075">
      <w:pPr>
        <w:pStyle w:val="FootnoteText"/>
      </w:pPr>
      <w:r>
        <w:rPr>
          <w:rStyle w:val="FootnoteReference"/>
        </w:rPr>
        <w:footnoteRef/>
      </w:r>
      <w:r>
        <w:t xml:space="preserve"> </w:t>
      </w:r>
      <w:r>
        <w:rPr>
          <w:i/>
        </w:rPr>
        <w:t>See Media Bureau Establishes October 27, 2009, Initial Filing Date for Acceptance of Certain Noncommercial Educational FM Station Minor Change Applications</w:t>
      </w:r>
      <w:r>
        <w:t xml:space="preserve">, Public Notice, 24 FCC Rcd 12598 (MB 2009). </w:t>
      </w:r>
    </w:p>
  </w:footnote>
  <w:footnote w:id="8">
    <w:p w:rsidR="009D0075" w:rsidRPr="00B13E6F" w:rsidRDefault="009D0075" w:rsidP="009D0075">
      <w:pPr>
        <w:pStyle w:val="FootnoteText"/>
      </w:pPr>
      <w:r>
        <w:rPr>
          <w:rStyle w:val="FootnoteReference"/>
        </w:rPr>
        <w:footnoteRef/>
      </w:r>
      <w:r>
        <w:t xml:space="preserve"> </w:t>
      </w:r>
      <w:r>
        <w:rPr>
          <w:i/>
        </w:rPr>
        <w:t>Id.</w:t>
      </w:r>
      <w:r>
        <w:t>;</w:t>
      </w:r>
      <w:r>
        <w:rPr>
          <w:i/>
        </w:rPr>
        <w:t xml:space="preserve"> Media Bureau Provides Guidance to NCE FM Stations Regarding Television Channel 6 Protection Requirements, </w:t>
      </w:r>
      <w:r>
        <w:t>Public Notice, 24 FCC Rcd 3916 (MB 2009).</w:t>
      </w:r>
    </w:p>
  </w:footnote>
  <w:footnote w:id="9">
    <w:p w:rsidR="009D0075" w:rsidRPr="00962BE1" w:rsidRDefault="009D0075" w:rsidP="009D0075">
      <w:pPr>
        <w:pStyle w:val="FootnoteText"/>
      </w:pPr>
      <w:r>
        <w:rPr>
          <w:rStyle w:val="FootnoteReference"/>
        </w:rPr>
        <w:footnoteRef/>
      </w:r>
      <w:r>
        <w:t xml:space="preserve"> </w:t>
      </w:r>
      <w:r>
        <w:rPr>
          <w:i/>
        </w:rPr>
        <w:t>See Comparative Consideration of 24 Groups of Mutually Exclusive Applications for Permits to Construct New or Modified Noncommercial Educational FM Stations Filed in the October 2007 Filing Window</w:t>
      </w:r>
      <w:r>
        <w:t xml:space="preserve">, Memorandum Opinion and Order, 25 FCC Rcd 12887,12911 (2010). </w:t>
      </w:r>
    </w:p>
  </w:footnote>
  <w:footnote w:id="10">
    <w:p w:rsidR="009D0075" w:rsidRDefault="009D0075" w:rsidP="009D0075">
      <w:pPr>
        <w:pStyle w:val="FootnoteText"/>
      </w:pPr>
      <w:r>
        <w:rPr>
          <w:rStyle w:val="FootnoteReference"/>
        </w:rPr>
        <w:footnoteRef/>
      </w:r>
      <w:r>
        <w:t xml:space="preserve"> </w:t>
      </w:r>
      <w:r>
        <w:rPr>
          <w:i/>
        </w:rPr>
        <w:t>See</w:t>
      </w:r>
      <w:r w:rsidR="004A6EE9" w:rsidRPr="004A6EE9">
        <w:t xml:space="preserve"> BALCT-20080</w:t>
      </w:r>
      <w:r w:rsidR="005C73DE">
        <w:t>110AC</w:t>
      </w:r>
      <w:r w:rsidR="00715414">
        <w:t>C</w:t>
      </w:r>
      <w:r w:rsidR="004A6EE9">
        <w:t xml:space="preserve"> (assignment of</w:t>
      </w:r>
      <w:r w:rsidR="004A6EE9" w:rsidRPr="004A6EE9">
        <w:t xml:space="preserve"> Station WITI from Fox Television Stations</w:t>
      </w:r>
      <w:r w:rsidR="00B624C9">
        <w:t>, Inc.</w:t>
      </w:r>
      <w:r w:rsidR="00DC45E5">
        <w:t xml:space="preserve"> (“Fox”)</w:t>
      </w:r>
      <w:r w:rsidR="004A6EE9" w:rsidRPr="004A6EE9">
        <w:t xml:space="preserve"> to Foxco Acquisition Sub, LLC</w:t>
      </w:r>
      <w:r w:rsidR="00DC45E5">
        <w:t xml:space="preserve"> (“Foxco”)</w:t>
      </w:r>
      <w:r w:rsidR="004A6EE9" w:rsidRPr="004A6EE9">
        <w:t>, granted on June 9, 2008, and consummated on  July 14, 2008); File No. BALCT-20080604AAV</w:t>
      </w:r>
      <w:r w:rsidR="004A6EE9">
        <w:t>(</w:t>
      </w:r>
      <w:r w:rsidR="004A6EE9">
        <w:rPr>
          <w:i/>
        </w:rPr>
        <w:t xml:space="preserve">pro forma </w:t>
      </w:r>
      <w:r>
        <w:t>assign</w:t>
      </w:r>
      <w:r w:rsidR="004A6EE9">
        <w:t xml:space="preserve">ment of Station WITI </w:t>
      </w:r>
      <w:r>
        <w:t xml:space="preserve"> from Foxco to Community Television of Wisconsin License, LLC</w:t>
      </w:r>
      <w:r w:rsidR="00B85EE3">
        <w:t xml:space="preserve"> (“CTW”)</w:t>
      </w:r>
      <w:r>
        <w:t>, granted on June 1</w:t>
      </w:r>
      <w:r w:rsidR="004A6EE9">
        <w:t>7</w:t>
      </w:r>
      <w:r>
        <w:t>, 2008, and consummated on July 14, 2008</w:t>
      </w:r>
      <w:r w:rsidR="004A6EE9">
        <w:t>)</w:t>
      </w:r>
      <w:r>
        <w:t>.</w:t>
      </w:r>
    </w:p>
  </w:footnote>
  <w:footnote w:id="11">
    <w:p w:rsidR="009D0075" w:rsidRDefault="009D0075" w:rsidP="009D0075">
      <w:pPr>
        <w:pStyle w:val="FootnoteText"/>
      </w:pPr>
      <w:r>
        <w:rPr>
          <w:rStyle w:val="FootnoteReference"/>
        </w:rPr>
        <w:footnoteRef/>
      </w:r>
      <w:r>
        <w:t xml:space="preserve"> Application for Review at 16-17.</w:t>
      </w:r>
    </w:p>
  </w:footnote>
  <w:footnote w:id="12">
    <w:p w:rsidR="009D0075" w:rsidRDefault="009D0075" w:rsidP="009D0075">
      <w:pPr>
        <w:pStyle w:val="FootnoteText"/>
      </w:pPr>
      <w:r>
        <w:rPr>
          <w:rStyle w:val="FootnoteReference"/>
        </w:rPr>
        <w:footnoteRef/>
      </w:r>
      <w:r>
        <w:t xml:space="preserve"> 47 C.F.R. § 1.65(a).</w:t>
      </w:r>
    </w:p>
  </w:footnote>
  <w:footnote w:id="13">
    <w:p w:rsidR="002526F9" w:rsidRPr="004B43EC" w:rsidRDefault="002526F9" w:rsidP="002526F9">
      <w:pPr>
        <w:pStyle w:val="FootnoteText"/>
      </w:pPr>
      <w:r>
        <w:rPr>
          <w:rStyle w:val="FootnoteReference"/>
        </w:rPr>
        <w:footnoteRef/>
      </w:r>
      <w:r>
        <w:t xml:space="preserve"> </w:t>
      </w:r>
      <w:r w:rsidRPr="00E74919">
        <w:rPr>
          <w:i/>
        </w:rPr>
        <w:t xml:space="preserve">See </w:t>
      </w:r>
      <w:r>
        <w:t xml:space="preserve">BDERCDT-20090710ACH (reporting that WITI ceased analog operations </w:t>
      </w:r>
      <w:r w:rsidRPr="002526F9">
        <w:t>on Channel 6 on</w:t>
      </w:r>
      <w:r w:rsidR="00CA36F1">
        <w:t xml:space="preserve"> </w:t>
      </w:r>
      <w:r w:rsidRPr="002526F9">
        <w:t>June 12, 2009</w:t>
      </w:r>
      <w:r w:rsidR="00CA36F1">
        <w:t>, the</w:t>
      </w:r>
      <w:r w:rsidRPr="002526F9">
        <w:t xml:space="preserve"> DTV transition deadline</w:t>
      </w:r>
      <w:r>
        <w:t>).</w:t>
      </w:r>
    </w:p>
  </w:footnote>
  <w:footnote w:id="14">
    <w:p w:rsidR="009D0075" w:rsidRPr="009C078E" w:rsidRDefault="009D0075" w:rsidP="009D0075">
      <w:pPr>
        <w:pStyle w:val="FootnoteText"/>
      </w:pPr>
      <w:r>
        <w:rPr>
          <w:rStyle w:val="FootnoteReference"/>
        </w:rPr>
        <w:footnoteRef/>
      </w:r>
      <w:r>
        <w:t xml:space="preserve"> </w:t>
      </w:r>
      <w:r>
        <w:rPr>
          <w:i/>
        </w:rPr>
        <w:t xml:space="preserve">Reconsideration Decision </w:t>
      </w:r>
      <w:r>
        <w:t>at 3 (</w:t>
      </w:r>
      <w:r w:rsidRPr="009C078E">
        <w:t xml:space="preserve">citing </w:t>
      </w:r>
      <w:r w:rsidRPr="009C078E">
        <w:rPr>
          <w:i/>
        </w:rPr>
        <w:t>Commission States Future Policy on Incomplete and Patently Defective AM and FM Construction Permit Applications</w:t>
      </w:r>
      <w:r w:rsidRPr="009C078E">
        <w:t>, Public Notice, 56 RR.2d 776 (1984) (as subsequently published in the Federal Register, 49 Fed. Reg. 47331, 47332 (Dec. 3, 1984))</w:t>
      </w:r>
      <w:r>
        <w:t>.</w:t>
      </w:r>
    </w:p>
  </w:footnote>
  <w:footnote w:id="15">
    <w:p w:rsidR="009D0075" w:rsidRPr="000B1CE6" w:rsidRDefault="009D0075" w:rsidP="009D0075">
      <w:pPr>
        <w:pStyle w:val="FootnoteText"/>
        <w:jc w:val="both"/>
      </w:pPr>
      <w:r>
        <w:rPr>
          <w:rStyle w:val="FootnoteReference"/>
        </w:rPr>
        <w:footnoteRef/>
      </w:r>
      <w:r>
        <w:t xml:space="preserve"> </w:t>
      </w:r>
      <w:r>
        <w:rPr>
          <w:i/>
        </w:rPr>
        <w:t>Reconsideration Decision</w:t>
      </w:r>
      <w:r>
        <w:t xml:space="preserve"> at 3 (citing </w:t>
      </w:r>
      <w:r>
        <w:rPr>
          <w:i/>
        </w:rPr>
        <w:t>WKVE, Semora, North Carolina</w:t>
      </w:r>
      <w:r>
        <w:t xml:space="preserve">, Memorandum Opinion and Order and Notice of Apparent Liability, 18 FCC Rcd 23411, 23423 (2003); </w:t>
      </w:r>
      <w:r>
        <w:rPr>
          <w:i/>
        </w:rPr>
        <w:t>John Joseph McVeigh, Esq.</w:t>
      </w:r>
      <w:r>
        <w:t xml:space="preserve">, Letter, 25 FCC Rcd 3572, 3576 (MB 2010) (“new facts may eliminate an acceptability defect”). </w:t>
      </w:r>
    </w:p>
  </w:footnote>
  <w:footnote w:id="16">
    <w:p w:rsidR="000C6822" w:rsidRPr="000C6822" w:rsidRDefault="000C6822">
      <w:pPr>
        <w:pStyle w:val="FootnoteText"/>
      </w:pPr>
      <w:r>
        <w:rPr>
          <w:rStyle w:val="FootnoteReference"/>
        </w:rPr>
        <w:footnoteRef/>
      </w:r>
      <w:r>
        <w:t xml:space="preserve"> </w:t>
      </w:r>
      <w:r w:rsidR="00D75872">
        <w:t xml:space="preserve">The </w:t>
      </w:r>
      <w:r w:rsidR="00DC45E5">
        <w:t>“Stock and Asset Purchase Agreement” submitted in conjunction with the assignment from Fox to Foxco</w:t>
      </w:r>
      <w:r w:rsidR="002F6C43">
        <w:t xml:space="preserve"> (</w:t>
      </w:r>
      <w:r w:rsidR="00DC45E5">
        <w:t>which did not include schedules</w:t>
      </w:r>
      <w:r w:rsidR="002F6C43">
        <w:t>)</w:t>
      </w:r>
      <w:r w:rsidR="00DC45E5">
        <w:t xml:space="preserve"> does not appear to explicitly address the matter of the WITI consent letter.  </w:t>
      </w:r>
      <w:r w:rsidR="00DC45E5">
        <w:rPr>
          <w:i/>
        </w:rPr>
        <w:t xml:space="preserve">See </w:t>
      </w:r>
      <w:r w:rsidR="00DC45E5">
        <w:t xml:space="preserve">File No. BALCT-20080110ACC, Exhibit 13.  </w:t>
      </w:r>
      <w:r w:rsidR="002F6C43">
        <w:t>Likewise, t</w:t>
      </w:r>
      <w:r w:rsidR="00DC45E5">
        <w:t xml:space="preserve">he </w:t>
      </w:r>
      <w:r w:rsidR="002F6C43">
        <w:t xml:space="preserve">transaction </w:t>
      </w:r>
      <w:r w:rsidR="00DC45E5">
        <w:t xml:space="preserve">information provided with the </w:t>
      </w:r>
      <w:r w:rsidR="00DC45E5">
        <w:rPr>
          <w:i/>
        </w:rPr>
        <w:t xml:space="preserve">pro forma </w:t>
      </w:r>
      <w:r w:rsidR="002F6C43">
        <w:t xml:space="preserve">assignment to CTW is </w:t>
      </w:r>
      <w:r w:rsidR="008D77F4">
        <w:t>silent on this point</w:t>
      </w:r>
      <w:r w:rsidR="00DC45E5">
        <w:t>.</w:t>
      </w:r>
      <w:r w:rsidR="002F6C43">
        <w:t xml:space="preserve"> </w:t>
      </w:r>
      <w:r w:rsidR="00DC45E5">
        <w:t xml:space="preserve"> </w:t>
      </w:r>
      <w:r w:rsidR="004B43EC">
        <w:t xml:space="preserve">As noted by the Bureau in the </w:t>
      </w:r>
      <w:r w:rsidR="004B43EC" w:rsidRPr="00DD6156">
        <w:rPr>
          <w:i/>
        </w:rPr>
        <w:t>Reconsideration Decision</w:t>
      </w:r>
      <w:r w:rsidR="004B43EC">
        <w:t>, t</w:t>
      </w:r>
      <w:r w:rsidR="00B85EE3">
        <w:t xml:space="preserve">he </w:t>
      </w:r>
      <w:r w:rsidR="00F93B00">
        <w:t>unsworn</w:t>
      </w:r>
      <w:r w:rsidR="00B85EE3">
        <w:t xml:space="preserve"> e-mail </w:t>
      </w:r>
      <w:r w:rsidR="00765C13">
        <w:t>dated August 17, 2010</w:t>
      </w:r>
      <w:r w:rsidR="006709FF">
        <w:t>,</w:t>
      </w:r>
      <w:r w:rsidR="00765C13">
        <w:t xml:space="preserve"> </w:t>
      </w:r>
      <w:r w:rsidR="00B85EE3">
        <w:t xml:space="preserve">from counsel for CTW provided by </w:t>
      </w:r>
      <w:r w:rsidR="004B43EC">
        <w:t>CPM</w:t>
      </w:r>
      <w:r w:rsidR="00B85EE3">
        <w:t xml:space="preserve"> as support fo</w:t>
      </w:r>
      <w:r w:rsidR="00907011">
        <w:t xml:space="preserve">r </w:t>
      </w:r>
      <w:r w:rsidR="00B85EE3">
        <w:t xml:space="preserve">its </w:t>
      </w:r>
      <w:r w:rsidR="00765C13">
        <w:t>contention</w:t>
      </w:r>
      <w:r w:rsidR="00B85EE3">
        <w:t xml:space="preserve"> </w:t>
      </w:r>
      <w:r w:rsidR="00907011">
        <w:t xml:space="preserve">that the WITI consent lapsed after the sale of </w:t>
      </w:r>
      <w:r w:rsidR="008909FC">
        <w:t>the station</w:t>
      </w:r>
      <w:r w:rsidR="00907011">
        <w:t xml:space="preserve"> </w:t>
      </w:r>
      <w:r w:rsidR="004B43EC">
        <w:t>is very general, describing only</w:t>
      </w:r>
      <w:r w:rsidR="00B85EE3">
        <w:t xml:space="preserve"> </w:t>
      </w:r>
      <w:r w:rsidR="004B43EC">
        <w:t xml:space="preserve">CTW’s </w:t>
      </w:r>
      <w:r w:rsidR="006709FF">
        <w:t xml:space="preserve">decision not </w:t>
      </w:r>
      <w:r w:rsidR="00D75872">
        <w:t>to provide</w:t>
      </w:r>
      <w:r w:rsidR="004B43EC">
        <w:t xml:space="preserve"> interference</w:t>
      </w:r>
      <w:r w:rsidR="00D75872">
        <w:t xml:space="preserve"> consent letters in response to</w:t>
      </w:r>
      <w:r w:rsidR="004B43EC">
        <w:t xml:space="preserve"> requests that it had</w:t>
      </w:r>
      <w:r w:rsidR="00B85EE3">
        <w:t xml:space="preserve"> received</w:t>
      </w:r>
      <w:r w:rsidR="00765C13">
        <w:t xml:space="preserve"> </w:t>
      </w:r>
      <w:r w:rsidR="005C0A5D">
        <w:t>“</w:t>
      </w:r>
      <w:r w:rsidR="00765C13">
        <w:t>in the winter</w:t>
      </w:r>
      <w:r w:rsidR="006263BA">
        <w:t>.</w:t>
      </w:r>
      <w:r w:rsidR="00765C13">
        <w:t>”</w:t>
      </w:r>
      <w:r w:rsidR="00B85EE3">
        <w:t xml:space="preserve">  Since </w:t>
      </w:r>
      <w:r w:rsidR="00907011">
        <w:t>BVM states that it did not make such a request, the e-mail</w:t>
      </w:r>
      <w:r w:rsidR="004B43EC">
        <w:t>, which</w:t>
      </w:r>
      <w:r w:rsidR="00907011">
        <w:t xml:space="preserve"> </w:t>
      </w:r>
      <w:r w:rsidR="004B43EC">
        <w:t xml:space="preserve">makes no mention </w:t>
      </w:r>
      <w:r w:rsidR="00D75872">
        <w:t>of</w:t>
      </w:r>
      <w:r w:rsidR="00907011">
        <w:t xml:space="preserve"> </w:t>
      </w:r>
      <w:r w:rsidR="004B43EC">
        <w:t>BVM’s</w:t>
      </w:r>
      <w:r w:rsidR="006263BA">
        <w:t xml:space="preserve"> </w:t>
      </w:r>
      <w:r w:rsidR="00907011">
        <w:t>consent</w:t>
      </w:r>
      <w:r w:rsidR="004B43EC">
        <w:t xml:space="preserve"> </w:t>
      </w:r>
      <w:r w:rsidR="00D75872">
        <w:t xml:space="preserve">letter </w:t>
      </w:r>
      <w:r w:rsidR="004B43EC">
        <w:t xml:space="preserve">already issued by WITI, does not establish that </w:t>
      </w:r>
      <w:r w:rsidR="006013C0">
        <w:t>either Foxco or CTW</w:t>
      </w:r>
      <w:r w:rsidR="004B43EC">
        <w:t xml:space="preserve"> rescinded </w:t>
      </w:r>
      <w:r w:rsidR="00D75872">
        <w:t>such consent</w:t>
      </w:r>
      <w:r w:rsidR="004B43EC">
        <w:t xml:space="preserve">.  </w:t>
      </w:r>
      <w:r>
        <w:t xml:space="preserve"> </w:t>
      </w:r>
    </w:p>
  </w:footnote>
  <w:footnote w:id="17">
    <w:p w:rsidR="009D0075" w:rsidRPr="00320BF6" w:rsidRDefault="009D0075" w:rsidP="009D0075">
      <w:pPr>
        <w:pStyle w:val="FootnoteText"/>
      </w:pPr>
      <w:r w:rsidRPr="00320BF6">
        <w:rPr>
          <w:rStyle w:val="FootnoteReference"/>
        </w:rPr>
        <w:footnoteRef/>
      </w:r>
      <w:r w:rsidRPr="00320BF6">
        <w:t xml:space="preserve"> 47 U.S.C. § 155(c)(5).</w:t>
      </w:r>
    </w:p>
  </w:footnote>
  <w:footnote w:id="18">
    <w:p w:rsidR="009D0075" w:rsidRPr="00320BF6" w:rsidRDefault="009D0075" w:rsidP="009D0075">
      <w:pPr>
        <w:pStyle w:val="FootnoteText"/>
      </w:pPr>
      <w:r w:rsidRPr="00320BF6">
        <w:rPr>
          <w:rStyle w:val="FootnoteReference"/>
        </w:rPr>
        <w:footnoteRef/>
      </w:r>
      <w:r w:rsidRPr="00320BF6">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4E" w:rsidRDefault="00615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F1E5E">
      <w:t>FCC 14-8</w:t>
    </w:r>
    <w:r w:rsidR="00DF7D65">
      <w:t>9</w:t>
    </w:r>
  </w:p>
  <w:p w:rsidR="00D25FB5" w:rsidRDefault="009D007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2750CBD" wp14:editId="4F7686E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D0075" w:rsidP="00810B6F">
    <w:pPr>
      <w:pStyle w:val="Header"/>
      <w:rPr>
        <w:b w:val="0"/>
      </w:rPr>
    </w:pPr>
    <w:r>
      <w:rPr>
        <w:noProof/>
      </w:rPr>
      <mc:AlternateContent>
        <mc:Choice Requires="wps">
          <w:drawing>
            <wp:anchor distT="0" distB="0" distL="114300" distR="114300" simplePos="0" relativeHeight="251658240" behindDoc="1" locked="0" layoutInCell="0" allowOverlap="1" wp14:anchorId="6DD8E9DA" wp14:editId="359033A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F1E5E">
      <w:rPr>
        <w:spacing w:val="-2"/>
      </w:rPr>
      <w:t>FCC 14-8</w:t>
    </w:r>
    <w:r w:rsidR="00DF7D65">
      <w:rPr>
        <w:spacing w:val="-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75"/>
    <w:rsid w:val="00035F6B"/>
    <w:rsid w:val="00036039"/>
    <w:rsid w:val="00037F90"/>
    <w:rsid w:val="00052FF2"/>
    <w:rsid w:val="000875BF"/>
    <w:rsid w:val="00096D8C"/>
    <w:rsid w:val="000A7289"/>
    <w:rsid w:val="000B61AA"/>
    <w:rsid w:val="000C0B65"/>
    <w:rsid w:val="000C6822"/>
    <w:rsid w:val="000E05FE"/>
    <w:rsid w:val="000E0E26"/>
    <w:rsid w:val="000E3D42"/>
    <w:rsid w:val="00113FEF"/>
    <w:rsid w:val="00122BD5"/>
    <w:rsid w:val="00133F79"/>
    <w:rsid w:val="00173A26"/>
    <w:rsid w:val="00194A66"/>
    <w:rsid w:val="001969B4"/>
    <w:rsid w:val="001D6BCF"/>
    <w:rsid w:val="001E01CA"/>
    <w:rsid w:val="001E2D53"/>
    <w:rsid w:val="001F1E5E"/>
    <w:rsid w:val="00215F7D"/>
    <w:rsid w:val="00244333"/>
    <w:rsid w:val="002526F9"/>
    <w:rsid w:val="002574CE"/>
    <w:rsid w:val="00275CF5"/>
    <w:rsid w:val="0028301F"/>
    <w:rsid w:val="00285017"/>
    <w:rsid w:val="0029540C"/>
    <w:rsid w:val="002A2D2E"/>
    <w:rsid w:val="002B409F"/>
    <w:rsid w:val="002C00E8"/>
    <w:rsid w:val="002F6C43"/>
    <w:rsid w:val="00343749"/>
    <w:rsid w:val="003660ED"/>
    <w:rsid w:val="00366278"/>
    <w:rsid w:val="003833D4"/>
    <w:rsid w:val="003B0550"/>
    <w:rsid w:val="003B694F"/>
    <w:rsid w:val="003F171C"/>
    <w:rsid w:val="003F3735"/>
    <w:rsid w:val="0040206F"/>
    <w:rsid w:val="00412FC5"/>
    <w:rsid w:val="00420C49"/>
    <w:rsid w:val="00422276"/>
    <w:rsid w:val="004242F1"/>
    <w:rsid w:val="00445A00"/>
    <w:rsid w:val="00451B0F"/>
    <w:rsid w:val="004559CD"/>
    <w:rsid w:val="004A6EE9"/>
    <w:rsid w:val="004B3BA8"/>
    <w:rsid w:val="004B43EC"/>
    <w:rsid w:val="004C2EE3"/>
    <w:rsid w:val="004E4A22"/>
    <w:rsid w:val="00511968"/>
    <w:rsid w:val="00522014"/>
    <w:rsid w:val="00525210"/>
    <w:rsid w:val="0055614C"/>
    <w:rsid w:val="0058538F"/>
    <w:rsid w:val="005A52DA"/>
    <w:rsid w:val="005C0A5D"/>
    <w:rsid w:val="005C5B07"/>
    <w:rsid w:val="005C73DE"/>
    <w:rsid w:val="005E14C2"/>
    <w:rsid w:val="005F4A9A"/>
    <w:rsid w:val="006013C0"/>
    <w:rsid w:val="00607BA5"/>
    <w:rsid w:val="0061180A"/>
    <w:rsid w:val="00615A4E"/>
    <w:rsid w:val="00620BB1"/>
    <w:rsid w:val="006263BA"/>
    <w:rsid w:val="00626EB6"/>
    <w:rsid w:val="006501AB"/>
    <w:rsid w:val="00655D03"/>
    <w:rsid w:val="006640F1"/>
    <w:rsid w:val="006709FF"/>
    <w:rsid w:val="00683388"/>
    <w:rsid w:val="00683F84"/>
    <w:rsid w:val="006A6A81"/>
    <w:rsid w:val="006B434C"/>
    <w:rsid w:val="006C256C"/>
    <w:rsid w:val="006C78ED"/>
    <w:rsid w:val="006F7393"/>
    <w:rsid w:val="0070224F"/>
    <w:rsid w:val="007115F7"/>
    <w:rsid w:val="00715414"/>
    <w:rsid w:val="007333DA"/>
    <w:rsid w:val="007562A8"/>
    <w:rsid w:val="00765C13"/>
    <w:rsid w:val="00785689"/>
    <w:rsid w:val="0079754B"/>
    <w:rsid w:val="007A1E6D"/>
    <w:rsid w:val="007B0EB2"/>
    <w:rsid w:val="007C17C5"/>
    <w:rsid w:val="007F1E3F"/>
    <w:rsid w:val="00810B6F"/>
    <w:rsid w:val="00822CE0"/>
    <w:rsid w:val="00841AB1"/>
    <w:rsid w:val="00853968"/>
    <w:rsid w:val="008909FC"/>
    <w:rsid w:val="008C68F1"/>
    <w:rsid w:val="008D77F4"/>
    <w:rsid w:val="008E0BE4"/>
    <w:rsid w:val="008E1739"/>
    <w:rsid w:val="008E4C71"/>
    <w:rsid w:val="00907011"/>
    <w:rsid w:val="00921803"/>
    <w:rsid w:val="00926503"/>
    <w:rsid w:val="00937B2B"/>
    <w:rsid w:val="009540A1"/>
    <w:rsid w:val="009726D8"/>
    <w:rsid w:val="009B2999"/>
    <w:rsid w:val="009D0075"/>
    <w:rsid w:val="009F1ACF"/>
    <w:rsid w:val="009F76DB"/>
    <w:rsid w:val="00A23E5B"/>
    <w:rsid w:val="00A32C3B"/>
    <w:rsid w:val="00A45F4F"/>
    <w:rsid w:val="00A600A9"/>
    <w:rsid w:val="00A81C34"/>
    <w:rsid w:val="00AA491F"/>
    <w:rsid w:val="00AA55B7"/>
    <w:rsid w:val="00AA5B9E"/>
    <w:rsid w:val="00AA5E70"/>
    <w:rsid w:val="00AB2407"/>
    <w:rsid w:val="00AB53DF"/>
    <w:rsid w:val="00AC2E47"/>
    <w:rsid w:val="00AE2643"/>
    <w:rsid w:val="00B07E5C"/>
    <w:rsid w:val="00B27B62"/>
    <w:rsid w:val="00B624C9"/>
    <w:rsid w:val="00B811F7"/>
    <w:rsid w:val="00B85EE3"/>
    <w:rsid w:val="00BA5DC6"/>
    <w:rsid w:val="00BA6196"/>
    <w:rsid w:val="00BC6D8C"/>
    <w:rsid w:val="00BD3523"/>
    <w:rsid w:val="00C34006"/>
    <w:rsid w:val="00C426B1"/>
    <w:rsid w:val="00C66160"/>
    <w:rsid w:val="00C721AC"/>
    <w:rsid w:val="00C80586"/>
    <w:rsid w:val="00C90D6A"/>
    <w:rsid w:val="00CA247E"/>
    <w:rsid w:val="00CA36F1"/>
    <w:rsid w:val="00CC72B6"/>
    <w:rsid w:val="00CD3456"/>
    <w:rsid w:val="00CF531B"/>
    <w:rsid w:val="00D0218D"/>
    <w:rsid w:val="00D132B7"/>
    <w:rsid w:val="00D202A8"/>
    <w:rsid w:val="00D25FB5"/>
    <w:rsid w:val="00D266AB"/>
    <w:rsid w:val="00D44223"/>
    <w:rsid w:val="00D5369D"/>
    <w:rsid w:val="00D62249"/>
    <w:rsid w:val="00D75872"/>
    <w:rsid w:val="00DA2529"/>
    <w:rsid w:val="00DA64D4"/>
    <w:rsid w:val="00DB130A"/>
    <w:rsid w:val="00DB2EBB"/>
    <w:rsid w:val="00DC10A1"/>
    <w:rsid w:val="00DC45E5"/>
    <w:rsid w:val="00DC655F"/>
    <w:rsid w:val="00DD0B59"/>
    <w:rsid w:val="00DD6156"/>
    <w:rsid w:val="00DD7EBD"/>
    <w:rsid w:val="00DF62B6"/>
    <w:rsid w:val="00DF7D65"/>
    <w:rsid w:val="00E063CC"/>
    <w:rsid w:val="00E07225"/>
    <w:rsid w:val="00E36556"/>
    <w:rsid w:val="00E5409F"/>
    <w:rsid w:val="00EC2BEF"/>
    <w:rsid w:val="00ED3094"/>
    <w:rsid w:val="00EE6488"/>
    <w:rsid w:val="00F00878"/>
    <w:rsid w:val="00F021FA"/>
    <w:rsid w:val="00F13C54"/>
    <w:rsid w:val="00F35B3D"/>
    <w:rsid w:val="00F62E97"/>
    <w:rsid w:val="00F64209"/>
    <w:rsid w:val="00F93B00"/>
    <w:rsid w:val="00F93BF5"/>
    <w:rsid w:val="00FA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71"/>
    <w:pPr>
      <w:widowControl w:val="0"/>
    </w:pPr>
    <w:rPr>
      <w:snapToGrid w:val="0"/>
      <w:kern w:val="28"/>
      <w:sz w:val="22"/>
    </w:rPr>
  </w:style>
  <w:style w:type="paragraph" w:styleId="Heading1">
    <w:name w:val="heading 1"/>
    <w:basedOn w:val="Normal"/>
    <w:next w:val="ParaNum"/>
    <w:qFormat/>
    <w:rsid w:val="008E4C7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E4C71"/>
    <w:pPr>
      <w:keepNext/>
      <w:numPr>
        <w:ilvl w:val="1"/>
        <w:numId w:val="3"/>
      </w:numPr>
      <w:spacing w:after="120"/>
      <w:outlineLvl w:val="1"/>
    </w:pPr>
    <w:rPr>
      <w:b/>
    </w:rPr>
  </w:style>
  <w:style w:type="paragraph" w:styleId="Heading3">
    <w:name w:val="heading 3"/>
    <w:basedOn w:val="Normal"/>
    <w:next w:val="ParaNum"/>
    <w:qFormat/>
    <w:rsid w:val="008E4C71"/>
    <w:pPr>
      <w:keepNext/>
      <w:numPr>
        <w:ilvl w:val="2"/>
        <w:numId w:val="3"/>
      </w:numPr>
      <w:tabs>
        <w:tab w:val="left" w:pos="2160"/>
      </w:tabs>
      <w:spacing w:after="120"/>
      <w:outlineLvl w:val="2"/>
    </w:pPr>
    <w:rPr>
      <w:b/>
    </w:rPr>
  </w:style>
  <w:style w:type="paragraph" w:styleId="Heading4">
    <w:name w:val="heading 4"/>
    <w:basedOn w:val="Normal"/>
    <w:next w:val="ParaNum"/>
    <w:qFormat/>
    <w:rsid w:val="008E4C71"/>
    <w:pPr>
      <w:keepNext/>
      <w:numPr>
        <w:ilvl w:val="3"/>
        <w:numId w:val="3"/>
      </w:numPr>
      <w:tabs>
        <w:tab w:val="left" w:pos="2880"/>
      </w:tabs>
      <w:spacing w:after="120"/>
      <w:outlineLvl w:val="3"/>
    </w:pPr>
    <w:rPr>
      <w:b/>
    </w:rPr>
  </w:style>
  <w:style w:type="paragraph" w:styleId="Heading5">
    <w:name w:val="heading 5"/>
    <w:basedOn w:val="Normal"/>
    <w:next w:val="ParaNum"/>
    <w:qFormat/>
    <w:rsid w:val="008E4C7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E4C71"/>
    <w:pPr>
      <w:numPr>
        <w:ilvl w:val="5"/>
        <w:numId w:val="3"/>
      </w:numPr>
      <w:tabs>
        <w:tab w:val="left" w:pos="4320"/>
      </w:tabs>
      <w:spacing w:after="120"/>
      <w:outlineLvl w:val="5"/>
    </w:pPr>
    <w:rPr>
      <w:b/>
    </w:rPr>
  </w:style>
  <w:style w:type="paragraph" w:styleId="Heading7">
    <w:name w:val="heading 7"/>
    <w:basedOn w:val="Normal"/>
    <w:next w:val="ParaNum"/>
    <w:qFormat/>
    <w:rsid w:val="008E4C7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E4C7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E4C7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E4C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4C71"/>
  </w:style>
  <w:style w:type="paragraph" w:customStyle="1" w:styleId="ParaNum">
    <w:name w:val="ParaNum"/>
    <w:basedOn w:val="Normal"/>
    <w:rsid w:val="008E4C71"/>
    <w:pPr>
      <w:numPr>
        <w:numId w:val="2"/>
      </w:numPr>
      <w:tabs>
        <w:tab w:val="clear" w:pos="1080"/>
        <w:tab w:val="num" w:pos="1440"/>
      </w:tabs>
      <w:spacing w:after="120"/>
    </w:pPr>
  </w:style>
  <w:style w:type="paragraph" w:styleId="EndnoteText">
    <w:name w:val="endnote text"/>
    <w:basedOn w:val="Normal"/>
    <w:semiHidden/>
    <w:rsid w:val="008E4C71"/>
    <w:rPr>
      <w:sz w:val="20"/>
    </w:rPr>
  </w:style>
  <w:style w:type="character" w:styleId="EndnoteReference">
    <w:name w:val="endnote reference"/>
    <w:semiHidden/>
    <w:rsid w:val="008E4C71"/>
    <w:rPr>
      <w:vertAlign w:val="superscript"/>
    </w:rPr>
  </w:style>
  <w:style w:type="paragraph" w:styleId="FootnoteText">
    <w:name w:val="footnote text"/>
    <w:rsid w:val="008E4C71"/>
    <w:pPr>
      <w:spacing w:after="120"/>
    </w:pPr>
  </w:style>
  <w:style w:type="character" w:styleId="FootnoteReference">
    <w:name w:val="footnote reference"/>
    <w:rsid w:val="008E4C71"/>
    <w:rPr>
      <w:rFonts w:ascii="Times New Roman" w:hAnsi="Times New Roman"/>
      <w:dstrike w:val="0"/>
      <w:color w:val="auto"/>
      <w:sz w:val="20"/>
      <w:vertAlign w:val="superscript"/>
    </w:rPr>
  </w:style>
  <w:style w:type="paragraph" w:styleId="TOC1">
    <w:name w:val="toc 1"/>
    <w:basedOn w:val="Normal"/>
    <w:next w:val="Normal"/>
    <w:semiHidden/>
    <w:rsid w:val="008E4C7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E4C71"/>
    <w:pPr>
      <w:tabs>
        <w:tab w:val="left" w:pos="720"/>
        <w:tab w:val="right" w:leader="dot" w:pos="9360"/>
      </w:tabs>
      <w:suppressAutoHyphens/>
      <w:ind w:left="720" w:right="720" w:hanging="360"/>
    </w:pPr>
    <w:rPr>
      <w:noProof/>
    </w:rPr>
  </w:style>
  <w:style w:type="paragraph" w:styleId="TOC3">
    <w:name w:val="toc 3"/>
    <w:basedOn w:val="Normal"/>
    <w:next w:val="Normal"/>
    <w:semiHidden/>
    <w:rsid w:val="008E4C7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E4C7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E4C7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E4C7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E4C7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E4C7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E4C7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E4C71"/>
    <w:pPr>
      <w:tabs>
        <w:tab w:val="right" w:pos="9360"/>
      </w:tabs>
      <w:suppressAutoHyphens/>
    </w:pPr>
  </w:style>
  <w:style w:type="character" w:customStyle="1" w:styleId="EquationCaption">
    <w:name w:val="_Equation Caption"/>
    <w:rsid w:val="008E4C71"/>
  </w:style>
  <w:style w:type="paragraph" w:styleId="Header">
    <w:name w:val="header"/>
    <w:basedOn w:val="Normal"/>
    <w:autoRedefine/>
    <w:rsid w:val="008E4C71"/>
    <w:pPr>
      <w:tabs>
        <w:tab w:val="center" w:pos="4680"/>
        <w:tab w:val="right" w:pos="9360"/>
      </w:tabs>
    </w:pPr>
    <w:rPr>
      <w:b/>
    </w:rPr>
  </w:style>
  <w:style w:type="paragraph" w:styleId="Footer">
    <w:name w:val="footer"/>
    <w:basedOn w:val="Normal"/>
    <w:rsid w:val="008E4C71"/>
    <w:pPr>
      <w:tabs>
        <w:tab w:val="center" w:pos="4320"/>
        <w:tab w:val="right" w:pos="8640"/>
      </w:tabs>
    </w:pPr>
  </w:style>
  <w:style w:type="character" w:styleId="PageNumber">
    <w:name w:val="page number"/>
    <w:basedOn w:val="DefaultParagraphFont"/>
    <w:rsid w:val="008E4C71"/>
  </w:style>
  <w:style w:type="paragraph" w:styleId="BlockText">
    <w:name w:val="Block Text"/>
    <w:basedOn w:val="Normal"/>
    <w:rsid w:val="008E4C71"/>
    <w:pPr>
      <w:spacing w:after="240"/>
      <w:ind w:left="1440" w:right="1440"/>
    </w:pPr>
  </w:style>
  <w:style w:type="paragraph" w:customStyle="1" w:styleId="Paratitle">
    <w:name w:val="Para title"/>
    <w:basedOn w:val="Normal"/>
    <w:rsid w:val="008E4C71"/>
    <w:pPr>
      <w:tabs>
        <w:tab w:val="center" w:pos="9270"/>
      </w:tabs>
      <w:spacing w:after="240"/>
    </w:pPr>
    <w:rPr>
      <w:spacing w:val="-2"/>
    </w:rPr>
  </w:style>
  <w:style w:type="paragraph" w:customStyle="1" w:styleId="Bullet">
    <w:name w:val="Bullet"/>
    <w:basedOn w:val="Normal"/>
    <w:rsid w:val="008E4C71"/>
    <w:pPr>
      <w:tabs>
        <w:tab w:val="left" w:pos="2160"/>
      </w:tabs>
      <w:spacing w:after="220"/>
      <w:ind w:left="2160" w:hanging="720"/>
    </w:pPr>
  </w:style>
  <w:style w:type="paragraph" w:customStyle="1" w:styleId="TableFormat">
    <w:name w:val="TableFormat"/>
    <w:basedOn w:val="Bullet"/>
    <w:rsid w:val="008E4C71"/>
    <w:pPr>
      <w:tabs>
        <w:tab w:val="clear" w:pos="2160"/>
        <w:tab w:val="left" w:pos="5040"/>
      </w:tabs>
      <w:ind w:left="5040" w:hanging="3600"/>
    </w:pPr>
  </w:style>
  <w:style w:type="paragraph" w:customStyle="1" w:styleId="TOCTitle">
    <w:name w:val="TOC Title"/>
    <w:basedOn w:val="Normal"/>
    <w:rsid w:val="008E4C7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E4C71"/>
    <w:pPr>
      <w:jc w:val="center"/>
    </w:pPr>
    <w:rPr>
      <w:rFonts w:ascii="Times New Roman Bold" w:hAnsi="Times New Roman Bold"/>
      <w:b/>
      <w:bCs/>
      <w:caps/>
      <w:szCs w:val="22"/>
    </w:rPr>
  </w:style>
  <w:style w:type="character" w:styleId="Hyperlink">
    <w:name w:val="Hyperlink"/>
    <w:rsid w:val="008E4C71"/>
    <w:rPr>
      <w:color w:val="0000FF"/>
      <w:u w:val="single"/>
    </w:rPr>
  </w:style>
  <w:style w:type="paragraph" w:styleId="BalloonText">
    <w:name w:val="Balloon Text"/>
    <w:basedOn w:val="Normal"/>
    <w:link w:val="BalloonTextChar"/>
    <w:rsid w:val="000C6822"/>
    <w:rPr>
      <w:rFonts w:ascii="Tahoma" w:hAnsi="Tahoma" w:cs="Tahoma"/>
      <w:sz w:val="16"/>
      <w:szCs w:val="16"/>
    </w:rPr>
  </w:style>
  <w:style w:type="character" w:customStyle="1" w:styleId="BalloonTextChar">
    <w:name w:val="Balloon Text Char"/>
    <w:basedOn w:val="DefaultParagraphFont"/>
    <w:link w:val="BalloonText"/>
    <w:rsid w:val="000C6822"/>
    <w:rPr>
      <w:rFonts w:ascii="Tahoma" w:hAnsi="Tahoma" w:cs="Tahoma"/>
      <w:snapToGrid w:val="0"/>
      <w:kern w:val="28"/>
      <w:sz w:val="16"/>
      <w:szCs w:val="16"/>
    </w:rPr>
  </w:style>
  <w:style w:type="character" w:styleId="CommentReference">
    <w:name w:val="annotation reference"/>
    <w:basedOn w:val="DefaultParagraphFont"/>
    <w:rsid w:val="007333DA"/>
    <w:rPr>
      <w:sz w:val="16"/>
      <w:szCs w:val="16"/>
    </w:rPr>
  </w:style>
  <w:style w:type="paragraph" w:styleId="CommentText">
    <w:name w:val="annotation text"/>
    <w:basedOn w:val="Normal"/>
    <w:link w:val="CommentTextChar"/>
    <w:rsid w:val="007333DA"/>
    <w:rPr>
      <w:sz w:val="20"/>
    </w:rPr>
  </w:style>
  <w:style w:type="character" w:customStyle="1" w:styleId="CommentTextChar">
    <w:name w:val="Comment Text Char"/>
    <w:basedOn w:val="DefaultParagraphFont"/>
    <w:link w:val="CommentText"/>
    <w:rsid w:val="007333DA"/>
    <w:rPr>
      <w:snapToGrid w:val="0"/>
      <w:kern w:val="28"/>
    </w:rPr>
  </w:style>
  <w:style w:type="paragraph" w:styleId="CommentSubject">
    <w:name w:val="annotation subject"/>
    <w:basedOn w:val="CommentText"/>
    <w:next w:val="CommentText"/>
    <w:link w:val="CommentSubjectChar"/>
    <w:rsid w:val="007333DA"/>
    <w:rPr>
      <w:b/>
      <w:bCs/>
    </w:rPr>
  </w:style>
  <w:style w:type="character" w:customStyle="1" w:styleId="CommentSubjectChar">
    <w:name w:val="Comment Subject Char"/>
    <w:basedOn w:val="CommentTextChar"/>
    <w:link w:val="CommentSubject"/>
    <w:rsid w:val="007333DA"/>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71"/>
    <w:pPr>
      <w:widowControl w:val="0"/>
    </w:pPr>
    <w:rPr>
      <w:snapToGrid w:val="0"/>
      <w:kern w:val="28"/>
      <w:sz w:val="22"/>
    </w:rPr>
  </w:style>
  <w:style w:type="paragraph" w:styleId="Heading1">
    <w:name w:val="heading 1"/>
    <w:basedOn w:val="Normal"/>
    <w:next w:val="ParaNum"/>
    <w:qFormat/>
    <w:rsid w:val="008E4C7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E4C71"/>
    <w:pPr>
      <w:keepNext/>
      <w:numPr>
        <w:ilvl w:val="1"/>
        <w:numId w:val="3"/>
      </w:numPr>
      <w:spacing w:after="120"/>
      <w:outlineLvl w:val="1"/>
    </w:pPr>
    <w:rPr>
      <w:b/>
    </w:rPr>
  </w:style>
  <w:style w:type="paragraph" w:styleId="Heading3">
    <w:name w:val="heading 3"/>
    <w:basedOn w:val="Normal"/>
    <w:next w:val="ParaNum"/>
    <w:qFormat/>
    <w:rsid w:val="008E4C71"/>
    <w:pPr>
      <w:keepNext/>
      <w:numPr>
        <w:ilvl w:val="2"/>
        <w:numId w:val="3"/>
      </w:numPr>
      <w:tabs>
        <w:tab w:val="left" w:pos="2160"/>
      </w:tabs>
      <w:spacing w:after="120"/>
      <w:outlineLvl w:val="2"/>
    </w:pPr>
    <w:rPr>
      <w:b/>
    </w:rPr>
  </w:style>
  <w:style w:type="paragraph" w:styleId="Heading4">
    <w:name w:val="heading 4"/>
    <w:basedOn w:val="Normal"/>
    <w:next w:val="ParaNum"/>
    <w:qFormat/>
    <w:rsid w:val="008E4C71"/>
    <w:pPr>
      <w:keepNext/>
      <w:numPr>
        <w:ilvl w:val="3"/>
        <w:numId w:val="3"/>
      </w:numPr>
      <w:tabs>
        <w:tab w:val="left" w:pos="2880"/>
      </w:tabs>
      <w:spacing w:after="120"/>
      <w:outlineLvl w:val="3"/>
    </w:pPr>
    <w:rPr>
      <w:b/>
    </w:rPr>
  </w:style>
  <w:style w:type="paragraph" w:styleId="Heading5">
    <w:name w:val="heading 5"/>
    <w:basedOn w:val="Normal"/>
    <w:next w:val="ParaNum"/>
    <w:qFormat/>
    <w:rsid w:val="008E4C7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E4C71"/>
    <w:pPr>
      <w:numPr>
        <w:ilvl w:val="5"/>
        <w:numId w:val="3"/>
      </w:numPr>
      <w:tabs>
        <w:tab w:val="left" w:pos="4320"/>
      </w:tabs>
      <w:spacing w:after="120"/>
      <w:outlineLvl w:val="5"/>
    </w:pPr>
    <w:rPr>
      <w:b/>
    </w:rPr>
  </w:style>
  <w:style w:type="paragraph" w:styleId="Heading7">
    <w:name w:val="heading 7"/>
    <w:basedOn w:val="Normal"/>
    <w:next w:val="ParaNum"/>
    <w:qFormat/>
    <w:rsid w:val="008E4C7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E4C7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E4C7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E4C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4C71"/>
  </w:style>
  <w:style w:type="paragraph" w:customStyle="1" w:styleId="ParaNum">
    <w:name w:val="ParaNum"/>
    <w:basedOn w:val="Normal"/>
    <w:rsid w:val="008E4C71"/>
    <w:pPr>
      <w:numPr>
        <w:numId w:val="2"/>
      </w:numPr>
      <w:tabs>
        <w:tab w:val="clear" w:pos="1080"/>
        <w:tab w:val="num" w:pos="1440"/>
      </w:tabs>
      <w:spacing w:after="120"/>
    </w:pPr>
  </w:style>
  <w:style w:type="paragraph" w:styleId="EndnoteText">
    <w:name w:val="endnote text"/>
    <w:basedOn w:val="Normal"/>
    <w:semiHidden/>
    <w:rsid w:val="008E4C71"/>
    <w:rPr>
      <w:sz w:val="20"/>
    </w:rPr>
  </w:style>
  <w:style w:type="character" w:styleId="EndnoteReference">
    <w:name w:val="endnote reference"/>
    <w:semiHidden/>
    <w:rsid w:val="008E4C71"/>
    <w:rPr>
      <w:vertAlign w:val="superscript"/>
    </w:rPr>
  </w:style>
  <w:style w:type="paragraph" w:styleId="FootnoteText">
    <w:name w:val="footnote text"/>
    <w:rsid w:val="008E4C71"/>
    <w:pPr>
      <w:spacing w:after="120"/>
    </w:pPr>
  </w:style>
  <w:style w:type="character" w:styleId="FootnoteReference">
    <w:name w:val="footnote reference"/>
    <w:rsid w:val="008E4C71"/>
    <w:rPr>
      <w:rFonts w:ascii="Times New Roman" w:hAnsi="Times New Roman"/>
      <w:dstrike w:val="0"/>
      <w:color w:val="auto"/>
      <w:sz w:val="20"/>
      <w:vertAlign w:val="superscript"/>
    </w:rPr>
  </w:style>
  <w:style w:type="paragraph" w:styleId="TOC1">
    <w:name w:val="toc 1"/>
    <w:basedOn w:val="Normal"/>
    <w:next w:val="Normal"/>
    <w:semiHidden/>
    <w:rsid w:val="008E4C7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E4C71"/>
    <w:pPr>
      <w:tabs>
        <w:tab w:val="left" w:pos="720"/>
        <w:tab w:val="right" w:leader="dot" w:pos="9360"/>
      </w:tabs>
      <w:suppressAutoHyphens/>
      <w:ind w:left="720" w:right="720" w:hanging="360"/>
    </w:pPr>
    <w:rPr>
      <w:noProof/>
    </w:rPr>
  </w:style>
  <w:style w:type="paragraph" w:styleId="TOC3">
    <w:name w:val="toc 3"/>
    <w:basedOn w:val="Normal"/>
    <w:next w:val="Normal"/>
    <w:semiHidden/>
    <w:rsid w:val="008E4C7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E4C7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E4C7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E4C7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E4C7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E4C7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E4C7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E4C71"/>
    <w:pPr>
      <w:tabs>
        <w:tab w:val="right" w:pos="9360"/>
      </w:tabs>
      <w:suppressAutoHyphens/>
    </w:pPr>
  </w:style>
  <w:style w:type="character" w:customStyle="1" w:styleId="EquationCaption">
    <w:name w:val="_Equation Caption"/>
    <w:rsid w:val="008E4C71"/>
  </w:style>
  <w:style w:type="paragraph" w:styleId="Header">
    <w:name w:val="header"/>
    <w:basedOn w:val="Normal"/>
    <w:autoRedefine/>
    <w:rsid w:val="008E4C71"/>
    <w:pPr>
      <w:tabs>
        <w:tab w:val="center" w:pos="4680"/>
        <w:tab w:val="right" w:pos="9360"/>
      </w:tabs>
    </w:pPr>
    <w:rPr>
      <w:b/>
    </w:rPr>
  </w:style>
  <w:style w:type="paragraph" w:styleId="Footer">
    <w:name w:val="footer"/>
    <w:basedOn w:val="Normal"/>
    <w:rsid w:val="008E4C71"/>
    <w:pPr>
      <w:tabs>
        <w:tab w:val="center" w:pos="4320"/>
        <w:tab w:val="right" w:pos="8640"/>
      </w:tabs>
    </w:pPr>
  </w:style>
  <w:style w:type="character" w:styleId="PageNumber">
    <w:name w:val="page number"/>
    <w:basedOn w:val="DefaultParagraphFont"/>
    <w:rsid w:val="008E4C71"/>
  </w:style>
  <w:style w:type="paragraph" w:styleId="BlockText">
    <w:name w:val="Block Text"/>
    <w:basedOn w:val="Normal"/>
    <w:rsid w:val="008E4C71"/>
    <w:pPr>
      <w:spacing w:after="240"/>
      <w:ind w:left="1440" w:right="1440"/>
    </w:pPr>
  </w:style>
  <w:style w:type="paragraph" w:customStyle="1" w:styleId="Paratitle">
    <w:name w:val="Para title"/>
    <w:basedOn w:val="Normal"/>
    <w:rsid w:val="008E4C71"/>
    <w:pPr>
      <w:tabs>
        <w:tab w:val="center" w:pos="9270"/>
      </w:tabs>
      <w:spacing w:after="240"/>
    </w:pPr>
    <w:rPr>
      <w:spacing w:val="-2"/>
    </w:rPr>
  </w:style>
  <w:style w:type="paragraph" w:customStyle="1" w:styleId="Bullet">
    <w:name w:val="Bullet"/>
    <w:basedOn w:val="Normal"/>
    <w:rsid w:val="008E4C71"/>
    <w:pPr>
      <w:tabs>
        <w:tab w:val="left" w:pos="2160"/>
      </w:tabs>
      <w:spacing w:after="220"/>
      <w:ind w:left="2160" w:hanging="720"/>
    </w:pPr>
  </w:style>
  <w:style w:type="paragraph" w:customStyle="1" w:styleId="TableFormat">
    <w:name w:val="TableFormat"/>
    <w:basedOn w:val="Bullet"/>
    <w:rsid w:val="008E4C71"/>
    <w:pPr>
      <w:tabs>
        <w:tab w:val="clear" w:pos="2160"/>
        <w:tab w:val="left" w:pos="5040"/>
      </w:tabs>
      <w:ind w:left="5040" w:hanging="3600"/>
    </w:pPr>
  </w:style>
  <w:style w:type="paragraph" w:customStyle="1" w:styleId="TOCTitle">
    <w:name w:val="TOC Title"/>
    <w:basedOn w:val="Normal"/>
    <w:rsid w:val="008E4C7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E4C71"/>
    <w:pPr>
      <w:jc w:val="center"/>
    </w:pPr>
    <w:rPr>
      <w:rFonts w:ascii="Times New Roman Bold" w:hAnsi="Times New Roman Bold"/>
      <w:b/>
      <w:bCs/>
      <w:caps/>
      <w:szCs w:val="22"/>
    </w:rPr>
  </w:style>
  <w:style w:type="character" w:styleId="Hyperlink">
    <w:name w:val="Hyperlink"/>
    <w:rsid w:val="008E4C71"/>
    <w:rPr>
      <w:color w:val="0000FF"/>
      <w:u w:val="single"/>
    </w:rPr>
  </w:style>
  <w:style w:type="paragraph" w:styleId="BalloonText">
    <w:name w:val="Balloon Text"/>
    <w:basedOn w:val="Normal"/>
    <w:link w:val="BalloonTextChar"/>
    <w:rsid w:val="000C6822"/>
    <w:rPr>
      <w:rFonts w:ascii="Tahoma" w:hAnsi="Tahoma" w:cs="Tahoma"/>
      <w:sz w:val="16"/>
      <w:szCs w:val="16"/>
    </w:rPr>
  </w:style>
  <w:style w:type="character" w:customStyle="1" w:styleId="BalloonTextChar">
    <w:name w:val="Balloon Text Char"/>
    <w:basedOn w:val="DefaultParagraphFont"/>
    <w:link w:val="BalloonText"/>
    <w:rsid w:val="000C6822"/>
    <w:rPr>
      <w:rFonts w:ascii="Tahoma" w:hAnsi="Tahoma" w:cs="Tahoma"/>
      <w:snapToGrid w:val="0"/>
      <w:kern w:val="28"/>
      <w:sz w:val="16"/>
      <w:szCs w:val="16"/>
    </w:rPr>
  </w:style>
  <w:style w:type="character" w:styleId="CommentReference">
    <w:name w:val="annotation reference"/>
    <w:basedOn w:val="DefaultParagraphFont"/>
    <w:rsid w:val="007333DA"/>
    <w:rPr>
      <w:sz w:val="16"/>
      <w:szCs w:val="16"/>
    </w:rPr>
  </w:style>
  <w:style w:type="paragraph" w:styleId="CommentText">
    <w:name w:val="annotation text"/>
    <w:basedOn w:val="Normal"/>
    <w:link w:val="CommentTextChar"/>
    <w:rsid w:val="007333DA"/>
    <w:rPr>
      <w:sz w:val="20"/>
    </w:rPr>
  </w:style>
  <w:style w:type="character" w:customStyle="1" w:styleId="CommentTextChar">
    <w:name w:val="Comment Text Char"/>
    <w:basedOn w:val="DefaultParagraphFont"/>
    <w:link w:val="CommentText"/>
    <w:rsid w:val="007333DA"/>
    <w:rPr>
      <w:snapToGrid w:val="0"/>
      <w:kern w:val="28"/>
    </w:rPr>
  </w:style>
  <w:style w:type="paragraph" w:styleId="CommentSubject">
    <w:name w:val="annotation subject"/>
    <w:basedOn w:val="CommentText"/>
    <w:next w:val="CommentText"/>
    <w:link w:val="CommentSubjectChar"/>
    <w:rsid w:val="007333DA"/>
    <w:rPr>
      <w:b/>
      <w:bCs/>
    </w:rPr>
  </w:style>
  <w:style w:type="character" w:customStyle="1" w:styleId="CommentSubjectChar">
    <w:name w:val="Comment Subject Char"/>
    <w:basedOn w:val="CommentTextChar"/>
    <w:link w:val="CommentSubject"/>
    <w:rsid w:val="007333D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713</Words>
  <Characters>3873</Characters>
  <Application>Microsoft Office Word</Application>
  <DocSecurity>0</DocSecurity>
  <Lines>87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2014-06-13T16:51:00Z</dcterms:created>
  <dcterms:modified xsi:type="dcterms:W3CDTF">2014-06-13T16:51:00Z</dcterms:modified>
  <cp:category> </cp:category>
  <cp:contentStatus> </cp:contentStatus>
</cp:coreProperties>
</file>