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9607FE">
        <w:rPr>
          <w:b/>
        </w:rPr>
        <w:t>Before</w:t>
      </w:r>
      <w:r>
        <w:rPr>
          <w:b/>
        </w:rPr>
        <w:t xml:space="preserve"> the</w:t>
      </w:r>
    </w:p>
    <w:p w:rsidR="00921803" w:rsidRPr="009607FE" w:rsidRDefault="00921803" w:rsidP="009607FE">
      <w:pPr>
        <w:jc w:val="center"/>
        <w:rPr>
          <w:b/>
        </w:rPr>
      </w:pPr>
      <w:r w:rsidRPr="009607FE">
        <w:rPr>
          <w:b/>
        </w:rPr>
        <w:t>Federal Communications Commission</w:t>
      </w:r>
    </w:p>
    <w:p w:rsidR="004C2EE3" w:rsidRPr="009607FE" w:rsidRDefault="00810B6F" w:rsidP="009607FE">
      <w:pPr>
        <w:jc w:val="center"/>
        <w:rPr>
          <w:b/>
        </w:rPr>
      </w:pPr>
      <w:r w:rsidRPr="009607FE">
        <w:rPr>
          <w:b/>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7C278D" w:rsidP="007115F7">
            <w:pPr>
              <w:tabs>
                <w:tab w:val="center" w:pos="4680"/>
              </w:tabs>
              <w:suppressAutoHyphens/>
              <w:rPr>
                <w:spacing w:val="-2"/>
              </w:rPr>
            </w:pPr>
            <w:r>
              <w:rPr>
                <w:spacing w:val="-2"/>
              </w:rPr>
              <w:t>SMILE FM</w:t>
            </w:r>
          </w:p>
          <w:p w:rsidR="007C278D" w:rsidRDefault="007C278D" w:rsidP="007115F7">
            <w:pPr>
              <w:tabs>
                <w:tab w:val="center" w:pos="4680"/>
              </w:tabs>
              <w:suppressAutoHyphens/>
              <w:rPr>
                <w:spacing w:val="-2"/>
              </w:rPr>
            </w:pPr>
          </w:p>
          <w:p w:rsidR="007C278D" w:rsidRDefault="007C278D" w:rsidP="007115F7">
            <w:pPr>
              <w:tabs>
                <w:tab w:val="center" w:pos="4680"/>
              </w:tabs>
              <w:suppressAutoHyphens/>
              <w:rPr>
                <w:spacing w:val="-2"/>
              </w:rPr>
            </w:pPr>
            <w:r>
              <w:rPr>
                <w:spacing w:val="-2"/>
              </w:rPr>
              <w:t>Application for a Construction Permit</w:t>
            </w:r>
          </w:p>
          <w:p w:rsidR="00AE40FB" w:rsidRDefault="007C278D" w:rsidP="007115F7">
            <w:pPr>
              <w:tabs>
                <w:tab w:val="center" w:pos="4680"/>
              </w:tabs>
              <w:suppressAutoHyphens/>
              <w:rPr>
                <w:spacing w:val="-2"/>
              </w:rPr>
            </w:pPr>
            <w:r>
              <w:rPr>
                <w:spacing w:val="-2"/>
              </w:rPr>
              <w:t xml:space="preserve">For a New Noncommercial </w:t>
            </w:r>
            <w:r w:rsidR="00AE40FB">
              <w:rPr>
                <w:spacing w:val="-2"/>
              </w:rPr>
              <w:t xml:space="preserve">Educational </w:t>
            </w:r>
          </w:p>
          <w:p w:rsidR="007C278D" w:rsidRPr="007115F7" w:rsidRDefault="007C278D" w:rsidP="00AE40FB">
            <w:pPr>
              <w:tabs>
                <w:tab w:val="center" w:pos="4680"/>
              </w:tabs>
              <w:suppressAutoHyphens/>
              <w:rPr>
                <w:spacing w:val="-2"/>
              </w:rPr>
            </w:pPr>
            <w:r>
              <w:rPr>
                <w:spacing w:val="-2"/>
              </w:rPr>
              <w:t>FM Station</w:t>
            </w:r>
            <w:r w:rsidR="00AE40FB">
              <w:rPr>
                <w:spacing w:val="-2"/>
              </w:rPr>
              <w:t xml:space="preserve"> at </w:t>
            </w:r>
            <w:r>
              <w:rPr>
                <w:spacing w:val="-2"/>
              </w:rPr>
              <w:t>Yates, Michigan</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AE40FB"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7C278D">
            <w:pPr>
              <w:tabs>
                <w:tab w:val="center" w:pos="4680"/>
              </w:tabs>
              <w:suppressAutoHyphens/>
              <w:rPr>
                <w:spacing w:val="-2"/>
              </w:rPr>
            </w:pPr>
            <w:r>
              <w:rPr>
                <w:spacing w:val="-2"/>
              </w:rPr>
              <w:t>File No. BNPED-20071019AMN</w:t>
            </w:r>
          </w:p>
          <w:p w:rsidR="00AE40FB" w:rsidRDefault="00AE40FB">
            <w:pPr>
              <w:tabs>
                <w:tab w:val="center" w:pos="4680"/>
              </w:tabs>
              <w:suppressAutoHyphens/>
              <w:rPr>
                <w:spacing w:val="-2"/>
              </w:rPr>
            </w:pPr>
            <w:r>
              <w:rPr>
                <w:spacing w:val="-2"/>
              </w:rPr>
              <w:t>Facility ID No. 175918</w:t>
            </w:r>
          </w:p>
        </w:tc>
      </w:tr>
    </w:tbl>
    <w:p w:rsidR="004C2EE3" w:rsidRDefault="004C2EE3" w:rsidP="0070224F"/>
    <w:p w:rsidR="00841AB1" w:rsidRPr="009607FE" w:rsidRDefault="009607FE" w:rsidP="009607FE">
      <w:pPr>
        <w:tabs>
          <w:tab w:val="left" w:pos="720"/>
          <w:tab w:val="left" w:pos="5760"/>
        </w:tabs>
        <w:suppressAutoHyphens/>
        <w:spacing w:line="227" w:lineRule="auto"/>
        <w:jc w:val="center"/>
        <w:rPr>
          <w:b/>
          <w:spacing w:val="-2"/>
        </w:rPr>
      </w:pPr>
      <w:r w:rsidRPr="009607FE">
        <w:rPr>
          <w:b/>
          <w:spacing w:val="-2"/>
        </w:rP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E26452">
        <w:rPr>
          <w:b/>
          <w:spacing w:val="-2"/>
        </w:rPr>
        <w:t>June</w:t>
      </w:r>
      <w:r w:rsidR="007C278D">
        <w:rPr>
          <w:b/>
          <w:spacing w:val="-2"/>
        </w:rPr>
        <w:t xml:space="preserve"> </w:t>
      </w:r>
      <w:r w:rsidR="00E26452">
        <w:rPr>
          <w:b/>
          <w:spacing w:val="-2"/>
        </w:rPr>
        <w:t>12</w:t>
      </w:r>
      <w:r w:rsidR="007C278D">
        <w:rPr>
          <w:b/>
          <w:spacing w:val="-2"/>
        </w:rPr>
        <w:t>,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26452">
        <w:rPr>
          <w:b/>
          <w:spacing w:val="-2"/>
        </w:rPr>
        <w:t>June</w:t>
      </w:r>
      <w:r w:rsidR="007C278D">
        <w:rPr>
          <w:b/>
          <w:spacing w:val="-2"/>
        </w:rPr>
        <w:t xml:space="preserve"> </w:t>
      </w:r>
      <w:r w:rsidR="00E26452">
        <w:rPr>
          <w:b/>
          <w:spacing w:val="-2"/>
        </w:rPr>
        <w:t>13</w:t>
      </w:r>
      <w:r w:rsidR="007C278D">
        <w:rPr>
          <w:b/>
          <w:spacing w:val="-2"/>
        </w:rPr>
        <w:t>, 2014</w:t>
      </w:r>
    </w:p>
    <w:p w:rsidR="00822CE0" w:rsidRDefault="00822CE0"/>
    <w:p w:rsidR="004C2EE3" w:rsidRDefault="004C2EE3">
      <w:pPr>
        <w:rPr>
          <w:spacing w:val="-2"/>
        </w:rPr>
      </w:pPr>
      <w:r>
        <w:t xml:space="preserve">By </w:t>
      </w:r>
      <w:r w:rsidR="004E4A22">
        <w:t>the</w:t>
      </w:r>
      <w:r w:rsidR="002A2D2E">
        <w:t xml:space="preserve"> </w:t>
      </w:r>
      <w:r w:rsidR="007C278D">
        <w:rPr>
          <w:spacing w:val="-2"/>
        </w:rPr>
        <w:t>Commission</w:t>
      </w:r>
      <w:r>
        <w:rPr>
          <w:spacing w:val="-2"/>
        </w:rPr>
        <w:t>:</w:t>
      </w:r>
    </w:p>
    <w:p w:rsidR="00412FC5" w:rsidRDefault="00412FC5" w:rsidP="00CF4160"/>
    <w:p w:rsidR="002A7AC3" w:rsidRPr="002A7AC3" w:rsidRDefault="002A7AC3" w:rsidP="00CF4160">
      <w:pPr>
        <w:pStyle w:val="ParaNum"/>
        <w:widowControl/>
        <w:numPr>
          <w:ilvl w:val="0"/>
          <w:numId w:val="7"/>
        </w:numPr>
        <w:tabs>
          <w:tab w:val="clear" w:pos="1080"/>
          <w:tab w:val="num" w:pos="1440"/>
        </w:tabs>
        <w:spacing w:after="220"/>
        <w:ind w:firstLine="634"/>
        <w:rPr>
          <w:i/>
          <w:szCs w:val="22"/>
        </w:rPr>
      </w:pPr>
      <w:r w:rsidRPr="00EC5899">
        <w:rPr>
          <w:szCs w:val="22"/>
        </w:rPr>
        <w:t xml:space="preserve">The Commission has before it an Application for Review (“AFR”) filed by </w:t>
      </w:r>
      <w:r>
        <w:rPr>
          <w:szCs w:val="22"/>
        </w:rPr>
        <w:t>Smile FM</w:t>
      </w:r>
      <w:r w:rsidRPr="00EC5899">
        <w:rPr>
          <w:szCs w:val="22"/>
        </w:rPr>
        <w:t xml:space="preserve"> on </w:t>
      </w:r>
      <w:r>
        <w:rPr>
          <w:szCs w:val="22"/>
        </w:rPr>
        <w:t>June 15, 2011</w:t>
      </w:r>
      <w:r w:rsidRPr="00EC5899">
        <w:rPr>
          <w:szCs w:val="22"/>
        </w:rPr>
        <w:t xml:space="preserve">.  </w:t>
      </w:r>
      <w:r>
        <w:rPr>
          <w:szCs w:val="22"/>
        </w:rPr>
        <w:t>Smile FM</w:t>
      </w:r>
      <w:r w:rsidRPr="00EC5899">
        <w:rPr>
          <w:szCs w:val="22"/>
        </w:rPr>
        <w:t xml:space="preserve"> challenges the dismissal of </w:t>
      </w:r>
      <w:r w:rsidR="002B7245">
        <w:rPr>
          <w:szCs w:val="22"/>
        </w:rPr>
        <w:t>its</w:t>
      </w:r>
      <w:r w:rsidRPr="00EC5899">
        <w:rPr>
          <w:szCs w:val="22"/>
        </w:rPr>
        <w:t xml:space="preserve"> application for a new </w:t>
      </w:r>
      <w:r>
        <w:rPr>
          <w:szCs w:val="22"/>
        </w:rPr>
        <w:t>noncommercial educational</w:t>
      </w:r>
      <w:r w:rsidRPr="00EC5899">
        <w:rPr>
          <w:szCs w:val="22"/>
        </w:rPr>
        <w:t xml:space="preserve"> FM station at </w:t>
      </w:r>
      <w:r>
        <w:rPr>
          <w:szCs w:val="22"/>
        </w:rPr>
        <w:t>Yates, Michigan</w:t>
      </w:r>
      <w:r w:rsidRPr="00EC5899">
        <w:rPr>
          <w:szCs w:val="22"/>
        </w:rPr>
        <w:t xml:space="preserve"> (“Application”).  </w:t>
      </w:r>
    </w:p>
    <w:p w:rsidR="002A7AC3" w:rsidRPr="00EC5899" w:rsidRDefault="00AF424A" w:rsidP="00CF4160">
      <w:pPr>
        <w:pStyle w:val="ParaNum"/>
        <w:widowControl/>
        <w:numPr>
          <w:ilvl w:val="0"/>
          <w:numId w:val="7"/>
        </w:numPr>
        <w:tabs>
          <w:tab w:val="clear" w:pos="1080"/>
          <w:tab w:val="num" w:pos="1440"/>
        </w:tabs>
        <w:spacing w:after="220"/>
        <w:ind w:firstLine="634"/>
        <w:rPr>
          <w:i/>
          <w:szCs w:val="22"/>
        </w:rPr>
      </w:pPr>
      <w:r>
        <w:rPr>
          <w:szCs w:val="22"/>
        </w:rPr>
        <w:t>Smile FM</w:t>
      </w:r>
      <w:r w:rsidR="002A7AC3" w:rsidRPr="00EC5899">
        <w:rPr>
          <w:szCs w:val="22"/>
        </w:rPr>
        <w:t xml:space="preserve"> filed the Application during a filing window opened by the Commission in October 2007.</w:t>
      </w:r>
      <w:r w:rsidR="002A7AC3">
        <w:rPr>
          <w:szCs w:val="22"/>
        </w:rPr>
        <w:t xml:space="preserve">  </w:t>
      </w:r>
      <w:r>
        <w:rPr>
          <w:szCs w:val="22"/>
        </w:rPr>
        <w:t>On May 22, 2008, t</w:t>
      </w:r>
      <w:r w:rsidR="002A7AC3" w:rsidRPr="00EC5899">
        <w:rPr>
          <w:szCs w:val="22"/>
        </w:rPr>
        <w:t>he Media Bureau (“Bureau”) dismissed the Application as unacceptable for filing</w:t>
      </w:r>
      <w:r>
        <w:rPr>
          <w:szCs w:val="22"/>
        </w:rPr>
        <w:t>.</w:t>
      </w:r>
      <w:r w:rsidR="002A7AC3" w:rsidRPr="00EC5899">
        <w:rPr>
          <w:rStyle w:val="FootnoteReference"/>
          <w:szCs w:val="22"/>
        </w:rPr>
        <w:footnoteReference w:id="2"/>
      </w:r>
      <w:r>
        <w:rPr>
          <w:szCs w:val="22"/>
        </w:rPr>
        <w:t xml:space="preserve">  The Bureau explained that its engineering study revealed </w:t>
      </w:r>
      <w:r w:rsidR="002B7245">
        <w:rPr>
          <w:szCs w:val="22"/>
        </w:rPr>
        <w:t>that the directional antenna proposed by Smile FM violated Sections</w:t>
      </w:r>
      <w:r>
        <w:rPr>
          <w:szCs w:val="22"/>
        </w:rPr>
        <w:t xml:space="preserve"> 73.510</w:t>
      </w:r>
      <w:r w:rsidR="002B7245">
        <w:rPr>
          <w:szCs w:val="22"/>
        </w:rPr>
        <w:t>(a) and (b)</w:t>
      </w:r>
      <w:r>
        <w:rPr>
          <w:szCs w:val="22"/>
        </w:rPr>
        <w:t xml:space="preserve"> of the Commission’s Rules (“Rules”)</w:t>
      </w:r>
      <w:r w:rsidR="002B7245">
        <w:rPr>
          <w:rStyle w:val="FootnoteReference"/>
          <w:szCs w:val="22"/>
        </w:rPr>
        <w:footnoteReference w:id="3"/>
      </w:r>
      <w:r w:rsidR="002B7245">
        <w:rPr>
          <w:szCs w:val="22"/>
        </w:rPr>
        <w:t xml:space="preserve"> and that</w:t>
      </w:r>
      <w:r>
        <w:t xml:space="preserve"> the proposed facility violated the</w:t>
      </w:r>
      <w:r w:rsidR="00D4153D">
        <w:t xml:space="preserve"> 1991</w:t>
      </w:r>
      <w:r>
        <w:t xml:space="preserve"> United States-Canada FM Broadcast Agreement </w:t>
      </w:r>
      <w:r w:rsidR="00D4153D">
        <w:t>(“USA-Canada Agreement”)</w:t>
      </w:r>
      <w:r>
        <w:t xml:space="preserve">.  </w:t>
      </w:r>
    </w:p>
    <w:p w:rsidR="002A7AC3" w:rsidRPr="00EC5899" w:rsidRDefault="006A5A79" w:rsidP="00CF4160">
      <w:pPr>
        <w:pStyle w:val="ParaNum"/>
        <w:widowControl/>
        <w:numPr>
          <w:ilvl w:val="0"/>
          <w:numId w:val="7"/>
        </w:numPr>
        <w:tabs>
          <w:tab w:val="clear" w:pos="1080"/>
          <w:tab w:val="num" w:pos="1440"/>
        </w:tabs>
        <w:spacing w:after="220"/>
        <w:ind w:firstLine="634"/>
        <w:rPr>
          <w:i/>
          <w:szCs w:val="22"/>
        </w:rPr>
      </w:pPr>
      <w:r>
        <w:rPr>
          <w:szCs w:val="22"/>
        </w:rPr>
        <w:t>Smile FM</w:t>
      </w:r>
      <w:r w:rsidR="002A7AC3" w:rsidRPr="00EC5899">
        <w:rPr>
          <w:szCs w:val="22"/>
        </w:rPr>
        <w:t xml:space="preserve"> challenged the Bureau’s decision in a </w:t>
      </w:r>
      <w:r w:rsidR="00AF424A">
        <w:rPr>
          <w:szCs w:val="22"/>
        </w:rPr>
        <w:t>Petition for Reconsideration</w:t>
      </w:r>
      <w:r w:rsidR="002A7AC3" w:rsidRPr="00EC5899">
        <w:rPr>
          <w:szCs w:val="22"/>
        </w:rPr>
        <w:t xml:space="preserve"> (“</w:t>
      </w:r>
      <w:r w:rsidR="0025019D">
        <w:rPr>
          <w:szCs w:val="22"/>
        </w:rPr>
        <w:t>June</w:t>
      </w:r>
      <w:r w:rsidR="0025019D" w:rsidRPr="00EC5899">
        <w:rPr>
          <w:szCs w:val="22"/>
        </w:rPr>
        <w:t xml:space="preserve"> </w:t>
      </w:r>
      <w:r w:rsidR="002A7AC3" w:rsidRPr="00EC5899">
        <w:rPr>
          <w:szCs w:val="22"/>
        </w:rPr>
        <w:t>Petition”).</w:t>
      </w:r>
      <w:r w:rsidR="002A7AC3" w:rsidRPr="00EC5899">
        <w:rPr>
          <w:rStyle w:val="FootnoteReference"/>
          <w:szCs w:val="22"/>
        </w:rPr>
        <w:footnoteReference w:id="4"/>
      </w:r>
      <w:r w:rsidR="002A7AC3" w:rsidRPr="00EC5899">
        <w:rPr>
          <w:szCs w:val="22"/>
        </w:rPr>
        <w:t xml:space="preserve">  It </w:t>
      </w:r>
      <w:r w:rsidR="00D4153D">
        <w:rPr>
          <w:szCs w:val="22"/>
        </w:rPr>
        <w:t xml:space="preserve">concurrently </w:t>
      </w:r>
      <w:r w:rsidR="002A7AC3">
        <w:rPr>
          <w:szCs w:val="22"/>
        </w:rPr>
        <w:t xml:space="preserve">sought to </w:t>
      </w:r>
      <w:r w:rsidR="002A7AC3" w:rsidRPr="00EC5899">
        <w:rPr>
          <w:szCs w:val="22"/>
        </w:rPr>
        <w:t xml:space="preserve">amend the Application </w:t>
      </w:r>
      <w:r w:rsidR="00D4153D">
        <w:rPr>
          <w:szCs w:val="22"/>
        </w:rPr>
        <w:t xml:space="preserve">to eliminate the </w:t>
      </w:r>
      <w:r w:rsidR="002B7245">
        <w:rPr>
          <w:szCs w:val="22"/>
        </w:rPr>
        <w:t xml:space="preserve">engineering </w:t>
      </w:r>
      <w:r w:rsidR="00D4153D">
        <w:rPr>
          <w:szCs w:val="22"/>
        </w:rPr>
        <w:t>defects identified by the Bureau</w:t>
      </w:r>
      <w:r w:rsidR="002A7AC3" w:rsidRPr="00EC5899">
        <w:rPr>
          <w:szCs w:val="22"/>
        </w:rPr>
        <w:t xml:space="preserve">.  The Bureau </w:t>
      </w:r>
      <w:r w:rsidR="00D4153D">
        <w:rPr>
          <w:szCs w:val="22"/>
        </w:rPr>
        <w:t>granted</w:t>
      </w:r>
      <w:r w:rsidR="002A7AC3" w:rsidRPr="00EC5899">
        <w:rPr>
          <w:szCs w:val="22"/>
        </w:rPr>
        <w:t xml:space="preserve"> the </w:t>
      </w:r>
      <w:r w:rsidR="003305EE">
        <w:rPr>
          <w:szCs w:val="22"/>
        </w:rPr>
        <w:t>June</w:t>
      </w:r>
      <w:r w:rsidR="003305EE" w:rsidRPr="00EC5899">
        <w:rPr>
          <w:szCs w:val="22"/>
        </w:rPr>
        <w:t xml:space="preserve"> </w:t>
      </w:r>
      <w:r w:rsidR="002A7AC3" w:rsidRPr="00EC5899">
        <w:rPr>
          <w:szCs w:val="22"/>
        </w:rPr>
        <w:t>Petition</w:t>
      </w:r>
      <w:r w:rsidR="00D4153D">
        <w:rPr>
          <w:szCs w:val="22"/>
        </w:rPr>
        <w:t>, finding the amendment modified the proposed facility’s directional antenna pattern to comply with Section 73.510 of the Rules and the USA-Canada Agreement</w:t>
      </w:r>
      <w:r w:rsidR="002A7AC3" w:rsidRPr="00EC5899">
        <w:rPr>
          <w:szCs w:val="22"/>
        </w:rPr>
        <w:t>.</w:t>
      </w:r>
      <w:r w:rsidR="002A7AC3" w:rsidRPr="00EC5899">
        <w:rPr>
          <w:rStyle w:val="FootnoteReference"/>
          <w:szCs w:val="22"/>
        </w:rPr>
        <w:footnoteReference w:id="5"/>
      </w:r>
      <w:r w:rsidR="002A7AC3" w:rsidRPr="00EC5899">
        <w:rPr>
          <w:szCs w:val="22"/>
        </w:rPr>
        <w:t xml:space="preserve">  </w:t>
      </w:r>
      <w:r w:rsidR="00E225D9">
        <w:rPr>
          <w:szCs w:val="22"/>
        </w:rPr>
        <w:t>The Bureau went on to dismiss the application, though, finding that the community Smile FM proposed to serve could not be defined and thus that the Application failed to satisfy the community coverage requirements set forth in Section 73.515 of the Rules.</w:t>
      </w:r>
      <w:r w:rsidR="002B7245">
        <w:rPr>
          <w:rStyle w:val="FootnoteReference"/>
          <w:szCs w:val="22"/>
        </w:rPr>
        <w:footnoteReference w:id="6"/>
      </w:r>
    </w:p>
    <w:p w:rsidR="000F550D" w:rsidRDefault="002A7AC3" w:rsidP="00CF4160">
      <w:pPr>
        <w:pStyle w:val="ParaNum"/>
        <w:widowControl/>
        <w:numPr>
          <w:ilvl w:val="0"/>
          <w:numId w:val="7"/>
        </w:numPr>
        <w:tabs>
          <w:tab w:val="clear" w:pos="1080"/>
          <w:tab w:val="num" w:pos="1440"/>
        </w:tabs>
        <w:spacing w:after="220"/>
        <w:ind w:firstLine="634"/>
        <w:rPr>
          <w:szCs w:val="22"/>
        </w:rPr>
      </w:pPr>
      <w:r w:rsidRPr="00EC5899">
        <w:rPr>
          <w:szCs w:val="22"/>
        </w:rPr>
        <w:t xml:space="preserve"> </w:t>
      </w:r>
      <w:r w:rsidR="00E225D9">
        <w:rPr>
          <w:szCs w:val="22"/>
        </w:rPr>
        <w:t>Smile FM</w:t>
      </w:r>
      <w:r w:rsidRPr="00EC5899">
        <w:rPr>
          <w:szCs w:val="22"/>
        </w:rPr>
        <w:t xml:space="preserve"> challenged this decision in a </w:t>
      </w:r>
      <w:r w:rsidR="00D66CDD">
        <w:rPr>
          <w:szCs w:val="22"/>
        </w:rPr>
        <w:t xml:space="preserve">second </w:t>
      </w:r>
      <w:r w:rsidRPr="00EC5899">
        <w:rPr>
          <w:szCs w:val="22"/>
        </w:rPr>
        <w:t>Petition for Reconsideration (“</w:t>
      </w:r>
      <w:r w:rsidR="00E225D9">
        <w:rPr>
          <w:szCs w:val="22"/>
        </w:rPr>
        <w:t>September</w:t>
      </w:r>
      <w:r w:rsidRPr="00EC5899">
        <w:rPr>
          <w:szCs w:val="22"/>
        </w:rPr>
        <w:t xml:space="preserve"> Petition”).</w:t>
      </w:r>
      <w:r w:rsidR="00D66CDD">
        <w:rPr>
          <w:rStyle w:val="FootnoteReference"/>
          <w:szCs w:val="22"/>
        </w:rPr>
        <w:footnoteReference w:id="7"/>
      </w:r>
      <w:r w:rsidR="00DC0055">
        <w:rPr>
          <w:szCs w:val="22"/>
        </w:rPr>
        <w:t xml:space="preserve">  </w:t>
      </w:r>
      <w:r w:rsidR="00E52976">
        <w:rPr>
          <w:szCs w:val="22"/>
        </w:rPr>
        <w:t>It</w:t>
      </w:r>
      <w:r w:rsidR="00DC0055">
        <w:rPr>
          <w:szCs w:val="22"/>
        </w:rPr>
        <w:t xml:space="preserve"> argued that the Bureau’s determination that Yates was not a licensable community was “arbitrary and capricious” and that the Bureau should have given </w:t>
      </w:r>
      <w:r w:rsidR="000F550D">
        <w:rPr>
          <w:szCs w:val="22"/>
        </w:rPr>
        <w:t xml:space="preserve">it the opportunity to demonstrate that Yates met the Commission’s definition of a licensable community.  </w:t>
      </w:r>
      <w:r w:rsidR="000F550D">
        <w:t xml:space="preserve">Smile FM acknowledged that Yates </w:t>
      </w:r>
      <w:r w:rsidR="000F550D">
        <w:lastRenderedPageBreak/>
        <w:t xml:space="preserve">was an unincorporated community but offered evidence that it </w:t>
      </w:r>
      <w:r w:rsidR="00D66CDD">
        <w:t>claimed</w:t>
      </w:r>
      <w:r w:rsidR="000F550D">
        <w:t xml:space="preserve"> demonstrated that Yates nonetheless was a licensable community.  Smile FM also indicated that </w:t>
      </w:r>
      <w:r w:rsidR="000F550D">
        <w:rPr>
          <w:szCs w:val="22"/>
        </w:rPr>
        <w:t xml:space="preserve">it </w:t>
      </w:r>
      <w:r w:rsidR="000649CB">
        <w:rPr>
          <w:szCs w:val="22"/>
        </w:rPr>
        <w:t>“</w:t>
      </w:r>
      <w:r w:rsidR="007B09B1">
        <w:rPr>
          <w:szCs w:val="22"/>
        </w:rPr>
        <w:t xml:space="preserve">will be amending this reconsideration </w:t>
      </w:r>
      <w:r w:rsidR="000649CB">
        <w:rPr>
          <w:szCs w:val="22"/>
        </w:rPr>
        <w:t xml:space="preserve">shortly” </w:t>
      </w:r>
      <w:r w:rsidR="007B09B1">
        <w:rPr>
          <w:szCs w:val="22"/>
        </w:rPr>
        <w:t xml:space="preserve">with </w:t>
      </w:r>
      <w:r w:rsidR="000F550D">
        <w:rPr>
          <w:szCs w:val="22"/>
        </w:rPr>
        <w:t>additional evidence.</w:t>
      </w:r>
      <w:r w:rsidR="000649CB">
        <w:rPr>
          <w:rStyle w:val="FootnoteReference"/>
          <w:szCs w:val="22"/>
        </w:rPr>
        <w:footnoteReference w:id="8"/>
      </w:r>
      <w:r w:rsidR="000F550D">
        <w:rPr>
          <w:szCs w:val="22"/>
        </w:rPr>
        <w:t xml:space="preserve">  </w:t>
      </w:r>
      <w:r w:rsidR="007964CE">
        <w:rPr>
          <w:szCs w:val="22"/>
        </w:rPr>
        <w:t>In a Supplement filed a</w:t>
      </w:r>
      <w:r w:rsidR="000F550D">
        <w:rPr>
          <w:szCs w:val="22"/>
        </w:rPr>
        <w:t xml:space="preserve"> little over two years later, Smile FM submitted this evidence.</w:t>
      </w:r>
      <w:r w:rsidR="00C06478">
        <w:rPr>
          <w:rStyle w:val="FootnoteReference"/>
          <w:szCs w:val="22"/>
        </w:rPr>
        <w:footnoteReference w:id="9"/>
      </w:r>
    </w:p>
    <w:p w:rsidR="00A3149C" w:rsidRPr="00B24983" w:rsidRDefault="007964CE" w:rsidP="00CF4160">
      <w:pPr>
        <w:pStyle w:val="ParaNum"/>
        <w:widowControl/>
        <w:numPr>
          <w:ilvl w:val="0"/>
          <w:numId w:val="7"/>
        </w:numPr>
        <w:tabs>
          <w:tab w:val="clear" w:pos="1080"/>
          <w:tab w:val="num" w:pos="1440"/>
        </w:tabs>
        <w:spacing w:after="220"/>
        <w:ind w:firstLine="634"/>
      </w:pPr>
      <w:r>
        <w:rPr>
          <w:szCs w:val="22"/>
        </w:rPr>
        <w:t xml:space="preserve">On May 11, 2011, the Bureau dismissed the Supplement without consideration, finding it was filed more than two years after the filing deadline for petitions for reconsideration and any supplements thereto and noting that Smile FM did not </w:t>
      </w:r>
      <w:r w:rsidR="000649CB">
        <w:rPr>
          <w:szCs w:val="22"/>
        </w:rPr>
        <w:t xml:space="preserve">file a motion </w:t>
      </w:r>
      <w:r>
        <w:rPr>
          <w:szCs w:val="22"/>
        </w:rPr>
        <w:t>seek</w:t>
      </w:r>
      <w:r w:rsidR="000649CB">
        <w:rPr>
          <w:szCs w:val="22"/>
        </w:rPr>
        <w:t>ing</w:t>
      </w:r>
      <w:r>
        <w:rPr>
          <w:szCs w:val="22"/>
        </w:rPr>
        <w:t xml:space="preserve"> leave to file </w:t>
      </w:r>
      <w:r w:rsidR="000649CB">
        <w:rPr>
          <w:szCs w:val="22"/>
        </w:rPr>
        <w:t>its Supplement</w:t>
      </w:r>
      <w:r>
        <w:rPr>
          <w:szCs w:val="22"/>
        </w:rPr>
        <w:t xml:space="preserve"> after this deadline.</w:t>
      </w:r>
      <w:r w:rsidR="00A83836">
        <w:rPr>
          <w:rStyle w:val="FootnoteReference"/>
          <w:szCs w:val="22"/>
        </w:rPr>
        <w:footnoteReference w:id="10"/>
      </w:r>
      <w:r>
        <w:rPr>
          <w:szCs w:val="22"/>
        </w:rPr>
        <w:t xml:space="preserve">  The Bureau considered the evidence submitted and arguments made in the September Petition and concluded Smile FM had not demonstrated that Yates was a licensable community.</w:t>
      </w:r>
      <w:r w:rsidR="00A3149C">
        <w:rPr>
          <w:szCs w:val="22"/>
        </w:rPr>
        <w:t xml:space="preserve">  </w:t>
      </w:r>
      <w:r w:rsidR="00CD5D9E">
        <w:t>Accordingly</w:t>
      </w:r>
      <w:r w:rsidR="00A3149C">
        <w:t xml:space="preserve">, the Bureau denied </w:t>
      </w:r>
      <w:r w:rsidR="00CD5D9E">
        <w:t>the September Petition</w:t>
      </w:r>
      <w:r w:rsidR="00A3149C">
        <w:t>.</w:t>
      </w:r>
    </w:p>
    <w:p w:rsidR="002A7AC3" w:rsidRPr="006A238B" w:rsidRDefault="00A3149C" w:rsidP="00CF4160">
      <w:pPr>
        <w:pStyle w:val="ParaNum"/>
        <w:widowControl/>
        <w:numPr>
          <w:ilvl w:val="0"/>
          <w:numId w:val="7"/>
        </w:numPr>
        <w:tabs>
          <w:tab w:val="clear" w:pos="1080"/>
          <w:tab w:val="num" w:pos="1440"/>
        </w:tabs>
        <w:spacing w:after="220"/>
        <w:ind w:firstLine="634"/>
        <w:rPr>
          <w:i/>
          <w:szCs w:val="22"/>
        </w:rPr>
      </w:pPr>
      <w:r w:rsidRPr="006A238B">
        <w:rPr>
          <w:szCs w:val="22"/>
        </w:rPr>
        <w:t xml:space="preserve">Smile FM </w:t>
      </w:r>
      <w:r w:rsidR="006A238B" w:rsidRPr="006A238B">
        <w:rPr>
          <w:szCs w:val="22"/>
        </w:rPr>
        <w:t xml:space="preserve">now </w:t>
      </w:r>
      <w:r w:rsidRPr="006A238B">
        <w:rPr>
          <w:szCs w:val="22"/>
        </w:rPr>
        <w:t xml:space="preserve">seeks Commission review of the Bureau’s decisions.  </w:t>
      </w:r>
      <w:r w:rsidR="006A238B" w:rsidRPr="006A238B">
        <w:rPr>
          <w:szCs w:val="22"/>
        </w:rPr>
        <w:t>I</w:t>
      </w:r>
      <w:r w:rsidRPr="006A238B">
        <w:rPr>
          <w:szCs w:val="22"/>
        </w:rPr>
        <w:t xml:space="preserve">t argues </w:t>
      </w:r>
      <w:r w:rsidR="001F6C99" w:rsidRPr="006A238B">
        <w:rPr>
          <w:szCs w:val="22"/>
        </w:rPr>
        <w:t xml:space="preserve">for the first time </w:t>
      </w:r>
      <w:r w:rsidRPr="006A238B">
        <w:rPr>
          <w:szCs w:val="22"/>
        </w:rPr>
        <w:t>that the Bureau improperly dismissed the Application as originally filed</w:t>
      </w:r>
      <w:r w:rsidR="006A238B" w:rsidRPr="006A238B">
        <w:rPr>
          <w:szCs w:val="22"/>
        </w:rPr>
        <w:t>.</w:t>
      </w:r>
      <w:r w:rsidR="006A238B" w:rsidRPr="00550666">
        <w:rPr>
          <w:rStyle w:val="FootnoteReference"/>
          <w:sz w:val="22"/>
          <w:szCs w:val="22"/>
        </w:rPr>
        <w:footnoteReference w:id="11"/>
      </w:r>
      <w:r w:rsidR="006A238B" w:rsidRPr="006A238B">
        <w:rPr>
          <w:szCs w:val="22"/>
        </w:rPr>
        <w:t xml:space="preserve">  </w:t>
      </w:r>
      <w:r w:rsidR="001F6C99" w:rsidRPr="006A238B">
        <w:rPr>
          <w:szCs w:val="22"/>
        </w:rPr>
        <w:t xml:space="preserve">We dismiss </w:t>
      </w:r>
      <w:r w:rsidR="008216E7">
        <w:rPr>
          <w:szCs w:val="22"/>
        </w:rPr>
        <w:t>this</w:t>
      </w:r>
      <w:r w:rsidR="001F6C99" w:rsidRPr="006A238B">
        <w:rPr>
          <w:szCs w:val="22"/>
        </w:rPr>
        <w:t xml:space="preserve"> portion of the AFR as procedurally defective.  </w:t>
      </w:r>
      <w:r w:rsidRPr="00B3605A">
        <w:t>Section 5(c)(5) of the Communications Act of 1934, as amended, and Section 1.115(c) of</w:t>
      </w:r>
      <w:r w:rsidR="001F6C99">
        <w:t xml:space="preserve"> the Rules</w:t>
      </w:r>
      <w:r w:rsidRPr="00B3605A">
        <w:t xml:space="preserve"> bar applications for review that rely “on questions of fact or law upon which the [designated authority issuing the decision] has been afforded no opportunity to pass.”</w:t>
      </w:r>
      <w:r w:rsidRPr="00B3605A">
        <w:rPr>
          <w:rStyle w:val="FootnoteReference"/>
        </w:rPr>
        <w:footnoteReference w:id="12"/>
      </w:r>
      <w:r w:rsidRPr="00B3605A">
        <w:t xml:space="preserve">  </w:t>
      </w:r>
    </w:p>
    <w:p w:rsidR="00A3149C" w:rsidRDefault="00A3149C" w:rsidP="00CF4160">
      <w:pPr>
        <w:pStyle w:val="ParaNum"/>
        <w:widowControl/>
        <w:numPr>
          <w:ilvl w:val="0"/>
          <w:numId w:val="7"/>
        </w:numPr>
        <w:tabs>
          <w:tab w:val="clear" w:pos="1080"/>
          <w:tab w:val="num" w:pos="1440"/>
        </w:tabs>
        <w:spacing w:after="220"/>
        <w:ind w:firstLine="634"/>
        <w:rPr>
          <w:szCs w:val="22"/>
        </w:rPr>
      </w:pPr>
      <w:r w:rsidRPr="00F23A24">
        <w:rPr>
          <w:szCs w:val="22"/>
        </w:rPr>
        <w:t xml:space="preserve">Smile FM </w:t>
      </w:r>
      <w:r w:rsidR="00CD5D9E">
        <w:rPr>
          <w:szCs w:val="22"/>
        </w:rPr>
        <w:t xml:space="preserve">also </w:t>
      </w:r>
      <w:r w:rsidR="001F6C99">
        <w:rPr>
          <w:szCs w:val="22"/>
        </w:rPr>
        <w:t>asserts</w:t>
      </w:r>
      <w:r w:rsidRPr="00F23A24">
        <w:rPr>
          <w:szCs w:val="22"/>
        </w:rPr>
        <w:t xml:space="preserve"> that the Bureau should have considered the evidence and arguments contained in the Supplement.  </w:t>
      </w:r>
      <w:r w:rsidR="001F6C99">
        <w:rPr>
          <w:szCs w:val="22"/>
        </w:rPr>
        <w:t>It specifically</w:t>
      </w:r>
      <w:r w:rsidRPr="00F23A24">
        <w:rPr>
          <w:szCs w:val="22"/>
        </w:rPr>
        <w:t xml:space="preserve"> focuses on the fact that the Bureau found it did not </w:t>
      </w:r>
      <w:r w:rsidR="0013424F" w:rsidRPr="00F23A24">
        <w:rPr>
          <w:szCs w:val="22"/>
        </w:rPr>
        <w:t>request</w:t>
      </w:r>
      <w:r w:rsidR="006662AC" w:rsidRPr="00F23A24">
        <w:rPr>
          <w:szCs w:val="22"/>
        </w:rPr>
        <w:t xml:space="preserve"> leave to file the Supplement and argues that it actually did</w:t>
      </w:r>
      <w:r w:rsidR="00A31FAD" w:rsidRPr="00F23A24">
        <w:rPr>
          <w:szCs w:val="22"/>
        </w:rPr>
        <w:t xml:space="preserve"> </w:t>
      </w:r>
      <w:r w:rsidR="00CD5D9E">
        <w:rPr>
          <w:szCs w:val="22"/>
        </w:rPr>
        <w:t xml:space="preserve">so </w:t>
      </w:r>
      <w:r w:rsidR="00A31FAD" w:rsidRPr="00F23A24">
        <w:rPr>
          <w:szCs w:val="22"/>
        </w:rPr>
        <w:t>in a footnote to the Supplement itself</w:t>
      </w:r>
      <w:r w:rsidR="006662AC" w:rsidRPr="00F23A24">
        <w:rPr>
          <w:szCs w:val="22"/>
        </w:rPr>
        <w:t>.</w:t>
      </w:r>
      <w:r w:rsidR="0013424F">
        <w:rPr>
          <w:rStyle w:val="FootnoteReference"/>
          <w:szCs w:val="22"/>
        </w:rPr>
        <w:footnoteReference w:id="13"/>
      </w:r>
      <w:r w:rsidR="006662AC" w:rsidRPr="00F23A24">
        <w:rPr>
          <w:szCs w:val="22"/>
        </w:rPr>
        <w:t xml:space="preserve">  </w:t>
      </w:r>
      <w:r w:rsidR="00FB567F" w:rsidRPr="00F23A24">
        <w:rPr>
          <w:szCs w:val="22"/>
        </w:rPr>
        <w:t>Section 1.106(f)</w:t>
      </w:r>
      <w:r w:rsidR="00FB1279">
        <w:rPr>
          <w:szCs w:val="22"/>
        </w:rPr>
        <w:t>, however,</w:t>
      </w:r>
      <w:r w:rsidR="00FB567F" w:rsidRPr="00F23A24">
        <w:rPr>
          <w:szCs w:val="22"/>
        </w:rPr>
        <w:t xml:space="preserve"> specifically states:  “No supplement or addition to a petition for reconsideration … filed after expiration of the 30 day period [for filing such </w:t>
      </w:r>
      <w:r w:rsidR="001F6C99">
        <w:rPr>
          <w:szCs w:val="22"/>
        </w:rPr>
        <w:t xml:space="preserve">a </w:t>
      </w:r>
      <w:r w:rsidR="00FB567F" w:rsidRPr="00F23A24">
        <w:rPr>
          <w:szCs w:val="22"/>
        </w:rPr>
        <w:t xml:space="preserve">petition], will be considered except upon leave granted upon a </w:t>
      </w:r>
      <w:r w:rsidR="00FB567F" w:rsidRPr="00F23A24">
        <w:rPr>
          <w:i/>
          <w:szCs w:val="22"/>
        </w:rPr>
        <w:t>separate</w:t>
      </w:r>
      <w:r w:rsidR="00FB567F" w:rsidRPr="00F23A24">
        <w:rPr>
          <w:szCs w:val="22"/>
        </w:rPr>
        <w:t xml:space="preserve"> </w:t>
      </w:r>
      <w:r w:rsidR="00FB567F" w:rsidRPr="00F23A24">
        <w:rPr>
          <w:i/>
          <w:szCs w:val="22"/>
        </w:rPr>
        <w:t>pleading</w:t>
      </w:r>
      <w:r w:rsidR="00FB567F" w:rsidRPr="00F23A24">
        <w:rPr>
          <w:szCs w:val="22"/>
        </w:rPr>
        <w:t xml:space="preserve"> for leave to file, which shall state the grounds therefor.”</w:t>
      </w:r>
      <w:r w:rsidR="00FB567F" w:rsidRPr="00FB567F">
        <w:rPr>
          <w:rStyle w:val="FootnoteReference"/>
          <w:sz w:val="22"/>
          <w:szCs w:val="22"/>
        </w:rPr>
        <w:footnoteReference w:id="14"/>
      </w:r>
      <w:r w:rsidR="00FB567F" w:rsidRPr="00F23A24">
        <w:rPr>
          <w:szCs w:val="22"/>
        </w:rPr>
        <w:t xml:space="preserve">  </w:t>
      </w:r>
      <w:r w:rsidR="001F6C99">
        <w:rPr>
          <w:szCs w:val="22"/>
        </w:rPr>
        <w:t>The</w:t>
      </w:r>
      <w:r w:rsidR="006662AC" w:rsidRPr="00F23A24">
        <w:rPr>
          <w:szCs w:val="22"/>
        </w:rPr>
        <w:t xml:space="preserve"> Supplement </w:t>
      </w:r>
      <w:r w:rsidR="001F6C99">
        <w:rPr>
          <w:szCs w:val="22"/>
        </w:rPr>
        <w:t>was un</w:t>
      </w:r>
      <w:r w:rsidR="00FB567F" w:rsidRPr="00F23A24">
        <w:rPr>
          <w:szCs w:val="22"/>
        </w:rPr>
        <w:t>accompanied by a separate pleading seeking leave to file</w:t>
      </w:r>
      <w:r w:rsidR="001B2AA8">
        <w:rPr>
          <w:szCs w:val="22"/>
        </w:rPr>
        <w:t xml:space="preserve"> or making such a showing</w:t>
      </w:r>
      <w:r w:rsidR="00F82FFB">
        <w:rPr>
          <w:szCs w:val="22"/>
        </w:rPr>
        <w:t>.</w:t>
      </w:r>
      <w:r w:rsidR="00FB1279" w:rsidRPr="00FB1279">
        <w:t xml:space="preserve"> </w:t>
      </w:r>
      <w:r w:rsidR="001B2AA8">
        <w:t xml:space="preserve"> </w:t>
      </w:r>
      <w:r w:rsidR="00A71791">
        <w:t>Moreover</w:t>
      </w:r>
      <w:r w:rsidR="004D56E7">
        <w:t xml:space="preserve">, Smile FM made no attempt to show that it could not have timely filed </w:t>
      </w:r>
      <w:r w:rsidR="004D56E7">
        <w:lastRenderedPageBreak/>
        <w:t>the material that it submitted with its Supplement.</w:t>
      </w:r>
      <w:r w:rsidR="004D56E7">
        <w:rPr>
          <w:rStyle w:val="FootnoteReference"/>
        </w:rPr>
        <w:footnoteReference w:id="15"/>
      </w:r>
      <w:r w:rsidR="004D56E7">
        <w:t xml:space="preserve">  </w:t>
      </w:r>
      <w:r w:rsidR="00FB1279">
        <w:t xml:space="preserve">Accordingly, we </w:t>
      </w:r>
      <w:r w:rsidR="00FB1279" w:rsidRPr="000728C9">
        <w:rPr>
          <w:szCs w:val="22"/>
        </w:rPr>
        <w:t>affirm</w:t>
      </w:r>
      <w:r w:rsidR="00FB1279">
        <w:t xml:space="preserve"> the Bureau’s dismissal of the Supplement without consideration.  </w:t>
      </w:r>
      <w:r w:rsidR="00F82FFB">
        <w:rPr>
          <w:szCs w:val="22"/>
        </w:rPr>
        <w:t xml:space="preserve">  </w:t>
      </w:r>
    </w:p>
    <w:p w:rsidR="00BC30DD" w:rsidRDefault="008216E7" w:rsidP="00CF4160">
      <w:pPr>
        <w:pStyle w:val="ParaNum"/>
        <w:widowControl/>
        <w:numPr>
          <w:ilvl w:val="0"/>
          <w:numId w:val="7"/>
        </w:numPr>
        <w:tabs>
          <w:tab w:val="clear" w:pos="1080"/>
          <w:tab w:val="num" w:pos="1440"/>
        </w:tabs>
        <w:spacing w:after="220"/>
        <w:ind w:firstLine="634"/>
        <w:rPr>
          <w:szCs w:val="22"/>
        </w:rPr>
      </w:pPr>
      <w:r>
        <w:t xml:space="preserve">Finally, </w:t>
      </w:r>
      <w:r w:rsidRPr="00C31D9C">
        <w:t xml:space="preserve">Smile FM claims that the Bureau </w:t>
      </w:r>
      <w:r>
        <w:t xml:space="preserve">erred in dismissing </w:t>
      </w:r>
      <w:r w:rsidRPr="00C31D9C">
        <w:t>the Application as amended.  Smile claims that</w:t>
      </w:r>
      <w:r>
        <w:t xml:space="preserve"> failure to specify a licensable community constitutes a “grantability defect” not an “</w:t>
      </w:r>
      <w:r w:rsidRPr="000728C9">
        <w:rPr>
          <w:szCs w:val="22"/>
        </w:rPr>
        <w:t>acceptance</w:t>
      </w:r>
      <w:r>
        <w:t xml:space="preserve"> defect” and thus that</w:t>
      </w:r>
      <w:r w:rsidRPr="00C31D9C">
        <w:t xml:space="preserve"> the Bureau should have sent a deficiency letter to it and allowed it time to submit information demonstrating Yates was a licensable community</w:t>
      </w:r>
      <w:r>
        <w:t>.</w:t>
      </w:r>
      <w:r>
        <w:rPr>
          <w:rStyle w:val="FootnoteReference"/>
        </w:rPr>
        <w:footnoteReference w:id="16"/>
      </w:r>
      <w:r w:rsidR="000728C9">
        <w:t xml:space="preserve">  Assuming for </w:t>
      </w:r>
      <w:r w:rsidR="00BC30DD">
        <w:t>sake of argument</w:t>
      </w:r>
      <w:r w:rsidR="000728C9">
        <w:t xml:space="preserve"> that the Bureau erred, we find such error to have been harmless.</w:t>
      </w:r>
      <w:r w:rsidR="00BC30DD">
        <w:rPr>
          <w:rStyle w:val="FootnoteReference"/>
        </w:rPr>
        <w:footnoteReference w:id="17"/>
      </w:r>
      <w:r w:rsidR="000728C9">
        <w:t xml:space="preserve">  The Bureau ultimately did consider all of the evidence that Smile FM timely </w:t>
      </w:r>
      <w:r w:rsidR="000728C9" w:rsidRPr="00BC30DD">
        <w:rPr>
          <w:szCs w:val="22"/>
        </w:rPr>
        <w:t>submitted</w:t>
      </w:r>
      <w:r w:rsidR="000728C9">
        <w:t xml:space="preserve"> on this issue</w:t>
      </w:r>
      <w:r w:rsidR="00037989">
        <w:t xml:space="preserve"> and concluded that Smile FM had not demonstrated that Yates was a licensable community.</w:t>
      </w:r>
      <w:r w:rsidR="00BC30DD">
        <w:t xml:space="preserve">  Upon review of the evidence submitted with the September Petition, we conclude that Smile FM has failed to demonstrate that the Bureau erred in concluding that Yates is not a licensable community.  The Bureau properly decided this issue, and we uphold its finding for the reasons stated in its decision.</w:t>
      </w:r>
    </w:p>
    <w:p w:rsidR="00783910" w:rsidRPr="00FB0C55" w:rsidRDefault="00783910" w:rsidP="00CF4160">
      <w:pPr>
        <w:pStyle w:val="ParaNum"/>
        <w:widowControl/>
        <w:numPr>
          <w:ilvl w:val="0"/>
          <w:numId w:val="7"/>
        </w:numPr>
        <w:tabs>
          <w:tab w:val="clear" w:pos="1080"/>
          <w:tab w:val="num" w:pos="1440"/>
        </w:tabs>
        <w:spacing w:after="220"/>
        <w:ind w:firstLine="634"/>
        <w:rPr>
          <w:szCs w:val="22"/>
        </w:rPr>
      </w:pPr>
      <w:r w:rsidRPr="00BD179C">
        <w:rPr>
          <w:szCs w:val="22"/>
        </w:rPr>
        <w:t>ACCORDINGLY, IT IS ORDERED that, pursuant to Section 5(c)(5) of the Communications Act of 1934, as amended,</w:t>
      </w:r>
      <w:r w:rsidRPr="00BD179C">
        <w:rPr>
          <w:rStyle w:val="FootnoteReference"/>
          <w:szCs w:val="22"/>
        </w:rPr>
        <w:footnoteReference w:id="18"/>
      </w:r>
      <w:r w:rsidRPr="00BD179C">
        <w:rPr>
          <w:szCs w:val="22"/>
        </w:rPr>
        <w:t xml:space="preserve"> and Section</w:t>
      </w:r>
      <w:r>
        <w:rPr>
          <w:szCs w:val="22"/>
        </w:rPr>
        <w:t>s</w:t>
      </w:r>
      <w:r w:rsidRPr="00BD179C">
        <w:rPr>
          <w:szCs w:val="22"/>
        </w:rPr>
        <w:t xml:space="preserve"> 1.115</w:t>
      </w:r>
      <w:r>
        <w:rPr>
          <w:szCs w:val="22"/>
        </w:rPr>
        <w:t xml:space="preserve"> (c) and </w:t>
      </w:r>
      <w:r w:rsidRPr="00BD179C">
        <w:rPr>
          <w:szCs w:val="22"/>
        </w:rPr>
        <w:t>(g) of the Commission’s rules,</w:t>
      </w:r>
      <w:r w:rsidRPr="00BD179C">
        <w:rPr>
          <w:rStyle w:val="FootnoteReference"/>
          <w:szCs w:val="22"/>
        </w:rPr>
        <w:footnoteReference w:id="19"/>
      </w:r>
      <w:r w:rsidRPr="00BD179C">
        <w:rPr>
          <w:szCs w:val="22"/>
        </w:rPr>
        <w:t xml:space="preserve"> the Application for Review IS </w:t>
      </w:r>
      <w:r>
        <w:rPr>
          <w:szCs w:val="22"/>
        </w:rPr>
        <w:t xml:space="preserve">DISMISSED for the reasons stated above and IS otherwise </w:t>
      </w:r>
      <w:r w:rsidRPr="00BD179C">
        <w:rPr>
          <w:szCs w:val="22"/>
        </w:rPr>
        <w:t xml:space="preserve">DENIED.  </w:t>
      </w:r>
    </w:p>
    <w:p w:rsidR="00BC5DC0" w:rsidRDefault="00BC5DC0" w:rsidP="0017296B">
      <w:r>
        <w:tab/>
      </w:r>
      <w:r>
        <w:tab/>
      </w:r>
      <w:r>
        <w:tab/>
      </w:r>
      <w:r>
        <w:tab/>
      </w:r>
      <w:r>
        <w:tab/>
      </w:r>
      <w:r>
        <w:tab/>
        <w:t>FEDERAL COMMUNICATIONS COMMISSION</w:t>
      </w:r>
    </w:p>
    <w:p w:rsidR="00BC5DC0" w:rsidRDefault="00BC5DC0" w:rsidP="0017296B"/>
    <w:p w:rsidR="00BC5DC0" w:rsidRDefault="00BC5DC0" w:rsidP="0017296B"/>
    <w:p w:rsidR="00BC5DC0" w:rsidRDefault="00BC5DC0" w:rsidP="0017296B"/>
    <w:p w:rsidR="00BC5DC0" w:rsidRDefault="00BC5DC0" w:rsidP="0017296B"/>
    <w:p w:rsidR="00BC5DC0" w:rsidRDefault="00BC5DC0" w:rsidP="0017296B">
      <w:r>
        <w:tab/>
      </w:r>
      <w:r>
        <w:tab/>
      </w:r>
      <w:r>
        <w:tab/>
      </w:r>
      <w:r>
        <w:tab/>
      </w:r>
      <w:r>
        <w:tab/>
      </w:r>
      <w:r>
        <w:tab/>
        <w:t>Marlene H. Dortch</w:t>
      </w:r>
    </w:p>
    <w:p w:rsidR="00BC5DC0" w:rsidRPr="002C00E8" w:rsidRDefault="00BC5DC0" w:rsidP="002A7AC3">
      <w:r>
        <w:tab/>
      </w:r>
      <w:r>
        <w:tab/>
      </w:r>
      <w:r>
        <w:tab/>
      </w:r>
      <w:r>
        <w:tab/>
      </w:r>
      <w:r>
        <w:tab/>
      </w:r>
      <w:r>
        <w:tab/>
        <w:t>Secretary</w:t>
      </w:r>
    </w:p>
    <w:sectPr w:rsidR="00BC5DC0"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A30" w:rsidRDefault="00685A30">
      <w:pPr>
        <w:spacing w:line="20" w:lineRule="exact"/>
      </w:pPr>
    </w:p>
  </w:endnote>
  <w:endnote w:type="continuationSeparator" w:id="0">
    <w:p w:rsidR="00685A30" w:rsidRDefault="00685A30">
      <w:r>
        <w:t xml:space="preserve"> </w:t>
      </w:r>
    </w:p>
  </w:endnote>
  <w:endnote w:type="continuationNotice" w:id="1">
    <w:p w:rsidR="00685A30" w:rsidRDefault="00685A3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3744">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A30" w:rsidRDefault="00685A30">
      <w:r>
        <w:separator/>
      </w:r>
    </w:p>
  </w:footnote>
  <w:footnote w:type="continuationSeparator" w:id="0">
    <w:p w:rsidR="00685A30" w:rsidRDefault="00685A30" w:rsidP="00C721AC">
      <w:pPr>
        <w:spacing w:before="120"/>
        <w:rPr>
          <w:sz w:val="20"/>
        </w:rPr>
      </w:pPr>
      <w:r>
        <w:rPr>
          <w:sz w:val="20"/>
        </w:rPr>
        <w:t xml:space="preserve">(Continued from previous page)  </w:t>
      </w:r>
      <w:r>
        <w:rPr>
          <w:sz w:val="20"/>
        </w:rPr>
        <w:separator/>
      </w:r>
    </w:p>
  </w:footnote>
  <w:footnote w:type="continuationNotice" w:id="1">
    <w:p w:rsidR="00685A30" w:rsidRDefault="00685A30" w:rsidP="00C721AC">
      <w:pPr>
        <w:jc w:val="right"/>
        <w:rPr>
          <w:sz w:val="20"/>
        </w:rPr>
      </w:pPr>
      <w:r>
        <w:rPr>
          <w:sz w:val="20"/>
        </w:rPr>
        <w:t>(continued….)</w:t>
      </w:r>
    </w:p>
  </w:footnote>
  <w:footnote w:id="2">
    <w:p w:rsidR="002A7AC3" w:rsidRPr="00EC5899" w:rsidRDefault="002A7AC3" w:rsidP="002A7AC3">
      <w:pPr>
        <w:pStyle w:val="FootnoteText"/>
        <w:spacing w:after="200"/>
      </w:pPr>
      <w:r w:rsidRPr="00EC5899">
        <w:rPr>
          <w:rStyle w:val="FootnoteReference"/>
        </w:rPr>
        <w:footnoteRef/>
      </w:r>
      <w:r w:rsidRPr="00EC5899">
        <w:t xml:space="preserve"> </w:t>
      </w:r>
      <w:r w:rsidRPr="00EC5899">
        <w:rPr>
          <w:i/>
        </w:rPr>
        <w:t xml:space="preserve">Letter from </w:t>
      </w:r>
      <w:r w:rsidR="00AF424A">
        <w:rPr>
          <w:i/>
        </w:rPr>
        <w:t>James D. Bradshaw</w:t>
      </w:r>
      <w:r w:rsidRPr="00EC5899">
        <w:rPr>
          <w:i/>
        </w:rPr>
        <w:t xml:space="preserve">, </w:t>
      </w:r>
      <w:r w:rsidR="00AF424A">
        <w:rPr>
          <w:i/>
        </w:rPr>
        <w:t>Deputy Chief</w:t>
      </w:r>
      <w:r w:rsidRPr="00EC5899">
        <w:rPr>
          <w:i/>
        </w:rPr>
        <w:t xml:space="preserve">, Audio Division, Media Bureau, to </w:t>
      </w:r>
      <w:r w:rsidR="00AF424A">
        <w:rPr>
          <w:i/>
        </w:rPr>
        <w:t xml:space="preserve">Smile FM </w:t>
      </w:r>
      <w:r w:rsidR="00AF424A">
        <w:t>(</w:t>
      </w:r>
      <w:r w:rsidRPr="00EC5899">
        <w:t xml:space="preserve">dated </w:t>
      </w:r>
      <w:r w:rsidR="00AF424A">
        <w:t>May 22</w:t>
      </w:r>
      <w:r w:rsidRPr="00EC5899">
        <w:t>, 2008).</w:t>
      </w:r>
    </w:p>
  </w:footnote>
  <w:footnote w:id="3">
    <w:p w:rsidR="002B7245" w:rsidRDefault="002B7245">
      <w:pPr>
        <w:pStyle w:val="FootnoteText"/>
      </w:pPr>
      <w:r>
        <w:rPr>
          <w:rStyle w:val="FootnoteReference"/>
        </w:rPr>
        <w:footnoteRef/>
      </w:r>
      <w:r w:rsidR="005F2F0F">
        <w:t xml:space="preserve"> 47 C.F.R. §§ 73.510(a),</w:t>
      </w:r>
      <w:r>
        <w:t xml:space="preserve"> (b).</w:t>
      </w:r>
    </w:p>
  </w:footnote>
  <w:footnote w:id="4">
    <w:p w:rsidR="002A7AC3" w:rsidRPr="00EC5899" w:rsidRDefault="002A7AC3" w:rsidP="002A7AC3">
      <w:pPr>
        <w:pStyle w:val="FootnoteText"/>
        <w:spacing w:after="200"/>
      </w:pPr>
      <w:r w:rsidRPr="00EC5899">
        <w:rPr>
          <w:rStyle w:val="FootnoteReference"/>
        </w:rPr>
        <w:footnoteRef/>
      </w:r>
      <w:r w:rsidRPr="00EC5899">
        <w:t xml:space="preserve"> </w:t>
      </w:r>
      <w:r w:rsidR="00AF424A">
        <w:t>Smile FM</w:t>
      </w:r>
      <w:r w:rsidRPr="00EC5899">
        <w:t xml:space="preserve">, Petition for Reconsideration (rec’d </w:t>
      </w:r>
      <w:r w:rsidR="0025019D">
        <w:t>June 30</w:t>
      </w:r>
      <w:r w:rsidRPr="00EC5899">
        <w:t xml:space="preserve">, 2008).  </w:t>
      </w:r>
    </w:p>
  </w:footnote>
  <w:footnote w:id="5">
    <w:p w:rsidR="002A7AC3" w:rsidRPr="00EC5899" w:rsidRDefault="002A7AC3" w:rsidP="002A7AC3">
      <w:pPr>
        <w:pStyle w:val="FootnoteText"/>
        <w:spacing w:after="200"/>
        <w:rPr>
          <w:i/>
        </w:rPr>
      </w:pPr>
      <w:r w:rsidRPr="00EC5899">
        <w:rPr>
          <w:rStyle w:val="FootnoteReference"/>
        </w:rPr>
        <w:footnoteRef/>
      </w:r>
      <w:r w:rsidRPr="00EC5899">
        <w:t xml:space="preserve"> </w:t>
      </w:r>
      <w:r w:rsidRPr="00EC5899">
        <w:rPr>
          <w:i/>
        </w:rPr>
        <w:t xml:space="preserve">Letter from Rodolfo F. Bonacci, Assistant Chief, Audio Division, Media Bureau, to </w:t>
      </w:r>
      <w:r w:rsidR="002B7245">
        <w:rPr>
          <w:i/>
        </w:rPr>
        <w:t>Smile FM</w:t>
      </w:r>
      <w:r w:rsidRPr="00EC5899">
        <w:rPr>
          <w:i/>
        </w:rPr>
        <w:t xml:space="preserve"> </w:t>
      </w:r>
      <w:r w:rsidRPr="00EC5899">
        <w:t xml:space="preserve">(dated </w:t>
      </w:r>
      <w:r w:rsidR="002B7245">
        <w:t>Aug. 7</w:t>
      </w:r>
      <w:r w:rsidRPr="00EC5899">
        <w:t>, 2008).</w:t>
      </w:r>
    </w:p>
  </w:footnote>
  <w:footnote w:id="6">
    <w:p w:rsidR="002B7245" w:rsidRDefault="002B7245">
      <w:pPr>
        <w:pStyle w:val="FootnoteText"/>
      </w:pPr>
      <w:r>
        <w:rPr>
          <w:rStyle w:val="FootnoteReference"/>
        </w:rPr>
        <w:footnoteRef/>
      </w:r>
      <w:r>
        <w:t xml:space="preserve"> 47 C.F.R. § 73.515.</w:t>
      </w:r>
    </w:p>
  </w:footnote>
  <w:footnote w:id="7">
    <w:p w:rsidR="00D66CDD" w:rsidRDefault="00D66CDD">
      <w:pPr>
        <w:pStyle w:val="FootnoteText"/>
      </w:pPr>
      <w:r>
        <w:rPr>
          <w:rStyle w:val="FootnoteReference"/>
        </w:rPr>
        <w:footnoteRef/>
      </w:r>
      <w:r>
        <w:t xml:space="preserve"> Smile FM</w:t>
      </w:r>
      <w:r w:rsidRPr="00EC5899">
        <w:t xml:space="preserve">, Petition for Reconsideration (rec’d </w:t>
      </w:r>
      <w:r>
        <w:t>Sept. 11</w:t>
      </w:r>
      <w:r w:rsidRPr="00EC5899">
        <w:t xml:space="preserve">, 2008).  </w:t>
      </w:r>
    </w:p>
  </w:footnote>
  <w:footnote w:id="8">
    <w:p w:rsidR="000649CB" w:rsidRDefault="000649CB">
      <w:pPr>
        <w:pStyle w:val="FootnoteText"/>
      </w:pPr>
      <w:r>
        <w:rPr>
          <w:rStyle w:val="FootnoteReference"/>
        </w:rPr>
        <w:footnoteRef/>
      </w:r>
      <w:r>
        <w:t xml:space="preserve"> </w:t>
      </w:r>
      <w:r w:rsidRPr="00533A66">
        <w:rPr>
          <w:i/>
        </w:rPr>
        <w:t>Id.</w:t>
      </w:r>
      <w:r>
        <w:t xml:space="preserve"> at 2</w:t>
      </w:r>
      <w:r w:rsidR="007B09B1">
        <w:t>.</w:t>
      </w:r>
      <w:r w:rsidR="001A7765">
        <w:t xml:space="preserve"> </w:t>
      </w:r>
    </w:p>
  </w:footnote>
  <w:footnote w:id="9">
    <w:p w:rsidR="00C06478" w:rsidRPr="00EB752B" w:rsidRDefault="00C06478">
      <w:pPr>
        <w:pStyle w:val="FootnoteText"/>
      </w:pPr>
      <w:r>
        <w:rPr>
          <w:rStyle w:val="FootnoteReference"/>
        </w:rPr>
        <w:footnoteRef/>
      </w:r>
      <w:r>
        <w:t xml:space="preserve"> Smile FM, Supplement to Petition for Reconsideration (rec’d Sept. 20, 2010).</w:t>
      </w:r>
      <w:r w:rsidR="00031123">
        <w:t xml:space="preserve">  </w:t>
      </w:r>
      <w:r w:rsidR="00102DF0">
        <w:t xml:space="preserve">Smile FM </w:t>
      </w:r>
      <w:r w:rsidR="00F415F6">
        <w:t>did not</w:t>
      </w:r>
      <w:r w:rsidR="00102DF0">
        <w:t xml:space="preserve"> state </w:t>
      </w:r>
      <w:r w:rsidR="00F415F6">
        <w:t>any</w:t>
      </w:r>
      <w:r w:rsidR="00102DF0">
        <w:t xml:space="preserve"> grounds for its failure to </w:t>
      </w:r>
      <w:r w:rsidR="00F415F6">
        <w:t>timely file the Supplement.  Instead</w:t>
      </w:r>
      <w:r w:rsidR="00102DF0">
        <w:t xml:space="preserve">, </w:t>
      </w:r>
      <w:r w:rsidR="00F415F6">
        <w:t>it asserted</w:t>
      </w:r>
      <w:r w:rsidR="00102DF0">
        <w:t xml:space="preserve"> in a footnote</w:t>
      </w:r>
      <w:r w:rsidR="00031123">
        <w:t xml:space="preserve"> that the filing “corrects and supplements original filing based on information that has become available since that time” and </w:t>
      </w:r>
      <w:r w:rsidR="00EB752B">
        <w:t xml:space="preserve"> “</w:t>
      </w:r>
      <w:r w:rsidR="00F415F6">
        <w:t>[t]</w:t>
      </w:r>
      <w:r w:rsidR="00EB752B">
        <w:t>o the extent necessary,</w:t>
      </w:r>
      <w:r w:rsidR="00F415F6">
        <w:t xml:space="preserve">” asked </w:t>
      </w:r>
      <w:r w:rsidR="00EB752B">
        <w:t xml:space="preserve">the </w:t>
      </w:r>
      <w:r w:rsidR="00F415F6">
        <w:t>C</w:t>
      </w:r>
      <w:r w:rsidR="00EB752B">
        <w:t xml:space="preserve">ommission to accept </w:t>
      </w:r>
      <w:r w:rsidR="00F415F6">
        <w:t>the</w:t>
      </w:r>
      <w:r w:rsidR="00EB752B">
        <w:t xml:space="preserve"> </w:t>
      </w:r>
      <w:r w:rsidR="00F415F6">
        <w:t>S</w:t>
      </w:r>
      <w:r w:rsidR="00EB752B">
        <w:t xml:space="preserve">upplement.  </w:t>
      </w:r>
      <w:r w:rsidR="00EB752B">
        <w:rPr>
          <w:i/>
        </w:rPr>
        <w:t xml:space="preserve">Id. </w:t>
      </w:r>
      <w:r w:rsidR="00EB752B">
        <w:t>at 1 n.1.</w:t>
      </w:r>
    </w:p>
  </w:footnote>
  <w:footnote w:id="10">
    <w:p w:rsidR="00A83836" w:rsidRDefault="00A83836">
      <w:pPr>
        <w:pStyle w:val="FootnoteText"/>
      </w:pPr>
      <w:r>
        <w:rPr>
          <w:rStyle w:val="FootnoteReference"/>
        </w:rPr>
        <w:footnoteRef/>
      </w:r>
      <w:r>
        <w:t xml:space="preserve"> </w:t>
      </w:r>
      <w:r w:rsidRPr="00EC5899">
        <w:rPr>
          <w:i/>
        </w:rPr>
        <w:t xml:space="preserve">Letter from </w:t>
      </w:r>
      <w:r>
        <w:rPr>
          <w:i/>
        </w:rPr>
        <w:t>Peter H. Doyle</w:t>
      </w:r>
      <w:r w:rsidRPr="00EC5899">
        <w:rPr>
          <w:i/>
        </w:rPr>
        <w:t xml:space="preserve">, Chief, Audio Division, Media Bureau, to </w:t>
      </w:r>
      <w:r>
        <w:rPr>
          <w:i/>
        </w:rPr>
        <w:t>Edward Czelada, Smile FM</w:t>
      </w:r>
      <w:r w:rsidRPr="00EC5899">
        <w:rPr>
          <w:i/>
        </w:rPr>
        <w:t xml:space="preserve"> </w:t>
      </w:r>
      <w:r w:rsidRPr="00EC5899">
        <w:t xml:space="preserve">(dated </w:t>
      </w:r>
      <w:r>
        <w:t>May 11</w:t>
      </w:r>
      <w:r w:rsidR="00D0772B">
        <w:t>, 2011</w:t>
      </w:r>
      <w:r w:rsidRPr="00EC5899">
        <w:t>)</w:t>
      </w:r>
      <w:r w:rsidR="001D6F24">
        <w:t xml:space="preserve"> (“</w:t>
      </w:r>
      <w:r w:rsidR="001D6F24">
        <w:rPr>
          <w:i/>
        </w:rPr>
        <w:t>2011 Letter Decision</w:t>
      </w:r>
      <w:r w:rsidR="001D6F24">
        <w:t>”)</w:t>
      </w:r>
      <w:r w:rsidRPr="00EC5899">
        <w:t>.</w:t>
      </w:r>
    </w:p>
  </w:footnote>
  <w:footnote w:id="11">
    <w:p w:rsidR="006A238B" w:rsidRDefault="006A238B" w:rsidP="006A238B">
      <w:pPr>
        <w:pStyle w:val="FootnoteText"/>
      </w:pPr>
      <w:r>
        <w:rPr>
          <w:rStyle w:val="FootnoteReference"/>
        </w:rPr>
        <w:footnoteRef/>
      </w:r>
      <w:r>
        <w:t xml:space="preserve"> AFR at 2-5.</w:t>
      </w:r>
      <w:r w:rsidR="00533A66">
        <w:t xml:space="preserve">  We note that, in its </w:t>
      </w:r>
      <w:r w:rsidR="00123071">
        <w:t xml:space="preserve">June </w:t>
      </w:r>
      <w:r w:rsidR="00533A66">
        <w:t xml:space="preserve">Petition, Smile FM </w:t>
      </w:r>
      <w:r w:rsidR="00F415F6">
        <w:t>stated</w:t>
      </w:r>
      <w:r w:rsidR="00533A66">
        <w:t xml:space="preserve"> that “[d]iscussions with the staff have revealed that some of the issues raised in the letter were incorrect.”  </w:t>
      </w:r>
      <w:r w:rsidR="007A6046">
        <w:t xml:space="preserve">June Petition at 1.  </w:t>
      </w:r>
      <w:r w:rsidR="00533A66">
        <w:t>It went on to state that</w:t>
      </w:r>
      <w:r w:rsidR="00E36A94">
        <w:t xml:space="preserve"> Smile FM “disagree[d] with the staff assertion that [the] 20 dB ratio is only valid if all domestic assignments can be treated as omni</w:t>
      </w:r>
      <w:r w:rsidR="00F415F6">
        <w:t>[directional]</w:t>
      </w:r>
      <w:r w:rsidR="00E36A94">
        <w:t xml:space="preserve">.” </w:t>
      </w:r>
      <w:r w:rsidR="00533A66">
        <w:t xml:space="preserve"> </w:t>
      </w:r>
      <w:r w:rsidR="007A6046">
        <w:rPr>
          <w:i/>
        </w:rPr>
        <w:t>Id.</w:t>
      </w:r>
      <w:r w:rsidR="007A6046">
        <w:t xml:space="preserve"> at </w:t>
      </w:r>
      <w:r w:rsidR="00F415F6">
        <w:t xml:space="preserve">1 </w:t>
      </w:r>
      <w:r w:rsidR="007A6046">
        <w:t>n. 1.</w:t>
      </w:r>
      <w:r w:rsidR="007A6046">
        <w:rPr>
          <w:i/>
        </w:rPr>
        <w:t xml:space="preserve">  </w:t>
      </w:r>
      <w:r w:rsidR="00533A66">
        <w:t xml:space="preserve">However, despite </w:t>
      </w:r>
      <w:r w:rsidR="00E36A94">
        <w:t>this</w:t>
      </w:r>
      <w:r w:rsidR="00533A66">
        <w:t xml:space="preserve"> assertion, Smile FM merely “reserve[d] the right t</w:t>
      </w:r>
      <w:r w:rsidR="00F415F6">
        <w:t>o</w:t>
      </w:r>
      <w:r w:rsidR="00533A66">
        <w:t xml:space="preserve"> challenge this assertion if the need arises.”  </w:t>
      </w:r>
      <w:r w:rsidR="007A6046">
        <w:rPr>
          <w:i/>
        </w:rPr>
        <w:t xml:space="preserve">Id.  </w:t>
      </w:r>
      <w:r w:rsidR="00533A66">
        <w:t xml:space="preserve">Smile FM did not actually present the issue to the Bureau for decision in the </w:t>
      </w:r>
      <w:r w:rsidR="00123071">
        <w:t xml:space="preserve">June </w:t>
      </w:r>
      <w:r w:rsidR="00533A66">
        <w:t>Petition</w:t>
      </w:r>
      <w:r w:rsidR="00123071">
        <w:t>, much less give the Bureau the opportunity to pass on it.</w:t>
      </w:r>
    </w:p>
  </w:footnote>
  <w:footnote w:id="12">
    <w:p w:rsidR="00A3149C" w:rsidRPr="001445CE" w:rsidRDefault="00A3149C" w:rsidP="00A3149C">
      <w:pPr>
        <w:pStyle w:val="FootnoteText"/>
        <w:spacing w:after="200"/>
      </w:pPr>
      <w:r w:rsidRPr="00EC5899">
        <w:rPr>
          <w:rStyle w:val="FootnoteReference"/>
        </w:rPr>
        <w:footnoteRef/>
      </w:r>
      <w:r w:rsidRPr="00EC5899">
        <w:t xml:space="preserve"> </w:t>
      </w:r>
      <w:r w:rsidRPr="001445CE">
        <w:rPr>
          <w:i/>
          <w:iCs/>
        </w:rPr>
        <w:t>See</w:t>
      </w:r>
      <w:r w:rsidRPr="001445CE">
        <w:t xml:space="preserve"> 47 U.S.C. § 155(c)(5); 47 C.F.R. </w:t>
      </w:r>
      <w:r w:rsidRPr="001445CE">
        <w:rPr>
          <w:b/>
        </w:rPr>
        <w:t xml:space="preserve">§ </w:t>
      </w:r>
      <w:r w:rsidRPr="001445CE">
        <w:rPr>
          <w:rStyle w:val="term1"/>
          <w:b w:val="0"/>
        </w:rPr>
        <w:t>1.115(c)</w:t>
      </w:r>
      <w:r w:rsidR="00FB1279" w:rsidRPr="001445CE">
        <w:t xml:space="preserve">.  Likewise, we </w:t>
      </w:r>
      <w:r w:rsidR="00E52976">
        <w:t>dismiss</w:t>
      </w:r>
      <w:r w:rsidR="00FB1279" w:rsidRPr="001445CE">
        <w:t xml:space="preserve"> Smile FM’s </w:t>
      </w:r>
      <w:r w:rsidR="00E52976">
        <w:t>argument that</w:t>
      </w:r>
      <w:r w:rsidR="00FB1279" w:rsidRPr="001445CE">
        <w:t xml:space="preserve"> Yates </w:t>
      </w:r>
      <w:r w:rsidR="00E52976">
        <w:t>is analogous to</w:t>
      </w:r>
      <w:r w:rsidR="00FB1279" w:rsidRPr="001445CE">
        <w:t xml:space="preserve"> another community that the Bureau determined was licensable in an unpublished decision.   </w:t>
      </w:r>
      <w:r w:rsidR="001445CE">
        <w:t xml:space="preserve">AFR at 7, </w:t>
      </w:r>
      <w:r w:rsidR="001445CE">
        <w:rPr>
          <w:i/>
        </w:rPr>
        <w:t>citing Letter from James D. Bradshaw, Deputy Chief, Audio Division, Media Bureau, to Great Lakes Radio, Inc.</w:t>
      </w:r>
      <w:r w:rsidR="001445CE">
        <w:t xml:space="preserve"> (dated Oct. 08, 2008) (“</w:t>
      </w:r>
      <w:r w:rsidR="001445CE">
        <w:rPr>
          <w:i/>
        </w:rPr>
        <w:t>Great Lakes</w:t>
      </w:r>
      <w:r w:rsidR="001445CE">
        <w:t>”).</w:t>
      </w:r>
      <w:r w:rsidR="001445CE">
        <w:rPr>
          <w:i/>
        </w:rPr>
        <w:t xml:space="preserve"> </w:t>
      </w:r>
      <w:r w:rsidR="00FB1279" w:rsidRPr="001445CE">
        <w:t>Setting aside the fact that</w:t>
      </w:r>
      <w:r w:rsidR="001445CE" w:rsidRPr="001445CE">
        <w:t xml:space="preserve"> </w:t>
      </w:r>
      <w:r w:rsidR="001445CE" w:rsidRPr="001445CE">
        <w:rPr>
          <w:i/>
        </w:rPr>
        <w:t xml:space="preserve">Great Lakes </w:t>
      </w:r>
      <w:r w:rsidR="001445CE" w:rsidRPr="001445CE">
        <w:rPr>
          <w:color w:val="333333"/>
        </w:rPr>
        <w:t xml:space="preserve">is an unpublished </w:t>
      </w:r>
      <w:r w:rsidR="00A71791">
        <w:rPr>
          <w:color w:val="333333"/>
        </w:rPr>
        <w:t xml:space="preserve">Bureau </w:t>
      </w:r>
      <w:r w:rsidR="001445CE" w:rsidRPr="001445CE">
        <w:rPr>
          <w:color w:val="333333"/>
        </w:rPr>
        <w:t>decision and therefore</w:t>
      </w:r>
      <w:r w:rsidR="00747D52">
        <w:rPr>
          <w:color w:val="333333"/>
        </w:rPr>
        <w:t xml:space="preserve"> not binding upon the Commission</w:t>
      </w:r>
      <w:r w:rsidR="001445CE" w:rsidRPr="001445CE">
        <w:t xml:space="preserve">, </w:t>
      </w:r>
      <w:r w:rsidR="00FB1279" w:rsidRPr="001445CE">
        <w:t xml:space="preserve">we find that the Bureau did not have the opportunity to consider this assertion either.  </w:t>
      </w:r>
    </w:p>
  </w:footnote>
  <w:footnote w:id="13">
    <w:p w:rsidR="0013424F" w:rsidRDefault="0013424F">
      <w:pPr>
        <w:pStyle w:val="FootnoteText"/>
      </w:pPr>
      <w:r>
        <w:rPr>
          <w:rStyle w:val="FootnoteReference"/>
        </w:rPr>
        <w:footnoteRef/>
      </w:r>
      <w:r>
        <w:t xml:space="preserve"> </w:t>
      </w:r>
      <w:r w:rsidR="001F6C99">
        <w:t>AFR at 6.</w:t>
      </w:r>
    </w:p>
  </w:footnote>
  <w:footnote w:id="14">
    <w:p w:rsidR="00FB567F" w:rsidRDefault="00FB567F">
      <w:pPr>
        <w:pStyle w:val="FootnoteText"/>
      </w:pPr>
      <w:r>
        <w:rPr>
          <w:rStyle w:val="FootnoteReference"/>
        </w:rPr>
        <w:footnoteRef/>
      </w:r>
      <w:r>
        <w:t xml:space="preserve"> 47 C.F.R. § 1.106(f) (emphasis added).</w:t>
      </w:r>
    </w:p>
  </w:footnote>
  <w:footnote w:id="15">
    <w:p w:rsidR="004D56E7" w:rsidRDefault="004D56E7">
      <w:pPr>
        <w:pStyle w:val="FootnoteText"/>
      </w:pPr>
      <w:r>
        <w:rPr>
          <w:rStyle w:val="FootnoteReference"/>
        </w:rPr>
        <w:footnoteRef/>
      </w:r>
      <w:r>
        <w:t xml:space="preserve"> </w:t>
      </w:r>
      <w:r w:rsidR="00E217C8">
        <w:rPr>
          <w:i/>
        </w:rPr>
        <w:t>See 2011 Letter Decision</w:t>
      </w:r>
      <w:r w:rsidR="001D6F24">
        <w:t xml:space="preserve"> at</w:t>
      </w:r>
      <w:r w:rsidR="00E217C8">
        <w:t xml:space="preserve"> n. 17, </w:t>
      </w:r>
      <w:r w:rsidR="00E217C8">
        <w:rPr>
          <w:i/>
        </w:rPr>
        <w:t>citing 21</w:t>
      </w:r>
      <w:r w:rsidR="00E217C8" w:rsidRPr="007E60F5">
        <w:rPr>
          <w:i/>
          <w:vertAlign w:val="superscript"/>
        </w:rPr>
        <w:t>st</w:t>
      </w:r>
      <w:r w:rsidR="00E217C8">
        <w:rPr>
          <w:i/>
        </w:rPr>
        <w:t xml:space="preserve"> Century Telesis Joint Venture v. </w:t>
      </w:r>
      <w:r w:rsidR="00E217C8" w:rsidRPr="008E3291">
        <w:rPr>
          <w:i/>
        </w:rPr>
        <w:t>FCC</w:t>
      </w:r>
      <w:r w:rsidR="00E217C8">
        <w:t xml:space="preserve">, 318 F.3d 192 (D.C. Cir. 2003) (affirming the Commission’s decision not to exercise its discretion to hear late-filed supplements when the petitioner offered no plausible explanation as to why supplemental arguments were not made in its initial petition).  </w:t>
      </w:r>
      <w:r w:rsidRPr="00E217C8">
        <w:t>Indeed</w:t>
      </w:r>
      <w:r>
        <w:t xml:space="preserve">, </w:t>
      </w:r>
      <w:r w:rsidR="00123071">
        <w:t>in it</w:t>
      </w:r>
      <w:r w:rsidR="002764CF">
        <w:t xml:space="preserve">s </w:t>
      </w:r>
      <w:r w:rsidR="00747D52">
        <w:t xml:space="preserve">rather </w:t>
      </w:r>
      <w:r w:rsidR="002764CF">
        <w:t xml:space="preserve">untimely Supplement, </w:t>
      </w:r>
      <w:r>
        <w:t xml:space="preserve">Smile </w:t>
      </w:r>
      <w:r w:rsidR="00F415F6">
        <w:t xml:space="preserve">FM </w:t>
      </w:r>
      <w:r>
        <w:t xml:space="preserve">stated:  “If we obtain additional information we will amend our reconsideration to further demonstrate the establishment of a community.”  Supplement at 5.  </w:t>
      </w:r>
      <w:r w:rsidR="00747D52">
        <w:t>This</w:t>
      </w:r>
      <w:r>
        <w:t xml:space="preserve"> reflects a fundamental misunderstanding of the Commission’s procedural rules.</w:t>
      </w:r>
    </w:p>
  </w:footnote>
  <w:footnote w:id="16">
    <w:p w:rsidR="008216E7" w:rsidRDefault="008216E7">
      <w:pPr>
        <w:pStyle w:val="FootnoteText"/>
      </w:pPr>
      <w:r>
        <w:rPr>
          <w:rStyle w:val="FootnoteReference"/>
        </w:rPr>
        <w:footnoteRef/>
      </w:r>
      <w:r>
        <w:t xml:space="preserve"> AFR at 4-5.</w:t>
      </w:r>
    </w:p>
  </w:footnote>
  <w:footnote w:id="17">
    <w:p w:rsidR="00BC30DD" w:rsidRPr="00F25EF0" w:rsidRDefault="00BC30DD">
      <w:pPr>
        <w:pStyle w:val="FootnoteText"/>
        <w:rPr>
          <w:b/>
        </w:rPr>
      </w:pPr>
      <w:r>
        <w:rPr>
          <w:rStyle w:val="FootnoteReference"/>
        </w:rPr>
        <w:footnoteRef/>
      </w:r>
      <w:r w:rsidRPr="005A5247">
        <w:t xml:space="preserve"> To the extent that Smile FM asserts that this alleged error did </w:t>
      </w:r>
      <w:r w:rsidR="00E6677A" w:rsidRPr="005A5247">
        <w:t>result in</w:t>
      </w:r>
      <w:r w:rsidRPr="005A5247">
        <w:t xml:space="preserve"> harm because it caused the Bureau to </w:t>
      </w:r>
      <w:r w:rsidR="00F01A91">
        <w:t>decline to consider</w:t>
      </w:r>
      <w:r w:rsidRPr="005A5247">
        <w:t xml:space="preserve"> the evidence included in the Supplement, AFR at 6, we find no merit to this argument.  </w:t>
      </w:r>
      <w:r w:rsidR="00325174">
        <w:t>As a separate and independent basis for our decision, w</w:t>
      </w:r>
      <w:r w:rsidRPr="005A5247">
        <w:t>e have reviewed this evidence and do not find that its consideration would have altered the finding that Yates is not a licensable community.</w:t>
      </w:r>
      <w:r w:rsidR="00F25EF0" w:rsidRPr="005A5247">
        <w:t xml:space="preserve">  </w:t>
      </w:r>
      <w:r w:rsidR="00E6677A" w:rsidRPr="005A5247">
        <w:t xml:space="preserve">Specifically, the evidence, including maps and </w:t>
      </w:r>
      <w:r w:rsidR="009F05B1">
        <w:t>a</w:t>
      </w:r>
      <w:r w:rsidR="00E6677A" w:rsidRPr="005A5247">
        <w:t xml:space="preserve"> list of businesses and other locations that Smile FM attributes to Yates, reveals that part of </w:t>
      </w:r>
      <w:r w:rsidR="00DC0E30">
        <w:t>the area that</w:t>
      </w:r>
      <w:r w:rsidR="00E6677A" w:rsidRPr="005A5247">
        <w:t xml:space="preserve"> Smile FM claims </w:t>
      </w:r>
      <w:r w:rsidR="00DC0E30">
        <w:t>is</w:t>
      </w:r>
      <w:r w:rsidR="00E6677A" w:rsidRPr="005A5247">
        <w:t xml:space="preserve"> Yates lies within the incorp</w:t>
      </w:r>
      <w:r w:rsidR="008A4BED">
        <w:t xml:space="preserve">orated City of Rochester Hills.  </w:t>
      </w:r>
      <w:r w:rsidR="00E6677A" w:rsidRPr="005A5247">
        <w:rPr>
          <w:i/>
        </w:rPr>
        <w:t>See</w:t>
      </w:r>
      <w:r w:rsidR="00E6677A" w:rsidRPr="005A5247">
        <w:t xml:space="preserve"> </w:t>
      </w:r>
      <w:r w:rsidR="00E6677A" w:rsidRPr="005A5247">
        <w:rPr>
          <w:i/>
          <w:iCs/>
          <w:snapToGrid w:val="0"/>
        </w:rPr>
        <w:t>Penacook, New Hampshire</w:t>
      </w:r>
      <w:r w:rsidR="00E6677A" w:rsidRPr="005A5247">
        <w:rPr>
          <w:snapToGrid w:val="0"/>
        </w:rPr>
        <w:t>, Report and Order, 2 FCC Rcd 459, 460</w:t>
      </w:r>
      <w:r w:rsidR="005A5247" w:rsidRPr="005A5247">
        <w:rPr>
          <w:snapToGrid w:val="0"/>
        </w:rPr>
        <w:t xml:space="preserve"> ¶ 6</w:t>
      </w:r>
      <w:r w:rsidR="00E6677A" w:rsidRPr="005A5247">
        <w:rPr>
          <w:snapToGrid w:val="0"/>
        </w:rPr>
        <w:t xml:space="preserve"> (MMB 1987) (proposed community found not to be licensable </w:t>
      </w:r>
      <w:r w:rsidR="005A5247" w:rsidRPr="005A5247">
        <w:rPr>
          <w:snapToGrid w:val="0"/>
        </w:rPr>
        <w:t>as it was an</w:t>
      </w:r>
      <w:r w:rsidR="00E6677A" w:rsidRPr="005A5247">
        <w:rPr>
          <w:snapToGrid w:val="0"/>
        </w:rPr>
        <w:t xml:space="preserve"> </w:t>
      </w:r>
      <w:r w:rsidR="005A5247" w:rsidRPr="005A5247">
        <w:t>unincorporated area not listed in the Census and evidence demonstrated that the area was, in fact, a mere neighborhood which traversed the incorporated boundaries of two adjacent cities</w:t>
      </w:r>
      <w:r w:rsidR="005A5247" w:rsidRPr="005A5247">
        <w:rPr>
          <w:snapToGrid w:val="0"/>
        </w:rPr>
        <w:t>).</w:t>
      </w:r>
    </w:p>
  </w:footnote>
  <w:footnote w:id="18">
    <w:p w:rsidR="00783910" w:rsidRPr="00F14242" w:rsidRDefault="00783910" w:rsidP="00783910">
      <w:pPr>
        <w:pStyle w:val="FootnoteText"/>
      </w:pPr>
      <w:r w:rsidRPr="00F14242">
        <w:rPr>
          <w:rStyle w:val="FootnoteReference"/>
        </w:rPr>
        <w:footnoteRef/>
      </w:r>
      <w:r w:rsidRPr="00F14242">
        <w:t xml:space="preserve"> 47 U.S.C. § 155(c)(5).</w:t>
      </w:r>
    </w:p>
  </w:footnote>
  <w:footnote w:id="19">
    <w:p w:rsidR="00783910" w:rsidRPr="00F14242" w:rsidRDefault="00783910" w:rsidP="00783910">
      <w:pPr>
        <w:pStyle w:val="FootnoteText"/>
      </w:pPr>
      <w:r w:rsidRPr="00F14242">
        <w:rPr>
          <w:rStyle w:val="FootnoteReference"/>
        </w:rPr>
        <w:footnoteRef/>
      </w:r>
      <w:r w:rsidRPr="00F14242">
        <w:t xml:space="preserve"> 47 C.F.R. § 1.115(</w:t>
      </w:r>
      <w:r w:rsidR="005F2F0F">
        <w:t>c),</w:t>
      </w:r>
      <w:r>
        <w:t xml:space="preserve"> (</w:t>
      </w:r>
      <w:r w:rsidRPr="00F14242">
        <w:t>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F40" w:rsidRDefault="00A72F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656894">
      <w:t>FCC 14-90</w:t>
    </w:r>
  </w:p>
  <w:p w:rsidR="00D25FB5" w:rsidRDefault="007C278D">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665180DC" wp14:editId="5FC96C6F">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7C278D"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FCC 14-</w:t>
    </w:r>
    <w:r w:rsidR="00656894">
      <w:rPr>
        <w:spacing w:val="-2"/>
      </w:rPr>
      <w:t>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78D"/>
    <w:rsid w:val="00021358"/>
    <w:rsid w:val="00031123"/>
    <w:rsid w:val="00036039"/>
    <w:rsid w:val="00037989"/>
    <w:rsid w:val="00037F90"/>
    <w:rsid w:val="000429F1"/>
    <w:rsid w:val="000532C9"/>
    <w:rsid w:val="000649CB"/>
    <w:rsid w:val="000728C9"/>
    <w:rsid w:val="000875BF"/>
    <w:rsid w:val="00096D8C"/>
    <w:rsid w:val="000A60C6"/>
    <w:rsid w:val="000C0B65"/>
    <w:rsid w:val="000E05FE"/>
    <w:rsid w:val="000E3D42"/>
    <w:rsid w:val="000E6780"/>
    <w:rsid w:val="000F550D"/>
    <w:rsid w:val="00102956"/>
    <w:rsid w:val="00102DF0"/>
    <w:rsid w:val="001049DD"/>
    <w:rsid w:val="00122154"/>
    <w:rsid w:val="00122BD5"/>
    <w:rsid w:val="00123071"/>
    <w:rsid w:val="00133F79"/>
    <w:rsid w:val="0013424F"/>
    <w:rsid w:val="001445CE"/>
    <w:rsid w:val="001777C9"/>
    <w:rsid w:val="00194A66"/>
    <w:rsid w:val="001A7765"/>
    <w:rsid w:val="001B2AA8"/>
    <w:rsid w:val="001B32B9"/>
    <w:rsid w:val="001C23F5"/>
    <w:rsid w:val="001D6BCF"/>
    <w:rsid w:val="001D6F24"/>
    <w:rsid w:val="001E01CA"/>
    <w:rsid w:val="001F25E2"/>
    <w:rsid w:val="001F6C99"/>
    <w:rsid w:val="00207577"/>
    <w:rsid w:val="0025019D"/>
    <w:rsid w:val="002514CE"/>
    <w:rsid w:val="00256F55"/>
    <w:rsid w:val="00257E3A"/>
    <w:rsid w:val="002652EB"/>
    <w:rsid w:val="00275CF5"/>
    <w:rsid w:val="002764CF"/>
    <w:rsid w:val="0028301F"/>
    <w:rsid w:val="00285017"/>
    <w:rsid w:val="00286596"/>
    <w:rsid w:val="00294435"/>
    <w:rsid w:val="002A2D2E"/>
    <w:rsid w:val="002A7AC3"/>
    <w:rsid w:val="002B7245"/>
    <w:rsid w:val="002C00E8"/>
    <w:rsid w:val="002F732F"/>
    <w:rsid w:val="003175C6"/>
    <w:rsid w:val="00325174"/>
    <w:rsid w:val="003305EE"/>
    <w:rsid w:val="00343749"/>
    <w:rsid w:val="003660ED"/>
    <w:rsid w:val="00377F52"/>
    <w:rsid w:val="003B0550"/>
    <w:rsid w:val="003B694F"/>
    <w:rsid w:val="003C615D"/>
    <w:rsid w:val="003D7174"/>
    <w:rsid w:val="003F171C"/>
    <w:rsid w:val="00412FC5"/>
    <w:rsid w:val="00422276"/>
    <w:rsid w:val="004242F1"/>
    <w:rsid w:val="00434FA2"/>
    <w:rsid w:val="00445A00"/>
    <w:rsid w:val="00451B0F"/>
    <w:rsid w:val="00460586"/>
    <w:rsid w:val="00480761"/>
    <w:rsid w:val="004904A5"/>
    <w:rsid w:val="00490BB5"/>
    <w:rsid w:val="004C2EE3"/>
    <w:rsid w:val="004D0C61"/>
    <w:rsid w:val="004D28AB"/>
    <w:rsid w:val="004D56E7"/>
    <w:rsid w:val="004E4A22"/>
    <w:rsid w:val="00511968"/>
    <w:rsid w:val="00533A66"/>
    <w:rsid w:val="00550666"/>
    <w:rsid w:val="0055614C"/>
    <w:rsid w:val="005A5247"/>
    <w:rsid w:val="005C2F44"/>
    <w:rsid w:val="005E06C0"/>
    <w:rsid w:val="005E14C2"/>
    <w:rsid w:val="005E3744"/>
    <w:rsid w:val="005F270C"/>
    <w:rsid w:val="005F2F0F"/>
    <w:rsid w:val="00607BA5"/>
    <w:rsid w:val="0061180A"/>
    <w:rsid w:val="00626D02"/>
    <w:rsid w:val="00626EB6"/>
    <w:rsid w:val="0063750B"/>
    <w:rsid w:val="00655D03"/>
    <w:rsid w:val="00656894"/>
    <w:rsid w:val="00662EE7"/>
    <w:rsid w:val="006662AC"/>
    <w:rsid w:val="00683388"/>
    <w:rsid w:val="00683F84"/>
    <w:rsid w:val="00685A30"/>
    <w:rsid w:val="006A238B"/>
    <w:rsid w:val="006A5A79"/>
    <w:rsid w:val="006A6A81"/>
    <w:rsid w:val="006E375A"/>
    <w:rsid w:val="006F7393"/>
    <w:rsid w:val="0070224F"/>
    <w:rsid w:val="007115F7"/>
    <w:rsid w:val="00730755"/>
    <w:rsid w:val="00736566"/>
    <w:rsid w:val="007367A9"/>
    <w:rsid w:val="00737E3F"/>
    <w:rsid w:val="00747D52"/>
    <w:rsid w:val="00754809"/>
    <w:rsid w:val="00766C78"/>
    <w:rsid w:val="00783910"/>
    <w:rsid w:val="00785689"/>
    <w:rsid w:val="007964CE"/>
    <w:rsid w:val="0079754B"/>
    <w:rsid w:val="007A1E6D"/>
    <w:rsid w:val="007A6046"/>
    <w:rsid w:val="007B09B1"/>
    <w:rsid w:val="007B0EB2"/>
    <w:rsid w:val="007B59E3"/>
    <w:rsid w:val="007C278D"/>
    <w:rsid w:val="007D1ED3"/>
    <w:rsid w:val="007E60F5"/>
    <w:rsid w:val="007F6556"/>
    <w:rsid w:val="00802531"/>
    <w:rsid w:val="0080376C"/>
    <w:rsid w:val="00810B6F"/>
    <w:rsid w:val="008216E7"/>
    <w:rsid w:val="00822CE0"/>
    <w:rsid w:val="00841AB1"/>
    <w:rsid w:val="008765B2"/>
    <w:rsid w:val="008A4BED"/>
    <w:rsid w:val="008C68F1"/>
    <w:rsid w:val="008E3291"/>
    <w:rsid w:val="00921803"/>
    <w:rsid w:val="00926503"/>
    <w:rsid w:val="009607FE"/>
    <w:rsid w:val="00963CAF"/>
    <w:rsid w:val="009726D8"/>
    <w:rsid w:val="009E132C"/>
    <w:rsid w:val="009F05B1"/>
    <w:rsid w:val="009F76DB"/>
    <w:rsid w:val="00A254B3"/>
    <w:rsid w:val="00A3149C"/>
    <w:rsid w:val="00A31FAD"/>
    <w:rsid w:val="00A32C3B"/>
    <w:rsid w:val="00A35B2D"/>
    <w:rsid w:val="00A44A2E"/>
    <w:rsid w:val="00A45F4F"/>
    <w:rsid w:val="00A600A9"/>
    <w:rsid w:val="00A64A2B"/>
    <w:rsid w:val="00A71791"/>
    <w:rsid w:val="00A72F40"/>
    <w:rsid w:val="00A83836"/>
    <w:rsid w:val="00AA55B7"/>
    <w:rsid w:val="00AA5B9E"/>
    <w:rsid w:val="00AB2407"/>
    <w:rsid w:val="00AB53DF"/>
    <w:rsid w:val="00AE40FB"/>
    <w:rsid w:val="00AF424A"/>
    <w:rsid w:val="00AF552E"/>
    <w:rsid w:val="00B07E5C"/>
    <w:rsid w:val="00B3605A"/>
    <w:rsid w:val="00B811F7"/>
    <w:rsid w:val="00BA5DC6"/>
    <w:rsid w:val="00BA6196"/>
    <w:rsid w:val="00BC30DD"/>
    <w:rsid w:val="00BC5DC0"/>
    <w:rsid w:val="00BC6D8C"/>
    <w:rsid w:val="00BC7F8A"/>
    <w:rsid w:val="00C06478"/>
    <w:rsid w:val="00C31D9C"/>
    <w:rsid w:val="00C34006"/>
    <w:rsid w:val="00C426B1"/>
    <w:rsid w:val="00C66160"/>
    <w:rsid w:val="00C721AC"/>
    <w:rsid w:val="00C90D6A"/>
    <w:rsid w:val="00CA247E"/>
    <w:rsid w:val="00CC72B6"/>
    <w:rsid w:val="00CD108E"/>
    <w:rsid w:val="00CD57ED"/>
    <w:rsid w:val="00CD5D9E"/>
    <w:rsid w:val="00CF4160"/>
    <w:rsid w:val="00D0218D"/>
    <w:rsid w:val="00D0772B"/>
    <w:rsid w:val="00D2225D"/>
    <w:rsid w:val="00D25FB5"/>
    <w:rsid w:val="00D4153D"/>
    <w:rsid w:val="00D44223"/>
    <w:rsid w:val="00D50FB9"/>
    <w:rsid w:val="00D66CDD"/>
    <w:rsid w:val="00D778C0"/>
    <w:rsid w:val="00D83CD7"/>
    <w:rsid w:val="00D853D5"/>
    <w:rsid w:val="00D9452B"/>
    <w:rsid w:val="00DA2529"/>
    <w:rsid w:val="00DB130A"/>
    <w:rsid w:val="00DB2EBB"/>
    <w:rsid w:val="00DC0055"/>
    <w:rsid w:val="00DC0E30"/>
    <w:rsid w:val="00DC10A1"/>
    <w:rsid w:val="00DC3568"/>
    <w:rsid w:val="00DC655F"/>
    <w:rsid w:val="00DC66FD"/>
    <w:rsid w:val="00DD0B59"/>
    <w:rsid w:val="00DD7EBD"/>
    <w:rsid w:val="00DF62B6"/>
    <w:rsid w:val="00E01723"/>
    <w:rsid w:val="00E07225"/>
    <w:rsid w:val="00E217C8"/>
    <w:rsid w:val="00E225D9"/>
    <w:rsid w:val="00E26452"/>
    <w:rsid w:val="00E36A94"/>
    <w:rsid w:val="00E408BD"/>
    <w:rsid w:val="00E419D9"/>
    <w:rsid w:val="00E52976"/>
    <w:rsid w:val="00E5409F"/>
    <w:rsid w:val="00E545A5"/>
    <w:rsid w:val="00E6677A"/>
    <w:rsid w:val="00EB752B"/>
    <w:rsid w:val="00ED6DA9"/>
    <w:rsid w:val="00EE6488"/>
    <w:rsid w:val="00F01A91"/>
    <w:rsid w:val="00F021FA"/>
    <w:rsid w:val="00F23A24"/>
    <w:rsid w:val="00F25EF0"/>
    <w:rsid w:val="00F415F6"/>
    <w:rsid w:val="00F45002"/>
    <w:rsid w:val="00F56423"/>
    <w:rsid w:val="00F6250D"/>
    <w:rsid w:val="00F62E97"/>
    <w:rsid w:val="00F64209"/>
    <w:rsid w:val="00F644C4"/>
    <w:rsid w:val="00F82FFB"/>
    <w:rsid w:val="00F93BF5"/>
    <w:rsid w:val="00FB0C55"/>
    <w:rsid w:val="00FB1279"/>
    <w:rsid w:val="00FB567F"/>
    <w:rsid w:val="00FD2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744"/>
    <w:pPr>
      <w:widowControl w:val="0"/>
    </w:pPr>
    <w:rPr>
      <w:snapToGrid w:val="0"/>
      <w:kern w:val="28"/>
      <w:sz w:val="22"/>
    </w:rPr>
  </w:style>
  <w:style w:type="paragraph" w:styleId="Heading1">
    <w:name w:val="heading 1"/>
    <w:basedOn w:val="Normal"/>
    <w:next w:val="ParaNum"/>
    <w:qFormat/>
    <w:rsid w:val="005E374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E3744"/>
    <w:pPr>
      <w:keepNext/>
      <w:numPr>
        <w:ilvl w:val="1"/>
        <w:numId w:val="3"/>
      </w:numPr>
      <w:spacing w:after="120"/>
      <w:outlineLvl w:val="1"/>
    </w:pPr>
    <w:rPr>
      <w:b/>
    </w:rPr>
  </w:style>
  <w:style w:type="paragraph" w:styleId="Heading3">
    <w:name w:val="heading 3"/>
    <w:basedOn w:val="Normal"/>
    <w:next w:val="ParaNum"/>
    <w:qFormat/>
    <w:rsid w:val="005E3744"/>
    <w:pPr>
      <w:keepNext/>
      <w:numPr>
        <w:ilvl w:val="2"/>
        <w:numId w:val="3"/>
      </w:numPr>
      <w:tabs>
        <w:tab w:val="left" w:pos="2160"/>
      </w:tabs>
      <w:spacing w:after="120"/>
      <w:outlineLvl w:val="2"/>
    </w:pPr>
    <w:rPr>
      <w:b/>
    </w:rPr>
  </w:style>
  <w:style w:type="paragraph" w:styleId="Heading4">
    <w:name w:val="heading 4"/>
    <w:basedOn w:val="Normal"/>
    <w:next w:val="ParaNum"/>
    <w:qFormat/>
    <w:rsid w:val="005E3744"/>
    <w:pPr>
      <w:keepNext/>
      <w:numPr>
        <w:ilvl w:val="3"/>
        <w:numId w:val="3"/>
      </w:numPr>
      <w:tabs>
        <w:tab w:val="left" w:pos="2880"/>
      </w:tabs>
      <w:spacing w:after="120"/>
      <w:outlineLvl w:val="3"/>
    </w:pPr>
    <w:rPr>
      <w:b/>
    </w:rPr>
  </w:style>
  <w:style w:type="paragraph" w:styleId="Heading5">
    <w:name w:val="heading 5"/>
    <w:basedOn w:val="Normal"/>
    <w:next w:val="ParaNum"/>
    <w:qFormat/>
    <w:rsid w:val="005E374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E3744"/>
    <w:pPr>
      <w:numPr>
        <w:ilvl w:val="5"/>
        <w:numId w:val="3"/>
      </w:numPr>
      <w:tabs>
        <w:tab w:val="left" w:pos="4320"/>
      </w:tabs>
      <w:spacing w:after="120"/>
      <w:outlineLvl w:val="5"/>
    </w:pPr>
    <w:rPr>
      <w:b/>
    </w:rPr>
  </w:style>
  <w:style w:type="paragraph" w:styleId="Heading7">
    <w:name w:val="heading 7"/>
    <w:basedOn w:val="Normal"/>
    <w:next w:val="ParaNum"/>
    <w:qFormat/>
    <w:rsid w:val="005E374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E374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E374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E37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E3744"/>
  </w:style>
  <w:style w:type="paragraph" w:customStyle="1" w:styleId="ParaNum">
    <w:name w:val="ParaNum"/>
    <w:basedOn w:val="Normal"/>
    <w:link w:val="ParaNumChar"/>
    <w:rsid w:val="005E3744"/>
    <w:pPr>
      <w:numPr>
        <w:numId w:val="2"/>
      </w:numPr>
      <w:tabs>
        <w:tab w:val="clear" w:pos="1080"/>
        <w:tab w:val="num" w:pos="1440"/>
      </w:tabs>
      <w:spacing w:after="120"/>
    </w:pPr>
  </w:style>
  <w:style w:type="paragraph" w:styleId="EndnoteText">
    <w:name w:val="endnote text"/>
    <w:basedOn w:val="Normal"/>
    <w:semiHidden/>
    <w:rsid w:val="005E3744"/>
    <w:rPr>
      <w:sz w:val="20"/>
    </w:rPr>
  </w:style>
  <w:style w:type="character" w:styleId="EndnoteReference">
    <w:name w:val="endnote reference"/>
    <w:semiHidden/>
    <w:rsid w:val="005E3744"/>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5E3744"/>
    <w:pPr>
      <w:spacing w:after="120"/>
    </w:pPr>
  </w:style>
  <w:style w:type="character" w:styleId="FootnoteReference">
    <w:name w:val="footnote reference"/>
    <w:aliases w:val="Style 12,(NECG) Footnote Reference,Appel note de bas de p,Style 124,o,fr,Style 3,Style 13"/>
    <w:rsid w:val="005E3744"/>
    <w:rPr>
      <w:rFonts w:ascii="Times New Roman" w:hAnsi="Times New Roman"/>
      <w:dstrike w:val="0"/>
      <w:color w:val="auto"/>
      <w:sz w:val="20"/>
      <w:vertAlign w:val="superscript"/>
    </w:rPr>
  </w:style>
  <w:style w:type="paragraph" w:styleId="TOC1">
    <w:name w:val="toc 1"/>
    <w:basedOn w:val="Normal"/>
    <w:next w:val="Normal"/>
    <w:semiHidden/>
    <w:rsid w:val="005E374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E3744"/>
    <w:pPr>
      <w:tabs>
        <w:tab w:val="left" w:pos="720"/>
        <w:tab w:val="right" w:leader="dot" w:pos="9360"/>
      </w:tabs>
      <w:suppressAutoHyphens/>
      <w:ind w:left="720" w:right="720" w:hanging="360"/>
    </w:pPr>
    <w:rPr>
      <w:noProof/>
    </w:rPr>
  </w:style>
  <w:style w:type="paragraph" w:styleId="TOC3">
    <w:name w:val="toc 3"/>
    <w:basedOn w:val="Normal"/>
    <w:next w:val="Normal"/>
    <w:semiHidden/>
    <w:rsid w:val="005E374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E374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E374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E374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E374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E374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E374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E3744"/>
    <w:pPr>
      <w:tabs>
        <w:tab w:val="right" w:pos="9360"/>
      </w:tabs>
      <w:suppressAutoHyphens/>
    </w:pPr>
  </w:style>
  <w:style w:type="character" w:customStyle="1" w:styleId="EquationCaption">
    <w:name w:val="_Equation Caption"/>
    <w:rsid w:val="005E3744"/>
  </w:style>
  <w:style w:type="paragraph" w:styleId="Header">
    <w:name w:val="header"/>
    <w:basedOn w:val="Normal"/>
    <w:autoRedefine/>
    <w:rsid w:val="005E3744"/>
    <w:pPr>
      <w:tabs>
        <w:tab w:val="center" w:pos="4680"/>
        <w:tab w:val="right" w:pos="9360"/>
      </w:tabs>
    </w:pPr>
    <w:rPr>
      <w:b/>
    </w:rPr>
  </w:style>
  <w:style w:type="paragraph" w:styleId="Footer">
    <w:name w:val="footer"/>
    <w:basedOn w:val="Normal"/>
    <w:rsid w:val="005E3744"/>
    <w:pPr>
      <w:tabs>
        <w:tab w:val="center" w:pos="4320"/>
        <w:tab w:val="right" w:pos="8640"/>
      </w:tabs>
    </w:pPr>
  </w:style>
  <w:style w:type="character" w:styleId="PageNumber">
    <w:name w:val="page number"/>
    <w:basedOn w:val="DefaultParagraphFont"/>
    <w:rsid w:val="005E3744"/>
  </w:style>
  <w:style w:type="paragraph" w:styleId="BlockText">
    <w:name w:val="Block Text"/>
    <w:basedOn w:val="Normal"/>
    <w:rsid w:val="005E3744"/>
    <w:pPr>
      <w:spacing w:after="240"/>
      <w:ind w:left="1440" w:right="1440"/>
    </w:pPr>
  </w:style>
  <w:style w:type="paragraph" w:customStyle="1" w:styleId="Paratitle">
    <w:name w:val="Para title"/>
    <w:basedOn w:val="Normal"/>
    <w:rsid w:val="005E3744"/>
    <w:pPr>
      <w:tabs>
        <w:tab w:val="center" w:pos="9270"/>
      </w:tabs>
      <w:spacing w:after="240"/>
    </w:pPr>
    <w:rPr>
      <w:spacing w:val="-2"/>
    </w:rPr>
  </w:style>
  <w:style w:type="paragraph" w:customStyle="1" w:styleId="Bullet">
    <w:name w:val="Bullet"/>
    <w:basedOn w:val="Normal"/>
    <w:rsid w:val="005E3744"/>
    <w:pPr>
      <w:tabs>
        <w:tab w:val="left" w:pos="2160"/>
      </w:tabs>
      <w:spacing w:after="220"/>
      <w:ind w:left="2160" w:hanging="720"/>
    </w:pPr>
  </w:style>
  <w:style w:type="paragraph" w:customStyle="1" w:styleId="TableFormat">
    <w:name w:val="TableFormat"/>
    <w:basedOn w:val="Bullet"/>
    <w:rsid w:val="005E3744"/>
    <w:pPr>
      <w:tabs>
        <w:tab w:val="clear" w:pos="2160"/>
        <w:tab w:val="left" w:pos="5040"/>
      </w:tabs>
      <w:ind w:left="5040" w:hanging="3600"/>
    </w:pPr>
  </w:style>
  <w:style w:type="paragraph" w:customStyle="1" w:styleId="TOCTitle">
    <w:name w:val="TOC Title"/>
    <w:basedOn w:val="Normal"/>
    <w:rsid w:val="005E374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E3744"/>
    <w:pPr>
      <w:jc w:val="center"/>
    </w:pPr>
    <w:rPr>
      <w:rFonts w:ascii="Times New Roman Bold" w:hAnsi="Times New Roman Bold"/>
      <w:b/>
      <w:bCs/>
      <w:caps/>
      <w:szCs w:val="22"/>
    </w:rPr>
  </w:style>
  <w:style w:type="character" w:styleId="Hyperlink">
    <w:name w:val="Hyperlink"/>
    <w:rsid w:val="005E3744"/>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2A7AC3"/>
  </w:style>
  <w:style w:type="character" w:customStyle="1" w:styleId="ParaNumChar">
    <w:name w:val="ParaNum Char"/>
    <w:link w:val="ParaNum"/>
    <w:rsid w:val="002A7AC3"/>
    <w:rPr>
      <w:snapToGrid w:val="0"/>
      <w:kern w:val="28"/>
      <w:sz w:val="22"/>
    </w:rPr>
  </w:style>
  <w:style w:type="character" w:customStyle="1" w:styleId="term1">
    <w:name w:val="term1"/>
    <w:basedOn w:val="DefaultParagraphFont"/>
    <w:rsid w:val="00A3149C"/>
    <w:rPr>
      <w:b/>
      <w:bCs/>
    </w:rPr>
  </w:style>
  <w:style w:type="character" w:styleId="CommentReference">
    <w:name w:val="annotation reference"/>
    <w:basedOn w:val="DefaultParagraphFont"/>
    <w:rsid w:val="005F270C"/>
    <w:rPr>
      <w:sz w:val="16"/>
      <w:szCs w:val="16"/>
    </w:rPr>
  </w:style>
  <w:style w:type="paragraph" w:styleId="CommentText">
    <w:name w:val="annotation text"/>
    <w:basedOn w:val="Normal"/>
    <w:link w:val="CommentTextChar"/>
    <w:rsid w:val="005F270C"/>
    <w:rPr>
      <w:sz w:val="20"/>
    </w:rPr>
  </w:style>
  <w:style w:type="character" w:customStyle="1" w:styleId="CommentTextChar">
    <w:name w:val="Comment Text Char"/>
    <w:basedOn w:val="DefaultParagraphFont"/>
    <w:link w:val="CommentText"/>
    <w:rsid w:val="005F270C"/>
    <w:rPr>
      <w:snapToGrid w:val="0"/>
      <w:kern w:val="28"/>
    </w:rPr>
  </w:style>
  <w:style w:type="paragraph" w:styleId="CommentSubject">
    <w:name w:val="annotation subject"/>
    <w:basedOn w:val="CommentText"/>
    <w:next w:val="CommentText"/>
    <w:link w:val="CommentSubjectChar"/>
    <w:rsid w:val="005F270C"/>
    <w:rPr>
      <w:b/>
      <w:bCs/>
    </w:rPr>
  </w:style>
  <w:style w:type="character" w:customStyle="1" w:styleId="CommentSubjectChar">
    <w:name w:val="Comment Subject Char"/>
    <w:basedOn w:val="CommentTextChar"/>
    <w:link w:val="CommentSubject"/>
    <w:rsid w:val="005F270C"/>
    <w:rPr>
      <w:b/>
      <w:bCs/>
      <w:snapToGrid w:val="0"/>
      <w:kern w:val="28"/>
    </w:rPr>
  </w:style>
  <w:style w:type="paragraph" w:styleId="BalloonText">
    <w:name w:val="Balloon Text"/>
    <w:basedOn w:val="Normal"/>
    <w:link w:val="BalloonTextChar"/>
    <w:rsid w:val="005F270C"/>
    <w:rPr>
      <w:rFonts w:ascii="Tahoma" w:hAnsi="Tahoma" w:cs="Tahoma"/>
      <w:sz w:val="16"/>
      <w:szCs w:val="16"/>
    </w:rPr>
  </w:style>
  <w:style w:type="character" w:customStyle="1" w:styleId="BalloonTextChar">
    <w:name w:val="Balloon Text Char"/>
    <w:basedOn w:val="DefaultParagraphFont"/>
    <w:link w:val="BalloonText"/>
    <w:rsid w:val="005F270C"/>
    <w:rPr>
      <w:rFonts w:ascii="Tahoma" w:hAnsi="Tahoma" w:cs="Tahoma"/>
      <w:snapToGrid w:val="0"/>
      <w:kern w:val="28"/>
      <w:sz w:val="16"/>
      <w:szCs w:val="16"/>
    </w:rPr>
  </w:style>
  <w:style w:type="character" w:customStyle="1" w:styleId="pmterms11">
    <w:name w:val="pmterms11"/>
    <w:basedOn w:val="DefaultParagraphFont"/>
    <w:rsid w:val="00A31FAD"/>
    <w:rPr>
      <w:b/>
      <w:bCs/>
      <w:i w:val="0"/>
      <w:iCs w:val="0"/>
      <w:color w:val="000000"/>
    </w:rPr>
  </w:style>
  <w:style w:type="character" w:customStyle="1" w:styleId="pmterms21">
    <w:name w:val="pmterms21"/>
    <w:basedOn w:val="DefaultParagraphFont"/>
    <w:rsid w:val="00A31FAD"/>
    <w:rPr>
      <w:b/>
      <w:bCs/>
      <w:i w:val="0"/>
      <w:iCs w:val="0"/>
      <w:color w:val="000000"/>
    </w:rPr>
  </w:style>
  <w:style w:type="paragraph" w:styleId="BodyText">
    <w:name w:val="Body Text"/>
    <w:basedOn w:val="Normal"/>
    <w:link w:val="BodyTextChar"/>
    <w:rsid w:val="00F23A24"/>
    <w:pPr>
      <w:widowControl/>
      <w:tabs>
        <w:tab w:val="left" w:pos="720"/>
        <w:tab w:val="left" w:pos="4680"/>
      </w:tabs>
      <w:jc w:val="both"/>
    </w:pPr>
    <w:rPr>
      <w:snapToGrid/>
      <w:kern w:val="0"/>
    </w:rPr>
  </w:style>
  <w:style w:type="character" w:customStyle="1" w:styleId="BodyTextChar">
    <w:name w:val="Body Text Char"/>
    <w:basedOn w:val="DefaultParagraphFont"/>
    <w:link w:val="BodyText"/>
    <w:rsid w:val="00F23A2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744"/>
    <w:pPr>
      <w:widowControl w:val="0"/>
    </w:pPr>
    <w:rPr>
      <w:snapToGrid w:val="0"/>
      <w:kern w:val="28"/>
      <w:sz w:val="22"/>
    </w:rPr>
  </w:style>
  <w:style w:type="paragraph" w:styleId="Heading1">
    <w:name w:val="heading 1"/>
    <w:basedOn w:val="Normal"/>
    <w:next w:val="ParaNum"/>
    <w:qFormat/>
    <w:rsid w:val="005E374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E3744"/>
    <w:pPr>
      <w:keepNext/>
      <w:numPr>
        <w:ilvl w:val="1"/>
        <w:numId w:val="3"/>
      </w:numPr>
      <w:spacing w:after="120"/>
      <w:outlineLvl w:val="1"/>
    </w:pPr>
    <w:rPr>
      <w:b/>
    </w:rPr>
  </w:style>
  <w:style w:type="paragraph" w:styleId="Heading3">
    <w:name w:val="heading 3"/>
    <w:basedOn w:val="Normal"/>
    <w:next w:val="ParaNum"/>
    <w:qFormat/>
    <w:rsid w:val="005E3744"/>
    <w:pPr>
      <w:keepNext/>
      <w:numPr>
        <w:ilvl w:val="2"/>
        <w:numId w:val="3"/>
      </w:numPr>
      <w:tabs>
        <w:tab w:val="left" w:pos="2160"/>
      </w:tabs>
      <w:spacing w:after="120"/>
      <w:outlineLvl w:val="2"/>
    </w:pPr>
    <w:rPr>
      <w:b/>
    </w:rPr>
  </w:style>
  <w:style w:type="paragraph" w:styleId="Heading4">
    <w:name w:val="heading 4"/>
    <w:basedOn w:val="Normal"/>
    <w:next w:val="ParaNum"/>
    <w:qFormat/>
    <w:rsid w:val="005E3744"/>
    <w:pPr>
      <w:keepNext/>
      <w:numPr>
        <w:ilvl w:val="3"/>
        <w:numId w:val="3"/>
      </w:numPr>
      <w:tabs>
        <w:tab w:val="left" w:pos="2880"/>
      </w:tabs>
      <w:spacing w:after="120"/>
      <w:outlineLvl w:val="3"/>
    </w:pPr>
    <w:rPr>
      <w:b/>
    </w:rPr>
  </w:style>
  <w:style w:type="paragraph" w:styleId="Heading5">
    <w:name w:val="heading 5"/>
    <w:basedOn w:val="Normal"/>
    <w:next w:val="ParaNum"/>
    <w:qFormat/>
    <w:rsid w:val="005E374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E3744"/>
    <w:pPr>
      <w:numPr>
        <w:ilvl w:val="5"/>
        <w:numId w:val="3"/>
      </w:numPr>
      <w:tabs>
        <w:tab w:val="left" w:pos="4320"/>
      </w:tabs>
      <w:spacing w:after="120"/>
      <w:outlineLvl w:val="5"/>
    </w:pPr>
    <w:rPr>
      <w:b/>
    </w:rPr>
  </w:style>
  <w:style w:type="paragraph" w:styleId="Heading7">
    <w:name w:val="heading 7"/>
    <w:basedOn w:val="Normal"/>
    <w:next w:val="ParaNum"/>
    <w:qFormat/>
    <w:rsid w:val="005E374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E374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E374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E37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E3744"/>
  </w:style>
  <w:style w:type="paragraph" w:customStyle="1" w:styleId="ParaNum">
    <w:name w:val="ParaNum"/>
    <w:basedOn w:val="Normal"/>
    <w:link w:val="ParaNumChar"/>
    <w:rsid w:val="005E3744"/>
    <w:pPr>
      <w:numPr>
        <w:numId w:val="2"/>
      </w:numPr>
      <w:tabs>
        <w:tab w:val="clear" w:pos="1080"/>
        <w:tab w:val="num" w:pos="1440"/>
      </w:tabs>
      <w:spacing w:after="120"/>
    </w:pPr>
  </w:style>
  <w:style w:type="paragraph" w:styleId="EndnoteText">
    <w:name w:val="endnote text"/>
    <w:basedOn w:val="Normal"/>
    <w:semiHidden/>
    <w:rsid w:val="005E3744"/>
    <w:rPr>
      <w:sz w:val="20"/>
    </w:rPr>
  </w:style>
  <w:style w:type="character" w:styleId="EndnoteReference">
    <w:name w:val="endnote reference"/>
    <w:semiHidden/>
    <w:rsid w:val="005E3744"/>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5E3744"/>
    <w:pPr>
      <w:spacing w:after="120"/>
    </w:pPr>
  </w:style>
  <w:style w:type="character" w:styleId="FootnoteReference">
    <w:name w:val="footnote reference"/>
    <w:aliases w:val="Style 12,(NECG) Footnote Reference,Appel note de bas de p,Style 124,o,fr,Style 3,Style 13"/>
    <w:rsid w:val="005E3744"/>
    <w:rPr>
      <w:rFonts w:ascii="Times New Roman" w:hAnsi="Times New Roman"/>
      <w:dstrike w:val="0"/>
      <w:color w:val="auto"/>
      <w:sz w:val="20"/>
      <w:vertAlign w:val="superscript"/>
    </w:rPr>
  </w:style>
  <w:style w:type="paragraph" w:styleId="TOC1">
    <w:name w:val="toc 1"/>
    <w:basedOn w:val="Normal"/>
    <w:next w:val="Normal"/>
    <w:semiHidden/>
    <w:rsid w:val="005E374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E3744"/>
    <w:pPr>
      <w:tabs>
        <w:tab w:val="left" w:pos="720"/>
        <w:tab w:val="right" w:leader="dot" w:pos="9360"/>
      </w:tabs>
      <w:suppressAutoHyphens/>
      <w:ind w:left="720" w:right="720" w:hanging="360"/>
    </w:pPr>
    <w:rPr>
      <w:noProof/>
    </w:rPr>
  </w:style>
  <w:style w:type="paragraph" w:styleId="TOC3">
    <w:name w:val="toc 3"/>
    <w:basedOn w:val="Normal"/>
    <w:next w:val="Normal"/>
    <w:semiHidden/>
    <w:rsid w:val="005E374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E374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E374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E374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E374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E374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E374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E3744"/>
    <w:pPr>
      <w:tabs>
        <w:tab w:val="right" w:pos="9360"/>
      </w:tabs>
      <w:suppressAutoHyphens/>
    </w:pPr>
  </w:style>
  <w:style w:type="character" w:customStyle="1" w:styleId="EquationCaption">
    <w:name w:val="_Equation Caption"/>
    <w:rsid w:val="005E3744"/>
  </w:style>
  <w:style w:type="paragraph" w:styleId="Header">
    <w:name w:val="header"/>
    <w:basedOn w:val="Normal"/>
    <w:autoRedefine/>
    <w:rsid w:val="005E3744"/>
    <w:pPr>
      <w:tabs>
        <w:tab w:val="center" w:pos="4680"/>
        <w:tab w:val="right" w:pos="9360"/>
      </w:tabs>
    </w:pPr>
    <w:rPr>
      <w:b/>
    </w:rPr>
  </w:style>
  <w:style w:type="paragraph" w:styleId="Footer">
    <w:name w:val="footer"/>
    <w:basedOn w:val="Normal"/>
    <w:rsid w:val="005E3744"/>
    <w:pPr>
      <w:tabs>
        <w:tab w:val="center" w:pos="4320"/>
        <w:tab w:val="right" w:pos="8640"/>
      </w:tabs>
    </w:pPr>
  </w:style>
  <w:style w:type="character" w:styleId="PageNumber">
    <w:name w:val="page number"/>
    <w:basedOn w:val="DefaultParagraphFont"/>
    <w:rsid w:val="005E3744"/>
  </w:style>
  <w:style w:type="paragraph" w:styleId="BlockText">
    <w:name w:val="Block Text"/>
    <w:basedOn w:val="Normal"/>
    <w:rsid w:val="005E3744"/>
    <w:pPr>
      <w:spacing w:after="240"/>
      <w:ind w:left="1440" w:right="1440"/>
    </w:pPr>
  </w:style>
  <w:style w:type="paragraph" w:customStyle="1" w:styleId="Paratitle">
    <w:name w:val="Para title"/>
    <w:basedOn w:val="Normal"/>
    <w:rsid w:val="005E3744"/>
    <w:pPr>
      <w:tabs>
        <w:tab w:val="center" w:pos="9270"/>
      </w:tabs>
      <w:spacing w:after="240"/>
    </w:pPr>
    <w:rPr>
      <w:spacing w:val="-2"/>
    </w:rPr>
  </w:style>
  <w:style w:type="paragraph" w:customStyle="1" w:styleId="Bullet">
    <w:name w:val="Bullet"/>
    <w:basedOn w:val="Normal"/>
    <w:rsid w:val="005E3744"/>
    <w:pPr>
      <w:tabs>
        <w:tab w:val="left" w:pos="2160"/>
      </w:tabs>
      <w:spacing w:after="220"/>
      <w:ind w:left="2160" w:hanging="720"/>
    </w:pPr>
  </w:style>
  <w:style w:type="paragraph" w:customStyle="1" w:styleId="TableFormat">
    <w:name w:val="TableFormat"/>
    <w:basedOn w:val="Bullet"/>
    <w:rsid w:val="005E3744"/>
    <w:pPr>
      <w:tabs>
        <w:tab w:val="clear" w:pos="2160"/>
        <w:tab w:val="left" w:pos="5040"/>
      </w:tabs>
      <w:ind w:left="5040" w:hanging="3600"/>
    </w:pPr>
  </w:style>
  <w:style w:type="paragraph" w:customStyle="1" w:styleId="TOCTitle">
    <w:name w:val="TOC Title"/>
    <w:basedOn w:val="Normal"/>
    <w:rsid w:val="005E374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E3744"/>
    <w:pPr>
      <w:jc w:val="center"/>
    </w:pPr>
    <w:rPr>
      <w:rFonts w:ascii="Times New Roman Bold" w:hAnsi="Times New Roman Bold"/>
      <w:b/>
      <w:bCs/>
      <w:caps/>
      <w:szCs w:val="22"/>
    </w:rPr>
  </w:style>
  <w:style w:type="character" w:styleId="Hyperlink">
    <w:name w:val="Hyperlink"/>
    <w:rsid w:val="005E3744"/>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2A7AC3"/>
  </w:style>
  <w:style w:type="character" w:customStyle="1" w:styleId="ParaNumChar">
    <w:name w:val="ParaNum Char"/>
    <w:link w:val="ParaNum"/>
    <w:rsid w:val="002A7AC3"/>
    <w:rPr>
      <w:snapToGrid w:val="0"/>
      <w:kern w:val="28"/>
      <w:sz w:val="22"/>
    </w:rPr>
  </w:style>
  <w:style w:type="character" w:customStyle="1" w:styleId="term1">
    <w:name w:val="term1"/>
    <w:basedOn w:val="DefaultParagraphFont"/>
    <w:rsid w:val="00A3149C"/>
    <w:rPr>
      <w:b/>
      <w:bCs/>
    </w:rPr>
  </w:style>
  <w:style w:type="character" w:styleId="CommentReference">
    <w:name w:val="annotation reference"/>
    <w:basedOn w:val="DefaultParagraphFont"/>
    <w:rsid w:val="005F270C"/>
    <w:rPr>
      <w:sz w:val="16"/>
      <w:szCs w:val="16"/>
    </w:rPr>
  </w:style>
  <w:style w:type="paragraph" w:styleId="CommentText">
    <w:name w:val="annotation text"/>
    <w:basedOn w:val="Normal"/>
    <w:link w:val="CommentTextChar"/>
    <w:rsid w:val="005F270C"/>
    <w:rPr>
      <w:sz w:val="20"/>
    </w:rPr>
  </w:style>
  <w:style w:type="character" w:customStyle="1" w:styleId="CommentTextChar">
    <w:name w:val="Comment Text Char"/>
    <w:basedOn w:val="DefaultParagraphFont"/>
    <w:link w:val="CommentText"/>
    <w:rsid w:val="005F270C"/>
    <w:rPr>
      <w:snapToGrid w:val="0"/>
      <w:kern w:val="28"/>
    </w:rPr>
  </w:style>
  <w:style w:type="paragraph" w:styleId="CommentSubject">
    <w:name w:val="annotation subject"/>
    <w:basedOn w:val="CommentText"/>
    <w:next w:val="CommentText"/>
    <w:link w:val="CommentSubjectChar"/>
    <w:rsid w:val="005F270C"/>
    <w:rPr>
      <w:b/>
      <w:bCs/>
    </w:rPr>
  </w:style>
  <w:style w:type="character" w:customStyle="1" w:styleId="CommentSubjectChar">
    <w:name w:val="Comment Subject Char"/>
    <w:basedOn w:val="CommentTextChar"/>
    <w:link w:val="CommentSubject"/>
    <w:rsid w:val="005F270C"/>
    <w:rPr>
      <w:b/>
      <w:bCs/>
      <w:snapToGrid w:val="0"/>
      <w:kern w:val="28"/>
    </w:rPr>
  </w:style>
  <w:style w:type="paragraph" w:styleId="BalloonText">
    <w:name w:val="Balloon Text"/>
    <w:basedOn w:val="Normal"/>
    <w:link w:val="BalloonTextChar"/>
    <w:rsid w:val="005F270C"/>
    <w:rPr>
      <w:rFonts w:ascii="Tahoma" w:hAnsi="Tahoma" w:cs="Tahoma"/>
      <w:sz w:val="16"/>
      <w:szCs w:val="16"/>
    </w:rPr>
  </w:style>
  <w:style w:type="character" w:customStyle="1" w:styleId="BalloonTextChar">
    <w:name w:val="Balloon Text Char"/>
    <w:basedOn w:val="DefaultParagraphFont"/>
    <w:link w:val="BalloonText"/>
    <w:rsid w:val="005F270C"/>
    <w:rPr>
      <w:rFonts w:ascii="Tahoma" w:hAnsi="Tahoma" w:cs="Tahoma"/>
      <w:snapToGrid w:val="0"/>
      <w:kern w:val="28"/>
      <w:sz w:val="16"/>
      <w:szCs w:val="16"/>
    </w:rPr>
  </w:style>
  <w:style w:type="character" w:customStyle="1" w:styleId="pmterms11">
    <w:name w:val="pmterms11"/>
    <w:basedOn w:val="DefaultParagraphFont"/>
    <w:rsid w:val="00A31FAD"/>
    <w:rPr>
      <w:b/>
      <w:bCs/>
      <w:i w:val="0"/>
      <w:iCs w:val="0"/>
      <w:color w:val="000000"/>
    </w:rPr>
  </w:style>
  <w:style w:type="character" w:customStyle="1" w:styleId="pmterms21">
    <w:name w:val="pmterms21"/>
    <w:basedOn w:val="DefaultParagraphFont"/>
    <w:rsid w:val="00A31FAD"/>
    <w:rPr>
      <w:b/>
      <w:bCs/>
      <w:i w:val="0"/>
      <w:iCs w:val="0"/>
      <w:color w:val="000000"/>
    </w:rPr>
  </w:style>
  <w:style w:type="paragraph" w:styleId="BodyText">
    <w:name w:val="Body Text"/>
    <w:basedOn w:val="Normal"/>
    <w:link w:val="BodyTextChar"/>
    <w:rsid w:val="00F23A24"/>
    <w:pPr>
      <w:widowControl/>
      <w:tabs>
        <w:tab w:val="left" w:pos="720"/>
        <w:tab w:val="left" w:pos="4680"/>
      </w:tabs>
      <w:jc w:val="both"/>
    </w:pPr>
    <w:rPr>
      <w:snapToGrid/>
      <w:kern w:val="0"/>
    </w:rPr>
  </w:style>
  <w:style w:type="character" w:customStyle="1" w:styleId="BodyTextChar">
    <w:name w:val="Body Text Char"/>
    <w:basedOn w:val="DefaultParagraphFont"/>
    <w:link w:val="BodyText"/>
    <w:rsid w:val="00F23A2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897</Words>
  <Characters>4850</Characters>
  <Application>Microsoft Office Word</Application>
  <DocSecurity>0</DocSecurity>
  <Lines>96</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2014-06-13T16:51:00Z</dcterms:created>
  <dcterms:modified xsi:type="dcterms:W3CDTF">2014-06-13T16:51:00Z</dcterms:modified>
  <cp:category> </cp:category>
  <cp:contentStatus> </cp:contentStatus>
</cp:coreProperties>
</file>