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64E" w:rsidRPr="00BA30CA" w:rsidRDefault="008F264E" w:rsidP="003A2E39">
      <w:pPr>
        <w:jc w:val="center"/>
        <w:rPr>
          <w:b/>
          <w:szCs w:val="22"/>
        </w:rPr>
      </w:pPr>
      <w:bookmarkStart w:id="0" w:name="_GoBack"/>
      <w:bookmarkEnd w:id="0"/>
      <w:r w:rsidRPr="00BA30CA">
        <w:rPr>
          <w:b/>
          <w:szCs w:val="22"/>
        </w:rPr>
        <w:t>Before the</w:t>
      </w:r>
    </w:p>
    <w:p w:rsidR="008F264E" w:rsidRPr="00BA30CA" w:rsidRDefault="008F264E" w:rsidP="003A2E39">
      <w:pPr>
        <w:jc w:val="center"/>
        <w:rPr>
          <w:b/>
          <w:szCs w:val="22"/>
        </w:rPr>
      </w:pPr>
      <w:r w:rsidRPr="00BA30CA">
        <w:rPr>
          <w:b/>
          <w:szCs w:val="22"/>
        </w:rPr>
        <w:t>Federal Communications Commission</w:t>
      </w:r>
    </w:p>
    <w:p w:rsidR="008F264E" w:rsidRPr="00BA30CA" w:rsidRDefault="008F264E" w:rsidP="003A2E39">
      <w:pPr>
        <w:jc w:val="center"/>
        <w:rPr>
          <w:b/>
          <w:szCs w:val="22"/>
        </w:rPr>
      </w:pPr>
      <w:r w:rsidRPr="00BA30CA">
        <w:rPr>
          <w:b/>
          <w:szCs w:val="22"/>
        </w:rPr>
        <w:t>Washington, D.C. 20554</w:t>
      </w:r>
    </w:p>
    <w:p w:rsidR="008F264E" w:rsidRPr="00BA30CA" w:rsidRDefault="008F264E" w:rsidP="003A2E39">
      <w:pPr>
        <w:rPr>
          <w:szCs w:val="22"/>
        </w:rPr>
      </w:pPr>
    </w:p>
    <w:p w:rsidR="008F264E" w:rsidRPr="00BA30CA" w:rsidRDefault="008F264E" w:rsidP="003A2E39">
      <w:pPr>
        <w:rPr>
          <w:szCs w:val="22"/>
        </w:rPr>
      </w:pPr>
    </w:p>
    <w:tbl>
      <w:tblPr>
        <w:tblW w:w="0" w:type="auto"/>
        <w:tblLayout w:type="fixed"/>
        <w:tblLook w:val="0000" w:firstRow="0" w:lastRow="0" w:firstColumn="0" w:lastColumn="0" w:noHBand="0" w:noVBand="0"/>
      </w:tblPr>
      <w:tblGrid>
        <w:gridCol w:w="4698"/>
        <w:gridCol w:w="720"/>
        <w:gridCol w:w="4230"/>
      </w:tblGrid>
      <w:tr w:rsidR="008F264E" w:rsidRPr="00BA30CA" w:rsidTr="00EC258F">
        <w:tc>
          <w:tcPr>
            <w:tcW w:w="4698" w:type="dxa"/>
          </w:tcPr>
          <w:p w:rsidR="008F264E" w:rsidRPr="00BA30CA" w:rsidRDefault="008F264E" w:rsidP="003A2E39">
            <w:pPr>
              <w:ind w:right="-18"/>
              <w:rPr>
                <w:szCs w:val="22"/>
              </w:rPr>
            </w:pPr>
            <w:r w:rsidRPr="00BA30CA">
              <w:rPr>
                <w:szCs w:val="22"/>
              </w:rPr>
              <w:t>In the Matter of</w:t>
            </w:r>
          </w:p>
          <w:p w:rsidR="008F264E" w:rsidRPr="00BA30CA" w:rsidRDefault="008F264E" w:rsidP="003A2E39">
            <w:pPr>
              <w:ind w:right="-18"/>
              <w:rPr>
                <w:szCs w:val="22"/>
              </w:rPr>
            </w:pPr>
          </w:p>
          <w:p w:rsidR="00830D3B" w:rsidRDefault="00830D3B" w:rsidP="003A2E39">
            <w:pPr>
              <w:ind w:right="-18"/>
              <w:rPr>
                <w:szCs w:val="22"/>
              </w:rPr>
            </w:pPr>
            <w:r>
              <w:rPr>
                <w:szCs w:val="22"/>
              </w:rPr>
              <w:t xml:space="preserve">GENEVIEVE SCHMITT </w:t>
            </w:r>
          </w:p>
          <w:p w:rsidR="008F264E" w:rsidRPr="00BA30CA" w:rsidRDefault="008F264E" w:rsidP="003A2E39">
            <w:pPr>
              <w:ind w:right="-18"/>
              <w:rPr>
                <w:szCs w:val="22"/>
              </w:rPr>
            </w:pPr>
          </w:p>
          <w:p w:rsidR="008F264E" w:rsidRPr="00BA30CA" w:rsidRDefault="008F264E" w:rsidP="003A2E39">
            <w:pPr>
              <w:ind w:right="-18"/>
              <w:rPr>
                <w:szCs w:val="22"/>
              </w:rPr>
            </w:pPr>
            <w:r w:rsidRPr="00BA30CA">
              <w:rPr>
                <w:szCs w:val="22"/>
              </w:rPr>
              <w:t>On Request for Inspection of Records</w:t>
            </w:r>
          </w:p>
          <w:p w:rsidR="008F264E" w:rsidRPr="00BA30CA" w:rsidRDefault="008F264E" w:rsidP="003A2E39">
            <w:pPr>
              <w:ind w:right="-18"/>
              <w:rPr>
                <w:szCs w:val="22"/>
              </w:rPr>
            </w:pPr>
          </w:p>
        </w:tc>
        <w:tc>
          <w:tcPr>
            <w:tcW w:w="720" w:type="dxa"/>
          </w:tcPr>
          <w:p w:rsidR="008F264E" w:rsidRPr="00BA30CA" w:rsidRDefault="008F264E" w:rsidP="003A2E39">
            <w:pPr>
              <w:rPr>
                <w:b/>
                <w:szCs w:val="22"/>
              </w:rPr>
            </w:pPr>
            <w:r w:rsidRPr="00BA30CA">
              <w:rPr>
                <w:b/>
                <w:szCs w:val="22"/>
              </w:rPr>
              <w:t>)</w:t>
            </w:r>
          </w:p>
          <w:p w:rsidR="008F264E" w:rsidRPr="00BA30CA" w:rsidRDefault="008F264E" w:rsidP="003A2E39">
            <w:pPr>
              <w:rPr>
                <w:b/>
                <w:szCs w:val="22"/>
              </w:rPr>
            </w:pPr>
            <w:r w:rsidRPr="00BA30CA">
              <w:rPr>
                <w:b/>
                <w:szCs w:val="22"/>
              </w:rPr>
              <w:t>)</w:t>
            </w:r>
          </w:p>
          <w:p w:rsidR="008F264E" w:rsidRPr="00BA30CA" w:rsidRDefault="008F264E" w:rsidP="003A2E39">
            <w:pPr>
              <w:rPr>
                <w:b/>
                <w:szCs w:val="22"/>
              </w:rPr>
            </w:pPr>
            <w:r w:rsidRPr="00BA30CA">
              <w:rPr>
                <w:b/>
                <w:szCs w:val="22"/>
              </w:rPr>
              <w:t>)</w:t>
            </w:r>
          </w:p>
          <w:p w:rsidR="008F264E" w:rsidRPr="00BA30CA" w:rsidRDefault="008F264E" w:rsidP="003A2E39">
            <w:pPr>
              <w:rPr>
                <w:b/>
                <w:szCs w:val="22"/>
              </w:rPr>
            </w:pPr>
            <w:r w:rsidRPr="00BA30CA">
              <w:rPr>
                <w:b/>
                <w:szCs w:val="22"/>
              </w:rPr>
              <w:t>)</w:t>
            </w:r>
          </w:p>
          <w:p w:rsidR="008F264E" w:rsidRPr="00BA30CA" w:rsidRDefault="008F264E" w:rsidP="003A2E39">
            <w:pPr>
              <w:rPr>
                <w:b/>
                <w:szCs w:val="22"/>
              </w:rPr>
            </w:pPr>
            <w:r w:rsidRPr="00BA30CA">
              <w:rPr>
                <w:b/>
                <w:szCs w:val="22"/>
              </w:rPr>
              <w:t>)</w:t>
            </w:r>
          </w:p>
          <w:p w:rsidR="008F264E" w:rsidRPr="00BA30CA" w:rsidRDefault="008F264E" w:rsidP="003A2E39">
            <w:pPr>
              <w:rPr>
                <w:b/>
                <w:szCs w:val="22"/>
              </w:rPr>
            </w:pPr>
          </w:p>
        </w:tc>
        <w:tc>
          <w:tcPr>
            <w:tcW w:w="4230" w:type="dxa"/>
          </w:tcPr>
          <w:p w:rsidR="008F264E" w:rsidRPr="00BA30CA" w:rsidRDefault="008F264E" w:rsidP="003A2E39">
            <w:pPr>
              <w:rPr>
                <w:szCs w:val="22"/>
              </w:rPr>
            </w:pPr>
          </w:p>
          <w:p w:rsidR="008F264E" w:rsidRPr="00BA30CA" w:rsidRDefault="008F264E" w:rsidP="003A2E39">
            <w:pPr>
              <w:rPr>
                <w:szCs w:val="22"/>
              </w:rPr>
            </w:pPr>
          </w:p>
          <w:p w:rsidR="008F264E" w:rsidRPr="00BA30CA" w:rsidRDefault="008F264E" w:rsidP="003A2E39">
            <w:pPr>
              <w:rPr>
                <w:szCs w:val="22"/>
              </w:rPr>
            </w:pPr>
            <w:r w:rsidRPr="00BA30CA">
              <w:rPr>
                <w:szCs w:val="22"/>
              </w:rPr>
              <w:t>FOIA Control No. 20</w:t>
            </w:r>
            <w:r w:rsidR="00830D3B">
              <w:rPr>
                <w:szCs w:val="22"/>
              </w:rPr>
              <w:t>14-029</w:t>
            </w:r>
          </w:p>
          <w:p w:rsidR="008F264E" w:rsidRPr="00BA30CA" w:rsidRDefault="008F264E" w:rsidP="003A2E39">
            <w:pPr>
              <w:rPr>
                <w:szCs w:val="22"/>
              </w:rPr>
            </w:pPr>
          </w:p>
        </w:tc>
      </w:tr>
    </w:tbl>
    <w:p w:rsidR="008F264E" w:rsidRPr="00BA30CA" w:rsidRDefault="008F264E" w:rsidP="003A2E39">
      <w:pPr>
        <w:spacing w:before="120"/>
        <w:jc w:val="center"/>
        <w:rPr>
          <w:b/>
          <w:szCs w:val="22"/>
        </w:rPr>
      </w:pPr>
      <w:r w:rsidRPr="00BA30CA">
        <w:rPr>
          <w:b/>
          <w:spacing w:val="-2"/>
          <w:szCs w:val="22"/>
        </w:rPr>
        <w:t>MEMORANDUM OPINION AND ORDER</w:t>
      </w:r>
    </w:p>
    <w:p w:rsidR="008F264E" w:rsidRPr="00BA30CA" w:rsidRDefault="008F264E" w:rsidP="003A2E39">
      <w:pPr>
        <w:rPr>
          <w:szCs w:val="22"/>
        </w:rPr>
      </w:pPr>
    </w:p>
    <w:p w:rsidR="008F264E" w:rsidRPr="00BA30CA" w:rsidRDefault="008F264E" w:rsidP="003A2E39">
      <w:pPr>
        <w:tabs>
          <w:tab w:val="right" w:pos="9360"/>
        </w:tabs>
        <w:rPr>
          <w:b/>
          <w:szCs w:val="22"/>
        </w:rPr>
      </w:pPr>
      <w:r w:rsidRPr="00BA30CA">
        <w:rPr>
          <w:b/>
          <w:szCs w:val="22"/>
        </w:rPr>
        <w:t xml:space="preserve">Adopted:  </w:t>
      </w:r>
      <w:r w:rsidR="009402BB">
        <w:rPr>
          <w:b/>
          <w:szCs w:val="22"/>
        </w:rPr>
        <w:t xml:space="preserve">June 27, </w:t>
      </w:r>
      <w:r w:rsidR="00330D5E">
        <w:rPr>
          <w:b/>
          <w:szCs w:val="22"/>
        </w:rPr>
        <w:t>201</w:t>
      </w:r>
      <w:r w:rsidR="00830D3B">
        <w:rPr>
          <w:b/>
          <w:szCs w:val="22"/>
        </w:rPr>
        <w:t>4</w:t>
      </w:r>
      <w:r w:rsidRPr="00BA30CA">
        <w:rPr>
          <w:b/>
          <w:szCs w:val="22"/>
        </w:rPr>
        <w:tab/>
        <w:t xml:space="preserve">Released:  </w:t>
      </w:r>
      <w:r w:rsidR="009402BB">
        <w:rPr>
          <w:b/>
          <w:szCs w:val="22"/>
        </w:rPr>
        <w:t xml:space="preserve">June </w:t>
      </w:r>
      <w:r w:rsidR="007816CC">
        <w:rPr>
          <w:b/>
          <w:szCs w:val="22"/>
        </w:rPr>
        <w:t xml:space="preserve">30, </w:t>
      </w:r>
      <w:r w:rsidR="00330D5E">
        <w:rPr>
          <w:b/>
          <w:szCs w:val="22"/>
        </w:rPr>
        <w:t>201</w:t>
      </w:r>
      <w:r w:rsidR="00830D3B">
        <w:rPr>
          <w:b/>
          <w:szCs w:val="22"/>
        </w:rPr>
        <w:t>4</w:t>
      </w:r>
    </w:p>
    <w:p w:rsidR="008F264E" w:rsidRPr="00BA30CA" w:rsidRDefault="008F264E" w:rsidP="003A2E39">
      <w:pPr>
        <w:tabs>
          <w:tab w:val="left" w:pos="5760"/>
        </w:tabs>
        <w:rPr>
          <w:b/>
          <w:szCs w:val="22"/>
        </w:rPr>
      </w:pPr>
    </w:p>
    <w:p w:rsidR="008F264E" w:rsidRPr="00BA30CA" w:rsidRDefault="008F264E" w:rsidP="003A2E39">
      <w:pPr>
        <w:tabs>
          <w:tab w:val="left" w:pos="5760"/>
        </w:tabs>
        <w:rPr>
          <w:szCs w:val="22"/>
        </w:rPr>
      </w:pPr>
      <w:r w:rsidRPr="00BA30CA">
        <w:rPr>
          <w:szCs w:val="22"/>
        </w:rPr>
        <w:t xml:space="preserve">By the </w:t>
      </w:r>
      <w:r w:rsidRPr="00BA30CA">
        <w:rPr>
          <w:spacing w:val="-2"/>
          <w:szCs w:val="22"/>
        </w:rPr>
        <w:t>Commission:</w:t>
      </w:r>
    </w:p>
    <w:p w:rsidR="008F264E" w:rsidRPr="00BA30CA" w:rsidRDefault="008F264E" w:rsidP="003A2E39">
      <w:pPr>
        <w:tabs>
          <w:tab w:val="left" w:pos="5760"/>
        </w:tabs>
        <w:rPr>
          <w:b/>
          <w:szCs w:val="22"/>
        </w:rPr>
      </w:pPr>
    </w:p>
    <w:p w:rsidR="008F264E" w:rsidRPr="00BA30CA" w:rsidRDefault="008F264E" w:rsidP="003A2E39">
      <w:pPr>
        <w:pStyle w:val="Heading1"/>
      </w:pPr>
      <w:r w:rsidRPr="00BA30CA">
        <w:t>INTRODUCTION</w:t>
      </w:r>
    </w:p>
    <w:p w:rsidR="00B15724" w:rsidRPr="00BA30CA" w:rsidRDefault="00B15724" w:rsidP="00F74900">
      <w:pPr>
        <w:pStyle w:val="ParaNum"/>
      </w:pPr>
      <w:r w:rsidRPr="00BA30CA">
        <w:t xml:space="preserve">This Memorandum Opinion and </w:t>
      </w:r>
      <w:r w:rsidRPr="00E87FED">
        <w:t>Order</w:t>
      </w:r>
      <w:r w:rsidRPr="00BA30CA">
        <w:t xml:space="preserve"> </w:t>
      </w:r>
      <w:r w:rsidR="00830D3B">
        <w:t xml:space="preserve">denies an </w:t>
      </w:r>
      <w:r w:rsidRPr="00BA30CA">
        <w:t xml:space="preserve">application for review filed by </w:t>
      </w:r>
      <w:r w:rsidR="00830D3B">
        <w:t>Genevieve Schmitt (Schmitt),</w:t>
      </w:r>
      <w:r w:rsidR="007950E4">
        <w:rPr>
          <w:rStyle w:val="FootnoteReference"/>
        </w:rPr>
        <w:footnoteReference w:id="2"/>
      </w:r>
      <w:r w:rsidR="00830D3B">
        <w:t xml:space="preserve"> </w:t>
      </w:r>
      <w:r w:rsidR="009B3916" w:rsidRPr="00BA30CA">
        <w:t xml:space="preserve">which </w:t>
      </w:r>
      <w:r w:rsidRPr="00BA30CA">
        <w:t xml:space="preserve">seeks review of a </w:t>
      </w:r>
      <w:r w:rsidR="00195A53">
        <w:t>determination b</w:t>
      </w:r>
      <w:r w:rsidRPr="00BA30CA">
        <w:t>y the</w:t>
      </w:r>
      <w:r w:rsidR="00830D3B">
        <w:t xml:space="preserve"> Enforcement Bureau (EB)</w:t>
      </w:r>
      <w:r w:rsidR="00A22B6A">
        <w:rPr>
          <w:rStyle w:val="FootnoteReference"/>
        </w:rPr>
        <w:footnoteReference w:id="3"/>
      </w:r>
      <w:r w:rsidR="00830D3B">
        <w:t xml:space="preserve"> classifying her as a commercial use requester for purposes of computing fees for her Freedom of </w:t>
      </w:r>
      <w:r w:rsidR="005D600C">
        <w:t>Information Act (FO</w:t>
      </w:r>
      <w:r w:rsidR="00830D3B">
        <w:t>IA) request.</w:t>
      </w:r>
      <w:r w:rsidR="00A22B6A">
        <w:rPr>
          <w:rStyle w:val="FootnoteReference"/>
        </w:rPr>
        <w:footnoteReference w:id="4"/>
      </w:r>
      <w:r w:rsidR="00830D3B">
        <w:t xml:space="preserve">  </w:t>
      </w:r>
      <w:r w:rsidR="00C74EB1">
        <w:t>We find that EB correctly categorized Schmitt as a commercial use requester and that EB adequately supported its computation of estimated fees.</w:t>
      </w:r>
      <w:r w:rsidRPr="00BA30CA">
        <w:t xml:space="preserve"> </w:t>
      </w:r>
    </w:p>
    <w:p w:rsidR="008F264E" w:rsidRPr="00BA30CA" w:rsidRDefault="008F264E" w:rsidP="003A2E39">
      <w:pPr>
        <w:pStyle w:val="Heading1"/>
      </w:pPr>
      <w:r w:rsidRPr="00BA30CA">
        <w:t>BACKGROUND</w:t>
      </w:r>
    </w:p>
    <w:p w:rsidR="008F264E" w:rsidRPr="00BA30CA" w:rsidRDefault="00C05F91" w:rsidP="00F74900">
      <w:pPr>
        <w:pStyle w:val="ParaNum"/>
      </w:pPr>
      <w:r>
        <w:t xml:space="preserve">Schmitt filed her </w:t>
      </w:r>
      <w:r w:rsidR="00A22B6A">
        <w:t>FOIA Request as attorney for a company called Dialing Service</w:t>
      </w:r>
      <w:r>
        <w:t>s</w:t>
      </w:r>
      <w:r w:rsidR="00A22B6A">
        <w:t>, LLC (Dialing Services)</w:t>
      </w:r>
      <w:r w:rsidR="00DC4597">
        <w:t>.</w:t>
      </w:r>
      <w:r w:rsidR="00DC4597">
        <w:rPr>
          <w:rStyle w:val="FootnoteReference"/>
        </w:rPr>
        <w:footnoteReference w:id="5"/>
      </w:r>
      <w:r w:rsidR="00DC4597">
        <w:t xml:space="preserve">  </w:t>
      </w:r>
      <w:r>
        <w:t>Her</w:t>
      </w:r>
      <w:r w:rsidR="006C3646">
        <w:t xml:space="preserve"> Request relates to enforcement proceedings initiated by EB against Dialing Services (</w:t>
      </w:r>
      <w:r w:rsidR="00D61BA8">
        <w:t>EB-TCD-12-00001812</w:t>
      </w:r>
      <w:r w:rsidR="005502AA">
        <w:t>, EB-07-TC-566</w:t>
      </w:r>
      <w:r w:rsidR="00D61BA8">
        <w:t xml:space="preserve">) and another (apparently unaffiliated) </w:t>
      </w:r>
      <w:r w:rsidR="006C3646">
        <w:t xml:space="preserve">company called Democratic Dialing (EB-TCD-12-00004943).  </w:t>
      </w:r>
      <w:r w:rsidR="00F11F6F">
        <w:t xml:space="preserve">Both investigations involve allegations that the subject of the investigation violated </w:t>
      </w:r>
      <w:r w:rsidR="005D600C">
        <w:t xml:space="preserve">47 U.S.C. § 227(b) and 47 C.F.R. § 64.1200. These provisions </w:t>
      </w:r>
      <w:r w:rsidR="00F11F6F">
        <w:t xml:space="preserve">(1) prohibit making any calls to cell phones using autodialers or artificial or prerecorded messages </w:t>
      </w:r>
      <w:r w:rsidR="005D600C">
        <w:t>absent an emergency purpose or prior express consent</w:t>
      </w:r>
      <w:r w:rsidR="00412598">
        <w:t>;</w:t>
      </w:r>
      <w:r w:rsidR="005D600C">
        <w:t xml:space="preserve"> </w:t>
      </w:r>
      <w:r w:rsidR="00F11F6F">
        <w:t xml:space="preserve">and (2) require certain identification information for otherwise permissible prerecorded </w:t>
      </w:r>
      <w:r w:rsidR="00174827">
        <w:t>messages</w:t>
      </w:r>
      <w:r w:rsidR="00F11F6F">
        <w:t>.</w:t>
      </w:r>
      <w:r w:rsidR="0058789E">
        <w:rPr>
          <w:rStyle w:val="FootnoteReference"/>
        </w:rPr>
        <w:footnoteReference w:id="6"/>
      </w:r>
      <w:r w:rsidR="00F11F6F">
        <w:t xml:space="preserve">   </w:t>
      </w:r>
      <w:r w:rsidR="008F264E" w:rsidRPr="00BA30CA">
        <w:t xml:space="preserve">    </w:t>
      </w:r>
    </w:p>
    <w:p w:rsidR="00C05F91" w:rsidRDefault="0058789E" w:rsidP="00B1069F">
      <w:pPr>
        <w:pStyle w:val="ParaNum"/>
        <w:widowControl/>
      </w:pPr>
      <w:r>
        <w:t xml:space="preserve">The Request sought </w:t>
      </w:r>
      <w:r w:rsidR="001D5EA8">
        <w:t>three categories of information:</w:t>
      </w:r>
      <w:r>
        <w:t xml:space="preserve">  </w:t>
      </w:r>
    </w:p>
    <w:p w:rsidR="008F264E" w:rsidRDefault="00C05F91" w:rsidP="00B1069F">
      <w:pPr>
        <w:pStyle w:val="ParaNum"/>
        <w:widowControl/>
        <w:numPr>
          <w:ilvl w:val="0"/>
          <w:numId w:val="27"/>
        </w:numPr>
        <w:ind w:left="1555"/>
      </w:pPr>
      <w:r>
        <w:lastRenderedPageBreak/>
        <w:t>Any response to the letter of investigation submitted to the Commission by or on behalf of Richard Gilmore d/b/a Democratic Dialing pertaining to File No.: EB-TCD-12-00004943</w:t>
      </w:r>
      <w:r w:rsidR="001D5EA8">
        <w:t>,</w:t>
      </w:r>
      <w:r>
        <w:t xml:space="preserve"> includ</w:t>
      </w:r>
      <w:r w:rsidR="001D5EA8">
        <w:t>ing</w:t>
      </w:r>
      <w:r>
        <w:t xml:space="preserve"> file attachments, documents, </w:t>
      </w:r>
      <w:r w:rsidR="001D5EA8">
        <w:t xml:space="preserve">and </w:t>
      </w:r>
      <w:r>
        <w:t>sound recordings</w:t>
      </w:r>
      <w:r w:rsidR="001D5EA8">
        <w:t>;</w:t>
      </w:r>
    </w:p>
    <w:p w:rsidR="00C05F91" w:rsidRDefault="00C05F91" w:rsidP="000340ED">
      <w:pPr>
        <w:pStyle w:val="ParaNum"/>
        <w:numPr>
          <w:ilvl w:val="0"/>
          <w:numId w:val="27"/>
        </w:numPr>
      </w:pPr>
      <w:r>
        <w:t>Any response, appeal, request for reconsideration, etc. filed by or on behalf of Richard Gilmore d/b/a Democratic Dialing to the Citation and Order issued by the Commission on March 15, 2013 in File No.: EB-TCD-12-00004943</w:t>
      </w:r>
      <w:r w:rsidR="001D5EA8">
        <w:t>;</w:t>
      </w:r>
      <w:r w:rsidR="00077157">
        <w:t xml:space="preserve"> </w:t>
      </w:r>
      <w:r w:rsidR="001D5EA8">
        <w:t>and</w:t>
      </w:r>
      <w:r>
        <w:t xml:space="preserve"> </w:t>
      </w:r>
    </w:p>
    <w:p w:rsidR="00C05F91" w:rsidRPr="00BA30CA" w:rsidRDefault="00C05F91" w:rsidP="000340ED">
      <w:pPr>
        <w:pStyle w:val="ParaNum"/>
        <w:numPr>
          <w:ilvl w:val="0"/>
          <w:numId w:val="27"/>
        </w:numPr>
      </w:pPr>
      <w:r>
        <w:t>Any complaints, correspondence or any communication filed or otherwise submitted to the Commission by any individuals, business</w:t>
      </w:r>
      <w:r w:rsidR="00D71F44">
        <w:t>es</w:t>
      </w:r>
      <w:r>
        <w:t>, or entities pertaining to Dialing Services, LLC.</w:t>
      </w:r>
      <w:r>
        <w:rPr>
          <w:rStyle w:val="FootnoteReference"/>
        </w:rPr>
        <w:footnoteReference w:id="7"/>
      </w:r>
    </w:p>
    <w:p w:rsidR="008F264E" w:rsidRPr="00BA30CA" w:rsidRDefault="00C05F91" w:rsidP="0013206F">
      <w:pPr>
        <w:pStyle w:val="ParaNum"/>
      </w:pPr>
      <w:r>
        <w:t xml:space="preserve">On October 29, 2013, </w:t>
      </w:r>
      <w:r w:rsidR="00DD7AF5">
        <w:t>EB informed Schmitt that she had been classified as a “commercial use” requester under 47 C.F.R. § 0.466(a)(4).</w:t>
      </w:r>
      <w:r w:rsidR="00DD7AF5">
        <w:rPr>
          <w:rStyle w:val="FootnoteReference"/>
        </w:rPr>
        <w:footnoteReference w:id="8"/>
      </w:r>
      <w:r w:rsidR="00DD7AF5">
        <w:t xml:space="preserve">  As such, Schmitt would be responsible for all direct costs of searching for</w:t>
      </w:r>
      <w:r w:rsidR="0094142A">
        <w:t>,</w:t>
      </w:r>
      <w:r w:rsidR="00DD7AF5">
        <w:t xml:space="preserve"> reviewing, and duplicating responsive records</w:t>
      </w:r>
      <w:r w:rsidR="00590C39">
        <w:rPr>
          <w:rStyle w:val="FootnoteReference"/>
        </w:rPr>
        <w:footnoteReference w:id="9"/>
      </w:r>
      <w:r w:rsidR="00590C39">
        <w:t xml:space="preserve"> and would not be eligible for the reduced fees that are associated with other categories of requesters</w:t>
      </w:r>
      <w:r w:rsidR="00DD7AF5">
        <w:t>.</w:t>
      </w:r>
      <w:r w:rsidR="00590C39">
        <w:rPr>
          <w:rStyle w:val="FootnoteReference"/>
        </w:rPr>
        <w:footnoteReference w:id="10"/>
      </w:r>
      <w:r w:rsidR="00DD7AF5">
        <w:t xml:space="preserve"> </w:t>
      </w:r>
      <w:r w:rsidR="00530CF6">
        <w:t xml:space="preserve"> </w:t>
      </w:r>
      <w:r w:rsidR="00DD7AF5">
        <w:t>EB estimated that these costs would be $3,226.</w:t>
      </w:r>
      <w:r w:rsidR="00DD7AF5">
        <w:rPr>
          <w:rStyle w:val="FootnoteReference"/>
        </w:rPr>
        <w:footnoteReference w:id="11"/>
      </w:r>
      <w:r w:rsidR="00DD7AF5">
        <w:t xml:space="preserve">  On November 1, 2013, Schmitt clarified that the purpose of the Request was to seek information that would exculpate Dialing Services in the pending proceedings.  She asserted that, in view of this circumstance, she should not be classified as a commercial use requester</w:t>
      </w:r>
      <w:r w:rsidR="003827FF">
        <w:t>.</w:t>
      </w:r>
      <w:r w:rsidR="00F5022C">
        <w:rPr>
          <w:rStyle w:val="FootnoteReference"/>
        </w:rPr>
        <w:footnoteReference w:id="12"/>
      </w:r>
      <w:r w:rsidR="008F264E" w:rsidRPr="00BA30CA">
        <w:t xml:space="preserve">  </w:t>
      </w:r>
      <w:r w:rsidR="00F5022C">
        <w:t>EB responded, however, that Schmitt was properly classified as a commercial use requester and reaffirmed the $3,226 fee estimate.</w:t>
      </w:r>
      <w:r w:rsidR="004C4A53">
        <w:rPr>
          <w:rStyle w:val="FootnoteReference"/>
        </w:rPr>
        <w:footnoteReference w:id="13"/>
      </w:r>
      <w:r w:rsidR="008F264E" w:rsidRPr="00BA30CA">
        <w:t xml:space="preserve"> </w:t>
      </w:r>
    </w:p>
    <w:p w:rsidR="00F2746A" w:rsidRDefault="00771D1E" w:rsidP="00F74900">
      <w:pPr>
        <w:pStyle w:val="ParaNum"/>
      </w:pPr>
      <w:r w:rsidRPr="00627518">
        <w:t>In response, Schmitt amended her Request</w:t>
      </w:r>
      <w:r w:rsidR="001C497F">
        <w:t xml:space="preserve"> to drop </w:t>
      </w:r>
      <w:r w:rsidR="00CF785C">
        <w:t xml:space="preserve">the third category </w:t>
      </w:r>
      <w:r w:rsidR="001C497F">
        <w:t>entirely and add a new category</w:t>
      </w:r>
      <w:r w:rsidRPr="00627518">
        <w:t>.</w:t>
      </w:r>
      <w:r>
        <w:rPr>
          <w:rStyle w:val="FootnoteReference"/>
        </w:rPr>
        <w:footnoteReference w:id="14"/>
      </w:r>
      <w:r w:rsidRPr="00627518">
        <w:t xml:space="preserve">  </w:t>
      </w:r>
      <w:r w:rsidR="004C4A53" w:rsidRPr="00627518">
        <w:t>In separate correspondence, Schmitt indicated that she was willing to pay a maximum of $50 for processing her Request (as amended).</w:t>
      </w:r>
      <w:r w:rsidR="004C4A53">
        <w:rPr>
          <w:rStyle w:val="FootnoteReference"/>
        </w:rPr>
        <w:footnoteReference w:id="15"/>
      </w:r>
      <w:r w:rsidR="004C4A53" w:rsidRPr="00627518">
        <w:t xml:space="preserve">  In view of the amended Request, EB submitted a revised fee estimate of $2,338 and asked Schmitt to provide assurance </w:t>
      </w:r>
      <w:r w:rsidR="00622D54">
        <w:t>by December 13, 2</w:t>
      </w:r>
      <w:r w:rsidR="00E5625A">
        <w:t>013</w:t>
      </w:r>
      <w:r w:rsidR="00622D54">
        <w:t xml:space="preserve"> </w:t>
      </w:r>
      <w:r w:rsidR="004C4A53" w:rsidRPr="00627518">
        <w:t>that she would pay this amount.</w:t>
      </w:r>
      <w:r w:rsidR="00752318">
        <w:rPr>
          <w:rStyle w:val="FootnoteReference"/>
        </w:rPr>
        <w:footnoteReference w:id="16"/>
      </w:r>
      <w:r w:rsidR="008F264E" w:rsidRPr="00627518">
        <w:t xml:space="preserve">    </w:t>
      </w:r>
    </w:p>
    <w:p w:rsidR="00F74900" w:rsidRDefault="00752318" w:rsidP="00007B68">
      <w:pPr>
        <w:pStyle w:val="ParaNum"/>
      </w:pPr>
      <w:r w:rsidRPr="00627518">
        <w:t xml:space="preserve">Schmitt filed </w:t>
      </w:r>
      <w:r w:rsidR="001D5EA8">
        <w:t xml:space="preserve">an </w:t>
      </w:r>
      <w:r w:rsidRPr="00627518">
        <w:t>AFR</w:t>
      </w:r>
      <w:r w:rsidR="00622D54">
        <w:t xml:space="preserve"> on that date</w:t>
      </w:r>
      <w:r w:rsidRPr="00627518">
        <w:t>.</w:t>
      </w:r>
      <w:bookmarkStart w:id="1" w:name="_Ref342994361"/>
      <w:r w:rsidR="008F264E" w:rsidRPr="00627518">
        <w:t xml:space="preserve">  </w:t>
      </w:r>
      <w:r w:rsidR="00F2746A">
        <w:t xml:space="preserve">In </w:t>
      </w:r>
      <w:r w:rsidR="001D5EA8">
        <w:t>the</w:t>
      </w:r>
      <w:r w:rsidR="00F2746A">
        <w:t xml:space="preserve"> AFR, Schmitt contends that she should not be classified as a commercial use requester, reiterating that the purpose of her Request is to seek documents to support her client’s defense.  </w:t>
      </w:r>
      <w:r w:rsidR="009965C4">
        <w:t>In support of her contention, she argues that</w:t>
      </w:r>
      <w:r w:rsidR="00F2746A">
        <w:t xml:space="preserve"> “it defies logic” to label a party subjected without choice to Commission investigation as a commercial requester.</w:t>
      </w:r>
      <w:r w:rsidR="009965C4">
        <w:t xml:space="preserve">  She further argues that the Bureau’s interpretation of the term “commercial use” would render a provision in the FOIA statute </w:t>
      </w:r>
      <w:r w:rsidR="00031A5A">
        <w:t xml:space="preserve">providing for reduced fees to other requesters </w:t>
      </w:r>
      <w:r w:rsidR="00F2746A">
        <w:t>“useless and pointless.”</w:t>
      </w:r>
      <w:r w:rsidR="00F2746A">
        <w:rPr>
          <w:rStyle w:val="FootnoteReference"/>
        </w:rPr>
        <w:footnoteReference w:id="17"/>
      </w:r>
      <w:r w:rsidR="00F2746A">
        <w:t xml:space="preserve">  </w:t>
      </w:r>
      <w:r w:rsidR="0013180F">
        <w:t xml:space="preserve">She also </w:t>
      </w:r>
      <w:r w:rsidR="00F2746A">
        <w:t>asserts that cases relied on by EB to support its determination are irrelevant because they address the issue of fee waiver not fee category classification.</w:t>
      </w:r>
      <w:r w:rsidR="00F2746A">
        <w:rPr>
          <w:rStyle w:val="FootnoteReference"/>
        </w:rPr>
        <w:footnoteReference w:id="18"/>
      </w:r>
      <w:r w:rsidR="00F2746A" w:rsidRPr="00BA30CA">
        <w:t xml:space="preserve"> </w:t>
      </w:r>
      <w:r w:rsidR="00F2746A">
        <w:t xml:space="preserve">  Additionally, Schmitt </w:t>
      </w:r>
      <w:r w:rsidR="009965C4">
        <w:t>alleges</w:t>
      </w:r>
      <w:r w:rsidR="00F2746A">
        <w:t xml:space="preserve"> that there is a possible conflict of interest in that </w:t>
      </w:r>
      <w:r w:rsidR="009965C4">
        <w:t xml:space="preserve">the </w:t>
      </w:r>
      <w:r w:rsidR="00F2746A">
        <w:t>Chief of the Telecommunications Consumers Division, who is overseeing the enforcement proceedings against Dialing Services, also determines whether Dialing Services has access to potentially exculpatory information.</w:t>
      </w:r>
      <w:r w:rsidR="00F2746A">
        <w:rPr>
          <w:rStyle w:val="FootnoteReference"/>
        </w:rPr>
        <w:footnoteReference w:id="19"/>
      </w:r>
      <w:r w:rsidR="00F2746A">
        <w:t xml:space="preserve">  Finally, Schmitt asserts that, in the event she is classified as a commercial use requester, EB has not adequately justified the amount of its fee estimate.</w:t>
      </w:r>
      <w:r w:rsidR="00F2746A">
        <w:rPr>
          <w:rStyle w:val="FootnoteReference"/>
        </w:rPr>
        <w:footnoteReference w:id="20"/>
      </w:r>
      <w:bookmarkEnd w:id="1"/>
    </w:p>
    <w:p w:rsidR="008F264E" w:rsidRPr="00BA30CA" w:rsidRDefault="008F264E">
      <w:pPr>
        <w:pStyle w:val="Heading1"/>
      </w:pPr>
      <w:r w:rsidRPr="00BA30CA">
        <w:t>DISCUSSION</w:t>
      </w:r>
    </w:p>
    <w:p w:rsidR="0013206F" w:rsidRDefault="009F6A5D" w:rsidP="00F74900">
      <w:pPr>
        <w:pStyle w:val="ParaNum"/>
      </w:pPr>
      <w:bookmarkStart w:id="2" w:name="_Ref339626568"/>
      <w:r>
        <w:t xml:space="preserve">We find that EB properly </w:t>
      </w:r>
      <w:r w:rsidRPr="003A2E39">
        <w:t>classified</w:t>
      </w:r>
      <w:r>
        <w:t xml:space="preserve"> Schmitt as a commercial use requester</w:t>
      </w:r>
      <w:r w:rsidR="008A37C2">
        <w:t xml:space="preserve"> and disagree with Schmitt</w:t>
      </w:r>
      <w:r w:rsidR="00E00CC9">
        <w:t xml:space="preserve">’s assertion that this classification is not appropriate </w:t>
      </w:r>
      <w:r w:rsidR="00077157">
        <w:t xml:space="preserve">because </w:t>
      </w:r>
      <w:r w:rsidR="00E00CC9">
        <w:t>she is seeking the</w:t>
      </w:r>
      <w:r w:rsidR="008A37C2">
        <w:t xml:space="preserve"> </w:t>
      </w:r>
      <w:r w:rsidR="00E00CC9">
        <w:t xml:space="preserve">documents </w:t>
      </w:r>
      <w:r w:rsidR="008A37C2">
        <w:t>to defend a c</w:t>
      </w:r>
      <w:r w:rsidR="00E00CC9">
        <w:t>lient subject to a Commission in</w:t>
      </w:r>
      <w:r w:rsidR="008A37C2">
        <w:t>vestigation</w:t>
      </w:r>
      <w:r>
        <w:t xml:space="preserve">.  </w:t>
      </w:r>
      <w:r w:rsidR="00EE40D8">
        <w:t xml:space="preserve">Under </w:t>
      </w:r>
      <w:r w:rsidR="00D00A28">
        <w:t xml:space="preserve">47 C.F.R. § 0.466(a)(4), we classify as a commercial use a request filed for any use or purpose that furthers the commercial </w:t>
      </w:r>
      <w:r w:rsidR="009637E0">
        <w:t>inte</w:t>
      </w:r>
      <w:r w:rsidR="00630C5A">
        <w:t>r</w:t>
      </w:r>
      <w:r w:rsidR="009637E0">
        <w:t>ests</w:t>
      </w:r>
      <w:r w:rsidR="00D00A28">
        <w:t xml:space="preserve"> of the requester</w:t>
      </w:r>
      <w:r w:rsidR="00630C5A">
        <w:t xml:space="preserve">, </w:t>
      </w:r>
      <w:r w:rsidR="00E00CC9">
        <w:t xml:space="preserve">which would </w:t>
      </w:r>
      <w:r w:rsidR="00630C5A">
        <w:t>includ</w:t>
      </w:r>
      <w:r w:rsidR="00E00CC9">
        <w:t>e</w:t>
      </w:r>
      <w:r w:rsidR="00630C5A">
        <w:t xml:space="preserve"> defending those interests in litigation</w:t>
      </w:r>
      <w:r w:rsidR="00461FDB">
        <w:t>.</w:t>
      </w:r>
    </w:p>
    <w:p w:rsidR="009637E0" w:rsidRDefault="00D00A28" w:rsidP="00F74900">
      <w:pPr>
        <w:pStyle w:val="ParaNum"/>
      </w:pPr>
      <w:r>
        <w:t xml:space="preserve">Here, </w:t>
      </w:r>
      <w:r w:rsidR="007D5F94">
        <w:t xml:space="preserve">Schmitt filed her request on behalf of </w:t>
      </w:r>
      <w:r>
        <w:t xml:space="preserve">her client, </w:t>
      </w:r>
      <w:r w:rsidR="007D5F94">
        <w:t>a business corporation</w:t>
      </w:r>
      <w:r>
        <w:t xml:space="preserve">, </w:t>
      </w:r>
      <w:r w:rsidR="007D5F94">
        <w:t>to obtain information f</w:t>
      </w:r>
      <w:r w:rsidR="002473DC">
        <w:t>o</w:t>
      </w:r>
      <w:r w:rsidR="007D5F94">
        <w:t>r use in a</w:t>
      </w:r>
      <w:r w:rsidR="00EA6D7F">
        <w:t>n enforcement</w:t>
      </w:r>
      <w:r w:rsidR="007D5F94">
        <w:t xml:space="preserve"> proceeding </w:t>
      </w:r>
      <w:r w:rsidR="00EA6D7F">
        <w:t xml:space="preserve">arising from </w:t>
      </w:r>
      <w:r>
        <w:t xml:space="preserve">her client’s </w:t>
      </w:r>
      <w:r w:rsidR="007D5F94">
        <w:t xml:space="preserve">business activities. </w:t>
      </w:r>
      <w:r w:rsidR="002473DC">
        <w:t xml:space="preserve"> We </w:t>
      </w:r>
      <w:r w:rsidR="00652190">
        <w:t xml:space="preserve">find </w:t>
      </w:r>
      <w:r w:rsidR="002473DC">
        <w:t xml:space="preserve">that </w:t>
      </w:r>
      <w:r w:rsidR="002A71DE">
        <w:t>a</w:t>
      </w:r>
      <w:r w:rsidR="002473DC">
        <w:t xml:space="preserve"> request</w:t>
      </w:r>
      <w:r w:rsidR="00652190">
        <w:t xml:space="preserve"> </w:t>
      </w:r>
      <w:r w:rsidR="001B6343">
        <w:t>intended to defend a corporation’s business activities against possible enforcement action</w:t>
      </w:r>
      <w:r w:rsidR="002A71DE">
        <w:t xml:space="preserve"> </w:t>
      </w:r>
      <w:r w:rsidR="002473DC">
        <w:t>serves a commercial interest</w:t>
      </w:r>
      <w:r w:rsidR="00F14F52">
        <w:t xml:space="preserve"> within the scope of the Commission’s rules</w:t>
      </w:r>
      <w:r w:rsidR="00EE40D8">
        <w:t>.</w:t>
      </w:r>
      <w:r w:rsidR="007D5F94">
        <w:t xml:space="preserve">  </w:t>
      </w:r>
      <w:r w:rsidR="002707F6" w:rsidRPr="00EE40D8">
        <w:t xml:space="preserve"> </w:t>
      </w:r>
      <w:r w:rsidR="00614995">
        <w:rPr>
          <w:color w:val="000000"/>
        </w:rPr>
        <w:t xml:space="preserve">Further, we agree with EB that </w:t>
      </w:r>
      <w:r w:rsidR="0029212D" w:rsidRPr="00614995">
        <w:rPr>
          <w:color w:val="000000"/>
        </w:rPr>
        <w:t>judicial precedent</w:t>
      </w:r>
      <w:r w:rsidR="00CB6F49" w:rsidRPr="00614995">
        <w:rPr>
          <w:color w:val="000000"/>
        </w:rPr>
        <w:t xml:space="preserve"> </w:t>
      </w:r>
      <w:r w:rsidR="00D068AE" w:rsidRPr="00614995">
        <w:rPr>
          <w:color w:val="000000"/>
        </w:rPr>
        <w:t xml:space="preserve">squarely holds that </w:t>
      </w:r>
      <w:r w:rsidR="00AF7EAE" w:rsidRPr="00614995">
        <w:rPr>
          <w:color w:val="000000"/>
        </w:rPr>
        <w:t xml:space="preserve">FOIA requests to obtain information </w:t>
      </w:r>
      <w:r w:rsidR="00812CF1" w:rsidRPr="00614995">
        <w:rPr>
          <w:color w:val="000000"/>
        </w:rPr>
        <w:t xml:space="preserve">in connection with </w:t>
      </w:r>
      <w:r w:rsidR="00AF7EAE" w:rsidRPr="00614995">
        <w:rPr>
          <w:color w:val="000000"/>
        </w:rPr>
        <w:t xml:space="preserve">business-related litigation and enforcement </w:t>
      </w:r>
      <w:r w:rsidR="00812CF1" w:rsidRPr="00614995">
        <w:rPr>
          <w:color w:val="000000"/>
        </w:rPr>
        <w:t xml:space="preserve">proceedings </w:t>
      </w:r>
      <w:r w:rsidR="00D068AE" w:rsidRPr="00614995">
        <w:rPr>
          <w:color w:val="000000"/>
        </w:rPr>
        <w:t>are</w:t>
      </w:r>
      <w:r w:rsidR="00AF7EAE" w:rsidRPr="00614995">
        <w:rPr>
          <w:color w:val="000000"/>
        </w:rPr>
        <w:t xml:space="preserve"> commercial use requests.</w:t>
      </w:r>
      <w:r w:rsidR="00614995">
        <w:rPr>
          <w:rStyle w:val="FootnoteReference"/>
        </w:rPr>
        <w:footnoteReference w:id="21"/>
      </w:r>
      <w:r w:rsidR="00614995" w:rsidRPr="00614995">
        <w:rPr>
          <w:color w:val="000000"/>
        </w:rPr>
        <w:t xml:space="preserve"> </w:t>
      </w:r>
      <w:r w:rsidR="00614995">
        <w:rPr>
          <w:color w:val="000000"/>
        </w:rPr>
        <w:t xml:space="preserve"> </w:t>
      </w:r>
      <w:r w:rsidR="00FD295F" w:rsidRPr="00614995">
        <w:t xml:space="preserve">In </w:t>
      </w:r>
      <w:r w:rsidR="00FD295F" w:rsidRPr="00614995">
        <w:rPr>
          <w:i/>
        </w:rPr>
        <w:t>Avondale Industries, Inc. v. NLRB</w:t>
      </w:r>
      <w:r w:rsidR="00FD295F" w:rsidRPr="00614995">
        <w:t>,</w:t>
      </w:r>
      <w:r w:rsidR="00A7427E">
        <w:rPr>
          <w:rStyle w:val="FootnoteReference"/>
        </w:rPr>
        <w:footnoteReference w:id="22"/>
      </w:r>
      <w:r w:rsidR="00FD295F" w:rsidRPr="00614995">
        <w:t xml:space="preserve"> the court upheld the classification as a commercial use requester a </w:t>
      </w:r>
      <w:r w:rsidR="0053401A" w:rsidRPr="00614995">
        <w:t xml:space="preserve">shipbuilding </w:t>
      </w:r>
      <w:r w:rsidR="00FD295F" w:rsidRPr="00614995">
        <w:t>company that sought inform</w:t>
      </w:r>
      <w:r w:rsidR="00A7427E" w:rsidRPr="00614995">
        <w:t xml:space="preserve">ation for purposes of contesting union election results and/or defending itself in unfair trade practice proceedings.   Similarly, in </w:t>
      </w:r>
      <w:r w:rsidR="00A7427E" w:rsidRPr="00614995">
        <w:rPr>
          <w:i/>
        </w:rPr>
        <w:t>Rozet v. Dep’t of Housing and Urban Dev</w:t>
      </w:r>
      <w:r w:rsidR="002D69DE" w:rsidRPr="00614995">
        <w:rPr>
          <w:i/>
        </w:rPr>
        <w:t>’t</w:t>
      </w:r>
      <w:r w:rsidR="00A7427E" w:rsidRPr="00614995">
        <w:rPr>
          <w:i/>
        </w:rPr>
        <w:t>.,</w:t>
      </w:r>
      <w:r w:rsidR="00734705" w:rsidRPr="002D69DE">
        <w:rPr>
          <w:rStyle w:val="FootnoteReference"/>
        </w:rPr>
        <w:footnoteReference w:id="23"/>
      </w:r>
      <w:r w:rsidR="00A7427E" w:rsidRPr="00614995">
        <w:t xml:space="preserve"> the court found that the requester, the owner of </w:t>
      </w:r>
      <w:r w:rsidR="00734705" w:rsidRPr="00614995">
        <w:t xml:space="preserve">HUD-assisted </w:t>
      </w:r>
      <w:r w:rsidR="00A7427E" w:rsidRPr="00614995">
        <w:t>low income housing</w:t>
      </w:r>
      <w:r w:rsidR="00734705" w:rsidRPr="00614995">
        <w:t>, was a commercial use requester</w:t>
      </w:r>
      <w:r w:rsidR="00930809">
        <w:t>,</w:t>
      </w:r>
      <w:r w:rsidR="00734705" w:rsidRPr="00614995">
        <w:t xml:space="preserve"> based on the fact that the request closely followed</w:t>
      </w:r>
      <w:r w:rsidR="00C1153F" w:rsidRPr="00614995">
        <w:t>,</w:t>
      </w:r>
      <w:r w:rsidR="00734705" w:rsidRPr="00614995">
        <w:t xml:space="preserve"> and was related to</w:t>
      </w:r>
      <w:r w:rsidR="00C1153F" w:rsidRPr="00614995">
        <w:t>,</w:t>
      </w:r>
      <w:r w:rsidR="00734705" w:rsidRPr="00614995">
        <w:t xml:space="preserve"> the initiation of a lawsuit by HUD against the requester and his corporations.</w:t>
      </w:r>
      <w:r w:rsidR="002D69DE" w:rsidRPr="00614995">
        <w:t xml:space="preserve">  </w:t>
      </w:r>
      <w:r w:rsidR="00E00CC9">
        <w:t>In a</w:t>
      </w:r>
      <w:r w:rsidR="00905291" w:rsidRPr="00614995">
        <w:t xml:space="preserve"> third </w:t>
      </w:r>
      <w:r w:rsidR="0063175E" w:rsidRPr="00614995">
        <w:t xml:space="preserve">court </w:t>
      </w:r>
      <w:r w:rsidR="00905291" w:rsidRPr="00614995">
        <w:t xml:space="preserve">case cited by EB, </w:t>
      </w:r>
      <w:r w:rsidR="00905291" w:rsidRPr="00614995">
        <w:rPr>
          <w:i/>
        </w:rPr>
        <w:t>Research Air, Inc. v. Kemp</w:t>
      </w:r>
      <w:r w:rsidR="007A7848" w:rsidRPr="00614995">
        <w:rPr>
          <w:i/>
        </w:rPr>
        <w:t>t</w:t>
      </w:r>
      <w:r w:rsidR="00905291" w:rsidRPr="00614995">
        <w:rPr>
          <w:i/>
        </w:rPr>
        <w:t>horne,</w:t>
      </w:r>
      <w:r w:rsidR="0063175E" w:rsidRPr="00007B68">
        <w:rPr>
          <w:rStyle w:val="FootnoteReference"/>
        </w:rPr>
        <w:footnoteReference w:id="24"/>
      </w:r>
      <w:r w:rsidR="00007B68">
        <w:rPr>
          <w:i/>
        </w:rPr>
        <w:t xml:space="preserve"> </w:t>
      </w:r>
      <w:r w:rsidR="008F4EF6">
        <w:t xml:space="preserve">the court denied a fee waiver request </w:t>
      </w:r>
      <w:r w:rsidR="00E14050">
        <w:t>by</w:t>
      </w:r>
      <w:r w:rsidR="008F4EF6">
        <w:t xml:space="preserve"> the owner of a low-level commercial flight tracking business, who sought information to expunge reported violations of agency flight rules, holding that the request primarily benefitted the requester’s “commercial interest.”</w:t>
      </w:r>
      <w:r w:rsidR="00E87FED" w:rsidRPr="00E87FED">
        <w:rPr>
          <w:rStyle w:val="FootnoteReference"/>
        </w:rPr>
        <w:t xml:space="preserve"> </w:t>
      </w:r>
      <w:r w:rsidR="00E87FED" w:rsidRPr="008F4EF6">
        <w:rPr>
          <w:rStyle w:val="FootnoteReference"/>
        </w:rPr>
        <w:footnoteReference w:id="25"/>
      </w:r>
      <w:r w:rsidR="00E87FED" w:rsidRPr="008F4EF6">
        <w:rPr>
          <w:i/>
          <w:color w:val="000000"/>
        </w:rPr>
        <w:t xml:space="preserve"> </w:t>
      </w:r>
      <w:r w:rsidR="003A2E39">
        <w:t xml:space="preserve">   </w:t>
      </w:r>
    </w:p>
    <w:p w:rsidR="008F4EF6" w:rsidRPr="008F4EF6" w:rsidRDefault="008F4EF6" w:rsidP="00B1069F">
      <w:pPr>
        <w:pStyle w:val="ParaNum"/>
        <w:widowControl/>
      </w:pPr>
      <w:r>
        <w:t xml:space="preserve">We disagree with Schmitt’s argument that these </w:t>
      </w:r>
      <w:r w:rsidR="005B2531">
        <w:t xml:space="preserve">cases are “fee waiver” cases that are not applicable to the issue of commercial use “fee classification.”  First, we would note that the first two cases cited by EB were indeed fee classification cases, not fee waiver issues.  Second, while the third case </w:t>
      </w:r>
      <w:r w:rsidR="0013180F">
        <w:t xml:space="preserve">involved a </w:t>
      </w:r>
      <w:r w:rsidR="005B2531">
        <w:t>fee w</w:t>
      </w:r>
      <w:r w:rsidR="0013180F">
        <w:t xml:space="preserve">aiver </w:t>
      </w:r>
      <w:r w:rsidR="005B2531">
        <w:t>rather than a fee classi</w:t>
      </w:r>
      <w:r w:rsidR="0013180F">
        <w:t>fication</w:t>
      </w:r>
      <w:r w:rsidR="005B2531">
        <w:t>, it is still relevant to the analysis here.  A finding of “commercial interest” is a factor of decisional significance both with respect to a fee waiver determination and the classification of a commercial use requester</w:t>
      </w:r>
      <w:r w:rsidR="005B2531" w:rsidRPr="007D5DD7">
        <w:t>.</w:t>
      </w:r>
      <w:r w:rsidR="005B2531" w:rsidRPr="008F4EF6">
        <w:rPr>
          <w:rStyle w:val="FootnoteReference"/>
        </w:rPr>
        <w:footnoteReference w:id="26"/>
      </w:r>
    </w:p>
    <w:p w:rsidR="00F06894" w:rsidRDefault="009637E0" w:rsidP="00F74900">
      <w:pPr>
        <w:pStyle w:val="ParaNum"/>
      </w:pPr>
      <w:r w:rsidRPr="001570FB">
        <w:t xml:space="preserve">We </w:t>
      </w:r>
      <w:r w:rsidR="005B2531">
        <w:t xml:space="preserve">also </w:t>
      </w:r>
      <w:r w:rsidRPr="001570FB">
        <w:t xml:space="preserve">find unpersuasive Schmitt’s contention that such an interpretation renders provisions of the FOIA </w:t>
      </w:r>
      <w:r w:rsidR="00416431">
        <w:t>--</w:t>
      </w:r>
      <w:r w:rsidR="005B2531">
        <w:t xml:space="preserve"> </w:t>
      </w:r>
      <w:r w:rsidRPr="001570FB">
        <w:t>and</w:t>
      </w:r>
      <w:r w:rsidR="005B2531">
        <w:t>,</w:t>
      </w:r>
      <w:r w:rsidRPr="001570FB">
        <w:t xml:space="preserve"> </w:t>
      </w:r>
      <w:r w:rsidR="005B2531">
        <w:t xml:space="preserve">by extension, </w:t>
      </w:r>
      <w:r w:rsidRPr="001570FB">
        <w:t xml:space="preserve">the Commission’s rules </w:t>
      </w:r>
      <w:r w:rsidR="005B2531">
        <w:t xml:space="preserve">-- </w:t>
      </w:r>
      <w:r w:rsidRPr="001570FB">
        <w:t>“useless and pointless.”</w:t>
      </w:r>
      <w:r>
        <w:rPr>
          <w:rStyle w:val="FootnoteReference"/>
        </w:rPr>
        <w:footnoteReference w:id="27"/>
      </w:r>
      <w:r w:rsidR="001E45CC" w:rsidRPr="001570FB">
        <w:t xml:space="preserve">  </w:t>
      </w:r>
      <w:r w:rsidR="001570FB" w:rsidRPr="001570FB">
        <w:t xml:space="preserve">The FOIA and Commission’s rules </w:t>
      </w:r>
      <w:r w:rsidR="00387476">
        <w:t xml:space="preserve">designate </w:t>
      </w:r>
      <w:r w:rsidR="001570FB" w:rsidRPr="001570FB">
        <w:t>three mutually exclusive categories of FOIA requesters</w:t>
      </w:r>
      <w:r w:rsidR="009D50DC">
        <w:t xml:space="preserve"> for FOIA fee purposes</w:t>
      </w:r>
      <w:r w:rsidR="001570FB" w:rsidRPr="001570FB">
        <w:t xml:space="preserve">.  These are: </w:t>
      </w:r>
      <w:r w:rsidR="00E16D90">
        <w:t xml:space="preserve"> (1) commercial use requesters, req</w:t>
      </w:r>
      <w:r w:rsidR="00991A0D">
        <w:t>u</w:t>
      </w:r>
      <w:r w:rsidR="00E16D90">
        <w:t>ired to pay all direct costs of searching for, reviewing, and duplicating responsive records;</w:t>
      </w:r>
      <w:r w:rsidR="001570FB">
        <w:rPr>
          <w:rStyle w:val="FootnoteReference"/>
        </w:rPr>
        <w:footnoteReference w:id="28"/>
      </w:r>
      <w:r w:rsidR="001570FB" w:rsidRPr="001570FB">
        <w:t xml:space="preserve">  </w:t>
      </w:r>
      <w:r w:rsidR="0013180F">
        <w:t xml:space="preserve">(2) </w:t>
      </w:r>
      <w:r w:rsidR="001570FB">
        <w:t>educational and non-commercial scientific institution requesters and requesters who are representatives of the news media, required only to pay duplicating costs after the first 100 pages</w:t>
      </w:r>
      <w:r w:rsidR="00956034">
        <w:t>,</w:t>
      </w:r>
      <w:r w:rsidR="001570FB">
        <w:t xml:space="preserve"> but no search or review costs;</w:t>
      </w:r>
      <w:r w:rsidR="001570FB">
        <w:rPr>
          <w:rStyle w:val="FootnoteReference"/>
        </w:rPr>
        <w:footnoteReference w:id="29"/>
      </w:r>
      <w:r w:rsidR="001570FB">
        <w:t xml:space="preserve"> and </w:t>
      </w:r>
      <w:r w:rsidR="0013180F">
        <w:t xml:space="preserve">(3) </w:t>
      </w:r>
      <w:r w:rsidR="001570FB">
        <w:t>all other requesters, required to pay only search costs after the first two hours and duplicating costs after the first 100 pages</w:t>
      </w:r>
      <w:r w:rsidR="0025149C">
        <w:t>,</w:t>
      </w:r>
      <w:r w:rsidR="001570FB">
        <w:t xml:space="preserve"> but no review costs.</w:t>
      </w:r>
      <w:r w:rsidR="001570FB">
        <w:rPr>
          <w:rStyle w:val="FootnoteReference"/>
        </w:rPr>
        <w:footnoteReference w:id="30"/>
      </w:r>
      <w:r w:rsidR="001570FB">
        <w:t xml:space="preserve">  Schmitt apparently believes she should be classified as an “all other” requester.  The fact that we classify her, consistent with law and precedent, as a commercial use requester, does not render the </w:t>
      </w:r>
      <w:r w:rsidR="00991A0D">
        <w:t>“</w:t>
      </w:r>
      <w:r w:rsidR="001570FB">
        <w:t>all other</w:t>
      </w:r>
      <w:r w:rsidR="00991A0D">
        <w:t>”</w:t>
      </w:r>
      <w:r w:rsidR="001570FB">
        <w:t xml:space="preserve"> category “useless and pointless.”  </w:t>
      </w:r>
      <w:r w:rsidR="0007071E">
        <w:t xml:space="preserve">The “all other” category includes requesters who are not commercial use requesters </w:t>
      </w:r>
      <w:r w:rsidR="00436CED">
        <w:t>un</w:t>
      </w:r>
      <w:r w:rsidR="003C0BC4">
        <w:t>d</w:t>
      </w:r>
      <w:r w:rsidR="00436CED">
        <w:t xml:space="preserve">er category 1 </w:t>
      </w:r>
      <w:r w:rsidR="0007071E">
        <w:t xml:space="preserve">but who </w:t>
      </w:r>
      <w:r w:rsidR="00656E53">
        <w:t xml:space="preserve">do not meet the specific criteria necessary to qualify for the educational/scientific/news media </w:t>
      </w:r>
      <w:r w:rsidR="006D6FB8">
        <w:t>reduction</w:t>
      </w:r>
      <w:r w:rsidR="00656E53">
        <w:t xml:space="preserve"> provided under category 2.</w:t>
      </w:r>
      <w:r w:rsidR="004A7E22" w:rsidRPr="001570FB">
        <w:t xml:space="preserve"> </w:t>
      </w:r>
      <w:r w:rsidR="0007071E">
        <w:t xml:space="preserve"> For example, an ordinary member of the public seeking information for personal reasons would qualify as an </w:t>
      </w:r>
      <w:r w:rsidR="005122B4">
        <w:t>“</w:t>
      </w:r>
      <w:r w:rsidR="0007071E">
        <w:t>all other</w:t>
      </w:r>
      <w:r w:rsidR="005122B4">
        <w:t>”</w:t>
      </w:r>
      <w:r w:rsidR="0007071E">
        <w:t xml:space="preserve"> requester.</w:t>
      </w:r>
      <w:r w:rsidR="009402BB">
        <w:rPr>
          <w:rStyle w:val="FootnoteReference"/>
        </w:rPr>
        <w:footnoteReference w:id="31"/>
      </w:r>
    </w:p>
    <w:p w:rsidR="00E64CDD" w:rsidRDefault="00F212F1" w:rsidP="00F74900">
      <w:pPr>
        <w:pStyle w:val="ParaNum"/>
      </w:pPr>
      <w:r>
        <w:t xml:space="preserve">Finally, </w:t>
      </w:r>
      <w:r w:rsidR="0097622E" w:rsidRPr="00D16F3B">
        <w:t xml:space="preserve">we </w:t>
      </w:r>
      <w:r w:rsidR="009965B9">
        <w:t xml:space="preserve">find that </w:t>
      </w:r>
      <w:r w:rsidR="00882FF1">
        <w:t xml:space="preserve">EB adequately justified its </w:t>
      </w:r>
      <w:r w:rsidR="00DD6E0F">
        <w:t xml:space="preserve">fee </w:t>
      </w:r>
      <w:r w:rsidR="0097622E" w:rsidRPr="00D16F3B">
        <w:t>estimate</w:t>
      </w:r>
      <w:r w:rsidR="00D821C6" w:rsidRPr="00D16F3B">
        <w:t xml:space="preserve"> of $2,338</w:t>
      </w:r>
      <w:r w:rsidR="0097622E" w:rsidRPr="00D16F3B">
        <w:t>.</w:t>
      </w:r>
      <w:r w:rsidR="00D821C6" w:rsidRPr="00D16F3B">
        <w:t xml:space="preserve">  We have consulted with EB, which indicates that the </w:t>
      </w:r>
      <w:r w:rsidR="00A40679" w:rsidRPr="00D16F3B">
        <w:t xml:space="preserve">basis of the fee determination is as follows.  EB estimates that there are </w:t>
      </w:r>
      <w:r w:rsidR="003D4968" w:rsidRPr="00D16F3B">
        <w:t xml:space="preserve">approximately </w:t>
      </w:r>
      <w:r w:rsidR="00A40679" w:rsidRPr="00D16F3B">
        <w:t xml:space="preserve">4,000 pages of documents responsive to the Request.  EB estimates that it will require </w:t>
      </w:r>
      <w:r w:rsidR="003D4968" w:rsidRPr="00D16F3B">
        <w:t xml:space="preserve">about </w:t>
      </w:r>
      <w:r w:rsidR="00A40679" w:rsidRPr="00D16F3B">
        <w:t>one hour to</w:t>
      </w:r>
      <w:r w:rsidR="003D4968" w:rsidRPr="00D16F3B">
        <w:t xml:space="preserve"> </w:t>
      </w:r>
      <w:r w:rsidR="00A40679" w:rsidRPr="00D16F3B">
        <w:t xml:space="preserve">search for these documents and 28 hours to review them and redact exempt material.  </w:t>
      </w:r>
      <w:r w:rsidR="00E84F3C">
        <w:t>S</w:t>
      </w:r>
      <w:r w:rsidR="003D4968" w:rsidRPr="00D16F3B">
        <w:t>earch and review will be conducted by GS-15 employees</w:t>
      </w:r>
      <w:r w:rsidR="00D16F3B">
        <w:t>,</w:t>
      </w:r>
      <w:r w:rsidR="003D4968" w:rsidRPr="00D16F3B">
        <w:t xml:space="preserve"> at $80.65 per hour, inasmuch as these are the employees who are familiar with the documents and are thus able to locate and review them.</w:t>
      </w:r>
      <w:r w:rsidR="009D50DC">
        <w:rPr>
          <w:rStyle w:val="FootnoteReference"/>
        </w:rPr>
        <w:footnoteReference w:id="32"/>
      </w:r>
      <w:r w:rsidR="003D4968" w:rsidRPr="00D16F3B">
        <w:t xml:space="preserve">   </w:t>
      </w:r>
      <w:r w:rsidR="00D16F3B" w:rsidRPr="00D16F3B">
        <w:t>We find that EB’s estimates are reasonable, and we accept them.</w:t>
      </w:r>
    </w:p>
    <w:p w:rsidR="00E4358C" w:rsidRDefault="00E4358C" w:rsidP="00F74900">
      <w:pPr>
        <w:pStyle w:val="ParaNum"/>
      </w:pPr>
      <w:r>
        <w:t>The time for processing Schmitt’s FOIA request has been tolled pending resolution of the fee issue.</w:t>
      </w:r>
      <w:r>
        <w:rPr>
          <w:rStyle w:val="FootnoteReference"/>
        </w:rPr>
        <w:footnoteReference w:id="33"/>
      </w:r>
      <w:r w:rsidR="001D1380">
        <w:t xml:space="preserve">  Schmitt should notify EB within 10 working days </w:t>
      </w:r>
      <w:r w:rsidR="00F078A9">
        <w:t xml:space="preserve">of the release date of this memorandum opinion and order </w:t>
      </w:r>
      <w:r w:rsidR="001D1380">
        <w:t xml:space="preserve">of her willingness to pay the estimated fee.  </w:t>
      </w:r>
      <w:r w:rsidR="007630BF">
        <w:t xml:space="preserve">If she does not do so, EB should close the file </w:t>
      </w:r>
      <w:r w:rsidR="00AC447E">
        <w:t>on her</w:t>
      </w:r>
      <w:r w:rsidR="007630BF">
        <w:t xml:space="preserve"> FOIA request.</w:t>
      </w:r>
    </w:p>
    <w:bookmarkEnd w:id="2"/>
    <w:p w:rsidR="008F264E" w:rsidRPr="00BA30CA" w:rsidRDefault="008F264E" w:rsidP="003A2E39">
      <w:pPr>
        <w:pStyle w:val="Heading1"/>
      </w:pPr>
      <w:r w:rsidRPr="00BA30CA">
        <w:t>ORDERING CLAUSE</w:t>
      </w:r>
      <w:r w:rsidR="00943ED6" w:rsidRPr="00BA30CA">
        <w:t>S</w:t>
      </w:r>
    </w:p>
    <w:p w:rsidR="008F264E" w:rsidRPr="00BA30CA" w:rsidRDefault="008F264E" w:rsidP="00F74900">
      <w:pPr>
        <w:pStyle w:val="ParaNum"/>
      </w:pPr>
      <w:r w:rsidRPr="00BA30CA">
        <w:t xml:space="preserve">IT IS ORDERED that the application for review filed by </w:t>
      </w:r>
      <w:r w:rsidR="00D16F3B">
        <w:t>Gen</w:t>
      </w:r>
      <w:r w:rsidR="00443C6C">
        <w:t>e</w:t>
      </w:r>
      <w:r w:rsidR="00D16F3B">
        <w:t xml:space="preserve">vieve Schmitt </w:t>
      </w:r>
      <w:r w:rsidRPr="00BA30CA">
        <w:t xml:space="preserve">IS DENIED.  </w:t>
      </w:r>
      <w:r w:rsidR="00D16F3B">
        <w:t xml:space="preserve">Schmitt </w:t>
      </w:r>
      <w:r w:rsidR="00FD295F">
        <w:t>may seek judicial review of this action pursuant to 5 U.S.C. § 552(a)(4)(B</w:t>
      </w:r>
      <w:r w:rsidR="00FD295F" w:rsidRPr="00776E57">
        <w:t>).</w:t>
      </w:r>
      <w:r w:rsidR="00FD295F" w:rsidRPr="00776E57">
        <w:rPr>
          <w:rStyle w:val="FootnoteReference"/>
        </w:rPr>
        <w:footnoteReference w:id="34"/>
      </w:r>
      <w:r w:rsidR="00FD295F">
        <w:t xml:space="preserve">  </w:t>
      </w:r>
    </w:p>
    <w:p w:rsidR="008F264E" w:rsidRPr="00BA30CA" w:rsidRDefault="008F264E" w:rsidP="00F74900">
      <w:pPr>
        <w:pStyle w:val="ParaNum"/>
      </w:pPr>
      <w:r w:rsidRPr="00BA30CA">
        <w:t xml:space="preserve">The officials responsible for this action are the following:  </w:t>
      </w:r>
      <w:r w:rsidR="00FD295F">
        <w:t>Chairman Wheeler and Commis</w:t>
      </w:r>
      <w:r w:rsidR="00443C6C">
        <w:t>sioners</w:t>
      </w:r>
      <w:r w:rsidRPr="00BA30CA">
        <w:t xml:space="preserve"> Clyburn</w:t>
      </w:r>
      <w:r w:rsidR="00FD295F">
        <w:t xml:space="preserve">, </w:t>
      </w:r>
      <w:r w:rsidRPr="00BA30CA">
        <w:t>Rosenworcel</w:t>
      </w:r>
      <w:r w:rsidR="00FD295F">
        <w:t>, P</w:t>
      </w:r>
      <w:r w:rsidRPr="00BA30CA">
        <w:t>ai</w:t>
      </w:r>
      <w:r w:rsidR="00FD295F">
        <w:t>, and O’Rielly</w:t>
      </w:r>
      <w:r w:rsidRPr="00BA30CA">
        <w:t>.</w:t>
      </w:r>
    </w:p>
    <w:p w:rsidR="008F264E" w:rsidRPr="00BA30CA" w:rsidRDefault="008F264E" w:rsidP="003A2E39">
      <w:pPr>
        <w:ind w:left="3600" w:firstLine="720"/>
        <w:rPr>
          <w:szCs w:val="22"/>
        </w:rPr>
      </w:pPr>
      <w:r w:rsidRPr="00BA30CA">
        <w:rPr>
          <w:szCs w:val="22"/>
        </w:rPr>
        <w:t>FEDERAL COMMUNICATIONS COMMISSION</w:t>
      </w:r>
    </w:p>
    <w:p w:rsidR="008F264E" w:rsidRPr="00BA30CA" w:rsidRDefault="008F264E" w:rsidP="003A2E39">
      <w:pPr>
        <w:ind w:firstLine="720"/>
        <w:rPr>
          <w:szCs w:val="22"/>
        </w:rPr>
      </w:pPr>
    </w:p>
    <w:p w:rsidR="008F264E" w:rsidRDefault="008F264E" w:rsidP="003A2E39">
      <w:pPr>
        <w:ind w:firstLine="720"/>
        <w:rPr>
          <w:szCs w:val="22"/>
        </w:rPr>
      </w:pPr>
    </w:p>
    <w:p w:rsidR="00CC2EF6" w:rsidRPr="00BA30CA" w:rsidRDefault="00CC2EF6" w:rsidP="003A2E39">
      <w:pPr>
        <w:ind w:firstLine="720"/>
        <w:rPr>
          <w:szCs w:val="22"/>
        </w:rPr>
      </w:pPr>
    </w:p>
    <w:p w:rsidR="008F264E" w:rsidRPr="00BA30CA" w:rsidRDefault="008F264E" w:rsidP="003A2E39">
      <w:pPr>
        <w:ind w:firstLine="720"/>
        <w:rPr>
          <w:szCs w:val="22"/>
        </w:rPr>
      </w:pPr>
    </w:p>
    <w:p w:rsidR="008F264E" w:rsidRPr="00BA30CA" w:rsidRDefault="008F264E" w:rsidP="003A2E39">
      <w:pPr>
        <w:ind w:left="3600" w:firstLine="720"/>
        <w:rPr>
          <w:szCs w:val="22"/>
        </w:rPr>
      </w:pPr>
      <w:r w:rsidRPr="00BA30CA">
        <w:rPr>
          <w:szCs w:val="22"/>
        </w:rPr>
        <w:t>Marlene H. Dortch</w:t>
      </w:r>
    </w:p>
    <w:p w:rsidR="008F264E" w:rsidRPr="00BA30CA" w:rsidRDefault="0097573F" w:rsidP="003A2E39">
      <w:pPr>
        <w:pStyle w:val="Default"/>
        <w:ind w:firstLine="720"/>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sidR="008F264E" w:rsidRPr="00BA30CA">
        <w:rPr>
          <w:color w:val="auto"/>
          <w:sz w:val="22"/>
          <w:szCs w:val="22"/>
        </w:rPr>
        <w:t>Secretary</w:t>
      </w:r>
    </w:p>
    <w:p w:rsidR="008F264E" w:rsidRPr="00BA30CA" w:rsidRDefault="008F264E" w:rsidP="003A2E39">
      <w:pPr>
        <w:pStyle w:val="Default"/>
        <w:ind w:firstLine="720"/>
        <w:rPr>
          <w:sz w:val="22"/>
          <w:szCs w:val="22"/>
        </w:rPr>
      </w:pPr>
    </w:p>
    <w:p w:rsidR="00980B63" w:rsidRPr="00BA30CA" w:rsidRDefault="00980B63" w:rsidP="003A2E39">
      <w:pPr>
        <w:rPr>
          <w:szCs w:val="22"/>
        </w:rPr>
      </w:pPr>
    </w:p>
    <w:sectPr w:rsidR="00980B63" w:rsidRPr="00BA30CA" w:rsidSect="00EC258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A51" w:rsidRDefault="00913A51" w:rsidP="008F264E">
      <w:r>
        <w:separator/>
      </w:r>
    </w:p>
  </w:endnote>
  <w:endnote w:type="continuationSeparator" w:id="0">
    <w:p w:rsidR="00913A51" w:rsidRDefault="00913A51" w:rsidP="008F2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BEF" w:rsidRDefault="00573B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58F" w:rsidRDefault="00EC258F">
    <w:pPr>
      <w:pStyle w:val="Footer"/>
      <w:jc w:val="center"/>
    </w:pPr>
    <w:r>
      <w:rPr>
        <w:rStyle w:val="PageNumber"/>
      </w:rPr>
      <w:fldChar w:fldCharType="begin"/>
    </w:r>
    <w:r>
      <w:rPr>
        <w:rStyle w:val="PageNumber"/>
      </w:rPr>
      <w:instrText xml:space="preserve"> PAGE </w:instrText>
    </w:r>
    <w:r>
      <w:rPr>
        <w:rStyle w:val="PageNumber"/>
      </w:rPr>
      <w:fldChar w:fldCharType="separate"/>
    </w:r>
    <w:r w:rsidR="00573BEF">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BEF" w:rsidRDefault="00573B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A51" w:rsidRDefault="00913A51" w:rsidP="008F264E">
      <w:r>
        <w:separator/>
      </w:r>
    </w:p>
  </w:footnote>
  <w:footnote w:type="continuationSeparator" w:id="0">
    <w:p w:rsidR="00913A51" w:rsidRDefault="00913A51" w:rsidP="009503BC">
      <w:pPr>
        <w:spacing w:before="120"/>
        <w:rPr>
          <w:sz w:val="20"/>
        </w:rPr>
      </w:pPr>
      <w:r>
        <w:rPr>
          <w:sz w:val="20"/>
        </w:rPr>
        <w:t xml:space="preserve">(Continued from previous page)  </w:t>
      </w:r>
      <w:r>
        <w:rPr>
          <w:sz w:val="20"/>
        </w:rPr>
        <w:separator/>
      </w:r>
    </w:p>
    <w:p w:rsidR="00913A51" w:rsidRPr="009503BC" w:rsidRDefault="00913A51" w:rsidP="009503BC">
      <w:pPr>
        <w:pStyle w:val="Footer"/>
      </w:pPr>
    </w:p>
  </w:footnote>
  <w:footnote w:type="continuationNotice" w:id="1">
    <w:p w:rsidR="00913A51" w:rsidRPr="00095749" w:rsidRDefault="00913A51" w:rsidP="009503BC">
      <w:pPr>
        <w:jc w:val="right"/>
        <w:rPr>
          <w:sz w:val="20"/>
        </w:rPr>
      </w:pPr>
      <w:r w:rsidRPr="00095749">
        <w:rPr>
          <w:sz w:val="20"/>
        </w:rPr>
        <w:t>(continued. . . )</w:t>
      </w:r>
    </w:p>
  </w:footnote>
  <w:footnote w:id="2">
    <w:p w:rsidR="00EC258F" w:rsidRPr="007950E4" w:rsidRDefault="00EC258F">
      <w:pPr>
        <w:pStyle w:val="FootnoteText"/>
      </w:pPr>
      <w:r>
        <w:rPr>
          <w:rStyle w:val="FootnoteReference"/>
        </w:rPr>
        <w:footnoteRef/>
      </w:r>
      <w:r>
        <w:t xml:space="preserve"> </w:t>
      </w:r>
      <w:r>
        <w:rPr>
          <w:i/>
        </w:rPr>
        <w:t xml:space="preserve">See </w:t>
      </w:r>
      <w:r>
        <w:t>Letter from Genevieve C. Schmitt to Office of General Counsel (Dec. 13, 2013) (AFR).  Ms. Schmitt filed her request in her capacity as an associate with the law firm Roth Doner Jackson, PLC.</w:t>
      </w:r>
    </w:p>
  </w:footnote>
  <w:footnote w:id="3">
    <w:p w:rsidR="00EC258F" w:rsidRPr="00A22B6A" w:rsidRDefault="00EC258F">
      <w:pPr>
        <w:pStyle w:val="FootnoteText"/>
      </w:pPr>
      <w:r>
        <w:rPr>
          <w:rStyle w:val="FootnoteReference"/>
        </w:rPr>
        <w:footnoteRef/>
      </w:r>
      <w:r>
        <w:t xml:space="preserve"> </w:t>
      </w:r>
      <w:r>
        <w:rPr>
          <w:i/>
        </w:rPr>
        <w:t xml:space="preserve">See </w:t>
      </w:r>
      <w:r>
        <w:t>AFR, Exhs. B, D, and F (Letter from Richard A. Hindman, Chief, Telecommunications Consumers Division, Enforcement Bureau to Ms. Genevieve Schmitt, Esq. (Oct. 29, 2013) (October 29 Letter);</w:t>
      </w:r>
      <w:r>
        <w:rPr>
          <w:i/>
        </w:rPr>
        <w:t xml:space="preserve"> </w:t>
      </w:r>
      <w:r>
        <w:t>Letter from Richard A. Hindman, Chief, Telecommunications Consumers Division, Enforcement Bureau to Ms. Genevieve Schmitt, Esq. (Nov. 7, 2013) (November 7 Letter);</w:t>
      </w:r>
      <w:r w:rsidRPr="00A22B6A">
        <w:t xml:space="preserve"> </w:t>
      </w:r>
      <w:r>
        <w:t xml:space="preserve">Letter from Richard A. Hindman, Chief, Telecommunications Consumers Division, Enforcement Bureau to Ms. Genevieve Schmitt, Esq. (Nov. 21, 2013) (November 21 Letter)).  Schmitt’s AFR was timely filed within 30 days of the November 21 Letter.  </w:t>
      </w:r>
    </w:p>
  </w:footnote>
  <w:footnote w:id="4">
    <w:p w:rsidR="00EC258F" w:rsidRPr="00A22B6A" w:rsidRDefault="00EC258F">
      <w:pPr>
        <w:pStyle w:val="FootnoteText"/>
      </w:pPr>
      <w:r>
        <w:rPr>
          <w:rStyle w:val="FootnoteReference"/>
        </w:rPr>
        <w:footnoteRef/>
      </w:r>
      <w:r>
        <w:t xml:space="preserve"> </w:t>
      </w:r>
      <w:r>
        <w:rPr>
          <w:i/>
        </w:rPr>
        <w:t xml:space="preserve">See </w:t>
      </w:r>
      <w:r>
        <w:t xml:space="preserve">e-mail from Genevieve Schmitt to </w:t>
      </w:r>
      <w:hyperlink r:id="rId1" w:history="1">
        <w:r w:rsidRPr="00007C53">
          <w:rPr>
            <w:rStyle w:val="Hyperlink"/>
          </w:rPr>
          <w:t>FOIA@fcc.gov</w:t>
        </w:r>
      </w:hyperlink>
      <w:r>
        <w:t xml:space="preserve"> (Oct. 21, 2013) (Request).</w:t>
      </w:r>
    </w:p>
  </w:footnote>
  <w:footnote w:id="5">
    <w:p w:rsidR="00EC258F" w:rsidRPr="00DC4597" w:rsidRDefault="00EC258F">
      <w:pPr>
        <w:pStyle w:val="FootnoteText"/>
      </w:pPr>
      <w:r>
        <w:rPr>
          <w:rStyle w:val="FootnoteReference"/>
        </w:rPr>
        <w:footnoteRef/>
      </w:r>
      <w:r>
        <w:t xml:space="preserve"> </w:t>
      </w:r>
      <w:r>
        <w:rPr>
          <w:i/>
        </w:rPr>
        <w:t xml:space="preserve">See </w:t>
      </w:r>
      <w:r>
        <w:t>AFR at 1.</w:t>
      </w:r>
    </w:p>
  </w:footnote>
  <w:footnote w:id="6">
    <w:p w:rsidR="00EC258F" w:rsidRPr="005502AA" w:rsidRDefault="00EC258F">
      <w:pPr>
        <w:pStyle w:val="FootnoteText"/>
        <w:rPr>
          <w:i/>
        </w:rPr>
      </w:pPr>
      <w:r>
        <w:rPr>
          <w:rStyle w:val="FootnoteReference"/>
        </w:rPr>
        <w:footnoteRef/>
      </w:r>
      <w:r>
        <w:t xml:space="preserve"> </w:t>
      </w:r>
      <w:r>
        <w:rPr>
          <w:i/>
        </w:rPr>
        <w:t xml:space="preserve">See Democratic Dialing, </w:t>
      </w:r>
      <w:r>
        <w:t xml:space="preserve">Citation and Order, 28 FCC Rcd 1831 (TCD Mar. 15, 2013); </w:t>
      </w:r>
      <w:r>
        <w:rPr>
          <w:i/>
        </w:rPr>
        <w:t xml:space="preserve">Dialing Services, LLC, </w:t>
      </w:r>
      <w:r>
        <w:t xml:space="preserve">Citation and Order, 28 FCC Rcd 1840 (TCD Mar. 15, 2013); AFR, Exh. I (Letter from Chris Kolker to Federal Communications Commission (received Apr. 3, 2007)).  </w:t>
      </w:r>
      <w:r>
        <w:rPr>
          <w:i/>
        </w:rPr>
        <w:t xml:space="preserve">See also </w:t>
      </w:r>
      <w:r>
        <w:t xml:space="preserve">AFR, Exhs. H, J (investigation-related documents).  Both Dialing Services and Democratic Dialing provide so-called robocalling services.  </w:t>
      </w:r>
      <w:r>
        <w:rPr>
          <w:i/>
        </w:rPr>
        <w:t xml:space="preserve">  </w:t>
      </w:r>
    </w:p>
  </w:footnote>
  <w:footnote w:id="7">
    <w:p w:rsidR="00EC258F" w:rsidRPr="00C05F91" w:rsidRDefault="00EC258F">
      <w:pPr>
        <w:pStyle w:val="FootnoteText"/>
      </w:pPr>
      <w:r>
        <w:rPr>
          <w:rStyle w:val="FootnoteReference"/>
        </w:rPr>
        <w:footnoteRef/>
      </w:r>
      <w:r>
        <w:t xml:space="preserve"> </w:t>
      </w:r>
      <w:r>
        <w:rPr>
          <w:i/>
        </w:rPr>
        <w:t xml:space="preserve">See </w:t>
      </w:r>
      <w:r>
        <w:t>Request at 1.</w:t>
      </w:r>
    </w:p>
  </w:footnote>
  <w:footnote w:id="8">
    <w:p w:rsidR="00EC258F" w:rsidRPr="00DD7AF5" w:rsidRDefault="00EC258F">
      <w:pPr>
        <w:pStyle w:val="FootnoteText"/>
      </w:pPr>
      <w:r>
        <w:rPr>
          <w:rStyle w:val="FootnoteReference"/>
        </w:rPr>
        <w:footnoteRef/>
      </w:r>
      <w:r>
        <w:t xml:space="preserve"> </w:t>
      </w:r>
      <w:r>
        <w:rPr>
          <w:i/>
        </w:rPr>
        <w:t xml:space="preserve">See </w:t>
      </w:r>
      <w:r>
        <w:t>October 29 Letter at 1-2.</w:t>
      </w:r>
    </w:p>
  </w:footnote>
  <w:footnote w:id="9">
    <w:p w:rsidR="00EC258F" w:rsidRPr="00DD7AF5" w:rsidRDefault="00EC258F" w:rsidP="00590C39">
      <w:pPr>
        <w:pStyle w:val="FootnoteText"/>
      </w:pPr>
      <w:r>
        <w:rPr>
          <w:rStyle w:val="FootnoteReference"/>
        </w:rPr>
        <w:footnoteRef/>
      </w:r>
      <w:r>
        <w:t xml:space="preserve"> </w:t>
      </w:r>
      <w:r>
        <w:rPr>
          <w:i/>
        </w:rPr>
        <w:t xml:space="preserve">See </w:t>
      </w:r>
      <w:r>
        <w:t xml:space="preserve">47 C.F.R. § 0.470(a)(1).  </w:t>
      </w:r>
    </w:p>
  </w:footnote>
  <w:footnote w:id="10">
    <w:p w:rsidR="00EC258F" w:rsidRPr="00E87FED" w:rsidRDefault="00EC258F">
      <w:pPr>
        <w:pStyle w:val="FootnoteText"/>
      </w:pPr>
      <w:r>
        <w:rPr>
          <w:rStyle w:val="FootnoteReference"/>
        </w:rPr>
        <w:footnoteRef/>
      </w:r>
      <w:r>
        <w:t xml:space="preserve"> </w:t>
      </w:r>
      <w:r>
        <w:rPr>
          <w:i/>
        </w:rPr>
        <w:t xml:space="preserve">See </w:t>
      </w:r>
      <w:r>
        <w:t xml:space="preserve">47 C.F.R. § 0.470(a)(2) (educational and non-commercial scientific institution requesters and requesters who are representatives of the news media – required only to pay duplicating costs after the first 100 pages but no search or review costs); 47 C.F.R. § 0.470(a)(3) (all other requesters – required to pay only search costs after the first two hours and duplicating costs after the first 100 pages but no review costs).  </w:t>
      </w:r>
      <w:r>
        <w:rPr>
          <w:i/>
        </w:rPr>
        <w:t xml:space="preserve">See also infra </w:t>
      </w:r>
      <w:r>
        <w:t>paragraph 10.</w:t>
      </w:r>
    </w:p>
  </w:footnote>
  <w:footnote w:id="11">
    <w:p w:rsidR="00EC258F" w:rsidRPr="00DD7AF5" w:rsidRDefault="00EC258F">
      <w:pPr>
        <w:pStyle w:val="FootnoteText"/>
      </w:pPr>
      <w:r>
        <w:rPr>
          <w:rStyle w:val="FootnoteReference"/>
        </w:rPr>
        <w:footnoteRef/>
      </w:r>
      <w:r>
        <w:t xml:space="preserve"> </w:t>
      </w:r>
      <w:r>
        <w:rPr>
          <w:i/>
        </w:rPr>
        <w:t xml:space="preserve">See </w:t>
      </w:r>
      <w:r>
        <w:t>October 29 Letter at 2.</w:t>
      </w:r>
    </w:p>
  </w:footnote>
  <w:footnote w:id="12">
    <w:p w:rsidR="00EC258F" w:rsidRPr="00F5022C" w:rsidRDefault="00EC258F">
      <w:pPr>
        <w:pStyle w:val="FootnoteText"/>
      </w:pPr>
      <w:r>
        <w:rPr>
          <w:rStyle w:val="FootnoteReference"/>
        </w:rPr>
        <w:footnoteRef/>
      </w:r>
      <w:r>
        <w:t xml:space="preserve"> </w:t>
      </w:r>
      <w:r>
        <w:rPr>
          <w:i/>
        </w:rPr>
        <w:t xml:space="preserve">See </w:t>
      </w:r>
      <w:r>
        <w:t xml:space="preserve">AFR, Exh. C (e-mail from Genevieve Schmitt to Stacey Weiss and Johnny Drake (Nov. 1, 2013)).  </w:t>
      </w:r>
    </w:p>
  </w:footnote>
  <w:footnote w:id="13">
    <w:p w:rsidR="00EC258F" w:rsidRPr="00752318" w:rsidRDefault="00EC258F">
      <w:pPr>
        <w:pStyle w:val="FootnoteText"/>
      </w:pPr>
      <w:r>
        <w:rPr>
          <w:rStyle w:val="FootnoteReference"/>
        </w:rPr>
        <w:footnoteRef/>
      </w:r>
      <w:r>
        <w:t xml:space="preserve"> </w:t>
      </w:r>
      <w:r>
        <w:rPr>
          <w:i/>
        </w:rPr>
        <w:t xml:space="preserve">See </w:t>
      </w:r>
      <w:r>
        <w:t>November 7 Letter at 2-4.</w:t>
      </w:r>
    </w:p>
  </w:footnote>
  <w:footnote w:id="14">
    <w:p w:rsidR="00EC258F" w:rsidRPr="00771D1E" w:rsidRDefault="00EC258F">
      <w:pPr>
        <w:pStyle w:val="FootnoteText"/>
      </w:pPr>
      <w:r>
        <w:rPr>
          <w:rStyle w:val="FootnoteReference"/>
        </w:rPr>
        <w:footnoteRef/>
      </w:r>
      <w:r>
        <w:t xml:space="preserve"> </w:t>
      </w:r>
      <w:r>
        <w:rPr>
          <w:i/>
        </w:rPr>
        <w:t xml:space="preserve">See </w:t>
      </w:r>
      <w:r>
        <w:t xml:space="preserve">AFR, Exh. E (e-mail from Genevieve Schmitt to Lisa Williford (Nov. 12, 2013)).  Her new category requested: </w:t>
      </w:r>
      <w:r w:rsidRPr="00627518">
        <w:rPr>
          <w:szCs w:val="22"/>
        </w:rPr>
        <w:t>“Any word document, pdf or excel spreadsheet identifying telephone number</w:t>
      </w:r>
      <w:r>
        <w:rPr>
          <w:szCs w:val="22"/>
        </w:rPr>
        <w:t>s</w:t>
      </w:r>
      <w:r w:rsidRPr="00627518">
        <w:rPr>
          <w:szCs w:val="22"/>
        </w:rPr>
        <w:t xml:space="preserve"> called [</w:t>
      </w:r>
      <w:r>
        <w:rPr>
          <w:szCs w:val="22"/>
        </w:rPr>
        <w:t>that</w:t>
      </w:r>
      <w:r w:rsidRPr="00627518">
        <w:rPr>
          <w:szCs w:val="22"/>
        </w:rPr>
        <w:t xml:space="preserve"> Democratic Dialing] submitted in [Democratic Dialing’s] response</w:t>
      </w:r>
      <w:r>
        <w:rPr>
          <w:szCs w:val="22"/>
        </w:rPr>
        <w:t>(</w:t>
      </w:r>
      <w:r w:rsidRPr="00627518">
        <w:rPr>
          <w:szCs w:val="22"/>
        </w:rPr>
        <w:t>s</w:t>
      </w:r>
      <w:r>
        <w:rPr>
          <w:szCs w:val="22"/>
        </w:rPr>
        <w:t>)</w:t>
      </w:r>
      <w:r w:rsidRPr="00627518">
        <w:rPr>
          <w:szCs w:val="22"/>
        </w:rPr>
        <w:t xml:space="preserve"> to the Letter of Investigation for File No.: EB-TCD-12-00004943.  To the extent full telephone numbers may not be publicly disclosed, I request the area code and first four digits of such telephone numbers.”  </w:t>
      </w:r>
    </w:p>
  </w:footnote>
  <w:footnote w:id="15">
    <w:p w:rsidR="00EC258F" w:rsidRDefault="00EC258F">
      <w:pPr>
        <w:pStyle w:val="FootnoteText"/>
      </w:pPr>
      <w:r>
        <w:rPr>
          <w:rStyle w:val="FootnoteReference"/>
        </w:rPr>
        <w:footnoteRef/>
      </w:r>
      <w:r>
        <w:t xml:space="preserve"> </w:t>
      </w:r>
      <w:r>
        <w:rPr>
          <w:i/>
        </w:rPr>
        <w:t xml:space="preserve">See </w:t>
      </w:r>
      <w:r>
        <w:t xml:space="preserve">e-mail from Genevieve Schmitt to Stacey Weiss (Nov. 14, 2013).  </w:t>
      </w:r>
    </w:p>
  </w:footnote>
  <w:footnote w:id="16">
    <w:p w:rsidR="00EC258F" w:rsidRPr="00752318" w:rsidRDefault="00EC258F">
      <w:pPr>
        <w:pStyle w:val="FootnoteText"/>
      </w:pPr>
      <w:r>
        <w:rPr>
          <w:rStyle w:val="FootnoteReference"/>
        </w:rPr>
        <w:footnoteRef/>
      </w:r>
      <w:r>
        <w:t xml:space="preserve"> </w:t>
      </w:r>
      <w:r>
        <w:rPr>
          <w:i/>
        </w:rPr>
        <w:t xml:space="preserve">See </w:t>
      </w:r>
      <w:r>
        <w:t>November 21 Letter at 2-3.</w:t>
      </w:r>
    </w:p>
  </w:footnote>
  <w:footnote w:id="17">
    <w:p w:rsidR="00EC258F" w:rsidRPr="00004D6E" w:rsidRDefault="00EC258F" w:rsidP="00F2746A">
      <w:pPr>
        <w:pStyle w:val="FootnoteText"/>
      </w:pPr>
      <w:r>
        <w:rPr>
          <w:rStyle w:val="FootnoteReference"/>
        </w:rPr>
        <w:footnoteRef/>
      </w:r>
      <w:r>
        <w:t xml:space="preserve"> </w:t>
      </w:r>
      <w:r>
        <w:rPr>
          <w:i/>
        </w:rPr>
        <w:t xml:space="preserve">See </w:t>
      </w:r>
      <w:r>
        <w:t xml:space="preserve">AFR at 3-4.  </w:t>
      </w:r>
      <w:r>
        <w:rPr>
          <w:i/>
        </w:rPr>
        <w:t xml:space="preserve">See also infra </w:t>
      </w:r>
      <w:r>
        <w:t xml:space="preserve">paragraph 10.  </w:t>
      </w:r>
    </w:p>
  </w:footnote>
  <w:footnote w:id="18">
    <w:p w:rsidR="00EC258F" w:rsidRPr="00632BE5" w:rsidRDefault="00EC258F" w:rsidP="00F2746A">
      <w:pPr>
        <w:pStyle w:val="FootnoteText"/>
      </w:pPr>
      <w:r>
        <w:rPr>
          <w:rStyle w:val="FootnoteReference"/>
        </w:rPr>
        <w:footnoteRef/>
      </w:r>
      <w:r>
        <w:t xml:space="preserve"> </w:t>
      </w:r>
      <w:r>
        <w:rPr>
          <w:i/>
        </w:rPr>
        <w:t xml:space="preserve">See </w:t>
      </w:r>
      <w:r>
        <w:t xml:space="preserve">AFR at 4-5.  </w:t>
      </w:r>
    </w:p>
  </w:footnote>
  <w:footnote w:id="19">
    <w:p w:rsidR="00EC258F" w:rsidRPr="00684F5A" w:rsidRDefault="00EC258F" w:rsidP="00F2746A">
      <w:pPr>
        <w:pStyle w:val="FootnoteText"/>
      </w:pPr>
      <w:r>
        <w:rPr>
          <w:rStyle w:val="FootnoteReference"/>
        </w:rPr>
        <w:footnoteRef/>
      </w:r>
      <w:r>
        <w:t xml:space="preserve"> </w:t>
      </w:r>
      <w:r>
        <w:rPr>
          <w:i/>
        </w:rPr>
        <w:t xml:space="preserve">See id. </w:t>
      </w:r>
      <w:r>
        <w:t>at 2, 5.</w:t>
      </w:r>
    </w:p>
  </w:footnote>
  <w:footnote w:id="20">
    <w:p w:rsidR="00EC258F" w:rsidRPr="00684F5A" w:rsidRDefault="00EC258F" w:rsidP="00F2746A">
      <w:pPr>
        <w:pStyle w:val="FootnoteText"/>
      </w:pPr>
      <w:r>
        <w:rPr>
          <w:rStyle w:val="FootnoteReference"/>
        </w:rPr>
        <w:footnoteRef/>
      </w:r>
      <w:r>
        <w:t xml:space="preserve"> </w:t>
      </w:r>
      <w:r>
        <w:rPr>
          <w:i/>
        </w:rPr>
        <w:t xml:space="preserve">See id. </w:t>
      </w:r>
      <w:r>
        <w:t>at 5.</w:t>
      </w:r>
    </w:p>
  </w:footnote>
  <w:footnote w:id="21">
    <w:p w:rsidR="00EC258F" w:rsidRPr="0049540A" w:rsidRDefault="00EC258F" w:rsidP="00614995">
      <w:pPr>
        <w:pStyle w:val="FootnoteText"/>
      </w:pPr>
      <w:r>
        <w:rPr>
          <w:rStyle w:val="FootnoteReference"/>
        </w:rPr>
        <w:footnoteRef/>
      </w:r>
      <w:r>
        <w:t xml:space="preserve"> </w:t>
      </w:r>
      <w:r>
        <w:rPr>
          <w:i/>
        </w:rPr>
        <w:t xml:space="preserve">See </w:t>
      </w:r>
      <w:r>
        <w:t xml:space="preserve">November 7 Letter at 3.   </w:t>
      </w:r>
    </w:p>
  </w:footnote>
  <w:footnote w:id="22">
    <w:p w:rsidR="00EC258F" w:rsidRPr="00A7427E" w:rsidRDefault="00EC258F">
      <w:pPr>
        <w:pStyle w:val="FootnoteText"/>
      </w:pPr>
      <w:r>
        <w:rPr>
          <w:rStyle w:val="FootnoteReference"/>
        </w:rPr>
        <w:footnoteRef/>
      </w:r>
      <w:r>
        <w:t xml:space="preserve"> No. Civ.A. 96-1227 (E.D. La. Mar. 20, 1998), </w:t>
      </w:r>
      <w:r>
        <w:rPr>
          <w:i/>
        </w:rPr>
        <w:t xml:space="preserve">reported at </w:t>
      </w:r>
      <w:r>
        <w:t>1998 WL 34064938 at *5.</w:t>
      </w:r>
    </w:p>
  </w:footnote>
  <w:footnote w:id="23">
    <w:p w:rsidR="00EC258F" w:rsidRDefault="00EC258F">
      <w:pPr>
        <w:pStyle w:val="FootnoteText"/>
      </w:pPr>
      <w:r>
        <w:rPr>
          <w:rStyle w:val="FootnoteReference"/>
        </w:rPr>
        <w:footnoteRef/>
      </w:r>
      <w:r>
        <w:t xml:space="preserve"> 59 F. Supp.2d 55, 57 (D.D.C. 1999).</w:t>
      </w:r>
    </w:p>
  </w:footnote>
  <w:footnote w:id="24">
    <w:p w:rsidR="00EC258F" w:rsidRDefault="00EC258F">
      <w:pPr>
        <w:pStyle w:val="FootnoteText"/>
      </w:pPr>
      <w:r>
        <w:rPr>
          <w:rStyle w:val="FootnoteReference"/>
        </w:rPr>
        <w:footnoteRef/>
      </w:r>
      <w:r>
        <w:t xml:space="preserve"> 589 F. Supp.2d 1, 10 (D.D.C. 2008).</w:t>
      </w:r>
    </w:p>
  </w:footnote>
  <w:footnote w:id="25">
    <w:p w:rsidR="00EC258F" w:rsidRDefault="00EC258F" w:rsidP="00E87FED">
      <w:pPr>
        <w:pStyle w:val="FootnoteText"/>
      </w:pPr>
      <w:r>
        <w:rPr>
          <w:rStyle w:val="FootnoteReference"/>
        </w:rPr>
        <w:footnoteRef/>
      </w:r>
      <w:r>
        <w:t xml:space="preserve"> </w:t>
      </w:r>
      <w:r w:rsidRPr="008F4EF6">
        <w:t xml:space="preserve">Commission case law is also consistent with this precedent.  </w:t>
      </w:r>
      <w:r w:rsidRPr="008F4EF6">
        <w:rPr>
          <w:color w:val="000000"/>
        </w:rPr>
        <w:t xml:space="preserve">In </w:t>
      </w:r>
      <w:r w:rsidRPr="008F4EF6">
        <w:rPr>
          <w:i/>
          <w:color w:val="000000"/>
        </w:rPr>
        <w:t>Skybridge Spectrum Foundation,</w:t>
      </w:r>
      <w:r w:rsidRPr="00E87FED">
        <w:t xml:space="preserve"> </w:t>
      </w:r>
      <w:r>
        <w:t xml:space="preserve">26 FCC Rcd 14864, 14867 ¶ 12 (2011), </w:t>
      </w:r>
      <w:r w:rsidRPr="008F4EF6">
        <w:rPr>
          <w:color w:val="000000"/>
        </w:rPr>
        <w:t>the Commission classified as a commercial use requester a non-profit entity established to undertake activities on behalf of commercial wireless businesses, including their legal defense.</w:t>
      </w:r>
      <w:r w:rsidRPr="008F4EF6">
        <w:t xml:space="preserve"> </w:t>
      </w:r>
    </w:p>
  </w:footnote>
  <w:footnote w:id="26">
    <w:p w:rsidR="00EC258F" w:rsidRDefault="00EC258F" w:rsidP="005B2531">
      <w:pPr>
        <w:pStyle w:val="FootnoteText"/>
      </w:pPr>
      <w:r>
        <w:rPr>
          <w:rStyle w:val="FootnoteReference"/>
        </w:rPr>
        <w:footnoteRef/>
      </w:r>
      <w:r>
        <w:t xml:space="preserve"> </w:t>
      </w:r>
      <w:r>
        <w:rPr>
          <w:i/>
        </w:rPr>
        <w:t xml:space="preserve">Compare </w:t>
      </w:r>
      <w:r>
        <w:t xml:space="preserve">47 C.F.R. § 0.470(e)(1),(3) (fee waiver standard) </w:t>
      </w:r>
      <w:r>
        <w:rPr>
          <w:i/>
        </w:rPr>
        <w:t xml:space="preserve">with </w:t>
      </w:r>
      <w:r>
        <w:t>47 C.F.R. § 0.466(a)(4) (definition of commercial use requester).</w:t>
      </w:r>
    </w:p>
  </w:footnote>
  <w:footnote w:id="27">
    <w:p w:rsidR="00EC258F" w:rsidRPr="009637E0" w:rsidRDefault="00EC258F">
      <w:pPr>
        <w:pStyle w:val="FootnoteText"/>
      </w:pPr>
      <w:r>
        <w:rPr>
          <w:rStyle w:val="FootnoteReference"/>
        </w:rPr>
        <w:footnoteRef/>
      </w:r>
      <w:r>
        <w:t xml:space="preserve"> </w:t>
      </w:r>
      <w:r>
        <w:rPr>
          <w:i/>
        </w:rPr>
        <w:t xml:space="preserve">See </w:t>
      </w:r>
      <w:r>
        <w:t>AFR at 4.</w:t>
      </w:r>
    </w:p>
  </w:footnote>
  <w:footnote w:id="28">
    <w:p w:rsidR="00EC258F" w:rsidRPr="001570FB" w:rsidRDefault="00EC258F">
      <w:pPr>
        <w:pStyle w:val="FootnoteText"/>
      </w:pPr>
      <w:r>
        <w:rPr>
          <w:rStyle w:val="FootnoteReference"/>
        </w:rPr>
        <w:footnoteRef/>
      </w:r>
      <w:r>
        <w:t xml:space="preserve"> </w:t>
      </w:r>
      <w:r>
        <w:rPr>
          <w:i/>
        </w:rPr>
        <w:t xml:space="preserve">See </w:t>
      </w:r>
      <w:r>
        <w:t>5 U.S.C. § 552(a)(4)(A)(ii)(I); 47 C.F.R. § 0.470(a)(1).</w:t>
      </w:r>
    </w:p>
  </w:footnote>
  <w:footnote w:id="29">
    <w:p w:rsidR="00EC258F" w:rsidRDefault="00EC258F">
      <w:pPr>
        <w:pStyle w:val="FootnoteText"/>
      </w:pPr>
      <w:r>
        <w:rPr>
          <w:rStyle w:val="FootnoteReference"/>
        </w:rPr>
        <w:footnoteRef/>
      </w:r>
      <w:r>
        <w:t xml:space="preserve"> </w:t>
      </w:r>
      <w:r>
        <w:rPr>
          <w:i/>
        </w:rPr>
        <w:t xml:space="preserve">See </w:t>
      </w:r>
      <w:r>
        <w:t>5 U.S.C. § 552(a)(4)(A)(ii)(II); 47 C.F.R. § 0.470(a)(2).</w:t>
      </w:r>
    </w:p>
  </w:footnote>
  <w:footnote w:id="30">
    <w:p w:rsidR="00EC258F" w:rsidRDefault="00EC258F">
      <w:pPr>
        <w:pStyle w:val="FootnoteText"/>
      </w:pPr>
      <w:r>
        <w:rPr>
          <w:rStyle w:val="FootnoteReference"/>
        </w:rPr>
        <w:footnoteRef/>
      </w:r>
      <w:r>
        <w:t xml:space="preserve"> </w:t>
      </w:r>
      <w:r>
        <w:rPr>
          <w:i/>
        </w:rPr>
        <w:t xml:space="preserve">See </w:t>
      </w:r>
      <w:r>
        <w:t>5 U.S.C. § 552(a)(4)(A)(ii)(III); 47 C.F.R. § 0.470(a)(3).</w:t>
      </w:r>
    </w:p>
  </w:footnote>
  <w:footnote w:id="31">
    <w:p w:rsidR="009402BB" w:rsidRDefault="009402BB">
      <w:pPr>
        <w:pStyle w:val="FootnoteText"/>
      </w:pPr>
      <w:r>
        <w:rPr>
          <w:rStyle w:val="FootnoteReference"/>
        </w:rPr>
        <w:footnoteRef/>
      </w:r>
      <w:r>
        <w:t xml:space="preserve"> Because we determine, based on our independent review of EB’s decisions, that Schmitt is a commercial use requester, we need not address Schmitt’s conflict of interest assertion. </w:t>
      </w:r>
    </w:p>
  </w:footnote>
  <w:footnote w:id="32">
    <w:p w:rsidR="00EC258F" w:rsidRPr="009D50DC" w:rsidRDefault="00EC258F">
      <w:pPr>
        <w:pStyle w:val="FootnoteText"/>
      </w:pPr>
      <w:r>
        <w:rPr>
          <w:rStyle w:val="FootnoteReference"/>
        </w:rPr>
        <w:footnoteRef/>
      </w:r>
      <w:r>
        <w:t xml:space="preserve"> </w:t>
      </w:r>
      <w:r>
        <w:rPr>
          <w:i/>
        </w:rPr>
        <w:t xml:space="preserve">See </w:t>
      </w:r>
      <w:r>
        <w:t xml:space="preserve">Public Notice, </w:t>
      </w:r>
      <w:r>
        <w:rPr>
          <w:i/>
        </w:rPr>
        <w:t xml:space="preserve">Modification of Freedom of Information Act Fee Schedule, </w:t>
      </w:r>
      <w:r>
        <w:t>DA 10-97 (Jan. 19, 2010); 47 C.F.R. § 0.467(a) and Note to (a)(1).</w:t>
      </w:r>
    </w:p>
  </w:footnote>
  <w:footnote w:id="33">
    <w:p w:rsidR="00EC258F" w:rsidRPr="00E4358C" w:rsidRDefault="00EC258F">
      <w:pPr>
        <w:pStyle w:val="FootnoteText"/>
      </w:pPr>
      <w:r>
        <w:rPr>
          <w:rStyle w:val="FootnoteReference"/>
        </w:rPr>
        <w:footnoteRef/>
      </w:r>
      <w:r>
        <w:t xml:space="preserve"> </w:t>
      </w:r>
      <w:r>
        <w:rPr>
          <w:i/>
        </w:rPr>
        <w:t xml:space="preserve">See </w:t>
      </w:r>
      <w:r>
        <w:t>47 C.F.R. § 0.461(e)(2)(i)(B).</w:t>
      </w:r>
    </w:p>
  </w:footnote>
  <w:footnote w:id="34">
    <w:p w:rsidR="00EC258F" w:rsidRPr="000941F8" w:rsidRDefault="00EC258F" w:rsidP="00FD295F">
      <w:pPr>
        <w:pStyle w:val="default0"/>
        <w:tabs>
          <w:tab w:val="left" w:pos="720"/>
          <w:tab w:val="left" w:pos="1440"/>
        </w:tabs>
        <w:spacing w:before="0" w:beforeAutospacing="0" w:after="120" w:afterAutospacing="0"/>
        <w:rPr>
          <w:sz w:val="20"/>
          <w:szCs w:val="20"/>
        </w:rPr>
      </w:pPr>
      <w:r w:rsidRPr="000941F8">
        <w:rPr>
          <w:rStyle w:val="FootnoteReference"/>
        </w:rPr>
        <w:footnoteRef/>
      </w:r>
      <w:r w:rsidRPr="000941F8">
        <w:rPr>
          <w:sz w:val="20"/>
          <w:szCs w:val="20"/>
        </w:rPr>
        <w:t xml:space="preserve"> </w:t>
      </w:r>
      <w:r w:rsidRPr="008C4789">
        <w:rPr>
          <w:sz w:val="20"/>
        </w:rPr>
        <w:t xml:space="preserve">We note that as part of the Open Government Act of 2007, the Office of Government Information Services (OGIS) was created to offer mediation services to resolve disputes between FOIA requesters and Federal agencies as a non-exclusive alternative to litigation. Using OGIS services does not affect </w:t>
      </w:r>
      <w:r>
        <w:rPr>
          <w:sz w:val="20"/>
        </w:rPr>
        <w:t xml:space="preserve">Schmitt’s </w:t>
      </w:r>
      <w:r w:rsidRPr="008C4789">
        <w:rPr>
          <w:sz w:val="20"/>
        </w:rPr>
        <w:t xml:space="preserve">right to pursue litigation. </w:t>
      </w:r>
      <w:r>
        <w:rPr>
          <w:sz w:val="20"/>
        </w:rPr>
        <w:t xml:space="preserve"> Schmitt m</w:t>
      </w:r>
      <w:r w:rsidRPr="008C4789">
        <w:rPr>
          <w:sz w:val="20"/>
        </w:rPr>
        <w:t xml:space="preserve">ay contact OGIS in any of the following ways: </w:t>
      </w:r>
      <w:r w:rsidRPr="000941F8">
        <w:rPr>
          <w:sz w:val="20"/>
          <w:szCs w:val="20"/>
        </w:rPr>
        <w:t xml:space="preserve"> </w:t>
      </w:r>
    </w:p>
    <w:p w:rsidR="00EC258F" w:rsidRPr="000941F8" w:rsidRDefault="00EC258F" w:rsidP="00FD295F">
      <w:pPr>
        <w:pStyle w:val="default0"/>
        <w:spacing w:before="0" w:beforeAutospacing="0" w:after="0" w:afterAutospacing="0"/>
        <w:ind w:left="720"/>
        <w:rPr>
          <w:sz w:val="20"/>
          <w:szCs w:val="20"/>
        </w:rPr>
      </w:pPr>
      <w:r w:rsidRPr="000941F8">
        <w:rPr>
          <w:sz w:val="20"/>
          <w:szCs w:val="20"/>
        </w:rPr>
        <w:t xml:space="preserve">Office of Government Information Services </w:t>
      </w:r>
    </w:p>
    <w:p w:rsidR="00EC258F" w:rsidRPr="000941F8" w:rsidRDefault="00EC258F" w:rsidP="00FD295F">
      <w:pPr>
        <w:pStyle w:val="default0"/>
        <w:spacing w:before="0" w:beforeAutospacing="0" w:after="0" w:afterAutospacing="0"/>
        <w:ind w:left="720"/>
        <w:rPr>
          <w:sz w:val="20"/>
          <w:szCs w:val="20"/>
        </w:rPr>
      </w:pPr>
      <w:r w:rsidRPr="000941F8">
        <w:rPr>
          <w:sz w:val="20"/>
          <w:szCs w:val="20"/>
        </w:rPr>
        <w:t xml:space="preserve">National Archives and Records Administration </w:t>
      </w:r>
    </w:p>
    <w:p w:rsidR="00EC258F" w:rsidRPr="000941F8" w:rsidRDefault="00EC258F" w:rsidP="00FD295F">
      <w:pPr>
        <w:pStyle w:val="default0"/>
        <w:spacing w:before="0" w:beforeAutospacing="0" w:after="0" w:afterAutospacing="0"/>
        <w:ind w:left="720"/>
        <w:rPr>
          <w:sz w:val="20"/>
          <w:szCs w:val="20"/>
        </w:rPr>
      </w:pPr>
      <w:r w:rsidRPr="000941F8">
        <w:rPr>
          <w:sz w:val="20"/>
          <w:szCs w:val="20"/>
        </w:rPr>
        <w:t xml:space="preserve">8601 Adelphi Road  - Room 2510 </w:t>
      </w:r>
    </w:p>
    <w:p w:rsidR="00EC258F" w:rsidRPr="000941F8" w:rsidRDefault="00EC258F" w:rsidP="00FD295F">
      <w:pPr>
        <w:pStyle w:val="default0"/>
        <w:spacing w:before="0" w:beforeAutospacing="0" w:after="0" w:afterAutospacing="0"/>
        <w:ind w:left="720"/>
        <w:rPr>
          <w:sz w:val="20"/>
          <w:szCs w:val="20"/>
        </w:rPr>
      </w:pPr>
      <w:r w:rsidRPr="000941F8">
        <w:rPr>
          <w:sz w:val="20"/>
          <w:szCs w:val="20"/>
        </w:rPr>
        <w:t xml:space="preserve">College Park, MD 20740-6001 </w:t>
      </w:r>
    </w:p>
    <w:p w:rsidR="00EC258F" w:rsidRPr="000941F8" w:rsidRDefault="00EC258F" w:rsidP="00FD295F">
      <w:pPr>
        <w:pStyle w:val="default0"/>
        <w:spacing w:before="0" w:beforeAutospacing="0" w:after="0" w:afterAutospacing="0"/>
        <w:ind w:left="720"/>
        <w:rPr>
          <w:sz w:val="20"/>
          <w:szCs w:val="20"/>
        </w:rPr>
      </w:pPr>
      <w:r w:rsidRPr="000941F8">
        <w:rPr>
          <w:sz w:val="20"/>
          <w:szCs w:val="20"/>
        </w:rPr>
        <w:t xml:space="preserve">E-mail: ogis@nara.gov </w:t>
      </w:r>
    </w:p>
    <w:p w:rsidR="00EC258F" w:rsidRPr="000941F8" w:rsidRDefault="00EC258F" w:rsidP="00FD295F">
      <w:pPr>
        <w:pStyle w:val="default0"/>
        <w:spacing w:before="0" w:beforeAutospacing="0" w:after="0" w:afterAutospacing="0"/>
        <w:ind w:left="720"/>
        <w:rPr>
          <w:sz w:val="20"/>
          <w:szCs w:val="20"/>
        </w:rPr>
      </w:pPr>
      <w:r w:rsidRPr="000941F8">
        <w:rPr>
          <w:sz w:val="20"/>
          <w:szCs w:val="20"/>
        </w:rPr>
        <w:t xml:space="preserve">Telephone: 301-837-1996 </w:t>
      </w:r>
    </w:p>
    <w:p w:rsidR="00EC258F" w:rsidRPr="000941F8" w:rsidRDefault="00EC258F" w:rsidP="00FD295F">
      <w:pPr>
        <w:pStyle w:val="default0"/>
        <w:spacing w:before="0" w:beforeAutospacing="0" w:after="0" w:afterAutospacing="0"/>
        <w:ind w:left="720"/>
        <w:rPr>
          <w:sz w:val="20"/>
          <w:szCs w:val="20"/>
        </w:rPr>
      </w:pPr>
      <w:r w:rsidRPr="000941F8">
        <w:rPr>
          <w:sz w:val="20"/>
          <w:szCs w:val="20"/>
        </w:rPr>
        <w:t xml:space="preserve">Facsimile: 301-837-0348 </w:t>
      </w:r>
    </w:p>
    <w:p w:rsidR="00EC258F" w:rsidRPr="00776E57" w:rsidRDefault="00EC258F" w:rsidP="00FD295F">
      <w:pPr>
        <w:ind w:left="720"/>
        <w:rPr>
          <w:sz w:val="20"/>
        </w:rPr>
      </w:pPr>
      <w:r w:rsidRPr="00776E57">
        <w:rPr>
          <w:sz w:val="20"/>
        </w:rPr>
        <w:t>Toll-free: 877-684-6448.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BEF" w:rsidRDefault="00573B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58F" w:rsidRDefault="00EC258F">
    <w:pPr>
      <w:pStyle w:val="Header"/>
      <w:rPr>
        <w:b w:val="0"/>
      </w:rPr>
    </w:pPr>
    <w:r>
      <w:tab/>
      <w:t>Federal Communications Commission</w:t>
    </w:r>
    <w:r>
      <w:tab/>
      <w:t>FCC 14-</w:t>
    </w:r>
    <w:r w:rsidR="009402BB">
      <w:t>94</w:t>
    </w:r>
    <w:r>
      <w:t xml:space="preserve"> </w:t>
    </w:r>
  </w:p>
  <w:p w:rsidR="00EC258F" w:rsidRDefault="00EC258F">
    <w:pPr>
      <w:pStyle w:val="Header"/>
    </w:pPr>
    <w:r>
      <w:rPr>
        <w:noProof/>
        <w:snapToGrid/>
      </w:rPr>
      <mc:AlternateContent>
        <mc:Choice Requires="wps">
          <w:drawing>
            <wp:anchor distT="4294967291" distB="4294967291" distL="114300" distR="114300" simplePos="0" relativeHeight="251660288" behindDoc="0" locked="0" layoutInCell="0" allowOverlap="1" wp14:anchorId="3C2A48EA" wp14:editId="3D3C0C41">
              <wp:simplePos x="0" y="0"/>
              <wp:positionH relativeFrom="column">
                <wp:posOffset>0</wp:posOffset>
              </wp:positionH>
              <wp:positionV relativeFrom="paragraph">
                <wp:posOffset>22224</wp:posOffset>
              </wp:positionV>
              <wp:extent cx="59436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EC258F" w:rsidRDefault="00EC25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58F" w:rsidRDefault="00EC258F">
    <w:pPr>
      <w:pStyle w:val="Header"/>
      <w:rPr>
        <w:b w:val="0"/>
      </w:rPr>
    </w:pPr>
    <w:r>
      <w:tab/>
      <w:t>Federal Communications Commission</w:t>
    </w:r>
    <w:r>
      <w:tab/>
      <w:t>FCC 14-</w:t>
    </w:r>
    <w:r w:rsidR="009402BB">
      <w:t>94</w:t>
    </w:r>
  </w:p>
  <w:p w:rsidR="00EC258F" w:rsidRDefault="00EC258F">
    <w:pPr>
      <w:pStyle w:val="Header"/>
    </w:pPr>
    <w:r>
      <w:rPr>
        <w:noProof/>
        <w:snapToGrid/>
      </w:rPr>
      <mc:AlternateContent>
        <mc:Choice Requires="wps">
          <w:drawing>
            <wp:anchor distT="4294967291" distB="4294967291" distL="114300" distR="114300" simplePos="0" relativeHeight="251659264" behindDoc="0" locked="0" layoutInCell="0" allowOverlap="1" wp14:anchorId="49CB3EF9" wp14:editId="153BB8B1">
              <wp:simplePos x="0" y="0"/>
              <wp:positionH relativeFrom="column">
                <wp:posOffset>0</wp:posOffset>
              </wp:positionH>
              <wp:positionV relativeFrom="paragraph">
                <wp:posOffset>22224</wp:posOffset>
              </wp:positionV>
              <wp:extent cx="59436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CD03F28"/>
    <w:multiLevelType w:val="hybridMultilevel"/>
    <w:tmpl w:val="30EE67AE"/>
    <w:lvl w:ilvl="0" w:tplc="698ED64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123765"/>
    <w:multiLevelType w:val="hybridMultilevel"/>
    <w:tmpl w:val="B1E4FBEC"/>
    <w:lvl w:ilvl="0" w:tplc="04090001">
      <w:start w:val="1"/>
      <w:numFmt w:val="bullet"/>
      <w:lvlText w:val=""/>
      <w:lvlJc w:val="left"/>
      <w:pPr>
        <w:ind w:left="1550" w:hanging="360"/>
      </w:pPr>
      <w:rPr>
        <w:rFonts w:ascii="Symbol" w:hAnsi="Symbol" w:hint="default"/>
      </w:rPr>
    </w:lvl>
    <w:lvl w:ilvl="1" w:tplc="04090019" w:tentative="1">
      <w:start w:val="1"/>
      <w:numFmt w:val="lowerLetter"/>
      <w:lvlText w:val="%2."/>
      <w:lvlJc w:val="left"/>
      <w:pPr>
        <w:ind w:left="2270" w:hanging="360"/>
      </w:pPr>
    </w:lvl>
    <w:lvl w:ilvl="2" w:tplc="0409001B" w:tentative="1">
      <w:start w:val="1"/>
      <w:numFmt w:val="lowerRoman"/>
      <w:lvlText w:val="%3."/>
      <w:lvlJc w:val="right"/>
      <w:pPr>
        <w:ind w:left="2990" w:hanging="180"/>
      </w:pPr>
    </w:lvl>
    <w:lvl w:ilvl="3" w:tplc="0409000F" w:tentative="1">
      <w:start w:val="1"/>
      <w:numFmt w:val="decimal"/>
      <w:lvlText w:val="%4."/>
      <w:lvlJc w:val="left"/>
      <w:pPr>
        <w:ind w:left="3710" w:hanging="360"/>
      </w:pPr>
    </w:lvl>
    <w:lvl w:ilvl="4" w:tplc="04090019" w:tentative="1">
      <w:start w:val="1"/>
      <w:numFmt w:val="lowerLetter"/>
      <w:lvlText w:val="%5."/>
      <w:lvlJc w:val="left"/>
      <w:pPr>
        <w:ind w:left="4430" w:hanging="360"/>
      </w:pPr>
    </w:lvl>
    <w:lvl w:ilvl="5" w:tplc="0409001B" w:tentative="1">
      <w:start w:val="1"/>
      <w:numFmt w:val="lowerRoman"/>
      <w:lvlText w:val="%6."/>
      <w:lvlJc w:val="right"/>
      <w:pPr>
        <w:ind w:left="5150" w:hanging="180"/>
      </w:pPr>
    </w:lvl>
    <w:lvl w:ilvl="6" w:tplc="0409000F" w:tentative="1">
      <w:start w:val="1"/>
      <w:numFmt w:val="decimal"/>
      <w:lvlText w:val="%7."/>
      <w:lvlJc w:val="left"/>
      <w:pPr>
        <w:ind w:left="5870" w:hanging="360"/>
      </w:pPr>
    </w:lvl>
    <w:lvl w:ilvl="7" w:tplc="04090019" w:tentative="1">
      <w:start w:val="1"/>
      <w:numFmt w:val="lowerLetter"/>
      <w:lvlText w:val="%8."/>
      <w:lvlJc w:val="left"/>
      <w:pPr>
        <w:ind w:left="6590" w:hanging="360"/>
      </w:pPr>
    </w:lvl>
    <w:lvl w:ilvl="8" w:tplc="0409001B" w:tentative="1">
      <w:start w:val="1"/>
      <w:numFmt w:val="lowerRoman"/>
      <w:lvlText w:val="%9."/>
      <w:lvlJc w:val="right"/>
      <w:pPr>
        <w:ind w:left="731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D0F1B3D"/>
    <w:multiLevelType w:val="singleLevel"/>
    <w:tmpl w:val="CABC07A4"/>
    <w:lvl w:ilvl="0">
      <w:start w:val="1"/>
      <w:numFmt w:val="decimal"/>
      <w:lvlText w:val="%1."/>
      <w:lvlJc w:val="left"/>
      <w:pPr>
        <w:tabs>
          <w:tab w:val="num" w:pos="4410"/>
        </w:tabs>
        <w:ind w:left="3330" w:firstLine="720"/>
      </w:pPr>
      <w:rPr>
        <w:rFonts w:ascii="Times New Roman" w:hAnsi="Times New Roman" w:hint="default"/>
        <w:b w:val="0"/>
        <w:i w:val="0"/>
        <w:caps w:val="0"/>
        <w:strike w:val="0"/>
        <w:dstrike w:val="0"/>
        <w:vanish w:val="0"/>
        <w:sz w:val="24"/>
        <w:szCs w:val="24"/>
        <w:u w:val="none"/>
        <w:vertAlign w:val="baseline"/>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3467073"/>
    <w:multiLevelType w:val="hybridMultilevel"/>
    <w:tmpl w:val="849859A6"/>
    <w:lvl w:ilvl="0" w:tplc="0409000F">
      <w:start w:val="1"/>
      <w:numFmt w:val="decimal"/>
      <w:lvlText w:val="%1."/>
      <w:lvlJc w:val="left"/>
      <w:pPr>
        <w:ind w:left="1550" w:hanging="360"/>
      </w:pPr>
    </w:lvl>
    <w:lvl w:ilvl="1" w:tplc="04090019" w:tentative="1">
      <w:start w:val="1"/>
      <w:numFmt w:val="lowerLetter"/>
      <w:lvlText w:val="%2."/>
      <w:lvlJc w:val="left"/>
      <w:pPr>
        <w:ind w:left="2270" w:hanging="360"/>
      </w:pPr>
    </w:lvl>
    <w:lvl w:ilvl="2" w:tplc="0409001B" w:tentative="1">
      <w:start w:val="1"/>
      <w:numFmt w:val="lowerRoman"/>
      <w:lvlText w:val="%3."/>
      <w:lvlJc w:val="right"/>
      <w:pPr>
        <w:ind w:left="2990" w:hanging="180"/>
      </w:pPr>
    </w:lvl>
    <w:lvl w:ilvl="3" w:tplc="0409000F" w:tentative="1">
      <w:start w:val="1"/>
      <w:numFmt w:val="decimal"/>
      <w:lvlText w:val="%4."/>
      <w:lvlJc w:val="left"/>
      <w:pPr>
        <w:ind w:left="3710" w:hanging="360"/>
      </w:pPr>
    </w:lvl>
    <w:lvl w:ilvl="4" w:tplc="04090019" w:tentative="1">
      <w:start w:val="1"/>
      <w:numFmt w:val="lowerLetter"/>
      <w:lvlText w:val="%5."/>
      <w:lvlJc w:val="left"/>
      <w:pPr>
        <w:ind w:left="4430" w:hanging="360"/>
      </w:pPr>
    </w:lvl>
    <w:lvl w:ilvl="5" w:tplc="0409001B" w:tentative="1">
      <w:start w:val="1"/>
      <w:numFmt w:val="lowerRoman"/>
      <w:lvlText w:val="%6."/>
      <w:lvlJc w:val="right"/>
      <w:pPr>
        <w:ind w:left="5150" w:hanging="180"/>
      </w:pPr>
    </w:lvl>
    <w:lvl w:ilvl="6" w:tplc="0409000F" w:tentative="1">
      <w:start w:val="1"/>
      <w:numFmt w:val="decimal"/>
      <w:lvlText w:val="%7."/>
      <w:lvlJc w:val="left"/>
      <w:pPr>
        <w:ind w:left="5870" w:hanging="360"/>
      </w:pPr>
    </w:lvl>
    <w:lvl w:ilvl="7" w:tplc="04090019" w:tentative="1">
      <w:start w:val="1"/>
      <w:numFmt w:val="lowerLetter"/>
      <w:lvlText w:val="%8."/>
      <w:lvlJc w:val="left"/>
      <w:pPr>
        <w:ind w:left="6590" w:hanging="360"/>
      </w:pPr>
    </w:lvl>
    <w:lvl w:ilvl="8" w:tplc="0409001B" w:tentative="1">
      <w:start w:val="1"/>
      <w:numFmt w:val="lowerRoman"/>
      <w:lvlText w:val="%9."/>
      <w:lvlJc w:val="right"/>
      <w:pPr>
        <w:ind w:left="7310" w:hanging="180"/>
      </w:pPr>
    </w:lvl>
  </w:abstractNum>
  <w:abstractNum w:abstractNumId="9">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0">
    <w:nsid w:val="5EA36885"/>
    <w:multiLevelType w:val="hybridMultilevel"/>
    <w:tmpl w:val="895068D4"/>
    <w:lvl w:ilvl="0" w:tplc="11986BCA">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9"/>
  </w:num>
  <w:num w:numId="2">
    <w:abstractNumId w:val="6"/>
  </w:num>
  <w:num w:numId="3">
    <w:abstractNumId w:val="1"/>
  </w:num>
  <w:num w:numId="4">
    <w:abstractNumId w:val="10"/>
  </w:num>
  <w:num w:numId="5">
    <w:abstractNumId w:val="3"/>
  </w:num>
  <w:num w:numId="6">
    <w:abstractNumId w:val="11"/>
  </w:num>
  <w:num w:numId="7">
    <w:abstractNumId w:val="5"/>
  </w:num>
  <w:num w:numId="8">
    <w:abstractNumId w:val="7"/>
  </w:num>
  <w:num w:numId="9">
    <w:abstractNumId w:val="4"/>
  </w:num>
  <w:num w:numId="10">
    <w:abstractNumId w:val="0"/>
  </w:num>
  <w:num w:numId="11">
    <w:abstractNumId w:val="5"/>
  </w:num>
  <w:num w:numId="12">
    <w:abstractNumId w:val="5"/>
  </w:num>
  <w:num w:numId="13">
    <w:abstractNumId w:val="5"/>
  </w:num>
  <w:num w:numId="14">
    <w:abstractNumId w:val="8"/>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5"/>
  </w:num>
  <w:num w:numId="24">
    <w:abstractNumId w:val="11"/>
  </w:num>
  <w:num w:numId="25">
    <w:abstractNumId w:val="11"/>
  </w:num>
  <w:num w:numId="26">
    <w:abstractNumId w:val="11"/>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attachedTemplate r:id="rId1"/>
  <w:linkStyles/>
  <w:defaultTabStop w:val="720"/>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64E"/>
    <w:rsid w:val="00000862"/>
    <w:rsid w:val="00004D6E"/>
    <w:rsid w:val="00007B68"/>
    <w:rsid w:val="00015E79"/>
    <w:rsid w:val="00031686"/>
    <w:rsid w:val="00031A5A"/>
    <w:rsid w:val="000340ED"/>
    <w:rsid w:val="00036284"/>
    <w:rsid w:val="00036507"/>
    <w:rsid w:val="0003707C"/>
    <w:rsid w:val="00047A88"/>
    <w:rsid w:val="0007071E"/>
    <w:rsid w:val="00077157"/>
    <w:rsid w:val="00080D93"/>
    <w:rsid w:val="00095749"/>
    <w:rsid w:val="000A1CFF"/>
    <w:rsid w:val="000C0576"/>
    <w:rsid w:val="000C0AF7"/>
    <w:rsid w:val="000C2865"/>
    <w:rsid w:val="000C64B8"/>
    <w:rsid w:val="00104045"/>
    <w:rsid w:val="00105260"/>
    <w:rsid w:val="00117BCE"/>
    <w:rsid w:val="0012663E"/>
    <w:rsid w:val="001276CE"/>
    <w:rsid w:val="0013180F"/>
    <w:rsid w:val="0013206F"/>
    <w:rsid w:val="00151F87"/>
    <w:rsid w:val="001570FB"/>
    <w:rsid w:val="00174827"/>
    <w:rsid w:val="00184571"/>
    <w:rsid w:val="001941A0"/>
    <w:rsid w:val="00195A53"/>
    <w:rsid w:val="001B1F79"/>
    <w:rsid w:val="001B6343"/>
    <w:rsid w:val="001C497F"/>
    <w:rsid w:val="001C4DD7"/>
    <w:rsid w:val="001C57B5"/>
    <w:rsid w:val="001D1380"/>
    <w:rsid w:val="001D5EA8"/>
    <w:rsid w:val="001E45CC"/>
    <w:rsid w:val="001F4F6C"/>
    <w:rsid w:val="001F57CA"/>
    <w:rsid w:val="00227662"/>
    <w:rsid w:val="00246CAD"/>
    <w:rsid w:val="002473DC"/>
    <w:rsid w:val="0025149C"/>
    <w:rsid w:val="002523C8"/>
    <w:rsid w:val="002551FB"/>
    <w:rsid w:val="00260437"/>
    <w:rsid w:val="002707F6"/>
    <w:rsid w:val="00286231"/>
    <w:rsid w:val="002863B0"/>
    <w:rsid w:val="00287CEA"/>
    <w:rsid w:val="00291C2B"/>
    <w:rsid w:val="0029212D"/>
    <w:rsid w:val="002978FF"/>
    <w:rsid w:val="00297946"/>
    <w:rsid w:val="00297C31"/>
    <w:rsid w:val="002A007B"/>
    <w:rsid w:val="002A1443"/>
    <w:rsid w:val="002A71DE"/>
    <w:rsid w:val="002B67C4"/>
    <w:rsid w:val="002C6161"/>
    <w:rsid w:val="002C7FF2"/>
    <w:rsid w:val="002D410A"/>
    <w:rsid w:val="002D69DE"/>
    <w:rsid w:val="002D713F"/>
    <w:rsid w:val="002E0102"/>
    <w:rsid w:val="002E24B2"/>
    <w:rsid w:val="002E343C"/>
    <w:rsid w:val="002F60D0"/>
    <w:rsid w:val="0030022C"/>
    <w:rsid w:val="00301619"/>
    <w:rsid w:val="00304FB9"/>
    <w:rsid w:val="003215EA"/>
    <w:rsid w:val="00330D5E"/>
    <w:rsid w:val="00341BAE"/>
    <w:rsid w:val="00354A67"/>
    <w:rsid w:val="00356B48"/>
    <w:rsid w:val="003635E0"/>
    <w:rsid w:val="00380F98"/>
    <w:rsid w:val="003827FF"/>
    <w:rsid w:val="00386CA2"/>
    <w:rsid w:val="00387476"/>
    <w:rsid w:val="003A0317"/>
    <w:rsid w:val="003A2E39"/>
    <w:rsid w:val="003A4FAA"/>
    <w:rsid w:val="003A5D03"/>
    <w:rsid w:val="003B728B"/>
    <w:rsid w:val="003C0BC4"/>
    <w:rsid w:val="003D3936"/>
    <w:rsid w:val="003D4968"/>
    <w:rsid w:val="003F3752"/>
    <w:rsid w:val="00412598"/>
    <w:rsid w:val="00416431"/>
    <w:rsid w:val="0043083D"/>
    <w:rsid w:val="0043278A"/>
    <w:rsid w:val="00436CED"/>
    <w:rsid w:val="00443C6C"/>
    <w:rsid w:val="0045551C"/>
    <w:rsid w:val="00460EA2"/>
    <w:rsid w:val="00461FDB"/>
    <w:rsid w:val="00465240"/>
    <w:rsid w:val="0048581C"/>
    <w:rsid w:val="0049540A"/>
    <w:rsid w:val="00495EC8"/>
    <w:rsid w:val="004A7E22"/>
    <w:rsid w:val="004C4A53"/>
    <w:rsid w:val="004E5407"/>
    <w:rsid w:val="004F4213"/>
    <w:rsid w:val="004F5571"/>
    <w:rsid w:val="004F787C"/>
    <w:rsid w:val="005122B4"/>
    <w:rsid w:val="0051677B"/>
    <w:rsid w:val="00530CF6"/>
    <w:rsid w:val="00533C2F"/>
    <w:rsid w:val="0053401A"/>
    <w:rsid w:val="00544DE0"/>
    <w:rsid w:val="005502AA"/>
    <w:rsid w:val="00560890"/>
    <w:rsid w:val="00561DF2"/>
    <w:rsid w:val="00564BC9"/>
    <w:rsid w:val="00573BEF"/>
    <w:rsid w:val="0058789E"/>
    <w:rsid w:val="00590C39"/>
    <w:rsid w:val="00591850"/>
    <w:rsid w:val="00593DB0"/>
    <w:rsid w:val="0059781A"/>
    <w:rsid w:val="005A1B65"/>
    <w:rsid w:val="005A3887"/>
    <w:rsid w:val="005A7725"/>
    <w:rsid w:val="005B2531"/>
    <w:rsid w:val="005D0F90"/>
    <w:rsid w:val="005D600C"/>
    <w:rsid w:val="005E5576"/>
    <w:rsid w:val="005E5733"/>
    <w:rsid w:val="005F37A2"/>
    <w:rsid w:val="005F5E37"/>
    <w:rsid w:val="00603C6D"/>
    <w:rsid w:val="006113C6"/>
    <w:rsid w:val="00611849"/>
    <w:rsid w:val="00613FC4"/>
    <w:rsid w:val="00614995"/>
    <w:rsid w:val="00622D54"/>
    <w:rsid w:val="00627518"/>
    <w:rsid w:val="00630B6D"/>
    <w:rsid w:val="00630C5A"/>
    <w:rsid w:val="0063175E"/>
    <w:rsid w:val="00631BD4"/>
    <w:rsid w:val="00632BE5"/>
    <w:rsid w:val="00634524"/>
    <w:rsid w:val="00652190"/>
    <w:rsid w:val="0065354C"/>
    <w:rsid w:val="00656E53"/>
    <w:rsid w:val="00657456"/>
    <w:rsid w:val="00657957"/>
    <w:rsid w:val="00665602"/>
    <w:rsid w:val="00670625"/>
    <w:rsid w:val="00671452"/>
    <w:rsid w:val="00684F5A"/>
    <w:rsid w:val="00685060"/>
    <w:rsid w:val="006A796F"/>
    <w:rsid w:val="006B482D"/>
    <w:rsid w:val="006C3646"/>
    <w:rsid w:val="006C4922"/>
    <w:rsid w:val="006D007C"/>
    <w:rsid w:val="006D6FB8"/>
    <w:rsid w:val="006E5923"/>
    <w:rsid w:val="006E7556"/>
    <w:rsid w:val="006E7A04"/>
    <w:rsid w:val="006F5266"/>
    <w:rsid w:val="00700419"/>
    <w:rsid w:val="00720137"/>
    <w:rsid w:val="0072308F"/>
    <w:rsid w:val="00734705"/>
    <w:rsid w:val="007455BD"/>
    <w:rsid w:val="007515F4"/>
    <w:rsid w:val="00752318"/>
    <w:rsid w:val="007604A6"/>
    <w:rsid w:val="00762EA7"/>
    <w:rsid w:val="007630BF"/>
    <w:rsid w:val="00765387"/>
    <w:rsid w:val="00770AEB"/>
    <w:rsid w:val="00771D1E"/>
    <w:rsid w:val="007816CC"/>
    <w:rsid w:val="00794430"/>
    <w:rsid w:val="007950E4"/>
    <w:rsid w:val="007A4D56"/>
    <w:rsid w:val="007A7848"/>
    <w:rsid w:val="007B0CB3"/>
    <w:rsid w:val="007B457B"/>
    <w:rsid w:val="007C17A1"/>
    <w:rsid w:val="007C28C5"/>
    <w:rsid w:val="007C4D58"/>
    <w:rsid w:val="007D5DD7"/>
    <w:rsid w:val="007D5F94"/>
    <w:rsid w:val="007E16FA"/>
    <w:rsid w:val="007F1ACD"/>
    <w:rsid w:val="00802328"/>
    <w:rsid w:val="00812CF1"/>
    <w:rsid w:val="008132B1"/>
    <w:rsid w:val="008150A5"/>
    <w:rsid w:val="00830D3B"/>
    <w:rsid w:val="00833164"/>
    <w:rsid w:val="0084050D"/>
    <w:rsid w:val="00876744"/>
    <w:rsid w:val="00882FF1"/>
    <w:rsid w:val="00885F8D"/>
    <w:rsid w:val="0089215E"/>
    <w:rsid w:val="008A37C2"/>
    <w:rsid w:val="008D4512"/>
    <w:rsid w:val="008F264E"/>
    <w:rsid w:val="008F4EF6"/>
    <w:rsid w:val="008F6BCF"/>
    <w:rsid w:val="008F6C60"/>
    <w:rsid w:val="00905291"/>
    <w:rsid w:val="009127B8"/>
    <w:rsid w:val="00913A51"/>
    <w:rsid w:val="00922682"/>
    <w:rsid w:val="00926F9A"/>
    <w:rsid w:val="00930809"/>
    <w:rsid w:val="009402BB"/>
    <w:rsid w:val="0094142A"/>
    <w:rsid w:val="00943ED6"/>
    <w:rsid w:val="00947DBB"/>
    <w:rsid w:val="009503BC"/>
    <w:rsid w:val="00950D35"/>
    <w:rsid w:val="00956034"/>
    <w:rsid w:val="009637E0"/>
    <w:rsid w:val="00966673"/>
    <w:rsid w:val="00973596"/>
    <w:rsid w:val="00973F2D"/>
    <w:rsid w:val="00974205"/>
    <w:rsid w:val="0097573F"/>
    <w:rsid w:val="0097622E"/>
    <w:rsid w:val="00980B63"/>
    <w:rsid w:val="00981C85"/>
    <w:rsid w:val="00991A0D"/>
    <w:rsid w:val="00991FDF"/>
    <w:rsid w:val="009957D2"/>
    <w:rsid w:val="009965B9"/>
    <w:rsid w:val="009965C4"/>
    <w:rsid w:val="009B3916"/>
    <w:rsid w:val="009B5D66"/>
    <w:rsid w:val="009C3010"/>
    <w:rsid w:val="009D071D"/>
    <w:rsid w:val="009D50DC"/>
    <w:rsid w:val="009D60D8"/>
    <w:rsid w:val="009E41A2"/>
    <w:rsid w:val="009F416C"/>
    <w:rsid w:val="009F6A5D"/>
    <w:rsid w:val="009F6B16"/>
    <w:rsid w:val="00A11680"/>
    <w:rsid w:val="00A15EB9"/>
    <w:rsid w:val="00A22B6A"/>
    <w:rsid w:val="00A3299E"/>
    <w:rsid w:val="00A34F50"/>
    <w:rsid w:val="00A40679"/>
    <w:rsid w:val="00A41A4C"/>
    <w:rsid w:val="00A52E89"/>
    <w:rsid w:val="00A57034"/>
    <w:rsid w:val="00A572A3"/>
    <w:rsid w:val="00A7427E"/>
    <w:rsid w:val="00A960EE"/>
    <w:rsid w:val="00AC447E"/>
    <w:rsid w:val="00AD026C"/>
    <w:rsid w:val="00AD3668"/>
    <w:rsid w:val="00AE68A4"/>
    <w:rsid w:val="00AF7EAE"/>
    <w:rsid w:val="00B01E0C"/>
    <w:rsid w:val="00B02410"/>
    <w:rsid w:val="00B1069F"/>
    <w:rsid w:val="00B15724"/>
    <w:rsid w:val="00B17857"/>
    <w:rsid w:val="00B307E5"/>
    <w:rsid w:val="00B30863"/>
    <w:rsid w:val="00B37212"/>
    <w:rsid w:val="00B43AA4"/>
    <w:rsid w:val="00B43D52"/>
    <w:rsid w:val="00B44CC6"/>
    <w:rsid w:val="00B51853"/>
    <w:rsid w:val="00B54232"/>
    <w:rsid w:val="00B54912"/>
    <w:rsid w:val="00B65454"/>
    <w:rsid w:val="00B706B1"/>
    <w:rsid w:val="00B830CA"/>
    <w:rsid w:val="00BA30CA"/>
    <w:rsid w:val="00BB2ABD"/>
    <w:rsid w:val="00BB7416"/>
    <w:rsid w:val="00BD49FD"/>
    <w:rsid w:val="00BD6BA3"/>
    <w:rsid w:val="00BE76C7"/>
    <w:rsid w:val="00BF35A8"/>
    <w:rsid w:val="00C03790"/>
    <w:rsid w:val="00C05F91"/>
    <w:rsid w:val="00C1153F"/>
    <w:rsid w:val="00C25FC6"/>
    <w:rsid w:val="00C272C5"/>
    <w:rsid w:val="00C32076"/>
    <w:rsid w:val="00C40548"/>
    <w:rsid w:val="00C4150A"/>
    <w:rsid w:val="00C41761"/>
    <w:rsid w:val="00C46E51"/>
    <w:rsid w:val="00C55720"/>
    <w:rsid w:val="00C57061"/>
    <w:rsid w:val="00C71E14"/>
    <w:rsid w:val="00C74EB1"/>
    <w:rsid w:val="00C779F8"/>
    <w:rsid w:val="00C82ACF"/>
    <w:rsid w:val="00CA1060"/>
    <w:rsid w:val="00CA2C2A"/>
    <w:rsid w:val="00CA3F6F"/>
    <w:rsid w:val="00CB5546"/>
    <w:rsid w:val="00CB6F49"/>
    <w:rsid w:val="00CC0B52"/>
    <w:rsid w:val="00CC1AF3"/>
    <w:rsid w:val="00CC2EF6"/>
    <w:rsid w:val="00CD52F4"/>
    <w:rsid w:val="00CF785C"/>
    <w:rsid w:val="00D00A28"/>
    <w:rsid w:val="00D068AE"/>
    <w:rsid w:val="00D107B6"/>
    <w:rsid w:val="00D14328"/>
    <w:rsid w:val="00D16F3B"/>
    <w:rsid w:val="00D32EBB"/>
    <w:rsid w:val="00D575E1"/>
    <w:rsid w:val="00D61BA8"/>
    <w:rsid w:val="00D71F44"/>
    <w:rsid w:val="00D821C6"/>
    <w:rsid w:val="00D9402F"/>
    <w:rsid w:val="00DA27E0"/>
    <w:rsid w:val="00DC12B5"/>
    <w:rsid w:val="00DC4597"/>
    <w:rsid w:val="00DD44F3"/>
    <w:rsid w:val="00DD6E0F"/>
    <w:rsid w:val="00DD7AF5"/>
    <w:rsid w:val="00DE799E"/>
    <w:rsid w:val="00DF393C"/>
    <w:rsid w:val="00E00CC9"/>
    <w:rsid w:val="00E01FA0"/>
    <w:rsid w:val="00E14050"/>
    <w:rsid w:val="00E1438D"/>
    <w:rsid w:val="00E15968"/>
    <w:rsid w:val="00E15FF5"/>
    <w:rsid w:val="00E16D90"/>
    <w:rsid w:val="00E17FE5"/>
    <w:rsid w:val="00E26C65"/>
    <w:rsid w:val="00E27947"/>
    <w:rsid w:val="00E37D3E"/>
    <w:rsid w:val="00E4358C"/>
    <w:rsid w:val="00E55758"/>
    <w:rsid w:val="00E5625A"/>
    <w:rsid w:val="00E6402A"/>
    <w:rsid w:val="00E64CDD"/>
    <w:rsid w:val="00E6715A"/>
    <w:rsid w:val="00E67957"/>
    <w:rsid w:val="00E75AFC"/>
    <w:rsid w:val="00E84F3C"/>
    <w:rsid w:val="00E87FED"/>
    <w:rsid w:val="00E901A9"/>
    <w:rsid w:val="00EA6D7F"/>
    <w:rsid w:val="00EB782B"/>
    <w:rsid w:val="00EB7C5E"/>
    <w:rsid w:val="00EC258F"/>
    <w:rsid w:val="00EC5ADD"/>
    <w:rsid w:val="00EC5EED"/>
    <w:rsid w:val="00ED6054"/>
    <w:rsid w:val="00EE40D8"/>
    <w:rsid w:val="00F06894"/>
    <w:rsid w:val="00F078A9"/>
    <w:rsid w:val="00F07FAB"/>
    <w:rsid w:val="00F11F6F"/>
    <w:rsid w:val="00F130A1"/>
    <w:rsid w:val="00F14F52"/>
    <w:rsid w:val="00F212F1"/>
    <w:rsid w:val="00F2746A"/>
    <w:rsid w:val="00F5022C"/>
    <w:rsid w:val="00F52960"/>
    <w:rsid w:val="00F602A4"/>
    <w:rsid w:val="00F65ED6"/>
    <w:rsid w:val="00F66E34"/>
    <w:rsid w:val="00F675CF"/>
    <w:rsid w:val="00F74900"/>
    <w:rsid w:val="00F759B8"/>
    <w:rsid w:val="00F85B2F"/>
    <w:rsid w:val="00F93371"/>
    <w:rsid w:val="00FA2F7A"/>
    <w:rsid w:val="00FC19C3"/>
    <w:rsid w:val="00FD0B3B"/>
    <w:rsid w:val="00FD295F"/>
    <w:rsid w:val="00FD314C"/>
    <w:rsid w:val="00FD45EA"/>
    <w:rsid w:val="00FE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AFC"/>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E75AFC"/>
    <w:pPr>
      <w:keepNext/>
      <w:numPr>
        <w:numId w:val="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E75AFC"/>
    <w:pPr>
      <w:keepNext/>
      <w:numPr>
        <w:ilvl w:val="1"/>
        <w:numId w:val="7"/>
      </w:numPr>
      <w:spacing w:after="120"/>
      <w:outlineLvl w:val="1"/>
    </w:pPr>
    <w:rPr>
      <w:b/>
    </w:rPr>
  </w:style>
  <w:style w:type="paragraph" w:styleId="Heading3">
    <w:name w:val="heading 3"/>
    <w:basedOn w:val="Normal"/>
    <w:next w:val="ParaNum"/>
    <w:link w:val="Heading3Char"/>
    <w:qFormat/>
    <w:rsid w:val="00E75AFC"/>
    <w:pPr>
      <w:keepNext/>
      <w:numPr>
        <w:ilvl w:val="2"/>
        <w:numId w:val="7"/>
      </w:numPr>
      <w:tabs>
        <w:tab w:val="left" w:pos="2160"/>
      </w:tabs>
      <w:spacing w:after="120"/>
      <w:outlineLvl w:val="2"/>
    </w:pPr>
    <w:rPr>
      <w:b/>
    </w:rPr>
  </w:style>
  <w:style w:type="paragraph" w:styleId="Heading4">
    <w:name w:val="heading 4"/>
    <w:basedOn w:val="Normal"/>
    <w:next w:val="ParaNum"/>
    <w:link w:val="Heading4Char"/>
    <w:qFormat/>
    <w:rsid w:val="00E75AFC"/>
    <w:pPr>
      <w:keepNext/>
      <w:numPr>
        <w:ilvl w:val="3"/>
        <w:numId w:val="7"/>
      </w:numPr>
      <w:tabs>
        <w:tab w:val="left" w:pos="2880"/>
      </w:tabs>
      <w:spacing w:after="120"/>
      <w:outlineLvl w:val="3"/>
    </w:pPr>
    <w:rPr>
      <w:b/>
    </w:rPr>
  </w:style>
  <w:style w:type="paragraph" w:styleId="Heading5">
    <w:name w:val="heading 5"/>
    <w:basedOn w:val="Normal"/>
    <w:next w:val="ParaNum"/>
    <w:link w:val="Heading5Char"/>
    <w:qFormat/>
    <w:rsid w:val="00E75AFC"/>
    <w:pPr>
      <w:keepNext/>
      <w:numPr>
        <w:ilvl w:val="4"/>
        <w:numId w:val="7"/>
      </w:numPr>
      <w:tabs>
        <w:tab w:val="left" w:pos="3600"/>
      </w:tabs>
      <w:suppressAutoHyphens/>
      <w:spacing w:after="120"/>
      <w:outlineLvl w:val="4"/>
    </w:pPr>
    <w:rPr>
      <w:b/>
    </w:rPr>
  </w:style>
  <w:style w:type="paragraph" w:styleId="Heading6">
    <w:name w:val="heading 6"/>
    <w:basedOn w:val="Normal"/>
    <w:next w:val="ParaNum"/>
    <w:link w:val="Heading6Char"/>
    <w:qFormat/>
    <w:rsid w:val="00E75AFC"/>
    <w:pPr>
      <w:numPr>
        <w:ilvl w:val="5"/>
        <w:numId w:val="7"/>
      </w:numPr>
      <w:tabs>
        <w:tab w:val="left" w:pos="4320"/>
      </w:tabs>
      <w:spacing w:after="120"/>
      <w:outlineLvl w:val="5"/>
    </w:pPr>
    <w:rPr>
      <w:b/>
    </w:rPr>
  </w:style>
  <w:style w:type="paragraph" w:styleId="Heading7">
    <w:name w:val="heading 7"/>
    <w:basedOn w:val="Normal"/>
    <w:next w:val="ParaNum"/>
    <w:link w:val="Heading7Char"/>
    <w:qFormat/>
    <w:rsid w:val="00E75AFC"/>
    <w:pPr>
      <w:numPr>
        <w:ilvl w:val="6"/>
        <w:numId w:val="7"/>
      </w:numPr>
      <w:tabs>
        <w:tab w:val="left" w:pos="5040"/>
      </w:tabs>
      <w:spacing w:after="120"/>
      <w:ind w:left="5040" w:hanging="720"/>
      <w:outlineLvl w:val="6"/>
    </w:pPr>
    <w:rPr>
      <w:b/>
    </w:rPr>
  </w:style>
  <w:style w:type="paragraph" w:styleId="Heading8">
    <w:name w:val="heading 8"/>
    <w:basedOn w:val="Normal"/>
    <w:next w:val="ParaNum"/>
    <w:link w:val="Heading8Char"/>
    <w:qFormat/>
    <w:rsid w:val="00E75AFC"/>
    <w:pPr>
      <w:numPr>
        <w:ilvl w:val="7"/>
        <w:numId w:val="7"/>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E75AFC"/>
    <w:pPr>
      <w:numPr>
        <w:ilvl w:val="8"/>
        <w:numId w:val="7"/>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75AF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75AFC"/>
  </w:style>
  <w:style w:type="character" w:customStyle="1" w:styleId="Heading1Char">
    <w:name w:val="Heading 1 Char"/>
    <w:link w:val="Heading1"/>
    <w:rsid w:val="0003707C"/>
    <w:rPr>
      <w:rFonts w:ascii="Times New Roman Bold" w:eastAsia="Times New Roman" w:hAnsi="Times New Roman Bold" w:cs="Times New Roman"/>
      <w:b/>
      <w:caps/>
      <w:snapToGrid w:val="0"/>
      <w:kern w:val="28"/>
      <w:szCs w:val="20"/>
    </w:rPr>
  </w:style>
  <w:style w:type="character" w:customStyle="1" w:styleId="Heading2Char">
    <w:name w:val="Heading 2 Char"/>
    <w:link w:val="Heading2"/>
    <w:rsid w:val="0003707C"/>
    <w:rPr>
      <w:rFonts w:ascii="Times New Roman" w:eastAsia="Times New Roman" w:hAnsi="Times New Roman" w:cs="Times New Roman"/>
      <w:b/>
      <w:snapToGrid w:val="0"/>
      <w:kern w:val="28"/>
      <w:szCs w:val="20"/>
    </w:rPr>
  </w:style>
  <w:style w:type="character" w:customStyle="1" w:styleId="Heading3Char">
    <w:name w:val="Heading 3 Char"/>
    <w:link w:val="Heading3"/>
    <w:rsid w:val="0003707C"/>
    <w:rPr>
      <w:rFonts w:ascii="Times New Roman" w:eastAsia="Times New Roman" w:hAnsi="Times New Roman" w:cs="Times New Roman"/>
      <w:b/>
      <w:snapToGrid w:val="0"/>
      <w:kern w:val="28"/>
      <w:szCs w:val="20"/>
    </w:rPr>
  </w:style>
  <w:style w:type="character" w:customStyle="1" w:styleId="Heading4Char">
    <w:name w:val="Heading 4 Char"/>
    <w:link w:val="Heading4"/>
    <w:rsid w:val="0003707C"/>
    <w:rPr>
      <w:rFonts w:ascii="Times New Roman" w:eastAsia="Times New Roman" w:hAnsi="Times New Roman" w:cs="Times New Roman"/>
      <w:b/>
      <w:snapToGrid w:val="0"/>
      <w:kern w:val="28"/>
      <w:szCs w:val="20"/>
    </w:rPr>
  </w:style>
  <w:style w:type="character" w:customStyle="1" w:styleId="Heading5Char">
    <w:name w:val="Heading 5 Char"/>
    <w:link w:val="Heading5"/>
    <w:rsid w:val="0003707C"/>
    <w:rPr>
      <w:rFonts w:ascii="Times New Roman" w:eastAsia="Times New Roman" w:hAnsi="Times New Roman" w:cs="Times New Roman"/>
      <w:b/>
      <w:snapToGrid w:val="0"/>
      <w:kern w:val="28"/>
      <w:szCs w:val="20"/>
    </w:rPr>
  </w:style>
  <w:style w:type="character" w:customStyle="1" w:styleId="Heading6Char">
    <w:name w:val="Heading 6 Char"/>
    <w:link w:val="Heading6"/>
    <w:rsid w:val="0003707C"/>
    <w:rPr>
      <w:rFonts w:ascii="Times New Roman" w:eastAsia="Times New Roman" w:hAnsi="Times New Roman" w:cs="Times New Roman"/>
      <w:b/>
      <w:snapToGrid w:val="0"/>
      <w:kern w:val="28"/>
      <w:szCs w:val="20"/>
    </w:rPr>
  </w:style>
  <w:style w:type="character" w:customStyle="1" w:styleId="Heading7Char">
    <w:name w:val="Heading 7 Char"/>
    <w:link w:val="Heading7"/>
    <w:rsid w:val="0003707C"/>
    <w:rPr>
      <w:rFonts w:ascii="Times New Roman" w:eastAsia="Times New Roman" w:hAnsi="Times New Roman" w:cs="Times New Roman"/>
      <w:b/>
      <w:snapToGrid w:val="0"/>
      <w:kern w:val="28"/>
      <w:szCs w:val="20"/>
    </w:rPr>
  </w:style>
  <w:style w:type="character" w:customStyle="1" w:styleId="Heading8Char">
    <w:name w:val="Heading 8 Char"/>
    <w:link w:val="Heading8"/>
    <w:rsid w:val="0003707C"/>
    <w:rPr>
      <w:rFonts w:ascii="Times New Roman" w:eastAsia="Times New Roman" w:hAnsi="Times New Roman" w:cs="Times New Roman"/>
      <w:b/>
      <w:snapToGrid w:val="0"/>
      <w:kern w:val="28"/>
      <w:szCs w:val="20"/>
    </w:rPr>
  </w:style>
  <w:style w:type="character" w:customStyle="1" w:styleId="Heading9Char">
    <w:name w:val="Heading 9 Char"/>
    <w:link w:val="Heading9"/>
    <w:rsid w:val="0003707C"/>
    <w:rPr>
      <w:rFonts w:ascii="Times New Roman" w:eastAsia="Times New Roman" w:hAnsi="Times New Roman" w:cs="Times New Roman"/>
      <w:b/>
      <w:snapToGrid w:val="0"/>
      <w:kern w:val="28"/>
      <w:szCs w:val="20"/>
    </w:rPr>
  </w:style>
  <w:style w:type="paragraph" w:customStyle="1" w:styleId="ParaNum">
    <w:name w:val="ParaNum"/>
    <w:basedOn w:val="Normal"/>
    <w:rsid w:val="00E75AFC"/>
    <w:pPr>
      <w:numPr>
        <w:numId w:val="6"/>
      </w:numPr>
      <w:tabs>
        <w:tab w:val="clear" w:pos="1080"/>
        <w:tab w:val="num" w:pos="1440"/>
      </w:tabs>
      <w:spacing w:after="120"/>
    </w:pPr>
  </w:style>
  <w:style w:type="paragraph" w:styleId="FootnoteText">
    <w:name w:val="footnote text"/>
    <w:link w:val="FootnoteTextChar"/>
    <w:rsid w:val="00E75AFC"/>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8F264E"/>
    <w:rPr>
      <w:rFonts w:ascii="Times New Roman" w:eastAsia="Times New Roman" w:hAnsi="Times New Roman" w:cs="Times New Roman"/>
      <w:sz w:val="20"/>
      <w:szCs w:val="20"/>
    </w:rPr>
  </w:style>
  <w:style w:type="character" w:styleId="FootnoteReference">
    <w:name w:val="footnote reference"/>
    <w:rsid w:val="00E75AFC"/>
    <w:rPr>
      <w:rFonts w:ascii="Times New Roman" w:hAnsi="Times New Roman"/>
      <w:dstrike w:val="0"/>
      <w:color w:val="auto"/>
      <w:sz w:val="20"/>
      <w:vertAlign w:val="superscript"/>
    </w:rPr>
  </w:style>
  <w:style w:type="paragraph" w:styleId="Header">
    <w:name w:val="header"/>
    <w:basedOn w:val="Normal"/>
    <w:link w:val="HeaderChar"/>
    <w:autoRedefine/>
    <w:rsid w:val="00E75AFC"/>
    <w:pPr>
      <w:tabs>
        <w:tab w:val="center" w:pos="4680"/>
        <w:tab w:val="right" w:pos="9360"/>
      </w:tabs>
    </w:pPr>
    <w:rPr>
      <w:b/>
    </w:rPr>
  </w:style>
  <w:style w:type="character" w:customStyle="1" w:styleId="HeaderChar">
    <w:name w:val="Header Char"/>
    <w:basedOn w:val="DefaultParagraphFont"/>
    <w:link w:val="Header"/>
    <w:rsid w:val="008F264E"/>
    <w:rPr>
      <w:rFonts w:ascii="Times New Roman" w:eastAsia="Times New Roman" w:hAnsi="Times New Roman" w:cs="Times New Roman"/>
      <w:b/>
      <w:snapToGrid w:val="0"/>
      <w:kern w:val="28"/>
      <w:szCs w:val="20"/>
    </w:rPr>
  </w:style>
  <w:style w:type="paragraph" w:styleId="Footer">
    <w:name w:val="footer"/>
    <w:basedOn w:val="Normal"/>
    <w:link w:val="FooterChar"/>
    <w:rsid w:val="00E75AFC"/>
    <w:pPr>
      <w:tabs>
        <w:tab w:val="center" w:pos="4320"/>
        <w:tab w:val="right" w:pos="8640"/>
      </w:tabs>
    </w:pPr>
  </w:style>
  <w:style w:type="character" w:customStyle="1" w:styleId="FooterChar">
    <w:name w:val="Footer Char"/>
    <w:basedOn w:val="DefaultParagraphFont"/>
    <w:link w:val="Footer"/>
    <w:rsid w:val="008F264E"/>
    <w:rPr>
      <w:rFonts w:ascii="Times New Roman" w:eastAsia="Times New Roman" w:hAnsi="Times New Roman" w:cs="Times New Roman"/>
      <w:snapToGrid w:val="0"/>
      <w:kern w:val="28"/>
      <w:szCs w:val="20"/>
    </w:rPr>
  </w:style>
  <w:style w:type="character" w:styleId="PageNumber">
    <w:name w:val="page number"/>
    <w:basedOn w:val="DefaultParagraphFont"/>
    <w:rsid w:val="00E75AFC"/>
  </w:style>
  <w:style w:type="paragraph" w:customStyle="1" w:styleId="Default">
    <w:name w:val="Default"/>
    <w:rsid w:val="008F26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semiHidden/>
    <w:rsid w:val="008F264E"/>
    <w:rPr>
      <w:sz w:val="16"/>
      <w:szCs w:val="16"/>
    </w:rPr>
  </w:style>
  <w:style w:type="paragraph" w:styleId="CommentText">
    <w:name w:val="annotation text"/>
    <w:basedOn w:val="Normal"/>
    <w:link w:val="CommentTextChar"/>
    <w:semiHidden/>
    <w:rsid w:val="008F264E"/>
    <w:rPr>
      <w:sz w:val="20"/>
    </w:rPr>
  </w:style>
  <w:style w:type="character" w:customStyle="1" w:styleId="CommentTextChar">
    <w:name w:val="Comment Text Char"/>
    <w:basedOn w:val="DefaultParagraphFont"/>
    <w:link w:val="CommentText"/>
    <w:semiHidden/>
    <w:rsid w:val="008F264E"/>
    <w:rPr>
      <w:rFonts w:ascii="Times New Roman" w:eastAsia="Times New Roman" w:hAnsi="Times New Roman" w:cs="Times New Roman"/>
      <w:sz w:val="20"/>
      <w:szCs w:val="20"/>
      <w:lang w:eastAsia="ja-JP"/>
    </w:rPr>
  </w:style>
  <w:style w:type="paragraph" w:styleId="NormalWeb">
    <w:name w:val="Normal (Web)"/>
    <w:basedOn w:val="Normal"/>
    <w:uiPriority w:val="99"/>
    <w:unhideWhenUsed/>
    <w:rsid w:val="008F264E"/>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8F264E"/>
    <w:rPr>
      <w:rFonts w:ascii="Tahoma" w:hAnsi="Tahoma" w:cs="Tahoma"/>
      <w:sz w:val="16"/>
      <w:szCs w:val="16"/>
    </w:rPr>
  </w:style>
  <w:style w:type="character" w:customStyle="1" w:styleId="BalloonTextChar">
    <w:name w:val="Balloon Text Char"/>
    <w:basedOn w:val="DefaultParagraphFont"/>
    <w:link w:val="BalloonText"/>
    <w:uiPriority w:val="99"/>
    <w:semiHidden/>
    <w:rsid w:val="008F264E"/>
    <w:rPr>
      <w:rFonts w:ascii="Tahoma" w:eastAsia="Times New Roman" w:hAnsi="Tahoma" w:cs="Tahoma"/>
      <w:sz w:val="16"/>
      <w:szCs w:val="16"/>
      <w:lang w:eastAsia="ja-JP"/>
    </w:rPr>
  </w:style>
  <w:style w:type="paragraph" w:styleId="EndnoteText">
    <w:name w:val="endnote text"/>
    <w:basedOn w:val="Normal"/>
    <w:link w:val="EndnoteTextChar"/>
    <w:semiHidden/>
    <w:rsid w:val="00E75AFC"/>
    <w:rPr>
      <w:sz w:val="20"/>
    </w:rPr>
  </w:style>
  <w:style w:type="character" w:customStyle="1" w:styleId="EndnoteTextChar">
    <w:name w:val="Endnote Text Char"/>
    <w:basedOn w:val="DefaultParagraphFont"/>
    <w:link w:val="EndnoteText"/>
    <w:semiHidden/>
    <w:rsid w:val="008F264E"/>
    <w:rPr>
      <w:rFonts w:ascii="Times New Roman" w:eastAsia="Times New Roman" w:hAnsi="Times New Roman" w:cs="Times New Roman"/>
      <w:snapToGrid w:val="0"/>
      <w:kern w:val="28"/>
      <w:sz w:val="20"/>
      <w:szCs w:val="20"/>
    </w:rPr>
  </w:style>
  <w:style w:type="character" w:styleId="EndnoteReference">
    <w:name w:val="endnote reference"/>
    <w:semiHidden/>
    <w:rsid w:val="00E75AFC"/>
    <w:rPr>
      <w:vertAlign w:val="superscript"/>
    </w:rPr>
  </w:style>
  <w:style w:type="paragraph" w:styleId="TOC1">
    <w:name w:val="toc 1"/>
    <w:basedOn w:val="Normal"/>
    <w:next w:val="Normal"/>
    <w:semiHidden/>
    <w:rsid w:val="00E75AF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75AFC"/>
    <w:pPr>
      <w:tabs>
        <w:tab w:val="left" w:pos="720"/>
        <w:tab w:val="right" w:leader="dot" w:pos="9360"/>
      </w:tabs>
      <w:suppressAutoHyphens/>
      <w:ind w:left="720" w:right="720" w:hanging="360"/>
    </w:pPr>
    <w:rPr>
      <w:noProof/>
    </w:rPr>
  </w:style>
  <w:style w:type="paragraph" w:styleId="TOC3">
    <w:name w:val="toc 3"/>
    <w:basedOn w:val="Normal"/>
    <w:next w:val="Normal"/>
    <w:semiHidden/>
    <w:rsid w:val="00E75AF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75AF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75AF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75AF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75AF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75AF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75AF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75AFC"/>
    <w:pPr>
      <w:tabs>
        <w:tab w:val="right" w:pos="9360"/>
      </w:tabs>
      <w:suppressAutoHyphens/>
    </w:pPr>
  </w:style>
  <w:style w:type="character" w:customStyle="1" w:styleId="EquationCaption">
    <w:name w:val="_Equation Caption"/>
    <w:rsid w:val="00E75AFC"/>
  </w:style>
  <w:style w:type="paragraph" w:styleId="BlockText">
    <w:name w:val="Block Text"/>
    <w:basedOn w:val="Normal"/>
    <w:rsid w:val="00E75AFC"/>
    <w:pPr>
      <w:spacing w:after="240"/>
      <w:ind w:left="1440" w:right="1440"/>
    </w:pPr>
  </w:style>
  <w:style w:type="paragraph" w:customStyle="1" w:styleId="Paratitle">
    <w:name w:val="Para title"/>
    <w:basedOn w:val="Normal"/>
    <w:rsid w:val="00E75AFC"/>
    <w:pPr>
      <w:tabs>
        <w:tab w:val="center" w:pos="9270"/>
      </w:tabs>
      <w:spacing w:after="240"/>
    </w:pPr>
    <w:rPr>
      <w:spacing w:val="-2"/>
    </w:rPr>
  </w:style>
  <w:style w:type="paragraph" w:customStyle="1" w:styleId="Bullet">
    <w:name w:val="Bullet"/>
    <w:basedOn w:val="Normal"/>
    <w:rsid w:val="00E75AFC"/>
    <w:pPr>
      <w:tabs>
        <w:tab w:val="left" w:pos="2160"/>
      </w:tabs>
      <w:spacing w:after="220"/>
      <w:ind w:left="2160" w:hanging="720"/>
    </w:pPr>
  </w:style>
  <w:style w:type="paragraph" w:customStyle="1" w:styleId="TableFormat">
    <w:name w:val="TableFormat"/>
    <w:basedOn w:val="Bullet"/>
    <w:rsid w:val="00E75AFC"/>
    <w:pPr>
      <w:tabs>
        <w:tab w:val="clear" w:pos="2160"/>
        <w:tab w:val="left" w:pos="5040"/>
      </w:tabs>
      <w:ind w:left="5040" w:hanging="3600"/>
    </w:pPr>
  </w:style>
  <w:style w:type="paragraph" w:customStyle="1" w:styleId="TOCTitle">
    <w:name w:val="TOC Title"/>
    <w:basedOn w:val="Normal"/>
    <w:rsid w:val="00E75AF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75AFC"/>
    <w:pPr>
      <w:jc w:val="center"/>
    </w:pPr>
    <w:rPr>
      <w:rFonts w:ascii="Times New Roman Bold" w:hAnsi="Times New Roman Bold"/>
      <w:b/>
      <w:bCs/>
      <w:caps/>
      <w:szCs w:val="22"/>
    </w:rPr>
  </w:style>
  <w:style w:type="character" w:styleId="Hyperlink">
    <w:name w:val="Hyperlink"/>
    <w:rsid w:val="00E75AFC"/>
    <w:rPr>
      <w:color w:val="0000FF"/>
      <w:u w:val="single"/>
    </w:rPr>
  </w:style>
  <w:style w:type="paragraph" w:styleId="CommentSubject">
    <w:name w:val="annotation subject"/>
    <w:basedOn w:val="CommentText"/>
    <w:next w:val="CommentText"/>
    <w:link w:val="CommentSubjectChar"/>
    <w:uiPriority w:val="99"/>
    <w:semiHidden/>
    <w:unhideWhenUsed/>
    <w:rsid w:val="00F675CF"/>
    <w:rPr>
      <w:b/>
      <w:bCs/>
    </w:rPr>
  </w:style>
  <w:style w:type="character" w:customStyle="1" w:styleId="CommentSubjectChar">
    <w:name w:val="Comment Subject Char"/>
    <w:basedOn w:val="CommentTextChar"/>
    <w:link w:val="CommentSubject"/>
    <w:uiPriority w:val="99"/>
    <w:semiHidden/>
    <w:rsid w:val="00F675CF"/>
    <w:rPr>
      <w:rFonts w:ascii="Times New Roman" w:eastAsia="Times New Roman" w:hAnsi="Times New Roman" w:cs="Times New Roman"/>
      <w:b/>
      <w:bCs/>
      <w:snapToGrid w:val="0"/>
      <w:kern w:val="28"/>
      <w:sz w:val="20"/>
      <w:szCs w:val="20"/>
      <w:lang w:eastAsia="ja-JP"/>
    </w:rPr>
  </w:style>
  <w:style w:type="paragraph" w:customStyle="1" w:styleId="default0">
    <w:name w:val="default"/>
    <w:basedOn w:val="Normal"/>
    <w:rsid w:val="00FD295F"/>
    <w:pPr>
      <w:widowControl/>
      <w:spacing w:before="100" w:beforeAutospacing="1" w:after="100" w:afterAutospacing="1"/>
    </w:pPr>
    <w:rPr>
      <w:snapToGrid/>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AFC"/>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E75AFC"/>
    <w:pPr>
      <w:keepNext/>
      <w:numPr>
        <w:numId w:val="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E75AFC"/>
    <w:pPr>
      <w:keepNext/>
      <w:numPr>
        <w:ilvl w:val="1"/>
        <w:numId w:val="7"/>
      </w:numPr>
      <w:spacing w:after="120"/>
      <w:outlineLvl w:val="1"/>
    </w:pPr>
    <w:rPr>
      <w:b/>
    </w:rPr>
  </w:style>
  <w:style w:type="paragraph" w:styleId="Heading3">
    <w:name w:val="heading 3"/>
    <w:basedOn w:val="Normal"/>
    <w:next w:val="ParaNum"/>
    <w:link w:val="Heading3Char"/>
    <w:qFormat/>
    <w:rsid w:val="00E75AFC"/>
    <w:pPr>
      <w:keepNext/>
      <w:numPr>
        <w:ilvl w:val="2"/>
        <w:numId w:val="7"/>
      </w:numPr>
      <w:tabs>
        <w:tab w:val="left" w:pos="2160"/>
      </w:tabs>
      <w:spacing w:after="120"/>
      <w:outlineLvl w:val="2"/>
    </w:pPr>
    <w:rPr>
      <w:b/>
    </w:rPr>
  </w:style>
  <w:style w:type="paragraph" w:styleId="Heading4">
    <w:name w:val="heading 4"/>
    <w:basedOn w:val="Normal"/>
    <w:next w:val="ParaNum"/>
    <w:link w:val="Heading4Char"/>
    <w:qFormat/>
    <w:rsid w:val="00E75AFC"/>
    <w:pPr>
      <w:keepNext/>
      <w:numPr>
        <w:ilvl w:val="3"/>
        <w:numId w:val="7"/>
      </w:numPr>
      <w:tabs>
        <w:tab w:val="left" w:pos="2880"/>
      </w:tabs>
      <w:spacing w:after="120"/>
      <w:outlineLvl w:val="3"/>
    </w:pPr>
    <w:rPr>
      <w:b/>
    </w:rPr>
  </w:style>
  <w:style w:type="paragraph" w:styleId="Heading5">
    <w:name w:val="heading 5"/>
    <w:basedOn w:val="Normal"/>
    <w:next w:val="ParaNum"/>
    <w:link w:val="Heading5Char"/>
    <w:qFormat/>
    <w:rsid w:val="00E75AFC"/>
    <w:pPr>
      <w:keepNext/>
      <w:numPr>
        <w:ilvl w:val="4"/>
        <w:numId w:val="7"/>
      </w:numPr>
      <w:tabs>
        <w:tab w:val="left" w:pos="3600"/>
      </w:tabs>
      <w:suppressAutoHyphens/>
      <w:spacing w:after="120"/>
      <w:outlineLvl w:val="4"/>
    </w:pPr>
    <w:rPr>
      <w:b/>
    </w:rPr>
  </w:style>
  <w:style w:type="paragraph" w:styleId="Heading6">
    <w:name w:val="heading 6"/>
    <w:basedOn w:val="Normal"/>
    <w:next w:val="ParaNum"/>
    <w:link w:val="Heading6Char"/>
    <w:qFormat/>
    <w:rsid w:val="00E75AFC"/>
    <w:pPr>
      <w:numPr>
        <w:ilvl w:val="5"/>
        <w:numId w:val="7"/>
      </w:numPr>
      <w:tabs>
        <w:tab w:val="left" w:pos="4320"/>
      </w:tabs>
      <w:spacing w:after="120"/>
      <w:outlineLvl w:val="5"/>
    </w:pPr>
    <w:rPr>
      <w:b/>
    </w:rPr>
  </w:style>
  <w:style w:type="paragraph" w:styleId="Heading7">
    <w:name w:val="heading 7"/>
    <w:basedOn w:val="Normal"/>
    <w:next w:val="ParaNum"/>
    <w:link w:val="Heading7Char"/>
    <w:qFormat/>
    <w:rsid w:val="00E75AFC"/>
    <w:pPr>
      <w:numPr>
        <w:ilvl w:val="6"/>
        <w:numId w:val="7"/>
      </w:numPr>
      <w:tabs>
        <w:tab w:val="left" w:pos="5040"/>
      </w:tabs>
      <w:spacing w:after="120"/>
      <w:ind w:left="5040" w:hanging="720"/>
      <w:outlineLvl w:val="6"/>
    </w:pPr>
    <w:rPr>
      <w:b/>
    </w:rPr>
  </w:style>
  <w:style w:type="paragraph" w:styleId="Heading8">
    <w:name w:val="heading 8"/>
    <w:basedOn w:val="Normal"/>
    <w:next w:val="ParaNum"/>
    <w:link w:val="Heading8Char"/>
    <w:qFormat/>
    <w:rsid w:val="00E75AFC"/>
    <w:pPr>
      <w:numPr>
        <w:ilvl w:val="7"/>
        <w:numId w:val="7"/>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E75AFC"/>
    <w:pPr>
      <w:numPr>
        <w:ilvl w:val="8"/>
        <w:numId w:val="7"/>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75AF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75AFC"/>
  </w:style>
  <w:style w:type="character" w:customStyle="1" w:styleId="Heading1Char">
    <w:name w:val="Heading 1 Char"/>
    <w:link w:val="Heading1"/>
    <w:rsid w:val="0003707C"/>
    <w:rPr>
      <w:rFonts w:ascii="Times New Roman Bold" w:eastAsia="Times New Roman" w:hAnsi="Times New Roman Bold" w:cs="Times New Roman"/>
      <w:b/>
      <w:caps/>
      <w:snapToGrid w:val="0"/>
      <w:kern w:val="28"/>
      <w:szCs w:val="20"/>
    </w:rPr>
  </w:style>
  <w:style w:type="character" w:customStyle="1" w:styleId="Heading2Char">
    <w:name w:val="Heading 2 Char"/>
    <w:link w:val="Heading2"/>
    <w:rsid w:val="0003707C"/>
    <w:rPr>
      <w:rFonts w:ascii="Times New Roman" w:eastAsia="Times New Roman" w:hAnsi="Times New Roman" w:cs="Times New Roman"/>
      <w:b/>
      <w:snapToGrid w:val="0"/>
      <w:kern w:val="28"/>
      <w:szCs w:val="20"/>
    </w:rPr>
  </w:style>
  <w:style w:type="character" w:customStyle="1" w:styleId="Heading3Char">
    <w:name w:val="Heading 3 Char"/>
    <w:link w:val="Heading3"/>
    <w:rsid w:val="0003707C"/>
    <w:rPr>
      <w:rFonts w:ascii="Times New Roman" w:eastAsia="Times New Roman" w:hAnsi="Times New Roman" w:cs="Times New Roman"/>
      <w:b/>
      <w:snapToGrid w:val="0"/>
      <w:kern w:val="28"/>
      <w:szCs w:val="20"/>
    </w:rPr>
  </w:style>
  <w:style w:type="character" w:customStyle="1" w:styleId="Heading4Char">
    <w:name w:val="Heading 4 Char"/>
    <w:link w:val="Heading4"/>
    <w:rsid w:val="0003707C"/>
    <w:rPr>
      <w:rFonts w:ascii="Times New Roman" w:eastAsia="Times New Roman" w:hAnsi="Times New Roman" w:cs="Times New Roman"/>
      <w:b/>
      <w:snapToGrid w:val="0"/>
      <w:kern w:val="28"/>
      <w:szCs w:val="20"/>
    </w:rPr>
  </w:style>
  <w:style w:type="character" w:customStyle="1" w:styleId="Heading5Char">
    <w:name w:val="Heading 5 Char"/>
    <w:link w:val="Heading5"/>
    <w:rsid w:val="0003707C"/>
    <w:rPr>
      <w:rFonts w:ascii="Times New Roman" w:eastAsia="Times New Roman" w:hAnsi="Times New Roman" w:cs="Times New Roman"/>
      <w:b/>
      <w:snapToGrid w:val="0"/>
      <w:kern w:val="28"/>
      <w:szCs w:val="20"/>
    </w:rPr>
  </w:style>
  <w:style w:type="character" w:customStyle="1" w:styleId="Heading6Char">
    <w:name w:val="Heading 6 Char"/>
    <w:link w:val="Heading6"/>
    <w:rsid w:val="0003707C"/>
    <w:rPr>
      <w:rFonts w:ascii="Times New Roman" w:eastAsia="Times New Roman" w:hAnsi="Times New Roman" w:cs="Times New Roman"/>
      <w:b/>
      <w:snapToGrid w:val="0"/>
      <w:kern w:val="28"/>
      <w:szCs w:val="20"/>
    </w:rPr>
  </w:style>
  <w:style w:type="character" w:customStyle="1" w:styleId="Heading7Char">
    <w:name w:val="Heading 7 Char"/>
    <w:link w:val="Heading7"/>
    <w:rsid w:val="0003707C"/>
    <w:rPr>
      <w:rFonts w:ascii="Times New Roman" w:eastAsia="Times New Roman" w:hAnsi="Times New Roman" w:cs="Times New Roman"/>
      <w:b/>
      <w:snapToGrid w:val="0"/>
      <w:kern w:val="28"/>
      <w:szCs w:val="20"/>
    </w:rPr>
  </w:style>
  <w:style w:type="character" w:customStyle="1" w:styleId="Heading8Char">
    <w:name w:val="Heading 8 Char"/>
    <w:link w:val="Heading8"/>
    <w:rsid w:val="0003707C"/>
    <w:rPr>
      <w:rFonts w:ascii="Times New Roman" w:eastAsia="Times New Roman" w:hAnsi="Times New Roman" w:cs="Times New Roman"/>
      <w:b/>
      <w:snapToGrid w:val="0"/>
      <w:kern w:val="28"/>
      <w:szCs w:val="20"/>
    </w:rPr>
  </w:style>
  <w:style w:type="character" w:customStyle="1" w:styleId="Heading9Char">
    <w:name w:val="Heading 9 Char"/>
    <w:link w:val="Heading9"/>
    <w:rsid w:val="0003707C"/>
    <w:rPr>
      <w:rFonts w:ascii="Times New Roman" w:eastAsia="Times New Roman" w:hAnsi="Times New Roman" w:cs="Times New Roman"/>
      <w:b/>
      <w:snapToGrid w:val="0"/>
      <w:kern w:val="28"/>
      <w:szCs w:val="20"/>
    </w:rPr>
  </w:style>
  <w:style w:type="paragraph" w:customStyle="1" w:styleId="ParaNum">
    <w:name w:val="ParaNum"/>
    <w:basedOn w:val="Normal"/>
    <w:rsid w:val="00E75AFC"/>
    <w:pPr>
      <w:numPr>
        <w:numId w:val="6"/>
      </w:numPr>
      <w:tabs>
        <w:tab w:val="clear" w:pos="1080"/>
        <w:tab w:val="num" w:pos="1440"/>
      </w:tabs>
      <w:spacing w:after="120"/>
    </w:pPr>
  </w:style>
  <w:style w:type="paragraph" w:styleId="FootnoteText">
    <w:name w:val="footnote text"/>
    <w:link w:val="FootnoteTextChar"/>
    <w:rsid w:val="00E75AFC"/>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8F264E"/>
    <w:rPr>
      <w:rFonts w:ascii="Times New Roman" w:eastAsia="Times New Roman" w:hAnsi="Times New Roman" w:cs="Times New Roman"/>
      <w:sz w:val="20"/>
      <w:szCs w:val="20"/>
    </w:rPr>
  </w:style>
  <w:style w:type="character" w:styleId="FootnoteReference">
    <w:name w:val="footnote reference"/>
    <w:rsid w:val="00E75AFC"/>
    <w:rPr>
      <w:rFonts w:ascii="Times New Roman" w:hAnsi="Times New Roman"/>
      <w:dstrike w:val="0"/>
      <w:color w:val="auto"/>
      <w:sz w:val="20"/>
      <w:vertAlign w:val="superscript"/>
    </w:rPr>
  </w:style>
  <w:style w:type="paragraph" w:styleId="Header">
    <w:name w:val="header"/>
    <w:basedOn w:val="Normal"/>
    <w:link w:val="HeaderChar"/>
    <w:autoRedefine/>
    <w:rsid w:val="00E75AFC"/>
    <w:pPr>
      <w:tabs>
        <w:tab w:val="center" w:pos="4680"/>
        <w:tab w:val="right" w:pos="9360"/>
      </w:tabs>
    </w:pPr>
    <w:rPr>
      <w:b/>
    </w:rPr>
  </w:style>
  <w:style w:type="character" w:customStyle="1" w:styleId="HeaderChar">
    <w:name w:val="Header Char"/>
    <w:basedOn w:val="DefaultParagraphFont"/>
    <w:link w:val="Header"/>
    <w:rsid w:val="008F264E"/>
    <w:rPr>
      <w:rFonts w:ascii="Times New Roman" w:eastAsia="Times New Roman" w:hAnsi="Times New Roman" w:cs="Times New Roman"/>
      <w:b/>
      <w:snapToGrid w:val="0"/>
      <w:kern w:val="28"/>
      <w:szCs w:val="20"/>
    </w:rPr>
  </w:style>
  <w:style w:type="paragraph" w:styleId="Footer">
    <w:name w:val="footer"/>
    <w:basedOn w:val="Normal"/>
    <w:link w:val="FooterChar"/>
    <w:rsid w:val="00E75AFC"/>
    <w:pPr>
      <w:tabs>
        <w:tab w:val="center" w:pos="4320"/>
        <w:tab w:val="right" w:pos="8640"/>
      </w:tabs>
    </w:pPr>
  </w:style>
  <w:style w:type="character" w:customStyle="1" w:styleId="FooterChar">
    <w:name w:val="Footer Char"/>
    <w:basedOn w:val="DefaultParagraphFont"/>
    <w:link w:val="Footer"/>
    <w:rsid w:val="008F264E"/>
    <w:rPr>
      <w:rFonts w:ascii="Times New Roman" w:eastAsia="Times New Roman" w:hAnsi="Times New Roman" w:cs="Times New Roman"/>
      <w:snapToGrid w:val="0"/>
      <w:kern w:val="28"/>
      <w:szCs w:val="20"/>
    </w:rPr>
  </w:style>
  <w:style w:type="character" w:styleId="PageNumber">
    <w:name w:val="page number"/>
    <w:basedOn w:val="DefaultParagraphFont"/>
    <w:rsid w:val="00E75AFC"/>
  </w:style>
  <w:style w:type="paragraph" w:customStyle="1" w:styleId="Default">
    <w:name w:val="Default"/>
    <w:rsid w:val="008F26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semiHidden/>
    <w:rsid w:val="008F264E"/>
    <w:rPr>
      <w:sz w:val="16"/>
      <w:szCs w:val="16"/>
    </w:rPr>
  </w:style>
  <w:style w:type="paragraph" w:styleId="CommentText">
    <w:name w:val="annotation text"/>
    <w:basedOn w:val="Normal"/>
    <w:link w:val="CommentTextChar"/>
    <w:semiHidden/>
    <w:rsid w:val="008F264E"/>
    <w:rPr>
      <w:sz w:val="20"/>
    </w:rPr>
  </w:style>
  <w:style w:type="character" w:customStyle="1" w:styleId="CommentTextChar">
    <w:name w:val="Comment Text Char"/>
    <w:basedOn w:val="DefaultParagraphFont"/>
    <w:link w:val="CommentText"/>
    <w:semiHidden/>
    <w:rsid w:val="008F264E"/>
    <w:rPr>
      <w:rFonts w:ascii="Times New Roman" w:eastAsia="Times New Roman" w:hAnsi="Times New Roman" w:cs="Times New Roman"/>
      <w:sz w:val="20"/>
      <w:szCs w:val="20"/>
      <w:lang w:eastAsia="ja-JP"/>
    </w:rPr>
  </w:style>
  <w:style w:type="paragraph" w:styleId="NormalWeb">
    <w:name w:val="Normal (Web)"/>
    <w:basedOn w:val="Normal"/>
    <w:uiPriority w:val="99"/>
    <w:unhideWhenUsed/>
    <w:rsid w:val="008F264E"/>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8F264E"/>
    <w:rPr>
      <w:rFonts w:ascii="Tahoma" w:hAnsi="Tahoma" w:cs="Tahoma"/>
      <w:sz w:val="16"/>
      <w:szCs w:val="16"/>
    </w:rPr>
  </w:style>
  <w:style w:type="character" w:customStyle="1" w:styleId="BalloonTextChar">
    <w:name w:val="Balloon Text Char"/>
    <w:basedOn w:val="DefaultParagraphFont"/>
    <w:link w:val="BalloonText"/>
    <w:uiPriority w:val="99"/>
    <w:semiHidden/>
    <w:rsid w:val="008F264E"/>
    <w:rPr>
      <w:rFonts w:ascii="Tahoma" w:eastAsia="Times New Roman" w:hAnsi="Tahoma" w:cs="Tahoma"/>
      <w:sz w:val="16"/>
      <w:szCs w:val="16"/>
      <w:lang w:eastAsia="ja-JP"/>
    </w:rPr>
  </w:style>
  <w:style w:type="paragraph" w:styleId="EndnoteText">
    <w:name w:val="endnote text"/>
    <w:basedOn w:val="Normal"/>
    <w:link w:val="EndnoteTextChar"/>
    <w:semiHidden/>
    <w:rsid w:val="00E75AFC"/>
    <w:rPr>
      <w:sz w:val="20"/>
    </w:rPr>
  </w:style>
  <w:style w:type="character" w:customStyle="1" w:styleId="EndnoteTextChar">
    <w:name w:val="Endnote Text Char"/>
    <w:basedOn w:val="DefaultParagraphFont"/>
    <w:link w:val="EndnoteText"/>
    <w:semiHidden/>
    <w:rsid w:val="008F264E"/>
    <w:rPr>
      <w:rFonts w:ascii="Times New Roman" w:eastAsia="Times New Roman" w:hAnsi="Times New Roman" w:cs="Times New Roman"/>
      <w:snapToGrid w:val="0"/>
      <w:kern w:val="28"/>
      <w:sz w:val="20"/>
      <w:szCs w:val="20"/>
    </w:rPr>
  </w:style>
  <w:style w:type="character" w:styleId="EndnoteReference">
    <w:name w:val="endnote reference"/>
    <w:semiHidden/>
    <w:rsid w:val="00E75AFC"/>
    <w:rPr>
      <w:vertAlign w:val="superscript"/>
    </w:rPr>
  </w:style>
  <w:style w:type="paragraph" w:styleId="TOC1">
    <w:name w:val="toc 1"/>
    <w:basedOn w:val="Normal"/>
    <w:next w:val="Normal"/>
    <w:semiHidden/>
    <w:rsid w:val="00E75AF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75AFC"/>
    <w:pPr>
      <w:tabs>
        <w:tab w:val="left" w:pos="720"/>
        <w:tab w:val="right" w:leader="dot" w:pos="9360"/>
      </w:tabs>
      <w:suppressAutoHyphens/>
      <w:ind w:left="720" w:right="720" w:hanging="360"/>
    </w:pPr>
    <w:rPr>
      <w:noProof/>
    </w:rPr>
  </w:style>
  <w:style w:type="paragraph" w:styleId="TOC3">
    <w:name w:val="toc 3"/>
    <w:basedOn w:val="Normal"/>
    <w:next w:val="Normal"/>
    <w:semiHidden/>
    <w:rsid w:val="00E75AF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75AF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75AF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75AF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75AF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75AF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75AF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75AFC"/>
    <w:pPr>
      <w:tabs>
        <w:tab w:val="right" w:pos="9360"/>
      </w:tabs>
      <w:suppressAutoHyphens/>
    </w:pPr>
  </w:style>
  <w:style w:type="character" w:customStyle="1" w:styleId="EquationCaption">
    <w:name w:val="_Equation Caption"/>
    <w:rsid w:val="00E75AFC"/>
  </w:style>
  <w:style w:type="paragraph" w:styleId="BlockText">
    <w:name w:val="Block Text"/>
    <w:basedOn w:val="Normal"/>
    <w:rsid w:val="00E75AFC"/>
    <w:pPr>
      <w:spacing w:after="240"/>
      <w:ind w:left="1440" w:right="1440"/>
    </w:pPr>
  </w:style>
  <w:style w:type="paragraph" w:customStyle="1" w:styleId="Paratitle">
    <w:name w:val="Para title"/>
    <w:basedOn w:val="Normal"/>
    <w:rsid w:val="00E75AFC"/>
    <w:pPr>
      <w:tabs>
        <w:tab w:val="center" w:pos="9270"/>
      </w:tabs>
      <w:spacing w:after="240"/>
    </w:pPr>
    <w:rPr>
      <w:spacing w:val="-2"/>
    </w:rPr>
  </w:style>
  <w:style w:type="paragraph" w:customStyle="1" w:styleId="Bullet">
    <w:name w:val="Bullet"/>
    <w:basedOn w:val="Normal"/>
    <w:rsid w:val="00E75AFC"/>
    <w:pPr>
      <w:tabs>
        <w:tab w:val="left" w:pos="2160"/>
      </w:tabs>
      <w:spacing w:after="220"/>
      <w:ind w:left="2160" w:hanging="720"/>
    </w:pPr>
  </w:style>
  <w:style w:type="paragraph" w:customStyle="1" w:styleId="TableFormat">
    <w:name w:val="TableFormat"/>
    <w:basedOn w:val="Bullet"/>
    <w:rsid w:val="00E75AFC"/>
    <w:pPr>
      <w:tabs>
        <w:tab w:val="clear" w:pos="2160"/>
        <w:tab w:val="left" w:pos="5040"/>
      </w:tabs>
      <w:ind w:left="5040" w:hanging="3600"/>
    </w:pPr>
  </w:style>
  <w:style w:type="paragraph" w:customStyle="1" w:styleId="TOCTitle">
    <w:name w:val="TOC Title"/>
    <w:basedOn w:val="Normal"/>
    <w:rsid w:val="00E75AF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75AFC"/>
    <w:pPr>
      <w:jc w:val="center"/>
    </w:pPr>
    <w:rPr>
      <w:rFonts w:ascii="Times New Roman Bold" w:hAnsi="Times New Roman Bold"/>
      <w:b/>
      <w:bCs/>
      <w:caps/>
      <w:szCs w:val="22"/>
    </w:rPr>
  </w:style>
  <w:style w:type="character" w:styleId="Hyperlink">
    <w:name w:val="Hyperlink"/>
    <w:rsid w:val="00E75AFC"/>
    <w:rPr>
      <w:color w:val="0000FF"/>
      <w:u w:val="single"/>
    </w:rPr>
  </w:style>
  <w:style w:type="paragraph" w:styleId="CommentSubject">
    <w:name w:val="annotation subject"/>
    <w:basedOn w:val="CommentText"/>
    <w:next w:val="CommentText"/>
    <w:link w:val="CommentSubjectChar"/>
    <w:uiPriority w:val="99"/>
    <w:semiHidden/>
    <w:unhideWhenUsed/>
    <w:rsid w:val="00F675CF"/>
    <w:rPr>
      <w:b/>
      <w:bCs/>
    </w:rPr>
  </w:style>
  <w:style w:type="character" w:customStyle="1" w:styleId="CommentSubjectChar">
    <w:name w:val="Comment Subject Char"/>
    <w:basedOn w:val="CommentTextChar"/>
    <w:link w:val="CommentSubject"/>
    <w:uiPriority w:val="99"/>
    <w:semiHidden/>
    <w:rsid w:val="00F675CF"/>
    <w:rPr>
      <w:rFonts w:ascii="Times New Roman" w:eastAsia="Times New Roman" w:hAnsi="Times New Roman" w:cs="Times New Roman"/>
      <w:b/>
      <w:bCs/>
      <w:snapToGrid w:val="0"/>
      <w:kern w:val="28"/>
      <w:sz w:val="20"/>
      <w:szCs w:val="20"/>
      <w:lang w:eastAsia="ja-JP"/>
    </w:rPr>
  </w:style>
  <w:style w:type="paragraph" w:customStyle="1" w:styleId="default0">
    <w:name w:val="default"/>
    <w:basedOn w:val="Normal"/>
    <w:rsid w:val="00FD295F"/>
    <w:pPr>
      <w:widowControl/>
      <w:spacing w:before="100" w:beforeAutospacing="1" w:after="100" w:afterAutospacing="1"/>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67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FOIA@fcc.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1543</Words>
  <Characters>8508</Characters>
  <Application>Microsoft Office Word</Application>
  <DocSecurity>0</DocSecurity>
  <Lines>144</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10092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2014-06-27T18:53:00Z</cp:lastPrinted>
  <dcterms:created xsi:type="dcterms:W3CDTF">2014-06-30T16:09:00Z</dcterms:created>
  <dcterms:modified xsi:type="dcterms:W3CDTF">2014-06-30T16:09:00Z</dcterms:modified>
  <cp:category> </cp:category>
  <cp:contentStatus> </cp:contentStatus>
</cp:coreProperties>
</file>