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9834C3" w:rsidRDefault="00EB393B" w:rsidP="009708CC">
      <w:pPr>
        <w:tabs>
          <w:tab w:val="left" w:pos="-1440"/>
        </w:tabs>
        <w:suppressAutoHyphens/>
        <w:jc w:val="right"/>
        <w:rPr>
          <w:b/>
          <w:szCs w:val="22"/>
        </w:rPr>
      </w:pPr>
      <w:bookmarkStart w:id="0" w:name="_GoBack"/>
      <w:bookmarkEnd w:id="0"/>
      <w:r>
        <w:rPr>
          <w:b/>
          <w:szCs w:val="22"/>
        </w:rPr>
        <w:t>FCC</w:t>
      </w:r>
      <w:r w:rsidR="006B61F6" w:rsidRPr="009834C3">
        <w:rPr>
          <w:b/>
          <w:szCs w:val="22"/>
        </w:rPr>
        <w:t xml:space="preserve"> </w:t>
      </w:r>
      <w:r w:rsidR="001C2E33" w:rsidRPr="009834C3">
        <w:rPr>
          <w:b/>
          <w:szCs w:val="22"/>
        </w:rPr>
        <w:t>1</w:t>
      </w:r>
      <w:r w:rsidR="00F859AA">
        <w:rPr>
          <w:b/>
          <w:szCs w:val="22"/>
        </w:rPr>
        <w:t>4</w:t>
      </w:r>
      <w:r w:rsidR="001C2E33" w:rsidRPr="009834C3">
        <w:rPr>
          <w:b/>
          <w:szCs w:val="22"/>
        </w:rPr>
        <w:t>-</w:t>
      </w:r>
      <w:r w:rsidR="00255941">
        <w:rPr>
          <w:b/>
          <w:szCs w:val="22"/>
        </w:rPr>
        <w:t>96</w:t>
      </w:r>
    </w:p>
    <w:p w:rsidR="006B61F6" w:rsidRPr="009834C3" w:rsidRDefault="006B61F6" w:rsidP="00E80632">
      <w:pPr>
        <w:jc w:val="right"/>
        <w:rPr>
          <w:b/>
          <w:szCs w:val="22"/>
        </w:rPr>
      </w:pPr>
      <w:r w:rsidRPr="009834C3">
        <w:rPr>
          <w:b/>
          <w:szCs w:val="22"/>
        </w:rPr>
        <w:t xml:space="preserve">Released: </w:t>
      </w:r>
      <w:r w:rsidR="00602C3C">
        <w:rPr>
          <w:b/>
          <w:szCs w:val="22"/>
        </w:rPr>
        <w:t xml:space="preserve"> </w:t>
      </w:r>
      <w:r w:rsidR="00182C80">
        <w:rPr>
          <w:b/>
          <w:szCs w:val="22"/>
        </w:rPr>
        <w:t>July 9</w:t>
      </w:r>
      <w:r w:rsidRPr="009834C3">
        <w:rPr>
          <w:b/>
          <w:szCs w:val="22"/>
        </w:rPr>
        <w:t>, 201</w:t>
      </w:r>
      <w:r w:rsidR="00F859AA">
        <w:rPr>
          <w:b/>
          <w:szCs w:val="22"/>
        </w:rPr>
        <w:t>4</w:t>
      </w:r>
    </w:p>
    <w:p w:rsidR="00304C68" w:rsidRPr="009834C3" w:rsidRDefault="00304C68">
      <w:pPr>
        <w:rPr>
          <w:b/>
          <w:szCs w:val="22"/>
        </w:rPr>
      </w:pPr>
    </w:p>
    <w:p w:rsidR="002441AE" w:rsidRPr="009834C3" w:rsidRDefault="002441AE">
      <w:pPr>
        <w:rPr>
          <w:b/>
          <w:szCs w:val="22"/>
        </w:rPr>
      </w:pPr>
    </w:p>
    <w:p w:rsidR="006B61F6" w:rsidRDefault="000F2A20" w:rsidP="008900F8">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zCs w:val="22"/>
        </w:rPr>
      </w:pPr>
      <w:r>
        <w:rPr>
          <w:b/>
          <w:szCs w:val="22"/>
        </w:rPr>
        <w:t>COMMISSION</w:t>
      </w:r>
      <w:r w:rsidR="007E2582" w:rsidRPr="009834C3">
        <w:rPr>
          <w:b/>
          <w:szCs w:val="22"/>
        </w:rPr>
        <w:t xml:space="preserve"> </w:t>
      </w:r>
      <w:r w:rsidR="00B001B9" w:rsidRPr="009834C3">
        <w:rPr>
          <w:b/>
          <w:szCs w:val="22"/>
        </w:rPr>
        <w:t>IDENTIFIES</w:t>
      </w:r>
      <w:r w:rsidR="005D65F5" w:rsidRPr="009834C3">
        <w:rPr>
          <w:b/>
          <w:szCs w:val="22"/>
        </w:rPr>
        <w:t xml:space="preserve"> </w:t>
      </w:r>
      <w:r w:rsidR="00736BE3">
        <w:rPr>
          <w:b/>
          <w:szCs w:val="22"/>
        </w:rPr>
        <w:t xml:space="preserve">TENTATIVE SELECTEES IN </w:t>
      </w:r>
      <w:r w:rsidR="00A66697">
        <w:rPr>
          <w:b/>
          <w:szCs w:val="22"/>
        </w:rPr>
        <w:t>79</w:t>
      </w:r>
      <w:r w:rsidR="00736BE3">
        <w:rPr>
          <w:b/>
          <w:szCs w:val="22"/>
        </w:rPr>
        <w:t xml:space="preserve"> GROUPS OF </w:t>
      </w:r>
      <w:r w:rsidR="005D65F5" w:rsidRPr="009834C3">
        <w:rPr>
          <w:b/>
          <w:szCs w:val="22"/>
        </w:rPr>
        <w:t xml:space="preserve">MUTUALLY EXCLUSIVE </w:t>
      </w:r>
      <w:r w:rsidR="00AD3225" w:rsidRPr="009834C3">
        <w:rPr>
          <w:b/>
          <w:szCs w:val="22"/>
        </w:rPr>
        <w:t>APPLICATIONS FILED IN</w:t>
      </w:r>
      <w:r w:rsidR="005D65F5" w:rsidRPr="009834C3">
        <w:rPr>
          <w:b/>
          <w:szCs w:val="22"/>
        </w:rPr>
        <w:t xml:space="preserve"> THE </w:t>
      </w:r>
      <w:r w:rsidR="00D16724" w:rsidRPr="009834C3">
        <w:rPr>
          <w:b/>
          <w:szCs w:val="22"/>
        </w:rPr>
        <w:t>LPFM WINDOW</w:t>
      </w:r>
      <w:r w:rsidR="003C4CC2">
        <w:rPr>
          <w:b/>
          <w:szCs w:val="22"/>
        </w:rPr>
        <w:t>;</w:t>
      </w:r>
      <w:r w:rsidR="00D11DB0">
        <w:rPr>
          <w:b/>
          <w:szCs w:val="22"/>
        </w:rPr>
        <w:t xml:space="preserve"> ANNOUNCES </w:t>
      </w:r>
      <w:r w:rsidR="00DC4D9E">
        <w:rPr>
          <w:b/>
          <w:szCs w:val="22"/>
        </w:rPr>
        <w:t xml:space="preserve">A </w:t>
      </w:r>
      <w:r w:rsidR="003C4CC2">
        <w:rPr>
          <w:b/>
          <w:szCs w:val="22"/>
        </w:rPr>
        <w:t xml:space="preserve">30-DAY PETITION TO DENY PERIOD AND A </w:t>
      </w:r>
      <w:r w:rsidR="00D11DB0">
        <w:rPr>
          <w:b/>
          <w:szCs w:val="22"/>
        </w:rPr>
        <w:t>90-DAY PERIOD</w:t>
      </w:r>
      <w:r w:rsidR="008900F8">
        <w:rPr>
          <w:b/>
          <w:szCs w:val="22"/>
        </w:rPr>
        <w:t xml:space="preserve"> TO FILE </w:t>
      </w:r>
      <w:r w:rsidR="00B546FD">
        <w:rPr>
          <w:b/>
          <w:szCs w:val="22"/>
        </w:rPr>
        <w:t xml:space="preserve">VOLUNTARY </w:t>
      </w:r>
      <w:r w:rsidR="008900F8">
        <w:rPr>
          <w:b/>
          <w:szCs w:val="22"/>
        </w:rPr>
        <w:t>TIME</w:t>
      </w:r>
      <w:r w:rsidR="00AF7B0A">
        <w:rPr>
          <w:b/>
          <w:szCs w:val="22"/>
        </w:rPr>
        <w:t>-</w:t>
      </w:r>
      <w:r w:rsidR="008900F8">
        <w:rPr>
          <w:b/>
          <w:szCs w:val="22"/>
        </w:rPr>
        <w:t>SHARE PROPOSALS AND MAJOR CHANGE AMENDMENTS</w:t>
      </w:r>
    </w:p>
    <w:p w:rsidR="003C4CC2" w:rsidRDefault="003C4CC2" w:rsidP="00FD2319">
      <w:pPr>
        <w:tabs>
          <w:tab w:val="left" w:pos="1"/>
          <w:tab w:val="left" w:pos="720"/>
          <w:tab w:val="left" w:pos="1440"/>
          <w:tab w:val="right" w:pos="9360"/>
        </w:tabs>
        <w:rPr>
          <w:szCs w:val="22"/>
        </w:rPr>
      </w:pPr>
    </w:p>
    <w:p w:rsidR="00107395" w:rsidRDefault="00304C68" w:rsidP="00FD2319">
      <w:pPr>
        <w:tabs>
          <w:tab w:val="left" w:pos="1"/>
          <w:tab w:val="left" w:pos="720"/>
          <w:tab w:val="left" w:pos="1440"/>
          <w:tab w:val="right" w:pos="9360"/>
        </w:tabs>
        <w:rPr>
          <w:szCs w:val="22"/>
        </w:rPr>
      </w:pPr>
      <w:r w:rsidRPr="009834C3">
        <w:rPr>
          <w:szCs w:val="22"/>
        </w:rPr>
        <w:tab/>
      </w:r>
    </w:p>
    <w:p w:rsidR="003A6DE7" w:rsidRDefault="005D65F5" w:rsidP="00FD2319">
      <w:pPr>
        <w:tabs>
          <w:tab w:val="left" w:pos="1"/>
          <w:tab w:val="left" w:pos="720"/>
          <w:tab w:val="left" w:pos="1440"/>
          <w:tab w:val="right" w:pos="9360"/>
        </w:tabs>
        <w:rPr>
          <w:szCs w:val="22"/>
        </w:rPr>
      </w:pPr>
      <w:r w:rsidRPr="009834C3">
        <w:rPr>
          <w:szCs w:val="22"/>
        </w:rPr>
        <w:t>By t</w:t>
      </w:r>
      <w:r w:rsidR="00D16724" w:rsidRPr="009834C3">
        <w:rPr>
          <w:szCs w:val="22"/>
        </w:rPr>
        <w:t xml:space="preserve">his Public </w:t>
      </w:r>
      <w:r w:rsidRPr="009834C3">
        <w:rPr>
          <w:szCs w:val="22"/>
        </w:rPr>
        <w:t xml:space="preserve">Notice, </w:t>
      </w:r>
      <w:r w:rsidR="00D16724" w:rsidRPr="009834C3">
        <w:rPr>
          <w:szCs w:val="22"/>
        </w:rPr>
        <w:t xml:space="preserve">the </w:t>
      </w:r>
      <w:r w:rsidR="00E954FD">
        <w:rPr>
          <w:szCs w:val="22"/>
        </w:rPr>
        <w:t>Commission</w:t>
      </w:r>
      <w:r w:rsidR="00D16724" w:rsidRPr="009834C3">
        <w:rPr>
          <w:szCs w:val="22"/>
        </w:rPr>
        <w:t xml:space="preserve"> </w:t>
      </w:r>
      <w:r w:rsidR="0062748F">
        <w:rPr>
          <w:szCs w:val="22"/>
        </w:rPr>
        <w:t xml:space="preserve">considers </w:t>
      </w:r>
      <w:r w:rsidR="00A66697">
        <w:rPr>
          <w:szCs w:val="22"/>
        </w:rPr>
        <w:t>79</w:t>
      </w:r>
      <w:r w:rsidR="0062748F">
        <w:rPr>
          <w:szCs w:val="22"/>
        </w:rPr>
        <w:t xml:space="preserve"> groups of </w:t>
      </w:r>
      <w:r w:rsidR="00B001B9" w:rsidRPr="009834C3">
        <w:rPr>
          <w:szCs w:val="22"/>
        </w:rPr>
        <w:t>mutually exclusive (“MX”) application</w:t>
      </w:r>
      <w:r w:rsidR="00D11DB0">
        <w:rPr>
          <w:szCs w:val="22"/>
        </w:rPr>
        <w:t xml:space="preserve">s filed in the recent </w:t>
      </w:r>
      <w:r w:rsidR="0062748F">
        <w:rPr>
          <w:szCs w:val="22"/>
        </w:rPr>
        <w:t>low power FM (“</w:t>
      </w:r>
      <w:r w:rsidR="00D11DB0">
        <w:rPr>
          <w:szCs w:val="22"/>
        </w:rPr>
        <w:t>LPFM</w:t>
      </w:r>
      <w:r w:rsidR="0062748F">
        <w:rPr>
          <w:szCs w:val="22"/>
        </w:rPr>
        <w:t>”)</w:t>
      </w:r>
      <w:r w:rsidR="00D11DB0">
        <w:rPr>
          <w:szCs w:val="22"/>
        </w:rPr>
        <w:t xml:space="preserve"> window</w:t>
      </w:r>
      <w:r w:rsidR="00A03226">
        <w:rPr>
          <w:rStyle w:val="FootnoteReference"/>
          <w:szCs w:val="22"/>
        </w:rPr>
        <w:footnoteReference w:id="2"/>
      </w:r>
      <w:r w:rsidR="00B001B9" w:rsidRPr="009834C3">
        <w:rPr>
          <w:szCs w:val="22"/>
        </w:rPr>
        <w:t xml:space="preserve"> </w:t>
      </w:r>
      <w:r w:rsidR="0062748F">
        <w:rPr>
          <w:szCs w:val="22"/>
        </w:rPr>
        <w:t>and uses a point system to tentatively select applications for grant.</w:t>
      </w:r>
      <w:r w:rsidR="0062748F">
        <w:rPr>
          <w:rStyle w:val="FootnoteReference"/>
          <w:szCs w:val="22"/>
        </w:rPr>
        <w:footnoteReference w:id="3"/>
      </w:r>
      <w:r w:rsidR="001438D5">
        <w:rPr>
          <w:szCs w:val="22"/>
        </w:rPr>
        <w:t xml:space="preserve">  </w:t>
      </w:r>
      <w:r w:rsidR="0002310F">
        <w:rPr>
          <w:szCs w:val="22"/>
        </w:rPr>
        <w:t>The tentative selectees</w:t>
      </w:r>
      <w:r w:rsidR="00825746">
        <w:rPr>
          <w:szCs w:val="22"/>
        </w:rPr>
        <w:t xml:space="preserve">, </w:t>
      </w:r>
      <w:r w:rsidR="00127916" w:rsidRPr="00171177">
        <w:rPr>
          <w:i/>
          <w:szCs w:val="22"/>
        </w:rPr>
        <w:t>i.e.,</w:t>
      </w:r>
      <w:r w:rsidR="00127916">
        <w:rPr>
          <w:szCs w:val="22"/>
        </w:rPr>
        <w:t xml:space="preserve"> </w:t>
      </w:r>
      <w:r w:rsidR="00825746">
        <w:rPr>
          <w:szCs w:val="22"/>
        </w:rPr>
        <w:t>th</w:t>
      </w:r>
      <w:r w:rsidR="00560A26">
        <w:rPr>
          <w:szCs w:val="22"/>
        </w:rPr>
        <w:t>e single applicant with the highest point total or the</w:t>
      </w:r>
      <w:r w:rsidR="00825746">
        <w:rPr>
          <w:szCs w:val="22"/>
        </w:rPr>
        <w:t xml:space="preserve"> applicants tied for the highest point total</w:t>
      </w:r>
      <w:r w:rsidR="0002310F">
        <w:rPr>
          <w:szCs w:val="22"/>
        </w:rPr>
        <w:t xml:space="preserve"> from each MX group</w:t>
      </w:r>
      <w:r w:rsidR="00825746">
        <w:rPr>
          <w:szCs w:val="22"/>
        </w:rPr>
        <w:t>,</w:t>
      </w:r>
      <w:r w:rsidR="0002310F">
        <w:rPr>
          <w:szCs w:val="22"/>
        </w:rPr>
        <w:t xml:space="preserve"> are identified, in </w:t>
      </w:r>
      <w:r w:rsidR="0002310F" w:rsidRPr="003C4CC2">
        <w:rPr>
          <w:b/>
          <w:szCs w:val="22"/>
        </w:rPr>
        <w:t>bold</w:t>
      </w:r>
      <w:r w:rsidR="0002310F">
        <w:rPr>
          <w:szCs w:val="22"/>
        </w:rPr>
        <w:t xml:space="preserve">, in Attachment A.  </w:t>
      </w:r>
      <w:r w:rsidR="001438D5">
        <w:rPr>
          <w:szCs w:val="22"/>
        </w:rPr>
        <w:t xml:space="preserve">Upon the release of this Public Notice, the Commission initiates a 30-day period for filing petitions to deny against the applicants tentatively selected and a 90-day period for </w:t>
      </w:r>
      <w:r w:rsidR="00AF7B0A">
        <w:rPr>
          <w:szCs w:val="22"/>
        </w:rPr>
        <w:t xml:space="preserve">the </w:t>
      </w:r>
      <w:r w:rsidR="00B91C2B">
        <w:rPr>
          <w:szCs w:val="22"/>
        </w:rPr>
        <w:t>filing of voluntary</w:t>
      </w:r>
      <w:r w:rsidR="00AF7B0A">
        <w:rPr>
          <w:szCs w:val="22"/>
        </w:rPr>
        <w:t xml:space="preserve"> time-share proposals </w:t>
      </w:r>
      <w:r w:rsidR="00B546FD">
        <w:rPr>
          <w:szCs w:val="22"/>
        </w:rPr>
        <w:t xml:space="preserve">(point-aggregation requests) </w:t>
      </w:r>
      <w:r w:rsidR="00AF7B0A">
        <w:rPr>
          <w:szCs w:val="22"/>
        </w:rPr>
        <w:t>and major change amendments.</w:t>
      </w:r>
      <w:r w:rsidR="00481431">
        <w:rPr>
          <w:rStyle w:val="FootnoteReference"/>
          <w:szCs w:val="22"/>
        </w:rPr>
        <w:footnoteReference w:id="4"/>
      </w:r>
    </w:p>
    <w:p w:rsidR="00C15570" w:rsidRDefault="00C15570" w:rsidP="00FD2319">
      <w:pPr>
        <w:tabs>
          <w:tab w:val="left" w:pos="1"/>
          <w:tab w:val="left" w:pos="720"/>
          <w:tab w:val="left" w:pos="1440"/>
          <w:tab w:val="right" w:pos="9360"/>
        </w:tabs>
        <w:rPr>
          <w:szCs w:val="22"/>
        </w:rPr>
      </w:pPr>
    </w:p>
    <w:p w:rsidR="0002310F" w:rsidRDefault="0002310F" w:rsidP="0002310F">
      <w:pPr>
        <w:tabs>
          <w:tab w:val="left" w:pos="1"/>
          <w:tab w:val="left" w:pos="720"/>
          <w:tab w:val="left" w:pos="1440"/>
          <w:tab w:val="right" w:pos="9360"/>
        </w:tabs>
        <w:rPr>
          <w:szCs w:val="22"/>
        </w:rPr>
      </w:pPr>
      <w:r w:rsidRPr="009834C3">
        <w:rPr>
          <w:b/>
          <w:szCs w:val="22"/>
        </w:rPr>
        <w:t xml:space="preserve">Mutually Exclusive Groups:  </w:t>
      </w:r>
      <w:r w:rsidRPr="009834C3">
        <w:rPr>
          <w:szCs w:val="22"/>
        </w:rPr>
        <w:t xml:space="preserve">When the distance between </w:t>
      </w:r>
      <w:r w:rsidR="00CE3712">
        <w:rPr>
          <w:szCs w:val="22"/>
        </w:rPr>
        <w:t xml:space="preserve">the facilities proposed in </w:t>
      </w:r>
      <w:r w:rsidRPr="009834C3">
        <w:rPr>
          <w:szCs w:val="22"/>
        </w:rPr>
        <w:t>two window</w:t>
      </w:r>
      <w:r w:rsidR="00180877">
        <w:rPr>
          <w:szCs w:val="22"/>
        </w:rPr>
        <w:t>-filed</w:t>
      </w:r>
      <w:r w:rsidRPr="009834C3">
        <w:rPr>
          <w:szCs w:val="22"/>
        </w:rPr>
        <w:t xml:space="preserve"> applications does not meet the minimum distance separation requirements specified in 47 C.F.R. § 73.807, the applications are treated as </w:t>
      </w:r>
      <w:r w:rsidR="003C4CC2">
        <w:rPr>
          <w:szCs w:val="22"/>
        </w:rPr>
        <w:t>MX</w:t>
      </w:r>
      <w:r w:rsidRPr="009834C3">
        <w:rPr>
          <w:szCs w:val="22"/>
        </w:rPr>
        <w:t xml:space="preserve">.  An MX group consists of all applications which are </w:t>
      </w:r>
      <w:r w:rsidR="008213BA">
        <w:rPr>
          <w:szCs w:val="22"/>
        </w:rPr>
        <w:t>mutually exclusive</w:t>
      </w:r>
      <w:r w:rsidRPr="009834C3">
        <w:rPr>
          <w:szCs w:val="22"/>
        </w:rPr>
        <w:t xml:space="preserve"> to at least one other application in the group.  </w:t>
      </w:r>
      <w:r>
        <w:rPr>
          <w:szCs w:val="22"/>
        </w:rPr>
        <w:t xml:space="preserve">The Commission’s Media Bureau </w:t>
      </w:r>
      <w:r w:rsidR="003C4CC2">
        <w:rPr>
          <w:szCs w:val="22"/>
        </w:rPr>
        <w:t xml:space="preserve">(the “Bureau”) </w:t>
      </w:r>
      <w:r w:rsidR="00650D26">
        <w:rPr>
          <w:szCs w:val="22"/>
        </w:rPr>
        <w:t>released</w:t>
      </w:r>
      <w:r>
        <w:rPr>
          <w:szCs w:val="22"/>
        </w:rPr>
        <w:t xml:space="preserve"> a Public Notice on December 16, 2013, identifying the groups of MX LPFM applications</w:t>
      </w:r>
      <w:r w:rsidR="00CE3712">
        <w:rPr>
          <w:szCs w:val="22"/>
        </w:rPr>
        <w:t xml:space="preserve"> filed during the LPFM Window</w:t>
      </w:r>
      <w:r>
        <w:rPr>
          <w:szCs w:val="22"/>
        </w:rPr>
        <w:t xml:space="preserve">, and opened a 60-day window within which the applicants from each group could communicate with each other and attempt to resolve the conflicts through </w:t>
      </w:r>
      <w:r w:rsidR="00914326">
        <w:rPr>
          <w:szCs w:val="22"/>
        </w:rPr>
        <w:t xml:space="preserve">three methods – technical amendments, </w:t>
      </w:r>
      <w:r>
        <w:rPr>
          <w:szCs w:val="22"/>
        </w:rPr>
        <w:t>settlements</w:t>
      </w:r>
      <w:r w:rsidR="00914326">
        <w:rPr>
          <w:szCs w:val="22"/>
        </w:rPr>
        <w:t>,</w:t>
      </w:r>
      <w:r>
        <w:rPr>
          <w:szCs w:val="22"/>
        </w:rPr>
        <w:t xml:space="preserve"> and</w:t>
      </w:r>
      <w:r w:rsidR="00914326">
        <w:rPr>
          <w:szCs w:val="22"/>
        </w:rPr>
        <w:t xml:space="preserve"> time-share agreements</w:t>
      </w:r>
      <w:r>
        <w:rPr>
          <w:szCs w:val="22"/>
        </w:rPr>
        <w:t>.</w:t>
      </w:r>
      <w:r w:rsidR="00F775E9">
        <w:rPr>
          <w:rStyle w:val="FootnoteReference"/>
          <w:szCs w:val="22"/>
        </w:rPr>
        <w:footnoteReference w:id="5"/>
      </w:r>
    </w:p>
    <w:p w:rsidR="003C4CC2" w:rsidRDefault="003C4CC2" w:rsidP="0002310F">
      <w:pPr>
        <w:tabs>
          <w:tab w:val="left" w:pos="1"/>
          <w:tab w:val="left" w:pos="720"/>
          <w:tab w:val="left" w:pos="1440"/>
          <w:tab w:val="right" w:pos="9360"/>
        </w:tabs>
        <w:rPr>
          <w:szCs w:val="22"/>
        </w:rPr>
      </w:pPr>
    </w:p>
    <w:p w:rsidR="006908A4" w:rsidRDefault="00157277" w:rsidP="0002310F">
      <w:pPr>
        <w:tabs>
          <w:tab w:val="left" w:pos="1"/>
          <w:tab w:val="left" w:pos="720"/>
          <w:tab w:val="left" w:pos="1440"/>
          <w:tab w:val="right" w:pos="9360"/>
        </w:tabs>
        <w:rPr>
          <w:szCs w:val="22"/>
        </w:rPr>
      </w:pPr>
      <w:r>
        <w:rPr>
          <w:szCs w:val="22"/>
        </w:rPr>
        <w:t xml:space="preserve">This </w:t>
      </w:r>
      <w:r w:rsidR="003C4CC2">
        <w:rPr>
          <w:szCs w:val="22"/>
        </w:rPr>
        <w:t xml:space="preserve">Public </w:t>
      </w:r>
      <w:r>
        <w:rPr>
          <w:szCs w:val="22"/>
        </w:rPr>
        <w:t xml:space="preserve">Notice includes mutually exclusive applications for which no amendment, settlement, or time-share agreement was </w:t>
      </w:r>
      <w:r w:rsidR="0042389E">
        <w:rPr>
          <w:szCs w:val="22"/>
        </w:rPr>
        <w:t xml:space="preserve">timely </w:t>
      </w:r>
      <w:r>
        <w:rPr>
          <w:szCs w:val="22"/>
        </w:rPr>
        <w:t>filed</w:t>
      </w:r>
      <w:r w:rsidR="003C4CC2">
        <w:rPr>
          <w:szCs w:val="22"/>
        </w:rPr>
        <w:t>,</w:t>
      </w:r>
      <w:r>
        <w:rPr>
          <w:szCs w:val="22"/>
        </w:rPr>
        <w:t xml:space="preserve"> or for which the submitted resolution was determined to be </w:t>
      </w:r>
      <w:r>
        <w:rPr>
          <w:szCs w:val="22"/>
        </w:rPr>
        <w:lastRenderedPageBreak/>
        <w:t>unacceptable.  When conflicts remain, the Commission applies the LPFM point system to select among the mutually exclusive applications.</w:t>
      </w:r>
      <w:r w:rsidR="008276DA">
        <w:rPr>
          <w:rStyle w:val="FootnoteReference"/>
          <w:szCs w:val="22"/>
        </w:rPr>
        <w:footnoteReference w:id="6"/>
      </w:r>
    </w:p>
    <w:p w:rsidR="006908A4" w:rsidRDefault="006908A4" w:rsidP="0002310F">
      <w:pPr>
        <w:tabs>
          <w:tab w:val="left" w:pos="1"/>
          <w:tab w:val="left" w:pos="720"/>
          <w:tab w:val="left" w:pos="1440"/>
          <w:tab w:val="right" w:pos="9360"/>
        </w:tabs>
        <w:rPr>
          <w:szCs w:val="22"/>
        </w:rPr>
      </w:pPr>
    </w:p>
    <w:p w:rsidR="004C0AC9" w:rsidRDefault="00135A1D" w:rsidP="0002310F">
      <w:pPr>
        <w:tabs>
          <w:tab w:val="left" w:pos="1"/>
          <w:tab w:val="left" w:pos="720"/>
          <w:tab w:val="left" w:pos="1440"/>
          <w:tab w:val="right" w:pos="9360"/>
        </w:tabs>
        <w:rPr>
          <w:szCs w:val="22"/>
        </w:rPr>
      </w:pPr>
      <w:r>
        <w:rPr>
          <w:b/>
          <w:szCs w:val="22"/>
        </w:rPr>
        <w:t xml:space="preserve">Point System Selection </w:t>
      </w:r>
      <w:r w:rsidR="00F33938">
        <w:rPr>
          <w:b/>
          <w:szCs w:val="22"/>
        </w:rPr>
        <w:t>Criteria</w:t>
      </w:r>
      <w:r>
        <w:rPr>
          <w:b/>
          <w:szCs w:val="22"/>
        </w:rPr>
        <w:t>:</w:t>
      </w:r>
      <w:r w:rsidR="00C83524">
        <w:rPr>
          <w:b/>
          <w:szCs w:val="22"/>
        </w:rPr>
        <w:t xml:space="preserve">  </w:t>
      </w:r>
      <w:r w:rsidR="00C83524">
        <w:rPr>
          <w:szCs w:val="22"/>
        </w:rPr>
        <w:t>The Commission compares mutually exclusive groups of LPFM applications under the point system set forth in Section 73.872 of the Commission’s Rules</w:t>
      </w:r>
      <w:r w:rsidR="00BA7C79">
        <w:rPr>
          <w:szCs w:val="22"/>
        </w:rPr>
        <w:t xml:space="preserve"> (the “Rules”)</w:t>
      </w:r>
      <w:r w:rsidR="00C83524">
        <w:rPr>
          <w:szCs w:val="22"/>
        </w:rPr>
        <w:t>.  The LPFM point system awards a maximum of six merit points, based on six criteria</w:t>
      </w:r>
      <w:r w:rsidR="0042389E">
        <w:rPr>
          <w:szCs w:val="22"/>
        </w:rPr>
        <w:t xml:space="preserve">, with one point awarded </w:t>
      </w:r>
      <w:r w:rsidR="00CE3712">
        <w:rPr>
          <w:szCs w:val="22"/>
        </w:rPr>
        <w:t>under</w:t>
      </w:r>
      <w:r w:rsidR="0042389E">
        <w:rPr>
          <w:szCs w:val="22"/>
        </w:rPr>
        <w:t xml:space="preserve"> each criterion</w:t>
      </w:r>
      <w:r w:rsidR="00C83524">
        <w:rPr>
          <w:szCs w:val="22"/>
        </w:rPr>
        <w:t xml:space="preserve">:  </w:t>
      </w:r>
      <w:r w:rsidR="004C0AC9">
        <w:rPr>
          <w:szCs w:val="22"/>
        </w:rPr>
        <w:t xml:space="preserve">(1) established community presence of at least two years; (2) </w:t>
      </w:r>
      <w:r w:rsidR="00180877">
        <w:rPr>
          <w:szCs w:val="22"/>
        </w:rPr>
        <w:t xml:space="preserve">commitment to originate </w:t>
      </w:r>
      <w:r w:rsidR="004C0AC9">
        <w:rPr>
          <w:szCs w:val="22"/>
        </w:rPr>
        <w:t>local program</w:t>
      </w:r>
      <w:r w:rsidR="00180877">
        <w:rPr>
          <w:szCs w:val="22"/>
        </w:rPr>
        <w:t>ming</w:t>
      </w:r>
      <w:r w:rsidR="004C0AC9">
        <w:rPr>
          <w:szCs w:val="22"/>
        </w:rPr>
        <w:t xml:space="preserve">; (3) </w:t>
      </w:r>
      <w:r w:rsidR="00180877">
        <w:rPr>
          <w:szCs w:val="22"/>
        </w:rPr>
        <w:t xml:space="preserve">commitment to maintain a </w:t>
      </w:r>
      <w:r w:rsidR="004C0AC9">
        <w:rPr>
          <w:szCs w:val="22"/>
        </w:rPr>
        <w:t xml:space="preserve">main studio; (4) </w:t>
      </w:r>
      <w:r w:rsidR="00180877">
        <w:rPr>
          <w:szCs w:val="22"/>
        </w:rPr>
        <w:t xml:space="preserve">commitment to originate </w:t>
      </w:r>
      <w:r w:rsidR="004C0AC9">
        <w:rPr>
          <w:szCs w:val="22"/>
        </w:rPr>
        <w:t>local program</w:t>
      </w:r>
      <w:r w:rsidR="00180877">
        <w:rPr>
          <w:szCs w:val="22"/>
        </w:rPr>
        <w:t xml:space="preserve">ming </w:t>
      </w:r>
      <w:r w:rsidR="004C0AC9">
        <w:rPr>
          <w:szCs w:val="22"/>
        </w:rPr>
        <w:t xml:space="preserve">and </w:t>
      </w:r>
      <w:r w:rsidR="00180877">
        <w:rPr>
          <w:szCs w:val="22"/>
        </w:rPr>
        <w:t>to maintain</w:t>
      </w:r>
      <w:r w:rsidR="00B0426E">
        <w:rPr>
          <w:szCs w:val="22"/>
        </w:rPr>
        <w:t xml:space="preserve"> a </w:t>
      </w:r>
      <w:r w:rsidR="004C0AC9">
        <w:rPr>
          <w:szCs w:val="22"/>
        </w:rPr>
        <w:t>main studio; (5) diversity of ownership; and (6) tribal applicants serving tribal lands.  These criteria are described in more detail below.</w:t>
      </w:r>
    </w:p>
    <w:p w:rsidR="004C0AC9" w:rsidRDefault="004C0AC9" w:rsidP="0002310F">
      <w:pPr>
        <w:tabs>
          <w:tab w:val="left" w:pos="1"/>
          <w:tab w:val="left" w:pos="720"/>
          <w:tab w:val="left" w:pos="1440"/>
          <w:tab w:val="right" w:pos="9360"/>
        </w:tabs>
        <w:rPr>
          <w:szCs w:val="22"/>
        </w:rPr>
      </w:pPr>
    </w:p>
    <w:p w:rsidR="0073653E" w:rsidRPr="0073653E" w:rsidRDefault="004C0AC9" w:rsidP="005A2E23">
      <w:pPr>
        <w:pStyle w:val="Paranum"/>
        <w:tabs>
          <w:tab w:val="left" w:pos="450"/>
          <w:tab w:val="left" w:pos="1440"/>
          <w:tab w:val="right" w:pos="9360"/>
        </w:tabs>
        <w:rPr>
          <w:szCs w:val="22"/>
        </w:rPr>
      </w:pPr>
      <w:r w:rsidRPr="00527ACB">
        <w:rPr>
          <w:u w:val="single"/>
        </w:rPr>
        <w:t>Established Community Presence</w:t>
      </w:r>
      <w:r w:rsidRPr="00877A8D">
        <w:t xml:space="preserve">.  </w:t>
      </w:r>
      <w:r w:rsidR="00A15524" w:rsidRPr="00877A8D">
        <w:t xml:space="preserve">The Commission awards one point to an applicant that has </w:t>
      </w:r>
      <w:r w:rsidR="0042389E" w:rsidRPr="00877A8D">
        <w:t xml:space="preserve">had </w:t>
      </w:r>
      <w:r w:rsidR="00A15524" w:rsidRPr="00877A8D">
        <w:t>an established community presence</w:t>
      </w:r>
      <w:r w:rsidR="005A2E23" w:rsidRPr="00877A8D">
        <w:t xml:space="preserve">, for a period of at least two years immediately prior to the filing of the application, in the community that it proposes to serve.  To qualify for this point, a nonprofit educational organization applicant must be able to certify that, during the two years prior to the application, (a) it has </w:t>
      </w:r>
      <w:r w:rsidR="002446D2" w:rsidRPr="00877A8D">
        <w:t>existed</w:t>
      </w:r>
      <w:r w:rsidR="005A2E23" w:rsidRPr="00877A8D">
        <w:t xml:space="preserve"> as a nonprofit educational organization, and (b) it has been physically headquartered, has had a campus, or has had 75 percent of its governing board members residing within 10 miles, for applicants in the top 50 urban markets, or 20 miles, for applicants outside the top 50 urban markets, of the coordinates of the proposed transmitting antenna.  </w:t>
      </w:r>
      <w:r w:rsidR="00755C22" w:rsidRPr="00877A8D">
        <w:t xml:space="preserve">A nonprofit educational organization awarded a point for this criterion must submit evidence of </w:t>
      </w:r>
      <w:r w:rsidR="006812F0" w:rsidRPr="00877A8D">
        <w:t>its</w:t>
      </w:r>
      <w:r w:rsidR="00755C22" w:rsidRPr="00877A8D">
        <w:t xml:space="preserve"> qualifications </w:t>
      </w:r>
      <w:r w:rsidR="0042389E" w:rsidRPr="00877A8D">
        <w:t xml:space="preserve">in </w:t>
      </w:r>
      <w:r w:rsidR="00755C22" w:rsidRPr="00877A8D">
        <w:t xml:space="preserve">an </w:t>
      </w:r>
      <w:r w:rsidR="00180877" w:rsidRPr="00877A8D">
        <w:t xml:space="preserve">application </w:t>
      </w:r>
      <w:r w:rsidR="00755C22" w:rsidRPr="00877A8D">
        <w:t>exhibit.</w:t>
      </w:r>
      <w:r w:rsidR="00755C22">
        <w:rPr>
          <w:rStyle w:val="FootnoteReference"/>
          <w:szCs w:val="22"/>
        </w:rPr>
        <w:footnoteReference w:id="7"/>
      </w:r>
      <w:r w:rsidR="00755C22" w:rsidRPr="00877A8D">
        <w:t xml:space="preserve">  The evidence must demonstrate the date of commencement of the applicant’s existence and the location of the applicant’s headquarters, campus, or governing board members’ residence during the two years prior to the application filing.</w:t>
      </w:r>
      <w:r w:rsidR="00F33938">
        <w:rPr>
          <w:rStyle w:val="FootnoteReference"/>
          <w:szCs w:val="22"/>
        </w:rPr>
        <w:footnoteReference w:id="8"/>
      </w:r>
      <w:r w:rsidR="00F33938" w:rsidRPr="00877A8D">
        <w:t xml:space="preserve">  While there is some flexibility in the type of documentation</w:t>
      </w:r>
      <w:r w:rsidR="0062096E" w:rsidRPr="00877A8D">
        <w:t xml:space="preserve"> a nonprofit educational organization </w:t>
      </w:r>
      <w:r w:rsidR="00F33938" w:rsidRPr="00877A8D">
        <w:t xml:space="preserve">applicant may provide, </w:t>
      </w:r>
      <w:r w:rsidR="00180877" w:rsidRPr="00877A8D">
        <w:t>no point will be award</w:t>
      </w:r>
      <w:r w:rsidR="00B0426E" w:rsidRPr="00877A8D">
        <w:t>ed</w:t>
      </w:r>
      <w:r w:rsidR="00180877" w:rsidRPr="00877A8D">
        <w:t xml:space="preserve"> to </w:t>
      </w:r>
      <w:r w:rsidR="0062096E" w:rsidRPr="00877A8D">
        <w:t xml:space="preserve">such </w:t>
      </w:r>
      <w:r w:rsidR="00F33938" w:rsidRPr="00877A8D">
        <w:t xml:space="preserve">an applicant </w:t>
      </w:r>
      <w:r w:rsidR="0062096E" w:rsidRPr="00877A8D">
        <w:t>that does not timely submit required</w:t>
      </w:r>
      <w:r w:rsidR="00A67852">
        <w:t xml:space="preserve"> documentation. </w:t>
      </w:r>
    </w:p>
    <w:p w:rsidR="00C8347C" w:rsidRPr="0073653E" w:rsidRDefault="00180877" w:rsidP="0073653E">
      <w:pPr>
        <w:pStyle w:val="Paranum"/>
        <w:numPr>
          <w:ilvl w:val="0"/>
          <w:numId w:val="0"/>
        </w:numPr>
        <w:tabs>
          <w:tab w:val="left" w:pos="450"/>
          <w:tab w:val="left" w:pos="1440"/>
          <w:tab w:val="right" w:pos="9360"/>
        </w:tabs>
        <w:rPr>
          <w:szCs w:val="22"/>
        </w:rPr>
      </w:pPr>
      <w:r w:rsidRPr="0073653E">
        <w:rPr>
          <w:szCs w:val="22"/>
        </w:rPr>
        <w:t>A</w:t>
      </w:r>
      <w:r w:rsidR="005A2E23" w:rsidRPr="0073653E">
        <w:rPr>
          <w:szCs w:val="22"/>
        </w:rPr>
        <w:t xml:space="preserve"> </w:t>
      </w:r>
      <w:r w:rsidR="0042389E" w:rsidRPr="0073653E">
        <w:rPr>
          <w:szCs w:val="22"/>
        </w:rPr>
        <w:t>T</w:t>
      </w:r>
      <w:r w:rsidR="005A2E23" w:rsidRPr="0073653E">
        <w:rPr>
          <w:szCs w:val="22"/>
        </w:rPr>
        <w:t xml:space="preserve">ribal applicant </w:t>
      </w:r>
      <w:r w:rsidRPr="0073653E">
        <w:rPr>
          <w:szCs w:val="22"/>
        </w:rPr>
        <w:t xml:space="preserve">seeking this point need </w:t>
      </w:r>
      <w:r w:rsidR="00C8347C" w:rsidRPr="0073653E">
        <w:rPr>
          <w:szCs w:val="22"/>
        </w:rPr>
        <w:t xml:space="preserve">only </w:t>
      </w:r>
      <w:r w:rsidR="005A2E23" w:rsidRPr="0073653E">
        <w:rPr>
          <w:szCs w:val="22"/>
        </w:rPr>
        <w:t>certify that it is a Tribe and that its Tribal Lands are within the service area of the proposed LPFM station</w:t>
      </w:r>
      <w:r w:rsidR="00C8347C" w:rsidRPr="0073653E">
        <w:rPr>
          <w:szCs w:val="22"/>
        </w:rPr>
        <w:t>; or that it is a Tribal organization whose controlling Tribe or Tribes has its/their Tribal Lands within the service area of the proposed LPFM station.  Tribal organizations created by a Tribe to apply for a LPFM construction permit are not required to have been in existence for two years.</w:t>
      </w:r>
      <w:r w:rsidR="00C8347C">
        <w:rPr>
          <w:rStyle w:val="FootnoteReference"/>
          <w:szCs w:val="22"/>
        </w:rPr>
        <w:footnoteReference w:id="9"/>
      </w:r>
      <w:r w:rsidR="00C8347C" w:rsidRPr="0073653E">
        <w:rPr>
          <w:szCs w:val="22"/>
        </w:rPr>
        <w:t xml:space="preserve">  A public safety radio applicant must only be able to certify that during the two years prior to the application it had jurisdiction within the service area of the proposed LFPM station.</w:t>
      </w:r>
      <w:r w:rsidR="00C8347C">
        <w:rPr>
          <w:rStyle w:val="FootnoteReference"/>
          <w:szCs w:val="22"/>
        </w:rPr>
        <w:footnoteReference w:id="10"/>
      </w:r>
      <w:r w:rsidR="0073653E">
        <w:rPr>
          <w:szCs w:val="22"/>
        </w:rPr>
        <w:t xml:space="preserve"> </w:t>
      </w:r>
    </w:p>
    <w:p w:rsidR="00126D28" w:rsidRPr="00EB7AF3" w:rsidRDefault="00126D28" w:rsidP="00126D28">
      <w:pPr>
        <w:pStyle w:val="Paranum"/>
        <w:rPr>
          <w:szCs w:val="22"/>
        </w:rPr>
      </w:pPr>
      <w:bookmarkStart w:id="1" w:name="SR;25135"/>
      <w:bookmarkStart w:id="2" w:name="SR;25145"/>
      <w:bookmarkEnd w:id="1"/>
      <w:bookmarkEnd w:id="2"/>
      <w:r>
        <w:rPr>
          <w:u w:val="single"/>
        </w:rPr>
        <w:t>Local Program Origination.</w:t>
      </w:r>
      <w:r>
        <w:t xml:space="preserve">  The Commission awards one point to an applicant that pledges to originate </w:t>
      </w:r>
      <w:r w:rsidR="00BF39E2">
        <w:t xml:space="preserve">locally </w:t>
      </w:r>
      <w:r>
        <w:t>at least eight hours of programming per day.  Local</w:t>
      </w:r>
      <w:r w:rsidR="00986B21">
        <w:t>l</w:t>
      </w:r>
      <w:r w:rsidR="00180877">
        <w:t>y</w:t>
      </w:r>
      <w:r>
        <w:t xml:space="preserve"> </w:t>
      </w:r>
      <w:r w:rsidR="00180877">
        <w:t xml:space="preserve">originated programming is programming produced </w:t>
      </w:r>
      <w:r>
        <w:t xml:space="preserve">by the licensee within ten miles of the coordinates of the proposed transmitting antenna.  </w:t>
      </w:r>
      <w:r w:rsidR="00180877">
        <w:t xml:space="preserve">Such programming may include </w:t>
      </w:r>
      <w:r>
        <w:t xml:space="preserve">licensee produced call-in shows, music selected and played by </w:t>
      </w:r>
      <w:r>
        <w:lastRenderedPageBreak/>
        <w:t>a disc jockey present on site, broadcasts of events at local schools, and broadcasts of musical performances at a local studio or festival, whether recorded or live.</w:t>
      </w:r>
      <w:r>
        <w:rPr>
          <w:rStyle w:val="FootnoteReference"/>
          <w:color w:val="000000"/>
        </w:rPr>
        <w:footnoteReference w:id="11"/>
      </w:r>
    </w:p>
    <w:p w:rsidR="004A47ED" w:rsidRPr="00D67C33" w:rsidRDefault="00973EC1" w:rsidP="004A47ED">
      <w:pPr>
        <w:pStyle w:val="Paranum"/>
        <w:rPr>
          <w:szCs w:val="22"/>
        </w:rPr>
      </w:pPr>
      <w:r w:rsidRPr="00D67C33">
        <w:rPr>
          <w:color w:val="000000"/>
          <w:u w:val="single"/>
        </w:rPr>
        <w:t>Main Studio.</w:t>
      </w:r>
      <w:r w:rsidRPr="00D67C33">
        <w:rPr>
          <w:color w:val="000000"/>
        </w:rPr>
        <w:t xml:space="preserve">  The Commission awards one point to an applicant that pledges to maintain a publicly accessible main studio that has local origination capability,</w:t>
      </w:r>
      <w:r w:rsidR="0007229D" w:rsidRPr="00D67C33">
        <w:rPr>
          <w:color w:val="000000"/>
        </w:rPr>
        <w:t xml:space="preserve"> is reachable by telephone, is staffed at least 20 hours per week between 7 a.m. and 10 p.m., and is located within 16.1 km (10 miles) of the </w:t>
      </w:r>
      <w:r w:rsidR="00180877" w:rsidRPr="00D67C33">
        <w:rPr>
          <w:color w:val="000000"/>
        </w:rPr>
        <w:t xml:space="preserve">station’s </w:t>
      </w:r>
      <w:r w:rsidR="0007229D" w:rsidRPr="00D67C33">
        <w:rPr>
          <w:color w:val="000000"/>
        </w:rPr>
        <w:t xml:space="preserve">proposed </w:t>
      </w:r>
      <w:r w:rsidR="00180877" w:rsidRPr="00D67C33">
        <w:rPr>
          <w:color w:val="000000"/>
        </w:rPr>
        <w:t xml:space="preserve">transmitter </w:t>
      </w:r>
      <w:r w:rsidR="0007229D" w:rsidRPr="00D67C33">
        <w:rPr>
          <w:color w:val="000000"/>
        </w:rPr>
        <w:t xml:space="preserve">site for applicants in the top 50 urban markets and </w:t>
      </w:r>
      <w:r w:rsidR="00180877" w:rsidRPr="00D67C33">
        <w:rPr>
          <w:color w:val="000000"/>
        </w:rPr>
        <w:t xml:space="preserve">within </w:t>
      </w:r>
      <w:r w:rsidR="0007229D" w:rsidRPr="00D67C33">
        <w:rPr>
          <w:color w:val="000000"/>
        </w:rPr>
        <w:t>32.1 km (20 miles) for applicants outside the top 50 urban markets.  To be awarded the main studio point, the applicant must specify the proposed address and telephone number for the proposed main studio in the FCC Form 318 at the time of filing the application.</w:t>
      </w:r>
      <w:r w:rsidR="0007229D">
        <w:rPr>
          <w:rStyle w:val="FootnoteReference"/>
          <w:color w:val="000000"/>
        </w:rPr>
        <w:footnoteReference w:id="12"/>
      </w:r>
    </w:p>
    <w:p w:rsidR="004A47ED" w:rsidRPr="00D67C33" w:rsidRDefault="004A47ED" w:rsidP="004A47ED">
      <w:pPr>
        <w:pStyle w:val="Paranum"/>
        <w:rPr>
          <w:szCs w:val="22"/>
        </w:rPr>
      </w:pPr>
      <w:r w:rsidRPr="00D67C33">
        <w:rPr>
          <w:szCs w:val="22"/>
          <w:u w:val="single"/>
        </w:rPr>
        <w:t>Local Program Origination and Main Studio</w:t>
      </w:r>
      <w:r w:rsidRPr="00D67C33">
        <w:rPr>
          <w:szCs w:val="22"/>
        </w:rPr>
        <w:t>.  The Commission awards one point to an applicant that can certify that it qualifies for one point under both the local program origination and the main studio criteria</w:t>
      </w:r>
      <w:r w:rsidR="0042389E" w:rsidRPr="00D67C33">
        <w:rPr>
          <w:szCs w:val="22"/>
        </w:rPr>
        <w:t xml:space="preserve"> described in (2) and (3) above</w:t>
      </w:r>
      <w:r w:rsidRPr="00D67C33">
        <w:rPr>
          <w:szCs w:val="22"/>
        </w:rPr>
        <w:t>.</w:t>
      </w:r>
      <w:r w:rsidR="0035763B">
        <w:rPr>
          <w:rStyle w:val="FootnoteReference"/>
          <w:szCs w:val="22"/>
        </w:rPr>
        <w:footnoteReference w:id="13"/>
      </w:r>
    </w:p>
    <w:p w:rsidR="00BA7C79" w:rsidRPr="00D67C33" w:rsidRDefault="004A47ED" w:rsidP="00BA7C79">
      <w:pPr>
        <w:pStyle w:val="Paranum"/>
        <w:rPr>
          <w:szCs w:val="22"/>
        </w:rPr>
      </w:pPr>
      <w:r w:rsidRPr="00D67C33">
        <w:rPr>
          <w:szCs w:val="22"/>
          <w:u w:val="single"/>
        </w:rPr>
        <w:t>Diversity of Ownership.</w:t>
      </w:r>
      <w:r w:rsidRPr="00D67C33">
        <w:rPr>
          <w:szCs w:val="22"/>
        </w:rPr>
        <w:t xml:space="preserve">  The Commission awards one point for diversity of ownership (the “new entrant” point) to an applicant that can certify that it</w:t>
      </w:r>
      <w:r w:rsidR="0035763B" w:rsidRPr="00D67C33">
        <w:rPr>
          <w:szCs w:val="22"/>
        </w:rPr>
        <w:t xml:space="preserve"> holds no attributable interests in any other broadcast station.</w:t>
      </w:r>
      <w:r w:rsidR="0035763B">
        <w:rPr>
          <w:rStyle w:val="FootnoteReference"/>
          <w:szCs w:val="22"/>
        </w:rPr>
        <w:footnoteReference w:id="14"/>
      </w:r>
      <w:r w:rsidR="00613060" w:rsidRPr="00D67C33">
        <w:rPr>
          <w:szCs w:val="22"/>
        </w:rPr>
        <w:t xml:space="preserve">  Any applicant, including a national organization, however, can qualify for a new entrant point if it submits in its LPFM application, prior to the close of the LPFM Window, a commitment to divest all of its existing media interests (both owned and attributable) before</w:t>
      </w:r>
      <w:r w:rsidR="0035763B" w:rsidRPr="00D67C33">
        <w:rPr>
          <w:szCs w:val="22"/>
        </w:rPr>
        <w:t xml:space="preserve"> </w:t>
      </w:r>
      <w:r w:rsidR="00613060" w:rsidRPr="00D67C33">
        <w:rPr>
          <w:szCs w:val="22"/>
        </w:rPr>
        <w:t>the commencement of operations of its new LPFM station.</w:t>
      </w:r>
      <w:r w:rsidR="008031BE">
        <w:rPr>
          <w:rStyle w:val="FootnoteReference"/>
          <w:szCs w:val="22"/>
        </w:rPr>
        <w:footnoteReference w:id="15"/>
      </w:r>
      <w:r w:rsidR="0035763B" w:rsidRPr="00D67C33">
        <w:rPr>
          <w:szCs w:val="22"/>
        </w:rPr>
        <w:t xml:space="preserve"> </w:t>
      </w:r>
    </w:p>
    <w:p w:rsidR="008D211D" w:rsidRPr="00EB7AF3" w:rsidRDefault="00BA7C79" w:rsidP="008D211D">
      <w:pPr>
        <w:pStyle w:val="Paranum"/>
        <w:rPr>
          <w:szCs w:val="22"/>
        </w:rPr>
      </w:pPr>
      <w:r>
        <w:rPr>
          <w:szCs w:val="22"/>
          <w:u w:val="single"/>
        </w:rPr>
        <w:t>Tribal Applicants Serving Tribal Lands</w:t>
      </w:r>
      <w:r>
        <w:rPr>
          <w:szCs w:val="22"/>
        </w:rPr>
        <w:t xml:space="preserve">.  The Commission awards one point to a Tribal Applicant proposing to locate its </w:t>
      </w:r>
      <w:r w:rsidR="00180877">
        <w:rPr>
          <w:szCs w:val="22"/>
        </w:rPr>
        <w:t xml:space="preserve">transmitter </w:t>
      </w:r>
      <w:r>
        <w:rPr>
          <w:szCs w:val="22"/>
        </w:rPr>
        <w:t xml:space="preserve">site on </w:t>
      </w:r>
      <w:r w:rsidR="008D211D">
        <w:rPr>
          <w:szCs w:val="22"/>
        </w:rPr>
        <w:t xml:space="preserve">its </w:t>
      </w:r>
      <w:r>
        <w:rPr>
          <w:szCs w:val="22"/>
        </w:rPr>
        <w:t>“Tribal Lands,” as defined in Section 73.7000 of the Rules</w:t>
      </w:r>
      <w:r w:rsidR="008D211D">
        <w:rPr>
          <w:szCs w:val="22"/>
        </w:rPr>
        <w:t>.</w:t>
      </w:r>
      <w:r>
        <w:rPr>
          <w:rStyle w:val="FootnoteReference"/>
          <w:szCs w:val="22"/>
        </w:rPr>
        <w:footnoteReference w:id="16"/>
      </w:r>
    </w:p>
    <w:p w:rsidR="008D211D" w:rsidRDefault="008D211D" w:rsidP="008D211D">
      <w:pPr>
        <w:tabs>
          <w:tab w:val="left" w:pos="450"/>
          <w:tab w:val="left" w:pos="1440"/>
          <w:tab w:val="right" w:pos="9360"/>
        </w:tabs>
        <w:rPr>
          <w:szCs w:val="22"/>
        </w:rPr>
      </w:pPr>
      <w:r>
        <w:rPr>
          <w:szCs w:val="22"/>
        </w:rPr>
        <w:t xml:space="preserve">The Commission tallies the total number of points awarded to each mutually exclusive applicant.  </w:t>
      </w:r>
      <w:r w:rsidR="00EC7F4F">
        <w:rPr>
          <w:szCs w:val="22"/>
        </w:rPr>
        <w:t>The applicant</w:t>
      </w:r>
      <w:r w:rsidR="006102BD">
        <w:rPr>
          <w:szCs w:val="22"/>
        </w:rPr>
        <w:t>(s)</w:t>
      </w:r>
      <w:r>
        <w:rPr>
          <w:szCs w:val="22"/>
        </w:rPr>
        <w:t xml:space="preserve"> with the highest score in an MX group is designated the “tentative selectee.”</w:t>
      </w:r>
      <w:r w:rsidR="00217348">
        <w:rPr>
          <w:szCs w:val="22"/>
        </w:rPr>
        <w:t xml:space="preserve">  Applicants tied for the highest point total in a MX group are subject to voluntary and involuntary time</w:t>
      </w:r>
      <w:r w:rsidR="008B73AE">
        <w:rPr>
          <w:szCs w:val="22"/>
        </w:rPr>
        <w:t>-</w:t>
      </w:r>
      <w:r w:rsidR="00217348">
        <w:rPr>
          <w:szCs w:val="22"/>
        </w:rPr>
        <w:t>sharing, discussed below.</w:t>
      </w:r>
    </w:p>
    <w:p w:rsidR="00180877" w:rsidRPr="008D211D" w:rsidRDefault="00180877" w:rsidP="008D211D">
      <w:pPr>
        <w:tabs>
          <w:tab w:val="left" w:pos="450"/>
          <w:tab w:val="left" w:pos="1440"/>
          <w:tab w:val="right" w:pos="9360"/>
        </w:tabs>
        <w:rPr>
          <w:szCs w:val="22"/>
        </w:rPr>
      </w:pPr>
    </w:p>
    <w:p w:rsidR="00A16CD3" w:rsidRDefault="00F33938" w:rsidP="00FD2319">
      <w:pPr>
        <w:tabs>
          <w:tab w:val="left" w:pos="1"/>
          <w:tab w:val="left" w:pos="720"/>
          <w:tab w:val="left" w:pos="1440"/>
          <w:tab w:val="right" w:pos="9360"/>
        </w:tabs>
        <w:rPr>
          <w:color w:val="000000"/>
        </w:rPr>
      </w:pPr>
      <w:r>
        <w:rPr>
          <w:b/>
          <w:color w:val="000000"/>
        </w:rPr>
        <w:t>Point System Review Process.</w:t>
      </w:r>
      <w:r w:rsidR="00A16CD3">
        <w:rPr>
          <w:b/>
          <w:color w:val="000000"/>
        </w:rPr>
        <w:t xml:space="preserve">  </w:t>
      </w:r>
      <w:r w:rsidR="00A16CD3">
        <w:rPr>
          <w:color w:val="000000"/>
        </w:rPr>
        <w:t xml:space="preserve">The LPFM application, FCC Form 318, is certification-based, but for some criteria, requires applicants to document their claims by submitting supporting information to the Commission.  </w:t>
      </w:r>
      <w:r w:rsidR="00217348">
        <w:rPr>
          <w:color w:val="000000"/>
        </w:rPr>
        <w:t>T</w:t>
      </w:r>
      <w:r w:rsidR="00A16CD3">
        <w:rPr>
          <w:color w:val="000000"/>
        </w:rPr>
        <w:t>he Commission’s comparative review of MX applications is based on applicant-provided information.  The Commission relies on the certifications, does not independently confirm the accuracy during the review process, but may use random audits to verify the accuracy of the certifications</w:t>
      </w:r>
      <w:r w:rsidR="00532BD5">
        <w:rPr>
          <w:color w:val="000000"/>
        </w:rPr>
        <w:t xml:space="preserve"> and adherence to the pledges</w:t>
      </w:r>
      <w:r w:rsidR="00A16CD3">
        <w:rPr>
          <w:color w:val="000000"/>
        </w:rPr>
        <w:t>.</w:t>
      </w:r>
      <w:r w:rsidR="00532BD5">
        <w:rPr>
          <w:rStyle w:val="FootnoteReference"/>
          <w:color w:val="000000"/>
        </w:rPr>
        <w:footnoteReference w:id="17"/>
      </w:r>
    </w:p>
    <w:p w:rsidR="00A16CD3" w:rsidRDefault="00A16CD3" w:rsidP="00FD2319">
      <w:pPr>
        <w:tabs>
          <w:tab w:val="left" w:pos="1"/>
          <w:tab w:val="left" w:pos="720"/>
          <w:tab w:val="left" w:pos="1440"/>
          <w:tab w:val="right" w:pos="9360"/>
        </w:tabs>
        <w:rPr>
          <w:color w:val="000000"/>
        </w:rPr>
      </w:pPr>
    </w:p>
    <w:p w:rsidR="00AC4D08" w:rsidRDefault="00AC4D08" w:rsidP="00AC4D08">
      <w:pPr>
        <w:tabs>
          <w:tab w:val="left" w:pos="1"/>
          <w:tab w:val="left" w:pos="720"/>
          <w:tab w:val="left" w:pos="1440"/>
          <w:tab w:val="right" w:pos="9360"/>
        </w:tabs>
        <w:rPr>
          <w:color w:val="000000"/>
        </w:rPr>
      </w:pPr>
      <w:r>
        <w:rPr>
          <w:color w:val="000000"/>
        </w:rPr>
        <w:t xml:space="preserve">Applicants were required to report their comparative qualifications as of the date of the </w:t>
      </w:r>
      <w:r w:rsidR="0042389E">
        <w:rPr>
          <w:color w:val="000000"/>
        </w:rPr>
        <w:t xml:space="preserve">filing of an </w:t>
      </w:r>
      <w:r>
        <w:rPr>
          <w:color w:val="000000"/>
        </w:rPr>
        <w:t xml:space="preserve">application.  Any changes made thereafter may potentially have diminished, but </w:t>
      </w:r>
      <w:r w:rsidR="006326D1">
        <w:rPr>
          <w:color w:val="000000"/>
        </w:rPr>
        <w:t>cannot</w:t>
      </w:r>
      <w:r>
        <w:rPr>
          <w:color w:val="000000"/>
        </w:rPr>
        <w:t xml:space="preserve"> enhance, an applicant’s comparative position.  Accordingly, amendments that were filed after the close of the LPFM Window and improved an applicant’s comparative position have not been considered</w:t>
      </w:r>
      <w:r w:rsidR="0042389E">
        <w:rPr>
          <w:color w:val="000000"/>
        </w:rPr>
        <w:t xml:space="preserve"> for purposes of the point system</w:t>
      </w:r>
      <w:r>
        <w:rPr>
          <w:color w:val="000000"/>
        </w:rPr>
        <w:t>.</w:t>
      </w:r>
      <w:r>
        <w:rPr>
          <w:rStyle w:val="FootnoteReference"/>
          <w:color w:val="000000"/>
        </w:rPr>
        <w:footnoteReference w:id="18"/>
      </w:r>
      <w:r>
        <w:rPr>
          <w:color w:val="000000"/>
        </w:rPr>
        <w:t xml:space="preserve">  Amendments that adversely affected an applicant’s comparative position have been considered.</w:t>
      </w:r>
      <w:r>
        <w:rPr>
          <w:rStyle w:val="FootnoteReference"/>
          <w:color w:val="000000"/>
        </w:rPr>
        <w:footnoteReference w:id="19"/>
      </w:r>
    </w:p>
    <w:p w:rsidR="00AC4D08" w:rsidRDefault="00AC4D08" w:rsidP="00FD2319">
      <w:pPr>
        <w:tabs>
          <w:tab w:val="left" w:pos="1"/>
          <w:tab w:val="left" w:pos="720"/>
          <w:tab w:val="left" w:pos="1440"/>
          <w:tab w:val="right" w:pos="9360"/>
        </w:tabs>
        <w:rPr>
          <w:color w:val="000000"/>
        </w:rPr>
      </w:pPr>
    </w:p>
    <w:p w:rsidR="00A16CD3" w:rsidRDefault="00AC4D08" w:rsidP="00501D2F">
      <w:pPr>
        <w:rPr>
          <w:color w:val="000000"/>
        </w:rPr>
      </w:pPr>
      <w:r>
        <w:rPr>
          <w:color w:val="000000"/>
        </w:rPr>
        <w:t>We have</w:t>
      </w:r>
      <w:r w:rsidR="00A16CD3">
        <w:rPr>
          <w:color w:val="000000"/>
        </w:rPr>
        <w:t xml:space="preserve"> generally awarded the number of points claimed by each applicant in Section III of its application.</w:t>
      </w:r>
      <w:r w:rsidR="00217348">
        <w:rPr>
          <w:color w:val="000000"/>
        </w:rPr>
        <w:t xml:space="preserve">  Certifications, however, which require the applicant to submit documentation or additional information, but which are not supported with any such timely submitted documentation, cannot be credited.  For example, the Commission rejects claims where a nonprofit educational organization applicant certifies that it qualifies for </w:t>
      </w:r>
      <w:r w:rsidR="007C5CB4">
        <w:rPr>
          <w:color w:val="000000"/>
        </w:rPr>
        <w:t xml:space="preserve">a </w:t>
      </w:r>
      <w:r w:rsidR="00217348">
        <w:rPr>
          <w:color w:val="000000"/>
        </w:rPr>
        <w:t>point as an established local applicant but fails to</w:t>
      </w:r>
      <w:r w:rsidR="00381599">
        <w:rPr>
          <w:color w:val="000000"/>
        </w:rPr>
        <w:t xml:space="preserve"> </w:t>
      </w:r>
      <w:r w:rsidR="00217348">
        <w:rPr>
          <w:color w:val="000000"/>
        </w:rPr>
        <w:t xml:space="preserve">supply the </w:t>
      </w:r>
      <w:r w:rsidR="007C5CB4">
        <w:rPr>
          <w:color w:val="000000"/>
        </w:rPr>
        <w:t>requisite documentation</w:t>
      </w:r>
      <w:r w:rsidR="00730FB6">
        <w:rPr>
          <w:rStyle w:val="FootnoteReference"/>
          <w:color w:val="000000"/>
        </w:rPr>
        <w:footnoteReference w:id="20"/>
      </w:r>
      <w:r w:rsidR="00A865ED">
        <w:rPr>
          <w:color w:val="000000"/>
        </w:rPr>
        <w:t xml:space="preserve"> to support its claim.</w:t>
      </w:r>
      <w:r w:rsidR="00A865ED">
        <w:rPr>
          <w:rStyle w:val="FootnoteReference"/>
          <w:color w:val="000000"/>
        </w:rPr>
        <w:footnoteReference w:id="21"/>
      </w:r>
      <w:r w:rsidR="007C5CB4">
        <w:rPr>
          <w:color w:val="000000"/>
        </w:rPr>
        <w:t xml:space="preserve">  Similarly, we reject claims where an applicant certifies that it qualifies for a main studio point but </w:t>
      </w:r>
      <w:r w:rsidR="00A13B5E">
        <w:rPr>
          <w:color w:val="000000"/>
        </w:rPr>
        <w:t>neglects</w:t>
      </w:r>
      <w:r w:rsidR="007C5CB4">
        <w:rPr>
          <w:color w:val="000000"/>
        </w:rPr>
        <w:t xml:space="preserve"> to provide the proposed address and telephone number for the proposed main studio.  </w:t>
      </w:r>
      <w:r w:rsidR="00A13B5E">
        <w:rPr>
          <w:color w:val="000000"/>
        </w:rPr>
        <w:t>We have also rejected claims where an applicant certifies that it is eligible for a point for diversity of ownership, but fails to satisfy this criterion.</w:t>
      </w:r>
      <w:r w:rsidR="00A13B5E">
        <w:rPr>
          <w:rStyle w:val="FootnoteReference"/>
          <w:color w:val="000000"/>
        </w:rPr>
        <w:footnoteReference w:id="22"/>
      </w:r>
      <w:r w:rsidR="00A13B5E">
        <w:rPr>
          <w:color w:val="000000"/>
        </w:rPr>
        <w:t xml:space="preserve">  </w:t>
      </w:r>
      <w:r w:rsidR="007C5CB4">
        <w:rPr>
          <w:color w:val="000000"/>
        </w:rPr>
        <w:t>In these cases, we have adjusted the points of such applicants downward.</w:t>
      </w:r>
      <w:r w:rsidR="00712B8D">
        <w:rPr>
          <w:rStyle w:val="FootnoteReference"/>
          <w:color w:val="000000"/>
        </w:rPr>
        <w:footnoteReference w:id="23"/>
      </w:r>
    </w:p>
    <w:p w:rsidR="004755F6" w:rsidRDefault="004755F6" w:rsidP="00FD2319">
      <w:pPr>
        <w:tabs>
          <w:tab w:val="left" w:pos="1"/>
          <w:tab w:val="left" w:pos="720"/>
          <w:tab w:val="left" w:pos="1440"/>
          <w:tab w:val="right" w:pos="9360"/>
        </w:tabs>
        <w:rPr>
          <w:color w:val="000000"/>
        </w:rPr>
      </w:pPr>
    </w:p>
    <w:p w:rsidR="001935E8" w:rsidRDefault="001935E8" w:rsidP="00FD2319">
      <w:pPr>
        <w:tabs>
          <w:tab w:val="left" w:pos="1"/>
          <w:tab w:val="left" w:pos="720"/>
          <w:tab w:val="left" w:pos="1440"/>
          <w:tab w:val="right" w:pos="9360"/>
        </w:tabs>
        <w:rPr>
          <w:color w:val="000000"/>
        </w:rPr>
      </w:pPr>
      <w:r>
        <w:rPr>
          <w:b/>
          <w:color w:val="000000"/>
        </w:rPr>
        <w:t>Attachment A</w:t>
      </w:r>
      <w:r w:rsidR="00981872">
        <w:rPr>
          <w:b/>
          <w:color w:val="000000"/>
        </w:rPr>
        <w:t xml:space="preserve"> – MX Group Point Totals.  </w:t>
      </w:r>
      <w:r w:rsidR="00981872">
        <w:rPr>
          <w:color w:val="000000"/>
        </w:rPr>
        <w:t xml:space="preserve">Attachment A lists, by group number and state, each of the </w:t>
      </w:r>
      <w:r w:rsidR="0042389E">
        <w:rPr>
          <w:color w:val="000000"/>
        </w:rPr>
        <w:t xml:space="preserve">applicants in the </w:t>
      </w:r>
      <w:r w:rsidR="00981872">
        <w:rPr>
          <w:color w:val="000000"/>
        </w:rPr>
        <w:t>mutually exclusive groups analyzed in this Public Notice.  The Commission reviewed each listed application pursuant to the LPFM point system comparative process and awarded each applicant a maximum of six merit points</w:t>
      </w:r>
      <w:r w:rsidR="0042389E">
        <w:rPr>
          <w:color w:val="000000"/>
        </w:rPr>
        <w:t xml:space="preserve"> applying the criteria discussed above</w:t>
      </w:r>
      <w:r w:rsidR="00981872">
        <w:rPr>
          <w:color w:val="000000"/>
        </w:rPr>
        <w:t>.  Attachment A identifies, by applicant name and number of points, the tentative selectee</w:t>
      </w:r>
      <w:r w:rsidR="00B0426E">
        <w:rPr>
          <w:color w:val="000000"/>
        </w:rPr>
        <w:t xml:space="preserve">(s) </w:t>
      </w:r>
      <w:r w:rsidR="00981872">
        <w:rPr>
          <w:color w:val="000000"/>
        </w:rPr>
        <w:t xml:space="preserve">in each MX group.  The tentative selectees are identified in </w:t>
      </w:r>
      <w:r w:rsidR="00981872">
        <w:rPr>
          <w:b/>
          <w:color w:val="000000"/>
        </w:rPr>
        <w:t>bold</w:t>
      </w:r>
      <w:r w:rsidR="00981872">
        <w:rPr>
          <w:color w:val="000000"/>
        </w:rPr>
        <w:t>.</w:t>
      </w:r>
      <w:r w:rsidR="004E2060">
        <w:rPr>
          <w:rStyle w:val="FootnoteReference"/>
          <w:color w:val="000000"/>
        </w:rPr>
        <w:footnoteReference w:id="24"/>
      </w:r>
    </w:p>
    <w:p w:rsidR="00880DE3" w:rsidRDefault="00880DE3" w:rsidP="00FD2319">
      <w:pPr>
        <w:tabs>
          <w:tab w:val="left" w:pos="1"/>
          <w:tab w:val="left" w:pos="720"/>
          <w:tab w:val="left" w:pos="1440"/>
          <w:tab w:val="right" w:pos="9360"/>
        </w:tabs>
        <w:rPr>
          <w:color w:val="000000"/>
        </w:rPr>
      </w:pPr>
    </w:p>
    <w:p w:rsidR="00972CAD" w:rsidRDefault="00BC234E" w:rsidP="00FD2319">
      <w:pPr>
        <w:tabs>
          <w:tab w:val="left" w:pos="1"/>
          <w:tab w:val="left" w:pos="720"/>
          <w:tab w:val="left" w:pos="1440"/>
          <w:tab w:val="right" w:pos="9360"/>
        </w:tabs>
        <w:rPr>
          <w:color w:val="000000"/>
        </w:rPr>
      </w:pPr>
      <w:r>
        <w:rPr>
          <w:color w:val="000000"/>
        </w:rPr>
        <w:t xml:space="preserve">In cases where an applicant claimed points, but failed to satisfy the respective requirements for receipt of such points, Attachment A lists the points claimed followed in parenthesis by the points credited.  For example, an applicant that claimed a point for established community presence, but failed to submit the requisite documentation to support its claim would have the notation 1(0) in the established community presence column, </w:t>
      </w:r>
      <w:r w:rsidRPr="00FD40B5">
        <w:rPr>
          <w:i/>
          <w:color w:val="000000"/>
        </w:rPr>
        <w:t>i.e</w:t>
      </w:r>
      <w:r>
        <w:rPr>
          <w:color w:val="000000"/>
        </w:rPr>
        <w:t>., it claimed one point but received none.</w:t>
      </w:r>
      <w:r w:rsidR="00972CAD">
        <w:rPr>
          <w:color w:val="000000"/>
        </w:rPr>
        <w:t xml:space="preserve">  A note “no exhibit” or “defect</w:t>
      </w:r>
      <w:r w:rsidR="00E174FA">
        <w:rPr>
          <w:color w:val="000000"/>
        </w:rPr>
        <w:t>ive</w:t>
      </w:r>
      <w:r w:rsidR="00972CAD">
        <w:rPr>
          <w:color w:val="000000"/>
        </w:rPr>
        <w:t xml:space="preserve"> exhibit” in the </w:t>
      </w:r>
      <w:r w:rsidR="00FA188D">
        <w:rPr>
          <w:color w:val="000000"/>
        </w:rPr>
        <w:t>N</w:t>
      </w:r>
      <w:r w:rsidR="00972CAD">
        <w:rPr>
          <w:color w:val="000000"/>
        </w:rPr>
        <w:t xml:space="preserve">otes column would indicate that the applicant did not support its established community presence claim, either because it submitted no exhibit or because an exhibit was deemed defective for lack of the most basic information necessary.  The Notes section is also used to describe certain application characteristics.  For example, the note “Divest Pledge” is used to identify </w:t>
      </w:r>
      <w:r w:rsidR="0042389E">
        <w:rPr>
          <w:color w:val="000000"/>
        </w:rPr>
        <w:t xml:space="preserve">an </w:t>
      </w:r>
      <w:r w:rsidR="00972CAD">
        <w:rPr>
          <w:color w:val="000000"/>
        </w:rPr>
        <w:t>applicant that pledged to divest all of its media interests before the commencement of operation of its new LPFM station.</w:t>
      </w:r>
      <w:r w:rsidR="00230CD3">
        <w:rPr>
          <w:rStyle w:val="FootnoteReference"/>
          <w:color w:val="000000"/>
        </w:rPr>
        <w:footnoteReference w:id="25"/>
      </w:r>
      <w:r w:rsidR="00EF7F4F">
        <w:rPr>
          <w:color w:val="000000"/>
        </w:rPr>
        <w:t xml:space="preserve">  The note “TIME SHARE” identifies tied</w:t>
      </w:r>
      <w:r w:rsidR="00AC4D08">
        <w:rPr>
          <w:color w:val="000000"/>
        </w:rPr>
        <w:t xml:space="preserve"> </w:t>
      </w:r>
      <w:r w:rsidR="00EF7F4F">
        <w:rPr>
          <w:color w:val="000000"/>
        </w:rPr>
        <w:t>applicants that are subject to the voluntary and involuntary time-sharing procedures.</w:t>
      </w:r>
    </w:p>
    <w:p w:rsidR="00972CAD" w:rsidRDefault="00972CAD" w:rsidP="00FD2319">
      <w:pPr>
        <w:tabs>
          <w:tab w:val="left" w:pos="1"/>
          <w:tab w:val="left" w:pos="720"/>
          <w:tab w:val="left" w:pos="1440"/>
          <w:tab w:val="right" w:pos="9360"/>
        </w:tabs>
        <w:rPr>
          <w:color w:val="000000"/>
        </w:rPr>
      </w:pPr>
    </w:p>
    <w:p w:rsidR="005F63B9" w:rsidRDefault="00972CAD" w:rsidP="00FD2319">
      <w:pPr>
        <w:tabs>
          <w:tab w:val="left" w:pos="1"/>
          <w:tab w:val="left" w:pos="720"/>
          <w:tab w:val="left" w:pos="1440"/>
          <w:tab w:val="right" w:pos="9360"/>
        </w:tabs>
        <w:rPr>
          <w:color w:val="000000"/>
        </w:rPr>
      </w:pPr>
      <w:r>
        <w:rPr>
          <w:b/>
          <w:color w:val="000000"/>
        </w:rPr>
        <w:t xml:space="preserve">Tied Applicants: Voluntary and Involuntary Time-Sharing.  </w:t>
      </w:r>
      <w:r w:rsidR="00180877">
        <w:rPr>
          <w:color w:val="000000"/>
        </w:rPr>
        <w:t xml:space="preserve">The point system analysis of many of the </w:t>
      </w:r>
      <w:r w:rsidR="00004599">
        <w:rPr>
          <w:color w:val="000000"/>
        </w:rPr>
        <w:t>A</w:t>
      </w:r>
      <w:r w:rsidR="00FD40B5">
        <w:rPr>
          <w:color w:val="000000"/>
        </w:rPr>
        <w:t>ttachment</w:t>
      </w:r>
      <w:r w:rsidR="00004599">
        <w:rPr>
          <w:color w:val="000000"/>
        </w:rPr>
        <w:t xml:space="preserve"> A </w:t>
      </w:r>
      <w:r w:rsidR="00180877">
        <w:rPr>
          <w:color w:val="000000"/>
        </w:rPr>
        <w:t xml:space="preserve">MX groups </w:t>
      </w:r>
      <w:r>
        <w:rPr>
          <w:color w:val="000000"/>
        </w:rPr>
        <w:t xml:space="preserve">resulted in a tie among several applicants.  When mutually exclusive applications have the same point total, </w:t>
      </w:r>
      <w:r w:rsidR="006652DD">
        <w:rPr>
          <w:color w:val="000000"/>
        </w:rPr>
        <w:t xml:space="preserve">the Commission gives the tied applicants a 90-day opportunity to propose voluntary time-sharing arrangements.  If the applicants do not enter into a voluntary time-sharing agreement, the Commission will assign involuntary time-sharing arrangements to no more than three of the tied applicants in </w:t>
      </w:r>
      <w:r w:rsidR="005F63B9">
        <w:rPr>
          <w:color w:val="000000"/>
        </w:rPr>
        <w:t>each</w:t>
      </w:r>
      <w:r w:rsidR="006652DD">
        <w:rPr>
          <w:color w:val="000000"/>
        </w:rPr>
        <w:t xml:space="preserve"> MX Group</w:t>
      </w:r>
      <w:r w:rsidR="005F63B9">
        <w:rPr>
          <w:color w:val="000000"/>
        </w:rPr>
        <w:t>.  The voluntary and involuntary time-sharing procedures are discussed in more detail below.</w:t>
      </w:r>
    </w:p>
    <w:p w:rsidR="005F63B9" w:rsidRDefault="005F63B9" w:rsidP="00FD2319">
      <w:pPr>
        <w:tabs>
          <w:tab w:val="left" w:pos="1"/>
          <w:tab w:val="left" w:pos="720"/>
          <w:tab w:val="left" w:pos="1440"/>
          <w:tab w:val="right" w:pos="9360"/>
        </w:tabs>
        <w:rPr>
          <w:color w:val="000000"/>
        </w:rPr>
      </w:pPr>
    </w:p>
    <w:p w:rsidR="005F63B9" w:rsidRDefault="005F63B9" w:rsidP="00FD2319">
      <w:pPr>
        <w:tabs>
          <w:tab w:val="left" w:pos="1"/>
          <w:tab w:val="left" w:pos="720"/>
          <w:tab w:val="left" w:pos="1440"/>
          <w:tab w:val="right" w:pos="9360"/>
        </w:tabs>
        <w:rPr>
          <w:color w:val="000000"/>
        </w:rPr>
      </w:pPr>
      <w:r>
        <w:rPr>
          <w:color w:val="000000"/>
        </w:rPr>
        <w:tab/>
      </w:r>
      <w:r>
        <w:rPr>
          <w:color w:val="000000"/>
        </w:rPr>
        <w:tab/>
      </w:r>
      <w:r>
        <w:rPr>
          <w:color w:val="000000"/>
          <w:u w:val="single"/>
        </w:rPr>
        <w:t>Voluntary Time-Sharing</w:t>
      </w:r>
      <w:r w:rsidR="00106FC5">
        <w:rPr>
          <w:color w:val="000000"/>
          <w:u w:val="single"/>
        </w:rPr>
        <w:t>/Point Aggregation</w:t>
      </w:r>
      <w:r>
        <w:rPr>
          <w:color w:val="000000"/>
        </w:rPr>
        <w:t xml:space="preserve">.  Any two or more of the tied applicants in each MX Group may propose to share use of the frequency by </w:t>
      </w:r>
      <w:r w:rsidR="001A2F68">
        <w:rPr>
          <w:color w:val="000000"/>
        </w:rPr>
        <w:t>filing</w:t>
      </w:r>
      <w:r>
        <w:rPr>
          <w:color w:val="000000"/>
        </w:rPr>
        <w:t>, within 90-days of the release of this Public Notice, a time-share proposal.</w:t>
      </w:r>
      <w:r w:rsidR="001A2F68">
        <w:rPr>
          <w:color w:val="000000"/>
        </w:rPr>
        <w:t xml:space="preserve">  The proposal must be electronically submitted through the Commission’s Consolidated Database System (“CDBS”) and will be treated as minor amendments to the time-share proponents’ applications and become part of the terms of the station authorization.</w:t>
      </w:r>
      <w:r w:rsidR="001A2F68">
        <w:rPr>
          <w:rStyle w:val="FootnoteReference"/>
          <w:color w:val="000000"/>
        </w:rPr>
        <w:footnoteReference w:id="26"/>
      </w:r>
      <w:r w:rsidR="00860F07">
        <w:rPr>
          <w:color w:val="000000"/>
        </w:rPr>
        <w:t xml:space="preserve">  </w:t>
      </w:r>
      <w:r w:rsidR="00860F07" w:rsidRPr="00171177">
        <w:rPr>
          <w:b/>
          <w:i/>
          <w:color w:val="000000"/>
        </w:rPr>
        <w:t xml:space="preserve">Only those applicants tied for the highest point total in an MX Group may </w:t>
      </w:r>
      <w:r w:rsidR="0060702B" w:rsidRPr="00171177">
        <w:rPr>
          <w:b/>
          <w:i/>
          <w:color w:val="000000"/>
        </w:rPr>
        <w:t>enter into a time-sharing agreement and aggregate their points</w:t>
      </w:r>
      <w:r w:rsidR="00860F07" w:rsidRPr="00171177">
        <w:rPr>
          <w:b/>
          <w:i/>
          <w:color w:val="000000"/>
        </w:rPr>
        <w:t>.</w:t>
      </w:r>
      <w:r w:rsidR="004B3FCD">
        <w:rPr>
          <w:rStyle w:val="FootnoteReference"/>
          <w:color w:val="000000"/>
        </w:rPr>
        <w:footnoteReference w:id="27"/>
      </w:r>
      <w:r w:rsidR="00860F07">
        <w:rPr>
          <w:color w:val="000000"/>
        </w:rPr>
        <w:t xml:space="preserve">  No point-aggregation requests will be considered from non-high point total applicants.</w:t>
      </w:r>
      <w:r w:rsidR="009274D5">
        <w:rPr>
          <w:rStyle w:val="FootnoteReference"/>
          <w:color w:val="000000"/>
        </w:rPr>
        <w:footnoteReference w:id="28"/>
      </w:r>
      <w:r w:rsidR="00860F07">
        <w:rPr>
          <w:color w:val="000000"/>
        </w:rPr>
        <w:t xml:space="preserve">  </w:t>
      </w:r>
      <w:r w:rsidR="004B3FCD">
        <w:rPr>
          <w:color w:val="000000"/>
        </w:rPr>
        <w:t>Where proposals include all of the tied applications, all of the tied applica</w:t>
      </w:r>
      <w:r w:rsidR="006C2CD7">
        <w:rPr>
          <w:color w:val="000000"/>
        </w:rPr>
        <w:t>nts</w:t>
      </w:r>
      <w:r w:rsidR="004B3FCD">
        <w:rPr>
          <w:color w:val="000000"/>
        </w:rPr>
        <w:t xml:space="preserve"> will be treated as tentative selectees; otherwise, time-share proponents’ points will be aggregated.  The Commission will aggregate the point totals of applicants that submit acceptable time-share proposals for the purpose of breaking a tie within a mutually exclusive group.</w:t>
      </w:r>
      <w:r w:rsidR="00EC7478">
        <w:rPr>
          <w:rStyle w:val="FootnoteReference"/>
          <w:color w:val="000000"/>
        </w:rPr>
        <w:footnoteReference w:id="29"/>
      </w:r>
      <w:r w:rsidR="004B3FCD">
        <w:rPr>
          <w:color w:val="000000"/>
        </w:rPr>
        <w:t xml:space="preserve"> </w:t>
      </w:r>
    </w:p>
    <w:p w:rsidR="005F63B9" w:rsidRDefault="005F63B9" w:rsidP="00FD2319">
      <w:pPr>
        <w:tabs>
          <w:tab w:val="left" w:pos="1"/>
          <w:tab w:val="left" w:pos="720"/>
          <w:tab w:val="left" w:pos="1440"/>
          <w:tab w:val="right" w:pos="9360"/>
        </w:tabs>
        <w:rPr>
          <w:color w:val="000000"/>
        </w:rPr>
      </w:pPr>
    </w:p>
    <w:p w:rsidR="005F63B9" w:rsidRDefault="005F63B9" w:rsidP="00FD2319">
      <w:pPr>
        <w:tabs>
          <w:tab w:val="left" w:pos="1"/>
          <w:tab w:val="left" w:pos="720"/>
          <w:tab w:val="left" w:pos="1440"/>
          <w:tab w:val="right" w:pos="9360"/>
        </w:tabs>
        <w:rPr>
          <w:color w:val="000000"/>
        </w:rPr>
      </w:pPr>
      <w:r>
        <w:rPr>
          <w:color w:val="000000"/>
        </w:rPr>
        <w:t xml:space="preserve">Time-share proposals must be in writing, signed by each time-share proponent, and satisfy the following requirements:  (1) the proposal must specify the proposed hours of operation of each time-share proponent; (2) the proposal must not include simultaneous operation of the time-share proponents; and (3) each time-share </w:t>
      </w:r>
      <w:r w:rsidR="001A2F68">
        <w:rPr>
          <w:color w:val="000000"/>
        </w:rPr>
        <w:t>proponent must propose to operate for at least 10 hours per week.</w:t>
      </w:r>
      <w:r w:rsidR="001A2F68">
        <w:rPr>
          <w:rStyle w:val="FootnoteReference"/>
          <w:color w:val="000000"/>
        </w:rPr>
        <w:footnoteReference w:id="30"/>
      </w:r>
    </w:p>
    <w:p w:rsidR="004068FC" w:rsidRDefault="004068FC" w:rsidP="00FD2319">
      <w:pPr>
        <w:tabs>
          <w:tab w:val="left" w:pos="1"/>
          <w:tab w:val="left" w:pos="720"/>
          <w:tab w:val="left" w:pos="1440"/>
          <w:tab w:val="right" w:pos="9360"/>
        </w:tabs>
        <w:rPr>
          <w:color w:val="000000"/>
        </w:rPr>
      </w:pPr>
    </w:p>
    <w:p w:rsidR="005A0931" w:rsidRDefault="00972CAD" w:rsidP="00FD2319">
      <w:pPr>
        <w:tabs>
          <w:tab w:val="left" w:pos="1"/>
          <w:tab w:val="left" w:pos="720"/>
          <w:tab w:val="left" w:pos="1440"/>
          <w:tab w:val="right" w:pos="9360"/>
        </w:tabs>
        <w:rPr>
          <w:color w:val="000000"/>
        </w:rPr>
      </w:pPr>
      <w:r>
        <w:rPr>
          <w:color w:val="000000"/>
        </w:rPr>
        <w:t xml:space="preserve">       </w:t>
      </w:r>
      <w:r w:rsidR="00BC234E">
        <w:rPr>
          <w:color w:val="000000"/>
        </w:rPr>
        <w:t xml:space="preserve">   </w:t>
      </w:r>
      <w:r w:rsidR="0095778C">
        <w:rPr>
          <w:color w:val="000000"/>
        </w:rPr>
        <w:t xml:space="preserve">  </w:t>
      </w:r>
      <w:r w:rsidR="003D73A0">
        <w:rPr>
          <w:color w:val="000000"/>
          <w:u w:val="single"/>
        </w:rPr>
        <w:t>Involuntary Time-Sharing</w:t>
      </w:r>
      <w:r w:rsidR="003D73A0">
        <w:rPr>
          <w:color w:val="000000"/>
        </w:rPr>
        <w:t xml:space="preserve">.  If the tied applicants do not enter into a voluntary time-share agreement, </w:t>
      </w:r>
      <w:r w:rsidR="00F95EF1">
        <w:rPr>
          <w:color w:val="000000"/>
        </w:rPr>
        <w:t xml:space="preserve">or if a tie still remains following the submission of voluntary time-sharing arrangements, </w:t>
      </w:r>
      <w:r w:rsidR="003D73A0">
        <w:rPr>
          <w:color w:val="000000"/>
        </w:rPr>
        <w:t xml:space="preserve">the </w:t>
      </w:r>
      <w:r w:rsidR="00F95EF1">
        <w:rPr>
          <w:color w:val="000000"/>
        </w:rPr>
        <w:t>a</w:t>
      </w:r>
      <w:r w:rsidR="00387C57">
        <w:rPr>
          <w:color w:val="000000"/>
        </w:rPr>
        <w:t>pplicants with tied, grantable applications will be eligible for equal, non-renewable license terms.</w:t>
      </w:r>
      <w:r w:rsidR="005A0931">
        <w:rPr>
          <w:rStyle w:val="FootnoteReference"/>
          <w:color w:val="000000"/>
        </w:rPr>
        <w:footnoteReference w:id="31"/>
      </w:r>
      <w:r w:rsidR="00387C57">
        <w:rPr>
          <w:color w:val="000000"/>
        </w:rPr>
        <w:t xml:space="preserve"> </w:t>
      </w:r>
    </w:p>
    <w:p w:rsidR="005A0931" w:rsidRDefault="005A0931" w:rsidP="00FD2319">
      <w:pPr>
        <w:tabs>
          <w:tab w:val="left" w:pos="1"/>
          <w:tab w:val="left" w:pos="720"/>
          <w:tab w:val="left" w:pos="1440"/>
          <w:tab w:val="right" w:pos="9360"/>
        </w:tabs>
        <w:rPr>
          <w:color w:val="000000"/>
        </w:rPr>
      </w:pPr>
      <w:r>
        <w:rPr>
          <w:color w:val="000000"/>
        </w:rPr>
        <w:tab/>
      </w:r>
      <w:r>
        <w:rPr>
          <w:color w:val="000000"/>
        </w:rPr>
        <w:tab/>
      </w:r>
    </w:p>
    <w:p w:rsidR="005A0931" w:rsidRPr="004576AC" w:rsidRDefault="005A0931" w:rsidP="00D269B6">
      <w:pPr>
        <w:pStyle w:val="Paranum"/>
        <w:widowControl/>
        <w:numPr>
          <w:ilvl w:val="0"/>
          <w:numId w:val="24"/>
        </w:numPr>
        <w:tabs>
          <w:tab w:val="clear" w:pos="1080"/>
          <w:tab w:val="left" w:pos="630"/>
          <w:tab w:val="left" w:pos="720"/>
          <w:tab w:val="left" w:pos="1440"/>
          <w:tab w:val="right" w:pos="9360"/>
        </w:tabs>
        <w:rPr>
          <w:color w:val="000000"/>
          <w:u w:val="single"/>
        </w:rPr>
      </w:pPr>
      <w:r w:rsidRPr="004576AC">
        <w:rPr>
          <w:i/>
          <w:color w:val="000000"/>
        </w:rPr>
        <w:t>MX Groups with Three or Fewer Tied and Grantable Applications</w:t>
      </w:r>
      <w:r w:rsidRPr="004576AC">
        <w:rPr>
          <w:color w:val="000000"/>
        </w:rPr>
        <w:t xml:space="preserve">.  If there are three or fewer tied </w:t>
      </w:r>
      <w:r w:rsidR="009C2F0E" w:rsidRPr="004576AC">
        <w:rPr>
          <w:color w:val="000000"/>
        </w:rPr>
        <w:t>and grantable applications</w:t>
      </w:r>
      <w:r w:rsidR="008A0012" w:rsidRPr="004576AC">
        <w:rPr>
          <w:color w:val="000000"/>
        </w:rPr>
        <w:t xml:space="preserve"> in an MX group</w:t>
      </w:r>
      <w:r w:rsidR="009C2F0E" w:rsidRPr="004576AC">
        <w:rPr>
          <w:color w:val="000000"/>
        </w:rPr>
        <w:t xml:space="preserve">, the Commission will </w:t>
      </w:r>
      <w:r w:rsidR="00024707" w:rsidRPr="004576AC">
        <w:rPr>
          <w:color w:val="000000"/>
        </w:rPr>
        <w:t xml:space="preserve">simultaneously </w:t>
      </w:r>
      <w:r w:rsidR="009C2F0E" w:rsidRPr="004576AC">
        <w:rPr>
          <w:color w:val="000000"/>
        </w:rPr>
        <w:t xml:space="preserve">grant the applications, assigning an equal number of hours per week </w:t>
      </w:r>
      <w:r w:rsidR="0042389E" w:rsidRPr="004576AC">
        <w:rPr>
          <w:color w:val="000000"/>
        </w:rPr>
        <w:t xml:space="preserve">to operate the proposed station </w:t>
      </w:r>
      <w:r w:rsidR="009C2F0E" w:rsidRPr="004576AC">
        <w:rPr>
          <w:color w:val="000000"/>
        </w:rPr>
        <w:t>to each applicant.</w:t>
      </w:r>
      <w:r w:rsidR="009C2F0E">
        <w:rPr>
          <w:rStyle w:val="FootnoteReference"/>
          <w:color w:val="000000"/>
        </w:rPr>
        <w:footnoteReference w:id="32"/>
      </w:r>
      <w:r w:rsidR="009C2F0E" w:rsidRPr="004576AC">
        <w:rPr>
          <w:color w:val="000000"/>
        </w:rPr>
        <w:t xml:space="preserve">  The Commission will determine the hours assigned to each applicant by first assigning hours to the applicant that has been local for the longest uninterrupted period of time</w:t>
      </w:r>
      <w:r w:rsidR="00024707" w:rsidRPr="004576AC">
        <w:rPr>
          <w:color w:val="000000"/>
        </w:rPr>
        <w:t>,</w:t>
      </w:r>
      <w:r w:rsidR="00024707">
        <w:rPr>
          <w:rStyle w:val="FootnoteReference"/>
          <w:color w:val="000000"/>
        </w:rPr>
        <w:footnoteReference w:id="33"/>
      </w:r>
      <w:r w:rsidR="009C2F0E" w:rsidRPr="004576AC">
        <w:rPr>
          <w:color w:val="000000"/>
        </w:rPr>
        <w:t xml:space="preserve"> then assigning hours to the applicant that has been local for the next longest uninterrupted period of time.</w:t>
      </w:r>
      <w:r w:rsidR="009E06F5" w:rsidRPr="004576AC">
        <w:rPr>
          <w:color w:val="000000"/>
        </w:rPr>
        <w:t xml:space="preserve">  The Commission will offer the applicants an opportunity to voluntarily reach a time-sharing arrangement.  If they are unable to do so, we will ask the applicants to simultaneously and confidentially submit their preferred time slots to the Commission</w:t>
      </w:r>
      <w:r w:rsidR="00CB0125" w:rsidRPr="004576AC">
        <w:rPr>
          <w:color w:val="000000"/>
        </w:rPr>
        <w:t>.  The staff will use the information provided by the applicants to assign time slots, giving preference to the applicant that has been local for the longest uninterrupted period of time.</w:t>
      </w:r>
      <w:r w:rsidR="00CB0125">
        <w:rPr>
          <w:rStyle w:val="FootnoteReference"/>
          <w:color w:val="000000"/>
        </w:rPr>
        <w:footnoteReference w:id="34"/>
      </w:r>
      <w:r w:rsidR="009E06F5" w:rsidRPr="004576AC">
        <w:rPr>
          <w:color w:val="000000"/>
        </w:rPr>
        <w:t xml:space="preserve"> </w:t>
      </w:r>
    </w:p>
    <w:p w:rsidR="00F33938" w:rsidRPr="004576AC" w:rsidRDefault="005A0931" w:rsidP="00FD2319">
      <w:pPr>
        <w:pStyle w:val="Paranum"/>
        <w:numPr>
          <w:ilvl w:val="0"/>
          <w:numId w:val="24"/>
        </w:numPr>
        <w:tabs>
          <w:tab w:val="clear" w:pos="1080"/>
          <w:tab w:val="left" w:pos="1"/>
          <w:tab w:val="left" w:pos="720"/>
          <w:tab w:val="left" w:pos="1440"/>
          <w:tab w:val="right" w:pos="9360"/>
        </w:tabs>
        <w:rPr>
          <w:color w:val="000000"/>
        </w:rPr>
      </w:pPr>
      <w:r w:rsidRPr="004576AC">
        <w:rPr>
          <w:i/>
          <w:color w:val="000000"/>
        </w:rPr>
        <w:t xml:space="preserve">MX Groups with More than Three Tied and Grantable Applications.  </w:t>
      </w:r>
      <w:r w:rsidRPr="004576AC">
        <w:rPr>
          <w:color w:val="000000"/>
        </w:rPr>
        <w:t>If there are more than three tied and grantable applications, the Commission will dismiss all but the applications of the three applicants that have been local for the longest uninterrupted periods of time.</w:t>
      </w:r>
      <w:r w:rsidR="00220EF7" w:rsidRPr="004576AC">
        <w:rPr>
          <w:color w:val="000000"/>
        </w:rPr>
        <w:t xml:space="preserve">  The Commission will </w:t>
      </w:r>
      <w:r w:rsidR="006235A2" w:rsidRPr="004576AC">
        <w:rPr>
          <w:color w:val="000000"/>
        </w:rPr>
        <w:t>then process the remaining applications in accordance with Section 73.872(d)(2) of the Rules, the procedures for mutually exclusive groups with three or few</w:t>
      </w:r>
      <w:r w:rsidR="00FA188D" w:rsidRPr="004576AC">
        <w:rPr>
          <w:color w:val="000000"/>
        </w:rPr>
        <w:t>er</w:t>
      </w:r>
      <w:r w:rsidR="006235A2" w:rsidRPr="004576AC">
        <w:rPr>
          <w:color w:val="000000"/>
        </w:rPr>
        <w:t xml:space="preserve"> tied, grantable applications.</w:t>
      </w:r>
      <w:r w:rsidR="00220EF7">
        <w:rPr>
          <w:rStyle w:val="FootnoteReference"/>
          <w:color w:val="000000"/>
        </w:rPr>
        <w:footnoteReference w:id="35"/>
      </w:r>
    </w:p>
    <w:p w:rsidR="006C4E7B" w:rsidRPr="006C4E7B" w:rsidRDefault="009452EC" w:rsidP="00FD2319">
      <w:pPr>
        <w:tabs>
          <w:tab w:val="left" w:pos="1"/>
          <w:tab w:val="left" w:pos="720"/>
          <w:tab w:val="left" w:pos="1440"/>
          <w:tab w:val="right" w:pos="9360"/>
        </w:tabs>
        <w:rPr>
          <w:szCs w:val="22"/>
        </w:rPr>
      </w:pPr>
      <w:r w:rsidRPr="006C4E7B">
        <w:rPr>
          <w:b/>
          <w:color w:val="000000"/>
          <w:szCs w:val="22"/>
        </w:rPr>
        <w:t>Major Amendments.</w:t>
      </w:r>
      <w:r w:rsidR="00715F0F" w:rsidRPr="006C4E7B">
        <w:rPr>
          <w:b/>
          <w:color w:val="000000"/>
          <w:szCs w:val="22"/>
        </w:rPr>
        <w:t xml:space="preserve">  </w:t>
      </w:r>
      <w:r w:rsidR="005667D0" w:rsidRPr="00D63C1E">
        <w:rPr>
          <w:color w:val="000000"/>
          <w:szCs w:val="22"/>
        </w:rPr>
        <w:t xml:space="preserve">Starting </w:t>
      </w:r>
      <w:r w:rsidR="00334C7B" w:rsidRPr="00255941">
        <w:rPr>
          <w:color w:val="000000"/>
          <w:szCs w:val="22"/>
        </w:rPr>
        <w:t>July 10</w:t>
      </w:r>
      <w:r w:rsidR="00C05D70" w:rsidRPr="00255941">
        <w:rPr>
          <w:color w:val="000000"/>
          <w:szCs w:val="22"/>
        </w:rPr>
        <w:t>, 2014</w:t>
      </w:r>
      <w:r w:rsidR="002B3416">
        <w:rPr>
          <w:color w:val="000000"/>
          <w:szCs w:val="22"/>
        </w:rPr>
        <w:t>,</w:t>
      </w:r>
      <w:r w:rsidR="00C05D70">
        <w:rPr>
          <w:color w:val="000000"/>
          <w:szCs w:val="22"/>
        </w:rPr>
        <w:t xml:space="preserve"> </w:t>
      </w:r>
      <w:r w:rsidR="005667D0" w:rsidRPr="00D63C1E">
        <w:rPr>
          <w:color w:val="000000"/>
          <w:szCs w:val="22"/>
        </w:rPr>
        <w:t xml:space="preserve">at 12:01 a.m. </w:t>
      </w:r>
      <w:r w:rsidR="009B6E2B">
        <w:rPr>
          <w:color w:val="000000"/>
          <w:szCs w:val="22"/>
        </w:rPr>
        <w:t>EDT</w:t>
      </w:r>
      <w:r w:rsidR="00C05D70">
        <w:rPr>
          <w:color w:val="000000"/>
          <w:szCs w:val="22"/>
        </w:rPr>
        <w:t>,</w:t>
      </w:r>
      <w:r w:rsidR="009B6E2B">
        <w:rPr>
          <w:color w:val="000000"/>
          <w:szCs w:val="22"/>
        </w:rPr>
        <w:t xml:space="preserve"> </w:t>
      </w:r>
      <w:r w:rsidR="008A0012">
        <w:rPr>
          <w:color w:val="000000"/>
          <w:szCs w:val="22"/>
        </w:rPr>
        <w:t>the first business day after the date of</w:t>
      </w:r>
      <w:r w:rsidR="00715F0F" w:rsidRPr="006C4E7B">
        <w:rPr>
          <w:color w:val="000000"/>
          <w:szCs w:val="22"/>
        </w:rPr>
        <w:t xml:space="preserve"> release of this Public Notice, we open a 90-day period to permit the MX applicants listed in Attachment A to file major amendments, such as non-adjacent channel changes and otherwise prohibited site relocations of greater than 5.6 kilometers.</w:t>
      </w:r>
      <w:r w:rsidR="008D79F3">
        <w:rPr>
          <w:rStyle w:val="FootnoteReference"/>
          <w:color w:val="000000"/>
          <w:szCs w:val="22"/>
        </w:rPr>
        <w:footnoteReference w:id="36"/>
      </w:r>
      <w:r w:rsidR="00813D3D">
        <w:rPr>
          <w:color w:val="000000"/>
          <w:szCs w:val="22"/>
        </w:rPr>
        <w:t xml:space="preserve">  This 90-day period for filing major change amendments ends </w:t>
      </w:r>
      <w:r w:rsidR="00334C7B">
        <w:rPr>
          <w:color w:val="000000"/>
          <w:szCs w:val="22"/>
        </w:rPr>
        <w:t>October 8, 2014,</w:t>
      </w:r>
      <w:r w:rsidR="009B6E2B">
        <w:rPr>
          <w:color w:val="000000"/>
          <w:szCs w:val="22"/>
        </w:rPr>
        <w:t xml:space="preserve"> at 6</w:t>
      </w:r>
      <w:r w:rsidR="00C05D70">
        <w:rPr>
          <w:color w:val="000000"/>
          <w:szCs w:val="22"/>
        </w:rPr>
        <w:t>:00</w:t>
      </w:r>
      <w:r w:rsidR="009B6E2B">
        <w:rPr>
          <w:color w:val="000000"/>
          <w:szCs w:val="22"/>
        </w:rPr>
        <w:t xml:space="preserve"> p.m. EDT</w:t>
      </w:r>
      <w:r w:rsidR="00813D3D">
        <w:rPr>
          <w:color w:val="000000"/>
          <w:szCs w:val="22"/>
        </w:rPr>
        <w:t>.</w:t>
      </w:r>
      <w:r w:rsidR="00715F0F" w:rsidRPr="006C4E7B">
        <w:rPr>
          <w:color w:val="000000"/>
          <w:szCs w:val="22"/>
        </w:rPr>
        <w:t xml:space="preserve">  </w:t>
      </w:r>
      <w:r w:rsidR="006C4E7B" w:rsidRPr="006C4E7B">
        <w:rPr>
          <w:szCs w:val="22"/>
        </w:rPr>
        <w:t>During this filing period, the Commission will waive Section 73.871 of the Rules</w:t>
      </w:r>
      <w:r w:rsidR="006C4E7B" w:rsidRPr="006C4E7B">
        <w:rPr>
          <w:rStyle w:val="FootnoteReference"/>
          <w:szCs w:val="22"/>
        </w:rPr>
        <w:footnoteReference w:id="37"/>
      </w:r>
      <w:r w:rsidR="006C4E7B" w:rsidRPr="006C4E7B">
        <w:rPr>
          <w:szCs w:val="22"/>
        </w:rPr>
        <w:t xml:space="preserve"> to permit these applicants to file such major change amendments.  Major change amendments will be processed in accordance with established first-come, first-served licensing procedures.</w:t>
      </w:r>
      <w:r w:rsidR="008234CD">
        <w:rPr>
          <w:rStyle w:val="FootnoteReference"/>
          <w:szCs w:val="22"/>
        </w:rPr>
        <w:footnoteReference w:id="38"/>
      </w:r>
    </w:p>
    <w:p w:rsidR="006C4E7B" w:rsidRDefault="006C4E7B" w:rsidP="00FD2319">
      <w:pPr>
        <w:tabs>
          <w:tab w:val="left" w:pos="1"/>
          <w:tab w:val="left" w:pos="720"/>
          <w:tab w:val="left" w:pos="1440"/>
          <w:tab w:val="right" w:pos="9360"/>
        </w:tabs>
        <w:rPr>
          <w:sz w:val="20"/>
        </w:rPr>
      </w:pPr>
    </w:p>
    <w:p w:rsidR="003A6DE7" w:rsidRDefault="00F80FB9" w:rsidP="00501D2F">
      <w:pPr>
        <w:rPr>
          <w:rFonts w:ascii="Verdana" w:hAnsi="Verdana"/>
          <w:color w:val="000000"/>
        </w:rPr>
      </w:pPr>
      <w:r>
        <w:rPr>
          <w:color w:val="000000"/>
        </w:rPr>
        <w:t xml:space="preserve">Applicants filing technical amendments should carefully consider all legal, </w:t>
      </w:r>
      <w:r>
        <w:rPr>
          <w:i/>
          <w:color w:val="000000"/>
        </w:rPr>
        <w:t>e.g.</w:t>
      </w:r>
      <w:r>
        <w:rPr>
          <w:color w:val="000000"/>
        </w:rPr>
        <w:t>, maintaining eligibility as a “local” applicant,</w:t>
      </w:r>
      <w:r>
        <w:rPr>
          <w:rStyle w:val="FootnoteReference"/>
          <w:color w:val="000000"/>
        </w:rPr>
        <w:footnoteReference w:id="39"/>
      </w:r>
      <w:r>
        <w:rPr>
          <w:color w:val="000000"/>
        </w:rPr>
        <w:t xml:space="preserve"> and technical requirements.  </w:t>
      </w:r>
      <w:r w:rsidR="00B90422">
        <w:rPr>
          <w:color w:val="000000"/>
        </w:rPr>
        <w:t>Amendments may not create any new application conflicts and must specify rule-compliant facilities.</w:t>
      </w:r>
      <w:r w:rsidR="00D34518">
        <w:rPr>
          <w:rStyle w:val="FootnoteReference"/>
          <w:color w:val="000000"/>
        </w:rPr>
        <w:footnoteReference w:id="40"/>
      </w:r>
      <w:r w:rsidR="00B90422">
        <w:rPr>
          <w:color w:val="000000"/>
        </w:rPr>
        <w:t xml:space="preserve">  </w:t>
      </w:r>
      <w:r w:rsidR="00715F0F">
        <w:rPr>
          <w:color w:val="000000"/>
        </w:rPr>
        <w:t xml:space="preserve">Major amendments will only be </w:t>
      </w:r>
      <w:r w:rsidR="001F0FD9">
        <w:rPr>
          <w:color w:val="000000"/>
        </w:rPr>
        <w:t>a</w:t>
      </w:r>
      <w:r w:rsidR="00715F0F">
        <w:rPr>
          <w:color w:val="000000"/>
        </w:rPr>
        <w:t>llowed during this 90-day period</w:t>
      </w:r>
      <w:r w:rsidR="00E9760E">
        <w:rPr>
          <w:color w:val="000000"/>
        </w:rPr>
        <w:t>.</w:t>
      </w:r>
      <w:r w:rsidR="00E9760E">
        <w:rPr>
          <w:rStyle w:val="FootnoteReference"/>
          <w:color w:val="000000"/>
        </w:rPr>
        <w:footnoteReference w:id="41"/>
      </w:r>
      <w:r w:rsidR="00E9760E">
        <w:rPr>
          <w:color w:val="000000"/>
        </w:rPr>
        <w:t xml:space="preserve">  </w:t>
      </w:r>
      <w:r w:rsidR="00880A08">
        <w:rPr>
          <w:color w:val="000000"/>
        </w:rPr>
        <w:t>Applicants may continue to file m</w:t>
      </w:r>
      <w:r w:rsidR="00E9760E">
        <w:rPr>
          <w:color w:val="000000"/>
        </w:rPr>
        <w:t>inor amendments</w:t>
      </w:r>
      <w:r w:rsidR="00E9760E">
        <w:rPr>
          <w:rStyle w:val="FootnoteReference"/>
          <w:color w:val="000000"/>
        </w:rPr>
        <w:footnoteReference w:id="42"/>
      </w:r>
      <w:r w:rsidR="001F0FD9">
        <w:rPr>
          <w:color w:val="000000"/>
        </w:rPr>
        <w:t xml:space="preserve"> and </w:t>
      </w:r>
      <w:r w:rsidR="00216EAC">
        <w:rPr>
          <w:color w:val="000000"/>
        </w:rPr>
        <w:t xml:space="preserve">non-point aggregation </w:t>
      </w:r>
      <w:r w:rsidR="001F0FD9">
        <w:rPr>
          <w:color w:val="000000"/>
        </w:rPr>
        <w:t>settlement agreements</w:t>
      </w:r>
      <w:r w:rsidR="001F0FD9">
        <w:rPr>
          <w:rStyle w:val="FootnoteReference"/>
          <w:color w:val="000000"/>
        </w:rPr>
        <w:footnoteReference w:id="43"/>
      </w:r>
      <w:r w:rsidR="001F0FD9">
        <w:rPr>
          <w:color w:val="000000"/>
        </w:rPr>
        <w:t xml:space="preserve"> at any time.</w:t>
      </w:r>
      <w:bookmarkStart w:id="3" w:name="sp_1511_9062"/>
      <w:bookmarkStart w:id="4" w:name="SDU_9062"/>
      <w:bookmarkStart w:id="5" w:name="citeas((Cite_as:_26_F.C.C.R._9058,_*9062"/>
      <w:bookmarkEnd w:id="3"/>
      <w:bookmarkEnd w:id="4"/>
      <w:bookmarkEnd w:id="5"/>
      <w:r w:rsidR="002503FA">
        <w:rPr>
          <w:rFonts w:ascii="Verdana" w:hAnsi="Verdana"/>
          <w:color w:val="000000"/>
        </w:rPr>
        <w:t xml:space="preserve"> </w:t>
      </w:r>
    </w:p>
    <w:p w:rsidR="007C7D93" w:rsidRDefault="00C15570" w:rsidP="007C7D93">
      <w:pPr>
        <w:tabs>
          <w:tab w:val="left" w:pos="1"/>
          <w:tab w:val="left" w:pos="720"/>
          <w:tab w:val="left" w:pos="1440"/>
          <w:tab w:val="right" w:pos="9360"/>
        </w:tabs>
      </w:pPr>
      <w:r>
        <w:rPr>
          <w:b/>
        </w:rPr>
        <w:t xml:space="preserve">Acceptability Studies and Filing of Petitions.  </w:t>
      </w:r>
      <w:r>
        <w:t xml:space="preserve">The </w:t>
      </w:r>
      <w:r w:rsidR="007E3C9A">
        <w:t xml:space="preserve">Media Bureau </w:t>
      </w:r>
      <w:r>
        <w:t>staff has examined the applications of each tentative selectee for application defects.</w:t>
      </w:r>
      <w:r>
        <w:rPr>
          <w:rStyle w:val="FootnoteReference"/>
        </w:rPr>
        <w:footnoteReference w:id="44"/>
      </w:r>
      <w:r>
        <w:t xml:space="preserve">  </w:t>
      </w:r>
      <w:r w:rsidR="002B232D">
        <w:t>With the exceptions noted below, e</w:t>
      </w:r>
      <w:r>
        <w:t xml:space="preserve">ach tentative selectee identified in this </w:t>
      </w:r>
      <w:r w:rsidR="007C7D93">
        <w:t>Public Notice</w:t>
      </w:r>
      <w:r>
        <w:t xml:space="preserve"> appears to be </w:t>
      </w:r>
      <w:r w:rsidR="00FB4D01">
        <w:t xml:space="preserve">technically and legally </w:t>
      </w:r>
      <w:r>
        <w:t xml:space="preserve">qualified to become the licensee of the new </w:t>
      </w:r>
      <w:r w:rsidR="007C7D93">
        <w:t xml:space="preserve">LPFM </w:t>
      </w:r>
      <w:r>
        <w:t>station it has proposed.</w:t>
      </w:r>
      <w:r w:rsidR="002B232D">
        <w:rPr>
          <w:rStyle w:val="FootnoteReference"/>
        </w:rPr>
        <w:footnoteReference w:id="45"/>
      </w:r>
      <w:r>
        <w:t xml:space="preserve">  </w:t>
      </w:r>
      <w:r w:rsidR="00FB4D01">
        <w:t>A</w:t>
      </w:r>
      <w:r>
        <w:t>ccordingly, the applications of the tentative selectees are accepted for filing.</w:t>
      </w:r>
      <w:r w:rsidR="00A9516A">
        <w:rPr>
          <w:rStyle w:val="FootnoteReference"/>
        </w:rPr>
        <w:footnoteReference w:id="46"/>
      </w:r>
      <w:r>
        <w:t xml:space="preserve">  This triggers a 30-day period from release of the </w:t>
      </w:r>
      <w:r w:rsidR="007C7D93">
        <w:t>Public Notice</w:t>
      </w:r>
      <w:r>
        <w:t xml:space="preserve"> for the filing of petitions to deny.</w:t>
      </w:r>
      <w:r w:rsidR="00D20E8B">
        <w:t xml:space="preserve"> </w:t>
      </w:r>
    </w:p>
    <w:p w:rsidR="007C7D93" w:rsidRDefault="007C7D93" w:rsidP="007C7D93">
      <w:pPr>
        <w:tabs>
          <w:tab w:val="left" w:pos="1"/>
          <w:tab w:val="left" w:pos="720"/>
          <w:tab w:val="left" w:pos="1440"/>
          <w:tab w:val="right" w:pos="9360"/>
        </w:tabs>
      </w:pPr>
    </w:p>
    <w:p w:rsidR="004329BF" w:rsidRDefault="007C7D93" w:rsidP="000848AE">
      <w:pPr>
        <w:widowControl w:val="0"/>
        <w:tabs>
          <w:tab w:val="left" w:pos="1"/>
          <w:tab w:val="left" w:pos="720"/>
          <w:tab w:val="left" w:pos="1440"/>
          <w:tab w:val="right" w:pos="9360"/>
        </w:tabs>
        <w:rPr>
          <w:color w:val="000000"/>
          <w:szCs w:val="22"/>
        </w:rPr>
      </w:pPr>
      <w:r>
        <w:t xml:space="preserve">Any argument that </w:t>
      </w:r>
      <w:r w:rsidR="00847F52">
        <w:t>a</w:t>
      </w:r>
      <w:r>
        <w:t xml:space="preserve"> tentatively selected application should not be granted must be raised in such a petition, even if the objection relates only indirectly to the tentative selectee’s comparative points.  For example, an applicant that concedes that the tentative selectee is qualified for the points received but believes its own proposal should have </w:t>
      </w:r>
      <w:r w:rsidRPr="00EF7F4F">
        <w:rPr>
          <w:szCs w:val="22"/>
        </w:rPr>
        <w:t xml:space="preserve">received a greater number of points than the tentative selectee’s </w:t>
      </w:r>
      <w:r w:rsidR="008A0012">
        <w:rPr>
          <w:szCs w:val="22"/>
        </w:rPr>
        <w:t>must</w:t>
      </w:r>
      <w:r w:rsidR="008A0012" w:rsidRPr="00EF7F4F">
        <w:rPr>
          <w:szCs w:val="22"/>
        </w:rPr>
        <w:t xml:space="preserve"> </w:t>
      </w:r>
      <w:r w:rsidRPr="00EF7F4F">
        <w:rPr>
          <w:szCs w:val="22"/>
        </w:rPr>
        <w:t xml:space="preserve">make its argument in a petition to deny.  Parties may </w:t>
      </w:r>
      <w:r w:rsidRPr="00B41EE2">
        <w:rPr>
          <w:szCs w:val="22"/>
          <w:u w:val="single"/>
        </w:rPr>
        <w:t>not</w:t>
      </w:r>
      <w:r w:rsidRPr="00EF7F4F">
        <w:rPr>
          <w:szCs w:val="22"/>
        </w:rPr>
        <w:t xml:space="preserve"> </w:t>
      </w:r>
      <w:r w:rsidR="00004599">
        <w:rPr>
          <w:szCs w:val="22"/>
        </w:rPr>
        <w:t xml:space="preserve">file </w:t>
      </w:r>
      <w:r w:rsidRPr="00EF7F4F">
        <w:rPr>
          <w:szCs w:val="22"/>
        </w:rPr>
        <w:t xml:space="preserve">petitions for reconsideration because the point </w:t>
      </w:r>
      <w:r w:rsidR="00B0426E">
        <w:rPr>
          <w:szCs w:val="22"/>
        </w:rPr>
        <w:t xml:space="preserve">and tentative selectee </w:t>
      </w:r>
      <w:r w:rsidR="00004599">
        <w:rPr>
          <w:szCs w:val="22"/>
        </w:rPr>
        <w:t xml:space="preserve">determinations do not constitute “final” </w:t>
      </w:r>
      <w:r w:rsidRPr="00EF7F4F">
        <w:rPr>
          <w:szCs w:val="22"/>
        </w:rPr>
        <w:t>action</w:t>
      </w:r>
      <w:r w:rsidR="00004599">
        <w:rPr>
          <w:szCs w:val="22"/>
        </w:rPr>
        <w:t>s</w:t>
      </w:r>
      <w:r w:rsidR="00FD58E2">
        <w:rPr>
          <w:szCs w:val="22"/>
        </w:rPr>
        <w:t>,</w:t>
      </w:r>
      <w:r w:rsidR="00004599">
        <w:rPr>
          <w:szCs w:val="22"/>
        </w:rPr>
        <w:t xml:space="preserve"> </w:t>
      </w:r>
      <w:r w:rsidRPr="00EF7F4F">
        <w:rPr>
          <w:szCs w:val="22"/>
        </w:rPr>
        <w:t>and petitions for reconsideration do not lie against such interlocutory decisions.</w:t>
      </w:r>
      <w:r w:rsidRPr="00EF7F4F">
        <w:rPr>
          <w:rStyle w:val="FootnoteReference"/>
          <w:szCs w:val="22"/>
        </w:rPr>
        <w:footnoteReference w:id="47"/>
      </w:r>
      <w:r w:rsidR="00C70CF9" w:rsidRPr="00EF7F4F">
        <w:rPr>
          <w:szCs w:val="22"/>
        </w:rPr>
        <w:t xml:space="preserve">  </w:t>
      </w:r>
      <w:r w:rsidR="00C70CF9" w:rsidRPr="00EF7F4F">
        <w:rPr>
          <w:color w:val="000000"/>
          <w:szCs w:val="22"/>
        </w:rPr>
        <w:t>Petitions to deny must be filed in accordance with the procedures set forth in Section 73.3584 of the Rules.</w:t>
      </w:r>
      <w:r w:rsidR="00C70CF9" w:rsidRPr="00EF7F4F">
        <w:rPr>
          <w:rStyle w:val="FootnoteReference"/>
          <w:color w:val="000000"/>
          <w:szCs w:val="22"/>
        </w:rPr>
        <w:footnoteReference w:id="48"/>
      </w:r>
    </w:p>
    <w:p w:rsidR="004755F6" w:rsidRDefault="004755F6" w:rsidP="000848AE">
      <w:pPr>
        <w:widowControl w:val="0"/>
        <w:tabs>
          <w:tab w:val="left" w:pos="1"/>
          <w:tab w:val="left" w:pos="720"/>
          <w:tab w:val="left" w:pos="1440"/>
          <w:tab w:val="right" w:pos="9360"/>
        </w:tabs>
        <w:rPr>
          <w:b/>
          <w:color w:val="000000"/>
          <w:szCs w:val="22"/>
        </w:rPr>
      </w:pPr>
    </w:p>
    <w:p w:rsidR="00C70CF9" w:rsidRDefault="004329BF" w:rsidP="000848AE">
      <w:pPr>
        <w:widowControl w:val="0"/>
        <w:tabs>
          <w:tab w:val="left" w:pos="1"/>
          <w:tab w:val="left" w:pos="720"/>
          <w:tab w:val="left" w:pos="1440"/>
          <w:tab w:val="right" w:pos="9360"/>
        </w:tabs>
      </w:pPr>
      <w:r>
        <w:rPr>
          <w:b/>
          <w:color w:val="000000"/>
          <w:szCs w:val="22"/>
        </w:rPr>
        <w:t>Attachment B</w:t>
      </w:r>
      <w:r w:rsidR="00D05835">
        <w:rPr>
          <w:b/>
          <w:color w:val="000000"/>
          <w:szCs w:val="22"/>
        </w:rPr>
        <w:t xml:space="preserve"> – Second-Adjacent Waiver Requests.</w:t>
      </w:r>
      <w:r w:rsidR="00D05835">
        <w:rPr>
          <w:color w:val="000000"/>
          <w:szCs w:val="22"/>
        </w:rPr>
        <w:t xml:space="preserve">  Many of the tentatively-selected applica</w:t>
      </w:r>
      <w:r w:rsidR="00AD6345">
        <w:rPr>
          <w:color w:val="000000"/>
          <w:szCs w:val="22"/>
        </w:rPr>
        <w:t>nts</w:t>
      </w:r>
      <w:r w:rsidR="005E7E6A">
        <w:rPr>
          <w:color w:val="000000"/>
          <w:szCs w:val="22"/>
        </w:rPr>
        <w:t xml:space="preserve"> identified in this Public Notice included a request for a waiver </w:t>
      </w:r>
      <w:r w:rsidR="00E37F76">
        <w:rPr>
          <w:color w:val="000000"/>
          <w:szCs w:val="22"/>
        </w:rPr>
        <w:t>of the second-adjacent channel spacing requirements set forth in Section 73.807 of the Rules.</w:t>
      </w:r>
      <w:r w:rsidR="00E37F76">
        <w:rPr>
          <w:rStyle w:val="FootnoteReference"/>
          <w:color w:val="000000"/>
          <w:szCs w:val="22"/>
        </w:rPr>
        <w:footnoteReference w:id="49"/>
      </w:r>
      <w:r w:rsidR="00443B96">
        <w:rPr>
          <w:color w:val="000000"/>
          <w:szCs w:val="22"/>
        </w:rPr>
        <w:t xml:space="preserve">  In the </w:t>
      </w:r>
      <w:r w:rsidR="00443B96">
        <w:rPr>
          <w:i/>
          <w:color w:val="000000"/>
          <w:szCs w:val="22"/>
        </w:rPr>
        <w:t>Sixth Report and Order</w:t>
      </w:r>
      <w:r w:rsidR="00443B96">
        <w:rPr>
          <w:color w:val="000000"/>
          <w:szCs w:val="22"/>
        </w:rPr>
        <w:t xml:space="preserve"> we directed the Media Bureau to specifically identify all potentially affected second-adjacent channel stations </w:t>
      </w:r>
      <w:r w:rsidR="00E45C29">
        <w:rPr>
          <w:color w:val="000000"/>
          <w:szCs w:val="22"/>
        </w:rPr>
        <w:t>in the Public Notice that accepts for filing an LPFM application that includes a second-adjacent channel waiver</w:t>
      </w:r>
      <w:r w:rsidR="00E61104">
        <w:rPr>
          <w:color w:val="000000"/>
          <w:szCs w:val="22"/>
        </w:rPr>
        <w:t xml:space="preserve"> request</w:t>
      </w:r>
      <w:r w:rsidR="00E45C29">
        <w:rPr>
          <w:color w:val="000000"/>
          <w:szCs w:val="22"/>
        </w:rPr>
        <w:t>.</w:t>
      </w:r>
      <w:r w:rsidR="00E45C29">
        <w:rPr>
          <w:rStyle w:val="FootnoteReference"/>
          <w:color w:val="000000"/>
          <w:szCs w:val="22"/>
        </w:rPr>
        <w:footnoteReference w:id="50"/>
      </w:r>
      <w:r w:rsidR="00E45C29">
        <w:rPr>
          <w:color w:val="000000"/>
          <w:szCs w:val="22"/>
        </w:rPr>
        <w:t xml:space="preserve">  Accordingly, we identify the</w:t>
      </w:r>
      <w:r w:rsidR="000A228F">
        <w:rPr>
          <w:color w:val="000000"/>
          <w:szCs w:val="22"/>
        </w:rPr>
        <w:t>se</w:t>
      </w:r>
      <w:r w:rsidR="00E45C29">
        <w:rPr>
          <w:color w:val="000000"/>
          <w:szCs w:val="22"/>
        </w:rPr>
        <w:t xml:space="preserve"> </w:t>
      </w:r>
      <w:r w:rsidR="008A0012">
        <w:rPr>
          <w:color w:val="000000"/>
          <w:szCs w:val="22"/>
        </w:rPr>
        <w:t xml:space="preserve">applications and respective </w:t>
      </w:r>
      <w:r w:rsidR="00E45C29">
        <w:rPr>
          <w:color w:val="000000"/>
          <w:szCs w:val="22"/>
        </w:rPr>
        <w:t xml:space="preserve">stations in Attachment B.  </w:t>
      </w:r>
      <w:r w:rsidR="00443B96">
        <w:rPr>
          <w:color w:val="000000"/>
          <w:szCs w:val="22"/>
        </w:rPr>
        <w:t xml:space="preserve"> </w:t>
      </w:r>
      <w:r w:rsidR="00C70CF9" w:rsidRPr="00EF7F4F">
        <w:rPr>
          <w:szCs w:val="22"/>
        </w:rPr>
        <w:br/>
      </w:r>
      <w:r w:rsidR="007C7D93">
        <w:t xml:space="preserve">  </w:t>
      </w:r>
    </w:p>
    <w:p w:rsidR="00CD269D" w:rsidRDefault="00CD269D" w:rsidP="000848AE">
      <w:pPr>
        <w:widowControl w:val="0"/>
        <w:tabs>
          <w:tab w:val="left" w:pos="1"/>
          <w:tab w:val="left" w:pos="720"/>
          <w:tab w:val="left" w:pos="1440"/>
          <w:tab w:val="right" w:pos="9360"/>
        </w:tabs>
      </w:pPr>
      <w:r w:rsidRPr="00CD269D">
        <w:rPr>
          <w:b/>
        </w:rPr>
        <w:t xml:space="preserve">Forthcoming Staff Action.  </w:t>
      </w:r>
      <w:r>
        <w:t xml:space="preserve">We direct the staff, once the petition to </w:t>
      </w:r>
      <w:r w:rsidR="00571BFA">
        <w:t xml:space="preserve">deny </w:t>
      </w:r>
      <w:r>
        <w:t xml:space="preserve">period has run, to conduct a final study of each tentatively selected application in accordance with the Bureau’s routine processing procedures.  </w:t>
      </w:r>
      <w:r w:rsidR="00B66E89">
        <w:t xml:space="preserve">In the case of tied applications, the final study will not be conducted until the tie has been </w:t>
      </w:r>
      <w:r w:rsidR="00004599">
        <w:t>eliminated</w:t>
      </w:r>
      <w:r w:rsidR="00B66E89">
        <w:t xml:space="preserve"> through </w:t>
      </w:r>
      <w:r w:rsidR="00004599">
        <w:t>amendment, settlement and/or time-share procedures</w:t>
      </w:r>
      <w:r w:rsidR="00B66E89">
        <w:t xml:space="preserve">. </w:t>
      </w:r>
      <w:r>
        <w:t>The staff studies should consider any petitions, comments, and objections to determine whether there is any substantial and material question of fact concerning whether grant of the tentatively selected application</w:t>
      </w:r>
      <w:r w:rsidR="00B66E89">
        <w:t>s</w:t>
      </w:r>
      <w:r>
        <w:t xml:space="preserve"> would serve the public interest.  If no such question exists, </w:t>
      </w:r>
      <w:r w:rsidR="002B232D">
        <w:t xml:space="preserve">we </w:t>
      </w:r>
      <w:r>
        <w:t>direct the staff to grant the application</w:t>
      </w:r>
      <w:r w:rsidR="00B66E89">
        <w:t>(s)</w:t>
      </w:r>
      <w:r>
        <w:t xml:space="preserve"> on the basis of the point system determinations and dismiss all competing applications.</w:t>
      </w:r>
    </w:p>
    <w:p w:rsidR="00CD269D" w:rsidRDefault="00CD269D" w:rsidP="00CD269D">
      <w:pPr>
        <w:tabs>
          <w:tab w:val="left" w:pos="1"/>
          <w:tab w:val="left" w:pos="720"/>
          <w:tab w:val="left" w:pos="1440"/>
          <w:tab w:val="right" w:pos="9360"/>
        </w:tabs>
      </w:pPr>
    </w:p>
    <w:p w:rsidR="00CD269D" w:rsidRDefault="00CD269D" w:rsidP="00CD269D">
      <w:pPr>
        <w:tabs>
          <w:tab w:val="left" w:pos="1"/>
          <w:tab w:val="left" w:pos="720"/>
          <w:tab w:val="left" w:pos="1440"/>
          <w:tab w:val="right" w:pos="9360"/>
        </w:tabs>
      </w:pPr>
      <w:r>
        <w:t xml:space="preserve">With the exception of </w:t>
      </w:r>
      <w:r w:rsidR="008A0012">
        <w:t xml:space="preserve">applications that present </w:t>
      </w:r>
      <w:r>
        <w:t>issues that are new or novel or require Commission or Administrative Law Judge consideration by statute or rules,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51"/>
      </w:r>
      <w:r>
        <w:t xml:space="preserve">  The staff need not refer such matters to the Commission or designate such matters for hearing before an Administrative Law Judge unless the issues are new or novel, or raise a substantial and material question of fact regarding the award of points.  Generally, the staff should refer only those issues to the Commission where the exclusion or inclusion of challenged or claimed points could alter the outcome in the particular LPFM group, or where there is a new or novel issue.  In cases </w:t>
      </w:r>
      <w:r w:rsidR="008A0012">
        <w:t>that present</w:t>
      </w:r>
      <w:r>
        <w:t xml:space="preserve"> a substantial and material question of fact, the staff should designate the issue for hearing before an Administrative Law Judge.</w:t>
      </w:r>
    </w:p>
    <w:p w:rsidR="00536F76" w:rsidRDefault="00536F76" w:rsidP="00CD269D">
      <w:pPr>
        <w:tabs>
          <w:tab w:val="left" w:pos="1"/>
          <w:tab w:val="left" w:pos="720"/>
          <w:tab w:val="left" w:pos="1440"/>
          <w:tab w:val="right" w:pos="9360"/>
        </w:tabs>
      </w:pPr>
    </w:p>
    <w:p w:rsidR="00536F76" w:rsidRPr="00536F76" w:rsidRDefault="00536F76" w:rsidP="00CD269D">
      <w:pPr>
        <w:tabs>
          <w:tab w:val="left" w:pos="1"/>
          <w:tab w:val="left" w:pos="720"/>
          <w:tab w:val="left" w:pos="1440"/>
          <w:tab w:val="right" w:pos="9360"/>
        </w:tabs>
        <w:rPr>
          <w:szCs w:val="22"/>
        </w:rPr>
      </w:pPr>
      <w:r>
        <w:rPr>
          <w:b/>
        </w:rPr>
        <w:t>Severance for Purposes of Petitions, Appeals and Finality.</w:t>
      </w:r>
      <w:r>
        <w:t xml:space="preserve">  </w:t>
      </w:r>
      <w:r w:rsidRPr="004D1AFD">
        <w:rPr>
          <w:szCs w:val="22"/>
        </w:rPr>
        <w:t xml:space="preserve">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any other group </w:t>
      </w:r>
      <w:r>
        <w:rPr>
          <w:szCs w:val="22"/>
        </w:rPr>
        <w:t>included</w:t>
      </w:r>
      <w:r w:rsidRPr="004D1AFD">
        <w:rPr>
          <w:szCs w:val="22"/>
        </w:rPr>
        <w:t xml:space="preserve"> herein</w:t>
      </w:r>
      <w:r>
        <w:rPr>
          <w:szCs w:val="22"/>
        </w:rPr>
        <w:t>.</w:t>
      </w:r>
    </w:p>
    <w:p w:rsidR="00AD32B2" w:rsidRDefault="00AD32B2" w:rsidP="004633D0">
      <w:pPr>
        <w:rPr>
          <w:b/>
          <w:szCs w:val="22"/>
        </w:rPr>
      </w:pPr>
    </w:p>
    <w:p w:rsidR="004633D0" w:rsidRPr="009834C3" w:rsidRDefault="002B232D" w:rsidP="004633D0">
      <w:pPr>
        <w:rPr>
          <w:szCs w:val="22"/>
        </w:rPr>
      </w:pPr>
      <w:r>
        <w:rPr>
          <w:b/>
          <w:szCs w:val="22"/>
        </w:rPr>
        <w:t xml:space="preserve">Additional Information.  </w:t>
      </w:r>
      <w:r w:rsidR="004633D0" w:rsidRPr="009834C3">
        <w:rPr>
          <w:szCs w:val="22"/>
        </w:rPr>
        <w:t xml:space="preserve">For additional information, </w:t>
      </w:r>
      <w:r>
        <w:rPr>
          <w:szCs w:val="22"/>
        </w:rPr>
        <w:t xml:space="preserve">please </w:t>
      </w:r>
      <w:r w:rsidR="004633D0" w:rsidRPr="009834C3">
        <w:rPr>
          <w:szCs w:val="22"/>
        </w:rPr>
        <w:t>contact:</w:t>
      </w:r>
    </w:p>
    <w:p w:rsidR="007B7100" w:rsidRPr="009834C3" w:rsidRDefault="007B7100" w:rsidP="004633D0">
      <w:pPr>
        <w:rPr>
          <w:szCs w:val="22"/>
        </w:rPr>
      </w:pPr>
    </w:p>
    <w:p w:rsidR="004633D0" w:rsidRPr="009834C3" w:rsidRDefault="004633D0" w:rsidP="004633D0">
      <w:pPr>
        <w:numPr>
          <w:ilvl w:val="0"/>
          <w:numId w:val="6"/>
        </w:numPr>
        <w:rPr>
          <w:szCs w:val="22"/>
        </w:rPr>
      </w:pPr>
      <w:r w:rsidRPr="009834C3">
        <w:rPr>
          <w:szCs w:val="22"/>
        </w:rPr>
        <w:t>Electronic filing assistance:  Konrad Herling or David Trout</w:t>
      </w:r>
      <w:r w:rsidR="0073648E" w:rsidRPr="009834C3">
        <w:rPr>
          <w:szCs w:val="22"/>
        </w:rPr>
        <w:t>,</w:t>
      </w:r>
      <w:r w:rsidRPr="009834C3">
        <w:rPr>
          <w:szCs w:val="22"/>
        </w:rPr>
        <w:t xml:space="preserve"> (202) 418-2662</w:t>
      </w:r>
    </w:p>
    <w:p w:rsidR="004633D0" w:rsidRPr="009834C3" w:rsidRDefault="00983405" w:rsidP="004633D0">
      <w:pPr>
        <w:numPr>
          <w:ilvl w:val="0"/>
          <w:numId w:val="6"/>
        </w:numPr>
        <w:rPr>
          <w:szCs w:val="22"/>
        </w:rPr>
      </w:pPr>
      <w:r w:rsidRPr="009834C3">
        <w:rPr>
          <w:szCs w:val="22"/>
        </w:rPr>
        <w:t xml:space="preserve">Legal inquiries:  Tom Hutton or </w:t>
      </w:r>
      <w:r w:rsidR="004633D0" w:rsidRPr="009834C3">
        <w:rPr>
          <w:szCs w:val="22"/>
        </w:rPr>
        <w:t xml:space="preserve">Parul </w:t>
      </w:r>
      <w:r w:rsidR="00CB35C6" w:rsidRPr="009834C3">
        <w:rPr>
          <w:szCs w:val="22"/>
        </w:rPr>
        <w:t xml:space="preserve">P. </w:t>
      </w:r>
      <w:r w:rsidR="004633D0" w:rsidRPr="009834C3">
        <w:rPr>
          <w:szCs w:val="22"/>
        </w:rPr>
        <w:t>Desai, (202) 418-2700</w:t>
      </w:r>
    </w:p>
    <w:p w:rsidR="006B61F6" w:rsidRPr="009834C3" w:rsidRDefault="004633D0" w:rsidP="00F079F9">
      <w:pPr>
        <w:numPr>
          <w:ilvl w:val="0"/>
          <w:numId w:val="6"/>
        </w:numPr>
        <w:suppressAutoHyphens/>
        <w:rPr>
          <w:b/>
          <w:szCs w:val="22"/>
        </w:rPr>
      </w:pPr>
      <w:r w:rsidRPr="009834C3">
        <w:rPr>
          <w:szCs w:val="22"/>
        </w:rPr>
        <w:t xml:space="preserve">Engineering inquiries:  James Bradshaw or </w:t>
      </w:r>
      <w:r w:rsidR="00983405" w:rsidRPr="009834C3">
        <w:rPr>
          <w:szCs w:val="22"/>
        </w:rPr>
        <w:t>Gary Loehrs</w:t>
      </w:r>
      <w:r w:rsidRPr="009834C3">
        <w:rPr>
          <w:szCs w:val="22"/>
        </w:rPr>
        <w:t>, (202) 418-2700</w:t>
      </w:r>
    </w:p>
    <w:p w:rsidR="002D1BD4" w:rsidRPr="009834C3" w:rsidRDefault="002D1BD4" w:rsidP="002D1BD4">
      <w:pPr>
        <w:numPr>
          <w:ilvl w:val="0"/>
          <w:numId w:val="6"/>
        </w:numPr>
        <w:rPr>
          <w:szCs w:val="22"/>
        </w:rPr>
      </w:pPr>
      <w:r w:rsidRPr="009834C3">
        <w:rPr>
          <w:szCs w:val="22"/>
        </w:rPr>
        <w:t>Press inquiries:  Janice Wise, (202) 418-8165</w:t>
      </w:r>
    </w:p>
    <w:p w:rsidR="00563047" w:rsidRDefault="00563047" w:rsidP="00563047">
      <w:pPr>
        <w:spacing w:after="240"/>
        <w:rPr>
          <w:b/>
          <w:szCs w:val="22"/>
        </w:rPr>
      </w:pPr>
    </w:p>
    <w:p w:rsidR="00563047" w:rsidRDefault="00563047" w:rsidP="00563047">
      <w:pPr>
        <w:spacing w:after="240"/>
      </w:pPr>
      <w:r>
        <w:t>Action by the Commission July 11, 2014:   By Chairman Wheeler, and Commissioners Clyburn, Rosenworcel, Pai and O’Rielly.</w:t>
      </w:r>
    </w:p>
    <w:p w:rsidR="00464EC8" w:rsidRPr="009834C3" w:rsidRDefault="00464EC8" w:rsidP="00563047">
      <w:pPr>
        <w:suppressAutoHyphens/>
        <w:rPr>
          <w:b/>
          <w:szCs w:val="22"/>
        </w:rPr>
      </w:pPr>
    </w:p>
    <w:p w:rsidR="006B61F6" w:rsidRPr="006F1C35"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6F1C35">
        <w:rPr>
          <w:b/>
          <w:color w:val="000000"/>
          <w:szCs w:val="22"/>
        </w:rPr>
        <w:t>– FCC –</w:t>
      </w:r>
    </w:p>
    <w:sectPr w:rsidR="006B61F6" w:rsidRPr="006F1C35" w:rsidSect="0050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02" w:rsidRDefault="00675802">
      <w:r>
        <w:separator/>
      </w:r>
    </w:p>
  </w:endnote>
  <w:endnote w:type="continuationSeparator" w:id="0">
    <w:p w:rsidR="00675802" w:rsidRDefault="0067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1" w:rsidRDefault="00CD3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02" w:rsidRDefault="00675802">
    <w:pPr>
      <w:pStyle w:val="Footer"/>
      <w:jc w:val="center"/>
    </w:pPr>
    <w:r>
      <w:rPr>
        <w:rStyle w:val="PageNumber"/>
      </w:rPr>
      <w:fldChar w:fldCharType="begin"/>
    </w:r>
    <w:r>
      <w:rPr>
        <w:rStyle w:val="PageNumber"/>
      </w:rPr>
      <w:instrText xml:space="preserve"> PAGE </w:instrText>
    </w:r>
    <w:r>
      <w:rPr>
        <w:rStyle w:val="PageNumber"/>
      </w:rPr>
      <w:fldChar w:fldCharType="separate"/>
    </w:r>
    <w:r w:rsidR="0043150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1" w:rsidRDefault="00CD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02" w:rsidRDefault="00675802">
      <w:r>
        <w:separator/>
      </w:r>
    </w:p>
  </w:footnote>
  <w:footnote w:type="continuationSeparator" w:id="0">
    <w:p w:rsidR="00675802" w:rsidRPr="00B44044" w:rsidRDefault="00675802" w:rsidP="00B44044">
      <w:pPr>
        <w:spacing w:before="120"/>
        <w:rPr>
          <w:sz w:val="20"/>
        </w:rPr>
      </w:pPr>
      <w:r>
        <w:rPr>
          <w:sz w:val="20"/>
        </w:rPr>
        <w:t xml:space="preserve">(Continued from previous page)  </w:t>
      </w:r>
      <w:r>
        <w:rPr>
          <w:sz w:val="20"/>
        </w:rPr>
        <w:separator/>
      </w:r>
    </w:p>
  </w:footnote>
  <w:footnote w:type="continuationNotice" w:id="1">
    <w:p w:rsidR="00675802" w:rsidRPr="00B44044" w:rsidRDefault="00675802" w:rsidP="00B44044">
      <w:pPr>
        <w:jc w:val="right"/>
        <w:rPr>
          <w:sz w:val="20"/>
        </w:rPr>
      </w:pPr>
      <w:r>
        <w:rPr>
          <w:sz w:val="20"/>
        </w:rPr>
        <w:t>(continued….)</w:t>
      </w:r>
    </w:p>
  </w:footnote>
  <w:footnote w:id="2">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Each application in Group 1 through Group </w:t>
      </w:r>
      <w:r>
        <w:rPr>
          <w:sz w:val="20"/>
        </w:rPr>
        <w:t>401</w:t>
      </w:r>
      <w:r w:rsidRPr="002B5497">
        <w:rPr>
          <w:sz w:val="20"/>
        </w:rPr>
        <w:t xml:space="preserve"> was filed during the October 1</w:t>
      </w:r>
      <w:r>
        <w:rPr>
          <w:sz w:val="20"/>
        </w:rPr>
        <w:t>7</w:t>
      </w:r>
      <w:r w:rsidRPr="002B5497">
        <w:rPr>
          <w:sz w:val="20"/>
        </w:rPr>
        <w:t>, 2013, through November 1</w:t>
      </w:r>
      <w:r>
        <w:rPr>
          <w:sz w:val="20"/>
        </w:rPr>
        <w:t>5</w:t>
      </w:r>
      <w:r w:rsidRPr="002B5497">
        <w:rPr>
          <w:sz w:val="20"/>
        </w:rPr>
        <w:t xml:space="preserve">, 2013, LPFM open filing window (the “LPFM Window”).    </w:t>
      </w:r>
    </w:p>
  </w:footnote>
  <w:footnote w:id="3">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  The point system analysis must be considered by the Commission because this analysis is considered a simplified “hearing” for purposes of 47 U.S.C. § 155(c)(1).  </w:t>
      </w:r>
    </w:p>
  </w:footnote>
  <w:footnote w:id="4">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In this Public Notice the Commission uses the point system to compare 2</w:t>
      </w:r>
      <w:r>
        <w:rPr>
          <w:sz w:val="20"/>
        </w:rPr>
        <w:t>48</w:t>
      </w:r>
      <w:r w:rsidRPr="002B5497">
        <w:rPr>
          <w:sz w:val="20"/>
        </w:rPr>
        <w:t xml:space="preserve"> applications from </w:t>
      </w:r>
      <w:r>
        <w:rPr>
          <w:sz w:val="20"/>
        </w:rPr>
        <w:t>79</w:t>
      </w:r>
      <w:r w:rsidRPr="002B5497">
        <w:rPr>
          <w:sz w:val="20"/>
        </w:rPr>
        <w:t xml:space="preserve"> MX Groups comprising the western states of the United States.  Two </w:t>
      </w:r>
      <w:r>
        <w:rPr>
          <w:sz w:val="20"/>
        </w:rPr>
        <w:t>additional</w:t>
      </w:r>
      <w:r w:rsidRPr="002B5497">
        <w:rPr>
          <w:sz w:val="20"/>
        </w:rPr>
        <w:t xml:space="preserve"> Public Notices</w:t>
      </w:r>
      <w:r>
        <w:rPr>
          <w:sz w:val="20"/>
        </w:rPr>
        <w:t>,</w:t>
      </w:r>
      <w:r w:rsidRPr="002B5497">
        <w:rPr>
          <w:sz w:val="20"/>
        </w:rPr>
        <w:t xml:space="preserve"> identifying the tentative selectees from the remaining groups of mutually exclusive applications</w:t>
      </w:r>
      <w:r>
        <w:rPr>
          <w:sz w:val="20"/>
        </w:rPr>
        <w:t>,</w:t>
      </w:r>
      <w:r w:rsidRPr="002B5497">
        <w:rPr>
          <w:sz w:val="20"/>
        </w:rPr>
        <w:t xml:space="preserve"> will be released </w:t>
      </w:r>
      <w:r>
        <w:rPr>
          <w:sz w:val="20"/>
        </w:rPr>
        <w:t>during the next several months</w:t>
      </w:r>
      <w:r w:rsidRPr="002B5497">
        <w:rPr>
          <w:sz w:val="20"/>
        </w:rPr>
        <w:t>.</w:t>
      </w:r>
    </w:p>
  </w:footnote>
  <w:footnote w:id="5">
    <w:p w:rsidR="00675802" w:rsidRPr="002B5497" w:rsidRDefault="00675802" w:rsidP="001F0FD9">
      <w:pPr>
        <w:pStyle w:val="FootnoteText"/>
        <w:spacing w:after="120"/>
        <w:rPr>
          <w:i/>
          <w:sz w:val="20"/>
        </w:rPr>
      </w:pPr>
      <w:r w:rsidRPr="002B5497">
        <w:rPr>
          <w:rStyle w:val="FootnoteReference"/>
          <w:sz w:val="20"/>
        </w:rPr>
        <w:footnoteRef/>
      </w:r>
      <w:r w:rsidRPr="002B5497">
        <w:rPr>
          <w:sz w:val="20"/>
        </w:rPr>
        <w:t xml:space="preserve"> </w:t>
      </w:r>
      <w:r w:rsidRPr="002B5497">
        <w:rPr>
          <w:i/>
          <w:sz w:val="20"/>
        </w:rPr>
        <w:t>See Media Bureau Identifies Mutually Exclusive Applications Filed in the LPFM Window and Announces 60-Day Settlement Period</w:t>
      </w:r>
      <w:r w:rsidRPr="002B5497">
        <w:rPr>
          <w:sz w:val="20"/>
        </w:rPr>
        <w:t xml:space="preserve">, Public Notice, 28 FCC Rcd 16713 (MB 2013); </w:t>
      </w:r>
      <w:r w:rsidRPr="002B5497">
        <w:rPr>
          <w:i/>
          <w:sz w:val="20"/>
        </w:rPr>
        <w:t>see also Media Bureau Provides Further Guidance on the Processing of Form 318 Applications Filed in the LPFM Window</w:t>
      </w:r>
      <w:r w:rsidRPr="002B5497">
        <w:rPr>
          <w:sz w:val="20"/>
        </w:rPr>
        <w:t>, Public Notice, 28 FCC Rcd 16366 (MB 2013)</w:t>
      </w:r>
      <w:r>
        <w:rPr>
          <w:sz w:val="20"/>
        </w:rPr>
        <w:t xml:space="preserve"> (“</w:t>
      </w:r>
      <w:r>
        <w:rPr>
          <w:i/>
          <w:sz w:val="20"/>
        </w:rPr>
        <w:t>Procedures PN</w:t>
      </w:r>
      <w:r>
        <w:rPr>
          <w:sz w:val="20"/>
        </w:rPr>
        <w:t>”).</w:t>
      </w:r>
      <w:r w:rsidRPr="002B5497">
        <w:rPr>
          <w:i/>
          <w:sz w:val="20"/>
        </w:rPr>
        <w:t xml:space="preserve"> </w:t>
      </w:r>
    </w:p>
  </w:footnote>
  <w:footnote w:id="6">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 </w:t>
      </w:r>
      <w:r w:rsidRPr="002B5497">
        <w:rPr>
          <w:i/>
          <w:sz w:val="20"/>
        </w:rPr>
        <w:t>see also Creation of a Low Power Radio Service</w:t>
      </w:r>
      <w:r w:rsidRPr="002B5497">
        <w:rPr>
          <w:sz w:val="20"/>
        </w:rPr>
        <w:t xml:space="preserve">, Report and Order, 15 FCC Rcd 2205, 2260-64 (2000); </w:t>
      </w:r>
      <w:r w:rsidRPr="002B5497">
        <w:rPr>
          <w:i/>
          <w:sz w:val="20"/>
        </w:rPr>
        <w:t>Creation of a Low Power Radio Service</w:t>
      </w:r>
      <w:r w:rsidRPr="002B5497">
        <w:rPr>
          <w:sz w:val="20"/>
        </w:rPr>
        <w:t>, Memorandum Opinion and Order on Reconsideration, 15 FCC Rcd 19208, 19246-47 (2000)</w:t>
      </w:r>
      <w:r>
        <w:rPr>
          <w:sz w:val="20"/>
        </w:rPr>
        <w:t xml:space="preserve"> (“</w:t>
      </w:r>
      <w:r>
        <w:rPr>
          <w:i/>
          <w:sz w:val="20"/>
        </w:rPr>
        <w:t>Memorandum Opinion and Order on Reconsideration</w:t>
      </w:r>
      <w:r>
        <w:rPr>
          <w:sz w:val="20"/>
        </w:rPr>
        <w:t>”)</w:t>
      </w:r>
      <w:r w:rsidRPr="002B5497">
        <w:rPr>
          <w:sz w:val="20"/>
        </w:rPr>
        <w:t xml:space="preserve">; </w:t>
      </w:r>
      <w:r w:rsidRPr="002B5497">
        <w:rPr>
          <w:i/>
          <w:sz w:val="20"/>
        </w:rPr>
        <w:t>Creation of a Low Power Radio Service</w:t>
      </w:r>
      <w:r w:rsidRPr="002B5497">
        <w:rPr>
          <w:sz w:val="20"/>
        </w:rPr>
        <w:t>, Fifth Order on Reconsideration and Sixth Report and Order, 27 FCC Rcd 15402, 15459-15471 (2012) (“</w:t>
      </w:r>
      <w:r w:rsidRPr="002B5497">
        <w:rPr>
          <w:i/>
          <w:sz w:val="20"/>
        </w:rPr>
        <w:t>Sixth Report and Order</w:t>
      </w:r>
      <w:r w:rsidRPr="002B5497">
        <w:rPr>
          <w:sz w:val="20"/>
        </w:rPr>
        <w:t>”).</w:t>
      </w:r>
    </w:p>
  </w:footnote>
  <w:footnote w:id="7">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73.853(b)(1)-(2); </w:t>
      </w:r>
      <w:r w:rsidRPr="002B5497">
        <w:rPr>
          <w:i/>
          <w:sz w:val="20"/>
        </w:rPr>
        <w:t xml:space="preserve">see also </w:t>
      </w:r>
      <w:r w:rsidRPr="002B5497">
        <w:rPr>
          <w:sz w:val="20"/>
        </w:rPr>
        <w:t>FCC Form 318, Section III, Question 1a; Instructions to FCC Form 318 at 8-9.</w:t>
      </w:r>
    </w:p>
  </w:footnote>
  <w:footnote w:id="8">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Such evidence may consist of copies of corporate charters, articles of incorporation, association, or partnership, </w:t>
      </w:r>
      <w:r>
        <w:rPr>
          <w:sz w:val="20"/>
        </w:rPr>
        <w:t xml:space="preserve">bylaws, </w:t>
      </w:r>
      <w:r w:rsidRPr="002B5497">
        <w:rPr>
          <w:sz w:val="20"/>
        </w:rPr>
        <w:t xml:space="preserve">or other written instruments filed with the appropriate governmental agency (e.g., Secretary of State) documenting the applicant’s period of existence.  </w:t>
      </w:r>
      <w:r w:rsidRPr="002B5497">
        <w:rPr>
          <w:i/>
          <w:sz w:val="20"/>
        </w:rPr>
        <w:t xml:space="preserve">See </w:t>
      </w:r>
      <w:r w:rsidRPr="002B5497">
        <w:rPr>
          <w:sz w:val="20"/>
        </w:rPr>
        <w:t xml:space="preserve">Instructions to FCC Form 318 at 9.    </w:t>
      </w:r>
    </w:p>
  </w:footnote>
  <w:footnote w:id="9">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73.853(b)(4); </w:t>
      </w:r>
      <w:r w:rsidRPr="002B5497">
        <w:rPr>
          <w:i/>
          <w:sz w:val="20"/>
        </w:rPr>
        <w:t xml:space="preserve">see also </w:t>
      </w:r>
      <w:r w:rsidRPr="002B5497">
        <w:rPr>
          <w:sz w:val="20"/>
        </w:rPr>
        <w:t>FCC Form 318, Section III, Question 1b.</w:t>
      </w:r>
    </w:p>
  </w:footnote>
  <w:footnote w:id="10">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73.853(b)(3); </w:t>
      </w:r>
      <w:r w:rsidRPr="002B5497">
        <w:rPr>
          <w:i/>
          <w:sz w:val="20"/>
        </w:rPr>
        <w:t xml:space="preserve">see also </w:t>
      </w:r>
      <w:r w:rsidRPr="002B5497">
        <w:rPr>
          <w:sz w:val="20"/>
        </w:rPr>
        <w:t>FCC Form 318, Section III, Question 1c.</w:t>
      </w:r>
    </w:p>
  </w:footnote>
  <w:footnote w:id="11">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47 C.F.R. § 73.872(b)(2). </w:t>
      </w:r>
    </w:p>
  </w:footnote>
  <w:footnote w:id="12">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47 C.F.R. § 73.872(b)(3); FCC Form 318, Section III, Question 3.</w:t>
      </w:r>
    </w:p>
  </w:footnote>
  <w:footnote w:id="13">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47 C.F.R. § 73.872(b)(4). </w:t>
      </w:r>
    </w:p>
  </w:footnote>
  <w:footnote w:id="14">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47 C.F.R. § 73.872(b)(5).  Although a broadcast interest of a national organization will not be attributed to the local chapter if the local chapter “is separately incorporated and has a distinct local presence and mission” (47 C.F.R. § 73.858(b)), “local chapters” of larger organizations that hold broadcast interests do not qualify for a “new entrant” point.  Any broadcast interests held by the “parent” organization are considered attributable for the purposes of this criterion only.</w:t>
      </w:r>
      <w:r w:rsidRPr="002B5497">
        <w:rPr>
          <w:i/>
          <w:sz w:val="20"/>
        </w:rPr>
        <w:t xml:space="preserve">  See, e.g., Sixth Report and Order</w:t>
      </w:r>
      <w:r w:rsidRPr="002B5497">
        <w:rPr>
          <w:sz w:val="20"/>
        </w:rPr>
        <w:t>, 27 FCC Rcd at 15459.</w:t>
      </w:r>
      <w:r>
        <w:rPr>
          <w:sz w:val="20"/>
        </w:rPr>
        <w:t xml:space="preserve">  Similarly, although a director of an LPFM applicant may hold otherwise attributable interests in a broadcast licensee or media entity without making the LPFM applicant ineligible for a license, provided that the director recuses himself/herself from any matters affecting the LPFM station (47 C.F.R.</w:t>
      </w:r>
      <w:r w:rsidRPr="002B5497">
        <w:rPr>
          <w:sz w:val="20"/>
        </w:rPr>
        <w:t xml:space="preserve"> §</w:t>
      </w:r>
      <w:r>
        <w:rPr>
          <w:sz w:val="20"/>
        </w:rPr>
        <w:t xml:space="preserve"> 73.858(a)), the director’s broadcast interests are still considered attributable to the LPFM applicant for the purpose of the “new entrant” point.  </w:t>
      </w:r>
      <w:r w:rsidRPr="002B5497">
        <w:rPr>
          <w:sz w:val="20"/>
        </w:rPr>
        <w:t xml:space="preserve">     </w:t>
      </w:r>
    </w:p>
  </w:footnote>
  <w:footnote w:id="15">
    <w:p w:rsidR="00675802" w:rsidRPr="002B5497" w:rsidRDefault="00675802" w:rsidP="001F0FD9">
      <w:pPr>
        <w:pStyle w:val="FootnoteText"/>
        <w:spacing w:after="120"/>
        <w:rPr>
          <w:i/>
          <w:sz w:val="20"/>
        </w:rPr>
      </w:pPr>
      <w:r w:rsidRPr="002B5497">
        <w:rPr>
          <w:rStyle w:val="FootnoteReference"/>
          <w:sz w:val="20"/>
        </w:rPr>
        <w:footnoteRef/>
      </w:r>
      <w:r w:rsidRPr="002B5497">
        <w:rPr>
          <w:sz w:val="20"/>
        </w:rPr>
        <w:t xml:space="preserve"> </w:t>
      </w:r>
      <w:r w:rsidRPr="002B5497">
        <w:rPr>
          <w:i/>
          <w:sz w:val="20"/>
        </w:rPr>
        <w:t>See, e.g., Creation of Low Power Radio Service</w:t>
      </w:r>
      <w:r w:rsidRPr="002B5497">
        <w:rPr>
          <w:sz w:val="20"/>
        </w:rPr>
        <w:t xml:space="preserve">, Sixth Order on Reconsideration, 28 FCC Rcd 14489, n.26 (2013). </w:t>
      </w:r>
      <w:r w:rsidRPr="002B5497">
        <w:rPr>
          <w:i/>
          <w:sz w:val="20"/>
        </w:rPr>
        <w:t xml:space="preserve"> </w:t>
      </w:r>
    </w:p>
  </w:footnote>
  <w:footnote w:id="16">
    <w:p w:rsidR="00675802" w:rsidRPr="002B5497" w:rsidRDefault="00675802" w:rsidP="001F0FD9">
      <w:pPr>
        <w:pStyle w:val="FootnoteText"/>
        <w:spacing w:after="120"/>
        <w:rPr>
          <w:sz w:val="20"/>
        </w:rPr>
      </w:pPr>
      <w:r w:rsidRPr="002B5497">
        <w:rPr>
          <w:rStyle w:val="FootnoteReference"/>
          <w:sz w:val="20"/>
        </w:rPr>
        <w:footnoteRef/>
      </w:r>
      <w:r w:rsidRPr="002B5497">
        <w:rPr>
          <w:sz w:val="20"/>
        </w:rPr>
        <w:t xml:space="preserve"> 47 C.F.R. § 73.872(b)(6); </w:t>
      </w:r>
      <w:r w:rsidRPr="002B5497">
        <w:rPr>
          <w:i/>
          <w:sz w:val="20"/>
        </w:rPr>
        <w:t xml:space="preserve">see also </w:t>
      </w:r>
      <w:r w:rsidRPr="002B5497">
        <w:rPr>
          <w:sz w:val="20"/>
        </w:rPr>
        <w:t>47 C.F.R. § 73.853(c) (defining a “Tribal Applicant” as a “Tribe or an entity that is 51 percent or more owned or controlled by a Tribe or Tribes”); 47 C.F.R. § 73.7000.</w:t>
      </w:r>
    </w:p>
  </w:footnote>
  <w:footnote w:id="17">
    <w:p w:rsidR="00675802" w:rsidRPr="00A865ED" w:rsidRDefault="00675802" w:rsidP="00A865ED">
      <w:pPr>
        <w:pStyle w:val="FootnoteText"/>
        <w:spacing w:after="120"/>
        <w:rPr>
          <w:sz w:val="20"/>
        </w:rPr>
      </w:pPr>
      <w:r w:rsidRPr="00A865ED">
        <w:rPr>
          <w:rStyle w:val="FootnoteReference"/>
          <w:sz w:val="20"/>
        </w:rPr>
        <w:footnoteRef/>
      </w:r>
      <w:r w:rsidRPr="00A865ED">
        <w:rPr>
          <w:sz w:val="20"/>
        </w:rPr>
        <w:t xml:space="preserve"> The Commission staff may issue letters of inquiry requiring submission of documentation in connection with such audits.  </w:t>
      </w:r>
      <w:r>
        <w:rPr>
          <w:sz w:val="20"/>
        </w:rPr>
        <w:t xml:space="preserve">Applicants that fail to fulfill their pledges will be potentially subject to administrative sanctions including the possibility of monetary forfeitures and revocation proceedings.  </w:t>
      </w:r>
      <w:r>
        <w:rPr>
          <w:i/>
          <w:sz w:val="20"/>
        </w:rPr>
        <w:t xml:space="preserve">See </w:t>
      </w:r>
      <w:r>
        <w:rPr>
          <w:sz w:val="20"/>
        </w:rPr>
        <w:t>Instructions to FCC Form 318, Section IIIC at 9.</w:t>
      </w:r>
      <w:r w:rsidRPr="00A865ED">
        <w:rPr>
          <w:sz w:val="20"/>
        </w:rPr>
        <w:t xml:space="preserve">  </w:t>
      </w:r>
    </w:p>
  </w:footnote>
  <w:footnote w:id="18">
    <w:p w:rsidR="00675802" w:rsidRPr="00A865ED" w:rsidRDefault="00675802"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 xml:space="preserve">See </w:t>
      </w:r>
      <w:r w:rsidRPr="00A865ED">
        <w:rPr>
          <w:sz w:val="20"/>
        </w:rPr>
        <w:t>Instructions to FCC Form 318, Section IIIA</w:t>
      </w:r>
      <w:r>
        <w:rPr>
          <w:sz w:val="20"/>
        </w:rPr>
        <w:t xml:space="preserve"> at 8</w:t>
      </w:r>
      <w:r w:rsidRPr="00A865ED">
        <w:rPr>
          <w:sz w:val="20"/>
        </w:rPr>
        <w:t xml:space="preserve">; 47 C.F.R. § 73.871(b).  For example, if an applicant certifies that it does not qualify for a point under one of the point system factors by answering “No” to one of the questions in Section III, it cannot later amend its application to respond “Yes” to that question.  This is the case even if the applicant actually would have qualified for the point it is seeking at the time it filed the application.     </w:t>
      </w:r>
    </w:p>
  </w:footnote>
  <w:footnote w:id="19">
    <w:p w:rsidR="00675802" w:rsidRPr="00A865ED" w:rsidRDefault="00675802" w:rsidP="00A865ED">
      <w:pPr>
        <w:pStyle w:val="FootnoteText"/>
        <w:spacing w:after="120"/>
        <w:rPr>
          <w:sz w:val="20"/>
        </w:rPr>
      </w:pPr>
      <w:r w:rsidRPr="00A865ED">
        <w:rPr>
          <w:rStyle w:val="FootnoteReference"/>
          <w:sz w:val="20"/>
        </w:rPr>
        <w:footnoteRef/>
      </w:r>
      <w:r w:rsidRPr="00A865ED">
        <w:rPr>
          <w:sz w:val="20"/>
        </w:rPr>
        <w:t xml:space="preserve"> For example, an LFPM applicant may lose claimed points, such as the new entrant credit, as a result of changes made after the application filing.     </w:t>
      </w:r>
    </w:p>
  </w:footnote>
  <w:footnote w:id="20">
    <w:p w:rsidR="00675802" w:rsidRPr="00A865ED" w:rsidRDefault="00675802"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 xml:space="preserve">See </w:t>
      </w:r>
      <w:r w:rsidRPr="00A865ED">
        <w:rPr>
          <w:sz w:val="20"/>
        </w:rPr>
        <w:t>Instructions</w:t>
      </w:r>
      <w:r>
        <w:rPr>
          <w:sz w:val="20"/>
        </w:rPr>
        <w:t xml:space="preserve"> to FCC Form 318, </w:t>
      </w:r>
      <w:r w:rsidRPr="00A865ED">
        <w:rPr>
          <w:sz w:val="20"/>
        </w:rPr>
        <w:t>Section III, Question 1</w:t>
      </w:r>
      <w:r>
        <w:rPr>
          <w:sz w:val="20"/>
        </w:rPr>
        <w:t>, at 9</w:t>
      </w:r>
      <w:r w:rsidRPr="00A865ED">
        <w:rPr>
          <w:sz w:val="20"/>
        </w:rPr>
        <w:t xml:space="preserve">.  Applicants must submit the requisite documentation </w:t>
      </w:r>
      <w:r>
        <w:rPr>
          <w:sz w:val="20"/>
        </w:rPr>
        <w:t xml:space="preserve">prior to the close of the window.  </w:t>
      </w:r>
      <w:r w:rsidRPr="00A865ED">
        <w:rPr>
          <w:sz w:val="20"/>
        </w:rPr>
        <w:t xml:space="preserve">The Commission does not consider documentation to support a </w:t>
      </w:r>
      <w:r>
        <w:rPr>
          <w:sz w:val="20"/>
        </w:rPr>
        <w:t xml:space="preserve">claimed </w:t>
      </w:r>
      <w:r w:rsidRPr="00A865ED">
        <w:rPr>
          <w:sz w:val="20"/>
        </w:rPr>
        <w:t xml:space="preserve">comparative point if it is submitted in a post-window amendment.     </w:t>
      </w:r>
    </w:p>
  </w:footnote>
  <w:footnote w:id="21">
    <w:p w:rsidR="00675802" w:rsidRPr="00EC4D31" w:rsidRDefault="00675802"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See</w:t>
      </w:r>
      <w:r>
        <w:rPr>
          <w:i/>
          <w:sz w:val="20"/>
        </w:rPr>
        <w:t xml:space="preserve"> </w:t>
      </w:r>
      <w:r>
        <w:rPr>
          <w:sz w:val="20"/>
        </w:rPr>
        <w:t xml:space="preserve">MX Group 42, File No. BNPL-20131029AHL and MX Group 57, File No. BNPL-20131114BPU.  In both of these cases, to support its established community presence claim, each applicant merely submitted a declaration stating that it has been local and operating for X number of years.  Each applicant neglected to submit any documentation to establish its non-profit status and period of existence.  We note that each of these applications has been dismissed for failure to document the applicant’s non-profit status and eligibility to hold an LPFM license.  </w:t>
      </w:r>
      <w:r>
        <w:rPr>
          <w:i/>
          <w:sz w:val="20"/>
        </w:rPr>
        <w:t xml:space="preserve">See </w:t>
      </w:r>
      <w:r>
        <w:rPr>
          <w:sz w:val="20"/>
        </w:rPr>
        <w:t xml:space="preserve">FCC Form 318, Section II, Question 2, Eligibility; Instructions to FCC Form 318, Section II, Question 2, at 3; 47 C.F.R. § 73.853(a). </w:t>
      </w:r>
      <w:r>
        <w:rPr>
          <w:i/>
          <w:sz w:val="20"/>
        </w:rPr>
        <w:t xml:space="preserve"> </w:t>
      </w:r>
      <w:r>
        <w:rPr>
          <w:sz w:val="20"/>
        </w:rPr>
        <w:t>Each application was either dismissed within the last 30 days or has a pending petition for reconsideration, and therefore, is currently in a non-final dismissed status.  In MX Group 146, File No. BNPL-20131115ASE, the applicant claims a point as an established local applicant, but inconsistently acknowledges, at Exhibit 10 to its application, that it was not established until 2013 and is therefore “ineligible for an established community presence” point.</w:t>
      </w:r>
    </w:p>
  </w:footnote>
  <w:footnote w:id="22">
    <w:p w:rsidR="00675802" w:rsidRPr="0002461D" w:rsidRDefault="00675802" w:rsidP="004E2060">
      <w:pPr>
        <w:pStyle w:val="FootnoteText"/>
        <w:spacing w:after="120"/>
        <w:rPr>
          <w:sz w:val="20"/>
        </w:rPr>
      </w:pPr>
      <w:r w:rsidRPr="00A865ED">
        <w:rPr>
          <w:rStyle w:val="FootnoteReference"/>
          <w:sz w:val="20"/>
        </w:rPr>
        <w:footnoteRef/>
      </w:r>
      <w:r w:rsidRPr="00A865ED">
        <w:rPr>
          <w:sz w:val="20"/>
        </w:rPr>
        <w:t xml:space="preserve"> </w:t>
      </w:r>
      <w:r w:rsidRPr="00A865ED">
        <w:rPr>
          <w:i/>
          <w:sz w:val="20"/>
        </w:rPr>
        <w:t>See</w:t>
      </w:r>
      <w:r w:rsidRPr="00A865ED">
        <w:rPr>
          <w:sz w:val="20"/>
        </w:rPr>
        <w:t xml:space="preserve"> MX Group 2</w:t>
      </w:r>
      <w:r>
        <w:rPr>
          <w:sz w:val="20"/>
        </w:rPr>
        <w:t>82</w:t>
      </w:r>
      <w:r w:rsidRPr="00A865ED">
        <w:rPr>
          <w:sz w:val="20"/>
        </w:rPr>
        <w:t>, File No. BNPL-20131113BPL.  Although the applicant, Portland State University, a local chapter of the statewide</w:t>
      </w:r>
      <w:r w:rsidRPr="0002461D">
        <w:rPr>
          <w:sz w:val="20"/>
        </w:rPr>
        <w:t xml:space="preserve"> Oregon University System, is eligible for a LPFM station, the broadcast interests of the University System are attributable </w:t>
      </w:r>
      <w:r>
        <w:rPr>
          <w:sz w:val="20"/>
        </w:rPr>
        <w:t xml:space="preserve">to it </w:t>
      </w:r>
      <w:r w:rsidRPr="0002461D">
        <w:rPr>
          <w:sz w:val="20"/>
        </w:rPr>
        <w:t xml:space="preserve">for purposes of the new entrant point criterion.  Accordingly, it does not qualify for this point.  </w:t>
      </w:r>
      <w:r w:rsidRPr="0002461D">
        <w:rPr>
          <w:i/>
          <w:sz w:val="20"/>
        </w:rPr>
        <w:t>See also</w:t>
      </w:r>
      <w:r w:rsidRPr="0002461D">
        <w:rPr>
          <w:sz w:val="20"/>
        </w:rPr>
        <w:t xml:space="preserve"> note 1</w:t>
      </w:r>
      <w:r>
        <w:rPr>
          <w:sz w:val="20"/>
        </w:rPr>
        <w:t>3</w:t>
      </w:r>
      <w:r w:rsidRPr="0002461D">
        <w:rPr>
          <w:sz w:val="20"/>
        </w:rPr>
        <w:t xml:space="preserve">, </w:t>
      </w:r>
      <w:r w:rsidRPr="0002461D">
        <w:rPr>
          <w:i/>
          <w:sz w:val="20"/>
        </w:rPr>
        <w:t>infra.</w:t>
      </w:r>
      <w:r w:rsidRPr="0002461D">
        <w:rPr>
          <w:sz w:val="20"/>
        </w:rPr>
        <w:t xml:space="preserve"> </w:t>
      </w:r>
    </w:p>
  </w:footnote>
  <w:footnote w:id="23">
    <w:p w:rsidR="00675802" w:rsidRPr="004E2060" w:rsidRDefault="00675802" w:rsidP="004E2060">
      <w:pPr>
        <w:pStyle w:val="FootnoteText"/>
        <w:spacing w:after="120"/>
        <w:rPr>
          <w:sz w:val="20"/>
        </w:rPr>
      </w:pPr>
      <w:r w:rsidRPr="0002461D">
        <w:rPr>
          <w:rStyle w:val="FootnoteReference"/>
          <w:sz w:val="20"/>
        </w:rPr>
        <w:footnoteRef/>
      </w:r>
      <w:r w:rsidRPr="0002461D">
        <w:rPr>
          <w:sz w:val="20"/>
        </w:rPr>
        <w:t xml:space="preserve"> </w:t>
      </w:r>
      <w:r w:rsidRPr="004E2060">
        <w:rPr>
          <w:sz w:val="20"/>
        </w:rPr>
        <w:t xml:space="preserve">Conversely, any applicant awarded an established community presence or main studio point has provided support for its certification at the time it initially filed the application.    </w:t>
      </w:r>
    </w:p>
  </w:footnote>
  <w:footnote w:id="24">
    <w:p w:rsidR="00675802" w:rsidRPr="004E2060" w:rsidRDefault="00675802" w:rsidP="004E2060">
      <w:pPr>
        <w:pStyle w:val="FootnoteText"/>
        <w:spacing w:after="120"/>
      </w:pPr>
      <w:r w:rsidRPr="004E2060">
        <w:rPr>
          <w:rStyle w:val="FootnoteReference"/>
          <w:sz w:val="20"/>
        </w:rPr>
        <w:footnoteRef/>
      </w:r>
      <w:r w:rsidRPr="004E2060">
        <w:rPr>
          <w:sz w:val="20"/>
        </w:rPr>
        <w:t xml:space="preserve"> We note that in MX Group 45</w:t>
      </w:r>
      <w:r>
        <w:rPr>
          <w:sz w:val="20"/>
        </w:rPr>
        <w:t xml:space="preserve"> and MX Group 71</w:t>
      </w:r>
      <w:r w:rsidRPr="004E2060">
        <w:rPr>
          <w:sz w:val="20"/>
        </w:rPr>
        <w:t>, the County of Ventura</w:t>
      </w:r>
      <w:r>
        <w:rPr>
          <w:sz w:val="20"/>
        </w:rPr>
        <w:t xml:space="preserve"> and the City of Louisville,</w:t>
      </w:r>
      <w:r w:rsidRPr="004E2060">
        <w:rPr>
          <w:sz w:val="20"/>
        </w:rPr>
        <w:t xml:space="preserve"> </w:t>
      </w:r>
      <w:r>
        <w:rPr>
          <w:sz w:val="20"/>
        </w:rPr>
        <w:t>public safety applicants, are each</w:t>
      </w:r>
      <w:r w:rsidRPr="004E2060">
        <w:rPr>
          <w:sz w:val="20"/>
        </w:rPr>
        <w:t xml:space="preserve"> tied for the highest point total, but </w:t>
      </w:r>
      <w:r>
        <w:rPr>
          <w:sz w:val="20"/>
        </w:rPr>
        <w:t>are</w:t>
      </w:r>
      <w:r w:rsidRPr="004E2060">
        <w:rPr>
          <w:sz w:val="20"/>
        </w:rPr>
        <w:t xml:space="preserve"> not identified in bold as tentative selectee</w:t>
      </w:r>
      <w:r>
        <w:rPr>
          <w:sz w:val="20"/>
        </w:rPr>
        <w:t>s</w:t>
      </w:r>
      <w:r w:rsidRPr="004E2060">
        <w:rPr>
          <w:sz w:val="20"/>
        </w:rPr>
        <w:t>.</w:t>
      </w:r>
      <w:r>
        <w:rPr>
          <w:sz w:val="20"/>
        </w:rPr>
        <w:t xml:space="preserve">  </w:t>
      </w:r>
      <w:r>
        <w:rPr>
          <w:i/>
          <w:sz w:val="20"/>
        </w:rPr>
        <w:t xml:space="preserve">See </w:t>
      </w:r>
      <w:r>
        <w:rPr>
          <w:sz w:val="20"/>
        </w:rPr>
        <w:t xml:space="preserve">FCC File Nos. BNPL-20131112BFQ and 20131114AQP.  Not-for-profit organizations and governmental entities proposing to operate a public safety or emergency radio service were permitted to submit multiple applications in the LPFM Window, but were required to designate the “priority” application.  Non-priority applications are dismissed if competing applications are filed in the same window.  The County of Ventura and the City of Louisville each filed two applications and identified its other application (File Nos. BNPL-20131112BFM and BNPL-20131114AQU, respectively) as the priority application.  Accordingly, FCC File Nos. BNPL-20131112BFQ and 20131114AQP will be dismissed upon release of this Public Notice.  </w:t>
      </w:r>
      <w:r>
        <w:rPr>
          <w:i/>
          <w:sz w:val="20"/>
        </w:rPr>
        <w:t>See Memorandum Opinion and Order on Reconsideration</w:t>
      </w:r>
      <w:r>
        <w:rPr>
          <w:sz w:val="20"/>
        </w:rPr>
        <w:t xml:space="preserve">, 15 FCC Rcd at 19239-40; </w:t>
      </w:r>
      <w:r>
        <w:rPr>
          <w:i/>
          <w:sz w:val="20"/>
        </w:rPr>
        <w:t>Media Bureau Announces Availability of the Revised FCC Form 318 and the Filing Procedures for the October 15 – October 29, 2013, Low Power FM Filing Window</w:t>
      </w:r>
      <w:r>
        <w:rPr>
          <w:sz w:val="20"/>
        </w:rPr>
        <w:t xml:space="preserve">, Public Notice, 28 FCC Rcd 8854 (MB 2013). </w:t>
      </w:r>
      <w:r>
        <w:rPr>
          <w:i/>
          <w:sz w:val="20"/>
        </w:rPr>
        <w:t xml:space="preserve"> </w:t>
      </w:r>
      <w:r>
        <w:rPr>
          <w:sz w:val="20"/>
        </w:rPr>
        <w:t xml:space="preserve">   </w:t>
      </w:r>
    </w:p>
  </w:footnote>
  <w:footnote w:id="25">
    <w:p w:rsidR="00675802" w:rsidRPr="002B5497" w:rsidRDefault="00675802" w:rsidP="004E2060">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e.g., </w:t>
      </w:r>
      <w:r w:rsidRPr="002B5497">
        <w:rPr>
          <w:sz w:val="20"/>
        </w:rPr>
        <w:t xml:space="preserve">MX Group </w:t>
      </w:r>
      <w:r>
        <w:rPr>
          <w:sz w:val="20"/>
        </w:rPr>
        <w:t>43</w:t>
      </w:r>
      <w:r w:rsidRPr="002B5497">
        <w:rPr>
          <w:sz w:val="20"/>
        </w:rPr>
        <w:t>, FCC File No. BNPL-20131112ANI (Calvary Chapel Victor Valley’s diversity claim is based on a pledge to divest its current LPFM station, KPTG-LP).</w:t>
      </w:r>
    </w:p>
  </w:footnote>
  <w:footnote w:id="26">
    <w:p w:rsidR="00675802" w:rsidRPr="002B5497" w:rsidRDefault="00675802" w:rsidP="002B5497">
      <w:pPr>
        <w:pStyle w:val="FootnoteText"/>
        <w:spacing w:after="120"/>
        <w:rPr>
          <w:sz w:val="20"/>
        </w:rPr>
      </w:pPr>
      <w:r w:rsidRPr="002B5497">
        <w:rPr>
          <w:rStyle w:val="FootnoteReference"/>
          <w:sz w:val="20"/>
        </w:rPr>
        <w:footnoteRef/>
      </w:r>
      <w:r w:rsidRPr="002B5497">
        <w:rPr>
          <w:sz w:val="20"/>
        </w:rPr>
        <w:t xml:space="preserve"> 47 C.F.R. § 73.872(c).  </w:t>
      </w:r>
    </w:p>
  </w:footnote>
  <w:footnote w:id="27">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 xml:space="preserve">47 C.F.R. § 73.872(c)(explaining the procedures for </w:t>
      </w:r>
      <w:r w:rsidRPr="001D5812">
        <w:rPr>
          <w:i/>
          <w:sz w:val="20"/>
        </w:rPr>
        <w:t>tied</w:t>
      </w:r>
      <w:r w:rsidRPr="001D5812">
        <w:rPr>
          <w:sz w:val="20"/>
        </w:rPr>
        <w:t xml:space="preserve"> applicants to propose voluntary time-sharing arrangements</w:t>
      </w:r>
      <w:r>
        <w:rPr>
          <w:sz w:val="20"/>
        </w:rPr>
        <w:t xml:space="preserve"> and aggregate their points</w:t>
      </w:r>
      <w:r w:rsidRPr="001D5812">
        <w:rPr>
          <w:sz w:val="20"/>
        </w:rPr>
        <w:t xml:space="preserve">).  </w:t>
      </w:r>
      <w:r>
        <w:rPr>
          <w:sz w:val="20"/>
        </w:rPr>
        <w:t>Applicants aggregating points must specify the same frequency.</w:t>
      </w:r>
    </w:p>
  </w:footnote>
  <w:footnote w:id="28">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Such applicants, however, may continue to file amendments, settlement agreements, and voluntary, non-point aggregation, time-sharing agreements at any time.      </w:t>
      </w:r>
    </w:p>
  </w:footnote>
  <w:footnote w:id="29">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73.872(c).     </w:t>
      </w:r>
    </w:p>
  </w:footnote>
  <w:footnote w:id="30">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73.872(c)(1)(i) – (iii).  The agreement can only be modified if all of the parties submit a written agreement, signed by each party, to the Commission, Attention: Audio Division, prior to the change.</w:t>
      </w:r>
    </w:p>
  </w:footnote>
  <w:footnote w:id="31">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73.872(d). </w:t>
      </w:r>
    </w:p>
  </w:footnote>
  <w:footnote w:id="32">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73.872(d)(2); </w:t>
      </w:r>
      <w:r w:rsidRPr="001D5812">
        <w:rPr>
          <w:i/>
          <w:sz w:val="20"/>
        </w:rPr>
        <w:t xml:space="preserve">see also </w:t>
      </w:r>
      <w:r w:rsidRPr="001D5812">
        <w:rPr>
          <w:sz w:val="20"/>
        </w:rPr>
        <w:t xml:space="preserve">Instructions to FCC Form 318, Section IV at 9; </w:t>
      </w:r>
      <w:r w:rsidRPr="001D5812">
        <w:rPr>
          <w:i/>
          <w:sz w:val="20"/>
        </w:rPr>
        <w:t>Sixth Report and Order</w:t>
      </w:r>
      <w:r w:rsidRPr="001D5812">
        <w:rPr>
          <w:sz w:val="20"/>
        </w:rPr>
        <w:t>, 27 FCC Rcd at 15475.</w:t>
      </w:r>
      <w:r w:rsidRPr="001D5812">
        <w:rPr>
          <w:i/>
          <w:sz w:val="20"/>
        </w:rPr>
        <w:t xml:space="preserve"> </w:t>
      </w:r>
      <w:r w:rsidRPr="001D5812">
        <w:rPr>
          <w:sz w:val="20"/>
        </w:rPr>
        <w:t xml:space="preserve">  </w:t>
      </w:r>
    </w:p>
  </w:footnote>
  <w:footnote w:id="33">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73.853(b); FCC Form 318, Section IV, Question 1 (requiring applicants to provide the date on which the applicant qualified as local). </w:t>
      </w:r>
    </w:p>
  </w:footnote>
  <w:footnote w:id="34">
    <w:p w:rsidR="00675802" w:rsidRPr="00256A7F" w:rsidRDefault="00675802" w:rsidP="001D5812">
      <w:pPr>
        <w:pStyle w:val="FootnoteText"/>
        <w:spacing w:after="120"/>
        <w:rPr>
          <w:sz w:val="20"/>
        </w:rPr>
      </w:pPr>
      <w:r w:rsidRPr="001D5812">
        <w:rPr>
          <w:rStyle w:val="FootnoteReference"/>
          <w:sz w:val="20"/>
        </w:rPr>
        <w:footnoteRef/>
      </w:r>
      <w:r w:rsidRPr="001D5812">
        <w:rPr>
          <w:sz w:val="20"/>
        </w:rPr>
        <w:t xml:space="preserve"> 47 C.F.R. § 73.872(d)(2).  If there are only two tied, grantable applications, the applicants must select between the following 12-hour time slots: 3 a.m.-2:59 p.m., or 3 p.m.-2:</w:t>
      </w:r>
      <w:r>
        <w:rPr>
          <w:sz w:val="20"/>
        </w:rPr>
        <w:t>5</w:t>
      </w:r>
      <w:r w:rsidRPr="001D5812">
        <w:rPr>
          <w:sz w:val="20"/>
        </w:rPr>
        <w:t>9 a.m.  If there are three, tied, grantable applications, each applicant must rank their preference for the following 8-hour time slots: 2 a.m.-9:59 a.m., 10 a.m.-5:59 p.m., and 6 p.m.-1:59 a.m.  The Commission will award time in units as small as four hours per day.  In the event an applicant n</w:t>
      </w:r>
      <w:r w:rsidRPr="00256A7F">
        <w:rPr>
          <w:sz w:val="20"/>
        </w:rPr>
        <w:t xml:space="preserve">eglects to designate its preferred time slots, staff will select a time slot for the applicant.    </w:t>
      </w:r>
    </w:p>
  </w:footnote>
  <w:footnote w:id="35">
    <w:p w:rsidR="00675802" w:rsidRPr="001D5812" w:rsidRDefault="00675802" w:rsidP="001D5812">
      <w:pPr>
        <w:pStyle w:val="FootnoteText"/>
        <w:spacing w:after="120"/>
        <w:rPr>
          <w:i/>
          <w:sz w:val="20"/>
        </w:rPr>
      </w:pPr>
      <w:r w:rsidRPr="001D5812">
        <w:rPr>
          <w:rStyle w:val="FootnoteReference"/>
          <w:sz w:val="20"/>
        </w:rPr>
        <w:footnoteRef/>
      </w:r>
      <w:r w:rsidRPr="001D5812">
        <w:rPr>
          <w:sz w:val="20"/>
        </w:rPr>
        <w:t xml:space="preserve"> 47 C.F.R. § 73.872(d)(3) and (d)(2); </w:t>
      </w:r>
      <w:r w:rsidRPr="001D5812">
        <w:rPr>
          <w:i/>
          <w:sz w:val="20"/>
        </w:rPr>
        <w:t>see also Sixth Report and Order</w:t>
      </w:r>
      <w:r w:rsidRPr="001D5812">
        <w:rPr>
          <w:sz w:val="20"/>
        </w:rPr>
        <w:t>, 27 FCC Rcd at 15475.</w:t>
      </w:r>
      <w:r w:rsidRPr="001D5812">
        <w:rPr>
          <w:i/>
          <w:sz w:val="20"/>
        </w:rPr>
        <w:t xml:space="preserve"> </w:t>
      </w:r>
    </w:p>
  </w:footnote>
  <w:footnote w:id="36">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All applicants listed in this Public Notice, whether or not a tentative selectee, are permitted to file major change amendments during this period.   </w:t>
      </w:r>
    </w:p>
  </w:footnote>
  <w:footnote w:id="37">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73.871.  This limited waiver policy will allow applicants to use all available FM channels to resolve technical conflicts, eliminate ties, and obtain construction permits.</w:t>
      </w:r>
    </w:p>
  </w:footnote>
  <w:footnote w:id="38">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The Bureau will process and review the major change amendments in the order that they are filed on a daily basis.  If the first-filed amendment is acceptable, the Bureau will return all subsequently-filed conflicting amendments, giving the second-filed applicant the opportunity to pursue other options, including settlements, other major amendments, and minor amendments, to remove application conflicts.  All amendments filed on </w:t>
      </w:r>
      <w:r>
        <w:rPr>
          <w:sz w:val="20"/>
        </w:rPr>
        <w:t>July 10, 2014,</w:t>
      </w:r>
      <w:r w:rsidRPr="001D5812">
        <w:rPr>
          <w:sz w:val="20"/>
        </w:rPr>
        <w:t xml:space="preserve"> must be protected by any amendment filed after </w:t>
      </w:r>
      <w:r>
        <w:rPr>
          <w:sz w:val="20"/>
        </w:rPr>
        <w:t>July 10, 2014</w:t>
      </w:r>
      <w:r w:rsidRPr="001D5812">
        <w:rPr>
          <w:sz w:val="20"/>
        </w:rPr>
        <w:t xml:space="preserve">.  Amendments filed on weekends or holidays are considered to be filed the next business day.  </w:t>
      </w:r>
      <w:r w:rsidRPr="001D5812">
        <w:rPr>
          <w:i/>
          <w:sz w:val="20"/>
        </w:rPr>
        <w:t xml:space="preserve">See </w:t>
      </w:r>
      <w:r w:rsidRPr="001D5812">
        <w:rPr>
          <w:sz w:val="20"/>
        </w:rPr>
        <w:t xml:space="preserve">47 C.F.R. § 1.4.  </w:t>
      </w:r>
    </w:p>
  </w:footnote>
  <w:footnote w:id="39">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47 C.F.R. 73.853(b).</w:t>
      </w:r>
    </w:p>
  </w:footnote>
  <w:footnote w:id="40">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Amendments may, however, request waivers of the second-adjacent channel spacing requirements.  </w:t>
      </w:r>
      <w:r w:rsidRPr="001D5812">
        <w:rPr>
          <w:i/>
          <w:sz w:val="20"/>
        </w:rPr>
        <w:t xml:space="preserve">See </w:t>
      </w:r>
      <w:r w:rsidRPr="001D5812">
        <w:rPr>
          <w:sz w:val="20"/>
        </w:rPr>
        <w:t>47 C.F.R. § 73.807.</w:t>
      </w:r>
      <w:r>
        <w:rPr>
          <w:sz w:val="20"/>
        </w:rPr>
        <w:t xml:space="preserve">  Such amendments must include a showing that the proposed facilities will not result in interference to any authorized radio service.  </w:t>
      </w:r>
      <w:r>
        <w:rPr>
          <w:i/>
          <w:sz w:val="20"/>
        </w:rPr>
        <w:t xml:space="preserve">See </w:t>
      </w:r>
      <w:r>
        <w:rPr>
          <w:sz w:val="20"/>
        </w:rPr>
        <w:t xml:space="preserve">47 C.F.R. </w:t>
      </w:r>
      <w:r w:rsidRPr="001D5812">
        <w:rPr>
          <w:sz w:val="20"/>
        </w:rPr>
        <w:t>§</w:t>
      </w:r>
      <w:r>
        <w:rPr>
          <w:sz w:val="20"/>
        </w:rPr>
        <w:t xml:space="preserve"> 73.807(e)(1). </w:t>
      </w:r>
      <w:r w:rsidRPr="001D5812">
        <w:rPr>
          <w:sz w:val="20"/>
        </w:rPr>
        <w:t xml:space="preserve">  </w:t>
      </w:r>
    </w:p>
  </w:footnote>
  <w:footnote w:id="41">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Simultaneously with the release of this Notice, CDBS is being modified to permit the electronic filing of such major change amendments.  Applicants can monitor competing applications for any developments in CDBS. </w:t>
      </w:r>
    </w:p>
  </w:footnote>
  <w:footnote w:id="42">
    <w:p w:rsidR="00675802" w:rsidRPr="001D5812" w:rsidRDefault="00675802" w:rsidP="00A04A2C">
      <w:pPr>
        <w:pStyle w:val="FootnoteText"/>
        <w:spacing w:after="120"/>
        <w:rPr>
          <w:sz w:val="20"/>
        </w:rPr>
      </w:pPr>
      <w:r w:rsidRPr="001D5812">
        <w:rPr>
          <w:rStyle w:val="FootnoteReference"/>
          <w:sz w:val="20"/>
        </w:rPr>
        <w:footnoteRef/>
      </w:r>
      <w:r w:rsidRPr="001D5812">
        <w:rPr>
          <w:sz w:val="20"/>
        </w:rPr>
        <w:t xml:space="preserve"> Minor amendments include: (1) site relocations of 5.6 kilometers or less; (2) channel changes of no more than +/- three channels or to an intermediate frequency (+/- 53 or 54) channel; (3) partial and universal voluntary time-sharing agreements; (4) changes in general or legal information; (5) changes in ownership where the original parties retain more than 50 percent ownership in the application as originally filed.  Site relocation amendments of more than 5.6 kilometers will be permitted to remediate potential third-adjacent channel interference and for time-share proponents to relocate to a common transmitter site.  </w:t>
      </w:r>
      <w:r w:rsidRPr="00A04A2C">
        <w:rPr>
          <w:sz w:val="20"/>
        </w:rPr>
        <w:t xml:space="preserve">See </w:t>
      </w:r>
      <w:r w:rsidRPr="001D5812">
        <w:rPr>
          <w:sz w:val="20"/>
        </w:rPr>
        <w:t xml:space="preserve">47 C.F.R. § 73.871(c).  </w:t>
      </w:r>
    </w:p>
  </w:footnote>
  <w:footnote w:id="43">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The settlement agreement must comply with the pertinent requirements of Section 73.3525 of the Commission’s Rules.  47 C.F.R. § 73.3525; </w:t>
      </w:r>
      <w:r w:rsidRPr="001D5812">
        <w:rPr>
          <w:i/>
          <w:sz w:val="20"/>
        </w:rPr>
        <w:t>see also Procedures Notice</w:t>
      </w:r>
      <w:r w:rsidRPr="001D5812">
        <w:rPr>
          <w:sz w:val="20"/>
        </w:rPr>
        <w:t>, 28 FCC Rcd at 16367</w:t>
      </w:r>
      <w:r w:rsidRPr="001D5812">
        <w:rPr>
          <w:i/>
          <w:sz w:val="20"/>
        </w:rPr>
        <w:t xml:space="preserve"> </w:t>
      </w:r>
      <w:r w:rsidRPr="001D5812">
        <w:rPr>
          <w:sz w:val="20"/>
        </w:rPr>
        <w:t>(describing settlement agreement requirements).</w:t>
      </w:r>
      <w:r>
        <w:rPr>
          <w:sz w:val="20"/>
        </w:rPr>
        <w:t xml:space="preserve">  Settlement agreements should be electronically filed through CDBS as minor amendments to the subject applications.  </w:t>
      </w:r>
      <w:r w:rsidRPr="001D5812">
        <w:rPr>
          <w:i/>
          <w:sz w:val="20"/>
        </w:rPr>
        <w:t xml:space="preserve"> </w:t>
      </w:r>
      <w:r w:rsidRPr="001D5812">
        <w:rPr>
          <w:sz w:val="20"/>
        </w:rPr>
        <w:t xml:space="preserve"> </w:t>
      </w:r>
    </w:p>
  </w:footnote>
  <w:footnote w:id="44">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w:t>
      </w:r>
      <w:r w:rsidRPr="001D5812">
        <w:rPr>
          <w:color w:val="000000"/>
          <w:sz w:val="20"/>
        </w:rPr>
        <w:t xml:space="preserve">The staff has made no “acceptability” determination regarding the applications that received fewer than the highest point total in each mutually exclusive group.          </w:t>
      </w:r>
      <w:r w:rsidRPr="001D5812">
        <w:rPr>
          <w:sz w:val="20"/>
        </w:rPr>
        <w:t xml:space="preserve">  </w:t>
      </w:r>
    </w:p>
  </w:footnote>
  <w:footnote w:id="45">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w:t>
      </w:r>
      <w:r w:rsidRPr="001D5812">
        <w:rPr>
          <w:color w:val="000000"/>
          <w:sz w:val="20"/>
        </w:rPr>
        <w:t xml:space="preserve">As noted in “Notes” section of Attachment A, </w:t>
      </w:r>
      <w:r>
        <w:rPr>
          <w:color w:val="000000"/>
          <w:sz w:val="20"/>
        </w:rPr>
        <w:t>six</w:t>
      </w:r>
      <w:r w:rsidRPr="001D5812">
        <w:rPr>
          <w:color w:val="000000"/>
          <w:sz w:val="20"/>
        </w:rPr>
        <w:t xml:space="preserve"> of the MX applications listed in this Public Notice are currently in non-final dismissed status.  </w:t>
      </w:r>
      <w:r w:rsidRPr="001D5812">
        <w:rPr>
          <w:i/>
          <w:color w:val="000000"/>
          <w:sz w:val="20"/>
        </w:rPr>
        <w:t xml:space="preserve">See </w:t>
      </w:r>
      <w:r w:rsidRPr="005A2D79">
        <w:rPr>
          <w:color w:val="000000"/>
          <w:sz w:val="20"/>
        </w:rPr>
        <w:t>MX Group 37, File No. BNPL-20131114AEK;</w:t>
      </w:r>
      <w:r w:rsidRPr="001D5812">
        <w:rPr>
          <w:color w:val="000000"/>
          <w:sz w:val="20"/>
        </w:rPr>
        <w:t xml:space="preserve"> MX Group </w:t>
      </w:r>
      <w:r>
        <w:rPr>
          <w:color w:val="000000"/>
          <w:sz w:val="20"/>
        </w:rPr>
        <w:t>42</w:t>
      </w:r>
      <w:r w:rsidRPr="001D5812">
        <w:rPr>
          <w:color w:val="000000"/>
          <w:sz w:val="20"/>
        </w:rPr>
        <w:t xml:space="preserve">, File No. BNPL-20131029AHL; </w:t>
      </w:r>
      <w:r>
        <w:rPr>
          <w:color w:val="000000"/>
          <w:sz w:val="20"/>
        </w:rPr>
        <w:t>MX Group 45, File No. BNPL-20131112BFQ</w:t>
      </w:r>
      <w:r w:rsidRPr="003720F0">
        <w:rPr>
          <w:color w:val="000000"/>
          <w:sz w:val="20"/>
        </w:rPr>
        <w:t xml:space="preserve">; </w:t>
      </w:r>
      <w:r w:rsidRPr="005A2D79">
        <w:rPr>
          <w:color w:val="000000"/>
          <w:sz w:val="20"/>
        </w:rPr>
        <w:t xml:space="preserve">MX Group 56, File No. BNPL-20131113BQT; </w:t>
      </w:r>
      <w:r w:rsidRPr="003720F0">
        <w:rPr>
          <w:color w:val="000000"/>
          <w:sz w:val="20"/>
        </w:rPr>
        <w:t>MX Group 57, File No. BNPL-20131114BPU</w:t>
      </w:r>
      <w:r>
        <w:rPr>
          <w:color w:val="000000"/>
          <w:sz w:val="20"/>
        </w:rPr>
        <w:t>;</w:t>
      </w:r>
      <w:r w:rsidRPr="001D5812">
        <w:rPr>
          <w:color w:val="000000"/>
          <w:sz w:val="20"/>
        </w:rPr>
        <w:t xml:space="preserve"> </w:t>
      </w:r>
      <w:r>
        <w:rPr>
          <w:color w:val="000000"/>
          <w:sz w:val="20"/>
        </w:rPr>
        <w:t>and MX Group 71, File No. BNPL-20131114AQP.</w:t>
      </w:r>
      <w:r w:rsidRPr="001D5812">
        <w:rPr>
          <w:color w:val="000000"/>
          <w:sz w:val="20"/>
        </w:rPr>
        <w:t xml:space="preserve">  In each case, the application was dismissed for a technical or legal defect.  Each applicant has filed a petition for reconsideration, which remains pending or, was dismissed within the past 30 days.  In </w:t>
      </w:r>
      <w:r>
        <w:rPr>
          <w:color w:val="000000"/>
          <w:sz w:val="20"/>
        </w:rPr>
        <w:t>two</w:t>
      </w:r>
      <w:r w:rsidRPr="001D5812">
        <w:rPr>
          <w:color w:val="000000"/>
          <w:sz w:val="20"/>
        </w:rPr>
        <w:t xml:space="preserve"> of these </w:t>
      </w:r>
      <w:r>
        <w:rPr>
          <w:color w:val="000000"/>
          <w:sz w:val="20"/>
        </w:rPr>
        <w:t>six</w:t>
      </w:r>
      <w:r w:rsidRPr="001D5812">
        <w:rPr>
          <w:color w:val="000000"/>
          <w:sz w:val="20"/>
        </w:rPr>
        <w:t xml:space="preserve"> applications, the applicant is tied for the highest points in its respective MX Group</w:t>
      </w:r>
      <w:r>
        <w:rPr>
          <w:color w:val="000000"/>
          <w:sz w:val="20"/>
        </w:rPr>
        <w:t xml:space="preserve"> and identified as a tentative selectee</w:t>
      </w:r>
      <w:r w:rsidRPr="001D5812">
        <w:rPr>
          <w:color w:val="000000"/>
          <w:sz w:val="20"/>
        </w:rPr>
        <w:t xml:space="preserve">.  In the event the petition for reconsideration is granted and the application reinstated, the application will be accepted for filing at that time.        </w:t>
      </w:r>
      <w:r w:rsidRPr="001D5812">
        <w:rPr>
          <w:sz w:val="20"/>
        </w:rPr>
        <w:t xml:space="preserve">  </w:t>
      </w:r>
    </w:p>
  </w:footnote>
  <w:footnote w:id="46">
    <w:p w:rsidR="00675802" w:rsidRPr="001D5812" w:rsidRDefault="00675802" w:rsidP="001D5812">
      <w:pPr>
        <w:pStyle w:val="FootnoteText"/>
        <w:spacing w:after="120"/>
        <w:rPr>
          <w:i/>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 xml:space="preserve">47 C.F.R. § 73.870(d).  With the exceptions noted above, the applications, which are printed in </w:t>
      </w:r>
      <w:r w:rsidRPr="001D5812">
        <w:rPr>
          <w:b/>
          <w:sz w:val="20"/>
        </w:rPr>
        <w:t>bold</w:t>
      </w:r>
      <w:r w:rsidRPr="001D5812">
        <w:rPr>
          <w:sz w:val="20"/>
        </w:rPr>
        <w:t xml:space="preserve"> in Attachment A, are accepted for filing.   </w:t>
      </w:r>
    </w:p>
  </w:footnote>
  <w:footnote w:id="47">
    <w:p w:rsidR="00675802" w:rsidRPr="001D5812" w:rsidRDefault="00675802" w:rsidP="001D5812">
      <w:pPr>
        <w:pStyle w:val="FootnoteText"/>
        <w:spacing w:after="120"/>
        <w:rPr>
          <w:b/>
          <w:sz w:val="20"/>
        </w:rPr>
      </w:pPr>
      <w:r w:rsidRPr="001D5812">
        <w:rPr>
          <w:rStyle w:val="FootnoteReference"/>
          <w:sz w:val="20"/>
        </w:rPr>
        <w:footnoteRef/>
      </w:r>
      <w:r w:rsidRPr="001D5812">
        <w:rPr>
          <w:sz w:val="20"/>
        </w:rPr>
        <w:t xml:space="preserve"> </w:t>
      </w:r>
      <w:r w:rsidRPr="001D5812">
        <w:rPr>
          <w:color w:val="000000"/>
          <w:sz w:val="20"/>
        </w:rPr>
        <w:t>An interlocutory action is non-final, one that neither denies nor dismisses an application nor terminates an applicant's right to participate in the proceeding.</w:t>
      </w:r>
      <w:r w:rsidRPr="001D5812">
        <w:rPr>
          <w:rFonts w:ascii="Verdana" w:hAnsi="Verdana"/>
          <w:color w:val="000000"/>
          <w:sz w:val="20"/>
        </w:rPr>
        <w:t xml:space="preserve">  </w:t>
      </w:r>
      <w:r w:rsidRPr="001D5812">
        <w:rPr>
          <w:i/>
          <w:sz w:val="20"/>
        </w:rPr>
        <w:t xml:space="preserve">See </w:t>
      </w:r>
      <w:r w:rsidRPr="001D5812">
        <w:rPr>
          <w:sz w:val="20"/>
        </w:rPr>
        <w:t xml:space="preserve">47 C.F.R. § 1.106 (a)(1).  </w:t>
      </w:r>
      <w:r w:rsidRPr="001D5812">
        <w:rPr>
          <w:i/>
          <w:sz w:val="20"/>
        </w:rPr>
        <w:t xml:space="preserve">See also Patrick J. Vaughn, Esq., </w:t>
      </w:r>
      <w:r w:rsidRPr="001D5812">
        <w:rPr>
          <w:sz w:val="20"/>
        </w:rPr>
        <w:t xml:space="preserve">Letter, 22 FCC Rcd 11165 (MB 2007); </w:t>
      </w:r>
      <w:r w:rsidRPr="001D5812">
        <w:rPr>
          <w:i/>
          <w:sz w:val="20"/>
        </w:rPr>
        <w:t xml:space="preserve">Harry F. Cole, Esq., </w:t>
      </w:r>
      <w:r w:rsidRPr="001D5812">
        <w:rPr>
          <w:sz w:val="20"/>
        </w:rPr>
        <w:t xml:space="preserve">Letter, 27 FCC Rcd 9295 (MB 2012).  </w:t>
      </w:r>
    </w:p>
  </w:footnote>
  <w:footnote w:id="48">
    <w:p w:rsidR="00675802" w:rsidRPr="001D5812" w:rsidRDefault="00675802" w:rsidP="001D5812">
      <w:pPr>
        <w:pStyle w:val="FootnoteText"/>
        <w:spacing w:after="120"/>
        <w:rPr>
          <w:sz w:val="20"/>
        </w:rPr>
      </w:pPr>
      <w:r w:rsidRPr="001D5812">
        <w:rPr>
          <w:rStyle w:val="FootnoteReference"/>
          <w:sz w:val="20"/>
        </w:rPr>
        <w:footnoteRef/>
      </w:r>
      <w:r w:rsidRPr="001D5812">
        <w:rPr>
          <w:sz w:val="20"/>
        </w:rPr>
        <w:t xml:space="preserve"> 47 C.F.R. § 73.3584.  An applicant may file an opposition, and the petitioner may file a reply, within the times prescribed by the rules. </w:t>
      </w:r>
    </w:p>
  </w:footnote>
  <w:footnote w:id="49">
    <w:p w:rsidR="00675802" w:rsidRPr="001D5812" w:rsidRDefault="00675802" w:rsidP="001D5812">
      <w:pPr>
        <w:pStyle w:val="FootnoteText"/>
        <w:spacing w:after="120"/>
        <w:rPr>
          <w:i/>
          <w:sz w:val="20"/>
        </w:rPr>
      </w:pPr>
      <w:r w:rsidRPr="001D5812">
        <w:rPr>
          <w:rStyle w:val="FootnoteReference"/>
          <w:sz w:val="20"/>
        </w:rPr>
        <w:footnoteRef/>
      </w:r>
      <w:r w:rsidRPr="001D5812">
        <w:rPr>
          <w:sz w:val="20"/>
        </w:rPr>
        <w:t xml:space="preserve"> 47 C.F.R. § 73.807</w:t>
      </w:r>
      <w:r>
        <w:rPr>
          <w:sz w:val="20"/>
        </w:rPr>
        <w:t>(e)(1)</w:t>
      </w:r>
      <w:r w:rsidRPr="001D5812">
        <w:rPr>
          <w:sz w:val="20"/>
        </w:rPr>
        <w:t xml:space="preserve">.  </w:t>
      </w:r>
      <w:bookmarkStart w:id="6" w:name="SR;11523"/>
      <w:bookmarkStart w:id="7" w:name="SR;11524"/>
      <w:bookmarkStart w:id="8" w:name="SR;11525"/>
      <w:bookmarkStart w:id="9" w:name="SearchTerm"/>
      <w:bookmarkEnd w:id="6"/>
      <w:bookmarkEnd w:id="7"/>
      <w:bookmarkEnd w:id="8"/>
      <w:r w:rsidRPr="001D5812">
        <w:rPr>
          <w:sz w:val="20"/>
        </w:rPr>
        <w:t>A waiver applicant must demonstrate that its proposed operations will not result in interference to any authorized radio service.</w:t>
      </w:r>
      <w:bookmarkStart w:id="10" w:name="SR;11528"/>
      <w:bookmarkEnd w:id="9"/>
      <w:bookmarkEnd w:id="10"/>
    </w:p>
  </w:footnote>
  <w:footnote w:id="50">
    <w:p w:rsidR="00675802" w:rsidRPr="00171177" w:rsidRDefault="00675802"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Sixth Report</w:t>
      </w:r>
      <w:r w:rsidRPr="00171177">
        <w:rPr>
          <w:i/>
          <w:sz w:val="20"/>
        </w:rPr>
        <w:t xml:space="preserve"> and Order</w:t>
      </w:r>
      <w:r w:rsidRPr="00171177">
        <w:rPr>
          <w:sz w:val="20"/>
        </w:rPr>
        <w:t>, 27 FCC Rcd at 15429.</w:t>
      </w:r>
    </w:p>
  </w:footnote>
  <w:footnote w:id="51">
    <w:p w:rsidR="00675802" w:rsidRPr="00B96161" w:rsidRDefault="00675802" w:rsidP="00CD269D">
      <w:pPr>
        <w:pStyle w:val="FootnoteText"/>
        <w:rPr>
          <w:sz w:val="20"/>
        </w:rPr>
      </w:pPr>
      <w:r w:rsidRPr="00B96161">
        <w:rPr>
          <w:rStyle w:val="FootnoteReference"/>
          <w:sz w:val="20"/>
        </w:rPr>
        <w:footnoteRef/>
      </w:r>
      <w:r w:rsidRPr="00B96161">
        <w:rPr>
          <w:sz w:val="20"/>
        </w:rPr>
        <w:t xml:space="preserve"> </w:t>
      </w:r>
      <w:r w:rsidRPr="00B96161">
        <w:rPr>
          <w:i/>
          <w:sz w:val="20"/>
        </w:rPr>
        <w:t>See, e.g., Central Florida Educational Foundation, Inc.,</w:t>
      </w:r>
      <w:r w:rsidRPr="00B96161">
        <w:rPr>
          <w:b/>
          <w:i/>
          <w:sz w:val="20"/>
        </w:rPr>
        <w:t xml:space="preserve"> </w:t>
      </w:r>
      <w:r w:rsidRPr="00B96161">
        <w:rPr>
          <w:sz w:val="20"/>
        </w:rPr>
        <w:t>Letter, 23 FCC Rcd 1695</w:t>
      </w:r>
      <w:r w:rsidRPr="00B96161">
        <w:rPr>
          <w:b/>
          <w:sz w:val="20"/>
        </w:rPr>
        <w:t xml:space="preserve"> </w:t>
      </w:r>
      <w:r w:rsidRPr="00B96161">
        <w:rPr>
          <w:sz w:val="20"/>
        </w:rPr>
        <w:t>(MB 2008) (staff dismissal of defective application tentatively selected in a point hearing, and staff award of permit on a non-comparative basis to only remaining acceptable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1" w:rsidRDefault="00CD3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1" w:rsidRDefault="00CD3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02" w:rsidRPr="004A5145" w:rsidRDefault="0067580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79446957" wp14:editId="508A394C">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802" w:rsidRDefault="00675802">
                          <w:pPr>
                            <w:rPr>
                              <w:rFonts w:ascii="Arial" w:hAnsi="Arial"/>
                              <w:b/>
                            </w:rPr>
                          </w:pPr>
                          <w:r>
                            <w:rPr>
                              <w:rFonts w:ascii="Arial" w:hAnsi="Arial"/>
                              <w:b/>
                            </w:rPr>
                            <w:t>Federal Communications Commission</w:t>
                          </w:r>
                        </w:p>
                        <w:p w:rsidR="00675802" w:rsidRDefault="006758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75802" w:rsidRDefault="006758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675802" w:rsidRDefault="00675802">
                    <w:pPr>
                      <w:rPr>
                        <w:rFonts w:ascii="Arial" w:hAnsi="Arial"/>
                        <w:b/>
                      </w:rPr>
                    </w:pPr>
                    <w:r>
                      <w:rPr>
                        <w:rFonts w:ascii="Arial" w:hAnsi="Arial"/>
                        <w:b/>
                      </w:rPr>
                      <w:t>Federal Communications Commission</w:t>
                    </w:r>
                  </w:p>
                  <w:p w:rsidR="00675802" w:rsidRDefault="006758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75802" w:rsidRDefault="00675802">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61C4FAD7" wp14:editId="5CD7E8F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675802" w:rsidRDefault="0067580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4294967294" distB="4294967294" distL="114300" distR="114300" simplePos="0" relativeHeight="251657216" behindDoc="0" locked="0" layoutInCell="1" allowOverlap="1" wp14:anchorId="621123EB" wp14:editId="469BE68E">
              <wp:simplePos x="0" y="0"/>
              <wp:positionH relativeFrom="column">
                <wp:posOffset>-30480</wp:posOffset>
              </wp:positionH>
              <wp:positionV relativeFrom="paragraph">
                <wp:posOffset>645160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0.8pt" to="465.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tdR3AAAAAoBAAAPAAAAZHJzL2Rvd25yZXYueG1sTI9NS8NAEIbvgv9hGcFLaTdJpWjM&#10;poiamxer4nWaHZNgdjbNbtvor3eEgh7fD955plhPrlcHGkPn2UC6SEAR19523Bh4fanm16BCRLbY&#10;eyYDXxRgXZ6fFZhbf+RnOmxio2SEQ44G2hiHXOtQt+QwLPxALNmHHx1GkWOj7YhHGXe9zpJkpR12&#10;LBdaHOi+pfpzs3cGQvVGu+p7Vs+S92XjKds9PD2iMZcX090tqEhT/CvDL76gQylMW79nG1RvYH4l&#10;5FH8JF2BksLNMs1AbU+OLgv9/4XyBwAA//8DAFBLAQItABQABgAIAAAAIQC2gziS/gAAAOEBAAAT&#10;AAAAAAAAAAAAAAAAAAAAAABbQ29udGVudF9UeXBlc10ueG1sUEsBAi0AFAAGAAgAAAAhADj9If/W&#10;AAAAlAEAAAsAAAAAAAAAAAAAAAAALwEAAF9yZWxzLy5yZWxzUEsBAi0AFAAGAAgAAAAhAHcQ0MwR&#10;AgAAKAQAAA4AAAAAAAAAAAAAAAAALgIAAGRycy9lMm9Eb2MueG1sUEsBAi0AFAAGAAgAAAAhAP8C&#10;11HcAAAACgEAAA8AAAAAAAAAAAAAAAAAawQAAGRycy9kb3ducmV2LnhtbFBLBQYAAAAABAAEAPMA&#10;AAB0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5E8BCE9" wp14:editId="2CA422FE">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802" w:rsidRDefault="00675802">
                          <w:pPr>
                            <w:spacing w:before="40"/>
                            <w:jc w:val="right"/>
                            <w:rPr>
                              <w:rFonts w:ascii="Arial" w:hAnsi="Arial"/>
                              <w:b/>
                              <w:sz w:val="16"/>
                              <w:szCs w:val="16"/>
                            </w:rPr>
                          </w:pPr>
                          <w:r>
                            <w:rPr>
                              <w:rFonts w:ascii="Arial" w:hAnsi="Arial"/>
                              <w:b/>
                              <w:sz w:val="16"/>
                              <w:szCs w:val="16"/>
                            </w:rPr>
                            <w:t>News Media Information 202 / 418-0500</w:t>
                          </w:r>
                        </w:p>
                        <w:p w:rsidR="00675802" w:rsidRDefault="00675802">
                          <w:pPr>
                            <w:jc w:val="right"/>
                            <w:rPr>
                              <w:rFonts w:ascii="Arial" w:hAnsi="Arial"/>
                              <w:b/>
                              <w:sz w:val="16"/>
                              <w:szCs w:val="16"/>
                            </w:rPr>
                          </w:pPr>
                          <w:r>
                            <w:rPr>
                              <w:rFonts w:ascii="Arial" w:hAnsi="Arial"/>
                              <w:b/>
                              <w:sz w:val="16"/>
                              <w:szCs w:val="16"/>
                            </w:rPr>
                            <w:tab/>
                            <w:t xml:space="preserve">Internet: </w:t>
                          </w:r>
                          <w:bookmarkStart w:id="11" w:name="_Hlt233824"/>
                          <w:r>
                            <w:rPr>
                              <w:rFonts w:ascii="Arial" w:hAnsi="Arial"/>
                              <w:b/>
                              <w:sz w:val="16"/>
                              <w:szCs w:val="16"/>
                            </w:rPr>
                            <w:t>h</w:t>
                          </w:r>
                          <w:bookmarkEnd w:id="11"/>
                          <w:r>
                            <w:rPr>
                              <w:rFonts w:ascii="Arial" w:hAnsi="Arial"/>
                              <w:b/>
                              <w:sz w:val="16"/>
                              <w:szCs w:val="16"/>
                            </w:rPr>
                            <w:t>ttp://www.fcc.gov</w:t>
                          </w:r>
                        </w:p>
                        <w:p w:rsidR="00675802" w:rsidRDefault="00675802">
                          <w:pPr>
                            <w:jc w:val="right"/>
                            <w:rPr>
                              <w:rFonts w:ascii="Arial" w:hAnsi="Arial"/>
                              <w:b/>
                              <w:szCs w:val="22"/>
                            </w:rPr>
                          </w:pPr>
                          <w:r>
                            <w:rPr>
                              <w:rFonts w:ascii="Arial" w:hAnsi="Arial"/>
                              <w:b/>
                              <w:sz w:val="16"/>
                              <w:szCs w:val="16"/>
                            </w:rPr>
                            <w:t>TTY: 1-888-835-5322</w:t>
                          </w:r>
                        </w:p>
                        <w:p w:rsidR="00675802" w:rsidRDefault="006758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675802" w:rsidRDefault="00675802">
                    <w:pPr>
                      <w:spacing w:before="40"/>
                      <w:jc w:val="right"/>
                      <w:rPr>
                        <w:rFonts w:ascii="Arial" w:hAnsi="Arial"/>
                        <w:b/>
                        <w:sz w:val="16"/>
                        <w:szCs w:val="16"/>
                      </w:rPr>
                    </w:pPr>
                    <w:r>
                      <w:rPr>
                        <w:rFonts w:ascii="Arial" w:hAnsi="Arial"/>
                        <w:b/>
                        <w:sz w:val="16"/>
                        <w:szCs w:val="16"/>
                      </w:rPr>
                      <w:t>News Media Information 202 / 418-0500</w:t>
                    </w:r>
                  </w:p>
                  <w:p w:rsidR="00675802" w:rsidRDefault="00675802">
                    <w:pPr>
                      <w:jc w:val="right"/>
                      <w:rPr>
                        <w:rFonts w:ascii="Arial" w:hAnsi="Arial"/>
                        <w:b/>
                        <w:sz w:val="16"/>
                        <w:szCs w:val="16"/>
                      </w:rPr>
                    </w:pPr>
                    <w:r>
                      <w:rPr>
                        <w:rFonts w:ascii="Arial" w:hAnsi="Arial"/>
                        <w:b/>
                        <w:sz w:val="16"/>
                        <w:szCs w:val="16"/>
                      </w:rPr>
                      <w:tab/>
                      <w:t xml:space="preserve">Internet: </w:t>
                    </w:r>
                    <w:bookmarkStart w:id="12" w:name="_Hlt233824"/>
                    <w:r>
                      <w:rPr>
                        <w:rFonts w:ascii="Arial" w:hAnsi="Arial"/>
                        <w:b/>
                        <w:sz w:val="16"/>
                        <w:szCs w:val="16"/>
                      </w:rPr>
                      <w:t>h</w:t>
                    </w:r>
                    <w:bookmarkEnd w:id="12"/>
                    <w:r>
                      <w:rPr>
                        <w:rFonts w:ascii="Arial" w:hAnsi="Arial"/>
                        <w:b/>
                        <w:sz w:val="16"/>
                        <w:szCs w:val="16"/>
                      </w:rPr>
                      <w:t>ttp://www.fcc.gov</w:t>
                    </w:r>
                  </w:p>
                  <w:p w:rsidR="00675802" w:rsidRDefault="00675802">
                    <w:pPr>
                      <w:jc w:val="right"/>
                      <w:rPr>
                        <w:rFonts w:ascii="Arial" w:hAnsi="Arial"/>
                        <w:b/>
                        <w:szCs w:val="22"/>
                      </w:rPr>
                    </w:pPr>
                    <w:r>
                      <w:rPr>
                        <w:rFonts w:ascii="Arial" w:hAnsi="Arial"/>
                        <w:b/>
                        <w:sz w:val="16"/>
                        <w:szCs w:val="16"/>
                      </w:rPr>
                      <w:t>TTY: 1-888-835-5322</w:t>
                    </w:r>
                  </w:p>
                  <w:p w:rsidR="00675802" w:rsidRDefault="00675802">
                    <w:pPr>
                      <w:jc w:val="right"/>
                    </w:pPr>
                  </w:p>
                </w:txbxContent>
              </v:textbox>
            </v:shape>
          </w:pict>
        </mc:Fallback>
      </mc:AlternateContent>
    </w:r>
  </w:p>
  <w:p w:rsidR="00675802" w:rsidRDefault="0067580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8D22EEBE"/>
    <w:lvl w:ilvl="0">
      <w:start w:val="1"/>
      <w:numFmt w:val="decimal"/>
      <w:pStyle w:val="ParaNum0"/>
      <w:lvlText w:val="%1."/>
      <w:lvlJc w:val="left"/>
      <w:pPr>
        <w:tabs>
          <w:tab w:val="num" w:pos="1080"/>
        </w:tabs>
        <w:ind w:left="0" w:firstLine="720"/>
      </w:pPr>
      <w:rPr>
        <w:b w:val="0"/>
        <w:i w:val="0"/>
        <w:sz w:val="22"/>
        <w:szCs w:val="22"/>
      </w:rPr>
    </w:lvl>
  </w:abstractNum>
  <w:abstractNum w:abstractNumId="13">
    <w:nsid w:val="61B947CE"/>
    <w:multiLevelType w:val="hybridMultilevel"/>
    <w:tmpl w:val="13FC2B86"/>
    <w:lvl w:ilvl="0" w:tplc="52B0810C">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670C18"/>
    <w:multiLevelType w:val="hybridMultilevel"/>
    <w:tmpl w:val="0818F458"/>
    <w:lvl w:ilvl="0" w:tplc="99BC28A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15"/>
  </w:num>
  <w:num w:numId="5">
    <w:abstractNumId w:val="5"/>
  </w:num>
  <w:num w:numId="6">
    <w:abstractNumId w:val="14"/>
  </w:num>
  <w:num w:numId="7">
    <w:abstractNumId w:val="8"/>
  </w:num>
  <w:num w:numId="8">
    <w:abstractNumId w:val="2"/>
  </w:num>
  <w:num w:numId="9">
    <w:abstractNumId w:val="12"/>
    <w:lvlOverride w:ilvl="0">
      <w:startOverride w:val="1"/>
    </w:lvlOverride>
  </w:num>
  <w:num w:numId="10">
    <w:abstractNumId w:val="13"/>
  </w:num>
  <w:num w:numId="11">
    <w:abstractNumId w:val="16"/>
  </w:num>
  <w:num w:numId="12">
    <w:abstractNumId w:val="9"/>
  </w:num>
  <w:num w:numId="13">
    <w:abstractNumId w:val="7"/>
  </w:num>
  <w:num w:numId="14">
    <w:abstractNumId w:val="11"/>
  </w:num>
  <w:num w:numId="15">
    <w:abstractNumId w:val="3"/>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01C0E"/>
    <w:rsid w:val="00003ED9"/>
    <w:rsid w:val="0000448A"/>
    <w:rsid w:val="00004599"/>
    <w:rsid w:val="0000689A"/>
    <w:rsid w:val="0001512C"/>
    <w:rsid w:val="00021542"/>
    <w:rsid w:val="0002310F"/>
    <w:rsid w:val="000238E3"/>
    <w:rsid w:val="00024476"/>
    <w:rsid w:val="0002461D"/>
    <w:rsid w:val="00024707"/>
    <w:rsid w:val="00025375"/>
    <w:rsid w:val="000303B9"/>
    <w:rsid w:val="0003526C"/>
    <w:rsid w:val="00037B19"/>
    <w:rsid w:val="000446AA"/>
    <w:rsid w:val="000548CC"/>
    <w:rsid w:val="00056857"/>
    <w:rsid w:val="00060214"/>
    <w:rsid w:val="000606CB"/>
    <w:rsid w:val="00061B4F"/>
    <w:rsid w:val="00064D55"/>
    <w:rsid w:val="0007229D"/>
    <w:rsid w:val="00073FD4"/>
    <w:rsid w:val="00074BB4"/>
    <w:rsid w:val="000768A6"/>
    <w:rsid w:val="00077CFA"/>
    <w:rsid w:val="00081279"/>
    <w:rsid w:val="0008133E"/>
    <w:rsid w:val="0008238B"/>
    <w:rsid w:val="000848AE"/>
    <w:rsid w:val="000867F5"/>
    <w:rsid w:val="00091DE4"/>
    <w:rsid w:val="000920AF"/>
    <w:rsid w:val="00093261"/>
    <w:rsid w:val="00093FDC"/>
    <w:rsid w:val="0009632B"/>
    <w:rsid w:val="0009692D"/>
    <w:rsid w:val="000A1140"/>
    <w:rsid w:val="000A228F"/>
    <w:rsid w:val="000A2AB9"/>
    <w:rsid w:val="000A5C76"/>
    <w:rsid w:val="000B1129"/>
    <w:rsid w:val="000C4793"/>
    <w:rsid w:val="000C7BAA"/>
    <w:rsid w:val="000D310E"/>
    <w:rsid w:val="000D4FF1"/>
    <w:rsid w:val="000E03E0"/>
    <w:rsid w:val="000E0EEC"/>
    <w:rsid w:val="000E2DE4"/>
    <w:rsid w:val="000E6254"/>
    <w:rsid w:val="000F2A20"/>
    <w:rsid w:val="000F3D30"/>
    <w:rsid w:val="000F4BB3"/>
    <w:rsid w:val="000F73B2"/>
    <w:rsid w:val="0010098A"/>
    <w:rsid w:val="00101815"/>
    <w:rsid w:val="0010288F"/>
    <w:rsid w:val="00106FC5"/>
    <w:rsid w:val="00107395"/>
    <w:rsid w:val="0011219C"/>
    <w:rsid w:val="0011606C"/>
    <w:rsid w:val="001269C6"/>
    <w:rsid w:val="00126D28"/>
    <w:rsid w:val="00127916"/>
    <w:rsid w:val="0013074C"/>
    <w:rsid w:val="00132565"/>
    <w:rsid w:val="00135A1D"/>
    <w:rsid w:val="00140117"/>
    <w:rsid w:val="00142E45"/>
    <w:rsid w:val="001438D5"/>
    <w:rsid w:val="0015143F"/>
    <w:rsid w:val="00153260"/>
    <w:rsid w:val="00153943"/>
    <w:rsid w:val="00157277"/>
    <w:rsid w:val="00157AED"/>
    <w:rsid w:val="00161186"/>
    <w:rsid w:val="00163074"/>
    <w:rsid w:val="001635A4"/>
    <w:rsid w:val="00164EC0"/>
    <w:rsid w:val="00167152"/>
    <w:rsid w:val="00171177"/>
    <w:rsid w:val="001718AD"/>
    <w:rsid w:val="001747B0"/>
    <w:rsid w:val="001761DE"/>
    <w:rsid w:val="00180877"/>
    <w:rsid w:val="00182316"/>
    <w:rsid w:val="00182C80"/>
    <w:rsid w:val="001859BA"/>
    <w:rsid w:val="001906B3"/>
    <w:rsid w:val="001935E8"/>
    <w:rsid w:val="00194B25"/>
    <w:rsid w:val="001950F3"/>
    <w:rsid w:val="00195665"/>
    <w:rsid w:val="0019584F"/>
    <w:rsid w:val="00196D17"/>
    <w:rsid w:val="00197869"/>
    <w:rsid w:val="001A07E3"/>
    <w:rsid w:val="001A1EC6"/>
    <w:rsid w:val="001A2F68"/>
    <w:rsid w:val="001A3303"/>
    <w:rsid w:val="001C2E33"/>
    <w:rsid w:val="001C6EDE"/>
    <w:rsid w:val="001D079C"/>
    <w:rsid w:val="001D5812"/>
    <w:rsid w:val="001D63A7"/>
    <w:rsid w:val="001D7342"/>
    <w:rsid w:val="001E51DC"/>
    <w:rsid w:val="001E7622"/>
    <w:rsid w:val="001F09CC"/>
    <w:rsid w:val="001F0FD9"/>
    <w:rsid w:val="001F1E88"/>
    <w:rsid w:val="00215DA3"/>
    <w:rsid w:val="00216EAC"/>
    <w:rsid w:val="002171FF"/>
    <w:rsid w:val="00217348"/>
    <w:rsid w:val="00220EF7"/>
    <w:rsid w:val="002227AB"/>
    <w:rsid w:val="00227FDE"/>
    <w:rsid w:val="00230CD3"/>
    <w:rsid w:val="00234237"/>
    <w:rsid w:val="002404A6"/>
    <w:rsid w:val="002441AE"/>
    <w:rsid w:val="002446D2"/>
    <w:rsid w:val="00244B6C"/>
    <w:rsid w:val="00247148"/>
    <w:rsid w:val="002503FA"/>
    <w:rsid w:val="0025139C"/>
    <w:rsid w:val="00251663"/>
    <w:rsid w:val="00255941"/>
    <w:rsid w:val="00256A7F"/>
    <w:rsid w:val="00266A27"/>
    <w:rsid w:val="002673AC"/>
    <w:rsid w:val="002718DF"/>
    <w:rsid w:val="00272D09"/>
    <w:rsid w:val="0027566E"/>
    <w:rsid w:val="00277A31"/>
    <w:rsid w:val="00282FCA"/>
    <w:rsid w:val="00283A4C"/>
    <w:rsid w:val="00286EDE"/>
    <w:rsid w:val="002A42E0"/>
    <w:rsid w:val="002B232D"/>
    <w:rsid w:val="002B3416"/>
    <w:rsid w:val="002B5497"/>
    <w:rsid w:val="002B676A"/>
    <w:rsid w:val="002C3390"/>
    <w:rsid w:val="002C4311"/>
    <w:rsid w:val="002C55D9"/>
    <w:rsid w:val="002C65FE"/>
    <w:rsid w:val="002D144F"/>
    <w:rsid w:val="002D1BD4"/>
    <w:rsid w:val="002E1296"/>
    <w:rsid w:val="002E4E37"/>
    <w:rsid w:val="002E7579"/>
    <w:rsid w:val="002F138F"/>
    <w:rsid w:val="002F20F6"/>
    <w:rsid w:val="002F239C"/>
    <w:rsid w:val="002F4A46"/>
    <w:rsid w:val="0030279A"/>
    <w:rsid w:val="003038A3"/>
    <w:rsid w:val="00304C68"/>
    <w:rsid w:val="00306675"/>
    <w:rsid w:val="00307270"/>
    <w:rsid w:val="003216F4"/>
    <w:rsid w:val="003234A6"/>
    <w:rsid w:val="00324001"/>
    <w:rsid w:val="003306EE"/>
    <w:rsid w:val="00334C7B"/>
    <w:rsid w:val="0033713D"/>
    <w:rsid w:val="00337D09"/>
    <w:rsid w:val="00340470"/>
    <w:rsid w:val="00341BE1"/>
    <w:rsid w:val="00343244"/>
    <w:rsid w:val="00345755"/>
    <w:rsid w:val="003459D4"/>
    <w:rsid w:val="00347771"/>
    <w:rsid w:val="00352440"/>
    <w:rsid w:val="00355D51"/>
    <w:rsid w:val="0035763B"/>
    <w:rsid w:val="003579C1"/>
    <w:rsid w:val="00360A86"/>
    <w:rsid w:val="00363A30"/>
    <w:rsid w:val="003720F0"/>
    <w:rsid w:val="003732A2"/>
    <w:rsid w:val="003737FD"/>
    <w:rsid w:val="003773FF"/>
    <w:rsid w:val="00381599"/>
    <w:rsid w:val="00381C93"/>
    <w:rsid w:val="00384DFE"/>
    <w:rsid w:val="00387C57"/>
    <w:rsid w:val="0039163E"/>
    <w:rsid w:val="003A3BF0"/>
    <w:rsid w:val="003A42ED"/>
    <w:rsid w:val="003A4E01"/>
    <w:rsid w:val="003A6484"/>
    <w:rsid w:val="003A6DE7"/>
    <w:rsid w:val="003A6F0C"/>
    <w:rsid w:val="003A7564"/>
    <w:rsid w:val="003B4C9D"/>
    <w:rsid w:val="003C0A2E"/>
    <w:rsid w:val="003C1FF0"/>
    <w:rsid w:val="003C4CC2"/>
    <w:rsid w:val="003C4E0C"/>
    <w:rsid w:val="003D0C42"/>
    <w:rsid w:val="003D57FB"/>
    <w:rsid w:val="003D6419"/>
    <w:rsid w:val="003D73A0"/>
    <w:rsid w:val="003D7C35"/>
    <w:rsid w:val="003E04BC"/>
    <w:rsid w:val="003E308B"/>
    <w:rsid w:val="003E3D30"/>
    <w:rsid w:val="003E694E"/>
    <w:rsid w:val="003F3EA6"/>
    <w:rsid w:val="003F4BFB"/>
    <w:rsid w:val="003F5F11"/>
    <w:rsid w:val="003F6CA9"/>
    <w:rsid w:val="00400CBB"/>
    <w:rsid w:val="004015B4"/>
    <w:rsid w:val="004068FC"/>
    <w:rsid w:val="00415AE1"/>
    <w:rsid w:val="0042389E"/>
    <w:rsid w:val="00430E3A"/>
    <w:rsid w:val="0043150A"/>
    <w:rsid w:val="004329BF"/>
    <w:rsid w:val="004367ED"/>
    <w:rsid w:val="0044178D"/>
    <w:rsid w:val="0044214C"/>
    <w:rsid w:val="0044311A"/>
    <w:rsid w:val="00443B96"/>
    <w:rsid w:val="00446E64"/>
    <w:rsid w:val="00454235"/>
    <w:rsid w:val="004576AC"/>
    <w:rsid w:val="00457D1F"/>
    <w:rsid w:val="004633D0"/>
    <w:rsid w:val="00464EC8"/>
    <w:rsid w:val="0046667A"/>
    <w:rsid w:val="00466F8A"/>
    <w:rsid w:val="004755F6"/>
    <w:rsid w:val="00481431"/>
    <w:rsid w:val="004818F5"/>
    <w:rsid w:val="00482237"/>
    <w:rsid w:val="00482363"/>
    <w:rsid w:val="00483353"/>
    <w:rsid w:val="00485197"/>
    <w:rsid w:val="004867CB"/>
    <w:rsid w:val="00490A9B"/>
    <w:rsid w:val="00495C1D"/>
    <w:rsid w:val="004A005B"/>
    <w:rsid w:val="004A198B"/>
    <w:rsid w:val="004A47ED"/>
    <w:rsid w:val="004A5145"/>
    <w:rsid w:val="004A58C2"/>
    <w:rsid w:val="004B317B"/>
    <w:rsid w:val="004B3FCD"/>
    <w:rsid w:val="004C0AC9"/>
    <w:rsid w:val="004C142A"/>
    <w:rsid w:val="004C1D94"/>
    <w:rsid w:val="004D1AFD"/>
    <w:rsid w:val="004D59DA"/>
    <w:rsid w:val="004E037D"/>
    <w:rsid w:val="004E1CE4"/>
    <w:rsid w:val="004E1D3F"/>
    <w:rsid w:val="004E2060"/>
    <w:rsid w:val="004E34EE"/>
    <w:rsid w:val="004E527B"/>
    <w:rsid w:val="004F0C50"/>
    <w:rsid w:val="00501D2F"/>
    <w:rsid w:val="00503195"/>
    <w:rsid w:val="005038C3"/>
    <w:rsid w:val="00503E77"/>
    <w:rsid w:val="00506057"/>
    <w:rsid w:val="00506E0A"/>
    <w:rsid w:val="005070F9"/>
    <w:rsid w:val="00511404"/>
    <w:rsid w:val="00513A4F"/>
    <w:rsid w:val="005148B3"/>
    <w:rsid w:val="00515939"/>
    <w:rsid w:val="00521FED"/>
    <w:rsid w:val="005226FA"/>
    <w:rsid w:val="00522D6B"/>
    <w:rsid w:val="005264E3"/>
    <w:rsid w:val="00527ACB"/>
    <w:rsid w:val="00530F83"/>
    <w:rsid w:val="00532BD5"/>
    <w:rsid w:val="005350B3"/>
    <w:rsid w:val="00535849"/>
    <w:rsid w:val="00536F76"/>
    <w:rsid w:val="00546FD1"/>
    <w:rsid w:val="00553BB9"/>
    <w:rsid w:val="00560198"/>
    <w:rsid w:val="00560A26"/>
    <w:rsid w:val="00562AAF"/>
    <w:rsid w:val="00563047"/>
    <w:rsid w:val="00563A16"/>
    <w:rsid w:val="0056519B"/>
    <w:rsid w:val="005667D0"/>
    <w:rsid w:val="00571BFA"/>
    <w:rsid w:val="00572912"/>
    <w:rsid w:val="00575AC9"/>
    <w:rsid w:val="005832DD"/>
    <w:rsid w:val="005851DF"/>
    <w:rsid w:val="00595537"/>
    <w:rsid w:val="00597D7A"/>
    <w:rsid w:val="005A06D7"/>
    <w:rsid w:val="005A0931"/>
    <w:rsid w:val="005A2D79"/>
    <w:rsid w:val="005A2E23"/>
    <w:rsid w:val="005A308B"/>
    <w:rsid w:val="005A5F70"/>
    <w:rsid w:val="005B04A7"/>
    <w:rsid w:val="005B2133"/>
    <w:rsid w:val="005B3787"/>
    <w:rsid w:val="005B3E29"/>
    <w:rsid w:val="005B77D6"/>
    <w:rsid w:val="005C0D57"/>
    <w:rsid w:val="005C5278"/>
    <w:rsid w:val="005C7758"/>
    <w:rsid w:val="005D2680"/>
    <w:rsid w:val="005D26C8"/>
    <w:rsid w:val="005D4E3E"/>
    <w:rsid w:val="005D65F5"/>
    <w:rsid w:val="005D7878"/>
    <w:rsid w:val="005E5022"/>
    <w:rsid w:val="005E5D47"/>
    <w:rsid w:val="005E6781"/>
    <w:rsid w:val="005E785D"/>
    <w:rsid w:val="005E7E6A"/>
    <w:rsid w:val="005F63B9"/>
    <w:rsid w:val="00602C3C"/>
    <w:rsid w:val="00605137"/>
    <w:rsid w:val="0060611C"/>
    <w:rsid w:val="0060702B"/>
    <w:rsid w:val="00607293"/>
    <w:rsid w:val="00607718"/>
    <w:rsid w:val="00607907"/>
    <w:rsid w:val="006102BD"/>
    <w:rsid w:val="00613060"/>
    <w:rsid w:val="006158B8"/>
    <w:rsid w:val="006171D3"/>
    <w:rsid w:val="0062096E"/>
    <w:rsid w:val="00621B67"/>
    <w:rsid w:val="006235A2"/>
    <w:rsid w:val="006269B6"/>
    <w:rsid w:val="0062748F"/>
    <w:rsid w:val="006326D1"/>
    <w:rsid w:val="00640FF2"/>
    <w:rsid w:val="00641538"/>
    <w:rsid w:val="00643433"/>
    <w:rsid w:val="006440B0"/>
    <w:rsid w:val="00645963"/>
    <w:rsid w:val="0065051A"/>
    <w:rsid w:val="00650526"/>
    <w:rsid w:val="00650C9D"/>
    <w:rsid w:val="00650D26"/>
    <w:rsid w:val="00652BB0"/>
    <w:rsid w:val="00656CAC"/>
    <w:rsid w:val="00660106"/>
    <w:rsid w:val="00662AE4"/>
    <w:rsid w:val="00662E23"/>
    <w:rsid w:val="006652DD"/>
    <w:rsid w:val="00666A85"/>
    <w:rsid w:val="006671CF"/>
    <w:rsid w:val="00670BE2"/>
    <w:rsid w:val="00670FC5"/>
    <w:rsid w:val="00672E8D"/>
    <w:rsid w:val="00673085"/>
    <w:rsid w:val="006734A5"/>
    <w:rsid w:val="00675802"/>
    <w:rsid w:val="00676689"/>
    <w:rsid w:val="006812F0"/>
    <w:rsid w:val="00681B50"/>
    <w:rsid w:val="00684AF4"/>
    <w:rsid w:val="006908A4"/>
    <w:rsid w:val="0069382E"/>
    <w:rsid w:val="006946A8"/>
    <w:rsid w:val="00694B3A"/>
    <w:rsid w:val="00694D28"/>
    <w:rsid w:val="006952DD"/>
    <w:rsid w:val="006977BB"/>
    <w:rsid w:val="006A2718"/>
    <w:rsid w:val="006A2EC6"/>
    <w:rsid w:val="006A6637"/>
    <w:rsid w:val="006B011A"/>
    <w:rsid w:val="006B24C3"/>
    <w:rsid w:val="006B25C2"/>
    <w:rsid w:val="006B61F6"/>
    <w:rsid w:val="006B78C1"/>
    <w:rsid w:val="006C0165"/>
    <w:rsid w:val="006C21F6"/>
    <w:rsid w:val="006C2CD7"/>
    <w:rsid w:val="006C2DE5"/>
    <w:rsid w:val="006C4E7B"/>
    <w:rsid w:val="006D5178"/>
    <w:rsid w:val="006D542F"/>
    <w:rsid w:val="006D62B2"/>
    <w:rsid w:val="006E377C"/>
    <w:rsid w:val="006E641D"/>
    <w:rsid w:val="006F0CAC"/>
    <w:rsid w:val="006F1295"/>
    <w:rsid w:val="006F151E"/>
    <w:rsid w:val="006F1C35"/>
    <w:rsid w:val="006F7F59"/>
    <w:rsid w:val="00707C73"/>
    <w:rsid w:val="00712B8D"/>
    <w:rsid w:val="007159DF"/>
    <w:rsid w:val="00715F0F"/>
    <w:rsid w:val="00721700"/>
    <w:rsid w:val="00723C7E"/>
    <w:rsid w:val="007265A1"/>
    <w:rsid w:val="00730FB6"/>
    <w:rsid w:val="0073257D"/>
    <w:rsid w:val="007351BD"/>
    <w:rsid w:val="0073648E"/>
    <w:rsid w:val="0073653E"/>
    <w:rsid w:val="00736A37"/>
    <w:rsid w:val="00736BE3"/>
    <w:rsid w:val="00741CE6"/>
    <w:rsid w:val="00742DE5"/>
    <w:rsid w:val="00753746"/>
    <w:rsid w:val="00755C22"/>
    <w:rsid w:val="00761211"/>
    <w:rsid w:val="00767C18"/>
    <w:rsid w:val="00772F43"/>
    <w:rsid w:val="0077469A"/>
    <w:rsid w:val="00777143"/>
    <w:rsid w:val="00790B51"/>
    <w:rsid w:val="007A1021"/>
    <w:rsid w:val="007A2EA0"/>
    <w:rsid w:val="007B0136"/>
    <w:rsid w:val="007B043B"/>
    <w:rsid w:val="007B4C52"/>
    <w:rsid w:val="007B7100"/>
    <w:rsid w:val="007C5CB4"/>
    <w:rsid w:val="007C7D93"/>
    <w:rsid w:val="007C7FEB"/>
    <w:rsid w:val="007D02DD"/>
    <w:rsid w:val="007D29BB"/>
    <w:rsid w:val="007D2DC5"/>
    <w:rsid w:val="007D38A7"/>
    <w:rsid w:val="007D3AB5"/>
    <w:rsid w:val="007D4318"/>
    <w:rsid w:val="007E2582"/>
    <w:rsid w:val="007E3C9A"/>
    <w:rsid w:val="007E6291"/>
    <w:rsid w:val="007F10A6"/>
    <w:rsid w:val="007F2228"/>
    <w:rsid w:val="007F2E47"/>
    <w:rsid w:val="00801A8E"/>
    <w:rsid w:val="008031BE"/>
    <w:rsid w:val="00803F4C"/>
    <w:rsid w:val="008063CD"/>
    <w:rsid w:val="00807C35"/>
    <w:rsid w:val="00813D3D"/>
    <w:rsid w:val="008213BA"/>
    <w:rsid w:val="00822282"/>
    <w:rsid w:val="008234CD"/>
    <w:rsid w:val="00825746"/>
    <w:rsid w:val="008276DA"/>
    <w:rsid w:val="00832FA9"/>
    <w:rsid w:val="00833DEF"/>
    <w:rsid w:val="00841853"/>
    <w:rsid w:val="00844946"/>
    <w:rsid w:val="00845107"/>
    <w:rsid w:val="00847F52"/>
    <w:rsid w:val="00850742"/>
    <w:rsid w:val="008535C3"/>
    <w:rsid w:val="00853A30"/>
    <w:rsid w:val="00857431"/>
    <w:rsid w:val="00857ACF"/>
    <w:rsid w:val="00860F07"/>
    <w:rsid w:val="008626F8"/>
    <w:rsid w:val="00863B17"/>
    <w:rsid w:val="00864925"/>
    <w:rsid w:val="00865256"/>
    <w:rsid w:val="00867E46"/>
    <w:rsid w:val="00875B8F"/>
    <w:rsid w:val="00877A8D"/>
    <w:rsid w:val="00880590"/>
    <w:rsid w:val="00880A08"/>
    <w:rsid w:val="00880C57"/>
    <w:rsid w:val="00880DE3"/>
    <w:rsid w:val="008823B0"/>
    <w:rsid w:val="00884E98"/>
    <w:rsid w:val="008853F6"/>
    <w:rsid w:val="00885566"/>
    <w:rsid w:val="0088586E"/>
    <w:rsid w:val="008900F8"/>
    <w:rsid w:val="00891D5F"/>
    <w:rsid w:val="00892552"/>
    <w:rsid w:val="0089328B"/>
    <w:rsid w:val="00895A83"/>
    <w:rsid w:val="008A0012"/>
    <w:rsid w:val="008A1D14"/>
    <w:rsid w:val="008A2682"/>
    <w:rsid w:val="008A4159"/>
    <w:rsid w:val="008A51A7"/>
    <w:rsid w:val="008A5C59"/>
    <w:rsid w:val="008B03E3"/>
    <w:rsid w:val="008B40BB"/>
    <w:rsid w:val="008B73AE"/>
    <w:rsid w:val="008C4E04"/>
    <w:rsid w:val="008C68DB"/>
    <w:rsid w:val="008D0C11"/>
    <w:rsid w:val="008D211D"/>
    <w:rsid w:val="008D260E"/>
    <w:rsid w:val="008D67A2"/>
    <w:rsid w:val="008D79F3"/>
    <w:rsid w:val="008E2E97"/>
    <w:rsid w:val="008E7255"/>
    <w:rsid w:val="008F02AC"/>
    <w:rsid w:val="008F0837"/>
    <w:rsid w:val="008F2302"/>
    <w:rsid w:val="008F2EEA"/>
    <w:rsid w:val="00902500"/>
    <w:rsid w:val="00904161"/>
    <w:rsid w:val="00906017"/>
    <w:rsid w:val="00914326"/>
    <w:rsid w:val="009143B9"/>
    <w:rsid w:val="00915068"/>
    <w:rsid w:val="0091668F"/>
    <w:rsid w:val="0091684E"/>
    <w:rsid w:val="0092109D"/>
    <w:rsid w:val="009213E3"/>
    <w:rsid w:val="00922451"/>
    <w:rsid w:val="00923809"/>
    <w:rsid w:val="00925EC4"/>
    <w:rsid w:val="009274D5"/>
    <w:rsid w:val="00933EBA"/>
    <w:rsid w:val="009452EC"/>
    <w:rsid w:val="00945972"/>
    <w:rsid w:val="0095175F"/>
    <w:rsid w:val="00953001"/>
    <w:rsid w:val="0095778C"/>
    <w:rsid w:val="009622AC"/>
    <w:rsid w:val="0096725E"/>
    <w:rsid w:val="009674AD"/>
    <w:rsid w:val="0096779D"/>
    <w:rsid w:val="009708CC"/>
    <w:rsid w:val="00972CAD"/>
    <w:rsid w:val="00972EE9"/>
    <w:rsid w:val="00973EC1"/>
    <w:rsid w:val="00974B35"/>
    <w:rsid w:val="00977CF2"/>
    <w:rsid w:val="009808C5"/>
    <w:rsid w:val="00981872"/>
    <w:rsid w:val="00983405"/>
    <w:rsid w:val="009834C3"/>
    <w:rsid w:val="00986B21"/>
    <w:rsid w:val="00992AB7"/>
    <w:rsid w:val="009970AA"/>
    <w:rsid w:val="009B02CB"/>
    <w:rsid w:val="009B09BC"/>
    <w:rsid w:val="009B4504"/>
    <w:rsid w:val="009B6E2B"/>
    <w:rsid w:val="009C0AE0"/>
    <w:rsid w:val="009C1C7C"/>
    <w:rsid w:val="009C2F0E"/>
    <w:rsid w:val="009C5498"/>
    <w:rsid w:val="009D0920"/>
    <w:rsid w:val="009D647A"/>
    <w:rsid w:val="009D7486"/>
    <w:rsid w:val="009E06F5"/>
    <w:rsid w:val="009E29FD"/>
    <w:rsid w:val="009F062D"/>
    <w:rsid w:val="009F2449"/>
    <w:rsid w:val="009F2832"/>
    <w:rsid w:val="009F2842"/>
    <w:rsid w:val="00A0041B"/>
    <w:rsid w:val="00A03226"/>
    <w:rsid w:val="00A04A2C"/>
    <w:rsid w:val="00A06537"/>
    <w:rsid w:val="00A1368E"/>
    <w:rsid w:val="00A13B5E"/>
    <w:rsid w:val="00A15524"/>
    <w:rsid w:val="00A15C05"/>
    <w:rsid w:val="00A16CD3"/>
    <w:rsid w:val="00A328CD"/>
    <w:rsid w:val="00A363BE"/>
    <w:rsid w:val="00A36450"/>
    <w:rsid w:val="00A401C9"/>
    <w:rsid w:val="00A42BD0"/>
    <w:rsid w:val="00A47E3B"/>
    <w:rsid w:val="00A5069A"/>
    <w:rsid w:val="00A66697"/>
    <w:rsid w:val="00A67852"/>
    <w:rsid w:val="00A77135"/>
    <w:rsid w:val="00A824FA"/>
    <w:rsid w:val="00A836D7"/>
    <w:rsid w:val="00A84005"/>
    <w:rsid w:val="00A865ED"/>
    <w:rsid w:val="00A87A79"/>
    <w:rsid w:val="00A94BB8"/>
    <w:rsid w:val="00A9516A"/>
    <w:rsid w:val="00A96B79"/>
    <w:rsid w:val="00AA1874"/>
    <w:rsid w:val="00AB4E12"/>
    <w:rsid w:val="00AC3580"/>
    <w:rsid w:val="00AC487D"/>
    <w:rsid w:val="00AC4D08"/>
    <w:rsid w:val="00AC5FDF"/>
    <w:rsid w:val="00AD0FD0"/>
    <w:rsid w:val="00AD2FF3"/>
    <w:rsid w:val="00AD3225"/>
    <w:rsid w:val="00AD32B2"/>
    <w:rsid w:val="00AD6345"/>
    <w:rsid w:val="00AD7E62"/>
    <w:rsid w:val="00AE4866"/>
    <w:rsid w:val="00AE557F"/>
    <w:rsid w:val="00AF10D9"/>
    <w:rsid w:val="00AF23A1"/>
    <w:rsid w:val="00AF5537"/>
    <w:rsid w:val="00AF6B27"/>
    <w:rsid w:val="00AF7B0A"/>
    <w:rsid w:val="00B001B9"/>
    <w:rsid w:val="00B004FA"/>
    <w:rsid w:val="00B0058A"/>
    <w:rsid w:val="00B0426E"/>
    <w:rsid w:val="00B06730"/>
    <w:rsid w:val="00B1010B"/>
    <w:rsid w:val="00B21E90"/>
    <w:rsid w:val="00B22B1C"/>
    <w:rsid w:val="00B238A0"/>
    <w:rsid w:val="00B2720B"/>
    <w:rsid w:val="00B278AE"/>
    <w:rsid w:val="00B34D43"/>
    <w:rsid w:val="00B3609D"/>
    <w:rsid w:val="00B40EBD"/>
    <w:rsid w:val="00B41EE2"/>
    <w:rsid w:val="00B42869"/>
    <w:rsid w:val="00B42E7B"/>
    <w:rsid w:val="00B43420"/>
    <w:rsid w:val="00B44044"/>
    <w:rsid w:val="00B462B8"/>
    <w:rsid w:val="00B546FD"/>
    <w:rsid w:val="00B5589F"/>
    <w:rsid w:val="00B63E8C"/>
    <w:rsid w:val="00B665C3"/>
    <w:rsid w:val="00B66813"/>
    <w:rsid w:val="00B66E89"/>
    <w:rsid w:val="00B73B7F"/>
    <w:rsid w:val="00B761A4"/>
    <w:rsid w:val="00B83782"/>
    <w:rsid w:val="00B8617A"/>
    <w:rsid w:val="00B90422"/>
    <w:rsid w:val="00B91C2B"/>
    <w:rsid w:val="00B9431F"/>
    <w:rsid w:val="00B96161"/>
    <w:rsid w:val="00BA2DF2"/>
    <w:rsid w:val="00BA7C79"/>
    <w:rsid w:val="00BB45FA"/>
    <w:rsid w:val="00BB5AA2"/>
    <w:rsid w:val="00BC234E"/>
    <w:rsid w:val="00BC6CA5"/>
    <w:rsid w:val="00BC73A0"/>
    <w:rsid w:val="00BD1325"/>
    <w:rsid w:val="00BD5791"/>
    <w:rsid w:val="00BE0E7E"/>
    <w:rsid w:val="00BE5B39"/>
    <w:rsid w:val="00BE7241"/>
    <w:rsid w:val="00BF1765"/>
    <w:rsid w:val="00BF39E2"/>
    <w:rsid w:val="00BF5B51"/>
    <w:rsid w:val="00BF5CB1"/>
    <w:rsid w:val="00C01DA1"/>
    <w:rsid w:val="00C04DCC"/>
    <w:rsid w:val="00C05D70"/>
    <w:rsid w:val="00C05ED3"/>
    <w:rsid w:val="00C15570"/>
    <w:rsid w:val="00C205D1"/>
    <w:rsid w:val="00C21694"/>
    <w:rsid w:val="00C238CE"/>
    <w:rsid w:val="00C2705C"/>
    <w:rsid w:val="00C37F32"/>
    <w:rsid w:val="00C404C3"/>
    <w:rsid w:val="00C40ED2"/>
    <w:rsid w:val="00C42874"/>
    <w:rsid w:val="00C46781"/>
    <w:rsid w:val="00C47929"/>
    <w:rsid w:val="00C530DA"/>
    <w:rsid w:val="00C634E8"/>
    <w:rsid w:val="00C66BCA"/>
    <w:rsid w:val="00C70154"/>
    <w:rsid w:val="00C70CF9"/>
    <w:rsid w:val="00C732A7"/>
    <w:rsid w:val="00C75473"/>
    <w:rsid w:val="00C80B95"/>
    <w:rsid w:val="00C82133"/>
    <w:rsid w:val="00C8347C"/>
    <w:rsid w:val="00C83524"/>
    <w:rsid w:val="00C90E7A"/>
    <w:rsid w:val="00C918E6"/>
    <w:rsid w:val="00CA171D"/>
    <w:rsid w:val="00CA23A5"/>
    <w:rsid w:val="00CA291E"/>
    <w:rsid w:val="00CB00AD"/>
    <w:rsid w:val="00CB0125"/>
    <w:rsid w:val="00CB01C2"/>
    <w:rsid w:val="00CB35C6"/>
    <w:rsid w:val="00CB4957"/>
    <w:rsid w:val="00CB7723"/>
    <w:rsid w:val="00CB7D10"/>
    <w:rsid w:val="00CB7DEC"/>
    <w:rsid w:val="00CC21B5"/>
    <w:rsid w:val="00CC262D"/>
    <w:rsid w:val="00CC7402"/>
    <w:rsid w:val="00CC7CAD"/>
    <w:rsid w:val="00CD0C53"/>
    <w:rsid w:val="00CD269D"/>
    <w:rsid w:val="00CD3171"/>
    <w:rsid w:val="00CD3F66"/>
    <w:rsid w:val="00CD4A6B"/>
    <w:rsid w:val="00CE10AD"/>
    <w:rsid w:val="00CE3712"/>
    <w:rsid w:val="00CE3DB8"/>
    <w:rsid w:val="00CE559B"/>
    <w:rsid w:val="00CE7E09"/>
    <w:rsid w:val="00CF2582"/>
    <w:rsid w:val="00CF32C8"/>
    <w:rsid w:val="00CF78D5"/>
    <w:rsid w:val="00D0474D"/>
    <w:rsid w:val="00D05835"/>
    <w:rsid w:val="00D05C2F"/>
    <w:rsid w:val="00D05E28"/>
    <w:rsid w:val="00D071C8"/>
    <w:rsid w:val="00D072F9"/>
    <w:rsid w:val="00D11D5A"/>
    <w:rsid w:val="00D11DB0"/>
    <w:rsid w:val="00D138EF"/>
    <w:rsid w:val="00D16724"/>
    <w:rsid w:val="00D20563"/>
    <w:rsid w:val="00D20E8B"/>
    <w:rsid w:val="00D21083"/>
    <w:rsid w:val="00D218D8"/>
    <w:rsid w:val="00D231C4"/>
    <w:rsid w:val="00D235F3"/>
    <w:rsid w:val="00D2591E"/>
    <w:rsid w:val="00D25DF4"/>
    <w:rsid w:val="00D269B6"/>
    <w:rsid w:val="00D279A7"/>
    <w:rsid w:val="00D30B1B"/>
    <w:rsid w:val="00D32295"/>
    <w:rsid w:val="00D3236D"/>
    <w:rsid w:val="00D34518"/>
    <w:rsid w:val="00D34DEA"/>
    <w:rsid w:val="00D35E13"/>
    <w:rsid w:val="00D377FC"/>
    <w:rsid w:val="00D422A7"/>
    <w:rsid w:val="00D479F8"/>
    <w:rsid w:val="00D51593"/>
    <w:rsid w:val="00D54081"/>
    <w:rsid w:val="00D54E7B"/>
    <w:rsid w:val="00D5708B"/>
    <w:rsid w:val="00D63C1E"/>
    <w:rsid w:val="00D659C0"/>
    <w:rsid w:val="00D662A3"/>
    <w:rsid w:val="00D67C33"/>
    <w:rsid w:val="00D7098B"/>
    <w:rsid w:val="00D7607A"/>
    <w:rsid w:val="00D7670E"/>
    <w:rsid w:val="00D76D96"/>
    <w:rsid w:val="00D84FFF"/>
    <w:rsid w:val="00D909D7"/>
    <w:rsid w:val="00D935C8"/>
    <w:rsid w:val="00DA4B53"/>
    <w:rsid w:val="00DB0F13"/>
    <w:rsid w:val="00DB34CC"/>
    <w:rsid w:val="00DB43C2"/>
    <w:rsid w:val="00DB448B"/>
    <w:rsid w:val="00DC0D20"/>
    <w:rsid w:val="00DC1695"/>
    <w:rsid w:val="00DC1F02"/>
    <w:rsid w:val="00DC28F7"/>
    <w:rsid w:val="00DC2FA5"/>
    <w:rsid w:val="00DC4215"/>
    <w:rsid w:val="00DC4D9E"/>
    <w:rsid w:val="00DC6057"/>
    <w:rsid w:val="00DD01AD"/>
    <w:rsid w:val="00DE1D1A"/>
    <w:rsid w:val="00DE492D"/>
    <w:rsid w:val="00DE4E8D"/>
    <w:rsid w:val="00DE51E1"/>
    <w:rsid w:val="00DE6C36"/>
    <w:rsid w:val="00DF0529"/>
    <w:rsid w:val="00DF174E"/>
    <w:rsid w:val="00DF5938"/>
    <w:rsid w:val="00E006A0"/>
    <w:rsid w:val="00E00C51"/>
    <w:rsid w:val="00E00D94"/>
    <w:rsid w:val="00E02BAB"/>
    <w:rsid w:val="00E06FE6"/>
    <w:rsid w:val="00E10F68"/>
    <w:rsid w:val="00E12C98"/>
    <w:rsid w:val="00E159BC"/>
    <w:rsid w:val="00E16E01"/>
    <w:rsid w:val="00E174FA"/>
    <w:rsid w:val="00E27CD0"/>
    <w:rsid w:val="00E27FFC"/>
    <w:rsid w:val="00E33503"/>
    <w:rsid w:val="00E379CA"/>
    <w:rsid w:val="00E37F76"/>
    <w:rsid w:val="00E41847"/>
    <w:rsid w:val="00E43845"/>
    <w:rsid w:val="00E45C29"/>
    <w:rsid w:val="00E52E69"/>
    <w:rsid w:val="00E54E1B"/>
    <w:rsid w:val="00E60D9E"/>
    <w:rsid w:val="00E61104"/>
    <w:rsid w:val="00E62475"/>
    <w:rsid w:val="00E657C6"/>
    <w:rsid w:val="00E7499A"/>
    <w:rsid w:val="00E77189"/>
    <w:rsid w:val="00E80632"/>
    <w:rsid w:val="00E84721"/>
    <w:rsid w:val="00E86817"/>
    <w:rsid w:val="00E86C9F"/>
    <w:rsid w:val="00E872C0"/>
    <w:rsid w:val="00E90C4E"/>
    <w:rsid w:val="00E9259D"/>
    <w:rsid w:val="00E93264"/>
    <w:rsid w:val="00E95293"/>
    <w:rsid w:val="00E954FD"/>
    <w:rsid w:val="00E95E49"/>
    <w:rsid w:val="00E95F41"/>
    <w:rsid w:val="00E9760E"/>
    <w:rsid w:val="00EA0481"/>
    <w:rsid w:val="00EA268C"/>
    <w:rsid w:val="00EA541E"/>
    <w:rsid w:val="00EA5E84"/>
    <w:rsid w:val="00EB3419"/>
    <w:rsid w:val="00EB393B"/>
    <w:rsid w:val="00EB7AF3"/>
    <w:rsid w:val="00EC0DF7"/>
    <w:rsid w:val="00EC4D31"/>
    <w:rsid w:val="00EC5213"/>
    <w:rsid w:val="00EC7478"/>
    <w:rsid w:val="00EC7F4F"/>
    <w:rsid w:val="00ED0DE2"/>
    <w:rsid w:val="00EE0467"/>
    <w:rsid w:val="00EE2ED4"/>
    <w:rsid w:val="00EE54F2"/>
    <w:rsid w:val="00EE670F"/>
    <w:rsid w:val="00EE778B"/>
    <w:rsid w:val="00EF1DF7"/>
    <w:rsid w:val="00EF31C9"/>
    <w:rsid w:val="00EF45DB"/>
    <w:rsid w:val="00EF669E"/>
    <w:rsid w:val="00EF7F4F"/>
    <w:rsid w:val="00F0052A"/>
    <w:rsid w:val="00F00C7D"/>
    <w:rsid w:val="00F01732"/>
    <w:rsid w:val="00F02A83"/>
    <w:rsid w:val="00F079F9"/>
    <w:rsid w:val="00F12726"/>
    <w:rsid w:val="00F13E48"/>
    <w:rsid w:val="00F210F5"/>
    <w:rsid w:val="00F2359F"/>
    <w:rsid w:val="00F2560C"/>
    <w:rsid w:val="00F27315"/>
    <w:rsid w:val="00F27A22"/>
    <w:rsid w:val="00F319B9"/>
    <w:rsid w:val="00F33938"/>
    <w:rsid w:val="00F35593"/>
    <w:rsid w:val="00F41628"/>
    <w:rsid w:val="00F43402"/>
    <w:rsid w:val="00F47E6E"/>
    <w:rsid w:val="00F51904"/>
    <w:rsid w:val="00F52971"/>
    <w:rsid w:val="00F53111"/>
    <w:rsid w:val="00F5397B"/>
    <w:rsid w:val="00F559E0"/>
    <w:rsid w:val="00F65603"/>
    <w:rsid w:val="00F73895"/>
    <w:rsid w:val="00F73B66"/>
    <w:rsid w:val="00F73BE6"/>
    <w:rsid w:val="00F75AF9"/>
    <w:rsid w:val="00F775E9"/>
    <w:rsid w:val="00F77694"/>
    <w:rsid w:val="00F805C9"/>
    <w:rsid w:val="00F80FB9"/>
    <w:rsid w:val="00F81948"/>
    <w:rsid w:val="00F821C1"/>
    <w:rsid w:val="00F859AA"/>
    <w:rsid w:val="00F95EF1"/>
    <w:rsid w:val="00FA0DB9"/>
    <w:rsid w:val="00FA161C"/>
    <w:rsid w:val="00FA188D"/>
    <w:rsid w:val="00FA19F2"/>
    <w:rsid w:val="00FA2315"/>
    <w:rsid w:val="00FA543E"/>
    <w:rsid w:val="00FA72E8"/>
    <w:rsid w:val="00FB134B"/>
    <w:rsid w:val="00FB4D01"/>
    <w:rsid w:val="00FB6404"/>
    <w:rsid w:val="00FB6630"/>
    <w:rsid w:val="00FB7F30"/>
    <w:rsid w:val="00FC0B36"/>
    <w:rsid w:val="00FC3327"/>
    <w:rsid w:val="00FC38C6"/>
    <w:rsid w:val="00FD07C6"/>
    <w:rsid w:val="00FD2319"/>
    <w:rsid w:val="00FD2AD5"/>
    <w:rsid w:val="00FD40B5"/>
    <w:rsid w:val="00FD58E2"/>
    <w:rsid w:val="00FE0888"/>
    <w:rsid w:val="00FE13AB"/>
    <w:rsid w:val="00FE7DD9"/>
    <w:rsid w:val="00FF2E0B"/>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50A"/>
    <w:rPr>
      <w:rFonts w:eastAsia="Times New Roman"/>
      <w:sz w:val="22"/>
    </w:rPr>
  </w:style>
  <w:style w:type="paragraph" w:styleId="Heading1">
    <w:name w:val="heading 1"/>
    <w:basedOn w:val="Normal"/>
    <w:next w:val="Normal"/>
    <w:link w:val="Heading1Char"/>
    <w:qFormat/>
    <w:rsid w:val="0043150A"/>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43150A"/>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43150A"/>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43150A"/>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43150A"/>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43150A"/>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43150A"/>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43150A"/>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43150A"/>
    <w:pPr>
      <w:widowControl w:val="0"/>
      <w:numPr>
        <w:ilvl w:val="8"/>
        <w:numId w:val="13"/>
      </w:numPr>
      <w:spacing w:after="220"/>
      <w:jc w:val="both"/>
      <w:outlineLvl w:val="8"/>
    </w:pPr>
    <w:rPr>
      <w:b/>
    </w:rPr>
  </w:style>
  <w:style w:type="character" w:default="1" w:styleId="DefaultParagraphFont">
    <w:name w:val="Default Paragraph Font"/>
    <w:semiHidden/>
    <w:rsid w:val="004315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50A"/>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43150A"/>
    <w:pPr>
      <w:tabs>
        <w:tab w:val="center" w:pos="4320"/>
        <w:tab w:val="right" w:pos="8640"/>
      </w:tabs>
    </w:pPr>
  </w:style>
  <w:style w:type="paragraph" w:styleId="Footer">
    <w:name w:val="footer"/>
    <w:basedOn w:val="Normal"/>
    <w:rsid w:val="0043150A"/>
    <w:pPr>
      <w:tabs>
        <w:tab w:val="center" w:pos="4320"/>
        <w:tab w:val="right" w:pos="8640"/>
      </w:tabs>
    </w:pPr>
  </w:style>
  <w:style w:type="character" w:styleId="FootnoteReference">
    <w:name w:val="footnote reference"/>
    <w:aliases w:val="Style 12,(NECG) Footnote Reference,o,fr,Style 3,Appel note de bas de p,Style 124,Style 13"/>
    <w:semiHidden/>
    <w:rsid w:val="0043150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43150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43150A"/>
    <w:pPr>
      <w:widowControl w:val="0"/>
      <w:spacing w:after="220"/>
      <w:ind w:left="1440" w:right="1440"/>
      <w:jc w:val="both"/>
    </w:pPr>
  </w:style>
  <w:style w:type="character" w:styleId="Hyperlink">
    <w:name w:val="Hyperlink"/>
    <w:rsid w:val="0043150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43150A"/>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
    <w:basedOn w:val="DefaultParagraphFont"/>
    <w:semiHidden/>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43150A"/>
    <w:pPr>
      <w:widowControl w:val="0"/>
      <w:numPr>
        <w:numId w:val="12"/>
      </w:numPr>
      <w:tabs>
        <w:tab w:val="clear" w:pos="2520"/>
      </w:tabs>
      <w:spacing w:after="220"/>
      <w:ind w:left="2160" w:hanging="720"/>
      <w:jc w:val="both"/>
    </w:pPr>
  </w:style>
  <w:style w:type="paragraph" w:styleId="Caption">
    <w:name w:val="caption"/>
    <w:basedOn w:val="Normal"/>
    <w:next w:val="Normal"/>
    <w:qFormat/>
    <w:rsid w:val="0043150A"/>
    <w:pPr>
      <w:spacing w:before="120" w:after="120"/>
    </w:pPr>
    <w:rPr>
      <w:b/>
    </w:rPr>
  </w:style>
  <w:style w:type="paragraph" w:customStyle="1" w:styleId="NumberedList">
    <w:name w:val="Numbered List"/>
    <w:basedOn w:val="Normal"/>
    <w:rsid w:val="0043150A"/>
    <w:pPr>
      <w:numPr>
        <w:numId w:val="16"/>
      </w:numPr>
      <w:tabs>
        <w:tab w:val="clear" w:pos="1080"/>
      </w:tabs>
      <w:spacing w:after="220"/>
      <w:ind w:firstLine="0"/>
    </w:pPr>
  </w:style>
  <w:style w:type="paragraph" w:customStyle="1" w:styleId="Paranum">
    <w:name w:val="Paranum"/>
    <w:basedOn w:val="Normal"/>
    <w:rsid w:val="0043150A"/>
    <w:pPr>
      <w:widowControl w:val="0"/>
      <w:numPr>
        <w:numId w:val="17"/>
      </w:numPr>
      <w:tabs>
        <w:tab w:val="clear" w:pos="1080"/>
      </w:tabs>
      <w:spacing w:after="220"/>
      <w:jc w:val="both"/>
    </w:pPr>
  </w:style>
  <w:style w:type="paragraph" w:customStyle="1" w:styleId="TableFormat">
    <w:name w:val="Table Format"/>
    <w:basedOn w:val="Normal"/>
    <w:rsid w:val="0043150A"/>
    <w:pPr>
      <w:widowControl w:val="0"/>
      <w:tabs>
        <w:tab w:val="left" w:pos="5040"/>
      </w:tabs>
      <w:spacing w:after="220"/>
      <w:ind w:left="5040" w:hanging="3600"/>
      <w:jc w:val="both"/>
    </w:pPr>
  </w:style>
  <w:style w:type="paragraph" w:styleId="TOC1">
    <w:name w:val="toc 1"/>
    <w:basedOn w:val="Normal"/>
    <w:next w:val="Normal"/>
    <w:autoRedefine/>
    <w:rsid w:val="0043150A"/>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50A"/>
    <w:rPr>
      <w:rFonts w:eastAsia="Times New Roman"/>
      <w:sz w:val="22"/>
    </w:rPr>
  </w:style>
  <w:style w:type="paragraph" w:styleId="Heading1">
    <w:name w:val="heading 1"/>
    <w:basedOn w:val="Normal"/>
    <w:next w:val="Normal"/>
    <w:link w:val="Heading1Char"/>
    <w:qFormat/>
    <w:rsid w:val="0043150A"/>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43150A"/>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43150A"/>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43150A"/>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43150A"/>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43150A"/>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43150A"/>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43150A"/>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43150A"/>
    <w:pPr>
      <w:widowControl w:val="0"/>
      <w:numPr>
        <w:ilvl w:val="8"/>
        <w:numId w:val="13"/>
      </w:numPr>
      <w:spacing w:after="220"/>
      <w:jc w:val="both"/>
      <w:outlineLvl w:val="8"/>
    </w:pPr>
    <w:rPr>
      <w:b/>
    </w:rPr>
  </w:style>
  <w:style w:type="character" w:default="1" w:styleId="DefaultParagraphFont">
    <w:name w:val="Default Paragraph Font"/>
    <w:semiHidden/>
    <w:rsid w:val="004315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50A"/>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43150A"/>
    <w:pPr>
      <w:tabs>
        <w:tab w:val="center" w:pos="4320"/>
        <w:tab w:val="right" w:pos="8640"/>
      </w:tabs>
    </w:pPr>
  </w:style>
  <w:style w:type="paragraph" w:styleId="Footer">
    <w:name w:val="footer"/>
    <w:basedOn w:val="Normal"/>
    <w:rsid w:val="0043150A"/>
    <w:pPr>
      <w:tabs>
        <w:tab w:val="center" w:pos="4320"/>
        <w:tab w:val="right" w:pos="8640"/>
      </w:tabs>
    </w:pPr>
  </w:style>
  <w:style w:type="character" w:styleId="FootnoteReference">
    <w:name w:val="footnote reference"/>
    <w:aliases w:val="Style 12,(NECG) Footnote Reference,o,fr,Style 3,Appel note de bas de p,Style 124,Style 13"/>
    <w:semiHidden/>
    <w:rsid w:val="0043150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43150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43150A"/>
    <w:pPr>
      <w:widowControl w:val="0"/>
      <w:spacing w:after="220"/>
      <w:ind w:left="1440" w:right="1440"/>
      <w:jc w:val="both"/>
    </w:pPr>
  </w:style>
  <w:style w:type="character" w:styleId="Hyperlink">
    <w:name w:val="Hyperlink"/>
    <w:rsid w:val="0043150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43150A"/>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
    <w:basedOn w:val="DefaultParagraphFont"/>
    <w:semiHidden/>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43150A"/>
    <w:pPr>
      <w:widowControl w:val="0"/>
      <w:numPr>
        <w:numId w:val="12"/>
      </w:numPr>
      <w:tabs>
        <w:tab w:val="clear" w:pos="2520"/>
      </w:tabs>
      <w:spacing w:after="220"/>
      <w:ind w:left="2160" w:hanging="720"/>
      <w:jc w:val="both"/>
    </w:pPr>
  </w:style>
  <w:style w:type="paragraph" w:styleId="Caption">
    <w:name w:val="caption"/>
    <w:basedOn w:val="Normal"/>
    <w:next w:val="Normal"/>
    <w:qFormat/>
    <w:rsid w:val="0043150A"/>
    <w:pPr>
      <w:spacing w:before="120" w:after="120"/>
    </w:pPr>
    <w:rPr>
      <w:b/>
    </w:rPr>
  </w:style>
  <w:style w:type="paragraph" w:customStyle="1" w:styleId="NumberedList">
    <w:name w:val="Numbered List"/>
    <w:basedOn w:val="Normal"/>
    <w:rsid w:val="0043150A"/>
    <w:pPr>
      <w:numPr>
        <w:numId w:val="16"/>
      </w:numPr>
      <w:tabs>
        <w:tab w:val="clear" w:pos="1080"/>
      </w:tabs>
      <w:spacing w:after="220"/>
      <w:ind w:firstLine="0"/>
    </w:pPr>
  </w:style>
  <w:style w:type="paragraph" w:customStyle="1" w:styleId="Paranum">
    <w:name w:val="Paranum"/>
    <w:basedOn w:val="Normal"/>
    <w:rsid w:val="0043150A"/>
    <w:pPr>
      <w:widowControl w:val="0"/>
      <w:numPr>
        <w:numId w:val="17"/>
      </w:numPr>
      <w:tabs>
        <w:tab w:val="clear" w:pos="1080"/>
      </w:tabs>
      <w:spacing w:after="220"/>
      <w:jc w:val="both"/>
    </w:pPr>
  </w:style>
  <w:style w:type="paragraph" w:customStyle="1" w:styleId="TableFormat">
    <w:name w:val="Table Format"/>
    <w:basedOn w:val="Normal"/>
    <w:rsid w:val="0043150A"/>
    <w:pPr>
      <w:widowControl w:val="0"/>
      <w:tabs>
        <w:tab w:val="left" w:pos="5040"/>
      </w:tabs>
      <w:spacing w:after="220"/>
      <w:ind w:left="5040" w:hanging="3600"/>
      <w:jc w:val="both"/>
    </w:pPr>
  </w:style>
  <w:style w:type="paragraph" w:styleId="TOC1">
    <w:name w:val="toc 1"/>
    <w:basedOn w:val="Normal"/>
    <w:next w:val="Normal"/>
    <w:autoRedefine/>
    <w:rsid w:val="0043150A"/>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546">
      <w:bodyDiv w:val="1"/>
      <w:marLeft w:val="0"/>
      <w:marRight w:val="0"/>
      <w:marTop w:val="0"/>
      <w:marBottom w:val="0"/>
      <w:divBdr>
        <w:top w:val="none" w:sz="0" w:space="0" w:color="auto"/>
        <w:left w:val="none" w:sz="0" w:space="0" w:color="auto"/>
        <w:bottom w:val="none" w:sz="0" w:space="0" w:color="auto"/>
        <w:right w:val="none" w:sz="0" w:space="0" w:color="auto"/>
      </w:divBdr>
    </w:div>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110591910">
      <w:bodyDiv w:val="1"/>
      <w:marLeft w:val="30"/>
      <w:marRight w:val="30"/>
      <w:marTop w:val="30"/>
      <w:marBottom w:val="30"/>
      <w:divBdr>
        <w:top w:val="none" w:sz="0" w:space="0" w:color="auto"/>
        <w:left w:val="none" w:sz="0" w:space="0" w:color="auto"/>
        <w:bottom w:val="none" w:sz="0" w:space="0" w:color="auto"/>
        <w:right w:val="none" w:sz="0" w:space="0" w:color="auto"/>
      </w:divBdr>
      <w:divsChild>
        <w:div w:id="1823112257">
          <w:marLeft w:val="0"/>
          <w:marRight w:val="0"/>
          <w:marTop w:val="0"/>
          <w:marBottom w:val="0"/>
          <w:divBdr>
            <w:top w:val="none" w:sz="0" w:space="0" w:color="auto"/>
            <w:left w:val="none" w:sz="0" w:space="0" w:color="auto"/>
            <w:bottom w:val="none" w:sz="0" w:space="0" w:color="auto"/>
            <w:right w:val="none" w:sz="0" w:space="0" w:color="auto"/>
          </w:divBdr>
          <w:divsChild>
            <w:div w:id="1108306931">
              <w:marLeft w:val="45"/>
              <w:marRight w:val="45"/>
              <w:marTop w:val="45"/>
              <w:marBottom w:val="45"/>
              <w:divBdr>
                <w:top w:val="none" w:sz="0" w:space="0" w:color="auto"/>
                <w:left w:val="none" w:sz="0" w:space="0" w:color="auto"/>
                <w:bottom w:val="none" w:sz="0" w:space="0" w:color="auto"/>
                <w:right w:val="none" w:sz="0" w:space="0" w:color="auto"/>
              </w:divBdr>
              <w:divsChild>
                <w:div w:id="13044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401">
      <w:bodyDiv w:val="1"/>
      <w:marLeft w:val="30"/>
      <w:marRight w:val="30"/>
      <w:marTop w:val="30"/>
      <w:marBottom w:val="30"/>
      <w:divBdr>
        <w:top w:val="none" w:sz="0" w:space="0" w:color="auto"/>
        <w:left w:val="none" w:sz="0" w:space="0" w:color="auto"/>
        <w:bottom w:val="none" w:sz="0" w:space="0" w:color="auto"/>
        <w:right w:val="none" w:sz="0" w:space="0" w:color="auto"/>
      </w:divBdr>
      <w:divsChild>
        <w:div w:id="297221701">
          <w:marLeft w:val="0"/>
          <w:marRight w:val="0"/>
          <w:marTop w:val="0"/>
          <w:marBottom w:val="0"/>
          <w:divBdr>
            <w:top w:val="none" w:sz="0" w:space="0" w:color="auto"/>
            <w:left w:val="none" w:sz="0" w:space="0" w:color="auto"/>
            <w:bottom w:val="none" w:sz="0" w:space="0" w:color="auto"/>
            <w:right w:val="none" w:sz="0" w:space="0" w:color="auto"/>
          </w:divBdr>
          <w:divsChild>
            <w:div w:id="1619993456">
              <w:marLeft w:val="45"/>
              <w:marRight w:val="45"/>
              <w:marTop w:val="45"/>
              <w:marBottom w:val="45"/>
              <w:divBdr>
                <w:top w:val="none" w:sz="0" w:space="0" w:color="auto"/>
                <w:left w:val="none" w:sz="0" w:space="0" w:color="auto"/>
                <w:bottom w:val="none" w:sz="0" w:space="0" w:color="auto"/>
                <w:right w:val="none" w:sz="0" w:space="0" w:color="auto"/>
              </w:divBdr>
              <w:divsChild>
                <w:div w:id="200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9086">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37009">
      <w:bodyDiv w:val="1"/>
      <w:marLeft w:val="30"/>
      <w:marRight w:val="30"/>
      <w:marTop w:val="30"/>
      <w:marBottom w:val="30"/>
      <w:divBdr>
        <w:top w:val="none" w:sz="0" w:space="0" w:color="auto"/>
        <w:left w:val="none" w:sz="0" w:space="0" w:color="auto"/>
        <w:bottom w:val="none" w:sz="0" w:space="0" w:color="auto"/>
        <w:right w:val="none" w:sz="0" w:space="0" w:color="auto"/>
      </w:divBdr>
      <w:divsChild>
        <w:div w:id="1151605980">
          <w:marLeft w:val="0"/>
          <w:marRight w:val="0"/>
          <w:marTop w:val="0"/>
          <w:marBottom w:val="0"/>
          <w:divBdr>
            <w:top w:val="none" w:sz="0" w:space="0" w:color="auto"/>
            <w:left w:val="none" w:sz="0" w:space="0" w:color="auto"/>
            <w:bottom w:val="none" w:sz="0" w:space="0" w:color="auto"/>
            <w:right w:val="none" w:sz="0" w:space="0" w:color="auto"/>
          </w:divBdr>
          <w:divsChild>
            <w:div w:id="375276123">
              <w:marLeft w:val="45"/>
              <w:marRight w:val="45"/>
              <w:marTop w:val="45"/>
              <w:marBottom w:val="45"/>
              <w:divBdr>
                <w:top w:val="none" w:sz="0" w:space="0" w:color="auto"/>
                <w:left w:val="none" w:sz="0" w:space="0" w:color="auto"/>
                <w:bottom w:val="none" w:sz="0" w:space="0" w:color="auto"/>
                <w:right w:val="none" w:sz="0" w:space="0" w:color="auto"/>
              </w:divBdr>
              <w:divsChild>
                <w:div w:id="788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315">
      <w:bodyDiv w:val="1"/>
      <w:marLeft w:val="30"/>
      <w:marRight w:val="30"/>
      <w:marTop w:val="30"/>
      <w:marBottom w:val="30"/>
      <w:divBdr>
        <w:top w:val="none" w:sz="0" w:space="0" w:color="auto"/>
        <w:left w:val="none" w:sz="0" w:space="0" w:color="auto"/>
        <w:bottom w:val="none" w:sz="0" w:space="0" w:color="auto"/>
        <w:right w:val="none" w:sz="0" w:space="0" w:color="auto"/>
      </w:divBdr>
      <w:divsChild>
        <w:div w:id="666372188">
          <w:marLeft w:val="0"/>
          <w:marRight w:val="0"/>
          <w:marTop w:val="0"/>
          <w:marBottom w:val="0"/>
          <w:divBdr>
            <w:top w:val="none" w:sz="0" w:space="0" w:color="auto"/>
            <w:left w:val="none" w:sz="0" w:space="0" w:color="auto"/>
            <w:bottom w:val="none" w:sz="0" w:space="0" w:color="auto"/>
            <w:right w:val="none" w:sz="0" w:space="0" w:color="auto"/>
          </w:divBdr>
          <w:divsChild>
            <w:div w:id="433786345">
              <w:marLeft w:val="45"/>
              <w:marRight w:val="45"/>
              <w:marTop w:val="45"/>
              <w:marBottom w:val="45"/>
              <w:divBdr>
                <w:top w:val="none" w:sz="0" w:space="0" w:color="auto"/>
                <w:left w:val="none" w:sz="0" w:space="0" w:color="auto"/>
                <w:bottom w:val="none" w:sz="0" w:space="0" w:color="auto"/>
                <w:right w:val="none" w:sz="0" w:space="0" w:color="auto"/>
              </w:divBdr>
              <w:divsChild>
                <w:div w:id="1394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7277">
      <w:bodyDiv w:val="1"/>
      <w:marLeft w:val="0"/>
      <w:marRight w:val="0"/>
      <w:marTop w:val="0"/>
      <w:marBottom w:val="0"/>
      <w:divBdr>
        <w:top w:val="none" w:sz="0" w:space="0" w:color="auto"/>
        <w:left w:val="none" w:sz="0" w:space="0" w:color="auto"/>
        <w:bottom w:val="none" w:sz="0" w:space="0" w:color="auto"/>
        <w:right w:val="none" w:sz="0" w:space="0" w:color="auto"/>
      </w:divBdr>
    </w:div>
    <w:div w:id="1927419259">
      <w:bodyDiv w:val="1"/>
      <w:marLeft w:val="0"/>
      <w:marRight w:val="0"/>
      <w:marTop w:val="0"/>
      <w:marBottom w:val="0"/>
      <w:divBdr>
        <w:top w:val="none" w:sz="0" w:space="0" w:color="auto"/>
        <w:left w:val="none" w:sz="0" w:space="0" w:color="auto"/>
        <w:bottom w:val="none" w:sz="0" w:space="0" w:color="auto"/>
        <w:right w:val="none" w:sz="0" w:space="0" w:color="auto"/>
      </w:divBdr>
    </w:div>
    <w:div w:id="1983652916">
      <w:bodyDiv w:val="1"/>
      <w:marLeft w:val="0"/>
      <w:marRight w:val="0"/>
      <w:marTop w:val="0"/>
      <w:marBottom w:val="0"/>
      <w:divBdr>
        <w:top w:val="none" w:sz="0" w:space="0" w:color="auto"/>
        <w:left w:val="none" w:sz="0" w:space="0" w:color="auto"/>
        <w:bottom w:val="none" w:sz="0" w:space="0" w:color="auto"/>
        <w:right w:val="none" w:sz="0" w:space="0" w:color="auto"/>
      </w:divBdr>
      <w:divsChild>
        <w:div w:id="1507551699">
          <w:marLeft w:val="0"/>
          <w:marRight w:val="0"/>
          <w:marTop w:val="0"/>
          <w:marBottom w:val="0"/>
          <w:divBdr>
            <w:top w:val="none" w:sz="0" w:space="0" w:color="auto"/>
            <w:left w:val="none" w:sz="0" w:space="0" w:color="auto"/>
            <w:bottom w:val="none" w:sz="0" w:space="0" w:color="auto"/>
            <w:right w:val="none" w:sz="0" w:space="0" w:color="auto"/>
          </w:divBdr>
          <w:divsChild>
            <w:div w:id="250167473">
              <w:marLeft w:val="0"/>
              <w:marRight w:val="0"/>
              <w:marTop w:val="0"/>
              <w:marBottom w:val="0"/>
              <w:divBdr>
                <w:top w:val="none" w:sz="0" w:space="0" w:color="auto"/>
                <w:left w:val="none" w:sz="0" w:space="0" w:color="auto"/>
                <w:bottom w:val="none" w:sz="0" w:space="0" w:color="auto"/>
                <w:right w:val="none" w:sz="0" w:space="0" w:color="auto"/>
              </w:divBdr>
              <w:divsChild>
                <w:div w:id="1509980142">
                  <w:marLeft w:val="0"/>
                  <w:marRight w:val="0"/>
                  <w:marTop w:val="0"/>
                  <w:marBottom w:val="0"/>
                  <w:divBdr>
                    <w:top w:val="none" w:sz="0" w:space="0" w:color="auto"/>
                    <w:left w:val="none" w:sz="0" w:space="0" w:color="auto"/>
                    <w:bottom w:val="none" w:sz="0" w:space="0" w:color="auto"/>
                    <w:right w:val="none" w:sz="0" w:space="0" w:color="auto"/>
                  </w:divBdr>
                  <w:divsChild>
                    <w:div w:id="2010281608">
                      <w:marLeft w:val="0"/>
                      <w:marRight w:val="0"/>
                      <w:marTop w:val="0"/>
                      <w:marBottom w:val="0"/>
                      <w:divBdr>
                        <w:top w:val="none" w:sz="0" w:space="0" w:color="auto"/>
                        <w:left w:val="none" w:sz="0" w:space="0" w:color="auto"/>
                        <w:bottom w:val="none" w:sz="0" w:space="0" w:color="auto"/>
                        <w:right w:val="none" w:sz="0" w:space="0" w:color="auto"/>
                      </w:divBdr>
                      <w:divsChild>
                        <w:div w:id="1778870416">
                          <w:marLeft w:val="0"/>
                          <w:marRight w:val="0"/>
                          <w:marTop w:val="0"/>
                          <w:marBottom w:val="0"/>
                          <w:divBdr>
                            <w:top w:val="none" w:sz="0" w:space="0" w:color="auto"/>
                            <w:left w:val="none" w:sz="0" w:space="0" w:color="auto"/>
                            <w:bottom w:val="none" w:sz="0" w:space="0" w:color="auto"/>
                            <w:right w:val="none" w:sz="0" w:space="0" w:color="auto"/>
                          </w:divBdr>
                          <w:divsChild>
                            <w:div w:id="840659915">
                              <w:marLeft w:val="0"/>
                              <w:marRight w:val="0"/>
                              <w:marTop w:val="0"/>
                              <w:marBottom w:val="0"/>
                              <w:divBdr>
                                <w:top w:val="none" w:sz="0" w:space="0" w:color="auto"/>
                                <w:left w:val="none" w:sz="0" w:space="0" w:color="auto"/>
                                <w:bottom w:val="none" w:sz="0" w:space="0" w:color="auto"/>
                                <w:right w:val="none" w:sz="0" w:space="0" w:color="auto"/>
                              </w:divBdr>
                              <w:divsChild>
                                <w:div w:id="8225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3165</Words>
  <Characters>17628</Characters>
  <Application>Microsoft Office Word</Application>
  <DocSecurity>0</DocSecurity>
  <Lines>255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20893</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2014-07-16T13:55:00Z</dcterms:created>
  <dcterms:modified xsi:type="dcterms:W3CDTF">2014-07-16T13:55:00Z</dcterms:modified>
  <cp:category> </cp:category>
  <cp:contentStatus> </cp:contentStatus>
</cp:coreProperties>
</file>