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81" w:rsidRDefault="00CF2259" w:rsidP="00974881">
      <w:pPr>
        <w:spacing w:after="0"/>
        <w:jc w:val="center"/>
        <w:rPr>
          <w:rFonts w:cs="Times New Roman"/>
          <w:b/>
        </w:rPr>
      </w:pPr>
      <w:bookmarkStart w:id="0" w:name="_GoBack"/>
      <w:bookmarkEnd w:id="0"/>
      <w:r w:rsidRPr="002072EF">
        <w:rPr>
          <w:rFonts w:cs="Times New Roman"/>
          <w:b/>
        </w:rPr>
        <w:t>STATEMENT OF</w:t>
      </w:r>
    </w:p>
    <w:p w:rsidR="00CF2259" w:rsidRPr="002072EF" w:rsidRDefault="00974881" w:rsidP="00CF2259">
      <w:pPr>
        <w:spacing w:after="240"/>
        <w:jc w:val="center"/>
        <w:rPr>
          <w:rFonts w:cs="Times New Roman"/>
        </w:rPr>
      </w:pPr>
      <w:r>
        <w:rPr>
          <w:rFonts w:cs="Times New Roman"/>
          <w:b/>
        </w:rPr>
        <w:t xml:space="preserve">COMMISSIONER </w:t>
      </w:r>
      <w:r w:rsidR="00CF2259" w:rsidRPr="002072EF">
        <w:rPr>
          <w:rFonts w:cs="Times New Roman"/>
          <w:b/>
        </w:rPr>
        <w:t>AJIT PAI</w:t>
      </w:r>
    </w:p>
    <w:p w:rsidR="00CF2259" w:rsidRDefault="00CF2259" w:rsidP="00974881">
      <w:pPr>
        <w:spacing w:after="0"/>
        <w:ind w:left="720" w:hanging="720"/>
        <w:rPr>
          <w:rFonts w:cs="Times New Roman"/>
        </w:rPr>
      </w:pPr>
      <w:r w:rsidRPr="002072EF">
        <w:rPr>
          <w:rFonts w:cs="Times New Roman"/>
        </w:rPr>
        <w:t>Re:</w:t>
      </w:r>
      <w:r>
        <w:rPr>
          <w:rFonts w:cs="Times New Roman"/>
        </w:rPr>
        <w:tab/>
      </w:r>
      <w:r>
        <w:rPr>
          <w:rFonts w:cs="Times New Roman"/>
          <w:i/>
        </w:rPr>
        <w:t>Connect America Fund</w:t>
      </w:r>
      <w:r w:rsidR="00974881">
        <w:rPr>
          <w:rFonts w:cs="Times New Roman"/>
        </w:rPr>
        <w:t>, WC Docket No. 10-90,</w:t>
      </w:r>
      <w:r>
        <w:rPr>
          <w:rFonts w:cs="Times New Roman"/>
        </w:rPr>
        <w:t xml:space="preserve"> </w:t>
      </w:r>
      <w:r>
        <w:rPr>
          <w:rFonts w:cs="Times New Roman"/>
          <w:i/>
        </w:rPr>
        <w:t>ETC Annual Reports and Certifications</w:t>
      </w:r>
      <w:r>
        <w:rPr>
          <w:rFonts w:cs="Times New Roman"/>
        </w:rPr>
        <w:t>, WC Docket No. 14-58.</w:t>
      </w:r>
    </w:p>
    <w:p w:rsidR="00974881" w:rsidRPr="009159ED" w:rsidRDefault="00974881" w:rsidP="00974881">
      <w:pPr>
        <w:spacing w:after="0"/>
        <w:ind w:left="720" w:hanging="720"/>
        <w:rPr>
          <w:rFonts w:cs="Times New Roman"/>
        </w:rPr>
      </w:pPr>
    </w:p>
    <w:p w:rsidR="00CF2259" w:rsidRDefault="00CF2259" w:rsidP="00CF2259">
      <w:pPr>
        <w:ind w:firstLine="720"/>
        <w:rPr>
          <w:rFonts w:cs="Times New Roman"/>
        </w:rPr>
      </w:pPr>
      <w:r>
        <w:rPr>
          <w:rFonts w:cs="Times New Roman"/>
        </w:rPr>
        <w:t>It’s been almost three years since a bipartisan FCC refocused the Universal Service Fund on next-generation broadband rather than legacy telephone services.  After many more orders and much litigation, we are finally beginning to see the light at the end of the tunnel.</w:t>
      </w:r>
    </w:p>
    <w:p w:rsidR="00CF2259" w:rsidRDefault="00CF2259" w:rsidP="00CF2259">
      <w:pPr>
        <w:ind w:firstLine="720"/>
        <w:rPr>
          <w:rFonts w:cs="Times New Roman"/>
        </w:rPr>
      </w:pPr>
      <w:r>
        <w:rPr>
          <w:rFonts w:cs="Times New Roman"/>
        </w:rPr>
        <w:t>Just last month, a unanimous Commission proposed rules for the competitive bidding process for the second phase of the Connect America Fund.  And today, we all agree that a test run of that process is in order.  By taking this step, we heed the sage proverb first used by Giovanni Florio in 1591:  “Measure twice, cut once.”</w:t>
      </w:r>
    </w:p>
    <w:p w:rsidR="00CF2259" w:rsidRPr="002B7C0C" w:rsidRDefault="00CF2259" w:rsidP="00CF2259">
      <w:pPr>
        <w:ind w:firstLine="720"/>
        <w:rPr>
          <w:rFonts w:cs="Times New Roman"/>
        </w:rPr>
      </w:pPr>
      <w:r>
        <w:rPr>
          <w:rFonts w:cs="Times New Roman"/>
        </w:rPr>
        <w:t xml:space="preserve">As we measure, I am grateful to my colleagues for adopting several of my proposals.  </w:t>
      </w:r>
      <w:r>
        <w:rPr>
          <w:rFonts w:cs="Times New Roman"/>
          <w:i/>
        </w:rPr>
        <w:t>First</w:t>
      </w:r>
      <w:r>
        <w:rPr>
          <w:rFonts w:cs="Times New Roman"/>
        </w:rPr>
        <w:t>, we structure the rural broadband experiment as a reverse auction where “winning bidders will be selected solely on their numerical score,”</w:t>
      </w:r>
      <w:r>
        <w:rPr>
          <w:rStyle w:val="FootnoteReference"/>
          <w:rFonts w:cs="Times New Roman"/>
        </w:rPr>
        <w:footnoteReference w:id="1"/>
      </w:r>
      <w:r>
        <w:rPr>
          <w:rFonts w:cs="Times New Roman"/>
        </w:rPr>
        <w:t xml:space="preserve"> rather than through a more discretionary and subjective process.  </w:t>
      </w:r>
      <w:r>
        <w:rPr>
          <w:rFonts w:cs="Times New Roman"/>
          <w:i/>
        </w:rPr>
        <w:t>Second</w:t>
      </w:r>
      <w:r>
        <w:rPr>
          <w:rFonts w:cs="Times New Roman"/>
        </w:rPr>
        <w:t xml:space="preserve">, we recognize that effective rural investments require long-term commitments and offer support for a ten-year term, in line with the term of support we adopted in April’s </w:t>
      </w:r>
      <w:r>
        <w:rPr>
          <w:rFonts w:cs="Times New Roman"/>
          <w:i/>
        </w:rPr>
        <w:t>Seventh Recon Order</w:t>
      </w:r>
      <w:r>
        <w:rPr>
          <w:rFonts w:cs="Times New Roman"/>
        </w:rPr>
        <w:t>.</w:t>
      </w:r>
      <w:r>
        <w:rPr>
          <w:rStyle w:val="FootnoteReference"/>
          <w:rFonts w:cs="Times New Roman"/>
        </w:rPr>
        <w:footnoteReference w:id="2"/>
      </w:r>
      <w:r>
        <w:rPr>
          <w:rFonts w:cs="Times New Roman"/>
        </w:rPr>
        <w:t xml:space="preserve">  Concurrently, we adopt a strong enforcement framework so that applicants will follow through with those commitments.  </w:t>
      </w:r>
      <w:r>
        <w:rPr>
          <w:rFonts w:cs="Times New Roman"/>
          <w:i/>
        </w:rPr>
        <w:t>Third</w:t>
      </w:r>
      <w:r>
        <w:rPr>
          <w:rFonts w:cs="Times New Roman"/>
        </w:rPr>
        <w:t xml:space="preserve">, we adopt a bidding credit for anyone willing to provide service on Tribal lands, which we hope will induce many applicants to step forward and deliver high-quality broadband to these underserved consumers.  </w:t>
      </w:r>
      <w:r>
        <w:rPr>
          <w:rFonts w:cs="Times New Roman"/>
          <w:i/>
        </w:rPr>
        <w:t>And fourth</w:t>
      </w:r>
      <w:r w:rsidRPr="00255303">
        <w:rPr>
          <w:rFonts w:cs="Times New Roman"/>
        </w:rPr>
        <w:t xml:space="preserve">, </w:t>
      </w:r>
      <w:r>
        <w:rPr>
          <w:rFonts w:cs="Times New Roman"/>
        </w:rPr>
        <w:t>we make clear that moving forward with these experiments will not slow down our review of rate-of-return universal service policies, such as adopting a stand-alone broadband funding mechanism.</w:t>
      </w:r>
    </w:p>
    <w:p w:rsidR="00CF2259" w:rsidRPr="006545AB" w:rsidRDefault="00CF2259" w:rsidP="00CF2259">
      <w:pPr>
        <w:ind w:firstLine="720"/>
        <w:rPr>
          <w:rFonts w:cs="Times New Roman"/>
        </w:rPr>
      </w:pPr>
      <w:r>
        <w:rPr>
          <w:rFonts w:cs="Times New Roman"/>
        </w:rPr>
        <w:t xml:space="preserve">That is not to say that I agree with everything in this order.  I would have preferred to structure the auction in a multi-round format so that bidders could evaluate their competition and adjust their bids accordingly.  Instead, we will have a single-round auction, which places the onus on bidders to estimate beforehand how much competition there will be and what to bid.  We saw in the Mobility Fund Phase I auction the problems that a single-round auction can bring, with some winning bids garnering ten times more support than others.  I hope we do not repeat that outcome here.  Besides, the Commission proposed a multi-round auction in the </w:t>
      </w:r>
      <w:r>
        <w:rPr>
          <w:rFonts w:cs="Times New Roman"/>
          <w:i/>
        </w:rPr>
        <w:t>Seventh Recon Order</w:t>
      </w:r>
      <w:r>
        <w:rPr>
          <w:rFonts w:cs="Times New Roman"/>
        </w:rPr>
        <w:t>, and holding one here would be much more useful in evaluating that proposal.</w:t>
      </w:r>
      <w:r>
        <w:rPr>
          <w:rStyle w:val="FootnoteReference"/>
          <w:rFonts w:cs="Times New Roman"/>
        </w:rPr>
        <w:footnoteReference w:id="3"/>
      </w:r>
      <w:r>
        <w:rPr>
          <w:rFonts w:cs="Times New Roman"/>
        </w:rPr>
        <w:t xml:space="preserve">  Nevertheless, the perfect is not the enemy of the good, and overall, the item has my support.</w:t>
      </w:r>
    </w:p>
    <w:p w:rsidR="00234381" w:rsidRDefault="00CF2259" w:rsidP="00CF2259">
      <w:pPr>
        <w:ind w:firstLine="720"/>
      </w:pPr>
      <w:r>
        <w:t xml:space="preserve">We could not have gotten here without the help of dedicated Commission staff.  They reviewed over one thousand expressions of interest in rural broadband experiments and incorporated the lessons from that review into today’s order.  Thank you, Nick Alexander, Allison Baker, Geoffrey Blackwell, Craig Bomberger, Jonathan Chambers, Rita Cookmeyer, Talmage Cox, Neil Dellar, Rebekah Douglas, Jack Erb, Irene Flannery, Ian Forbes, Jeffery Goldthorp, Diane Griffin </w:t>
      </w:r>
      <w:r w:rsidRPr="00C46374">
        <w:t>Holland, Audra Hale-Maddox, Sherille Ismail, Clete Johnson, Paul LaFontaine, Lisa Fowlkes, Katie King, Do</w:t>
      </w:r>
      <w:r>
        <w:t xml:space="preserve">uglas Klein, Lauren Kravetz, Heidi Lankau, Jonathan Levy, Eliot Maenner, Marcus Maher, Carol Mattey, Maureen McLaughlin, Gary Michaels, Alexander Minard, Omar Nayeem, Vickie Robinson, Steven Rosenberg, Jim Schlichting, Jay Schwarz, Dana Shaffer, David Simpson, Gilbert Smith, Joseph Sorresso, Gina Spade, </w:t>
      </w:r>
      <w:r>
        <w:lastRenderedPageBreak/>
        <w:t>Mark Stephens, David Valdez,</w:t>
      </w:r>
      <w:r w:rsidRPr="00CF148B">
        <w:t xml:space="preserve"> </w:t>
      </w:r>
      <w:r>
        <w:t>Mark Walker,</w:t>
      </w:r>
      <w:r w:rsidRPr="00CF148B">
        <w:t xml:space="preserve"> </w:t>
      </w:r>
      <w:r>
        <w:t>Margaret Wiener, and Chin Yoo for all your work on this item.  The American public is lucky to have such dedicated public servants at the helm of this ship.</w:t>
      </w:r>
    </w:p>
    <w:sectPr w:rsidR="00234381" w:rsidSect="009748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BA" w:rsidRDefault="007248BA" w:rsidP="00CF2259">
      <w:pPr>
        <w:spacing w:after="0"/>
      </w:pPr>
      <w:r>
        <w:separator/>
      </w:r>
    </w:p>
  </w:endnote>
  <w:endnote w:type="continuationSeparator" w:id="0">
    <w:p w:rsidR="007248BA" w:rsidRDefault="007248BA" w:rsidP="00CF2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28" w:rsidRDefault="009B5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1918"/>
      <w:docPartObj>
        <w:docPartGallery w:val="Page Numbers (Bottom of Page)"/>
        <w:docPartUnique/>
      </w:docPartObj>
    </w:sdtPr>
    <w:sdtEndPr>
      <w:rPr>
        <w:noProof/>
      </w:rPr>
    </w:sdtEndPr>
    <w:sdtContent>
      <w:p w:rsidR="00974881" w:rsidRDefault="00974881" w:rsidP="003E0494">
        <w:pPr>
          <w:pStyle w:val="Footer"/>
          <w:jc w:val="center"/>
        </w:pPr>
        <w:r>
          <w:fldChar w:fldCharType="begin"/>
        </w:r>
        <w:r>
          <w:instrText xml:space="preserve"> PAGE   \* MERGEFORMAT </w:instrText>
        </w:r>
        <w:r>
          <w:fldChar w:fldCharType="separate"/>
        </w:r>
        <w:r w:rsidR="000C642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28" w:rsidRDefault="009B5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BA" w:rsidRDefault="007248BA" w:rsidP="00CF2259">
      <w:pPr>
        <w:spacing w:after="0"/>
      </w:pPr>
      <w:r>
        <w:separator/>
      </w:r>
    </w:p>
  </w:footnote>
  <w:footnote w:type="continuationSeparator" w:id="0">
    <w:p w:rsidR="007248BA" w:rsidRDefault="007248BA" w:rsidP="00CF2259">
      <w:pPr>
        <w:spacing w:after="0"/>
      </w:pPr>
      <w:r>
        <w:continuationSeparator/>
      </w:r>
    </w:p>
  </w:footnote>
  <w:footnote w:id="1">
    <w:p w:rsidR="00CF2259" w:rsidRPr="00EC3803" w:rsidRDefault="00CF2259" w:rsidP="00CF2259">
      <w:pPr>
        <w:pStyle w:val="FootnoteText"/>
      </w:pPr>
      <w:r>
        <w:rPr>
          <w:rStyle w:val="FootnoteReference"/>
        </w:rPr>
        <w:footnoteRef/>
      </w:r>
      <w:r>
        <w:t xml:space="preserve"> </w:t>
      </w:r>
      <w:r>
        <w:rPr>
          <w:i/>
        </w:rPr>
        <w:t>Order</w:t>
      </w:r>
      <w:r>
        <w:t xml:space="preserve"> at para. 49.</w:t>
      </w:r>
    </w:p>
  </w:footnote>
  <w:footnote w:id="2">
    <w:p w:rsidR="00CF2259" w:rsidRDefault="00CF2259" w:rsidP="00CF2259">
      <w:pPr>
        <w:pStyle w:val="FootnoteText"/>
      </w:pPr>
      <w:r>
        <w:rPr>
          <w:rStyle w:val="FootnoteReference"/>
        </w:rPr>
        <w:footnoteRef/>
      </w:r>
      <w:r>
        <w:t xml:space="preserve"> </w:t>
      </w:r>
      <w:r w:rsidRPr="00C46374">
        <w:rPr>
          <w:i/>
        </w:rPr>
        <w:t>Connect America Fund, Universal Service Reform – Mobility Fund, ETC Annual Reports and Certifications, Establishing Just and Reasonable Rates for Local Exchange Carriers, Developing an Unified Intercarrier Compensation Regime</w:t>
      </w:r>
      <w:r>
        <w:t>, WC Docket Nos. 10-90, 10-208, 14-58, 07-135, CC Docket No. 01-92, Report and Order, Declaratory Ruling, Order, Memorandum Opinion and Order, Seventh Order on Reconsideration, and Further Notice of Proposed Rulemaking, FCC 14-54, para. 35 (June 10, 2014).</w:t>
      </w:r>
    </w:p>
  </w:footnote>
  <w:footnote w:id="3">
    <w:p w:rsidR="00CF2259" w:rsidRPr="00C46374" w:rsidRDefault="00CF2259" w:rsidP="00CF2259">
      <w:pPr>
        <w:pStyle w:val="FootnoteText"/>
      </w:pPr>
      <w:r>
        <w:rPr>
          <w:rStyle w:val="FootnoteReference"/>
        </w:rPr>
        <w:footnoteRef/>
      </w:r>
      <w:r>
        <w:t xml:space="preserve"> </w:t>
      </w:r>
      <w:r>
        <w:rPr>
          <w:i/>
        </w:rPr>
        <w:t>Id.</w:t>
      </w:r>
      <w:r>
        <w:t xml:space="preserve"> at para. 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28" w:rsidRDefault="009B5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28" w:rsidRDefault="009B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28" w:rsidRDefault="009B5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C6420"/>
    <w:rsid w:val="00234381"/>
    <w:rsid w:val="002A146F"/>
    <w:rsid w:val="003E0494"/>
    <w:rsid w:val="007248BA"/>
    <w:rsid w:val="00855A8C"/>
    <w:rsid w:val="00974881"/>
    <w:rsid w:val="009B5328"/>
    <w:rsid w:val="00B375C9"/>
    <w:rsid w:val="00CF2259"/>
    <w:rsid w:val="00DA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2259"/>
    <w:rPr>
      <w:sz w:val="20"/>
      <w:szCs w:val="20"/>
    </w:rPr>
  </w:style>
  <w:style w:type="character" w:customStyle="1" w:styleId="FootnoteTextChar">
    <w:name w:val="Footnote Text Char"/>
    <w:basedOn w:val="DefaultParagraphFont"/>
    <w:link w:val="FootnoteText"/>
    <w:uiPriority w:val="99"/>
    <w:rsid w:val="00CF2259"/>
    <w:rPr>
      <w:rFonts w:ascii="Times New Roman" w:hAnsi="Times New Roman"/>
      <w:sz w:val="20"/>
      <w:szCs w:val="20"/>
    </w:rPr>
  </w:style>
  <w:style w:type="character" w:styleId="FootnoteReference">
    <w:name w:val="footnote reference"/>
    <w:basedOn w:val="DefaultParagraphFont"/>
    <w:uiPriority w:val="99"/>
    <w:semiHidden/>
    <w:unhideWhenUsed/>
    <w:rsid w:val="00CF2259"/>
    <w:rPr>
      <w:vertAlign w:val="superscript"/>
    </w:rPr>
  </w:style>
  <w:style w:type="paragraph" w:styleId="Header">
    <w:name w:val="header"/>
    <w:basedOn w:val="Normal"/>
    <w:link w:val="HeaderChar"/>
    <w:uiPriority w:val="99"/>
    <w:unhideWhenUsed/>
    <w:rsid w:val="00974881"/>
    <w:pPr>
      <w:tabs>
        <w:tab w:val="center" w:pos="4680"/>
        <w:tab w:val="right" w:pos="9360"/>
      </w:tabs>
      <w:spacing w:after="0"/>
    </w:pPr>
  </w:style>
  <w:style w:type="character" w:customStyle="1" w:styleId="HeaderChar">
    <w:name w:val="Header Char"/>
    <w:basedOn w:val="DefaultParagraphFont"/>
    <w:link w:val="Header"/>
    <w:uiPriority w:val="99"/>
    <w:rsid w:val="00974881"/>
    <w:rPr>
      <w:rFonts w:ascii="Times New Roman" w:hAnsi="Times New Roman"/>
    </w:rPr>
  </w:style>
  <w:style w:type="paragraph" w:styleId="Footer">
    <w:name w:val="footer"/>
    <w:basedOn w:val="Normal"/>
    <w:link w:val="FooterChar"/>
    <w:uiPriority w:val="99"/>
    <w:unhideWhenUsed/>
    <w:rsid w:val="00974881"/>
    <w:pPr>
      <w:tabs>
        <w:tab w:val="center" w:pos="4680"/>
        <w:tab w:val="right" w:pos="9360"/>
      </w:tabs>
      <w:spacing w:after="0"/>
    </w:pPr>
  </w:style>
  <w:style w:type="character" w:customStyle="1" w:styleId="FooterChar">
    <w:name w:val="Footer Char"/>
    <w:basedOn w:val="DefaultParagraphFont"/>
    <w:link w:val="Footer"/>
    <w:uiPriority w:val="99"/>
    <w:rsid w:val="0097488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2259"/>
    <w:rPr>
      <w:sz w:val="20"/>
      <w:szCs w:val="20"/>
    </w:rPr>
  </w:style>
  <w:style w:type="character" w:customStyle="1" w:styleId="FootnoteTextChar">
    <w:name w:val="Footnote Text Char"/>
    <w:basedOn w:val="DefaultParagraphFont"/>
    <w:link w:val="FootnoteText"/>
    <w:uiPriority w:val="99"/>
    <w:rsid w:val="00CF2259"/>
    <w:rPr>
      <w:rFonts w:ascii="Times New Roman" w:hAnsi="Times New Roman"/>
      <w:sz w:val="20"/>
      <w:szCs w:val="20"/>
    </w:rPr>
  </w:style>
  <w:style w:type="character" w:styleId="FootnoteReference">
    <w:name w:val="footnote reference"/>
    <w:basedOn w:val="DefaultParagraphFont"/>
    <w:uiPriority w:val="99"/>
    <w:semiHidden/>
    <w:unhideWhenUsed/>
    <w:rsid w:val="00CF2259"/>
    <w:rPr>
      <w:vertAlign w:val="superscript"/>
    </w:rPr>
  </w:style>
  <w:style w:type="paragraph" w:styleId="Header">
    <w:name w:val="header"/>
    <w:basedOn w:val="Normal"/>
    <w:link w:val="HeaderChar"/>
    <w:uiPriority w:val="99"/>
    <w:unhideWhenUsed/>
    <w:rsid w:val="00974881"/>
    <w:pPr>
      <w:tabs>
        <w:tab w:val="center" w:pos="4680"/>
        <w:tab w:val="right" w:pos="9360"/>
      </w:tabs>
      <w:spacing w:after="0"/>
    </w:pPr>
  </w:style>
  <w:style w:type="character" w:customStyle="1" w:styleId="HeaderChar">
    <w:name w:val="Header Char"/>
    <w:basedOn w:val="DefaultParagraphFont"/>
    <w:link w:val="Header"/>
    <w:uiPriority w:val="99"/>
    <w:rsid w:val="00974881"/>
    <w:rPr>
      <w:rFonts w:ascii="Times New Roman" w:hAnsi="Times New Roman"/>
    </w:rPr>
  </w:style>
  <w:style w:type="paragraph" w:styleId="Footer">
    <w:name w:val="footer"/>
    <w:basedOn w:val="Normal"/>
    <w:link w:val="FooterChar"/>
    <w:uiPriority w:val="99"/>
    <w:unhideWhenUsed/>
    <w:rsid w:val="00974881"/>
    <w:pPr>
      <w:tabs>
        <w:tab w:val="center" w:pos="4680"/>
        <w:tab w:val="right" w:pos="9360"/>
      </w:tabs>
      <w:spacing w:after="0"/>
    </w:pPr>
  </w:style>
  <w:style w:type="character" w:customStyle="1" w:styleId="FooterChar">
    <w:name w:val="Footer Char"/>
    <w:basedOn w:val="DefaultParagraphFont"/>
    <w:link w:val="Footer"/>
    <w:uiPriority w:val="99"/>
    <w:rsid w:val="0097488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3093</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2014-07-14T19:24:00Z</dcterms:created>
  <dcterms:modified xsi:type="dcterms:W3CDTF">2014-07-14T19:24:00Z</dcterms:modified>
  <cp:category> </cp:category>
  <cp:contentStatus> </cp:contentStatus>
</cp:coreProperties>
</file>