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7" w:rsidRDefault="00394CA7" w:rsidP="00A1103B">
      <w:pPr>
        <w:jc w:val="center"/>
        <w:rPr>
          <w:b/>
        </w:rPr>
      </w:pPr>
      <w:bookmarkStart w:id="0" w:name="_GoBack"/>
      <w:bookmarkEnd w:id="0"/>
      <w:r>
        <w:rPr>
          <w:b/>
        </w:rPr>
        <w:t>Before the</w:t>
      </w:r>
    </w:p>
    <w:p w:rsidR="00394CA7" w:rsidRDefault="00394CA7" w:rsidP="00A1103B">
      <w:pPr>
        <w:jc w:val="center"/>
        <w:rPr>
          <w:b/>
        </w:rPr>
      </w:pPr>
      <w:r>
        <w:rPr>
          <w:b/>
        </w:rPr>
        <w:t>Federal Communications Commission</w:t>
      </w:r>
    </w:p>
    <w:p w:rsidR="00394CA7" w:rsidRDefault="00E05285" w:rsidP="00A1103B">
      <w:pPr>
        <w:jc w:val="center"/>
        <w:rPr>
          <w:b/>
        </w:rPr>
      </w:pPr>
      <w:r>
        <w:rPr>
          <w:b/>
        </w:rPr>
        <w:t>Washington, DC</w:t>
      </w:r>
      <w:r w:rsidR="00394CA7">
        <w:rPr>
          <w:b/>
        </w:rPr>
        <w:t xml:space="preserve"> 20554</w:t>
      </w:r>
    </w:p>
    <w:p w:rsidR="00394CA7" w:rsidRDefault="00394CA7" w:rsidP="00A1103B"/>
    <w:tbl>
      <w:tblPr>
        <w:tblpPr w:leftFromText="180" w:rightFromText="180" w:vertAnchor="text" w:horzAnchor="margin" w:tblpY="128"/>
        <w:tblW w:w="9707" w:type="dxa"/>
        <w:tblLayout w:type="fixed"/>
        <w:tblLook w:val="0000" w:firstRow="0" w:lastRow="0" w:firstColumn="0" w:lastColumn="0" w:noHBand="0" w:noVBand="0"/>
      </w:tblPr>
      <w:tblGrid>
        <w:gridCol w:w="4727"/>
        <w:gridCol w:w="724"/>
        <w:gridCol w:w="4256"/>
      </w:tblGrid>
      <w:tr w:rsidR="00C54E35" w:rsidTr="00C54E35">
        <w:trPr>
          <w:trHeight w:val="1893"/>
        </w:trPr>
        <w:tc>
          <w:tcPr>
            <w:tcW w:w="4727" w:type="dxa"/>
          </w:tcPr>
          <w:p w:rsidR="00C54E35" w:rsidRDefault="00C54E35" w:rsidP="00C54E35">
            <w:pPr>
              <w:ind w:right="-18"/>
            </w:pPr>
            <w:r>
              <w:t>In the Matter of</w:t>
            </w:r>
          </w:p>
          <w:p w:rsidR="00C54E35" w:rsidRDefault="00C54E35" w:rsidP="00C54E35">
            <w:pPr>
              <w:ind w:right="-18"/>
            </w:pPr>
          </w:p>
          <w:p w:rsidR="00C54E35" w:rsidRDefault="00C54E35" w:rsidP="00C54E35">
            <w:pPr>
              <w:ind w:right="-18"/>
              <w:rPr>
                <w:szCs w:val="22"/>
              </w:rPr>
            </w:pPr>
            <w:r w:rsidRPr="00A96021">
              <w:rPr>
                <w:szCs w:val="22"/>
              </w:rPr>
              <w:t>Assessment and Collection of Regulatory Fees    for Fiscal Year 201</w:t>
            </w:r>
            <w:r>
              <w:rPr>
                <w:szCs w:val="22"/>
              </w:rPr>
              <w:t>5</w:t>
            </w:r>
          </w:p>
          <w:p w:rsidR="00C54E35" w:rsidRPr="00A96021" w:rsidRDefault="00C54E35" w:rsidP="00C54E35">
            <w:pPr>
              <w:ind w:right="-18"/>
              <w:rPr>
                <w:szCs w:val="22"/>
              </w:rPr>
            </w:pPr>
          </w:p>
          <w:p w:rsidR="00C54E35" w:rsidRDefault="00C54E35" w:rsidP="00C54E35">
            <w:pPr>
              <w:ind w:right="-18"/>
            </w:pPr>
          </w:p>
        </w:tc>
        <w:tc>
          <w:tcPr>
            <w:tcW w:w="724" w:type="dxa"/>
          </w:tcPr>
          <w:p w:rsidR="00C54E35" w:rsidRDefault="00C54E35" w:rsidP="00C54E35">
            <w:pPr>
              <w:rPr>
                <w:b/>
              </w:rPr>
            </w:pPr>
            <w:r>
              <w:rPr>
                <w:b/>
              </w:rPr>
              <w:t>)</w:t>
            </w:r>
          </w:p>
          <w:p w:rsidR="00C54E35" w:rsidRDefault="00C54E35" w:rsidP="00C54E35">
            <w:pPr>
              <w:rPr>
                <w:b/>
              </w:rPr>
            </w:pPr>
            <w:r>
              <w:rPr>
                <w:b/>
              </w:rPr>
              <w:t>)</w:t>
            </w:r>
          </w:p>
          <w:p w:rsidR="00C54E35" w:rsidRDefault="00C54E35" w:rsidP="00C54E35">
            <w:pPr>
              <w:rPr>
                <w:b/>
              </w:rPr>
            </w:pPr>
            <w:r>
              <w:rPr>
                <w:b/>
              </w:rPr>
              <w:t>)</w:t>
            </w:r>
          </w:p>
          <w:p w:rsidR="00C54E35" w:rsidRDefault="00C54E35" w:rsidP="00C54E35">
            <w:pPr>
              <w:rPr>
                <w:b/>
              </w:rPr>
            </w:pPr>
            <w:r>
              <w:rPr>
                <w:b/>
              </w:rPr>
              <w:t>)</w:t>
            </w:r>
          </w:p>
          <w:p w:rsidR="00C54E35" w:rsidRDefault="00C54E35" w:rsidP="00C54E35">
            <w:pPr>
              <w:rPr>
                <w:b/>
              </w:rPr>
            </w:pPr>
            <w:r>
              <w:rPr>
                <w:b/>
              </w:rPr>
              <w:t>)</w:t>
            </w:r>
          </w:p>
          <w:p w:rsidR="00C54E35" w:rsidRDefault="00C54E35" w:rsidP="00C54E35">
            <w:pPr>
              <w:rPr>
                <w:b/>
              </w:rPr>
            </w:pPr>
          </w:p>
        </w:tc>
        <w:tc>
          <w:tcPr>
            <w:tcW w:w="4256" w:type="dxa"/>
          </w:tcPr>
          <w:p w:rsidR="00C54E35" w:rsidRDefault="00C54E35" w:rsidP="00C54E35"/>
          <w:p w:rsidR="00C54E35" w:rsidRDefault="00C54E35" w:rsidP="00C54E35"/>
          <w:p w:rsidR="00C54E35" w:rsidRPr="00A96021" w:rsidRDefault="00C54E35" w:rsidP="00C54E35">
            <w:pPr>
              <w:tabs>
                <w:tab w:val="center" w:pos="4680"/>
              </w:tabs>
              <w:suppressAutoHyphens/>
              <w:rPr>
                <w:spacing w:val="-2"/>
                <w:szCs w:val="22"/>
              </w:rPr>
            </w:pPr>
            <w:r w:rsidRPr="00A96021">
              <w:rPr>
                <w:spacing w:val="-2"/>
                <w:szCs w:val="22"/>
              </w:rPr>
              <w:t>MD Docket No. 1</w:t>
            </w:r>
            <w:r>
              <w:rPr>
                <w:spacing w:val="-2"/>
                <w:szCs w:val="22"/>
              </w:rPr>
              <w:t>5-</w:t>
            </w:r>
            <w:r w:rsidR="007531DD">
              <w:rPr>
                <w:spacing w:val="-2"/>
                <w:szCs w:val="22"/>
              </w:rPr>
              <w:t>121</w:t>
            </w:r>
          </w:p>
          <w:p w:rsidR="00C54E35" w:rsidRDefault="00C54E35" w:rsidP="00C54E35"/>
          <w:p w:rsidR="00C54E35" w:rsidRDefault="00C54E35" w:rsidP="00C54E35"/>
          <w:p w:rsidR="00C54E35" w:rsidRDefault="00C54E35" w:rsidP="00C54E35"/>
        </w:tc>
      </w:tr>
    </w:tbl>
    <w:p w:rsidR="00A93CCB" w:rsidRDefault="00333068" w:rsidP="00333068">
      <w:pPr>
        <w:jc w:val="center"/>
        <w:rPr>
          <w:b/>
        </w:rPr>
      </w:pPr>
      <w:r w:rsidRPr="00333068">
        <w:rPr>
          <w:b/>
        </w:rPr>
        <w:t>REPORT AND ORDER</w:t>
      </w:r>
      <w:r w:rsidR="00A93CCB">
        <w:rPr>
          <w:b/>
        </w:rPr>
        <w:t xml:space="preserve"> </w:t>
      </w:r>
    </w:p>
    <w:p w:rsidR="00394CA7" w:rsidRPr="00333068" w:rsidRDefault="00A93CCB" w:rsidP="00333068">
      <w:pPr>
        <w:jc w:val="center"/>
        <w:rPr>
          <w:b/>
        </w:rPr>
      </w:pPr>
      <w:r>
        <w:rPr>
          <w:b/>
        </w:rPr>
        <w:t>AND FURTHER NOTICE OF PROPOSED RULEMAKING</w:t>
      </w:r>
    </w:p>
    <w:p w:rsidR="00394CA7" w:rsidRDefault="00394CA7" w:rsidP="00A1103B"/>
    <w:p w:rsidR="00394CA7" w:rsidRDefault="00394CA7" w:rsidP="004E171D">
      <w:pPr>
        <w:tabs>
          <w:tab w:val="left" w:pos="4140"/>
          <w:tab w:val="left" w:pos="5760"/>
        </w:tabs>
        <w:rPr>
          <w:b/>
          <w:szCs w:val="22"/>
        </w:rPr>
      </w:pPr>
      <w:r w:rsidRPr="007F7B4B">
        <w:rPr>
          <w:b/>
          <w:szCs w:val="22"/>
        </w:rPr>
        <w:t xml:space="preserve">Adopted:  </w:t>
      </w:r>
      <w:r w:rsidR="002B1B38">
        <w:rPr>
          <w:b/>
          <w:szCs w:val="22"/>
        </w:rPr>
        <w:t>September 1, 2015</w:t>
      </w:r>
      <w:r w:rsidRPr="007F7B4B">
        <w:rPr>
          <w:b/>
          <w:szCs w:val="22"/>
        </w:rPr>
        <w:tab/>
      </w:r>
      <w:r w:rsidR="004E171D">
        <w:rPr>
          <w:b/>
          <w:szCs w:val="22"/>
        </w:rPr>
        <w:tab/>
      </w:r>
      <w:r w:rsidR="004E171D">
        <w:rPr>
          <w:b/>
          <w:szCs w:val="22"/>
        </w:rPr>
        <w:tab/>
      </w:r>
      <w:r w:rsidRPr="007F7B4B">
        <w:rPr>
          <w:b/>
          <w:szCs w:val="22"/>
        </w:rPr>
        <w:t xml:space="preserve">Released:  </w:t>
      </w:r>
      <w:r w:rsidR="002B1B38">
        <w:rPr>
          <w:b/>
          <w:szCs w:val="22"/>
        </w:rPr>
        <w:t xml:space="preserve">September </w:t>
      </w:r>
      <w:r w:rsidR="00BF2B33">
        <w:rPr>
          <w:b/>
          <w:szCs w:val="22"/>
        </w:rPr>
        <w:t>2</w:t>
      </w:r>
      <w:r w:rsidR="002B1B38">
        <w:rPr>
          <w:b/>
          <w:szCs w:val="22"/>
        </w:rPr>
        <w:t>, 2015</w:t>
      </w:r>
    </w:p>
    <w:p w:rsidR="00A44B45" w:rsidRDefault="00A44B45" w:rsidP="004E171D">
      <w:pPr>
        <w:tabs>
          <w:tab w:val="left" w:pos="4140"/>
          <w:tab w:val="left" w:pos="5760"/>
        </w:tabs>
        <w:rPr>
          <w:b/>
          <w:szCs w:val="22"/>
        </w:rPr>
      </w:pPr>
    </w:p>
    <w:p w:rsidR="00A44B45" w:rsidRDefault="00A44B45" w:rsidP="00A44B45">
      <w:pPr>
        <w:tabs>
          <w:tab w:val="left" w:leader="dot" w:pos="5760"/>
        </w:tabs>
        <w:rPr>
          <w:spacing w:val="-2"/>
          <w:szCs w:val="22"/>
        </w:rPr>
      </w:pPr>
      <w:r>
        <w:rPr>
          <w:szCs w:val="22"/>
        </w:rPr>
        <w:t>B</w:t>
      </w:r>
      <w:r w:rsidRPr="007F7B4B">
        <w:rPr>
          <w:szCs w:val="22"/>
        </w:rPr>
        <w:t xml:space="preserve">y the </w:t>
      </w:r>
      <w:r w:rsidRPr="007F7B4B">
        <w:rPr>
          <w:spacing w:val="-2"/>
          <w:szCs w:val="22"/>
        </w:rPr>
        <w:t>Commission:</w:t>
      </w:r>
    </w:p>
    <w:p w:rsidR="00A44B45" w:rsidRDefault="00A44B45" w:rsidP="00A44B45">
      <w:pPr>
        <w:tabs>
          <w:tab w:val="left" w:leader="dot" w:pos="5760"/>
        </w:tabs>
        <w:rPr>
          <w:spacing w:val="-2"/>
          <w:szCs w:val="22"/>
        </w:rPr>
      </w:pPr>
    </w:p>
    <w:p w:rsidR="00A44B45" w:rsidRPr="00A438CD" w:rsidRDefault="00A44B45" w:rsidP="00A44B45">
      <w:pPr>
        <w:tabs>
          <w:tab w:val="left" w:pos="5760"/>
        </w:tabs>
        <w:rPr>
          <w:spacing w:val="-2"/>
          <w:szCs w:val="22"/>
        </w:rPr>
      </w:pPr>
      <w:r w:rsidRPr="00726E19">
        <w:rPr>
          <w:b/>
          <w:spacing w:val="-2"/>
          <w:szCs w:val="22"/>
        </w:rPr>
        <w:t>Comment Date:</w:t>
      </w:r>
      <w:r w:rsidRPr="00A438CD">
        <w:rPr>
          <w:spacing w:val="-2"/>
          <w:szCs w:val="22"/>
        </w:rPr>
        <w:t xml:space="preserve">  </w:t>
      </w:r>
      <w:r>
        <w:rPr>
          <w:spacing w:val="-2"/>
          <w:szCs w:val="22"/>
        </w:rPr>
        <w:t>(30 days after date of publication in the Federal Register)</w:t>
      </w:r>
    </w:p>
    <w:p w:rsidR="00A44B45" w:rsidRDefault="00A44B45" w:rsidP="00A44B45">
      <w:pPr>
        <w:tabs>
          <w:tab w:val="left" w:pos="5760"/>
        </w:tabs>
        <w:rPr>
          <w:spacing w:val="-2"/>
          <w:szCs w:val="22"/>
        </w:rPr>
      </w:pPr>
      <w:r w:rsidRPr="00726E19">
        <w:rPr>
          <w:b/>
          <w:spacing w:val="-2"/>
          <w:szCs w:val="22"/>
        </w:rPr>
        <w:t>Reply Comment Date:</w:t>
      </w:r>
      <w:r w:rsidRPr="00A438CD">
        <w:rPr>
          <w:spacing w:val="-2"/>
          <w:szCs w:val="22"/>
        </w:rPr>
        <w:t xml:space="preserve">  </w:t>
      </w:r>
      <w:r>
        <w:rPr>
          <w:spacing w:val="-2"/>
          <w:szCs w:val="22"/>
        </w:rPr>
        <w:t>(60 days after date of publication in the Federal Register)</w:t>
      </w:r>
    </w:p>
    <w:p w:rsidR="00BD0E26" w:rsidRPr="00A438CD" w:rsidRDefault="00BD0E26" w:rsidP="00A44B45">
      <w:pPr>
        <w:tabs>
          <w:tab w:val="left" w:pos="5760"/>
        </w:tabs>
        <w:rPr>
          <w:szCs w:val="22"/>
        </w:rPr>
      </w:pPr>
    </w:p>
    <w:p w:rsidR="003545BC" w:rsidRPr="007F7B4B" w:rsidRDefault="003545BC" w:rsidP="00A1103B">
      <w:pPr>
        <w:tabs>
          <w:tab w:val="left" w:pos="5760"/>
        </w:tabs>
        <w:rPr>
          <w:b/>
          <w:spacing w:val="-2"/>
          <w:szCs w:val="22"/>
        </w:rPr>
      </w:pPr>
    </w:p>
    <w:p w:rsidR="004777BD" w:rsidRPr="007F7B4B" w:rsidRDefault="004777BD" w:rsidP="00B818F7">
      <w:pPr>
        <w:pStyle w:val="Heading1"/>
      </w:pPr>
      <w:bookmarkStart w:id="1" w:name="start_here"/>
      <w:bookmarkStart w:id="2" w:name="_Toc351484741"/>
      <w:bookmarkStart w:id="3" w:name="_Toc351484787"/>
      <w:bookmarkStart w:id="4" w:name="_Toc351484929"/>
      <w:bookmarkStart w:id="5" w:name="_Toc351571044"/>
      <w:bookmarkStart w:id="6" w:name="_Toc351572409"/>
      <w:bookmarkStart w:id="7" w:name="_Toc390878795"/>
      <w:bookmarkStart w:id="8" w:name="_Toc353032038"/>
      <w:bookmarkStart w:id="9" w:name="_Toc352943171"/>
      <w:bookmarkStart w:id="10" w:name="_Toc352943620"/>
      <w:bookmarkStart w:id="11" w:name="_Toc353987715"/>
      <w:bookmarkStart w:id="12" w:name="_Toc394672299"/>
      <w:bookmarkStart w:id="13" w:name="_Toc397078311"/>
      <w:bookmarkEnd w:id="1"/>
      <w:r w:rsidRPr="007F7B4B">
        <w:t>introduction</w:t>
      </w:r>
      <w:bookmarkEnd w:id="2"/>
      <w:bookmarkEnd w:id="3"/>
      <w:bookmarkEnd w:id="4"/>
      <w:bookmarkEnd w:id="5"/>
      <w:bookmarkEnd w:id="6"/>
      <w:bookmarkEnd w:id="7"/>
      <w:r w:rsidR="005F0CAD" w:rsidRPr="007F7B4B">
        <w:t xml:space="preserve"> </w:t>
      </w:r>
      <w:bookmarkEnd w:id="8"/>
      <w:bookmarkEnd w:id="9"/>
      <w:bookmarkEnd w:id="10"/>
      <w:bookmarkEnd w:id="11"/>
      <w:r w:rsidR="00DB15BE">
        <w:t>and executive summary</w:t>
      </w:r>
      <w:bookmarkEnd w:id="12"/>
      <w:bookmarkEnd w:id="13"/>
    </w:p>
    <w:p w:rsidR="00B707E3" w:rsidRPr="008105A1" w:rsidRDefault="007B0474" w:rsidP="00DE11A9">
      <w:pPr>
        <w:pStyle w:val="ParaNum"/>
      </w:pPr>
      <w:r>
        <w:t>T</w:t>
      </w:r>
      <w:r w:rsidR="00E5443D" w:rsidRPr="00144B45">
        <w:t>his Report and Order</w:t>
      </w:r>
      <w:r w:rsidR="00D5679C" w:rsidRPr="00144B45">
        <w:t xml:space="preserve"> </w:t>
      </w:r>
      <w:r w:rsidR="001A52FF">
        <w:t xml:space="preserve">adopts a schedule of regulatory fees to assess and collect </w:t>
      </w:r>
      <w:r w:rsidR="00E24319">
        <w:t>$339,844,000</w:t>
      </w:r>
      <w:r w:rsidR="007F2719" w:rsidRPr="00144B45">
        <w:t xml:space="preserve"> in regulatory fees for Fiscal Year (FY) 201</w:t>
      </w:r>
      <w:r w:rsidR="00FF4327">
        <w:t>5</w:t>
      </w:r>
      <w:r w:rsidR="007F2719" w:rsidRPr="00144B45">
        <w:t>, pursuant to Section 9 of the Communications Act of 1934, as amended (the Act or Communications Act)</w:t>
      </w:r>
      <w:r w:rsidR="00D04BBB">
        <w:t xml:space="preserve"> and the Commission’s FY 2015 Appropriation.</w:t>
      </w:r>
      <w:r w:rsidR="00D04BBB">
        <w:rPr>
          <w:rStyle w:val="FootnoteReference"/>
        </w:rPr>
        <w:footnoteReference w:id="2"/>
      </w:r>
      <w:r w:rsidR="00504E7D">
        <w:t xml:space="preserve"> </w:t>
      </w:r>
      <w:r w:rsidR="00666692">
        <w:t xml:space="preserve"> </w:t>
      </w:r>
      <w:r w:rsidR="00FD23D8">
        <w:t xml:space="preserve">The schedule of regulatory fees for FY 2015 </w:t>
      </w:r>
      <w:r w:rsidR="00E43945">
        <w:t xml:space="preserve">adopted here </w:t>
      </w:r>
      <w:r w:rsidR="00FD23D8">
        <w:t xml:space="preserve">is attached in </w:t>
      </w:r>
      <w:r w:rsidR="00FD23D8" w:rsidRPr="008105A1">
        <w:t>Appendix</w:t>
      </w:r>
      <w:r w:rsidR="008105A1">
        <w:t xml:space="preserve"> </w:t>
      </w:r>
      <w:r w:rsidR="009C377F">
        <w:t>C</w:t>
      </w:r>
      <w:r w:rsidR="00FD23D8" w:rsidRPr="008105A1">
        <w:t>.</w:t>
      </w:r>
      <w:r w:rsidR="001A52FF" w:rsidRPr="001A52FF">
        <w:t xml:space="preserve"> </w:t>
      </w:r>
      <w:r w:rsidR="001A52FF" w:rsidRPr="00144B45">
        <w:t>These regulatory fees are due in September 201</w:t>
      </w:r>
      <w:r w:rsidR="001A52FF">
        <w:t xml:space="preserve">5.  </w:t>
      </w:r>
    </w:p>
    <w:p w:rsidR="00071064" w:rsidRDefault="005659D5" w:rsidP="0007023D">
      <w:pPr>
        <w:pStyle w:val="ParaNum"/>
        <w:widowControl/>
      </w:pPr>
      <w:r>
        <w:t xml:space="preserve">The FY 2015 regulatory fees are based on the proposals in the </w:t>
      </w:r>
      <w:r w:rsidR="001A52FF" w:rsidRPr="00045051">
        <w:rPr>
          <w:i/>
        </w:rPr>
        <w:t>FY 2015 NPRM</w:t>
      </w:r>
      <w:r w:rsidR="00075A20">
        <w:t>,</w:t>
      </w:r>
      <w:r w:rsidR="001A52FF">
        <w:rPr>
          <w:rStyle w:val="FootnoteReference"/>
        </w:rPr>
        <w:footnoteReference w:id="3"/>
      </w:r>
      <w:r w:rsidR="001A52FF">
        <w:t xml:space="preserve"> </w:t>
      </w:r>
      <w:r>
        <w:t>considered in light of the comments received and Commission analysis.  The FY 2015 regulatory fee schedule includes the following noteworthy changes from prior years</w:t>
      </w:r>
      <w:r w:rsidR="00A66804">
        <w:t xml:space="preserve">: </w:t>
      </w:r>
      <w:r w:rsidR="00666692">
        <w:t xml:space="preserve"> </w:t>
      </w:r>
      <w:r w:rsidR="00A66804">
        <w:t>(1)</w:t>
      </w:r>
      <w:r w:rsidR="00C408E5">
        <w:t xml:space="preserve"> a reduction in regulatory fees f</w:t>
      </w:r>
      <w:r w:rsidR="00146B0A">
        <w:t>or the submarine cable</w:t>
      </w:r>
      <w:r w:rsidR="000F3C28">
        <w:t xml:space="preserve">/terrestrial and satellite bearer circuit </w:t>
      </w:r>
      <w:r w:rsidR="00E5329A">
        <w:t xml:space="preserve">(IBC) </w:t>
      </w:r>
      <w:r w:rsidR="000F3C28">
        <w:t>category</w:t>
      </w:r>
      <w:r>
        <w:t xml:space="preserve"> relative to other fee categories in the International Bureau</w:t>
      </w:r>
      <w:r w:rsidR="00146B0A">
        <w:t>;</w:t>
      </w:r>
      <w:r w:rsidR="00C408E5">
        <w:t xml:space="preserve"> </w:t>
      </w:r>
      <w:r w:rsidR="00A66804">
        <w:t xml:space="preserve">(2) </w:t>
      </w:r>
      <w:r>
        <w:t>the first</w:t>
      </w:r>
      <w:r w:rsidR="00C408E5">
        <w:t xml:space="preserve"> </w:t>
      </w:r>
      <w:r w:rsidR="00E43945">
        <w:t xml:space="preserve">fee </w:t>
      </w:r>
      <w:r w:rsidR="00C408E5">
        <w:t>r</w:t>
      </w:r>
      <w:r w:rsidR="0073396B">
        <w:t xml:space="preserve">ate for Direct Broadcast </w:t>
      </w:r>
      <w:r w:rsidR="00EC3C9F">
        <w:t>Satellite</w:t>
      </w:r>
      <w:r w:rsidR="00C408E5">
        <w:t xml:space="preserve"> (DBS)</w:t>
      </w:r>
      <w:r>
        <w:t xml:space="preserve"> as a subcategory of the cable television and Internet Protocol Television (IPTV) regulatory fee category</w:t>
      </w:r>
      <w:r w:rsidR="00146B0A">
        <w:t>;</w:t>
      </w:r>
      <w:r w:rsidR="007A76FE">
        <w:t xml:space="preserve"> </w:t>
      </w:r>
      <w:r>
        <w:t xml:space="preserve">(3) the first </w:t>
      </w:r>
      <w:r w:rsidR="00666692">
        <w:t xml:space="preserve">regulatory </w:t>
      </w:r>
      <w:r>
        <w:t xml:space="preserve">fee rate for toll free numbers; </w:t>
      </w:r>
      <w:r w:rsidR="00F568BB">
        <w:t xml:space="preserve">and </w:t>
      </w:r>
      <w:r w:rsidR="00075A20">
        <w:t xml:space="preserve">(4) </w:t>
      </w:r>
      <w:r>
        <w:t xml:space="preserve">the </w:t>
      </w:r>
      <w:r w:rsidRPr="009B672E">
        <w:t>eliminat</w:t>
      </w:r>
      <w:r>
        <w:t>ion of</w:t>
      </w:r>
      <w:r w:rsidRPr="009B672E">
        <w:t xml:space="preserve"> the regulatory fee component of two fee categories: </w:t>
      </w:r>
      <w:r w:rsidR="00666692">
        <w:t xml:space="preserve"> </w:t>
      </w:r>
      <w:r>
        <w:t xml:space="preserve">amateur radio </w:t>
      </w:r>
      <w:r w:rsidRPr="009B672E">
        <w:t>Vanity Call Signs and General Mobile Radio Service (GMRS)</w:t>
      </w:r>
      <w:r>
        <w:t>.</w:t>
      </w:r>
      <w:r>
        <w:rPr>
          <w:rStyle w:val="FootnoteReference"/>
        </w:rPr>
        <w:footnoteReference w:id="4"/>
      </w:r>
      <w:r w:rsidR="00075A20">
        <w:t xml:space="preserve"> </w:t>
      </w:r>
      <w:r w:rsidRPr="009B672E">
        <w:t xml:space="preserve"> </w:t>
      </w:r>
      <w:r w:rsidR="00071064">
        <w:t xml:space="preserve">In </w:t>
      </w:r>
      <w:r w:rsidR="00071064">
        <w:lastRenderedPageBreak/>
        <w:t xml:space="preserve">addition, for FY 2015, in calculating the fee schedule, the Commission also reallocated </w:t>
      </w:r>
      <w:r w:rsidR="00174414">
        <w:t>four</w:t>
      </w:r>
      <w:r w:rsidR="00F568BB" w:rsidRPr="0045572A">
        <w:t xml:space="preserve"> </w:t>
      </w:r>
      <w:r w:rsidR="00146B0A" w:rsidRPr="0045572A">
        <w:t>International</w:t>
      </w:r>
      <w:r w:rsidR="00146B0A">
        <w:t xml:space="preserve"> Bureau </w:t>
      </w:r>
      <w:r w:rsidR="00F568BB">
        <w:t>full time employees (FTEs)</w:t>
      </w:r>
      <w:r w:rsidR="00F568BB">
        <w:rPr>
          <w:rStyle w:val="FootnoteReference"/>
          <w:szCs w:val="22"/>
        </w:rPr>
        <w:footnoteReference w:id="5"/>
      </w:r>
      <w:r w:rsidR="00146B0A">
        <w:t xml:space="preserve"> </w:t>
      </w:r>
      <w:r w:rsidR="00184138">
        <w:t xml:space="preserve">from direct to </w:t>
      </w:r>
      <w:r w:rsidR="00146B0A">
        <w:t>indirect</w:t>
      </w:r>
      <w:r w:rsidR="00C408E5">
        <w:t xml:space="preserve">.  </w:t>
      </w:r>
    </w:p>
    <w:p w:rsidR="00430DE7" w:rsidRPr="00144B45" w:rsidRDefault="00071064" w:rsidP="00DE11A9">
      <w:pPr>
        <w:pStyle w:val="ParaNum"/>
      </w:pPr>
      <w:r>
        <w:t>I</w:t>
      </w:r>
      <w:r w:rsidR="00931267">
        <w:t xml:space="preserve">n the Further Notice of Proposed Rulemaking </w:t>
      </w:r>
      <w:r w:rsidR="00387083">
        <w:t xml:space="preserve">in this docket </w:t>
      </w:r>
      <w:r w:rsidR="00FD23D8">
        <w:t>w</w:t>
      </w:r>
      <w:r w:rsidR="0073396B">
        <w:t xml:space="preserve">e seek further comment on </w:t>
      </w:r>
      <w:r w:rsidR="00EC3C9F">
        <w:t>changes to our methodology in calculating regulatory fees for AM and FM broadcast radio</w:t>
      </w:r>
      <w:r w:rsidR="00DC5CC4">
        <w:t xml:space="preserve"> and on reallocating FTEs from the Wireline Competition Bureau working on numbering and universal service issues</w:t>
      </w:r>
      <w:r w:rsidR="00184138">
        <w:t>.</w:t>
      </w:r>
    </w:p>
    <w:p w:rsidR="00A051C5" w:rsidRDefault="00A051C5" w:rsidP="00A051C5">
      <w:pPr>
        <w:pStyle w:val="Heading1"/>
        <w:rPr>
          <w:rFonts w:ascii="Times New Roman" w:hAnsi="Times New Roman"/>
          <w:szCs w:val="22"/>
        </w:rPr>
      </w:pPr>
      <w:bookmarkStart w:id="14" w:name="_Toc390878796"/>
      <w:bookmarkStart w:id="15" w:name="_Toc394672300"/>
      <w:bookmarkStart w:id="16" w:name="_Toc397078312"/>
      <w:r w:rsidRPr="007F7B4B">
        <w:rPr>
          <w:rFonts w:ascii="Times New Roman" w:hAnsi="Times New Roman"/>
          <w:szCs w:val="22"/>
        </w:rPr>
        <w:t>background</w:t>
      </w:r>
      <w:bookmarkEnd w:id="14"/>
      <w:bookmarkEnd w:id="15"/>
      <w:bookmarkEnd w:id="16"/>
    </w:p>
    <w:p w:rsidR="00071064" w:rsidRDefault="00071064" w:rsidP="00B4597D">
      <w:pPr>
        <w:pStyle w:val="ParaNum"/>
      </w:pPr>
      <w:r>
        <w:t>Congress adopted a regulatory fee schedule in 1993</w:t>
      </w:r>
      <w:r>
        <w:rPr>
          <w:rStyle w:val="FootnoteReference"/>
        </w:rPr>
        <w:footnoteReference w:id="6"/>
      </w:r>
      <w:r>
        <w:t xml:space="preserve"> and authorized the Commission to assess and collect annual regulatory fees pursuant to the schedule, as amended by the Commission.</w:t>
      </w:r>
      <w:r>
        <w:rPr>
          <w:rStyle w:val="FootnoteReference"/>
        </w:rPr>
        <w:footnoteReference w:id="7"/>
      </w:r>
      <w:r>
        <w:t xml:space="preserve">  As a result, the Commission annually reviews the regulatory fee schedule, proposes changes to the schedule to reflect changes in the amount of its appropriation, and proposes increases or decrease to the schedule of regulatory fees.</w:t>
      </w:r>
      <w:r>
        <w:rPr>
          <w:rStyle w:val="FootnoteReference"/>
        </w:rPr>
        <w:footnoteReference w:id="8"/>
      </w:r>
      <w:r>
        <w:t xml:space="preserve">  The Commission makes changes to the regulatory fee schedule “if the Commission determines that the schedule requires amendment to comply with the requirements”</w:t>
      </w:r>
      <w:r>
        <w:rPr>
          <w:rStyle w:val="FootnoteReference"/>
        </w:rPr>
        <w:footnoteReference w:id="9"/>
      </w:r>
      <w:r>
        <w:t xml:space="preserve"> of section 9(b)(1)(A) of the Act.</w:t>
      </w:r>
      <w:r>
        <w:rPr>
          <w:rStyle w:val="FootnoteReference"/>
        </w:rPr>
        <w:footnoteReference w:id="10"/>
      </w:r>
      <w:r>
        <w:t xml:space="preserve">  The Commis</w:t>
      </w:r>
      <w:r w:rsidRPr="00E92E2F">
        <w:t>s</w:t>
      </w:r>
      <w:r>
        <w:t>ion may also add, delete, or</w:t>
      </w:r>
      <w:r w:rsidRPr="00D20747">
        <w:t xml:space="preserve"> </w:t>
      </w:r>
      <w:r>
        <w:t xml:space="preserve">reclassify services in the fee schedule to reflect additions, deletions, or changes in the nature of its services “as a consequence of Commission rulemaking proceedings or changes in law.”  Thus, for each fiscal year, the proposed fee schedule in the annual </w:t>
      </w:r>
      <w:r w:rsidR="009B6796">
        <w:t xml:space="preserve">Notice of Proposed Rulemaking </w:t>
      </w:r>
      <w:r w:rsidR="00C63015">
        <w:t>(</w:t>
      </w:r>
      <w:r>
        <w:t>NPRM</w:t>
      </w:r>
      <w:r w:rsidR="00C63015">
        <w:t>)</w:t>
      </w:r>
      <w:r>
        <w:t xml:space="preserve"> will reflect changes in the amount appropriated for the performance of the FCC’s regulatory activities, changes </w:t>
      </w:r>
      <w:r>
        <w:rPr>
          <w:rStyle w:val="documentbody"/>
        </w:rPr>
        <w:t xml:space="preserve">in the industries represented by the regulatory fee payors, changes in Commission FTE levels, </w:t>
      </w:r>
      <w:r>
        <w:t>and any other issues of relevance to the proposed fee schedule.</w:t>
      </w:r>
      <w:r>
        <w:rPr>
          <w:rStyle w:val="FootnoteReference"/>
        </w:rPr>
        <w:footnoteReference w:id="11"/>
      </w:r>
      <w:r>
        <w:t xml:space="preserve">  After receipt and review of comments, the </w:t>
      </w:r>
      <w:r>
        <w:rPr>
          <w:rStyle w:val="documentbody"/>
        </w:rPr>
        <w:t>Commission issues a Report and Order adopting the fee schedule for the fiscal year and sets out the procedures for payment of fees.</w:t>
      </w:r>
    </w:p>
    <w:p w:rsidR="007D6B6A" w:rsidRDefault="000263B2" w:rsidP="00C90825">
      <w:pPr>
        <w:pStyle w:val="ParaNum"/>
      </w:pPr>
      <w:r>
        <w:t>The Commission calculates</w:t>
      </w:r>
      <w:r w:rsidR="00F900B8" w:rsidRPr="007F7B4B">
        <w:t xml:space="preserve"> the fees </w:t>
      </w:r>
      <w:r>
        <w:t xml:space="preserve">by first </w:t>
      </w:r>
      <w:r w:rsidR="00F900B8" w:rsidRPr="007F7B4B">
        <w:t xml:space="preserve">determining the </w:t>
      </w:r>
      <w:r w:rsidR="00030B8F">
        <w:t xml:space="preserve">FTE </w:t>
      </w:r>
      <w:r w:rsidR="00F900B8" w:rsidRPr="007F7B4B">
        <w:t>number of employees performing</w:t>
      </w:r>
      <w:r w:rsidR="00744BA3">
        <w:t xml:space="preserve"> the regulatory </w:t>
      </w:r>
      <w:r w:rsidR="00F900B8" w:rsidRPr="007F7B4B">
        <w:t xml:space="preserve">activities </w:t>
      </w:r>
      <w:r w:rsidR="00744BA3">
        <w:t xml:space="preserve">specified in section 9(a), </w:t>
      </w:r>
      <w:r w:rsidR="00F900B8" w:rsidRPr="007F7B4B">
        <w:t>“adjusted to take into account factors that are reasonably related to t</w:t>
      </w:r>
      <w:r w:rsidR="00504E7D">
        <w:t>he benefits provided to the payo</w:t>
      </w:r>
      <w:r w:rsidR="00F900B8" w:rsidRPr="007F7B4B">
        <w:t>r of the fee by the Commission’s activities</w:t>
      </w:r>
      <w:r w:rsidR="00F900B8" w:rsidRPr="007D6B6A">
        <w:rPr>
          <w:caps/>
        </w:rPr>
        <w:t>….”</w:t>
      </w:r>
      <w:r w:rsidR="00F900B8" w:rsidRPr="007F7B4B">
        <w:rPr>
          <w:rStyle w:val="FootnoteReference"/>
          <w:szCs w:val="22"/>
        </w:rPr>
        <w:footnoteReference w:id="12"/>
      </w:r>
      <w:r w:rsidR="00F900B8" w:rsidRPr="007F7B4B">
        <w:t xml:space="preserve">  </w:t>
      </w:r>
      <w:r w:rsidR="001B6501" w:rsidRPr="00C90825">
        <w:rPr>
          <w:szCs w:val="22"/>
        </w:rPr>
        <w:t>FTEs are categorized as “direct” if they are performing regulatory activities in one of the “core” bureaus, i.e., the Wireless Telecommunications</w:t>
      </w:r>
      <w:r w:rsidR="00542DD1" w:rsidRPr="00C90825">
        <w:rPr>
          <w:szCs w:val="22"/>
        </w:rPr>
        <w:t xml:space="preserve"> Bureau</w:t>
      </w:r>
      <w:r w:rsidR="001B6501" w:rsidRPr="00C90825">
        <w:rPr>
          <w:szCs w:val="22"/>
        </w:rPr>
        <w:t>, Media</w:t>
      </w:r>
      <w:r w:rsidR="00542DD1" w:rsidRPr="00C90825">
        <w:rPr>
          <w:szCs w:val="22"/>
        </w:rPr>
        <w:t xml:space="preserve"> Bureau</w:t>
      </w:r>
      <w:r w:rsidR="001B6501" w:rsidRPr="00C90825">
        <w:rPr>
          <w:szCs w:val="22"/>
        </w:rPr>
        <w:t>, Wireline Competition</w:t>
      </w:r>
      <w:r w:rsidR="00542DD1" w:rsidRPr="00C90825">
        <w:rPr>
          <w:szCs w:val="22"/>
        </w:rPr>
        <w:t xml:space="preserve"> Bureau</w:t>
      </w:r>
      <w:r w:rsidR="001B6501" w:rsidRPr="00C90825">
        <w:rPr>
          <w:szCs w:val="22"/>
        </w:rPr>
        <w:t xml:space="preserve">, and </w:t>
      </w:r>
      <w:r w:rsidR="00542DD1" w:rsidRPr="00C90825">
        <w:rPr>
          <w:szCs w:val="22"/>
        </w:rPr>
        <w:t>part of the International Bureau</w:t>
      </w:r>
      <w:r w:rsidR="001B6501" w:rsidRPr="00C90825">
        <w:rPr>
          <w:szCs w:val="22"/>
        </w:rPr>
        <w:t>.  All other FTEs are considered “indirect.”</w:t>
      </w:r>
      <w:r w:rsidR="00157B67" w:rsidRPr="007F7B4B">
        <w:rPr>
          <w:rStyle w:val="FootnoteReference"/>
          <w:szCs w:val="22"/>
        </w:rPr>
        <w:footnoteReference w:id="13"/>
      </w:r>
      <w:r w:rsidR="00157B67" w:rsidRPr="007F7B4B">
        <w:t xml:space="preserve"> </w:t>
      </w:r>
      <w:r w:rsidR="00157B67">
        <w:t xml:space="preserve"> </w:t>
      </w:r>
      <w:r w:rsidR="001B6501" w:rsidRPr="00C90825">
        <w:rPr>
          <w:szCs w:val="22"/>
        </w:rPr>
        <w:t xml:space="preserve">The total FTEs for each fee </w:t>
      </w:r>
      <w:r w:rsidR="001B6501" w:rsidRPr="00C90825">
        <w:rPr>
          <w:szCs w:val="22"/>
        </w:rPr>
        <w:lastRenderedPageBreak/>
        <w:t xml:space="preserve">category is </w:t>
      </w:r>
      <w:r w:rsidR="00363A79" w:rsidRPr="00C90825">
        <w:rPr>
          <w:szCs w:val="22"/>
        </w:rPr>
        <w:t>calculated</w:t>
      </w:r>
      <w:r w:rsidR="001B6501" w:rsidRPr="00C90825">
        <w:rPr>
          <w:szCs w:val="22"/>
        </w:rPr>
        <w:t xml:space="preserve"> by counting the number of direct FTEs </w:t>
      </w:r>
      <w:r w:rsidR="000C06E3" w:rsidRPr="00C90825">
        <w:rPr>
          <w:szCs w:val="22"/>
        </w:rPr>
        <w:t>in the core bureau that regulates that category</w:t>
      </w:r>
      <w:r w:rsidR="001B6501" w:rsidRPr="00C90825">
        <w:rPr>
          <w:szCs w:val="22"/>
        </w:rPr>
        <w:t xml:space="preserve">, plus a proportional allocation of indirect FTEs.  </w:t>
      </w:r>
      <w:r w:rsidR="003A42D4">
        <w:t xml:space="preserve">Next, the </w:t>
      </w:r>
      <w:r w:rsidR="003A42D4" w:rsidRPr="007F7B4B">
        <w:t>Commission allocates the total amount to be collected among the various regulatory fee categories</w:t>
      </w:r>
      <w:r w:rsidR="003A42D4">
        <w:t xml:space="preserve">.  </w:t>
      </w:r>
      <w:r w:rsidR="003A42D4" w:rsidRPr="00FF5F45">
        <w:t>This allocation is based on the number of FTEs assigned to work in each regulatory fee category.</w:t>
      </w:r>
      <w:r w:rsidR="003A42D4" w:rsidRPr="0064151F">
        <w:t xml:space="preserve">  </w:t>
      </w:r>
      <w:r w:rsidR="00363A79" w:rsidRPr="00C90825">
        <w:rPr>
          <w:szCs w:val="22"/>
        </w:rPr>
        <w:t>E</w:t>
      </w:r>
      <w:r w:rsidR="00F900B8" w:rsidRPr="007F7B4B">
        <w:t>ach regulatee within a fee category pays its proportionate share based on an objective measure</w:t>
      </w:r>
      <w:r w:rsidR="00F900B8" w:rsidRPr="005721F8">
        <w:t>, e.g.,</w:t>
      </w:r>
      <w:r w:rsidR="00F900B8" w:rsidRPr="007F7B4B">
        <w:t xml:space="preserve"> revenues, </w:t>
      </w:r>
      <w:r w:rsidR="00F529CA">
        <w:t xml:space="preserve">number of </w:t>
      </w:r>
      <w:r w:rsidR="00F900B8" w:rsidRPr="007F7B4B">
        <w:t>subscribers</w:t>
      </w:r>
      <w:r w:rsidR="0073672F">
        <w:t>,</w:t>
      </w:r>
      <w:r w:rsidR="00F900B8" w:rsidRPr="007F7B4B">
        <w:t xml:space="preserve"> or licenses.</w:t>
      </w:r>
      <w:r w:rsidR="0088462E" w:rsidRPr="007F7B4B">
        <w:rPr>
          <w:rStyle w:val="FootnoteReference"/>
          <w:szCs w:val="22"/>
        </w:rPr>
        <w:footnoteReference w:id="14"/>
      </w:r>
      <w:r w:rsidR="0088462E" w:rsidRPr="007F7B4B">
        <w:t xml:space="preserve"> </w:t>
      </w:r>
      <w:r w:rsidR="00F900B8" w:rsidRPr="007F7B4B">
        <w:t xml:space="preserve">  </w:t>
      </w:r>
    </w:p>
    <w:p w:rsidR="00B01E75" w:rsidRDefault="00AD18DB" w:rsidP="00EC1C2F">
      <w:pPr>
        <w:pStyle w:val="ParaNum"/>
        <w:widowControl/>
      </w:pPr>
      <w:bookmarkStart w:id="17" w:name="_Toc353987718"/>
      <w:r>
        <w:t>As part of its annual review, the Commission regularly seeks to improve its regulatory fee analysis</w:t>
      </w:r>
      <w:r w:rsidRPr="00B01E75">
        <w:rPr>
          <w:i/>
        </w:rPr>
        <w:t>.</w:t>
      </w:r>
      <w:r w:rsidRPr="007F7B4B">
        <w:rPr>
          <w:rStyle w:val="FootnoteReference"/>
          <w:szCs w:val="22"/>
        </w:rPr>
        <w:footnoteReference w:id="15"/>
      </w:r>
      <w:r w:rsidRPr="007F7B4B">
        <w:t xml:space="preserve">  </w:t>
      </w:r>
      <w:r>
        <w:t xml:space="preserve">For example, </w:t>
      </w:r>
      <w:r w:rsidR="0091428C">
        <w:rPr>
          <w:szCs w:val="22"/>
        </w:rPr>
        <w:t>i</w:t>
      </w:r>
      <w:r w:rsidR="0099317F" w:rsidRPr="00B01E75">
        <w:rPr>
          <w:szCs w:val="22"/>
        </w:rPr>
        <w:t xml:space="preserve">n </w:t>
      </w:r>
      <w:r w:rsidR="007E2D1E" w:rsidRPr="00B01E75">
        <w:rPr>
          <w:szCs w:val="22"/>
        </w:rPr>
        <w:t>the</w:t>
      </w:r>
      <w:r w:rsidR="0099317F" w:rsidRPr="00B01E75">
        <w:rPr>
          <w:szCs w:val="22"/>
        </w:rPr>
        <w:t xml:space="preserve"> </w:t>
      </w:r>
      <w:r w:rsidR="00F900B8" w:rsidRPr="00B01E75">
        <w:rPr>
          <w:i/>
        </w:rPr>
        <w:t xml:space="preserve">FY 2013 </w:t>
      </w:r>
      <w:r w:rsidR="003809F0" w:rsidRPr="00B01E75">
        <w:rPr>
          <w:i/>
        </w:rPr>
        <w:t>Report and Order</w:t>
      </w:r>
      <w:r w:rsidR="00935A11">
        <w:t>,</w:t>
      </w:r>
      <w:r w:rsidR="003809F0" w:rsidRPr="00B01E75">
        <w:rPr>
          <w:i/>
        </w:rPr>
        <w:t xml:space="preserve"> </w:t>
      </w:r>
      <w:r w:rsidR="002643F7">
        <w:t>the Commission</w:t>
      </w:r>
      <w:r w:rsidR="00AC121A">
        <w:t xml:space="preserve"> </w:t>
      </w:r>
      <w:r w:rsidR="00023049">
        <w:t xml:space="preserve">adopted </w:t>
      </w:r>
      <w:r w:rsidR="00AC121A">
        <w:t xml:space="preserve">updated FTE allocations to more accurately reflect the number of FTEs working on regulation and oversight of the </w:t>
      </w:r>
      <w:r w:rsidR="0054386C">
        <w:t xml:space="preserve">regulatees </w:t>
      </w:r>
      <w:r w:rsidR="00AC121A">
        <w:t>in the</w:t>
      </w:r>
      <w:r w:rsidR="0054386C">
        <w:t xml:space="preserve"> various </w:t>
      </w:r>
      <w:r w:rsidR="00AC121A">
        <w:t>fee categories</w:t>
      </w:r>
      <w:r w:rsidR="00790EB0">
        <w:t>,</w:t>
      </w:r>
      <w:r w:rsidR="00541B78">
        <w:rPr>
          <w:rStyle w:val="FootnoteReference"/>
        </w:rPr>
        <w:footnoteReference w:id="16"/>
      </w:r>
      <w:r w:rsidR="00780573">
        <w:t xml:space="preserve"> </w:t>
      </w:r>
      <w:r w:rsidR="00AC121A">
        <w:t>combined the UHF and VHF television stations into one regulatory fee category</w:t>
      </w:r>
      <w:r w:rsidR="00C302DE">
        <w:t>,</w:t>
      </w:r>
      <w:r w:rsidR="00541B78">
        <w:rPr>
          <w:rStyle w:val="FootnoteReference"/>
        </w:rPr>
        <w:footnoteReference w:id="17"/>
      </w:r>
      <w:r w:rsidR="00AC121A">
        <w:t xml:space="preserve"> </w:t>
      </w:r>
      <w:r w:rsidR="00023049">
        <w:t xml:space="preserve">and </w:t>
      </w:r>
      <w:r w:rsidR="00AC121A">
        <w:t xml:space="preserve">created a </w:t>
      </w:r>
      <w:r w:rsidR="0013213F">
        <w:t>fee</w:t>
      </w:r>
      <w:r w:rsidR="00AC121A">
        <w:t xml:space="preserve"> category </w:t>
      </w:r>
      <w:r w:rsidR="0013213F">
        <w:t>to include</w:t>
      </w:r>
      <w:r w:rsidR="00DF636D">
        <w:t xml:space="preserve"> </w:t>
      </w:r>
      <w:r w:rsidR="004E438E">
        <w:t>IPTV</w:t>
      </w:r>
      <w:r w:rsidR="00DF636D">
        <w:t>.</w:t>
      </w:r>
      <w:r w:rsidR="00023049">
        <w:rPr>
          <w:rStyle w:val="FootnoteReference"/>
        </w:rPr>
        <w:footnoteReference w:id="18"/>
      </w:r>
      <w:r w:rsidR="001144AB" w:rsidRPr="007F7B4B">
        <w:t xml:space="preserve">  </w:t>
      </w:r>
      <w:bookmarkEnd w:id="17"/>
      <w:r w:rsidR="002643F7">
        <w:t>Subsequently, i</w:t>
      </w:r>
      <w:r w:rsidR="00790AEB">
        <w:t xml:space="preserve">n </w:t>
      </w:r>
      <w:r w:rsidR="006650CB">
        <w:t>the</w:t>
      </w:r>
      <w:r w:rsidR="00790AEB">
        <w:t xml:space="preserve"> </w:t>
      </w:r>
      <w:r w:rsidR="00790AEB" w:rsidRPr="00B01E75">
        <w:rPr>
          <w:i/>
        </w:rPr>
        <w:t>FY 201</w:t>
      </w:r>
      <w:r w:rsidR="00D921E9" w:rsidRPr="00B01E75">
        <w:rPr>
          <w:i/>
        </w:rPr>
        <w:t>4</w:t>
      </w:r>
      <w:r w:rsidR="00790AEB" w:rsidRPr="00B01E75">
        <w:rPr>
          <w:i/>
        </w:rPr>
        <w:t xml:space="preserve"> </w:t>
      </w:r>
      <w:r w:rsidR="00D921E9" w:rsidRPr="00B01E75">
        <w:rPr>
          <w:i/>
        </w:rPr>
        <w:t>R</w:t>
      </w:r>
      <w:r w:rsidR="00832499" w:rsidRPr="00B01E75">
        <w:rPr>
          <w:i/>
        </w:rPr>
        <w:t>eport and Order</w:t>
      </w:r>
      <w:r w:rsidR="006650CB" w:rsidRPr="00B01E75">
        <w:rPr>
          <w:i/>
        </w:rPr>
        <w:t xml:space="preserve"> and FNPRM</w:t>
      </w:r>
      <w:r w:rsidR="006650CB">
        <w:t xml:space="preserve">, the Commission </w:t>
      </w:r>
      <w:r w:rsidR="000C6BB7">
        <w:t>adopted a new fee category for toll free numbers</w:t>
      </w:r>
      <w:r w:rsidR="006650CB">
        <w:t>,</w:t>
      </w:r>
      <w:r w:rsidR="004A18A6">
        <w:rPr>
          <w:rStyle w:val="FootnoteReference"/>
        </w:rPr>
        <w:footnoteReference w:id="19"/>
      </w:r>
      <w:r w:rsidR="000C6BB7">
        <w:t xml:space="preserve"> </w:t>
      </w:r>
      <w:r w:rsidR="006650CB">
        <w:t>i</w:t>
      </w:r>
      <w:r w:rsidR="00551BAA">
        <w:t>ncreased the de minimis threshold</w:t>
      </w:r>
      <w:r w:rsidR="006650CB">
        <w:t>,</w:t>
      </w:r>
      <w:r w:rsidR="004A18A6">
        <w:rPr>
          <w:rStyle w:val="FootnoteReference"/>
        </w:rPr>
        <w:footnoteReference w:id="20"/>
      </w:r>
      <w:r w:rsidR="00551BAA">
        <w:t xml:space="preserve"> and eliminated several categories from the regulatory fee schedule.</w:t>
      </w:r>
      <w:r w:rsidR="00320343">
        <w:rPr>
          <w:rStyle w:val="FootnoteReference"/>
        </w:rPr>
        <w:footnoteReference w:id="21"/>
      </w:r>
      <w:r w:rsidR="006650CB" w:rsidRPr="006650CB">
        <w:t xml:space="preserve"> </w:t>
      </w:r>
      <w:r w:rsidR="007F583D">
        <w:t xml:space="preserve"> </w:t>
      </w:r>
      <w:r w:rsidR="00B01E75">
        <w:t>E</w:t>
      </w:r>
      <w:r w:rsidR="00953761">
        <w:t>arlier this year, i</w:t>
      </w:r>
      <w:r w:rsidR="007F583D">
        <w:t>n</w:t>
      </w:r>
      <w:r w:rsidR="006650CB">
        <w:t xml:space="preserve"> our </w:t>
      </w:r>
      <w:r w:rsidR="00953761" w:rsidRPr="00B01E75">
        <w:rPr>
          <w:i/>
        </w:rPr>
        <w:t>FY 2015 Fee Reform Report and Order</w:t>
      </w:r>
      <w:r w:rsidR="0010218E" w:rsidRPr="0010218E">
        <w:t>,</w:t>
      </w:r>
      <w:r w:rsidR="006650CB" w:rsidRPr="00B01E75">
        <w:rPr>
          <w:i/>
        </w:rPr>
        <w:t xml:space="preserve"> </w:t>
      </w:r>
      <w:r w:rsidR="006650CB" w:rsidRPr="00B01E75">
        <w:rPr>
          <w:szCs w:val="22"/>
        </w:rPr>
        <w:t>we added a subcategory for DBS providers in the cable television and IPTV regulatory fee category</w:t>
      </w:r>
      <w:r w:rsidR="006650CB">
        <w:t>.</w:t>
      </w:r>
      <w:r w:rsidR="006650CB">
        <w:rPr>
          <w:rStyle w:val="FootnoteReference"/>
        </w:rPr>
        <w:footnoteReference w:id="22"/>
      </w:r>
      <w:r w:rsidR="006650CB">
        <w:t xml:space="preserve">  </w:t>
      </w:r>
    </w:p>
    <w:p w:rsidR="000C6BB7" w:rsidRDefault="00B01E75" w:rsidP="00DE11A9">
      <w:pPr>
        <w:pStyle w:val="ParaNum"/>
        <w:widowControl/>
      </w:pPr>
      <w:r>
        <w:t xml:space="preserve">In </w:t>
      </w:r>
      <w:r w:rsidR="00F81FEB">
        <w:t>our</w:t>
      </w:r>
      <w:r>
        <w:t xml:space="preserve"> </w:t>
      </w:r>
      <w:r w:rsidRPr="00B01E75">
        <w:rPr>
          <w:i/>
        </w:rPr>
        <w:t>FY 2015 NPRM</w:t>
      </w:r>
      <w:r>
        <w:rPr>
          <w:i/>
        </w:rPr>
        <w:t>,</w:t>
      </w:r>
      <w:r w:rsidRPr="00B01E75">
        <w:rPr>
          <w:i/>
        </w:rPr>
        <w:t xml:space="preserve"> </w:t>
      </w:r>
      <w:r>
        <w:t>w</w:t>
      </w:r>
      <w:r w:rsidR="00D33AB3">
        <w:t xml:space="preserve">e </w:t>
      </w:r>
      <w:r w:rsidR="00C93E39" w:rsidRPr="00283628">
        <w:rPr>
          <w:szCs w:val="22"/>
        </w:rPr>
        <w:t xml:space="preserve">proposed to collect $339,844,000 in regulatory fees and included a detailed, proposed fee schedule.  We </w:t>
      </w:r>
      <w:r w:rsidR="00D33AB3">
        <w:t xml:space="preserve">also sought comment on </w:t>
      </w:r>
      <w:r w:rsidR="00732EAE">
        <w:t xml:space="preserve">(1) </w:t>
      </w:r>
      <w:r w:rsidR="00036C71">
        <w:t xml:space="preserve">a proposal </w:t>
      </w:r>
      <w:r w:rsidR="00732EAE">
        <w:t xml:space="preserve">revising </w:t>
      </w:r>
      <w:r w:rsidR="00732EAE" w:rsidRPr="00BA5423">
        <w:t>the apportionment between the submarine cable</w:t>
      </w:r>
      <w:r w:rsidR="00732EAE">
        <w:t>/terrestrial and satellite bearer circuits fee categor</w:t>
      </w:r>
      <w:r w:rsidR="00542D43">
        <w:t xml:space="preserve">y </w:t>
      </w:r>
      <w:r w:rsidR="00036C71">
        <w:t>and the space station/earth station fee category</w:t>
      </w:r>
      <w:r w:rsidR="00732EAE">
        <w:t xml:space="preserve">; (2) </w:t>
      </w:r>
      <w:r w:rsidR="004674A6">
        <w:t>revisi</w:t>
      </w:r>
      <w:r w:rsidR="00A66F1F">
        <w:t>ng an</w:t>
      </w:r>
      <w:r w:rsidR="002E72D7">
        <w:t xml:space="preserve"> </w:t>
      </w:r>
      <w:r w:rsidR="00732EAE">
        <w:t xml:space="preserve">apportionment of regulatory fees among broadcasters; </w:t>
      </w:r>
      <w:r w:rsidR="00C43815">
        <w:t>(</w:t>
      </w:r>
      <w:r w:rsidR="00732EAE">
        <w:t>3</w:t>
      </w:r>
      <w:r w:rsidR="00C43815">
        <w:t xml:space="preserve">) </w:t>
      </w:r>
      <w:r w:rsidR="00A66F1F">
        <w:t xml:space="preserve">a </w:t>
      </w:r>
      <w:r w:rsidR="00D33AB3">
        <w:t xml:space="preserve">request for relief from regulatory fee assessments for radio stations in Puerto Rico </w:t>
      </w:r>
      <w:r w:rsidR="00A66F1F">
        <w:t>filed by the Puerto Rico Broadcasters Association (PRBA)</w:t>
      </w:r>
      <w:r w:rsidR="008412AA">
        <w:t>;</w:t>
      </w:r>
      <w:r w:rsidR="00D33AB3">
        <w:rPr>
          <w:rStyle w:val="FootnoteReference"/>
        </w:rPr>
        <w:footnoteReference w:id="23"/>
      </w:r>
      <w:r w:rsidR="008412AA">
        <w:t xml:space="preserve"> </w:t>
      </w:r>
      <w:r w:rsidR="00C43815">
        <w:t>(</w:t>
      </w:r>
      <w:r w:rsidR="00732EAE">
        <w:t>4</w:t>
      </w:r>
      <w:r w:rsidR="00C43815">
        <w:t>) raising earth station regulatory fees</w:t>
      </w:r>
      <w:r w:rsidR="00036C71">
        <w:t xml:space="preserve"> relative to space station fees</w:t>
      </w:r>
      <w:r w:rsidR="00C43815">
        <w:t>;</w:t>
      </w:r>
      <w:r w:rsidR="00C43815">
        <w:rPr>
          <w:rStyle w:val="FootnoteReference"/>
        </w:rPr>
        <w:footnoteReference w:id="24"/>
      </w:r>
      <w:r w:rsidR="00732EAE">
        <w:t xml:space="preserve"> </w:t>
      </w:r>
      <w:r w:rsidR="00E50870">
        <w:t xml:space="preserve">(5) </w:t>
      </w:r>
      <w:r w:rsidR="00C87413">
        <w:t xml:space="preserve">a </w:t>
      </w:r>
      <w:r w:rsidR="00594456">
        <w:t xml:space="preserve">new </w:t>
      </w:r>
      <w:r w:rsidR="00E50870">
        <w:t xml:space="preserve">regulatory fee for toll free numbers; </w:t>
      </w:r>
      <w:r w:rsidR="00C87413">
        <w:t xml:space="preserve">(6) a </w:t>
      </w:r>
      <w:r w:rsidR="00594456">
        <w:t xml:space="preserve">new </w:t>
      </w:r>
      <w:r w:rsidR="00C87413">
        <w:t xml:space="preserve">regulatory fee for DBS </w:t>
      </w:r>
      <w:r w:rsidR="00C87413">
        <w:rPr>
          <w:szCs w:val="22"/>
        </w:rPr>
        <w:t>(as a s</w:t>
      </w:r>
      <w:r w:rsidR="00C87413" w:rsidRPr="00B01E75">
        <w:rPr>
          <w:szCs w:val="22"/>
        </w:rPr>
        <w:t>ubcategory in the cable television and IPTV regulatory fee category</w:t>
      </w:r>
      <w:r w:rsidR="00C87413">
        <w:rPr>
          <w:szCs w:val="22"/>
        </w:rPr>
        <w:t>);</w:t>
      </w:r>
      <w:r w:rsidR="00C87413">
        <w:t xml:space="preserve"> </w:t>
      </w:r>
      <w:r w:rsidR="00732EAE">
        <w:t>and (</w:t>
      </w:r>
      <w:r w:rsidR="00C87413">
        <w:t>7</w:t>
      </w:r>
      <w:r w:rsidR="00C43815">
        <w:t>)</w:t>
      </w:r>
      <w:r w:rsidR="00C43815" w:rsidRPr="00C43815">
        <w:t xml:space="preserve"> </w:t>
      </w:r>
      <w:r w:rsidR="00C43815">
        <w:t>whether certain FTEs should be allocated as direct instead of indirect</w:t>
      </w:r>
      <w:r w:rsidR="002E72D7">
        <w:t>.</w:t>
      </w:r>
      <w:r w:rsidR="00C43815">
        <w:rPr>
          <w:rStyle w:val="FootnoteReference"/>
        </w:rPr>
        <w:footnoteReference w:id="25"/>
      </w:r>
      <w:r w:rsidR="004C657B">
        <w:t xml:space="preserve">  W</w:t>
      </w:r>
      <w:r w:rsidR="00B37ED4">
        <w:t xml:space="preserve">e </w:t>
      </w:r>
      <w:r w:rsidR="004C657B">
        <w:t>received</w:t>
      </w:r>
      <w:r w:rsidR="009125F4">
        <w:t xml:space="preserve"> 13 comments and </w:t>
      </w:r>
      <w:r w:rsidR="00621C0A">
        <w:t>eight re</w:t>
      </w:r>
      <w:r w:rsidR="009125F4">
        <w:t>ply comments.  The list of commenters is attached in Appendix A.</w:t>
      </w:r>
      <w:r w:rsidR="004C657B">
        <w:t xml:space="preserve"> </w:t>
      </w:r>
      <w:r w:rsidR="00C43815">
        <w:t xml:space="preserve">   </w:t>
      </w:r>
      <w:r w:rsidR="00732EAE">
        <w:t xml:space="preserve">  </w:t>
      </w:r>
    </w:p>
    <w:p w:rsidR="008D02A8" w:rsidRDefault="008D02A8" w:rsidP="008D02A8">
      <w:pPr>
        <w:pStyle w:val="Heading1"/>
      </w:pPr>
      <w:r>
        <w:t>report and order</w:t>
      </w:r>
    </w:p>
    <w:p w:rsidR="003A721B" w:rsidRPr="003A721B" w:rsidRDefault="001B0C58" w:rsidP="00B707E3">
      <w:pPr>
        <w:pStyle w:val="Heading2"/>
      </w:pPr>
      <w:r>
        <w:t>Discussi</w:t>
      </w:r>
      <w:r w:rsidR="00BA3F6F">
        <w:t>on</w:t>
      </w:r>
    </w:p>
    <w:p w:rsidR="00BD33DE" w:rsidRDefault="00BD33DE" w:rsidP="00EE3216">
      <w:pPr>
        <w:pStyle w:val="Heading3"/>
      </w:pPr>
      <w:bookmarkStart w:id="18" w:name="_Toc394672304"/>
      <w:bookmarkStart w:id="19" w:name="_Toc397078316"/>
      <w:r>
        <w:t>FY 2015 Regulatory Fees</w:t>
      </w:r>
    </w:p>
    <w:p w:rsidR="00BD33DE" w:rsidRPr="008A4374" w:rsidRDefault="00BD33DE" w:rsidP="00962D7F">
      <w:pPr>
        <w:pStyle w:val="ParaNum"/>
      </w:pPr>
      <w:r w:rsidRPr="008A4374">
        <w:t>In this Report and Order</w:t>
      </w:r>
      <w:r w:rsidR="003431D8" w:rsidRPr="008A4374">
        <w:t>,</w:t>
      </w:r>
      <w:r w:rsidRPr="008A4374">
        <w:t xml:space="preserve"> </w:t>
      </w:r>
      <w:r w:rsidR="003431D8" w:rsidRPr="008A4374">
        <w:t xml:space="preserve">we adopt a </w:t>
      </w:r>
      <w:r w:rsidRPr="008A4374">
        <w:t>regulatory fee</w:t>
      </w:r>
      <w:r w:rsidR="003431D8" w:rsidRPr="008A4374">
        <w:t xml:space="preserve"> </w:t>
      </w:r>
      <w:r w:rsidRPr="008A4374">
        <w:t>s</w:t>
      </w:r>
      <w:r w:rsidR="003431D8" w:rsidRPr="008A4374">
        <w:t xml:space="preserve">chedule </w:t>
      </w:r>
      <w:r w:rsidRPr="008A4374">
        <w:t>for FY 2015, pursuant to Section 9 of the Communications Act</w:t>
      </w:r>
      <w:r w:rsidR="003431D8" w:rsidRPr="008A4374">
        <w:t xml:space="preserve"> </w:t>
      </w:r>
      <w:r w:rsidR="0077587F" w:rsidRPr="008A4374">
        <w:t xml:space="preserve">and our FY 2015 appropriation statute </w:t>
      </w:r>
      <w:r w:rsidR="003431D8" w:rsidRPr="008A4374">
        <w:t>in order to collect $339,844,000 in</w:t>
      </w:r>
      <w:r w:rsidR="003431D8" w:rsidRPr="008A4374">
        <w:rPr>
          <w:rStyle w:val="FootnoteReference"/>
        </w:rPr>
        <w:t xml:space="preserve"> </w:t>
      </w:r>
      <w:r w:rsidR="003431D8" w:rsidRPr="008A4374">
        <w:t xml:space="preserve"> regulatory fees.</w:t>
      </w:r>
      <w:r w:rsidRPr="008A4374">
        <w:rPr>
          <w:rStyle w:val="FootnoteReference"/>
        </w:rPr>
        <w:footnoteReference w:id="26"/>
      </w:r>
      <w:r w:rsidRPr="008A4374">
        <w:t xml:space="preserve">  </w:t>
      </w:r>
      <w:r w:rsidR="00EC4EF2" w:rsidRPr="008A4374">
        <w:rPr>
          <w:szCs w:val="22"/>
        </w:rPr>
        <w:t>Of this am</w:t>
      </w:r>
      <w:r w:rsidR="008A4374">
        <w:rPr>
          <w:szCs w:val="22"/>
        </w:rPr>
        <w:t xml:space="preserve">ount, we project approximately $18.56 </w:t>
      </w:r>
      <w:r w:rsidR="00400BE6" w:rsidRPr="008A4374">
        <w:rPr>
          <w:szCs w:val="22"/>
        </w:rPr>
        <w:t>m</w:t>
      </w:r>
      <w:r w:rsidR="00EC4EF2" w:rsidRPr="008A4374">
        <w:rPr>
          <w:szCs w:val="22"/>
        </w:rPr>
        <w:t>illion (</w:t>
      </w:r>
      <w:r w:rsidR="00AA269B" w:rsidRPr="008A4374">
        <w:rPr>
          <w:szCs w:val="22"/>
        </w:rPr>
        <w:t>5</w:t>
      </w:r>
      <w:r w:rsidR="00EC4EF2" w:rsidRPr="008A4374">
        <w:rPr>
          <w:szCs w:val="22"/>
        </w:rPr>
        <w:t>.</w:t>
      </w:r>
      <w:r w:rsidR="008A4374">
        <w:rPr>
          <w:szCs w:val="22"/>
        </w:rPr>
        <w:t>45</w:t>
      </w:r>
      <w:r w:rsidR="00EC4EF2" w:rsidRPr="008A4374">
        <w:rPr>
          <w:szCs w:val="22"/>
        </w:rPr>
        <w:t xml:space="preserve"> percent of the total FTE allocation) in fees from the International Bureau regulatees;</w:t>
      </w:r>
      <w:r w:rsidR="00EC4EF2" w:rsidRPr="008A4374">
        <w:rPr>
          <w:rStyle w:val="FootnoteReference"/>
          <w:szCs w:val="22"/>
        </w:rPr>
        <w:footnoteReference w:id="27"/>
      </w:r>
      <w:r w:rsidR="00EC4EF2" w:rsidRPr="008A4374">
        <w:rPr>
          <w:szCs w:val="22"/>
        </w:rPr>
        <w:t xml:space="preserve"> $</w:t>
      </w:r>
      <w:r w:rsidR="008A4374">
        <w:rPr>
          <w:szCs w:val="22"/>
        </w:rPr>
        <w:t>69.07</w:t>
      </w:r>
      <w:r w:rsidR="00EC4EF2" w:rsidRPr="008A4374">
        <w:rPr>
          <w:szCs w:val="22"/>
        </w:rPr>
        <w:t xml:space="preserve"> million (20.</w:t>
      </w:r>
      <w:r w:rsidR="008A4374">
        <w:rPr>
          <w:szCs w:val="22"/>
        </w:rPr>
        <w:t>28</w:t>
      </w:r>
      <w:r w:rsidR="00EC4EF2" w:rsidRPr="008A4374">
        <w:rPr>
          <w:szCs w:val="22"/>
        </w:rPr>
        <w:t xml:space="preserve"> percent of the total FTE allocation) in fees from the Wireless Telecommunications Bureau regulatees;</w:t>
      </w:r>
      <w:r w:rsidR="00EC4EF2" w:rsidRPr="008A4374">
        <w:rPr>
          <w:rStyle w:val="FootnoteReference"/>
          <w:szCs w:val="22"/>
        </w:rPr>
        <w:footnoteReference w:id="28"/>
      </w:r>
      <w:r w:rsidR="00EC4EF2" w:rsidRPr="008A4374">
        <w:rPr>
          <w:szCs w:val="22"/>
        </w:rPr>
        <w:t xml:space="preserve"> $</w:t>
      </w:r>
      <w:r w:rsidR="008A4374">
        <w:rPr>
          <w:szCs w:val="22"/>
        </w:rPr>
        <w:t xml:space="preserve">132.81 </w:t>
      </w:r>
      <w:r w:rsidR="00EC4EF2" w:rsidRPr="008A4374">
        <w:rPr>
          <w:szCs w:val="22"/>
        </w:rPr>
        <w:t>million (38.</w:t>
      </w:r>
      <w:r w:rsidR="008A4374">
        <w:rPr>
          <w:szCs w:val="22"/>
        </w:rPr>
        <w:t>99</w:t>
      </w:r>
      <w:r w:rsidR="00EC4EF2" w:rsidRPr="008A4374">
        <w:rPr>
          <w:szCs w:val="22"/>
        </w:rPr>
        <w:t xml:space="preserve"> percent of the total FTE allocation) from Wireline Competition Bureau regulatees;</w:t>
      </w:r>
      <w:r w:rsidR="00EC4EF2" w:rsidRPr="008A4374">
        <w:rPr>
          <w:rStyle w:val="FootnoteReference"/>
          <w:szCs w:val="22"/>
        </w:rPr>
        <w:footnoteReference w:id="29"/>
      </w:r>
      <w:r w:rsidR="00EC4EF2" w:rsidRPr="008A4374">
        <w:rPr>
          <w:szCs w:val="22"/>
        </w:rPr>
        <w:t xml:space="preserve"> and $</w:t>
      </w:r>
      <w:r w:rsidR="008A4374">
        <w:rPr>
          <w:szCs w:val="22"/>
        </w:rPr>
        <w:t xml:space="preserve">120.15 </w:t>
      </w:r>
      <w:r w:rsidR="00EC4EF2" w:rsidRPr="008A4374">
        <w:rPr>
          <w:szCs w:val="22"/>
        </w:rPr>
        <w:t>million (3</w:t>
      </w:r>
      <w:r w:rsidR="008A4374">
        <w:rPr>
          <w:szCs w:val="22"/>
        </w:rPr>
        <w:t>5.28</w:t>
      </w:r>
      <w:r w:rsidR="00EC4EF2" w:rsidRPr="008A4374">
        <w:rPr>
          <w:szCs w:val="22"/>
        </w:rPr>
        <w:t xml:space="preserve"> percent of the total FTE allocation) from the Media Bureau regulatees.</w:t>
      </w:r>
      <w:r w:rsidR="00EC4EF2" w:rsidRPr="008A4374">
        <w:rPr>
          <w:rStyle w:val="FootnoteReference"/>
          <w:szCs w:val="22"/>
        </w:rPr>
        <w:footnoteReference w:id="30"/>
      </w:r>
      <w:r w:rsidR="00962D7F" w:rsidRPr="008A4374">
        <w:rPr>
          <w:szCs w:val="22"/>
        </w:rPr>
        <w:t xml:space="preserve"> </w:t>
      </w:r>
      <w:r w:rsidR="00EC4EF2" w:rsidRPr="008A4374">
        <w:rPr>
          <w:szCs w:val="22"/>
        </w:rPr>
        <w:t xml:space="preserve"> </w:t>
      </w:r>
      <w:r w:rsidR="00EC4EF2" w:rsidRPr="008A4374">
        <w:t xml:space="preserve">These regulatory fees are due in September 2015.  The schedule of regulatory fees for FY 2015 adopted here is attached </w:t>
      </w:r>
      <w:r w:rsidR="005976AF" w:rsidRPr="008A4374">
        <w:t>as Ap</w:t>
      </w:r>
      <w:r w:rsidR="00EC4EF2" w:rsidRPr="008A4374">
        <w:t xml:space="preserve">pendix </w:t>
      </w:r>
      <w:r w:rsidR="0056333D">
        <w:t>C</w:t>
      </w:r>
      <w:r w:rsidR="00962D7F" w:rsidRPr="008A4374">
        <w:t>.</w:t>
      </w:r>
    </w:p>
    <w:p w:rsidR="008D3AF7" w:rsidRDefault="008D3AF7" w:rsidP="008D3AF7">
      <w:pPr>
        <w:pStyle w:val="Heading3"/>
      </w:pPr>
      <w:r w:rsidRPr="008A4374">
        <w:t>Toll Free</w:t>
      </w:r>
      <w:r>
        <w:t xml:space="preserve"> Numbers</w:t>
      </w:r>
    </w:p>
    <w:p w:rsidR="008D3AF7" w:rsidRPr="008D3AF7" w:rsidRDefault="00FF6EEF" w:rsidP="009E0209">
      <w:pPr>
        <w:pStyle w:val="ParaNum"/>
      </w:pPr>
      <w:r>
        <w:t xml:space="preserve">In the </w:t>
      </w:r>
      <w:r w:rsidRPr="00122F19">
        <w:rPr>
          <w:i/>
        </w:rPr>
        <w:t xml:space="preserve">FY 2014 Report and Order </w:t>
      </w:r>
      <w:r w:rsidR="00B4597D" w:rsidRPr="00122F19">
        <w:rPr>
          <w:i/>
        </w:rPr>
        <w:t>and FNPRM</w:t>
      </w:r>
      <w:r w:rsidR="00B4597D">
        <w:t>,</w:t>
      </w:r>
      <w:r w:rsidR="00E62F4E" w:rsidRPr="00E62F4E">
        <w:rPr>
          <w:rStyle w:val="FootnoteReference"/>
        </w:rPr>
        <w:t xml:space="preserve"> </w:t>
      </w:r>
      <w:r w:rsidR="00E62F4E">
        <w:rPr>
          <w:rStyle w:val="FootnoteReference"/>
        </w:rPr>
        <w:footnoteReference w:id="31"/>
      </w:r>
      <w:r w:rsidR="00B4597D">
        <w:t xml:space="preserve"> </w:t>
      </w:r>
      <w:r>
        <w:t xml:space="preserve">we adopted a regulatory fee category for </w:t>
      </w:r>
      <w:r w:rsidR="00EF21C0">
        <w:t>each toll free number managed by a RespOrg.</w:t>
      </w:r>
      <w:r w:rsidR="00E62F4E">
        <w:t xml:space="preserve"> </w:t>
      </w:r>
      <w:r w:rsidR="00054E3D">
        <w:t xml:space="preserve"> </w:t>
      </w:r>
      <w:r w:rsidR="009E0209" w:rsidRPr="009E0209">
        <w:t xml:space="preserve">The Commission adopted the new toll free regulatory fee </w:t>
      </w:r>
      <w:r w:rsidR="00054E3D">
        <w:t>for</w:t>
      </w:r>
      <w:r w:rsidR="009E0209" w:rsidRPr="009E0209">
        <w:t xml:space="preserve"> RespOrgs in addition to the fee for ITSPs because they are using Commission resources for each fee category.  As a res</w:t>
      </w:r>
      <w:r w:rsidR="00840239">
        <w:t>ult, payment for both ITSP and toll free n</w:t>
      </w:r>
      <w:r w:rsidR="009E0209" w:rsidRPr="009E0209">
        <w:t>umber fee categories should be made.</w:t>
      </w:r>
      <w:r w:rsidR="009E0209" w:rsidRPr="009E0209">
        <w:rPr>
          <w:rStyle w:val="FootnoteReference"/>
        </w:rPr>
        <w:t xml:space="preserve"> </w:t>
      </w:r>
      <w:r w:rsidR="009E0209">
        <w:rPr>
          <w:rStyle w:val="FootnoteReference"/>
        </w:rPr>
        <w:footnoteReference w:id="32"/>
      </w:r>
      <w:r w:rsidR="009E0209">
        <w:t xml:space="preserve"> </w:t>
      </w:r>
      <w:r w:rsidR="009E0209" w:rsidRPr="009E0209">
        <w:t xml:space="preserve">  </w:t>
      </w:r>
      <w:r w:rsidR="00E62F4E">
        <w:t xml:space="preserve">In the </w:t>
      </w:r>
      <w:r w:rsidR="00E62F4E" w:rsidRPr="00122F19">
        <w:rPr>
          <w:i/>
        </w:rPr>
        <w:t>FY 2015 NPRM</w:t>
      </w:r>
      <w:r w:rsidR="00E62F4E">
        <w:t>, we sought comment on a regulatory fee of 12 cents per toll free number.</w:t>
      </w:r>
      <w:r w:rsidR="00E62F4E">
        <w:rPr>
          <w:rStyle w:val="FootnoteReference"/>
        </w:rPr>
        <w:footnoteReference w:id="33"/>
      </w:r>
      <w:r w:rsidR="00122F19">
        <w:t xml:space="preserve">  In this Report and Order, we adopt the proposed fee of 12 cents per toll free number.</w:t>
      </w:r>
      <w:r w:rsidR="00E62F4E">
        <w:t xml:space="preserve">  </w:t>
      </w:r>
      <w:r w:rsidR="00EF21C0">
        <w:t xml:space="preserve">  </w:t>
      </w:r>
    </w:p>
    <w:p w:rsidR="00EE3216" w:rsidRPr="00EE3216" w:rsidRDefault="00EE3216" w:rsidP="00EE3216">
      <w:pPr>
        <w:pStyle w:val="Heading3"/>
      </w:pPr>
      <w:r>
        <w:t>Submarine Cable</w:t>
      </w:r>
      <w:bookmarkEnd w:id="18"/>
      <w:bookmarkEnd w:id="19"/>
    </w:p>
    <w:p w:rsidR="00E04444" w:rsidRDefault="00C26AE0" w:rsidP="00DE11A9">
      <w:pPr>
        <w:pStyle w:val="ParaNum"/>
        <w:widowControl/>
      </w:pPr>
      <w:r w:rsidRPr="00F35B91">
        <w:t xml:space="preserve">In the </w:t>
      </w:r>
      <w:r w:rsidRPr="002161CC">
        <w:rPr>
          <w:i/>
        </w:rPr>
        <w:t>FY 2014 Report and Order</w:t>
      </w:r>
      <w:r w:rsidR="00E369F7">
        <w:rPr>
          <w:i/>
        </w:rPr>
        <w:t xml:space="preserve"> and FNPRM</w:t>
      </w:r>
      <w:r>
        <w:t xml:space="preserve">, we concluded that the regulatory fee assessment for the </w:t>
      </w:r>
      <w:r w:rsidRPr="00BA5423">
        <w:t>submarine cable</w:t>
      </w:r>
      <w:r>
        <w:t>/terrestrial and satellite bearer circ</w:t>
      </w:r>
      <w:r w:rsidR="00D2293E">
        <w:t>uits fee category</w:t>
      </w:r>
      <w:r w:rsidDel="009A5275">
        <w:t xml:space="preserve"> </w:t>
      </w:r>
      <w:r>
        <w:t xml:space="preserve">did not fairly take into account the Commission’s minimal oversight and regulation of the </w:t>
      </w:r>
      <w:r w:rsidR="00C428C0">
        <w:t xml:space="preserve">international bearer circuit (IBC) </w:t>
      </w:r>
      <w:r>
        <w:t>industry</w:t>
      </w:r>
      <w:r w:rsidR="00FD63F1">
        <w:t>.  Accordingly,</w:t>
      </w:r>
      <w:r>
        <w:t xml:space="preserve"> we reduced the </w:t>
      </w:r>
      <w:r w:rsidR="00C428C0">
        <w:t xml:space="preserve">total </w:t>
      </w:r>
      <w:r>
        <w:t xml:space="preserve">regulatory fee apportionment </w:t>
      </w:r>
      <w:r w:rsidR="00FD63F1">
        <w:t xml:space="preserve">for </w:t>
      </w:r>
      <w:r w:rsidR="00FD63F1" w:rsidRPr="00BA5423">
        <w:t>submarine cable</w:t>
      </w:r>
      <w:r w:rsidR="00FD63F1">
        <w:t xml:space="preserve">/terrestrial and satellite bearer circuits </w:t>
      </w:r>
      <w:r>
        <w:t>by five percent and stated that we would revisit the issue to determine if additional adjustment is warranted.</w:t>
      </w:r>
      <w:r>
        <w:rPr>
          <w:rStyle w:val="FootnoteReference"/>
        </w:rPr>
        <w:footnoteReference w:id="34"/>
      </w:r>
      <w:r>
        <w:t xml:space="preserve">  </w:t>
      </w:r>
      <w:r w:rsidR="00DF45DE">
        <w:t xml:space="preserve">Subsequently, in the </w:t>
      </w:r>
      <w:r w:rsidR="00DF45DE">
        <w:rPr>
          <w:i/>
        </w:rPr>
        <w:t>FY 2015 NPRM</w:t>
      </w:r>
      <w:r w:rsidR="00DF45DE">
        <w:t xml:space="preserve">, we sought comment on </w:t>
      </w:r>
      <w:r w:rsidR="00C428C0">
        <w:t xml:space="preserve">further </w:t>
      </w:r>
      <w:r w:rsidR="00DF45DE">
        <w:t xml:space="preserve">reducing the regulatory fee allocation for </w:t>
      </w:r>
      <w:r w:rsidR="002B2E05">
        <w:t xml:space="preserve">the </w:t>
      </w:r>
      <w:r w:rsidR="00DF45DE">
        <w:t>s</w:t>
      </w:r>
      <w:r w:rsidR="00DF45DE" w:rsidRPr="00A438CD">
        <w:t>ubmarine cable</w:t>
      </w:r>
      <w:r w:rsidR="00DF45DE">
        <w:t>/terrestrial and satellite bearer circuit fee category</w:t>
      </w:r>
      <w:r w:rsidR="002B2E05">
        <w:t>.</w:t>
      </w:r>
      <w:r w:rsidR="00DF45DE">
        <w:rPr>
          <w:rStyle w:val="FootnoteReference"/>
        </w:rPr>
        <w:footnoteReference w:id="35"/>
      </w:r>
      <w:r w:rsidR="00DF45DE">
        <w:t xml:space="preserve">  </w:t>
      </w:r>
      <w:r w:rsidR="002B2E05">
        <w:t xml:space="preserve">In particular, we observed that </w:t>
      </w:r>
      <w:r w:rsidR="002B2E05" w:rsidRPr="00A438CD">
        <w:t>after the initial licensing process</w:t>
      </w:r>
      <w:r w:rsidR="003A129E">
        <w:t>, t</w:t>
      </w:r>
      <w:r w:rsidR="002B2E05">
        <w:t>he regulatory activity concerning submarine cable</w:t>
      </w:r>
      <w:r w:rsidR="00697E64">
        <w:t>/terrestrial and satellite bearer circuit</w:t>
      </w:r>
      <w:r w:rsidR="002B2E05">
        <w:t xml:space="preserve"> systems</w:t>
      </w:r>
      <w:r w:rsidR="00384C46">
        <w:t xml:space="preserve"> </w:t>
      </w:r>
      <w:r w:rsidR="002B2E05">
        <w:t xml:space="preserve">is primarily limited to </w:t>
      </w:r>
      <w:r w:rsidR="00C12899">
        <w:t xml:space="preserve">reviewing the </w:t>
      </w:r>
      <w:r w:rsidR="00697E64">
        <w:t>Circuit Capacity Reports</w:t>
      </w:r>
      <w:r w:rsidR="00697E64">
        <w:rPr>
          <w:rStyle w:val="FootnoteReference"/>
        </w:rPr>
        <w:footnoteReference w:id="36"/>
      </w:r>
      <w:r w:rsidR="00697E64">
        <w:t xml:space="preserve"> and quarterly reports </w:t>
      </w:r>
      <w:r w:rsidR="00C12899">
        <w:t xml:space="preserve">filed </w:t>
      </w:r>
      <w:r w:rsidR="00697E64">
        <w:t>by licensees.</w:t>
      </w:r>
      <w:r w:rsidR="00697E64" w:rsidRPr="00A438CD">
        <w:rPr>
          <w:rStyle w:val="FootnoteReference"/>
        </w:rPr>
        <w:footnoteReference w:id="37"/>
      </w:r>
      <w:r w:rsidR="00697E64" w:rsidRPr="00A438CD">
        <w:t xml:space="preserve"> </w:t>
      </w:r>
      <w:r w:rsidR="00697E64">
        <w:t xml:space="preserve"> </w:t>
      </w:r>
      <w:r w:rsidR="002B2E05">
        <w:t>Based on our tentative conclusion that the fee remained excessive relative to the minimal Commission oversight and regulation of this industry</w:t>
      </w:r>
      <w:r w:rsidR="00697E64">
        <w:t xml:space="preserve">, we proposed </w:t>
      </w:r>
      <w:r>
        <w:t>a</w:t>
      </w:r>
      <w:r w:rsidR="00DA1E72">
        <w:t>n</w:t>
      </w:r>
      <w:r w:rsidR="00D2293E">
        <w:t>other</w:t>
      </w:r>
      <w:r>
        <w:t xml:space="preserve"> five percent decrease</w:t>
      </w:r>
      <w:r w:rsidR="009D5E87">
        <w:t xml:space="preserve"> in fees</w:t>
      </w:r>
      <w:r w:rsidR="009A34AE">
        <w:t>.</w:t>
      </w:r>
      <w:r w:rsidR="009A34AE">
        <w:rPr>
          <w:rStyle w:val="FootnoteReference"/>
        </w:rPr>
        <w:footnoteReference w:id="38"/>
      </w:r>
    </w:p>
    <w:p w:rsidR="002C0FC5" w:rsidRDefault="00B7063E" w:rsidP="00DE11A9">
      <w:pPr>
        <w:pStyle w:val="ParaNum"/>
      </w:pPr>
      <w:r>
        <w:t>NASCA, representing submarine cable operators</w:t>
      </w:r>
      <w:r w:rsidR="00C12899">
        <w:t>,</w:t>
      </w:r>
      <w:r w:rsidR="009A34AE">
        <w:rPr>
          <w:rStyle w:val="FootnoteReference"/>
        </w:rPr>
        <w:footnoteReference w:id="39"/>
      </w:r>
      <w:r w:rsidR="009A34AE">
        <w:t xml:space="preserve"> argues that the </w:t>
      </w:r>
      <w:r w:rsidR="00C12899">
        <w:t xml:space="preserve">proposed </w:t>
      </w:r>
      <w:r w:rsidR="009A34AE">
        <w:t xml:space="preserve">fee remains excessive because the industry would be responsible for 27.6 </w:t>
      </w:r>
      <w:r w:rsidR="00C12899">
        <w:t xml:space="preserve">percent </w:t>
      </w:r>
      <w:r w:rsidR="009A34AE">
        <w:t>of all International Bureau regulatory fees.</w:t>
      </w:r>
      <w:r w:rsidR="009A34AE">
        <w:rPr>
          <w:rStyle w:val="FootnoteReference"/>
        </w:rPr>
        <w:footnoteReference w:id="40"/>
      </w:r>
      <w:r w:rsidRPr="00F86EEB">
        <w:t xml:space="preserve"> </w:t>
      </w:r>
      <w:r w:rsidR="00B256D0">
        <w:t xml:space="preserve"> </w:t>
      </w:r>
      <w:r w:rsidR="003016A2">
        <w:t xml:space="preserve">Commenters </w:t>
      </w:r>
      <w:r w:rsidR="00140EAD">
        <w:t xml:space="preserve">also </w:t>
      </w:r>
      <w:r w:rsidR="003016A2">
        <w:t>contend</w:t>
      </w:r>
      <w:r w:rsidR="00CC2436">
        <w:t xml:space="preserve"> that the </w:t>
      </w:r>
      <w:r w:rsidR="00C12899">
        <w:t xml:space="preserve">apportionment of regulatory fees </w:t>
      </w:r>
      <w:r w:rsidR="00CC2436">
        <w:t>for submarine cable operators and terrestrial and satellite</w:t>
      </w:r>
      <w:r w:rsidR="003C23DC">
        <w:t xml:space="preserve"> bearer</w:t>
      </w:r>
      <w:r w:rsidR="00CC2436">
        <w:t xml:space="preserve"> circuits</w:t>
      </w:r>
      <w:r w:rsidR="004739ED">
        <w:t xml:space="preserve"> remains</w:t>
      </w:r>
      <w:r w:rsidR="00CC2436">
        <w:t xml:space="preserve"> too high due to the small number of FTEs working on those services.</w:t>
      </w:r>
      <w:r w:rsidR="00F505BD">
        <w:rPr>
          <w:rStyle w:val="FootnoteReference"/>
        </w:rPr>
        <w:footnoteReference w:id="41"/>
      </w:r>
      <w:r w:rsidRPr="00FE2F75">
        <w:t xml:space="preserve">  </w:t>
      </w:r>
      <w:r w:rsidR="00140EAD">
        <w:t xml:space="preserve">Some </w:t>
      </w:r>
      <w:r w:rsidR="00816BF1">
        <w:t xml:space="preserve">commenters </w:t>
      </w:r>
      <w:r w:rsidR="00D57181">
        <w:t>o</w:t>
      </w:r>
      <w:r w:rsidR="00816BF1">
        <w:t>bserve</w:t>
      </w:r>
      <w:r w:rsidR="00140EAD">
        <w:t xml:space="preserve"> as well</w:t>
      </w:r>
      <w:r w:rsidR="00816BF1">
        <w:t xml:space="preserve"> that the high regulatory fees imposed on the submarine cable operators </w:t>
      </w:r>
      <w:r w:rsidR="002C0FC5">
        <w:t xml:space="preserve">can place the United States at a competitive </w:t>
      </w:r>
      <w:r w:rsidR="00F01226">
        <w:t>disadvantage</w:t>
      </w:r>
      <w:r w:rsidR="004739ED">
        <w:t xml:space="preserve"> because </w:t>
      </w:r>
      <w:r w:rsidR="00B52717">
        <w:t>Canada and Mexico have much lower fees and the submarine cable industry may choose to land new cables in those countries instead</w:t>
      </w:r>
      <w:r w:rsidR="004739ED">
        <w:t>.</w:t>
      </w:r>
      <w:r w:rsidR="00B52717">
        <w:rPr>
          <w:rStyle w:val="FootnoteReference"/>
        </w:rPr>
        <w:footnoteReference w:id="42"/>
      </w:r>
      <w:r w:rsidR="00140EAD">
        <w:t xml:space="preserve">  Commenters suggest</w:t>
      </w:r>
      <w:r w:rsidR="004739ED">
        <w:t xml:space="preserve"> </w:t>
      </w:r>
      <w:r w:rsidR="00456F5C">
        <w:t>that this c</w:t>
      </w:r>
      <w:r w:rsidR="007B64AC">
        <w:t xml:space="preserve">ould </w:t>
      </w:r>
      <w:r w:rsidR="00F01226">
        <w:t xml:space="preserve">pose national security issues </w:t>
      </w:r>
      <w:r w:rsidR="00B52717">
        <w:t xml:space="preserve">if </w:t>
      </w:r>
      <w:r w:rsidR="00253FC5">
        <w:t xml:space="preserve">the submarine cable operators </w:t>
      </w:r>
      <w:r w:rsidR="007408F9">
        <w:t xml:space="preserve">choose to </w:t>
      </w:r>
      <w:r w:rsidR="00253FC5">
        <w:t xml:space="preserve">build out in </w:t>
      </w:r>
      <w:r w:rsidR="00F01226">
        <w:t>Canada and Mexico</w:t>
      </w:r>
      <w:r w:rsidR="00FF206D">
        <w:t xml:space="preserve">, </w:t>
      </w:r>
      <w:r w:rsidR="00456F5C">
        <w:t xml:space="preserve">because </w:t>
      </w:r>
      <w:r w:rsidR="00FF206D">
        <w:t>those</w:t>
      </w:r>
      <w:r w:rsidR="00B52717">
        <w:t xml:space="preserve"> facilities would not be subject to </w:t>
      </w:r>
      <w:r w:rsidR="00976A2B">
        <w:t xml:space="preserve">the Communications Assistance for Law Enforcement Act, commonly known as </w:t>
      </w:r>
      <w:r w:rsidR="00B52717">
        <w:t>CALEA</w:t>
      </w:r>
      <w:r w:rsidR="00F01226">
        <w:t>.</w:t>
      </w:r>
      <w:r w:rsidR="00F01226">
        <w:rPr>
          <w:rStyle w:val="FootnoteReference"/>
        </w:rPr>
        <w:footnoteReference w:id="43"/>
      </w:r>
      <w:r w:rsidR="00E26D46" w:rsidRPr="00E26D46">
        <w:t xml:space="preserve"> </w:t>
      </w:r>
      <w:r w:rsidR="00C179F7">
        <w:t xml:space="preserve"> </w:t>
      </w:r>
      <w:r w:rsidR="002D0A46">
        <w:t>EchoS</w:t>
      </w:r>
      <w:r w:rsidR="00E26D46">
        <w:t xml:space="preserve">tar contends that we have not supported our proposal </w:t>
      </w:r>
      <w:r w:rsidR="00C179F7">
        <w:t xml:space="preserve">to reduce the IBC fees </w:t>
      </w:r>
      <w:r w:rsidR="00E26D46">
        <w:t>with sufficient facts.</w:t>
      </w:r>
      <w:r w:rsidR="00E26D46">
        <w:rPr>
          <w:rStyle w:val="FootnoteReference"/>
        </w:rPr>
        <w:footnoteReference w:id="44"/>
      </w:r>
      <w:r w:rsidR="00E26D46">
        <w:t xml:space="preserve">  </w:t>
      </w:r>
    </w:p>
    <w:p w:rsidR="00B7063E" w:rsidRDefault="00140EAD" w:rsidP="00075A20">
      <w:pPr>
        <w:pStyle w:val="ParaNum"/>
      </w:pPr>
      <w:r>
        <w:t>In 2009</w:t>
      </w:r>
      <w:r w:rsidR="00C428C0">
        <w:t xml:space="preserve">, the Commission adopted a new regulatory fee methodology </w:t>
      </w:r>
      <w:r w:rsidR="00681151">
        <w:t xml:space="preserve">for submarine cable </w:t>
      </w:r>
      <w:r w:rsidR="00C428C0">
        <w:t>based on a proposal by a large group of submarine cable operators.</w:t>
      </w:r>
      <w:r w:rsidR="00C428C0">
        <w:rPr>
          <w:rStyle w:val="FootnoteReference"/>
        </w:rPr>
        <w:footnoteReference w:id="45"/>
      </w:r>
      <w:r w:rsidR="00395840">
        <w:t xml:space="preserve">  Under this methodology, after we apportion the IBC revenue requirement between the terrestrial and satellite facilities and submarine cable, we assess the submarine cable systems on a per cable landing license basis, with higher fees for larger systems and lower fees for smaller systems</w:t>
      </w:r>
      <w:r w:rsidR="00681151">
        <w:t xml:space="preserve"> (the regulatory fees for terrestrial and satellite facilities are still assessed on a per bearer circuit basis)</w:t>
      </w:r>
      <w:r>
        <w:t>.</w:t>
      </w:r>
      <w:r w:rsidR="00395840">
        <w:rPr>
          <w:rStyle w:val="FootnoteReference"/>
        </w:rPr>
        <w:footnoteReference w:id="46"/>
      </w:r>
      <w:r w:rsidR="00EA3C1B">
        <w:t xml:space="preserve">  </w:t>
      </w:r>
      <w:r w:rsidR="00075A20">
        <w:t>T</w:t>
      </w:r>
      <w:r w:rsidR="00075A20" w:rsidRPr="00075A20">
        <w:t>he</w:t>
      </w:r>
      <w:r w:rsidR="00075A20">
        <w:t xml:space="preserve"> regulatory </w:t>
      </w:r>
      <w:r w:rsidR="00075A20" w:rsidRPr="00075A20">
        <w:t>fees that are now paid by the sub</w:t>
      </w:r>
      <w:r w:rsidR="00075A20">
        <w:t xml:space="preserve">marine </w:t>
      </w:r>
      <w:r w:rsidR="00075A20" w:rsidRPr="00075A20">
        <w:t xml:space="preserve">cable operators cover </w:t>
      </w:r>
      <w:r w:rsidRPr="00075A20">
        <w:t>the services provided to common carriers using the sub</w:t>
      </w:r>
      <w:r>
        <w:t xml:space="preserve">marine </w:t>
      </w:r>
      <w:r w:rsidRPr="00075A20">
        <w:t xml:space="preserve">cable circuits </w:t>
      </w:r>
      <w:r>
        <w:t>in addition to</w:t>
      </w:r>
      <w:r w:rsidR="00075A20" w:rsidRPr="00075A20">
        <w:t xml:space="preserve"> the services that </w:t>
      </w:r>
      <w:r w:rsidR="00075A20">
        <w:t xml:space="preserve">the </w:t>
      </w:r>
      <w:r w:rsidR="00075A20" w:rsidRPr="00075A20">
        <w:t>I</w:t>
      </w:r>
      <w:r w:rsidR="00075A20">
        <w:t xml:space="preserve">nternational </w:t>
      </w:r>
      <w:r w:rsidR="00075A20" w:rsidRPr="00075A20">
        <w:t>B</w:t>
      </w:r>
      <w:r w:rsidR="00075A20">
        <w:t>ureau</w:t>
      </w:r>
      <w:r w:rsidR="00075A20" w:rsidRPr="00075A20">
        <w:t xml:space="preserve"> provides to sub</w:t>
      </w:r>
      <w:r w:rsidR="00075A20">
        <w:t xml:space="preserve">marine </w:t>
      </w:r>
      <w:r w:rsidR="00075A20" w:rsidRPr="00075A20">
        <w:t>cable operators</w:t>
      </w:r>
      <w:r w:rsidR="00075A20">
        <w:t xml:space="preserve">.  </w:t>
      </w:r>
      <w:r w:rsidR="00E26D46">
        <w:t>The</w:t>
      </w:r>
      <w:r w:rsidR="0038145F">
        <w:t xml:space="preserve"> International Bureau</w:t>
      </w:r>
      <w:r w:rsidR="00E26D46">
        <w:t xml:space="preserve">’s </w:t>
      </w:r>
      <w:r w:rsidR="002E14F4">
        <w:t xml:space="preserve">regulatory activity </w:t>
      </w:r>
      <w:r>
        <w:t>concerning</w:t>
      </w:r>
      <w:r w:rsidR="0038145F">
        <w:t xml:space="preserve"> submarine cable </w:t>
      </w:r>
      <w:r w:rsidR="002E14F4">
        <w:t xml:space="preserve">includes </w:t>
      </w:r>
      <w:r w:rsidR="002D77D2">
        <w:t>licensing,</w:t>
      </w:r>
      <w:r w:rsidR="005C7ECF">
        <w:rPr>
          <w:rStyle w:val="FootnoteReference"/>
        </w:rPr>
        <w:footnoteReference w:id="47"/>
      </w:r>
      <w:r w:rsidR="002D77D2">
        <w:t xml:space="preserve"> </w:t>
      </w:r>
      <w:r w:rsidR="00AE4F3E">
        <w:t xml:space="preserve">reviewing the </w:t>
      </w:r>
      <w:r w:rsidR="003C23DC">
        <w:t xml:space="preserve">Circuit </w:t>
      </w:r>
      <w:r w:rsidR="003F15ED">
        <w:t>Capacity</w:t>
      </w:r>
      <w:r w:rsidR="003C23DC">
        <w:t xml:space="preserve"> Reports</w:t>
      </w:r>
      <w:r w:rsidR="003C23DC">
        <w:rPr>
          <w:rStyle w:val="FootnoteReference"/>
        </w:rPr>
        <w:footnoteReference w:id="48"/>
      </w:r>
      <w:r w:rsidR="00AE4F3E">
        <w:t xml:space="preserve"> and filed</w:t>
      </w:r>
      <w:r w:rsidR="003C23DC">
        <w:t xml:space="preserve"> quarterly</w:t>
      </w:r>
      <w:r w:rsidR="00251BE3">
        <w:t xml:space="preserve"> reports</w:t>
      </w:r>
      <w:r w:rsidR="002E14F4">
        <w:t>.</w:t>
      </w:r>
      <w:r w:rsidR="003C23DC" w:rsidRPr="00A438CD">
        <w:rPr>
          <w:rStyle w:val="FootnoteReference"/>
        </w:rPr>
        <w:footnoteReference w:id="49"/>
      </w:r>
      <w:r w:rsidR="003C23DC">
        <w:t xml:space="preserve">  </w:t>
      </w:r>
      <w:r w:rsidR="002E14F4">
        <w:t xml:space="preserve">In addition, all International Bureau </w:t>
      </w:r>
      <w:r w:rsidR="00075A20" w:rsidRPr="00075A20">
        <w:t>services provided to common carriers using the sub</w:t>
      </w:r>
      <w:r w:rsidR="00075A20">
        <w:t xml:space="preserve">marine </w:t>
      </w:r>
      <w:r w:rsidR="00075A20" w:rsidRPr="00075A20">
        <w:t>cable circuits</w:t>
      </w:r>
      <w:r w:rsidR="00075A20">
        <w:t xml:space="preserve">, </w:t>
      </w:r>
      <w:r w:rsidR="002E14F4">
        <w:t>such as benchmarks enforcement,</w:t>
      </w:r>
      <w:r w:rsidR="00E202EB">
        <w:rPr>
          <w:rStyle w:val="FootnoteReference"/>
        </w:rPr>
        <w:footnoteReference w:id="50"/>
      </w:r>
      <w:r w:rsidR="002E14F4">
        <w:t xml:space="preserve"> </w:t>
      </w:r>
      <w:r w:rsidR="002E14F4" w:rsidRPr="002E14F4">
        <w:t>protection from anticompetitive actions by foreign carriers, f</w:t>
      </w:r>
      <w:r w:rsidR="002E14F4">
        <w:t>oreign ownership rulings (P</w:t>
      </w:r>
      <w:r w:rsidR="001E2931">
        <w:t xml:space="preserve">etitions for </w:t>
      </w:r>
      <w:r w:rsidR="002E14F4">
        <w:t>D</w:t>
      </w:r>
      <w:r w:rsidR="001E2931">
        <w:t xml:space="preserve">eclaratory </w:t>
      </w:r>
      <w:r w:rsidR="002E14F4">
        <w:t>R</w:t>
      </w:r>
      <w:r w:rsidR="001E2931">
        <w:t>uling</w:t>
      </w:r>
      <w:r w:rsidR="002E14F4">
        <w:t>s</w:t>
      </w:r>
      <w:r w:rsidR="001E2931">
        <w:t>, or PDRs</w:t>
      </w:r>
      <w:r w:rsidR="002E14F4">
        <w:t xml:space="preserve">), section </w:t>
      </w:r>
      <w:r w:rsidR="002E14F4" w:rsidRPr="002E14F4">
        <w:t xml:space="preserve">214 authorizations, </w:t>
      </w:r>
      <w:r w:rsidR="00445F6E">
        <w:t xml:space="preserve">and </w:t>
      </w:r>
      <w:r w:rsidR="002E14F4" w:rsidRPr="002E14F4">
        <w:t>bilateral and multilateral negotiations and representation of U.S. interests at international organizations</w:t>
      </w:r>
      <w:r w:rsidR="002B64BD">
        <w:t>,</w:t>
      </w:r>
      <w:r w:rsidR="002E14F4">
        <w:t xml:space="preserve"> are all provided by the International Bureau on behalf of the common carriers using submarine cable circuits.</w:t>
      </w:r>
      <w:r w:rsidR="001C0478">
        <w:t xml:space="preserve"> </w:t>
      </w:r>
      <w:r w:rsidR="0036389B">
        <w:t xml:space="preserve"> </w:t>
      </w:r>
      <w:r w:rsidR="001C0478">
        <w:t>Upon this further analysis</w:t>
      </w:r>
      <w:r w:rsidR="003F47BB">
        <w:t>,</w:t>
      </w:r>
      <w:r w:rsidR="001C0478">
        <w:t xml:space="preserve"> we conclude that our previous estimate of two FTEs working on IBC issues</w:t>
      </w:r>
      <w:r w:rsidR="00B33CF1">
        <w:t>,</w:t>
      </w:r>
      <w:r w:rsidR="001C0478">
        <w:t xml:space="preserve"> discussed in </w:t>
      </w:r>
      <w:r w:rsidR="001C0478" w:rsidRPr="00A863B2">
        <w:rPr>
          <w:i/>
        </w:rPr>
        <w:t>FY 2014 Report and Order</w:t>
      </w:r>
      <w:r w:rsidR="001C0478">
        <w:t>, did not take these issues into account.</w:t>
      </w:r>
      <w:r w:rsidR="001C0478">
        <w:rPr>
          <w:rStyle w:val="FootnoteReference"/>
        </w:rPr>
        <w:footnoteReference w:id="51"/>
      </w:r>
      <w:r w:rsidR="001C0478">
        <w:t xml:space="preserve">  Nevertheless, a</w:t>
      </w:r>
      <w:r w:rsidR="00C179F7">
        <w:t xml:space="preserve">s we have discussed previously in the </w:t>
      </w:r>
      <w:r w:rsidR="00C179F7" w:rsidRPr="00EA3C1B">
        <w:rPr>
          <w:i/>
        </w:rPr>
        <w:t>FY 2013 NPRM</w:t>
      </w:r>
      <w:r w:rsidR="00C179F7">
        <w:t xml:space="preserve">, </w:t>
      </w:r>
      <w:r w:rsidR="00C179F7" w:rsidRPr="00EA3C1B">
        <w:rPr>
          <w:i/>
        </w:rPr>
        <w:t>FY 2014 NPRM</w:t>
      </w:r>
      <w:r w:rsidR="00C179F7">
        <w:t xml:space="preserve">, and the </w:t>
      </w:r>
      <w:r w:rsidR="00C179F7" w:rsidRPr="00EA3C1B">
        <w:rPr>
          <w:i/>
        </w:rPr>
        <w:t>FY 2015 NPRM</w:t>
      </w:r>
      <w:r w:rsidR="00C179F7">
        <w:t>,</w:t>
      </w:r>
      <w:r w:rsidR="00C179F7">
        <w:rPr>
          <w:rStyle w:val="FootnoteReference"/>
        </w:rPr>
        <w:footnoteReference w:id="52"/>
      </w:r>
      <w:r w:rsidR="00C179F7">
        <w:t xml:space="preserve"> the oversight and regulation of the IBC industry may warrant additional adjustment to the fee allocation.  </w:t>
      </w:r>
      <w:r w:rsidR="007237B6">
        <w:t>For the reasons discussed above</w:t>
      </w:r>
      <w:r w:rsidR="001C0478">
        <w:t>,</w:t>
      </w:r>
      <w:r w:rsidR="007237B6">
        <w:t xml:space="preserve"> w</w:t>
      </w:r>
      <w:r w:rsidR="00B7063E">
        <w:t xml:space="preserve">e </w:t>
      </w:r>
      <w:r w:rsidR="007237B6">
        <w:t>re</w:t>
      </w:r>
      <w:r w:rsidR="00B7063E">
        <w:t xml:space="preserve">duce the regulatory fee apportionment for </w:t>
      </w:r>
      <w:r w:rsidR="00FE2F75">
        <w:t>submarine cable</w:t>
      </w:r>
      <w:r w:rsidR="007B64AC">
        <w:t xml:space="preserve">/terrestrial and satellite </w:t>
      </w:r>
      <w:r w:rsidR="00830B1A">
        <w:t xml:space="preserve">bearer </w:t>
      </w:r>
      <w:r w:rsidR="007B64AC">
        <w:t xml:space="preserve">circuits </w:t>
      </w:r>
      <w:r w:rsidR="001F754C">
        <w:t xml:space="preserve">by </w:t>
      </w:r>
      <w:r w:rsidR="00977CE8">
        <w:t>7.5</w:t>
      </w:r>
      <w:r w:rsidR="0016559E">
        <w:t xml:space="preserve"> </w:t>
      </w:r>
      <w:r w:rsidR="001F754C">
        <w:t xml:space="preserve">percent </w:t>
      </w:r>
      <w:r w:rsidR="00FE2F75">
        <w:t>to more acc</w:t>
      </w:r>
      <w:r w:rsidR="00B7063E">
        <w:t>urately reflect the regulation and oversight for th</w:t>
      </w:r>
      <w:r w:rsidR="00B55BBD">
        <w:t>e</w:t>
      </w:r>
      <w:r w:rsidR="00B7063E">
        <w:t xml:space="preserve"> industry.</w:t>
      </w:r>
      <w:r w:rsidR="00CC1E74">
        <w:rPr>
          <w:rStyle w:val="FootnoteReference"/>
        </w:rPr>
        <w:footnoteReference w:id="53"/>
      </w:r>
      <w:r w:rsidR="00B7063E">
        <w:t xml:space="preserve">  </w:t>
      </w:r>
      <w:r w:rsidR="00FE2F75" w:rsidRPr="00FE2F75">
        <w:t xml:space="preserve">This </w:t>
      </w:r>
      <w:r w:rsidR="002D77D2">
        <w:t xml:space="preserve">analysis </w:t>
      </w:r>
      <w:r w:rsidR="00FE2F75" w:rsidRPr="00FE2F75">
        <w:t xml:space="preserve">reflects </w:t>
      </w:r>
      <w:r w:rsidR="00B7063E">
        <w:t xml:space="preserve">both the direct work </w:t>
      </w:r>
      <w:r w:rsidR="00765AF4">
        <w:t>on</w:t>
      </w:r>
      <w:r w:rsidR="00B7063E">
        <w:t xml:space="preserve"> submarine cable</w:t>
      </w:r>
      <w:r w:rsidR="005F7208">
        <w:t xml:space="preserve">/terrestrial and satellite </w:t>
      </w:r>
      <w:r w:rsidR="00830B1A">
        <w:t xml:space="preserve">bearer </w:t>
      </w:r>
      <w:r w:rsidR="005F7208">
        <w:t>circuit</w:t>
      </w:r>
      <w:r w:rsidR="00765AF4">
        <w:t xml:space="preserve"> issues</w:t>
      </w:r>
      <w:r w:rsidR="00B7063E">
        <w:t xml:space="preserve"> </w:t>
      </w:r>
      <w:r w:rsidR="002B64BD">
        <w:t xml:space="preserve">and other common carrier issues </w:t>
      </w:r>
      <w:r w:rsidR="007F681C">
        <w:t xml:space="preserve">by International Bureau FTEs </w:t>
      </w:r>
      <w:r w:rsidR="00B7063E">
        <w:t>and the indirect FTEs that devote their time to I</w:t>
      </w:r>
      <w:r w:rsidR="00CD1E2C">
        <w:t>nternational Bureau</w:t>
      </w:r>
      <w:r w:rsidR="00B7063E">
        <w:t xml:space="preserve"> regulatees as a whole.</w:t>
      </w:r>
      <w:r w:rsidR="004404DB">
        <w:t xml:space="preserve">  </w:t>
      </w:r>
      <w:r w:rsidR="002D77D2">
        <w:t xml:space="preserve">We find that this decrease in the regulatory fees paid by IBCs more accurately reflects the </w:t>
      </w:r>
      <w:r w:rsidR="00811F60">
        <w:t xml:space="preserve">level of </w:t>
      </w:r>
      <w:r w:rsidR="002D77D2">
        <w:t xml:space="preserve">regulation and oversight for this industry.  </w:t>
      </w:r>
      <w:r w:rsidR="00A6235D">
        <w:t xml:space="preserve">Also, we reject the </w:t>
      </w:r>
      <w:r w:rsidR="004B7D86">
        <w:t xml:space="preserve">speculation </w:t>
      </w:r>
      <w:r w:rsidR="00A6235D">
        <w:t>that failure to reduce regulatory fees as much as the submarine cable operators might prefer could lead to a change in the cable landing locations.  W</w:t>
      </w:r>
      <w:r w:rsidR="00121A3B" w:rsidRPr="00121A3B">
        <w:t xml:space="preserve">e </w:t>
      </w:r>
      <w:r w:rsidR="00A6235D">
        <w:t xml:space="preserve">also </w:t>
      </w:r>
      <w:r w:rsidR="00121A3B" w:rsidRPr="00121A3B">
        <w:t>reject EchoStar’s statement that our proposal lacked factual support.  As noted above, the regulatory oversight of this fee category has been explained in detail in this, and prior proceedings,</w:t>
      </w:r>
      <w:r w:rsidR="000F3CDE">
        <w:rPr>
          <w:rStyle w:val="FootnoteReference"/>
        </w:rPr>
        <w:footnoteReference w:id="54"/>
      </w:r>
      <w:r w:rsidR="000F3CDE">
        <w:t xml:space="preserve"> </w:t>
      </w:r>
      <w:r w:rsidR="00121A3B" w:rsidRPr="00121A3B">
        <w:t xml:space="preserve">and has been the subject of comments </w:t>
      </w:r>
      <w:r w:rsidR="00861C20">
        <w:t xml:space="preserve">by submarine cable operators </w:t>
      </w:r>
      <w:r w:rsidR="00121A3B" w:rsidRPr="00121A3B">
        <w:t xml:space="preserve">for a number of years.  </w:t>
      </w:r>
      <w:r w:rsidR="00B7063E">
        <w:t xml:space="preserve"> </w:t>
      </w:r>
    </w:p>
    <w:p w:rsidR="00204CCF" w:rsidRDefault="007E63E6" w:rsidP="007E63E6">
      <w:pPr>
        <w:pStyle w:val="Heading3"/>
      </w:pPr>
      <w:bookmarkStart w:id="20" w:name="_Toc394672305"/>
      <w:bookmarkStart w:id="21" w:name="_Toc397078317"/>
      <w:r>
        <w:t>Earth Stations</w:t>
      </w:r>
      <w:bookmarkEnd w:id="20"/>
      <w:bookmarkEnd w:id="21"/>
    </w:p>
    <w:p w:rsidR="00B166B3" w:rsidRDefault="00633883" w:rsidP="00DE11A9">
      <w:pPr>
        <w:pStyle w:val="ParaNum"/>
        <w:widowControl/>
      </w:pPr>
      <w:r>
        <w:t>I</w:t>
      </w:r>
      <w:r w:rsidR="007E63E6">
        <w:t xml:space="preserve">n the </w:t>
      </w:r>
      <w:r w:rsidR="007E63E6" w:rsidRPr="00BE2140">
        <w:rPr>
          <w:i/>
        </w:rPr>
        <w:t xml:space="preserve">FY 2014 </w:t>
      </w:r>
      <w:r w:rsidR="00920649" w:rsidRPr="00BE2140">
        <w:rPr>
          <w:i/>
        </w:rPr>
        <w:t>NPRM</w:t>
      </w:r>
      <w:r w:rsidR="007E63E6">
        <w:t xml:space="preserve">, </w:t>
      </w:r>
      <w:r w:rsidR="000A660B">
        <w:t xml:space="preserve">the Commission recognized </w:t>
      </w:r>
      <w:r w:rsidR="003A48D9">
        <w:t xml:space="preserve">that </w:t>
      </w:r>
      <w:r w:rsidR="000E38F8">
        <w:t xml:space="preserve">the International Bureau’s </w:t>
      </w:r>
      <w:r w:rsidR="003A48D9" w:rsidRPr="007E63E6">
        <w:t>oversight</w:t>
      </w:r>
      <w:r w:rsidR="007E63E6" w:rsidRPr="007E63E6">
        <w:t xml:space="preserve"> and regulation</w:t>
      </w:r>
      <w:r w:rsidR="000A660B">
        <w:t xml:space="preserve"> of the satellite industry </w:t>
      </w:r>
      <w:r w:rsidR="006E3BB8">
        <w:t xml:space="preserve">involves FTEs working on </w:t>
      </w:r>
      <w:r w:rsidR="000A660B">
        <w:t>legal, technical, and policy issues pertaining to both space station and earth station operations and is therefore</w:t>
      </w:r>
      <w:r w:rsidR="007E63E6" w:rsidRPr="007E63E6">
        <w:t xml:space="preserve"> interdependent to some </w:t>
      </w:r>
      <w:r w:rsidR="007E63E6">
        <w:t>degree.</w:t>
      </w:r>
      <w:r w:rsidR="007E63E6">
        <w:rPr>
          <w:rStyle w:val="FootnoteReference"/>
        </w:rPr>
        <w:footnoteReference w:id="55"/>
      </w:r>
      <w:r w:rsidR="00421CBE">
        <w:t xml:space="preserve">  </w:t>
      </w:r>
      <w:r w:rsidR="00555948">
        <w:t>For that reason, w</w:t>
      </w:r>
      <w:r w:rsidR="007E63E6" w:rsidRPr="00FE2F75">
        <w:t>e</w:t>
      </w:r>
      <w:r w:rsidR="00CC5DAD">
        <w:t xml:space="preserve"> </w:t>
      </w:r>
      <w:r w:rsidR="00421CBE" w:rsidRPr="00FE2F75">
        <w:t>sought</w:t>
      </w:r>
      <w:r w:rsidR="007E63E6" w:rsidRPr="00FE2F75">
        <w:t xml:space="preserve"> comment</w:t>
      </w:r>
      <w:r w:rsidR="007E63E6" w:rsidRPr="007E63E6">
        <w:t xml:space="preserve"> on</w:t>
      </w:r>
      <w:r w:rsidR="00421CBE">
        <w:t xml:space="preserve"> whether we should increase the earth station regulatory fee</w:t>
      </w:r>
      <w:r w:rsidR="007E63E6" w:rsidRPr="007E63E6">
        <w:t xml:space="preserve"> allocation in order to reflect more appropriately the </w:t>
      </w:r>
      <w:r w:rsidR="00021AF4">
        <w:t xml:space="preserve">number of FTEs </w:t>
      </w:r>
      <w:r w:rsidR="008B6222">
        <w:t xml:space="preserve">devoted to </w:t>
      </w:r>
      <w:r w:rsidR="00021AF4">
        <w:t xml:space="preserve">the </w:t>
      </w:r>
      <w:r w:rsidR="007E63E6" w:rsidRPr="007E63E6">
        <w:t>regulation and oversight of th</w:t>
      </w:r>
      <w:r w:rsidR="00821EEA">
        <w:t xml:space="preserve">e earth station portion of the </w:t>
      </w:r>
      <w:r w:rsidR="003A48D9">
        <w:t>satellite</w:t>
      </w:r>
      <w:r w:rsidR="00821EEA">
        <w:t xml:space="preserve"> i</w:t>
      </w:r>
      <w:r w:rsidR="007E63E6" w:rsidRPr="007E63E6">
        <w:t>ndustry</w:t>
      </w:r>
      <w:r w:rsidR="00690014">
        <w:t>.</w:t>
      </w:r>
      <w:r w:rsidR="00421CBE">
        <w:rPr>
          <w:rStyle w:val="FootnoteReference"/>
        </w:rPr>
        <w:footnoteReference w:id="56"/>
      </w:r>
      <w:r w:rsidR="0070376C">
        <w:t xml:space="preserve"> </w:t>
      </w:r>
      <w:r w:rsidR="00690014">
        <w:t xml:space="preserve"> In the </w:t>
      </w:r>
      <w:r w:rsidR="004B7D86">
        <w:t xml:space="preserve">FY </w:t>
      </w:r>
      <w:r w:rsidR="00690014">
        <w:t xml:space="preserve">2014 regulatory fee proceeding, </w:t>
      </w:r>
      <w:r w:rsidR="0070376C">
        <w:t>we increased the regulatory fees paid by earth station licensees by approximately 7.5 percent</w:t>
      </w:r>
      <w:r w:rsidR="00B166B3" w:rsidRPr="00B166B3">
        <w:t xml:space="preserve"> </w:t>
      </w:r>
      <w:r w:rsidR="00B166B3">
        <w:t>based on our analysis and review of the record</w:t>
      </w:r>
      <w:r w:rsidR="0070376C">
        <w:t>.</w:t>
      </w:r>
      <w:r w:rsidR="0077200F">
        <w:rPr>
          <w:rStyle w:val="FootnoteReference"/>
        </w:rPr>
        <w:footnoteReference w:id="57"/>
      </w:r>
      <w:r w:rsidR="0077200F">
        <w:t xml:space="preserve"> </w:t>
      </w:r>
      <w:r w:rsidR="0070376C">
        <w:t xml:space="preserve">  </w:t>
      </w:r>
    </w:p>
    <w:p w:rsidR="006E3BB8" w:rsidRDefault="0077200F" w:rsidP="00DE11A9">
      <w:pPr>
        <w:pStyle w:val="ParaNum"/>
        <w:widowControl/>
      </w:pPr>
      <w:r>
        <w:t xml:space="preserve">In the </w:t>
      </w:r>
      <w:r w:rsidRPr="00BE2140">
        <w:rPr>
          <w:i/>
        </w:rPr>
        <w:t>FY 2015 NPRM</w:t>
      </w:r>
      <w:r w:rsidR="006E3BB8" w:rsidRPr="006E3BB8">
        <w:t>,</w:t>
      </w:r>
      <w:r>
        <w:t xml:space="preserve"> we sought comment on whether </w:t>
      </w:r>
      <w:r w:rsidR="006E3BB8">
        <w:t xml:space="preserve">to </w:t>
      </w:r>
      <w:r>
        <w:t>raise the earth station regulatory fees</w:t>
      </w:r>
      <w:r w:rsidR="003C4240">
        <w:t xml:space="preserve"> again</w:t>
      </w:r>
      <w:r w:rsidR="006205E9" w:rsidRPr="00FE2F75">
        <w:t>.</w:t>
      </w:r>
      <w:r w:rsidR="00623801">
        <w:rPr>
          <w:rStyle w:val="FootnoteReference"/>
        </w:rPr>
        <w:footnoteReference w:id="58"/>
      </w:r>
      <w:r w:rsidR="00623801">
        <w:t xml:space="preserve">  </w:t>
      </w:r>
      <w:r w:rsidR="00861C20">
        <w:t>We find</w:t>
      </w:r>
      <w:r w:rsidR="004B7D86">
        <w:t xml:space="preserve">, however, </w:t>
      </w:r>
      <w:r w:rsidR="00861C20">
        <w:t>that this issue requires further analysis</w:t>
      </w:r>
      <w:r w:rsidR="00140EAD">
        <w:t xml:space="preserve">.  In particular, due to comments suggesting </w:t>
      </w:r>
      <w:r w:rsidR="007237B6">
        <w:t xml:space="preserve">that we adopt different regulatory fees for different types of </w:t>
      </w:r>
      <w:r w:rsidR="00140EAD">
        <w:t xml:space="preserve">earth stations and an ongoing proceeding concerning Part 25 (Satellite Communications) of the Commission’s </w:t>
      </w:r>
      <w:r w:rsidR="00497BA1">
        <w:t>r</w:t>
      </w:r>
      <w:r w:rsidR="00140EAD">
        <w:t>ules which may aff</w:t>
      </w:r>
      <w:r w:rsidR="008B75B6">
        <w:t>ect the distribution of FTE work</w:t>
      </w:r>
      <w:r w:rsidR="00140EAD">
        <w:t xml:space="preserve">, we </w:t>
      </w:r>
      <w:r w:rsidR="008B75B6">
        <w:t>plan to fu</w:t>
      </w:r>
      <w:r w:rsidR="00C86193">
        <w:t>r</w:t>
      </w:r>
      <w:r w:rsidR="008B75B6">
        <w:t>ther examine and consider this i</w:t>
      </w:r>
      <w:r w:rsidR="00140EAD">
        <w:t>ssue</w:t>
      </w:r>
      <w:r w:rsidR="008B75B6">
        <w:t xml:space="preserve"> for FY 2016</w:t>
      </w:r>
      <w:r w:rsidR="00140EAD">
        <w:t>.</w:t>
      </w:r>
      <w:r w:rsidR="00140EAD">
        <w:rPr>
          <w:rStyle w:val="FootnoteReference"/>
        </w:rPr>
        <w:footnoteReference w:id="59"/>
      </w:r>
      <w:r w:rsidR="008B75B6">
        <w:t xml:space="preserve">  In doing so, </w:t>
      </w:r>
      <w:r w:rsidR="00861C20">
        <w:t xml:space="preserve">we intend to seek comment on EchoStar’s proposal to assess different levels of regulatory fees on different types of earth station </w:t>
      </w:r>
      <w:r w:rsidR="00730AD8">
        <w:t>licenses</w:t>
      </w:r>
      <w:r w:rsidR="006E3BB8">
        <w:t>.</w:t>
      </w:r>
      <w:r w:rsidR="00861C20">
        <w:rPr>
          <w:rStyle w:val="FootnoteReference"/>
        </w:rPr>
        <w:footnoteReference w:id="60"/>
      </w:r>
      <w:r w:rsidR="006E3BB8">
        <w:t xml:space="preserve"> </w:t>
      </w:r>
    </w:p>
    <w:p w:rsidR="006F0405" w:rsidRDefault="006F0405" w:rsidP="00A769BF">
      <w:pPr>
        <w:pStyle w:val="Heading3"/>
      </w:pPr>
      <w:r>
        <w:t xml:space="preserve">FTE </w:t>
      </w:r>
      <w:r w:rsidR="009F6736">
        <w:t>Reallocations</w:t>
      </w:r>
      <w:r w:rsidR="00BE2140">
        <w:t xml:space="preserve"> </w:t>
      </w:r>
    </w:p>
    <w:p w:rsidR="00E7213A" w:rsidRPr="00E7213A" w:rsidRDefault="003F588D" w:rsidP="006E451E">
      <w:pPr>
        <w:pStyle w:val="ParaNum"/>
        <w:widowControl/>
      </w:pPr>
      <w:r>
        <w:t>As explained above</w:t>
      </w:r>
      <w:r w:rsidR="001C5463">
        <w:t xml:space="preserve"> in paragraph five</w:t>
      </w:r>
      <w:r>
        <w:t xml:space="preserve">, we calculate regulatory fees by classifying FTEs either as direct or indirect.  FTEs classified as direct are further associated with one of the core bureaus. </w:t>
      </w:r>
      <w:r w:rsidR="0034428D">
        <w:t>The Commission now updates FTE allocations on an annual basis to more accurately reflect the number of FTEs working on regulation and oversight of the regulatees in the various fee categories</w:t>
      </w:r>
      <w:r w:rsidR="00EE6486">
        <w:t>.</w:t>
      </w:r>
      <w:r w:rsidR="0034428D">
        <w:rPr>
          <w:rStyle w:val="FootnoteReference"/>
        </w:rPr>
        <w:footnoteReference w:id="61"/>
      </w:r>
      <w:r w:rsidR="0034428D">
        <w:t xml:space="preserve">  The Commission has also </w:t>
      </w:r>
      <w:r>
        <w:t xml:space="preserve">previously </w:t>
      </w:r>
      <w:r w:rsidR="00813D1D">
        <w:t>determin</w:t>
      </w:r>
      <w:r w:rsidR="0034428D">
        <w:t>ed</w:t>
      </w:r>
      <w:r w:rsidR="00813D1D">
        <w:t xml:space="preserve"> that some </w:t>
      </w:r>
      <w:r w:rsidR="00B1763C">
        <w:t xml:space="preserve">of </w:t>
      </w:r>
      <w:r w:rsidR="00770BD7">
        <w:t>the International Bureau FTEs</w:t>
      </w:r>
      <w:r w:rsidR="00813D1D">
        <w:t xml:space="preserve"> should be </w:t>
      </w:r>
      <w:r w:rsidR="00E65C21">
        <w:t xml:space="preserve">considered </w:t>
      </w:r>
      <w:r w:rsidR="00813D1D">
        <w:t xml:space="preserve">indirect </w:t>
      </w:r>
      <w:r w:rsidR="00E65C21">
        <w:t xml:space="preserve">instead of </w:t>
      </w:r>
      <w:r w:rsidR="00813D1D">
        <w:t>direct</w:t>
      </w:r>
      <w:r w:rsidR="00B1763C">
        <w:t>.</w:t>
      </w:r>
      <w:r w:rsidR="0034428D">
        <w:rPr>
          <w:rStyle w:val="FootnoteReference"/>
        </w:rPr>
        <w:footnoteReference w:id="62"/>
      </w:r>
      <w:r w:rsidR="00B1763C">
        <w:t xml:space="preserve">  </w:t>
      </w:r>
      <w:r w:rsidR="00EB21BD">
        <w:t>We find that a</w:t>
      </w:r>
      <w:r w:rsidR="00813D1D">
        <w:t>part from the unique nature of the International Bureau FTEs, t</w:t>
      </w:r>
      <w:r w:rsidR="005C2C5F">
        <w:t>he work of</w:t>
      </w:r>
      <w:r w:rsidR="00EB21BD">
        <w:t xml:space="preserve"> all the FTEs in a core bureau </w:t>
      </w:r>
      <w:r w:rsidR="005C2C5F">
        <w:t xml:space="preserve">contributes to the cost of regulating </w:t>
      </w:r>
      <w:r w:rsidR="00BC4F00">
        <w:t xml:space="preserve">and overseeing the </w:t>
      </w:r>
      <w:r w:rsidR="005C2C5F">
        <w:t xml:space="preserve">licensees of that bureau. </w:t>
      </w:r>
      <w:r w:rsidR="00162BB9">
        <w:t xml:space="preserve"> </w:t>
      </w:r>
      <w:r w:rsidR="005C2C5F">
        <w:t>Therefore, we may reasonably expect that</w:t>
      </w:r>
      <w:r w:rsidR="00307581">
        <w:t xml:space="preserve"> </w:t>
      </w:r>
      <w:r w:rsidR="005C2C5F">
        <w:t>the work of the FTEs in the core bureaus would remain focused on the industry segment regulated by</w:t>
      </w:r>
      <w:r w:rsidR="00307581">
        <w:t xml:space="preserve"> </w:t>
      </w:r>
      <w:r w:rsidR="005C2C5F">
        <w:t>each of thos</w:t>
      </w:r>
      <w:r w:rsidR="002E6EA0">
        <w:t>e bureaus.</w:t>
      </w:r>
      <w:r w:rsidR="00A35CF3">
        <w:t xml:space="preserve">  </w:t>
      </w:r>
      <w:r w:rsidR="00EB21BD">
        <w:t>T</w:t>
      </w:r>
      <w:r w:rsidR="00A35CF3">
        <w:t xml:space="preserve">he work of the FTEs in the remaining </w:t>
      </w:r>
      <w:r w:rsidR="00EB21BD">
        <w:t xml:space="preserve">(i.e., indirect) </w:t>
      </w:r>
      <w:r w:rsidR="00A35CF3">
        <w:t>bureaus and offices benefits the Commission and the telecommunications industry and is not specifically focused on the licensees of a particular core bureau.</w:t>
      </w:r>
      <w:r w:rsidR="00EB21BD">
        <w:t xml:space="preserve">  </w:t>
      </w:r>
      <w:r>
        <w:t>Given the significant implications of reassignment of FTEs in our fee calculation</w:t>
      </w:r>
      <w:r w:rsidR="009B26F3">
        <w:t>,</w:t>
      </w:r>
      <w:r>
        <w:t xml:space="preserve"> </w:t>
      </w:r>
      <w:r w:rsidR="007237B6">
        <w:t xml:space="preserve">we make </w:t>
      </w:r>
      <w:r>
        <w:t>changes to FTE classification</w:t>
      </w:r>
      <w:r w:rsidR="007237B6">
        <w:t xml:space="preserve">s </w:t>
      </w:r>
      <w:r>
        <w:t xml:space="preserve">only after </w:t>
      </w:r>
      <w:r w:rsidR="007237B6">
        <w:t xml:space="preserve">performing </w:t>
      </w:r>
      <w:r>
        <w:t xml:space="preserve">considerable analysis and </w:t>
      </w:r>
      <w:r w:rsidRPr="003F588D">
        <w:t>find</w:t>
      </w:r>
      <w:r w:rsidR="007237B6">
        <w:t>ing</w:t>
      </w:r>
      <w:r w:rsidRPr="003F588D">
        <w:t xml:space="preserve"> the</w:t>
      </w:r>
      <w:r>
        <w:t xml:space="preserve"> clearest case for reassignment.</w:t>
      </w:r>
      <w:r>
        <w:rPr>
          <w:rStyle w:val="FootnoteReference"/>
        </w:rPr>
        <w:footnoteReference w:id="63"/>
      </w:r>
    </w:p>
    <w:p w:rsidR="00686F76" w:rsidRDefault="003F4647" w:rsidP="006F0405">
      <w:pPr>
        <w:pStyle w:val="Heading4"/>
      </w:pPr>
      <w:r>
        <w:t xml:space="preserve">Request to Characterize </w:t>
      </w:r>
      <w:r w:rsidR="006F0405">
        <w:t>I</w:t>
      </w:r>
      <w:r w:rsidR="00BE2140">
        <w:t>ndirect FTEs</w:t>
      </w:r>
      <w:r>
        <w:t xml:space="preserve"> as Direct FTEs</w:t>
      </w:r>
    </w:p>
    <w:p w:rsidR="002A5481" w:rsidRDefault="00CA6116" w:rsidP="00140EAD">
      <w:pPr>
        <w:pStyle w:val="ParaNum"/>
      </w:pPr>
      <w:r>
        <w:t>SIA</w:t>
      </w:r>
      <w:r w:rsidR="00542A8A">
        <w:t xml:space="preserve"> and</w:t>
      </w:r>
      <w:r>
        <w:t xml:space="preserve"> </w:t>
      </w:r>
      <w:r w:rsidR="002D0A46">
        <w:t>EchoS</w:t>
      </w:r>
      <w:r w:rsidR="00BD3D67">
        <w:t xml:space="preserve">tar </w:t>
      </w:r>
      <w:r w:rsidR="00B046B2">
        <w:t xml:space="preserve">propose </w:t>
      </w:r>
      <w:r w:rsidR="009F6736">
        <w:t xml:space="preserve">that we </w:t>
      </w:r>
      <w:r w:rsidR="003F4647">
        <w:t xml:space="preserve">consider FTEs working in certain </w:t>
      </w:r>
      <w:r w:rsidR="007237B6">
        <w:t xml:space="preserve">divisions of the </w:t>
      </w:r>
      <w:r w:rsidR="00D40355">
        <w:t xml:space="preserve">Enforcement Bureau and </w:t>
      </w:r>
      <w:r w:rsidR="00514E3E">
        <w:t xml:space="preserve">the </w:t>
      </w:r>
      <w:r w:rsidR="00D40355">
        <w:t>Consumer &amp; G</w:t>
      </w:r>
      <w:r w:rsidR="00CA25AA">
        <w:t xml:space="preserve">overnmental Affairs </w:t>
      </w:r>
      <w:r w:rsidR="00BD3D67">
        <w:t>Bureau</w:t>
      </w:r>
      <w:r w:rsidR="003F4647">
        <w:t xml:space="preserve"> </w:t>
      </w:r>
      <w:r w:rsidR="00251724">
        <w:t>and the Office of Engineering &amp; Technology</w:t>
      </w:r>
      <w:r w:rsidR="003F4647">
        <w:t xml:space="preserve"> (</w:t>
      </w:r>
      <w:r w:rsidR="003F4647" w:rsidRPr="002B1B38">
        <w:t>i.e</w:t>
      </w:r>
      <w:r w:rsidR="003F4647" w:rsidRPr="00464643">
        <w:t>.,</w:t>
      </w:r>
      <w:r w:rsidR="003F4647">
        <w:t xml:space="preserve"> indirect FTEs) as direct FTEs, associated with a </w:t>
      </w:r>
      <w:r w:rsidR="00E468A0">
        <w:t>core bureau</w:t>
      </w:r>
      <w:r w:rsidR="003F4647">
        <w:t xml:space="preserve"> for purposes of regulatory fee calculation</w:t>
      </w:r>
      <w:r w:rsidR="00E468A0">
        <w:t>.</w:t>
      </w:r>
      <w:r w:rsidR="00E468A0">
        <w:rPr>
          <w:rStyle w:val="FootnoteReference"/>
        </w:rPr>
        <w:footnoteReference w:id="64"/>
      </w:r>
      <w:r w:rsidR="00C35628">
        <w:t xml:space="preserve">  </w:t>
      </w:r>
      <w:r w:rsidR="008D0BE3">
        <w:t xml:space="preserve">SIA contends that the </w:t>
      </w:r>
      <w:r w:rsidR="007B3920">
        <w:t xml:space="preserve">work in the </w:t>
      </w:r>
      <w:r w:rsidR="008D0BE3">
        <w:t>Market Disputes Resolution Division “is limited to complaints against common carriers and pole attachment disputes”</w:t>
      </w:r>
      <w:r w:rsidR="008D0BE3">
        <w:rPr>
          <w:rStyle w:val="FootnoteReference"/>
        </w:rPr>
        <w:footnoteReference w:id="65"/>
      </w:r>
      <w:r w:rsidR="008D0BE3">
        <w:t xml:space="preserve"> </w:t>
      </w:r>
      <w:r w:rsidR="00251724">
        <w:t xml:space="preserve">and </w:t>
      </w:r>
      <w:r w:rsidR="008D0BE3">
        <w:t>the “Telecommunications Consumers Division focuses on protecting consumers from fraudulent, misleading, and other harmful practices involving telecommunications, such as slamming.”</w:t>
      </w:r>
      <w:r w:rsidR="008D0BE3">
        <w:rPr>
          <w:rStyle w:val="FootnoteReference"/>
        </w:rPr>
        <w:footnoteReference w:id="66"/>
      </w:r>
      <w:r w:rsidR="008D0BE3">
        <w:t xml:space="preserve">  SIA’s description of these two </w:t>
      </w:r>
      <w:r w:rsidR="007B3920">
        <w:t xml:space="preserve">Enforcement Bureau </w:t>
      </w:r>
      <w:r w:rsidR="008D0BE3">
        <w:t xml:space="preserve">divisions underestimates the range of issues that they </w:t>
      </w:r>
      <w:r w:rsidR="00247956">
        <w:t>investigate</w:t>
      </w:r>
      <w:r w:rsidR="008D0BE3">
        <w:t>.</w:t>
      </w:r>
      <w:r w:rsidR="008D0BE3">
        <w:rPr>
          <w:rStyle w:val="FootnoteReference"/>
        </w:rPr>
        <w:footnoteReference w:id="67"/>
      </w:r>
      <w:r w:rsidR="003F4647">
        <w:t xml:space="preserve">  </w:t>
      </w:r>
      <w:r w:rsidR="001B59C3">
        <w:t>EchoStar</w:t>
      </w:r>
      <w:r w:rsidR="00251724">
        <w:t xml:space="preserve"> argues that the Office of Engineering &amp; Technology’s regulatory work suggests that “n</w:t>
      </w:r>
      <w:r w:rsidR="001B59C3">
        <w:t>o more than 7</w:t>
      </w:r>
      <w:r w:rsidR="00251724">
        <w:t xml:space="preserve"> percent of the applicable FTEs for </w:t>
      </w:r>
      <w:r w:rsidR="001B59C3">
        <w:t>the OET</w:t>
      </w:r>
      <w:r w:rsidR="00251724">
        <w:t xml:space="preserve"> should be allocated to space-related IB </w:t>
      </w:r>
      <w:r w:rsidR="002A5481">
        <w:t>licensees</w:t>
      </w:r>
      <w:r w:rsidR="00251724">
        <w:t>.”</w:t>
      </w:r>
      <w:r w:rsidR="00251724">
        <w:rPr>
          <w:rStyle w:val="FootnoteReference"/>
        </w:rPr>
        <w:footnoteReference w:id="68"/>
      </w:r>
      <w:r w:rsidR="00123E3F">
        <w:t xml:space="preserve">  </w:t>
      </w:r>
      <w:r w:rsidR="00362ACD">
        <w:t>This</w:t>
      </w:r>
      <w:r w:rsidR="00C35628">
        <w:t xml:space="preserve"> proposal </w:t>
      </w:r>
      <w:r w:rsidR="00162BB9">
        <w:t xml:space="preserve">raised by SIA and EchoStar </w:t>
      </w:r>
      <w:r w:rsidR="00D836B0">
        <w:t xml:space="preserve">involves more than an analysis of two divisions </w:t>
      </w:r>
      <w:r w:rsidR="00123E3F">
        <w:t xml:space="preserve">and one office </w:t>
      </w:r>
      <w:r w:rsidR="00D836B0">
        <w:t xml:space="preserve">but </w:t>
      </w:r>
      <w:r w:rsidR="00150E42">
        <w:t xml:space="preserve">rather </w:t>
      </w:r>
      <w:r w:rsidR="00C35628">
        <w:t xml:space="preserve">would require </w:t>
      </w:r>
      <w:r w:rsidR="00B046B2">
        <w:t>a</w:t>
      </w:r>
      <w:r w:rsidR="00B07137">
        <w:t>n assessment</w:t>
      </w:r>
      <w:r w:rsidR="00B046B2">
        <w:t xml:space="preserve"> of</w:t>
      </w:r>
      <w:r w:rsidR="00C35628">
        <w:t xml:space="preserve"> </w:t>
      </w:r>
      <w:r w:rsidR="00450E01">
        <w:t xml:space="preserve">how </w:t>
      </w:r>
      <w:r w:rsidR="00162BB9">
        <w:t xml:space="preserve">all </w:t>
      </w:r>
      <w:r w:rsidR="002A5481">
        <w:t xml:space="preserve">work done by FTEs in a bureau or office not classified as a core bureau could be associated with the work of a core bureau, such that additional FTEs could be allocated to the core bureau.  </w:t>
      </w:r>
      <w:r w:rsidR="00162BB9">
        <w:t xml:space="preserve">However, </w:t>
      </w:r>
      <w:r w:rsidR="002A5481">
        <w:t>FTEs are assigned as indirect in our regulatory fee calculation where the FTEs work on a variety of issues that cannot be attributed to one particular type of industry or regulate</w:t>
      </w:r>
      <w:r w:rsidR="007237B6">
        <w:t>e</w:t>
      </w:r>
      <w:r w:rsidR="002A5481">
        <w:t xml:space="preserve"> at this time.  </w:t>
      </w:r>
    </w:p>
    <w:p w:rsidR="0092045F" w:rsidRDefault="002A5481" w:rsidP="001468D7">
      <w:pPr>
        <w:pStyle w:val="ParaNum"/>
        <w:widowControl/>
      </w:pPr>
      <w:r>
        <w:t>T</w:t>
      </w:r>
      <w:r w:rsidR="002D4BAD">
        <w:t>he Enforcement Bureau and Consumer &amp; Governmental Affairs</w:t>
      </w:r>
      <w:r w:rsidR="00886682">
        <w:t xml:space="preserve"> </w:t>
      </w:r>
      <w:r w:rsidR="00C85968">
        <w:t xml:space="preserve">Bureau </w:t>
      </w:r>
      <w:r w:rsidR="00BB58BC">
        <w:t xml:space="preserve">FTEs </w:t>
      </w:r>
      <w:r w:rsidR="00886682">
        <w:t xml:space="preserve">and other indirect </w:t>
      </w:r>
      <w:r w:rsidR="002D4BAD">
        <w:t>FTEs</w:t>
      </w:r>
      <w:r w:rsidR="00C86193">
        <w:t>,</w:t>
      </w:r>
      <w:r w:rsidR="002D4BAD">
        <w:t xml:space="preserve"> </w:t>
      </w:r>
      <w:r w:rsidR="00C86193">
        <w:t xml:space="preserve">such as those in the Office of Engineering &amp; Technology, </w:t>
      </w:r>
      <w:r>
        <w:t>work on</w:t>
      </w:r>
      <w:r w:rsidR="002D4BAD">
        <w:t xml:space="preserve"> a wide range of matters, not all directly assignable to a particular core bureau.  </w:t>
      </w:r>
      <w:r w:rsidR="00EB21BD">
        <w:t xml:space="preserve">We recognize that before the Enforcement Bureau was created, the core bureaus each had an enforcement division and those FTEs would have been assigned to those core bureaus.  Currently, </w:t>
      </w:r>
      <w:r w:rsidR="00A92D33">
        <w:t xml:space="preserve">however, </w:t>
      </w:r>
      <w:r w:rsidR="00593587">
        <w:t xml:space="preserve">most enforcement activity is consolidated into </w:t>
      </w:r>
      <w:r w:rsidR="00EB21BD">
        <w:t>the Enforcement Bureau</w:t>
      </w:r>
      <w:r w:rsidR="00A02067">
        <w:t>;</w:t>
      </w:r>
      <w:r w:rsidR="00593587">
        <w:t xml:space="preserve"> therefore</w:t>
      </w:r>
      <w:r w:rsidR="00A02067">
        <w:t>,</w:t>
      </w:r>
      <w:r w:rsidR="00593587">
        <w:t xml:space="preserve"> the FTEs </w:t>
      </w:r>
      <w:r w:rsidR="00464643">
        <w:t xml:space="preserve">in that bureau </w:t>
      </w:r>
      <w:r w:rsidR="00593587">
        <w:t xml:space="preserve">work on a </w:t>
      </w:r>
      <w:r w:rsidR="00464643">
        <w:t xml:space="preserve">wider </w:t>
      </w:r>
      <w:r w:rsidR="00593587">
        <w:t xml:space="preserve">range of </w:t>
      </w:r>
      <w:r w:rsidR="00EB21BD">
        <w:t xml:space="preserve">issues </w:t>
      </w:r>
      <w:r w:rsidR="00A02067">
        <w:t xml:space="preserve">and it would be difficult </w:t>
      </w:r>
      <w:r w:rsidR="00B046B2">
        <w:t xml:space="preserve">to </w:t>
      </w:r>
      <w:r w:rsidR="00A02067">
        <w:t xml:space="preserve">attribute the work to </w:t>
      </w:r>
      <w:r w:rsidR="00B046B2">
        <w:t xml:space="preserve">a </w:t>
      </w:r>
      <w:r w:rsidR="009C1BD2">
        <w:t xml:space="preserve">specific </w:t>
      </w:r>
      <w:r w:rsidR="00B046B2">
        <w:t>core bureau</w:t>
      </w:r>
      <w:r w:rsidR="00657900">
        <w:t xml:space="preserve">, e.g., investigations that involve </w:t>
      </w:r>
      <w:r w:rsidR="001A7130">
        <w:t xml:space="preserve">more than one </w:t>
      </w:r>
      <w:r w:rsidR="00657900">
        <w:t>service</w:t>
      </w:r>
      <w:r w:rsidR="00B046B2">
        <w:t xml:space="preserve">.  </w:t>
      </w:r>
      <w:r w:rsidR="004863F0">
        <w:t xml:space="preserve">While </w:t>
      </w:r>
      <w:r w:rsidR="00816754">
        <w:t>SIA suggests</w:t>
      </w:r>
      <w:r w:rsidR="00B41C33">
        <w:t xml:space="preserve"> that we might track </w:t>
      </w:r>
      <w:r w:rsidR="00816754">
        <w:t>informal complaints filed in the Consumer &amp; Governmental Affairs Bureau</w:t>
      </w:r>
      <w:r w:rsidR="00B41C33">
        <w:t xml:space="preserve"> and associate them with a </w:t>
      </w:r>
      <w:r w:rsidR="00816754">
        <w:t xml:space="preserve">core </w:t>
      </w:r>
      <w:r w:rsidR="00CA5F16">
        <w:t xml:space="preserve">licensing </w:t>
      </w:r>
      <w:r w:rsidR="00816754">
        <w:t>bureau based on the number of informal complaints in each category over a certain time period</w:t>
      </w:r>
      <w:r w:rsidR="00CA5F16">
        <w:t>,</w:t>
      </w:r>
      <w:r w:rsidR="00816754">
        <w:rPr>
          <w:rStyle w:val="FootnoteReference"/>
        </w:rPr>
        <w:footnoteReference w:id="69"/>
      </w:r>
      <w:r w:rsidR="00CA5F16">
        <w:t xml:space="preserve"> </w:t>
      </w:r>
      <w:r w:rsidR="00816754">
        <w:t xml:space="preserve">we </w:t>
      </w:r>
      <w:r w:rsidR="004A159B">
        <w:t xml:space="preserve">find that this would not be </w:t>
      </w:r>
      <w:r w:rsidR="00CA5F16">
        <w:t xml:space="preserve">feasible at this time </w:t>
      </w:r>
      <w:r w:rsidR="004A159B">
        <w:t xml:space="preserve">because </w:t>
      </w:r>
      <w:r w:rsidR="00816754">
        <w:t>the types of informal complaints can vary</w:t>
      </w:r>
      <w:r w:rsidR="004A159B">
        <w:t xml:space="preserve"> considerably and often cover areas that are not specifically </w:t>
      </w:r>
      <w:r w:rsidR="009C1BD2">
        <w:t xml:space="preserve">correlated with one </w:t>
      </w:r>
      <w:r w:rsidR="004A159B">
        <w:t>core bureau</w:t>
      </w:r>
      <w:r w:rsidR="00657900">
        <w:t>, e.g., billing issues for bundled services.</w:t>
      </w:r>
      <w:r w:rsidR="004A159B">
        <w:t xml:space="preserve">  </w:t>
      </w:r>
      <w:r w:rsidR="00EC1C2F">
        <w:t>For these reasons, w</w:t>
      </w:r>
      <w:r w:rsidR="00D74C7C">
        <w:t>e conclude that r</w:t>
      </w:r>
      <w:r w:rsidR="00FF3D6F">
        <w:t>eallocat</w:t>
      </w:r>
      <w:r w:rsidR="00AB7F99">
        <w:t xml:space="preserve">ing </w:t>
      </w:r>
      <w:r w:rsidR="002D4BAD">
        <w:t xml:space="preserve">indirect FTEs as direct </w:t>
      </w:r>
      <w:r w:rsidR="00AB7F99">
        <w:t>as suggested by EchoStar and SIA is not feasible at this time</w:t>
      </w:r>
      <w:r w:rsidR="00EC1C2F">
        <w:t>.</w:t>
      </w:r>
      <w:r w:rsidR="00A02067">
        <w:t xml:space="preserve">  We will, however, continue to analyze this issue.</w:t>
      </w:r>
      <w:r w:rsidR="00434253">
        <w:t xml:space="preserve">  </w:t>
      </w:r>
      <w:r w:rsidR="00340179" w:rsidRPr="003576FB">
        <w:t xml:space="preserve">  </w:t>
      </w:r>
    </w:p>
    <w:p w:rsidR="00622281" w:rsidRDefault="00EF4948" w:rsidP="0092045F">
      <w:pPr>
        <w:pStyle w:val="Heading4"/>
      </w:pPr>
      <w:r>
        <w:t xml:space="preserve">Request to Associate </w:t>
      </w:r>
      <w:r w:rsidR="006F0405">
        <w:t>Direct</w:t>
      </w:r>
      <w:r w:rsidR="00622281">
        <w:t xml:space="preserve"> FTEs</w:t>
      </w:r>
      <w:r>
        <w:t xml:space="preserve"> with a Different Core Bureau</w:t>
      </w:r>
    </w:p>
    <w:p w:rsidR="00174DAB" w:rsidRPr="0062300B" w:rsidRDefault="00622281" w:rsidP="00BF2B33">
      <w:pPr>
        <w:pStyle w:val="ParaNum"/>
      </w:pPr>
      <w:r w:rsidRPr="002B41DD">
        <w:t xml:space="preserve">NAB </w:t>
      </w:r>
      <w:r w:rsidR="00765215">
        <w:t xml:space="preserve">notes </w:t>
      </w:r>
      <w:r w:rsidR="002B41DD" w:rsidRPr="002B41DD">
        <w:t xml:space="preserve">that </w:t>
      </w:r>
      <w:r w:rsidR="00765215">
        <w:t xml:space="preserve">the </w:t>
      </w:r>
      <w:r w:rsidRPr="002B41DD">
        <w:t>FTEs in the Media Bureau who work on issues pertaining to the upcoming spectrum incentive auction to repurpose broadcast television spectrum to wireless use should be reallocated to the Wireless Telecommunications Bureau for regulatory fee purposes</w:t>
      </w:r>
      <w:r w:rsidRPr="002B41DD" w:rsidDel="00247956">
        <w:t>.</w:t>
      </w:r>
      <w:r w:rsidR="004A3B65">
        <w:rPr>
          <w:rStyle w:val="FootnoteReference"/>
        </w:rPr>
        <w:footnoteReference w:id="70"/>
      </w:r>
      <w:r w:rsidR="00A36D20" w:rsidDel="00247956">
        <w:t xml:space="preserve">  </w:t>
      </w:r>
      <w:r w:rsidR="006812D2">
        <w:t>SIA asks us to “re-evaluate whether it is appropriate to exclude auction FTEs in assessing direct costs.”</w:t>
      </w:r>
      <w:r w:rsidR="006812D2">
        <w:rPr>
          <w:rStyle w:val="FootnoteReference"/>
        </w:rPr>
        <w:footnoteReference w:id="71"/>
      </w:r>
      <w:r w:rsidR="006812D2">
        <w:t xml:space="preserve">  </w:t>
      </w:r>
      <w:r w:rsidR="00A36D20">
        <w:t>FTE time devoted to developing and implementing the upcoming spectrum incentive auction</w:t>
      </w:r>
      <w:r w:rsidR="009073E2">
        <w:t>–direct and indirect costs–</w:t>
      </w:r>
      <w:r w:rsidR="00A36D20">
        <w:t xml:space="preserve">is not included in the calculation of fees and is not offset by the collection of regulatory fees.  Instead, time devoted to developing and implementing the incentive auction is tracked separately from other work performed by Media Bureau </w:t>
      </w:r>
      <w:r w:rsidR="00CF079E">
        <w:t xml:space="preserve">and other </w:t>
      </w:r>
      <w:r w:rsidR="00A36D20">
        <w:t>FTEs and is offset by the auction proceeds that the Commission is permitted to retain pursuant to section 309(j)(8) of the Communications Act and the Commission’s annual appropriation statute.</w:t>
      </w:r>
      <w:r w:rsidR="00A36D20" w:rsidRPr="00D44F8A">
        <w:rPr>
          <w:rStyle w:val="FootnoteReference"/>
          <w:sz w:val="22"/>
          <w:szCs w:val="22"/>
        </w:rPr>
        <w:footnoteReference w:id="72"/>
      </w:r>
      <w:r w:rsidR="00A36D20">
        <w:t xml:space="preserve">  </w:t>
      </w:r>
      <w:r w:rsidR="00087256">
        <w:t xml:space="preserve">Thus, the Commission is unable, as a legal matter, to implement </w:t>
      </w:r>
      <w:r w:rsidR="006812D2">
        <w:t xml:space="preserve">these </w:t>
      </w:r>
      <w:r w:rsidR="00087256">
        <w:t>proposal</w:t>
      </w:r>
      <w:r w:rsidR="006812D2">
        <w:t>s</w:t>
      </w:r>
      <w:r w:rsidR="00511CD6">
        <w:t>.</w:t>
      </w:r>
      <w:r w:rsidR="009F7569">
        <w:t xml:space="preserve">  </w:t>
      </w:r>
    </w:p>
    <w:p w:rsidR="00BE2140" w:rsidRDefault="003C7E29" w:rsidP="00BE2140">
      <w:pPr>
        <w:pStyle w:val="Heading3"/>
      </w:pPr>
      <w:r>
        <w:t xml:space="preserve">DBS </w:t>
      </w:r>
      <w:r w:rsidR="00587BDE">
        <w:t xml:space="preserve">Rate </w:t>
      </w:r>
      <w:r w:rsidR="00BE2140">
        <w:t>Issues</w:t>
      </w:r>
    </w:p>
    <w:p w:rsidR="00EC39EA" w:rsidRDefault="003C7E29" w:rsidP="00140EAD">
      <w:pPr>
        <w:pStyle w:val="ParaNum"/>
      </w:pPr>
      <w:r>
        <w:t xml:space="preserve">In the </w:t>
      </w:r>
      <w:r w:rsidRPr="00944815">
        <w:rPr>
          <w:i/>
        </w:rPr>
        <w:t>FY 2015 NPRM</w:t>
      </w:r>
      <w:r w:rsidR="003C76F7" w:rsidRPr="003C76F7">
        <w:t>,</w:t>
      </w:r>
      <w:r>
        <w:t xml:space="preserve"> we sought comment on setting the initial rate for DBS regulatory fees, as a subset of the cable television and IPTV category, at 12 cents per year, or one cent per month.</w:t>
      </w:r>
      <w:r>
        <w:rPr>
          <w:rStyle w:val="FootnoteReference"/>
        </w:rPr>
        <w:footnoteReference w:id="73"/>
      </w:r>
      <w:r>
        <w:t xml:space="preserve">  Several c</w:t>
      </w:r>
      <w:r w:rsidR="007262E2">
        <w:t xml:space="preserve">ommenters </w:t>
      </w:r>
      <w:r>
        <w:t xml:space="preserve">contend </w:t>
      </w:r>
      <w:r w:rsidR="007262E2">
        <w:t xml:space="preserve">that </w:t>
      </w:r>
      <w:r w:rsidR="003F309E">
        <w:t>we should require DBS operators to pay the same rate as cable television and IPTV.</w:t>
      </w:r>
      <w:r w:rsidR="003F309E">
        <w:rPr>
          <w:rStyle w:val="FootnoteReference"/>
        </w:rPr>
        <w:footnoteReference w:id="74"/>
      </w:r>
      <w:r w:rsidR="003F309E">
        <w:t xml:space="preserve"> </w:t>
      </w:r>
      <w:r w:rsidR="00511CD6">
        <w:t xml:space="preserve"> </w:t>
      </w:r>
      <w:r w:rsidR="00E67578">
        <w:t>DBS commenters contend that paying the same rate as cable television/IPTV would cause “rate shock” and</w:t>
      </w:r>
      <w:r w:rsidR="00E67578" w:rsidRPr="00E67578">
        <w:t xml:space="preserve"> </w:t>
      </w:r>
      <w:r w:rsidR="00E67578">
        <w:t>if we adopt a fee it should be 12 cents as proposed.</w:t>
      </w:r>
      <w:r w:rsidR="00E67578">
        <w:rPr>
          <w:rStyle w:val="FootnoteReference"/>
        </w:rPr>
        <w:footnoteReference w:id="75"/>
      </w:r>
      <w:r w:rsidR="00E67578">
        <w:t xml:space="preserve">  </w:t>
      </w:r>
    </w:p>
    <w:p w:rsidR="007262E2" w:rsidRDefault="00EC39EA" w:rsidP="00526E6E">
      <w:pPr>
        <w:pStyle w:val="ParaNum"/>
      </w:pPr>
      <w:r>
        <w:t>When adopting the</w:t>
      </w:r>
      <w:r w:rsidR="00B165E8">
        <w:t xml:space="preserve"> new</w:t>
      </w:r>
      <w:r>
        <w:t xml:space="preserve"> regulatory fee subcategory for DBS within the cable and IPTV category, w</w:t>
      </w:r>
      <w:r w:rsidRPr="003231EE">
        <w:t xml:space="preserve">e </w:t>
      </w:r>
      <w:r>
        <w:t>determined a variety of regulatory developments have increased the amount of regulatory activity by the Media Bureau FTEs involving regulation and oversight of MVPDs, including DBS providers.</w:t>
      </w:r>
      <w:r>
        <w:rPr>
          <w:rStyle w:val="FootnoteReference"/>
        </w:rPr>
        <w:footnoteReference w:id="76"/>
      </w:r>
      <w:r>
        <w:t xml:space="preserve">  </w:t>
      </w:r>
      <w:r w:rsidRPr="00996EC9">
        <w:t xml:space="preserve">For example, DBS providers (and cable </w:t>
      </w:r>
      <w:r>
        <w:t>television operators</w:t>
      </w:r>
      <w:r w:rsidRPr="00996EC9">
        <w:t xml:space="preserve">) </w:t>
      </w:r>
      <w:r>
        <w:t>are permitted to</w:t>
      </w:r>
      <w:r w:rsidRPr="00996EC9">
        <w:t xml:space="preserve"> file program access complaints</w:t>
      </w:r>
      <w:r w:rsidRPr="00996EC9">
        <w:rPr>
          <w:rStyle w:val="FootnoteReference"/>
          <w:szCs w:val="22"/>
        </w:rPr>
        <w:footnoteReference w:id="77"/>
      </w:r>
      <w:r w:rsidRPr="00996EC9">
        <w:t xml:space="preserve"> and complaints seeking relief under the retransmission consent good faith rules</w:t>
      </w:r>
      <w:r>
        <w:t>.</w:t>
      </w:r>
      <w:r w:rsidRPr="00996EC9">
        <w:rPr>
          <w:rStyle w:val="FootnoteReference"/>
          <w:szCs w:val="22"/>
        </w:rPr>
        <w:footnoteReference w:id="78"/>
      </w:r>
      <w:r w:rsidRPr="00996EC9">
        <w:t xml:space="preserve"> </w:t>
      </w:r>
      <w:r>
        <w:t xml:space="preserve"> In addition, DBS providers are subject to MVPD requirements such as those pertaining to program carriage</w:t>
      </w:r>
      <w:r>
        <w:rPr>
          <w:rStyle w:val="FootnoteReference"/>
        </w:rPr>
        <w:footnoteReference w:id="79"/>
      </w:r>
      <w:r>
        <w:t xml:space="preserve"> and the requirement to negotiate retransmission consent in good faith.</w:t>
      </w:r>
      <w:r>
        <w:rPr>
          <w:rStyle w:val="FootnoteReference"/>
        </w:rPr>
        <w:footnoteReference w:id="80"/>
      </w:r>
      <w:r>
        <w:t xml:space="preserve">  More recently, the Commission adopted a host of requirements that apply to all MVPDs and thus equally apply to DBS providers as part of its implementation of the </w:t>
      </w:r>
      <w:r w:rsidRPr="00996EC9">
        <w:t>Commercial Advertisement Loudness Mitigation Act (CALM Act)</w:t>
      </w:r>
      <w:r w:rsidRPr="008A5FFB">
        <w:rPr>
          <w:szCs w:val="22"/>
        </w:rPr>
        <w:t>,</w:t>
      </w:r>
      <w:r w:rsidRPr="00996EC9">
        <w:rPr>
          <w:rStyle w:val="FootnoteReference"/>
          <w:szCs w:val="22"/>
        </w:rPr>
        <w:footnoteReference w:id="81"/>
      </w:r>
      <w:r w:rsidRPr="00996EC9">
        <w:t xml:space="preserve"> the Twenty-First Century </w:t>
      </w:r>
      <w:r>
        <w:t xml:space="preserve">Communications and </w:t>
      </w:r>
      <w:r w:rsidRPr="00996EC9">
        <w:t xml:space="preserve">Video Accessibility Act </w:t>
      </w:r>
      <w:r>
        <w:t xml:space="preserve">of 2010 </w:t>
      </w:r>
      <w:r w:rsidRPr="00996EC9">
        <w:t>(CVAA)</w:t>
      </w:r>
      <w:r>
        <w:t>,</w:t>
      </w:r>
      <w:r>
        <w:rPr>
          <w:rStyle w:val="FootnoteReference"/>
        </w:rPr>
        <w:footnoteReference w:id="82"/>
      </w:r>
      <w:r>
        <w:t xml:space="preserve"> as well as the Satellite Television Extension and Localism Act (STELA) Reauthorization Act of 2014 (STELAR).</w:t>
      </w:r>
      <w:r>
        <w:rPr>
          <w:rStyle w:val="FootnoteReference"/>
        </w:rPr>
        <w:footnoteReference w:id="83"/>
      </w:r>
      <w:r>
        <w:t xml:space="preserve">  </w:t>
      </w:r>
      <w:r w:rsidR="005844D7">
        <w:t>Moreover, we recognize that FY 2015 would be the first time the Commission would be applying this regulatory fee subcategory for D</w:t>
      </w:r>
      <w:r w:rsidR="0079559E">
        <w:t xml:space="preserve">BS.  </w:t>
      </w:r>
      <w:r w:rsidR="005844D7">
        <w:t xml:space="preserve">Thus, for the above reasons, we find that for FY 2015 the proposed rate of 12 cents </w:t>
      </w:r>
      <w:r w:rsidR="005844D7" w:rsidRPr="002B1B38">
        <w:rPr>
          <w:bCs/>
        </w:rPr>
        <w:t>per subscriber</w:t>
      </w:r>
      <w:r w:rsidR="005844D7">
        <w:t xml:space="preserve"> per year is a sensible fee supported by data and analysis.</w:t>
      </w:r>
      <w:r w:rsidR="00590E04">
        <w:rPr>
          <w:rStyle w:val="FootnoteReference"/>
        </w:rPr>
        <w:footnoteReference w:id="84"/>
      </w:r>
      <w:r w:rsidR="0079559E">
        <w:t xml:space="preserve">  </w:t>
      </w:r>
      <w:r w:rsidR="005844D7">
        <w:t>In the FY 2016 regulatory fee proceeding, we will update this rate for future years, based on relevant information, as necessary for ensuring an appropriate level of regulatory parity and considering the resources dedicated to this new regulatory fee subcategory</w:t>
      </w:r>
      <w:r w:rsidR="00590E04">
        <w:t>.</w:t>
      </w:r>
      <w:r w:rsidR="00590E04">
        <w:rPr>
          <w:rStyle w:val="FootnoteReference"/>
        </w:rPr>
        <w:footnoteReference w:id="85"/>
      </w:r>
    </w:p>
    <w:p w:rsidR="003C7E29" w:rsidRPr="00972B09" w:rsidRDefault="003C7E29" w:rsidP="003C7E29">
      <w:pPr>
        <w:pStyle w:val="Heading3"/>
      </w:pPr>
      <w:r w:rsidRPr="00972B09">
        <w:t>Other Rate Issues</w:t>
      </w:r>
    </w:p>
    <w:p w:rsidR="009563A6" w:rsidRPr="00972B09" w:rsidRDefault="00E91734" w:rsidP="00BE2140">
      <w:pPr>
        <w:pStyle w:val="ParaNum"/>
      </w:pPr>
      <w:r w:rsidRPr="00E91734">
        <w:rPr>
          <w:i/>
        </w:rPr>
        <w:t>Aviation Ground Licenses</w:t>
      </w:r>
      <w:r>
        <w:t xml:space="preserve">.  </w:t>
      </w:r>
      <w:r w:rsidR="003119BC">
        <w:t xml:space="preserve">In the </w:t>
      </w:r>
      <w:r w:rsidR="003119BC" w:rsidRPr="003119BC">
        <w:rPr>
          <w:i/>
        </w:rPr>
        <w:t>FY 2015 NPRM</w:t>
      </w:r>
      <w:r w:rsidR="003119BC">
        <w:rPr>
          <w:i/>
        </w:rPr>
        <w:t>,</w:t>
      </w:r>
      <w:r w:rsidR="003119BC">
        <w:t xml:space="preserve"> we proposed an increase in regulatory fees for aviation ground licenses.  </w:t>
      </w:r>
      <w:r w:rsidR="009563A6" w:rsidRPr="00972B09">
        <w:t>Commenters contend that we have proposed an unjustified and disproportionate fee increase for aviation ground licensees.</w:t>
      </w:r>
      <w:r w:rsidR="009563A6" w:rsidRPr="00972B09">
        <w:rPr>
          <w:rStyle w:val="FootnoteReference"/>
        </w:rPr>
        <w:footnoteReference w:id="86"/>
      </w:r>
      <w:r w:rsidR="009563A6" w:rsidRPr="00972B09">
        <w:t xml:space="preserve"> </w:t>
      </w:r>
      <w:r w:rsidR="00A2308C" w:rsidRPr="00972B09">
        <w:t xml:space="preserve"> The Aviation Joint Commenters disagree with our contention that the payment units should be adjusted and they observe that we failed to explain why the revenue requirement was increased.</w:t>
      </w:r>
      <w:r w:rsidR="00A2308C" w:rsidRPr="00972B09">
        <w:rPr>
          <w:rStyle w:val="FootnoteReference"/>
        </w:rPr>
        <w:footnoteReference w:id="87"/>
      </w:r>
      <w:r w:rsidR="004655FB" w:rsidRPr="00972B09">
        <w:t xml:space="preserve">  </w:t>
      </w:r>
      <w:r w:rsidR="00704BAF">
        <w:t>These commenters observe that d</w:t>
      </w:r>
      <w:r w:rsidR="004655FB" w:rsidRPr="00972B09">
        <w:t xml:space="preserve">espite </w:t>
      </w:r>
      <w:r w:rsidR="00C767EC">
        <w:t>no</w:t>
      </w:r>
      <w:r w:rsidR="004655FB" w:rsidRPr="00972B09">
        <w:t xml:space="preserve"> increase in regulation of this industry, the Commission has significantly increased the regulatory fees in FY 2014 and FY 2015.</w:t>
      </w:r>
      <w:r w:rsidR="004655FB" w:rsidRPr="00972B09">
        <w:rPr>
          <w:rStyle w:val="FootnoteReference"/>
        </w:rPr>
        <w:footnoteReference w:id="88"/>
      </w:r>
      <w:r w:rsidR="00EF352D" w:rsidRPr="00972B09">
        <w:t xml:space="preserve">  </w:t>
      </w:r>
      <w:r w:rsidR="007E3EA6" w:rsidRPr="00972B09">
        <w:t>We agree with the Aviation Joint Commenters and</w:t>
      </w:r>
      <w:r w:rsidR="00C65744">
        <w:t>,</w:t>
      </w:r>
      <w:r w:rsidR="007E3EA6" w:rsidRPr="00972B09">
        <w:t xml:space="preserve"> </w:t>
      </w:r>
      <w:r w:rsidR="00C65744">
        <w:t xml:space="preserve">after reviewing additional information, </w:t>
      </w:r>
      <w:r w:rsidR="007E3EA6" w:rsidRPr="00972B09">
        <w:t xml:space="preserve">have adjusted the payment units </w:t>
      </w:r>
      <w:r w:rsidR="00EA0230">
        <w:t xml:space="preserve">and rate </w:t>
      </w:r>
      <w:r w:rsidR="007E3EA6" w:rsidRPr="00972B09">
        <w:t>accordingly</w:t>
      </w:r>
      <w:r w:rsidR="00B14257">
        <w:t xml:space="preserve"> based on current fiscal year renewals</w:t>
      </w:r>
      <w:r w:rsidR="007E3EA6" w:rsidRPr="00972B09">
        <w:t>.</w:t>
      </w:r>
    </w:p>
    <w:p w:rsidR="00F04073" w:rsidRDefault="00E91734" w:rsidP="00D0510A">
      <w:pPr>
        <w:pStyle w:val="ParaNum"/>
        <w:rPr>
          <w:szCs w:val="22"/>
        </w:rPr>
      </w:pPr>
      <w:r w:rsidRPr="005520B4">
        <w:rPr>
          <w:i/>
          <w:szCs w:val="22"/>
        </w:rPr>
        <w:t>Satellite</w:t>
      </w:r>
      <w:r w:rsidRPr="005520B4">
        <w:rPr>
          <w:szCs w:val="22"/>
        </w:rPr>
        <w:t xml:space="preserve">.  </w:t>
      </w:r>
      <w:r w:rsidR="00E50BC0" w:rsidRPr="005520B4">
        <w:rPr>
          <w:szCs w:val="22"/>
        </w:rPr>
        <w:t>S</w:t>
      </w:r>
      <w:r w:rsidR="00023F9B" w:rsidRPr="005520B4">
        <w:rPr>
          <w:szCs w:val="22"/>
        </w:rPr>
        <w:t xml:space="preserve">everal commenters have raised </w:t>
      </w:r>
      <w:r w:rsidR="00A275A0" w:rsidRPr="005520B4">
        <w:rPr>
          <w:szCs w:val="22"/>
        </w:rPr>
        <w:t>iss</w:t>
      </w:r>
      <w:r w:rsidR="00E07363" w:rsidRPr="005520B4">
        <w:rPr>
          <w:szCs w:val="22"/>
        </w:rPr>
        <w:t xml:space="preserve">ues pertaining to </w:t>
      </w:r>
      <w:r w:rsidR="00AA694E" w:rsidRPr="005520B4">
        <w:rPr>
          <w:szCs w:val="22"/>
        </w:rPr>
        <w:t xml:space="preserve">the proposed </w:t>
      </w:r>
      <w:r w:rsidR="00E07363" w:rsidRPr="005520B4">
        <w:rPr>
          <w:szCs w:val="22"/>
        </w:rPr>
        <w:t>space station fees</w:t>
      </w:r>
      <w:r w:rsidR="00A275A0" w:rsidRPr="005520B4">
        <w:rPr>
          <w:szCs w:val="22"/>
        </w:rPr>
        <w:t xml:space="preserve">.  </w:t>
      </w:r>
      <w:r w:rsidR="00AA694E" w:rsidRPr="005520B4">
        <w:rPr>
          <w:szCs w:val="22"/>
        </w:rPr>
        <w:t>SIA</w:t>
      </w:r>
      <w:r w:rsidR="00C27B2C" w:rsidRPr="005520B4">
        <w:rPr>
          <w:szCs w:val="22"/>
        </w:rPr>
        <w:t xml:space="preserve"> and</w:t>
      </w:r>
      <w:r w:rsidR="00E50BC0" w:rsidRPr="005520B4">
        <w:rPr>
          <w:szCs w:val="22"/>
        </w:rPr>
        <w:t xml:space="preserve"> </w:t>
      </w:r>
      <w:r w:rsidR="002D0A46" w:rsidRPr="005520B4">
        <w:rPr>
          <w:szCs w:val="22"/>
        </w:rPr>
        <w:t>EchoS</w:t>
      </w:r>
      <w:r w:rsidR="00A275A0" w:rsidRPr="005520B4">
        <w:rPr>
          <w:szCs w:val="22"/>
        </w:rPr>
        <w:t>tar object to the proposed increase in fees, contending that we should cap any increases at 7.5 percent.</w:t>
      </w:r>
      <w:r w:rsidR="00A275A0" w:rsidRPr="005520B4">
        <w:rPr>
          <w:rStyle w:val="FootnoteReference"/>
          <w:sz w:val="22"/>
          <w:szCs w:val="22"/>
        </w:rPr>
        <w:footnoteReference w:id="89"/>
      </w:r>
      <w:r w:rsidR="00A275A0" w:rsidRPr="005520B4">
        <w:rPr>
          <w:szCs w:val="22"/>
        </w:rPr>
        <w:t xml:space="preserve">  These commenters argue that we should adopt the same cap we adopted for FY 2013</w:t>
      </w:r>
      <w:r w:rsidR="00B7531C" w:rsidRPr="005520B4">
        <w:rPr>
          <w:szCs w:val="22"/>
        </w:rPr>
        <w:t xml:space="preserve">.  </w:t>
      </w:r>
      <w:r w:rsidR="00BD798A">
        <w:t>In FY 2013, the 7.5</w:t>
      </w:r>
      <w:r w:rsidR="007213D3">
        <w:t xml:space="preserve"> percent </w:t>
      </w:r>
      <w:r w:rsidR="00BD798A">
        <w:t>cap was instituted to address the initial changes in the FTE allocations (</w:t>
      </w:r>
      <w:r w:rsidR="00BD798A" w:rsidRPr="002B1B38">
        <w:rPr>
          <w:bCs/>
        </w:rPr>
        <w:t xml:space="preserve">not fee rate changes </w:t>
      </w:r>
      <w:r w:rsidR="00BD798A">
        <w:rPr>
          <w:bCs/>
        </w:rPr>
        <w:t>resulting from changes i</w:t>
      </w:r>
      <w:r w:rsidR="00BD798A" w:rsidRPr="002B1B38">
        <w:rPr>
          <w:bCs/>
        </w:rPr>
        <w:t>n the unit counts</w:t>
      </w:r>
      <w:r w:rsidR="00BD798A">
        <w:t xml:space="preserve">) as a result of </w:t>
      </w:r>
      <w:r w:rsidR="00487ECB">
        <w:t>the General Accountability Office (</w:t>
      </w:r>
      <w:r w:rsidR="00BD798A">
        <w:t>GAO</w:t>
      </w:r>
      <w:r w:rsidR="00487ECB">
        <w:t>)</w:t>
      </w:r>
      <w:r w:rsidR="00BD798A">
        <w:t xml:space="preserve"> recommendations</w:t>
      </w:r>
      <w:r w:rsidR="00182705">
        <w:t xml:space="preserve"> adopted in that proceeding</w:t>
      </w:r>
      <w:r w:rsidR="00BD798A">
        <w:t>.</w:t>
      </w:r>
      <w:r w:rsidR="00BD798A">
        <w:rPr>
          <w:rStyle w:val="FootnoteReference"/>
        </w:rPr>
        <w:footnoteReference w:id="90"/>
      </w:r>
      <w:r w:rsidR="005A3315">
        <w:t xml:space="preserve">  </w:t>
      </w:r>
      <w:r w:rsidR="00BD798A">
        <w:t>Such FTE allocation changes could have caused some regulatory fee r</w:t>
      </w:r>
      <w:r w:rsidR="005A3315">
        <w:t xml:space="preserve">ates to increase dramatically.  </w:t>
      </w:r>
      <w:r w:rsidR="00BD798A">
        <w:t>To address this issue, the Commission capped the fee rate increase to 7.5</w:t>
      </w:r>
      <w:r w:rsidR="00487ECB">
        <w:t xml:space="preserve"> percent</w:t>
      </w:r>
      <w:r w:rsidR="005A3315">
        <w:t xml:space="preserve"> from the prior year.  </w:t>
      </w:r>
      <w:r w:rsidR="00BD798A">
        <w:t>In the current proceeding, some satellite commenters requested that the Commission adopt a 7.5</w:t>
      </w:r>
      <w:r w:rsidR="00487ECB">
        <w:t xml:space="preserve"> percent</w:t>
      </w:r>
      <w:r w:rsidR="00BD798A">
        <w:t xml:space="preserve"> cap on FY 2015 regulatory fee increases as the Commission did in FY 2013 with respect to the Non-Geostationary Space Station fee </w:t>
      </w:r>
      <w:r w:rsidR="00F51E57">
        <w:t xml:space="preserve">category.  </w:t>
      </w:r>
      <w:r w:rsidR="00BD798A">
        <w:t xml:space="preserve">Although the circumstances in which we instituted the cap in FY 2013 are different than now, any discussion of imposing a cap at this time is not necessary because the satellite fee rate in </w:t>
      </w:r>
      <w:r w:rsidR="00893D80">
        <w:t xml:space="preserve">the </w:t>
      </w:r>
      <w:r w:rsidR="00BD798A">
        <w:t xml:space="preserve">FY 2015 </w:t>
      </w:r>
      <w:r w:rsidR="00893D80">
        <w:t xml:space="preserve">Report and Order </w:t>
      </w:r>
      <w:r w:rsidR="00BD798A">
        <w:t xml:space="preserve">is </w:t>
      </w:r>
      <w:r w:rsidR="00893D80">
        <w:t xml:space="preserve">nearly </w:t>
      </w:r>
      <w:r w:rsidR="00BD798A">
        <w:t>the same or slightly lower than in FY 2014.</w:t>
      </w:r>
      <w:r w:rsidR="00BD798A">
        <w:rPr>
          <w:szCs w:val="22"/>
        </w:rPr>
        <w:t xml:space="preserve">  </w:t>
      </w:r>
      <w:r w:rsidR="00070FFA" w:rsidRPr="005520B4">
        <w:rPr>
          <w:szCs w:val="22"/>
        </w:rPr>
        <w:t>W</w:t>
      </w:r>
      <w:r w:rsidR="005340BC" w:rsidRPr="005520B4">
        <w:rPr>
          <w:szCs w:val="22"/>
        </w:rPr>
        <w:t xml:space="preserve">e </w:t>
      </w:r>
      <w:r w:rsidR="00FF0A9D" w:rsidRPr="005520B4">
        <w:rPr>
          <w:szCs w:val="22"/>
        </w:rPr>
        <w:t xml:space="preserve">therefore </w:t>
      </w:r>
      <w:r w:rsidR="005340BC" w:rsidRPr="005520B4">
        <w:rPr>
          <w:szCs w:val="22"/>
        </w:rPr>
        <w:t>decline to adopt a cap in this instance</w:t>
      </w:r>
      <w:r w:rsidR="00A275A0" w:rsidRPr="005520B4">
        <w:rPr>
          <w:szCs w:val="22"/>
        </w:rPr>
        <w:t xml:space="preserve">.  </w:t>
      </w:r>
    </w:p>
    <w:p w:rsidR="00D83D9C" w:rsidRPr="005520B4" w:rsidRDefault="00D0510A" w:rsidP="00D0510A">
      <w:pPr>
        <w:pStyle w:val="ParaNum"/>
        <w:rPr>
          <w:szCs w:val="22"/>
        </w:rPr>
      </w:pPr>
      <w:r w:rsidRPr="005520B4">
        <w:rPr>
          <w:szCs w:val="22"/>
        </w:rPr>
        <w:t xml:space="preserve">Intelsat asks that we take </w:t>
      </w:r>
      <w:r w:rsidR="00241551">
        <w:rPr>
          <w:szCs w:val="22"/>
        </w:rPr>
        <w:t xml:space="preserve">satellite </w:t>
      </w:r>
      <w:r w:rsidRPr="005520B4">
        <w:rPr>
          <w:szCs w:val="22"/>
        </w:rPr>
        <w:t>application fees</w:t>
      </w:r>
      <w:r w:rsidR="00241551">
        <w:rPr>
          <w:rStyle w:val="FootnoteReference"/>
          <w:szCs w:val="22"/>
        </w:rPr>
        <w:footnoteReference w:id="91"/>
      </w:r>
      <w:r w:rsidR="00241551">
        <w:rPr>
          <w:szCs w:val="22"/>
        </w:rPr>
        <w:t xml:space="preserve"> </w:t>
      </w:r>
      <w:r w:rsidRPr="005520B4">
        <w:rPr>
          <w:szCs w:val="22"/>
        </w:rPr>
        <w:t xml:space="preserve">into consideration in calculating </w:t>
      </w:r>
      <w:r w:rsidR="00241551">
        <w:rPr>
          <w:szCs w:val="22"/>
        </w:rPr>
        <w:t xml:space="preserve">our </w:t>
      </w:r>
      <w:r w:rsidRPr="005520B4">
        <w:rPr>
          <w:szCs w:val="22"/>
        </w:rPr>
        <w:t>regulatory fees.</w:t>
      </w:r>
      <w:r w:rsidRPr="005520B4">
        <w:rPr>
          <w:rStyle w:val="FootnoteReference"/>
          <w:sz w:val="22"/>
          <w:szCs w:val="22"/>
        </w:rPr>
        <w:footnoteReference w:id="92"/>
      </w:r>
      <w:r w:rsidR="005520B4" w:rsidRPr="005520B4">
        <w:rPr>
          <w:szCs w:val="22"/>
        </w:rPr>
        <w:t xml:space="preserve">  </w:t>
      </w:r>
      <w:r w:rsidR="005520B4">
        <w:rPr>
          <w:szCs w:val="22"/>
        </w:rPr>
        <w:t xml:space="preserve">We are required to </w:t>
      </w:r>
      <w:r w:rsidR="00241551">
        <w:t>assess and collect $339,844,000</w:t>
      </w:r>
      <w:r w:rsidR="00241551" w:rsidRPr="00144B45">
        <w:t xml:space="preserve"> in regulatory fees for FY 201</w:t>
      </w:r>
      <w:r w:rsidR="00241551">
        <w:t>5</w:t>
      </w:r>
      <w:r w:rsidR="00241551" w:rsidRPr="00144B45">
        <w:t xml:space="preserve">, pursuant to Section 9 of the Communications Act </w:t>
      </w:r>
      <w:r w:rsidR="00241551">
        <w:t>and the Commission’s FY 2015 Appropriation.</w:t>
      </w:r>
      <w:r w:rsidR="00241551">
        <w:rPr>
          <w:rStyle w:val="FootnoteReference"/>
        </w:rPr>
        <w:footnoteReference w:id="93"/>
      </w:r>
      <w:r w:rsidR="00241551">
        <w:t xml:space="preserve">  Thus, we are not able to collect less than mandated by Congress in order to take into account section 8 application fees</w:t>
      </w:r>
      <w:r w:rsidR="0061140B">
        <w:t>, as Intelsat requests</w:t>
      </w:r>
      <w:r w:rsidR="00241551">
        <w:t xml:space="preserve">.  </w:t>
      </w:r>
    </w:p>
    <w:p w:rsidR="00023F9B" w:rsidRDefault="00EA0230" w:rsidP="00140EAD">
      <w:pPr>
        <w:pStyle w:val="ParaNum"/>
      </w:pPr>
      <w:r>
        <w:t xml:space="preserve">In addition, </w:t>
      </w:r>
      <w:r w:rsidR="00E07363">
        <w:t>Intelsat argues that U.S.-licensed satellite operators should not have to subsidize the non-U.S.-licensed satellite operators’ ability to serve the U.S. market</w:t>
      </w:r>
      <w:r w:rsidR="00023F9B">
        <w:t>.</w:t>
      </w:r>
      <w:r w:rsidR="00E07363">
        <w:rPr>
          <w:rStyle w:val="FootnoteReference"/>
        </w:rPr>
        <w:footnoteReference w:id="94"/>
      </w:r>
      <w:r w:rsidR="00023F9B">
        <w:t xml:space="preserve">  </w:t>
      </w:r>
      <w:r w:rsidR="000E201A">
        <w:t>We have sought comment previously on this</w:t>
      </w:r>
      <w:r w:rsidR="00FC69AF">
        <w:t xml:space="preserve"> issue</w:t>
      </w:r>
      <w:r w:rsidR="000E201A">
        <w:t xml:space="preserve"> because the</w:t>
      </w:r>
      <w:r w:rsidR="00FC69AF">
        <w:t xml:space="preserve"> number of </w:t>
      </w:r>
      <w:r w:rsidR="000E201A">
        <w:t xml:space="preserve">International Bureau FTEs working on </w:t>
      </w:r>
      <w:r w:rsidR="008860AD">
        <w:t>non-U.S.-licensed space stations increases the regulatory fees for the International Bureau regulatees.</w:t>
      </w:r>
      <w:r>
        <w:rPr>
          <w:rStyle w:val="FootnoteReference"/>
        </w:rPr>
        <w:footnoteReference w:id="95"/>
      </w:r>
      <w:r w:rsidR="00290508">
        <w:t xml:space="preserve">  </w:t>
      </w:r>
      <w:r w:rsidR="00B5546C" w:rsidRPr="00B5546C">
        <w:t xml:space="preserve">We </w:t>
      </w:r>
      <w:r w:rsidR="00B5546C">
        <w:t>also</w:t>
      </w:r>
      <w:r w:rsidR="00B5546C" w:rsidRPr="00B5546C">
        <w:t xml:space="preserve"> note that non-U.S.-licensed space stations that have been granted access to the U.S. market will eventually communicate with earth stations in the United States</w:t>
      </w:r>
      <w:r w:rsidR="00B5546C">
        <w:t>, and therefore</w:t>
      </w:r>
      <w:r w:rsidR="00B5546C" w:rsidRPr="00B5546C">
        <w:t xml:space="preserve"> aspects of the interrelated communications system are apportioned to earth station licensees when accounting for FTE time spent processing requests to access the non-U.S. licensed space station.</w:t>
      </w:r>
      <w:r w:rsidR="00B5546C">
        <w:t xml:space="preserve">  </w:t>
      </w:r>
      <w:r w:rsidR="00D40D60">
        <w:t>We</w:t>
      </w:r>
      <w:r w:rsidR="00304718">
        <w:t xml:space="preserve"> conclude that due to</w:t>
      </w:r>
      <w:r w:rsidR="00572188">
        <w:t>:</w:t>
      </w:r>
      <w:r w:rsidR="009C1947">
        <w:t xml:space="preserve"> (</w:t>
      </w:r>
      <w:r w:rsidR="00923DE2">
        <w:t>i</w:t>
      </w:r>
      <w:r w:rsidR="009C1947">
        <w:t>) t</w:t>
      </w:r>
      <w:r w:rsidR="00304718">
        <w:t>he time spent by Internation</w:t>
      </w:r>
      <w:r w:rsidR="008B6AD4">
        <w:t>al Bureau FTEs in working on th</w:t>
      </w:r>
      <w:r w:rsidR="00304718">
        <w:t>ese issues</w:t>
      </w:r>
      <w:r w:rsidR="00572188">
        <w:t>;</w:t>
      </w:r>
      <w:r w:rsidR="009C1947" w:rsidRPr="009C1947">
        <w:t xml:space="preserve"> </w:t>
      </w:r>
      <w:r w:rsidR="009C1947">
        <w:t>and (</w:t>
      </w:r>
      <w:r w:rsidR="00923DE2">
        <w:t>ii</w:t>
      </w:r>
      <w:r w:rsidR="009C1947">
        <w:t xml:space="preserve">) the significant number of </w:t>
      </w:r>
      <w:r w:rsidR="00DD3C74">
        <w:t xml:space="preserve">requests </w:t>
      </w:r>
      <w:r w:rsidR="009C1947">
        <w:t xml:space="preserve">to </w:t>
      </w:r>
      <w:r w:rsidR="00DD3C74">
        <w:t>access the U.S. market by</w:t>
      </w:r>
      <w:r w:rsidR="009C1947">
        <w:t xml:space="preserve"> non-U.S.-licensed space stations</w:t>
      </w:r>
      <w:r w:rsidR="00D40D60">
        <w:t>, the FTEs working on petitions or other matters involving non-U.S.-licensed space stations should be removed from the regulatory fee assessments for U.S.-licensed space stations and considered indirect for regulatory fee purposes</w:t>
      </w:r>
      <w:r w:rsidR="00290508">
        <w:t>.</w:t>
      </w:r>
      <w:r w:rsidR="00D40D60">
        <w:t xml:space="preserve">  </w:t>
      </w:r>
      <w:r w:rsidR="003C1A37">
        <w:t xml:space="preserve">Non-U.S.-licensed space stations granted access to the market in the United States provide </w:t>
      </w:r>
      <w:r w:rsidR="006F0300">
        <w:t xml:space="preserve">a variety of </w:t>
      </w:r>
      <w:r w:rsidR="003C1A37">
        <w:t xml:space="preserve">services.  Attributing such FTE work as indirect appropriately attributes the regulatory fee burden to the wider telecommunications industry that benefits from such grants of market access.  </w:t>
      </w:r>
      <w:r w:rsidR="00E43BD8">
        <w:t>We have reviewed the number of FTEs working on the</w:t>
      </w:r>
      <w:r w:rsidR="00E43BD8" w:rsidRPr="00E43BD8">
        <w:t xml:space="preserve"> </w:t>
      </w:r>
      <w:r w:rsidR="00E43BD8">
        <w:t>non-U.S.-licensed space stations and</w:t>
      </w:r>
      <w:r w:rsidR="00E87522">
        <w:t xml:space="preserve"> have determined that approximately </w:t>
      </w:r>
      <w:r w:rsidR="003A00DF">
        <w:t xml:space="preserve">four </w:t>
      </w:r>
      <w:r w:rsidR="00E87522">
        <w:t>FTEs are devoted to this work at this time,</w:t>
      </w:r>
      <w:r w:rsidR="00E43BD8">
        <w:t xml:space="preserve"> t</w:t>
      </w:r>
      <w:r w:rsidR="00D40D60">
        <w:t xml:space="preserve">herefore, we are reallocating </w:t>
      </w:r>
      <w:r w:rsidR="003A00DF">
        <w:t>four</w:t>
      </w:r>
      <w:r w:rsidR="00D40D60" w:rsidRPr="001D5EE6">
        <w:t xml:space="preserve"> I</w:t>
      </w:r>
      <w:r w:rsidR="00D40D60">
        <w:t>nternational Bureau FTEs as indirect FTEs for regulatory fee purposes.</w:t>
      </w:r>
      <w:r w:rsidR="0012316B">
        <w:rPr>
          <w:rStyle w:val="FootnoteReference"/>
        </w:rPr>
        <w:footnoteReference w:id="96"/>
      </w:r>
    </w:p>
    <w:p w:rsidR="00587BDE" w:rsidRDefault="00587BDE" w:rsidP="00587BDE">
      <w:pPr>
        <w:pStyle w:val="Heading3"/>
      </w:pPr>
      <w:r>
        <w:t>Puerto Rico Broadcasters Association Petition</w:t>
      </w:r>
    </w:p>
    <w:p w:rsidR="00587BDE" w:rsidRDefault="00587BDE" w:rsidP="00DE11A9">
      <w:pPr>
        <w:pStyle w:val="ParaNum"/>
      </w:pPr>
      <w:r>
        <w:t xml:space="preserve">In the </w:t>
      </w:r>
      <w:r w:rsidRPr="00BA302A">
        <w:rPr>
          <w:i/>
        </w:rPr>
        <w:t>FY 2015 NPRM</w:t>
      </w:r>
      <w:r w:rsidR="00F974F9" w:rsidRPr="00F974F9">
        <w:t>,</w:t>
      </w:r>
      <w:r>
        <w:t xml:space="preserve"> we sought comment on the petition filed by the Puerto Rico Broadcaster’s Association (PRBA)</w:t>
      </w:r>
      <w:r w:rsidR="003C5B39">
        <w:t xml:space="preserve"> seeking regulatory fee relief</w:t>
      </w:r>
      <w:r>
        <w:t>.</w:t>
      </w:r>
      <w:r w:rsidR="003C5B39">
        <w:rPr>
          <w:rStyle w:val="FootnoteReference"/>
        </w:rPr>
        <w:footnoteReference w:id="97"/>
      </w:r>
      <w:r>
        <w:t xml:space="preserve">  We </w:t>
      </w:r>
      <w:r w:rsidR="003C5B39">
        <w:t xml:space="preserve">recognize the </w:t>
      </w:r>
      <w:r w:rsidR="006319A8">
        <w:t xml:space="preserve">challenging </w:t>
      </w:r>
      <w:r w:rsidR="003C5B39">
        <w:t>circumstances described in the PRBA petition</w:t>
      </w:r>
      <w:r w:rsidR="006319A8">
        <w:t>.  D</w:t>
      </w:r>
      <w:r>
        <w:t xml:space="preserve">ue to the </w:t>
      </w:r>
      <w:r w:rsidR="006E55AA">
        <w:t xml:space="preserve">complexities of this proposal and </w:t>
      </w:r>
      <w:r>
        <w:t xml:space="preserve">time constraints imposed by the annual regulatory fee process, </w:t>
      </w:r>
      <w:r w:rsidR="006E55AA">
        <w:t>additional time is needed to further consider this petition.</w:t>
      </w:r>
      <w:r>
        <w:t xml:space="preserve">  We intend to address the PRBA</w:t>
      </w:r>
      <w:r w:rsidR="003C5B39">
        <w:t xml:space="preserve"> petition</w:t>
      </w:r>
      <w:r>
        <w:t xml:space="preserve"> in a separate proceeding outside of the regulatory fee rulemaking process.  </w:t>
      </w:r>
      <w:r w:rsidR="00026488">
        <w:t xml:space="preserve">We understand that </w:t>
      </w:r>
      <w:r w:rsidR="00572522">
        <w:t xml:space="preserve">PRBA </w:t>
      </w:r>
      <w:r w:rsidR="00026488">
        <w:t xml:space="preserve">is contending </w:t>
      </w:r>
      <w:r w:rsidR="00572522">
        <w:t>that the costs associated with preparing and filing a waiver request would be overly burdensome</w:t>
      </w:r>
      <w:r w:rsidR="00541EA7">
        <w:t xml:space="preserve">; however, </w:t>
      </w:r>
      <w:r w:rsidR="00BA302A">
        <w:rPr>
          <w:rStyle w:val="FootnoteReference"/>
        </w:rPr>
        <w:footnoteReference w:id="98"/>
      </w:r>
      <w:r w:rsidR="00572522" w:rsidRPr="00572522">
        <w:t xml:space="preserve"> </w:t>
      </w:r>
      <w:r w:rsidR="00316D68">
        <w:t>o</w:t>
      </w:r>
      <w:r w:rsidR="00572522">
        <w:t>ur waiver process</w:t>
      </w:r>
      <w:r w:rsidR="00572522">
        <w:rPr>
          <w:rStyle w:val="FootnoteReference"/>
        </w:rPr>
        <w:footnoteReference w:id="99"/>
      </w:r>
      <w:r w:rsidR="00572522">
        <w:t xml:space="preserve"> is available to PRBA members and any </w:t>
      </w:r>
      <w:r w:rsidR="00611D57">
        <w:t xml:space="preserve">aggrieved </w:t>
      </w:r>
      <w:r w:rsidR="00572522">
        <w:t>party seeking a waiver of our rules.</w:t>
      </w:r>
      <w:r w:rsidR="00611D57">
        <w:rPr>
          <w:rStyle w:val="FootnoteReference"/>
        </w:rPr>
        <w:footnoteReference w:id="100"/>
      </w:r>
    </w:p>
    <w:p w:rsidR="009B672E" w:rsidRDefault="009B672E" w:rsidP="0014127A">
      <w:pPr>
        <w:pStyle w:val="Heading3"/>
      </w:pPr>
      <w:r>
        <w:t>Effective Date of Elimination of the Vanity Call Sign and General Mobile Radio Service Regulatory Fee</w:t>
      </w:r>
    </w:p>
    <w:p w:rsidR="009B672E" w:rsidRPr="009B672E" w:rsidRDefault="009B672E">
      <w:pPr>
        <w:pStyle w:val="ParaNum"/>
      </w:pPr>
      <w:r w:rsidRPr="009B672E">
        <w:t xml:space="preserve">In the Commission’s </w:t>
      </w:r>
      <w:r w:rsidRPr="0014127A">
        <w:rPr>
          <w:i/>
        </w:rPr>
        <w:t xml:space="preserve">FY 2015 </w:t>
      </w:r>
      <w:r w:rsidR="00E80E7B" w:rsidRPr="0014127A">
        <w:rPr>
          <w:i/>
        </w:rPr>
        <w:t xml:space="preserve">Fee Reform </w:t>
      </w:r>
      <w:r w:rsidRPr="0014127A">
        <w:rPr>
          <w:i/>
        </w:rPr>
        <w:t>Report and Order</w:t>
      </w:r>
      <w:r w:rsidRPr="009B672E">
        <w:t>,</w:t>
      </w:r>
      <w:r w:rsidR="00411AE5">
        <w:rPr>
          <w:rStyle w:val="FootnoteReference"/>
        </w:rPr>
        <w:footnoteReference w:id="101"/>
      </w:r>
      <w:r w:rsidRPr="009B672E">
        <w:t xml:space="preserve"> the Commission eliminated the regulatory fee component of two fee categories: </w:t>
      </w:r>
      <w:r>
        <w:t xml:space="preserve">amateur radio </w:t>
      </w:r>
      <w:r w:rsidRPr="009B672E">
        <w:t>Vanity Call Signs</w:t>
      </w:r>
      <w:r w:rsidR="00411AE5">
        <w:rPr>
          <w:rStyle w:val="FootnoteReference"/>
        </w:rPr>
        <w:footnoteReference w:id="102"/>
      </w:r>
      <w:r w:rsidRPr="009B672E">
        <w:t xml:space="preserve"> and General Mobile Radio Service (GMRS)</w:t>
      </w:r>
      <w:r w:rsidR="00411AE5">
        <w:t>.</w:t>
      </w:r>
      <w:r w:rsidR="00411AE5">
        <w:rPr>
          <w:rStyle w:val="FootnoteReference"/>
        </w:rPr>
        <w:footnoteReference w:id="103"/>
      </w:r>
      <w:r w:rsidRPr="009B672E">
        <w:t xml:space="preserve">  The elimination of regulatory fee categories constitutes a “permitted ame</w:t>
      </w:r>
      <w:r>
        <w:t>ndment” as defined in section 9(b)</w:t>
      </w:r>
      <w:r w:rsidRPr="009B672E">
        <w:t xml:space="preserve">(3) of the </w:t>
      </w:r>
      <w:r>
        <w:t>Act</w:t>
      </w:r>
      <w:r w:rsidR="00CE679E">
        <w:t>.  A</w:t>
      </w:r>
      <w:r>
        <w:t>s required by section 9(b)(4)</w:t>
      </w:r>
      <w:r w:rsidRPr="009B672E">
        <w:t xml:space="preserve">(B) of the Act, “permitted amendment” letters dated June 4, 2015 were mailed to congressional officials informing them of the elimination of these two fee categories and </w:t>
      </w:r>
      <w:r w:rsidR="003A506D">
        <w:t xml:space="preserve">adoption of </w:t>
      </w:r>
      <w:r w:rsidRPr="009B672E">
        <w:t>the new D</w:t>
      </w:r>
      <w:r w:rsidR="00061B17">
        <w:t xml:space="preserve">BS </w:t>
      </w:r>
      <w:r w:rsidRPr="009B672E">
        <w:t xml:space="preserve">fee category.  Consistent with section 9(b)(4)(B) of the Act, these amendments will take effect </w:t>
      </w:r>
      <w:r w:rsidR="007E6EE0">
        <w:t xml:space="preserve">90 days </w:t>
      </w:r>
      <w:r w:rsidRPr="009B672E">
        <w:t>after congressional notification of the permitted amendment letter</w:t>
      </w:r>
      <w:r w:rsidR="00B165E8">
        <w:t xml:space="preserve">, dated </w:t>
      </w:r>
      <w:r w:rsidRPr="009B672E">
        <w:t>June 4, 2015</w:t>
      </w:r>
      <w:r w:rsidR="00B165E8">
        <w:t xml:space="preserve">.  </w:t>
      </w:r>
      <w:r w:rsidR="00D55B31">
        <w:t>Thus, e</w:t>
      </w:r>
      <w:r w:rsidRPr="009B672E">
        <w:t xml:space="preserve">ffective September 3, 2015, the Vanity Call Sign and GMRS </w:t>
      </w:r>
      <w:r>
        <w:t xml:space="preserve">regulatory </w:t>
      </w:r>
      <w:r w:rsidRPr="009B672E">
        <w:t>fee categories will be eliminated</w:t>
      </w:r>
      <w:r w:rsidR="00EF3AEE">
        <w:t xml:space="preserve"> and </w:t>
      </w:r>
      <w:r w:rsidR="001B5723">
        <w:t>l</w:t>
      </w:r>
      <w:r w:rsidR="00EF3AEE">
        <w:t>icensees will not be required to pay additional regulatory fees for these licenses</w:t>
      </w:r>
      <w:r w:rsidRPr="009B672E">
        <w:t>.</w:t>
      </w:r>
      <w:r w:rsidR="00EC79F0">
        <w:rPr>
          <w:rStyle w:val="FootnoteReference"/>
        </w:rPr>
        <w:footnoteReference w:id="104"/>
      </w:r>
      <w:r w:rsidR="00D55B31">
        <w:t xml:space="preserve">  R</w:t>
      </w:r>
      <w:r w:rsidRPr="009B672E">
        <w:t xml:space="preserve">egulatees are still responsible for the payment of all application fees associated with these </w:t>
      </w:r>
      <w:r w:rsidR="001B5723">
        <w:t>licenses</w:t>
      </w:r>
      <w:r w:rsidRPr="009B672E">
        <w:t xml:space="preserve">.    </w:t>
      </w:r>
    </w:p>
    <w:p w:rsidR="00CE382F" w:rsidRDefault="00CE382F" w:rsidP="00EF6EC1">
      <w:pPr>
        <w:pStyle w:val="Heading1"/>
        <w:widowControl/>
        <w:rPr>
          <w:rFonts w:ascii="Times New Roman" w:hAnsi="Times New Roman"/>
          <w:szCs w:val="22"/>
        </w:rPr>
      </w:pPr>
      <w:bookmarkStart w:id="22" w:name="_Toc351572416"/>
      <w:bookmarkStart w:id="23" w:name="_Toc351572418"/>
      <w:bookmarkStart w:id="24" w:name="_Toc394672311"/>
      <w:bookmarkStart w:id="25" w:name="_Toc397078324"/>
      <w:bookmarkStart w:id="26" w:name="_Toc351484758"/>
      <w:bookmarkStart w:id="27" w:name="_Toc351484804"/>
      <w:bookmarkStart w:id="28" w:name="_Toc351484946"/>
      <w:bookmarkStart w:id="29" w:name="_Toc351571062"/>
      <w:bookmarkStart w:id="30" w:name="_Toc390878803"/>
      <w:bookmarkEnd w:id="22"/>
      <w:bookmarkEnd w:id="23"/>
      <w:r>
        <w:rPr>
          <w:rFonts w:ascii="Times New Roman" w:hAnsi="Times New Roman"/>
          <w:szCs w:val="22"/>
        </w:rPr>
        <w:t>Further notice of proposed rulemaking</w:t>
      </w:r>
      <w:bookmarkEnd w:id="24"/>
      <w:bookmarkEnd w:id="25"/>
    </w:p>
    <w:p w:rsidR="00A020FC" w:rsidRPr="00EB50B3" w:rsidRDefault="00A020FC" w:rsidP="00B92981">
      <w:pPr>
        <w:pStyle w:val="Heading2"/>
      </w:pPr>
      <w:r>
        <w:t>Broadcasters’ Regulatory Fees</w:t>
      </w:r>
    </w:p>
    <w:p w:rsidR="00EC4342" w:rsidRDefault="00EC4342" w:rsidP="00831DA6">
      <w:pPr>
        <w:pStyle w:val="ParaNum"/>
      </w:pPr>
      <w:r>
        <w:t xml:space="preserve">In the </w:t>
      </w:r>
      <w:r w:rsidRPr="00D04640">
        <w:rPr>
          <w:i/>
        </w:rPr>
        <w:t>FY 2015 NPRM</w:t>
      </w:r>
      <w:r w:rsidRPr="005E0B16">
        <w:t>,</w:t>
      </w:r>
      <w:r>
        <w:t xml:space="preserve"> we sought comment on whether the Commission should review the apportionment of regulatory fees among broadcasters.  We sought comment on whether the Commission should reexamine the number of FTEs devoted to the regulation of radio versus television broadcasters and adjust the fee paid by radio and television broadcasters to more accurately take into account factors related to “the benefits provided to the payor of the fee by the Commission’s activities.”</w:t>
      </w:r>
      <w:r>
        <w:rPr>
          <w:rStyle w:val="FootnoteReference"/>
        </w:rPr>
        <w:footnoteReference w:id="105"/>
      </w:r>
      <w:r>
        <w:t xml:space="preserve">  NAB filed comments in support of our effort to better align fees with the FTEs working on broadcast issues, but observes that we have not yet provided information about the relevant FTEs.</w:t>
      </w:r>
      <w:r>
        <w:rPr>
          <w:rStyle w:val="FootnoteReference"/>
        </w:rPr>
        <w:footnoteReference w:id="106"/>
      </w:r>
      <w:r w:rsidR="00382F5A" w:rsidRPr="00382F5A">
        <w:t xml:space="preserve"> </w:t>
      </w:r>
      <w:r w:rsidR="00382F5A">
        <w:t xml:space="preserve"> </w:t>
      </w:r>
      <w:r w:rsidR="00066282">
        <w:t xml:space="preserve">We have </w:t>
      </w:r>
      <w:r w:rsidR="007D0A3B">
        <w:t xml:space="preserve">reviewed the </w:t>
      </w:r>
      <w:r w:rsidR="00F7229A">
        <w:t xml:space="preserve">categories of work performed by </w:t>
      </w:r>
      <w:r w:rsidR="007D0A3B">
        <w:t xml:space="preserve">FTEs in the </w:t>
      </w:r>
      <w:r w:rsidR="00382F5A" w:rsidRPr="00382F5A">
        <w:t>Media Bureau</w:t>
      </w:r>
      <w:r w:rsidR="00382F5A">
        <w:t xml:space="preserve">, </w:t>
      </w:r>
      <w:r w:rsidR="007D0A3B">
        <w:t>in order to provide further information for commenters</w:t>
      </w:r>
      <w:r w:rsidR="00F7229A">
        <w:t xml:space="preserve"> on this issue</w:t>
      </w:r>
      <w:r w:rsidR="007D0A3B">
        <w:t xml:space="preserve">.  The Media Bureau, </w:t>
      </w:r>
      <w:r w:rsidR="00382F5A">
        <w:t>consisting of 1</w:t>
      </w:r>
      <w:r w:rsidR="00E73728">
        <w:t>69</w:t>
      </w:r>
      <w:r w:rsidR="00382F5A">
        <w:t xml:space="preserve"> FTEs,</w:t>
      </w:r>
      <w:r w:rsidR="00382F5A" w:rsidRPr="00382F5A">
        <w:t xml:space="preserve"> develops, recommends</w:t>
      </w:r>
      <w:r w:rsidR="00382F5A">
        <w:t>,</w:t>
      </w:r>
      <w:r w:rsidR="00382F5A" w:rsidRPr="00382F5A">
        <w:t xml:space="preserve"> and administers the policy and licensing programs </w:t>
      </w:r>
      <w:r w:rsidR="00382F5A">
        <w:t xml:space="preserve">for </w:t>
      </w:r>
      <w:r w:rsidR="00382F5A" w:rsidRPr="00382F5A">
        <w:t>electronic media, including cable television, broadcast television, and radio in the United States and its territories</w:t>
      </w:r>
      <w:r w:rsidR="00382F5A">
        <w:t xml:space="preserve">, and </w:t>
      </w:r>
      <w:r w:rsidR="00382F5A" w:rsidRPr="00382F5A">
        <w:t>also handles post-licensing matters regarding D</w:t>
      </w:r>
      <w:r w:rsidR="00382F5A">
        <w:t>BS</w:t>
      </w:r>
      <w:r w:rsidR="00382F5A" w:rsidRPr="00382F5A">
        <w:t xml:space="preserve"> service.</w:t>
      </w:r>
      <w:r>
        <w:t xml:space="preserve">  </w:t>
      </w:r>
      <w:r w:rsidR="00DD185D">
        <w:t>T</w:t>
      </w:r>
      <w:r w:rsidR="001B0902">
        <w:t xml:space="preserve">he Media Bureau has 25 </w:t>
      </w:r>
      <w:r w:rsidR="00382F5A">
        <w:t xml:space="preserve">FTEs </w:t>
      </w:r>
      <w:r w:rsidR="001B0902">
        <w:t xml:space="preserve">in the bureau front office, </w:t>
      </w:r>
      <w:r w:rsidR="00E73728">
        <w:t>(</w:t>
      </w:r>
      <w:r w:rsidR="00E73728" w:rsidRPr="00FA0DDC">
        <w:t>including staff assigned to Bureau-wide administrative support), 51</w:t>
      </w:r>
      <w:r w:rsidR="001B0902" w:rsidRPr="00FA0DDC">
        <w:t xml:space="preserve"> in the Audio Divis</w:t>
      </w:r>
      <w:r w:rsidR="0073675D" w:rsidRPr="00FA0DDC">
        <w:t>i</w:t>
      </w:r>
      <w:r w:rsidR="001B0902" w:rsidRPr="00FA0DDC">
        <w:t>on, 27 in the Industry Analysis Division, 13 in Engineering Division, 2</w:t>
      </w:r>
      <w:r w:rsidR="00AF7B29" w:rsidRPr="00FA0DDC">
        <w:t>9</w:t>
      </w:r>
      <w:r w:rsidR="001B0902" w:rsidRPr="00FA0DDC">
        <w:t xml:space="preserve"> in the </w:t>
      </w:r>
      <w:r w:rsidR="001B0902">
        <w:t>Policy Division, and 2</w:t>
      </w:r>
      <w:r w:rsidR="00AF7B29">
        <w:t>4</w:t>
      </w:r>
      <w:r w:rsidR="001B0902">
        <w:t xml:space="preserve"> in the Video Division.  </w:t>
      </w:r>
      <w:r w:rsidR="0073675D">
        <w:t xml:space="preserve">Some of these FTEs may be categorized as auctions-funded, depending on the Commission’s auctions schedule.  </w:t>
      </w:r>
      <w:r w:rsidR="00F160D6">
        <w:t>All of t</w:t>
      </w:r>
      <w:r w:rsidR="00066282">
        <w:t xml:space="preserve">he Engineering Division FTEs work on cable issues, </w:t>
      </w:r>
      <w:r w:rsidR="00D04640">
        <w:t>and s</w:t>
      </w:r>
      <w:r w:rsidR="00066282">
        <w:t>ome FTEs from the Policy and Industry Analysis Divisions also work on cable issues.</w:t>
      </w:r>
      <w:r w:rsidR="00D04640">
        <w:t xml:space="preserve">  Of the 52 FTEs in the Audio Division, approximately 42 are assigned to FM and 10 to AM.  The 25 FTEs in the Video Division work on television issues.  </w:t>
      </w:r>
      <w:r>
        <w:t>We seek further comment on whether and how to reform our regulatory fee assessments for broadcasters.</w:t>
      </w:r>
    </w:p>
    <w:p w:rsidR="00EC4342" w:rsidRDefault="00EC4342" w:rsidP="00EC4342">
      <w:pPr>
        <w:pStyle w:val="ParaNum"/>
        <w:tabs>
          <w:tab w:val="clear" w:pos="1440"/>
        </w:tabs>
      </w:pPr>
      <w:r>
        <w:t>The Commission assesses regulatory fees on radio broadcasters based on type and class of service and on the population they serve.  Earlier this year we sought comment on whether the dividing points for higher fee levels for both television and radio broadcasters remain appropriate and observed that “no single ratio apportions regulatory fees among AM and FM radio categories.”</w:t>
      </w:r>
      <w:r>
        <w:rPr>
          <w:rStyle w:val="FootnoteReference"/>
        </w:rPr>
        <w:footnoteReference w:id="107"/>
      </w:r>
      <w:r>
        <w:t xml:space="preserve">  We seek further comment on rationalizing the regulatory fee table for radio broadcasters.  First, we seek input on including a higher population row in the table, dividing radio broadcasters that serve 3,000,001–6,000,000 people from those that serve more.  Second, we seek input on standardizing the incremental increase in fees as radio broadcasters increase the population they serve, such as by requiring that fee adjustments between tiers</w:t>
      </w:r>
      <w:r w:rsidR="00571226">
        <w:t xml:space="preserve"> </w:t>
      </w:r>
      <w:r>
        <w:t>monotonically increas</w:t>
      </w:r>
      <w:r w:rsidR="00AF7B29">
        <w:t>e</w:t>
      </w:r>
      <w:r>
        <w:t xml:space="preserve"> as the population served increases.  Third, we seek input on consistently assessing fees based on the relative type and class of service, such as by assessing FM class B, C, C0, C1, &amp; C2 stations at twice the rate of AM class C stations, </w:t>
      </w:r>
      <w:r w:rsidR="00AF7B29">
        <w:t>and</w:t>
      </w:r>
      <w:r>
        <w:t xml:space="preserve"> FM class A, B1, &amp; C3 stations assessed at 75</w:t>
      </w:r>
      <w:r w:rsidR="00E82E5B">
        <w:t xml:space="preserve"> percent</w:t>
      </w:r>
      <w:r>
        <w:t xml:space="preserve"> more than AM class C stations</w:t>
      </w:r>
      <w:r w:rsidR="009E4176">
        <w:t>.</w:t>
      </w:r>
      <w:r>
        <w:t xml:space="preserve"> </w:t>
      </w:r>
      <w:r w:rsidR="00571226">
        <w:t xml:space="preserve"> </w:t>
      </w:r>
      <w:r w:rsidR="009E4176">
        <w:t xml:space="preserve">For AM stations, we seek comment on assessing </w:t>
      </w:r>
      <w:r>
        <w:t>AM class A stations at 60</w:t>
      </w:r>
      <w:r w:rsidR="00E82E5B">
        <w:t xml:space="preserve"> percent</w:t>
      </w:r>
      <w:r>
        <w:t xml:space="preserve"> more, AM class B stations at 15</w:t>
      </w:r>
      <w:r w:rsidR="00E82E5B">
        <w:t xml:space="preserve"> percent</w:t>
      </w:r>
      <w:r>
        <w:t xml:space="preserve"> more, and AM class D stations at 10</w:t>
      </w:r>
      <w:r w:rsidR="00E82E5B">
        <w:t xml:space="preserve"> percent</w:t>
      </w:r>
      <w:r>
        <w:t xml:space="preserve"> </w:t>
      </w:r>
      <w:r w:rsidR="00571226">
        <w:t xml:space="preserve">more than AM class C stations </w:t>
      </w:r>
      <w:r>
        <w:t>(</w:t>
      </w:r>
      <w:r w:rsidRPr="002B1B38">
        <w:t>i.e.</w:t>
      </w:r>
      <w:r w:rsidR="0075385F">
        <w:t>,</w:t>
      </w:r>
      <w:r>
        <w:t xml:space="preserve"> at roughly the relative rates assessed today).  Taking these options together, we seek comment on the following potential table of regulatory fees for radio broadcasters.</w:t>
      </w: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EC4342" w:rsidTr="00E82E5B">
        <w:tc>
          <w:tcPr>
            <w:tcW w:w="8550" w:type="dxa"/>
            <w:gridSpan w:val="7"/>
            <w:tcBorders>
              <w:top w:val="double" w:sz="6" w:space="0" w:color="auto"/>
              <w:left w:val="double" w:sz="6" w:space="0" w:color="auto"/>
              <w:righ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PROPOSED RADIO STATION REGULATORY FEES</w:t>
            </w:r>
          </w:p>
        </w:tc>
      </w:tr>
      <w:tr w:rsidR="00EC4342" w:rsidRPr="00445C3B" w:rsidTr="00E82E5B">
        <w:tc>
          <w:tcPr>
            <w:tcW w:w="189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EC4342" w:rsidRPr="00445C3B"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EC4342" w:rsidRPr="00445C3B"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EC4342" w:rsidRPr="00445C3B"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EC4342" w:rsidRPr="00445C3B"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EC4342" w:rsidTr="00E82E5B">
        <w:tc>
          <w:tcPr>
            <w:tcW w:w="189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EC4342" w:rsidRPr="006D2FF4" w:rsidRDefault="00EC4342" w:rsidP="00E82E5B">
            <w:r w:rsidRPr="005A5F11">
              <w:t xml:space="preserve"> $910 </w:t>
            </w:r>
          </w:p>
        </w:tc>
        <w:tc>
          <w:tcPr>
            <w:tcW w:w="990" w:type="dxa"/>
            <w:tcBorders>
              <w:top w:val="single" w:sz="6" w:space="0" w:color="auto"/>
              <w:left w:val="single" w:sz="6" w:space="0" w:color="auto"/>
            </w:tcBorders>
          </w:tcPr>
          <w:p w:rsidR="00EC4342" w:rsidRPr="006D2FF4" w:rsidRDefault="00EC4342" w:rsidP="00E82E5B">
            <w:r w:rsidRPr="006D2FF4">
              <w:t xml:space="preserve"> $655 </w:t>
            </w:r>
          </w:p>
        </w:tc>
        <w:tc>
          <w:tcPr>
            <w:tcW w:w="900" w:type="dxa"/>
            <w:tcBorders>
              <w:top w:val="single" w:sz="6" w:space="0" w:color="auto"/>
              <w:left w:val="single" w:sz="6" w:space="0" w:color="auto"/>
            </w:tcBorders>
          </w:tcPr>
          <w:p w:rsidR="00EC4342" w:rsidRPr="006D2FF4" w:rsidRDefault="00EC4342" w:rsidP="00E82E5B">
            <w:r w:rsidRPr="006D2FF4">
              <w:t xml:space="preserve"> $570 </w:t>
            </w:r>
          </w:p>
        </w:tc>
        <w:tc>
          <w:tcPr>
            <w:tcW w:w="900" w:type="dxa"/>
            <w:tcBorders>
              <w:top w:val="single" w:sz="6" w:space="0" w:color="auto"/>
              <w:left w:val="single" w:sz="6" w:space="0" w:color="auto"/>
            </w:tcBorders>
          </w:tcPr>
          <w:p w:rsidR="00EC4342" w:rsidRPr="006D2FF4" w:rsidRDefault="00EC4342" w:rsidP="00E82E5B">
            <w:r w:rsidRPr="006D2FF4">
              <w:t xml:space="preserve"> $625 </w:t>
            </w:r>
          </w:p>
        </w:tc>
        <w:tc>
          <w:tcPr>
            <w:tcW w:w="1440" w:type="dxa"/>
            <w:tcBorders>
              <w:top w:val="single" w:sz="6" w:space="0" w:color="auto"/>
              <w:left w:val="single" w:sz="6" w:space="0" w:color="auto"/>
            </w:tcBorders>
          </w:tcPr>
          <w:p w:rsidR="00EC4342" w:rsidRPr="006D2FF4" w:rsidRDefault="00EC4342" w:rsidP="00E82E5B">
            <w:r w:rsidRPr="006D2FF4">
              <w:t xml:space="preserve"> $1,000 </w:t>
            </w:r>
          </w:p>
        </w:tc>
        <w:tc>
          <w:tcPr>
            <w:tcW w:w="1350" w:type="dxa"/>
            <w:tcBorders>
              <w:top w:val="single" w:sz="6" w:space="0" w:color="auto"/>
              <w:left w:val="single" w:sz="6" w:space="0" w:color="auto"/>
              <w:right w:val="double" w:sz="6" w:space="0" w:color="auto"/>
            </w:tcBorders>
          </w:tcPr>
          <w:p w:rsidR="00EC4342" w:rsidRPr="006D2FF4" w:rsidRDefault="00EC4342" w:rsidP="00E82E5B">
            <w:r w:rsidRPr="006D2FF4">
              <w:t xml:space="preserve"> $1,140 </w:t>
            </w:r>
          </w:p>
        </w:tc>
      </w:tr>
      <w:tr w:rsidR="00EC4342" w:rsidTr="00E82E5B">
        <w:tc>
          <w:tcPr>
            <w:tcW w:w="189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EC4342" w:rsidRPr="006D2FF4" w:rsidRDefault="00EC4342" w:rsidP="00E82E5B">
            <w:r w:rsidRPr="005A5F11">
              <w:t xml:space="preserve"> $1,370 </w:t>
            </w:r>
          </w:p>
        </w:tc>
        <w:tc>
          <w:tcPr>
            <w:tcW w:w="990" w:type="dxa"/>
            <w:tcBorders>
              <w:top w:val="single" w:sz="6" w:space="0" w:color="auto"/>
              <w:left w:val="single" w:sz="6" w:space="0" w:color="auto"/>
            </w:tcBorders>
          </w:tcPr>
          <w:p w:rsidR="00EC4342" w:rsidRPr="006D2FF4" w:rsidRDefault="00EC4342" w:rsidP="00E82E5B">
            <w:r w:rsidRPr="006D2FF4">
              <w:t xml:space="preserve"> $985 </w:t>
            </w:r>
          </w:p>
        </w:tc>
        <w:tc>
          <w:tcPr>
            <w:tcW w:w="900" w:type="dxa"/>
            <w:tcBorders>
              <w:top w:val="single" w:sz="6" w:space="0" w:color="auto"/>
              <w:left w:val="single" w:sz="6" w:space="0" w:color="auto"/>
            </w:tcBorders>
          </w:tcPr>
          <w:p w:rsidR="00EC4342" w:rsidRPr="006D2FF4" w:rsidRDefault="00EC4342" w:rsidP="00E82E5B">
            <w:r w:rsidRPr="006D2FF4">
              <w:t xml:space="preserve"> $855 </w:t>
            </w:r>
          </w:p>
        </w:tc>
        <w:tc>
          <w:tcPr>
            <w:tcW w:w="900" w:type="dxa"/>
            <w:tcBorders>
              <w:top w:val="single" w:sz="6" w:space="0" w:color="auto"/>
              <w:left w:val="single" w:sz="6" w:space="0" w:color="auto"/>
            </w:tcBorders>
          </w:tcPr>
          <w:p w:rsidR="00EC4342" w:rsidRPr="006D2FF4" w:rsidRDefault="00EC4342" w:rsidP="00E82E5B">
            <w:r w:rsidRPr="006D2FF4">
              <w:t xml:space="preserve"> $940 </w:t>
            </w:r>
          </w:p>
        </w:tc>
        <w:tc>
          <w:tcPr>
            <w:tcW w:w="1440" w:type="dxa"/>
            <w:tcBorders>
              <w:top w:val="single" w:sz="6" w:space="0" w:color="auto"/>
              <w:left w:val="single" w:sz="6" w:space="0" w:color="auto"/>
            </w:tcBorders>
          </w:tcPr>
          <w:p w:rsidR="00EC4342" w:rsidRPr="006D2FF4" w:rsidRDefault="00EC4342" w:rsidP="00E82E5B">
            <w:r w:rsidRPr="006D2FF4">
              <w:t xml:space="preserve"> $1,495 </w:t>
            </w:r>
          </w:p>
        </w:tc>
        <w:tc>
          <w:tcPr>
            <w:tcW w:w="1350" w:type="dxa"/>
            <w:tcBorders>
              <w:top w:val="single" w:sz="6" w:space="0" w:color="auto"/>
              <w:left w:val="single" w:sz="6" w:space="0" w:color="auto"/>
              <w:right w:val="double" w:sz="6" w:space="0" w:color="auto"/>
            </w:tcBorders>
          </w:tcPr>
          <w:p w:rsidR="00EC4342" w:rsidRPr="006D2FF4" w:rsidRDefault="00EC4342" w:rsidP="00E82E5B">
            <w:r w:rsidRPr="006D2FF4">
              <w:t xml:space="preserve"> $1,710 </w:t>
            </w:r>
          </w:p>
        </w:tc>
      </w:tr>
      <w:tr w:rsidR="00EC4342" w:rsidTr="00E82E5B">
        <w:tc>
          <w:tcPr>
            <w:tcW w:w="189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EC4342" w:rsidRPr="006D2FF4" w:rsidRDefault="00EC4342" w:rsidP="00E82E5B">
            <w:r w:rsidRPr="005A5F11">
              <w:t xml:space="preserve"> $1,825 </w:t>
            </w:r>
          </w:p>
        </w:tc>
        <w:tc>
          <w:tcPr>
            <w:tcW w:w="990" w:type="dxa"/>
            <w:tcBorders>
              <w:top w:val="single" w:sz="6" w:space="0" w:color="auto"/>
              <w:left w:val="single" w:sz="6" w:space="0" w:color="auto"/>
            </w:tcBorders>
          </w:tcPr>
          <w:p w:rsidR="00EC4342" w:rsidRPr="006D2FF4" w:rsidRDefault="00EC4342" w:rsidP="00E82E5B">
            <w:r w:rsidRPr="006D2FF4">
              <w:t xml:space="preserve"> $1,310 </w:t>
            </w:r>
          </w:p>
        </w:tc>
        <w:tc>
          <w:tcPr>
            <w:tcW w:w="900" w:type="dxa"/>
            <w:tcBorders>
              <w:top w:val="single" w:sz="6" w:space="0" w:color="auto"/>
              <w:left w:val="single" w:sz="6" w:space="0" w:color="auto"/>
            </w:tcBorders>
          </w:tcPr>
          <w:p w:rsidR="00EC4342" w:rsidRPr="006D2FF4" w:rsidRDefault="00EC4342" w:rsidP="00E82E5B">
            <w:r w:rsidRPr="006D2FF4">
              <w:t xml:space="preserve"> $1,140 </w:t>
            </w:r>
          </w:p>
        </w:tc>
        <w:tc>
          <w:tcPr>
            <w:tcW w:w="900" w:type="dxa"/>
            <w:tcBorders>
              <w:top w:val="single" w:sz="6" w:space="0" w:color="auto"/>
              <w:left w:val="single" w:sz="6" w:space="0" w:color="auto"/>
            </w:tcBorders>
          </w:tcPr>
          <w:p w:rsidR="00EC4342" w:rsidRPr="006D2FF4" w:rsidRDefault="00EC4342" w:rsidP="00E82E5B">
            <w:r w:rsidRPr="006D2FF4">
              <w:t xml:space="preserve"> $1,255 </w:t>
            </w:r>
          </w:p>
        </w:tc>
        <w:tc>
          <w:tcPr>
            <w:tcW w:w="1440" w:type="dxa"/>
            <w:tcBorders>
              <w:top w:val="single" w:sz="6" w:space="0" w:color="auto"/>
              <w:left w:val="single" w:sz="6" w:space="0" w:color="auto"/>
            </w:tcBorders>
          </w:tcPr>
          <w:p w:rsidR="00EC4342" w:rsidRPr="006D2FF4" w:rsidRDefault="00EC4342" w:rsidP="00E82E5B">
            <w:r w:rsidRPr="006D2FF4">
              <w:t xml:space="preserve"> $1,995 </w:t>
            </w:r>
          </w:p>
        </w:tc>
        <w:tc>
          <w:tcPr>
            <w:tcW w:w="1350" w:type="dxa"/>
            <w:tcBorders>
              <w:top w:val="single" w:sz="6" w:space="0" w:color="auto"/>
              <w:left w:val="single" w:sz="6" w:space="0" w:color="auto"/>
              <w:right w:val="double" w:sz="6" w:space="0" w:color="auto"/>
            </w:tcBorders>
          </w:tcPr>
          <w:p w:rsidR="00EC4342" w:rsidRPr="006D2FF4" w:rsidRDefault="00EC4342" w:rsidP="00E82E5B">
            <w:r w:rsidRPr="006D2FF4">
              <w:t xml:space="preserve"> $2,280 </w:t>
            </w:r>
          </w:p>
        </w:tc>
      </w:tr>
      <w:tr w:rsidR="00EC4342" w:rsidTr="00E82E5B">
        <w:tc>
          <w:tcPr>
            <w:tcW w:w="189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EC4342" w:rsidRPr="006D2FF4" w:rsidRDefault="00EC4342" w:rsidP="00E82E5B">
            <w:r w:rsidRPr="005A5F11">
              <w:t xml:space="preserve"> $2,735 </w:t>
            </w:r>
          </w:p>
        </w:tc>
        <w:tc>
          <w:tcPr>
            <w:tcW w:w="990" w:type="dxa"/>
            <w:tcBorders>
              <w:top w:val="single" w:sz="6" w:space="0" w:color="auto"/>
              <w:left w:val="single" w:sz="6" w:space="0" w:color="auto"/>
            </w:tcBorders>
          </w:tcPr>
          <w:p w:rsidR="00EC4342" w:rsidRPr="006D2FF4" w:rsidRDefault="00EC4342" w:rsidP="00E82E5B">
            <w:r w:rsidRPr="006D2FF4">
              <w:t xml:space="preserve"> $1,965 </w:t>
            </w:r>
          </w:p>
        </w:tc>
        <w:tc>
          <w:tcPr>
            <w:tcW w:w="900" w:type="dxa"/>
            <w:tcBorders>
              <w:top w:val="single" w:sz="6" w:space="0" w:color="auto"/>
              <w:left w:val="single" w:sz="6" w:space="0" w:color="auto"/>
            </w:tcBorders>
          </w:tcPr>
          <w:p w:rsidR="00EC4342" w:rsidRPr="006D2FF4" w:rsidRDefault="00EC4342" w:rsidP="00E82E5B">
            <w:r w:rsidRPr="006D2FF4">
              <w:t xml:space="preserve"> $1,710 </w:t>
            </w:r>
          </w:p>
        </w:tc>
        <w:tc>
          <w:tcPr>
            <w:tcW w:w="900" w:type="dxa"/>
            <w:tcBorders>
              <w:top w:val="single" w:sz="6" w:space="0" w:color="auto"/>
              <w:left w:val="single" w:sz="6" w:space="0" w:color="auto"/>
            </w:tcBorders>
          </w:tcPr>
          <w:p w:rsidR="00EC4342" w:rsidRPr="006D2FF4" w:rsidRDefault="00EC4342" w:rsidP="00E82E5B">
            <w:r w:rsidRPr="006D2FF4">
              <w:t xml:space="preserve"> $1,880 </w:t>
            </w:r>
          </w:p>
        </w:tc>
        <w:tc>
          <w:tcPr>
            <w:tcW w:w="1440" w:type="dxa"/>
            <w:tcBorders>
              <w:top w:val="single" w:sz="6" w:space="0" w:color="auto"/>
              <w:left w:val="single" w:sz="6" w:space="0" w:color="auto"/>
            </w:tcBorders>
          </w:tcPr>
          <w:p w:rsidR="00EC4342" w:rsidRPr="006D2FF4" w:rsidRDefault="00EC4342" w:rsidP="00E82E5B">
            <w:r w:rsidRPr="006D2FF4">
              <w:t xml:space="preserve"> $2,995 </w:t>
            </w:r>
          </w:p>
        </w:tc>
        <w:tc>
          <w:tcPr>
            <w:tcW w:w="1350" w:type="dxa"/>
            <w:tcBorders>
              <w:top w:val="single" w:sz="6" w:space="0" w:color="auto"/>
              <w:left w:val="single" w:sz="6" w:space="0" w:color="auto"/>
              <w:right w:val="double" w:sz="6" w:space="0" w:color="auto"/>
            </w:tcBorders>
          </w:tcPr>
          <w:p w:rsidR="00EC4342" w:rsidRPr="006D2FF4" w:rsidRDefault="00EC4342" w:rsidP="00E82E5B">
            <w:r w:rsidRPr="006D2FF4">
              <w:t xml:space="preserve"> $3,420 </w:t>
            </w:r>
          </w:p>
        </w:tc>
      </w:tr>
      <w:tr w:rsidR="00EC4342" w:rsidTr="00E82E5B">
        <w:tc>
          <w:tcPr>
            <w:tcW w:w="189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EC4342" w:rsidRPr="006D2FF4" w:rsidRDefault="00EC4342" w:rsidP="00E82E5B">
            <w:r w:rsidRPr="005A5F11">
              <w:t xml:space="preserve"> $4,560 </w:t>
            </w:r>
          </w:p>
        </w:tc>
        <w:tc>
          <w:tcPr>
            <w:tcW w:w="990" w:type="dxa"/>
            <w:tcBorders>
              <w:top w:val="single" w:sz="6" w:space="0" w:color="auto"/>
              <w:left w:val="single" w:sz="6" w:space="0" w:color="auto"/>
            </w:tcBorders>
          </w:tcPr>
          <w:p w:rsidR="00EC4342" w:rsidRPr="006D2FF4" w:rsidRDefault="00EC4342" w:rsidP="00E82E5B">
            <w:r w:rsidRPr="006D2FF4">
              <w:t xml:space="preserve"> $3,280 </w:t>
            </w:r>
          </w:p>
        </w:tc>
        <w:tc>
          <w:tcPr>
            <w:tcW w:w="900" w:type="dxa"/>
            <w:tcBorders>
              <w:top w:val="single" w:sz="6" w:space="0" w:color="auto"/>
              <w:left w:val="single" w:sz="6" w:space="0" w:color="auto"/>
            </w:tcBorders>
          </w:tcPr>
          <w:p w:rsidR="00EC4342" w:rsidRPr="006D2FF4" w:rsidRDefault="00EC4342" w:rsidP="00E82E5B">
            <w:r w:rsidRPr="006D2FF4">
              <w:t xml:space="preserve"> $2,850 </w:t>
            </w:r>
          </w:p>
        </w:tc>
        <w:tc>
          <w:tcPr>
            <w:tcW w:w="900" w:type="dxa"/>
            <w:tcBorders>
              <w:top w:val="single" w:sz="6" w:space="0" w:color="auto"/>
              <w:left w:val="single" w:sz="6" w:space="0" w:color="auto"/>
            </w:tcBorders>
          </w:tcPr>
          <w:p w:rsidR="00EC4342" w:rsidRPr="006D2FF4" w:rsidRDefault="00EC4342" w:rsidP="00E82E5B">
            <w:r w:rsidRPr="006D2FF4">
              <w:t xml:space="preserve"> $3,135 </w:t>
            </w:r>
          </w:p>
        </w:tc>
        <w:tc>
          <w:tcPr>
            <w:tcW w:w="1440" w:type="dxa"/>
            <w:tcBorders>
              <w:top w:val="single" w:sz="6" w:space="0" w:color="auto"/>
              <w:left w:val="single" w:sz="6" w:space="0" w:color="auto"/>
            </w:tcBorders>
          </w:tcPr>
          <w:p w:rsidR="00EC4342" w:rsidRPr="006D2FF4" w:rsidRDefault="00EC4342" w:rsidP="00E82E5B">
            <w:r w:rsidRPr="006D2FF4">
              <w:t xml:space="preserve"> $4,990 </w:t>
            </w:r>
          </w:p>
        </w:tc>
        <w:tc>
          <w:tcPr>
            <w:tcW w:w="1350" w:type="dxa"/>
            <w:tcBorders>
              <w:top w:val="single" w:sz="6" w:space="0" w:color="auto"/>
              <w:left w:val="single" w:sz="6" w:space="0" w:color="auto"/>
              <w:right w:val="double" w:sz="6" w:space="0" w:color="auto"/>
            </w:tcBorders>
          </w:tcPr>
          <w:p w:rsidR="00EC4342" w:rsidRPr="006D2FF4" w:rsidRDefault="00EC4342" w:rsidP="00E82E5B">
            <w:r w:rsidRPr="006D2FF4">
              <w:t xml:space="preserve"> $5,700 </w:t>
            </w:r>
          </w:p>
        </w:tc>
      </w:tr>
      <w:tr w:rsidR="00EC4342" w:rsidTr="00E82E5B">
        <w:trPr>
          <w:trHeight w:val="361"/>
        </w:trPr>
        <w:tc>
          <w:tcPr>
            <w:tcW w:w="1890" w:type="dxa"/>
            <w:tcBorders>
              <w:top w:val="single" w:sz="6" w:space="0" w:color="auto"/>
              <w:left w:val="double" w:sz="6" w:space="0" w:color="auto"/>
              <w:bottom w:val="sing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1,200,001–3,000,000</w:t>
            </w:r>
          </w:p>
        </w:tc>
        <w:tc>
          <w:tcPr>
            <w:tcW w:w="1080" w:type="dxa"/>
            <w:tcBorders>
              <w:top w:val="single" w:sz="6" w:space="0" w:color="auto"/>
              <w:left w:val="single" w:sz="6" w:space="0" w:color="auto"/>
              <w:bottom w:val="single" w:sz="6" w:space="0" w:color="auto"/>
            </w:tcBorders>
          </w:tcPr>
          <w:p w:rsidR="00EC4342" w:rsidRPr="006D2FF4" w:rsidRDefault="00EC4342" w:rsidP="00E82E5B">
            <w:r w:rsidRPr="005A5F11">
              <w:t xml:space="preserve"> $6,840 </w:t>
            </w:r>
          </w:p>
        </w:tc>
        <w:tc>
          <w:tcPr>
            <w:tcW w:w="990" w:type="dxa"/>
            <w:tcBorders>
              <w:top w:val="single" w:sz="6" w:space="0" w:color="auto"/>
              <w:left w:val="single" w:sz="6" w:space="0" w:color="auto"/>
              <w:bottom w:val="single" w:sz="6" w:space="0" w:color="auto"/>
            </w:tcBorders>
          </w:tcPr>
          <w:p w:rsidR="00EC4342" w:rsidRPr="006D2FF4" w:rsidRDefault="00EC4342" w:rsidP="00E82E5B">
            <w:r w:rsidRPr="006D2FF4">
              <w:t xml:space="preserve"> $4,915 </w:t>
            </w:r>
          </w:p>
        </w:tc>
        <w:tc>
          <w:tcPr>
            <w:tcW w:w="900" w:type="dxa"/>
            <w:tcBorders>
              <w:top w:val="single" w:sz="6" w:space="0" w:color="auto"/>
              <w:left w:val="single" w:sz="6" w:space="0" w:color="auto"/>
              <w:bottom w:val="single" w:sz="6" w:space="0" w:color="auto"/>
            </w:tcBorders>
          </w:tcPr>
          <w:p w:rsidR="00EC4342" w:rsidRPr="006D2FF4" w:rsidRDefault="00EC4342" w:rsidP="00E82E5B">
            <w:r w:rsidRPr="006D2FF4">
              <w:t xml:space="preserve"> $4,275 </w:t>
            </w:r>
          </w:p>
        </w:tc>
        <w:tc>
          <w:tcPr>
            <w:tcW w:w="900" w:type="dxa"/>
            <w:tcBorders>
              <w:top w:val="single" w:sz="6" w:space="0" w:color="auto"/>
              <w:left w:val="single" w:sz="6" w:space="0" w:color="auto"/>
              <w:bottom w:val="single" w:sz="6" w:space="0" w:color="auto"/>
            </w:tcBorders>
          </w:tcPr>
          <w:p w:rsidR="00EC4342" w:rsidRPr="006D2FF4" w:rsidRDefault="00EC4342" w:rsidP="00E82E5B">
            <w:r w:rsidRPr="006D2FF4">
              <w:t xml:space="preserve"> $4,705 </w:t>
            </w:r>
          </w:p>
        </w:tc>
        <w:tc>
          <w:tcPr>
            <w:tcW w:w="1440" w:type="dxa"/>
            <w:tcBorders>
              <w:top w:val="single" w:sz="6" w:space="0" w:color="auto"/>
              <w:left w:val="single" w:sz="6" w:space="0" w:color="auto"/>
              <w:bottom w:val="single" w:sz="6" w:space="0" w:color="auto"/>
            </w:tcBorders>
          </w:tcPr>
          <w:p w:rsidR="00EC4342" w:rsidRPr="006D2FF4" w:rsidRDefault="00EC4342" w:rsidP="00E82E5B">
            <w:r w:rsidRPr="006D2FF4">
              <w:t xml:space="preserve"> $7,480 </w:t>
            </w:r>
          </w:p>
        </w:tc>
        <w:tc>
          <w:tcPr>
            <w:tcW w:w="1350" w:type="dxa"/>
            <w:tcBorders>
              <w:top w:val="single" w:sz="6" w:space="0" w:color="auto"/>
              <w:left w:val="single" w:sz="6" w:space="0" w:color="auto"/>
              <w:bottom w:val="single" w:sz="6" w:space="0" w:color="auto"/>
              <w:right w:val="double" w:sz="6" w:space="0" w:color="auto"/>
            </w:tcBorders>
          </w:tcPr>
          <w:p w:rsidR="00EC4342" w:rsidRPr="006D2FF4" w:rsidRDefault="00EC4342" w:rsidP="00E82E5B">
            <w:r w:rsidRPr="006D2FF4">
              <w:t xml:space="preserve"> $8,550 </w:t>
            </w:r>
          </w:p>
        </w:tc>
      </w:tr>
      <w:tr w:rsidR="00EC4342" w:rsidTr="00E82E5B">
        <w:trPr>
          <w:trHeight w:val="361"/>
        </w:trPr>
        <w:tc>
          <w:tcPr>
            <w:tcW w:w="1890" w:type="dxa"/>
            <w:tcBorders>
              <w:top w:val="single" w:sz="6" w:space="0" w:color="auto"/>
              <w:left w:val="double" w:sz="6" w:space="0" w:color="auto"/>
              <w:bottom w:val="sing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3,000,001–6,000,000</w:t>
            </w:r>
          </w:p>
        </w:tc>
        <w:tc>
          <w:tcPr>
            <w:tcW w:w="1080" w:type="dxa"/>
            <w:tcBorders>
              <w:top w:val="single" w:sz="6" w:space="0" w:color="auto"/>
              <w:left w:val="single" w:sz="6" w:space="0" w:color="auto"/>
              <w:bottom w:val="single" w:sz="6" w:space="0" w:color="auto"/>
            </w:tcBorders>
          </w:tcPr>
          <w:p w:rsidR="00EC4342" w:rsidRPr="006D2FF4" w:rsidRDefault="00EC4342" w:rsidP="00E82E5B">
            <w:r w:rsidRPr="005A5F11">
              <w:t xml:space="preserve"> $9,120 </w:t>
            </w:r>
          </w:p>
        </w:tc>
        <w:tc>
          <w:tcPr>
            <w:tcW w:w="990" w:type="dxa"/>
            <w:tcBorders>
              <w:top w:val="single" w:sz="6" w:space="0" w:color="auto"/>
              <w:left w:val="single" w:sz="6" w:space="0" w:color="auto"/>
              <w:bottom w:val="single" w:sz="6" w:space="0" w:color="auto"/>
            </w:tcBorders>
          </w:tcPr>
          <w:p w:rsidR="00EC4342" w:rsidRPr="006D2FF4" w:rsidRDefault="00EC4342" w:rsidP="00E82E5B">
            <w:r w:rsidRPr="006D2FF4">
              <w:t xml:space="preserve"> $6,555 </w:t>
            </w:r>
          </w:p>
        </w:tc>
        <w:tc>
          <w:tcPr>
            <w:tcW w:w="900" w:type="dxa"/>
            <w:tcBorders>
              <w:top w:val="single" w:sz="6" w:space="0" w:color="auto"/>
              <w:left w:val="single" w:sz="6" w:space="0" w:color="auto"/>
              <w:bottom w:val="single" w:sz="6" w:space="0" w:color="auto"/>
            </w:tcBorders>
          </w:tcPr>
          <w:p w:rsidR="00EC4342" w:rsidRPr="006D2FF4" w:rsidRDefault="00EC4342" w:rsidP="00E82E5B">
            <w:r w:rsidRPr="006D2FF4">
              <w:t xml:space="preserve"> $5,700 </w:t>
            </w:r>
          </w:p>
        </w:tc>
        <w:tc>
          <w:tcPr>
            <w:tcW w:w="900" w:type="dxa"/>
            <w:tcBorders>
              <w:top w:val="single" w:sz="6" w:space="0" w:color="auto"/>
              <w:left w:val="single" w:sz="6" w:space="0" w:color="auto"/>
              <w:bottom w:val="single" w:sz="6" w:space="0" w:color="auto"/>
            </w:tcBorders>
          </w:tcPr>
          <w:p w:rsidR="00EC4342" w:rsidRPr="006D2FF4" w:rsidRDefault="00EC4342" w:rsidP="00E82E5B">
            <w:r w:rsidRPr="006D2FF4">
              <w:t xml:space="preserve"> $6,270 </w:t>
            </w:r>
          </w:p>
        </w:tc>
        <w:tc>
          <w:tcPr>
            <w:tcW w:w="1440" w:type="dxa"/>
            <w:tcBorders>
              <w:top w:val="single" w:sz="6" w:space="0" w:color="auto"/>
              <w:left w:val="single" w:sz="6" w:space="0" w:color="auto"/>
              <w:bottom w:val="single" w:sz="6" w:space="0" w:color="auto"/>
            </w:tcBorders>
          </w:tcPr>
          <w:p w:rsidR="00EC4342" w:rsidRPr="006D2FF4" w:rsidRDefault="00EC4342" w:rsidP="00E82E5B">
            <w:r w:rsidRPr="006D2FF4">
              <w:t xml:space="preserve"> $9,975 </w:t>
            </w:r>
          </w:p>
        </w:tc>
        <w:tc>
          <w:tcPr>
            <w:tcW w:w="1350" w:type="dxa"/>
            <w:tcBorders>
              <w:top w:val="single" w:sz="6" w:space="0" w:color="auto"/>
              <w:left w:val="single" w:sz="6" w:space="0" w:color="auto"/>
              <w:bottom w:val="single" w:sz="6" w:space="0" w:color="auto"/>
              <w:right w:val="double" w:sz="6" w:space="0" w:color="auto"/>
            </w:tcBorders>
          </w:tcPr>
          <w:p w:rsidR="00EC4342" w:rsidRPr="006D2FF4" w:rsidRDefault="00EC4342" w:rsidP="00E82E5B">
            <w:r w:rsidRPr="006D2FF4">
              <w:t xml:space="preserve"> $11,400 </w:t>
            </w:r>
          </w:p>
        </w:tc>
      </w:tr>
      <w:tr w:rsidR="00EC4342" w:rsidTr="00E82E5B">
        <w:tc>
          <w:tcPr>
            <w:tcW w:w="1890" w:type="dxa"/>
            <w:tcBorders>
              <w:top w:val="single" w:sz="6" w:space="0" w:color="auto"/>
              <w:left w:val="double" w:sz="6" w:space="0" w:color="auto"/>
              <w:bottom w:val="double" w:sz="6" w:space="0" w:color="auto"/>
            </w:tcBorders>
          </w:tcPr>
          <w:p w:rsidR="00EC4342" w:rsidRDefault="00EC4342" w:rsidP="00E82E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&gt;6,000,000</w:t>
            </w:r>
          </w:p>
        </w:tc>
        <w:tc>
          <w:tcPr>
            <w:tcW w:w="1080" w:type="dxa"/>
            <w:tcBorders>
              <w:top w:val="single" w:sz="6" w:space="0" w:color="auto"/>
              <w:left w:val="single" w:sz="6" w:space="0" w:color="auto"/>
              <w:bottom w:val="double" w:sz="6" w:space="0" w:color="auto"/>
            </w:tcBorders>
          </w:tcPr>
          <w:p w:rsidR="00EC4342" w:rsidRPr="006D2FF4" w:rsidRDefault="00EC4342" w:rsidP="00E82E5B">
            <w:r w:rsidRPr="005A5F11">
              <w:t xml:space="preserve"> $11,400 </w:t>
            </w:r>
          </w:p>
        </w:tc>
        <w:tc>
          <w:tcPr>
            <w:tcW w:w="990" w:type="dxa"/>
            <w:tcBorders>
              <w:top w:val="single" w:sz="6" w:space="0" w:color="auto"/>
              <w:left w:val="single" w:sz="6" w:space="0" w:color="auto"/>
              <w:bottom w:val="double" w:sz="6" w:space="0" w:color="auto"/>
            </w:tcBorders>
          </w:tcPr>
          <w:p w:rsidR="00EC4342" w:rsidRPr="006D2FF4" w:rsidRDefault="00EC4342" w:rsidP="00E82E5B">
            <w:r w:rsidRPr="006D2FF4">
              <w:t xml:space="preserve"> $8,195 </w:t>
            </w:r>
          </w:p>
        </w:tc>
        <w:tc>
          <w:tcPr>
            <w:tcW w:w="900" w:type="dxa"/>
            <w:tcBorders>
              <w:top w:val="single" w:sz="6" w:space="0" w:color="auto"/>
              <w:left w:val="single" w:sz="6" w:space="0" w:color="auto"/>
              <w:bottom w:val="double" w:sz="6" w:space="0" w:color="auto"/>
            </w:tcBorders>
          </w:tcPr>
          <w:p w:rsidR="00EC4342" w:rsidRPr="006D2FF4" w:rsidRDefault="00EC4342" w:rsidP="00E82E5B">
            <w:r w:rsidRPr="006D2FF4">
              <w:t xml:space="preserve"> $7,125 </w:t>
            </w:r>
          </w:p>
        </w:tc>
        <w:tc>
          <w:tcPr>
            <w:tcW w:w="900" w:type="dxa"/>
            <w:tcBorders>
              <w:top w:val="single" w:sz="6" w:space="0" w:color="auto"/>
              <w:left w:val="single" w:sz="6" w:space="0" w:color="auto"/>
              <w:bottom w:val="double" w:sz="6" w:space="0" w:color="auto"/>
            </w:tcBorders>
          </w:tcPr>
          <w:p w:rsidR="00EC4342" w:rsidRPr="006D2FF4" w:rsidRDefault="00EC4342" w:rsidP="00E82E5B">
            <w:r w:rsidRPr="006D2FF4">
              <w:t xml:space="preserve"> $7,840 </w:t>
            </w:r>
          </w:p>
        </w:tc>
        <w:tc>
          <w:tcPr>
            <w:tcW w:w="1440" w:type="dxa"/>
            <w:tcBorders>
              <w:top w:val="single" w:sz="6" w:space="0" w:color="auto"/>
              <w:left w:val="single" w:sz="6" w:space="0" w:color="auto"/>
              <w:bottom w:val="double" w:sz="6" w:space="0" w:color="auto"/>
            </w:tcBorders>
          </w:tcPr>
          <w:p w:rsidR="00EC4342" w:rsidRPr="006D2FF4" w:rsidRDefault="00EC4342" w:rsidP="00E82E5B">
            <w:r w:rsidRPr="006D2FF4">
              <w:t xml:space="preserve"> $12,470 </w:t>
            </w:r>
          </w:p>
        </w:tc>
        <w:tc>
          <w:tcPr>
            <w:tcW w:w="1350" w:type="dxa"/>
            <w:tcBorders>
              <w:top w:val="single" w:sz="6" w:space="0" w:color="auto"/>
              <w:left w:val="single" w:sz="6" w:space="0" w:color="auto"/>
              <w:bottom w:val="double" w:sz="6" w:space="0" w:color="auto"/>
              <w:right w:val="double" w:sz="6" w:space="0" w:color="auto"/>
            </w:tcBorders>
          </w:tcPr>
          <w:p w:rsidR="00EC4342" w:rsidRDefault="00EC4342" w:rsidP="00E82E5B">
            <w:r w:rsidRPr="006D2FF4">
              <w:t xml:space="preserve"> $14,250 </w:t>
            </w:r>
          </w:p>
        </w:tc>
      </w:tr>
    </w:tbl>
    <w:p w:rsidR="00EC4342" w:rsidRDefault="00EC4342" w:rsidP="00EC4342">
      <w:pPr>
        <w:pStyle w:val="ParaNum"/>
        <w:numPr>
          <w:ilvl w:val="0"/>
          <w:numId w:val="0"/>
        </w:numPr>
      </w:pPr>
    </w:p>
    <w:p w:rsidR="00EC4342" w:rsidRDefault="00EC4342" w:rsidP="00EC4342">
      <w:pPr>
        <w:pStyle w:val="ParaNum"/>
        <w:tabs>
          <w:tab w:val="clear" w:pos="1440"/>
        </w:tabs>
      </w:pPr>
      <w:r>
        <w:t>The Commission assesses regulatory fees on television broadcasters based on the markets they serve (1–</w:t>
      </w:r>
      <w:r w:rsidRPr="00C55794">
        <w:t>10:11</w:t>
      </w:r>
      <w:r>
        <w:t>–</w:t>
      </w:r>
      <w:r w:rsidRPr="00C55794">
        <w:t>25:26</w:t>
      </w:r>
      <w:r>
        <w:t>–</w:t>
      </w:r>
      <w:r w:rsidRPr="00C55794">
        <w:t>50:51</w:t>
      </w:r>
      <w:r>
        <w:t>–</w:t>
      </w:r>
      <w:r w:rsidRPr="00C55794">
        <w:t>100:</w:t>
      </w:r>
      <w:r w:rsidR="0029325B">
        <w:t xml:space="preserve"> </w:t>
      </w:r>
      <w:r>
        <w:t>Remaining</w:t>
      </w:r>
      <w:r w:rsidR="0029325B">
        <w:t xml:space="preserve"> Market</w:t>
      </w:r>
      <w:r w:rsidRPr="00C55794">
        <w:t>)</w:t>
      </w:r>
      <w:r>
        <w:t>.  Before the Commission combined the VHF and UHF regulatory fee categories, the ratio of regulatory fees for VHF stations (then considered the most valuable stations)</w:t>
      </w:r>
      <w:r w:rsidRPr="005572D8">
        <w:t xml:space="preserve"> </w:t>
      </w:r>
      <w:r w:rsidRPr="00C55794">
        <w:t>was roughly 14:11:7:4:1</w:t>
      </w:r>
      <w:r>
        <w:t>.  Today, it</w:t>
      </w:r>
      <w:r w:rsidR="00C563E1">
        <w:t xml:space="preserve"> is</w:t>
      </w:r>
      <w:r>
        <w:t xml:space="preserve"> roughly </w:t>
      </w:r>
      <w:r w:rsidRPr="00C55794">
        <w:t>10:9:6:3:1</w:t>
      </w:r>
      <w:r>
        <w:t>.  We seek comment on readjusting the table to restore the traditional determination that Top 10 stations should pay about twice what stations in markets 26–50 pay (that is, the new ratios would be 12:9:6:3:1).  With this change, and adjusting to recover the same total regulatory fees as television broadcasters pay today, we seek comment on the following potential table of regulatory fees for television broadcasters.</w:t>
      </w:r>
    </w:p>
    <w:tbl>
      <w:tblPr>
        <w:tblW w:w="9180" w:type="dxa"/>
        <w:tblInd w:w="210" w:type="dxa"/>
        <w:tblLayout w:type="fixed"/>
        <w:tblCellMar>
          <w:left w:w="120" w:type="dxa"/>
          <w:right w:w="120" w:type="dxa"/>
        </w:tblCellMar>
        <w:tblLook w:val="0000" w:firstRow="0" w:lastRow="0" w:firstColumn="0" w:lastColumn="0" w:noHBand="0" w:noVBand="0"/>
      </w:tblPr>
      <w:tblGrid>
        <w:gridCol w:w="5940"/>
        <w:gridCol w:w="1800"/>
        <w:gridCol w:w="1440"/>
      </w:tblGrid>
      <w:tr w:rsidR="00EC4342" w:rsidTr="00E82E5B">
        <w:tc>
          <w:tcPr>
            <w:tcW w:w="5940" w:type="dxa"/>
            <w:tcBorders>
              <w:top w:val="double" w:sz="6" w:space="0" w:color="auto"/>
              <w:left w:val="double" w:sz="6" w:space="0" w:color="auto"/>
              <w:bottom w:val="single" w:sz="6" w:space="0" w:color="auto"/>
            </w:tcBorders>
          </w:tcPr>
          <w:p w:rsidR="00EC4342" w:rsidRDefault="00EC4342" w:rsidP="00E82E5B">
            <w:pPr>
              <w:tabs>
                <w:tab w:val="left" w:pos="-1440"/>
                <w:tab w:val="left" w:pos="-720"/>
              </w:tabs>
              <w:suppressAutoHyphens/>
              <w:spacing w:before="90" w:after="54"/>
              <w:rPr>
                <w:sz w:val="20"/>
              </w:rPr>
            </w:pPr>
            <w:r>
              <w:rPr>
                <w:sz w:val="20"/>
              </w:rPr>
              <w:t>Digital TV (47 CFR part 73) VHF and UHF Commercial</w:t>
            </w:r>
          </w:p>
        </w:tc>
        <w:tc>
          <w:tcPr>
            <w:tcW w:w="1800" w:type="dxa"/>
            <w:tcBorders>
              <w:top w:val="double" w:sz="6" w:space="0" w:color="auto"/>
              <w:left w:val="single" w:sz="6" w:space="0" w:color="auto"/>
              <w:bottom w:val="single" w:sz="6" w:space="0" w:color="auto"/>
              <w:right w:val="single" w:sz="6" w:space="0" w:color="auto"/>
            </w:tcBorders>
          </w:tcPr>
          <w:p w:rsidR="00EC4342" w:rsidRDefault="00EC4342" w:rsidP="00E82E5B">
            <w:pPr>
              <w:tabs>
                <w:tab w:val="left" w:pos="-1440"/>
                <w:tab w:val="left" w:pos="-720"/>
              </w:tabs>
              <w:suppressAutoHyphens/>
              <w:spacing w:before="90" w:after="54"/>
              <w:jc w:val="center"/>
              <w:rPr>
                <w:sz w:val="20"/>
              </w:rPr>
            </w:pPr>
            <w:r>
              <w:rPr>
                <w:sz w:val="20"/>
              </w:rPr>
              <w:t>BEFORE</w:t>
            </w:r>
          </w:p>
        </w:tc>
        <w:tc>
          <w:tcPr>
            <w:tcW w:w="1440" w:type="dxa"/>
            <w:tcBorders>
              <w:top w:val="double" w:sz="6" w:space="0" w:color="auto"/>
              <w:left w:val="single" w:sz="6" w:space="0" w:color="auto"/>
              <w:bottom w:val="single" w:sz="6" w:space="0" w:color="auto"/>
              <w:right w:val="double" w:sz="6"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AFTER</w:t>
            </w:r>
          </w:p>
        </w:tc>
      </w:tr>
      <w:tr w:rsidR="00EC4342" w:rsidTr="00E82E5B">
        <w:tc>
          <w:tcPr>
            <w:tcW w:w="594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800" w:type="dxa"/>
            <w:tcBorders>
              <w:top w:val="single" w:sz="6" w:space="0" w:color="auto"/>
              <w:left w:val="single" w:sz="6" w:space="0" w:color="auto"/>
              <w:right w:val="single" w:sz="6" w:space="0" w:color="auto"/>
            </w:tcBorders>
          </w:tcPr>
          <w:p w:rsidR="00EC4342" w:rsidRDefault="00EC4342" w:rsidP="00E82E5B">
            <w:pPr>
              <w:tabs>
                <w:tab w:val="left" w:pos="-1440"/>
                <w:tab w:val="left" w:pos="-720"/>
              </w:tabs>
              <w:suppressAutoHyphens/>
              <w:spacing w:before="90" w:after="54"/>
              <w:jc w:val="center"/>
              <w:rPr>
                <w:sz w:val="20"/>
              </w:rPr>
            </w:pPr>
            <w:r>
              <w:rPr>
                <w:sz w:val="20"/>
              </w:rPr>
              <w:t>$46,825</w:t>
            </w:r>
          </w:p>
        </w:tc>
        <w:tc>
          <w:tcPr>
            <w:tcW w:w="1440" w:type="dxa"/>
            <w:tcBorders>
              <w:top w:val="single" w:sz="6" w:space="0" w:color="auto"/>
              <w:left w:val="single" w:sz="6" w:space="0" w:color="auto"/>
              <w:right w:val="double" w:sz="6"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$55,025</w:t>
            </w:r>
          </w:p>
        </w:tc>
      </w:tr>
      <w:tr w:rsidR="00EC4342" w:rsidTr="00E82E5B">
        <w:tc>
          <w:tcPr>
            <w:tcW w:w="5940" w:type="dxa"/>
            <w:tcBorders>
              <w:top w:val="single" w:sz="6" w:space="0" w:color="auto"/>
              <w:left w:val="double" w:sz="6" w:space="0" w:color="auto"/>
            </w:tcBorders>
          </w:tcPr>
          <w:p w:rsidR="00EC4342" w:rsidRDefault="00EC4342" w:rsidP="00E82E5B">
            <w:pPr>
              <w:tabs>
                <w:tab w:val="left" w:pos="-1440"/>
                <w:tab w:val="left" w:pos="-720"/>
                <w:tab w:val="left" w:pos="0"/>
              </w:tabs>
              <w:suppressAutoHyphens/>
              <w:spacing w:before="90" w:after="54"/>
              <w:ind w:left="720" w:hanging="720"/>
              <w:rPr>
                <w:sz w:val="20"/>
              </w:rPr>
            </w:pPr>
            <w:r>
              <w:rPr>
                <w:sz w:val="20"/>
              </w:rPr>
              <w:tab/>
              <w:t>Markets 11-25</w:t>
            </w:r>
          </w:p>
        </w:tc>
        <w:tc>
          <w:tcPr>
            <w:tcW w:w="1800" w:type="dxa"/>
            <w:tcBorders>
              <w:top w:val="single" w:sz="6" w:space="0" w:color="auto"/>
              <w:left w:val="single" w:sz="6" w:space="0" w:color="auto"/>
              <w:right w:val="single" w:sz="6" w:space="0" w:color="auto"/>
            </w:tcBorders>
          </w:tcPr>
          <w:p w:rsidR="00EC4342" w:rsidRDefault="00EC4342" w:rsidP="00E82E5B">
            <w:pPr>
              <w:tabs>
                <w:tab w:val="left" w:pos="-1440"/>
                <w:tab w:val="left" w:pos="-720"/>
              </w:tabs>
              <w:suppressAutoHyphens/>
              <w:spacing w:before="90" w:after="54"/>
              <w:jc w:val="center"/>
              <w:rPr>
                <w:sz w:val="20"/>
              </w:rPr>
            </w:pPr>
            <w:r>
              <w:rPr>
                <w:sz w:val="20"/>
              </w:rPr>
              <w:t>$43,200</w:t>
            </w:r>
          </w:p>
        </w:tc>
        <w:tc>
          <w:tcPr>
            <w:tcW w:w="1440" w:type="dxa"/>
            <w:tcBorders>
              <w:top w:val="single" w:sz="6" w:space="0" w:color="auto"/>
              <w:left w:val="single" w:sz="6" w:space="0" w:color="auto"/>
              <w:right w:val="double" w:sz="6"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$41,270</w:t>
            </w:r>
          </w:p>
        </w:tc>
      </w:tr>
      <w:tr w:rsidR="00EC4342" w:rsidTr="00E82E5B">
        <w:tc>
          <w:tcPr>
            <w:tcW w:w="5940" w:type="dxa"/>
            <w:tcBorders>
              <w:top w:val="single" w:sz="2" w:space="0" w:color="auto"/>
              <w:left w:val="double" w:sz="2" w:space="0" w:color="auto"/>
              <w:right w:val="single" w:sz="2" w:space="0" w:color="auto"/>
            </w:tcBorders>
          </w:tcPr>
          <w:p w:rsidR="00EC4342" w:rsidRDefault="00EC4342" w:rsidP="00E82E5B">
            <w:pPr>
              <w:tabs>
                <w:tab w:val="left" w:pos="-1440"/>
                <w:tab w:val="left" w:pos="-720"/>
                <w:tab w:val="left" w:pos="0"/>
              </w:tabs>
              <w:suppressAutoHyphens/>
              <w:spacing w:before="90" w:after="54"/>
              <w:ind w:left="720" w:hanging="720"/>
              <w:rPr>
                <w:sz w:val="20"/>
              </w:rPr>
            </w:pPr>
            <w:r>
              <w:rPr>
                <w:sz w:val="20"/>
              </w:rPr>
              <w:tab/>
              <w:t>Markets 26-50</w:t>
            </w:r>
          </w:p>
        </w:tc>
        <w:tc>
          <w:tcPr>
            <w:tcW w:w="1800" w:type="dxa"/>
            <w:tcBorders>
              <w:top w:val="single" w:sz="2" w:space="0" w:color="auto"/>
              <w:left w:val="single" w:sz="2" w:space="0" w:color="auto"/>
              <w:right w:val="single" w:sz="2" w:space="0" w:color="auto"/>
            </w:tcBorders>
          </w:tcPr>
          <w:p w:rsidR="00EC4342" w:rsidRDefault="00EC4342" w:rsidP="00E82E5B">
            <w:pPr>
              <w:tabs>
                <w:tab w:val="left" w:pos="-1440"/>
                <w:tab w:val="left" w:pos="-720"/>
              </w:tabs>
              <w:suppressAutoHyphens/>
              <w:spacing w:before="90" w:after="54"/>
              <w:jc w:val="center"/>
              <w:rPr>
                <w:sz w:val="20"/>
              </w:rPr>
            </w:pPr>
            <w:r>
              <w:rPr>
                <w:sz w:val="20"/>
              </w:rPr>
              <w:t>$27,625</w:t>
            </w:r>
          </w:p>
        </w:tc>
        <w:tc>
          <w:tcPr>
            <w:tcW w:w="1440" w:type="dxa"/>
            <w:tcBorders>
              <w:top w:val="single" w:sz="2" w:space="0" w:color="auto"/>
              <w:left w:val="single" w:sz="2" w:space="0" w:color="auto"/>
              <w:right w:val="double" w:sz="2"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$27,515</w:t>
            </w:r>
          </w:p>
        </w:tc>
      </w:tr>
      <w:tr w:rsidR="00EC4342" w:rsidTr="00E82E5B">
        <w:tc>
          <w:tcPr>
            <w:tcW w:w="5940" w:type="dxa"/>
            <w:tcBorders>
              <w:top w:val="single" w:sz="6" w:space="0" w:color="auto"/>
              <w:left w:val="double" w:sz="6" w:space="0" w:color="auto"/>
            </w:tcBorders>
          </w:tcPr>
          <w:p w:rsidR="00EC4342" w:rsidRDefault="00EC4342" w:rsidP="00E82E5B">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800" w:type="dxa"/>
            <w:tcBorders>
              <w:top w:val="single" w:sz="6" w:space="0" w:color="auto"/>
              <w:left w:val="single" w:sz="6" w:space="0" w:color="auto"/>
              <w:right w:val="single" w:sz="6" w:space="0" w:color="auto"/>
            </w:tcBorders>
          </w:tcPr>
          <w:p w:rsidR="00EC4342" w:rsidRDefault="00EC4342" w:rsidP="00E82E5B">
            <w:pPr>
              <w:tabs>
                <w:tab w:val="left" w:pos="-1440"/>
                <w:tab w:val="left" w:pos="-720"/>
              </w:tabs>
              <w:suppressAutoHyphens/>
              <w:spacing w:before="90" w:after="54"/>
              <w:jc w:val="center"/>
              <w:rPr>
                <w:sz w:val="20"/>
              </w:rPr>
            </w:pPr>
            <w:r>
              <w:rPr>
                <w:sz w:val="20"/>
              </w:rPr>
              <w:t>$16,275</w:t>
            </w:r>
          </w:p>
        </w:tc>
        <w:tc>
          <w:tcPr>
            <w:tcW w:w="1440" w:type="dxa"/>
            <w:tcBorders>
              <w:top w:val="single" w:sz="6" w:space="0" w:color="auto"/>
              <w:left w:val="single" w:sz="6" w:space="0" w:color="auto"/>
              <w:right w:val="double" w:sz="6"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$13,755</w:t>
            </w:r>
          </w:p>
        </w:tc>
      </w:tr>
      <w:tr w:rsidR="00EC4342" w:rsidTr="00E82E5B">
        <w:tc>
          <w:tcPr>
            <w:tcW w:w="5940" w:type="dxa"/>
            <w:tcBorders>
              <w:top w:val="single" w:sz="6" w:space="0" w:color="auto"/>
              <w:left w:val="double" w:sz="6" w:space="0" w:color="auto"/>
              <w:bottom w:val="single" w:sz="6" w:space="0" w:color="auto"/>
            </w:tcBorders>
          </w:tcPr>
          <w:p w:rsidR="00EC4342" w:rsidRDefault="00EC4342" w:rsidP="00E82E5B">
            <w:pPr>
              <w:tabs>
                <w:tab w:val="left" w:pos="-1440"/>
                <w:tab w:val="left" w:pos="-720"/>
                <w:tab w:val="left" w:pos="0"/>
              </w:tabs>
              <w:suppressAutoHyphens/>
              <w:spacing w:before="90" w:after="54"/>
              <w:ind w:left="720" w:hanging="720"/>
              <w:rPr>
                <w:sz w:val="20"/>
              </w:rPr>
            </w:pPr>
            <w:r>
              <w:rPr>
                <w:sz w:val="20"/>
              </w:rPr>
              <w:tab/>
              <w:t>Remaining Markets</w:t>
            </w:r>
          </w:p>
        </w:tc>
        <w:tc>
          <w:tcPr>
            <w:tcW w:w="1800" w:type="dxa"/>
            <w:tcBorders>
              <w:top w:val="single" w:sz="6" w:space="0" w:color="auto"/>
              <w:left w:val="single" w:sz="6" w:space="0" w:color="auto"/>
              <w:bottom w:val="single" w:sz="6" w:space="0" w:color="auto"/>
              <w:right w:val="single" w:sz="6" w:space="0" w:color="auto"/>
            </w:tcBorders>
          </w:tcPr>
          <w:p w:rsidR="00EC4342" w:rsidRDefault="00EC4342" w:rsidP="00E82E5B">
            <w:pPr>
              <w:tabs>
                <w:tab w:val="left" w:pos="-1440"/>
                <w:tab w:val="left" w:pos="-720"/>
              </w:tabs>
              <w:suppressAutoHyphens/>
              <w:spacing w:before="90" w:after="54"/>
              <w:jc w:val="center"/>
              <w:rPr>
                <w:sz w:val="20"/>
              </w:rPr>
            </w:pPr>
            <w:r>
              <w:rPr>
                <w:sz w:val="20"/>
              </w:rPr>
              <w:t>$4,850</w:t>
            </w:r>
          </w:p>
        </w:tc>
        <w:tc>
          <w:tcPr>
            <w:tcW w:w="1440" w:type="dxa"/>
            <w:tcBorders>
              <w:top w:val="single" w:sz="6" w:space="0" w:color="auto"/>
              <w:left w:val="single" w:sz="6" w:space="0" w:color="auto"/>
              <w:bottom w:val="single" w:sz="6" w:space="0" w:color="auto"/>
              <w:right w:val="double" w:sz="6"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$4,585</w:t>
            </w:r>
          </w:p>
        </w:tc>
      </w:tr>
      <w:tr w:rsidR="00EC4342" w:rsidTr="00E82E5B">
        <w:tc>
          <w:tcPr>
            <w:tcW w:w="5940" w:type="dxa"/>
            <w:tcBorders>
              <w:top w:val="single" w:sz="6" w:space="0" w:color="auto"/>
              <w:left w:val="double" w:sz="6" w:space="0" w:color="auto"/>
              <w:bottom w:val="double" w:sz="6" w:space="0" w:color="auto"/>
            </w:tcBorders>
          </w:tcPr>
          <w:p w:rsidR="00EC4342" w:rsidRDefault="00EC4342" w:rsidP="00E82E5B">
            <w:pPr>
              <w:tabs>
                <w:tab w:val="left" w:pos="-1440"/>
                <w:tab w:val="left" w:pos="-720"/>
                <w:tab w:val="left" w:pos="0"/>
              </w:tabs>
              <w:suppressAutoHyphens/>
              <w:spacing w:before="90" w:after="54"/>
              <w:ind w:left="720" w:hanging="720"/>
              <w:rPr>
                <w:sz w:val="20"/>
              </w:rPr>
            </w:pPr>
            <w:r>
              <w:rPr>
                <w:sz w:val="20"/>
              </w:rPr>
              <w:tab/>
              <w:t>Construction Permits</w:t>
            </w:r>
          </w:p>
        </w:tc>
        <w:tc>
          <w:tcPr>
            <w:tcW w:w="1800" w:type="dxa"/>
            <w:tcBorders>
              <w:top w:val="single" w:sz="6" w:space="0" w:color="auto"/>
              <w:left w:val="single" w:sz="6" w:space="0" w:color="auto"/>
              <w:bottom w:val="double" w:sz="6" w:space="0" w:color="auto"/>
              <w:right w:val="single" w:sz="6" w:space="0" w:color="auto"/>
            </w:tcBorders>
          </w:tcPr>
          <w:p w:rsidR="00EC4342" w:rsidRDefault="00EC4342" w:rsidP="00E82E5B">
            <w:pPr>
              <w:tabs>
                <w:tab w:val="left" w:pos="-1440"/>
                <w:tab w:val="left" w:pos="-720"/>
              </w:tabs>
              <w:suppressAutoHyphens/>
              <w:spacing w:before="90" w:after="54"/>
              <w:jc w:val="center"/>
              <w:rPr>
                <w:sz w:val="20"/>
              </w:rPr>
            </w:pPr>
            <w:r>
              <w:rPr>
                <w:sz w:val="20"/>
              </w:rPr>
              <w:t>$4,850</w:t>
            </w:r>
          </w:p>
        </w:tc>
        <w:tc>
          <w:tcPr>
            <w:tcW w:w="1440" w:type="dxa"/>
            <w:tcBorders>
              <w:top w:val="single" w:sz="6" w:space="0" w:color="auto"/>
              <w:left w:val="single" w:sz="6" w:space="0" w:color="auto"/>
              <w:bottom w:val="double" w:sz="6" w:space="0" w:color="auto"/>
              <w:right w:val="double" w:sz="6" w:space="0" w:color="auto"/>
            </w:tcBorders>
          </w:tcPr>
          <w:p w:rsidR="00EC4342" w:rsidRPr="005572D8" w:rsidRDefault="00EC4342" w:rsidP="00E82E5B">
            <w:pPr>
              <w:tabs>
                <w:tab w:val="left" w:pos="-1440"/>
                <w:tab w:val="left" w:pos="-720"/>
              </w:tabs>
              <w:suppressAutoHyphens/>
              <w:spacing w:before="90" w:after="54"/>
              <w:jc w:val="center"/>
              <w:rPr>
                <w:sz w:val="20"/>
              </w:rPr>
            </w:pPr>
            <w:r w:rsidRPr="005572D8">
              <w:rPr>
                <w:sz w:val="20"/>
              </w:rPr>
              <w:t>$4,585</w:t>
            </w:r>
          </w:p>
        </w:tc>
      </w:tr>
    </w:tbl>
    <w:p w:rsidR="00EC4342" w:rsidRDefault="00EC4342" w:rsidP="00EC4342">
      <w:pPr>
        <w:pStyle w:val="ParaNum"/>
        <w:numPr>
          <w:ilvl w:val="0"/>
          <w:numId w:val="0"/>
        </w:numPr>
        <w:jc w:val="center"/>
      </w:pPr>
    </w:p>
    <w:p w:rsidR="0034208E" w:rsidRDefault="008B40BE" w:rsidP="00BB4E8D">
      <w:pPr>
        <w:pStyle w:val="ParaNum"/>
      </w:pPr>
      <w:r>
        <w:t>NAB also observes that after the spectrum incentive auction</w:t>
      </w:r>
      <w:r w:rsidR="00575BE3">
        <w:t xml:space="preserve"> there may be</w:t>
      </w:r>
      <w:r>
        <w:t xml:space="preserve"> fewer television stations, </w:t>
      </w:r>
      <w:r w:rsidR="00575BE3">
        <w:t xml:space="preserve">resulting in material changes in the </w:t>
      </w:r>
      <w:r>
        <w:t xml:space="preserve">regulatory fee </w:t>
      </w:r>
      <w:r w:rsidR="00575BE3">
        <w:t xml:space="preserve">apportionment among the </w:t>
      </w:r>
      <w:r>
        <w:t>remaining stations.</w:t>
      </w:r>
      <w:r>
        <w:rPr>
          <w:rStyle w:val="FootnoteReference"/>
        </w:rPr>
        <w:footnoteReference w:id="108"/>
      </w:r>
      <w:r>
        <w:t xml:space="preserve">  </w:t>
      </w:r>
      <w:r w:rsidR="00BB4E8D" w:rsidRPr="00BB4E8D">
        <w:t>We seek comment on w</w:t>
      </w:r>
      <w:r w:rsidR="00BB4E8D">
        <w:t xml:space="preserve">hether, </w:t>
      </w:r>
      <w:r w:rsidR="001C309F">
        <w:t xml:space="preserve">when, </w:t>
      </w:r>
      <w:r w:rsidR="00BB4E8D">
        <w:t>and how</w:t>
      </w:r>
      <w:r w:rsidR="001C309F">
        <w:t xml:space="preserve"> </w:t>
      </w:r>
      <w:r w:rsidR="00BB4E8D">
        <w:t>the Commis</w:t>
      </w:r>
      <w:r w:rsidR="00BB4E8D" w:rsidRPr="00BB4E8D">
        <w:t>sion should adjust its methodology for assessing regulatory fees on televisions stations, to respond to such potential changed circumstances consistent with the provisions of Sectio</w:t>
      </w:r>
      <w:r w:rsidR="00BB4E8D">
        <w:t>n 9 of the Communications Act.</w:t>
      </w:r>
    </w:p>
    <w:p w:rsidR="00011D72" w:rsidRDefault="00011D72" w:rsidP="00011D72">
      <w:pPr>
        <w:pStyle w:val="Heading2"/>
        <w:snapToGrid w:val="0"/>
        <w:rPr>
          <w:b w:val="0"/>
        </w:rPr>
      </w:pPr>
      <w:r>
        <w:t>ITTA’s Proposals to Reallocate FTEs</w:t>
      </w:r>
    </w:p>
    <w:p w:rsidR="00011D72" w:rsidRPr="0069684B" w:rsidRDefault="00011D72" w:rsidP="002B1B38">
      <w:pPr>
        <w:pStyle w:val="ParaNum"/>
      </w:pPr>
      <w:r w:rsidRPr="0069684B">
        <w:t>ITTA has suggested that we should consider all cross-cutting work throughout the Commission, not just in the International Bureau, and we should re-assign certain Wireline Competition Bureau FTEs for regulatory fee purposes.</w:t>
      </w:r>
      <w:r w:rsidRPr="0069684B">
        <w:rPr>
          <w:rStyle w:val="FootnoteReference"/>
          <w:szCs w:val="22"/>
        </w:rPr>
        <w:footnoteReference w:id="109"/>
      </w:r>
      <w:r w:rsidRPr="0069684B">
        <w:t xml:space="preserve">  ITTA contends that the Commission should make appropriate adjustments to its regulatory fee structure to reflect that the work of the Wireline Competition Bureau is no longer primarily focused on ITSPs.</w:t>
      </w:r>
      <w:r w:rsidRPr="0069684B">
        <w:rPr>
          <w:rStyle w:val="FootnoteReference"/>
          <w:szCs w:val="22"/>
        </w:rPr>
        <w:footnoteReference w:id="110"/>
      </w:r>
      <w:r w:rsidRPr="0069684B">
        <w:t xml:space="preserve">  According to ITTA, resources expended by Wireline Competition Bureau FTEs increasingly benefit other industry sectors.</w:t>
      </w:r>
      <w:r w:rsidRPr="0069684B">
        <w:rPr>
          <w:rStyle w:val="FootnoteReference"/>
          <w:szCs w:val="22"/>
        </w:rPr>
        <w:footnoteReference w:id="111"/>
      </w:r>
      <w:r w:rsidRPr="0069684B">
        <w:t xml:space="preserve">  ITTA argues that the Commission’s efforts to modernize the Lifeline program and to conduct a comprehensive analysis of the special access marketplace, for example, generate significant benefits for entities that do not pay regulatory fees as ITSPs.</w:t>
      </w:r>
      <w:r w:rsidRPr="0069684B">
        <w:rPr>
          <w:rStyle w:val="FootnoteReference"/>
          <w:szCs w:val="22"/>
        </w:rPr>
        <w:footnoteReference w:id="112"/>
      </w:r>
    </w:p>
    <w:p w:rsidR="00011D72" w:rsidRPr="0069684B" w:rsidRDefault="00011D72" w:rsidP="002B1B38">
      <w:pPr>
        <w:pStyle w:val="ParaNum"/>
      </w:pPr>
      <w:r w:rsidRPr="0069684B">
        <w:t>ITTA has previously proposed that we combine wireless providers into the ITSP fee category so that all voice providers pay regulatory fees on the same basis.</w:t>
      </w:r>
      <w:r w:rsidRPr="0069684B">
        <w:rPr>
          <w:rStyle w:val="FootnoteReference"/>
          <w:szCs w:val="22"/>
        </w:rPr>
        <w:footnoteReference w:id="113"/>
      </w:r>
      <w:r w:rsidRPr="0069684B">
        <w:t xml:space="preserve">  ITTA continues to endorse this approach and contends that such action would be consistent with the Commission’s decision to incorporate interconnected VoIP providers into the ITSP fee category to ensure that such providers are paying their share of regulatory fees in connection with the Commission’s oversight of voice services.</w:t>
      </w:r>
      <w:r w:rsidRPr="0069684B">
        <w:rPr>
          <w:rStyle w:val="FootnoteReference"/>
          <w:szCs w:val="22"/>
        </w:rPr>
        <w:footnoteReference w:id="114"/>
      </w:r>
    </w:p>
    <w:p w:rsidR="00011D72" w:rsidRPr="0069684B" w:rsidRDefault="00011D72" w:rsidP="002B1B38">
      <w:pPr>
        <w:pStyle w:val="ParaNum"/>
        <w:rPr>
          <w:rFonts w:eastAsiaTheme="minorHAnsi"/>
        </w:rPr>
      </w:pPr>
      <w:r w:rsidRPr="0069684B">
        <w:t xml:space="preserve">We recognize that there is substantial convergence in the telecommunications industry and organizational changes in the Commission that may support additional FTE reallocations as ITTA contends.  Wireless providers are not subject to all of the regulations and requirements imposed on ITSPs.  However, there are certain rules (e.g., universal service), that wireless and wireline services benefit from and the Wireline </w:t>
      </w:r>
      <w:r w:rsidR="00242DF7">
        <w:t xml:space="preserve">Competition </w:t>
      </w:r>
      <w:r w:rsidRPr="0069684B">
        <w:t>Bureau FTEs provide the oversight and regulation of the industry in these areas.</w:t>
      </w:r>
      <w:r w:rsidRPr="0069684B">
        <w:rPr>
          <w:rStyle w:val="FootnoteReference"/>
          <w:szCs w:val="22"/>
        </w:rPr>
        <w:footnoteReference w:id="115"/>
      </w:r>
      <w:r w:rsidRPr="0069684B">
        <w:t xml:space="preserve">  We seek c</w:t>
      </w:r>
      <w:r w:rsidR="00242DF7">
        <w:t>omment on ITTA’s proposals to (i</w:t>
      </w:r>
      <w:r w:rsidRPr="0069684B">
        <w:t>) combine wireless voice and wireline services into the ITSP ca</w:t>
      </w:r>
      <w:r w:rsidR="00242DF7">
        <w:t>tegory and, alternatively, to (ii</w:t>
      </w:r>
      <w:r w:rsidRPr="0069684B">
        <w:t xml:space="preserve">) re-assign certain Wireline Competition Bureau FTEs as indirect for regulatory fee purposes.  Concerning any reassignment of direct FTEs, we seek comment on whether it is reasonable and consistent with section 9 of the Act to readjust the assignment of FTEs in the bureau and </w:t>
      </w:r>
      <w:r w:rsidR="00242DF7">
        <w:t xml:space="preserve">if </w:t>
      </w:r>
      <w:r w:rsidRPr="0069684B">
        <w:t xml:space="preserve">the record demonstrates the clearest case for </w:t>
      </w:r>
      <w:r w:rsidRPr="0069684B">
        <w:rPr>
          <w:rFonts w:eastAsiaTheme="minorHAnsi"/>
        </w:rPr>
        <w:t>reassignment.</w:t>
      </w:r>
      <w:r w:rsidRPr="0069684B">
        <w:rPr>
          <w:rStyle w:val="FootnoteReference"/>
          <w:szCs w:val="22"/>
        </w:rPr>
        <w:footnoteReference w:id="116"/>
      </w:r>
      <w:r w:rsidRPr="0069684B">
        <w:rPr>
          <w:rFonts w:eastAsiaTheme="minorHAnsi"/>
        </w:rPr>
        <w:t xml:space="preserve"> </w:t>
      </w:r>
    </w:p>
    <w:p w:rsidR="00011D72" w:rsidRDefault="00011D72" w:rsidP="002B1B38">
      <w:pPr>
        <w:pStyle w:val="ParaNum"/>
      </w:pPr>
      <w:r w:rsidRPr="0069684B">
        <w:t>Commenters supporting ITTA’s proposals should also explain:  how wireless voice services and wireline services can</w:t>
      </w:r>
      <w:r w:rsidR="00DD0687">
        <w:t xml:space="preserve"> be combined (currently wireless</w:t>
      </w:r>
      <w:r w:rsidRPr="0069684B">
        <w:t xml:space="preserve"> regulatory fees are calculated per subscriber and ITSP </w:t>
      </w:r>
      <w:r w:rsidR="00DD0687">
        <w:t>fees are</w:t>
      </w:r>
      <w:r w:rsidRPr="0069684B">
        <w:t xml:space="preserve"> based on revenues)</w:t>
      </w:r>
      <w:r w:rsidR="00242DF7">
        <w:t xml:space="preserve"> and</w:t>
      </w:r>
      <w:r w:rsidRPr="0069684B">
        <w:t xml:space="preserve"> how we woul</w:t>
      </w:r>
      <w:r w:rsidR="00C563E1">
        <w:t>d determine which and how many W</w:t>
      </w:r>
      <w:r w:rsidRPr="0069684B">
        <w:t>ireline</w:t>
      </w:r>
      <w:r w:rsidR="00C563E1">
        <w:t xml:space="preserve"> Competition Bureau</w:t>
      </w:r>
      <w:r w:rsidRPr="0069684B">
        <w:t xml:space="preserve"> FTEs to reassign as indirect.  We note that, as ITTA observes, certain issues handled in the Wireline Competition Bureau benefit wireless providers, and that argument could support reassigning certain Wirel</w:t>
      </w:r>
      <w:r w:rsidR="00C563E1">
        <w:t>ine Competition Bureau FTEs as W</w:t>
      </w:r>
      <w:r w:rsidRPr="0069684B">
        <w:t xml:space="preserve">ireless </w:t>
      </w:r>
      <w:r w:rsidR="00C563E1">
        <w:t xml:space="preserve">Telecommunications Bureau </w:t>
      </w:r>
      <w:r w:rsidRPr="0069684B">
        <w:t>FTEs for regulatory fee purposes.</w:t>
      </w:r>
      <w:r w:rsidRPr="0069684B">
        <w:rPr>
          <w:rStyle w:val="FootnoteReference"/>
        </w:rPr>
        <w:footnoteReference w:id="117"/>
      </w:r>
      <w:r w:rsidRPr="0069684B">
        <w:t xml:space="preserve">  For example, given the amount of Universal Service Lifeline Support distributed to wireless providers, should FTEs who work on issues related to such providers be allocated the Wireless </w:t>
      </w:r>
      <w:r w:rsidR="00242DF7">
        <w:t xml:space="preserve">Telecommunications </w:t>
      </w:r>
      <w:r w:rsidRPr="0069684B">
        <w:t>Bureau for regulatory fee calculations</w:t>
      </w:r>
      <w:r w:rsidR="00C563E1">
        <w:t>?</w:t>
      </w:r>
      <w:r w:rsidRPr="0069684B">
        <w:rPr>
          <w:rStyle w:val="FootnoteReference"/>
        </w:rPr>
        <w:footnoteReference w:id="118"/>
      </w:r>
      <w:r>
        <w:t xml:space="preserve">  A</w:t>
      </w:r>
      <w:r w:rsidRPr="0069684B">
        <w:t xml:space="preserve">lternatively, we also seek comment on adopting a new fee category for wireless providers, as a subcategory of the </w:t>
      </w:r>
      <w:r w:rsidR="00C563E1">
        <w:t>ITSP regulatory</w:t>
      </w:r>
      <w:r w:rsidRPr="0069684B">
        <w:t xml:space="preserve"> fee category, based on a percentage Wireline </w:t>
      </w:r>
      <w:r w:rsidR="00242DF7">
        <w:t xml:space="preserve">Competition </w:t>
      </w:r>
      <w:r w:rsidRPr="0069684B">
        <w:t xml:space="preserve">Bureau FTE work devoted to work related to these </w:t>
      </w:r>
      <w:r w:rsidR="00C563E1">
        <w:t xml:space="preserve">wireless </w:t>
      </w:r>
      <w:r w:rsidRPr="0069684B">
        <w:t>regulatees.</w:t>
      </w:r>
      <w:r w:rsidRPr="0069684B">
        <w:rPr>
          <w:rStyle w:val="FootnoteReference"/>
        </w:rPr>
        <w:footnoteReference w:id="119"/>
      </w:r>
      <w:r w:rsidRPr="0069684B">
        <w:t xml:space="preserve">   </w:t>
      </w:r>
    </w:p>
    <w:p w:rsidR="00011D72" w:rsidRDefault="00011D72" w:rsidP="00127AC4">
      <w:pPr>
        <w:pStyle w:val="ParaNum"/>
        <w:numPr>
          <w:ilvl w:val="0"/>
          <w:numId w:val="0"/>
        </w:numPr>
      </w:pPr>
    </w:p>
    <w:p w:rsidR="00264877" w:rsidRDefault="00264877" w:rsidP="00264877">
      <w:pPr>
        <w:pStyle w:val="Heading1"/>
        <w:widowControl/>
        <w:rPr>
          <w:rFonts w:ascii="Times New Roman" w:hAnsi="Times New Roman"/>
          <w:szCs w:val="22"/>
        </w:rPr>
      </w:pPr>
      <w:bookmarkStart w:id="31" w:name="_Toc394672312"/>
      <w:bookmarkStart w:id="32" w:name="_Toc397078327"/>
      <w:bookmarkEnd w:id="26"/>
      <w:bookmarkEnd w:id="27"/>
      <w:bookmarkEnd w:id="28"/>
      <w:bookmarkEnd w:id="29"/>
      <w:bookmarkEnd w:id="30"/>
      <w:r w:rsidRPr="007F7B4B">
        <w:rPr>
          <w:rFonts w:ascii="Times New Roman" w:hAnsi="Times New Roman"/>
          <w:szCs w:val="22"/>
        </w:rPr>
        <w:t>procedural matters</w:t>
      </w:r>
      <w:bookmarkEnd w:id="31"/>
      <w:bookmarkEnd w:id="32"/>
    </w:p>
    <w:p w:rsidR="00264877" w:rsidRDefault="00264877" w:rsidP="00264877">
      <w:pPr>
        <w:pStyle w:val="Heading2"/>
      </w:pPr>
      <w:bookmarkStart w:id="33" w:name="_Toc285458170"/>
      <w:bookmarkStart w:id="34" w:name="_Toc289263533"/>
      <w:bookmarkStart w:id="35" w:name="_Toc292177321"/>
      <w:bookmarkStart w:id="36" w:name="_Toc296691761"/>
      <w:bookmarkStart w:id="37" w:name="_Toc297116981"/>
      <w:bookmarkStart w:id="38" w:name="_Toc298752209"/>
      <w:bookmarkStart w:id="39" w:name="_Toc299091574"/>
      <w:bookmarkStart w:id="40" w:name="_Toc319681886"/>
      <w:bookmarkStart w:id="41" w:name="_Toc320103193"/>
      <w:bookmarkStart w:id="42" w:name="_Toc320615943"/>
      <w:bookmarkStart w:id="43" w:name="_Toc320616361"/>
      <w:bookmarkStart w:id="44" w:name="_Toc320616500"/>
      <w:bookmarkStart w:id="45" w:name="_Toc320632321"/>
      <w:bookmarkStart w:id="46" w:name="_Toc320632354"/>
      <w:bookmarkStart w:id="47" w:name="_Toc320639461"/>
      <w:bookmarkStart w:id="48" w:name="_Toc321130260"/>
      <w:bookmarkStart w:id="49" w:name="_Toc321301162"/>
      <w:bookmarkStart w:id="50" w:name="_Toc327344918"/>
      <w:bookmarkStart w:id="51" w:name="_Toc327454758"/>
      <w:bookmarkStart w:id="52" w:name="_Toc328052401"/>
      <w:bookmarkStart w:id="53" w:name="_Toc330473852"/>
      <w:bookmarkStart w:id="54" w:name="_Toc390878806"/>
      <w:bookmarkStart w:id="55" w:name="_Toc394672315"/>
      <w:bookmarkStart w:id="56" w:name="_Toc397078332"/>
      <w:r w:rsidRPr="007F7B4B">
        <w:t>Payment of Regulatory Fees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51EFD" w:rsidRPr="00736591" w:rsidRDefault="00C51EFD" w:rsidP="00B92981">
      <w:pPr>
        <w:pStyle w:val="Heading3"/>
      </w:pPr>
      <w:r>
        <w:t>P</w:t>
      </w:r>
      <w:r w:rsidRPr="00736591">
        <w:t>ayments by Check Will No</w:t>
      </w:r>
      <w:r>
        <w:t>t</w:t>
      </w:r>
      <w:r w:rsidRPr="00736591">
        <w:t xml:space="preserve"> Be Accepted for Payment of Annual Regulatory Fees</w:t>
      </w:r>
    </w:p>
    <w:p w:rsidR="00C51EFD" w:rsidRDefault="00C51EFD" w:rsidP="00C51EFD">
      <w:pPr>
        <w:pStyle w:val="ParaNum"/>
        <w:rPr>
          <w:sz w:val="24"/>
          <w:szCs w:val="24"/>
        </w:rPr>
      </w:pPr>
      <w:r>
        <w:t>Pursuant to an Office of Management and Budget (OMB) directive,</w:t>
      </w:r>
      <w:r>
        <w:rPr>
          <w:rStyle w:val="FootnoteReference"/>
        </w:rPr>
        <w:footnoteReference w:id="120"/>
      </w:r>
      <w:r>
        <w:rPr>
          <w:vertAlign w:val="superscript"/>
        </w:rPr>
        <w:t xml:space="preserve"> </w:t>
      </w:r>
      <w:r>
        <w:t xml:space="preserve"> the Commission is moving towards a paperless environment, extending to disbursement and collection of select federal government payments and receipts.</w:t>
      </w:r>
      <w:r>
        <w:rPr>
          <w:rStyle w:val="FootnoteReference"/>
        </w:rPr>
        <w:footnoteReference w:id="121"/>
      </w:r>
      <w:r w:rsidR="00505CD0">
        <w:rPr>
          <w:vertAlign w:val="superscript"/>
        </w:rPr>
        <w:t xml:space="preserve"> </w:t>
      </w:r>
      <w:r w:rsidR="00505CD0">
        <w:t xml:space="preserve">  </w:t>
      </w:r>
      <w:r>
        <w:t xml:space="preserve">The initiative to reduce paper and curtail check payments for regulatory fees is expected to produce cost savings, reduce errors, and improve efficiencies across government.  Accordingly, the Commission will no longer accept checks (including cashier’s checks and money orders) and the accompanying hardcopy forms (e.g., Forms 159, 159-B, 159-E, 159-W) for the payment of regulatory fees.  This new paperless procedure will require that all payments be made by online </w:t>
      </w:r>
      <w:r w:rsidR="00505CD0">
        <w:t>Automated Clearing House (</w:t>
      </w:r>
      <w:r>
        <w:t>ACH</w:t>
      </w:r>
      <w:r w:rsidR="00505CD0">
        <w:t>)</w:t>
      </w:r>
      <w:r>
        <w:t xml:space="preserve"> payment, online credit card, or wire transfer.  Any other form of payment (e.g., checks, cashier’s checks, or money orders) will be rejected.  For payments by wire, a Form 159-E should still be transmitted via fax so that the Commission can associate the wire payment with the correct regulatory fee information.  This change will affect all payments of regulatory fees.</w:t>
      </w:r>
      <w:r>
        <w:rPr>
          <w:rStyle w:val="FootnoteReference"/>
        </w:rPr>
        <w:footnoteReference w:id="122"/>
      </w:r>
    </w:p>
    <w:p w:rsidR="00AE3656" w:rsidRDefault="00AE3656" w:rsidP="00AE3656">
      <w:pPr>
        <w:pStyle w:val="Heading3"/>
      </w:pPr>
      <w:r>
        <w:t>Revised Credit Card Transaction Levels</w:t>
      </w:r>
    </w:p>
    <w:p w:rsidR="00911C92" w:rsidRDefault="00A36BB0" w:rsidP="003039A2">
      <w:pPr>
        <w:pStyle w:val="ParaNum"/>
        <w:rPr>
          <w:snapToGrid/>
          <w:color w:val="1F497D"/>
          <w:kern w:val="0"/>
          <w:u w:val="single"/>
        </w:rPr>
      </w:pPr>
      <w:r>
        <w:t xml:space="preserve">In accordance with U.S. Treasury Announcement No. A-2014-04 (July 2014), the amount that can be charged on a credit card for transactions with federal agencies has </w:t>
      </w:r>
      <w:r w:rsidR="00F12B45">
        <w:t>been reduced to $24,999.99.</w:t>
      </w:r>
      <w:r w:rsidR="00F12B45">
        <w:rPr>
          <w:rStyle w:val="FootnoteReference"/>
        </w:rPr>
        <w:footnoteReference w:id="123"/>
      </w:r>
      <w:r w:rsidR="00FE6E82">
        <w:t xml:space="preserve">  </w:t>
      </w:r>
      <w:r>
        <w:t xml:space="preserve">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2015 regulatory fee </w:t>
      </w:r>
      <w:r w:rsidRPr="00A44C29">
        <w:t>collection</w:t>
      </w:r>
      <w:r w:rsidR="00911C92" w:rsidRPr="00A44C29">
        <w:rPr>
          <w:color w:val="1F497D"/>
        </w:rPr>
        <w:t xml:space="preserve"> in Fact</w:t>
      </w:r>
      <w:r w:rsidR="00911C92" w:rsidRPr="00911C92">
        <w:rPr>
          <w:color w:val="1F497D"/>
        </w:rPr>
        <w:t xml:space="preserve"> Sheets, available at </w:t>
      </w:r>
      <w:hyperlink r:id="rId8" w:history="1">
        <w:r w:rsidR="00911C92">
          <w:rPr>
            <w:rStyle w:val="Hyperlink"/>
          </w:rPr>
          <w:t>https://www.fcc.gov/regfees</w:t>
        </w:r>
      </w:hyperlink>
      <w:r w:rsidR="00911C92">
        <w:rPr>
          <w:color w:val="1F497D"/>
          <w:u w:val="single"/>
        </w:rPr>
        <w:t>.</w:t>
      </w:r>
    </w:p>
    <w:p w:rsidR="00264877" w:rsidRPr="007F7B4B" w:rsidRDefault="00264877" w:rsidP="00264877">
      <w:pPr>
        <w:pStyle w:val="Heading3"/>
        <w:rPr>
          <w:szCs w:val="22"/>
        </w:rPr>
      </w:pPr>
      <w:bookmarkStart w:id="57" w:name="_Toc285458171"/>
      <w:bookmarkStart w:id="58" w:name="_Toc289263534"/>
      <w:bookmarkStart w:id="59" w:name="_Toc292177322"/>
      <w:bookmarkStart w:id="60" w:name="_Toc296691762"/>
      <w:bookmarkStart w:id="61" w:name="_Toc297116982"/>
      <w:bookmarkStart w:id="62" w:name="_Toc298752210"/>
      <w:bookmarkStart w:id="63" w:name="_Toc299091575"/>
      <w:bookmarkStart w:id="64" w:name="_Toc319681887"/>
      <w:bookmarkStart w:id="65" w:name="_Toc320103194"/>
      <w:bookmarkStart w:id="66" w:name="_Toc320615944"/>
      <w:bookmarkStart w:id="67" w:name="_Toc320616362"/>
      <w:bookmarkStart w:id="68" w:name="_Toc320616501"/>
      <w:bookmarkStart w:id="69" w:name="_Toc320632322"/>
      <w:bookmarkStart w:id="70" w:name="_Toc320632355"/>
      <w:bookmarkStart w:id="71" w:name="_Toc320639462"/>
      <w:bookmarkStart w:id="72" w:name="_Toc321130261"/>
      <w:bookmarkStart w:id="73" w:name="_Toc321301163"/>
      <w:bookmarkStart w:id="74" w:name="_Toc327344919"/>
      <w:bookmarkStart w:id="75" w:name="_Toc327454759"/>
      <w:bookmarkStart w:id="76" w:name="_Toc328052402"/>
      <w:bookmarkStart w:id="77" w:name="_Toc330473853"/>
      <w:bookmarkStart w:id="78" w:name="_Toc390878807"/>
      <w:bookmarkStart w:id="79" w:name="_Toc391364437"/>
      <w:bookmarkStart w:id="80" w:name="_Toc394672316"/>
      <w:bookmarkStart w:id="81" w:name="_Toc397078333"/>
      <w:r w:rsidRPr="007F7B4B">
        <w:rPr>
          <w:szCs w:val="22"/>
        </w:rPr>
        <w:t>Lock Box Bank</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264877" w:rsidRPr="007F7B4B" w:rsidRDefault="00264877" w:rsidP="00D07E62">
      <w:pPr>
        <w:pStyle w:val="ParaNum"/>
        <w:widowControl/>
      </w:pPr>
      <w:r w:rsidRPr="007F7B4B">
        <w:t>During the fee season for collecting FY 201</w:t>
      </w:r>
      <w:r w:rsidR="0034208E">
        <w:t>5</w:t>
      </w:r>
      <w:r w:rsidRPr="007F7B4B">
        <w:t xml:space="preserve"> regulatory fees, regulatees can pay their fees by </w:t>
      </w:r>
      <w:r w:rsidRPr="004739BE">
        <w:t>credit</w:t>
      </w:r>
      <w:r w:rsidRPr="007F7B4B">
        <w:t xml:space="preserve"> card through Pay.gov,</w:t>
      </w:r>
      <w:r w:rsidRPr="007F7B4B">
        <w:rPr>
          <w:rStyle w:val="FootnoteReference"/>
          <w:szCs w:val="22"/>
        </w:rPr>
        <w:footnoteReference w:id="124"/>
      </w:r>
      <w:r w:rsidRPr="007F7B4B">
        <w:t xml:space="preserve"> </w:t>
      </w:r>
      <w:r>
        <w:t xml:space="preserve">ACH, </w:t>
      </w:r>
      <w:r w:rsidRPr="007F7B4B">
        <w:t>debit card,</w:t>
      </w:r>
      <w:r w:rsidRPr="007F7B4B">
        <w:rPr>
          <w:rStyle w:val="FootnoteReference"/>
          <w:szCs w:val="22"/>
        </w:rPr>
        <w:footnoteReference w:id="125"/>
      </w:r>
      <w:r w:rsidRPr="007F7B4B">
        <w:t xml:space="preserve"> or by </w:t>
      </w:r>
      <w:r>
        <w:t xml:space="preserve">wire transfer.  </w:t>
      </w:r>
      <w:r w:rsidRPr="007F7B4B">
        <w:t xml:space="preserve">Additional payment instructions are posted at </w:t>
      </w:r>
      <w:hyperlink r:id="rId9" w:history="1">
        <w:r w:rsidRPr="001C6185">
          <w:rPr>
            <w:rStyle w:val="Hyperlink"/>
            <w:szCs w:val="22"/>
          </w:rPr>
          <w:t>http://transition.fcc.gov/fees/regfees.html</w:t>
        </w:r>
      </w:hyperlink>
      <w:r w:rsidRPr="007F7B4B">
        <w:rPr>
          <w:u w:val="single"/>
        </w:rPr>
        <w:t>.</w:t>
      </w:r>
      <w:r w:rsidRPr="007F7B4B">
        <w:t xml:space="preserve"> </w:t>
      </w:r>
    </w:p>
    <w:p w:rsidR="00264877" w:rsidRPr="007F7B4B" w:rsidRDefault="00264877" w:rsidP="00264877">
      <w:pPr>
        <w:pStyle w:val="Heading3"/>
        <w:rPr>
          <w:szCs w:val="22"/>
        </w:rPr>
      </w:pPr>
      <w:bookmarkStart w:id="82" w:name="_Toc285458172"/>
      <w:bookmarkStart w:id="83" w:name="_Toc289263535"/>
      <w:bookmarkStart w:id="84" w:name="_Toc292177323"/>
      <w:bookmarkStart w:id="85" w:name="_Toc296691763"/>
      <w:bookmarkStart w:id="86" w:name="_Toc297116983"/>
      <w:bookmarkStart w:id="87" w:name="_Toc298752211"/>
      <w:bookmarkStart w:id="88" w:name="_Toc299091576"/>
      <w:bookmarkStart w:id="89" w:name="_Toc319681888"/>
      <w:bookmarkStart w:id="90" w:name="_Toc320103195"/>
      <w:bookmarkStart w:id="91" w:name="_Toc320615945"/>
      <w:bookmarkStart w:id="92" w:name="_Toc320616363"/>
      <w:bookmarkStart w:id="93" w:name="_Toc320616502"/>
      <w:bookmarkStart w:id="94" w:name="_Toc320632323"/>
      <w:bookmarkStart w:id="95" w:name="_Toc320632356"/>
      <w:bookmarkStart w:id="96" w:name="_Toc320639463"/>
      <w:bookmarkStart w:id="97" w:name="_Toc321130262"/>
      <w:bookmarkStart w:id="98" w:name="_Toc321301164"/>
      <w:bookmarkStart w:id="99" w:name="_Toc327344920"/>
      <w:bookmarkStart w:id="100" w:name="_Toc327454760"/>
      <w:bookmarkStart w:id="101" w:name="_Toc328052403"/>
      <w:bookmarkStart w:id="102" w:name="_Toc330473854"/>
      <w:bookmarkStart w:id="103" w:name="_Toc390878808"/>
      <w:bookmarkStart w:id="104" w:name="_Toc391364438"/>
      <w:bookmarkStart w:id="105" w:name="_Toc394672317"/>
      <w:bookmarkStart w:id="106" w:name="_Toc397078334"/>
      <w:r w:rsidRPr="007F7B4B">
        <w:rPr>
          <w:szCs w:val="22"/>
        </w:rPr>
        <w:t>Receiving Bank for Wire Payments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64877" w:rsidRPr="008B7DC7" w:rsidRDefault="00E0699E" w:rsidP="00F56128">
      <w:pPr>
        <w:pStyle w:val="ParaNum"/>
        <w:widowControl/>
        <w:rPr>
          <w:rStyle w:val="Hyperlink"/>
          <w:color w:val="auto"/>
          <w:szCs w:val="22"/>
          <w:u w:val="none"/>
        </w:rPr>
      </w:pPr>
      <w:r w:rsidRPr="007F7B4B">
        <w:t xml:space="preserve">The receiving bank for all wire payments is the Federal Reserve Bank, New York, New York (TREAS NYC).  When making a wire transfer, regulatees must fax a copy of their Fee Filer generated Form 159-E to </w:t>
      </w:r>
      <w:r>
        <w:t xml:space="preserve">the Federal Communications Commission </w:t>
      </w:r>
      <w:r w:rsidRPr="007F7B4B">
        <w:t>at (</w:t>
      </w:r>
      <w:r>
        <w:t>202</w:t>
      </w:r>
      <w:r w:rsidRPr="007F7B4B">
        <w:t>) 418-</w:t>
      </w:r>
      <w:r>
        <w:t>2843</w:t>
      </w:r>
      <w:r w:rsidRPr="007F7B4B">
        <w:t xml:space="preserve">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10" w:tooltip="http://transition.fcc.gov/fees/wiretran.html" w:history="1">
        <w:r w:rsidRPr="007F7B4B">
          <w:rPr>
            <w:rStyle w:val="Hyperlink"/>
            <w:szCs w:val="22"/>
          </w:rPr>
          <w:t>http://transition.fcc.gov/fees/wiretran.html</w:t>
        </w:r>
      </w:hyperlink>
    </w:p>
    <w:p w:rsidR="00264877" w:rsidRPr="007F7B4B" w:rsidRDefault="00264877" w:rsidP="00264877">
      <w:pPr>
        <w:pStyle w:val="Heading3"/>
        <w:rPr>
          <w:szCs w:val="22"/>
        </w:rPr>
      </w:pPr>
      <w:bookmarkStart w:id="107" w:name="_Toc285458173"/>
      <w:bookmarkStart w:id="108" w:name="_Toc289263536"/>
      <w:bookmarkStart w:id="109" w:name="_Toc292177324"/>
      <w:bookmarkStart w:id="110" w:name="_Toc296691764"/>
      <w:bookmarkStart w:id="111" w:name="_Toc297116984"/>
      <w:bookmarkStart w:id="112" w:name="_Toc298752212"/>
      <w:bookmarkStart w:id="113" w:name="_Toc299091577"/>
      <w:bookmarkStart w:id="114" w:name="_Toc319681889"/>
      <w:bookmarkStart w:id="115" w:name="_Toc320103196"/>
      <w:bookmarkStart w:id="116" w:name="_Toc320615946"/>
      <w:bookmarkStart w:id="117" w:name="_Toc320616364"/>
      <w:bookmarkStart w:id="118" w:name="_Toc320616503"/>
      <w:bookmarkStart w:id="119" w:name="_Toc320632324"/>
      <w:bookmarkStart w:id="120" w:name="_Toc320632357"/>
      <w:bookmarkStart w:id="121" w:name="_Toc320639464"/>
      <w:bookmarkStart w:id="122" w:name="_Toc321130263"/>
      <w:bookmarkStart w:id="123" w:name="_Toc321301165"/>
      <w:bookmarkStart w:id="124" w:name="_Toc327344921"/>
      <w:bookmarkStart w:id="125" w:name="_Toc327454761"/>
      <w:bookmarkStart w:id="126" w:name="_Toc328052404"/>
      <w:bookmarkStart w:id="127" w:name="_Toc330473855"/>
      <w:bookmarkStart w:id="128" w:name="_Toc390878809"/>
      <w:bookmarkStart w:id="129" w:name="_Toc391364439"/>
      <w:bookmarkStart w:id="130" w:name="_Toc394672319"/>
      <w:bookmarkStart w:id="131" w:name="_Toc397078335"/>
      <w:r w:rsidRPr="007F7B4B">
        <w:rPr>
          <w:szCs w:val="22"/>
        </w:rPr>
        <w:t>De Minimis Regulatory Fees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64877" w:rsidRDefault="00264877" w:rsidP="001063AA">
      <w:pPr>
        <w:pStyle w:val="ParaNum"/>
        <w:widowControl/>
      </w:pPr>
      <w:r w:rsidRPr="007F7B4B">
        <w:t>Regulatees whose total FY 201</w:t>
      </w:r>
      <w:r w:rsidR="003F4ABB">
        <w:t>5</w:t>
      </w:r>
      <w:r w:rsidRPr="007F7B4B">
        <w:t xml:space="preserve"> </w:t>
      </w:r>
      <w:r w:rsidR="0001022E">
        <w:t xml:space="preserve">annual </w:t>
      </w:r>
      <w:r w:rsidRPr="007F7B4B">
        <w:t>regulatory fee liability, including all categories of fees for which payment is due, is $</w:t>
      </w:r>
      <w:r w:rsidR="003F4ABB">
        <w:t>500</w:t>
      </w:r>
      <w:r w:rsidRPr="007F7B4B">
        <w:t xml:space="preserve"> </w:t>
      </w:r>
      <w:r w:rsidR="003C74EF">
        <w:t xml:space="preserve">or less </w:t>
      </w:r>
      <w:r w:rsidRPr="007F7B4B">
        <w:t xml:space="preserve">are </w:t>
      </w:r>
      <w:r>
        <w:t>exempt from payment of FY 201</w:t>
      </w:r>
      <w:r w:rsidR="003F4ABB">
        <w:t>5</w:t>
      </w:r>
      <w:r w:rsidRPr="007F7B4B">
        <w:t xml:space="preserve"> regulatory fees.</w:t>
      </w:r>
      <w:r>
        <w:t xml:space="preserve"> </w:t>
      </w:r>
      <w:r w:rsidR="002046BA">
        <w:t xml:space="preserve">  The </w:t>
      </w:r>
      <w:r w:rsidR="002046BA" w:rsidRPr="002B1B38">
        <w:rPr>
          <w:i/>
        </w:rPr>
        <w:t>de minimis</w:t>
      </w:r>
      <w:r w:rsidR="002046BA">
        <w:t xml:space="preserve"> threshold applies only to filers of annual regulatory fees (not regulatory fees paid through multi-year filings), and it is not</w:t>
      </w:r>
      <w:r w:rsidR="0025533E">
        <w:t xml:space="preserve"> a permanent exemption.  Rather, each regulate will need to reevaluate their total fee liability each fiscal year to determine whether they meet the </w:t>
      </w:r>
      <w:r w:rsidR="0025533E">
        <w:rPr>
          <w:i/>
        </w:rPr>
        <w:t>de minimis</w:t>
      </w:r>
      <w:r w:rsidR="0025533E">
        <w:t xml:space="preserve"> exemption.</w:t>
      </w:r>
      <w:r w:rsidR="002046BA">
        <w:t xml:space="preserve"> </w:t>
      </w:r>
      <w:r>
        <w:t xml:space="preserve"> </w:t>
      </w:r>
    </w:p>
    <w:p w:rsidR="00264877" w:rsidRPr="007F7B4B" w:rsidRDefault="00264877" w:rsidP="00264877">
      <w:pPr>
        <w:pStyle w:val="Heading3"/>
        <w:rPr>
          <w:szCs w:val="22"/>
        </w:rPr>
      </w:pPr>
      <w:bookmarkStart w:id="132" w:name="_Toc285458174"/>
      <w:bookmarkStart w:id="133" w:name="_Toc289263537"/>
      <w:bookmarkStart w:id="134" w:name="_Toc292177325"/>
      <w:bookmarkStart w:id="135" w:name="_Toc296691765"/>
      <w:bookmarkStart w:id="136" w:name="_Toc297116985"/>
      <w:bookmarkStart w:id="137" w:name="_Toc298752213"/>
      <w:bookmarkStart w:id="138" w:name="_Toc299091578"/>
      <w:bookmarkStart w:id="139" w:name="_Toc319681890"/>
      <w:bookmarkStart w:id="140" w:name="_Toc320103197"/>
      <w:bookmarkStart w:id="141" w:name="_Toc320615947"/>
      <w:bookmarkStart w:id="142" w:name="_Toc320616365"/>
      <w:bookmarkStart w:id="143" w:name="_Toc320616504"/>
      <w:bookmarkStart w:id="144" w:name="_Toc320632325"/>
      <w:bookmarkStart w:id="145" w:name="_Toc320632358"/>
      <w:bookmarkStart w:id="146" w:name="_Toc320639465"/>
      <w:bookmarkStart w:id="147" w:name="_Toc321130264"/>
      <w:bookmarkStart w:id="148" w:name="_Toc321301166"/>
      <w:bookmarkStart w:id="149" w:name="_Toc327344922"/>
      <w:bookmarkStart w:id="150" w:name="_Toc327454762"/>
      <w:bookmarkStart w:id="151" w:name="_Toc328052405"/>
      <w:bookmarkStart w:id="152" w:name="_Toc330473856"/>
      <w:bookmarkStart w:id="153" w:name="_Toc390878810"/>
      <w:bookmarkStart w:id="154" w:name="_Toc391364440"/>
      <w:bookmarkStart w:id="155" w:name="_Toc394672320"/>
      <w:bookmarkStart w:id="156" w:name="_Toc397078336"/>
      <w:r w:rsidRPr="007F7B4B">
        <w:rPr>
          <w:szCs w:val="22"/>
        </w:rPr>
        <w:t>Standard Fee Calculations and Payment Dates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264877" w:rsidRPr="007F7B4B" w:rsidRDefault="00264877" w:rsidP="00F15C95">
      <w:pPr>
        <w:pStyle w:val="ParaNum"/>
      </w:pPr>
      <w:r w:rsidRPr="007F7B4B">
        <w:t>The Commission will accept fee payments made in advance of the window for the payment of regulatory fees.  The responsibility for payment of fees by service category is as follows:</w:t>
      </w:r>
    </w:p>
    <w:p w:rsidR="00264877" w:rsidRPr="007F7B4B" w:rsidRDefault="00264877" w:rsidP="00264877">
      <w:pPr>
        <w:numPr>
          <w:ilvl w:val="0"/>
          <w:numId w:val="6"/>
        </w:numPr>
        <w:rPr>
          <w:szCs w:val="22"/>
        </w:rPr>
      </w:pPr>
      <w:r w:rsidRPr="007F7B4B">
        <w:rPr>
          <w:i/>
          <w:szCs w:val="22"/>
        </w:rPr>
        <w:t>Media Services</w:t>
      </w:r>
      <w:r w:rsidRPr="007F7B4B">
        <w:rPr>
          <w:szCs w:val="22"/>
        </w:rPr>
        <w:t>:  Regulatory fees must be paid for initial construction permits that were granted on or before October 1, 201</w:t>
      </w:r>
      <w:r w:rsidR="003F4ABB">
        <w:rPr>
          <w:szCs w:val="22"/>
        </w:rPr>
        <w:t>4</w:t>
      </w:r>
      <w:r w:rsidRPr="007F7B4B">
        <w:rPr>
          <w:szCs w:val="22"/>
        </w:rPr>
        <w:t xml:space="preserve"> for AM/FM radio stations, VHF/UHF full service television stations, and satellite television stations.  Regulatory fees must be paid for all broadcast facility licenses granted on or before October 1, 201</w:t>
      </w:r>
      <w:r w:rsidR="003F4ABB">
        <w:rPr>
          <w:szCs w:val="22"/>
        </w:rPr>
        <w:t>4</w:t>
      </w:r>
      <w:r w:rsidRPr="007F7B4B">
        <w:rPr>
          <w:szCs w:val="22"/>
        </w:rPr>
        <w:t xml:space="preserve">.  </w:t>
      </w:r>
      <w:r w:rsidR="00BA0BEC" w:rsidRPr="00BA0BEC">
        <w:rPr>
          <w:bCs/>
        </w:rPr>
        <w:t>For providers of Direct Broadcast Service (DBS) service, regulatory fees should be paid based on a subscriber count on or about December 31, 2014.</w:t>
      </w:r>
      <w:r w:rsidR="00F56128">
        <w:t xml:space="preserve">  </w:t>
      </w:r>
      <w:r w:rsidRPr="00BA0BEC">
        <w:rPr>
          <w:szCs w:val="22"/>
        </w:rPr>
        <w:t>In instances where a permit</w:t>
      </w:r>
      <w:r w:rsidRPr="007F7B4B">
        <w:rPr>
          <w:szCs w:val="22"/>
        </w:rPr>
        <w:t xml:space="preserve"> or license is transferred or assigned after October 1, 201</w:t>
      </w:r>
      <w:r w:rsidR="003F4ABB">
        <w:rPr>
          <w:szCs w:val="22"/>
        </w:rPr>
        <w:t>4</w:t>
      </w:r>
      <w:r w:rsidRPr="007F7B4B">
        <w:rPr>
          <w:szCs w:val="22"/>
        </w:rPr>
        <w:t>, responsibility for payment rests with the holder of the permit or license as of the fee due date.</w:t>
      </w:r>
    </w:p>
    <w:p w:rsidR="00264877" w:rsidRPr="007F7B4B" w:rsidRDefault="00264877" w:rsidP="00264877">
      <w:pPr>
        <w:ind w:left="450"/>
        <w:rPr>
          <w:szCs w:val="22"/>
        </w:rPr>
      </w:pPr>
    </w:p>
    <w:p w:rsidR="00C072C4" w:rsidRPr="00C072C4" w:rsidRDefault="00264877" w:rsidP="00C072C4">
      <w:pPr>
        <w:pStyle w:val="ListParagraph"/>
        <w:numPr>
          <w:ilvl w:val="0"/>
          <w:numId w:val="6"/>
        </w:numPr>
        <w:rPr>
          <w:szCs w:val="22"/>
        </w:rPr>
      </w:pPr>
      <w:r w:rsidRPr="00C072C4">
        <w:rPr>
          <w:i/>
          <w:szCs w:val="22"/>
        </w:rPr>
        <w:t>Wireline (Common Carrier) Services</w:t>
      </w:r>
      <w:r w:rsidRPr="00C072C4">
        <w:rPr>
          <w:szCs w:val="22"/>
        </w:rPr>
        <w:t>:  Regulatory fees must be paid for authorizations that were granted on or before October 1, 201</w:t>
      </w:r>
      <w:r w:rsidR="003F4ABB" w:rsidRPr="00C072C4">
        <w:rPr>
          <w:szCs w:val="22"/>
        </w:rPr>
        <w:t>4</w:t>
      </w:r>
      <w:r w:rsidRPr="00C072C4">
        <w:rPr>
          <w:szCs w:val="22"/>
        </w:rPr>
        <w:t>.  In instances where a permit or license is transferred or assigned after October 1, 201</w:t>
      </w:r>
      <w:r w:rsidR="003F4ABB" w:rsidRPr="00C072C4">
        <w:rPr>
          <w:szCs w:val="22"/>
        </w:rPr>
        <w:t>4</w:t>
      </w:r>
      <w:r w:rsidRPr="00C072C4">
        <w:rPr>
          <w:szCs w:val="22"/>
        </w:rPr>
        <w:t>, responsibility for payment rests with the holder of the permit or license as of the fee due date.  Audio bridging service providers are included in this category.</w:t>
      </w:r>
      <w:r w:rsidRPr="007F7B4B">
        <w:rPr>
          <w:rStyle w:val="FootnoteReference"/>
          <w:szCs w:val="22"/>
        </w:rPr>
        <w:footnoteReference w:id="126"/>
      </w:r>
      <w:r w:rsidR="00F56128">
        <w:rPr>
          <w:szCs w:val="22"/>
        </w:rPr>
        <w:t xml:space="preserve">  </w:t>
      </w:r>
      <w:r w:rsidR="00C072C4" w:rsidRPr="00C072C4">
        <w:rPr>
          <w:szCs w:val="22"/>
        </w:rPr>
        <w:t>For Responsible Organizations (RespOrgs) that manage Toll Free Numbers (TFN), regulatory fees should be paid on all working, assigned, and reserved toll free numbers, including those toll free numbers that are in transit status, or any other status as defined in section 52.103 of the Commission’s rules.  The unit count should be based on toll free numbers managed by RespOrgs on or about December 31, 2014.</w:t>
      </w:r>
    </w:p>
    <w:p w:rsidR="00264877" w:rsidRPr="007F7B4B" w:rsidRDefault="00264877" w:rsidP="00264877">
      <w:pPr>
        <w:ind w:left="450"/>
        <w:rPr>
          <w:szCs w:val="22"/>
        </w:rPr>
      </w:pPr>
    </w:p>
    <w:p w:rsidR="00264877" w:rsidRPr="007F7B4B" w:rsidRDefault="00264877" w:rsidP="00264877">
      <w:pPr>
        <w:numPr>
          <w:ilvl w:val="0"/>
          <w:numId w:val="6"/>
        </w:numPr>
        <w:rPr>
          <w:szCs w:val="22"/>
        </w:rPr>
      </w:pPr>
      <w:r w:rsidRPr="007F7B4B">
        <w:rPr>
          <w:i/>
          <w:szCs w:val="22"/>
        </w:rPr>
        <w:t>Wireless Services</w:t>
      </w:r>
      <w:r w:rsidRPr="007F7B4B">
        <w:rPr>
          <w:szCs w:val="22"/>
        </w:rPr>
        <w:t>:  CMRS cellular, mobile, and messaging services (fees based on number of subscribers or telephone number count):  Regulatory fees must be paid for authorizations that were granted on or before October 1, 201</w:t>
      </w:r>
      <w:r w:rsidR="003F4ABB">
        <w:rPr>
          <w:szCs w:val="22"/>
        </w:rPr>
        <w:t>4</w:t>
      </w:r>
      <w:r w:rsidRPr="007F7B4B">
        <w:rPr>
          <w:szCs w:val="22"/>
        </w:rPr>
        <w:t>.  The number of subscribers, units, or telephone numbers on December 31, 201</w:t>
      </w:r>
      <w:r w:rsidR="003F4ABB">
        <w:rPr>
          <w:szCs w:val="22"/>
        </w:rPr>
        <w:t>4</w:t>
      </w:r>
      <w:r w:rsidRPr="007F7B4B">
        <w:rPr>
          <w:szCs w:val="22"/>
        </w:rPr>
        <w:t xml:space="preserve"> will be used as the basis from which to calculate the fee payment.  In instances where a permit or license is transferred or assigned after October 1, 201</w:t>
      </w:r>
      <w:r w:rsidR="003F4ABB">
        <w:rPr>
          <w:szCs w:val="22"/>
        </w:rPr>
        <w:t>4</w:t>
      </w:r>
      <w:r w:rsidRPr="007F7B4B">
        <w:rPr>
          <w:szCs w:val="22"/>
        </w:rPr>
        <w:t xml:space="preserve">, responsibility for payment rests with the holder of the permit or license as of the fee due date.  </w:t>
      </w:r>
    </w:p>
    <w:p w:rsidR="00264877" w:rsidRPr="007F7B4B" w:rsidRDefault="00264877" w:rsidP="00264877">
      <w:pPr>
        <w:ind w:left="450"/>
        <w:jc w:val="both"/>
        <w:rPr>
          <w:szCs w:val="22"/>
        </w:rPr>
      </w:pPr>
    </w:p>
    <w:p w:rsidR="00264877" w:rsidRPr="007F7B4B" w:rsidRDefault="00B82BDE" w:rsidP="00D07E62">
      <w:pPr>
        <w:widowControl/>
        <w:numPr>
          <w:ilvl w:val="0"/>
          <w:numId w:val="6"/>
        </w:numPr>
        <w:ind w:left="806"/>
        <w:rPr>
          <w:szCs w:val="22"/>
        </w:rPr>
      </w:pPr>
      <w:r w:rsidRPr="007F7B4B">
        <w:rPr>
          <w:i/>
          <w:szCs w:val="22"/>
        </w:rPr>
        <w:t>Wireless Services</w:t>
      </w:r>
      <w:r w:rsidR="00976CDC">
        <w:rPr>
          <w:i/>
          <w:szCs w:val="22"/>
        </w:rPr>
        <w:t>, Multi-year fees</w:t>
      </w:r>
      <w:r>
        <w:rPr>
          <w:szCs w:val="22"/>
        </w:rPr>
        <w:t xml:space="preserve">:  </w:t>
      </w:r>
      <w:r w:rsidR="00264877" w:rsidRPr="007F7B4B">
        <w:rPr>
          <w:szCs w:val="22"/>
        </w:rPr>
        <w:t xml:space="preserve">The first </w:t>
      </w:r>
      <w:r>
        <w:rPr>
          <w:szCs w:val="22"/>
        </w:rPr>
        <w:t>eight</w:t>
      </w:r>
      <w:r w:rsidR="00264877" w:rsidRPr="007F7B4B">
        <w:rPr>
          <w:szCs w:val="22"/>
        </w:rPr>
        <w:t xml:space="preserve"> regulatory fee categories in our Schedule of Regulatory Fees pay “small multi-year wireless regulatory fees.”  Entities pay these regulatory fees in advance for the entire amount </w:t>
      </w:r>
      <w:r w:rsidR="00264877">
        <w:rPr>
          <w:szCs w:val="22"/>
        </w:rPr>
        <w:t>period covered by</w:t>
      </w:r>
      <w:r w:rsidR="00264877" w:rsidRPr="007F7B4B">
        <w:rPr>
          <w:szCs w:val="22"/>
        </w:rPr>
        <w:t xml:space="preserve"> the five-year or ten-year term</w:t>
      </w:r>
      <w:r w:rsidR="00264877">
        <w:rPr>
          <w:szCs w:val="22"/>
        </w:rPr>
        <w:t>s</w:t>
      </w:r>
      <w:r w:rsidR="00264877" w:rsidRPr="007F7B4B">
        <w:rPr>
          <w:szCs w:val="22"/>
        </w:rPr>
        <w:t xml:space="preserve"> of</w:t>
      </w:r>
      <w:r w:rsidR="00264877">
        <w:rPr>
          <w:szCs w:val="22"/>
        </w:rPr>
        <w:t xml:space="preserve"> their</w:t>
      </w:r>
      <w:r w:rsidR="00264877" w:rsidRPr="007F7B4B">
        <w:rPr>
          <w:szCs w:val="22"/>
        </w:rPr>
        <w:t xml:space="preserve"> initial license</w:t>
      </w:r>
      <w:r w:rsidR="00264877">
        <w:rPr>
          <w:szCs w:val="22"/>
        </w:rPr>
        <w:t>s</w:t>
      </w:r>
      <w:r w:rsidR="00264877" w:rsidRPr="007F7B4B">
        <w:rPr>
          <w:szCs w:val="22"/>
        </w:rPr>
        <w:t xml:space="preserve">, and pay regulatory fees again </w:t>
      </w:r>
      <w:r w:rsidR="00264877">
        <w:rPr>
          <w:szCs w:val="22"/>
        </w:rPr>
        <w:t xml:space="preserve">only </w:t>
      </w:r>
      <w:r w:rsidR="00264877" w:rsidRPr="007F7B4B">
        <w:rPr>
          <w:szCs w:val="22"/>
        </w:rPr>
        <w:t xml:space="preserve">when the license is renewed or a new license is obtained.  We include these fee categories in our </w:t>
      </w:r>
      <w:r w:rsidR="002B6493">
        <w:rPr>
          <w:szCs w:val="22"/>
        </w:rPr>
        <w:t>rulemaking (</w:t>
      </w:r>
      <w:r w:rsidR="00A7675D" w:rsidRPr="00A7675D">
        <w:rPr>
          <w:i/>
          <w:szCs w:val="22"/>
        </w:rPr>
        <w:t>s</w:t>
      </w:r>
      <w:r w:rsidR="002B6493" w:rsidRPr="0067780B">
        <w:rPr>
          <w:i/>
          <w:szCs w:val="22"/>
        </w:rPr>
        <w:t>ee</w:t>
      </w:r>
      <w:r w:rsidR="0090094D">
        <w:rPr>
          <w:szCs w:val="22"/>
        </w:rPr>
        <w:t xml:space="preserve"> Appendix</w:t>
      </w:r>
      <w:r w:rsidR="002B6493">
        <w:rPr>
          <w:szCs w:val="22"/>
        </w:rPr>
        <w:t xml:space="preserve"> </w:t>
      </w:r>
      <w:r w:rsidR="003A2A15">
        <w:rPr>
          <w:szCs w:val="22"/>
        </w:rPr>
        <w:t>C</w:t>
      </w:r>
      <w:r w:rsidR="002B6493">
        <w:rPr>
          <w:szCs w:val="22"/>
        </w:rPr>
        <w:t xml:space="preserve">) </w:t>
      </w:r>
      <w:r w:rsidR="00264877" w:rsidRPr="007F7B4B">
        <w:rPr>
          <w:szCs w:val="22"/>
        </w:rPr>
        <w:t>to publicize our estimates of the number of “small multi-year wireless” licenses that will be renewed or newly obtained in FY 201</w:t>
      </w:r>
      <w:r w:rsidR="002046BA">
        <w:rPr>
          <w:szCs w:val="22"/>
        </w:rPr>
        <w:t>5</w:t>
      </w:r>
      <w:r w:rsidR="00264877" w:rsidRPr="007F7B4B">
        <w:rPr>
          <w:szCs w:val="22"/>
        </w:rPr>
        <w:t xml:space="preserve">. </w:t>
      </w:r>
    </w:p>
    <w:p w:rsidR="00264877" w:rsidRPr="007F7B4B" w:rsidRDefault="00264877" w:rsidP="00264877">
      <w:pPr>
        <w:ind w:left="450"/>
        <w:jc w:val="both"/>
        <w:rPr>
          <w:szCs w:val="22"/>
        </w:rPr>
      </w:pPr>
    </w:p>
    <w:p w:rsidR="00264877" w:rsidRPr="007F7B4B" w:rsidRDefault="00264877" w:rsidP="00264877">
      <w:pPr>
        <w:numPr>
          <w:ilvl w:val="0"/>
          <w:numId w:val="6"/>
        </w:numPr>
        <w:rPr>
          <w:szCs w:val="22"/>
        </w:rPr>
      </w:pPr>
      <w:r w:rsidRPr="007F7B4B">
        <w:rPr>
          <w:i/>
          <w:szCs w:val="22"/>
        </w:rPr>
        <w:t>Multichannel Video Programming Distributor Services (cable television operators and CARS licensees)</w:t>
      </w:r>
      <w:r w:rsidRPr="007F7B4B">
        <w:rPr>
          <w:szCs w:val="22"/>
        </w:rPr>
        <w:t>:  Regulatory fees must be paid for the number of basic cable television subscribers as of December 31, 201</w:t>
      </w:r>
      <w:r w:rsidR="003F4ABB">
        <w:rPr>
          <w:szCs w:val="22"/>
        </w:rPr>
        <w:t>4</w:t>
      </w:r>
      <w:r w:rsidRPr="007F7B4B">
        <w:rPr>
          <w:szCs w:val="22"/>
        </w:rPr>
        <w:t>.</w:t>
      </w:r>
      <w:r w:rsidRPr="007F7B4B">
        <w:rPr>
          <w:szCs w:val="22"/>
          <w:vertAlign w:val="superscript"/>
        </w:rPr>
        <w:footnoteReference w:id="127"/>
      </w:r>
      <w:r w:rsidRPr="007F7B4B">
        <w:rPr>
          <w:szCs w:val="22"/>
        </w:rPr>
        <w:t xml:space="preserve">  Regulatory fees also must be paid for CARS licenses that were granted on or before October 1, 201</w:t>
      </w:r>
      <w:r w:rsidR="003F4ABB">
        <w:rPr>
          <w:szCs w:val="22"/>
        </w:rPr>
        <w:t>4</w:t>
      </w:r>
      <w:r w:rsidRPr="007F7B4B">
        <w:rPr>
          <w:szCs w:val="22"/>
        </w:rPr>
        <w:t>.  In instances where a permit or license is transferred or assigned after October 1, 201</w:t>
      </w:r>
      <w:r w:rsidR="003F4ABB">
        <w:rPr>
          <w:szCs w:val="22"/>
        </w:rPr>
        <w:t>4</w:t>
      </w:r>
      <w:r w:rsidRPr="007F7B4B">
        <w:rPr>
          <w:szCs w:val="22"/>
        </w:rPr>
        <w:t xml:space="preserve">, responsibility for payment rests with the holder of the permit or license as of the fee due date.  </w:t>
      </w:r>
    </w:p>
    <w:p w:rsidR="00264877" w:rsidRPr="007F7B4B" w:rsidRDefault="00264877" w:rsidP="00264877">
      <w:pPr>
        <w:tabs>
          <w:tab w:val="left" w:pos="2160"/>
        </w:tabs>
        <w:jc w:val="both"/>
        <w:rPr>
          <w:szCs w:val="22"/>
        </w:rPr>
      </w:pPr>
    </w:p>
    <w:p w:rsidR="00264877" w:rsidRPr="007F7B4B" w:rsidRDefault="00264877" w:rsidP="00264877">
      <w:pPr>
        <w:pStyle w:val="ParaNum"/>
        <w:numPr>
          <w:ilvl w:val="0"/>
          <w:numId w:val="6"/>
        </w:numPr>
        <w:rPr>
          <w:szCs w:val="22"/>
        </w:rPr>
      </w:pPr>
      <w:r w:rsidRPr="007F7B4B">
        <w:rPr>
          <w:i/>
          <w:szCs w:val="22"/>
        </w:rPr>
        <w:t>International Services:</w:t>
      </w:r>
      <w:r w:rsidRPr="007F7B4B">
        <w:rPr>
          <w:szCs w:val="22"/>
        </w:rPr>
        <w:t xml:space="preserve">  Regulatory fees must be paid for </w:t>
      </w:r>
      <w:r>
        <w:rPr>
          <w:szCs w:val="22"/>
        </w:rPr>
        <w:t xml:space="preserve">(1) </w:t>
      </w:r>
      <w:r w:rsidRPr="007F7B4B">
        <w:rPr>
          <w:szCs w:val="22"/>
        </w:rPr>
        <w:t xml:space="preserve">earth stations </w:t>
      </w:r>
      <w:r>
        <w:rPr>
          <w:szCs w:val="22"/>
        </w:rPr>
        <w:t xml:space="preserve">and (2) </w:t>
      </w:r>
      <w:r w:rsidRPr="007F7B4B">
        <w:rPr>
          <w:szCs w:val="22"/>
        </w:rPr>
        <w:t>geostationary orbit space stations and non-geostationary orbit satellite systems that were licensed and operational on or before October 1, 201</w:t>
      </w:r>
      <w:r w:rsidR="003F4ABB">
        <w:rPr>
          <w:szCs w:val="22"/>
        </w:rPr>
        <w:t>4</w:t>
      </w:r>
      <w:r w:rsidRPr="007F7B4B">
        <w:rPr>
          <w:szCs w:val="22"/>
        </w:rPr>
        <w:t>.  In instances where a permit or license is transferred or assigned after October 1, 201</w:t>
      </w:r>
      <w:r w:rsidR="003F4ABB">
        <w:rPr>
          <w:szCs w:val="22"/>
        </w:rPr>
        <w:t>4</w:t>
      </w:r>
      <w:r w:rsidRPr="007F7B4B">
        <w:rPr>
          <w:szCs w:val="22"/>
        </w:rPr>
        <w:t>, responsibility for payment rests with the holder of the permit or license as of the fee due date.</w:t>
      </w:r>
    </w:p>
    <w:p w:rsidR="00264877" w:rsidRPr="007F7B4B" w:rsidRDefault="00264877" w:rsidP="00264877">
      <w:pPr>
        <w:pStyle w:val="ParaNum"/>
        <w:numPr>
          <w:ilvl w:val="0"/>
          <w:numId w:val="6"/>
        </w:numPr>
        <w:rPr>
          <w:szCs w:val="22"/>
        </w:rPr>
      </w:pPr>
      <w:r w:rsidRPr="007F7B4B">
        <w:rPr>
          <w:i/>
          <w:szCs w:val="22"/>
        </w:rPr>
        <w:t>International Services:</w:t>
      </w:r>
      <w:r w:rsidR="008D7E2C">
        <w:rPr>
          <w:i/>
          <w:szCs w:val="22"/>
        </w:rPr>
        <w:t xml:space="preserve"> </w:t>
      </w:r>
      <w:r w:rsidRPr="007F7B4B">
        <w:rPr>
          <w:i/>
          <w:szCs w:val="22"/>
        </w:rPr>
        <w:t xml:space="preserve"> </w:t>
      </w:r>
      <w:r w:rsidR="008D7E2C" w:rsidRPr="008D7E2C">
        <w:rPr>
          <w:szCs w:val="22"/>
        </w:rPr>
        <w:t>(</w:t>
      </w:r>
      <w:r w:rsidRPr="007F7B4B">
        <w:rPr>
          <w:i/>
          <w:szCs w:val="22"/>
        </w:rPr>
        <w:t>Submarine Cable Systems</w:t>
      </w:r>
      <w:r w:rsidR="008D7E2C" w:rsidRPr="008D7E2C">
        <w:rPr>
          <w:szCs w:val="22"/>
        </w:rPr>
        <w:t>)</w:t>
      </w:r>
      <w:r w:rsidRPr="007F7B4B">
        <w:rPr>
          <w:i/>
          <w:szCs w:val="22"/>
        </w:rPr>
        <w:t xml:space="preserve">:  </w:t>
      </w:r>
      <w:r w:rsidRPr="007F7B4B">
        <w:rPr>
          <w:szCs w:val="22"/>
        </w:rPr>
        <w:t>Regulatory fees for submarine cable systems are to be paid on a per cable landing license basis based on circuit capacity as of December 31, 201</w:t>
      </w:r>
      <w:r w:rsidR="003F4ABB">
        <w:rPr>
          <w:szCs w:val="22"/>
        </w:rPr>
        <w:t>4</w:t>
      </w:r>
      <w:r w:rsidRPr="007F7B4B">
        <w:rPr>
          <w:szCs w:val="22"/>
        </w:rPr>
        <w:t>.  In instances where a license is transferred o</w:t>
      </w:r>
      <w:r>
        <w:rPr>
          <w:szCs w:val="22"/>
        </w:rPr>
        <w:t>r assigned after October 1, 201</w:t>
      </w:r>
      <w:r w:rsidR="003F4ABB">
        <w:rPr>
          <w:szCs w:val="22"/>
        </w:rPr>
        <w:t>4</w:t>
      </w:r>
      <w:r w:rsidRPr="007F7B4B">
        <w:rPr>
          <w:szCs w:val="22"/>
        </w:rPr>
        <w:t>, responsibility for payment rests with the holder of the license as of the fee due date.  For regulatory fee purposes, the allocation in FY 201</w:t>
      </w:r>
      <w:r w:rsidR="003F4ABB">
        <w:rPr>
          <w:szCs w:val="22"/>
        </w:rPr>
        <w:t>5</w:t>
      </w:r>
      <w:r w:rsidRPr="007F7B4B">
        <w:rPr>
          <w:szCs w:val="22"/>
        </w:rPr>
        <w:t xml:space="preserve"> will remain at 87.6 percent for submarine cable and 12.4 percent for satellite/terrestrial facilities. </w:t>
      </w:r>
    </w:p>
    <w:p w:rsidR="00C51EFD" w:rsidRDefault="008D7E2C" w:rsidP="00264877">
      <w:pPr>
        <w:pStyle w:val="ParaNum"/>
        <w:numPr>
          <w:ilvl w:val="0"/>
          <w:numId w:val="6"/>
        </w:numPr>
        <w:rPr>
          <w:szCs w:val="22"/>
        </w:rPr>
      </w:pPr>
      <w:r>
        <w:rPr>
          <w:i/>
          <w:szCs w:val="22"/>
        </w:rPr>
        <w:t xml:space="preserve">International Services:  </w:t>
      </w:r>
      <w:r w:rsidRPr="008D7E2C">
        <w:rPr>
          <w:szCs w:val="22"/>
        </w:rPr>
        <w:t>(</w:t>
      </w:r>
      <w:r w:rsidR="00264877" w:rsidRPr="007F7B4B">
        <w:rPr>
          <w:i/>
          <w:szCs w:val="22"/>
        </w:rPr>
        <w:t>Terrestrial and Satellite Services</w:t>
      </w:r>
      <w:r w:rsidRPr="008D7E2C">
        <w:rPr>
          <w:szCs w:val="22"/>
        </w:rPr>
        <w:t>)</w:t>
      </w:r>
      <w:r w:rsidR="00264877" w:rsidRPr="007F7B4B">
        <w:rPr>
          <w:szCs w:val="22"/>
        </w:rPr>
        <w:t xml:space="preserve">:  </w:t>
      </w:r>
      <w:r w:rsidR="00264877">
        <w:rPr>
          <w:szCs w:val="22"/>
        </w:rPr>
        <w:t>R</w:t>
      </w:r>
      <w:r w:rsidR="00264877" w:rsidRPr="007F7B4B">
        <w:rPr>
          <w:szCs w:val="22"/>
        </w:rPr>
        <w:t xml:space="preserve">egulatory fees </w:t>
      </w:r>
      <w:r w:rsidR="00264877" w:rsidRPr="00BA0BEC">
        <w:rPr>
          <w:szCs w:val="22"/>
        </w:rPr>
        <w:t xml:space="preserve">for </w:t>
      </w:r>
      <w:r w:rsidR="000E6DB2" w:rsidRPr="00BA0BEC">
        <w:rPr>
          <w:szCs w:val="22"/>
        </w:rPr>
        <w:t xml:space="preserve">Terrestrial and Satellite </w:t>
      </w:r>
      <w:r w:rsidR="00264877" w:rsidRPr="00BA0BEC">
        <w:rPr>
          <w:szCs w:val="22"/>
        </w:rPr>
        <w:t>International Bearer Circuits are to be paid by facilities-based common</w:t>
      </w:r>
      <w:r w:rsidR="00264877" w:rsidRPr="007F7B4B">
        <w:rPr>
          <w:szCs w:val="22"/>
        </w:rPr>
        <w:t xml:space="preserve"> carriers that have active (used or leased) international bearer circuits as of December 31, 201</w:t>
      </w:r>
      <w:r w:rsidR="003F4ABB">
        <w:rPr>
          <w:szCs w:val="22"/>
        </w:rPr>
        <w:t>4</w:t>
      </w:r>
      <w:r w:rsidR="00264877" w:rsidRPr="007F7B4B">
        <w:rPr>
          <w:szCs w:val="22"/>
        </w:rPr>
        <w:t xml:space="preserve"> in any terrestrial or satellite transmission facility for the provision of service to an end user or resale carrier</w:t>
      </w:r>
      <w:r w:rsidR="00264877">
        <w:rPr>
          <w:szCs w:val="22"/>
        </w:rPr>
        <w:t>.  When calculating the number of such</w:t>
      </w:r>
      <w:r w:rsidR="00264877" w:rsidRPr="007F7B4B">
        <w:rPr>
          <w:szCs w:val="22"/>
        </w:rPr>
        <w:t xml:space="preserve"> active circuits</w:t>
      </w:r>
      <w:r w:rsidR="00264877">
        <w:rPr>
          <w:szCs w:val="22"/>
        </w:rPr>
        <w:t xml:space="preserve">, the facilities-based common carriers must include circuits </w:t>
      </w:r>
      <w:r>
        <w:rPr>
          <w:szCs w:val="22"/>
        </w:rPr>
        <w:t>used</w:t>
      </w:r>
      <w:r w:rsidR="00264877">
        <w:rPr>
          <w:szCs w:val="22"/>
        </w:rPr>
        <w:t xml:space="preserve"> by</w:t>
      </w:r>
      <w:r w:rsidR="00264877" w:rsidRPr="007F7B4B">
        <w:rPr>
          <w:szCs w:val="22"/>
        </w:rPr>
        <w:t xml:space="preserve"> themselves or their affiliates.  In addition, non-common carrier satellite operators must pay a fee for each circuit</w:t>
      </w:r>
      <w:r w:rsidR="00264877">
        <w:rPr>
          <w:szCs w:val="22"/>
        </w:rPr>
        <w:t xml:space="preserve"> they and their affiliates hold and each circuit</w:t>
      </w:r>
      <w:r w:rsidR="00264877" w:rsidRPr="007F7B4B">
        <w:rPr>
          <w:szCs w:val="22"/>
        </w:rPr>
        <w:t xml:space="preserve"> sold or leased to any customer, other than an international common carrier authorized by the Commission to provide U.S. international common carrier services. </w:t>
      </w:r>
      <w:r>
        <w:rPr>
          <w:szCs w:val="22"/>
        </w:rPr>
        <w:t xml:space="preserve"> For these purposes, </w:t>
      </w:r>
      <w:r w:rsidR="00264877" w:rsidRPr="007F7B4B">
        <w:rPr>
          <w:szCs w:val="22"/>
        </w:rPr>
        <w:t>“</w:t>
      </w:r>
      <w:r>
        <w:rPr>
          <w:szCs w:val="22"/>
        </w:rPr>
        <w:t>a</w:t>
      </w:r>
      <w:r w:rsidR="00264877" w:rsidRPr="007F7B4B">
        <w:rPr>
          <w:szCs w:val="22"/>
        </w:rPr>
        <w:t>ctive circuits” include backup and redundant circuits as of December 31, 201</w:t>
      </w:r>
      <w:r w:rsidR="003F4ABB">
        <w:rPr>
          <w:szCs w:val="22"/>
        </w:rPr>
        <w:t>4</w:t>
      </w:r>
      <w:r w:rsidR="00264877" w:rsidRPr="007F7B4B">
        <w:rPr>
          <w:szCs w:val="22"/>
        </w:rPr>
        <w:t>.  Whether circuits are used specifically for voice or data is not relevant for purposes of determining that they are active circuits.</w:t>
      </w:r>
      <w:r w:rsidR="00455850">
        <w:rPr>
          <w:rStyle w:val="FootnoteReference"/>
          <w:szCs w:val="22"/>
        </w:rPr>
        <w:footnoteReference w:id="128"/>
      </w:r>
      <w:r w:rsidR="00455850" w:rsidRPr="007F7B4B">
        <w:rPr>
          <w:szCs w:val="22"/>
        </w:rPr>
        <w:t xml:space="preserve"> </w:t>
      </w:r>
      <w:r w:rsidR="00264877" w:rsidRPr="007F7B4B">
        <w:rPr>
          <w:szCs w:val="22"/>
        </w:rPr>
        <w:t xml:space="preserve"> In instances where a permit or license is transferred or assigned after October 1, 201</w:t>
      </w:r>
      <w:r w:rsidR="003F4ABB">
        <w:rPr>
          <w:szCs w:val="22"/>
        </w:rPr>
        <w:t>4</w:t>
      </w:r>
      <w:r w:rsidR="00264877" w:rsidRPr="007F7B4B">
        <w:rPr>
          <w:szCs w:val="22"/>
        </w:rPr>
        <w:t>, responsibility for payment rests with the holder of the permit or license as of the fee due date.  For regulatory fee purposes, the allocation in FY 201</w:t>
      </w:r>
      <w:r w:rsidR="003F4ABB">
        <w:rPr>
          <w:szCs w:val="22"/>
        </w:rPr>
        <w:t>5</w:t>
      </w:r>
      <w:r w:rsidR="00264877" w:rsidRPr="007F7B4B">
        <w:rPr>
          <w:szCs w:val="22"/>
        </w:rPr>
        <w:t xml:space="preserve"> will remain at 87.6 percent for submarine cable and 12.4 percent for satellite/terrestrial facilities.</w:t>
      </w:r>
      <w:r w:rsidR="00455850">
        <w:rPr>
          <w:rStyle w:val="FootnoteReference"/>
          <w:szCs w:val="22"/>
        </w:rPr>
        <w:footnoteReference w:id="129"/>
      </w:r>
    </w:p>
    <w:p w:rsidR="00C51EFD" w:rsidRPr="001E19DC" w:rsidRDefault="00C51EFD" w:rsidP="00C51EFD">
      <w:pPr>
        <w:pStyle w:val="Heading2"/>
        <w:rPr>
          <w:szCs w:val="22"/>
        </w:rPr>
      </w:pPr>
      <w:r w:rsidRPr="001E19DC">
        <w:rPr>
          <w:szCs w:val="22"/>
        </w:rPr>
        <w:t xml:space="preserve">Commercial Mobile Radio Service (CMRS) Cellular and Mobile Services Assessments   </w:t>
      </w:r>
    </w:p>
    <w:p w:rsidR="00C51EFD" w:rsidRPr="007F7B4B" w:rsidRDefault="00C51EFD" w:rsidP="00C51EFD">
      <w:pPr>
        <w:pStyle w:val="ParaNum"/>
        <w:rPr>
          <w:szCs w:val="22"/>
        </w:rPr>
      </w:pPr>
      <w:r w:rsidRPr="002B0EE4">
        <w:t>The Commission will compile data from the Numbering Resource Utilization Forecast (NRUF) report that is based on “assigned” telephone number (subscriber) counts that have been adjusted for porting to net Type 0 ports (“in” and “out”).</w:t>
      </w:r>
      <w:r>
        <w:rPr>
          <w:rStyle w:val="FootnoteReference"/>
        </w:rPr>
        <w:footnoteReference w:id="130"/>
      </w:r>
      <w:r>
        <w:t xml:space="preserve">  </w:t>
      </w:r>
      <w:r w:rsidRPr="002B0EE4">
        <w:t>This information of telephone numbers (subscriber count) will be posted on the Commission’s electronic filing and payment system (Fee Filer) along with the carrier’s Operating Company Numbers (OCNs).</w:t>
      </w:r>
      <w:r w:rsidRPr="007F7B4B">
        <w:rPr>
          <w:szCs w:val="22"/>
        </w:rPr>
        <w:t xml:space="preserve">  </w:t>
      </w:r>
    </w:p>
    <w:p w:rsidR="00C51EFD" w:rsidRPr="007F7B4B" w:rsidRDefault="00C51EFD" w:rsidP="00C51EFD">
      <w:pPr>
        <w:pStyle w:val="ParaNum"/>
        <w:rPr>
          <w:szCs w:val="22"/>
        </w:rPr>
      </w:pPr>
      <w:r w:rsidRPr="002B0EE4">
        <w:t xml:space="preserve">A carrier wishing to revise its telephone number (subscriber) count can do so by accessing Fee Filer and follow the prompts to revise </w:t>
      </w:r>
      <w:r w:rsidR="003A6B5D">
        <w:t xml:space="preserve">their telephone number counts.  </w:t>
      </w:r>
      <w:r w:rsidRPr="002B0EE4">
        <w:t>Any revisions to the telephone number counts should be accompanied by an explanation or</w:t>
      </w:r>
      <w:r w:rsidRPr="002B0EE4">
        <w:rPr>
          <w:rStyle w:val="CommentReference"/>
        </w:rPr>
        <w:t> </w:t>
      </w:r>
      <w:r w:rsidRPr="002B0EE4">
        <w:t>supporting documentation.</w:t>
      </w:r>
      <w:r>
        <w:rPr>
          <w:rStyle w:val="FootnoteReference"/>
        </w:rPr>
        <w:footnoteReference w:id="131"/>
      </w:r>
      <w:r w:rsidR="003A6B5D">
        <w:t xml:space="preserve">  </w:t>
      </w:r>
      <w:r w:rsidRPr="002B0EE4">
        <w:t>The Commission will then review the revised count and supporting documentation and either approve or disapprov</w:t>
      </w:r>
      <w:r w:rsidR="003A6B5D">
        <w:t xml:space="preserve">e the submission in Fee Filer.  </w:t>
      </w:r>
      <w:r w:rsidRPr="002B0EE4">
        <w:t>If the submission is disapproved, the Commission will contact the provider to afford the provider an opportunity to discuss its revised subscriber count and/or provide additi</w:t>
      </w:r>
      <w:r w:rsidR="003A6B5D">
        <w:t xml:space="preserve">onal supporting documentation.  </w:t>
      </w:r>
      <w:r w:rsidRPr="002B0EE4">
        <w:t xml:space="preserve">If we receive no response from the provider, or we do not reverse our initial disapproval of the provider’s revised count submission, the fee payment </w:t>
      </w:r>
      <w:r>
        <w:t>must</w:t>
      </w:r>
      <w:r w:rsidRPr="002B0EE4">
        <w:t xml:space="preserve"> be based on the number of subscribers </w:t>
      </w:r>
      <w:r w:rsidR="003A6B5D">
        <w:t xml:space="preserve">listed initially in Fee Filer.  </w:t>
      </w:r>
      <w:r w:rsidRPr="002B0EE4">
        <w:t>Once the timeframe for revision has passed, the telephone number counts are final and are the basis upon which CMRS r</w:t>
      </w:r>
      <w:r w:rsidR="003A6B5D">
        <w:t xml:space="preserve">egulatory fees are to be paid.  </w:t>
      </w:r>
      <w:r w:rsidRPr="002B0EE4">
        <w:t>Providers can view their final telepho</w:t>
      </w:r>
      <w:r w:rsidR="003A6B5D">
        <w:t xml:space="preserve">ne counts online in Fee Filer.  </w:t>
      </w:r>
      <w:r w:rsidRPr="002B0EE4">
        <w:t>A final CMRS assessment letter will not be mailed out.</w:t>
      </w:r>
    </w:p>
    <w:p w:rsidR="00264877" w:rsidRPr="00C51EFD" w:rsidRDefault="00C51EFD" w:rsidP="00B92981">
      <w:pPr>
        <w:pStyle w:val="ParaNum"/>
        <w:rPr>
          <w:szCs w:val="22"/>
        </w:rPr>
      </w:pPr>
      <w:r w:rsidRPr="002B0EE4">
        <w:t>Because some carriers do not file the NRUF report, they may not see their telepho</w:t>
      </w:r>
      <w:r w:rsidR="003A6B5D">
        <w:t xml:space="preserve">ne number counts in Fee Filer.  </w:t>
      </w:r>
      <w:r w:rsidRPr="002B0EE4">
        <w:t>In these instances, the carriers should compute their fee payment using the standard methodology that is currently in place for CMRS Wireless services (i.e., compute their telephone number counts as of December 31, 201</w:t>
      </w:r>
      <w:r>
        <w:t>4</w:t>
      </w:r>
      <w:r w:rsidRPr="002B0EE4">
        <w:t>), and submit their fee payment according</w:t>
      </w:r>
      <w:r w:rsidR="003A6B5D">
        <w:t xml:space="preserve">ly.  </w:t>
      </w:r>
      <w:r w:rsidR="00911C92">
        <w:t>Whether a carrier reviews its</w:t>
      </w:r>
      <w:r w:rsidRPr="002B0EE4">
        <w:t xml:space="preserve"> telephone number counts in Fee Filer or not, the Commission reserves the right to audit the number of telephone numbers for w</w:t>
      </w:r>
      <w:r w:rsidR="003A6B5D">
        <w:t xml:space="preserve">hich regulatory fees are paid.  </w:t>
      </w:r>
      <w:r w:rsidRPr="002B0EE4">
        <w:t>In the event that the Commission determines that the number of telephone numbers that are paid is inaccurate, the Commission will bill the carrier for the difference between what was paid and what should have been paid.</w:t>
      </w:r>
    </w:p>
    <w:p w:rsidR="00C51EFD" w:rsidRPr="007F7B4B" w:rsidRDefault="00C51EFD" w:rsidP="00C51EFD">
      <w:pPr>
        <w:pStyle w:val="Heading2"/>
      </w:pPr>
      <w:bookmarkStart w:id="157" w:name="_Toc391364442"/>
      <w:bookmarkStart w:id="158" w:name="_Toc394672322"/>
      <w:bookmarkStart w:id="159" w:name="_Toc397078338"/>
      <w:r w:rsidRPr="007F7B4B">
        <w:t>Enforcement</w:t>
      </w:r>
    </w:p>
    <w:p w:rsidR="00C51EFD" w:rsidRPr="007F7B4B" w:rsidRDefault="00C51EFD" w:rsidP="00C51EFD">
      <w:pPr>
        <w:pStyle w:val="ParaNum"/>
      </w:pPr>
      <w:r w:rsidRPr="007F7B4B">
        <w:t xml:space="preserve">To be considered timely, regulatory fee payments must be </w:t>
      </w:r>
      <w:r w:rsidR="00C660B1">
        <w:t>made electronically by the payment due date for regulatory fees</w:t>
      </w:r>
      <w:r w:rsidRPr="007F7B4B">
        <w:t>.  Section 9(c) of the Act requires us to impose a late payment penalty of 25 percent of the unpaid amount to be assessed on the first day following the deadline for filing these fees.</w:t>
      </w:r>
      <w:r w:rsidRPr="007F7B4B">
        <w:rPr>
          <w:rStyle w:val="FootnoteReference"/>
          <w:szCs w:val="22"/>
        </w:rPr>
        <w:footnoteReference w:id="132"/>
      </w:r>
      <w:r w:rsidRPr="007F7B4B">
        <w:t xml:space="preserve">  Failure to pay regulatory fees and/or any late penalty will subject regulatees to sanctions, including those set forth in section 1.1910 of the Commission’s </w:t>
      </w:r>
      <w:r>
        <w:t>r</w:t>
      </w:r>
      <w:r w:rsidRPr="007F7B4B">
        <w:t>u</w:t>
      </w:r>
      <w:r w:rsidRPr="00FE2F75">
        <w:t>les,</w:t>
      </w:r>
      <w:r w:rsidRPr="00FE2F75">
        <w:rPr>
          <w:rStyle w:val="FootnoteReference"/>
          <w:szCs w:val="22"/>
        </w:rPr>
        <w:footnoteReference w:id="133"/>
      </w:r>
      <w:r>
        <w:t xml:space="preserve"> </w:t>
      </w:r>
      <w:r w:rsidRPr="00FE2F75">
        <w:t xml:space="preserve">which generally requires the Commission to withhold action on </w:t>
      </w:r>
      <w:r>
        <w:t>“</w:t>
      </w:r>
      <w:r w:rsidRPr="00FE2F75">
        <w:t>applications, including on a petition for reconsideration or any application for review of a fee determination, or requests for authorization by any entity found to be delinquent in its debt to the Commission</w:t>
      </w:r>
      <w:r>
        <w:t>”</w:t>
      </w:r>
      <w:r w:rsidRPr="00FE2F75">
        <w:t xml:space="preserve"> and in the </w:t>
      </w:r>
      <w:r>
        <w:t>DCIA</w:t>
      </w:r>
      <w:r w:rsidRPr="00FE2F75">
        <w:t>.</w:t>
      </w:r>
      <w:r w:rsidRPr="00FE2F75">
        <w:rPr>
          <w:rStyle w:val="FootnoteReference"/>
          <w:szCs w:val="22"/>
        </w:rPr>
        <w:footnoteReference w:id="134"/>
      </w:r>
      <w:r w:rsidRPr="00FE2F75">
        <w:t xml:space="preserve">  We also assess administrative processing charges on delinquent debts to recover additional costs incurred in processing and handling the debt pursuant to</w:t>
      </w:r>
      <w:r w:rsidRPr="007F7B4B">
        <w:t xml:space="preserve"> the DCIA and section 1.1940(d) of the Commission’s </w:t>
      </w:r>
      <w:r>
        <w:t>r</w:t>
      </w:r>
      <w:r w:rsidRPr="007F7B4B">
        <w:t>ules.</w:t>
      </w:r>
      <w:r w:rsidRPr="007F7B4B">
        <w:rPr>
          <w:rStyle w:val="FootnoteReference"/>
          <w:szCs w:val="22"/>
        </w:rPr>
        <w:footnoteReference w:id="135"/>
      </w:r>
      <w:r w:rsidRPr="007F7B4B">
        <w:t xml:space="preserve">  These administrative processing charges will be assessed on any delinquent regulatory fee, in addition to the 25 percent late charge penalty.  In </w:t>
      </w:r>
      <w:r>
        <w:t xml:space="preserve">the </w:t>
      </w:r>
      <w:r w:rsidRPr="007F7B4B">
        <w:t>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C51EFD" w:rsidRPr="00B165E8" w:rsidRDefault="00C51EFD" w:rsidP="00C51EFD">
      <w:pPr>
        <w:pStyle w:val="ParaNum"/>
      </w:pPr>
      <w:r w:rsidRPr="00B165E8">
        <w:t>Pursuant to the “red light rule,” we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B165E8">
        <w:rPr>
          <w:rStyle w:val="FootnoteReference"/>
          <w:szCs w:val="22"/>
        </w:rPr>
        <w:footnoteReference w:id="136"/>
      </w:r>
      <w:r w:rsidRPr="00B165E8">
        <w:t xml:space="preserve">  Failure to pay regulatory fees can also result in the initiation of a proceeding to revoke any and all authorizations held by the entity responsible for paying the delinquent fee(s).</w:t>
      </w:r>
      <w:r w:rsidRPr="00B165E8">
        <w:rPr>
          <w:rStyle w:val="FootnoteReference"/>
          <w:szCs w:val="22"/>
        </w:rPr>
        <w:footnoteReference w:id="137"/>
      </w:r>
      <w:r>
        <w:t xml:space="preserve">  Pursuant to a pilot program, we have initiated procedures to transfer debt to the Centralized Receivables Service at the U.S. Treasury, as described below. </w:t>
      </w:r>
    </w:p>
    <w:p w:rsidR="00C51EFD" w:rsidRPr="003B7EFE" w:rsidRDefault="00C51EFD" w:rsidP="00C51EFD">
      <w:pPr>
        <w:pStyle w:val="Heading2"/>
      </w:pPr>
      <w:r w:rsidRPr="003B7EFE">
        <w:t>Transfers of Unpaid Debt to Centralized Receivables Service, U.S. Treasury</w:t>
      </w:r>
    </w:p>
    <w:p w:rsidR="00C51EFD" w:rsidRDefault="00C51EFD" w:rsidP="00C51EFD">
      <w:pPr>
        <w:pStyle w:val="ParaNum"/>
      </w:pPr>
      <w:r>
        <w:t xml:space="preserve">Under section 9 of the Act, Commission rules, and federal debt collection laws, </w:t>
      </w:r>
      <w:r w:rsidRPr="0051233E">
        <w:t xml:space="preserve">a licensee’s regulatory fee is due on the first day of the fiscal year and payable at a date established </w:t>
      </w:r>
      <w:r>
        <w:t xml:space="preserve">in </w:t>
      </w:r>
      <w:r w:rsidRPr="0051233E">
        <w:t xml:space="preserve">the Commission’s annual regulatory fee Report and Order.  Beginning on or after October 1, 2015, under revised procedures, the Commission will begin transferring unpaid regulatory fee receivables directly to the CRS at the U.S. Treasury instead of working to collect the debt and then transferring the remaining unpaid debts to Treasury.  </w:t>
      </w:r>
      <w:r>
        <w:t>T</w:t>
      </w:r>
      <w:r w:rsidRPr="0051233E">
        <w:t>he Commission can transfer delinquent debt to Treasury for further collection action within 120 days after the date of delinquency.</w:t>
      </w:r>
      <w:r>
        <w:rPr>
          <w:rStyle w:val="FootnoteReference"/>
        </w:rPr>
        <w:footnoteReference w:id="138"/>
      </w:r>
      <w:r w:rsidRPr="0051233E">
        <w:t xml:space="preserve">  </w:t>
      </w:r>
      <w:r>
        <w:t>W</w:t>
      </w:r>
      <w:r w:rsidRPr="0051233E">
        <w:t>e anticipate that the transfer of FY 2015 debts to Treasury will occur much sooner than our current process.  Regulatees, however, will not likely see any substantial change in the current procedures of how past due debts are to be paid, except that the debts will be handled by CRS (U.S. Treasury) rather than by the Commission.</w:t>
      </w:r>
      <w:r>
        <w:t xml:space="preserve"> </w:t>
      </w:r>
    </w:p>
    <w:p w:rsidR="00264877" w:rsidRDefault="00264877" w:rsidP="00264877">
      <w:pPr>
        <w:pStyle w:val="Heading2"/>
      </w:pPr>
      <w:r>
        <w:t>Effective Date</w:t>
      </w:r>
      <w:bookmarkEnd w:id="157"/>
      <w:bookmarkEnd w:id="158"/>
      <w:bookmarkEnd w:id="159"/>
    </w:p>
    <w:p w:rsidR="00264877" w:rsidRPr="007F7B4B" w:rsidRDefault="00264877" w:rsidP="00F15C95">
      <w:pPr>
        <w:pStyle w:val="ParaNum"/>
      </w:pPr>
      <w:r>
        <w:t>Providing a 30 day period after Federal Register publication before this Report and Order becomes effective as required by 5 U.S.C. § 553(d) will not allow sufficient time for the Commission to collect</w:t>
      </w:r>
      <w:r w:rsidR="003755D8">
        <w:t xml:space="preserve"> the FY 201</w:t>
      </w:r>
      <w:r w:rsidR="00756FE5">
        <w:t>5</w:t>
      </w:r>
      <w:r w:rsidR="003755D8">
        <w:t xml:space="preserve"> fees before FY 2015</w:t>
      </w:r>
      <w:r>
        <w:t xml:space="preserve"> ends on September 30, 201</w:t>
      </w:r>
      <w:r w:rsidR="003755D8">
        <w:t>5</w:t>
      </w:r>
      <w:r>
        <w:t xml:space="preserve">.  For this reason, pursuant to 5 U.S.C. § 553(d)(3), the Commission finds there is good cause to waive the requirements of </w:t>
      </w:r>
      <w:r w:rsidR="0067780B">
        <w:t>s</w:t>
      </w:r>
      <w:r>
        <w:t xml:space="preserve">ection 553(d), and this Report and Order </w:t>
      </w:r>
      <w:r w:rsidR="00756FE5">
        <w:t xml:space="preserve">and Further Notice of Proposed Rulemaking </w:t>
      </w:r>
      <w:r>
        <w:t>will become effective upon publication in the Federal Register.  Because payments of the regulatory fees will not actually be due until the middle of September, persons affected by this Report and Order will still have a reasonable period in which to make their payments and thereby comply with the rules established herein.</w:t>
      </w:r>
    </w:p>
    <w:p w:rsidR="00264877" w:rsidRPr="007F7B4B" w:rsidRDefault="00264877" w:rsidP="00264877">
      <w:pPr>
        <w:pStyle w:val="Heading2"/>
      </w:pPr>
      <w:bookmarkStart w:id="160" w:name="_Toc390878812"/>
      <w:bookmarkStart w:id="161" w:name="_Toc394672323"/>
      <w:bookmarkStart w:id="162" w:name="_Toc397078339"/>
      <w:r w:rsidRPr="007F7B4B">
        <w:t>Final Regulatory Flexibility Analysis</w:t>
      </w:r>
      <w:bookmarkEnd w:id="160"/>
      <w:bookmarkEnd w:id="161"/>
      <w:bookmarkEnd w:id="162"/>
    </w:p>
    <w:p w:rsidR="00264877" w:rsidRDefault="00264877" w:rsidP="00F15C95">
      <w:pPr>
        <w:pStyle w:val="ParaNum"/>
        <w:rPr>
          <w:szCs w:val="22"/>
        </w:rPr>
      </w:pPr>
      <w:r>
        <w:t>As required by the Regulatory Flexibility Act of 1980 (RFA),</w:t>
      </w:r>
      <w:r>
        <w:rPr>
          <w:rStyle w:val="FootnoteReference"/>
        </w:rPr>
        <w:footnoteReference w:id="139"/>
      </w:r>
      <w:r>
        <w:t xml:space="preserve"> the Commission has prepared a Final Regulatory Flexibility Analysis (FRFA) relating to this Report and Order.  The </w:t>
      </w:r>
      <w:r w:rsidRPr="007F7B4B">
        <w:rPr>
          <w:szCs w:val="22"/>
        </w:rPr>
        <w:t xml:space="preserve">FRFA is contained in </w:t>
      </w:r>
      <w:r w:rsidR="0090094D">
        <w:rPr>
          <w:szCs w:val="22"/>
        </w:rPr>
        <w:t xml:space="preserve">Appendix </w:t>
      </w:r>
      <w:r w:rsidR="00F85F8E">
        <w:rPr>
          <w:szCs w:val="22"/>
        </w:rPr>
        <w:t>G</w:t>
      </w:r>
      <w:r w:rsidR="00A574DE">
        <w:rPr>
          <w:szCs w:val="22"/>
        </w:rPr>
        <w:t>.</w:t>
      </w:r>
      <w:r w:rsidRPr="007F7B4B">
        <w:rPr>
          <w:szCs w:val="22"/>
        </w:rPr>
        <w:t xml:space="preserve"> </w:t>
      </w:r>
    </w:p>
    <w:p w:rsidR="00CF6C48" w:rsidRPr="00E72DD1" w:rsidRDefault="00CF6C48" w:rsidP="00CF6C48">
      <w:pPr>
        <w:pStyle w:val="Heading2"/>
      </w:pPr>
      <w:bookmarkStart w:id="163" w:name="_Toc382567933"/>
      <w:bookmarkStart w:id="164" w:name="_Toc384227069"/>
      <w:bookmarkStart w:id="165" w:name="_Toc397078340"/>
      <w:r w:rsidRPr="00E72DD1">
        <w:t>Initial Regulatory Flexibility Analysis</w:t>
      </w:r>
      <w:bookmarkEnd w:id="163"/>
      <w:bookmarkEnd w:id="164"/>
      <w:bookmarkEnd w:id="165"/>
    </w:p>
    <w:p w:rsidR="00CF6C48" w:rsidRPr="00A438CD" w:rsidRDefault="00CF6C48" w:rsidP="00F15C95">
      <w:pPr>
        <w:pStyle w:val="ParaNum"/>
      </w:pPr>
      <w:r w:rsidRPr="00A438CD">
        <w:t>An initial regulatory flexibility analysis (</w:t>
      </w:r>
      <w:r w:rsidR="0090094D">
        <w:t>IRFA) is contained in Appendix</w:t>
      </w:r>
      <w:r w:rsidRPr="00A438CD">
        <w:t xml:space="preserve"> </w:t>
      </w:r>
      <w:r w:rsidR="00F85F8E">
        <w:t>F</w:t>
      </w:r>
      <w:r w:rsidRPr="00A438CD">
        <w:t xml:space="preserve">. </w:t>
      </w:r>
      <w:r>
        <w:t xml:space="preserve"> </w:t>
      </w:r>
      <w:r w:rsidRPr="00A438CD">
        <w:t xml:space="preserve">Comments to the IRFA must be identified as responses to the IRFA and filed by the deadlines for comments on the </w:t>
      </w:r>
      <w:r w:rsidR="00543BE9">
        <w:t xml:space="preserve">Further </w:t>
      </w:r>
      <w:r>
        <w:t>Notice</w:t>
      </w:r>
      <w:r w:rsidR="00543BE9">
        <w:t xml:space="preserve"> of Proposed Rulemaking</w:t>
      </w:r>
      <w:r w:rsidRPr="00A438CD">
        <w:t xml:space="preserve">.  The Commission will send a copy of the </w:t>
      </w:r>
      <w:r w:rsidR="00543BE9">
        <w:t xml:space="preserve">Further </w:t>
      </w:r>
      <w:r>
        <w:t>Notice</w:t>
      </w:r>
      <w:r w:rsidR="00543BE9">
        <w:t xml:space="preserve"> of Proposed Rulemaking</w:t>
      </w:r>
      <w:r w:rsidRPr="00A438CD">
        <w:t>, including the IRFA, to the Chief Counsel for Advocacy of the Small Business Administration.</w:t>
      </w:r>
    </w:p>
    <w:p w:rsidR="00CF6C48" w:rsidRPr="00E72DD1" w:rsidRDefault="00CF6C48" w:rsidP="00CF6C48">
      <w:pPr>
        <w:pStyle w:val="Heading2"/>
      </w:pPr>
      <w:bookmarkStart w:id="166" w:name="_Toc382567934"/>
      <w:bookmarkStart w:id="167" w:name="_Toc384227070"/>
      <w:bookmarkStart w:id="168" w:name="_Toc397078341"/>
      <w:r w:rsidRPr="00E72DD1">
        <w:t>Initial Paperwork Reduction Act of 1995 Analysis</w:t>
      </w:r>
      <w:bookmarkEnd w:id="166"/>
      <w:bookmarkEnd w:id="167"/>
      <w:bookmarkEnd w:id="168"/>
    </w:p>
    <w:p w:rsidR="00CF6C48" w:rsidRPr="00E0699E" w:rsidRDefault="00253DA7" w:rsidP="001063AA">
      <w:pPr>
        <w:pStyle w:val="ParaNum"/>
        <w:widowControl/>
        <w:rPr>
          <w:szCs w:val="22"/>
        </w:rPr>
      </w:pPr>
      <w:r w:rsidRPr="002B1B38">
        <w:rPr>
          <w:szCs w:val="22"/>
        </w:rPr>
        <w:t xml:space="preserve">This document does not contain new or modified information collection requirements subject to the Paperwork Reduction Act of 1995 (PRA), Public Law 104-13. </w:t>
      </w:r>
      <w:r w:rsidR="001E50B9">
        <w:rPr>
          <w:szCs w:val="22"/>
        </w:rPr>
        <w:t xml:space="preserve"> </w:t>
      </w:r>
      <w:r w:rsidRPr="002B1B38">
        <w:rPr>
          <w:szCs w:val="22"/>
        </w:rPr>
        <w:t xml:space="preserve">In addition, therefore, it does not contain any new or modified information collection burden for small business concerns with fewer than 25 employees, pursuant to the Small Business Paperwork Relief Act of 2002, Public Law 107-198, </w:t>
      </w:r>
      <w:r w:rsidRPr="002B1B38">
        <w:rPr>
          <w:i/>
          <w:iCs/>
          <w:szCs w:val="22"/>
        </w:rPr>
        <w:t xml:space="preserve">see </w:t>
      </w:r>
      <w:r w:rsidRPr="002B1B38">
        <w:rPr>
          <w:szCs w:val="22"/>
        </w:rPr>
        <w:t>44 U.S.C. 3506(c)(4).</w:t>
      </w:r>
    </w:p>
    <w:p w:rsidR="00264877" w:rsidRPr="00B16900" w:rsidRDefault="00264877" w:rsidP="00264877">
      <w:pPr>
        <w:pStyle w:val="Heading2"/>
        <w:rPr>
          <w:b w:val="0"/>
          <w:color w:val="000000"/>
        </w:rPr>
      </w:pPr>
      <w:bookmarkStart w:id="169" w:name="_Toc390878814"/>
      <w:bookmarkStart w:id="170" w:name="_Toc394672325"/>
      <w:bookmarkStart w:id="171" w:name="_Toc397078342"/>
      <w:r>
        <w:rPr>
          <w:bCs/>
        </w:rPr>
        <w:t>Congressional Review Act.</w:t>
      </w:r>
      <w:bookmarkEnd w:id="169"/>
      <w:bookmarkEnd w:id="170"/>
      <w:bookmarkEnd w:id="171"/>
    </w:p>
    <w:p w:rsidR="00264877" w:rsidRPr="00E34589" w:rsidRDefault="00264877" w:rsidP="00F15C95">
      <w:pPr>
        <w:pStyle w:val="ParaNum"/>
        <w:rPr>
          <w:szCs w:val="22"/>
        </w:rPr>
      </w:pPr>
      <w:r>
        <w:t xml:space="preserve">The Commission will send a copy of this Report </w:t>
      </w:r>
      <w:r w:rsidR="00CF6C48">
        <w:t>and</w:t>
      </w:r>
      <w:r>
        <w:t xml:space="preserve"> Order to Congress and the Government Accountability Office pursuant to the Congressional Review Act.  5 U.S.C. 801(a)(1)(A).  </w:t>
      </w:r>
    </w:p>
    <w:p w:rsidR="00264877" w:rsidRDefault="00264877" w:rsidP="00264877">
      <w:pPr>
        <w:pStyle w:val="Heading2"/>
        <w:rPr>
          <w:szCs w:val="22"/>
        </w:rPr>
      </w:pPr>
      <w:bookmarkStart w:id="172" w:name="_Toc351484776"/>
      <w:bookmarkStart w:id="173" w:name="_Toc351484822"/>
      <w:bookmarkStart w:id="174" w:name="_Toc351484964"/>
      <w:bookmarkStart w:id="175" w:name="_Toc351571073"/>
      <w:bookmarkStart w:id="176" w:name="_Toc353032063"/>
      <w:bookmarkStart w:id="177" w:name="_Toc351572437"/>
      <w:bookmarkStart w:id="178" w:name="_Toc352943196"/>
      <w:bookmarkStart w:id="179" w:name="_Toc352943645"/>
      <w:bookmarkStart w:id="180" w:name="_Toc353870713"/>
      <w:bookmarkStart w:id="181" w:name="_Toc353987740"/>
      <w:bookmarkStart w:id="182" w:name="_Toc353988061"/>
      <w:bookmarkStart w:id="183" w:name="_Toc382567935"/>
      <w:bookmarkStart w:id="184" w:name="_Toc384227071"/>
      <w:bookmarkStart w:id="185" w:name="_Toc394672326"/>
      <w:bookmarkStart w:id="186" w:name="_Toc397078343"/>
      <w:r w:rsidRPr="00E72DD1">
        <w:rPr>
          <w:szCs w:val="22"/>
        </w:rPr>
        <w:t>Filing Instructions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64877" w:rsidRPr="00A438CD" w:rsidRDefault="00264877" w:rsidP="00F15C95">
      <w:pPr>
        <w:pStyle w:val="ParaNum"/>
      </w:pPr>
      <w:r w:rsidRPr="00A438C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438CD">
        <w:rPr>
          <w:i/>
        </w:rPr>
        <w:t>See</w:t>
      </w:r>
      <w:r w:rsidRPr="00A438CD">
        <w:t xml:space="preserve"> </w:t>
      </w:r>
      <w:r w:rsidRPr="00A438CD">
        <w:rPr>
          <w:i/>
        </w:rPr>
        <w:t>Electronic Filing of Documents in Rulemaking Proceedings</w:t>
      </w:r>
      <w:r w:rsidRPr="00A438CD">
        <w:t>, 63 FR 24121 (1998).</w:t>
      </w:r>
    </w:p>
    <w:p w:rsidR="00264877" w:rsidRPr="00A438CD" w:rsidRDefault="00264877" w:rsidP="0037182F">
      <w:pPr>
        <w:pStyle w:val="ParaNum"/>
        <w:numPr>
          <w:ilvl w:val="0"/>
          <w:numId w:val="7"/>
        </w:numPr>
        <w:rPr>
          <w:szCs w:val="22"/>
        </w:rPr>
      </w:pPr>
      <w:r w:rsidRPr="00A438CD">
        <w:rPr>
          <w:szCs w:val="22"/>
        </w:rPr>
        <w:t>Electronic Filers:  Comments may be filed electronically using the I</w:t>
      </w:r>
      <w:r>
        <w:rPr>
          <w:szCs w:val="22"/>
        </w:rPr>
        <w:t>nternet by accessing the ECFS.</w:t>
      </w:r>
    </w:p>
    <w:p w:rsidR="00264877" w:rsidRPr="00A438CD" w:rsidRDefault="00264877" w:rsidP="0037182F">
      <w:pPr>
        <w:pStyle w:val="ParaNum"/>
        <w:numPr>
          <w:ilvl w:val="0"/>
          <w:numId w:val="7"/>
        </w:numPr>
        <w:rPr>
          <w:szCs w:val="22"/>
        </w:rPr>
      </w:pPr>
      <w:r w:rsidRPr="00A438C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64877" w:rsidRPr="00A1103B" w:rsidRDefault="00264877" w:rsidP="0037182F">
      <w:pPr>
        <w:pStyle w:val="ParaNum"/>
        <w:numPr>
          <w:ilvl w:val="1"/>
          <w:numId w:val="7"/>
        </w:numPr>
        <w:rPr>
          <w:szCs w:val="22"/>
        </w:rPr>
      </w:pPr>
      <w:r w:rsidRPr="00A438CD">
        <w:rPr>
          <w:szCs w:val="22"/>
        </w:rPr>
        <w:t>Filings can be sent by h</w:t>
      </w:r>
      <w:r w:rsidRPr="00A1103B">
        <w:rPr>
          <w:szCs w:val="22"/>
        </w:rPr>
        <w:t>and or messenger delivery, by commercial overnight courier, or by first-class or overnight U.S. Postal Service mail.  All filings must be addressed to the Commission’s Secretary, Office of the Secretary, Federal Communications Commission.</w:t>
      </w:r>
    </w:p>
    <w:p w:rsidR="00264877" w:rsidRPr="00A1103B" w:rsidRDefault="00264877" w:rsidP="0037182F">
      <w:pPr>
        <w:pStyle w:val="ParaNum"/>
        <w:numPr>
          <w:ilvl w:val="1"/>
          <w:numId w:val="7"/>
        </w:numPr>
        <w:rPr>
          <w:szCs w:val="22"/>
        </w:rPr>
      </w:pPr>
      <w:r w:rsidRPr="00A1103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264877" w:rsidRPr="00A1103B" w:rsidRDefault="00264877" w:rsidP="0037182F">
      <w:pPr>
        <w:pStyle w:val="ParaNum"/>
        <w:numPr>
          <w:ilvl w:val="1"/>
          <w:numId w:val="7"/>
        </w:numPr>
        <w:rPr>
          <w:szCs w:val="22"/>
        </w:rPr>
      </w:pPr>
      <w:r w:rsidRPr="00A1103B">
        <w:rPr>
          <w:szCs w:val="22"/>
        </w:rPr>
        <w:t>Commercial overnight mail (other than U.S. Postal Service Express Mail and Priority Mail) must be sent to 9300 East Hampton Drive, Capitol Heights, MD  20743.</w:t>
      </w:r>
    </w:p>
    <w:p w:rsidR="00264877" w:rsidRPr="00A1103B" w:rsidRDefault="00264877" w:rsidP="0037182F">
      <w:pPr>
        <w:pStyle w:val="ParaNum"/>
        <w:numPr>
          <w:ilvl w:val="1"/>
          <w:numId w:val="7"/>
        </w:numPr>
        <w:rPr>
          <w:szCs w:val="22"/>
        </w:rPr>
      </w:pPr>
      <w:r w:rsidRPr="00A1103B">
        <w:rPr>
          <w:szCs w:val="22"/>
        </w:rPr>
        <w:t>U.S. Postal Service first-class, Express, and Priority mail must be addressed to 445 12th Street, SW, Washington</w:t>
      </w:r>
      <w:r w:rsidR="00F95F06">
        <w:rPr>
          <w:szCs w:val="22"/>
        </w:rPr>
        <w:t>,</w:t>
      </w:r>
      <w:r w:rsidRPr="00A1103B">
        <w:rPr>
          <w:szCs w:val="22"/>
        </w:rPr>
        <w:t xml:space="preserve"> DC  20554.</w:t>
      </w:r>
    </w:p>
    <w:p w:rsidR="00264877" w:rsidRDefault="00264877" w:rsidP="00F15C95">
      <w:pPr>
        <w:pStyle w:val="ParaNum"/>
      </w:pPr>
      <w:r w:rsidRPr="00A1103B">
        <w:t xml:space="preserve">People with Disabilities:  To request materials in accessible formats for people with disabilities (braille, large print, electronic files, audio format), send an e-mail to </w:t>
      </w:r>
      <w:hyperlink r:id="rId11" w:history="1">
        <w:r w:rsidRPr="00A1103B">
          <w:rPr>
            <w:rStyle w:val="Hyperlink"/>
            <w:szCs w:val="22"/>
          </w:rPr>
          <w:t>fcc504@fcc.gov</w:t>
        </w:r>
      </w:hyperlink>
      <w:r w:rsidRPr="00A1103B">
        <w:t xml:space="preserve"> or call the Consumer &amp; Governmental Affairs Bureau at 202-418-0530 (voice), 202-418-0432 (tty).</w:t>
      </w:r>
    </w:p>
    <w:p w:rsidR="00264877" w:rsidRDefault="00264877" w:rsidP="00264877">
      <w:pPr>
        <w:pStyle w:val="Heading2"/>
        <w:rPr>
          <w:b w:val="0"/>
          <w:szCs w:val="22"/>
        </w:rPr>
      </w:pPr>
      <w:bookmarkStart w:id="187" w:name="_Toc382567936"/>
      <w:bookmarkStart w:id="188" w:name="_Toc384227072"/>
      <w:bookmarkStart w:id="189" w:name="_Toc394672327"/>
      <w:bookmarkStart w:id="190" w:name="_Toc397078344"/>
      <w:r w:rsidRPr="00A1103B">
        <w:rPr>
          <w:szCs w:val="22"/>
        </w:rPr>
        <w:t>Ex Parte Information</w:t>
      </w:r>
      <w:bookmarkEnd w:id="187"/>
      <w:bookmarkEnd w:id="188"/>
      <w:bookmarkEnd w:id="189"/>
      <w:bookmarkEnd w:id="190"/>
    </w:p>
    <w:p w:rsidR="00264877" w:rsidRPr="003A50D5" w:rsidRDefault="00264877" w:rsidP="00F15C95">
      <w:pPr>
        <w:pStyle w:val="ParaNum"/>
      </w:pPr>
      <w:r>
        <w:t xml:space="preserve">This proceeding </w:t>
      </w:r>
      <w:r w:rsidRPr="00A1103B">
        <w:t>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w:t>
      </w:r>
      <w:r w:rsidR="00F95F06">
        <w:t>’</w:t>
      </w:r>
      <w:r w:rsidRPr="00A1103B">
        <w:t>s ex parte rules</w:t>
      </w:r>
      <w:r>
        <w:t>.</w:t>
      </w:r>
    </w:p>
    <w:p w:rsidR="004C55B2" w:rsidRDefault="004C55B2">
      <w:pPr>
        <w:widowControl/>
        <w:rPr>
          <w:b/>
          <w:caps/>
          <w:szCs w:val="22"/>
          <w:highlight w:val="lightGray"/>
        </w:rPr>
      </w:pPr>
      <w:bookmarkStart w:id="191" w:name="_Toc351484777"/>
      <w:bookmarkStart w:id="192" w:name="_Toc351484823"/>
      <w:bookmarkStart w:id="193" w:name="_Toc351484965"/>
      <w:bookmarkStart w:id="194" w:name="_Toc351571074"/>
      <w:bookmarkStart w:id="195" w:name="_Toc353032064"/>
      <w:bookmarkStart w:id="196" w:name="_Toc351572438"/>
      <w:bookmarkStart w:id="197" w:name="_Toc352943197"/>
      <w:bookmarkStart w:id="198" w:name="_Toc352943646"/>
      <w:bookmarkStart w:id="199" w:name="_Toc353987741"/>
      <w:bookmarkStart w:id="200" w:name="_Toc390878816"/>
      <w:bookmarkStart w:id="201" w:name="_Toc394672328"/>
      <w:bookmarkStart w:id="202" w:name="_Toc397078345"/>
      <w:r>
        <w:rPr>
          <w:szCs w:val="22"/>
          <w:highlight w:val="lightGray"/>
        </w:rPr>
        <w:br w:type="page"/>
      </w:r>
    </w:p>
    <w:p w:rsidR="004C55B2" w:rsidRDefault="004C55B2" w:rsidP="004C55B2">
      <w:pPr>
        <w:pStyle w:val="Heading1"/>
        <w:numPr>
          <w:ilvl w:val="0"/>
          <w:numId w:val="0"/>
        </w:numPr>
        <w:rPr>
          <w:rFonts w:ascii="Times New Roman" w:hAnsi="Times New Roman"/>
          <w:szCs w:val="22"/>
        </w:rPr>
      </w:pPr>
    </w:p>
    <w:p w:rsidR="004C55B2" w:rsidRDefault="004C55B2" w:rsidP="004C55B2">
      <w:pPr>
        <w:pStyle w:val="Heading1"/>
        <w:numPr>
          <w:ilvl w:val="0"/>
          <w:numId w:val="0"/>
        </w:numPr>
        <w:rPr>
          <w:rFonts w:ascii="Times New Roman" w:hAnsi="Times New Roman"/>
          <w:szCs w:val="22"/>
        </w:rPr>
      </w:pPr>
    </w:p>
    <w:p w:rsidR="00264877" w:rsidRPr="007F7B4B" w:rsidRDefault="00264877" w:rsidP="004C55B2">
      <w:pPr>
        <w:pStyle w:val="Heading1"/>
        <w:numPr>
          <w:ilvl w:val="0"/>
          <w:numId w:val="0"/>
        </w:numPr>
        <w:rPr>
          <w:rFonts w:ascii="Times New Roman" w:hAnsi="Times New Roman"/>
          <w:szCs w:val="22"/>
        </w:rPr>
      </w:pPr>
      <w:r w:rsidRPr="007F7B4B">
        <w:rPr>
          <w:rFonts w:ascii="Times New Roman" w:hAnsi="Times New Roman"/>
          <w:szCs w:val="22"/>
        </w:rPr>
        <w:t>ORDERING CLAUSES</w:t>
      </w:r>
      <w:bookmarkEnd w:id="191"/>
      <w:bookmarkEnd w:id="192"/>
      <w:bookmarkEnd w:id="193"/>
      <w:bookmarkEnd w:id="194"/>
      <w:bookmarkEnd w:id="195"/>
      <w:bookmarkEnd w:id="196"/>
      <w:bookmarkEnd w:id="197"/>
      <w:bookmarkEnd w:id="198"/>
      <w:bookmarkEnd w:id="199"/>
      <w:bookmarkEnd w:id="200"/>
      <w:bookmarkEnd w:id="201"/>
      <w:bookmarkEnd w:id="202"/>
    </w:p>
    <w:p w:rsidR="00264877" w:rsidRDefault="00264877" w:rsidP="00F15C95">
      <w:pPr>
        <w:pStyle w:val="ParaNum"/>
      </w:pPr>
      <w:r w:rsidRPr="007F7B4B">
        <w:t xml:space="preserve">Accordingly, </w:t>
      </w:r>
      <w:r w:rsidRPr="007F7B4B">
        <w:rPr>
          <w:b/>
        </w:rPr>
        <w:t>IT IS ORDERED</w:t>
      </w:r>
      <w:r w:rsidRPr="007F7B4B">
        <w:t xml:space="preserve"> that, pursuant to Sections 4(i) and (j), 9, and 303(r) of the Communications Act of 1934, as amended, 47 U.S.C. §§ 154(i), 154(j), 159, and 303(r), this Report and Order </w:t>
      </w:r>
      <w:r>
        <w:t xml:space="preserve">and </w:t>
      </w:r>
      <w:r w:rsidR="00133B75">
        <w:t>Further</w:t>
      </w:r>
      <w:r>
        <w:t xml:space="preserve"> Notice of Proposed Rulemaking </w:t>
      </w:r>
      <w:r w:rsidRPr="007F7B4B">
        <w:rPr>
          <w:b/>
        </w:rPr>
        <w:t>IS HEREBY ADOPTED</w:t>
      </w:r>
      <w:r w:rsidRPr="007F7B4B">
        <w:t>.</w:t>
      </w:r>
    </w:p>
    <w:p w:rsidR="00264877" w:rsidRDefault="00264877" w:rsidP="00F15C95">
      <w:pPr>
        <w:pStyle w:val="ParaNum"/>
      </w:pPr>
      <w:r>
        <w:rPr>
          <w:b/>
        </w:rPr>
        <w:t xml:space="preserve">IT IS FURTHER ORDERED </w:t>
      </w:r>
      <w:r>
        <w:t xml:space="preserve">that, as provided in paragraph </w:t>
      </w:r>
      <w:r w:rsidR="003A2A15">
        <w:t>4</w:t>
      </w:r>
      <w:r w:rsidR="0002641F">
        <w:t>7</w:t>
      </w:r>
      <w:r>
        <w:t xml:space="preserve">, this Report and Order </w:t>
      </w:r>
      <w:r w:rsidR="00133B75">
        <w:t xml:space="preserve">and Further Notice of Proposed Rulemaking </w:t>
      </w:r>
      <w:r w:rsidRPr="00B16900">
        <w:rPr>
          <w:b/>
        </w:rPr>
        <w:t>SHALL BE EFFECTIVE</w:t>
      </w:r>
      <w:r>
        <w:t xml:space="preserve"> upon publication in the Federal Register.</w:t>
      </w:r>
    </w:p>
    <w:p w:rsidR="00264877" w:rsidRPr="008067D4" w:rsidRDefault="00264877" w:rsidP="00F15C95">
      <w:pPr>
        <w:pStyle w:val="ParaNum"/>
      </w:pPr>
      <w:r w:rsidRPr="007F7B4B">
        <w:rPr>
          <w:b/>
        </w:rPr>
        <w:t xml:space="preserve">IT IS FURTHER ORDERED </w:t>
      </w:r>
      <w:r w:rsidRPr="007F7B4B">
        <w:t xml:space="preserve">that the Commission’s Consumer </w:t>
      </w:r>
      <w:r w:rsidR="005D223B">
        <w:t>&amp;</w:t>
      </w:r>
      <w:r w:rsidRPr="007F7B4B">
        <w:t xml:space="preserve"> Governmental Affairs Bureau, Reference Information Center, </w:t>
      </w:r>
      <w:r w:rsidRPr="007F7B4B">
        <w:rPr>
          <w:b/>
        </w:rPr>
        <w:t>SHALL SEND</w:t>
      </w:r>
      <w:r w:rsidRPr="007F7B4B">
        <w:t xml:space="preserve"> a copy of this Report and Order, including the Final Regulatory Fl</w:t>
      </w:r>
      <w:r w:rsidR="0090094D">
        <w:t>exibility Analysis in Appendix</w:t>
      </w:r>
      <w:r w:rsidRPr="007F7B4B">
        <w:t xml:space="preserve"> </w:t>
      </w:r>
      <w:r w:rsidR="00E9379E">
        <w:t>G</w:t>
      </w:r>
      <w:r>
        <w:t>,</w:t>
      </w:r>
      <w:r w:rsidRPr="007F7B4B">
        <w:t xml:space="preserve"> to the Chief Counsel for Advocacy of the U.S. Small Business Administration.</w:t>
      </w:r>
    </w:p>
    <w:p w:rsidR="00264877" w:rsidRPr="007F7B4B" w:rsidRDefault="00264877" w:rsidP="00264877">
      <w:pPr>
        <w:pStyle w:val="Heading1"/>
        <w:numPr>
          <w:ilvl w:val="0"/>
          <w:numId w:val="0"/>
        </w:numPr>
        <w:ind w:left="720" w:hanging="720"/>
        <w:rPr>
          <w:rFonts w:ascii="Times New Roman" w:hAnsi="Times New Roman"/>
          <w:szCs w:val="22"/>
        </w:rPr>
      </w:pPr>
    </w:p>
    <w:p w:rsidR="00F720A5" w:rsidRDefault="00F720A5" w:rsidP="00DD2A3A">
      <w:r>
        <w:tab/>
      </w:r>
      <w:r>
        <w:tab/>
      </w:r>
      <w:r>
        <w:tab/>
      </w:r>
      <w:r>
        <w:tab/>
      </w:r>
      <w:r>
        <w:tab/>
      </w:r>
      <w:r>
        <w:tab/>
        <w:t>FEDERAL COMMUNICATIONS COMMISSION</w:t>
      </w:r>
    </w:p>
    <w:p w:rsidR="00F720A5" w:rsidRDefault="00F720A5" w:rsidP="00DD2A3A"/>
    <w:p w:rsidR="00F720A5" w:rsidRDefault="00F720A5" w:rsidP="00DD2A3A"/>
    <w:p w:rsidR="00F720A5" w:rsidRDefault="00F720A5" w:rsidP="00DD2A3A"/>
    <w:p w:rsidR="00F720A5" w:rsidRDefault="00F720A5" w:rsidP="00DD2A3A"/>
    <w:p w:rsidR="00F720A5" w:rsidRDefault="00F720A5" w:rsidP="00DD2A3A">
      <w:r>
        <w:tab/>
      </w:r>
      <w:r>
        <w:tab/>
      </w:r>
      <w:r>
        <w:tab/>
      </w:r>
      <w:r>
        <w:tab/>
      </w:r>
      <w:r>
        <w:tab/>
      </w:r>
      <w:r>
        <w:tab/>
        <w:t>Marlene H. Dortch</w:t>
      </w:r>
    </w:p>
    <w:p w:rsidR="00F720A5" w:rsidRDefault="00F720A5" w:rsidP="00DD2A3A">
      <w:r>
        <w:tab/>
      </w:r>
      <w:r>
        <w:tab/>
      </w:r>
      <w:r>
        <w:tab/>
      </w:r>
      <w:r>
        <w:tab/>
      </w:r>
      <w:r>
        <w:tab/>
      </w:r>
      <w:r>
        <w:tab/>
        <w:t>Secretary</w:t>
      </w:r>
    </w:p>
    <w:p w:rsidR="00264877" w:rsidRPr="007F7B4B" w:rsidRDefault="00264877" w:rsidP="00264877">
      <w:pPr>
        <w:pStyle w:val="ParaNum"/>
        <w:numPr>
          <w:ilvl w:val="0"/>
          <w:numId w:val="0"/>
        </w:numPr>
        <w:ind w:firstLine="630"/>
        <w:rPr>
          <w:szCs w:val="22"/>
        </w:rPr>
      </w:pPr>
    </w:p>
    <w:p w:rsidR="005D223B" w:rsidRDefault="00264877" w:rsidP="00F720A5">
      <w:r w:rsidRPr="007F7B4B">
        <w:tab/>
      </w:r>
      <w:r w:rsidRPr="007F7B4B">
        <w:tab/>
      </w:r>
      <w:r w:rsidRPr="007F7B4B">
        <w:tab/>
      </w:r>
      <w:r w:rsidRPr="007F7B4B">
        <w:tab/>
      </w:r>
      <w:r w:rsidRPr="007F7B4B">
        <w:tab/>
      </w:r>
      <w:r w:rsidR="005D223B">
        <w:br w:type="page"/>
      </w:r>
    </w:p>
    <w:p w:rsidR="00264877" w:rsidRDefault="005261EC" w:rsidP="00264877">
      <w:pPr>
        <w:tabs>
          <w:tab w:val="left" w:pos="1440"/>
        </w:tabs>
        <w:suppressAutoHyphens/>
        <w:spacing w:line="240" w:lineRule="atLeast"/>
        <w:ind w:firstLine="720"/>
        <w:jc w:val="center"/>
        <w:rPr>
          <w:szCs w:val="22"/>
        </w:rPr>
      </w:pPr>
      <w:r>
        <w:rPr>
          <w:b/>
          <w:szCs w:val="22"/>
        </w:rPr>
        <w:t>APPENDIX</w:t>
      </w:r>
      <w:r w:rsidR="00264877">
        <w:rPr>
          <w:b/>
          <w:szCs w:val="22"/>
        </w:rPr>
        <w:t xml:space="preserve"> A</w:t>
      </w:r>
    </w:p>
    <w:p w:rsidR="00264877" w:rsidRDefault="00264877" w:rsidP="00264877">
      <w:pPr>
        <w:tabs>
          <w:tab w:val="left" w:pos="1440"/>
        </w:tabs>
        <w:suppressAutoHyphens/>
        <w:spacing w:line="240" w:lineRule="atLeast"/>
        <w:ind w:firstLine="720"/>
        <w:jc w:val="center"/>
        <w:rPr>
          <w:szCs w:val="22"/>
        </w:rPr>
      </w:pPr>
    </w:p>
    <w:p w:rsidR="00264877" w:rsidRPr="00EB7459" w:rsidRDefault="00264877" w:rsidP="00264877">
      <w:pPr>
        <w:tabs>
          <w:tab w:val="left" w:pos="1440"/>
        </w:tabs>
        <w:suppressAutoHyphens/>
        <w:spacing w:line="240" w:lineRule="atLeast"/>
        <w:ind w:firstLine="720"/>
        <w:jc w:val="center"/>
        <w:rPr>
          <w:b/>
          <w:szCs w:val="22"/>
        </w:rPr>
      </w:pPr>
      <w:r w:rsidRPr="00A11977">
        <w:rPr>
          <w:b/>
          <w:szCs w:val="22"/>
        </w:rPr>
        <w:t>List of Co</w:t>
      </w:r>
      <w:r w:rsidRPr="00EB7459">
        <w:rPr>
          <w:b/>
          <w:szCs w:val="22"/>
        </w:rPr>
        <w:t>mmenters—Initial Comments</w:t>
      </w:r>
    </w:p>
    <w:p w:rsidR="00264877" w:rsidRPr="00EB7459" w:rsidRDefault="00264877" w:rsidP="00264877">
      <w:pPr>
        <w:tabs>
          <w:tab w:val="left" w:pos="1440"/>
        </w:tabs>
        <w:suppressAutoHyphens/>
        <w:spacing w:line="240" w:lineRule="atLeast"/>
        <w:ind w:firstLine="720"/>
        <w:jc w:val="center"/>
        <w:rPr>
          <w:b/>
          <w:szCs w:val="22"/>
        </w:rPr>
      </w:pPr>
    </w:p>
    <w:tbl>
      <w:tblPr>
        <w:tblStyle w:val="TableGrid"/>
        <w:tblW w:w="0" w:type="auto"/>
        <w:tblLook w:val="04A0" w:firstRow="1" w:lastRow="0" w:firstColumn="1" w:lastColumn="0" w:noHBand="0" w:noVBand="1"/>
      </w:tblPr>
      <w:tblGrid>
        <w:gridCol w:w="4680"/>
        <w:gridCol w:w="4670"/>
      </w:tblGrid>
      <w:tr w:rsidR="00264877" w:rsidRPr="001E50B9" w:rsidTr="00927811">
        <w:tc>
          <w:tcPr>
            <w:tcW w:w="4680" w:type="dxa"/>
          </w:tcPr>
          <w:p w:rsidR="00264877" w:rsidRPr="001E50B9" w:rsidRDefault="00264877" w:rsidP="00927811">
            <w:pPr>
              <w:tabs>
                <w:tab w:val="left" w:pos="1440"/>
              </w:tabs>
              <w:suppressAutoHyphens/>
              <w:spacing w:line="240" w:lineRule="atLeast"/>
              <w:jc w:val="center"/>
              <w:rPr>
                <w:rFonts w:ascii="Times New Roman" w:hAnsi="Times New Roman" w:cs="Times New Roman"/>
                <w:b/>
              </w:rPr>
            </w:pPr>
            <w:r w:rsidRPr="001E50B9">
              <w:rPr>
                <w:rFonts w:ascii="Times New Roman" w:hAnsi="Times New Roman" w:cs="Times New Roman"/>
                <w:b/>
              </w:rPr>
              <w:t>Commenter</w:t>
            </w:r>
          </w:p>
        </w:tc>
        <w:tc>
          <w:tcPr>
            <w:tcW w:w="4670" w:type="dxa"/>
          </w:tcPr>
          <w:p w:rsidR="00264877" w:rsidRPr="001E50B9" w:rsidRDefault="00264877" w:rsidP="00927811">
            <w:pPr>
              <w:tabs>
                <w:tab w:val="left" w:pos="1440"/>
              </w:tabs>
              <w:suppressAutoHyphens/>
              <w:spacing w:line="240" w:lineRule="atLeast"/>
              <w:jc w:val="center"/>
              <w:rPr>
                <w:rFonts w:ascii="Times New Roman" w:hAnsi="Times New Roman" w:cs="Times New Roman"/>
                <w:b/>
              </w:rPr>
            </w:pPr>
            <w:r w:rsidRPr="001E50B9">
              <w:rPr>
                <w:rFonts w:ascii="Times New Roman" w:hAnsi="Times New Roman" w:cs="Times New Roman"/>
                <w:b/>
              </w:rPr>
              <w:t>Abbreviation</w:t>
            </w:r>
          </w:p>
        </w:tc>
      </w:tr>
      <w:tr w:rsidR="00E811D7" w:rsidRPr="001E50B9" w:rsidTr="00927811">
        <w:tc>
          <w:tcPr>
            <w:tcW w:w="4680" w:type="dxa"/>
          </w:tcPr>
          <w:p w:rsidR="00E811D7" w:rsidRPr="001E50B9" w:rsidRDefault="00E811D7"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ARSO Radio Corporation</w:t>
            </w:r>
          </w:p>
        </w:tc>
        <w:tc>
          <w:tcPr>
            <w:tcW w:w="4670" w:type="dxa"/>
          </w:tcPr>
          <w:p w:rsidR="00E811D7" w:rsidRPr="001E50B9" w:rsidRDefault="00E811D7"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ARSO</w:t>
            </w:r>
          </w:p>
        </w:tc>
      </w:tr>
      <w:tr w:rsidR="009C73A5" w:rsidRPr="001E50B9" w:rsidTr="00927811">
        <w:tc>
          <w:tcPr>
            <w:tcW w:w="4680" w:type="dxa"/>
          </w:tcPr>
          <w:p w:rsidR="009C73A5" w:rsidRPr="001E50B9" w:rsidRDefault="009C73A5"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Aviation Spectrum Resources, Inc., Airlines for America, Aircraft Owners and Pilots Association, Delta Airlines, Harris Corporation, Rockwell-Collins Information Management Services, Southwest Airlines Co., The Boeing Company, and SITA OnAir</w:t>
            </w:r>
          </w:p>
        </w:tc>
        <w:tc>
          <w:tcPr>
            <w:tcW w:w="4670" w:type="dxa"/>
          </w:tcPr>
          <w:p w:rsidR="009C73A5" w:rsidRPr="001E50B9" w:rsidRDefault="009C73A5"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Aviation Joint Commenters</w:t>
            </w:r>
          </w:p>
        </w:tc>
      </w:tr>
      <w:tr w:rsidR="005B09D5" w:rsidRPr="001E50B9" w:rsidTr="00927811">
        <w:tc>
          <w:tcPr>
            <w:tcW w:w="4680" w:type="dxa"/>
          </w:tcPr>
          <w:p w:rsidR="005B09D5" w:rsidRPr="001E50B9" w:rsidRDefault="005B09D5"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DIRECTV, LLC</w:t>
            </w:r>
          </w:p>
        </w:tc>
        <w:tc>
          <w:tcPr>
            <w:tcW w:w="4670" w:type="dxa"/>
          </w:tcPr>
          <w:p w:rsidR="005B09D5" w:rsidRPr="001E50B9" w:rsidRDefault="005B09D5"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DIRECTV</w:t>
            </w:r>
          </w:p>
        </w:tc>
      </w:tr>
      <w:tr w:rsidR="004D1816" w:rsidRPr="001E50B9" w:rsidTr="00927811">
        <w:tc>
          <w:tcPr>
            <w:tcW w:w="4680" w:type="dxa"/>
          </w:tcPr>
          <w:p w:rsidR="004D1816" w:rsidRPr="001E50B9" w:rsidRDefault="004D1816"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DISH Network, L.L.C.</w:t>
            </w:r>
          </w:p>
        </w:tc>
        <w:tc>
          <w:tcPr>
            <w:tcW w:w="4670" w:type="dxa"/>
          </w:tcPr>
          <w:p w:rsidR="004D1816" w:rsidRPr="001E50B9" w:rsidRDefault="004D1816"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DISH</w:t>
            </w:r>
          </w:p>
        </w:tc>
      </w:tr>
      <w:tr w:rsidR="00944BD3" w:rsidRPr="001E50B9" w:rsidTr="00927811">
        <w:tc>
          <w:tcPr>
            <w:tcW w:w="4680" w:type="dxa"/>
          </w:tcPr>
          <w:p w:rsidR="00944BD3" w:rsidRPr="001E50B9" w:rsidRDefault="002D0A46"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EchoS</w:t>
            </w:r>
            <w:r w:rsidR="00944BD3" w:rsidRPr="001E50B9">
              <w:rPr>
                <w:rFonts w:ascii="Times New Roman" w:hAnsi="Times New Roman" w:cs="Times New Roman"/>
              </w:rPr>
              <w:t>tar Satellite Operating Corporation and Hughes Network Systems, LLC</w:t>
            </w:r>
          </w:p>
        </w:tc>
        <w:tc>
          <w:tcPr>
            <w:tcW w:w="4670" w:type="dxa"/>
          </w:tcPr>
          <w:p w:rsidR="00944BD3" w:rsidRPr="001E50B9" w:rsidRDefault="002D0A46" w:rsidP="007E395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EchoS</w:t>
            </w:r>
            <w:r w:rsidR="00944BD3" w:rsidRPr="001E50B9">
              <w:rPr>
                <w:rFonts w:ascii="Times New Roman" w:hAnsi="Times New Roman" w:cs="Times New Roman"/>
              </w:rPr>
              <w:t xml:space="preserve">tar </w:t>
            </w:r>
          </w:p>
        </w:tc>
      </w:tr>
      <w:tr w:rsidR="00F31B0C" w:rsidRPr="001E50B9" w:rsidTr="00927811">
        <w:tc>
          <w:tcPr>
            <w:tcW w:w="4680" w:type="dxa"/>
          </w:tcPr>
          <w:p w:rsidR="00F31B0C" w:rsidRPr="001E50B9" w:rsidRDefault="00F31B0C"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Intelsat Licensee, LLC</w:t>
            </w:r>
          </w:p>
        </w:tc>
        <w:tc>
          <w:tcPr>
            <w:tcW w:w="4670" w:type="dxa"/>
          </w:tcPr>
          <w:p w:rsidR="00F31B0C" w:rsidRPr="001E50B9" w:rsidRDefault="00F31B0C"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Intelsat</w:t>
            </w:r>
          </w:p>
        </w:tc>
      </w:tr>
      <w:tr w:rsidR="00B807E9" w:rsidRPr="001E50B9" w:rsidTr="00927811">
        <w:tc>
          <w:tcPr>
            <w:tcW w:w="4680" w:type="dxa"/>
          </w:tcPr>
          <w:p w:rsidR="00B807E9" w:rsidRPr="001E50B9" w:rsidRDefault="00B807E9"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ITTA—The Voice of Mid-Size Communications Companies</w:t>
            </w:r>
          </w:p>
        </w:tc>
        <w:tc>
          <w:tcPr>
            <w:tcW w:w="4670" w:type="dxa"/>
          </w:tcPr>
          <w:p w:rsidR="00B807E9" w:rsidRPr="001E50B9" w:rsidRDefault="00B807E9"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ITTA</w:t>
            </w:r>
          </w:p>
        </w:tc>
      </w:tr>
      <w:tr w:rsidR="00264877" w:rsidRPr="001E50B9" w:rsidTr="00927811">
        <w:tc>
          <w:tcPr>
            <w:tcW w:w="4680" w:type="dxa"/>
          </w:tcPr>
          <w:p w:rsidR="00264877" w:rsidRPr="001E50B9" w:rsidRDefault="00F64683"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National Association of Broadcasters</w:t>
            </w:r>
          </w:p>
        </w:tc>
        <w:tc>
          <w:tcPr>
            <w:tcW w:w="4670" w:type="dxa"/>
          </w:tcPr>
          <w:p w:rsidR="00264877" w:rsidRPr="001E50B9" w:rsidRDefault="00F64683"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NAB</w:t>
            </w:r>
          </w:p>
        </w:tc>
      </w:tr>
      <w:tr w:rsidR="00A275A0" w:rsidRPr="001E50B9" w:rsidTr="00927811">
        <w:tc>
          <w:tcPr>
            <w:tcW w:w="4680" w:type="dxa"/>
          </w:tcPr>
          <w:p w:rsidR="00A275A0" w:rsidRPr="001E50B9" w:rsidRDefault="00A275A0"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National Cable &amp; Telecommunications Association and the American Cable Association</w:t>
            </w:r>
          </w:p>
        </w:tc>
        <w:tc>
          <w:tcPr>
            <w:tcW w:w="4670" w:type="dxa"/>
          </w:tcPr>
          <w:p w:rsidR="00A275A0" w:rsidRPr="001E50B9" w:rsidRDefault="00A275A0"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NCTA &amp; ACA</w:t>
            </w:r>
          </w:p>
        </w:tc>
      </w:tr>
      <w:tr w:rsidR="00264877" w:rsidRPr="001E50B9" w:rsidTr="00927811">
        <w:tc>
          <w:tcPr>
            <w:tcW w:w="4680" w:type="dxa"/>
          </w:tcPr>
          <w:p w:rsidR="00264877" w:rsidRPr="001E50B9" w:rsidRDefault="00AA743D"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North American Submarine Cable Association</w:t>
            </w:r>
          </w:p>
        </w:tc>
        <w:tc>
          <w:tcPr>
            <w:tcW w:w="4670" w:type="dxa"/>
          </w:tcPr>
          <w:p w:rsidR="00264877" w:rsidRPr="001E50B9" w:rsidRDefault="00AA743D"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NASCA</w:t>
            </w:r>
          </w:p>
        </w:tc>
      </w:tr>
      <w:tr w:rsidR="00731C44" w:rsidRPr="001E50B9" w:rsidTr="00927811">
        <w:tc>
          <w:tcPr>
            <w:tcW w:w="4680" w:type="dxa"/>
          </w:tcPr>
          <w:p w:rsidR="00731C44" w:rsidRPr="001E50B9" w:rsidRDefault="00731C44"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Puerto Rico Broadcasters Association, International Broadcasting Corporation, Eastern Television Corporation, America-CV Stations Group, Inc., R &amp; F Broadcasting, Inc.</w:t>
            </w:r>
          </w:p>
        </w:tc>
        <w:tc>
          <w:tcPr>
            <w:tcW w:w="4670" w:type="dxa"/>
          </w:tcPr>
          <w:p w:rsidR="00731C44" w:rsidRPr="001E50B9" w:rsidRDefault="00587BDE"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PRBA</w:t>
            </w:r>
          </w:p>
        </w:tc>
      </w:tr>
      <w:tr w:rsidR="00C95AD2" w:rsidRPr="001E50B9" w:rsidTr="00927811">
        <w:tc>
          <w:tcPr>
            <w:tcW w:w="4680" w:type="dxa"/>
          </w:tcPr>
          <w:p w:rsidR="00C95AD2" w:rsidRPr="001E50B9" w:rsidRDefault="00C95AD2"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Satellite Industry Association</w:t>
            </w:r>
          </w:p>
        </w:tc>
        <w:tc>
          <w:tcPr>
            <w:tcW w:w="4670" w:type="dxa"/>
          </w:tcPr>
          <w:p w:rsidR="00C95AD2" w:rsidRPr="001E50B9" w:rsidRDefault="00C95AD2"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SIA</w:t>
            </w:r>
          </w:p>
        </w:tc>
      </w:tr>
      <w:tr w:rsidR="00264877" w:rsidRPr="001E50B9" w:rsidTr="00927811">
        <w:tc>
          <w:tcPr>
            <w:tcW w:w="4680" w:type="dxa"/>
          </w:tcPr>
          <w:p w:rsidR="00264877" w:rsidRPr="001E50B9" w:rsidRDefault="008E1FB7"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Submarine Cable Coalition</w:t>
            </w:r>
          </w:p>
        </w:tc>
        <w:tc>
          <w:tcPr>
            <w:tcW w:w="4670" w:type="dxa"/>
          </w:tcPr>
          <w:p w:rsidR="00264877" w:rsidRPr="001E50B9" w:rsidRDefault="008E1FB7"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Coalition</w:t>
            </w:r>
          </w:p>
        </w:tc>
      </w:tr>
    </w:tbl>
    <w:p w:rsidR="00264877" w:rsidRPr="001E50B9" w:rsidRDefault="00264877" w:rsidP="00264877">
      <w:pPr>
        <w:tabs>
          <w:tab w:val="left" w:pos="1440"/>
        </w:tabs>
        <w:suppressAutoHyphens/>
        <w:spacing w:line="240" w:lineRule="atLeast"/>
        <w:ind w:firstLine="720"/>
        <w:jc w:val="center"/>
        <w:rPr>
          <w:b/>
          <w:szCs w:val="22"/>
        </w:rPr>
      </w:pPr>
    </w:p>
    <w:p w:rsidR="00264877" w:rsidRPr="001E50B9" w:rsidRDefault="00264877" w:rsidP="00264877">
      <w:pPr>
        <w:tabs>
          <w:tab w:val="left" w:pos="1440"/>
        </w:tabs>
        <w:suppressAutoHyphens/>
        <w:spacing w:line="240" w:lineRule="atLeast"/>
        <w:ind w:firstLine="720"/>
        <w:jc w:val="center"/>
        <w:rPr>
          <w:b/>
          <w:szCs w:val="22"/>
        </w:rPr>
      </w:pPr>
      <w:r w:rsidRPr="001E50B9">
        <w:rPr>
          <w:b/>
          <w:szCs w:val="22"/>
        </w:rPr>
        <w:t>List of Commenters—Reply Comments</w:t>
      </w:r>
    </w:p>
    <w:p w:rsidR="00264877" w:rsidRPr="001E50B9" w:rsidRDefault="00264877" w:rsidP="00264877">
      <w:pPr>
        <w:tabs>
          <w:tab w:val="left" w:pos="1440"/>
        </w:tabs>
        <w:suppressAutoHyphens/>
        <w:spacing w:line="240" w:lineRule="atLeast"/>
        <w:ind w:firstLine="720"/>
        <w:jc w:val="center"/>
        <w:rPr>
          <w:b/>
          <w:szCs w:val="22"/>
        </w:rPr>
      </w:pPr>
    </w:p>
    <w:tbl>
      <w:tblPr>
        <w:tblStyle w:val="TableGrid"/>
        <w:tblW w:w="0" w:type="auto"/>
        <w:tblLook w:val="04A0" w:firstRow="1" w:lastRow="0" w:firstColumn="1" w:lastColumn="0" w:noHBand="0" w:noVBand="1"/>
      </w:tblPr>
      <w:tblGrid>
        <w:gridCol w:w="4674"/>
        <w:gridCol w:w="4676"/>
      </w:tblGrid>
      <w:tr w:rsidR="00264877" w:rsidRPr="001E50B9" w:rsidTr="00802BEE">
        <w:tc>
          <w:tcPr>
            <w:tcW w:w="4674" w:type="dxa"/>
          </w:tcPr>
          <w:p w:rsidR="00264877" w:rsidRPr="001E50B9" w:rsidRDefault="00264877" w:rsidP="00927811">
            <w:pPr>
              <w:tabs>
                <w:tab w:val="left" w:pos="1440"/>
              </w:tabs>
              <w:suppressAutoHyphens/>
              <w:spacing w:line="240" w:lineRule="atLeast"/>
              <w:jc w:val="center"/>
              <w:rPr>
                <w:rFonts w:ascii="Times New Roman" w:hAnsi="Times New Roman" w:cs="Times New Roman"/>
                <w:b/>
              </w:rPr>
            </w:pPr>
            <w:r w:rsidRPr="001E50B9">
              <w:rPr>
                <w:rFonts w:ascii="Times New Roman" w:hAnsi="Times New Roman" w:cs="Times New Roman"/>
                <w:b/>
              </w:rPr>
              <w:t>Commenter</w:t>
            </w:r>
          </w:p>
        </w:tc>
        <w:tc>
          <w:tcPr>
            <w:tcW w:w="4676" w:type="dxa"/>
          </w:tcPr>
          <w:p w:rsidR="00264877" w:rsidRPr="001E50B9" w:rsidRDefault="00264877" w:rsidP="00927811">
            <w:pPr>
              <w:tabs>
                <w:tab w:val="left" w:pos="1440"/>
              </w:tabs>
              <w:suppressAutoHyphens/>
              <w:spacing w:line="240" w:lineRule="atLeast"/>
              <w:jc w:val="center"/>
              <w:rPr>
                <w:rFonts w:ascii="Times New Roman" w:hAnsi="Times New Roman" w:cs="Times New Roman"/>
                <w:b/>
              </w:rPr>
            </w:pPr>
            <w:r w:rsidRPr="001E50B9">
              <w:rPr>
                <w:rFonts w:ascii="Times New Roman" w:hAnsi="Times New Roman" w:cs="Times New Roman"/>
                <w:b/>
              </w:rPr>
              <w:t>Abbreviation</w:t>
            </w:r>
          </w:p>
        </w:tc>
      </w:tr>
      <w:tr w:rsidR="00264877" w:rsidRPr="001E50B9" w:rsidTr="00802BEE">
        <w:tc>
          <w:tcPr>
            <w:tcW w:w="4674" w:type="dxa"/>
          </w:tcPr>
          <w:p w:rsidR="00264877" w:rsidRPr="001E50B9" w:rsidRDefault="00780E62"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CTIA—The Wireless Association</w:t>
            </w:r>
            <w:r w:rsidR="00802BEE" w:rsidRPr="001E50B9">
              <w:rPr>
                <w:rFonts w:ascii="Times New Roman" w:hAnsi="Times New Roman" w:cs="Times New Roman"/>
              </w:rPr>
              <w:t>®</w:t>
            </w:r>
          </w:p>
        </w:tc>
        <w:tc>
          <w:tcPr>
            <w:tcW w:w="4676" w:type="dxa"/>
          </w:tcPr>
          <w:p w:rsidR="00264877" w:rsidRPr="001E50B9" w:rsidRDefault="00802BEE" w:rsidP="00927811">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CTIA</w:t>
            </w:r>
          </w:p>
        </w:tc>
      </w:tr>
      <w:tr w:rsidR="00802BEE" w:rsidRPr="001E50B9" w:rsidTr="00802BEE">
        <w:tc>
          <w:tcPr>
            <w:tcW w:w="4674" w:type="dxa"/>
          </w:tcPr>
          <w:p w:rsidR="00802BEE" w:rsidRPr="001E50B9" w:rsidRDefault="00802BEE" w:rsidP="00802BEE">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DIRECTV, LLC</w:t>
            </w:r>
          </w:p>
        </w:tc>
        <w:tc>
          <w:tcPr>
            <w:tcW w:w="4676" w:type="dxa"/>
          </w:tcPr>
          <w:p w:rsidR="00802BEE" w:rsidRPr="001E50B9" w:rsidRDefault="00802BEE" w:rsidP="00802BEE">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DIRECTV</w:t>
            </w:r>
          </w:p>
        </w:tc>
      </w:tr>
      <w:tr w:rsidR="009619E8" w:rsidRPr="001E50B9" w:rsidTr="00802BEE">
        <w:tc>
          <w:tcPr>
            <w:tcW w:w="4674" w:type="dxa"/>
          </w:tcPr>
          <w:p w:rsidR="009619E8" w:rsidRPr="001E50B9" w:rsidRDefault="009619E8" w:rsidP="009619E8">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DISH Network, L.L.C.</w:t>
            </w:r>
          </w:p>
        </w:tc>
        <w:tc>
          <w:tcPr>
            <w:tcW w:w="4676" w:type="dxa"/>
          </w:tcPr>
          <w:p w:rsidR="009619E8" w:rsidRPr="001E50B9" w:rsidRDefault="009619E8" w:rsidP="009619E8">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DISH</w:t>
            </w:r>
          </w:p>
        </w:tc>
      </w:tr>
      <w:tr w:rsidR="00615AF6" w:rsidRPr="001E50B9" w:rsidTr="00802BEE">
        <w:tc>
          <w:tcPr>
            <w:tcW w:w="4674"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EchoStar Satellite Operating Corporation and Hughes Network Systems, LLC</w:t>
            </w:r>
          </w:p>
        </w:tc>
        <w:tc>
          <w:tcPr>
            <w:tcW w:w="4676"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 xml:space="preserve">EchoStar </w:t>
            </w:r>
          </w:p>
        </w:tc>
      </w:tr>
      <w:tr w:rsidR="00615AF6" w:rsidRPr="001E50B9" w:rsidTr="00802BEE">
        <w:tc>
          <w:tcPr>
            <w:tcW w:w="4674"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National Cable &amp; Telecommunications Association and the American Cable Association</w:t>
            </w:r>
          </w:p>
        </w:tc>
        <w:tc>
          <w:tcPr>
            <w:tcW w:w="4676"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NCTA &amp; ACA</w:t>
            </w:r>
          </w:p>
        </w:tc>
      </w:tr>
      <w:tr w:rsidR="00615AF6" w:rsidRPr="001E50B9" w:rsidTr="00802BEE">
        <w:tc>
          <w:tcPr>
            <w:tcW w:w="4674"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North American Submarine Cable Association</w:t>
            </w:r>
          </w:p>
        </w:tc>
        <w:tc>
          <w:tcPr>
            <w:tcW w:w="4676"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NASCA</w:t>
            </w:r>
          </w:p>
        </w:tc>
      </w:tr>
      <w:tr w:rsidR="00615AF6" w:rsidRPr="001E50B9" w:rsidTr="00802BEE">
        <w:trPr>
          <w:trHeight w:val="62"/>
        </w:trPr>
        <w:tc>
          <w:tcPr>
            <w:tcW w:w="4674"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SES Americom, Inc., Inmarsat, Inc., Telesat Canada</w:t>
            </w:r>
          </w:p>
        </w:tc>
        <w:tc>
          <w:tcPr>
            <w:tcW w:w="4676"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Satellite Parties</w:t>
            </w:r>
          </w:p>
        </w:tc>
      </w:tr>
      <w:tr w:rsidR="00615AF6" w:rsidRPr="001E50B9" w:rsidTr="00802BEE">
        <w:trPr>
          <w:trHeight w:val="62"/>
        </w:trPr>
        <w:tc>
          <w:tcPr>
            <w:tcW w:w="4674"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Submarine Cable Coalition</w:t>
            </w:r>
          </w:p>
        </w:tc>
        <w:tc>
          <w:tcPr>
            <w:tcW w:w="4676" w:type="dxa"/>
          </w:tcPr>
          <w:p w:rsidR="00615AF6" w:rsidRPr="001E50B9" w:rsidRDefault="00615AF6" w:rsidP="00615AF6">
            <w:pPr>
              <w:tabs>
                <w:tab w:val="left" w:pos="1440"/>
              </w:tabs>
              <w:suppressAutoHyphens/>
              <w:spacing w:line="240" w:lineRule="atLeast"/>
              <w:jc w:val="center"/>
              <w:rPr>
                <w:rFonts w:ascii="Times New Roman" w:hAnsi="Times New Roman" w:cs="Times New Roman"/>
              </w:rPr>
            </w:pPr>
            <w:r w:rsidRPr="001E50B9">
              <w:rPr>
                <w:rFonts w:ascii="Times New Roman" w:hAnsi="Times New Roman" w:cs="Times New Roman"/>
              </w:rPr>
              <w:t>Coalition</w:t>
            </w:r>
          </w:p>
        </w:tc>
      </w:tr>
    </w:tbl>
    <w:p w:rsidR="00264877" w:rsidRPr="001E50B9" w:rsidRDefault="00264877" w:rsidP="00264877">
      <w:pPr>
        <w:tabs>
          <w:tab w:val="left" w:pos="1440"/>
        </w:tabs>
        <w:suppressAutoHyphens/>
        <w:spacing w:line="240" w:lineRule="atLeast"/>
        <w:ind w:firstLine="720"/>
        <w:jc w:val="center"/>
        <w:rPr>
          <w:szCs w:val="22"/>
        </w:rPr>
      </w:pPr>
    </w:p>
    <w:p w:rsidR="00AD414A" w:rsidRDefault="00AD414A" w:rsidP="00264877">
      <w:pPr>
        <w:jc w:val="center"/>
        <w:rPr>
          <w:color w:val="000000"/>
        </w:rPr>
      </w:pPr>
      <w:r>
        <w:rPr>
          <w:color w:val="000000"/>
        </w:rPr>
        <w:br w:type="page"/>
      </w:r>
    </w:p>
    <w:p w:rsidR="00A213D0" w:rsidRDefault="00A213D0" w:rsidP="00264877">
      <w:pPr>
        <w:jc w:val="center"/>
        <w:rPr>
          <w:b/>
          <w:color w:val="000000"/>
        </w:rPr>
      </w:pPr>
      <w:r w:rsidRPr="004949EC">
        <w:rPr>
          <w:b/>
          <w:color w:val="000000"/>
        </w:rPr>
        <w:t>APPENDIX</w:t>
      </w:r>
      <w:r w:rsidR="004949EC">
        <w:rPr>
          <w:b/>
          <w:color w:val="000000"/>
        </w:rPr>
        <w:t xml:space="preserve"> B</w:t>
      </w:r>
    </w:p>
    <w:p w:rsidR="004949EC" w:rsidRDefault="004949EC" w:rsidP="00264877">
      <w:pPr>
        <w:jc w:val="center"/>
        <w:rPr>
          <w:b/>
          <w:color w:val="000000"/>
        </w:rPr>
      </w:pPr>
    </w:p>
    <w:p w:rsidR="00C15B79" w:rsidRDefault="00C15B79" w:rsidP="00C15B79">
      <w:pPr>
        <w:jc w:val="center"/>
        <w:rPr>
          <w:b/>
        </w:rPr>
      </w:pPr>
      <w:r>
        <w:rPr>
          <w:b/>
        </w:rPr>
        <w:t>Calculation of FY 2015 Revenue Requirements and Pro-Rata Fees</w:t>
      </w:r>
    </w:p>
    <w:p w:rsidR="004D303E" w:rsidRDefault="004D303E" w:rsidP="00C15B79">
      <w:pPr>
        <w:jc w:val="center"/>
        <w:rPr>
          <w:b/>
        </w:rPr>
      </w:pPr>
    </w:p>
    <w:p w:rsidR="004D303E" w:rsidRDefault="004D303E" w:rsidP="004D303E">
      <w:pPr>
        <w:tabs>
          <w:tab w:val="center" w:pos="5040"/>
        </w:tabs>
        <w:suppressAutoHyphens/>
        <w:outlineLvl w:val="0"/>
        <w:rPr>
          <w:b/>
          <w:szCs w:val="22"/>
        </w:rPr>
      </w:pPr>
      <w:bookmarkStart w:id="203" w:name="_Toc394672329"/>
      <w:r>
        <w:rPr>
          <w:szCs w:val="22"/>
        </w:rPr>
        <w:t>Regulatory fees for the categories shaded in gray are collected by the Commission in advance to cover the term of the license and are submitted at the time the application is filed.</w:t>
      </w:r>
      <w:bookmarkEnd w:id="203"/>
      <w:r>
        <w:rPr>
          <w:szCs w:val="22"/>
        </w:rPr>
        <w:t xml:space="preserve">  </w:t>
      </w:r>
    </w:p>
    <w:tbl>
      <w:tblPr>
        <w:tblW w:w="9000" w:type="dxa"/>
        <w:tblInd w:w="-60" w:type="dxa"/>
        <w:tblLayout w:type="fixed"/>
        <w:tblCellMar>
          <w:left w:w="30" w:type="dxa"/>
          <w:right w:w="30" w:type="dxa"/>
        </w:tblCellMar>
        <w:tblLook w:val="0000" w:firstRow="0" w:lastRow="0" w:firstColumn="0" w:lastColumn="0" w:noHBand="0" w:noVBand="0"/>
      </w:tblPr>
      <w:tblGrid>
        <w:gridCol w:w="1800"/>
        <w:gridCol w:w="1350"/>
        <w:gridCol w:w="540"/>
        <w:gridCol w:w="1080"/>
        <w:gridCol w:w="1080"/>
        <w:gridCol w:w="1080"/>
        <w:gridCol w:w="900"/>
        <w:gridCol w:w="1170"/>
      </w:tblGrid>
      <w:tr w:rsidR="004D303E" w:rsidTr="00251724">
        <w:trPr>
          <w:tblHeader/>
        </w:trPr>
        <w:tc>
          <w:tcPr>
            <w:tcW w:w="1800" w:type="dxa"/>
            <w:tcBorders>
              <w:top w:val="double" w:sz="6" w:space="0" w:color="auto"/>
              <w:left w:val="double" w:sz="6" w:space="0" w:color="auto"/>
              <w:bottom w:val="single" w:sz="1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Pr>
                <w:b/>
                <w:sz w:val="20"/>
              </w:rPr>
              <w:instrText xml:space="preserve">PRIVATE </w:instrText>
            </w:r>
            <w:r>
              <w:rPr>
                <w:b/>
                <w:sz w:val="20"/>
              </w:rPr>
              <w:fldChar w:fldCharType="end"/>
            </w:r>
            <w:r>
              <w:rPr>
                <w:b/>
                <w:sz w:val="20"/>
              </w:rPr>
              <w:t>Fee Category</w:t>
            </w:r>
          </w:p>
        </w:tc>
        <w:tc>
          <w:tcPr>
            <w:tcW w:w="1350" w:type="dxa"/>
            <w:tcBorders>
              <w:top w:val="double" w:sz="6" w:space="0" w:color="auto"/>
              <w:left w:val="single" w:sz="6" w:space="0" w:color="auto"/>
              <w:bottom w:val="single" w:sz="1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2015 Payment Units</w:t>
            </w:r>
          </w:p>
        </w:tc>
        <w:tc>
          <w:tcPr>
            <w:tcW w:w="540" w:type="dxa"/>
            <w:tcBorders>
              <w:top w:val="double" w:sz="6" w:space="0" w:color="auto"/>
              <w:left w:val="single" w:sz="6" w:space="0" w:color="auto"/>
              <w:bottom w:val="single" w:sz="1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Yrs</w:t>
            </w:r>
          </w:p>
        </w:tc>
        <w:tc>
          <w:tcPr>
            <w:tcW w:w="1080" w:type="dxa"/>
            <w:tcBorders>
              <w:top w:val="double" w:sz="6" w:space="0" w:color="auto"/>
              <w:left w:val="single" w:sz="6" w:space="0" w:color="auto"/>
              <w:bottom w:val="single" w:sz="1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2014 Revenue Estimate</w:t>
            </w:r>
          </w:p>
        </w:tc>
        <w:tc>
          <w:tcPr>
            <w:tcW w:w="1080" w:type="dxa"/>
            <w:tcBorders>
              <w:top w:val="double" w:sz="6" w:space="0" w:color="auto"/>
              <w:left w:val="single" w:sz="6" w:space="0" w:color="auto"/>
              <w:bottom w:val="single" w:sz="1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2015 Revenue Require-ment</w:t>
            </w:r>
          </w:p>
        </w:tc>
        <w:tc>
          <w:tcPr>
            <w:tcW w:w="1080" w:type="dxa"/>
            <w:tcBorders>
              <w:top w:val="double" w:sz="6" w:space="0" w:color="auto"/>
              <w:left w:val="single" w:sz="6" w:space="0" w:color="auto"/>
              <w:bottom w:val="single" w:sz="18"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Computed FY 2015 Regulatory Fee</w:t>
            </w:r>
          </w:p>
        </w:tc>
        <w:tc>
          <w:tcPr>
            <w:tcW w:w="900" w:type="dxa"/>
            <w:tcBorders>
              <w:top w:val="double" w:sz="6" w:space="0" w:color="auto"/>
              <w:left w:val="single" w:sz="6" w:space="0" w:color="auto"/>
              <w:bottom w:val="single" w:sz="1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 Rounded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2015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 Fee</w:t>
            </w:r>
          </w:p>
        </w:tc>
        <w:tc>
          <w:tcPr>
            <w:tcW w:w="1170" w:type="dxa"/>
            <w:tcBorders>
              <w:top w:val="double" w:sz="6" w:space="0" w:color="auto"/>
              <w:left w:val="single" w:sz="6" w:space="0" w:color="auto"/>
              <w:bottom w:val="single" w:sz="18"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2015</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4D303E" w:rsidTr="00251724">
        <w:tc>
          <w:tcPr>
            <w:tcW w:w="1800" w:type="dxa"/>
            <w:tcBorders>
              <w:top w:val="single" w:sz="1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1,820</w:t>
            </w:r>
          </w:p>
        </w:tc>
        <w:tc>
          <w:tcPr>
            <w:tcW w:w="540" w:type="dxa"/>
            <w:tcBorders>
              <w:top w:val="single" w:sz="1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595,000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589,899</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w:t>
            </w:r>
          </w:p>
        </w:tc>
        <w:tc>
          <w:tcPr>
            <w:tcW w:w="900" w:type="dxa"/>
            <w:tcBorders>
              <w:top w:val="single" w:sz="1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546,000</w:t>
            </w:r>
          </w:p>
        </w:tc>
      </w:tr>
      <w:tr w:rsidR="004D303E" w:rsidTr="00251724">
        <w:tc>
          <w:tcPr>
            <w:tcW w:w="180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31,000</w:t>
            </w:r>
          </w:p>
        </w:tc>
        <w:tc>
          <w:tcPr>
            <w:tcW w:w="54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2,822,788</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3,100,000</w:t>
            </w:r>
          </w:p>
        </w:tc>
      </w:tr>
      <w:tr w:rsidR="004D303E" w:rsidTr="00251724">
        <w:tc>
          <w:tcPr>
            <w:tcW w:w="180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12,600</w:t>
            </w:r>
          </w:p>
        </w:tc>
        <w:tc>
          <w:tcPr>
            <w:tcW w:w="54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2,780,552</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2,520,000</w:t>
            </w:r>
          </w:p>
        </w:tc>
      </w:tr>
      <w:tr w:rsidR="004D303E" w:rsidTr="00251724">
        <w:tc>
          <w:tcPr>
            <w:tcW w:w="1800" w:type="dxa"/>
            <w:tcBorders>
              <w:top w:val="single" w:sz="8" w:space="0" w:color="auto"/>
              <w:left w:val="double" w:sz="12" w:space="0" w:color="auto"/>
              <w:bottom w:val="single" w:sz="8" w:space="0" w:color="auto"/>
              <w:right w:val="single" w:sz="8" w:space="0" w:color="auto"/>
            </w:tcBorders>
            <w:shd w:val="clear" w:color="auto" w:fill="C0C0C0"/>
          </w:tcPr>
          <w:p w:rsidR="004D303E" w:rsidRPr="00A869B5"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6,300 </w:t>
            </w:r>
          </w:p>
        </w:tc>
        <w:tc>
          <w:tcPr>
            <w:tcW w:w="54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927,085</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945,000</w:t>
            </w:r>
          </w:p>
        </w:tc>
      </w:tr>
      <w:tr w:rsidR="004D303E" w:rsidTr="00251724">
        <w:tc>
          <w:tcPr>
            <w:tcW w:w="180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4,200 </w:t>
            </w:r>
          </w:p>
        </w:tc>
        <w:tc>
          <w:tcPr>
            <w:tcW w:w="54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420,954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420,000</w:t>
            </w:r>
          </w:p>
        </w:tc>
      </w:tr>
      <w:tr w:rsidR="004D303E" w:rsidTr="00251724">
        <w:tc>
          <w:tcPr>
            <w:tcW w:w="180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490 </w:t>
            </w:r>
          </w:p>
        </w:tc>
        <w:tc>
          <w:tcPr>
            <w:tcW w:w="54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168,241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171,500</w:t>
            </w:r>
          </w:p>
        </w:tc>
      </w:tr>
      <w:tr w:rsidR="004D303E" w:rsidTr="00251724">
        <w:tc>
          <w:tcPr>
            <w:tcW w:w="1800" w:type="dxa"/>
            <w:tcBorders>
              <w:top w:val="single" w:sz="8" w:space="0" w:color="auto"/>
              <w:left w:val="double" w:sz="12" w:space="0" w:color="auto"/>
              <w:bottom w:val="single" w:sz="8" w:space="0" w:color="auto"/>
              <w:right w:val="single" w:sz="8" w:space="0" w:color="auto"/>
            </w:tcBorders>
            <w:shd w:val="clear" w:color="auto" w:fill="C0C0C0"/>
          </w:tcPr>
          <w:p w:rsidR="004D303E" w:rsidRPr="00A869B5"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900 </w:t>
            </w:r>
          </w:p>
        </w:tc>
        <w:tc>
          <w:tcPr>
            <w:tcW w:w="54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153,000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168,241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180,000</w:t>
            </w:r>
          </w:p>
        </w:tc>
      </w:tr>
      <w:tr w:rsidR="004D303E" w:rsidTr="00251724">
        <w:tc>
          <w:tcPr>
            <w:tcW w:w="1800" w:type="dxa"/>
            <w:tcBorders>
              <w:top w:val="single" w:sz="8"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w:t>
            </w:r>
          </w:p>
        </w:tc>
        <w:tc>
          <w:tcPr>
            <w:tcW w:w="540" w:type="dxa"/>
            <w:tcBorders>
              <w:top w:val="single" w:sz="8"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274,700</w:t>
            </w:r>
          </w:p>
        </w:tc>
        <w:tc>
          <w:tcPr>
            <w:tcW w:w="1080" w:type="dxa"/>
            <w:tcBorders>
              <w:top w:val="single" w:sz="8"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280,935</w:t>
            </w:r>
          </w:p>
        </w:tc>
        <w:tc>
          <w:tcPr>
            <w:tcW w:w="1080" w:type="dxa"/>
            <w:tcBorders>
              <w:top w:val="single" w:sz="8"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4,322</w:t>
            </w:r>
          </w:p>
        </w:tc>
        <w:tc>
          <w:tcPr>
            <w:tcW w:w="900" w:type="dxa"/>
            <w:tcBorders>
              <w:top w:val="single" w:sz="8"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4,325</w:t>
            </w:r>
          </w:p>
        </w:tc>
        <w:tc>
          <w:tcPr>
            <w:tcW w:w="1170" w:type="dxa"/>
            <w:tcBorders>
              <w:top w:val="single" w:sz="8"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281,125</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1,505</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3,410,900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3,483,012</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2,314</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2,325</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3,499,125</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889</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1,212,750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1,245,750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1,401</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1,244,600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1,492</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4,033,300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4,120,475</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2,762</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2,750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4,103,000</w:t>
            </w:r>
          </w:p>
        </w:tc>
      </w:tr>
      <w:tr w:rsidR="004D303E" w:rsidTr="00251724">
        <w:tc>
          <w:tcPr>
            <w:tcW w:w="1800" w:type="dxa"/>
            <w:tcBorders>
              <w:top w:val="single" w:sz="6" w:space="0" w:color="auto"/>
              <w:left w:val="double" w:sz="6" w:space="0" w:color="auto"/>
            </w:tcBorders>
          </w:tcPr>
          <w:p w:rsidR="004D303E" w:rsidRPr="00445C3B"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3,132</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8,466,575</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8,641,905</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2,759</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2,700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8,613,000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3,143</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10,437,175</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10,595,484</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3,371</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3,375</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10,607,625</w:t>
            </w:r>
          </w:p>
        </w:tc>
      </w:tr>
      <w:tr w:rsidR="004D303E" w:rsidTr="00251724">
        <w:trPr>
          <w:trHeight w:val="534"/>
        </w:trPr>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AM Construction Permits </w:t>
            </w:r>
            <w:r>
              <w:rPr>
                <w:sz w:val="20"/>
                <w:vertAlign w:val="superscript"/>
              </w:rPr>
              <w:t>1</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17,700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17,110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17,110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182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138,750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136,500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136,500</w:t>
            </w:r>
          </w:p>
        </w:tc>
      </w:tr>
      <w:tr w:rsidR="004D303E" w:rsidTr="00251724">
        <w:trPr>
          <w:trHeight w:val="444"/>
        </w:trPr>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127</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196,850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199,675</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1,572</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1,575</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200,025</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1-10</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134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6,161,700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6,274,824</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46,827</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46,825</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6,274,550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11-25</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137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5,809,800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5,918,646</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43,202</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43,200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5,918,400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26-50</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181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4,909,450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5,001,220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27,631</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27,625</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5,00,125</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Digital TV Markets 51-100</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283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4,524,000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4,608,775</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16,285</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16,275</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4,605,825</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Digital TV  Remaining Markets </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379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1,805,000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1,834,853</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4,841</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4,850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1,838,150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Digital TV Construction Permits</w:t>
            </w:r>
            <w:r>
              <w:rPr>
                <w:sz w:val="20"/>
                <w:vertAlign w:val="superscript"/>
              </w:rPr>
              <w:t>1</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23,750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9,700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4,850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4,850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9,700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3,640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1,570,300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1,592,900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438</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1,601,600</w:t>
            </w:r>
          </w:p>
        </w:tc>
      </w:tr>
      <w:tr w:rsidR="004D303E" w:rsidTr="00251724">
        <w:tc>
          <w:tcPr>
            <w:tcW w:w="1800" w:type="dxa"/>
            <w:tcBorders>
              <w:top w:val="single" w:sz="6" w:space="0" w:color="auto"/>
              <w:left w:val="double" w:sz="6" w:space="0" w:color="auto"/>
            </w:tcBorders>
          </w:tcPr>
          <w:p w:rsidR="004D303E" w:rsidRPr="00A869B5"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CARS Stations</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196,625</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197,876</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660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660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198,000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including IPTV </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64,500,000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64,746,000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61,618,439</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.955532</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61,920,000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Direct Broadcast Satellite (DBS)</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34,000,000</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4,115,811</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.1211</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4,080,000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$38,800,000,000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131,369,000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128,607,682</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0.0033146</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0.00331</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128,428,000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Toll Free Numbers</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36,500,000</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4,419,018</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0.12069</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0.12</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4,380,000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354,000,000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60,300,000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60,506,881</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0.1737</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0.17</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60,180,000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2,600,000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232,000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208,000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208,000</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890</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375</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643,500</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135,850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564,064</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237,667</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634</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634</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635</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635</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565,150</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238,125</w:t>
            </w:r>
          </w:p>
        </w:tc>
      </w:tr>
      <w:tr w:rsidR="004D303E" w:rsidTr="00251724">
        <w:tc>
          <w:tcPr>
            <w:tcW w:w="1800" w:type="dxa"/>
            <w:tcBorders>
              <w:top w:val="single" w:sz="6" w:space="0" w:color="auto"/>
              <w:left w:val="double" w:sz="6" w:space="0" w:color="auto"/>
            </w:tcBorders>
          </w:tcPr>
          <w:p w:rsidR="004D303E" w:rsidRPr="00A869B5"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 xml:space="preserve">Per 64 kbps Int’l Bearer Circuits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r>
              <w:rPr>
                <w:sz w:val="20"/>
                <w:vertAlign w:val="superscript"/>
              </w:rPr>
              <w:t>5</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21,900,000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941,640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658,593</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.0301</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.03</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657,000</w:t>
            </w:r>
          </w:p>
        </w:tc>
      </w:tr>
      <w:tr w:rsidR="004D303E" w:rsidTr="00251724">
        <w:tc>
          <w:tcPr>
            <w:tcW w:w="1800" w:type="dxa"/>
            <w:tcBorders>
              <w:top w:val="single" w:sz="6" w:space="0" w:color="auto"/>
              <w:left w:val="double" w:sz="6" w:space="0" w:color="auto"/>
            </w:tcBorders>
          </w:tcPr>
          <w:p w:rsidR="004D303E" w:rsidRPr="0057180B"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Pr>
                <w:sz w:val="20"/>
                <w:vertAlign w:val="superscript"/>
              </w:rPr>
              <w:t>3,5</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40.563</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6,586,731</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4,652,639</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114,702</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114,700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4,652,576</w:t>
            </w:r>
          </w:p>
        </w:tc>
      </w:tr>
      <w:tr w:rsidR="004D303E" w:rsidTr="00251724">
        <w:trPr>
          <w:trHeight w:val="370"/>
        </w:trPr>
        <w:tc>
          <w:tcPr>
            <w:tcW w:w="1800" w:type="dxa"/>
            <w:tcBorders>
              <w:top w:val="single" w:sz="6" w:space="0" w:color="auto"/>
              <w:left w:val="double" w:sz="6" w:space="0" w:color="auto"/>
            </w:tcBorders>
          </w:tcPr>
          <w:p w:rsidR="004D303E" w:rsidRPr="00A869B5"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 xml:space="preserve">Earth Stations </w:t>
            </w:r>
            <w:r>
              <w:rPr>
                <w:sz w:val="20"/>
                <w:vertAlign w:val="superscript"/>
              </w:rPr>
              <w:t>5</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3,300 </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1,003,000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1,022,890</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w:t>
            </w:r>
          </w:p>
        </w:tc>
        <w:tc>
          <w:tcPr>
            <w:tcW w:w="117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1,023,000</w:t>
            </w:r>
          </w:p>
        </w:tc>
      </w:tr>
      <w:tr w:rsidR="004D303E" w:rsidTr="00251724">
        <w:trPr>
          <w:trHeight w:val="595"/>
        </w:trPr>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Space Stations (Geostationary) </w:t>
            </w:r>
            <w:r>
              <w:rPr>
                <w:sz w:val="20"/>
                <w:vertAlign w:val="superscript"/>
              </w:rPr>
              <w:t>5</w:t>
            </w:r>
          </w:p>
        </w:tc>
        <w:tc>
          <w:tcPr>
            <w:tcW w:w="1350" w:type="dxa"/>
            <w:tcBorders>
              <w:top w:val="single" w:sz="6" w:space="0" w:color="auto"/>
              <w:left w:val="single" w:sz="6" w:space="0" w:color="auto"/>
            </w:tcBorders>
          </w:tcPr>
          <w:p w:rsidR="004D303E" w:rsidRDefault="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w:t>
            </w:r>
            <w:r w:rsidR="00993C41">
              <w:rPr>
                <w:sz w:val="20"/>
              </w:rPr>
              <w:t>6</w:t>
            </w: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11,505,600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11,437,435</w:t>
            </w:r>
          </w:p>
        </w:tc>
        <w:tc>
          <w:tcPr>
            <w:tcW w:w="1080" w:type="dxa"/>
            <w:tcBorders>
              <w:top w:val="single" w:sz="6" w:space="0" w:color="auto"/>
              <w:left w:val="single" w:sz="6" w:space="0" w:color="auto"/>
              <w:right w:val="single" w:sz="6" w:space="0" w:color="auto"/>
            </w:tcBorders>
          </w:tcPr>
          <w:p w:rsidR="004D303E" w:rsidRDefault="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w:t>
            </w:r>
            <w:r w:rsidR="00993C41">
              <w:rPr>
                <w:sz w:val="20"/>
              </w:rPr>
              <w:t>19</w:t>
            </w:r>
            <w:r>
              <w:rPr>
                <w:sz w:val="20"/>
              </w:rPr>
              <w:t>,</w:t>
            </w:r>
            <w:r w:rsidR="00993C41">
              <w:rPr>
                <w:sz w:val="20"/>
              </w:rPr>
              <w:t>140</w:t>
            </w:r>
          </w:p>
        </w:tc>
        <w:tc>
          <w:tcPr>
            <w:tcW w:w="900" w:type="dxa"/>
            <w:tcBorders>
              <w:top w:val="single" w:sz="6" w:space="0" w:color="auto"/>
              <w:left w:val="single" w:sz="6" w:space="0" w:color="auto"/>
            </w:tcBorders>
          </w:tcPr>
          <w:p w:rsidR="004D303E" w:rsidRDefault="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w:t>
            </w:r>
            <w:r w:rsidR="00993C41">
              <w:rPr>
                <w:sz w:val="20"/>
              </w:rPr>
              <w:t>19</w:t>
            </w:r>
            <w:r>
              <w:rPr>
                <w:sz w:val="20"/>
              </w:rPr>
              <w:t>,</w:t>
            </w:r>
            <w:r w:rsidR="00993C41">
              <w:rPr>
                <w:sz w:val="20"/>
              </w:rPr>
              <w:t>150</w:t>
            </w:r>
          </w:p>
        </w:tc>
        <w:tc>
          <w:tcPr>
            <w:tcW w:w="1170" w:type="dxa"/>
            <w:tcBorders>
              <w:top w:val="single" w:sz="6" w:space="0" w:color="auto"/>
              <w:left w:val="single" w:sz="6" w:space="0" w:color="auto"/>
              <w:right w:val="double" w:sz="6" w:space="0" w:color="auto"/>
            </w:tcBorders>
          </w:tcPr>
          <w:p w:rsidR="004D303E" w:rsidRDefault="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11,438,</w:t>
            </w:r>
            <w:r w:rsidR="00993C41">
              <w:rPr>
                <w:sz w:val="20"/>
              </w:rPr>
              <w:t>4</w:t>
            </w:r>
            <w:r>
              <w:rPr>
                <w:sz w:val="20"/>
              </w:rPr>
              <w:t>00</w:t>
            </w:r>
          </w:p>
        </w:tc>
      </w:tr>
      <w:tr w:rsidR="004D303E" w:rsidTr="00251724">
        <w:trPr>
          <w:trHeight w:val="874"/>
        </w:trPr>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Space Stations (Non-Geostationary) </w:t>
            </w:r>
            <w:r>
              <w:rPr>
                <w:sz w:val="20"/>
                <w:vertAlign w:val="superscript"/>
              </w:rPr>
              <w:t>5</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4D303E" w:rsidRDefault="00993C41"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2" w:space="0" w:color="auto"/>
              <w:left w:val="single" w:sz="2" w:space="0" w:color="auto"/>
              <w:bottom w:val="double" w:sz="4" w:space="0" w:color="auto"/>
              <w:right w:val="single" w:sz="2"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797,100</w:t>
            </w:r>
          </w:p>
        </w:tc>
        <w:tc>
          <w:tcPr>
            <w:tcW w:w="1080" w:type="dxa"/>
            <w:tcBorders>
              <w:top w:val="single" w:sz="2" w:space="0" w:color="auto"/>
              <w:left w:val="nil"/>
              <w:bottom w:val="double" w:sz="4" w:space="0" w:color="auto"/>
              <w:right w:val="single" w:sz="2"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792,693</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w:t>
            </w:r>
            <w:r w:rsidR="00993C41">
              <w:rPr>
                <w:sz w:val="20"/>
              </w:rPr>
              <w:t>32</w:t>
            </w:r>
            <w:r>
              <w:rPr>
                <w:sz w:val="20"/>
              </w:rPr>
              <w:t>,</w:t>
            </w:r>
            <w:r w:rsidR="00993C41">
              <w:rPr>
                <w:sz w:val="20"/>
              </w:rPr>
              <w:t>116</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w:t>
            </w:r>
            <w:r w:rsidR="00993C41">
              <w:rPr>
                <w:sz w:val="20"/>
              </w:rPr>
              <w:t>32</w:t>
            </w:r>
            <w:r>
              <w:rPr>
                <w:sz w:val="20"/>
              </w:rPr>
              <w:t>,</w:t>
            </w:r>
            <w:r w:rsidR="00993C41">
              <w:rPr>
                <w:sz w:val="20"/>
              </w:rPr>
              <w:t>125</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792,750</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339,847,246</w:t>
            </w:r>
          </w:p>
        </w:tc>
        <w:tc>
          <w:tcPr>
            <w:tcW w:w="1080" w:type="dxa"/>
            <w:tcBorders>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341,879,214</w:t>
            </w:r>
          </w:p>
        </w:tc>
        <w:tc>
          <w:tcPr>
            <w:tcW w:w="1080" w:type="dxa"/>
            <w:tcBorders>
              <w:top w:val="single" w:sz="6" w:space="0" w:color="auto"/>
              <w:left w:val="sing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4D303E" w:rsidRDefault="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340,593,</w:t>
            </w:r>
            <w:r w:rsidR="00993C41">
              <w:rPr>
                <w:sz w:val="20"/>
              </w:rPr>
              <w:t>9</w:t>
            </w:r>
            <w:r>
              <w:rPr>
                <w:sz w:val="20"/>
              </w:rPr>
              <w:t>61</w:t>
            </w:r>
          </w:p>
        </w:tc>
      </w:tr>
      <w:tr w:rsidR="004D303E" w:rsidTr="00251724">
        <w:tc>
          <w:tcPr>
            <w:tcW w:w="180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4D303E" w:rsidTr="00251724">
        <w:tc>
          <w:tcPr>
            <w:tcW w:w="1800" w:type="dxa"/>
            <w:tcBorders>
              <w:top w:val="single" w:sz="6" w:space="0" w:color="auto"/>
              <w:left w:val="doub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54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3,246</w:t>
            </w:r>
          </w:p>
        </w:tc>
        <w:tc>
          <w:tcPr>
            <w:tcW w:w="1080" w:type="dxa"/>
            <w:tcBorders>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2,035,214</w:t>
            </w:r>
          </w:p>
        </w:tc>
        <w:tc>
          <w:tcPr>
            <w:tcW w:w="1080" w:type="dxa"/>
            <w:tcBorders>
              <w:top w:val="single" w:sz="6" w:space="0" w:color="auto"/>
              <w:left w:val="single" w:sz="6" w:space="0" w:color="auto"/>
              <w:bottom w:val="double" w:sz="6" w:space="0" w:color="auto"/>
              <w:righ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4D303E" w:rsidRDefault="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749,</w:t>
            </w:r>
            <w:r w:rsidR="00993C41">
              <w:rPr>
                <w:sz w:val="20"/>
              </w:rPr>
              <w:t>9</w:t>
            </w:r>
            <w:r>
              <w:rPr>
                <w:sz w:val="20"/>
              </w:rPr>
              <w:t>61</w:t>
            </w:r>
          </w:p>
        </w:tc>
      </w:tr>
    </w:tbl>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4D303E" w:rsidRPr="00CC1385" w:rsidRDefault="004D303E" w:rsidP="004D303E">
      <w:pPr>
        <w:widowControl/>
        <w:rPr>
          <w:sz w:val="20"/>
          <w:u w:val="single"/>
        </w:rPr>
      </w:pPr>
      <w:r>
        <w:rPr>
          <w:sz w:val="20"/>
          <w:u w:val="single"/>
        </w:rPr>
        <w:br w:type="page"/>
        <w:t xml:space="preserve">Notes on Appendix </w:t>
      </w:r>
      <w:r w:rsidRPr="00CC1385">
        <w:rPr>
          <w:sz w:val="20"/>
          <w:u w:val="single"/>
        </w:rPr>
        <w:t>B</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were also offset by increases in the revenue totals for various Digital television stations by market size, respectively. </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Report &amp; Order and Further Notice of Proposed Rulemaking, 19 FCC Rcd 14165, 14169, para. 6 (2004).</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Appendix C lists the submarine cable bearer circuit regulatory fees (common and non-common carrier basis) that resulted from the adoption of the </w:t>
      </w:r>
      <w:r w:rsidRPr="00FD4A9B">
        <w:rPr>
          <w:i/>
          <w:sz w:val="20"/>
        </w:rPr>
        <w:t>FY</w:t>
      </w:r>
      <w:r>
        <w:rPr>
          <w:i/>
          <w:sz w:val="20"/>
        </w:rPr>
        <w:t xml:space="preserve"> </w:t>
      </w:r>
      <w:r w:rsidRPr="00FD4A9B">
        <w:rPr>
          <w:i/>
          <w:sz w:val="20"/>
        </w:rPr>
        <w:t>2008 Further Notice</w:t>
      </w:r>
      <w:r>
        <w:rPr>
          <w:sz w:val="20"/>
        </w:rPr>
        <w:t xml:space="preserve">, 24 FCC Rcd 6388 and the </w:t>
      </w:r>
      <w:r w:rsidRPr="00FD4A9B">
        <w:rPr>
          <w:i/>
          <w:sz w:val="20"/>
        </w:rPr>
        <w:t>Submarine Cable Order</w:t>
      </w:r>
      <w:r>
        <w:rPr>
          <w:sz w:val="20"/>
        </w:rPr>
        <w:t>, 24 FCC Rcd 4208.</w:t>
      </w:r>
    </w:p>
    <w:p w:rsidR="004D303E" w:rsidRPr="00A93FE4"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2015 Regulatory Fee” constitute a weighted average media regulatory fee by class of service.  The actual FY 2015 regulatory fees for AM/FM radio station are listed on a grid located at the end of Appendix C.   </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5</w:t>
      </w:r>
      <w:r>
        <w:rPr>
          <w:sz w:val="20"/>
        </w:rPr>
        <w:t xml:space="preserve"> As </w:t>
      </w:r>
      <w:r w:rsidRPr="00A869B5">
        <w:rPr>
          <w:sz w:val="20"/>
        </w:rPr>
        <w:t>a continuation of our regulatory fee reform</w:t>
      </w:r>
      <w:r>
        <w:rPr>
          <w:sz w:val="20"/>
        </w:rPr>
        <w:t xml:space="preserve"> for the submarine cable and bearer circuit fee categories, the allocation percentage for these two categories, in relation to the satellite (GSO and NGSO) and earth station fee categories, was reduced by approximately 7.5 per cent proportionally between the submarine cable and bearer circuit fee categories.  This allocation reduction of 7.5 per cent resulted in an increase in the allocation for the satellite and earth station fee categories.  In addition, four (4) International Bureau FTEs were changed from “direct” to “indirect”, thereby reducing the International Bureau’s overall FTE allocation percentage.  </w:t>
      </w:r>
    </w:p>
    <w:p w:rsidR="004E0F73" w:rsidRDefault="004E0F73">
      <w:pPr>
        <w:widowControl/>
        <w:rPr>
          <w:b/>
          <w:color w:val="000000"/>
        </w:rPr>
      </w:pPr>
      <w:r>
        <w:rPr>
          <w:b/>
          <w:color w:val="000000"/>
        </w:rPr>
        <w:br w:type="page"/>
      </w:r>
    </w:p>
    <w:p w:rsidR="004D303E" w:rsidRDefault="004D303E" w:rsidP="00E9379E">
      <w:pPr>
        <w:widowControl/>
        <w:rPr>
          <w:sz w:val="20"/>
          <w:u w:val="single"/>
        </w:rPr>
      </w:pPr>
    </w:p>
    <w:p w:rsidR="00465628" w:rsidRDefault="004D303E" w:rsidP="004D303E">
      <w:pPr>
        <w:autoSpaceDE w:val="0"/>
        <w:autoSpaceDN w:val="0"/>
        <w:adjustRightInd w:val="0"/>
        <w:jc w:val="center"/>
        <w:rPr>
          <w:b/>
        </w:rPr>
      </w:pPr>
      <w:r>
        <w:rPr>
          <w:b/>
          <w:szCs w:val="22"/>
        </w:rPr>
        <w:t>APPENDIX C</w:t>
      </w:r>
      <w:r w:rsidRPr="004D303E">
        <w:rPr>
          <w:b/>
        </w:rPr>
        <w:t xml:space="preserve"> </w:t>
      </w:r>
    </w:p>
    <w:p w:rsidR="00465628" w:rsidRDefault="00465628" w:rsidP="004D303E">
      <w:pPr>
        <w:autoSpaceDE w:val="0"/>
        <w:autoSpaceDN w:val="0"/>
        <w:adjustRightInd w:val="0"/>
        <w:jc w:val="center"/>
        <w:rPr>
          <w:b/>
        </w:rPr>
      </w:pPr>
    </w:p>
    <w:p w:rsidR="004D303E" w:rsidRDefault="004D303E" w:rsidP="004D303E">
      <w:pPr>
        <w:jc w:val="center"/>
        <w:rPr>
          <w:b/>
        </w:rPr>
      </w:pPr>
      <w:r>
        <w:rPr>
          <w:b/>
        </w:rPr>
        <w:t>FY 2015 Schedule of Regulatory Fees</w:t>
      </w:r>
    </w:p>
    <w:p w:rsidR="004D303E" w:rsidRDefault="004D303E" w:rsidP="004D303E">
      <w:pPr>
        <w:jc w:val="center"/>
        <w:rPr>
          <w:b/>
        </w:rPr>
      </w:pPr>
    </w:p>
    <w:p w:rsidR="004D303E" w:rsidRDefault="004D303E" w:rsidP="004D303E">
      <w:pPr>
        <w:tabs>
          <w:tab w:val="center" w:pos="5040"/>
        </w:tabs>
        <w:suppressAutoHyphens/>
        <w:outlineLvl w:val="0"/>
        <w:rPr>
          <w:szCs w:val="22"/>
        </w:rPr>
      </w:pPr>
      <w:bookmarkStart w:id="204" w:name="_Toc394672330"/>
      <w:r>
        <w:rPr>
          <w:szCs w:val="22"/>
        </w:rPr>
        <w:t>Regulatory fees for the categories shaded in gray are collected by the Commission in advance to cover the term of the license and are submitted at the time the application is filed.</w:t>
      </w:r>
      <w:bookmarkEnd w:id="204"/>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4D303E" w:rsidTr="00251724">
        <w:trPr>
          <w:tblHeader/>
        </w:trPr>
        <w:tc>
          <w:tcPr>
            <w:tcW w:w="6840" w:type="dxa"/>
            <w:tcBorders>
              <w:top w:val="double" w:sz="6" w:space="0" w:color="auto"/>
              <w:left w:val="double" w:sz="6" w:space="0" w:color="auto"/>
              <w:bottom w:val="single" w:sz="8"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Pr>
                <w:sz w:val="20"/>
              </w:rPr>
              <w:instrText xml:space="preserve">PRIVATE </w:instrText>
            </w:r>
            <w:r>
              <w:rPr>
                <w:sz w:val="20"/>
              </w:rPr>
              <w:fldChar w:fldCharType="end"/>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4D303E" w:rsidRDefault="004D303E" w:rsidP="00251724">
            <w:pPr>
              <w:tabs>
                <w:tab w:val="center" w:pos="850"/>
              </w:tabs>
              <w:suppressAutoHyphens/>
              <w:spacing w:after="54"/>
              <w:jc w:val="center"/>
              <w:rPr>
                <w:b/>
                <w:sz w:val="20"/>
              </w:rPr>
            </w:pPr>
            <w:r>
              <w:rPr>
                <w:b/>
                <w:sz w:val="20"/>
              </w:rPr>
              <w:t>(U.S. $'s)</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30</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s>
              <w:suppressAutoHyphens/>
              <w:spacing w:before="90" w:after="54"/>
              <w:jc w:val="center"/>
              <w:rPr>
                <w:sz w:val="20"/>
              </w:rPr>
            </w:pPr>
            <w:r>
              <w:rPr>
                <w:sz w:val="20"/>
              </w:rPr>
              <w:t>15</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s>
              <w:suppressAutoHyphens/>
              <w:spacing w:before="90" w:after="54"/>
              <w:jc w:val="center"/>
              <w:rPr>
                <w:sz w:val="20"/>
              </w:rPr>
            </w:pPr>
            <w:r>
              <w:rPr>
                <w:sz w:val="20"/>
              </w:rPr>
              <w:t>35</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s>
              <w:suppressAutoHyphens/>
              <w:spacing w:before="90" w:after="54"/>
              <w:jc w:val="center"/>
              <w:rPr>
                <w:sz w:val="20"/>
              </w:rPr>
            </w:pPr>
            <w:r>
              <w:rPr>
                <w:sz w:val="20"/>
              </w:rPr>
              <w:t>10</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s>
              <w:suppressAutoHyphens/>
              <w:spacing w:before="90" w:after="54"/>
              <w:jc w:val="center"/>
              <w:rPr>
                <w:sz w:val="20"/>
              </w:rPr>
            </w:pPr>
            <w:r>
              <w:rPr>
                <w:sz w:val="20"/>
              </w:rPr>
              <w:t>10</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s>
              <w:suppressAutoHyphens/>
              <w:spacing w:before="90" w:after="54"/>
              <w:jc w:val="center"/>
              <w:rPr>
                <w:sz w:val="20"/>
              </w:rPr>
            </w:pPr>
            <w:r>
              <w:rPr>
                <w:sz w:val="20"/>
              </w:rPr>
              <w:t>10</w:t>
            </w:r>
          </w:p>
        </w:tc>
      </w:tr>
      <w:tr w:rsidR="004D303E"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4D303E" w:rsidRDefault="004D303E" w:rsidP="0025172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4D303E" w:rsidRDefault="004D303E" w:rsidP="00251724">
            <w:pPr>
              <w:tabs>
                <w:tab w:val="left" w:pos="-1440"/>
                <w:tab w:val="left" w:pos="-720"/>
              </w:tabs>
              <w:suppressAutoHyphens/>
              <w:spacing w:before="90" w:after="54"/>
              <w:jc w:val="center"/>
              <w:rPr>
                <w:sz w:val="20"/>
              </w:rPr>
            </w:pPr>
            <w:r>
              <w:rPr>
                <w:sz w:val="20"/>
              </w:rPr>
              <w:t>20</w:t>
            </w:r>
          </w:p>
        </w:tc>
      </w:tr>
      <w:tr w:rsidR="004D303E" w:rsidTr="00251724">
        <w:tc>
          <w:tcPr>
            <w:tcW w:w="6840" w:type="dxa"/>
            <w:tcBorders>
              <w:top w:val="single" w:sz="8"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.17</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.08</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Broadband Radio Service (formerly MMDS/ MDS) (per license) (47 CFR part 27)</w:t>
            </w:r>
          </w:p>
          <w:p w:rsidR="004D303E" w:rsidRDefault="004D303E" w:rsidP="00251724">
            <w:pPr>
              <w:tabs>
                <w:tab w:val="left" w:pos="-1440"/>
                <w:tab w:val="left" w:pos="-720"/>
              </w:tabs>
              <w:suppressAutoHyphens/>
              <w:spacing w:before="90" w:after="54"/>
              <w:rPr>
                <w:sz w:val="20"/>
              </w:rPr>
            </w:pPr>
            <w:r>
              <w:rPr>
                <w:sz w:val="20"/>
              </w:rPr>
              <w:t>Local Multipoint Distribution Service (per call sign) (47 CFR, part 101)</w:t>
            </w:r>
          </w:p>
          <w:p w:rsidR="004D303E" w:rsidRDefault="004D303E" w:rsidP="00251724">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635</w:t>
            </w:r>
          </w:p>
          <w:p w:rsidR="004D303E" w:rsidRDefault="004D303E" w:rsidP="00251724">
            <w:pPr>
              <w:tabs>
                <w:tab w:val="left" w:pos="-1440"/>
                <w:tab w:val="left" w:pos="-720"/>
              </w:tabs>
              <w:suppressAutoHyphens/>
              <w:spacing w:before="90" w:after="54"/>
              <w:jc w:val="center"/>
              <w:rPr>
                <w:sz w:val="20"/>
              </w:rPr>
            </w:pPr>
          </w:p>
          <w:p w:rsidR="004D303E" w:rsidRDefault="004D303E" w:rsidP="00251724">
            <w:pPr>
              <w:tabs>
                <w:tab w:val="left" w:pos="-1440"/>
                <w:tab w:val="left" w:pos="-720"/>
              </w:tabs>
              <w:suppressAutoHyphens/>
              <w:spacing w:before="90" w:after="54"/>
              <w:jc w:val="center"/>
              <w:rPr>
                <w:sz w:val="20"/>
              </w:rPr>
            </w:pPr>
            <w:r>
              <w:rPr>
                <w:sz w:val="20"/>
              </w:rPr>
              <w:t>635</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590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750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right"/>
              <w:rPr>
                <w:sz w:val="20"/>
              </w:rPr>
            </w:pP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46,825</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43,200</w:t>
            </w:r>
          </w:p>
        </w:tc>
      </w:tr>
      <w:tr w:rsidR="004D303E" w:rsidTr="00251724">
        <w:tc>
          <w:tcPr>
            <w:tcW w:w="6840" w:type="dxa"/>
            <w:tcBorders>
              <w:top w:val="single" w:sz="2" w:space="0" w:color="auto"/>
              <w:left w:val="double" w:sz="2" w:space="0" w:color="auto"/>
              <w:right w:val="single" w:sz="2" w:space="0" w:color="auto"/>
            </w:tcBorders>
          </w:tcPr>
          <w:p w:rsidR="004D303E" w:rsidRDefault="004D303E" w:rsidP="00251724">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4D303E" w:rsidRDefault="004D303E" w:rsidP="00251724">
            <w:pPr>
              <w:tabs>
                <w:tab w:val="left" w:pos="-1440"/>
                <w:tab w:val="left" w:pos="-720"/>
              </w:tabs>
              <w:suppressAutoHyphens/>
              <w:spacing w:before="90" w:after="54"/>
              <w:jc w:val="center"/>
              <w:rPr>
                <w:sz w:val="20"/>
              </w:rPr>
            </w:pPr>
            <w:r>
              <w:rPr>
                <w:sz w:val="20"/>
              </w:rPr>
              <w:t>27,625</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16,275</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4,850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4,850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1,575</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440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660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.96</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.12</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.00331</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.12</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310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jc w:val="center"/>
              <w:rPr>
                <w:sz w:val="20"/>
              </w:rPr>
            </w:pPr>
          </w:p>
          <w:p w:rsidR="004D303E" w:rsidRDefault="004D303E">
            <w:pPr>
              <w:tabs>
                <w:tab w:val="left" w:pos="-1440"/>
                <w:tab w:val="left" w:pos="-720"/>
              </w:tabs>
              <w:suppressAutoHyphens/>
              <w:spacing w:after="54"/>
              <w:jc w:val="center"/>
              <w:rPr>
                <w:sz w:val="20"/>
              </w:rPr>
            </w:pPr>
            <w:r>
              <w:rPr>
                <w:sz w:val="20"/>
              </w:rPr>
              <w:t>1</w:t>
            </w:r>
            <w:r w:rsidR="00A52CA2">
              <w:rPr>
                <w:sz w:val="20"/>
              </w:rPr>
              <w:t>19</w:t>
            </w:r>
            <w:r>
              <w:rPr>
                <w:sz w:val="20"/>
              </w:rPr>
              <w:t>,</w:t>
            </w:r>
            <w:r w:rsidR="00A52CA2">
              <w:rPr>
                <w:sz w:val="20"/>
              </w:rPr>
              <w:t>150</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4D303E" w:rsidRDefault="004D303E">
            <w:pPr>
              <w:tabs>
                <w:tab w:val="left" w:pos="-1440"/>
                <w:tab w:val="left" w:pos="-720"/>
              </w:tabs>
              <w:suppressAutoHyphens/>
              <w:spacing w:before="90" w:after="54"/>
              <w:jc w:val="center"/>
              <w:rPr>
                <w:sz w:val="20"/>
              </w:rPr>
            </w:pPr>
            <w:r>
              <w:rPr>
                <w:sz w:val="20"/>
              </w:rPr>
              <w:t>1</w:t>
            </w:r>
            <w:r w:rsidR="00A52CA2">
              <w:rPr>
                <w:sz w:val="20"/>
              </w:rPr>
              <w:t>32</w:t>
            </w:r>
            <w:r>
              <w:rPr>
                <w:sz w:val="20"/>
              </w:rPr>
              <w:t>,</w:t>
            </w:r>
            <w:r w:rsidR="00A52CA2">
              <w:rPr>
                <w:sz w:val="20"/>
              </w:rPr>
              <w:t>125</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.03</w:t>
            </w:r>
          </w:p>
        </w:tc>
      </w:tr>
      <w:tr w:rsidR="004D303E" w:rsidTr="00251724">
        <w:tc>
          <w:tcPr>
            <w:tcW w:w="684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Submarine Cable Landing Licenses Fee (per cable system) </w:t>
            </w:r>
          </w:p>
        </w:tc>
        <w:tc>
          <w:tcPr>
            <w:tcW w:w="1710" w:type="dxa"/>
            <w:tcBorders>
              <w:top w:val="single" w:sz="6" w:space="0" w:color="auto"/>
              <w:left w:val="single" w:sz="6" w:space="0" w:color="auto"/>
              <w:right w:val="double" w:sz="6" w:space="0" w:color="auto"/>
            </w:tcBorders>
          </w:tcPr>
          <w:p w:rsidR="004D303E" w:rsidRDefault="004D303E" w:rsidP="00251724">
            <w:pPr>
              <w:tabs>
                <w:tab w:val="left" w:pos="-1440"/>
                <w:tab w:val="left" w:pos="-720"/>
              </w:tabs>
              <w:suppressAutoHyphens/>
              <w:spacing w:before="90" w:after="54"/>
              <w:jc w:val="center"/>
              <w:rPr>
                <w:sz w:val="20"/>
              </w:rPr>
            </w:pPr>
            <w:r>
              <w:rPr>
                <w:sz w:val="20"/>
              </w:rPr>
              <w:t>See Table Below</w:t>
            </w:r>
          </w:p>
        </w:tc>
      </w:tr>
      <w:tr w:rsidR="004D303E" w:rsidTr="00251724">
        <w:trPr>
          <w:trHeight w:val="57"/>
        </w:trPr>
        <w:tc>
          <w:tcPr>
            <w:tcW w:w="6840" w:type="dxa"/>
            <w:tcBorders>
              <w:top w:val="single" w:sz="6" w:space="0" w:color="auto"/>
              <w:left w:val="doub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4D303E" w:rsidRDefault="004D303E" w:rsidP="00251724">
            <w:pPr>
              <w:tabs>
                <w:tab w:val="center" w:pos="850"/>
              </w:tabs>
              <w:suppressAutoHyphens/>
              <w:spacing w:before="90" w:after="54"/>
              <w:jc w:val="center"/>
              <w:rPr>
                <w:sz w:val="20"/>
              </w:rPr>
            </w:pPr>
          </w:p>
        </w:tc>
      </w:tr>
    </w:tbl>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sz w:val="20"/>
        </w:rPr>
        <w:br w:type="page"/>
      </w:r>
      <w:bookmarkStart w:id="205" w:name="_Toc394672331"/>
      <w:r>
        <w:rPr>
          <w:b/>
          <w:szCs w:val="22"/>
        </w:rPr>
        <w:t xml:space="preserve">FY 2015 SCHEDULE OF REGULATORY FEES: </w:t>
      </w:r>
      <w:r>
        <w:rPr>
          <w:rFonts w:ascii="Times New Roman Bold" w:hAnsi="Times New Roman Bold"/>
          <w:b/>
          <w:szCs w:val="22"/>
        </w:rPr>
        <w:t>(continued)</w:t>
      </w:r>
      <w:bookmarkEnd w:id="205"/>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4D303E" w:rsidTr="00251724">
        <w:tc>
          <w:tcPr>
            <w:tcW w:w="8550" w:type="dxa"/>
            <w:gridSpan w:val="7"/>
            <w:tcBorders>
              <w:top w:val="double" w:sz="6" w:space="0" w:color="auto"/>
              <w:left w:val="doub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2015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4D303E" w:rsidRPr="00445C3B" w:rsidTr="00251724">
        <w:tc>
          <w:tcPr>
            <w:tcW w:w="189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4D303E" w:rsidRPr="00445C3B"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4D303E" w:rsidRPr="00445C3B"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4D303E" w:rsidRPr="00445C3B"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4D303E" w:rsidRPr="00445C3B"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4D303E" w:rsidTr="00251724">
        <w:tc>
          <w:tcPr>
            <w:tcW w:w="189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4D303E" w:rsidTr="00251724">
        <w:tc>
          <w:tcPr>
            <w:tcW w:w="189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4D303E" w:rsidTr="00251724">
        <w:tc>
          <w:tcPr>
            <w:tcW w:w="189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4D303E" w:rsidTr="00251724">
        <w:tc>
          <w:tcPr>
            <w:tcW w:w="189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4D303E" w:rsidTr="00251724">
        <w:tc>
          <w:tcPr>
            <w:tcW w:w="1890"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4D303E" w:rsidTr="00251724">
        <w:trPr>
          <w:trHeight w:val="361"/>
        </w:trPr>
        <w:tc>
          <w:tcPr>
            <w:tcW w:w="1890" w:type="dxa"/>
            <w:tcBorders>
              <w:top w:val="single" w:sz="6" w:space="0" w:color="auto"/>
              <w:left w:val="double" w:sz="6" w:space="0" w:color="auto"/>
              <w:bottom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4D303E" w:rsidTr="00251724">
        <w:tc>
          <w:tcPr>
            <w:tcW w:w="1890" w:type="dxa"/>
            <w:tcBorders>
              <w:top w:val="single" w:sz="6" w:space="0" w:color="auto"/>
              <w:left w:val="doub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4D303E" w:rsidRDefault="004D303E" w:rsidP="004D303E">
      <w:pPr>
        <w:tabs>
          <w:tab w:val="right" w:pos="10080"/>
        </w:tabs>
        <w:suppressAutoHyphens/>
        <w:ind w:left="450"/>
        <w:jc w:val="center"/>
        <w:outlineLvl w:val="0"/>
        <w:rPr>
          <w:b/>
          <w:szCs w:val="22"/>
        </w:rPr>
      </w:pPr>
    </w:p>
    <w:p w:rsidR="004D303E" w:rsidRDefault="004D303E" w:rsidP="004D303E">
      <w:pPr>
        <w:tabs>
          <w:tab w:val="right" w:pos="10080"/>
        </w:tabs>
        <w:suppressAutoHyphens/>
        <w:ind w:left="450"/>
        <w:jc w:val="center"/>
        <w:outlineLvl w:val="0"/>
        <w:rPr>
          <w:b/>
          <w:szCs w:val="22"/>
        </w:rPr>
      </w:pPr>
    </w:p>
    <w:p w:rsidR="004D303E" w:rsidRDefault="004D303E" w:rsidP="004D303E">
      <w:pPr>
        <w:tabs>
          <w:tab w:val="right" w:pos="10080"/>
        </w:tabs>
        <w:suppressAutoHyphens/>
        <w:ind w:left="450"/>
        <w:jc w:val="center"/>
        <w:outlineLvl w:val="0"/>
        <w:rPr>
          <w:b/>
          <w:szCs w:val="22"/>
        </w:rPr>
      </w:pPr>
      <w:r>
        <w:rPr>
          <w:b/>
          <w:szCs w:val="22"/>
        </w:rPr>
        <w:t>FY 2015 SCHEDULE OF REGULATORY FEES</w:t>
      </w:r>
    </w:p>
    <w:p w:rsidR="004D303E" w:rsidRDefault="004D303E" w:rsidP="004D303E">
      <w:pPr>
        <w:tabs>
          <w:tab w:val="right" w:pos="10080"/>
        </w:tabs>
        <w:suppressAutoHyphens/>
        <w:ind w:left="450"/>
        <w:jc w:val="center"/>
        <w:outlineLvl w:val="0"/>
        <w:rPr>
          <w:b/>
          <w:szCs w:val="22"/>
        </w:rPr>
      </w:pPr>
      <w:r>
        <w:rPr>
          <w:b/>
          <w:szCs w:val="22"/>
        </w:rPr>
        <w:t>International Bearer Circuits - Submarine Cable</w:t>
      </w:r>
    </w:p>
    <w:p w:rsidR="004D303E" w:rsidRDefault="004D303E" w:rsidP="004D303E">
      <w:pPr>
        <w:tabs>
          <w:tab w:val="right" w:pos="10080"/>
        </w:tabs>
        <w:suppressAutoHyphens/>
        <w:ind w:left="450"/>
        <w:jc w:val="center"/>
        <w:outlineLvl w:val="0"/>
        <w:rPr>
          <w:b/>
          <w:szCs w:val="22"/>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4D303E" w:rsidTr="00251724">
        <w:tc>
          <w:tcPr>
            <w:tcW w:w="486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2014)</w:t>
            </w:r>
          </w:p>
        </w:tc>
        <w:tc>
          <w:tcPr>
            <w:tcW w:w="378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r>
      <w:tr w:rsidR="004D303E" w:rsidTr="00251724">
        <w:trPr>
          <w:trHeight w:val="1034"/>
        </w:trPr>
        <w:tc>
          <w:tcPr>
            <w:tcW w:w="486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780" w:type="dxa"/>
            <w:vAlign w:val="center"/>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$7,175</w:t>
            </w:r>
          </w:p>
        </w:tc>
      </w:tr>
      <w:tr w:rsidR="004D303E" w:rsidTr="00251724">
        <w:trPr>
          <w:trHeight w:val="1034"/>
        </w:trPr>
        <w:tc>
          <w:tcPr>
            <w:tcW w:w="486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780" w:type="dxa"/>
            <w:vAlign w:val="center"/>
          </w:tcPr>
          <w:p w:rsidR="004D303E" w:rsidRDefault="004D303E" w:rsidP="00251724">
            <w:pPr>
              <w:jc w:val="center"/>
              <w:rPr>
                <w:bCs/>
                <w:szCs w:val="22"/>
              </w:rPr>
            </w:pPr>
            <w:r>
              <w:rPr>
                <w:bCs/>
                <w:szCs w:val="22"/>
              </w:rPr>
              <w:t>$14,350</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4D303E" w:rsidTr="00251724">
        <w:tc>
          <w:tcPr>
            <w:tcW w:w="486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780" w:type="dxa"/>
            <w:vAlign w:val="center"/>
          </w:tcPr>
          <w:p w:rsidR="004D303E" w:rsidRDefault="004D303E" w:rsidP="00251724">
            <w:pPr>
              <w:jc w:val="center"/>
              <w:rPr>
                <w:bCs/>
                <w:szCs w:val="22"/>
              </w:rPr>
            </w:pPr>
          </w:p>
          <w:p w:rsidR="004D303E" w:rsidRDefault="004D303E" w:rsidP="00251724">
            <w:pPr>
              <w:jc w:val="center"/>
              <w:rPr>
                <w:bCs/>
                <w:szCs w:val="22"/>
              </w:rPr>
            </w:pPr>
            <w:r>
              <w:rPr>
                <w:bCs/>
                <w:szCs w:val="22"/>
              </w:rPr>
              <w:t xml:space="preserve"> $28,675</w:t>
            </w:r>
          </w:p>
          <w:p w:rsidR="004D303E" w:rsidRDefault="004D303E" w:rsidP="00251724">
            <w:pPr>
              <w:jc w:val="center"/>
              <w:rPr>
                <w:spacing w:val="-3"/>
                <w:szCs w:val="22"/>
              </w:rPr>
            </w:pPr>
          </w:p>
        </w:tc>
      </w:tr>
      <w:tr w:rsidR="004D303E" w:rsidTr="00251724">
        <w:trPr>
          <w:trHeight w:val="998"/>
        </w:trPr>
        <w:tc>
          <w:tcPr>
            <w:tcW w:w="486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4D303E" w:rsidRDefault="004D303E" w:rsidP="00251724">
            <w:pPr>
              <w:jc w:val="center"/>
              <w:rPr>
                <w:bCs/>
                <w:szCs w:val="22"/>
              </w:rPr>
            </w:pPr>
            <w:r>
              <w:rPr>
                <w:bCs/>
                <w:szCs w:val="22"/>
              </w:rPr>
              <w:t xml:space="preserve">$57,350 </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4D303E" w:rsidTr="00251724">
        <w:trPr>
          <w:trHeight w:val="998"/>
        </w:trPr>
        <w:tc>
          <w:tcPr>
            <w:tcW w:w="4860" w:type="dxa"/>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780" w:type="dxa"/>
            <w:vAlign w:val="center"/>
          </w:tcPr>
          <w:p w:rsidR="004D303E" w:rsidRDefault="004D303E" w:rsidP="00251724">
            <w:pPr>
              <w:jc w:val="center"/>
            </w:pPr>
            <w:r>
              <w:rPr>
                <w:bCs/>
                <w:szCs w:val="22"/>
              </w:rPr>
              <w:t>$114,700</w:t>
            </w:r>
          </w:p>
        </w:tc>
      </w:tr>
    </w:tbl>
    <w:p w:rsidR="004D303E" w:rsidRDefault="004D303E" w:rsidP="004D303E">
      <w:pPr>
        <w:autoSpaceDE w:val="0"/>
        <w:autoSpaceDN w:val="0"/>
        <w:adjustRightInd w:val="0"/>
        <w:jc w:val="center"/>
        <w:rPr>
          <w:b/>
        </w:rPr>
      </w:pPr>
    </w:p>
    <w:p w:rsidR="00FE64EB" w:rsidRDefault="004D303E" w:rsidP="004D303E">
      <w:pPr>
        <w:tabs>
          <w:tab w:val="right" w:pos="10080"/>
        </w:tabs>
        <w:suppressAutoHyphens/>
        <w:ind w:left="450"/>
        <w:jc w:val="center"/>
        <w:outlineLvl w:val="0"/>
        <w:rPr>
          <w:b/>
          <w:szCs w:val="22"/>
        </w:rPr>
      </w:pPr>
      <w:r>
        <w:rPr>
          <w:sz w:val="20"/>
        </w:rPr>
        <w:br w:type="page"/>
      </w:r>
    </w:p>
    <w:p w:rsidR="004D303E" w:rsidRDefault="004D303E" w:rsidP="00FE64EB">
      <w:pPr>
        <w:tabs>
          <w:tab w:val="right" w:pos="10080"/>
        </w:tabs>
        <w:suppressAutoHyphens/>
        <w:ind w:left="450"/>
        <w:jc w:val="center"/>
        <w:outlineLvl w:val="0"/>
        <w:rPr>
          <w:b/>
          <w:szCs w:val="22"/>
        </w:rPr>
      </w:pPr>
      <w:r>
        <w:rPr>
          <w:b/>
          <w:szCs w:val="22"/>
        </w:rPr>
        <w:t>APPENDIX D</w:t>
      </w:r>
    </w:p>
    <w:p w:rsidR="004D303E" w:rsidRDefault="004D303E" w:rsidP="00FE64EB">
      <w:pPr>
        <w:tabs>
          <w:tab w:val="right" w:pos="10080"/>
        </w:tabs>
        <w:suppressAutoHyphens/>
        <w:ind w:left="450"/>
        <w:jc w:val="center"/>
        <w:outlineLvl w:val="0"/>
        <w:rPr>
          <w:b/>
          <w:szCs w:val="22"/>
        </w:rPr>
      </w:pPr>
    </w:p>
    <w:p w:rsidR="004D303E" w:rsidRDefault="004D303E" w:rsidP="004D303E">
      <w:pPr>
        <w:jc w:val="center"/>
        <w:rPr>
          <w:b/>
        </w:rPr>
      </w:pPr>
      <w:r>
        <w:rPr>
          <w:b/>
        </w:rPr>
        <w:t>Sources of Payment Unit Estimates for FY 2015</w:t>
      </w:r>
    </w:p>
    <w:p w:rsidR="004D303E" w:rsidRDefault="004D303E" w:rsidP="004D303E">
      <w:pPr>
        <w:jc w:val="center"/>
        <w:rPr>
          <w:b/>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 xml:space="preserve">In order to calculate individual service fees for FY 2015, we adjusted FY 2014 payment units for each service to more accurately reflect expected FY 2015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Wireless Telecommunications Bureau’s </w:t>
      </w:r>
      <w:r>
        <w:rPr>
          <w:i/>
          <w:szCs w:val="22"/>
        </w:rPr>
        <w:t>Numbering Resource Utilization Forecast</w:t>
      </w:r>
      <w:r>
        <w:rPr>
          <w:szCs w:val="22"/>
        </w:rPr>
        <w:t xml:space="preserve">.  </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2015 estimates with actual FY 2014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2015 and the fact that, in many services, the number of actual licensees or station operators fluctuates from time to time due to economic, technical, or other reasons.  When we note, for example, that our estimated FY 2015 payment units are based on FY 2014 actual payment units, it does not necessarily mean that our FY 2015 projection is exactly the same number as in FY 2014.  We have either rounded the FY 2015 number or adjusted it slightly to account for these variables.</w:t>
      </w: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4D303E" w:rsidRDefault="004D303E" w:rsidP="004D303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4D303E" w:rsidTr="00251724">
        <w:tc>
          <w:tcPr>
            <w:tcW w:w="2978" w:type="dxa"/>
            <w:tcBorders>
              <w:top w:val="doub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Pr>
                <w:sz w:val="20"/>
              </w:rPr>
              <w:instrText xml:space="preserve">PRIVATE </w:instrText>
            </w:r>
            <w:r>
              <w:rPr>
                <w:sz w:val="20"/>
              </w:rPr>
              <w:fldChar w:fldCharType="end"/>
            </w:r>
            <w:r>
              <w:rPr>
                <w:b/>
                <w:sz w:val="20"/>
              </w:rPr>
              <w:t>FEE CATEGORY</w:t>
            </w:r>
          </w:p>
        </w:tc>
        <w:tc>
          <w:tcPr>
            <w:tcW w:w="5662" w:type="dxa"/>
            <w:tcBorders>
              <w:top w:val="doub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projection reports, and FY 14 payment data. </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reports, and FY 14 payment data.  </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2014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Digital TV Stations</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(Combined VHF/UHF units)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2014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CDBS data, adjusted for exemptions, and actual FY 2014 payment units. </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2014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2014 payment units.</w:t>
            </w:r>
          </w:p>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2014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Relay Service (“CARS”) Stations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2013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 Including IPTV Subscribers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2014 payment units. </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2014, the Wireline Competition Bureau projected the amount of calendar year 2014 revenue that will be reported on 2015 FCC Form 499-A worksheets in April, 2015.</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2014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2014 payment units.</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 adjusted as necessary.</w:t>
            </w:r>
          </w:p>
        </w:tc>
      </w:tr>
      <w:tr w:rsidR="004D303E" w:rsidTr="00251724">
        <w:tc>
          <w:tcPr>
            <w:tcW w:w="2978" w:type="dxa"/>
            <w:tcBorders>
              <w:top w:val="single" w:sz="6" w:space="0" w:color="auto"/>
              <w:lef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6" w:space="0" w:color="auto"/>
              <w:left w:val="single" w:sz="6" w:space="0" w:color="auto"/>
              <w:right w:val="double" w:sz="6" w:space="0" w:color="auto"/>
            </w:tcBorders>
          </w:tcPr>
          <w:p w:rsidR="004D303E" w:rsidRDefault="004D303E"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4D303E" w:rsidRDefault="004D303E" w:rsidP="004D303E">
      <w:pPr>
        <w:jc w:val="center"/>
      </w:pPr>
    </w:p>
    <w:p w:rsidR="004D303E" w:rsidRDefault="004D303E" w:rsidP="004D303E">
      <w:r>
        <w:br w:type="page"/>
      </w:r>
    </w:p>
    <w:p w:rsidR="004D303E" w:rsidRDefault="004D303E" w:rsidP="00FE64EB">
      <w:pPr>
        <w:tabs>
          <w:tab w:val="right" w:pos="10080"/>
        </w:tabs>
        <w:suppressAutoHyphens/>
        <w:ind w:left="450"/>
        <w:jc w:val="center"/>
        <w:outlineLvl w:val="0"/>
        <w:rPr>
          <w:b/>
          <w:szCs w:val="22"/>
        </w:rPr>
      </w:pPr>
    </w:p>
    <w:p w:rsidR="00D65966" w:rsidRDefault="00D65966" w:rsidP="00264877">
      <w:pPr>
        <w:jc w:val="center"/>
        <w:rPr>
          <w:b/>
          <w:color w:val="000000"/>
        </w:rPr>
      </w:pPr>
      <w:r>
        <w:rPr>
          <w:b/>
          <w:color w:val="000000"/>
        </w:rPr>
        <w:t xml:space="preserve">APPENDIX </w:t>
      </w:r>
      <w:r w:rsidR="00DA45BF">
        <w:rPr>
          <w:b/>
          <w:color w:val="000000"/>
        </w:rPr>
        <w:t>E</w:t>
      </w:r>
    </w:p>
    <w:p w:rsidR="00D65966" w:rsidRDefault="00D65966" w:rsidP="00264877">
      <w:pPr>
        <w:jc w:val="center"/>
        <w:rPr>
          <w:b/>
          <w:color w:val="000000"/>
        </w:rPr>
      </w:pPr>
    </w:p>
    <w:p w:rsidR="001F04AA" w:rsidRDefault="001F04AA" w:rsidP="001F04AA">
      <w:pPr>
        <w:tabs>
          <w:tab w:val="right" w:pos="10080"/>
        </w:tabs>
        <w:suppressAutoHyphens/>
        <w:ind w:left="450"/>
        <w:jc w:val="center"/>
        <w:outlineLvl w:val="0"/>
        <w:rPr>
          <w:b/>
          <w:szCs w:val="22"/>
        </w:rPr>
      </w:pPr>
      <w:bookmarkStart w:id="206" w:name="_Toc394672335"/>
      <w:r>
        <w:rPr>
          <w:b/>
          <w:szCs w:val="22"/>
        </w:rPr>
        <w:t>Factors, Measurements, and Calculations That Determines Station</w:t>
      </w:r>
      <w:bookmarkEnd w:id="206"/>
    </w:p>
    <w:p w:rsidR="001F04AA" w:rsidRDefault="001F04AA" w:rsidP="001F04AA">
      <w:pPr>
        <w:tabs>
          <w:tab w:val="right" w:pos="10080"/>
        </w:tabs>
        <w:suppressAutoHyphens/>
        <w:ind w:left="450"/>
        <w:jc w:val="center"/>
        <w:outlineLvl w:val="0"/>
        <w:rPr>
          <w:b/>
          <w:szCs w:val="22"/>
        </w:rPr>
      </w:pPr>
      <w:bookmarkStart w:id="207" w:name="_Toc394672336"/>
      <w:r>
        <w:rPr>
          <w:b/>
          <w:szCs w:val="22"/>
        </w:rPr>
        <w:t>Signal Contours and Associated Population Coverages</w:t>
      </w:r>
      <w:bookmarkEnd w:id="207"/>
    </w:p>
    <w:p w:rsidR="001F04AA" w:rsidRDefault="001F04AA" w:rsidP="001F04AA">
      <w:pPr>
        <w:tabs>
          <w:tab w:val="right" w:pos="10080"/>
        </w:tabs>
        <w:suppressAutoHyphens/>
        <w:ind w:left="450"/>
        <w:jc w:val="center"/>
        <w:outlineLvl w:val="0"/>
        <w:rPr>
          <w:b/>
          <w:szCs w:val="22"/>
        </w:rPr>
      </w:pPr>
    </w:p>
    <w:p w:rsidR="001F04AA" w:rsidRDefault="001F04AA" w:rsidP="001F04AA">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208" w:name="_Toc394672337"/>
      <w:r>
        <w:rPr>
          <w:b/>
          <w:spacing w:val="-3"/>
          <w:szCs w:val="22"/>
          <w:u w:val="single"/>
        </w:rPr>
        <w:t xml:space="preserve">AM </w:t>
      </w:r>
      <w:r>
        <w:rPr>
          <w:b/>
          <w:szCs w:val="22"/>
          <w:u w:val="single"/>
        </w:rPr>
        <w:t>Stations</w:t>
      </w:r>
      <w:bookmarkEnd w:id="208"/>
    </w:p>
    <w:p w:rsidR="001F04AA" w:rsidRDefault="001F04AA" w:rsidP="001F04AA">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1F04AA" w:rsidRDefault="001F04AA" w:rsidP="001F04AA">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1F04AA" w:rsidRDefault="001F04AA" w:rsidP="001F04AA">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1F04AA" w:rsidRDefault="001F04AA" w:rsidP="001F04AA">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ab/>
      </w:r>
      <w:r>
        <w:rPr>
          <w:b/>
          <w:szCs w:val="22"/>
          <w:u w:val="single"/>
        </w:rPr>
        <w:t>FM Stations</w:t>
      </w:r>
    </w:p>
    <w:p w:rsidR="001F04AA" w:rsidRDefault="001F04AA" w:rsidP="001F04AA">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1F04AA" w:rsidRPr="004949EC" w:rsidRDefault="001F04AA" w:rsidP="00DA45BF">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b/>
          <w:color w:val="000000"/>
        </w:rPr>
      </w:pPr>
      <w:r>
        <w:rPr>
          <w:szCs w:val="22"/>
        </w:rPr>
        <w:t>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§73.313 of the Commission’s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p>
    <w:p w:rsidR="00A213D0" w:rsidRDefault="00A213D0" w:rsidP="00264877">
      <w:pPr>
        <w:jc w:val="center"/>
        <w:rPr>
          <w:color w:val="000000"/>
        </w:rPr>
      </w:pPr>
    </w:p>
    <w:p w:rsidR="001F7170" w:rsidRDefault="001F7170" w:rsidP="00264877">
      <w:pPr>
        <w:jc w:val="center"/>
        <w:rPr>
          <w:color w:val="000000"/>
        </w:rPr>
        <w:sectPr w:rsidR="001F7170" w:rsidSect="00505CD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170" w:right="1440" w:bottom="720" w:left="1440" w:header="720" w:footer="720" w:gutter="0"/>
          <w:cols w:space="720"/>
          <w:titlePg/>
          <w:docGrid w:linePitch="299"/>
        </w:sectPr>
      </w:pPr>
    </w:p>
    <w:p w:rsidR="00A213D0" w:rsidRDefault="00A213D0" w:rsidP="00264877">
      <w:pPr>
        <w:jc w:val="center"/>
        <w:rPr>
          <w:color w:val="000000"/>
        </w:rPr>
      </w:pPr>
    </w:p>
    <w:p w:rsidR="00264877" w:rsidRPr="00233BF0" w:rsidRDefault="00AD414A" w:rsidP="00264877">
      <w:pPr>
        <w:jc w:val="center"/>
        <w:rPr>
          <w:b/>
          <w:color w:val="000000"/>
        </w:rPr>
      </w:pPr>
      <w:r w:rsidRPr="00233BF0">
        <w:rPr>
          <w:b/>
          <w:color w:val="000000"/>
        </w:rPr>
        <w:t>APPEND</w:t>
      </w:r>
      <w:r w:rsidR="002D0094">
        <w:rPr>
          <w:b/>
          <w:color w:val="000000"/>
        </w:rPr>
        <w:t>IX F</w:t>
      </w:r>
    </w:p>
    <w:p w:rsidR="00AD414A" w:rsidRDefault="00AD414A" w:rsidP="00264877">
      <w:pPr>
        <w:jc w:val="center"/>
        <w:rPr>
          <w:color w:val="000000"/>
        </w:rPr>
      </w:pPr>
    </w:p>
    <w:p w:rsidR="00233BF0" w:rsidRPr="007521D5" w:rsidRDefault="00233BF0" w:rsidP="00233BF0">
      <w:pPr>
        <w:tabs>
          <w:tab w:val="left" w:pos="1440"/>
        </w:tabs>
        <w:suppressAutoHyphens/>
        <w:spacing w:line="240" w:lineRule="atLeast"/>
        <w:jc w:val="center"/>
        <w:rPr>
          <w:b/>
          <w:spacing w:val="-2"/>
        </w:rPr>
      </w:pPr>
      <w:r w:rsidRPr="007521D5">
        <w:rPr>
          <w:b/>
          <w:spacing w:val="-2"/>
        </w:rPr>
        <w:t>Initial Regulatory Flexibility Analysis</w:t>
      </w:r>
    </w:p>
    <w:p w:rsidR="00233BF0" w:rsidRPr="007521D5" w:rsidRDefault="00233BF0" w:rsidP="00233BF0">
      <w:pPr>
        <w:tabs>
          <w:tab w:val="left" w:pos="1440"/>
        </w:tabs>
        <w:suppressAutoHyphens/>
        <w:spacing w:line="240" w:lineRule="atLeast"/>
        <w:ind w:firstLine="720"/>
        <w:jc w:val="center"/>
        <w:rPr>
          <w:b/>
          <w:spacing w:val="-2"/>
        </w:rPr>
      </w:pPr>
    </w:p>
    <w:p w:rsidR="00233BF0" w:rsidRDefault="00233BF0" w:rsidP="0037182F">
      <w:pPr>
        <w:pStyle w:val="ParaNum"/>
        <w:numPr>
          <w:ilvl w:val="0"/>
          <w:numId w:val="8"/>
        </w:numPr>
        <w:tabs>
          <w:tab w:val="clear" w:pos="1080"/>
          <w:tab w:val="num" w:pos="1440"/>
        </w:tabs>
      </w:pPr>
      <w:r w:rsidRPr="007521D5">
        <w:t>As required by the Regulatory Flexibility Act (RFA),</w:t>
      </w:r>
      <w:r>
        <w:rPr>
          <w:rStyle w:val="FootnoteReference"/>
          <w:spacing w:val="-2"/>
          <w:szCs w:val="22"/>
        </w:rPr>
        <w:footnoteReference w:id="140"/>
      </w:r>
      <w:r>
        <w:t xml:space="preserve"> </w:t>
      </w:r>
      <w:r w:rsidRPr="007521D5">
        <w:t>the Commission prepared this Initial Regulatory Flexibility Analysis (IRFA) of the possible significant economic impact on small entities by the policies and rules proposed in th</w:t>
      </w:r>
      <w:r>
        <w:t xml:space="preserve">e </w:t>
      </w:r>
      <w:r w:rsidR="00FA2BA2">
        <w:t xml:space="preserve">Further </w:t>
      </w:r>
      <w:r w:rsidRPr="007521D5">
        <w:t>Notice of Proposed Rulemaking</w:t>
      </w:r>
      <w:r>
        <w:t xml:space="preserve"> (</w:t>
      </w:r>
      <w:r w:rsidR="004265EB">
        <w:rPr>
          <w:i/>
        </w:rPr>
        <w:t xml:space="preserve">Further </w:t>
      </w:r>
      <w:r w:rsidRPr="006F3522">
        <w:rPr>
          <w:i/>
        </w:rPr>
        <w:t>Notice</w:t>
      </w:r>
      <w:r>
        <w:t xml:space="preserve">).  </w:t>
      </w:r>
      <w:r w:rsidRPr="007521D5">
        <w:t xml:space="preserve">Written comments are requested on this IRFA.  Comments must be identified as responses to the IRFA and must be filed </w:t>
      </w:r>
      <w:r>
        <w:t xml:space="preserve">by the deadline for comments on this </w:t>
      </w:r>
      <w:r w:rsidRPr="006F3522">
        <w:rPr>
          <w:i/>
        </w:rPr>
        <w:t>Notice</w:t>
      </w:r>
      <w:r w:rsidRPr="007521D5">
        <w:t xml:space="preserve">.  The Commission will send a copy of the </w:t>
      </w:r>
      <w:r w:rsidR="004265EB">
        <w:rPr>
          <w:i/>
        </w:rPr>
        <w:t xml:space="preserve">Further </w:t>
      </w:r>
      <w:r w:rsidRPr="006F3522">
        <w:rPr>
          <w:i/>
        </w:rPr>
        <w:t>Notice</w:t>
      </w:r>
      <w:r w:rsidRPr="007521D5">
        <w:t>, including the IRFA, to the Chief Counsel for Advocacy of the Small Business Administration (SBA)</w:t>
      </w:r>
      <w:r>
        <w:t>.</w:t>
      </w:r>
      <w:r>
        <w:rPr>
          <w:rStyle w:val="FootnoteReference"/>
          <w:spacing w:val="-2"/>
          <w:szCs w:val="22"/>
        </w:rPr>
        <w:footnoteReference w:id="141"/>
      </w:r>
      <w:r w:rsidRPr="007521D5">
        <w:t xml:space="preserve">  In addition, the </w:t>
      </w:r>
      <w:r w:rsidR="004265EB">
        <w:rPr>
          <w:i/>
        </w:rPr>
        <w:t xml:space="preserve">Further </w:t>
      </w:r>
      <w:r w:rsidRPr="006F3522">
        <w:rPr>
          <w:i/>
        </w:rPr>
        <w:t>Notice</w:t>
      </w:r>
      <w:r w:rsidRPr="007521D5">
        <w:t xml:space="preserve"> and IRFA (or summaries thereof) will be published in the Federal Register.</w:t>
      </w:r>
      <w:r>
        <w:rPr>
          <w:rStyle w:val="FootnoteReference"/>
          <w:spacing w:val="-2"/>
          <w:szCs w:val="22"/>
        </w:rPr>
        <w:footnoteReference w:id="142"/>
      </w:r>
      <w:r w:rsidRPr="007521D5">
        <w:t xml:space="preserve"> </w:t>
      </w:r>
    </w:p>
    <w:p w:rsidR="00233BF0" w:rsidRPr="005E4686" w:rsidRDefault="00233BF0" w:rsidP="0037182F">
      <w:pPr>
        <w:pStyle w:val="Heading2"/>
        <w:numPr>
          <w:ilvl w:val="1"/>
          <w:numId w:val="9"/>
        </w:numPr>
      </w:pPr>
      <w:bookmarkStart w:id="209" w:name="_Toc397078352"/>
      <w:bookmarkStart w:id="210" w:name="_Toc403117502"/>
      <w:bookmarkStart w:id="211" w:name="_Toc404352138"/>
      <w:bookmarkStart w:id="212" w:name="_Toc406064032"/>
      <w:bookmarkStart w:id="213" w:name="_Toc406754912"/>
      <w:bookmarkStart w:id="214" w:name="_Toc407006730"/>
      <w:bookmarkStart w:id="215" w:name="_Toc407018465"/>
      <w:bookmarkStart w:id="216" w:name="_Toc408483447"/>
      <w:bookmarkStart w:id="217" w:name="_Toc410723687"/>
      <w:bookmarkStart w:id="218" w:name="_Toc411434896"/>
      <w:bookmarkStart w:id="219" w:name="_Toc413083238"/>
      <w:bookmarkStart w:id="220" w:name="_Toc413672127"/>
      <w:r w:rsidRPr="005E4686">
        <w:t>Need for, and Objectives of, the</w:t>
      </w:r>
      <w:r>
        <w:t xml:space="preserve"> </w:t>
      </w:r>
      <w:bookmarkEnd w:id="209"/>
      <w:r>
        <w:t>Notice</w:t>
      </w:r>
      <w:bookmarkEnd w:id="210"/>
      <w:bookmarkEnd w:id="211"/>
      <w:bookmarkEnd w:id="212"/>
      <w:bookmarkEnd w:id="213"/>
      <w:bookmarkEnd w:id="214"/>
      <w:bookmarkEnd w:id="215"/>
      <w:bookmarkEnd w:id="216"/>
      <w:bookmarkEnd w:id="217"/>
      <w:bookmarkEnd w:id="218"/>
      <w:bookmarkEnd w:id="219"/>
      <w:bookmarkEnd w:id="220"/>
      <w:r w:rsidRPr="005E4686">
        <w:t xml:space="preserve">  </w:t>
      </w:r>
    </w:p>
    <w:p w:rsidR="00FA2BA2" w:rsidRPr="00FA2BA2" w:rsidRDefault="00233BF0" w:rsidP="009D4320">
      <w:pPr>
        <w:pStyle w:val="ParaNum"/>
      </w:pPr>
      <w:r>
        <w:t xml:space="preserve">The </w:t>
      </w:r>
      <w:r w:rsidR="00590F27">
        <w:rPr>
          <w:i/>
        </w:rPr>
        <w:t xml:space="preserve">Further </w:t>
      </w:r>
      <w:r>
        <w:rPr>
          <w:i/>
        </w:rPr>
        <w:t xml:space="preserve">Notice </w:t>
      </w:r>
      <w:r>
        <w:t>seeks comment regarding</w:t>
      </w:r>
      <w:r w:rsidR="00FA2BA2">
        <w:t xml:space="preserve"> adjusting the regulatory fees paid by broadcasters, for radio and television.</w:t>
      </w:r>
      <w:r w:rsidR="00590F27">
        <w:t xml:space="preserve">  Specifically, the Commission seeks comment on the extent of FTEs that work on video, cable, DBS, and radio</w:t>
      </w:r>
      <w:r w:rsidR="004265EB">
        <w:t xml:space="preserve"> services</w:t>
      </w:r>
      <w:r w:rsidR="00590F27">
        <w:t xml:space="preserve">, and whether the </w:t>
      </w:r>
      <w:r w:rsidR="00C117DF">
        <w:t xml:space="preserve">current </w:t>
      </w:r>
      <w:r w:rsidR="00590F27">
        <w:t xml:space="preserve">proportion of fees paid by these various fee categories </w:t>
      </w:r>
      <w:r w:rsidR="004265EB">
        <w:t xml:space="preserve">associated with these services </w:t>
      </w:r>
      <w:r w:rsidR="00590F27">
        <w:t xml:space="preserve">are still </w:t>
      </w:r>
      <w:r w:rsidR="00C117DF">
        <w:t>ac</w:t>
      </w:r>
      <w:r w:rsidR="00590F27">
        <w:t>curate</w:t>
      </w:r>
      <w:r w:rsidR="00C117DF">
        <w:t>.</w:t>
      </w:r>
      <w:r w:rsidR="00590F27">
        <w:t xml:space="preserve">  The lev</w:t>
      </w:r>
      <w:r w:rsidR="007F55EC">
        <w:t>el of FTE activity on these media services determines the proportion of fees to be paid</w:t>
      </w:r>
      <w:r w:rsidR="002C67F2">
        <w:t xml:space="preserve"> by each media service</w:t>
      </w:r>
      <w:r w:rsidR="004265EB">
        <w:t xml:space="preserve"> fee category</w:t>
      </w:r>
      <w:r w:rsidR="007F55EC">
        <w:t xml:space="preserve">, </w:t>
      </w:r>
      <w:r w:rsidR="004265EB">
        <w:t xml:space="preserve">which </w:t>
      </w:r>
      <w:r w:rsidR="007F55EC">
        <w:t xml:space="preserve">in turn </w:t>
      </w:r>
      <w:r w:rsidR="004265EB">
        <w:t xml:space="preserve">is used to calculate the fee </w:t>
      </w:r>
      <w:r w:rsidR="007F55EC">
        <w:t>amount for each fee category.</w:t>
      </w:r>
      <w:r w:rsidR="004265EB">
        <w:t xml:space="preserve"> </w:t>
      </w:r>
      <w:r w:rsidR="00590F27">
        <w:t xml:space="preserve">     </w:t>
      </w:r>
      <w:r>
        <w:rPr>
          <w:spacing w:val="-2"/>
        </w:rPr>
        <w:tab/>
      </w:r>
      <w:bookmarkStart w:id="221" w:name="_Toc403117503"/>
      <w:bookmarkStart w:id="222" w:name="_Toc404352139"/>
      <w:bookmarkStart w:id="223" w:name="_Toc406064033"/>
      <w:bookmarkStart w:id="224" w:name="_Toc406754913"/>
      <w:bookmarkStart w:id="225" w:name="_Toc407006731"/>
      <w:bookmarkStart w:id="226" w:name="_Toc407018466"/>
      <w:bookmarkStart w:id="227" w:name="_Toc408483448"/>
      <w:bookmarkStart w:id="228" w:name="_Toc410723688"/>
      <w:bookmarkStart w:id="229" w:name="_Toc411434897"/>
      <w:bookmarkStart w:id="230" w:name="_Toc413083239"/>
      <w:bookmarkStart w:id="231" w:name="_Toc413672128"/>
    </w:p>
    <w:p w:rsidR="000563B6" w:rsidRPr="00C7479C" w:rsidRDefault="000563B6" w:rsidP="00FA2BA2">
      <w:pPr>
        <w:pStyle w:val="Heading2"/>
      </w:pPr>
      <w:r w:rsidRPr="00C7479C">
        <w:t>Legal Basis:</w:t>
      </w:r>
      <w:bookmarkEnd w:id="221"/>
      <w:bookmarkEnd w:id="222"/>
      <w:bookmarkEnd w:id="223"/>
      <w:bookmarkEnd w:id="224"/>
      <w:bookmarkEnd w:id="225"/>
      <w:bookmarkEnd w:id="226"/>
      <w:bookmarkEnd w:id="227"/>
      <w:bookmarkEnd w:id="228"/>
      <w:bookmarkEnd w:id="229"/>
      <w:bookmarkEnd w:id="230"/>
      <w:bookmarkEnd w:id="231"/>
    </w:p>
    <w:p w:rsidR="000563B6" w:rsidRPr="007521D5" w:rsidRDefault="000563B6" w:rsidP="000563B6">
      <w:pPr>
        <w:pStyle w:val="ParaNum"/>
      </w:pPr>
      <w:r w:rsidRPr="007521D5">
        <w:t>This action, including publication of proposed rules, is authorized under Sections (4)(i) and (j), 9, and 303(r) of the Communications Act of 1934, as amended.</w:t>
      </w:r>
      <w:r>
        <w:rPr>
          <w:rStyle w:val="FootnoteReference"/>
          <w:spacing w:val="-2"/>
          <w:szCs w:val="22"/>
        </w:rPr>
        <w:footnoteReference w:id="143"/>
      </w:r>
      <w:r w:rsidRPr="007521D5">
        <w:t xml:space="preserve"> </w:t>
      </w:r>
    </w:p>
    <w:p w:rsidR="000563B6" w:rsidRPr="00C7479C" w:rsidRDefault="000563B6" w:rsidP="0037182F">
      <w:pPr>
        <w:pStyle w:val="Heading2"/>
        <w:numPr>
          <w:ilvl w:val="1"/>
          <w:numId w:val="9"/>
        </w:numPr>
      </w:pPr>
      <w:bookmarkStart w:id="232" w:name="_Toc403117504"/>
      <w:bookmarkStart w:id="233" w:name="_Toc404352140"/>
      <w:bookmarkStart w:id="234" w:name="_Toc406064034"/>
      <w:bookmarkStart w:id="235" w:name="_Toc406754914"/>
      <w:bookmarkStart w:id="236" w:name="_Toc407006732"/>
      <w:bookmarkStart w:id="237" w:name="_Toc407018467"/>
      <w:bookmarkStart w:id="238" w:name="_Toc408483449"/>
      <w:bookmarkStart w:id="239" w:name="_Toc410723689"/>
      <w:bookmarkStart w:id="240" w:name="_Toc411434898"/>
      <w:bookmarkStart w:id="241" w:name="_Toc413083240"/>
      <w:bookmarkStart w:id="242" w:name="_Toc413672129"/>
      <w:r w:rsidRPr="00C7479C">
        <w:t>Description and Estimate of the Number of Small Entities to Which the Rules Will Apply:</w:t>
      </w:r>
      <w:bookmarkEnd w:id="232"/>
      <w:bookmarkEnd w:id="233"/>
      <w:bookmarkEnd w:id="234"/>
      <w:bookmarkEnd w:id="235"/>
      <w:bookmarkEnd w:id="236"/>
      <w:bookmarkEnd w:id="237"/>
      <w:bookmarkEnd w:id="238"/>
      <w:bookmarkEnd w:id="239"/>
      <w:bookmarkEnd w:id="240"/>
      <w:bookmarkEnd w:id="241"/>
      <w:bookmarkEnd w:id="242"/>
    </w:p>
    <w:p w:rsidR="000563B6" w:rsidRDefault="000563B6" w:rsidP="000563B6">
      <w:pPr>
        <w:pStyle w:val="ParaNum"/>
      </w:pPr>
      <w:r w:rsidRPr="007521D5">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44"/>
      </w:r>
      <w:r>
        <w:t xml:space="preserve">  </w:t>
      </w:r>
      <w:r w:rsidRPr="007521D5">
        <w:t>The RFA generally defines the term “small entity” as having the same meaning as the terms “small business,” “small organization,” and “small governmental jurisdiction.”</w:t>
      </w:r>
      <w:r>
        <w:rPr>
          <w:rStyle w:val="FootnoteReference"/>
          <w:spacing w:val="-2"/>
          <w:szCs w:val="22"/>
        </w:rPr>
        <w:footnoteReference w:id="145"/>
      </w:r>
      <w:r>
        <w:t xml:space="preserve"> </w:t>
      </w:r>
      <w:r w:rsidRPr="007521D5">
        <w:t xml:space="preserve"> In addition, the term “small business” has the same meaning as the term “small business concern” under the Small Business Act.</w:t>
      </w:r>
      <w:r>
        <w:rPr>
          <w:rStyle w:val="FootnoteReference"/>
          <w:spacing w:val="-2"/>
          <w:szCs w:val="22"/>
        </w:rPr>
        <w:footnoteReference w:id="146"/>
      </w:r>
      <w:r w:rsidRPr="007521D5">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47"/>
      </w:r>
      <w:r w:rsidRPr="007521D5">
        <w:t xml:space="preserve"> </w:t>
      </w:r>
    </w:p>
    <w:p w:rsidR="00527D3A" w:rsidRDefault="000563B6" w:rsidP="000563B6">
      <w:pPr>
        <w:pStyle w:val="ParaNum"/>
        <w:sectPr w:rsidR="00527D3A" w:rsidSect="00505CD0">
          <w:footnotePr>
            <w:numRestart w:val="eachSect"/>
          </w:footnotePr>
          <w:pgSz w:w="12240" w:h="15840"/>
          <w:pgMar w:top="1170" w:right="1440" w:bottom="720" w:left="1440" w:header="720" w:footer="720" w:gutter="0"/>
          <w:cols w:space="720"/>
          <w:titlePg/>
          <w:docGrid w:linePitch="299"/>
        </w:sectPr>
      </w:pPr>
      <w:r w:rsidRPr="000272C1">
        <w:rPr>
          <w:b/>
        </w:rPr>
        <w:t xml:space="preserve">Small </w:t>
      </w:r>
      <w:r>
        <w:rPr>
          <w:b/>
        </w:rPr>
        <w:t>Entities</w:t>
      </w:r>
      <w:r w:rsidRPr="000272C1">
        <w:rPr>
          <w:b/>
        </w:rPr>
        <w:t>.</w:t>
      </w:r>
      <w:r w:rsidRPr="007521D5">
        <w:t xml:space="preserve">  </w:t>
      </w:r>
      <w:r w:rsidRPr="00DB7303">
        <w:t xml:space="preserve">Our actions, over time, may affect small entities that are not easily </w:t>
      </w:r>
    </w:p>
    <w:p w:rsidR="000563B6" w:rsidRPr="00DB7303" w:rsidRDefault="000563B6" w:rsidP="000563B6">
      <w:pPr>
        <w:pStyle w:val="ParaNum"/>
      </w:pPr>
      <w:r w:rsidRPr="00DB7303">
        <w:t xml:space="preserve">categorized at present. </w:t>
      </w:r>
      <w:r>
        <w:t xml:space="preserve"> </w:t>
      </w:r>
      <w:r w:rsidRPr="00DB7303">
        <w:t>We therefore describe here, at the outset, three comprehensive small entity size standards that could be directly affected by the proposals under consideration.</w:t>
      </w:r>
      <w:r>
        <w:rPr>
          <w:rStyle w:val="FootnoteReference"/>
        </w:rPr>
        <w:footnoteReference w:id="148"/>
      </w:r>
      <w:r w:rsidRPr="00DB7303">
        <w:t xml:space="preserve">  As of 2009, small businesses represented 99.9 </w:t>
      </w:r>
      <w:r>
        <w:t>percent</w:t>
      </w:r>
      <w:r w:rsidRPr="00DB7303">
        <w:t xml:space="preserve"> of the 27.5 million businesses in the United States, according to the SBA</w:t>
      </w:r>
      <w:r>
        <w:t>.</w:t>
      </w:r>
      <w:r>
        <w:rPr>
          <w:rStyle w:val="FootnoteReference"/>
        </w:rPr>
        <w:footnoteReference w:id="149"/>
      </w:r>
      <w:r w:rsidRPr="00DB7303">
        <w:t xml:space="preserve">  </w:t>
      </w:r>
      <w:r>
        <w:t xml:space="preserve">In addition, </w:t>
      </w:r>
      <w:r w:rsidRPr="00DB7303">
        <w:t>a “small organization is generally any not-for-profit enterprise which is independently owned and operated and not dominant in its field.</w:t>
      </w:r>
      <w:r>
        <w:rPr>
          <w:rStyle w:val="FootnoteReference"/>
        </w:rPr>
        <w:footnoteReference w:id="150"/>
      </w:r>
      <w:r>
        <w:t xml:space="preserve">  Nation</w:t>
      </w:r>
      <w:r w:rsidRPr="00DB7303">
        <w:t>wide, as of 2007, there were approximately 1,621,215 small organizations</w:t>
      </w:r>
      <w:r>
        <w:t>.</w:t>
      </w:r>
      <w:r>
        <w:rPr>
          <w:rStyle w:val="FootnoteReference"/>
        </w:rPr>
        <w:footnoteReference w:id="151"/>
      </w:r>
      <w:r w:rsidRPr="00DB7303">
        <w:t xml:space="preserve"> </w:t>
      </w:r>
      <w:r>
        <w:t xml:space="preserve"> </w:t>
      </w:r>
      <w:r w:rsidRPr="00DB7303">
        <w:t>Finally the term “small governmental jurisdiction” is defined generally as “governments of cities, towns, townships, villages, school districts, or special districts, with a population of less than fifty thousand.</w:t>
      </w:r>
      <w:r>
        <w:rPr>
          <w:rStyle w:val="FootnoteReference"/>
        </w:rPr>
        <w:footnoteReference w:id="152"/>
      </w:r>
      <w:r w:rsidRPr="00DB7303">
        <w:t xml:space="preserve">  Census Bureau data for 2011 indicate that there were 90</w:t>
      </w:r>
      <w:r>
        <w:t>,</w:t>
      </w:r>
      <w:r w:rsidRPr="00DB7303">
        <w:t>056 local governmental jurisdictions in the United States.</w:t>
      </w:r>
      <w:r>
        <w:rPr>
          <w:rStyle w:val="FootnoteReference"/>
        </w:rPr>
        <w:footnoteReference w:id="153"/>
      </w:r>
      <w:r w:rsidRPr="00DB7303">
        <w:t xml:space="preserve">  We estimate that, of this total, as many as 89,327 entities may qualify as “small governmental jurisdictions</w:t>
      </w:r>
      <w:r>
        <w:t>.</w:t>
      </w:r>
      <w:r w:rsidRPr="00DB7303">
        <w:t>”</w:t>
      </w:r>
      <w:r>
        <w:rPr>
          <w:rStyle w:val="FootnoteReference"/>
        </w:rPr>
        <w:footnoteReference w:id="154"/>
      </w:r>
      <w:r w:rsidRPr="00DB7303">
        <w:t xml:space="preserve">  Thus, we estimate that most local government jurisdictions are small. </w:t>
      </w:r>
    </w:p>
    <w:p w:rsidR="000563B6" w:rsidRDefault="000563B6" w:rsidP="000563B6">
      <w:pPr>
        <w:pStyle w:val="ParaNum"/>
      </w:pPr>
      <w:r w:rsidRPr="00C84780">
        <w:rPr>
          <w:b/>
        </w:rPr>
        <w:t>Wired Telecommunications Carriers</w:t>
      </w:r>
      <w:r w:rsidRPr="000942B2">
        <w:t>.</w:t>
      </w:r>
      <w:r w:rsidRPr="000F036F">
        <w:t xml:space="preserve"> </w:t>
      </w:r>
      <w:r>
        <w:t xml:space="preserve"> The U.S. Census Bureau</w:t>
      </w:r>
      <w:r w:rsidRPr="000942B2">
        <w:t xml:space="preserve"> </w:t>
      </w:r>
      <w:r>
        <w:t>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55"/>
      </w:r>
      <w:r>
        <w:t xml:space="preserve">  The SBA </w:t>
      </w:r>
      <w:r w:rsidRPr="000942B2">
        <w:t>has developed a small business size</w:t>
      </w:r>
      <w:r>
        <w:t xml:space="preserve"> </w:t>
      </w:r>
      <w:r w:rsidRPr="000942B2">
        <w:t>standard for Wired Telecommunications Carriers, which consists of all such companies having 1,500 or</w:t>
      </w:r>
      <w:r>
        <w:t xml:space="preserve"> </w:t>
      </w:r>
      <w:r w:rsidRPr="000942B2">
        <w:t>fewer employees</w:t>
      </w:r>
      <w:r>
        <w:t>.</w:t>
      </w:r>
      <w:r>
        <w:rPr>
          <w:rStyle w:val="FootnoteReference"/>
        </w:rPr>
        <w:footnoteReference w:id="156"/>
      </w:r>
      <w:r w:rsidRPr="000942B2">
        <w:t xml:space="preserve"> </w:t>
      </w:r>
      <w:r>
        <w:t xml:space="preserve"> </w:t>
      </w:r>
      <w:r w:rsidRPr="000942B2">
        <w:t>Census data for 2007 shows that there were 3</w:t>
      </w:r>
      <w:r>
        <w:t xml:space="preserve">,188 firms </w:t>
      </w:r>
      <w:r w:rsidRPr="000942B2">
        <w:t>that operated that</w:t>
      </w:r>
      <w:r>
        <w:t xml:space="preserve"> </w:t>
      </w:r>
      <w:r w:rsidRPr="000942B2">
        <w:t xml:space="preserve">year. </w:t>
      </w:r>
      <w:r>
        <w:t xml:space="preserve"> </w:t>
      </w:r>
      <w:r w:rsidRPr="000942B2">
        <w:t xml:space="preserve">Of </w:t>
      </w:r>
      <w:r>
        <w:t>this total</w:t>
      </w:r>
      <w:r w:rsidRPr="000942B2">
        <w:t xml:space="preserve">, </w:t>
      </w:r>
      <w:r>
        <w:t>3,144 operated with fewer than 1,000 employees.</w:t>
      </w:r>
      <w:r>
        <w:rPr>
          <w:rStyle w:val="FootnoteReference"/>
        </w:rPr>
        <w:footnoteReference w:id="157"/>
      </w:r>
      <w:r w:rsidRPr="000942B2">
        <w:t xml:space="preserve"> </w:t>
      </w:r>
      <w:r>
        <w:t xml:space="preserve"> </w:t>
      </w:r>
      <w:r w:rsidRPr="000942B2">
        <w:t xml:space="preserve">Thus, under this size standard, the majority of firms </w:t>
      </w:r>
      <w:r>
        <w:t xml:space="preserve">in this industry </w:t>
      </w:r>
      <w:r w:rsidRPr="000942B2">
        <w:t>can be considered small.</w:t>
      </w:r>
    </w:p>
    <w:p w:rsidR="000563B6" w:rsidRDefault="000563B6" w:rsidP="000563B6">
      <w:pPr>
        <w:pStyle w:val="ParaNum"/>
      </w:pPr>
      <w:r w:rsidRPr="00703D26">
        <w:rPr>
          <w:b/>
        </w:rPr>
        <w:t>Local Exchange Carriers (LECs)</w:t>
      </w:r>
      <w:r w:rsidRPr="00AE4963">
        <w:t xml:space="preserve">. </w:t>
      </w:r>
      <w:r>
        <w:t xml:space="preserve"> </w:t>
      </w:r>
      <w:r w:rsidRPr="00AE4963">
        <w:t>Neither the Commission nor the SBA has developed</w:t>
      </w:r>
      <w:r>
        <w:t xml:space="preserve"> </w:t>
      </w:r>
      <w:r w:rsidRPr="00AE4963">
        <w:t xml:space="preserve">a size standard for small businesses specifically applicable to local exchange services. </w:t>
      </w:r>
      <w:r>
        <w:t xml:space="preserve"> </w:t>
      </w:r>
      <w:r w:rsidRPr="00AE4963">
        <w:t>The closest</w:t>
      </w:r>
      <w:r>
        <w:t xml:space="preserve"> </w:t>
      </w:r>
      <w:r w:rsidRPr="00AE4963">
        <w:t xml:space="preserve">applicable </w:t>
      </w:r>
      <w:r>
        <w:t xml:space="preserve">NAICS Code category </w:t>
      </w:r>
      <w:r w:rsidRPr="00AE4963">
        <w:t>is for Wired Telecommunications Carriers</w:t>
      </w:r>
      <w:r>
        <w:t xml:space="preserve"> as defined in paragraph 6 of this IRFA</w:t>
      </w:r>
      <w:r w:rsidRPr="00AE4963">
        <w:t xml:space="preserve">. </w:t>
      </w:r>
      <w:r>
        <w:t xml:space="preserve"> </w:t>
      </w:r>
      <w:r w:rsidRPr="00AE4963">
        <w:t>Under that size</w:t>
      </w:r>
      <w:r>
        <w:t xml:space="preserve"> </w:t>
      </w:r>
      <w:r w:rsidRPr="00AE4963">
        <w:t xml:space="preserve">standard, such a business is small if it </w:t>
      </w:r>
      <w:r>
        <w:t>has 1,500 or fewer employees.</w:t>
      </w:r>
      <w:r>
        <w:rPr>
          <w:rStyle w:val="FootnoteReference"/>
          <w:spacing w:val="-2"/>
          <w:szCs w:val="22"/>
        </w:rPr>
        <w:footnoteReference w:id="158"/>
      </w:r>
      <w:r>
        <w:t xml:space="preserve">  </w:t>
      </w:r>
      <w:r w:rsidRPr="00AE4963">
        <w:t>According to Commission data,</w:t>
      </w:r>
      <w:r>
        <w:t xml:space="preserve"> c</w:t>
      </w:r>
      <w:r w:rsidRPr="00AE4963">
        <w:t xml:space="preserve">ensus data for 2007 shows that there were </w:t>
      </w:r>
      <w:r>
        <w:t>3,188</w:t>
      </w:r>
      <w:r w:rsidRPr="00AE4963">
        <w:t xml:space="preserve"> establishments that operated that year. </w:t>
      </w:r>
      <w:r>
        <w:t xml:space="preserve"> </w:t>
      </w:r>
      <w:r w:rsidRPr="00AE4963">
        <w:t xml:space="preserve">Of </w:t>
      </w:r>
      <w:r>
        <w:t xml:space="preserve">this total, 3,144 </w:t>
      </w:r>
      <w:r w:rsidRPr="00AE4963">
        <w:t>operated with fewer than 1</w:t>
      </w:r>
      <w:r>
        <w:t>,</w:t>
      </w:r>
      <w:r w:rsidRPr="00AE4963">
        <w:t>00</w:t>
      </w:r>
      <w:r>
        <w:t>0 employees.</w:t>
      </w:r>
      <w:r>
        <w:rPr>
          <w:rStyle w:val="FootnoteReference"/>
          <w:spacing w:val="-2"/>
          <w:szCs w:val="22"/>
        </w:rPr>
        <w:footnoteReference w:id="159"/>
      </w:r>
      <w:r>
        <w:t xml:space="preserve">  T</w:t>
      </w:r>
      <w:r w:rsidRPr="00AE4963">
        <w:t>he Commission estimates that most providers of local exchange service are</w:t>
      </w:r>
      <w:r>
        <w:t xml:space="preserve"> </w:t>
      </w:r>
      <w:r w:rsidRPr="00AE4963">
        <w:t xml:space="preserve">small entities that may be affected by the rules and policies proposed in the </w:t>
      </w:r>
      <w:r w:rsidRPr="00667C90">
        <w:rPr>
          <w:i/>
        </w:rPr>
        <w:t>Notice</w:t>
      </w:r>
      <w:r>
        <w:t>.</w:t>
      </w:r>
    </w:p>
    <w:p w:rsidR="006E6387" w:rsidRDefault="006E6387" w:rsidP="006E6387">
      <w:pPr>
        <w:pStyle w:val="ParaNum"/>
      </w:pPr>
      <w:r w:rsidRPr="00DD099F">
        <w:rPr>
          <w:b/>
        </w:rPr>
        <w:t>Incumbent</w:t>
      </w:r>
      <w:r>
        <w:rPr>
          <w:b/>
        </w:rPr>
        <w:t xml:space="preserve"> LECs.</w:t>
      </w:r>
      <w:r w:rsidRPr="007521D5">
        <w:t xml:space="preserve">  Neither the Commission nor the SBA has developed a small business size standard specifically for incumbent local exchange services.  The </w:t>
      </w:r>
      <w:r>
        <w:t xml:space="preserve">closest applicable NAICS Code </w:t>
      </w:r>
      <w:r w:rsidRPr="007521D5">
        <w:t xml:space="preserve">category </w:t>
      </w:r>
      <w:r>
        <w:t xml:space="preserve">is </w:t>
      </w:r>
      <w:r w:rsidRPr="007521D5">
        <w:t>Wired Telecommunications Carriers</w:t>
      </w:r>
      <w:r>
        <w:t>, as defined in paragraph 6 of this IRFA</w:t>
      </w:r>
      <w:r w:rsidRPr="007521D5">
        <w:t>.  Under that size standard, such a business is small if it has 1,500 or fewer employees.</w:t>
      </w:r>
      <w:r>
        <w:rPr>
          <w:rStyle w:val="FootnoteReference"/>
          <w:spacing w:val="-2"/>
          <w:szCs w:val="22"/>
        </w:rPr>
        <w:footnoteReference w:id="160"/>
      </w:r>
      <w:r>
        <w:t xml:space="preserve">  </w:t>
      </w:r>
      <w:r w:rsidRPr="007521D5">
        <w:t xml:space="preserve">According to Commission data, </w:t>
      </w:r>
      <w:r>
        <w:t xml:space="preserve">3,188 firms operated in that year.  </w:t>
      </w:r>
      <w:r w:rsidRPr="007521D5">
        <w:t>1,307 carriers reported that they were incumbent local exchange service providers.</w:t>
      </w:r>
      <w:r>
        <w:rPr>
          <w:rStyle w:val="FootnoteReference"/>
          <w:spacing w:val="-2"/>
          <w:szCs w:val="22"/>
        </w:rPr>
        <w:footnoteReference w:id="161"/>
      </w:r>
      <w:r>
        <w:t xml:space="preserve">  </w:t>
      </w:r>
      <w:r w:rsidRPr="007521D5">
        <w:t xml:space="preserve">Of </w:t>
      </w:r>
      <w:r>
        <w:t>this total</w:t>
      </w:r>
      <w:r w:rsidRPr="007521D5">
        <w:t xml:space="preserve">, </w:t>
      </w:r>
      <w:r>
        <w:t xml:space="preserve">3,144 </w:t>
      </w:r>
      <w:r w:rsidRPr="00AE4963">
        <w:t>operated with fewer than 1</w:t>
      </w:r>
      <w:r>
        <w:t>,</w:t>
      </w:r>
      <w:r w:rsidRPr="00AE4963">
        <w:t>00</w:t>
      </w:r>
      <w:r>
        <w:t>0 employees.</w:t>
      </w:r>
      <w:r>
        <w:rPr>
          <w:rStyle w:val="FootnoteReference"/>
          <w:spacing w:val="-2"/>
          <w:szCs w:val="22"/>
        </w:rPr>
        <w:footnoteReference w:id="162"/>
      </w:r>
      <w:r>
        <w:t xml:space="preserve">  </w:t>
      </w:r>
      <w:r w:rsidRPr="007521D5">
        <w:t xml:space="preserve">Consequently, the Commission estimates that most providers of </w:t>
      </w:r>
      <w:r>
        <w:t xml:space="preserve">incumbent </w:t>
      </w:r>
      <w:r w:rsidRPr="007521D5">
        <w:t xml:space="preserve">local exchange service are small </w:t>
      </w:r>
      <w:r>
        <w:t>businesses</w:t>
      </w:r>
      <w:r w:rsidRPr="007521D5">
        <w:t xml:space="preserve"> that may be affected by the rules a</w:t>
      </w:r>
      <w:r>
        <w:t xml:space="preserve">nd policies proposed in the </w:t>
      </w:r>
      <w:r>
        <w:rPr>
          <w:i/>
        </w:rPr>
        <w:t>Notice</w:t>
      </w:r>
      <w:r>
        <w:t>.  Three hundred and seven (</w:t>
      </w:r>
      <w:r w:rsidRPr="007521D5">
        <w:t>307</w:t>
      </w:r>
      <w:r>
        <w:t>)</w:t>
      </w:r>
      <w:r w:rsidRPr="007521D5">
        <w:t xml:space="preserve"> </w:t>
      </w:r>
      <w:r>
        <w:t xml:space="preserve">Incumbent Local Exchange Carriers </w:t>
      </w:r>
      <w:r w:rsidRPr="007521D5">
        <w:t>reported that they were incumbent local exchange service providers.</w:t>
      </w:r>
      <w:r>
        <w:rPr>
          <w:rStyle w:val="FootnoteReference"/>
          <w:spacing w:val="-2"/>
          <w:szCs w:val="22"/>
        </w:rPr>
        <w:footnoteReference w:id="163"/>
      </w:r>
      <w:r>
        <w:t xml:space="preserve">  </w:t>
      </w:r>
      <w:r w:rsidRPr="007521D5">
        <w:t xml:space="preserve">Of </w:t>
      </w:r>
      <w:r>
        <w:t>this total</w:t>
      </w:r>
      <w:r w:rsidRPr="007521D5">
        <w:t>, an estimated 1,006 have 1,500 or fewer employees</w:t>
      </w:r>
      <w:r>
        <w:t>.</w:t>
      </w:r>
      <w:r>
        <w:rPr>
          <w:rStyle w:val="FootnoteReference"/>
          <w:spacing w:val="-2"/>
          <w:szCs w:val="22"/>
        </w:rPr>
        <w:footnoteReference w:id="164"/>
      </w:r>
    </w:p>
    <w:p w:rsidR="006E6387" w:rsidRDefault="006E6387" w:rsidP="006E6387">
      <w:pPr>
        <w:pStyle w:val="ParaNum"/>
      </w:pPr>
      <w:r w:rsidRPr="00235AC7">
        <w:rPr>
          <w:b/>
        </w:rPr>
        <w:t>Competitive Local Exchange Carriers (Competitive LECs), Competitive Access Providers (CAPs), Shared-Tenant Service Providers, and Other Local Service Providers</w:t>
      </w:r>
      <w:r w:rsidRPr="00EB0B7B">
        <w:t>.</w:t>
      </w:r>
      <w:r w:rsidRPr="007521D5">
        <w:t xml:space="preserve">  Neither the Commission nor the SBA has developed a small business size standard specifically for these service providers.  The appropriate </w:t>
      </w:r>
      <w:r>
        <w:t xml:space="preserve">NAICS Code </w:t>
      </w:r>
      <w:r w:rsidRPr="007521D5">
        <w:t xml:space="preserve">category </w:t>
      </w:r>
      <w:r>
        <w:t xml:space="preserve">is </w:t>
      </w:r>
      <w:r w:rsidRPr="007521D5">
        <w:t>Wired Telecommunications Carriers</w:t>
      </w:r>
      <w:r>
        <w:t>, as defined in paragraph 6 of this IRFA</w:t>
      </w:r>
      <w:r w:rsidRPr="007521D5">
        <w:t>.  Under that size standard, such a business is small if it has 1,500 or fewer employees.</w:t>
      </w:r>
      <w:r>
        <w:rPr>
          <w:rStyle w:val="FootnoteReference"/>
          <w:spacing w:val="-2"/>
          <w:szCs w:val="22"/>
        </w:rPr>
        <w:footnoteReference w:id="165"/>
      </w:r>
      <w:r w:rsidRPr="007521D5">
        <w:t xml:space="preserve">   </w:t>
      </w:r>
      <w:r>
        <w:t>U.S. Census data for 2007 indicate that 3,188 firms operated during that year.  Of that number, 3,144 operated with fewer than 1,000 employees.</w:t>
      </w:r>
      <w:r>
        <w:rPr>
          <w:rStyle w:val="FootnoteReference"/>
        </w:rPr>
        <w:footnoteReference w:id="166"/>
      </w:r>
      <w:r>
        <w:t xml:space="preserve">  Based on this data, the Commission concludes that the majority of Competitive LECs, CAPs, Shared-Tenant Service Providers, and Other Local Service Providers are small entities.  </w:t>
      </w:r>
      <w:r w:rsidRPr="007521D5">
        <w:t>According to Commission data, 1,442 carriers reported that they were engaged in the provision of either competitive local exchange services or competitive access provider services.</w:t>
      </w:r>
      <w:r>
        <w:rPr>
          <w:rStyle w:val="FootnoteReference"/>
          <w:spacing w:val="-2"/>
          <w:szCs w:val="22"/>
        </w:rPr>
        <w:footnoteReference w:id="167"/>
      </w:r>
      <w:r w:rsidRPr="007521D5">
        <w:t xml:space="preserve">   Of these 1,442 carriers, an estimated 1,256 have 1,500 or fewer employees</w:t>
      </w:r>
      <w:r>
        <w:t xml:space="preserve">.  </w:t>
      </w:r>
      <w:r w:rsidRPr="007521D5">
        <w:t>In addition, 17 carriers have reported that they are Shared-Tenant Service Providers, and all 17 are estimated to have 1,500 or fewer employees.</w:t>
      </w:r>
      <w:r>
        <w:rPr>
          <w:rStyle w:val="FootnoteReference"/>
          <w:spacing w:val="-2"/>
          <w:szCs w:val="22"/>
        </w:rPr>
        <w:footnoteReference w:id="168"/>
      </w:r>
      <w:r w:rsidRPr="007521D5">
        <w:t xml:space="preserve">   In addition, 72 carriers have reported that they are Other Local Service Providers.</w:t>
      </w:r>
      <w:r>
        <w:rPr>
          <w:rStyle w:val="FootnoteReference"/>
          <w:spacing w:val="-2"/>
          <w:szCs w:val="22"/>
        </w:rPr>
        <w:footnoteReference w:id="169"/>
      </w:r>
      <w:r>
        <w:t xml:space="preserve">   Of this total, 70</w:t>
      </w:r>
      <w:r w:rsidRPr="007521D5">
        <w:t xml:space="preserve"> have 1,500 or fewer employees.</w:t>
      </w:r>
      <w:r>
        <w:rPr>
          <w:rStyle w:val="FootnoteReference"/>
          <w:spacing w:val="-2"/>
          <w:szCs w:val="22"/>
        </w:rPr>
        <w:footnoteReference w:id="170"/>
      </w:r>
      <w:r w:rsidRPr="007521D5">
        <w:t xml:space="preserve">  Consequently, the Commission estimates that most providers of competitive local exchange service, competitive access providers, Shared-Tenant Service Providers, and Other Local Service Providers are small entities that may be affected by ru</w:t>
      </w:r>
      <w:r>
        <w:t xml:space="preserve">les adopted pursuant to the proposals in this </w:t>
      </w:r>
      <w:r>
        <w:rPr>
          <w:i/>
        </w:rPr>
        <w:t>Notice</w:t>
      </w:r>
      <w:r w:rsidRPr="007521D5">
        <w:t xml:space="preserve">. </w:t>
      </w:r>
    </w:p>
    <w:p w:rsidR="006E6387" w:rsidRDefault="006E6387" w:rsidP="006E6387">
      <w:pPr>
        <w:pStyle w:val="ParaNum"/>
      </w:pPr>
      <w:r w:rsidRPr="005B1923">
        <w:rPr>
          <w:b/>
        </w:rPr>
        <w:t>Interexchange Carriers (IXCs)</w:t>
      </w:r>
      <w:r w:rsidRPr="007521D5">
        <w:t xml:space="preserve">.  Neither the Commission nor the SBA has developed a </w:t>
      </w:r>
      <w:r>
        <w:t xml:space="preserve">definition for Interexchange Carriers.  The closest NAICS Code category is Wired Telecommunications Carriers as defined in paragraph 6 of this IRFA. </w:t>
      </w:r>
      <w:r w:rsidRPr="007521D5">
        <w:t xml:space="preserve"> The </w:t>
      </w:r>
      <w:r>
        <w:t>applicable</w:t>
      </w:r>
      <w:r w:rsidRPr="007521D5">
        <w:t xml:space="preserve"> size standard under SBA rules is </w:t>
      </w:r>
      <w:r>
        <w:t>that</w:t>
      </w:r>
      <w:r w:rsidRPr="007521D5">
        <w:t xml:space="preserve"> such a business is small if it has 1,500 or fewer employees.</w:t>
      </w:r>
      <w:r>
        <w:rPr>
          <w:rStyle w:val="FootnoteReference"/>
          <w:spacing w:val="-2"/>
          <w:szCs w:val="22"/>
        </w:rPr>
        <w:footnoteReference w:id="171"/>
      </w:r>
      <w:r w:rsidRPr="007521D5">
        <w:t xml:space="preserve">  According to Commission data, 359 companies reported that their primary telecommunications service activity was the provision of interexchange services.</w:t>
      </w:r>
      <w:r>
        <w:rPr>
          <w:rStyle w:val="FootnoteReference"/>
          <w:spacing w:val="-2"/>
          <w:szCs w:val="22"/>
        </w:rPr>
        <w:footnoteReference w:id="172"/>
      </w:r>
      <w:r w:rsidRPr="007521D5">
        <w:t xml:space="preserve">  Of </w:t>
      </w:r>
      <w:r>
        <w:t>this total</w:t>
      </w:r>
      <w:r w:rsidRPr="007521D5">
        <w:t>, an estimated 317 have 1,500 or fewer employees and 42 have more than 1,500 employees.</w:t>
      </w:r>
      <w:r>
        <w:rPr>
          <w:rStyle w:val="FootnoteReference"/>
          <w:spacing w:val="-2"/>
          <w:szCs w:val="22"/>
        </w:rPr>
        <w:footnoteReference w:id="173"/>
      </w:r>
      <w:r w:rsidRPr="007521D5">
        <w:t xml:space="preserve">  Consequently, the Commission estimates that the majority of interexchange service providers are small entities that may be affected by rules adopted pursuant to the </w:t>
      </w:r>
      <w:r>
        <w:rPr>
          <w:i/>
        </w:rPr>
        <w:t>Notice</w:t>
      </w:r>
      <w:r w:rsidRPr="007521D5">
        <w:t>.</w:t>
      </w:r>
    </w:p>
    <w:p w:rsidR="006E6387" w:rsidRDefault="006E6387" w:rsidP="006E6387">
      <w:pPr>
        <w:pStyle w:val="ParaNum"/>
      </w:pPr>
      <w:r w:rsidRPr="00AC5A57">
        <w:rPr>
          <w:b/>
        </w:rPr>
        <w:t>Prepaid Calling Card Providers.</w:t>
      </w:r>
      <w:r w:rsidRPr="00AC5A57">
        <w:t xml:space="preserve">  Neither the Commission nor the SBA has developed a small business size standard specifically for prepaid calling card providers.  The appropriate </w:t>
      </w:r>
      <w:r>
        <w:t>NAICS Code category for prepaid calling card providers is</w:t>
      </w:r>
      <w:r w:rsidRPr="00AC5A57">
        <w:t xml:space="preserve"> Telecommunications Resellers.  </w:t>
      </w:r>
      <w:r>
        <w:t>This industry comprises establishments engaged in purchasing access and network capacity from owners and operators of telecommunications networks and reselling wired and wireless telecommunications services (except satellite) to businesses and households.  Mobile virtual networks operators (MVNOs) are included in this industry.</w:t>
      </w:r>
      <w:r>
        <w:rPr>
          <w:rStyle w:val="FootnoteReference"/>
        </w:rPr>
        <w:footnoteReference w:id="174"/>
      </w:r>
      <w:r>
        <w:t xml:space="preserve">  Under the applicable SBA size standard,</w:t>
      </w:r>
      <w:r w:rsidRPr="00AC5A57">
        <w:t xml:space="preserve"> such a business is small if it has 1,500 or fewer employees.</w:t>
      </w:r>
      <w:r>
        <w:rPr>
          <w:rStyle w:val="FootnoteReference"/>
          <w:spacing w:val="-2"/>
          <w:szCs w:val="22"/>
        </w:rPr>
        <w:footnoteReference w:id="175"/>
      </w:r>
      <w:r w:rsidRPr="00AC5A57">
        <w:t xml:space="preserve">  </w:t>
      </w:r>
      <w:r>
        <w:t xml:space="preserve">U.S. </w:t>
      </w:r>
      <w:r w:rsidRPr="00AC5A57">
        <w:t>Census data for 2007 show that 1,523 firms provided resale services during that year.  Of that number, 1,522 operated with fewer than 1</w:t>
      </w:r>
      <w:r>
        <w:t>,</w:t>
      </w:r>
      <w:r w:rsidRPr="00AC5A57">
        <w:t>000 employees.</w:t>
      </w:r>
      <w:r>
        <w:rPr>
          <w:rStyle w:val="FootnoteReference"/>
          <w:spacing w:val="-2"/>
          <w:szCs w:val="22"/>
        </w:rPr>
        <w:footnoteReference w:id="176"/>
      </w:r>
      <w:r w:rsidRPr="00AC5A57">
        <w:t xml:space="preserve">  Thus</w:t>
      </w:r>
      <w:r>
        <w:t>,</w:t>
      </w:r>
      <w:r w:rsidRPr="00AC5A57">
        <w:t xml:space="preserve">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77"/>
      </w:r>
      <w:r w:rsidRPr="00AC5A57">
        <w:t xml:space="preserve">  </w:t>
      </w:r>
      <w:r>
        <w:t>A</w:t>
      </w:r>
      <w:r w:rsidRPr="00AC5A57">
        <w:t>ll 193</w:t>
      </w:r>
      <w:r>
        <w:t xml:space="preserve"> carriers</w:t>
      </w:r>
      <w:r w:rsidRPr="00AC5A57">
        <w:t xml:space="preserve"> have </w:t>
      </w:r>
      <w:r>
        <w:t>1,500 or fewer employees</w:t>
      </w:r>
      <w:r w:rsidRPr="00AC5A57">
        <w:t>.</w:t>
      </w:r>
      <w:r>
        <w:rPr>
          <w:rStyle w:val="FootnoteReference"/>
          <w:spacing w:val="-2"/>
          <w:szCs w:val="22"/>
        </w:rPr>
        <w:footnoteReference w:id="178"/>
      </w:r>
      <w:r w:rsidRPr="00AC5A57">
        <w:t xml:space="preserve">  Consequently, the Commission estimates that the majority of prepaid calling card providers are small entities that may be affected by rules adopted pursuant to the </w:t>
      </w:r>
      <w:r>
        <w:rPr>
          <w:i/>
        </w:rPr>
        <w:t>Notice</w:t>
      </w:r>
      <w:r w:rsidRPr="00AC5A57">
        <w:t>.</w:t>
      </w:r>
    </w:p>
    <w:p w:rsidR="00CE7724" w:rsidRDefault="00CE7724" w:rsidP="00CE7724">
      <w:pPr>
        <w:pStyle w:val="ParaNum"/>
      </w:pPr>
      <w:r w:rsidRPr="00CE14D5">
        <w:rPr>
          <w:b/>
        </w:rPr>
        <w:t>Local Resellers</w:t>
      </w:r>
      <w:r w:rsidRPr="007521D5">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79"/>
      </w:r>
      <w:r w:rsidRPr="007521D5">
        <w:t xml:space="preserve">  Census data for 2007 show that 1,523 firms provided resale services during that year.  Of that number, 1,522 operated with fewer than 1</w:t>
      </w:r>
      <w:r>
        <w:t>,</w:t>
      </w:r>
      <w:r w:rsidRPr="007521D5">
        <w:t>000 employees</w:t>
      </w:r>
      <w:r>
        <w:t>.</w:t>
      </w:r>
      <w:r>
        <w:rPr>
          <w:rStyle w:val="FootnoteReference"/>
          <w:spacing w:val="-2"/>
          <w:szCs w:val="22"/>
        </w:rPr>
        <w:footnoteReference w:id="180"/>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81"/>
      </w:r>
      <w:r w:rsidRPr="007521D5">
        <w:t xml:space="preserve">  Of th</w:t>
      </w:r>
      <w:r>
        <w:t>is total</w:t>
      </w:r>
      <w:r w:rsidRPr="007521D5">
        <w:t>, an estimated 211 have 1,500 or fewer employees.</w:t>
      </w:r>
      <w:r>
        <w:rPr>
          <w:rStyle w:val="FootnoteReference"/>
          <w:spacing w:val="-2"/>
          <w:szCs w:val="22"/>
        </w:rPr>
        <w:footnoteReference w:id="182"/>
      </w:r>
      <w:r w:rsidRPr="007521D5">
        <w:t xml:space="preserve">  Consequently, the Commission estimates that the majority of local resellers are small entities that may be affected by rules adopted pursuant to the </w:t>
      </w:r>
      <w:r>
        <w:t xml:space="preserve">proposals in this </w:t>
      </w:r>
      <w:r>
        <w:rPr>
          <w:i/>
        </w:rPr>
        <w:t>Notice</w:t>
      </w:r>
      <w:r w:rsidRPr="007521D5">
        <w:t xml:space="preserve">. </w:t>
      </w:r>
    </w:p>
    <w:p w:rsidR="00CE7724" w:rsidRDefault="00CE7724" w:rsidP="00CE7724">
      <w:pPr>
        <w:pStyle w:val="ParaNum"/>
      </w:pPr>
      <w:r w:rsidRPr="00D96FF2">
        <w:rPr>
          <w:b/>
        </w:rPr>
        <w:t>Toll Resellers</w:t>
      </w:r>
      <w:r w:rsidRPr="007521D5">
        <w:t xml:space="preserve">.  The </w:t>
      </w:r>
      <w:r>
        <w:t xml:space="preserve">Commission has not developed a definition for Toll Resellers.  The closest NAICS Code Category is Telecommunications Resellers, and the </w:t>
      </w:r>
      <w:r w:rsidRPr="007521D5">
        <w:t>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83"/>
      </w:r>
      <w:r w:rsidRPr="007521D5">
        <w:t xml:space="preserve">  Census data for 2007 show that 1,523 firms provided resale services during that year.  Of that number, 1,522 operated with fewer than 1,000 employees.</w:t>
      </w:r>
      <w:r>
        <w:rPr>
          <w:rStyle w:val="FootnoteReference"/>
          <w:spacing w:val="-2"/>
          <w:szCs w:val="22"/>
        </w:rPr>
        <w:footnoteReference w:id="184"/>
      </w:r>
      <w:r w:rsidRPr="007521D5">
        <w:t xml:space="preserve">  Thus</w:t>
      </w:r>
      <w:r>
        <w:t>,</w:t>
      </w:r>
      <w:r w:rsidRPr="007521D5">
        <w:t xml:space="preserve"> under this category and the associated small business size standard, the majority of these resellers can be considered small entities.</w:t>
      </w:r>
      <w:r>
        <w:t xml:space="preserve">  According to Commission data,</w:t>
      </w:r>
      <w:r w:rsidRPr="007521D5">
        <w:t xml:space="preserve"> 881 carriers have reported that they are engaged in the provision of toll resale services.</w:t>
      </w:r>
      <w:r>
        <w:rPr>
          <w:rStyle w:val="FootnoteReference"/>
          <w:spacing w:val="-2"/>
          <w:szCs w:val="22"/>
        </w:rPr>
        <w:footnoteReference w:id="185"/>
      </w:r>
      <w:r w:rsidRPr="007521D5">
        <w:t xml:space="preserve">  Of th</w:t>
      </w:r>
      <w:r>
        <w:t>is total</w:t>
      </w:r>
      <w:r w:rsidRPr="007521D5">
        <w:t>, an estimated 857 have 1,500 or fewer employees.</w:t>
      </w:r>
      <w:r>
        <w:rPr>
          <w:rStyle w:val="FootnoteReference"/>
          <w:spacing w:val="-2"/>
          <w:szCs w:val="22"/>
        </w:rPr>
        <w:footnoteReference w:id="186"/>
      </w:r>
      <w:r w:rsidRPr="007521D5">
        <w:t xml:space="preserve">  Consequently, the Commission estimates that the majority of toll resellers are small entities that may </w:t>
      </w:r>
      <w:r>
        <w:t xml:space="preserve">be affected by our proposals in the </w:t>
      </w:r>
      <w:r>
        <w:rPr>
          <w:i/>
        </w:rPr>
        <w:t>Notice</w:t>
      </w:r>
      <w:r w:rsidRPr="007521D5">
        <w:t>.</w:t>
      </w:r>
    </w:p>
    <w:p w:rsidR="00CE7724" w:rsidRDefault="00CE7724" w:rsidP="00CE7724">
      <w:pPr>
        <w:pStyle w:val="ParaNum"/>
      </w:pPr>
      <w:r w:rsidRPr="009C04AC">
        <w:rPr>
          <w:b/>
        </w:rPr>
        <w:t>Other Toll Carriers.</w:t>
      </w:r>
      <w:r w:rsidRPr="00CD1070">
        <w:t xml:space="preserve"> </w:t>
      </w:r>
      <w:r>
        <w:t xml:space="preserve"> </w:t>
      </w:r>
      <w:r w:rsidRPr="00CD1070">
        <w:t>Neither the Commission nor the SBA has developed a size</w:t>
      </w:r>
      <w:r>
        <w:t xml:space="preserve"> </w:t>
      </w:r>
      <w:r w:rsidRPr="00CD1070">
        <w:t xml:space="preserve">standard for small businesses specifically applicable to Other Toll Carriers. </w:t>
      </w:r>
      <w:r>
        <w:t xml:space="preserve"> </w:t>
      </w:r>
      <w:r w:rsidRPr="00CD1070">
        <w:t>This category includes toll</w:t>
      </w:r>
      <w:r>
        <w:t xml:space="preserve"> </w:t>
      </w:r>
      <w:r w:rsidRPr="00CD1070">
        <w:t>carriers that do not fall within the categories of interexchange carriers, operator service providers, prepaid</w:t>
      </w:r>
      <w:r>
        <w:t xml:space="preserve"> </w:t>
      </w:r>
      <w:r w:rsidRPr="00CD1070">
        <w:t xml:space="preserve">calling card providers, satellite service carriers, or toll resellers. </w:t>
      </w:r>
      <w:r>
        <w:t xml:space="preserve"> </w:t>
      </w:r>
      <w:r w:rsidRPr="00CD1070">
        <w:t xml:space="preserve">The closest applicable </w:t>
      </w:r>
      <w:r>
        <w:t xml:space="preserve">NAICS Code category </w:t>
      </w:r>
      <w:r w:rsidRPr="00CD1070">
        <w:t>is for Wired Telecommunications Carriers</w:t>
      </w:r>
      <w:r>
        <w:t>, as defined in paragraph 6 of this IRFA</w:t>
      </w:r>
      <w:r w:rsidRPr="00CD1070">
        <w:t xml:space="preserve">. </w:t>
      </w:r>
      <w:r>
        <w:t xml:space="preserve"> </w:t>
      </w:r>
      <w:r w:rsidRPr="00CD1070">
        <w:t>Under that size standard, such a business is</w:t>
      </w:r>
      <w:r>
        <w:t xml:space="preserve"> </w:t>
      </w:r>
      <w:r w:rsidRPr="00CD1070">
        <w:t xml:space="preserve">small if it </w:t>
      </w:r>
      <w:r>
        <w:t>has 1,500 or fewer employees.</w:t>
      </w:r>
      <w:r>
        <w:rPr>
          <w:rStyle w:val="FootnoteReference"/>
          <w:spacing w:val="-2"/>
          <w:szCs w:val="22"/>
        </w:rPr>
        <w:footnoteReference w:id="187"/>
      </w:r>
      <w:r>
        <w:t xml:space="preserve">  </w:t>
      </w:r>
      <w:r w:rsidRPr="00CD1070">
        <w:t xml:space="preserve">Census data for 2007 shows that there were </w:t>
      </w:r>
      <w:r>
        <w:t>3,188 firms that operated that year</w:t>
      </w:r>
      <w:r w:rsidRPr="00CD1070">
        <w:t xml:space="preserve">. </w:t>
      </w:r>
      <w:r>
        <w:t xml:space="preserve"> </w:t>
      </w:r>
      <w:r w:rsidRPr="00CD1070">
        <w:t>Of th</w:t>
      </w:r>
      <w:r>
        <w:t>is total</w:t>
      </w:r>
      <w:r w:rsidRPr="00CD1070">
        <w:t xml:space="preserve">, </w:t>
      </w:r>
      <w:r>
        <w:t>3,144</w:t>
      </w:r>
      <w:r w:rsidRPr="00CD1070">
        <w:t xml:space="preserve"> operated with fewer than 1</w:t>
      </w:r>
      <w:r>
        <w:t>,</w:t>
      </w:r>
      <w:r w:rsidRPr="00CD1070">
        <w:t>00</w:t>
      </w:r>
      <w:r>
        <w:t>0</w:t>
      </w:r>
      <w:r w:rsidRPr="00CD1070">
        <w:t xml:space="preserve"> employees.</w:t>
      </w:r>
      <w:r>
        <w:rPr>
          <w:rStyle w:val="FootnoteReference"/>
          <w:spacing w:val="-2"/>
          <w:szCs w:val="22"/>
        </w:rPr>
        <w:footnoteReference w:id="188"/>
      </w:r>
      <w:r>
        <w:t xml:space="preserve">  </w:t>
      </w:r>
      <w:r w:rsidRPr="00CD1070">
        <w:t>Thus, under this category and the associated</w:t>
      </w:r>
      <w:r>
        <w:t xml:space="preserve"> </w:t>
      </w:r>
      <w:r w:rsidRPr="00CD1070">
        <w:t xml:space="preserve">small business size standard, the majority of Other Toll Carriers can be considered small. </w:t>
      </w:r>
      <w:r>
        <w:t xml:space="preserve"> </w:t>
      </w:r>
      <w:r w:rsidRPr="00CD1070">
        <w:t>According to</w:t>
      </w:r>
      <w:r>
        <w:t xml:space="preserve"> </w:t>
      </w:r>
      <w:r w:rsidRPr="00CD1070">
        <w:t>Commission data, 284 companies reported that their primary telecommunications service activity was the</w:t>
      </w:r>
      <w:r>
        <w:t xml:space="preserve"> </w:t>
      </w:r>
      <w:r w:rsidRPr="00CD1070">
        <w:t>prov</w:t>
      </w:r>
      <w:r>
        <w:t>ision of other toll carriage.</w:t>
      </w:r>
      <w:r>
        <w:rPr>
          <w:rStyle w:val="FootnoteReference"/>
          <w:spacing w:val="-2"/>
          <w:szCs w:val="22"/>
        </w:rPr>
        <w:footnoteReference w:id="189"/>
      </w:r>
      <w:r>
        <w:t xml:space="preserve">  </w:t>
      </w:r>
      <w:r w:rsidRPr="00CD1070">
        <w:t>Of these, an estimated 279 have 1,500 or fewer employees</w:t>
      </w:r>
      <w:r>
        <w:t>.</w:t>
      </w:r>
      <w:r>
        <w:rPr>
          <w:rStyle w:val="FootnoteReference"/>
          <w:spacing w:val="-2"/>
          <w:szCs w:val="22"/>
        </w:rPr>
        <w:footnoteReference w:id="190"/>
      </w:r>
      <w:r>
        <w:t xml:space="preserve">  </w:t>
      </w:r>
      <w:r w:rsidRPr="00CD1070">
        <w:t>Consequently, the Commission estimates that most Other Toll</w:t>
      </w:r>
      <w:r>
        <w:t xml:space="preserve"> </w:t>
      </w:r>
      <w:r w:rsidRPr="00CD1070">
        <w:t>Carriers are small entities that may be affected by the rules and polic</w:t>
      </w:r>
      <w:r>
        <w:t xml:space="preserve">ies adopted pursuant to the </w:t>
      </w:r>
      <w:r>
        <w:rPr>
          <w:i/>
        </w:rPr>
        <w:t>Notice</w:t>
      </w:r>
      <w:r w:rsidRPr="00CD1070">
        <w:t>.</w:t>
      </w:r>
    </w:p>
    <w:p w:rsidR="00CE7724" w:rsidRDefault="00CE7724" w:rsidP="00CE7724">
      <w:pPr>
        <w:pStyle w:val="ParaNum"/>
      </w:pPr>
      <w:r w:rsidRPr="00A50BC3">
        <w:rPr>
          <w:b/>
        </w:rPr>
        <w:t xml:space="preserve">Wireless Telecommunications Carriers (except </w:t>
      </w:r>
      <w:r>
        <w:rPr>
          <w:b/>
        </w:rPr>
        <w:t>S</w:t>
      </w:r>
      <w:r w:rsidRPr="00A50BC3">
        <w:rPr>
          <w:b/>
        </w:rPr>
        <w:t>atellite).</w:t>
      </w:r>
      <w:r w:rsidRPr="00A50BC3">
        <w:t xml:space="preserve">  </w:t>
      </w:r>
      <w:r>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191"/>
      </w:r>
      <w:r>
        <w:t xml:space="preserve">  The appropriate size standard under SBA rules is that such a business is small if it has 1,500 or fewer employees.  For this industry, Census Data for 2007 show that there were 1,383 firms that operated for the entire year.  Of this total, 1,368 firms had fewer than 1,000 employees.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Pr>
          <w:rStyle w:val="FootnoteReference"/>
          <w:spacing w:val="-2"/>
          <w:szCs w:val="22"/>
        </w:rPr>
        <w:footnoteReference w:id="192"/>
      </w:r>
      <w:r>
        <w:t xml:space="preserve">  </w:t>
      </w:r>
      <w:r w:rsidRPr="00A9716B">
        <w:t>Of th</w:t>
      </w:r>
      <w:r>
        <w:t>is total</w:t>
      </w:r>
      <w:r w:rsidRPr="00A9716B">
        <w:t>, an estimated 261 have 1,500 or</w:t>
      </w:r>
      <w:r>
        <w:t xml:space="preserve"> </w:t>
      </w:r>
      <w:r w:rsidRPr="00A9716B">
        <w:t>fewer employees</w:t>
      </w:r>
      <w:r>
        <w:t>.</w:t>
      </w:r>
      <w:r>
        <w:rPr>
          <w:rStyle w:val="FootnoteReference"/>
          <w:spacing w:val="-2"/>
          <w:szCs w:val="22"/>
        </w:rPr>
        <w:footnoteReference w:id="193"/>
      </w:r>
      <w:r>
        <w:t xml:space="preserve">  </w:t>
      </w:r>
      <w:r w:rsidRPr="00A9716B">
        <w:t>Consequently, the Commission estimates</w:t>
      </w:r>
      <w:r>
        <w:t xml:space="preserve"> </w:t>
      </w:r>
      <w:r w:rsidRPr="00A9716B">
        <w:t xml:space="preserve">that approximately half of these firms can be considered small. </w:t>
      </w:r>
      <w:r>
        <w:t xml:space="preserve"> </w:t>
      </w:r>
      <w:r w:rsidRPr="00A9716B">
        <w:t>Thus, using available data, we</w:t>
      </w:r>
      <w:r>
        <w:t xml:space="preserve"> </w:t>
      </w:r>
      <w:r w:rsidRPr="00A9716B">
        <w:t>estimate that the majority of wireless firms can be considered small.</w:t>
      </w:r>
    </w:p>
    <w:p w:rsidR="006C761E" w:rsidRDefault="006C761E" w:rsidP="006C761E">
      <w:pPr>
        <w:pStyle w:val="ParaNum"/>
      </w:pPr>
      <w:r w:rsidRPr="0065680B">
        <w:rPr>
          <w:b/>
        </w:rPr>
        <w:t xml:space="preserve">Cable Television and other </w:t>
      </w:r>
      <w:r>
        <w:rPr>
          <w:b/>
        </w:rPr>
        <w:t>Subscription</w:t>
      </w:r>
      <w:r w:rsidRPr="0065680B">
        <w:rPr>
          <w:b/>
        </w:rPr>
        <w:t xml:space="preserve"> </w:t>
      </w:r>
      <w:r>
        <w:rPr>
          <w:b/>
        </w:rPr>
        <w:t>Programming.</w:t>
      </w:r>
      <w:r>
        <w:rPr>
          <w:rStyle w:val="FootnoteReference"/>
        </w:rPr>
        <w:footnoteReference w:id="194"/>
      </w:r>
      <w:r>
        <w:t xml:space="preserve">  </w:t>
      </w:r>
      <w:r w:rsidRPr="0065680B">
        <w:t>Since 2007, these services have been defined within the broad economic census category of Wi</w:t>
      </w:r>
      <w:r>
        <w:t>red Telecommunications Carriers.  T</w:t>
      </w:r>
      <w:r w:rsidRPr="0065680B">
        <w: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195"/>
      </w:r>
      <w:r>
        <w:t xml:space="preserve">  </w:t>
      </w:r>
      <w:r w:rsidRPr="0065680B">
        <w:t>The SBA has developed a small business size standard for this category, which is:  all such firms having 1,500 or fewer employees.</w:t>
      </w:r>
      <w:r>
        <w:rPr>
          <w:rStyle w:val="FootnoteReference"/>
          <w:spacing w:val="-2"/>
          <w:szCs w:val="22"/>
        </w:rPr>
        <w:footnoteReference w:id="196"/>
      </w:r>
      <w:r w:rsidRPr="0065680B">
        <w:t xml:space="preserve">  Census data for 2007 shows that there were </w:t>
      </w:r>
      <w:r>
        <w:t xml:space="preserve">3,188 firms that operated that year.  </w:t>
      </w:r>
      <w:r w:rsidRPr="0065680B">
        <w:t>Of th</w:t>
      </w:r>
      <w:r>
        <w:t>is total, 3,144</w:t>
      </w:r>
      <w:r w:rsidRPr="0065680B">
        <w:t xml:space="preserve"> had </w:t>
      </w:r>
      <w:r>
        <w:t xml:space="preserve">fewer </w:t>
      </w:r>
      <w:r w:rsidRPr="0065680B">
        <w:t>than 1</w:t>
      </w:r>
      <w:r>
        <w:t>,0</w:t>
      </w:r>
      <w:r w:rsidRPr="0065680B">
        <w:t>00 employees</w:t>
      </w:r>
      <w:r>
        <w:t>.</w:t>
      </w:r>
      <w:r>
        <w:rPr>
          <w:rStyle w:val="FootnoteReference"/>
        </w:rPr>
        <w:footnoteReference w:id="197"/>
      </w:r>
      <w:r w:rsidRPr="0065680B">
        <w:t xml:space="preserve"> </w:t>
      </w:r>
      <w:r>
        <w:t xml:space="preserve"> </w:t>
      </w:r>
      <w:r w:rsidRPr="0065680B">
        <w:t xml:space="preserve">Thus under this </w:t>
      </w:r>
      <w:r>
        <w:t xml:space="preserve">size standard, </w:t>
      </w:r>
      <w:r w:rsidRPr="0065680B">
        <w:t xml:space="preserve">the majority of firms </w:t>
      </w:r>
      <w:r>
        <w:t xml:space="preserve">offering cable and other program distribution services </w:t>
      </w:r>
      <w:r w:rsidRPr="0065680B">
        <w:t>can be considered small</w:t>
      </w:r>
      <w:r>
        <w:t xml:space="preserve"> and may be affected by rules adopted pursuant to the </w:t>
      </w:r>
      <w:r>
        <w:rPr>
          <w:i/>
        </w:rPr>
        <w:t>Notice</w:t>
      </w:r>
      <w:r w:rsidRPr="0065680B">
        <w:t>.</w:t>
      </w:r>
    </w:p>
    <w:p w:rsidR="00F14F72" w:rsidRDefault="00F14F72" w:rsidP="00F14F72">
      <w:pPr>
        <w:pStyle w:val="ParaNum"/>
      </w:pPr>
      <w:r w:rsidRPr="00FC27D4">
        <w:rPr>
          <w:b/>
        </w:rPr>
        <w:t>Cable Companies and Systems</w:t>
      </w:r>
      <w:r>
        <w:t xml:space="preserve">. </w:t>
      </w:r>
      <w:r w:rsidR="00CF0F5E">
        <w:t xml:space="preserve"> </w:t>
      </w:r>
      <w:r>
        <w:t>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198"/>
      </w:r>
      <w:r>
        <w:t xml:space="preserve"> </w:t>
      </w:r>
      <w:r w:rsidR="00CF0F5E">
        <w:t xml:space="preserve"> </w:t>
      </w:r>
      <w:r w:rsidRPr="00FC27D4">
        <w:t xml:space="preserve">Industry data indicate that there are currently </w:t>
      </w:r>
      <w:r>
        <w:t>4,600 active cable systems in the United States.</w:t>
      </w:r>
      <w:r>
        <w:rPr>
          <w:rStyle w:val="FootnoteReference"/>
        </w:rPr>
        <w:footnoteReference w:id="199"/>
      </w:r>
      <w:r>
        <w:t xml:space="preserve">  Of this total, all but ten cable operators nationwide are small under the 400,000-subscriber size standard. </w:t>
      </w:r>
      <w:r>
        <w:rPr>
          <w:rStyle w:val="FootnoteReference"/>
        </w:rPr>
        <w:footnoteReference w:id="200"/>
      </w:r>
      <w:r>
        <w:t xml:space="preserve"> In addition, under the Commission's rate regulation rules, a “small system” is a cable system serving 15,000 or fewer subscribers.</w:t>
      </w:r>
      <w:r>
        <w:rPr>
          <w:rStyle w:val="FootnoteReference"/>
        </w:rPr>
        <w:footnoteReference w:id="201"/>
      </w:r>
      <w:r>
        <w:t xml:space="preserve"> </w:t>
      </w:r>
      <w:r w:rsidR="00CF0F5E">
        <w:t xml:space="preserve"> </w:t>
      </w:r>
      <w:r>
        <w:t>Current Commission records show 4,600 cable systems nationwide.</w:t>
      </w:r>
      <w:r>
        <w:rPr>
          <w:rStyle w:val="FootnoteReference"/>
        </w:rPr>
        <w:footnoteReference w:id="202"/>
      </w:r>
      <w:r>
        <w:t xml:space="preserve"> Of this total, 3,900 cable systems have less than 15,000 subscribers, and 700 systems have 15,000 or more subscribers, based on the same records.</w:t>
      </w:r>
      <w:r>
        <w:rPr>
          <w:rStyle w:val="FootnoteReference"/>
        </w:rPr>
        <w:footnoteReference w:id="203"/>
      </w:r>
      <w:r>
        <w:t xml:space="preserve"> Thus, under this standard as well, we estimate that most cable systems are small entities.</w:t>
      </w:r>
    </w:p>
    <w:p w:rsidR="006C761E" w:rsidRDefault="00F14F72" w:rsidP="006C761E">
      <w:pPr>
        <w:pStyle w:val="ParaNum"/>
      </w:pPr>
      <w:r w:rsidRPr="007E0B8E">
        <w:rPr>
          <w:b/>
        </w:rPr>
        <w:t>Cable System Operators (Telecom Act Standard).</w:t>
      </w:r>
      <w:r>
        <w:t xml:space="preserve"> </w:t>
      </w:r>
      <w:r w:rsidR="00CF0F5E">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$250,000,000are approximately 52,403,705 cable video subscribers in the United States today.</w:t>
      </w:r>
      <w:r>
        <w:rPr>
          <w:rStyle w:val="FootnoteReference"/>
        </w:rPr>
        <w:footnoteReference w:id="204"/>
      </w:r>
      <w:r w:rsidR="00CF0F5E">
        <w:t xml:space="preserve"> </w:t>
      </w:r>
      <w:r>
        <w:t>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205"/>
      </w:r>
      <w:r>
        <w:t xml:space="preserve"> </w:t>
      </w:r>
      <w:r w:rsidR="00CF0F5E">
        <w:t xml:space="preserve"> </w:t>
      </w:r>
      <w:r>
        <w:t>Based on available data, we find that all but nine incumbent cable operators are small entities under this size standard.</w:t>
      </w:r>
      <w:r>
        <w:rPr>
          <w:rStyle w:val="FootnoteReference"/>
        </w:rPr>
        <w:footnoteReference w:id="206"/>
      </w:r>
      <w:r>
        <w:t xml:space="preserve"> </w:t>
      </w:r>
      <w:r w:rsidR="00CF0F5E">
        <w:t xml:space="preserve"> </w:t>
      </w:r>
      <w:r>
        <w:t>We note that the Commission neither requests nor collects information on whether cable system operators are affiliated with entities whose gross annual revenues exceed $250 million.</w:t>
      </w:r>
      <w:r>
        <w:rPr>
          <w:rStyle w:val="FootnoteReference"/>
        </w:rPr>
        <w:footnoteReference w:id="207"/>
      </w:r>
      <w:r>
        <w:t xml:space="preserve"> </w:t>
      </w:r>
      <w:r w:rsidR="00CF0F5E">
        <w:t xml:space="preserve"> </w:t>
      </w:r>
      <w:r>
        <w:t>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6C761E" w:rsidRDefault="006C761E" w:rsidP="006C761E">
      <w:pPr>
        <w:pStyle w:val="ParaNum"/>
      </w:pPr>
      <w:r w:rsidRPr="00A205F0">
        <w:rPr>
          <w:b/>
        </w:rPr>
        <w:t>All Other Telecommunications</w:t>
      </w:r>
      <w:r w:rsidRPr="00A205F0">
        <w:t xml:space="preserve">. </w:t>
      </w:r>
      <w:r>
        <w:t xml:space="preserve"> </w:t>
      </w:r>
      <w:r w:rsidRPr="00581320">
        <w:rPr>
          <w:b/>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208"/>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209"/>
      </w:r>
      <w:r w:rsidRPr="00581320">
        <w:t xml:space="preserve">  For this category, census data for 2007 show that there were 2,383 firms that operated for the entire year.  Of th</w:t>
      </w:r>
      <w:r>
        <w:t>ese</w:t>
      </w:r>
      <w:r w:rsidRPr="00581320">
        <w:t xml:space="preserve"> firms, a total of 2</w:t>
      </w:r>
      <w:r>
        <w:t>,</w:t>
      </w:r>
      <w:r w:rsidRPr="00581320">
        <w:t>346 had gross annual receipts of less than $25 million.</w:t>
      </w:r>
      <w:r>
        <w:rPr>
          <w:rStyle w:val="FootnoteReference"/>
        </w:rPr>
        <w:footnoteReference w:id="210"/>
      </w:r>
      <w:r>
        <w:t xml:space="preserve">  </w:t>
      </w:r>
      <w:r w:rsidRPr="00581320">
        <w:t xml:space="preserve">Thus, a majority of </w:t>
      </w:r>
      <w:r>
        <w:t>“</w:t>
      </w:r>
      <w:r w:rsidRPr="00581320">
        <w:t>All Other Telecommunications</w:t>
      </w:r>
      <w:r>
        <w:t>”</w:t>
      </w:r>
      <w:r w:rsidRPr="00581320">
        <w:t xml:space="preserve"> firms potentially affected by the proposals in the </w:t>
      </w:r>
      <w:r w:rsidR="00CF0F5E" w:rsidRPr="002B1B38">
        <w:rPr>
          <w:i/>
        </w:rPr>
        <w:t xml:space="preserve">Further </w:t>
      </w:r>
      <w:r w:rsidRPr="00900913">
        <w:rPr>
          <w:i/>
        </w:rPr>
        <w:t>Notice</w:t>
      </w:r>
      <w:r w:rsidRPr="00581320">
        <w:t xml:space="preserve"> can be considered small.</w:t>
      </w:r>
      <w:r>
        <w:t xml:space="preserve"> </w:t>
      </w:r>
    </w:p>
    <w:p w:rsidR="006C761E" w:rsidRPr="00EC57E3" w:rsidRDefault="006C761E" w:rsidP="0037182F">
      <w:pPr>
        <w:pStyle w:val="Heading2"/>
        <w:numPr>
          <w:ilvl w:val="1"/>
          <w:numId w:val="9"/>
        </w:numPr>
      </w:pPr>
      <w:bookmarkStart w:id="243" w:name="_Toc403117505"/>
      <w:bookmarkStart w:id="244" w:name="_Toc404352141"/>
      <w:bookmarkStart w:id="245" w:name="_Toc406064035"/>
      <w:bookmarkStart w:id="246" w:name="_Toc406754915"/>
      <w:bookmarkStart w:id="247" w:name="_Toc407006733"/>
      <w:bookmarkStart w:id="248" w:name="_Toc407018468"/>
      <w:bookmarkStart w:id="249" w:name="_Toc408483450"/>
      <w:bookmarkStart w:id="250" w:name="_Toc410723690"/>
      <w:bookmarkStart w:id="251" w:name="_Toc411434899"/>
      <w:bookmarkStart w:id="252" w:name="_Toc413083241"/>
      <w:bookmarkStart w:id="253" w:name="_Toc413672130"/>
      <w:r w:rsidRPr="00EC57E3">
        <w:t>Description of Projected Reporting, Recordkeeping and Other Compliance Requirements</w:t>
      </w:r>
      <w:bookmarkEnd w:id="243"/>
      <w:bookmarkEnd w:id="244"/>
      <w:bookmarkEnd w:id="245"/>
      <w:bookmarkEnd w:id="246"/>
      <w:bookmarkEnd w:id="247"/>
      <w:bookmarkEnd w:id="248"/>
      <w:bookmarkEnd w:id="249"/>
      <w:bookmarkEnd w:id="250"/>
      <w:bookmarkEnd w:id="251"/>
      <w:bookmarkEnd w:id="252"/>
      <w:bookmarkEnd w:id="253"/>
    </w:p>
    <w:p w:rsidR="006C761E" w:rsidRDefault="006C761E" w:rsidP="006C761E">
      <w:pPr>
        <w:pStyle w:val="ParaNum"/>
      </w:pPr>
      <w:r>
        <w:t>T</w:t>
      </w:r>
      <w:r w:rsidRPr="007521D5">
        <w:t>his</w:t>
      </w:r>
      <w:r w:rsidRPr="002B1B38">
        <w:rPr>
          <w:i/>
        </w:rPr>
        <w:t xml:space="preserve"> </w:t>
      </w:r>
      <w:r w:rsidR="00CF0F5E" w:rsidRPr="002B1B38">
        <w:rPr>
          <w:i/>
        </w:rPr>
        <w:t xml:space="preserve">Further </w:t>
      </w:r>
      <w:r>
        <w:rPr>
          <w:i/>
        </w:rPr>
        <w:t>Notice</w:t>
      </w:r>
      <w:r w:rsidRPr="007521D5">
        <w:t xml:space="preserve"> </w:t>
      </w:r>
      <w:r>
        <w:t>does not propose any changes to the Commission’s current information collection, reporting, recordkeeping, or compliance requirements.</w:t>
      </w:r>
      <w:r w:rsidRPr="007521D5">
        <w:t xml:space="preserve"> </w:t>
      </w:r>
    </w:p>
    <w:p w:rsidR="006C761E" w:rsidRPr="007521D5" w:rsidRDefault="006C761E" w:rsidP="0037182F">
      <w:pPr>
        <w:pStyle w:val="Heading2"/>
        <w:numPr>
          <w:ilvl w:val="1"/>
          <w:numId w:val="9"/>
        </w:numPr>
      </w:pPr>
      <w:bookmarkStart w:id="254" w:name="_Toc403117506"/>
      <w:bookmarkStart w:id="255" w:name="_Toc404352142"/>
      <w:bookmarkStart w:id="256" w:name="_Toc406064036"/>
      <w:bookmarkStart w:id="257" w:name="_Toc406754916"/>
      <w:bookmarkStart w:id="258" w:name="_Toc407006734"/>
      <w:bookmarkStart w:id="259" w:name="_Toc407018469"/>
      <w:bookmarkStart w:id="260" w:name="_Toc408483451"/>
      <w:bookmarkStart w:id="261" w:name="_Toc410723691"/>
      <w:bookmarkStart w:id="262" w:name="_Toc411434900"/>
      <w:bookmarkStart w:id="263" w:name="_Toc413083242"/>
      <w:bookmarkStart w:id="264" w:name="_Toc413672131"/>
      <w:r w:rsidRPr="001502DB">
        <w:t>Steps Taken to Minimize Significant Economic Impact on Small Entities, and Significant Alternatives Considered</w:t>
      </w:r>
      <w:bookmarkEnd w:id="254"/>
      <w:bookmarkEnd w:id="255"/>
      <w:bookmarkEnd w:id="256"/>
      <w:bookmarkEnd w:id="257"/>
      <w:bookmarkEnd w:id="258"/>
      <w:bookmarkEnd w:id="259"/>
      <w:bookmarkEnd w:id="260"/>
      <w:bookmarkEnd w:id="261"/>
      <w:bookmarkEnd w:id="262"/>
      <w:bookmarkEnd w:id="263"/>
      <w:bookmarkEnd w:id="264"/>
    </w:p>
    <w:p w:rsidR="006C761E" w:rsidRDefault="006C761E" w:rsidP="006C761E">
      <w:pPr>
        <w:pStyle w:val="ParaNum"/>
      </w:pPr>
      <w:r w:rsidRPr="007521D5">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11"/>
      </w:r>
      <w:r w:rsidRPr="007521D5">
        <w:t xml:space="preserve">  </w:t>
      </w:r>
    </w:p>
    <w:p w:rsidR="006C761E" w:rsidRDefault="006C761E" w:rsidP="006C761E">
      <w:pPr>
        <w:pStyle w:val="ParaNum"/>
      </w:pPr>
      <w:r>
        <w:t xml:space="preserve">This </w:t>
      </w:r>
      <w:r w:rsidR="004265EB">
        <w:rPr>
          <w:i/>
        </w:rPr>
        <w:t xml:space="preserve">Further </w:t>
      </w:r>
      <w:r w:rsidRPr="00CD2E73">
        <w:rPr>
          <w:i/>
        </w:rPr>
        <w:t>Notice</w:t>
      </w:r>
      <w:r>
        <w:t xml:space="preserve"> seeks comment on the Commission’s regulatory fee collection for </w:t>
      </w:r>
      <w:r w:rsidR="0043428E">
        <w:t xml:space="preserve">radio and television broadcasters, including comment on exempting smaller broadcasters from regulatory fees. </w:t>
      </w:r>
      <w:r w:rsidR="004265EB">
        <w:t xml:space="preserve"> Specifically, the Commission seeks comment on the extent of FTEs that work on video, cable, DBS, and radio services, and whether the </w:t>
      </w:r>
      <w:r w:rsidR="00C117DF">
        <w:t xml:space="preserve">current </w:t>
      </w:r>
      <w:r w:rsidR="004265EB">
        <w:t>proportion of fees paid by these various fee categories associated with these services are still accurate.  The level of FTE activity on these media services determines the proportion of fees to be paid by each media service fee category, which in turn is used to calculate the fee amount for each fee category.</w:t>
      </w:r>
      <w:r w:rsidR="0043428E">
        <w:t xml:space="preserve"> </w:t>
      </w:r>
      <w:r w:rsidR="00C117DF">
        <w:t xml:space="preserve"> Since this determines the fee rate for big and small media companies, the Commission is sensitive to the impact of any changes in the proportion of FTE activity on companies in the media industry.   </w:t>
      </w:r>
    </w:p>
    <w:p w:rsidR="006C761E" w:rsidRPr="002C3FFF" w:rsidRDefault="006C761E" w:rsidP="0037182F">
      <w:pPr>
        <w:pStyle w:val="Heading2"/>
        <w:numPr>
          <w:ilvl w:val="1"/>
          <w:numId w:val="9"/>
        </w:numPr>
      </w:pPr>
      <w:bookmarkStart w:id="265" w:name="_Toc403117507"/>
      <w:bookmarkStart w:id="266" w:name="_Toc404352143"/>
      <w:bookmarkStart w:id="267" w:name="_Toc406064037"/>
      <w:bookmarkStart w:id="268" w:name="_Toc406754917"/>
      <w:bookmarkStart w:id="269" w:name="_Toc407006735"/>
      <w:bookmarkStart w:id="270" w:name="_Toc407018470"/>
      <w:bookmarkStart w:id="271" w:name="_Toc408483452"/>
      <w:bookmarkStart w:id="272" w:name="_Toc410723692"/>
      <w:bookmarkStart w:id="273" w:name="_Toc411434901"/>
      <w:bookmarkStart w:id="274" w:name="_Toc413083243"/>
      <w:bookmarkStart w:id="275" w:name="_Toc413672132"/>
      <w:r w:rsidRPr="002C3FFF">
        <w:t>Federal Rules that May Duplicate, Overlap, or Conflict with the Proposed Rules</w:t>
      </w:r>
      <w:bookmarkEnd w:id="265"/>
      <w:bookmarkEnd w:id="266"/>
      <w:bookmarkEnd w:id="267"/>
      <w:bookmarkEnd w:id="268"/>
      <w:bookmarkEnd w:id="269"/>
      <w:bookmarkEnd w:id="270"/>
      <w:bookmarkEnd w:id="271"/>
      <w:bookmarkEnd w:id="272"/>
      <w:bookmarkEnd w:id="273"/>
      <w:bookmarkEnd w:id="274"/>
      <w:bookmarkEnd w:id="275"/>
    </w:p>
    <w:p w:rsidR="001F7170" w:rsidRDefault="006C761E" w:rsidP="006C761E">
      <w:pPr>
        <w:pStyle w:val="ParaNum"/>
      </w:pPr>
      <w:r w:rsidRPr="007521D5">
        <w:t>None.</w:t>
      </w:r>
    </w:p>
    <w:p w:rsidR="001F7170" w:rsidRDefault="001F7170">
      <w:pPr>
        <w:widowControl/>
        <w:rPr>
          <w:b/>
          <w:spacing w:val="-2"/>
        </w:rPr>
        <w:sectPr w:rsidR="001F7170" w:rsidSect="00527D3A">
          <w:footnotePr>
            <w:numRestart w:val="eachSect"/>
          </w:footnotePr>
          <w:type w:val="continuous"/>
          <w:pgSz w:w="12240" w:h="15840"/>
          <w:pgMar w:top="1170" w:right="1440" w:bottom="720" w:left="1440" w:header="720" w:footer="720" w:gutter="0"/>
          <w:cols w:space="720"/>
          <w:titlePg/>
          <w:docGrid w:linePitch="299"/>
        </w:sectPr>
      </w:pPr>
    </w:p>
    <w:p w:rsidR="001F7170" w:rsidRDefault="001F7170">
      <w:pPr>
        <w:widowControl/>
        <w:rPr>
          <w:b/>
          <w:spacing w:val="-2"/>
        </w:rPr>
      </w:pPr>
    </w:p>
    <w:p w:rsidR="00233BF0" w:rsidRPr="001F7170" w:rsidRDefault="001A7C04" w:rsidP="0014470E">
      <w:pPr>
        <w:pStyle w:val="ParaNum"/>
        <w:numPr>
          <w:ilvl w:val="0"/>
          <w:numId w:val="0"/>
        </w:numPr>
        <w:tabs>
          <w:tab w:val="num" w:pos="1440"/>
        </w:tabs>
        <w:ind w:left="720"/>
        <w:jc w:val="center"/>
        <w:rPr>
          <w:b/>
          <w:spacing w:val="-2"/>
        </w:rPr>
      </w:pPr>
      <w:r w:rsidRPr="001F7170">
        <w:rPr>
          <w:b/>
          <w:spacing w:val="-2"/>
        </w:rPr>
        <w:t>APPENDIX</w:t>
      </w:r>
      <w:r w:rsidR="002D0094" w:rsidRPr="001F7170">
        <w:rPr>
          <w:b/>
          <w:spacing w:val="-2"/>
        </w:rPr>
        <w:t xml:space="preserve"> G</w:t>
      </w:r>
    </w:p>
    <w:p w:rsidR="0037182F" w:rsidRPr="007521D5" w:rsidRDefault="0037182F" w:rsidP="0037182F">
      <w:pPr>
        <w:tabs>
          <w:tab w:val="left" w:pos="1440"/>
        </w:tabs>
        <w:suppressAutoHyphens/>
        <w:spacing w:line="240" w:lineRule="atLeast"/>
        <w:jc w:val="center"/>
        <w:rPr>
          <w:b/>
          <w:spacing w:val="-2"/>
        </w:rPr>
      </w:pPr>
      <w:r>
        <w:rPr>
          <w:b/>
          <w:spacing w:val="-2"/>
        </w:rPr>
        <w:t>Final</w:t>
      </w:r>
      <w:r w:rsidRPr="007521D5">
        <w:rPr>
          <w:b/>
          <w:spacing w:val="-2"/>
        </w:rPr>
        <w:t xml:space="preserve"> Regulatory Flexibility Analysis</w:t>
      </w:r>
    </w:p>
    <w:p w:rsidR="0037182F" w:rsidRPr="007521D5" w:rsidRDefault="0037182F" w:rsidP="0037182F">
      <w:pPr>
        <w:tabs>
          <w:tab w:val="left" w:pos="1440"/>
        </w:tabs>
        <w:suppressAutoHyphens/>
        <w:spacing w:line="240" w:lineRule="atLeast"/>
        <w:ind w:firstLine="720"/>
        <w:jc w:val="center"/>
        <w:rPr>
          <w:b/>
          <w:spacing w:val="-2"/>
        </w:rPr>
      </w:pPr>
    </w:p>
    <w:p w:rsidR="0037182F" w:rsidRDefault="0037182F" w:rsidP="0037182F">
      <w:pPr>
        <w:pStyle w:val="ParaNum"/>
        <w:numPr>
          <w:ilvl w:val="0"/>
          <w:numId w:val="10"/>
        </w:numPr>
        <w:tabs>
          <w:tab w:val="clear" w:pos="1080"/>
          <w:tab w:val="num" w:pos="1440"/>
        </w:tabs>
      </w:pPr>
      <w:r w:rsidRPr="007521D5">
        <w:t xml:space="preserve">As required by the Regulatory Flexibility Act </w:t>
      </w:r>
      <w:r>
        <w:t xml:space="preserve">of 1980, as amended </w:t>
      </w:r>
      <w:r w:rsidRPr="007521D5">
        <w:t>(RFA),</w:t>
      </w:r>
      <w:r>
        <w:rPr>
          <w:rStyle w:val="FootnoteReference"/>
          <w:spacing w:val="-2"/>
          <w:szCs w:val="22"/>
        </w:rPr>
        <w:footnoteReference w:id="212"/>
      </w:r>
      <w:r>
        <w:t xml:space="preserve"> an Initial Regulatory Flexibility Analysis (IRFA) was included in the </w:t>
      </w:r>
      <w:r w:rsidR="00754BF4" w:rsidRPr="00754BF4">
        <w:rPr>
          <w:i/>
        </w:rPr>
        <w:t>No</w:t>
      </w:r>
      <w:r w:rsidRPr="00754BF4">
        <w:rPr>
          <w:i/>
        </w:rPr>
        <w:t>tice of Proposed Rulemaking</w:t>
      </w:r>
      <w:r w:rsidR="00754BF4">
        <w:t>.</w:t>
      </w:r>
      <w:r w:rsidRPr="00763A00">
        <w:rPr>
          <w:rStyle w:val="FootnoteReference"/>
          <w:szCs w:val="22"/>
        </w:rPr>
        <w:footnoteReference w:id="213"/>
      </w:r>
      <w:r w:rsidRPr="0037182F">
        <w:rPr>
          <w:i/>
        </w:rPr>
        <w:t xml:space="preserve">  </w:t>
      </w:r>
      <w:r>
        <w:t>T</w:t>
      </w:r>
      <w:r w:rsidRPr="007521D5">
        <w:t xml:space="preserve">he Commission </w:t>
      </w:r>
      <w:r>
        <w:t>sought written public comment on these proposals including comment on the IRFA. T</w:t>
      </w:r>
      <w:r w:rsidRPr="007521D5">
        <w:t xml:space="preserve">his </w:t>
      </w:r>
      <w:r>
        <w:t xml:space="preserve">Final </w:t>
      </w:r>
      <w:r w:rsidRPr="007521D5">
        <w:t>Regulatory Flexibility Analysis (</w:t>
      </w:r>
      <w:r>
        <w:t>F</w:t>
      </w:r>
      <w:r w:rsidRPr="007521D5">
        <w:t xml:space="preserve">RFA) </w:t>
      </w:r>
      <w:r>
        <w:t>conforms to the IRFA.</w:t>
      </w:r>
      <w:r>
        <w:rPr>
          <w:rStyle w:val="FootnoteReference"/>
          <w:spacing w:val="-2"/>
          <w:szCs w:val="22"/>
        </w:rPr>
        <w:footnoteReference w:id="214"/>
      </w:r>
      <w:r w:rsidRPr="007521D5">
        <w:t xml:space="preserve"> </w:t>
      </w:r>
    </w:p>
    <w:p w:rsidR="0037182F" w:rsidRPr="00F95B79" w:rsidRDefault="0037182F" w:rsidP="0037182F">
      <w:pPr>
        <w:pStyle w:val="Heading2"/>
        <w:numPr>
          <w:ilvl w:val="0"/>
          <w:numId w:val="0"/>
        </w:numPr>
        <w:ind w:left="1440" w:hanging="720"/>
      </w:pPr>
      <w:bookmarkStart w:id="276" w:name="_Toc353870731"/>
      <w:bookmarkStart w:id="277" w:name="_Toc353987758"/>
      <w:bookmarkStart w:id="278" w:name="_Toc353988079"/>
      <w:bookmarkStart w:id="279" w:name="_Toc390878817"/>
      <w:bookmarkStart w:id="280" w:name="_Toc403117508"/>
      <w:bookmarkStart w:id="281" w:name="_Toc404352144"/>
      <w:bookmarkStart w:id="282" w:name="_Toc406064038"/>
      <w:bookmarkStart w:id="283" w:name="_Toc406754918"/>
      <w:bookmarkStart w:id="284" w:name="_Toc407006736"/>
      <w:bookmarkStart w:id="285" w:name="_Toc407018471"/>
      <w:bookmarkStart w:id="286" w:name="_Toc408483453"/>
      <w:bookmarkStart w:id="287" w:name="_Toc410723693"/>
      <w:bookmarkStart w:id="288" w:name="_Toc411434902"/>
      <w:bookmarkStart w:id="289" w:name="_Toc413083244"/>
      <w:bookmarkStart w:id="290" w:name="_Toc413672134"/>
      <w:r>
        <w:t>A.</w:t>
      </w:r>
      <w:r>
        <w:tab/>
        <w:t xml:space="preserve"> </w:t>
      </w:r>
      <w:bookmarkStart w:id="291" w:name="_Toc391364450"/>
      <w:bookmarkStart w:id="292" w:name="_Toc394672338"/>
      <w:bookmarkStart w:id="293" w:name="_Toc397078346"/>
      <w:r w:rsidRPr="00F95B79">
        <w:t xml:space="preserve">Need for, and Objectives of, the </w:t>
      </w:r>
      <w:bookmarkEnd w:id="276"/>
      <w:bookmarkEnd w:id="277"/>
      <w:bookmarkEnd w:id="278"/>
      <w:r w:rsidRPr="00F95B79">
        <w:t>Report and Order</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F95B79">
        <w:t xml:space="preserve">  </w:t>
      </w:r>
    </w:p>
    <w:p w:rsidR="00CF74C7" w:rsidRDefault="0037182F">
      <w:pPr>
        <w:pStyle w:val="ParaNum"/>
      </w:pPr>
      <w:r w:rsidRPr="00A1103B">
        <w:t xml:space="preserve">In this </w:t>
      </w:r>
      <w:r>
        <w:t>Report and Order, we</w:t>
      </w:r>
      <w:r w:rsidRPr="00C5052D">
        <w:t xml:space="preserve"> </w:t>
      </w:r>
      <w:r w:rsidR="00A96090">
        <w:t xml:space="preserve">conclude the Assessment and Collection of Regulatory Fees </w:t>
      </w:r>
      <w:r w:rsidR="009564DA">
        <w:t>for Fiscal Year (FY) 2015 proceeding to collect $339,844,000 in regulatory fees for FY 2015, pursuant to section 9 of the Communications Act of 1934, as amended.</w:t>
      </w:r>
      <w:r w:rsidR="009564DA">
        <w:rPr>
          <w:rStyle w:val="FootnoteReference"/>
        </w:rPr>
        <w:footnoteReference w:id="215"/>
      </w:r>
      <w:r w:rsidR="0057220F">
        <w:t xml:space="preserve"> </w:t>
      </w:r>
      <w:r w:rsidR="001E49F3">
        <w:t xml:space="preserve"> </w:t>
      </w:r>
      <w:r w:rsidR="00343304">
        <w:t>These regulatory fees will be due in September 2015.  Under section 9 of the Communications Act,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sidR="00343304">
        <w:rPr>
          <w:rStyle w:val="FootnoteReference"/>
        </w:rPr>
        <w:footnoteReference w:id="216"/>
      </w:r>
      <w:r w:rsidR="00343304">
        <w:t xml:space="preserve"> </w:t>
      </w:r>
      <w:r w:rsidR="0057220F">
        <w:t xml:space="preserve"> </w:t>
      </w:r>
    </w:p>
    <w:p w:rsidR="00CE0FE7" w:rsidRDefault="00795B6D" w:rsidP="00526E6E">
      <w:pPr>
        <w:pStyle w:val="ParaNum"/>
      </w:pPr>
      <w:r>
        <w:t xml:space="preserve">This </w:t>
      </w:r>
      <w:r w:rsidR="00CE0FE7">
        <w:t xml:space="preserve">FY 2015 </w:t>
      </w:r>
      <w:r>
        <w:t xml:space="preserve">Report and Order adopts </w:t>
      </w:r>
      <w:r w:rsidR="00CE0FE7">
        <w:t xml:space="preserve">a </w:t>
      </w:r>
      <w:r w:rsidR="00CE0FE7" w:rsidRPr="00C4643B">
        <w:t xml:space="preserve">regulatory fee schedule </w:t>
      </w:r>
      <w:r w:rsidR="00CE0FE7">
        <w:t xml:space="preserve">that </w:t>
      </w:r>
      <w:r w:rsidR="00CE0FE7" w:rsidRPr="00C4643B">
        <w:t xml:space="preserve">includes the following noteworthy changes from prior years: (1) a reduction in regulatory fees for the submarine cable/terrestrial and satellite bearer circuit category relative to other fee categories in the International Bureau; (2) the first fee rate for Direct Broadcast Satellite (DBS) as a subcategory of the cable television and Internet Protocol Television (IPTV) regulatory fee category; (3) the first fee rate for toll free numbers; and (4) the elimination of the regulatory fee component of two fee categories: </w:t>
      </w:r>
      <w:r w:rsidR="00CE0FE7">
        <w:t>A</w:t>
      </w:r>
      <w:r w:rsidR="00CE0FE7" w:rsidRPr="00C4643B">
        <w:t xml:space="preserve">mateur </w:t>
      </w:r>
      <w:r w:rsidR="00CE0FE7">
        <w:t>R</w:t>
      </w:r>
      <w:r w:rsidR="00CE0FE7" w:rsidRPr="00C4643B">
        <w:t xml:space="preserve">adio Vanity Call Signs and General Mobile Radio Service (GMRS).  In addition, in calculating the </w:t>
      </w:r>
      <w:r w:rsidR="00CE0FE7">
        <w:t xml:space="preserve">FY 2015 </w:t>
      </w:r>
      <w:r w:rsidR="00CE0FE7" w:rsidRPr="00C4643B">
        <w:t>fee schedule, the Commission also reallocated four International Bureau full time employees (FTEs) as indirect</w:t>
      </w:r>
      <w:r w:rsidR="00CE0FE7">
        <w:t xml:space="preserve">. </w:t>
      </w:r>
    </w:p>
    <w:p w:rsidR="00526E6E" w:rsidRDefault="00AF0E56" w:rsidP="00526E6E">
      <w:pPr>
        <w:pStyle w:val="ParaNum"/>
      </w:pPr>
      <w:r>
        <w:t>With respect to the submarine cable/terrestrial and satellite bearer circuit fee category, a</w:t>
      </w:r>
      <w:r w:rsidR="0030549B">
        <w:t xml:space="preserve">fter additional review, the Commission concluded that </w:t>
      </w:r>
      <w:r>
        <w:t xml:space="preserve">the fee assessed on the </w:t>
      </w:r>
      <w:r w:rsidRPr="00C4643B">
        <w:t xml:space="preserve">submarine cable/terrestrial and satellite bearer circuit </w:t>
      </w:r>
      <w:r>
        <w:t xml:space="preserve">fee </w:t>
      </w:r>
      <w:r w:rsidRPr="00C4643B">
        <w:t xml:space="preserve">category </w:t>
      </w:r>
      <w:r>
        <w:t xml:space="preserve">was excessive relative to the Commission’s oversight and regulation of this industry.  As a result, the Commission reduced the percentage of total fees paid by this fee category by 7.5 percent.  With respect to </w:t>
      </w:r>
      <w:r w:rsidR="00534C6A">
        <w:t xml:space="preserve">the </w:t>
      </w:r>
      <w:r>
        <w:t>DBS</w:t>
      </w:r>
      <w:r w:rsidR="00534C6A">
        <w:t xml:space="preserve"> fee category</w:t>
      </w:r>
      <w:r>
        <w:t xml:space="preserve">, </w:t>
      </w:r>
      <w:r w:rsidR="00941A62">
        <w:t>the Commission instituted the DBS fee after realizing that Media Bureau resources were being used to address DBS and MVPD issues, but these costs were not being recovered from DBS providers.  Therefore, the DBS fee is instituted to recover the cost of Media Bureau resources</w:t>
      </w:r>
      <w:r w:rsidR="00534C6A">
        <w:t xml:space="preserve"> that is spent on MVPD and DBS issues</w:t>
      </w:r>
      <w:r w:rsidR="00941A62">
        <w:t xml:space="preserve">.  Similarly, a toll free number regulatory fee is instituted to recover the cost of resources expended by the </w:t>
      </w:r>
      <w:r w:rsidR="00AB5671">
        <w:t xml:space="preserve">Wireline Bureau on issues relating to </w:t>
      </w:r>
      <w:r w:rsidR="00941A62">
        <w:t xml:space="preserve">toll free numbers.  </w:t>
      </w:r>
      <w:r w:rsidR="00483F8D">
        <w:t xml:space="preserve">With respect to Amateur Radio Vanity Call Signs and General Mobile Radio Service (GMRS), the Commission concluded that the administrative costs of processing, reviewing, </w:t>
      </w:r>
      <w:r w:rsidR="00F20D72">
        <w:t xml:space="preserve">and enforcing the thousands of Vanity Call Sign and GMRS licenses far exceeds the $21.40 and $25 per license regulatory fee rate that is collected, respectively.  </w:t>
      </w:r>
      <w:r w:rsidR="00534C6A">
        <w:t xml:space="preserve">Many of the Amateur Vanity Call Signs and GMRS licensees are small businesses and/or individuals.  </w:t>
      </w:r>
      <w:r w:rsidR="00F20D72">
        <w:t xml:space="preserve">Finally, </w:t>
      </w:r>
      <w:r w:rsidR="00F20D72" w:rsidRPr="00C4643B">
        <w:t xml:space="preserve">in calculating the </w:t>
      </w:r>
      <w:r w:rsidR="00F20D72">
        <w:t xml:space="preserve">FY 2015 </w:t>
      </w:r>
      <w:r w:rsidR="00F20D72" w:rsidRPr="00C4643B">
        <w:t>fee schedule, the Commission reallocated four International Bureau full time employees (FTEs) as indirect</w:t>
      </w:r>
      <w:r w:rsidR="00F20D72">
        <w:t xml:space="preserve"> </w:t>
      </w:r>
      <w:r w:rsidR="000F3742">
        <w:t>to reflect</w:t>
      </w:r>
      <w:r w:rsidR="00534C6A">
        <w:t xml:space="preserve"> w</w:t>
      </w:r>
      <w:r w:rsidR="000F3742">
        <w:t>ork perform</w:t>
      </w:r>
      <w:r w:rsidR="00534C6A">
        <w:t xml:space="preserve">ed by International Bureau staff on </w:t>
      </w:r>
      <w:r w:rsidR="000F3742">
        <w:t>non-U.S.-licensed space stations</w:t>
      </w:r>
      <w:r w:rsidR="00534C6A">
        <w:t>, who are not required to pay regulatory fees.</w:t>
      </w:r>
    </w:p>
    <w:p w:rsidR="00526E6E" w:rsidRPr="00F95B79" w:rsidRDefault="00526E6E" w:rsidP="00526E6E">
      <w:pPr>
        <w:pStyle w:val="Heading2"/>
        <w:numPr>
          <w:ilvl w:val="0"/>
          <w:numId w:val="0"/>
        </w:numPr>
        <w:ind w:left="1440" w:hanging="720"/>
      </w:pPr>
      <w:bookmarkStart w:id="294" w:name="_Toc390878818"/>
      <w:bookmarkStart w:id="295" w:name="_Toc391364451"/>
      <w:bookmarkStart w:id="296" w:name="_Toc394672339"/>
      <w:bookmarkStart w:id="297" w:name="_Toc397078347"/>
      <w:bookmarkStart w:id="298" w:name="_Toc403117509"/>
      <w:bookmarkStart w:id="299" w:name="_Toc404352145"/>
      <w:bookmarkStart w:id="300" w:name="_Toc406064039"/>
      <w:bookmarkStart w:id="301" w:name="_Toc406754919"/>
      <w:bookmarkStart w:id="302" w:name="_Toc407006737"/>
      <w:bookmarkStart w:id="303" w:name="_Toc407018472"/>
      <w:bookmarkStart w:id="304" w:name="_Toc408483454"/>
      <w:bookmarkStart w:id="305" w:name="_Toc410723694"/>
      <w:bookmarkStart w:id="306" w:name="_Toc411434903"/>
      <w:bookmarkStart w:id="307" w:name="_Toc413083245"/>
      <w:bookmarkStart w:id="308" w:name="_Toc413672135"/>
      <w:r>
        <w:t>B.</w:t>
      </w:r>
      <w:r>
        <w:tab/>
      </w:r>
      <w:r w:rsidRPr="00F95B79">
        <w:t>Summary of the Significant Issues Raised by the Public Comments in Response to the IRFA</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526E6E" w:rsidRDefault="00526E6E" w:rsidP="00526E6E">
      <w:pPr>
        <w:pStyle w:val="ParaNum"/>
      </w:pPr>
      <w:bookmarkStart w:id="309" w:name="_Toc390878819"/>
      <w:r>
        <w:t>None.</w:t>
      </w:r>
    </w:p>
    <w:p w:rsidR="00526E6E" w:rsidRPr="004C189F" w:rsidRDefault="00526E6E" w:rsidP="00526E6E">
      <w:pPr>
        <w:pStyle w:val="Heading2"/>
        <w:numPr>
          <w:ilvl w:val="0"/>
          <w:numId w:val="0"/>
        </w:numPr>
        <w:ind w:left="1440" w:hanging="720"/>
      </w:pPr>
      <w:bookmarkStart w:id="310" w:name="_Toc391364452"/>
      <w:bookmarkStart w:id="311" w:name="_Toc394672340"/>
      <w:bookmarkStart w:id="312" w:name="_Toc397078348"/>
      <w:bookmarkStart w:id="313" w:name="_Toc403117510"/>
      <w:bookmarkStart w:id="314" w:name="_Toc404352146"/>
      <w:bookmarkStart w:id="315" w:name="_Toc406064040"/>
      <w:bookmarkStart w:id="316" w:name="_Toc406754920"/>
      <w:bookmarkStart w:id="317" w:name="_Toc407006738"/>
      <w:bookmarkStart w:id="318" w:name="_Toc407018473"/>
      <w:bookmarkStart w:id="319" w:name="_Toc408483455"/>
      <w:bookmarkStart w:id="320" w:name="_Toc410723695"/>
      <w:bookmarkStart w:id="321" w:name="_Toc411434904"/>
      <w:bookmarkStart w:id="322" w:name="_Toc413083246"/>
      <w:bookmarkStart w:id="323" w:name="_Toc413672136"/>
      <w:r>
        <w:t>C.</w:t>
      </w:r>
      <w:r>
        <w:tab/>
      </w:r>
      <w:r w:rsidRPr="00F95B79">
        <w:t>Description and Estimate of the Number of Small Entities to Which the Rules Will Apply</w:t>
      </w:r>
      <w:r w:rsidRPr="00100F78">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526E6E" w:rsidRDefault="00526E6E" w:rsidP="00526E6E">
      <w:pPr>
        <w:pStyle w:val="ParaNum"/>
      </w:pPr>
      <w:r w:rsidRPr="007521D5">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217"/>
      </w:r>
      <w:r>
        <w:t xml:space="preserve">  </w:t>
      </w:r>
      <w:r w:rsidRPr="007521D5">
        <w:t>The RFA generally defines the term “small entity” as having the same meaning as the terms “small business,” “small organization,” and “small governmental jurisdiction.”</w:t>
      </w:r>
      <w:r>
        <w:rPr>
          <w:rStyle w:val="FootnoteReference"/>
          <w:spacing w:val="-2"/>
          <w:szCs w:val="22"/>
        </w:rPr>
        <w:footnoteReference w:id="218"/>
      </w:r>
      <w:r>
        <w:t xml:space="preserve"> </w:t>
      </w:r>
      <w:r w:rsidRPr="007521D5">
        <w:t xml:space="preserve"> In addition, the term “small business” has the same meaning as the term “small business concern” under the Small Business Act.</w:t>
      </w:r>
      <w:r>
        <w:rPr>
          <w:rStyle w:val="FootnoteReference"/>
          <w:spacing w:val="-2"/>
          <w:szCs w:val="22"/>
        </w:rPr>
        <w:footnoteReference w:id="219"/>
      </w:r>
      <w:r w:rsidRPr="007521D5">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220"/>
      </w:r>
      <w:r w:rsidRPr="007521D5">
        <w:t xml:space="preserve"> </w:t>
      </w:r>
      <w:r>
        <w:t xml:space="preserve"> </w:t>
      </w:r>
      <w:r w:rsidRPr="007521D5">
        <w:t>Nationwide, there are a total of approximately 2</w:t>
      </w:r>
      <w:r>
        <w:t>7.9</w:t>
      </w:r>
      <w:r w:rsidRPr="007521D5">
        <w:t xml:space="preserve"> million small businesses, according to the SBA.</w:t>
      </w:r>
      <w:r>
        <w:rPr>
          <w:rStyle w:val="FootnoteReference"/>
          <w:spacing w:val="-2"/>
          <w:szCs w:val="22"/>
        </w:rPr>
        <w:footnoteReference w:id="221"/>
      </w:r>
      <w:r w:rsidRPr="007521D5">
        <w:t xml:space="preserve">   </w:t>
      </w:r>
    </w:p>
    <w:p w:rsidR="00526E6E" w:rsidRDefault="00526E6E" w:rsidP="00526E6E">
      <w:pPr>
        <w:pStyle w:val="ParaNum"/>
        <w:numPr>
          <w:ilvl w:val="0"/>
          <w:numId w:val="8"/>
        </w:numPr>
        <w:tabs>
          <w:tab w:val="clear" w:pos="1080"/>
          <w:tab w:val="num" w:pos="1440"/>
        </w:tabs>
      </w:pPr>
      <w:r w:rsidRPr="00C662B9">
        <w:rPr>
          <w:b/>
        </w:rPr>
        <w:t>Wired Telecommunications Carriers</w:t>
      </w:r>
      <w:r w:rsidRPr="000942B2">
        <w:t xml:space="preserve">. </w:t>
      </w:r>
      <w:r>
        <w:t xml:space="preserve"> The U.S. Census Bureau</w:t>
      </w:r>
      <w:r w:rsidRPr="000942B2">
        <w:t xml:space="preserve"> </w:t>
      </w:r>
      <w:r>
        <w:t>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222"/>
      </w:r>
      <w:r>
        <w:t xml:space="preserve">  The SBA </w:t>
      </w:r>
      <w:r w:rsidRPr="000942B2">
        <w:t>has developed a small business size</w:t>
      </w:r>
      <w:r>
        <w:t xml:space="preserve"> </w:t>
      </w:r>
      <w:r w:rsidRPr="000942B2">
        <w:t>standard for Wired Telecommunications Carriers, which consists of all such companies having 1,500 or</w:t>
      </w:r>
      <w:r>
        <w:t xml:space="preserve"> </w:t>
      </w:r>
      <w:r w:rsidRPr="000942B2">
        <w:t>fewer employees</w:t>
      </w:r>
      <w:r>
        <w:t>.</w:t>
      </w:r>
      <w:r>
        <w:rPr>
          <w:rStyle w:val="FootnoteReference"/>
        </w:rPr>
        <w:footnoteReference w:id="223"/>
      </w:r>
      <w:r w:rsidRPr="000942B2">
        <w:t xml:space="preserve"> </w:t>
      </w:r>
      <w:r>
        <w:t xml:space="preserve"> </w:t>
      </w:r>
      <w:r w:rsidRPr="000942B2">
        <w:t>Census data for 2007 shows that there were 3</w:t>
      </w:r>
      <w:r>
        <w:t xml:space="preserve">,188 firms </w:t>
      </w:r>
      <w:r w:rsidRPr="000942B2">
        <w:t>that operated that</w:t>
      </w:r>
      <w:r>
        <w:t xml:space="preserve"> </w:t>
      </w:r>
      <w:r w:rsidRPr="000942B2">
        <w:t xml:space="preserve">year. </w:t>
      </w:r>
      <w:r>
        <w:t xml:space="preserve"> </w:t>
      </w:r>
      <w:r w:rsidRPr="000942B2">
        <w:t xml:space="preserve">Of </w:t>
      </w:r>
      <w:r>
        <w:t>this total</w:t>
      </w:r>
      <w:r w:rsidRPr="000942B2">
        <w:t xml:space="preserve">, </w:t>
      </w:r>
      <w:r>
        <w:t>3,144 operated with less than 1,000 employees.</w:t>
      </w:r>
      <w:r>
        <w:rPr>
          <w:rStyle w:val="FootnoteReference"/>
        </w:rPr>
        <w:footnoteReference w:id="224"/>
      </w:r>
      <w:r w:rsidRPr="000942B2">
        <w:t xml:space="preserve"> </w:t>
      </w:r>
      <w:r>
        <w:t xml:space="preserve"> </w:t>
      </w:r>
      <w:r w:rsidRPr="000942B2">
        <w:t xml:space="preserve">Thus, under this size standard, the majority of firms </w:t>
      </w:r>
      <w:r>
        <w:t xml:space="preserve">in this industry </w:t>
      </w:r>
      <w:r w:rsidRPr="000942B2">
        <w:t>can be considered small.</w:t>
      </w:r>
    </w:p>
    <w:p w:rsidR="00526E6E" w:rsidRDefault="00526E6E" w:rsidP="00526E6E">
      <w:pPr>
        <w:pStyle w:val="ParaNum"/>
      </w:pPr>
      <w:r w:rsidRPr="00703D26">
        <w:rPr>
          <w:b/>
        </w:rPr>
        <w:t>Local Exchange Carriers (LECs)</w:t>
      </w:r>
      <w:r w:rsidRPr="00AE4963">
        <w:t xml:space="preserve">. </w:t>
      </w:r>
      <w:r>
        <w:t xml:space="preserve"> </w:t>
      </w:r>
      <w:r w:rsidRPr="00AE4963">
        <w:t>Neither the Commission nor the SBA has developed</w:t>
      </w:r>
      <w:r>
        <w:t xml:space="preserve"> </w:t>
      </w:r>
      <w:r w:rsidRPr="00AE4963">
        <w:t xml:space="preserve">a size standard for small businesses specifically applicable to local exchange services. </w:t>
      </w:r>
      <w:r>
        <w:t xml:space="preserve"> </w:t>
      </w:r>
      <w:r w:rsidRPr="00AE4963">
        <w:t>The closest</w:t>
      </w:r>
      <w:r>
        <w:t xml:space="preserve"> </w:t>
      </w:r>
      <w:r w:rsidRPr="00AE4963">
        <w:t xml:space="preserve">applicable </w:t>
      </w:r>
      <w:r>
        <w:t>NAICS Code category is</w:t>
      </w:r>
      <w:r w:rsidRPr="00AE4963">
        <w:t xml:space="preserve"> Wired Telecommunications Carriers</w:t>
      </w:r>
      <w:r>
        <w:t xml:space="preserve"> as defined in paragraph 6 of this FRFA.</w:t>
      </w:r>
      <w:r w:rsidRPr="00AE4963">
        <w:t xml:space="preserve"> </w:t>
      </w:r>
      <w:r>
        <w:t xml:space="preserve"> </w:t>
      </w:r>
      <w:r w:rsidRPr="00AE4963">
        <w:t>Under th</w:t>
      </w:r>
      <w:r>
        <w:t xml:space="preserve">e applicable SBA </w:t>
      </w:r>
      <w:r w:rsidRPr="00AE4963">
        <w:t>size</w:t>
      </w:r>
      <w:r>
        <w:t xml:space="preserve"> </w:t>
      </w:r>
      <w:r w:rsidRPr="00AE4963">
        <w:t xml:space="preserve">standard, such a business is small if it </w:t>
      </w:r>
      <w:r>
        <w:t>has 1,500 or fewer employees.</w:t>
      </w:r>
      <w:r>
        <w:rPr>
          <w:rStyle w:val="FootnoteReference"/>
          <w:spacing w:val="-2"/>
          <w:szCs w:val="22"/>
        </w:rPr>
        <w:footnoteReference w:id="225"/>
      </w:r>
      <w:r>
        <w:t xml:space="preserve">  </w:t>
      </w:r>
      <w:r w:rsidRPr="00AE4963">
        <w:t>According to Commission data,</w:t>
      </w:r>
      <w:r>
        <w:t xml:space="preserve"> c</w:t>
      </w:r>
      <w:r w:rsidRPr="00AE4963">
        <w:t xml:space="preserve">ensus data for 2007 shows that there were </w:t>
      </w:r>
      <w:r>
        <w:t>3,188 firms</w:t>
      </w:r>
      <w:r w:rsidRPr="00AE4963">
        <w:t xml:space="preserve"> that operated that year.</w:t>
      </w:r>
      <w:r>
        <w:t xml:space="preserve"> </w:t>
      </w:r>
      <w:r w:rsidRPr="00AE4963">
        <w:t xml:space="preserve"> Of </w:t>
      </w:r>
      <w:r>
        <w:t xml:space="preserve">this total, 3,144 </w:t>
      </w:r>
      <w:r w:rsidRPr="00AE4963">
        <w:t>operated with fewer than 1</w:t>
      </w:r>
      <w:r>
        <w:t>,0</w:t>
      </w:r>
      <w:r w:rsidRPr="00AE4963">
        <w:t>00</w:t>
      </w:r>
      <w:r>
        <w:t xml:space="preserve"> employees.</w:t>
      </w:r>
      <w:r>
        <w:rPr>
          <w:rStyle w:val="FootnoteReference"/>
        </w:rPr>
        <w:footnoteReference w:id="226"/>
      </w:r>
      <w:r>
        <w:t xml:space="preserve">  T</w:t>
      </w:r>
      <w:r w:rsidRPr="00AE4963">
        <w:t xml:space="preserve">he Commission </w:t>
      </w:r>
      <w:r>
        <w:t xml:space="preserve">therefore </w:t>
      </w:r>
      <w:r w:rsidRPr="00AE4963">
        <w:t xml:space="preserve">estimates that most providers of local exchange </w:t>
      </w:r>
      <w:r>
        <w:t xml:space="preserve">carrier </w:t>
      </w:r>
      <w:r w:rsidRPr="00AE4963">
        <w:t>service are</w:t>
      </w:r>
      <w:r>
        <w:t xml:space="preserve"> </w:t>
      </w:r>
      <w:r w:rsidRPr="00AE4963">
        <w:t xml:space="preserve">small entities that may be affected by the rules </w:t>
      </w:r>
      <w:r>
        <w:t>adopted.</w:t>
      </w:r>
    </w:p>
    <w:p w:rsidR="00387D2D" w:rsidRDefault="00387D2D" w:rsidP="00387D2D">
      <w:pPr>
        <w:pStyle w:val="ParaNum"/>
      </w:pPr>
      <w:r w:rsidRPr="00DD099F">
        <w:rPr>
          <w:b/>
        </w:rPr>
        <w:t>Incumbent</w:t>
      </w:r>
      <w:r>
        <w:rPr>
          <w:b/>
        </w:rPr>
        <w:t xml:space="preserve"> LECs.</w:t>
      </w:r>
      <w:r w:rsidRPr="007521D5">
        <w:t xml:space="preserve">  Neither the Commission nor the SBA has developed a small business size standard specifically for incumbent local exchange services.  The </w:t>
      </w:r>
      <w:r>
        <w:t>closest applicable NAICS Code category is</w:t>
      </w:r>
      <w:r w:rsidRPr="007521D5">
        <w:t xml:space="preserve"> Wired Telecommunications Carriers</w:t>
      </w:r>
      <w:r>
        <w:t xml:space="preserve"> as defined in paragraph 6 of this FRFA</w:t>
      </w:r>
      <w:r w:rsidRPr="007521D5">
        <w:t>.  Under that size standard, such a business is small if it has 1,500 or fewer employees.</w:t>
      </w:r>
      <w:r>
        <w:rPr>
          <w:rStyle w:val="FootnoteReference"/>
          <w:spacing w:val="-2"/>
          <w:szCs w:val="22"/>
        </w:rPr>
        <w:footnoteReference w:id="227"/>
      </w:r>
      <w:r>
        <w:t xml:space="preserve">  </w:t>
      </w:r>
      <w:r w:rsidRPr="007521D5">
        <w:t xml:space="preserve">According to Commission data, </w:t>
      </w:r>
      <w:r>
        <w:t>3,188 firms operated in that year.  Of this total, 3,144 operated with fewer than 1,000 employees.</w:t>
      </w:r>
      <w:r>
        <w:rPr>
          <w:rStyle w:val="FootnoteReference"/>
        </w:rPr>
        <w:footnoteReference w:id="228"/>
      </w:r>
      <w:r>
        <w:t xml:space="preserve"> </w:t>
      </w:r>
      <w:r w:rsidRPr="001563E8">
        <w:t xml:space="preserve"> Consequently, the Commission estimates that most providers of incumbent local exchange service are small businesses that may be affected by the rules and policies </w:t>
      </w:r>
      <w:r>
        <w:t>adopted</w:t>
      </w:r>
      <w:r w:rsidRPr="00684CDE">
        <w:rPr>
          <w:i/>
        </w:rPr>
        <w:t>.</w:t>
      </w:r>
      <w:r>
        <w:t xml:space="preserve">  Three hundred and seven (</w:t>
      </w:r>
      <w:r w:rsidRPr="007521D5">
        <w:t>307</w:t>
      </w:r>
      <w:r>
        <w:t>)</w:t>
      </w:r>
      <w:r w:rsidRPr="007521D5">
        <w:t xml:space="preserve"> </w:t>
      </w:r>
      <w:r>
        <w:t xml:space="preserve">Incumbent Local Exchange Carriers </w:t>
      </w:r>
      <w:r w:rsidRPr="007521D5">
        <w:t>reported that they were incumbent local exchange service providers.</w:t>
      </w:r>
      <w:r>
        <w:rPr>
          <w:rStyle w:val="FootnoteReference"/>
          <w:spacing w:val="-2"/>
          <w:szCs w:val="22"/>
        </w:rPr>
        <w:footnoteReference w:id="229"/>
      </w:r>
      <w:r>
        <w:t xml:space="preserve">  </w:t>
      </w:r>
      <w:r w:rsidRPr="007521D5">
        <w:t xml:space="preserve">Of </w:t>
      </w:r>
      <w:r>
        <w:t>this total</w:t>
      </w:r>
      <w:r w:rsidRPr="007521D5">
        <w:t>, an estimated 1,006 have 1,500 or fewer employees</w:t>
      </w:r>
      <w:r>
        <w:t>.</w:t>
      </w:r>
      <w:r>
        <w:rPr>
          <w:rStyle w:val="FootnoteReference"/>
          <w:spacing w:val="-2"/>
          <w:szCs w:val="22"/>
        </w:rPr>
        <w:footnoteReference w:id="230"/>
      </w:r>
      <w:r w:rsidRPr="007521D5">
        <w:t xml:space="preserve">    </w:t>
      </w:r>
    </w:p>
    <w:p w:rsidR="00387D2D" w:rsidRDefault="00387D2D" w:rsidP="00387D2D">
      <w:pPr>
        <w:pStyle w:val="ParaNum"/>
      </w:pPr>
      <w:r w:rsidRPr="00684CDE">
        <w:rPr>
          <w:b/>
        </w:rPr>
        <w:t>Competitive Local Exchange Carriers (Competitive LECs), Competitive Access Providers (CAPs), Shared-Tenant Service Providers, and Other Local Service Providers</w:t>
      </w:r>
      <w:r w:rsidRPr="00EB0B7B">
        <w:t>.</w:t>
      </w:r>
      <w:r w:rsidRPr="007521D5">
        <w:t xml:space="preserve">  Neither the Commission nor the SBA has developed a small business size standard specifically for these service providers.  The appropriate </w:t>
      </w:r>
      <w:r>
        <w:t xml:space="preserve">NAICS Code category is </w:t>
      </w:r>
      <w:r w:rsidRPr="007521D5">
        <w:t>Wired Telecommunications Carriers</w:t>
      </w:r>
      <w:r>
        <w:t>, as defined in paragraph 6 of this FRFA.</w:t>
      </w:r>
      <w:r w:rsidRPr="007521D5">
        <w:t xml:space="preserve">  Under that size standard, such a business is small if it has 1,500 or fewer employees.</w:t>
      </w:r>
      <w:r>
        <w:rPr>
          <w:rStyle w:val="FootnoteReference"/>
          <w:spacing w:val="-2"/>
          <w:szCs w:val="22"/>
        </w:rPr>
        <w:footnoteReference w:id="231"/>
      </w:r>
      <w:r>
        <w:t xml:space="preserve">  U.S. Census data for 2007 indicate that 3,188 firms operated during that year.  Of that number, 3,144 operated with fewer than 1,000 employees.</w:t>
      </w:r>
      <w:r>
        <w:rPr>
          <w:rStyle w:val="FootnoteReference"/>
        </w:rPr>
        <w:footnoteReference w:id="232"/>
      </w:r>
      <w:r>
        <w:t xml:space="preserve">   Based on this data, the Commission concludes that the majority of Competitive LECS, CAPs, Shared-Tenant Service Providers, and Other Local Service Providers, are small entities.  </w:t>
      </w:r>
      <w:r w:rsidRPr="007521D5">
        <w:t>According to Commission data, 1,442 carriers reported that they were engaged in the provision of either competitive local exchange services or competitive access provider services.</w:t>
      </w:r>
      <w:r>
        <w:rPr>
          <w:rStyle w:val="FootnoteReference"/>
          <w:spacing w:val="-2"/>
          <w:szCs w:val="22"/>
        </w:rPr>
        <w:footnoteReference w:id="233"/>
      </w:r>
      <w:r>
        <w:t xml:space="preserve"> </w:t>
      </w:r>
      <w:r w:rsidRPr="007521D5">
        <w:t xml:space="preserve"> Of these 1,442 carriers, an estimated 1,256 have 1,500 or fewer employees.</w:t>
      </w:r>
      <w:r>
        <w:rPr>
          <w:rStyle w:val="FootnoteReference"/>
          <w:spacing w:val="-2"/>
          <w:szCs w:val="22"/>
        </w:rPr>
        <w:footnoteReference w:id="234"/>
      </w:r>
      <w:r w:rsidRPr="007521D5">
        <w:t xml:space="preserve">  In addition, 17 carriers have reported that they are Shared-Tenant Service Providers, and all 17 are estimated to have 1,500 or fewer employees.</w:t>
      </w:r>
      <w:r>
        <w:rPr>
          <w:rStyle w:val="FootnoteReference"/>
          <w:spacing w:val="-2"/>
          <w:szCs w:val="22"/>
        </w:rPr>
        <w:footnoteReference w:id="235"/>
      </w:r>
      <w:r w:rsidRPr="007521D5">
        <w:t xml:space="preserve">  </w:t>
      </w:r>
      <w:r>
        <w:t>Also</w:t>
      </w:r>
      <w:r w:rsidRPr="007521D5">
        <w:t>, 72 carriers have reported that they are Other Local Service Providers.</w:t>
      </w:r>
      <w:r>
        <w:rPr>
          <w:rStyle w:val="FootnoteReference"/>
          <w:spacing w:val="-2"/>
          <w:szCs w:val="22"/>
        </w:rPr>
        <w:footnoteReference w:id="236"/>
      </w:r>
      <w:r>
        <w:t xml:space="preserve">   Of this total, 70</w:t>
      </w:r>
      <w:r w:rsidRPr="007521D5">
        <w:t xml:space="preserve"> have 1,500 or fewer employees.</w:t>
      </w:r>
      <w:r>
        <w:rPr>
          <w:rStyle w:val="FootnoteReference"/>
          <w:spacing w:val="-2"/>
          <w:szCs w:val="22"/>
        </w:rPr>
        <w:footnoteReference w:id="237"/>
      </w:r>
      <w:r w:rsidRPr="007521D5">
        <w:t xml:space="preserve">  Consequently, </w:t>
      </w:r>
      <w:r>
        <w:t xml:space="preserve">based on internally researched FCC data, </w:t>
      </w:r>
      <w:r w:rsidRPr="007521D5">
        <w:t xml:space="preserve">the Commission estimates that most providers of competitive local exchange service, competitive access providers, Shared-Tenant Service Providers, and Other Local Service Providers are small entities that may be affected by </w:t>
      </w:r>
      <w:r>
        <w:t xml:space="preserve">the </w:t>
      </w:r>
      <w:r w:rsidRPr="007521D5">
        <w:t>ru</w:t>
      </w:r>
      <w:r>
        <w:t>les adopted</w:t>
      </w:r>
      <w:r w:rsidRPr="007521D5">
        <w:t xml:space="preserve">. </w:t>
      </w:r>
    </w:p>
    <w:p w:rsidR="00387D2D" w:rsidRDefault="00387D2D" w:rsidP="00387D2D">
      <w:pPr>
        <w:pStyle w:val="ParaNum"/>
      </w:pPr>
      <w:r w:rsidRPr="005B1923">
        <w:rPr>
          <w:b/>
        </w:rPr>
        <w:t>Interexchange Carriers (IXCs)</w:t>
      </w:r>
      <w:r w:rsidRPr="007521D5">
        <w:t xml:space="preserve">.  Neither the Commission nor the SBA has developed a </w:t>
      </w:r>
      <w:r>
        <w:t xml:space="preserve">definition for Interexchange Carriers.  The closest NAICS Code category is Wired Telecommunications Carriers as defined in paragraph 6 of this FRFA. </w:t>
      </w:r>
      <w:r w:rsidRPr="007521D5">
        <w:t xml:space="preserve"> The </w:t>
      </w:r>
      <w:r>
        <w:t>applicable</w:t>
      </w:r>
      <w:r w:rsidRPr="007521D5">
        <w:t xml:space="preserve"> size standard under SBA rules is </w:t>
      </w:r>
      <w:r>
        <w:t>that</w:t>
      </w:r>
      <w:r w:rsidRPr="007521D5">
        <w:t xml:space="preserve"> such a business is small if it has 1,500 or fewer employees.</w:t>
      </w:r>
      <w:r>
        <w:rPr>
          <w:rStyle w:val="FootnoteReference"/>
          <w:spacing w:val="-2"/>
          <w:szCs w:val="22"/>
        </w:rPr>
        <w:footnoteReference w:id="238"/>
      </w:r>
      <w:r w:rsidRPr="007521D5">
        <w:t xml:space="preserve">  </w:t>
      </w:r>
      <w:r w:rsidRPr="006B4237">
        <w:t>U</w:t>
      </w:r>
      <w:r>
        <w:t>.</w:t>
      </w:r>
      <w:r w:rsidRPr="006B4237">
        <w:t>S</w:t>
      </w:r>
      <w:r>
        <w:t>.</w:t>
      </w:r>
      <w:r w:rsidRPr="006B4237">
        <w:t xml:space="preserve"> Census data for 2007 indicate</w:t>
      </w:r>
      <w:r>
        <w:t>s</w:t>
      </w:r>
      <w:r w:rsidRPr="006B4237">
        <w:t xml:space="preserve"> that 3,188 firms operated during that year. </w:t>
      </w:r>
      <w:r>
        <w:t xml:space="preserve"> </w:t>
      </w:r>
      <w:r w:rsidRPr="006B4237">
        <w:t>Of that number</w:t>
      </w:r>
      <w:r>
        <w:t>,</w:t>
      </w:r>
      <w:r w:rsidRPr="006B4237">
        <w:t xml:space="preserve"> 3,144 operated with </w:t>
      </w:r>
      <w:r>
        <w:t>fewer</w:t>
      </w:r>
      <w:r w:rsidRPr="006B4237">
        <w:t xml:space="preserve"> than 1,000 employees.</w:t>
      </w:r>
      <w:r>
        <w:rPr>
          <w:rStyle w:val="FootnoteReference"/>
        </w:rPr>
        <w:footnoteReference w:id="239"/>
      </w:r>
      <w:r>
        <w:t xml:space="preserve">  </w:t>
      </w:r>
      <w:r w:rsidRPr="007521D5">
        <w:t xml:space="preserve">According to </w:t>
      </w:r>
      <w:r>
        <w:t xml:space="preserve">internally developed </w:t>
      </w:r>
      <w:r w:rsidRPr="007521D5">
        <w:t>Commission data, 359 companies reported that their primary telecommunications service activity was the provision of interexchange services.</w:t>
      </w:r>
      <w:r>
        <w:rPr>
          <w:rStyle w:val="FootnoteReference"/>
          <w:spacing w:val="-2"/>
          <w:szCs w:val="22"/>
        </w:rPr>
        <w:footnoteReference w:id="240"/>
      </w:r>
      <w:r w:rsidRPr="007521D5">
        <w:t xml:space="preserve">  Of </w:t>
      </w:r>
      <w:r>
        <w:t>this total</w:t>
      </w:r>
      <w:r w:rsidRPr="007521D5">
        <w:t>, an estimated 317 have 1,500 or fewer employees.</w:t>
      </w:r>
      <w:r>
        <w:rPr>
          <w:rStyle w:val="FootnoteReference"/>
          <w:spacing w:val="-2"/>
          <w:szCs w:val="22"/>
        </w:rPr>
        <w:footnoteReference w:id="241"/>
      </w:r>
      <w:r w:rsidRPr="007521D5">
        <w:t xml:space="preserve">  Consequently, the Commission estimates that the majority of interexchange service providers are small entities that may be affected b</w:t>
      </w:r>
      <w:r>
        <w:t>y the rules adopted</w:t>
      </w:r>
      <w:r w:rsidRPr="007521D5">
        <w:t>.</w:t>
      </w:r>
    </w:p>
    <w:p w:rsidR="00387D2D" w:rsidRDefault="00387D2D" w:rsidP="00387D2D">
      <w:pPr>
        <w:pStyle w:val="ParaNum"/>
        <w:numPr>
          <w:ilvl w:val="0"/>
          <w:numId w:val="8"/>
        </w:numPr>
        <w:tabs>
          <w:tab w:val="clear" w:pos="1080"/>
          <w:tab w:val="num" w:pos="1440"/>
        </w:tabs>
      </w:pPr>
      <w:r w:rsidRPr="00A11A1D">
        <w:rPr>
          <w:b/>
        </w:rPr>
        <w:t>Prepaid Calling Card Providers.</w:t>
      </w:r>
      <w:r w:rsidRPr="00AC5A57">
        <w:t xml:space="preserve">  Neither the Commission nor the SBA has developed a small business size standard specifically for prepaid calling card providers.  The appropriate </w:t>
      </w:r>
      <w:r>
        <w:t>NAICS Code category for prepaid calling card providers is T</w:t>
      </w:r>
      <w:r w:rsidRPr="00AC5A57">
        <w:t>elecom</w:t>
      </w:r>
      <w:r>
        <w:t>munications Resellers.  This industry comprises establishments engaged in purchasing access and network capacity from owners and operators of telecommunications networks and reselling wired and wireless telecommunications services (except satellite) to businesses and households.  Mobile virtual networks operators (MVNOs) are included in this industry.</w:t>
      </w:r>
      <w:r>
        <w:rPr>
          <w:rStyle w:val="FootnoteReference"/>
        </w:rPr>
        <w:footnoteReference w:id="242"/>
      </w:r>
      <w:r>
        <w:t xml:space="preserve">  Under the applicable SBA size standard,</w:t>
      </w:r>
      <w:r w:rsidRPr="00AC5A57">
        <w:t xml:space="preserve"> such a business is small if it has 1,500 or fewer employees.</w:t>
      </w:r>
      <w:r>
        <w:rPr>
          <w:rStyle w:val="FootnoteReference"/>
          <w:spacing w:val="-2"/>
          <w:szCs w:val="22"/>
        </w:rPr>
        <w:footnoteReference w:id="243"/>
      </w:r>
      <w:r w:rsidRPr="00AC5A57">
        <w:t xml:space="preserve">  </w:t>
      </w:r>
      <w:r>
        <w:t xml:space="preserve">U.S. </w:t>
      </w:r>
      <w:r w:rsidRPr="00AC5A57">
        <w:t>Census data for 2007 show that 1,523 firms provided resale services during that year.  Of that number, 1,522 operated with fewer than 1</w:t>
      </w:r>
      <w:r>
        <w:t>,</w:t>
      </w:r>
      <w:r w:rsidRPr="00AC5A57">
        <w:t>000 employees.</w:t>
      </w:r>
      <w:r>
        <w:rPr>
          <w:rStyle w:val="FootnoteReference"/>
          <w:spacing w:val="-2"/>
          <w:szCs w:val="22"/>
        </w:rPr>
        <w:footnoteReference w:id="244"/>
      </w:r>
      <w:r w:rsidRPr="00AC5A57">
        <w:t xml:space="preserve">  Thus</w:t>
      </w:r>
      <w:r>
        <w:t>,</w:t>
      </w:r>
      <w:r w:rsidRPr="00AC5A57">
        <w:t xml:space="preserve">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245"/>
      </w:r>
      <w:r w:rsidRPr="00AC5A57">
        <w:t xml:space="preserve">  </w:t>
      </w:r>
      <w:r>
        <w:t>A</w:t>
      </w:r>
      <w:r w:rsidRPr="00AC5A57">
        <w:t>ll 193</w:t>
      </w:r>
      <w:r>
        <w:t xml:space="preserve"> carriers</w:t>
      </w:r>
      <w:r w:rsidRPr="00AC5A57">
        <w:t xml:space="preserve"> have 1,500 or fewer employees.</w:t>
      </w:r>
      <w:r>
        <w:rPr>
          <w:rStyle w:val="FootnoteReference"/>
          <w:spacing w:val="-2"/>
          <w:szCs w:val="22"/>
        </w:rPr>
        <w:footnoteReference w:id="246"/>
      </w:r>
      <w:r w:rsidRPr="00AC5A57">
        <w:t xml:space="preserve">  Consequently, the Commission estimates that the majority of prepaid calling card providers are small entities that may be affected b</w:t>
      </w:r>
      <w:r>
        <w:t>y the rules adopted</w:t>
      </w:r>
      <w:r w:rsidRPr="00AC5A57">
        <w:t>.</w:t>
      </w:r>
    </w:p>
    <w:p w:rsidR="00387D2D" w:rsidRDefault="00387D2D" w:rsidP="00387D2D">
      <w:pPr>
        <w:pStyle w:val="ParaNum"/>
        <w:numPr>
          <w:ilvl w:val="0"/>
          <w:numId w:val="8"/>
        </w:numPr>
        <w:tabs>
          <w:tab w:val="clear" w:pos="1080"/>
          <w:tab w:val="num" w:pos="1440"/>
        </w:tabs>
      </w:pPr>
      <w:r w:rsidRPr="00F7466E">
        <w:rPr>
          <w:b/>
        </w:rPr>
        <w:t>Local Resellers</w:t>
      </w:r>
      <w:r w:rsidRPr="007521D5">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247"/>
      </w:r>
      <w:r w:rsidRPr="007521D5">
        <w:t xml:space="preserve">  Census data for 2007 show that 1,523 firms provided resale services during that year.  Of that number, 1,522 operated with fewer than 1</w:t>
      </w:r>
      <w:r>
        <w:t>,</w:t>
      </w:r>
      <w:r w:rsidRPr="007521D5">
        <w:t>000 employees.</w:t>
      </w:r>
      <w:r>
        <w:rPr>
          <w:rStyle w:val="FootnoteReference"/>
          <w:spacing w:val="-2"/>
          <w:szCs w:val="22"/>
        </w:rPr>
        <w:footnoteReference w:id="248"/>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249"/>
      </w:r>
      <w:r w:rsidRPr="007521D5">
        <w:t xml:space="preserve">  Of th</w:t>
      </w:r>
      <w:r>
        <w:t>is total</w:t>
      </w:r>
      <w:r w:rsidRPr="007521D5">
        <w:t>, an estimated 211 have 1,500 or fewer employees.</w:t>
      </w:r>
      <w:r>
        <w:rPr>
          <w:rStyle w:val="FootnoteReference"/>
          <w:spacing w:val="-2"/>
          <w:szCs w:val="22"/>
        </w:rPr>
        <w:footnoteReference w:id="250"/>
      </w:r>
      <w:r w:rsidRPr="007521D5">
        <w:t xml:space="preserve">  Consequently, the Commission estimates that the majority of local resellers are small entities that may be affected b</w:t>
      </w:r>
      <w:r>
        <w:t>y the rules adopted</w:t>
      </w:r>
      <w:r w:rsidRPr="007521D5">
        <w:t xml:space="preserve">. </w:t>
      </w:r>
    </w:p>
    <w:p w:rsidR="00387D2D" w:rsidRDefault="00387D2D" w:rsidP="00387D2D">
      <w:pPr>
        <w:pStyle w:val="ParaNum"/>
      </w:pPr>
      <w:r w:rsidRPr="00D96FF2">
        <w:rPr>
          <w:b/>
        </w:rPr>
        <w:t>Toll Resellers</w:t>
      </w:r>
      <w:r w:rsidRPr="007521D5">
        <w:t xml:space="preserve">.  The </w:t>
      </w:r>
      <w:r>
        <w:t xml:space="preserve">Commission has not developed a definition for Toll Resellers.  The closest NAICS Code Category is Telecommunications Resellers, and the </w:t>
      </w:r>
      <w:r w:rsidRPr="007521D5">
        <w:t>SBA has developed a small business size standard for the category of Telecommunications Resellers.  Under that size standard, such a business is small if it has 1,500 or fewer employees</w:t>
      </w:r>
      <w:r>
        <w:t>.</w:t>
      </w:r>
      <w:r>
        <w:rPr>
          <w:rStyle w:val="FootnoteReference"/>
        </w:rPr>
        <w:footnoteReference w:id="251"/>
      </w:r>
      <w:r>
        <w:t xml:space="preserve"> </w:t>
      </w:r>
      <w:r w:rsidRPr="007521D5">
        <w:t xml:space="preserve"> Census data for 2007 show that 1,523 firms provided resale services during that year.  Of that number, 1,522 operated with fewer than 1,000 employees.</w:t>
      </w:r>
      <w:r>
        <w:rPr>
          <w:rStyle w:val="FootnoteReference"/>
          <w:spacing w:val="-2"/>
          <w:szCs w:val="22"/>
        </w:rPr>
        <w:footnoteReference w:id="252"/>
      </w:r>
      <w:r w:rsidRPr="007521D5">
        <w:t xml:space="preserve">  Thus</w:t>
      </w:r>
      <w:r>
        <w:t>,</w:t>
      </w:r>
      <w:r w:rsidRPr="007521D5">
        <w:t xml:space="preserve"> under this category and the associated small business size standard, the majority of these resellers can be considered small entities.</w:t>
      </w:r>
      <w:r>
        <w:t xml:space="preserve">  According to Commission data,</w:t>
      </w:r>
      <w:r w:rsidRPr="007521D5">
        <w:t xml:space="preserve"> 881 carriers have reported that they are engaged in the provision of toll resale services.</w:t>
      </w:r>
      <w:r>
        <w:rPr>
          <w:rStyle w:val="FootnoteReference"/>
          <w:spacing w:val="-2"/>
          <w:szCs w:val="22"/>
        </w:rPr>
        <w:footnoteReference w:id="253"/>
      </w:r>
      <w:r w:rsidRPr="007521D5">
        <w:t xml:space="preserve">  Of th</w:t>
      </w:r>
      <w:r>
        <w:t>is total</w:t>
      </w:r>
      <w:r w:rsidRPr="007521D5">
        <w:t>, an estimated 857 have 1,500 or fewer employees.</w:t>
      </w:r>
      <w:r>
        <w:rPr>
          <w:rStyle w:val="FootnoteReference"/>
          <w:spacing w:val="-2"/>
          <w:szCs w:val="22"/>
        </w:rPr>
        <w:footnoteReference w:id="254"/>
      </w:r>
      <w:r w:rsidRPr="007521D5">
        <w:t xml:space="preserve">  Consequently, the Commission estimates that the majority of toll resellers are small entities that may </w:t>
      </w:r>
      <w:r>
        <w:t>be affected by the rules adopted.</w:t>
      </w:r>
    </w:p>
    <w:p w:rsidR="00990255" w:rsidRDefault="00990255" w:rsidP="00990255">
      <w:pPr>
        <w:pStyle w:val="ParaNum"/>
      </w:pPr>
      <w:r w:rsidRPr="009C04AC">
        <w:rPr>
          <w:b/>
        </w:rPr>
        <w:t>Other Toll Carriers.</w:t>
      </w:r>
      <w:r w:rsidRPr="00CD1070">
        <w:t xml:space="preserve"> </w:t>
      </w:r>
      <w:r>
        <w:t xml:space="preserve"> </w:t>
      </w:r>
      <w:r w:rsidRPr="00CD1070">
        <w:t xml:space="preserve">Neither the Commission nor the SBA has developed a </w:t>
      </w:r>
      <w:r>
        <w:t xml:space="preserve">definition </w:t>
      </w:r>
      <w:r w:rsidRPr="00CD1070">
        <w:t>for small businesses specifically applicable to Other Toll Carriers. This category includes toll</w:t>
      </w:r>
      <w:r>
        <w:t xml:space="preserve"> </w:t>
      </w:r>
      <w:r w:rsidRPr="00CD1070">
        <w:t>carriers that do not fall within the categories of interexchange carriers, operator service providers, prepaid</w:t>
      </w:r>
      <w:r>
        <w:t xml:space="preserve"> </w:t>
      </w:r>
      <w:r w:rsidRPr="00CD1070">
        <w:t xml:space="preserve">calling card providers, satellite service carriers, or toll resellers. </w:t>
      </w:r>
      <w:r>
        <w:t xml:space="preserve"> </w:t>
      </w:r>
      <w:r w:rsidRPr="00CD1070">
        <w:t xml:space="preserve">The closest applicable </w:t>
      </w:r>
      <w:r>
        <w:t xml:space="preserve">NAICS Code category </w:t>
      </w:r>
      <w:r w:rsidRPr="00CD1070">
        <w:t>is for Wired Telecommunications Carriers</w:t>
      </w:r>
      <w:r>
        <w:t xml:space="preserve"> as defined in paragraph 6 of this FRFA.</w:t>
      </w:r>
      <w:r w:rsidRPr="00CD1070">
        <w:t xml:space="preserve"> </w:t>
      </w:r>
      <w:r>
        <w:t xml:space="preserve"> </w:t>
      </w:r>
      <w:r w:rsidRPr="00CD1070">
        <w:t>Under th</w:t>
      </w:r>
      <w:r>
        <w:t xml:space="preserve">e applicable SBA </w:t>
      </w:r>
      <w:r w:rsidRPr="00CD1070">
        <w:t>size standard, such a business is</w:t>
      </w:r>
      <w:r>
        <w:t xml:space="preserve"> </w:t>
      </w:r>
      <w:r w:rsidRPr="00CD1070">
        <w:t xml:space="preserve">small if it </w:t>
      </w:r>
      <w:r>
        <w:t>has 1,500 or fewer employees.</w:t>
      </w:r>
      <w:r>
        <w:rPr>
          <w:rStyle w:val="FootnoteReference"/>
          <w:spacing w:val="-2"/>
          <w:szCs w:val="22"/>
        </w:rPr>
        <w:footnoteReference w:id="255"/>
      </w:r>
      <w:r>
        <w:t xml:space="preserve">  </w:t>
      </w:r>
      <w:r w:rsidRPr="00CD1070">
        <w:t>Census data for 2007 shows that there were 3</w:t>
      </w:r>
      <w:r>
        <w:t xml:space="preserve">,188 firms </w:t>
      </w:r>
      <w:r w:rsidRPr="00CD1070">
        <w:t xml:space="preserve">that operated that year. </w:t>
      </w:r>
      <w:r>
        <w:t xml:space="preserve"> </w:t>
      </w:r>
      <w:r w:rsidRPr="00CD1070">
        <w:t>Of th</w:t>
      </w:r>
      <w:r>
        <w:t>is total</w:t>
      </w:r>
      <w:r w:rsidRPr="00CD1070">
        <w:t xml:space="preserve">, </w:t>
      </w:r>
      <w:r>
        <w:t xml:space="preserve">3,144 </w:t>
      </w:r>
      <w:r w:rsidRPr="00CD1070">
        <w:t xml:space="preserve">operated with </w:t>
      </w:r>
      <w:r>
        <w:t xml:space="preserve">fewer </w:t>
      </w:r>
      <w:r w:rsidRPr="00CD1070">
        <w:t>than 1</w:t>
      </w:r>
      <w:r>
        <w:t>,0</w:t>
      </w:r>
      <w:r w:rsidRPr="00CD1070">
        <w:t>00 employees</w:t>
      </w:r>
      <w:r>
        <w:t>.</w:t>
      </w:r>
      <w:r>
        <w:rPr>
          <w:rStyle w:val="FootnoteReference"/>
        </w:rPr>
        <w:footnoteReference w:id="256"/>
      </w:r>
      <w:r>
        <w:t xml:space="preserve"> </w:t>
      </w:r>
      <w:r w:rsidRPr="00CD1070">
        <w:t xml:space="preserve"> Thus, under this category and the associated</w:t>
      </w:r>
      <w:r>
        <w:t xml:space="preserve"> </w:t>
      </w:r>
      <w:r w:rsidRPr="00CD1070">
        <w:t xml:space="preserve">small business size standard, the majority of Other Toll Carriers can be considered small. </w:t>
      </w:r>
      <w:r>
        <w:t xml:space="preserve"> </w:t>
      </w:r>
      <w:r w:rsidRPr="00CD1070">
        <w:t>According to</w:t>
      </w:r>
      <w:r>
        <w:t xml:space="preserve"> internally developed </w:t>
      </w:r>
      <w:r w:rsidRPr="00CD1070">
        <w:t>Commission data, 284 companies reported that their primary telecommunications service activity was the</w:t>
      </w:r>
      <w:r>
        <w:t xml:space="preserve"> </w:t>
      </w:r>
      <w:r w:rsidRPr="00CD1070">
        <w:t>prov</w:t>
      </w:r>
      <w:r>
        <w:t>ision of other toll carriage.</w:t>
      </w:r>
      <w:r>
        <w:rPr>
          <w:rStyle w:val="FootnoteReference"/>
          <w:spacing w:val="-2"/>
          <w:szCs w:val="22"/>
        </w:rPr>
        <w:footnoteReference w:id="257"/>
      </w:r>
      <w:r>
        <w:t xml:space="preserve">  </w:t>
      </w:r>
      <w:r w:rsidRPr="00CD1070">
        <w:t>Of these, an estimated 279 have 1,500 or fewer employees</w:t>
      </w:r>
      <w:r>
        <w:t>.</w:t>
      </w:r>
      <w:r>
        <w:rPr>
          <w:rStyle w:val="FootnoteReference"/>
          <w:spacing w:val="-2"/>
          <w:szCs w:val="22"/>
        </w:rPr>
        <w:footnoteReference w:id="258"/>
      </w:r>
      <w:r>
        <w:t xml:space="preserve">  </w:t>
      </w:r>
      <w:r w:rsidRPr="00CD1070">
        <w:t>Consequently, the Commission estimates that most Other Toll</w:t>
      </w:r>
      <w:r>
        <w:t xml:space="preserve"> </w:t>
      </w:r>
      <w:r w:rsidRPr="00CD1070">
        <w:t>Carriers are small entities that may be affected by the rules and polic</w:t>
      </w:r>
      <w:r>
        <w:t>ies adopted</w:t>
      </w:r>
      <w:r w:rsidRPr="00CD1070">
        <w:t>.</w:t>
      </w:r>
    </w:p>
    <w:p w:rsidR="00990255" w:rsidRDefault="00990255" w:rsidP="00990255">
      <w:pPr>
        <w:pStyle w:val="ParaNum"/>
        <w:numPr>
          <w:ilvl w:val="0"/>
          <w:numId w:val="8"/>
        </w:numPr>
        <w:tabs>
          <w:tab w:val="clear" w:pos="1080"/>
          <w:tab w:val="num" w:pos="1440"/>
        </w:tabs>
      </w:pPr>
      <w:r w:rsidRPr="00040B36">
        <w:rPr>
          <w:b/>
        </w:rPr>
        <w:t>Wireless Telecommunications Carriers (except Satellite).</w:t>
      </w:r>
      <w:r w:rsidRPr="00A50BC3">
        <w:t xml:space="preserve">  </w:t>
      </w:r>
      <w:r>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259"/>
      </w:r>
      <w:r>
        <w:t xml:space="preserve">  The appropriate size standard under SBA rules is that such a business is small if it has 1,500 or fewer employees.  For this industry, Census data for 2007 show that there were 1,383 firms that operated for the entire year.  Of this total, 1,368 firms had fewer than 1,000 employees.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Pr>
          <w:rStyle w:val="FootnoteReference"/>
          <w:spacing w:val="-2"/>
          <w:szCs w:val="22"/>
        </w:rPr>
        <w:footnoteReference w:id="260"/>
      </w:r>
      <w:r>
        <w:t xml:space="preserve">  </w:t>
      </w:r>
      <w:r w:rsidRPr="00A9716B">
        <w:t>Of th</w:t>
      </w:r>
      <w:r>
        <w:t>is total</w:t>
      </w:r>
      <w:r w:rsidRPr="00A9716B">
        <w:t>, an estimated 261 have 1,500 or</w:t>
      </w:r>
      <w:r>
        <w:t xml:space="preserve"> </w:t>
      </w:r>
      <w:r w:rsidRPr="00A9716B">
        <w:t>fewer employees</w:t>
      </w:r>
      <w:r>
        <w:t>.</w:t>
      </w:r>
      <w:r>
        <w:rPr>
          <w:rStyle w:val="FootnoteReference"/>
          <w:spacing w:val="-2"/>
          <w:szCs w:val="22"/>
        </w:rPr>
        <w:footnoteReference w:id="261"/>
      </w:r>
      <w:r>
        <w:t xml:space="preserve">  </w:t>
      </w:r>
      <w:r w:rsidRPr="00A9716B">
        <w:t>Consequently, the Commission estimates</w:t>
      </w:r>
      <w:r>
        <w:t xml:space="preserve"> </w:t>
      </w:r>
      <w:r w:rsidRPr="00A9716B">
        <w:t xml:space="preserve">that approximately half of these firms can be considered small. </w:t>
      </w:r>
      <w:r>
        <w:t xml:space="preserve"> </w:t>
      </w:r>
      <w:r w:rsidRPr="00A9716B">
        <w:t>Thus, using available data, we</w:t>
      </w:r>
      <w:r>
        <w:t xml:space="preserve"> </w:t>
      </w:r>
      <w:r w:rsidRPr="00A9716B">
        <w:t>estimate that the majority of wireless firms can be considered small.</w:t>
      </w:r>
    </w:p>
    <w:p w:rsidR="00990255" w:rsidRDefault="00990255" w:rsidP="00990255">
      <w:pPr>
        <w:pStyle w:val="ParaNum"/>
      </w:pPr>
      <w:r w:rsidRPr="0065680B">
        <w:rPr>
          <w:b/>
        </w:rPr>
        <w:t xml:space="preserve">Cable Television and </w:t>
      </w:r>
      <w:r>
        <w:rPr>
          <w:b/>
        </w:rPr>
        <w:t>O</w:t>
      </w:r>
      <w:r w:rsidRPr="0065680B">
        <w:rPr>
          <w:b/>
        </w:rPr>
        <w:t xml:space="preserve">ther </w:t>
      </w:r>
      <w:r>
        <w:rPr>
          <w:b/>
        </w:rPr>
        <w:t>Subscription Programming</w:t>
      </w:r>
      <w:r>
        <w:t>.</w:t>
      </w:r>
      <w:r>
        <w:rPr>
          <w:rStyle w:val="FootnoteReference"/>
        </w:rPr>
        <w:footnoteReference w:id="262"/>
      </w:r>
      <w:r>
        <w:t xml:space="preserve"> </w:t>
      </w:r>
      <w:r w:rsidRPr="0065680B">
        <w:t xml:space="preserve"> Since 2007, these services have been defined within the broad economic census category of Wi</w:t>
      </w:r>
      <w:r>
        <w:t>red Telecommunications Carriers.  T</w:t>
      </w:r>
      <w:r w:rsidRPr="0065680B">
        <w: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263"/>
      </w:r>
      <w:r>
        <w:t xml:space="preserve">  </w:t>
      </w:r>
      <w:r w:rsidRPr="0065680B">
        <w:t>The SBA has developed a small business size standard for this category, which is:  all such firms having 1,500 or fewer employees.</w:t>
      </w:r>
      <w:r>
        <w:rPr>
          <w:rStyle w:val="FootnoteReference"/>
          <w:spacing w:val="-2"/>
          <w:szCs w:val="22"/>
        </w:rPr>
        <w:footnoteReference w:id="264"/>
      </w:r>
      <w:r w:rsidRPr="0065680B">
        <w:t xml:space="preserve">  Census data for 2007 shows that there were </w:t>
      </w:r>
      <w:r>
        <w:t xml:space="preserve">3,188 firms that operated that year.  </w:t>
      </w:r>
      <w:r w:rsidRPr="0065680B">
        <w:t>Of th</w:t>
      </w:r>
      <w:r>
        <w:t>is total, 3,144</w:t>
      </w:r>
      <w:r w:rsidRPr="0065680B">
        <w:t xml:space="preserve"> had </w:t>
      </w:r>
      <w:r>
        <w:t xml:space="preserve">fewer </w:t>
      </w:r>
      <w:r w:rsidRPr="0065680B">
        <w:t>than 1</w:t>
      </w:r>
      <w:r>
        <w:t>,0</w:t>
      </w:r>
      <w:r w:rsidRPr="0065680B">
        <w:t>00 employees</w:t>
      </w:r>
      <w:r>
        <w:t>.</w:t>
      </w:r>
      <w:r>
        <w:rPr>
          <w:rStyle w:val="FootnoteReference"/>
        </w:rPr>
        <w:footnoteReference w:id="265"/>
      </w:r>
      <w:r w:rsidRPr="0065680B">
        <w:t xml:space="preserve"> </w:t>
      </w:r>
      <w:r>
        <w:t xml:space="preserve"> </w:t>
      </w:r>
      <w:r w:rsidRPr="0065680B">
        <w:t xml:space="preserve">Thus under this </w:t>
      </w:r>
      <w:r>
        <w:t xml:space="preserve">size standard, </w:t>
      </w:r>
      <w:r w:rsidRPr="0065680B">
        <w:t xml:space="preserve">the majority of firms </w:t>
      </w:r>
      <w:r>
        <w:t xml:space="preserve">offering cable and other program distribution services </w:t>
      </w:r>
      <w:r w:rsidRPr="0065680B">
        <w:t>can be considered small</w:t>
      </w:r>
      <w:r>
        <w:t xml:space="preserve"> and may be affected by rules adopted</w:t>
      </w:r>
      <w:r w:rsidRPr="0065680B">
        <w:t>.</w:t>
      </w:r>
    </w:p>
    <w:p w:rsidR="00C0735A" w:rsidRDefault="00C0735A" w:rsidP="00990255">
      <w:pPr>
        <w:pStyle w:val="ParaNum"/>
      </w:pPr>
      <w:r w:rsidRPr="00FC27D4">
        <w:rPr>
          <w:b/>
        </w:rPr>
        <w:t>Cable Companies and Systems</w:t>
      </w:r>
      <w:r>
        <w:t>.</w:t>
      </w:r>
      <w:r w:rsidR="00CF0F5E">
        <w:t xml:space="preserve"> </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266"/>
      </w:r>
      <w:r>
        <w:t xml:space="preserve"> </w:t>
      </w:r>
      <w:r w:rsidR="00CF0F5E">
        <w:t xml:space="preserve"> </w:t>
      </w:r>
      <w:r w:rsidRPr="00FC27D4">
        <w:t xml:space="preserve">Industry data indicate that there are currently </w:t>
      </w:r>
      <w:r>
        <w:t>4,600 active cable systems in the United States.</w:t>
      </w:r>
      <w:r>
        <w:rPr>
          <w:rStyle w:val="FootnoteReference"/>
        </w:rPr>
        <w:footnoteReference w:id="267"/>
      </w:r>
      <w:r>
        <w:t xml:space="preserve">  Of this total, all but ten cable operators nationwide are small under the 400,000-subscriber size standard. </w:t>
      </w:r>
      <w:r>
        <w:rPr>
          <w:rStyle w:val="FootnoteReference"/>
        </w:rPr>
        <w:footnoteReference w:id="268"/>
      </w:r>
      <w:r>
        <w:t xml:space="preserve"> In addition, under the Commission's rate regulation rules, a “small system” is a cable system serving 15,000 or fewer subscribers.</w:t>
      </w:r>
      <w:r>
        <w:rPr>
          <w:rStyle w:val="FootnoteReference"/>
        </w:rPr>
        <w:footnoteReference w:id="269"/>
      </w:r>
      <w:r>
        <w:t xml:space="preserve"> </w:t>
      </w:r>
      <w:r w:rsidR="00CF0F5E">
        <w:t xml:space="preserve"> </w:t>
      </w:r>
      <w:r>
        <w:t>Current Commission records show 4,600 cable systems nationwide.</w:t>
      </w:r>
      <w:r>
        <w:rPr>
          <w:rStyle w:val="FootnoteReference"/>
        </w:rPr>
        <w:footnoteReference w:id="270"/>
      </w:r>
      <w:r>
        <w:t xml:space="preserve"> </w:t>
      </w:r>
      <w:r w:rsidR="00CF0F5E">
        <w:t xml:space="preserve"> </w:t>
      </w:r>
      <w:r>
        <w:t>Of this total, 3,900 cable systems have less than 15,000 subscribers, and 700 systems have 15,000 or more subscribers, based on the same records.</w:t>
      </w:r>
      <w:r>
        <w:rPr>
          <w:rStyle w:val="FootnoteReference"/>
        </w:rPr>
        <w:footnoteReference w:id="271"/>
      </w:r>
      <w:r>
        <w:t xml:space="preserve"> </w:t>
      </w:r>
      <w:r w:rsidR="00CF0F5E">
        <w:t xml:space="preserve"> </w:t>
      </w:r>
      <w:r>
        <w:t>Thus, under this standard as well, we estimate that most cable systems are small entities.</w:t>
      </w:r>
    </w:p>
    <w:p w:rsidR="00990255" w:rsidRDefault="00C0735A" w:rsidP="00990255">
      <w:pPr>
        <w:pStyle w:val="ParaNum"/>
      </w:pPr>
      <w:r w:rsidRPr="007E0B8E">
        <w:rPr>
          <w:b/>
        </w:rPr>
        <w:t>Cable System Operators (Telecom Act Standard).</w:t>
      </w:r>
      <w:r>
        <w:t xml:space="preserve"> </w:t>
      </w:r>
      <w:r w:rsidR="00CF0F5E">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272"/>
      </w:r>
      <w:r w:rsidR="00CF0F5E">
        <w:t xml:space="preserve">  </w:t>
      </w:r>
      <w:r>
        <w:t>There are approximately 52,403,705 cable video subscribers in the United States today.</w:t>
      </w:r>
      <w:r>
        <w:rPr>
          <w:rStyle w:val="FootnoteReference"/>
        </w:rPr>
        <w:footnoteReference w:id="273"/>
      </w:r>
      <w:r>
        <w:t xml:space="preserve"> </w:t>
      </w:r>
      <w:r w:rsidR="00CF0F5E">
        <w:t xml:space="preserve"> </w:t>
      </w:r>
      <w:r>
        <w:t>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274"/>
      </w:r>
      <w:r>
        <w:t xml:space="preserve"> </w:t>
      </w:r>
      <w:r w:rsidR="00CF0F5E">
        <w:t xml:space="preserve"> </w:t>
      </w:r>
      <w:r>
        <w:t>Based on available data, we find that all but nine incumbent cable operators are small entities under this size standard.</w:t>
      </w:r>
      <w:r>
        <w:rPr>
          <w:rStyle w:val="FootnoteReference"/>
        </w:rPr>
        <w:footnoteReference w:id="275"/>
      </w:r>
      <w:r>
        <w:t xml:space="preserve"> </w:t>
      </w:r>
      <w:r w:rsidR="00CF0F5E">
        <w:t xml:space="preserve"> </w:t>
      </w:r>
      <w:r>
        <w:t>We note that the Commission neither requests nor collects information on whether cable system operators are affiliated with entities whose gross annual revenues exceed $250 million.</w:t>
      </w:r>
      <w:r>
        <w:rPr>
          <w:rStyle w:val="FootnoteReference"/>
        </w:rPr>
        <w:footnoteReference w:id="276"/>
      </w:r>
      <w:r>
        <w:t xml:space="preserve"> </w:t>
      </w:r>
      <w:r w:rsidR="00CF0F5E">
        <w:t xml:space="preserve"> </w:t>
      </w:r>
      <w:r>
        <w:t>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990255" w:rsidRDefault="00990255" w:rsidP="00990255">
      <w:pPr>
        <w:pStyle w:val="ParaNum"/>
      </w:pPr>
      <w:r w:rsidRPr="00080C31">
        <w:rPr>
          <w:b/>
        </w:rPr>
        <w:t>All Other Telecommunications</w:t>
      </w:r>
      <w:r w:rsidRPr="00A205F0">
        <w:t xml:space="preserve">. </w:t>
      </w:r>
      <w:r>
        <w:t xml:space="preserve"> </w:t>
      </w:r>
      <w:bookmarkStart w:id="324" w:name="_Toc390878820"/>
      <w:bookmarkStart w:id="325" w:name="_Toc391364453"/>
      <w:bookmarkStart w:id="326" w:name="_Toc394672341"/>
      <w:bookmarkStart w:id="327" w:name="_Toc397078349"/>
      <w:bookmarkStart w:id="328" w:name="_Toc403117511"/>
      <w:bookmarkStart w:id="329" w:name="_Toc404352147"/>
      <w:bookmarkStart w:id="330" w:name="_Toc406064041"/>
      <w:bookmarkStart w:id="331" w:name="_Toc406754921"/>
      <w:bookmarkStart w:id="332" w:name="_Toc407006739"/>
      <w:bookmarkStart w:id="333" w:name="_Toc407018474"/>
      <w:bookmarkStart w:id="334" w:name="_Toc408483456"/>
      <w:bookmarkStart w:id="335" w:name="_Toc410723696"/>
      <w:bookmarkStart w:id="336" w:name="_Toc411434905"/>
      <w:bookmarkStart w:id="337" w:name="_Toc413083247"/>
      <w:bookmarkStart w:id="338" w:name="_Toc413672137"/>
      <w:r w:rsidRPr="00581320">
        <w:rPr>
          <w:b/>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277"/>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278"/>
      </w:r>
      <w:r w:rsidRPr="00581320">
        <w:t xml:space="preserve">  For this category, census data for 2007 show that there were 2,383 firms that operated for the entire year.  Of th</w:t>
      </w:r>
      <w:r>
        <w:t>ese</w:t>
      </w:r>
      <w:r w:rsidRPr="00581320">
        <w:t xml:space="preserve"> firms, a total of 2</w:t>
      </w:r>
      <w:r>
        <w:t>,</w:t>
      </w:r>
      <w:r w:rsidRPr="00581320">
        <w:t>346 had gross annual receipts of less than $25 million.</w:t>
      </w:r>
      <w:r>
        <w:rPr>
          <w:rStyle w:val="FootnoteReference"/>
        </w:rPr>
        <w:footnoteReference w:id="279"/>
      </w:r>
      <w:r>
        <w:t xml:space="preserve">  </w:t>
      </w:r>
      <w:r w:rsidRPr="00581320">
        <w:t xml:space="preserve">Thus, a majority of </w:t>
      </w:r>
      <w:r>
        <w:t>“</w:t>
      </w:r>
      <w:r w:rsidRPr="00581320">
        <w:t>All Other Telecommunications</w:t>
      </w:r>
      <w:r>
        <w:t>”</w:t>
      </w:r>
      <w:r w:rsidRPr="00581320">
        <w:t xml:space="preserve"> firms potentially affected by the </w:t>
      </w:r>
      <w:r>
        <w:t xml:space="preserve">rules adopted </w:t>
      </w:r>
      <w:r w:rsidRPr="00581320">
        <w:t>can be considered small</w:t>
      </w:r>
      <w:r>
        <w:t>.</w:t>
      </w:r>
    </w:p>
    <w:p w:rsidR="00990255" w:rsidRPr="00F95B79" w:rsidRDefault="00990255" w:rsidP="00990255">
      <w:pPr>
        <w:pStyle w:val="Heading2"/>
        <w:numPr>
          <w:ilvl w:val="0"/>
          <w:numId w:val="0"/>
        </w:numPr>
        <w:ind w:left="1440" w:hanging="720"/>
      </w:pPr>
      <w:r>
        <w:t>D.</w:t>
      </w:r>
      <w:r>
        <w:tab/>
      </w:r>
      <w:r w:rsidRPr="00F95B79">
        <w:t>Description of Projected Reporting, Recordkeeping and Other Compliance Requirements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990255" w:rsidRDefault="00990255" w:rsidP="00990255">
      <w:pPr>
        <w:pStyle w:val="ParaNum"/>
      </w:pPr>
      <w:r w:rsidRPr="007521D5">
        <w:t xml:space="preserve">This </w:t>
      </w:r>
      <w:r>
        <w:t>Report and Order does not adopt any new reporting, recordkeeping, o</w:t>
      </w:r>
      <w:r w:rsidR="00BB0D73">
        <w:t>r other compliance requirements</w:t>
      </w:r>
      <w:r>
        <w:t>.</w:t>
      </w:r>
      <w:bookmarkStart w:id="339" w:name="_Toc390878821"/>
    </w:p>
    <w:p w:rsidR="00990255" w:rsidRPr="00F95B79" w:rsidRDefault="00990255" w:rsidP="00990255">
      <w:pPr>
        <w:pStyle w:val="Heading2"/>
        <w:numPr>
          <w:ilvl w:val="0"/>
          <w:numId w:val="0"/>
        </w:numPr>
        <w:ind w:left="1440" w:hanging="720"/>
      </w:pPr>
      <w:bookmarkStart w:id="340" w:name="_Toc391364454"/>
      <w:bookmarkStart w:id="341" w:name="_Toc394672342"/>
      <w:bookmarkStart w:id="342" w:name="_Toc397078350"/>
      <w:bookmarkStart w:id="343" w:name="_Toc403117512"/>
      <w:bookmarkStart w:id="344" w:name="_Toc404352148"/>
      <w:bookmarkStart w:id="345" w:name="_Toc406064042"/>
      <w:bookmarkStart w:id="346" w:name="_Toc406754922"/>
      <w:bookmarkStart w:id="347" w:name="_Toc407006740"/>
      <w:bookmarkStart w:id="348" w:name="_Toc407018475"/>
      <w:bookmarkStart w:id="349" w:name="_Toc408483457"/>
      <w:bookmarkStart w:id="350" w:name="_Toc410723697"/>
      <w:bookmarkStart w:id="351" w:name="_Toc411434906"/>
      <w:bookmarkStart w:id="352" w:name="_Toc413083248"/>
      <w:bookmarkStart w:id="353" w:name="_Toc413672138"/>
      <w:r>
        <w:t>E.</w:t>
      </w:r>
      <w:r>
        <w:tab/>
      </w:r>
      <w:r w:rsidRPr="00F95B79">
        <w:t>Steps Taken to Minimize Significant Economic Impact on Small Entities, and Significant Alternatives Considered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990255" w:rsidRDefault="00990255" w:rsidP="00990255">
      <w:pPr>
        <w:pStyle w:val="ParaNum"/>
      </w:pPr>
      <w:r w:rsidRPr="007521D5">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80"/>
      </w:r>
      <w:r w:rsidRPr="007521D5">
        <w:t xml:space="preserve">   </w:t>
      </w:r>
    </w:p>
    <w:p w:rsidR="00990255" w:rsidRDefault="00990255" w:rsidP="00990255">
      <w:pPr>
        <w:pStyle w:val="ParaNum"/>
      </w:pPr>
      <w:r>
        <w:t xml:space="preserve">This Report and Order does not adopt any new reporting requirements.  Therefore no adverse economic impact on small entities will be sustained based on reporting requirements.  There will be a regulatory fee </w:t>
      </w:r>
      <w:r w:rsidR="00A47BF9">
        <w:t xml:space="preserve">instituted </w:t>
      </w:r>
      <w:r>
        <w:t>on DBS providers</w:t>
      </w:r>
      <w:r w:rsidR="00BC222B">
        <w:t xml:space="preserve"> due to the adoption of a </w:t>
      </w:r>
      <w:r w:rsidR="00A47BF9">
        <w:t xml:space="preserve">new </w:t>
      </w:r>
      <w:r w:rsidR="00BC222B">
        <w:t xml:space="preserve">fee </w:t>
      </w:r>
      <w:r w:rsidR="00A47BF9">
        <w:t xml:space="preserve">category, but we anticipate that the two primary DBS companies required to pay these fees are </w:t>
      </w:r>
      <w:r>
        <w:t>not small entities.</w:t>
      </w:r>
      <w:r w:rsidRPr="00A41ABA">
        <w:t xml:space="preserve"> </w:t>
      </w:r>
      <w:r w:rsidR="00E068C1">
        <w:t xml:space="preserve"> </w:t>
      </w:r>
      <w:r w:rsidR="00A47BF9">
        <w:t xml:space="preserve">Similarly, </w:t>
      </w:r>
      <w:r w:rsidR="00E068C1">
        <w:t>a new regulatory fee for Responsible Organizations</w:t>
      </w:r>
      <w:r w:rsidR="00A47BF9">
        <w:t xml:space="preserve"> (RespOrg) has also been instituted in FY 2015</w:t>
      </w:r>
      <w:r w:rsidR="00E068C1">
        <w:t xml:space="preserve"> for the toll free </w:t>
      </w:r>
      <w:r w:rsidR="00A47BF9">
        <w:t xml:space="preserve">number </w:t>
      </w:r>
      <w:r w:rsidR="00E068C1">
        <w:t xml:space="preserve">fee category </w:t>
      </w:r>
      <w:r w:rsidR="00A47BF9">
        <w:t xml:space="preserve">that was </w:t>
      </w:r>
      <w:r w:rsidR="00E068C1">
        <w:t>previously adopted--the fee rate adopted is 12 cents per year.  This is not a new reporting requirement</w:t>
      </w:r>
      <w:r w:rsidR="00A47BF9">
        <w:t xml:space="preserve">, and should not have any </w:t>
      </w:r>
      <w:r w:rsidR="00E068C1">
        <w:t>adverse economic impact</w:t>
      </w:r>
      <w:r w:rsidR="00A47BF9">
        <w:t xml:space="preserve"> on small RespOrg. entities because they are able to recover these assessed fees from their customers</w:t>
      </w:r>
      <w:r w:rsidR="00E068C1">
        <w:t>.</w:t>
      </w:r>
    </w:p>
    <w:p w:rsidR="00990255" w:rsidRDefault="00990255" w:rsidP="00990255">
      <w:pPr>
        <w:pStyle w:val="ParaNum"/>
      </w:pPr>
      <w:r w:rsidRPr="00A41ABA">
        <w:t xml:space="preserve">In keeping with the requirements of the Regulatory Flexibility Act, we have considered certain alternative means of mitigating the effects of fee increases to a particular industry segment.  </w:t>
      </w:r>
      <w:r w:rsidR="00E10170">
        <w:t xml:space="preserve">For example, beginning in FY 2015 </w:t>
      </w:r>
      <w:r w:rsidRPr="00A41ABA">
        <w:t>the Commission</w:t>
      </w:r>
      <w:r w:rsidR="00CD2E0E">
        <w:t xml:space="preserve"> has increased the de minimis threshold from under $10 to $500 (the total of all regulatory fees), which wi</w:t>
      </w:r>
      <w:r w:rsidR="00B069BE">
        <w:t xml:space="preserve">ll impact many small entities that pay regulatory fees for ITSP, paging, cellular, cable, and Low Power Television/FM Translators.  Historically, many of these small entities have been late in making their fee payments to the Commission by the due date.  This increase in the de minimis threshold to $500 will relieve regulatees both financially and administratively.  Finally, regulatees may also seek waivers or other relief </w:t>
      </w:r>
      <w:r w:rsidRPr="00A41ABA">
        <w:t xml:space="preserve">on the basis of financial hardship.  </w:t>
      </w:r>
      <w:r w:rsidRPr="001774CA">
        <w:rPr>
          <w:i/>
        </w:rPr>
        <w:t xml:space="preserve">See </w:t>
      </w:r>
      <w:r w:rsidRPr="00A41ABA">
        <w:t>47 C.F.R. §1.1166</w:t>
      </w:r>
      <w:r>
        <w:t>.</w:t>
      </w:r>
      <w:r w:rsidRPr="00EC2B2C">
        <w:t xml:space="preserve"> </w:t>
      </w:r>
    </w:p>
    <w:p w:rsidR="00990255" w:rsidRPr="00F95B79" w:rsidRDefault="00990255" w:rsidP="00990255">
      <w:pPr>
        <w:pStyle w:val="Heading2"/>
        <w:numPr>
          <w:ilvl w:val="0"/>
          <w:numId w:val="0"/>
        </w:numPr>
        <w:ind w:left="1440" w:hanging="720"/>
      </w:pPr>
      <w:bookmarkStart w:id="354" w:name="_Toc391364455"/>
      <w:bookmarkStart w:id="355" w:name="_Toc394672343"/>
      <w:bookmarkStart w:id="356" w:name="_Toc397078351"/>
      <w:bookmarkStart w:id="357" w:name="_Toc403117513"/>
      <w:bookmarkStart w:id="358" w:name="_Toc404352149"/>
      <w:bookmarkStart w:id="359" w:name="_Toc406064043"/>
      <w:bookmarkStart w:id="360" w:name="_Toc406754923"/>
      <w:bookmarkStart w:id="361" w:name="_Toc407006741"/>
      <w:bookmarkStart w:id="362" w:name="_Toc407018476"/>
      <w:bookmarkStart w:id="363" w:name="_Toc408483458"/>
      <w:bookmarkStart w:id="364" w:name="_Toc410723698"/>
      <w:bookmarkStart w:id="365" w:name="_Toc411434907"/>
      <w:bookmarkStart w:id="366" w:name="_Toc413083249"/>
      <w:bookmarkStart w:id="367" w:name="_Toc413672139"/>
      <w:bookmarkStart w:id="368" w:name="_Toc390878822"/>
      <w:r>
        <w:t>F.</w:t>
      </w:r>
      <w:r>
        <w:tab/>
      </w:r>
      <w:bookmarkStart w:id="369" w:name="start_from_here"/>
      <w:r w:rsidRPr="00F95B79">
        <w:t>Federal Rules that May Duplicate, Overlap, or Conflict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9"/>
      <w:r w:rsidRPr="00F95B79">
        <w:t xml:space="preserve"> </w:t>
      </w:r>
      <w:bookmarkEnd w:id="368"/>
    </w:p>
    <w:p w:rsidR="00FD5400" w:rsidRDefault="00990255" w:rsidP="00990255">
      <w:pPr>
        <w:pStyle w:val="ParaNum"/>
      </w:pPr>
      <w:r w:rsidRPr="007521D5">
        <w:t>None.</w:t>
      </w:r>
    </w:p>
    <w:p w:rsidR="00FD5400" w:rsidRDefault="00FD5400">
      <w:pPr>
        <w:widowControl/>
      </w:pPr>
      <w:r>
        <w:br w:type="page"/>
      </w:r>
    </w:p>
    <w:p w:rsidR="00FD5400" w:rsidRPr="00825576" w:rsidRDefault="00FD5400" w:rsidP="00FD5400">
      <w:pPr>
        <w:widowControl/>
        <w:jc w:val="center"/>
        <w:rPr>
          <w:b/>
        </w:rPr>
      </w:pPr>
      <w:bookmarkStart w:id="370" w:name="_Toc413672140"/>
      <w:r w:rsidRPr="00825576">
        <w:rPr>
          <w:b/>
        </w:rPr>
        <w:t>APPENDIX H</w:t>
      </w:r>
      <w:bookmarkEnd w:id="370"/>
    </w:p>
    <w:p w:rsidR="00FD5400" w:rsidRDefault="00FD5400" w:rsidP="00FD5400">
      <w:pPr>
        <w:jc w:val="center"/>
        <w:rPr>
          <w:b/>
        </w:rPr>
      </w:pPr>
    </w:p>
    <w:p w:rsidR="00FD5400" w:rsidRDefault="00FD5400" w:rsidP="00FD5400">
      <w:pPr>
        <w:jc w:val="center"/>
        <w:rPr>
          <w:b/>
        </w:rPr>
      </w:pPr>
      <w:r>
        <w:rPr>
          <w:b/>
        </w:rPr>
        <w:t>FY 2014 Schedule of Regulatory Fees</w:t>
      </w:r>
    </w:p>
    <w:p w:rsidR="00FD5400" w:rsidRDefault="00FD5400" w:rsidP="00FD5400">
      <w:pPr>
        <w:jc w:val="center"/>
        <w:rPr>
          <w:b/>
        </w:rPr>
      </w:pPr>
    </w:p>
    <w:p w:rsidR="00FD5400" w:rsidRDefault="00FD5400" w:rsidP="00FD5400">
      <w:pPr>
        <w:tabs>
          <w:tab w:val="center" w:pos="5040"/>
        </w:tabs>
        <w:suppressAutoHyphens/>
        <w:outlineLvl w:val="0"/>
        <w:rPr>
          <w:szCs w:val="22"/>
        </w:rPr>
      </w:pPr>
      <w:r>
        <w:rPr>
          <w:szCs w:val="22"/>
        </w:rPr>
        <w:t>Regulatory fees for the categories shaded in gray are collected by the Commission in advance to cover the term of the license and are submitted at the time the application is filed.</w:t>
      </w: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FD5400" w:rsidTr="00251724">
        <w:trPr>
          <w:tblHeader/>
        </w:trPr>
        <w:tc>
          <w:tcPr>
            <w:tcW w:w="6840" w:type="dxa"/>
            <w:tcBorders>
              <w:top w:val="double" w:sz="6" w:space="0" w:color="auto"/>
              <w:left w:val="double" w:sz="6" w:space="0" w:color="auto"/>
              <w:bottom w:val="single" w:sz="8"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Pr>
                <w:sz w:val="20"/>
              </w:rPr>
              <w:instrText xml:space="preserve">PRIVATE </w:instrText>
            </w:r>
            <w:r>
              <w:rPr>
                <w:sz w:val="20"/>
              </w:rPr>
              <w:fldChar w:fldCharType="end"/>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FD5400" w:rsidRDefault="00FD5400" w:rsidP="00251724">
            <w:pPr>
              <w:tabs>
                <w:tab w:val="center" w:pos="850"/>
              </w:tabs>
              <w:suppressAutoHyphens/>
              <w:spacing w:after="54"/>
              <w:jc w:val="center"/>
              <w:rPr>
                <w:b/>
                <w:sz w:val="20"/>
              </w:rPr>
            </w:pPr>
            <w:r>
              <w:rPr>
                <w:b/>
                <w:sz w:val="20"/>
              </w:rPr>
              <w:t>(U.S. $'s)</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15</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80</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15</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55</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5</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10</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10</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10</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30</w:t>
            </w:r>
          </w:p>
        </w:tc>
      </w:tr>
      <w:tr w:rsidR="00FD5400" w:rsidTr="00251724">
        <w:tc>
          <w:tcPr>
            <w:tcW w:w="6840" w:type="dxa"/>
            <w:tcBorders>
              <w:top w:val="single" w:sz="8" w:space="0" w:color="auto"/>
              <w:left w:val="double" w:sz="12" w:space="0" w:color="auto"/>
              <w:bottom w:val="single" w:sz="8" w:space="0" w:color="auto"/>
              <w:right w:val="single" w:sz="8" w:space="0" w:color="auto"/>
            </w:tcBorders>
            <w:shd w:val="clear" w:color="auto" w:fill="C0C0C0"/>
          </w:tcPr>
          <w:p w:rsidR="00FD5400" w:rsidRDefault="00FD5400" w:rsidP="00251724">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FD5400" w:rsidRDefault="00FD5400" w:rsidP="00251724">
            <w:pPr>
              <w:tabs>
                <w:tab w:val="left" w:pos="-1440"/>
                <w:tab w:val="left" w:pos="-720"/>
              </w:tabs>
              <w:suppressAutoHyphens/>
              <w:spacing w:before="90" w:after="54"/>
              <w:jc w:val="center"/>
              <w:rPr>
                <w:sz w:val="20"/>
              </w:rPr>
            </w:pPr>
            <w:r>
              <w:rPr>
                <w:sz w:val="20"/>
              </w:rPr>
              <w:t>2.14</w:t>
            </w:r>
          </w:p>
        </w:tc>
      </w:tr>
      <w:tr w:rsidR="00FD5400" w:rsidTr="00251724">
        <w:tc>
          <w:tcPr>
            <w:tcW w:w="6840" w:type="dxa"/>
            <w:tcBorders>
              <w:top w:val="single" w:sz="8"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.18</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.08</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Broadband Radio Service (formerly MMDS/ MDS) (per license) (47 CFR part 27)</w:t>
            </w:r>
          </w:p>
          <w:p w:rsidR="00FD5400" w:rsidRDefault="00FD5400" w:rsidP="00251724">
            <w:pPr>
              <w:tabs>
                <w:tab w:val="left" w:pos="-1440"/>
                <w:tab w:val="left" w:pos="-720"/>
              </w:tabs>
              <w:suppressAutoHyphens/>
              <w:spacing w:before="90" w:after="54"/>
              <w:rPr>
                <w:sz w:val="20"/>
              </w:rPr>
            </w:pPr>
            <w:r>
              <w:rPr>
                <w:sz w:val="20"/>
              </w:rPr>
              <w:t>Local Multipoint Distribution Service (per call sign) (47 CFR, part 101)</w:t>
            </w:r>
          </w:p>
          <w:p w:rsidR="00FD5400" w:rsidRDefault="00FD5400" w:rsidP="00251724">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715</w:t>
            </w:r>
          </w:p>
          <w:p w:rsidR="00FD5400" w:rsidRDefault="00FD5400" w:rsidP="00251724">
            <w:pPr>
              <w:tabs>
                <w:tab w:val="left" w:pos="-1440"/>
                <w:tab w:val="left" w:pos="-720"/>
              </w:tabs>
              <w:suppressAutoHyphens/>
              <w:spacing w:before="90" w:after="54"/>
              <w:jc w:val="center"/>
              <w:rPr>
                <w:sz w:val="20"/>
              </w:rPr>
            </w:pPr>
          </w:p>
          <w:p w:rsidR="00FD5400" w:rsidRDefault="00FD5400" w:rsidP="00251724">
            <w:pPr>
              <w:tabs>
                <w:tab w:val="left" w:pos="-1440"/>
                <w:tab w:val="left" w:pos="-720"/>
              </w:tabs>
              <w:suppressAutoHyphens/>
              <w:spacing w:before="90" w:after="54"/>
              <w:jc w:val="center"/>
              <w:rPr>
                <w:sz w:val="20"/>
              </w:rPr>
            </w:pPr>
            <w:r>
              <w:rPr>
                <w:sz w:val="20"/>
              </w:rPr>
              <w:t>715</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590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750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Digital TV (47 CFR part 73) VHF and UHF Commercial</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right"/>
              <w:rPr>
                <w:sz w:val="20"/>
              </w:rPr>
            </w:pP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44,650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42,100</w:t>
            </w:r>
          </w:p>
        </w:tc>
      </w:tr>
      <w:tr w:rsidR="00FD5400" w:rsidTr="00251724">
        <w:tc>
          <w:tcPr>
            <w:tcW w:w="6840" w:type="dxa"/>
            <w:tcBorders>
              <w:top w:val="single" w:sz="2" w:space="0" w:color="auto"/>
              <w:left w:val="double" w:sz="2" w:space="0" w:color="auto"/>
              <w:right w:val="single" w:sz="2" w:space="0" w:color="auto"/>
            </w:tcBorders>
          </w:tcPr>
          <w:p w:rsidR="00FD5400" w:rsidRDefault="00FD5400" w:rsidP="00251724">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FD5400" w:rsidRDefault="00FD5400" w:rsidP="00251724">
            <w:pPr>
              <w:tabs>
                <w:tab w:val="left" w:pos="-1440"/>
                <w:tab w:val="left" w:pos="-720"/>
              </w:tabs>
              <w:suppressAutoHyphens/>
              <w:spacing w:before="90" w:after="54"/>
              <w:jc w:val="center"/>
              <w:rPr>
                <w:sz w:val="20"/>
              </w:rPr>
            </w:pPr>
            <w:r>
              <w:rPr>
                <w:sz w:val="20"/>
              </w:rPr>
              <w:t>26,975</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15,600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4,750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4,750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1,550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Construction Permits – Satellite Television Stations</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1,300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410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10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605</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.99</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.00343</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295</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jc w:val="center"/>
              <w:rPr>
                <w:sz w:val="20"/>
              </w:rPr>
            </w:pPr>
          </w:p>
          <w:p w:rsidR="00FD5400" w:rsidRDefault="00FD5400" w:rsidP="00251724">
            <w:pPr>
              <w:tabs>
                <w:tab w:val="left" w:pos="-1440"/>
                <w:tab w:val="left" w:pos="-720"/>
              </w:tabs>
              <w:suppressAutoHyphens/>
              <w:spacing w:after="54"/>
              <w:jc w:val="center"/>
              <w:rPr>
                <w:sz w:val="20"/>
              </w:rPr>
            </w:pPr>
            <w:r>
              <w:rPr>
                <w:sz w:val="20"/>
              </w:rPr>
              <w:t>122,400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132,850</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.21</w:t>
            </w:r>
          </w:p>
        </w:tc>
      </w:tr>
      <w:tr w:rsidR="00FD5400" w:rsidTr="00251724">
        <w:tc>
          <w:tcPr>
            <w:tcW w:w="684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FD5400" w:rsidRDefault="00FD5400" w:rsidP="00251724">
            <w:pPr>
              <w:tabs>
                <w:tab w:val="left" w:pos="-1440"/>
                <w:tab w:val="left" w:pos="-720"/>
              </w:tabs>
              <w:suppressAutoHyphens/>
              <w:spacing w:before="90" w:after="54"/>
              <w:jc w:val="center"/>
              <w:rPr>
                <w:sz w:val="20"/>
              </w:rPr>
            </w:pPr>
            <w:r>
              <w:rPr>
                <w:sz w:val="20"/>
              </w:rPr>
              <w:t>See Table Below</w:t>
            </w:r>
          </w:p>
        </w:tc>
      </w:tr>
      <w:tr w:rsidR="00FD5400" w:rsidTr="00251724">
        <w:trPr>
          <w:trHeight w:val="57"/>
        </w:trPr>
        <w:tc>
          <w:tcPr>
            <w:tcW w:w="6840" w:type="dxa"/>
            <w:tcBorders>
              <w:top w:val="single" w:sz="6" w:space="0" w:color="auto"/>
              <w:left w:val="doub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FD5400" w:rsidRDefault="00FD5400" w:rsidP="00251724">
            <w:pPr>
              <w:tabs>
                <w:tab w:val="center" w:pos="850"/>
              </w:tabs>
              <w:suppressAutoHyphens/>
              <w:spacing w:before="90" w:after="54"/>
              <w:jc w:val="center"/>
              <w:rPr>
                <w:sz w:val="20"/>
              </w:rPr>
            </w:pPr>
          </w:p>
        </w:tc>
      </w:tr>
    </w:tbl>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b/>
          <w:szCs w:val="22"/>
        </w:rPr>
        <w:t>FY 2014 SCHEDULE OF REGULATORY FEES: Maintain Allocation</w:t>
      </w:r>
      <w:r>
        <w:rPr>
          <w:rFonts w:ascii="Times New Roman Bold" w:hAnsi="Times New Roman Bold"/>
          <w:b/>
          <w:szCs w:val="22"/>
        </w:rPr>
        <w:t xml:space="preserve"> (continued)</w:t>
      </w: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FD5400" w:rsidTr="00251724">
        <w:tc>
          <w:tcPr>
            <w:tcW w:w="8550" w:type="dxa"/>
            <w:gridSpan w:val="7"/>
            <w:tcBorders>
              <w:top w:val="double" w:sz="6" w:space="0" w:color="auto"/>
              <w:left w:val="doub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2014 </w:t>
            </w:r>
            <w:r>
              <w:rPr>
                <w:b/>
                <w:sz w:val="20"/>
              </w:rPr>
              <w:fldChar w:fldCharType="begin"/>
            </w:r>
            <w:r>
              <w:rPr>
                <w:b/>
                <w:sz w:val="20"/>
              </w:rPr>
              <w:instrText xml:space="preserve">PRIVATE </w:instrText>
            </w:r>
            <w:r>
              <w:rPr>
                <w:b/>
                <w:sz w:val="20"/>
              </w:rPr>
              <w:fldChar w:fldCharType="end"/>
            </w:r>
            <w:r>
              <w:rPr>
                <w:b/>
                <w:sz w:val="20"/>
              </w:rPr>
              <w:t>RADIO STATION REGULATORY FEES</w:t>
            </w:r>
          </w:p>
        </w:tc>
      </w:tr>
      <w:tr w:rsidR="00FD5400" w:rsidRPr="00445C3B" w:rsidTr="00251724">
        <w:tc>
          <w:tcPr>
            <w:tcW w:w="189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FD5400" w:rsidRPr="00445C3B"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FD5400" w:rsidRPr="00445C3B"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FD5400" w:rsidRPr="00445C3B"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FD5400" w:rsidRPr="00445C3B"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FD5400" w:rsidTr="00251724">
        <w:tc>
          <w:tcPr>
            <w:tcW w:w="189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FD5400" w:rsidTr="00251724">
        <w:tc>
          <w:tcPr>
            <w:tcW w:w="189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FD5400" w:rsidTr="00251724">
        <w:tc>
          <w:tcPr>
            <w:tcW w:w="189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FD5400" w:rsidTr="00251724">
        <w:tc>
          <w:tcPr>
            <w:tcW w:w="189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FD5400" w:rsidTr="00251724">
        <w:tc>
          <w:tcPr>
            <w:tcW w:w="1890" w:type="dxa"/>
            <w:tcBorders>
              <w:top w:val="single" w:sz="6" w:space="0" w:color="auto"/>
              <w:lef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FD5400" w:rsidTr="00251724">
        <w:trPr>
          <w:trHeight w:val="361"/>
        </w:trPr>
        <w:tc>
          <w:tcPr>
            <w:tcW w:w="1890" w:type="dxa"/>
            <w:tcBorders>
              <w:top w:val="single" w:sz="6" w:space="0" w:color="auto"/>
              <w:left w:val="double" w:sz="6" w:space="0" w:color="auto"/>
              <w:bottom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FD5400" w:rsidTr="00251724">
        <w:tc>
          <w:tcPr>
            <w:tcW w:w="1890" w:type="dxa"/>
            <w:tcBorders>
              <w:top w:val="single" w:sz="6" w:space="0" w:color="auto"/>
              <w:left w:val="doub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FD5400" w:rsidRDefault="00FD5400" w:rsidP="00FD5400">
      <w:pPr>
        <w:tabs>
          <w:tab w:val="right" w:pos="10080"/>
        </w:tabs>
        <w:suppressAutoHyphens/>
        <w:ind w:left="450"/>
        <w:jc w:val="center"/>
        <w:outlineLvl w:val="0"/>
        <w:rPr>
          <w:b/>
          <w:szCs w:val="22"/>
        </w:rPr>
      </w:pPr>
    </w:p>
    <w:p w:rsidR="00FD5400" w:rsidRDefault="00FD5400" w:rsidP="00FD5400">
      <w:pPr>
        <w:tabs>
          <w:tab w:val="right" w:pos="10080"/>
        </w:tabs>
        <w:suppressAutoHyphens/>
        <w:ind w:left="450"/>
        <w:jc w:val="center"/>
        <w:outlineLvl w:val="0"/>
        <w:rPr>
          <w:b/>
          <w:szCs w:val="22"/>
        </w:rPr>
      </w:pPr>
      <w:r>
        <w:rPr>
          <w:b/>
          <w:szCs w:val="22"/>
        </w:rPr>
        <w:t>FY 2014 SCHEDULE OF REGULATORY FEES</w:t>
      </w:r>
    </w:p>
    <w:p w:rsidR="00FD5400" w:rsidRDefault="00FD5400" w:rsidP="00FD5400">
      <w:pPr>
        <w:tabs>
          <w:tab w:val="right" w:pos="10080"/>
        </w:tabs>
        <w:suppressAutoHyphens/>
        <w:ind w:left="450"/>
        <w:jc w:val="center"/>
        <w:outlineLvl w:val="0"/>
        <w:rPr>
          <w:b/>
          <w:szCs w:val="22"/>
        </w:rPr>
      </w:pPr>
      <w:r>
        <w:rPr>
          <w:b/>
          <w:szCs w:val="22"/>
        </w:rPr>
        <w:t>International Bearer Circuits - Submarine Cable</w:t>
      </w:r>
    </w:p>
    <w:p w:rsidR="00FD5400" w:rsidRDefault="00FD5400" w:rsidP="00FD5400">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600"/>
      </w:tblGrid>
      <w:tr w:rsidR="00FD5400" w:rsidTr="00251724">
        <w:tc>
          <w:tcPr>
            <w:tcW w:w="5148"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2013)</w:t>
            </w:r>
          </w:p>
        </w:tc>
        <w:tc>
          <w:tcPr>
            <w:tcW w:w="3600"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r>
      <w:tr w:rsidR="00FD5400" w:rsidTr="00251724">
        <w:trPr>
          <w:trHeight w:val="1034"/>
        </w:trPr>
        <w:tc>
          <w:tcPr>
            <w:tcW w:w="5148"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600" w:type="dxa"/>
            <w:vAlign w:val="center"/>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$10,250</w:t>
            </w:r>
          </w:p>
        </w:tc>
      </w:tr>
      <w:tr w:rsidR="00FD5400" w:rsidTr="00251724">
        <w:trPr>
          <w:trHeight w:val="1034"/>
        </w:trPr>
        <w:tc>
          <w:tcPr>
            <w:tcW w:w="5148"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600" w:type="dxa"/>
            <w:vAlign w:val="center"/>
          </w:tcPr>
          <w:p w:rsidR="00FD5400" w:rsidRDefault="00FD5400" w:rsidP="00251724">
            <w:pPr>
              <w:jc w:val="center"/>
              <w:rPr>
                <w:bCs/>
                <w:szCs w:val="22"/>
              </w:rPr>
            </w:pPr>
            <w:r>
              <w:rPr>
                <w:bCs/>
                <w:szCs w:val="22"/>
              </w:rPr>
              <w:t>$20,500</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FD5400" w:rsidTr="00251724">
        <w:tc>
          <w:tcPr>
            <w:tcW w:w="5148"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600" w:type="dxa"/>
            <w:vAlign w:val="center"/>
          </w:tcPr>
          <w:p w:rsidR="00FD5400" w:rsidRDefault="00FD5400" w:rsidP="00251724">
            <w:pPr>
              <w:jc w:val="center"/>
              <w:rPr>
                <w:bCs/>
                <w:szCs w:val="22"/>
              </w:rPr>
            </w:pPr>
            <w:r>
              <w:rPr>
                <w:bCs/>
                <w:szCs w:val="22"/>
              </w:rPr>
              <w:t xml:space="preserve">$40,975 </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FD5400" w:rsidTr="00251724">
        <w:trPr>
          <w:trHeight w:val="998"/>
        </w:trPr>
        <w:tc>
          <w:tcPr>
            <w:tcW w:w="5148"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600" w:type="dxa"/>
            <w:vAlign w:val="center"/>
          </w:tcPr>
          <w:p w:rsidR="00FD5400" w:rsidRDefault="00FD5400" w:rsidP="00251724">
            <w:pPr>
              <w:jc w:val="center"/>
              <w:rPr>
                <w:bCs/>
                <w:szCs w:val="22"/>
              </w:rPr>
            </w:pPr>
            <w:r>
              <w:rPr>
                <w:bCs/>
                <w:szCs w:val="22"/>
              </w:rPr>
              <w:t xml:space="preserve">$81,950 </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FD5400" w:rsidTr="00251724">
        <w:trPr>
          <w:trHeight w:val="998"/>
        </w:trPr>
        <w:tc>
          <w:tcPr>
            <w:tcW w:w="5148" w:type="dxa"/>
          </w:tcPr>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FD5400" w:rsidRDefault="00FD5400" w:rsidP="00251724">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600" w:type="dxa"/>
            <w:vAlign w:val="center"/>
          </w:tcPr>
          <w:p w:rsidR="00FD5400" w:rsidRDefault="00FD5400" w:rsidP="00251724">
            <w:pPr>
              <w:jc w:val="center"/>
            </w:pPr>
            <w:r>
              <w:rPr>
                <w:bCs/>
                <w:szCs w:val="22"/>
              </w:rPr>
              <w:t>$163,900</w:t>
            </w:r>
          </w:p>
        </w:tc>
      </w:tr>
    </w:tbl>
    <w:p w:rsidR="00FD5400" w:rsidRDefault="00FD5400" w:rsidP="00FD5400">
      <w:pPr>
        <w:autoSpaceDE w:val="0"/>
        <w:autoSpaceDN w:val="0"/>
        <w:adjustRightInd w:val="0"/>
        <w:jc w:val="center"/>
        <w:rPr>
          <w:b/>
        </w:rPr>
      </w:pPr>
    </w:p>
    <w:p w:rsidR="00FD5400" w:rsidRDefault="00FD5400" w:rsidP="00FD5400">
      <w:pPr>
        <w:widowControl/>
        <w:rPr>
          <w:spacing w:val="-2"/>
        </w:rPr>
      </w:pPr>
    </w:p>
    <w:p w:rsidR="00FD5400" w:rsidRDefault="00FD5400" w:rsidP="00FD5400"/>
    <w:p w:rsidR="00891D2A" w:rsidRDefault="00891D2A">
      <w:pPr>
        <w:widowControl/>
        <w:rPr>
          <w:spacing w:val="-2"/>
        </w:rPr>
      </w:pPr>
      <w:r>
        <w:rPr>
          <w:spacing w:val="-2"/>
        </w:rPr>
        <w:br w:type="page"/>
      </w:r>
    </w:p>
    <w:p w:rsidR="0037182F" w:rsidRDefault="00891D2A" w:rsidP="00891D2A">
      <w:pPr>
        <w:pStyle w:val="ParaNum"/>
        <w:numPr>
          <w:ilvl w:val="0"/>
          <w:numId w:val="0"/>
        </w:numPr>
        <w:ind w:left="720"/>
        <w:jc w:val="center"/>
        <w:rPr>
          <w:b/>
          <w:spacing w:val="-2"/>
        </w:rPr>
      </w:pPr>
      <w:r w:rsidRPr="00891D2A">
        <w:rPr>
          <w:b/>
          <w:spacing w:val="-2"/>
        </w:rPr>
        <w:t>APPENDIX I</w:t>
      </w:r>
    </w:p>
    <w:p w:rsidR="00891D2A" w:rsidRDefault="00891D2A" w:rsidP="00891D2A">
      <w:pPr>
        <w:pStyle w:val="ParaNum"/>
        <w:numPr>
          <w:ilvl w:val="0"/>
          <w:numId w:val="0"/>
        </w:numPr>
        <w:ind w:left="720"/>
        <w:jc w:val="center"/>
        <w:rPr>
          <w:b/>
          <w:spacing w:val="-2"/>
        </w:rPr>
      </w:pPr>
    </w:p>
    <w:p w:rsidR="00891D2A" w:rsidRDefault="00891D2A" w:rsidP="00891D2A">
      <w:pPr>
        <w:pStyle w:val="EndnoteText"/>
        <w:jc w:val="center"/>
        <w:rPr>
          <w:b/>
          <w:sz w:val="22"/>
          <w:szCs w:val="22"/>
        </w:rPr>
      </w:pPr>
      <w:r>
        <w:rPr>
          <w:b/>
          <w:sz w:val="22"/>
          <w:szCs w:val="22"/>
        </w:rPr>
        <w:t>Rule Changes</w:t>
      </w:r>
    </w:p>
    <w:p w:rsidR="00891D2A" w:rsidRDefault="00891D2A" w:rsidP="00891D2A">
      <w:pPr>
        <w:pStyle w:val="EndnoteText"/>
        <w:rPr>
          <w:sz w:val="22"/>
          <w:szCs w:val="22"/>
        </w:rPr>
      </w:pPr>
    </w:p>
    <w:p w:rsidR="00891D2A" w:rsidRDefault="00891D2A" w:rsidP="00891D2A">
      <w:pPr>
        <w:pStyle w:val="EndnoteText"/>
        <w:rPr>
          <w:sz w:val="22"/>
          <w:szCs w:val="22"/>
        </w:rPr>
      </w:pPr>
      <w:r>
        <w:rPr>
          <w:sz w:val="22"/>
          <w:szCs w:val="22"/>
        </w:rPr>
        <w:t>Part 1 of Title 47 of the Code of Federal Regulations is amended to read as follows:</w:t>
      </w:r>
    </w:p>
    <w:p w:rsidR="00891D2A" w:rsidRDefault="00891D2A" w:rsidP="00891D2A">
      <w:pPr>
        <w:pStyle w:val="EndnoteText"/>
        <w:rPr>
          <w:sz w:val="22"/>
          <w:szCs w:val="22"/>
        </w:rPr>
      </w:pPr>
    </w:p>
    <w:p w:rsidR="00891D2A" w:rsidRDefault="00891D2A" w:rsidP="00891D2A">
      <w:pPr>
        <w:pStyle w:val="EndnoteText"/>
        <w:rPr>
          <w:b/>
          <w:sz w:val="22"/>
          <w:szCs w:val="22"/>
        </w:rPr>
      </w:pPr>
      <w:r>
        <w:rPr>
          <w:b/>
          <w:sz w:val="22"/>
          <w:szCs w:val="22"/>
        </w:rPr>
        <w:t>PART 1 – PRACTICE AND PROCEDURE</w:t>
      </w:r>
    </w:p>
    <w:p w:rsidR="00891D2A" w:rsidRDefault="00891D2A" w:rsidP="00891D2A">
      <w:pPr>
        <w:pStyle w:val="EndnoteText"/>
        <w:rPr>
          <w:sz w:val="22"/>
          <w:szCs w:val="22"/>
        </w:rPr>
      </w:pPr>
    </w:p>
    <w:p w:rsidR="00891D2A" w:rsidRDefault="00891D2A" w:rsidP="00891D2A">
      <w:pPr>
        <w:pStyle w:val="EndnoteText"/>
        <w:tabs>
          <w:tab w:val="left" w:pos="720"/>
        </w:tabs>
        <w:rPr>
          <w:sz w:val="22"/>
          <w:szCs w:val="22"/>
        </w:rPr>
      </w:pPr>
      <w:r>
        <w:rPr>
          <w:sz w:val="22"/>
          <w:szCs w:val="22"/>
        </w:rPr>
        <w:t>1.</w:t>
      </w:r>
      <w:r>
        <w:rPr>
          <w:sz w:val="22"/>
          <w:szCs w:val="22"/>
        </w:rPr>
        <w:tab/>
        <w:t xml:space="preserve">The authority citation for part 1 continues to read as follows:                                                       </w:t>
      </w:r>
    </w:p>
    <w:p w:rsidR="00891D2A" w:rsidRDefault="00891D2A" w:rsidP="00891D2A">
      <w:pPr>
        <w:pStyle w:val="EndnoteText"/>
        <w:rPr>
          <w:sz w:val="22"/>
          <w:szCs w:val="22"/>
        </w:rPr>
      </w:pPr>
      <w:r>
        <w:rPr>
          <w:sz w:val="22"/>
          <w:szCs w:val="22"/>
        </w:rPr>
        <w:tab/>
        <w:t xml:space="preserve">Authority:  15 U.S.C. 79 </w:t>
      </w:r>
      <w:r>
        <w:rPr>
          <w:i/>
          <w:sz w:val="22"/>
          <w:szCs w:val="22"/>
        </w:rPr>
        <w:t>et seq.</w:t>
      </w:r>
      <w:r>
        <w:rPr>
          <w:sz w:val="22"/>
          <w:szCs w:val="22"/>
        </w:rPr>
        <w:t>; 47 U.S.C. 151, 154(i), 154(j), 155, 157, 225, 303(r), 309.</w:t>
      </w:r>
    </w:p>
    <w:p w:rsidR="00891D2A" w:rsidRDefault="00891D2A" w:rsidP="00891D2A">
      <w:pPr>
        <w:pStyle w:val="EndnoteText"/>
        <w:rPr>
          <w:sz w:val="22"/>
          <w:szCs w:val="22"/>
        </w:rPr>
      </w:pPr>
    </w:p>
    <w:p w:rsidR="00891D2A" w:rsidRDefault="00891D2A" w:rsidP="00891D2A">
      <w:pPr>
        <w:pStyle w:val="EndnoteText"/>
        <w:tabs>
          <w:tab w:val="left" w:pos="720"/>
        </w:tabs>
        <w:rPr>
          <w:sz w:val="22"/>
          <w:szCs w:val="22"/>
        </w:rPr>
      </w:pPr>
      <w:r>
        <w:rPr>
          <w:sz w:val="22"/>
          <w:szCs w:val="22"/>
        </w:rPr>
        <w:t xml:space="preserve">2.   </w:t>
      </w:r>
      <w:r>
        <w:rPr>
          <w:sz w:val="22"/>
          <w:szCs w:val="22"/>
        </w:rPr>
        <w:tab/>
        <w:t>Section 1.1152 is revised to read as follows:</w:t>
      </w:r>
    </w:p>
    <w:p w:rsidR="00891D2A" w:rsidRDefault="00891D2A" w:rsidP="00891D2A">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891D2A" w:rsidRDefault="00891D2A" w:rsidP="00891D2A">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1.1152  Schedule of annual regulatory fees for wireless radio services.</w:t>
      </w:r>
    </w:p>
    <w:p w:rsidR="00891D2A" w:rsidRDefault="00891D2A" w:rsidP="00891D2A">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891D2A" w:rsidRDefault="00891D2A" w:rsidP="00891D2A">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Pr>
          <w:b/>
          <w:spacing w:val="-3"/>
          <w:szCs w:val="22"/>
        </w:rPr>
        <w:t>Exclusive use services (per license)</w:t>
      </w:r>
      <w:r>
        <w:rPr>
          <w:b/>
          <w:spacing w:val="-3"/>
          <w:szCs w:val="22"/>
        </w:rPr>
        <w:tab/>
      </w:r>
      <w:r>
        <w:rPr>
          <w:b/>
          <w:spacing w:val="-3"/>
          <w:szCs w:val="22"/>
        </w:rPr>
        <w:tab/>
      </w:r>
      <w:r>
        <w:rPr>
          <w:b/>
          <w:spacing w:val="-3"/>
          <w:szCs w:val="22"/>
        </w:rPr>
        <w:tab/>
        <w:t>Fee Amount</w:t>
      </w:r>
      <w:r>
        <w:rPr>
          <w:spacing w:val="-3"/>
          <w:szCs w:val="22"/>
        </w:rPr>
        <w:t xml:space="preserve"> </w:t>
      </w:r>
      <w:r>
        <w:rPr>
          <w:rStyle w:val="FootnoteReference"/>
          <w:spacing w:val="-2"/>
          <w:szCs w:val="22"/>
        </w:rPr>
        <w:footnoteReference w:id="281"/>
      </w:r>
      <w:r>
        <w:rPr>
          <w:b/>
          <w:spacing w:val="-3"/>
          <w:szCs w:val="22"/>
        </w:rPr>
        <w:tab/>
      </w:r>
      <w:r>
        <w:rPr>
          <w:b/>
          <w:spacing w:val="-3"/>
          <w:szCs w:val="22"/>
        </w:rPr>
        <w:tab/>
      </w:r>
      <w:r>
        <w:rPr>
          <w:spacing w:val="-3"/>
          <w:szCs w:val="22"/>
        </w:rPr>
        <w:t xml:space="preserve">  </w:t>
      </w:r>
    </w:p>
    <w:p w:rsidR="00891D2A" w:rsidRDefault="00891D2A" w:rsidP="00891D2A">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891D2A" w:rsidRDefault="00891D2A" w:rsidP="00891D2A">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371" w:name="_Toc394672349"/>
      <w:r>
        <w:rPr>
          <w:b/>
          <w:spacing w:val="-3"/>
          <w:szCs w:val="22"/>
        </w:rPr>
        <w:t>1.</w:t>
      </w:r>
      <w:r>
        <w:rPr>
          <w:b/>
          <w:spacing w:val="-3"/>
          <w:szCs w:val="22"/>
        </w:rPr>
        <w:tab/>
        <w:t>Land Mobile (Above 470</w:t>
      </w:r>
      <w:bookmarkEnd w:id="371"/>
    </w:p>
    <w:p w:rsidR="00891D2A" w:rsidRDefault="00891D2A" w:rsidP="00891D2A">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r>
      <w:bookmarkStart w:id="372" w:name="_Toc394672350"/>
      <w:r>
        <w:rPr>
          <w:b/>
          <w:spacing w:val="-3"/>
          <w:szCs w:val="22"/>
        </w:rPr>
        <w:t>MHz and 220 MHz Local,</w:t>
      </w:r>
      <w:bookmarkEnd w:id="372"/>
    </w:p>
    <w:p w:rsidR="00891D2A" w:rsidRDefault="00891D2A" w:rsidP="00891D2A">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r>
      <w:bookmarkStart w:id="373" w:name="_Toc394672351"/>
      <w:r>
        <w:rPr>
          <w:b/>
          <w:spacing w:val="-3"/>
          <w:szCs w:val="22"/>
        </w:rPr>
        <w:t>Base Station &amp; SMRS)</w:t>
      </w:r>
      <w:bookmarkEnd w:id="373"/>
    </w:p>
    <w:p w:rsidR="00891D2A" w:rsidRDefault="00891D2A" w:rsidP="00891D2A">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Pr>
          <w:b/>
          <w:spacing w:val="-3"/>
          <w:szCs w:val="22"/>
        </w:rPr>
        <w:tab/>
        <w:t>(47 CFR part 90)</w:t>
      </w:r>
    </w:p>
    <w:p w:rsidR="00891D2A" w:rsidRDefault="00891D2A" w:rsidP="00891D2A">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a)New, Renew/Mod</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 New, Renew/Mod</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d)Renewal Only</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w:t>
      </w:r>
      <w:r>
        <w:rPr>
          <w:b/>
          <w:spacing w:val="-3"/>
          <w:szCs w:val="22"/>
        </w:rPr>
        <w:t>220 MHz Nationwide</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a)New, Renew/Mod</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b)New, Renew/Mod</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c)Renewal Only</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$30.00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spacing w:val="-3"/>
          <w:szCs w:val="22"/>
        </w:rPr>
      </w:pPr>
      <w:bookmarkStart w:id="374" w:name="_Toc394672352"/>
      <w:r>
        <w:rPr>
          <w:b/>
          <w:spacing w:val="-3"/>
          <w:szCs w:val="22"/>
        </w:rPr>
        <w:t>2.</w:t>
      </w:r>
      <w:r>
        <w:rPr>
          <w:b/>
          <w:spacing w:val="-3"/>
          <w:szCs w:val="22"/>
        </w:rPr>
        <w:tab/>
        <w:t>Microwave (47 CFR Pt. 101) (Private)</w:t>
      </w:r>
      <w:bookmarkEnd w:id="374"/>
    </w:p>
    <w:p w:rsidR="00891D2A" w:rsidRDefault="00891D2A" w:rsidP="00891D2A">
      <w:pPr>
        <w:tabs>
          <w:tab w:val="left" w:pos="540"/>
          <w:tab w:val="left" w:pos="4860"/>
          <w:tab w:val="left" w:pos="6840"/>
        </w:tabs>
        <w:suppressAutoHyphens/>
        <w:jc w:val="both"/>
        <w:rPr>
          <w:spacing w:val="-3"/>
          <w:szCs w:val="22"/>
        </w:rPr>
      </w:pPr>
      <w:r>
        <w:rPr>
          <w:spacing w:val="-3"/>
          <w:szCs w:val="22"/>
        </w:rPr>
        <w:t xml:space="preserve">         </w:t>
      </w:r>
      <w:r>
        <w:rPr>
          <w:spacing w:val="-3"/>
          <w:szCs w:val="22"/>
        </w:rPr>
        <w:tab/>
        <w:t>a)New, Renew/Mod</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b)New, Renew/Mod</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p>
    <w:p w:rsidR="00891D2A" w:rsidRDefault="00891D2A" w:rsidP="00891D2A">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widowControl/>
        <w:rPr>
          <w:spacing w:val="-3"/>
          <w:szCs w:val="22"/>
        </w:rPr>
      </w:pPr>
    </w:p>
    <w:p w:rsidR="00891D2A" w:rsidRDefault="00891D2A" w:rsidP="00891D2A">
      <w:pPr>
        <w:tabs>
          <w:tab w:val="left" w:pos="540"/>
          <w:tab w:val="left" w:pos="4860"/>
          <w:tab w:val="left" w:pos="6840"/>
        </w:tabs>
        <w:suppressAutoHyphens/>
        <w:jc w:val="both"/>
        <w:outlineLvl w:val="0"/>
        <w:rPr>
          <w:spacing w:val="-3"/>
          <w:szCs w:val="22"/>
        </w:rPr>
      </w:pPr>
      <w:bookmarkStart w:id="375" w:name="_Toc394672354"/>
      <w:r>
        <w:rPr>
          <w:b/>
          <w:spacing w:val="-3"/>
          <w:szCs w:val="22"/>
        </w:rPr>
        <w:t>3.  Shared Use Services</w:t>
      </w:r>
      <w:bookmarkEnd w:id="375"/>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outlineLvl w:val="0"/>
        <w:rPr>
          <w:b/>
          <w:spacing w:val="-3"/>
          <w:szCs w:val="22"/>
        </w:rPr>
      </w:pPr>
      <w:r>
        <w:rPr>
          <w:spacing w:val="-3"/>
          <w:szCs w:val="22"/>
        </w:rPr>
        <w:t xml:space="preserve">          </w:t>
      </w:r>
      <w:bookmarkStart w:id="376" w:name="_Toc394672355"/>
      <w:r>
        <w:rPr>
          <w:b/>
          <w:spacing w:val="-3"/>
          <w:szCs w:val="22"/>
        </w:rPr>
        <w:t>Land Mobile (Frequencies</w:t>
      </w:r>
      <w:bookmarkEnd w:id="376"/>
    </w:p>
    <w:p w:rsidR="00891D2A" w:rsidRDefault="00891D2A" w:rsidP="00891D2A">
      <w:pPr>
        <w:tabs>
          <w:tab w:val="left" w:pos="540"/>
          <w:tab w:val="left" w:pos="4860"/>
          <w:tab w:val="left" w:pos="6840"/>
        </w:tabs>
        <w:suppressAutoHyphens/>
        <w:jc w:val="both"/>
        <w:outlineLvl w:val="0"/>
        <w:rPr>
          <w:b/>
          <w:spacing w:val="-3"/>
          <w:szCs w:val="22"/>
        </w:rPr>
      </w:pPr>
      <w:r>
        <w:rPr>
          <w:spacing w:val="-3"/>
          <w:szCs w:val="22"/>
        </w:rPr>
        <w:t xml:space="preserve">          </w:t>
      </w:r>
      <w:bookmarkStart w:id="377" w:name="_Toc394672356"/>
      <w:r>
        <w:rPr>
          <w:b/>
          <w:spacing w:val="-3"/>
          <w:szCs w:val="22"/>
        </w:rPr>
        <w:t>Below 470 MHz – except</w:t>
      </w:r>
      <w:bookmarkEnd w:id="377"/>
    </w:p>
    <w:p w:rsidR="00891D2A" w:rsidRDefault="00891D2A" w:rsidP="00891D2A">
      <w:pPr>
        <w:tabs>
          <w:tab w:val="left" w:pos="540"/>
          <w:tab w:val="left" w:pos="4860"/>
          <w:tab w:val="left" w:pos="6840"/>
        </w:tabs>
        <w:suppressAutoHyphens/>
        <w:jc w:val="both"/>
        <w:outlineLvl w:val="0"/>
        <w:rPr>
          <w:b/>
          <w:spacing w:val="-3"/>
          <w:szCs w:val="22"/>
        </w:rPr>
      </w:pPr>
      <w:r>
        <w:rPr>
          <w:b/>
          <w:spacing w:val="-3"/>
          <w:szCs w:val="22"/>
        </w:rPr>
        <w:t xml:space="preserve">           </w:t>
      </w:r>
      <w:bookmarkStart w:id="378" w:name="_Toc394672357"/>
      <w:r>
        <w:rPr>
          <w:b/>
          <w:spacing w:val="-3"/>
          <w:szCs w:val="22"/>
        </w:rPr>
        <w:t>220 MHz)</w:t>
      </w:r>
      <w:bookmarkEnd w:id="378"/>
    </w:p>
    <w:p w:rsidR="00891D2A" w:rsidRDefault="00891D2A" w:rsidP="00891D2A">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b) New, Renew/Mod</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spacing w:val="-3"/>
          <w:szCs w:val="22"/>
        </w:rPr>
      </w:pPr>
      <w:r>
        <w:rPr>
          <w:spacing w:val="-3"/>
          <w:szCs w:val="22"/>
        </w:rPr>
        <w:tab/>
      </w: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spacing w:val="-3"/>
          <w:szCs w:val="22"/>
        </w:rPr>
      </w:pPr>
      <w:r>
        <w:rPr>
          <w:spacing w:val="-3"/>
          <w:szCs w:val="22"/>
        </w:rPr>
        <w:tab/>
      </w:r>
      <w:bookmarkStart w:id="379" w:name="_Toc394672359"/>
      <w:r>
        <w:rPr>
          <w:b/>
          <w:spacing w:val="-3"/>
          <w:szCs w:val="22"/>
        </w:rPr>
        <w:t>Rural Radio (Part 22)</w:t>
      </w:r>
      <w:bookmarkEnd w:id="379"/>
    </w:p>
    <w:p w:rsidR="00891D2A" w:rsidRDefault="00891D2A" w:rsidP="00891D2A">
      <w:pPr>
        <w:tabs>
          <w:tab w:val="left" w:pos="540"/>
          <w:tab w:val="left" w:pos="4860"/>
          <w:tab w:val="left" w:pos="6840"/>
        </w:tabs>
        <w:suppressAutoHyphens/>
        <w:jc w:val="both"/>
        <w:rPr>
          <w:spacing w:val="-3"/>
          <w:szCs w:val="22"/>
        </w:rPr>
      </w:pPr>
      <w:r>
        <w:rPr>
          <w:spacing w:val="-3"/>
          <w:szCs w:val="22"/>
        </w:rPr>
        <w:tab/>
        <w:t>a)New, Additional Facility,</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Major Renew/Mod</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b)Renewal, Minor Renew/Mod</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b/>
          <w:spacing w:val="-3"/>
          <w:szCs w:val="22"/>
        </w:rPr>
      </w:pPr>
      <w:bookmarkStart w:id="380" w:name="_Toc394672360"/>
      <w:r>
        <w:rPr>
          <w:b/>
          <w:spacing w:val="-3"/>
          <w:szCs w:val="22"/>
        </w:rPr>
        <w:tab/>
        <w:t>Marine Coast</w:t>
      </w:r>
    </w:p>
    <w:bookmarkEnd w:id="380"/>
    <w:p w:rsidR="00891D2A" w:rsidRDefault="00891D2A" w:rsidP="00891D2A">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$35.00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$35.00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p>
    <w:p w:rsidR="00891D2A" w:rsidRDefault="00891D2A" w:rsidP="00891D2A">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$35.00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d)Renewal Only</w:t>
      </w:r>
      <w:r>
        <w:rPr>
          <w:spacing w:val="-3"/>
          <w:szCs w:val="22"/>
        </w:rPr>
        <w:tab/>
        <w:t>$35.00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b/>
          <w:spacing w:val="-3"/>
          <w:szCs w:val="22"/>
        </w:rPr>
      </w:pPr>
      <w:r>
        <w:rPr>
          <w:b/>
          <w:spacing w:val="-3"/>
          <w:szCs w:val="22"/>
        </w:rPr>
        <w:tab/>
      </w:r>
      <w:bookmarkStart w:id="381" w:name="_Toc394672361"/>
      <w:r>
        <w:rPr>
          <w:b/>
          <w:spacing w:val="-3"/>
          <w:szCs w:val="22"/>
        </w:rPr>
        <w:t>Aviation Ground</w:t>
      </w:r>
      <w:bookmarkEnd w:id="381"/>
    </w:p>
    <w:p w:rsidR="00891D2A" w:rsidRDefault="00891D2A" w:rsidP="00891D2A">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c)Renewal Only</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d)Renewal Only</w:t>
      </w:r>
      <w:r>
        <w:rPr>
          <w:spacing w:val="-3"/>
          <w:szCs w:val="22"/>
        </w:rPr>
        <w:tab/>
        <w:t>$20.00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Only)</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spacing w:val="-3"/>
          <w:szCs w:val="22"/>
        </w:rPr>
      </w:pPr>
      <w:r>
        <w:rPr>
          <w:b/>
          <w:spacing w:val="-3"/>
          <w:szCs w:val="22"/>
        </w:rPr>
        <w:tab/>
      </w:r>
      <w:bookmarkStart w:id="382" w:name="_Toc394672362"/>
      <w:r>
        <w:rPr>
          <w:b/>
          <w:spacing w:val="-3"/>
          <w:szCs w:val="22"/>
        </w:rPr>
        <w:t>Marine Ship</w:t>
      </w:r>
      <w:bookmarkEnd w:id="382"/>
    </w:p>
    <w:p w:rsidR="00891D2A" w:rsidRDefault="00891D2A" w:rsidP="00891D2A">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$15.00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$15.00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c)Renewal Only</w:t>
      </w:r>
      <w:r>
        <w:rPr>
          <w:spacing w:val="-3"/>
          <w:szCs w:val="22"/>
        </w:rPr>
        <w:tab/>
        <w:t>$15.00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d)Renewal Only</w:t>
      </w:r>
      <w:r>
        <w:rPr>
          <w:spacing w:val="-3"/>
          <w:szCs w:val="22"/>
        </w:rPr>
        <w:tab/>
        <w:t>$15.00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p>
    <w:p w:rsidR="00891D2A" w:rsidRDefault="00891D2A" w:rsidP="00891D2A">
      <w:pPr>
        <w:tabs>
          <w:tab w:val="left" w:pos="540"/>
          <w:tab w:val="left" w:pos="4860"/>
          <w:tab w:val="left" w:pos="6840"/>
        </w:tabs>
        <w:suppressAutoHyphens/>
        <w:jc w:val="both"/>
        <w:outlineLvl w:val="0"/>
        <w:rPr>
          <w:spacing w:val="-3"/>
          <w:szCs w:val="22"/>
        </w:rPr>
      </w:pPr>
      <w:r>
        <w:rPr>
          <w:spacing w:val="-3"/>
          <w:szCs w:val="22"/>
        </w:rPr>
        <w:tab/>
      </w:r>
    </w:p>
    <w:p w:rsidR="00891D2A" w:rsidRDefault="00891D2A" w:rsidP="00891D2A">
      <w:pPr>
        <w:widowControl/>
        <w:rPr>
          <w:spacing w:val="-3"/>
          <w:szCs w:val="22"/>
        </w:rPr>
      </w:pPr>
    </w:p>
    <w:p w:rsidR="00891D2A" w:rsidRDefault="00891D2A" w:rsidP="00891D2A">
      <w:pPr>
        <w:tabs>
          <w:tab w:val="left" w:pos="540"/>
          <w:tab w:val="left" w:pos="4860"/>
          <w:tab w:val="left" w:pos="6840"/>
        </w:tabs>
        <w:suppressAutoHyphens/>
        <w:jc w:val="both"/>
        <w:outlineLvl w:val="0"/>
        <w:rPr>
          <w:spacing w:val="-3"/>
          <w:szCs w:val="22"/>
        </w:rPr>
      </w:pPr>
      <w:bookmarkStart w:id="383" w:name="_Toc394672363"/>
      <w:r>
        <w:rPr>
          <w:b/>
          <w:spacing w:val="-3"/>
          <w:szCs w:val="22"/>
        </w:rPr>
        <w:tab/>
        <w:t>Aviation Aircraft</w:t>
      </w:r>
      <w:bookmarkEnd w:id="383"/>
    </w:p>
    <w:p w:rsidR="00891D2A" w:rsidRDefault="00891D2A" w:rsidP="00891D2A">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b)New, Renew/Mod</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b/>
          <w:spacing w:val="-3"/>
          <w:szCs w:val="22"/>
        </w:rPr>
        <w:t>4.  CMRS Cellular/Mobile Services</w:t>
      </w:r>
      <w:r>
        <w:rPr>
          <w:spacing w:val="-3"/>
          <w:szCs w:val="22"/>
        </w:rPr>
        <w:tab/>
        <w:t>$ .17</w:t>
      </w:r>
      <w:r>
        <w:rPr>
          <w:rStyle w:val="FootnoteReference"/>
          <w:spacing w:val="-3"/>
          <w:szCs w:val="22"/>
        </w:rPr>
        <w:footnoteReference w:id="282"/>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b/>
          <w:spacing w:val="-3"/>
          <w:szCs w:val="22"/>
        </w:rPr>
        <w:t>5.  CMRS Messaging Services</w:t>
      </w:r>
      <w:r>
        <w:rPr>
          <w:spacing w:val="-3"/>
          <w:szCs w:val="22"/>
        </w:rPr>
        <w:tab/>
        <w:t>$ .08</w:t>
      </w:r>
      <w:r>
        <w:rPr>
          <w:rStyle w:val="FootnoteReference"/>
          <w:spacing w:val="-3"/>
          <w:szCs w:val="22"/>
        </w:rPr>
        <w:footnoteReference w:id="283"/>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6. Broadband Radio Service</w:t>
      </w:r>
      <w:r>
        <w:rPr>
          <w:spacing w:val="-3"/>
          <w:szCs w:val="22"/>
        </w:rPr>
        <w:tab/>
        <w:t xml:space="preserve">     $  635</w:t>
      </w:r>
      <w:r>
        <w:rPr>
          <w:spacing w:val="-3"/>
          <w:szCs w:val="22"/>
        </w:rPr>
        <w:tab/>
        <w:t xml:space="preserve">       </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 xml:space="preserve">    (formerly MMDS and  MDS)</w:t>
      </w:r>
      <w:r>
        <w:rPr>
          <w:spacing w:val="-3"/>
          <w:szCs w:val="22"/>
        </w:rPr>
        <w:tab/>
      </w:r>
      <w:r>
        <w:rPr>
          <w:spacing w:val="-3"/>
          <w:szCs w:val="22"/>
        </w:rPr>
        <w:tab/>
        <w:t xml:space="preserve">       </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w:t>
      </w:r>
    </w:p>
    <w:p w:rsidR="00891D2A" w:rsidRDefault="00891D2A" w:rsidP="00891D2A">
      <w:pPr>
        <w:widowControl/>
        <w:rPr>
          <w:b/>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7. Local Multipoint Distribution Service</w:t>
      </w:r>
      <w:r>
        <w:rPr>
          <w:spacing w:val="-3"/>
          <w:szCs w:val="22"/>
        </w:rPr>
        <w:tab/>
        <w:t xml:space="preserve">     $  635</w:t>
      </w:r>
      <w:r>
        <w:rPr>
          <w:spacing w:val="-3"/>
          <w:szCs w:val="22"/>
        </w:rPr>
        <w:tab/>
        <w:t xml:space="preserve">       </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 xml:space="preserve">    </w:t>
      </w:r>
      <w:r>
        <w:rPr>
          <w:spacing w:val="-3"/>
          <w:szCs w:val="22"/>
        </w:rPr>
        <w:tab/>
      </w:r>
      <w:r>
        <w:rPr>
          <w:spacing w:val="-3"/>
          <w:szCs w:val="22"/>
        </w:rPr>
        <w:tab/>
      </w:r>
      <w:r>
        <w:rPr>
          <w:spacing w:val="-3"/>
          <w:szCs w:val="22"/>
        </w:rPr>
        <w:tab/>
        <w:t xml:space="preserve">       </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w:t>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720"/>
          <w:tab w:val="left" w:pos="4860"/>
          <w:tab w:val="left" w:pos="6840"/>
        </w:tabs>
        <w:suppressAutoHyphens/>
        <w:jc w:val="both"/>
        <w:rPr>
          <w:spacing w:val="-3"/>
          <w:szCs w:val="22"/>
        </w:rPr>
      </w:pPr>
      <w:r>
        <w:rPr>
          <w:spacing w:val="-3"/>
          <w:szCs w:val="22"/>
        </w:rPr>
        <w:t>3.   Section 1.1153 is revised to read as follows:</w:t>
      </w:r>
    </w:p>
    <w:p w:rsidR="00891D2A" w:rsidRDefault="00891D2A" w:rsidP="00891D2A">
      <w:pPr>
        <w:tabs>
          <w:tab w:val="left" w:pos="540"/>
          <w:tab w:val="left" w:pos="4860"/>
          <w:tab w:val="left" w:pos="6840"/>
        </w:tabs>
        <w:suppressAutoHyphens/>
        <w:rPr>
          <w:b/>
          <w:szCs w:val="22"/>
        </w:rPr>
      </w:pPr>
    </w:p>
    <w:p w:rsidR="00891D2A" w:rsidRDefault="00891D2A" w:rsidP="00891D2A">
      <w:pPr>
        <w:tabs>
          <w:tab w:val="left" w:pos="540"/>
          <w:tab w:val="left" w:pos="4860"/>
          <w:tab w:val="left" w:pos="6840"/>
        </w:tabs>
        <w:suppressAutoHyphens/>
        <w:rPr>
          <w:szCs w:val="22"/>
        </w:rPr>
      </w:pPr>
      <w:r>
        <w:rPr>
          <w:szCs w:val="22"/>
        </w:rPr>
        <w:t xml:space="preserve">§ 1.1153  Schedule of annual regulatory fees and filing locations for mass media services. </w:t>
      </w: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p>
    <w:p w:rsidR="00891D2A" w:rsidRDefault="00891D2A" w:rsidP="00891D2A">
      <w:pPr>
        <w:tabs>
          <w:tab w:val="left" w:pos="540"/>
          <w:tab w:val="left" w:pos="4860"/>
          <w:tab w:val="left" w:pos="6840"/>
        </w:tabs>
        <w:suppressAutoHyphens/>
        <w:jc w:val="both"/>
        <w:rPr>
          <w:spacing w:val="-3"/>
          <w:szCs w:val="22"/>
        </w:rPr>
      </w:pPr>
      <w:r>
        <w:rPr>
          <w:b/>
          <w:spacing w:val="-3"/>
          <w:szCs w:val="22"/>
        </w:rPr>
        <w:t>Radio [AM and FM] (47 CFR part 73)</w:t>
      </w:r>
      <w:r>
        <w:rPr>
          <w:b/>
          <w:spacing w:val="-3"/>
          <w:szCs w:val="22"/>
        </w:rPr>
        <w:tab/>
        <w:t>Fee Amount</w:t>
      </w:r>
      <w:r>
        <w:rPr>
          <w:b/>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outlineLvl w:val="0"/>
        <w:rPr>
          <w:spacing w:val="-3"/>
          <w:szCs w:val="22"/>
        </w:rPr>
      </w:pPr>
      <w:bookmarkStart w:id="384" w:name="_Toc394672364"/>
      <w:r>
        <w:rPr>
          <w:spacing w:val="-3"/>
          <w:szCs w:val="22"/>
        </w:rPr>
        <w:t>1.</w:t>
      </w:r>
      <w:r>
        <w:rPr>
          <w:spacing w:val="-3"/>
          <w:szCs w:val="22"/>
        </w:rPr>
        <w:tab/>
      </w:r>
      <w:r>
        <w:rPr>
          <w:spacing w:val="-3"/>
          <w:szCs w:val="22"/>
          <w:u w:val="single"/>
        </w:rPr>
        <w:t>AM Class A</w:t>
      </w:r>
      <w:bookmarkEnd w:id="384"/>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&lt;=25,000 population</w:t>
      </w:r>
      <w:r>
        <w:rPr>
          <w:spacing w:val="-3"/>
          <w:szCs w:val="22"/>
        </w:rPr>
        <w:tab/>
        <w:t xml:space="preserve">   $775</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25,001-75,000 population</w:t>
      </w:r>
      <w:r>
        <w:rPr>
          <w:spacing w:val="-3"/>
          <w:szCs w:val="22"/>
          <w:lang w:val="fr-FR"/>
        </w:rPr>
        <w:tab/>
        <w:t>$1,550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$2,325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$3,475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$5,025</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$7,750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$9,300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2.</w:t>
      </w:r>
      <w:r>
        <w:rPr>
          <w:spacing w:val="-3"/>
          <w:szCs w:val="22"/>
          <w:lang w:val="fr-FR"/>
        </w:rPr>
        <w:tab/>
      </w:r>
      <w:r>
        <w:rPr>
          <w:spacing w:val="-3"/>
          <w:szCs w:val="22"/>
          <w:u w:val="single"/>
          <w:lang w:val="fr-FR"/>
        </w:rPr>
        <w:t>AM Class B</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$645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$1,300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$1,625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$2,750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$4,225</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$6,500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$7,800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outlineLvl w:val="0"/>
        <w:rPr>
          <w:spacing w:val="-3"/>
          <w:szCs w:val="22"/>
          <w:lang w:val="fr-FR"/>
        </w:rPr>
      </w:pPr>
      <w:bookmarkStart w:id="385" w:name="_Toc394672365"/>
      <w:r>
        <w:rPr>
          <w:spacing w:val="-3"/>
          <w:szCs w:val="22"/>
          <w:lang w:val="fr-FR"/>
        </w:rPr>
        <w:t>3.</w:t>
      </w:r>
      <w:r>
        <w:rPr>
          <w:spacing w:val="-3"/>
          <w:szCs w:val="22"/>
          <w:lang w:val="fr-FR"/>
        </w:rPr>
        <w:tab/>
      </w:r>
      <w:r>
        <w:rPr>
          <w:spacing w:val="-3"/>
          <w:szCs w:val="22"/>
          <w:u w:val="single"/>
          <w:lang w:val="fr-FR"/>
        </w:rPr>
        <w:t>AM Class C</w:t>
      </w:r>
      <w:bookmarkEnd w:id="385"/>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$590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 xml:space="preserve">   $900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$1,200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$1,800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$3,000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$4,500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$5,700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outlineLvl w:val="0"/>
        <w:rPr>
          <w:spacing w:val="-3"/>
          <w:szCs w:val="22"/>
          <w:lang w:val="fr-FR"/>
        </w:rPr>
      </w:pPr>
      <w:bookmarkStart w:id="386" w:name="_Toc394672366"/>
      <w:r>
        <w:rPr>
          <w:spacing w:val="-3"/>
          <w:szCs w:val="22"/>
          <w:lang w:val="fr-FR"/>
        </w:rPr>
        <w:t>4.</w:t>
      </w:r>
      <w:r>
        <w:rPr>
          <w:spacing w:val="-3"/>
          <w:szCs w:val="22"/>
          <w:lang w:val="fr-FR"/>
        </w:rPr>
        <w:tab/>
      </w:r>
      <w:r>
        <w:rPr>
          <w:spacing w:val="-3"/>
          <w:szCs w:val="22"/>
          <w:u w:val="single"/>
          <w:lang w:val="fr-FR"/>
        </w:rPr>
        <w:t>AM Class D</w:t>
      </w:r>
      <w:bookmarkEnd w:id="386"/>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$670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$1,000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$1,675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$2,025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$3,375</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$5,400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$6,750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5.</w:t>
      </w:r>
      <w:r>
        <w:rPr>
          <w:spacing w:val="-3"/>
          <w:szCs w:val="22"/>
          <w:lang w:val="fr-FR"/>
        </w:rPr>
        <w:tab/>
        <w:t>AM Construction Permit</w:t>
      </w:r>
      <w:r>
        <w:rPr>
          <w:spacing w:val="-3"/>
          <w:szCs w:val="22"/>
          <w:lang w:val="fr-FR"/>
        </w:rPr>
        <w:tab/>
        <w:t xml:space="preserve">   $590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outlineLvl w:val="0"/>
        <w:rPr>
          <w:spacing w:val="-3"/>
          <w:szCs w:val="22"/>
          <w:lang w:val="fr-FR"/>
        </w:rPr>
      </w:pPr>
      <w:bookmarkStart w:id="387" w:name="_Toc394672367"/>
      <w:r>
        <w:rPr>
          <w:spacing w:val="-3"/>
          <w:szCs w:val="22"/>
          <w:lang w:val="fr-FR"/>
        </w:rPr>
        <w:t>6.</w:t>
      </w:r>
      <w:r>
        <w:rPr>
          <w:spacing w:val="-3"/>
          <w:szCs w:val="22"/>
          <w:lang w:val="fr-FR"/>
        </w:rPr>
        <w:tab/>
      </w:r>
      <w:r>
        <w:rPr>
          <w:spacing w:val="-3"/>
          <w:szCs w:val="22"/>
          <w:u w:val="single"/>
          <w:lang w:val="fr-FR"/>
        </w:rPr>
        <w:t>FM Classes A, B1 and C3</w:t>
      </w:r>
      <w:bookmarkEnd w:id="387"/>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$750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$1,500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$2,050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$3,175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$5,050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$8,250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$10,500</w:t>
      </w:r>
      <w:r>
        <w:rPr>
          <w:spacing w:val="-3"/>
          <w:szCs w:val="22"/>
          <w:lang w:val="fr-FR"/>
        </w:rPr>
        <w:tab/>
      </w:r>
      <w:r>
        <w:rPr>
          <w:spacing w:val="-3"/>
          <w:szCs w:val="22"/>
          <w:lang w:val="fr-FR"/>
        </w:rPr>
        <w:tab/>
      </w:r>
      <w:r>
        <w:rPr>
          <w:spacing w:val="-3"/>
          <w:szCs w:val="22"/>
          <w:lang w:val="fr-FR"/>
        </w:rPr>
        <w:tab/>
      </w:r>
    </w:p>
    <w:p w:rsidR="00891D2A" w:rsidRDefault="00891D2A" w:rsidP="00891D2A">
      <w:pPr>
        <w:widowControl/>
        <w:rPr>
          <w:spacing w:val="-3"/>
          <w:szCs w:val="22"/>
          <w:lang w:val="fr-FR"/>
        </w:rPr>
      </w:pPr>
    </w:p>
    <w:p w:rsidR="00891D2A" w:rsidRDefault="00891D2A" w:rsidP="00891D2A">
      <w:pPr>
        <w:widowControl/>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outlineLvl w:val="0"/>
        <w:rPr>
          <w:spacing w:val="-3"/>
          <w:szCs w:val="22"/>
        </w:rPr>
      </w:pPr>
      <w:bookmarkStart w:id="388" w:name="_Toc394672368"/>
      <w:r>
        <w:rPr>
          <w:spacing w:val="-3"/>
          <w:szCs w:val="22"/>
        </w:rPr>
        <w:t>7.</w:t>
      </w:r>
      <w:r>
        <w:rPr>
          <w:spacing w:val="-3"/>
          <w:szCs w:val="22"/>
        </w:rPr>
        <w:tab/>
      </w:r>
      <w:r>
        <w:rPr>
          <w:spacing w:val="-3"/>
          <w:szCs w:val="22"/>
          <w:u w:val="single"/>
        </w:rPr>
        <w:t>FM Classes B, C, C0, C1 and C2</w:t>
      </w:r>
      <w:bookmarkEnd w:id="388"/>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&lt;=25,000 population</w:t>
      </w:r>
      <w:r>
        <w:rPr>
          <w:spacing w:val="-3"/>
          <w:szCs w:val="22"/>
          <w:lang w:val="fr-FR"/>
        </w:rPr>
        <w:tab/>
        <w:t xml:space="preserve">   $925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$1,625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$3,000</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$3,925</w:t>
      </w:r>
      <w:r>
        <w:rPr>
          <w:spacing w:val="-3"/>
          <w:szCs w:val="22"/>
          <w:lang w:val="fr-FR"/>
        </w:rPr>
        <w:tab/>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$5,775</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$9,250</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$12,025</w:t>
      </w:r>
    </w:p>
    <w:p w:rsidR="00891D2A" w:rsidRDefault="00891D2A" w:rsidP="00891D2A">
      <w:pPr>
        <w:tabs>
          <w:tab w:val="left" w:pos="-1440"/>
          <w:tab w:val="left" w:pos="-720"/>
          <w:tab w:val="left" w:pos="540"/>
          <w:tab w:val="left" w:pos="4590"/>
          <w:tab w:val="left" w:pos="6480"/>
        </w:tabs>
        <w:suppressAutoHyphens/>
        <w:jc w:val="both"/>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lang w:val="fr-FR"/>
        </w:rPr>
        <w:t>8.</w:t>
      </w:r>
      <w:r>
        <w:rPr>
          <w:spacing w:val="-3"/>
          <w:szCs w:val="22"/>
          <w:lang w:val="fr-FR"/>
        </w:rPr>
        <w:tab/>
        <w:t>FM Construction Permits</w:t>
      </w:r>
      <w:r>
        <w:rPr>
          <w:spacing w:val="-3"/>
          <w:szCs w:val="22"/>
          <w:lang w:val="fr-FR"/>
        </w:rPr>
        <w:tab/>
        <w:t>$750</w:t>
      </w:r>
      <w:r>
        <w:rPr>
          <w:spacing w:val="-3"/>
          <w:szCs w:val="22"/>
          <w:lang w:val="fr-FR"/>
        </w:rPr>
        <w:tab/>
      </w:r>
    </w:p>
    <w:p w:rsidR="00891D2A" w:rsidRDefault="00891D2A" w:rsidP="00891D2A">
      <w:pPr>
        <w:widowControl/>
        <w:rPr>
          <w:spacing w:val="-3"/>
          <w:szCs w:val="22"/>
          <w:lang w:val="fr-FR"/>
        </w:rPr>
      </w:pPr>
    </w:p>
    <w:p w:rsidR="00A108FC" w:rsidRDefault="00A108FC" w:rsidP="00891D2A">
      <w:pPr>
        <w:widowControl/>
        <w:rPr>
          <w:spacing w:val="-3"/>
          <w:szCs w:val="22"/>
          <w:lang w:val="fr-FR"/>
        </w:rPr>
      </w:pPr>
    </w:p>
    <w:p w:rsidR="00891D2A" w:rsidRDefault="00891D2A" w:rsidP="00891D2A">
      <w:pPr>
        <w:tabs>
          <w:tab w:val="left" w:pos="-1440"/>
          <w:tab w:val="left" w:pos="-720"/>
          <w:tab w:val="left" w:pos="540"/>
          <w:tab w:val="left" w:pos="4590"/>
          <w:tab w:val="left" w:pos="6480"/>
        </w:tabs>
        <w:suppressAutoHyphens/>
        <w:jc w:val="both"/>
        <w:outlineLvl w:val="0"/>
        <w:rPr>
          <w:b/>
          <w:spacing w:val="-3"/>
          <w:szCs w:val="22"/>
        </w:rPr>
      </w:pPr>
      <w:bookmarkStart w:id="389" w:name="_Toc394672369"/>
      <w:r>
        <w:rPr>
          <w:b/>
          <w:spacing w:val="-3"/>
          <w:szCs w:val="22"/>
        </w:rPr>
        <w:t>TV (47 CFR, part 73)</w:t>
      </w:r>
      <w:bookmarkEnd w:id="389"/>
    </w:p>
    <w:p w:rsidR="00891D2A" w:rsidRDefault="00891D2A" w:rsidP="00891D2A">
      <w:pPr>
        <w:tabs>
          <w:tab w:val="left" w:pos="-1440"/>
          <w:tab w:val="left" w:pos="-720"/>
          <w:tab w:val="left" w:pos="540"/>
          <w:tab w:val="left" w:pos="4590"/>
          <w:tab w:val="left" w:pos="6480"/>
        </w:tabs>
        <w:suppressAutoHyphens/>
        <w:jc w:val="both"/>
        <w:outlineLvl w:val="0"/>
        <w:rPr>
          <w:spacing w:val="-3"/>
          <w:szCs w:val="22"/>
        </w:rPr>
      </w:pPr>
      <w:bookmarkStart w:id="390" w:name="_Toc394672370"/>
      <w:r>
        <w:rPr>
          <w:b/>
          <w:spacing w:val="-3"/>
          <w:szCs w:val="22"/>
        </w:rPr>
        <w:t>Digital TV (UHF and VHF Commercial Stations)</w:t>
      </w:r>
      <w:bookmarkEnd w:id="390"/>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Markets 1 thru 10</w:t>
      </w:r>
      <w:r>
        <w:rPr>
          <w:spacing w:val="-3"/>
          <w:szCs w:val="22"/>
        </w:rPr>
        <w:tab/>
        <w:t>$46,825</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Markets 11 thru 25</w:t>
      </w:r>
      <w:r>
        <w:rPr>
          <w:spacing w:val="-3"/>
          <w:szCs w:val="22"/>
        </w:rPr>
        <w:tab/>
        <w:t>$43,200</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t>Markets 26 thru 50</w:t>
      </w:r>
      <w:r>
        <w:rPr>
          <w:spacing w:val="-3"/>
          <w:szCs w:val="22"/>
        </w:rPr>
        <w:tab/>
        <w:t>$27,625</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4.</w:t>
      </w:r>
      <w:r>
        <w:rPr>
          <w:spacing w:val="-3"/>
          <w:szCs w:val="22"/>
        </w:rPr>
        <w:tab/>
        <w:t>Markets 51 thru 100</w:t>
      </w:r>
      <w:r>
        <w:rPr>
          <w:spacing w:val="-3"/>
          <w:szCs w:val="22"/>
        </w:rPr>
        <w:tab/>
        <w:t xml:space="preserve">$16,275   </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5.</w:t>
      </w:r>
      <w:r>
        <w:rPr>
          <w:spacing w:val="-3"/>
          <w:szCs w:val="22"/>
        </w:rPr>
        <w:tab/>
        <w:t>Remaining Markets</w:t>
      </w:r>
      <w:r>
        <w:rPr>
          <w:spacing w:val="-3"/>
          <w:szCs w:val="22"/>
        </w:rPr>
        <w:tab/>
        <w:t>$  4,850</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6.</w:t>
      </w:r>
      <w:r>
        <w:rPr>
          <w:spacing w:val="-3"/>
          <w:szCs w:val="22"/>
        </w:rPr>
        <w:tab/>
        <w:t>Construction Permits</w:t>
      </w:r>
      <w:r>
        <w:rPr>
          <w:spacing w:val="-3"/>
          <w:szCs w:val="22"/>
        </w:rPr>
        <w:tab/>
        <w:t>$  4,850</w:t>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outlineLvl w:val="0"/>
        <w:rPr>
          <w:spacing w:val="-3"/>
          <w:szCs w:val="22"/>
        </w:rPr>
      </w:pPr>
      <w:bookmarkStart w:id="391" w:name="_Toc394672371"/>
      <w:r>
        <w:rPr>
          <w:b/>
          <w:spacing w:val="-3"/>
          <w:szCs w:val="22"/>
        </w:rPr>
        <w:t>Satellite UHF/VHF Commercial</w:t>
      </w:r>
      <w:bookmarkEnd w:id="391"/>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All Markets</w:t>
      </w:r>
      <w:r>
        <w:rPr>
          <w:spacing w:val="-3"/>
          <w:szCs w:val="22"/>
        </w:rPr>
        <w:tab/>
        <w:t>$1,575</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Low Power TV,  Class A TV, TV/FM</w:t>
      </w:r>
      <w:r>
        <w:rPr>
          <w:spacing w:val="-3"/>
          <w:szCs w:val="22"/>
        </w:rPr>
        <w:tab/>
        <w:t>$  440</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Translator, &amp; TV/FM Booster</w:t>
      </w:r>
      <w:r>
        <w:rPr>
          <w:spacing w:val="-3"/>
          <w:szCs w:val="22"/>
        </w:rPr>
        <w:t xml:space="preserve"> </w:t>
      </w:r>
      <w:r>
        <w:rPr>
          <w:spacing w:val="-3"/>
          <w:szCs w:val="22"/>
        </w:rPr>
        <w:tab/>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(47 CFR part 74)</w:t>
      </w:r>
      <w:r>
        <w:rPr>
          <w:spacing w:val="-3"/>
          <w:szCs w:val="22"/>
        </w:rPr>
        <w:tab/>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 xml:space="preserve">   </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4</w:t>
      </w:r>
      <w:r>
        <w:rPr>
          <w:szCs w:val="22"/>
        </w:rPr>
        <w:t>.   Section 1.1154 is revised to read as follows:</w:t>
      </w:r>
    </w:p>
    <w:p w:rsidR="00891D2A" w:rsidRDefault="00891D2A" w:rsidP="00891D2A">
      <w:pPr>
        <w:pStyle w:val="BodyText"/>
        <w:rPr>
          <w:sz w:val="22"/>
          <w:szCs w:val="22"/>
        </w:rPr>
      </w:pPr>
    </w:p>
    <w:p w:rsidR="00891D2A" w:rsidRDefault="00891D2A" w:rsidP="00891D2A">
      <w:pPr>
        <w:pStyle w:val="BodyText"/>
        <w:rPr>
          <w:sz w:val="22"/>
          <w:szCs w:val="22"/>
        </w:rPr>
      </w:pPr>
      <w:r>
        <w:rPr>
          <w:sz w:val="22"/>
          <w:szCs w:val="22"/>
        </w:rPr>
        <w:t>§ 1.1154  Schedule of annual regulatory charges for common carrier services.</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Ra</w:t>
      </w:r>
      <w:r w:rsidR="008E40D0">
        <w:rPr>
          <w:b/>
          <w:spacing w:val="-3"/>
          <w:szCs w:val="22"/>
        </w:rPr>
        <w:t>dio Facilities</w:t>
      </w:r>
      <w:r w:rsidR="008E40D0">
        <w:rPr>
          <w:b/>
          <w:spacing w:val="-3"/>
          <w:szCs w:val="22"/>
        </w:rPr>
        <w:tab/>
        <w:t>Fee Amount</w:t>
      </w:r>
      <w:r w:rsidR="008E40D0">
        <w:rPr>
          <w:b/>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Microwave (D</w:t>
      </w:r>
      <w:r w:rsidR="008E40D0">
        <w:rPr>
          <w:spacing w:val="-3"/>
          <w:szCs w:val="22"/>
        </w:rPr>
        <w:t>omestic Public Fixed)</w:t>
      </w:r>
      <w:r w:rsidR="008E40D0">
        <w:rPr>
          <w:spacing w:val="-3"/>
          <w:szCs w:val="22"/>
        </w:rPr>
        <w:tab/>
        <w:t>$20.00</w:t>
      </w:r>
      <w:r w:rsidR="008E40D0">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(Electronic</w:t>
      </w:r>
      <w:r w:rsidR="008E40D0">
        <w:rPr>
          <w:spacing w:val="-3"/>
          <w:szCs w:val="22"/>
        </w:rPr>
        <w:t xml:space="preserve"> Filing)</w:t>
      </w:r>
      <w:r w:rsidR="008E40D0">
        <w:rPr>
          <w:spacing w:val="-3"/>
          <w:szCs w:val="22"/>
        </w:rPr>
        <w:tab/>
      </w:r>
      <w:r w:rsidR="008E40D0">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 xml:space="preserve">(FCC Form 601 </w:t>
      </w:r>
      <w:r w:rsidR="008E40D0">
        <w:rPr>
          <w:spacing w:val="-3"/>
          <w:szCs w:val="22"/>
        </w:rPr>
        <w:t>&amp; 159)</w:t>
      </w:r>
      <w:r w:rsidR="008E40D0">
        <w:rPr>
          <w:spacing w:val="-3"/>
          <w:szCs w:val="22"/>
        </w:rPr>
        <w:tab/>
      </w:r>
      <w:r w:rsidR="008E40D0">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outlineLvl w:val="0"/>
        <w:rPr>
          <w:spacing w:val="-3"/>
          <w:szCs w:val="22"/>
        </w:rPr>
      </w:pPr>
      <w:bookmarkStart w:id="392" w:name="_Toc394672372"/>
      <w:r>
        <w:rPr>
          <w:b/>
          <w:spacing w:val="-3"/>
          <w:szCs w:val="22"/>
        </w:rPr>
        <w:t>Carriers</w:t>
      </w:r>
      <w:bookmarkEnd w:id="392"/>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Interstate Telephone Service Providers</w:t>
      </w:r>
      <w:r>
        <w:rPr>
          <w:spacing w:val="-3"/>
          <w:szCs w:val="22"/>
        </w:rPr>
        <w:tab/>
        <w:t>$   .00331</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 xml:space="preserve">(per interstate and international end-user </w:t>
      </w:r>
      <w:r>
        <w:rPr>
          <w:spacing w:val="-3"/>
          <w:szCs w:val="22"/>
        </w:rPr>
        <w:tab/>
      </w:r>
      <w:r>
        <w:rPr>
          <w:spacing w:val="-3"/>
          <w:szCs w:val="22"/>
        </w:rPr>
        <w:tab/>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revenues (see FCC Form 499-A)</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Toll Free Number Fee</w:t>
      </w:r>
      <w:r>
        <w:rPr>
          <w:spacing w:val="-3"/>
          <w:szCs w:val="22"/>
        </w:rPr>
        <w:tab/>
        <w:t>$.12 per Toll Free Number</w:t>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720"/>
          <w:tab w:val="left" w:pos="4590"/>
          <w:tab w:val="left" w:pos="6480"/>
        </w:tabs>
        <w:suppressAutoHyphens/>
        <w:jc w:val="both"/>
        <w:outlineLvl w:val="0"/>
        <w:rPr>
          <w:spacing w:val="-3"/>
          <w:szCs w:val="22"/>
        </w:rPr>
      </w:pPr>
      <w:bookmarkStart w:id="393" w:name="_Toc394672373"/>
      <w:r>
        <w:rPr>
          <w:spacing w:val="-3"/>
          <w:szCs w:val="22"/>
        </w:rPr>
        <w:t>5.   Section 1.1155 is revised to read as follows:</w:t>
      </w:r>
      <w:bookmarkEnd w:id="393"/>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rPr>
          <w:szCs w:val="22"/>
        </w:rPr>
      </w:pPr>
      <w:r>
        <w:rPr>
          <w:szCs w:val="22"/>
        </w:rPr>
        <w:t>§ 1.1155  Schedule of regulatory fees for cable television services.</w:t>
      </w:r>
    </w:p>
    <w:p w:rsidR="00891D2A" w:rsidRDefault="00891D2A" w:rsidP="00891D2A">
      <w:pPr>
        <w:tabs>
          <w:tab w:val="left" w:pos="-1440"/>
          <w:tab w:val="left" w:pos="-720"/>
          <w:tab w:val="left" w:pos="540"/>
          <w:tab w:val="left" w:pos="4590"/>
          <w:tab w:val="left" w:pos="6480"/>
        </w:tabs>
        <w:suppressAutoHyphens/>
        <w:jc w:val="both"/>
        <w:rPr>
          <w:b/>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b/>
          <w:spacing w:val="-3"/>
          <w:szCs w:val="22"/>
        </w:rPr>
        <w:tab/>
      </w:r>
      <w:r>
        <w:rPr>
          <w:b/>
          <w:spacing w:val="-3"/>
          <w:szCs w:val="22"/>
        </w:rPr>
        <w:tab/>
        <w:t>Fee Amount</w:t>
      </w:r>
      <w:r>
        <w:rPr>
          <w:b/>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Cable Television Relay Service</w:t>
      </w:r>
      <w:r>
        <w:rPr>
          <w:spacing w:val="-3"/>
          <w:szCs w:val="22"/>
        </w:rPr>
        <w:tab/>
        <w:t>$660</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Cable TV System, Including IPTV</w:t>
      </w:r>
      <w:r>
        <w:rPr>
          <w:spacing w:val="-3"/>
          <w:szCs w:val="22"/>
        </w:rPr>
        <w:tab/>
        <w:t>$   0.96</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(per subscriber)</w:t>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ab/>
        <w:t xml:space="preserve">  </w:t>
      </w:r>
      <w:r>
        <w:rPr>
          <w:spacing w:val="-3"/>
          <w:szCs w:val="22"/>
        </w:rPr>
        <w:tab/>
      </w:r>
    </w:p>
    <w:p w:rsidR="00891D2A" w:rsidRDefault="00891D2A" w:rsidP="00891D2A">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r>
      <w:r w:rsidRPr="009B4791">
        <w:rPr>
          <w:spacing w:val="-3"/>
          <w:szCs w:val="22"/>
        </w:rPr>
        <w:t>Direct Broadcast Satellite (DBS)</w:t>
      </w:r>
      <w:r>
        <w:rPr>
          <w:b/>
          <w:spacing w:val="-3"/>
          <w:szCs w:val="22"/>
        </w:rPr>
        <w:tab/>
      </w:r>
      <w:r w:rsidRPr="009B4791">
        <w:rPr>
          <w:spacing w:val="-3"/>
          <w:szCs w:val="22"/>
        </w:rPr>
        <w:t>$.12</w:t>
      </w:r>
      <w:r>
        <w:rPr>
          <w:spacing w:val="-3"/>
          <w:szCs w:val="22"/>
        </w:rPr>
        <w:t xml:space="preserve"> per subscriber</w:t>
      </w:r>
    </w:p>
    <w:p w:rsidR="00891D2A" w:rsidRDefault="00891D2A" w:rsidP="00891D2A">
      <w:pPr>
        <w:widowControl/>
        <w:rPr>
          <w:spacing w:val="-3"/>
          <w:szCs w:val="22"/>
        </w:rPr>
      </w:pPr>
    </w:p>
    <w:p w:rsidR="00891D2A" w:rsidRDefault="00891D2A" w:rsidP="00891D2A">
      <w:pPr>
        <w:widowControl/>
        <w:rPr>
          <w:spacing w:val="-3"/>
          <w:szCs w:val="22"/>
        </w:rPr>
      </w:pPr>
    </w:p>
    <w:p w:rsidR="00891D2A" w:rsidRDefault="00891D2A" w:rsidP="00891D2A">
      <w:pPr>
        <w:widowControl/>
        <w:rPr>
          <w:spacing w:val="-3"/>
          <w:szCs w:val="22"/>
        </w:rPr>
      </w:pPr>
    </w:p>
    <w:p w:rsidR="00891D2A" w:rsidRDefault="00891D2A" w:rsidP="00891D2A">
      <w:pPr>
        <w:tabs>
          <w:tab w:val="left" w:pos="-1440"/>
          <w:tab w:val="left" w:pos="-720"/>
          <w:tab w:val="left" w:pos="720"/>
          <w:tab w:val="left" w:pos="4590"/>
          <w:tab w:val="left" w:pos="6480"/>
        </w:tabs>
        <w:suppressAutoHyphens/>
        <w:outlineLvl w:val="0"/>
        <w:rPr>
          <w:szCs w:val="22"/>
        </w:rPr>
      </w:pPr>
      <w:bookmarkStart w:id="394" w:name="_Toc394672374"/>
      <w:r>
        <w:rPr>
          <w:szCs w:val="22"/>
        </w:rPr>
        <w:t>6.   Section 1.1156 is revised to read as follows:</w:t>
      </w:r>
      <w:bookmarkEnd w:id="394"/>
    </w:p>
    <w:p w:rsidR="00891D2A" w:rsidRDefault="00891D2A" w:rsidP="00891D2A">
      <w:pPr>
        <w:tabs>
          <w:tab w:val="left" w:pos="-1440"/>
          <w:tab w:val="left" w:pos="-720"/>
          <w:tab w:val="left" w:pos="540"/>
          <w:tab w:val="left" w:pos="4590"/>
          <w:tab w:val="left" w:pos="6480"/>
        </w:tabs>
        <w:suppressAutoHyphens/>
        <w:rPr>
          <w:szCs w:val="22"/>
        </w:rPr>
      </w:pPr>
      <w:r>
        <w:rPr>
          <w:szCs w:val="22"/>
        </w:rPr>
        <w:t xml:space="preserve"> </w:t>
      </w:r>
      <w:r>
        <w:rPr>
          <w:szCs w:val="22"/>
        </w:rPr>
        <w:tab/>
      </w:r>
    </w:p>
    <w:p w:rsidR="00891D2A" w:rsidRDefault="00891D2A" w:rsidP="00891D2A">
      <w:pPr>
        <w:tabs>
          <w:tab w:val="left" w:pos="-1440"/>
          <w:tab w:val="left" w:pos="-720"/>
          <w:tab w:val="left" w:pos="540"/>
          <w:tab w:val="left" w:pos="4590"/>
          <w:tab w:val="left" w:pos="6480"/>
        </w:tabs>
        <w:suppressAutoHyphens/>
        <w:rPr>
          <w:szCs w:val="22"/>
        </w:rPr>
      </w:pPr>
      <w:r>
        <w:rPr>
          <w:szCs w:val="22"/>
        </w:rPr>
        <w:t>§ 1.1156  Schedule of regulatory fees for international services.</w:t>
      </w:r>
    </w:p>
    <w:p w:rsidR="00891D2A" w:rsidRDefault="00891D2A" w:rsidP="00891D2A">
      <w:pPr>
        <w:tabs>
          <w:tab w:val="left" w:pos="-1440"/>
          <w:tab w:val="left" w:pos="-720"/>
          <w:tab w:val="left" w:pos="540"/>
          <w:tab w:val="left" w:pos="4590"/>
          <w:tab w:val="left" w:pos="6480"/>
        </w:tabs>
        <w:suppressAutoHyphens/>
        <w:jc w:val="both"/>
        <w:rPr>
          <w:spacing w:val="-3"/>
          <w:szCs w:val="22"/>
        </w:rPr>
      </w:pPr>
    </w:p>
    <w:p w:rsidR="00891D2A" w:rsidRDefault="00891D2A" w:rsidP="00891D2A">
      <w:pPr>
        <w:widowControl/>
        <w:jc w:val="both"/>
        <w:rPr>
          <w:spacing w:val="-3"/>
          <w:kern w:val="0"/>
          <w:sz w:val="24"/>
          <w:szCs w:val="24"/>
        </w:rPr>
      </w:pPr>
      <w:r>
        <w:rPr>
          <w:spacing w:val="-3"/>
          <w:kern w:val="0"/>
          <w:sz w:val="24"/>
          <w:szCs w:val="24"/>
        </w:rPr>
        <w:t>a.         The following schedule applies for the listed services:</w:t>
      </w:r>
    </w:p>
    <w:p w:rsidR="00891D2A" w:rsidRDefault="00891D2A" w:rsidP="00891D2A">
      <w:pPr>
        <w:widowControl/>
        <w:jc w:val="both"/>
        <w:rPr>
          <w:spacing w:val="-3"/>
          <w:kern w:val="0"/>
          <w:sz w:val="24"/>
          <w:szCs w:val="24"/>
        </w:rPr>
      </w:pPr>
    </w:p>
    <w:tbl>
      <w:tblPr>
        <w:tblW w:w="0" w:type="auto"/>
        <w:tblCellMar>
          <w:left w:w="0" w:type="dxa"/>
          <w:right w:w="0" w:type="dxa"/>
        </w:tblCellMar>
        <w:tblLook w:val="0000" w:firstRow="0" w:lastRow="0" w:firstColumn="0" w:lastColumn="0" w:noHBand="0" w:noVBand="0"/>
      </w:tblPr>
      <w:tblGrid>
        <w:gridCol w:w="5047"/>
        <w:gridCol w:w="1597"/>
      </w:tblGrid>
      <w:tr w:rsidR="00CC5955" w:rsidTr="00CC5955">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5955" w:rsidRDefault="00CC5955" w:rsidP="000E373D">
            <w:pPr>
              <w:widowControl/>
              <w:jc w:val="center"/>
              <w:rPr>
                <w:spacing w:val="-3"/>
                <w:kern w:val="0"/>
                <w:sz w:val="24"/>
                <w:szCs w:val="24"/>
              </w:rPr>
            </w:pPr>
            <w:r>
              <w:rPr>
                <w:spacing w:val="-3"/>
                <w:kern w:val="0"/>
                <w:sz w:val="24"/>
                <w:szCs w:val="24"/>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5955" w:rsidRDefault="00CC5955" w:rsidP="000E373D">
            <w:pPr>
              <w:widowControl/>
              <w:jc w:val="center"/>
              <w:rPr>
                <w:spacing w:val="-3"/>
                <w:kern w:val="0"/>
                <w:sz w:val="24"/>
                <w:szCs w:val="24"/>
              </w:rPr>
            </w:pPr>
            <w:r>
              <w:rPr>
                <w:spacing w:val="-3"/>
                <w:kern w:val="0"/>
                <w:sz w:val="24"/>
                <w:szCs w:val="24"/>
              </w:rPr>
              <w:t>Fee Amount</w:t>
            </w:r>
          </w:p>
        </w:tc>
      </w:tr>
      <w:tr w:rsidR="00CC5955" w:rsidTr="00CC5955">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955" w:rsidRDefault="00CC5955" w:rsidP="000E373D">
            <w:pPr>
              <w:widowControl/>
              <w:rPr>
                <w:spacing w:val="-3"/>
                <w:kern w:val="0"/>
                <w:sz w:val="24"/>
                <w:szCs w:val="24"/>
              </w:rPr>
            </w:pPr>
            <w:r>
              <w:rPr>
                <w:spacing w:val="-3"/>
                <w:kern w:val="0"/>
                <w:sz w:val="24"/>
                <w:szCs w:val="24"/>
              </w:rPr>
              <w:t>Space Stations (Geostationary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CC5955" w:rsidRDefault="00CC5955" w:rsidP="000E373D">
            <w:pPr>
              <w:widowControl/>
              <w:jc w:val="center"/>
              <w:rPr>
                <w:spacing w:val="-3"/>
                <w:kern w:val="0"/>
                <w:sz w:val="24"/>
                <w:szCs w:val="24"/>
              </w:rPr>
            </w:pPr>
          </w:p>
          <w:p w:rsidR="00CC5955" w:rsidRDefault="00CC5955" w:rsidP="000E373D">
            <w:pPr>
              <w:widowControl/>
              <w:jc w:val="center"/>
              <w:rPr>
                <w:spacing w:val="-3"/>
                <w:kern w:val="0"/>
                <w:sz w:val="24"/>
                <w:szCs w:val="24"/>
              </w:rPr>
            </w:pPr>
            <w:r>
              <w:rPr>
                <w:spacing w:val="-3"/>
                <w:kern w:val="0"/>
                <w:sz w:val="24"/>
                <w:szCs w:val="24"/>
              </w:rPr>
              <w:t>$1</w:t>
            </w:r>
            <w:r w:rsidR="00EC6F91">
              <w:rPr>
                <w:spacing w:val="-3"/>
                <w:kern w:val="0"/>
                <w:sz w:val="24"/>
                <w:szCs w:val="24"/>
              </w:rPr>
              <w:t>19</w:t>
            </w:r>
            <w:r>
              <w:rPr>
                <w:spacing w:val="-3"/>
                <w:kern w:val="0"/>
                <w:sz w:val="24"/>
                <w:szCs w:val="24"/>
              </w:rPr>
              <w:t>,</w:t>
            </w:r>
            <w:r w:rsidR="00EC6F91">
              <w:rPr>
                <w:spacing w:val="-3"/>
                <w:kern w:val="0"/>
                <w:sz w:val="24"/>
                <w:szCs w:val="24"/>
              </w:rPr>
              <w:t>150</w:t>
            </w:r>
          </w:p>
          <w:p w:rsidR="00CC5955" w:rsidRDefault="00CC5955" w:rsidP="000E373D">
            <w:pPr>
              <w:widowControl/>
              <w:jc w:val="center"/>
              <w:rPr>
                <w:spacing w:val="-3"/>
                <w:kern w:val="0"/>
                <w:sz w:val="24"/>
                <w:szCs w:val="24"/>
              </w:rPr>
            </w:pPr>
          </w:p>
        </w:tc>
      </w:tr>
      <w:tr w:rsidR="00CC5955" w:rsidTr="00CC5955">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955" w:rsidRDefault="00CC5955" w:rsidP="000E373D">
            <w:pPr>
              <w:widowControl/>
              <w:rPr>
                <w:spacing w:val="-3"/>
                <w:kern w:val="0"/>
                <w:sz w:val="24"/>
                <w:szCs w:val="24"/>
              </w:rPr>
            </w:pPr>
            <w:r>
              <w:rPr>
                <w:spacing w:val="-3"/>
                <w:kern w:val="0"/>
                <w:sz w:val="24"/>
                <w:szCs w:val="24"/>
              </w:rPr>
              <w:t>Space Stations (Non-Geostationary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CC5955" w:rsidRDefault="00CC5955" w:rsidP="000E373D">
            <w:pPr>
              <w:widowControl/>
              <w:jc w:val="center"/>
              <w:rPr>
                <w:spacing w:val="-3"/>
                <w:kern w:val="0"/>
                <w:sz w:val="24"/>
                <w:szCs w:val="24"/>
              </w:rPr>
            </w:pPr>
          </w:p>
          <w:p w:rsidR="00CC5955" w:rsidRDefault="00CC5955">
            <w:pPr>
              <w:widowControl/>
              <w:jc w:val="center"/>
              <w:rPr>
                <w:spacing w:val="-3"/>
                <w:kern w:val="0"/>
                <w:sz w:val="24"/>
                <w:szCs w:val="24"/>
              </w:rPr>
            </w:pPr>
            <w:r>
              <w:rPr>
                <w:spacing w:val="-3"/>
                <w:kern w:val="0"/>
                <w:sz w:val="24"/>
                <w:szCs w:val="24"/>
              </w:rPr>
              <w:t>$1</w:t>
            </w:r>
            <w:r w:rsidR="00EC6F91">
              <w:rPr>
                <w:spacing w:val="-3"/>
                <w:kern w:val="0"/>
                <w:sz w:val="24"/>
                <w:szCs w:val="24"/>
              </w:rPr>
              <w:t>32</w:t>
            </w:r>
            <w:r>
              <w:rPr>
                <w:spacing w:val="-3"/>
                <w:kern w:val="0"/>
                <w:sz w:val="24"/>
                <w:szCs w:val="24"/>
              </w:rPr>
              <w:t>,</w:t>
            </w:r>
            <w:r w:rsidR="00EC6F91">
              <w:rPr>
                <w:spacing w:val="-3"/>
                <w:kern w:val="0"/>
                <w:sz w:val="24"/>
                <w:szCs w:val="24"/>
              </w:rPr>
              <w:t>125</w:t>
            </w:r>
          </w:p>
        </w:tc>
      </w:tr>
      <w:tr w:rsidR="00CC5955" w:rsidTr="00CC5955">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955" w:rsidRDefault="00CC5955" w:rsidP="000E373D">
            <w:pPr>
              <w:widowControl/>
              <w:rPr>
                <w:spacing w:val="-3"/>
                <w:kern w:val="0"/>
                <w:sz w:val="24"/>
                <w:szCs w:val="24"/>
              </w:rPr>
            </w:pPr>
            <w:r>
              <w:rPr>
                <w:spacing w:val="-3"/>
                <w:kern w:val="0"/>
                <w:sz w:val="24"/>
                <w:szCs w:val="24"/>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CC5955" w:rsidRDefault="00CC5955" w:rsidP="000E373D">
            <w:pPr>
              <w:widowControl/>
              <w:jc w:val="center"/>
              <w:rPr>
                <w:spacing w:val="-3"/>
                <w:kern w:val="0"/>
                <w:sz w:val="24"/>
                <w:szCs w:val="24"/>
              </w:rPr>
            </w:pPr>
          </w:p>
          <w:p w:rsidR="00CC5955" w:rsidRDefault="00CC5955" w:rsidP="000E373D">
            <w:pPr>
              <w:widowControl/>
              <w:jc w:val="center"/>
              <w:rPr>
                <w:spacing w:val="-3"/>
                <w:kern w:val="0"/>
                <w:sz w:val="24"/>
                <w:szCs w:val="24"/>
              </w:rPr>
            </w:pPr>
            <w:r>
              <w:rPr>
                <w:spacing w:val="-3"/>
                <w:kern w:val="0"/>
                <w:sz w:val="24"/>
                <w:szCs w:val="24"/>
              </w:rPr>
              <w:t>$310</w:t>
            </w:r>
          </w:p>
        </w:tc>
      </w:tr>
    </w:tbl>
    <w:p w:rsidR="00891D2A" w:rsidRDefault="00891D2A" w:rsidP="00891D2A">
      <w:pPr>
        <w:widowControl/>
        <w:rPr>
          <w:spacing w:val="-3"/>
          <w:kern w:val="0"/>
          <w:sz w:val="24"/>
          <w:szCs w:val="24"/>
        </w:rPr>
      </w:pPr>
    </w:p>
    <w:p w:rsidR="00891D2A" w:rsidRDefault="00891D2A" w:rsidP="00891D2A">
      <w:pPr>
        <w:widowControl/>
        <w:rPr>
          <w:spacing w:val="-3"/>
          <w:kern w:val="0"/>
          <w:sz w:val="24"/>
          <w:szCs w:val="24"/>
        </w:rPr>
      </w:pPr>
      <w:r>
        <w:rPr>
          <w:spacing w:val="-3"/>
          <w:kern w:val="0"/>
          <w:sz w:val="24"/>
          <w:szCs w:val="24"/>
        </w:rPr>
        <w:t xml:space="preserve">b.         </w:t>
      </w:r>
      <w:r>
        <w:rPr>
          <w:i/>
          <w:iCs/>
          <w:kern w:val="0"/>
          <w:sz w:val="24"/>
          <w:szCs w:val="24"/>
        </w:rPr>
        <w:t>International Terrestrial and Satellite</w:t>
      </w:r>
      <w:r>
        <w:rPr>
          <w:kern w:val="0"/>
          <w:sz w:val="24"/>
          <w:szCs w:val="24"/>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891D2A" w:rsidRDefault="00891D2A" w:rsidP="00891D2A">
      <w:pPr>
        <w:widowControl/>
        <w:rPr>
          <w:spacing w:val="-3"/>
          <w:kern w:val="0"/>
          <w:sz w:val="24"/>
          <w:szCs w:val="24"/>
        </w:rPr>
      </w:pPr>
    </w:p>
    <w:p w:rsidR="00891D2A" w:rsidRDefault="00891D2A" w:rsidP="00891D2A">
      <w:pPr>
        <w:widowControl/>
        <w:snapToGrid w:val="0"/>
        <w:rPr>
          <w:kern w:val="0"/>
          <w:sz w:val="24"/>
          <w:szCs w:val="24"/>
        </w:rPr>
      </w:pPr>
      <w:r>
        <w:rPr>
          <w:spacing w:val="-3"/>
          <w:kern w:val="0"/>
          <w:sz w:val="24"/>
          <w:szCs w:val="24"/>
        </w:rPr>
        <w:t>The fee amount, per active 64 KB circuit or equivalent will be determined for each fiscal year.</w:t>
      </w:r>
      <w:r>
        <w:rPr>
          <w:kern w:val="0"/>
          <w:sz w:val="24"/>
          <w:szCs w:val="24"/>
        </w:rPr>
        <w:t xml:space="preserve"> </w:t>
      </w:r>
    </w:p>
    <w:p w:rsidR="00891D2A" w:rsidRDefault="00891D2A" w:rsidP="00891D2A">
      <w:pPr>
        <w:widowControl/>
        <w:snapToGrid w:val="0"/>
        <w:rPr>
          <w:kern w:val="0"/>
          <w:szCs w:val="22"/>
        </w:rPr>
      </w:pPr>
    </w:p>
    <w:tbl>
      <w:tblPr>
        <w:tblW w:w="0" w:type="auto"/>
        <w:tblCellMar>
          <w:left w:w="0" w:type="dxa"/>
          <w:right w:w="0" w:type="dxa"/>
        </w:tblCellMar>
        <w:tblLook w:val="0000" w:firstRow="0" w:lastRow="0" w:firstColumn="0" w:lastColumn="0" w:noHBand="0" w:noVBand="0"/>
      </w:tblPr>
      <w:tblGrid>
        <w:gridCol w:w="5199"/>
        <w:gridCol w:w="1659"/>
      </w:tblGrid>
      <w:tr w:rsidR="00774B5C" w:rsidTr="000E373D">
        <w:trPr>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4B5C" w:rsidRDefault="00774B5C" w:rsidP="000E373D">
            <w:pPr>
              <w:widowControl/>
              <w:jc w:val="both"/>
              <w:rPr>
                <w:spacing w:val="-3"/>
                <w:kern w:val="0"/>
                <w:sz w:val="24"/>
                <w:szCs w:val="24"/>
              </w:rPr>
            </w:pPr>
            <w:r>
              <w:rPr>
                <w:spacing w:val="-3"/>
                <w:kern w:val="0"/>
                <w:sz w:val="24"/>
                <w:szCs w:val="24"/>
              </w:rPr>
              <w:t xml:space="preserve">International Terrestrial and Satellite </w:t>
            </w:r>
            <w:r>
              <w:rPr>
                <w:kern w:val="0"/>
                <w:sz w:val="24"/>
                <w:szCs w:val="24"/>
              </w:rPr>
              <w:t>(capacity as of December 31, 2014)</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B5C" w:rsidRDefault="00774B5C" w:rsidP="000E373D">
            <w:pPr>
              <w:widowControl/>
              <w:jc w:val="center"/>
              <w:rPr>
                <w:spacing w:val="-3"/>
                <w:kern w:val="0"/>
                <w:sz w:val="24"/>
                <w:szCs w:val="24"/>
              </w:rPr>
            </w:pPr>
            <w:r>
              <w:rPr>
                <w:spacing w:val="-3"/>
                <w:kern w:val="0"/>
                <w:sz w:val="24"/>
                <w:szCs w:val="24"/>
              </w:rPr>
              <w:t>Fee Amount</w:t>
            </w:r>
          </w:p>
        </w:tc>
      </w:tr>
      <w:tr w:rsidR="00774B5C" w:rsidTr="000E373D">
        <w:trPr>
          <w:trHeight w:val="1380"/>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4B5C" w:rsidRDefault="00774B5C" w:rsidP="000E373D">
            <w:pPr>
              <w:widowControl/>
              <w:jc w:val="both"/>
              <w:rPr>
                <w:spacing w:val="-3"/>
                <w:kern w:val="0"/>
                <w:sz w:val="24"/>
                <w:szCs w:val="24"/>
              </w:rPr>
            </w:pPr>
          </w:p>
          <w:p w:rsidR="00774B5C" w:rsidRDefault="00774B5C" w:rsidP="000E373D">
            <w:pPr>
              <w:widowControl/>
              <w:jc w:val="both"/>
              <w:rPr>
                <w:spacing w:val="-3"/>
                <w:kern w:val="0"/>
                <w:sz w:val="24"/>
                <w:szCs w:val="24"/>
              </w:rPr>
            </w:pPr>
            <w:r>
              <w:rPr>
                <w:spacing w:val="-3"/>
                <w:kern w:val="0"/>
                <w:sz w:val="24"/>
                <w:szCs w:val="24"/>
              </w:rPr>
              <w:t>Terrestrial Common Carrier</w:t>
            </w:r>
          </w:p>
          <w:p w:rsidR="00774B5C" w:rsidRDefault="00774B5C" w:rsidP="000E373D">
            <w:pPr>
              <w:widowControl/>
              <w:jc w:val="both"/>
              <w:rPr>
                <w:spacing w:val="-3"/>
                <w:kern w:val="0"/>
                <w:sz w:val="24"/>
                <w:szCs w:val="24"/>
              </w:rPr>
            </w:pPr>
            <w:r>
              <w:rPr>
                <w:spacing w:val="-3"/>
                <w:kern w:val="0"/>
                <w:sz w:val="24"/>
                <w:szCs w:val="24"/>
              </w:rPr>
              <w:t>Satellite Common Carrier</w:t>
            </w:r>
          </w:p>
          <w:p w:rsidR="00774B5C" w:rsidRDefault="00774B5C" w:rsidP="000E373D">
            <w:pPr>
              <w:widowControl/>
              <w:jc w:val="both"/>
              <w:rPr>
                <w:spacing w:val="-3"/>
                <w:kern w:val="0"/>
                <w:sz w:val="24"/>
                <w:szCs w:val="24"/>
              </w:rPr>
            </w:pPr>
            <w:r>
              <w:rPr>
                <w:spacing w:val="-3"/>
                <w:kern w:val="0"/>
                <w:sz w:val="24"/>
                <w:szCs w:val="24"/>
              </w:rPr>
              <w:t>Satellite Non-Common Carrier</w:t>
            </w:r>
          </w:p>
          <w:p w:rsidR="00774B5C" w:rsidRDefault="00774B5C" w:rsidP="000E373D">
            <w:pPr>
              <w:widowControl/>
              <w:jc w:val="both"/>
              <w:rPr>
                <w:spacing w:val="-3"/>
                <w:kern w:val="0"/>
                <w:sz w:val="24"/>
                <w:szCs w:val="24"/>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774B5C" w:rsidRDefault="00774B5C" w:rsidP="000E373D">
            <w:pPr>
              <w:widowControl/>
              <w:jc w:val="center"/>
              <w:rPr>
                <w:spacing w:val="-3"/>
                <w:kern w:val="0"/>
                <w:sz w:val="24"/>
                <w:szCs w:val="24"/>
              </w:rPr>
            </w:pPr>
            <w:r>
              <w:rPr>
                <w:kern w:val="0"/>
                <w:sz w:val="24"/>
                <w:szCs w:val="24"/>
              </w:rPr>
              <w:t>$0.03 per 64 KB Circuit</w:t>
            </w:r>
          </w:p>
        </w:tc>
      </w:tr>
    </w:tbl>
    <w:p w:rsidR="00891D2A" w:rsidRDefault="00891D2A" w:rsidP="00891D2A">
      <w:pPr>
        <w:widowControl/>
        <w:rPr>
          <w:kern w:val="0"/>
          <w:szCs w:val="22"/>
        </w:rPr>
      </w:pPr>
    </w:p>
    <w:p w:rsidR="00891D2A" w:rsidRDefault="00891D2A" w:rsidP="00891D2A">
      <w:pPr>
        <w:widowControl/>
        <w:spacing w:after="200" w:line="276" w:lineRule="auto"/>
        <w:rPr>
          <w:kern w:val="0"/>
          <w:szCs w:val="22"/>
        </w:rPr>
      </w:pPr>
    </w:p>
    <w:p w:rsidR="00891D2A" w:rsidRDefault="00891D2A" w:rsidP="00891D2A">
      <w:pPr>
        <w:widowControl/>
        <w:rPr>
          <w:kern w:val="0"/>
          <w:szCs w:val="22"/>
        </w:rPr>
      </w:pPr>
    </w:p>
    <w:p w:rsidR="00891D2A" w:rsidRDefault="00891D2A" w:rsidP="00891D2A">
      <w:pPr>
        <w:widowControl/>
        <w:rPr>
          <w:kern w:val="0"/>
          <w:sz w:val="24"/>
          <w:szCs w:val="24"/>
        </w:rPr>
      </w:pPr>
      <w:r>
        <w:rPr>
          <w:kern w:val="0"/>
          <w:sz w:val="24"/>
          <w:szCs w:val="24"/>
        </w:rPr>
        <w:t xml:space="preserve">c.         </w:t>
      </w:r>
      <w:r>
        <w:rPr>
          <w:i/>
          <w:iCs/>
          <w:kern w:val="0"/>
          <w:sz w:val="24"/>
          <w:szCs w:val="24"/>
        </w:rPr>
        <w:t xml:space="preserve">Submarine cable:  </w:t>
      </w:r>
      <w:r>
        <w:rPr>
          <w:kern w:val="0"/>
          <w:sz w:val="24"/>
          <w:szCs w:val="24"/>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891D2A" w:rsidRDefault="00891D2A" w:rsidP="00891D2A">
      <w:pPr>
        <w:widowControl/>
        <w:rPr>
          <w:kern w:val="0"/>
          <w:sz w:val="24"/>
          <w:szCs w:val="24"/>
        </w:rPr>
      </w:pPr>
    </w:p>
    <w:tbl>
      <w:tblPr>
        <w:tblW w:w="6858" w:type="dxa"/>
        <w:tblCellMar>
          <w:left w:w="0" w:type="dxa"/>
          <w:right w:w="0" w:type="dxa"/>
        </w:tblCellMar>
        <w:tblLook w:val="0000" w:firstRow="0" w:lastRow="0" w:firstColumn="0" w:lastColumn="0" w:noHBand="0" w:noVBand="0"/>
      </w:tblPr>
      <w:tblGrid>
        <w:gridCol w:w="4608"/>
        <w:gridCol w:w="2250"/>
      </w:tblGrid>
      <w:tr w:rsidR="00891D2A" w:rsidTr="00891D2A">
        <w:trPr>
          <w:trHeight w:val="700"/>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D2A" w:rsidRDefault="00891D2A" w:rsidP="000E373D">
            <w:pPr>
              <w:widowControl/>
              <w:jc w:val="both"/>
              <w:rPr>
                <w:spacing w:val="-3"/>
                <w:kern w:val="0"/>
                <w:sz w:val="24"/>
                <w:szCs w:val="24"/>
              </w:rPr>
            </w:pPr>
            <w:r>
              <w:rPr>
                <w:spacing w:val="-3"/>
                <w:kern w:val="0"/>
                <w:sz w:val="24"/>
                <w:szCs w:val="24"/>
              </w:rPr>
              <w:t>Submarine Cable Systems</w:t>
            </w:r>
          </w:p>
          <w:p w:rsidR="00891D2A" w:rsidRDefault="00891D2A" w:rsidP="000E373D">
            <w:pPr>
              <w:widowControl/>
              <w:jc w:val="both"/>
              <w:rPr>
                <w:spacing w:val="-3"/>
                <w:kern w:val="0"/>
                <w:sz w:val="24"/>
                <w:szCs w:val="24"/>
              </w:rPr>
            </w:pPr>
            <w:r>
              <w:rPr>
                <w:kern w:val="0"/>
                <w:sz w:val="24"/>
                <w:szCs w:val="24"/>
              </w:rPr>
              <w:t>(capacity as of Dec. 31, 2014)</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1D2A" w:rsidRDefault="00891D2A" w:rsidP="000E373D">
            <w:pPr>
              <w:widowControl/>
              <w:jc w:val="center"/>
              <w:rPr>
                <w:spacing w:val="-3"/>
                <w:kern w:val="0"/>
                <w:sz w:val="24"/>
                <w:szCs w:val="24"/>
              </w:rPr>
            </w:pPr>
            <w:r>
              <w:rPr>
                <w:spacing w:val="-3"/>
                <w:kern w:val="0"/>
                <w:sz w:val="24"/>
                <w:szCs w:val="24"/>
              </w:rPr>
              <w:t>Fee Amount</w:t>
            </w:r>
          </w:p>
        </w:tc>
      </w:tr>
      <w:tr w:rsidR="00891D2A" w:rsidTr="00891D2A">
        <w:trPr>
          <w:trHeight w:val="1069"/>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D2A" w:rsidRDefault="00891D2A" w:rsidP="000E373D">
            <w:pPr>
              <w:widowControl/>
              <w:jc w:val="both"/>
              <w:rPr>
                <w:spacing w:val="-3"/>
                <w:kern w:val="0"/>
                <w:sz w:val="24"/>
                <w:szCs w:val="24"/>
              </w:rPr>
            </w:pPr>
            <w:r>
              <w:rPr>
                <w:kern w:val="0"/>
                <w:sz w:val="24"/>
                <w:szCs w:val="24"/>
              </w:rPr>
              <w:t>&lt; 2.5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2A" w:rsidRDefault="00891D2A" w:rsidP="000E373D">
            <w:pPr>
              <w:widowControl/>
              <w:jc w:val="center"/>
              <w:rPr>
                <w:spacing w:val="-3"/>
                <w:kern w:val="0"/>
                <w:sz w:val="24"/>
                <w:szCs w:val="24"/>
              </w:rPr>
            </w:pPr>
            <w:r>
              <w:rPr>
                <w:kern w:val="0"/>
                <w:sz w:val="24"/>
                <w:szCs w:val="24"/>
              </w:rPr>
              <w:t>$7,175</w:t>
            </w:r>
          </w:p>
        </w:tc>
      </w:tr>
      <w:tr w:rsidR="00891D2A" w:rsidTr="00891D2A">
        <w:trPr>
          <w:trHeight w:val="1195"/>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D2A" w:rsidRDefault="00891D2A" w:rsidP="000E373D">
            <w:pPr>
              <w:widowControl/>
              <w:rPr>
                <w:spacing w:val="-3"/>
                <w:kern w:val="0"/>
                <w:sz w:val="24"/>
                <w:szCs w:val="24"/>
              </w:rPr>
            </w:pPr>
            <w:r>
              <w:rPr>
                <w:kern w:val="0"/>
                <w:sz w:val="24"/>
                <w:szCs w:val="24"/>
              </w:rPr>
              <w:t>2.5 Gbps or greater, but less than 5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2A" w:rsidRDefault="00891D2A" w:rsidP="000E373D">
            <w:pPr>
              <w:widowControl/>
              <w:jc w:val="center"/>
              <w:rPr>
                <w:kern w:val="0"/>
                <w:sz w:val="24"/>
                <w:szCs w:val="24"/>
              </w:rPr>
            </w:pPr>
            <w:r>
              <w:rPr>
                <w:kern w:val="0"/>
                <w:sz w:val="24"/>
                <w:szCs w:val="24"/>
              </w:rPr>
              <w:t>$14,350</w:t>
            </w:r>
          </w:p>
          <w:p w:rsidR="00891D2A" w:rsidRDefault="00891D2A" w:rsidP="000E373D">
            <w:pPr>
              <w:widowControl/>
              <w:jc w:val="center"/>
              <w:rPr>
                <w:spacing w:val="-3"/>
                <w:kern w:val="0"/>
                <w:sz w:val="24"/>
                <w:szCs w:val="24"/>
              </w:rPr>
            </w:pPr>
          </w:p>
        </w:tc>
      </w:tr>
      <w:tr w:rsidR="00891D2A" w:rsidTr="00891D2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D2A" w:rsidRDefault="00891D2A" w:rsidP="000E373D">
            <w:pPr>
              <w:widowControl/>
              <w:rPr>
                <w:spacing w:val="-3"/>
                <w:kern w:val="0"/>
                <w:sz w:val="24"/>
                <w:szCs w:val="24"/>
              </w:rPr>
            </w:pPr>
            <w:r>
              <w:rPr>
                <w:kern w:val="0"/>
                <w:sz w:val="24"/>
                <w:szCs w:val="24"/>
              </w:rPr>
              <w:t>5 Gbps or greater, but less than 10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2A" w:rsidRDefault="00891D2A" w:rsidP="000E373D">
            <w:pPr>
              <w:widowControl/>
              <w:jc w:val="center"/>
              <w:rPr>
                <w:kern w:val="0"/>
                <w:sz w:val="24"/>
                <w:szCs w:val="24"/>
              </w:rPr>
            </w:pPr>
            <w:r>
              <w:rPr>
                <w:kern w:val="0"/>
                <w:sz w:val="24"/>
                <w:szCs w:val="24"/>
              </w:rPr>
              <w:t xml:space="preserve">$28,675 </w:t>
            </w:r>
          </w:p>
          <w:p w:rsidR="00891D2A" w:rsidRDefault="00891D2A" w:rsidP="000E373D">
            <w:pPr>
              <w:widowControl/>
              <w:jc w:val="center"/>
              <w:rPr>
                <w:spacing w:val="-3"/>
                <w:kern w:val="0"/>
                <w:sz w:val="24"/>
                <w:szCs w:val="24"/>
              </w:rPr>
            </w:pPr>
          </w:p>
        </w:tc>
      </w:tr>
      <w:tr w:rsidR="00891D2A" w:rsidTr="00891D2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D2A" w:rsidRDefault="00891D2A" w:rsidP="000E373D">
            <w:pPr>
              <w:widowControl/>
              <w:rPr>
                <w:spacing w:val="-3"/>
                <w:kern w:val="0"/>
                <w:sz w:val="24"/>
                <w:szCs w:val="24"/>
              </w:rPr>
            </w:pPr>
            <w:r>
              <w:rPr>
                <w:kern w:val="0"/>
                <w:sz w:val="24"/>
                <w:szCs w:val="24"/>
              </w:rPr>
              <w:t>10 Gbps or greater, but less than 20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2A" w:rsidRDefault="00891D2A" w:rsidP="000E373D">
            <w:pPr>
              <w:widowControl/>
              <w:jc w:val="center"/>
              <w:rPr>
                <w:kern w:val="0"/>
                <w:sz w:val="24"/>
                <w:szCs w:val="24"/>
              </w:rPr>
            </w:pPr>
            <w:r>
              <w:rPr>
                <w:kern w:val="0"/>
                <w:sz w:val="24"/>
                <w:szCs w:val="24"/>
              </w:rPr>
              <w:t xml:space="preserve">$57,350 </w:t>
            </w:r>
          </w:p>
          <w:p w:rsidR="00891D2A" w:rsidRDefault="00891D2A" w:rsidP="000E373D">
            <w:pPr>
              <w:widowControl/>
              <w:jc w:val="center"/>
              <w:rPr>
                <w:spacing w:val="-3"/>
                <w:kern w:val="0"/>
                <w:sz w:val="24"/>
                <w:szCs w:val="24"/>
              </w:rPr>
            </w:pPr>
          </w:p>
        </w:tc>
      </w:tr>
      <w:tr w:rsidR="00891D2A" w:rsidTr="00891D2A">
        <w:trPr>
          <w:trHeight w:val="682"/>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D2A" w:rsidRDefault="00891D2A" w:rsidP="000E373D">
            <w:pPr>
              <w:widowControl/>
              <w:rPr>
                <w:kern w:val="0"/>
                <w:sz w:val="24"/>
                <w:szCs w:val="24"/>
              </w:rPr>
            </w:pPr>
            <w:r>
              <w:rPr>
                <w:kern w:val="0"/>
                <w:sz w:val="24"/>
                <w:szCs w:val="24"/>
              </w:rPr>
              <w:t>20 Gbps or greater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891D2A" w:rsidRDefault="00891D2A" w:rsidP="000E373D">
            <w:pPr>
              <w:widowControl/>
              <w:jc w:val="center"/>
              <w:rPr>
                <w:kern w:val="0"/>
                <w:sz w:val="24"/>
                <w:szCs w:val="24"/>
              </w:rPr>
            </w:pPr>
            <w:r>
              <w:rPr>
                <w:kern w:val="0"/>
                <w:sz w:val="24"/>
                <w:szCs w:val="24"/>
              </w:rPr>
              <w:t xml:space="preserve">$114,700 </w:t>
            </w:r>
          </w:p>
          <w:p w:rsidR="00891D2A" w:rsidRDefault="00891D2A" w:rsidP="000E373D">
            <w:pPr>
              <w:widowControl/>
              <w:jc w:val="center"/>
              <w:rPr>
                <w:spacing w:val="-3"/>
                <w:kern w:val="0"/>
                <w:sz w:val="24"/>
                <w:szCs w:val="24"/>
              </w:rPr>
            </w:pPr>
          </w:p>
        </w:tc>
      </w:tr>
    </w:tbl>
    <w:p w:rsidR="00891D2A" w:rsidRDefault="00891D2A" w:rsidP="00891D2A"/>
    <w:p w:rsidR="00891D2A" w:rsidRPr="007521D5" w:rsidRDefault="00891D2A" w:rsidP="00891D2A">
      <w:pPr>
        <w:pStyle w:val="Heading1"/>
        <w:widowControl/>
        <w:numPr>
          <w:ilvl w:val="0"/>
          <w:numId w:val="0"/>
        </w:numPr>
        <w:ind w:left="720"/>
        <w:rPr>
          <w:spacing w:val="-2"/>
          <w:szCs w:val="22"/>
        </w:rPr>
      </w:pPr>
    </w:p>
    <w:p w:rsidR="00891D2A" w:rsidRDefault="00891D2A" w:rsidP="00891D2A"/>
    <w:p w:rsidR="00891D2A" w:rsidRPr="00891D2A" w:rsidRDefault="00891D2A" w:rsidP="00891D2A">
      <w:pPr>
        <w:pStyle w:val="ParaNum"/>
        <w:numPr>
          <w:ilvl w:val="0"/>
          <w:numId w:val="0"/>
        </w:numPr>
        <w:ind w:left="720"/>
        <w:jc w:val="center"/>
        <w:rPr>
          <w:spacing w:val="-2"/>
        </w:rPr>
      </w:pPr>
    </w:p>
    <w:p w:rsidR="00233BF0" w:rsidRPr="00E67C1F" w:rsidRDefault="00233BF0" w:rsidP="00264877">
      <w:pPr>
        <w:jc w:val="center"/>
        <w:rPr>
          <w:color w:val="000000"/>
        </w:rPr>
      </w:pPr>
    </w:p>
    <w:sectPr w:rsidR="00233BF0" w:rsidRPr="00E67C1F" w:rsidSect="001F7170">
      <w:footnotePr>
        <w:numRestart w:val="eachSect"/>
      </w:footnotePr>
      <w:pgSz w:w="12240" w:h="15840"/>
      <w:pgMar w:top="117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3A" w:rsidRDefault="00527D3A">
      <w:r>
        <w:separator/>
      </w:r>
    </w:p>
  </w:endnote>
  <w:endnote w:type="continuationSeparator" w:id="0">
    <w:p w:rsidR="00527D3A" w:rsidRDefault="00527D3A">
      <w:r>
        <w:continuationSeparator/>
      </w:r>
    </w:p>
  </w:endnote>
  <w:endnote w:type="continuationNotice" w:id="1">
    <w:p w:rsidR="00527D3A" w:rsidRDefault="00527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D9" w:rsidRDefault="005F1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779180941"/>
      <w:docPartObj>
        <w:docPartGallery w:val="Page Numbers (Bottom of Page)"/>
        <w:docPartUnique/>
      </w:docPartObj>
    </w:sdtPr>
    <w:sdtEndPr>
      <w:rPr>
        <w:noProof/>
      </w:rPr>
    </w:sdtEndPr>
    <w:sdtContent>
      <w:p w:rsidR="00527D3A" w:rsidRDefault="00527D3A" w:rsidP="0058247C">
        <w:pPr>
          <w:pStyle w:val="Footer"/>
          <w:jc w:val="center"/>
          <w:rPr>
            <w:noProof/>
          </w:rPr>
        </w:pPr>
        <w:r>
          <w:fldChar w:fldCharType="begin"/>
        </w:r>
        <w:r>
          <w:instrText xml:space="preserve"> PAGE   \* MERGEFORMAT </w:instrText>
        </w:r>
        <w:r>
          <w:fldChar w:fldCharType="separate"/>
        </w:r>
        <w:r w:rsidR="000B721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A" w:rsidRDefault="00527D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3A" w:rsidRDefault="00527D3A">
      <w:r>
        <w:rPr>
          <w:sz w:val="20"/>
        </w:rPr>
        <w:separator/>
      </w:r>
    </w:p>
  </w:footnote>
  <w:footnote w:type="continuationSeparator" w:id="0">
    <w:p w:rsidR="00527D3A" w:rsidRDefault="00527D3A" w:rsidP="00B10D7D">
      <w:pPr>
        <w:rPr>
          <w:sz w:val="20"/>
        </w:rPr>
      </w:pPr>
      <w:r w:rsidRPr="00B10D7D">
        <w:rPr>
          <w:sz w:val="20"/>
        </w:rPr>
        <w:t xml:space="preserve">(Continued from previous page) </w:t>
      </w:r>
      <w:r>
        <w:rPr>
          <w:sz w:val="20"/>
        </w:rPr>
        <w:separator/>
      </w:r>
    </w:p>
    <w:p w:rsidR="00527D3A" w:rsidRDefault="00527D3A">
      <w:pPr>
        <w:rPr>
          <w:sz w:val="20"/>
        </w:rPr>
      </w:pPr>
      <w:r w:rsidRPr="00B10D7D">
        <w:rPr>
          <w:sz w:val="20"/>
        </w:rPr>
        <w:t xml:space="preserve">   </w:t>
      </w:r>
    </w:p>
  </w:footnote>
  <w:footnote w:type="continuationNotice" w:id="1">
    <w:p w:rsidR="00527D3A" w:rsidRDefault="00527D3A">
      <w:pPr>
        <w:jc w:val="right"/>
        <w:rPr>
          <w:sz w:val="20"/>
        </w:rPr>
      </w:pPr>
      <w:r>
        <w:rPr>
          <w:sz w:val="20"/>
        </w:rPr>
        <w:t>(Continued....)</w:t>
      </w:r>
    </w:p>
  </w:footnote>
  <w:footnote w:id="2">
    <w:p w:rsidR="00527D3A" w:rsidRDefault="00527D3A" w:rsidP="00D04BBB">
      <w:pPr>
        <w:pStyle w:val="FootnoteText"/>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Pr>
          <w:color w:val="000000"/>
        </w:rPr>
        <w:t xml:space="preserve"> </w:t>
      </w:r>
      <w:r w:rsidRPr="00A1103B">
        <w:rPr>
          <w:color w:val="000000"/>
        </w:rPr>
        <w:t>47 U.S.C. § 159(a).</w:t>
      </w:r>
      <w:r>
        <w:rPr>
          <w:color w:val="000000"/>
        </w:rPr>
        <w:t xml:space="preserve">  </w:t>
      </w:r>
      <w:r w:rsidRPr="00790B92">
        <w:t>Public Law 113-235, Consolidated and Further Continuing Appropriation Act of 2015 (FY 2015 Appropriation) (“Provided further, That $339,844,000 of offsetting collections shall be assessed and collected pursuant to section 9 of title I of the Communications Act of 1934, shall be retained and used for necessary expenses and shall remain available until expended</w:t>
      </w:r>
      <w:r>
        <w:t>.</w:t>
      </w:r>
      <w:r w:rsidRPr="00790B92">
        <w:t>”)</w:t>
      </w:r>
      <w:r>
        <w:t>.</w:t>
      </w:r>
    </w:p>
  </w:footnote>
  <w:footnote w:id="3">
    <w:p w:rsidR="00527D3A" w:rsidRDefault="00527D3A" w:rsidP="001A52FF">
      <w:pPr>
        <w:pStyle w:val="FootnoteText"/>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Rcd 5354 </w:t>
      </w:r>
      <w:r w:rsidRPr="00C31D3A">
        <w:t>(2015</w:t>
      </w:r>
      <w:r>
        <w:t>) (</w:t>
      </w:r>
      <w:r w:rsidRPr="00140793">
        <w:rPr>
          <w:i/>
        </w:rPr>
        <w:t>FY 2015 NPRM</w:t>
      </w:r>
      <w:r>
        <w:rPr>
          <w:i/>
        </w:rPr>
        <w:t>, FY 2015 Fee Reform Report and Order</w:t>
      </w:r>
      <w:r>
        <w:t>).</w:t>
      </w:r>
    </w:p>
  </w:footnote>
  <w:footnote w:id="4">
    <w:p w:rsidR="00527D3A" w:rsidRDefault="00527D3A" w:rsidP="005659D5">
      <w:pPr>
        <w:pStyle w:val="FootnoteText"/>
      </w:pPr>
      <w:r>
        <w:rPr>
          <w:rStyle w:val="FootnoteReference"/>
        </w:rPr>
        <w:footnoteRef/>
      </w:r>
      <w:r>
        <w:t xml:space="preserve"> </w:t>
      </w:r>
      <w:r w:rsidRPr="005659D5">
        <w:rPr>
          <w:i/>
        </w:rPr>
        <w:t xml:space="preserve">See </w:t>
      </w:r>
      <w:r w:rsidRPr="00196F8D">
        <w:rPr>
          <w:i/>
        </w:rPr>
        <w:t>FY 2015 Fee Reform Report and Order</w:t>
      </w:r>
      <w:r>
        <w:t>, 30 FCC Rcd at 5361-62, paras. 19-22.</w:t>
      </w:r>
      <w:r w:rsidRPr="009C377F">
        <w:t xml:space="preserve"> </w:t>
      </w:r>
      <w:r>
        <w:t xml:space="preserve"> </w:t>
      </w:r>
      <w:r w:rsidRPr="009C377F">
        <w:t xml:space="preserve">As required by section 9(b)(4)(B) of the Act, “permitted amendment” letters were mailed June 4, 2015 </w:t>
      </w:r>
      <w:r>
        <w:t>and th</w:t>
      </w:r>
      <w:r w:rsidRPr="009C377F">
        <w:t>ese amendments will take effect 90 days after congressional notification</w:t>
      </w:r>
      <w:r>
        <w:t xml:space="preserve">, i.e., on </w:t>
      </w:r>
      <w:r w:rsidRPr="009C377F">
        <w:t>September 3, 2015</w:t>
      </w:r>
      <w:r>
        <w:t>.</w:t>
      </w:r>
    </w:p>
  </w:footnote>
  <w:footnote w:id="5">
    <w:p w:rsidR="00527D3A" w:rsidRDefault="00527D3A" w:rsidP="00F568BB">
      <w:pPr>
        <w:pStyle w:val="FootnoteText"/>
      </w:pPr>
      <w:r>
        <w:rPr>
          <w:rStyle w:val="FootnoteReference"/>
        </w:rPr>
        <w:footnoteRef/>
      </w:r>
      <w:r>
        <w:t xml:space="preserve"> O</w:t>
      </w:r>
      <w:r w:rsidRPr="006A303E">
        <w:t>ne FTE</w:t>
      </w:r>
      <w:r>
        <w:t>, a “Full Time Equivalent” or “Full Time Employee,”</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p>
  </w:footnote>
  <w:footnote w:id="6">
    <w:p w:rsidR="00527D3A" w:rsidRPr="00790B92" w:rsidRDefault="00527D3A" w:rsidP="00071064">
      <w:pPr>
        <w:pStyle w:val="FootnoteText"/>
      </w:pPr>
      <w:r w:rsidRPr="00790B92">
        <w:rPr>
          <w:rStyle w:val="FootnoteReference"/>
        </w:rPr>
        <w:footnoteRef/>
      </w:r>
      <w:r w:rsidRPr="00790B92">
        <w:t xml:space="preserve"> 47 U.S.C. § 159 (g) (showing original fee schedule prior to Commission amendment).</w:t>
      </w:r>
    </w:p>
  </w:footnote>
  <w:footnote w:id="7">
    <w:p w:rsidR="00527D3A" w:rsidRPr="00790B92" w:rsidRDefault="00527D3A" w:rsidP="00071064">
      <w:pPr>
        <w:pStyle w:val="FootnoteText"/>
      </w:pPr>
      <w:r w:rsidRPr="00790B92">
        <w:rPr>
          <w:rStyle w:val="FootnoteReference"/>
        </w:rPr>
        <w:footnoteRef/>
      </w:r>
      <w:r w:rsidRPr="00790B92">
        <w:t xml:space="preserve"> 47 U.S.C. § 159</w:t>
      </w:r>
    </w:p>
  </w:footnote>
  <w:footnote w:id="8">
    <w:p w:rsidR="00527D3A" w:rsidRDefault="00527D3A" w:rsidP="00071064">
      <w:pPr>
        <w:pStyle w:val="FootnoteText"/>
      </w:pPr>
      <w:r>
        <w:rPr>
          <w:rStyle w:val="FootnoteReference"/>
        </w:rPr>
        <w:footnoteRef/>
      </w:r>
      <w:r>
        <w:t xml:space="preserve"> 47 U.S.C. § 159(b)(1)(B).</w:t>
      </w:r>
      <w:r w:rsidRPr="00FE24D5">
        <w:t xml:space="preserve"> </w:t>
      </w:r>
      <w:r>
        <w:t xml:space="preserve"> </w:t>
      </w:r>
    </w:p>
  </w:footnote>
  <w:footnote w:id="9">
    <w:p w:rsidR="00527D3A" w:rsidRPr="00790B92" w:rsidRDefault="00527D3A" w:rsidP="00071064">
      <w:pPr>
        <w:pStyle w:val="FootnoteText"/>
      </w:pPr>
      <w:r w:rsidRPr="00790B92">
        <w:rPr>
          <w:rStyle w:val="FootnoteReference"/>
        </w:rPr>
        <w:footnoteRef/>
      </w:r>
      <w:r w:rsidRPr="00790B92">
        <w:t xml:space="preserve"> 47 U.S.C. § 159(b)(2).</w:t>
      </w:r>
    </w:p>
  </w:footnote>
  <w:footnote w:id="10">
    <w:p w:rsidR="00527D3A" w:rsidRPr="00790B92" w:rsidRDefault="00527D3A" w:rsidP="00071064">
      <w:pPr>
        <w:pStyle w:val="FootnoteText"/>
      </w:pPr>
      <w:r w:rsidRPr="00790B92">
        <w:rPr>
          <w:rStyle w:val="FootnoteReference"/>
        </w:rPr>
        <w:footnoteRef/>
      </w:r>
      <w:r w:rsidRPr="00790B92">
        <w:t xml:space="preserve"> 47 U.S.C. § 159(b)(1)(A).  </w:t>
      </w:r>
    </w:p>
  </w:footnote>
  <w:footnote w:id="11">
    <w:p w:rsidR="00527D3A" w:rsidRPr="00790B92" w:rsidRDefault="00527D3A" w:rsidP="00071064">
      <w:pPr>
        <w:pStyle w:val="FootnoteText"/>
      </w:pPr>
      <w:r w:rsidRPr="00790B92">
        <w:rPr>
          <w:rStyle w:val="FootnoteReference"/>
        </w:rPr>
        <w:footnoteRef/>
      </w:r>
      <w:r w:rsidRPr="00790B92">
        <w:t xml:space="preserve"> Section 9(b)(2) discusses mandatory amendments to the fee schedule and Section 9(b)(3) discusses permissive amendments to the fee schedule.  Both mandatory and permissive amendments are not subject to judicial review. 47 U.S.C. §§ 159(b)(2) and (3).</w:t>
      </w:r>
    </w:p>
  </w:footnote>
  <w:footnote w:id="12">
    <w:p w:rsidR="00527D3A" w:rsidRPr="00A1103B" w:rsidRDefault="00527D3A" w:rsidP="00224688">
      <w:pPr>
        <w:pStyle w:val="FootnoteText"/>
      </w:pPr>
      <w:r w:rsidRPr="00A1103B">
        <w:rPr>
          <w:rStyle w:val="FootnoteReference"/>
        </w:rPr>
        <w:footnoteRef/>
      </w:r>
      <w:r w:rsidRPr="00A1103B">
        <w:t xml:space="preserve"> 47 U.S.C. § 159(b)(1)(A).</w:t>
      </w:r>
      <w:r w:rsidRPr="00905784">
        <w:rPr>
          <w:szCs w:val="22"/>
        </w:rPr>
        <w:t xml:space="preserve"> </w:t>
      </w:r>
      <w:r>
        <w:rPr>
          <w:szCs w:val="22"/>
        </w:rPr>
        <w:t xml:space="preserve"> </w:t>
      </w:r>
      <w:r w:rsidRPr="00754D4D">
        <w:rPr>
          <w:szCs w:val="22"/>
        </w:rPr>
        <w:t xml:space="preserve">When section 9 was adopted, the total FTEs were to be calculated based on the number of FTEs in the Private Radio Bureau, Mass Media Bureau, and Common Carrier Bureau.  </w:t>
      </w:r>
      <w:r>
        <w:rPr>
          <w:szCs w:val="22"/>
        </w:rPr>
        <w:t xml:space="preserve">(The names of these bureaus were subsequently changed.)  </w:t>
      </w:r>
      <w:r w:rsidRPr="00754D4D">
        <w:rPr>
          <w:szCs w:val="22"/>
        </w:rPr>
        <w:t xml:space="preserve">Satellites and submarine cable were regulated through the Common Carrier Bureau before the International Bureau was created.  </w:t>
      </w:r>
    </w:p>
  </w:footnote>
  <w:footnote w:id="13">
    <w:p w:rsidR="00527D3A" w:rsidRPr="00A1103B" w:rsidRDefault="00527D3A" w:rsidP="00224688">
      <w:pPr>
        <w:pStyle w:val="FootnoteText"/>
      </w:pPr>
      <w:r w:rsidRPr="00A1103B">
        <w:rPr>
          <w:rStyle w:val="FootnoteReference"/>
        </w:rPr>
        <w:footnoteRef/>
      </w:r>
      <w:r w:rsidRPr="00A1103B">
        <w:t xml:space="preserve"> The indirect FTEs are the employees from the </w:t>
      </w:r>
      <w:r>
        <w:t xml:space="preserve">International Bureau (in part), </w:t>
      </w:r>
      <w:r w:rsidRPr="00A1103B">
        <w:t xml:space="preserve">Enforcement Bureau, Consumer </w:t>
      </w:r>
      <w:r>
        <w:t>&amp;</w:t>
      </w:r>
      <w:r w:rsidRPr="00A1103B">
        <w:t xml:space="preserve"> Governmental Affairs Bureau, Public Safety </w:t>
      </w:r>
      <w:r>
        <w:t>&amp;</w:t>
      </w:r>
      <w:r w:rsidRPr="00A1103B">
        <w:t xml:space="preserve"> Homeland Security Bureau, Chairman and Commissioners’ offices, Office of </w:t>
      </w:r>
      <w:r>
        <w:t xml:space="preserve">the </w:t>
      </w:r>
      <w:r w:rsidRPr="00A1103B">
        <w:t xml:space="preserve">Managing Director, Office of General Counsel, Office of the Inspector General, Office of Communications Business Opportunities, Office of Engineering and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A1103B">
        <w:t>totaling</w:t>
      </w:r>
      <w:r>
        <w:t xml:space="preserve"> 1,041 indirect F</w:t>
      </w:r>
      <w:r w:rsidRPr="00A1103B">
        <w:t xml:space="preserve">TEs.  </w:t>
      </w:r>
    </w:p>
  </w:footnote>
  <w:footnote w:id="14">
    <w:p w:rsidR="00527D3A" w:rsidRPr="00A1103B" w:rsidRDefault="00527D3A" w:rsidP="00224688">
      <w:pPr>
        <w:pStyle w:val="FootnoteText"/>
      </w:pPr>
      <w:r w:rsidRPr="00A1103B">
        <w:rPr>
          <w:rStyle w:val="FootnoteReference"/>
        </w:rPr>
        <w:footnoteRef/>
      </w:r>
      <w:r w:rsidRPr="00A1103B">
        <w:t xml:space="preserve"> </w:t>
      </w:r>
      <w:r w:rsidRPr="00C82293">
        <w:rPr>
          <w:i/>
        </w:rPr>
        <w:t>S</w:t>
      </w:r>
      <w:r w:rsidRPr="0088462E">
        <w:rPr>
          <w:i/>
        </w:rPr>
        <w:t xml:space="preserve">ee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p>
  </w:footnote>
  <w:footnote w:id="15">
    <w:p w:rsidR="00527D3A" w:rsidRPr="00790B92" w:rsidRDefault="00527D3A" w:rsidP="00AD18DB">
      <w:pPr>
        <w:pStyle w:val="FootnoteText"/>
      </w:pPr>
      <w:r w:rsidRPr="00790B92">
        <w:rPr>
          <w:rStyle w:val="FootnoteReference"/>
        </w:rPr>
        <w:footnoteRef/>
      </w:r>
      <w:r w:rsidRPr="00790B92">
        <w:t xml:space="preserve"> </w:t>
      </w:r>
      <w:r w:rsidRPr="00790B92">
        <w:rPr>
          <w:i/>
        </w:rPr>
        <w:t>See Assessment and Collection of Regulatory Fees for Fiscal Year 2008</w:t>
      </w:r>
      <w:r w:rsidRPr="00790B92">
        <w:t>, MD Docket No. 08-65, Report and Order and Further Notice of Proposed Rulemaking, 24 FCC Rcd 6388 (2008) (</w:t>
      </w:r>
      <w:r w:rsidRPr="00790B92">
        <w:rPr>
          <w:i/>
        </w:rPr>
        <w:t>FY 2008 Further Notice</w:t>
      </w:r>
      <w:r w:rsidRPr="00790B92">
        <w:t>).</w:t>
      </w:r>
    </w:p>
  </w:footnote>
  <w:footnote w:id="16">
    <w:p w:rsidR="00527D3A" w:rsidRDefault="00527D3A" w:rsidP="00224688">
      <w:pPr>
        <w:pStyle w:val="FootnoteText"/>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Rcd</w:t>
      </w:r>
      <w:r>
        <w:t xml:space="preserve"> 12351, 12354-58, paras 10-20 (2013</w:t>
      </w:r>
      <w:r w:rsidRPr="00A1103B">
        <w:t>) (</w:t>
      </w:r>
      <w:r>
        <w:rPr>
          <w:i/>
        </w:rPr>
        <w:t>FY 2013 Report and Order</w:t>
      </w:r>
      <w:r w:rsidRPr="00A1103B">
        <w:t>).</w:t>
      </w:r>
    </w:p>
  </w:footnote>
  <w:footnote w:id="17">
    <w:p w:rsidR="00527D3A" w:rsidRPr="00E813B3" w:rsidRDefault="00527D3A" w:rsidP="00224688">
      <w:pPr>
        <w:pStyle w:val="FootnoteText"/>
      </w:pPr>
      <w:r w:rsidRPr="00AE4531">
        <w:rPr>
          <w:vertAlign w:val="superscript"/>
        </w:rPr>
        <w:footnoteRef/>
      </w:r>
      <w:r>
        <w:t xml:space="preserve"> </w:t>
      </w:r>
      <w:r w:rsidRPr="00053458">
        <w:rPr>
          <w:i/>
        </w:rPr>
        <w:t>FY 2013 Report and Order</w:t>
      </w:r>
      <w:r>
        <w:t>, 28 FCC Rcd at 12361-62, paras. 29-31.</w:t>
      </w:r>
    </w:p>
  </w:footnote>
  <w:footnote w:id="18">
    <w:p w:rsidR="00527D3A" w:rsidRPr="00E813B3" w:rsidRDefault="00527D3A" w:rsidP="00224688">
      <w:pPr>
        <w:pStyle w:val="FootnoteText"/>
      </w:pPr>
      <w:r>
        <w:rPr>
          <w:rStyle w:val="FootnoteReference"/>
        </w:rPr>
        <w:footnoteRef/>
      </w:r>
      <w:r>
        <w:t xml:space="preserve"> </w:t>
      </w:r>
      <w:r>
        <w:rPr>
          <w:i/>
        </w:rPr>
        <w:t>Id.</w:t>
      </w:r>
      <w:r>
        <w:t>, 28 FCC Rcd at 12362-63, paras. 32-33.</w:t>
      </w:r>
    </w:p>
  </w:footnote>
  <w:footnote w:id="19">
    <w:p w:rsidR="00527D3A" w:rsidRDefault="00527D3A">
      <w:pPr>
        <w:pStyle w:val="FootnoteText"/>
      </w:pPr>
      <w:r>
        <w:rPr>
          <w:rStyle w:val="FootnoteReference"/>
        </w:rPr>
        <w:footnoteRef/>
      </w:r>
      <w:r>
        <w:t xml:space="preserve"> </w:t>
      </w:r>
      <w:r w:rsidRPr="001163F6">
        <w:rPr>
          <w:i/>
        </w:rPr>
        <w:t>Assessment and Collection of Regulatory Fees for Fiscal Year 201</w:t>
      </w:r>
      <w:r>
        <w:rPr>
          <w:i/>
        </w:rPr>
        <w:t>4</w:t>
      </w:r>
      <w:r>
        <w:t>, Report and Order and Further Notice of Proposed Rulemaking, 29 FCC Rcd 10767, 10777-79, paras. 25-28 (2014) (</w:t>
      </w:r>
      <w:r w:rsidRPr="004A18A6">
        <w:rPr>
          <w:i/>
        </w:rPr>
        <w:t>FY 2014 Report and Order and FNPRM</w:t>
      </w:r>
      <w:r>
        <w:t>).</w:t>
      </w:r>
    </w:p>
  </w:footnote>
  <w:footnote w:id="20">
    <w:p w:rsidR="00527D3A" w:rsidRPr="00654529" w:rsidRDefault="00527D3A">
      <w:pPr>
        <w:pStyle w:val="FootnoteText"/>
      </w:pPr>
      <w:r>
        <w:rPr>
          <w:rStyle w:val="FootnoteReference"/>
        </w:rPr>
        <w:footnoteRef/>
      </w:r>
      <w:r>
        <w:t xml:space="preserve"> </w:t>
      </w:r>
      <w:r w:rsidRPr="004A18A6">
        <w:rPr>
          <w:i/>
        </w:rPr>
        <w:t>FY 2014 Report and Order and FNPRM</w:t>
      </w:r>
      <w:r>
        <w:t xml:space="preserve">, 29 FCC Rcd at 10774-76, paras. 18-21.  </w:t>
      </w:r>
    </w:p>
  </w:footnote>
  <w:footnote w:id="21">
    <w:p w:rsidR="00527D3A" w:rsidRDefault="00527D3A">
      <w:pPr>
        <w:pStyle w:val="FootnoteText"/>
      </w:pPr>
      <w:r>
        <w:rPr>
          <w:rStyle w:val="FootnoteReference"/>
        </w:rPr>
        <w:footnoteRef/>
      </w:r>
      <w:r>
        <w:t xml:space="preserve"> </w:t>
      </w:r>
      <w:r w:rsidRPr="00F27781">
        <w:rPr>
          <w:i/>
        </w:rPr>
        <w:t>Id</w:t>
      </w:r>
      <w:r>
        <w:t xml:space="preserve">., 29 FCC Rcd at 10776-77, paras. 22-24.  </w:t>
      </w:r>
    </w:p>
  </w:footnote>
  <w:footnote w:id="22">
    <w:p w:rsidR="00527D3A" w:rsidRDefault="00527D3A" w:rsidP="006650CB">
      <w:pPr>
        <w:pStyle w:val="FootnoteText"/>
      </w:pPr>
      <w:r>
        <w:rPr>
          <w:rStyle w:val="FootnoteReference"/>
        </w:rPr>
        <w:footnoteRef/>
      </w:r>
      <w:r>
        <w:t xml:space="preserve"> </w:t>
      </w:r>
      <w:r>
        <w:rPr>
          <w:i/>
        </w:rPr>
        <w:t>FY 2015 Fee Reform Report and Order</w:t>
      </w:r>
      <w:r>
        <w:t xml:space="preserve">, 30 FCC Rcd at 5364-5373, paras. 28-41.  We also eliminated two additional fee categories. </w:t>
      </w:r>
      <w:r w:rsidRPr="00F27781">
        <w:rPr>
          <w:i/>
        </w:rPr>
        <w:t xml:space="preserve">See </w:t>
      </w:r>
      <w:r>
        <w:rPr>
          <w:i/>
        </w:rPr>
        <w:t xml:space="preserve">id., </w:t>
      </w:r>
      <w:r>
        <w:t>30 FCC Rcd at 5361-62, paras. 19-22.</w:t>
      </w:r>
    </w:p>
  </w:footnote>
  <w:footnote w:id="23">
    <w:p w:rsidR="00527D3A" w:rsidRDefault="00527D3A" w:rsidP="00D33AB3">
      <w:pPr>
        <w:pStyle w:val="FootnoteText"/>
      </w:pPr>
      <w:r>
        <w:rPr>
          <w:rStyle w:val="FootnoteReference"/>
        </w:rPr>
        <w:footnoteRef/>
      </w:r>
      <w:r>
        <w:t xml:space="preserve"> </w:t>
      </w:r>
      <w:r w:rsidRPr="00B1259D">
        <w:rPr>
          <w:i/>
        </w:rPr>
        <w:t>See</w:t>
      </w:r>
      <w:r>
        <w:t xml:space="preserve"> Letter from Messrs. Francisco Montero, Esq. and Jonathan R. Markman, Esq., Counsel for the Puerto Rico Broadcasters Association, filed in Docket No. 14-92, to Marlene Dortch, Secretary, Federal Communications Commission (Dec. 10, 2014) (PRBA Letter).</w:t>
      </w:r>
    </w:p>
  </w:footnote>
  <w:footnote w:id="24">
    <w:p w:rsidR="00527D3A" w:rsidRDefault="00527D3A" w:rsidP="00C43815">
      <w:pPr>
        <w:pStyle w:val="FootnoteText"/>
      </w:pPr>
      <w:r>
        <w:rPr>
          <w:rStyle w:val="FootnoteReference"/>
        </w:rPr>
        <w:footnoteRef/>
      </w:r>
      <w:r>
        <w:t xml:space="preserve"> Earth station fees were previously increased by 7.5 percent.  </w:t>
      </w:r>
      <w:r w:rsidRPr="00D57181">
        <w:rPr>
          <w:i/>
        </w:rPr>
        <w:t>S</w:t>
      </w:r>
      <w:r w:rsidRPr="00D938BE">
        <w:rPr>
          <w:i/>
        </w:rPr>
        <w:t>ee</w:t>
      </w:r>
      <w:r>
        <w:t xml:space="preserve"> </w:t>
      </w:r>
      <w:r w:rsidRPr="00516905">
        <w:rPr>
          <w:i/>
        </w:rPr>
        <w:t>FY 2014 Report and Order</w:t>
      </w:r>
      <w:r>
        <w:t>, 29 FCC Rcd at 10772-73, para. 12.</w:t>
      </w:r>
    </w:p>
  </w:footnote>
  <w:footnote w:id="25">
    <w:p w:rsidR="00527D3A" w:rsidRDefault="00527D3A" w:rsidP="00C43815">
      <w:pPr>
        <w:pStyle w:val="FootnoteText"/>
      </w:pPr>
      <w:r>
        <w:rPr>
          <w:rStyle w:val="FootnoteReference"/>
        </w:rPr>
        <w:footnoteRef/>
      </w:r>
      <w:r>
        <w:t xml:space="preserve"> This issue was raised previously.  </w:t>
      </w:r>
      <w:r w:rsidRPr="00271A79">
        <w:rPr>
          <w:i/>
        </w:rPr>
        <w:t>S</w:t>
      </w:r>
      <w:r w:rsidRPr="00516905">
        <w:rPr>
          <w:i/>
        </w:rPr>
        <w:t>ee</w:t>
      </w:r>
      <w:r>
        <w:rPr>
          <w:i/>
        </w:rPr>
        <w:t>, e.g.,</w:t>
      </w:r>
      <w:r w:rsidRPr="00516905">
        <w:rPr>
          <w:i/>
        </w:rPr>
        <w:t xml:space="preserve"> FY 2014 </w:t>
      </w:r>
      <w:r>
        <w:rPr>
          <w:i/>
        </w:rPr>
        <w:t>NPRM,</w:t>
      </w:r>
      <w:r>
        <w:t xml:space="preserve"> 29 FCC Rcd at 6425-27, paras. 22-27.</w:t>
      </w:r>
    </w:p>
  </w:footnote>
  <w:footnote w:id="26">
    <w:p w:rsidR="00527D3A" w:rsidRDefault="00527D3A" w:rsidP="00BD33DE">
      <w:pPr>
        <w:pStyle w:val="FootnoteText"/>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r>
        <w:rPr>
          <w:color w:val="000000"/>
        </w:rPr>
        <w:t xml:space="preserve">  </w:t>
      </w:r>
    </w:p>
  </w:footnote>
  <w:footnote w:id="27">
    <w:p w:rsidR="00527D3A" w:rsidRDefault="00527D3A" w:rsidP="00EC4EF2">
      <w:pPr>
        <w:pStyle w:val="FootnoteText"/>
      </w:pPr>
      <w:r>
        <w:rPr>
          <w:rStyle w:val="FootnoteReference"/>
        </w:rPr>
        <w:footnoteRef/>
      </w:r>
      <w:r>
        <w:t xml:space="preserve"> Includes satellites, earth stations, and international bearer circuits (submarine cable systems and satellite and terrestrial bearer circuits).</w:t>
      </w:r>
    </w:p>
  </w:footnote>
  <w:footnote w:id="28">
    <w:p w:rsidR="00527D3A" w:rsidRDefault="00527D3A" w:rsidP="00EC4EF2">
      <w:pPr>
        <w:pStyle w:val="FootnoteText"/>
      </w:pPr>
      <w:r>
        <w:rPr>
          <w:rStyle w:val="FootnoteReference"/>
        </w:rPr>
        <w:footnoteRef/>
      </w:r>
      <w:r>
        <w:t xml:space="preserve"> Includes Commercial Mobile Radio Service (CMRS), CMRS messaging, Broadband Radio Service/Local Multipoint Distribution Service (BRS/LMDS), and multi-year wireless licensees.</w:t>
      </w:r>
    </w:p>
  </w:footnote>
  <w:footnote w:id="29">
    <w:p w:rsidR="00527D3A" w:rsidRDefault="00527D3A" w:rsidP="00EC4EF2">
      <w:pPr>
        <w:pStyle w:val="FootnoteText"/>
      </w:pPr>
      <w:r>
        <w:rPr>
          <w:rStyle w:val="FootnoteReference"/>
        </w:rPr>
        <w:footnoteRef/>
      </w:r>
      <w:r>
        <w:t xml:space="preserve"> Includes Interstate Telecommunications Service Providers (ITSP) and toll free numbers.</w:t>
      </w:r>
    </w:p>
  </w:footnote>
  <w:footnote w:id="30">
    <w:p w:rsidR="00527D3A" w:rsidRDefault="00527D3A" w:rsidP="00EC4EF2">
      <w:pPr>
        <w:pStyle w:val="FootnoteText"/>
      </w:pPr>
      <w:r>
        <w:rPr>
          <w:rStyle w:val="FootnoteReference"/>
        </w:rPr>
        <w:footnoteRef/>
      </w:r>
      <w:r>
        <w:t xml:space="preserve"> Includes AM radio, FM radio, television, low power/FM, cable and IPTV, DBS, and Cable Television Relay Service (CARS) licenses.</w:t>
      </w:r>
    </w:p>
  </w:footnote>
  <w:footnote w:id="31">
    <w:p w:rsidR="00527D3A" w:rsidRDefault="00527D3A" w:rsidP="00E62F4E">
      <w:pPr>
        <w:pStyle w:val="FootnoteText"/>
      </w:pPr>
      <w:r>
        <w:rPr>
          <w:rStyle w:val="FootnoteReference"/>
        </w:rPr>
        <w:footnoteRef/>
      </w:r>
      <w:r>
        <w:t xml:space="preserve"> </w:t>
      </w:r>
      <w:r w:rsidRPr="00B4597D">
        <w:rPr>
          <w:i/>
        </w:rPr>
        <w:t>FY 2014 Report and Order and FNPRM</w:t>
      </w:r>
      <w:r>
        <w:t>, 29 FCC Rcd at 10777-79, paras. 25-28.  We adopted this category for working</w:t>
      </w:r>
      <w:r w:rsidRPr="00810C0D">
        <w:t>, assigned</w:t>
      </w:r>
      <w:r>
        <w:t>,</w:t>
      </w:r>
      <w:r w:rsidRPr="00810C0D">
        <w:t xml:space="preserve"> and reserved </w:t>
      </w:r>
      <w:r>
        <w:t xml:space="preserve">toll free numbers and for toll free numbers that are in the “transit” status, </w:t>
      </w:r>
      <w:r w:rsidRPr="00810C0D">
        <w:t>or any other status</w:t>
      </w:r>
      <w:r>
        <w:t xml:space="preserve"> as defined in section 52.103 of the Commission’s rules.  T</w:t>
      </w:r>
      <w:r w:rsidRPr="007B65BD">
        <w:rPr>
          <w:szCs w:val="22"/>
        </w:rPr>
        <w:t>he regulatory fee</w:t>
      </w:r>
      <w:r>
        <w:rPr>
          <w:szCs w:val="22"/>
        </w:rPr>
        <w:t>,</w:t>
      </w:r>
      <w:r w:rsidRPr="007B65BD">
        <w:rPr>
          <w:szCs w:val="22"/>
        </w:rPr>
        <w:t xml:space="preserve"> assessed </w:t>
      </w:r>
      <w:r>
        <w:rPr>
          <w:szCs w:val="22"/>
        </w:rPr>
        <w:t xml:space="preserve">on </w:t>
      </w:r>
      <w:r w:rsidRPr="00222625">
        <w:t>Resp</w:t>
      </w:r>
      <w:r>
        <w:t xml:space="preserve">onsible </w:t>
      </w:r>
      <w:r w:rsidRPr="00222625">
        <w:t>Org</w:t>
      </w:r>
      <w:r>
        <w:t xml:space="preserve">anizations or </w:t>
      </w:r>
      <w:r>
        <w:rPr>
          <w:szCs w:val="22"/>
        </w:rPr>
        <w:t xml:space="preserve">RespOrgs, </w:t>
      </w:r>
      <w:r w:rsidRPr="007B65BD">
        <w:rPr>
          <w:szCs w:val="22"/>
        </w:rPr>
        <w:t>for toll</w:t>
      </w:r>
      <w:r>
        <w:rPr>
          <w:szCs w:val="22"/>
        </w:rPr>
        <w:t xml:space="preserve"> </w:t>
      </w:r>
      <w:r w:rsidRPr="007B65BD">
        <w:rPr>
          <w:szCs w:val="22"/>
        </w:rPr>
        <w:t>free numbers is limited to toll</w:t>
      </w:r>
      <w:r>
        <w:rPr>
          <w:szCs w:val="22"/>
        </w:rPr>
        <w:t xml:space="preserve"> </w:t>
      </w:r>
      <w:r w:rsidRPr="007B65BD">
        <w:rPr>
          <w:szCs w:val="22"/>
        </w:rPr>
        <w:t>free numbers that are accessible within the United States.</w:t>
      </w:r>
    </w:p>
  </w:footnote>
  <w:footnote w:id="32">
    <w:p w:rsidR="00527D3A" w:rsidRDefault="00527D3A" w:rsidP="009E0209">
      <w:pPr>
        <w:pStyle w:val="FootnoteText"/>
      </w:pPr>
      <w:r>
        <w:rPr>
          <w:rStyle w:val="FootnoteReference"/>
        </w:rPr>
        <w:footnoteRef/>
      </w:r>
      <w:r>
        <w:t xml:space="preserve"> A</w:t>
      </w:r>
      <w:r w:rsidRPr="00222625">
        <w:t xml:space="preserve"> Resp</w:t>
      </w:r>
      <w:r>
        <w:t xml:space="preserve">onsible </w:t>
      </w:r>
      <w:r w:rsidRPr="00222625">
        <w:t>Org</w:t>
      </w:r>
      <w:r>
        <w:t xml:space="preserve">anization or RespOrg </w:t>
      </w:r>
      <w:r w:rsidRPr="00222625">
        <w:t xml:space="preserve">is a company </w:t>
      </w:r>
      <w:r>
        <w:t>that</w:t>
      </w:r>
      <w:r w:rsidRPr="00222625">
        <w:t xml:space="preserve"> </w:t>
      </w:r>
      <w:r>
        <w:t>manages</w:t>
      </w:r>
      <w:r w:rsidRPr="00222625">
        <w:t xml:space="preserve"> toll</w:t>
      </w:r>
      <w:r>
        <w:t xml:space="preserve"> </w:t>
      </w:r>
      <w:r w:rsidRPr="00222625">
        <w:t xml:space="preserve">free telephone numbers </w:t>
      </w:r>
      <w:r>
        <w:t>for subscribers</w:t>
      </w:r>
      <w:r w:rsidRPr="00222625">
        <w:t>.</w:t>
      </w:r>
      <w:r w:rsidRPr="0053390F">
        <w:t xml:space="preserve"> </w:t>
      </w:r>
      <w:r>
        <w:t xml:space="preserve"> RespOrgs use the SMS/800 data base to verify the availability of specific numbers and to reserve the numbers for subscribers.</w:t>
      </w:r>
      <w:r w:rsidRPr="00B64A88">
        <w:t xml:space="preserve"> </w:t>
      </w:r>
      <w:r>
        <w:t xml:space="preserve"> </w:t>
      </w:r>
      <w:r w:rsidRPr="00995C9F">
        <w:rPr>
          <w:i/>
        </w:rPr>
        <w:t>See</w:t>
      </w:r>
      <w:r w:rsidRPr="00AF1916">
        <w:t xml:space="preserve"> 47 C.F.R. § 52.101(</w:t>
      </w:r>
      <w:r>
        <w:t>b</w:t>
      </w:r>
      <w:r w:rsidRPr="00AF1916">
        <w:t>).</w:t>
      </w:r>
      <w:r>
        <w:t xml:space="preserve">  ITTA contends that “it makes no sense to collect this fee from entities that already pay regulatory fees as ITSPs.”  ITTA Comments at 7-8.  </w:t>
      </w:r>
      <w:r w:rsidRPr="00891AAC">
        <w:rPr>
          <w:bCs/>
        </w:rPr>
        <w:t xml:space="preserve">In the </w:t>
      </w:r>
      <w:r w:rsidRPr="00891AAC">
        <w:rPr>
          <w:bCs/>
          <w:i/>
          <w:iCs/>
        </w:rPr>
        <w:t>FY 2014 Report and Order and FNPRM</w:t>
      </w:r>
      <w:r w:rsidRPr="00891AAC">
        <w:rPr>
          <w:bCs/>
          <w:snapToGrid w:val="0"/>
        </w:rPr>
        <w:t xml:space="preserve">, 29 FCC Rcd </w:t>
      </w:r>
      <w:r>
        <w:rPr>
          <w:bCs/>
          <w:snapToGrid w:val="0"/>
        </w:rPr>
        <w:t xml:space="preserve">at </w:t>
      </w:r>
      <w:r w:rsidRPr="00891AAC">
        <w:rPr>
          <w:bCs/>
          <w:snapToGrid w:val="0"/>
        </w:rPr>
        <w:t xml:space="preserve">10777-79, paras. 25-28, we explained </w:t>
      </w:r>
      <w:r>
        <w:rPr>
          <w:bCs/>
          <w:snapToGrid w:val="0"/>
        </w:rPr>
        <w:t xml:space="preserve">the issue in some detail.  </w:t>
      </w:r>
      <w:r w:rsidRPr="00891AAC">
        <w:rPr>
          <w:bCs/>
          <w:snapToGrid w:val="0"/>
        </w:rPr>
        <w:t xml:space="preserve">In particular, we noted that </w:t>
      </w:r>
      <w:r w:rsidRPr="00891AAC">
        <w:rPr>
          <w:bCs/>
        </w:rPr>
        <w:t>there may be many toll free numbers controlled or managed by RespOrgs</w:t>
      </w:r>
      <w:r>
        <w:rPr>
          <w:bCs/>
        </w:rPr>
        <w:t xml:space="preserve"> </w:t>
      </w:r>
      <w:r w:rsidRPr="00891AAC">
        <w:rPr>
          <w:bCs/>
        </w:rPr>
        <w:t xml:space="preserve">that </w:t>
      </w:r>
      <w:r>
        <w:rPr>
          <w:bCs/>
        </w:rPr>
        <w:t xml:space="preserve">in some cases are not carriers.  </w:t>
      </w:r>
      <w:r w:rsidRPr="00070296">
        <w:rPr>
          <w:bCs/>
        </w:rPr>
        <w:t>Commission FTEs in the Wireline Competition Bureau and the Enforcement Bureau work on toll free numbering issues</w:t>
      </w:r>
      <w:r>
        <w:rPr>
          <w:bCs/>
        </w:rPr>
        <w:t xml:space="preserve"> and other related activities.  </w:t>
      </w:r>
      <w:r w:rsidRPr="00891AAC">
        <w:rPr>
          <w:bCs/>
        </w:rPr>
        <w:t>As a result, the Commission adopted a regulatory fee for each toll free number</w:t>
      </w:r>
      <w:r>
        <w:rPr>
          <w:bCs/>
        </w:rPr>
        <w:t xml:space="preserve"> controlled or managed by the RespOrg</w:t>
      </w:r>
      <w:r w:rsidRPr="00891AAC">
        <w:rPr>
          <w:bCs/>
        </w:rPr>
        <w:t xml:space="preserve">, because many toll free numbers </w:t>
      </w:r>
      <w:r>
        <w:rPr>
          <w:bCs/>
        </w:rPr>
        <w:t xml:space="preserve">are </w:t>
      </w:r>
      <w:r w:rsidRPr="00891AAC">
        <w:rPr>
          <w:bCs/>
        </w:rPr>
        <w:t>controlled or managed by RespOrgs that are not carriers, and therefore, have not</w:t>
      </w:r>
      <w:r>
        <w:rPr>
          <w:bCs/>
        </w:rPr>
        <w:t xml:space="preserve"> been paying regulatory fees.  </w:t>
      </w:r>
      <w:r w:rsidRPr="00891AAC">
        <w:rPr>
          <w:bCs/>
        </w:rPr>
        <w:t xml:space="preserve">Because Commission FTEs work on toll free number regulation, we adopted </w:t>
      </w:r>
      <w:r>
        <w:rPr>
          <w:bCs/>
        </w:rPr>
        <w:t xml:space="preserve">the </w:t>
      </w:r>
      <w:r w:rsidRPr="00891AAC">
        <w:rPr>
          <w:bCs/>
        </w:rPr>
        <w:t>regulatory fee category for toll free numbers to</w:t>
      </w:r>
      <w:r>
        <w:rPr>
          <w:bCs/>
        </w:rPr>
        <w:t xml:space="preserve"> recover the associated costs.  </w:t>
      </w:r>
      <w:r w:rsidRPr="00891AAC">
        <w:rPr>
          <w:bCs/>
        </w:rPr>
        <w:t>It is also important to note that</w:t>
      </w:r>
      <w:r>
        <w:rPr>
          <w:bCs/>
        </w:rPr>
        <w:t xml:space="preserve"> t</w:t>
      </w:r>
      <w:r>
        <w:t xml:space="preserve">he amount assessed for toll free numbers reduces the total regulatory fee assessment for ITSPs.  In the </w:t>
      </w:r>
      <w:r w:rsidRPr="00A972E1">
        <w:rPr>
          <w:i/>
        </w:rPr>
        <w:t>FY 201</w:t>
      </w:r>
      <w:r>
        <w:rPr>
          <w:i/>
        </w:rPr>
        <w:t>4</w:t>
      </w:r>
      <w:r w:rsidRPr="00A972E1">
        <w:rPr>
          <w:i/>
        </w:rPr>
        <w:t xml:space="preserve"> Report and Order</w:t>
      </w:r>
      <w:r>
        <w:rPr>
          <w:i/>
        </w:rPr>
        <w:t xml:space="preserve"> and FNPRM</w:t>
      </w:r>
      <w:r>
        <w:t>, we stated that:  “Based on evaluation, the FTEs involved in toll free issues are primarily from the Wireline Competition Bureau. . . . Accordingly, a regulatory fee assessed on toll free numbers reduces the ITSP regulatory fee total.”</w:t>
      </w:r>
      <w:r w:rsidRPr="00BD59DB">
        <w:rPr>
          <w:i/>
        </w:rPr>
        <w:t xml:space="preserve"> </w:t>
      </w:r>
      <w:r w:rsidRPr="00A972E1">
        <w:rPr>
          <w:i/>
        </w:rPr>
        <w:t>FY 201</w:t>
      </w:r>
      <w:r>
        <w:rPr>
          <w:i/>
        </w:rPr>
        <w:t>4</w:t>
      </w:r>
      <w:r w:rsidRPr="00A972E1">
        <w:rPr>
          <w:i/>
        </w:rPr>
        <w:t xml:space="preserve"> Report and Order</w:t>
      </w:r>
      <w:r>
        <w:rPr>
          <w:i/>
        </w:rPr>
        <w:t xml:space="preserve"> and FNPRM</w:t>
      </w:r>
      <w:r>
        <w:t>, 29 FCC Rcd at 10778, para. 27 (footnote omitted).</w:t>
      </w:r>
    </w:p>
  </w:footnote>
  <w:footnote w:id="33">
    <w:p w:rsidR="00527D3A" w:rsidRDefault="00527D3A">
      <w:pPr>
        <w:pStyle w:val="FootnoteText"/>
      </w:pPr>
      <w:r>
        <w:rPr>
          <w:rStyle w:val="FootnoteReference"/>
        </w:rPr>
        <w:footnoteRef/>
      </w:r>
      <w:r>
        <w:t xml:space="preserve"> </w:t>
      </w:r>
      <w:r>
        <w:rPr>
          <w:i/>
        </w:rPr>
        <w:t>FY 2015 NPRM</w:t>
      </w:r>
      <w:r>
        <w:t>, 30 FCC Rcd at 5358, para. 10.</w:t>
      </w:r>
    </w:p>
  </w:footnote>
  <w:footnote w:id="34">
    <w:p w:rsidR="00527D3A" w:rsidRDefault="00527D3A" w:rsidP="00C26AE0">
      <w:pPr>
        <w:pStyle w:val="FootnoteText"/>
      </w:pPr>
      <w:r>
        <w:rPr>
          <w:rStyle w:val="FootnoteReference"/>
        </w:rPr>
        <w:footnoteRef/>
      </w:r>
      <w:r>
        <w:t xml:space="preserve"> </w:t>
      </w:r>
      <w:r w:rsidRPr="00A972E1">
        <w:rPr>
          <w:i/>
        </w:rPr>
        <w:t>See FY 201</w:t>
      </w:r>
      <w:r>
        <w:rPr>
          <w:i/>
        </w:rPr>
        <w:t>4</w:t>
      </w:r>
      <w:r w:rsidRPr="00A972E1">
        <w:rPr>
          <w:i/>
        </w:rPr>
        <w:t xml:space="preserve"> Report and Order</w:t>
      </w:r>
      <w:r>
        <w:rPr>
          <w:i/>
        </w:rPr>
        <w:t xml:space="preserve"> and FNPRM</w:t>
      </w:r>
      <w:r>
        <w:t>, 29 FCC Rcd at 10772, para. 11.</w:t>
      </w:r>
    </w:p>
  </w:footnote>
  <w:footnote w:id="35">
    <w:p w:rsidR="00527D3A" w:rsidRDefault="00527D3A" w:rsidP="00DF45DE">
      <w:pPr>
        <w:pStyle w:val="FootnoteText"/>
      </w:pPr>
      <w:r>
        <w:rPr>
          <w:rStyle w:val="FootnoteReference"/>
        </w:rPr>
        <w:footnoteRef/>
      </w:r>
      <w:r>
        <w:t xml:space="preserve"> </w:t>
      </w:r>
      <w:r w:rsidRPr="007E1DFF">
        <w:rPr>
          <w:i/>
        </w:rPr>
        <w:t>I</w:t>
      </w:r>
      <w:r>
        <w:rPr>
          <w:i/>
        </w:rPr>
        <w:t>d</w:t>
      </w:r>
      <w:r>
        <w:t>.</w:t>
      </w:r>
    </w:p>
  </w:footnote>
  <w:footnote w:id="36">
    <w:p w:rsidR="00527D3A" w:rsidRPr="00724FD9" w:rsidRDefault="00527D3A" w:rsidP="00B92981">
      <w:pPr>
        <w:pStyle w:val="FootnoteText"/>
      </w:pPr>
      <w:r w:rsidRPr="007678EE">
        <w:rPr>
          <w:rStyle w:val="FootnoteReference"/>
        </w:rPr>
        <w:footnoteRef/>
      </w:r>
      <w:r>
        <w:rPr>
          <w:i/>
          <w:iCs/>
        </w:rPr>
        <w:t xml:space="preserve"> </w:t>
      </w:r>
      <w:r w:rsidRPr="00EB50B3">
        <w:rPr>
          <w:i/>
        </w:rPr>
        <w:t xml:space="preserve">See </w:t>
      </w:r>
      <w:r w:rsidRPr="00EB50B3">
        <w:t>47 C.F.R. § 43.</w:t>
      </w:r>
      <w:r w:rsidRPr="00C51EFD">
        <w:t>62</w:t>
      </w:r>
      <w:r w:rsidRPr="00E369FD">
        <w:t>(</w:t>
      </w:r>
      <w:r w:rsidRPr="00C51EFD">
        <w:t>a</w:t>
      </w:r>
      <w:r w:rsidRPr="00E369FD">
        <w:t>)</w:t>
      </w:r>
      <w:r w:rsidRPr="00C51EFD">
        <w:t xml:space="preserve">(2); </w:t>
      </w:r>
      <w:r w:rsidRPr="00C51EFD">
        <w:rPr>
          <w:i/>
        </w:rPr>
        <w:t>Reporting Requirements for U.S. Providers of International Telecommunications Services; Amendment of Part 43 of the Commission’s Rules</w:t>
      </w:r>
      <w:r w:rsidRPr="00B92981">
        <w:t xml:space="preserve">, </w:t>
      </w:r>
      <w:r w:rsidRPr="00EB50B3">
        <w:t>IB Docket No. 04-112, Second Report and Order, 28 FCC Rcd 575, 601-08, paras. 89-108 (2013) (</w:t>
      </w:r>
      <w:r w:rsidRPr="00E369FD">
        <w:rPr>
          <w:i/>
        </w:rPr>
        <w:t>Second Report and Order</w:t>
      </w:r>
      <w:r w:rsidRPr="00C51EFD">
        <w:t xml:space="preserve">); </w:t>
      </w:r>
      <w:r w:rsidRPr="00E369FD">
        <w:rPr>
          <w:i/>
        </w:rPr>
        <w:t>id</w:t>
      </w:r>
      <w:r w:rsidRPr="00C51EFD">
        <w:t xml:space="preserve">. at 604, para. 98 (noting that submarine cable capacity holders will report circuit capacity, rather than circuit status, going forward), </w:t>
      </w:r>
      <w:r w:rsidRPr="002B1B38">
        <w:rPr>
          <w:i/>
        </w:rPr>
        <w:t>recon. dismissed</w:t>
      </w:r>
      <w:r w:rsidRPr="00EB50B3">
        <w:t xml:space="preserve">, Order, </w:t>
      </w:r>
      <w:r>
        <w:t xml:space="preserve">30 FCC Rcd 6318 </w:t>
      </w:r>
      <w:r w:rsidRPr="00EB50B3">
        <w:t>(Int’l Bur. 2015).</w:t>
      </w:r>
    </w:p>
  </w:footnote>
  <w:footnote w:id="37">
    <w:p w:rsidR="00527D3A" w:rsidRDefault="00527D3A" w:rsidP="00697E64">
      <w:pPr>
        <w:pStyle w:val="FootnoteText"/>
      </w:pPr>
      <w:r>
        <w:rPr>
          <w:rStyle w:val="FootnoteReference"/>
        </w:rPr>
        <w:footnoteRef/>
      </w:r>
      <w:r>
        <w:t xml:space="preserve"> </w:t>
      </w:r>
      <w:r>
        <w:rPr>
          <w:i/>
        </w:rPr>
        <w:t xml:space="preserve">See </w:t>
      </w:r>
      <w:r>
        <w:t>47 C.F.R. § 1.767(l).</w:t>
      </w:r>
    </w:p>
  </w:footnote>
  <w:footnote w:id="38">
    <w:p w:rsidR="00527D3A" w:rsidRPr="00D2293E" w:rsidRDefault="00527D3A">
      <w:pPr>
        <w:pStyle w:val="FootnoteText"/>
      </w:pPr>
      <w:r>
        <w:rPr>
          <w:rStyle w:val="FootnoteReference"/>
        </w:rPr>
        <w:footnoteRef/>
      </w:r>
      <w:r>
        <w:t xml:space="preserve"> </w:t>
      </w:r>
      <w:r w:rsidRPr="009A34AE">
        <w:rPr>
          <w:i/>
        </w:rPr>
        <w:t xml:space="preserve">FY 2015 </w:t>
      </w:r>
      <w:r w:rsidRPr="00772437">
        <w:rPr>
          <w:i/>
        </w:rPr>
        <w:t>NPRM</w:t>
      </w:r>
      <w:r>
        <w:t>, 30 FCC Rcd at 5358-59, para. 12.</w:t>
      </w:r>
    </w:p>
  </w:footnote>
  <w:footnote w:id="39">
    <w:p w:rsidR="00527D3A" w:rsidRDefault="00527D3A">
      <w:pPr>
        <w:pStyle w:val="FootnoteText"/>
      </w:pPr>
      <w:r>
        <w:rPr>
          <w:rStyle w:val="FootnoteReference"/>
        </w:rPr>
        <w:footnoteRef/>
      </w:r>
      <w:r>
        <w:t xml:space="preserve"> NASCA Comments at 2-3.</w:t>
      </w:r>
      <w:r w:rsidRPr="00C12899">
        <w:t xml:space="preserve"> </w:t>
      </w:r>
      <w:r>
        <w:t xml:space="preserve">(NASCA represents operators with 30 of the 42 </w:t>
      </w:r>
      <w:r w:rsidRPr="00F86EEB">
        <w:t>active systems landing in the United States</w:t>
      </w:r>
      <w:r>
        <w:t>.)</w:t>
      </w:r>
    </w:p>
  </w:footnote>
  <w:footnote w:id="40">
    <w:p w:rsidR="00527D3A" w:rsidRDefault="00527D3A">
      <w:pPr>
        <w:pStyle w:val="FootnoteText"/>
      </w:pPr>
      <w:r>
        <w:rPr>
          <w:rStyle w:val="FootnoteReference"/>
        </w:rPr>
        <w:footnoteRef/>
      </w:r>
      <w:r>
        <w:t xml:space="preserve"> NASCA Comments at 9.</w:t>
      </w:r>
    </w:p>
  </w:footnote>
  <w:footnote w:id="41">
    <w:p w:rsidR="00527D3A" w:rsidRDefault="00527D3A" w:rsidP="000668AE">
      <w:pPr>
        <w:pStyle w:val="FootnoteText"/>
      </w:pPr>
      <w:r>
        <w:rPr>
          <w:rStyle w:val="FootnoteReference"/>
        </w:rPr>
        <w:footnoteRef/>
      </w:r>
      <w:r>
        <w:t xml:space="preserve"> NASCA Comments at 11-13; Coalition Comments at 4-7 &amp; Reply Comments at 3. (The Coalition consists of Cedar Cable Ltd., Columbus Networks USA, Inc., GlobeNet Cabos Submarinos America, Inc., and GU Holdings Inc.).</w:t>
      </w:r>
    </w:p>
  </w:footnote>
  <w:footnote w:id="42">
    <w:p w:rsidR="00527D3A" w:rsidRDefault="00527D3A" w:rsidP="00B52717">
      <w:pPr>
        <w:pStyle w:val="FootnoteText"/>
      </w:pPr>
      <w:r>
        <w:rPr>
          <w:rStyle w:val="FootnoteReference"/>
        </w:rPr>
        <w:footnoteRef/>
      </w:r>
      <w:r>
        <w:t xml:space="preserve"> Coalition Comments at 8.</w:t>
      </w:r>
    </w:p>
  </w:footnote>
  <w:footnote w:id="43">
    <w:p w:rsidR="00527D3A" w:rsidRDefault="00527D3A">
      <w:pPr>
        <w:pStyle w:val="FootnoteText"/>
      </w:pPr>
      <w:r>
        <w:rPr>
          <w:rStyle w:val="FootnoteReference"/>
        </w:rPr>
        <w:footnoteRef/>
      </w:r>
      <w:r>
        <w:t xml:space="preserve"> Coalition Comments at 8.</w:t>
      </w:r>
    </w:p>
  </w:footnote>
  <w:footnote w:id="44">
    <w:p w:rsidR="00527D3A" w:rsidRDefault="00527D3A" w:rsidP="00E26D46">
      <w:pPr>
        <w:pStyle w:val="FootnoteText"/>
      </w:pPr>
      <w:r>
        <w:rPr>
          <w:rStyle w:val="FootnoteReference"/>
        </w:rPr>
        <w:footnoteRef/>
      </w:r>
      <w:r>
        <w:t xml:space="preserve"> EchoStar Comments at 5.</w:t>
      </w:r>
    </w:p>
  </w:footnote>
  <w:footnote w:id="45">
    <w:p w:rsidR="00527D3A" w:rsidRDefault="00527D3A">
      <w:pPr>
        <w:pStyle w:val="FootnoteText"/>
      </w:pPr>
      <w:r>
        <w:rPr>
          <w:rStyle w:val="FootnoteReference"/>
        </w:rPr>
        <w:footnoteRef/>
      </w:r>
      <w:r>
        <w:t xml:space="preserve"> </w:t>
      </w:r>
      <w:r w:rsidRPr="0014127A">
        <w:rPr>
          <w:i/>
        </w:rPr>
        <w:t>Assessment and Collection of Regulatory Fees for Fiscal Year 2008</w:t>
      </w:r>
      <w:r>
        <w:t>, Second Report and Order, 24 FCC Rcd 4208 (2009) (</w:t>
      </w:r>
      <w:r w:rsidRPr="0014127A">
        <w:rPr>
          <w:i/>
        </w:rPr>
        <w:t>Submarine Cable Order</w:t>
      </w:r>
      <w:r>
        <w:t>).</w:t>
      </w:r>
    </w:p>
  </w:footnote>
  <w:footnote w:id="46">
    <w:p w:rsidR="00527D3A" w:rsidRDefault="00527D3A">
      <w:pPr>
        <w:pStyle w:val="FootnoteText"/>
      </w:pPr>
      <w:r>
        <w:rPr>
          <w:rStyle w:val="FootnoteReference"/>
        </w:rPr>
        <w:footnoteRef/>
      </w:r>
      <w:r>
        <w:t xml:space="preserve"> </w:t>
      </w:r>
      <w:r w:rsidRPr="0014127A">
        <w:rPr>
          <w:i/>
        </w:rPr>
        <w:t>Submarine Cable Order</w:t>
      </w:r>
      <w:r>
        <w:t>, 24 FCC Rcd at 4214-17, paras. 13-22.</w:t>
      </w:r>
    </w:p>
  </w:footnote>
  <w:footnote w:id="47">
    <w:p w:rsidR="00527D3A" w:rsidRDefault="00527D3A">
      <w:pPr>
        <w:pStyle w:val="FootnoteText"/>
      </w:pPr>
      <w:r>
        <w:rPr>
          <w:rStyle w:val="FootnoteReference"/>
        </w:rPr>
        <w:footnoteRef/>
      </w:r>
      <w:r>
        <w:t xml:space="preserve"> The International Bureau reviews, processes, analyzes, and grants applications for submarine cable landing license applications, transfers, assignments, and modifications.  The bureau also</w:t>
      </w:r>
      <w:r w:rsidRPr="000E2106">
        <w:t xml:space="preserve"> </w:t>
      </w:r>
      <w:r>
        <w:t>coordinates processing of submarine cable landing license applications with the relevant Executive Branch agencies.</w:t>
      </w:r>
    </w:p>
  </w:footnote>
  <w:footnote w:id="48">
    <w:p w:rsidR="00527D3A" w:rsidRPr="006D35B4" w:rsidRDefault="00527D3A" w:rsidP="003C23DC">
      <w:pPr>
        <w:spacing w:after="120"/>
      </w:pPr>
      <w:r w:rsidRPr="007678EE">
        <w:rPr>
          <w:rStyle w:val="FootnoteReference"/>
        </w:rPr>
        <w:footnoteRef/>
      </w:r>
      <w:r>
        <w:rPr>
          <w:i/>
          <w:iCs/>
          <w:sz w:val="20"/>
        </w:rPr>
        <w:t xml:space="preserve"> </w:t>
      </w:r>
      <w:r w:rsidRPr="006D35B4">
        <w:rPr>
          <w:i/>
          <w:iCs/>
          <w:sz w:val="20"/>
        </w:rPr>
        <w:t>See Second Report and Order</w:t>
      </w:r>
      <w:r>
        <w:rPr>
          <w:iCs/>
          <w:sz w:val="20"/>
        </w:rPr>
        <w:t>, 28 FCC Rcd at 601-08, paras. 89-108.</w:t>
      </w:r>
    </w:p>
  </w:footnote>
  <w:footnote w:id="49">
    <w:p w:rsidR="00527D3A" w:rsidRDefault="00527D3A" w:rsidP="003C23DC">
      <w:pPr>
        <w:pStyle w:val="FootnoteText"/>
      </w:pPr>
      <w:r>
        <w:rPr>
          <w:rStyle w:val="FootnoteReference"/>
        </w:rPr>
        <w:footnoteRef/>
      </w:r>
      <w:r>
        <w:t xml:space="preserve"> </w:t>
      </w:r>
      <w:r>
        <w:rPr>
          <w:i/>
        </w:rPr>
        <w:t xml:space="preserve">See </w:t>
      </w:r>
      <w:r>
        <w:t>47 C.F.R. § 1.767(l).</w:t>
      </w:r>
      <w:r w:rsidRPr="003F3F27">
        <w:t xml:space="preserve"> </w:t>
      </w:r>
      <w:r>
        <w:t xml:space="preserve"> The International Bureau </w:t>
      </w:r>
      <w:r w:rsidRPr="003F3F27">
        <w:t>reviews Part 43 submarine cable circuit capacity and traffic and revenue filings, and compiles and publishes annual industry analysis reports based on that data</w:t>
      </w:r>
      <w:r>
        <w:t>.</w:t>
      </w:r>
    </w:p>
  </w:footnote>
  <w:footnote w:id="50">
    <w:p w:rsidR="00527D3A" w:rsidRDefault="00527D3A" w:rsidP="009E1004">
      <w:pPr>
        <w:pStyle w:val="FootnoteText"/>
      </w:pPr>
      <w:r>
        <w:rPr>
          <w:rStyle w:val="FootnoteReference"/>
        </w:rPr>
        <w:footnoteRef/>
      </w:r>
      <w:r>
        <w:t xml:space="preserve"> </w:t>
      </w:r>
      <w:r w:rsidRPr="00E202EB">
        <w:rPr>
          <w:i/>
        </w:rPr>
        <w:t>See, e.g.</w:t>
      </w:r>
      <w:r>
        <w:t xml:space="preserve">, </w:t>
      </w:r>
      <w:r w:rsidRPr="00A7303C">
        <w:rPr>
          <w:i/>
        </w:rPr>
        <w:t>International Settlement Rates</w:t>
      </w:r>
      <w:r w:rsidRPr="00A7303C">
        <w:t>, IB Docket No. 96-261, Report and Order, 12 FCC Rcd 19806 (1997) (</w:t>
      </w:r>
      <w:r w:rsidRPr="00A7303C">
        <w:rPr>
          <w:i/>
        </w:rPr>
        <w:t>Benchmarks Order</w:t>
      </w:r>
      <w:r w:rsidRPr="00A7303C">
        <w:t>); Report and Order on Reconsideration and Order Lifting Stay, 14 FCC Rcd 9256 (1999) (</w:t>
      </w:r>
      <w:r w:rsidRPr="00A7303C">
        <w:rPr>
          <w:i/>
        </w:rPr>
        <w:t>Benchmarks Reconsideration Order</w:t>
      </w:r>
      <w:r w:rsidRPr="00A7303C">
        <w:t xml:space="preserve">); </w:t>
      </w:r>
      <w:r w:rsidRPr="00A7303C">
        <w:rPr>
          <w:i/>
        </w:rPr>
        <w:t>aff’d sub nom. Cable &amp; Wireless</w:t>
      </w:r>
      <w:r w:rsidRPr="00A7303C">
        <w:t xml:space="preserve">, 166 F.3d 1224.  </w:t>
      </w:r>
    </w:p>
  </w:footnote>
  <w:footnote w:id="51">
    <w:p w:rsidR="00527D3A" w:rsidRDefault="00527D3A" w:rsidP="001C0478">
      <w:pPr>
        <w:pStyle w:val="FootnoteText"/>
      </w:pPr>
      <w:r>
        <w:rPr>
          <w:rStyle w:val="FootnoteReference"/>
        </w:rPr>
        <w:footnoteRef/>
      </w:r>
      <w:r>
        <w:t xml:space="preserve"> </w:t>
      </w:r>
      <w:r w:rsidRPr="00A863B2">
        <w:rPr>
          <w:i/>
        </w:rPr>
        <w:t>FY 2014 Report and Order</w:t>
      </w:r>
      <w:r>
        <w:t>, 29 FCC Rcd at 10772, para. 11.</w:t>
      </w:r>
    </w:p>
  </w:footnote>
  <w:footnote w:id="52">
    <w:p w:rsidR="00527D3A" w:rsidRDefault="00527D3A" w:rsidP="00C179F7">
      <w:pPr>
        <w:pStyle w:val="FootnoteText"/>
      </w:pPr>
      <w:r>
        <w:rPr>
          <w:rStyle w:val="FootnoteReference"/>
        </w:rPr>
        <w:footnoteRef/>
      </w:r>
      <w:r>
        <w:t xml:space="preserve"> </w:t>
      </w:r>
      <w:r w:rsidRPr="000333E4">
        <w:rPr>
          <w:i/>
        </w:rPr>
        <w:t>FY 2013 NPRM</w:t>
      </w:r>
      <w:r>
        <w:t xml:space="preserve">, 28 FCC Rcd at 7800-7803, paras. 24-29; </w:t>
      </w:r>
      <w:r w:rsidRPr="000333E4">
        <w:rPr>
          <w:i/>
        </w:rPr>
        <w:t>FY 2014 NPRM</w:t>
      </w:r>
      <w:r>
        <w:t xml:space="preserve">, 29 FCC Rcd at 6427-28, para. 28; </w:t>
      </w:r>
      <w:r w:rsidRPr="000333E4">
        <w:rPr>
          <w:i/>
        </w:rPr>
        <w:t>FY 2015 NPRM</w:t>
      </w:r>
      <w:r>
        <w:rPr>
          <w:i/>
        </w:rPr>
        <w:t xml:space="preserve">, </w:t>
      </w:r>
      <w:r>
        <w:t>30 FCC Rcd at 5358-59, para. 12.</w:t>
      </w:r>
    </w:p>
  </w:footnote>
  <w:footnote w:id="53">
    <w:p w:rsidR="00527D3A" w:rsidRDefault="00527D3A">
      <w:pPr>
        <w:pStyle w:val="FootnoteText"/>
      </w:pPr>
      <w:r>
        <w:rPr>
          <w:rStyle w:val="FootnoteReference"/>
        </w:rPr>
        <w:footnoteRef/>
      </w:r>
      <w:r>
        <w:t xml:space="preserve"> The actual decrease adopted herein is higher than 7.5 percent due to the reallocation of four direct FTEs, discussed in para. 24, because the submarine cable percentage of International Bureau regulatory fees was </w:t>
      </w:r>
      <w:r w:rsidRPr="00CC1E74">
        <w:t xml:space="preserve">31.36 percent </w:t>
      </w:r>
      <w:r>
        <w:t xml:space="preserve">in FY 2014 and will be </w:t>
      </w:r>
      <w:r w:rsidRPr="00CC1E74">
        <w:t xml:space="preserve">24.85 percent in </w:t>
      </w:r>
      <w:r>
        <w:t xml:space="preserve">FY </w:t>
      </w:r>
      <w:r w:rsidRPr="00CC1E74">
        <w:t>2015, a reduction of more than 20 percent</w:t>
      </w:r>
      <w:r>
        <w:t>.</w:t>
      </w:r>
    </w:p>
  </w:footnote>
  <w:footnote w:id="54">
    <w:p w:rsidR="00527D3A" w:rsidRDefault="00527D3A" w:rsidP="000F3CDE">
      <w:pPr>
        <w:pStyle w:val="FootnoteText"/>
      </w:pPr>
      <w:r>
        <w:rPr>
          <w:rStyle w:val="FootnoteReference"/>
        </w:rPr>
        <w:footnoteRef/>
      </w:r>
      <w:r>
        <w:t xml:space="preserve"> </w:t>
      </w:r>
      <w:r w:rsidRPr="00C76998">
        <w:rPr>
          <w:i/>
        </w:rPr>
        <w:t xml:space="preserve">See </w:t>
      </w:r>
      <w:r w:rsidRPr="000333E4">
        <w:rPr>
          <w:i/>
        </w:rPr>
        <w:t>FY 2013 NPRM</w:t>
      </w:r>
      <w:r>
        <w:t xml:space="preserve">, 28 FCC Rcd at 7800-7803, paras. 24-29; </w:t>
      </w:r>
      <w:r w:rsidRPr="000333E4">
        <w:rPr>
          <w:i/>
        </w:rPr>
        <w:t>FY 2014 NPRM</w:t>
      </w:r>
      <w:r>
        <w:t xml:space="preserve">, 29 FCC Rcd at 6427-28, para. 28; </w:t>
      </w:r>
      <w:r w:rsidRPr="000333E4">
        <w:rPr>
          <w:i/>
        </w:rPr>
        <w:t>FY 2015 NPRM</w:t>
      </w:r>
      <w:r>
        <w:rPr>
          <w:i/>
        </w:rPr>
        <w:t xml:space="preserve">, </w:t>
      </w:r>
      <w:r>
        <w:t>30 FCC Rcd at 5358-59, para. 12.</w:t>
      </w:r>
    </w:p>
  </w:footnote>
  <w:footnote w:id="55">
    <w:p w:rsidR="00527D3A" w:rsidRDefault="00527D3A" w:rsidP="00224688">
      <w:pPr>
        <w:pStyle w:val="FootnoteText"/>
      </w:pPr>
      <w:r>
        <w:rPr>
          <w:rStyle w:val="FootnoteReference"/>
        </w:rPr>
        <w:footnoteRef/>
      </w:r>
      <w:r>
        <w:t xml:space="preserve"> </w:t>
      </w:r>
      <w:r w:rsidRPr="00AC5A11">
        <w:rPr>
          <w:i/>
        </w:rPr>
        <w:t>FY 201</w:t>
      </w:r>
      <w:r>
        <w:rPr>
          <w:i/>
        </w:rPr>
        <w:t>4 NPRM</w:t>
      </w:r>
      <w:r>
        <w:t>, 29 FCC Rcd at 6428, para. 29.</w:t>
      </w:r>
      <w:r w:rsidRPr="007A11F8">
        <w:t xml:space="preserve"> </w:t>
      </w:r>
      <w:r>
        <w:t xml:space="preserve"> </w:t>
      </w:r>
    </w:p>
  </w:footnote>
  <w:footnote w:id="56">
    <w:p w:rsidR="00527D3A" w:rsidRDefault="00527D3A" w:rsidP="00224688">
      <w:pPr>
        <w:pStyle w:val="FootnoteText"/>
      </w:pPr>
      <w:r>
        <w:rPr>
          <w:rStyle w:val="FootnoteReference"/>
        </w:rPr>
        <w:footnoteRef/>
      </w:r>
      <w:r>
        <w:t xml:space="preserve"> </w:t>
      </w:r>
      <w:r>
        <w:rPr>
          <w:i/>
        </w:rPr>
        <w:t>Id.</w:t>
      </w:r>
      <w:r>
        <w:t>, 29 FCC Rcd at 6428, para. 29.</w:t>
      </w:r>
    </w:p>
  </w:footnote>
  <w:footnote w:id="57">
    <w:p w:rsidR="00527D3A" w:rsidRDefault="00527D3A" w:rsidP="0077200F">
      <w:pPr>
        <w:pStyle w:val="FootnoteText"/>
      </w:pPr>
      <w:r>
        <w:rPr>
          <w:rStyle w:val="FootnoteReference"/>
        </w:rPr>
        <w:footnoteRef/>
      </w:r>
      <w:r>
        <w:t xml:space="preserve"> </w:t>
      </w:r>
      <w:r w:rsidRPr="00516905">
        <w:rPr>
          <w:i/>
        </w:rPr>
        <w:t>See FY 2014 Report and Order</w:t>
      </w:r>
      <w:r>
        <w:t>, 29 FCC Rcd at 10772-73, para. 12.</w:t>
      </w:r>
    </w:p>
  </w:footnote>
  <w:footnote w:id="58">
    <w:p w:rsidR="00527D3A" w:rsidRDefault="00527D3A">
      <w:pPr>
        <w:pStyle w:val="FootnoteText"/>
      </w:pPr>
      <w:r>
        <w:rPr>
          <w:rStyle w:val="FootnoteReference"/>
        </w:rPr>
        <w:footnoteRef/>
      </w:r>
      <w:r>
        <w:t xml:space="preserve"> </w:t>
      </w:r>
      <w:r w:rsidRPr="00623801">
        <w:rPr>
          <w:i/>
        </w:rPr>
        <w:t>FY 2015 NPRM</w:t>
      </w:r>
      <w:r>
        <w:t>, 30 FCC Rcd at 5360, para. 14.</w:t>
      </w:r>
    </w:p>
  </w:footnote>
  <w:footnote w:id="59">
    <w:p w:rsidR="00527D3A" w:rsidRDefault="00527D3A">
      <w:pPr>
        <w:pStyle w:val="FootnoteText"/>
      </w:pPr>
      <w:r>
        <w:rPr>
          <w:rStyle w:val="FootnoteReference"/>
        </w:rPr>
        <w:footnoteRef/>
      </w:r>
      <w:r>
        <w:t xml:space="preserve"> </w:t>
      </w:r>
      <w:r w:rsidRPr="0014127A">
        <w:rPr>
          <w:i/>
        </w:rPr>
        <w:t>See</w:t>
      </w:r>
      <w:r>
        <w:t xml:space="preserve"> EchoStar July 20, 2015 ex parte.</w:t>
      </w:r>
    </w:p>
  </w:footnote>
  <w:footnote w:id="60">
    <w:p w:rsidR="00527D3A" w:rsidRDefault="00527D3A">
      <w:pPr>
        <w:pStyle w:val="FootnoteText"/>
      </w:pPr>
      <w:r>
        <w:rPr>
          <w:rStyle w:val="FootnoteReference"/>
        </w:rPr>
        <w:footnoteRef/>
      </w:r>
      <w:r>
        <w:t xml:space="preserve"> </w:t>
      </w:r>
      <w:r w:rsidRPr="0014127A">
        <w:rPr>
          <w:i/>
        </w:rPr>
        <w:t>See</w:t>
      </w:r>
      <w:r>
        <w:rPr>
          <w:i/>
        </w:rPr>
        <w:t xml:space="preserve"> id</w:t>
      </w:r>
      <w:r>
        <w:t>.</w:t>
      </w:r>
    </w:p>
  </w:footnote>
  <w:footnote w:id="61">
    <w:p w:rsidR="00527D3A" w:rsidRDefault="00527D3A">
      <w:pPr>
        <w:pStyle w:val="FootnoteText"/>
      </w:pPr>
      <w:r>
        <w:rPr>
          <w:rStyle w:val="FootnoteReference"/>
        </w:rPr>
        <w:footnoteRef/>
      </w:r>
      <w:r>
        <w:t xml:space="preserve"> </w:t>
      </w:r>
      <w:r w:rsidRPr="00EA310A">
        <w:rPr>
          <w:i/>
        </w:rPr>
        <w:t>FY 2013 Report and Order</w:t>
      </w:r>
      <w:r>
        <w:t>, 28 FCC Rcd at 12355-56, para. 14.</w:t>
      </w:r>
    </w:p>
  </w:footnote>
  <w:footnote w:id="62">
    <w:p w:rsidR="00527D3A" w:rsidRDefault="00527D3A">
      <w:pPr>
        <w:pStyle w:val="FootnoteText"/>
      </w:pPr>
      <w:r>
        <w:rPr>
          <w:rStyle w:val="FootnoteReference"/>
        </w:rPr>
        <w:footnoteRef/>
      </w:r>
      <w:r>
        <w:t xml:space="preserve"> </w:t>
      </w:r>
      <w:r>
        <w:rPr>
          <w:i/>
        </w:rPr>
        <w:t>Id.</w:t>
      </w:r>
      <w:r>
        <w:t>, 28 FCC Rcd at 12356, para. 14.</w:t>
      </w:r>
    </w:p>
  </w:footnote>
  <w:footnote w:id="63">
    <w:p w:rsidR="00527D3A" w:rsidRPr="00790B92" w:rsidRDefault="00527D3A" w:rsidP="003F588D">
      <w:pPr>
        <w:pStyle w:val="FootnoteText"/>
      </w:pPr>
      <w:r w:rsidRPr="00790B92">
        <w:rPr>
          <w:rStyle w:val="FootnoteReference"/>
        </w:rPr>
        <w:footnoteRef/>
      </w:r>
      <w:r w:rsidRPr="00790B92">
        <w:t xml:space="preserve"> </w:t>
      </w:r>
      <w:r w:rsidRPr="00790B92">
        <w:rPr>
          <w:i/>
        </w:rPr>
        <w:t>FY 2013 Report and Order</w:t>
      </w:r>
      <w:r w:rsidRPr="00790B92">
        <w:t>, 28 FCC Rcd at 12357, para. 19</w:t>
      </w:r>
      <w:r>
        <w:t xml:space="preserve">.  The Commission observed that the International Bureau was a “singular case” because the work of those FTEs “primarily benefits licensees regulated by other bureaus.”  </w:t>
      </w:r>
      <w:r w:rsidRPr="003F588D">
        <w:rPr>
          <w:i/>
        </w:rPr>
        <w:t>Id</w:t>
      </w:r>
      <w:r>
        <w:t>., 28 FCC Rcd at 12355, para. 14.</w:t>
      </w:r>
    </w:p>
  </w:footnote>
  <w:footnote w:id="64">
    <w:p w:rsidR="00527D3A" w:rsidRDefault="00527D3A" w:rsidP="00E468A0">
      <w:pPr>
        <w:pStyle w:val="FootnoteText"/>
      </w:pPr>
      <w:r>
        <w:rPr>
          <w:rStyle w:val="FootnoteReference"/>
        </w:rPr>
        <w:footnoteRef/>
      </w:r>
      <w:r>
        <w:t xml:space="preserve"> SIA Comments at 8-11; EchoStar Comments at 3-4.  CTIA observes that excluding one type of licensee, such as satellite providers, from contributing to indirect costs would threaten the administrability of the regulatory fee program.  CTIA Reply Comments at 5.  We interpret this proposal as asking us to determine how many indirect FTEs work on issues pertaining to all core bureau licensees.    </w:t>
      </w:r>
    </w:p>
  </w:footnote>
  <w:footnote w:id="65">
    <w:p w:rsidR="00527D3A" w:rsidRDefault="00527D3A" w:rsidP="008D0BE3">
      <w:pPr>
        <w:pStyle w:val="FootnoteText"/>
      </w:pPr>
      <w:r>
        <w:rPr>
          <w:rStyle w:val="FootnoteReference"/>
        </w:rPr>
        <w:footnoteRef/>
      </w:r>
      <w:r>
        <w:t xml:space="preserve"> SIA Comments at 8.</w:t>
      </w:r>
    </w:p>
  </w:footnote>
  <w:footnote w:id="66">
    <w:p w:rsidR="00527D3A" w:rsidRDefault="00527D3A" w:rsidP="008D0BE3">
      <w:pPr>
        <w:pStyle w:val="FootnoteText"/>
      </w:pPr>
      <w:r>
        <w:rPr>
          <w:rStyle w:val="FootnoteReference"/>
        </w:rPr>
        <w:footnoteRef/>
      </w:r>
      <w:r>
        <w:t xml:space="preserve"> SIA Comments at 8.</w:t>
      </w:r>
    </w:p>
  </w:footnote>
  <w:footnote w:id="67">
    <w:p w:rsidR="00527D3A" w:rsidRDefault="00527D3A" w:rsidP="008D0BE3">
      <w:pPr>
        <w:pStyle w:val="FootnoteText"/>
      </w:pPr>
      <w:r>
        <w:rPr>
          <w:rStyle w:val="FootnoteReference"/>
        </w:rPr>
        <w:footnoteRef/>
      </w:r>
      <w:r>
        <w:t xml:space="preserve"> For a brief description of the Enforcement Bureau divisions, </w:t>
      </w:r>
      <w:r w:rsidRPr="00196F8D">
        <w:rPr>
          <w:i/>
        </w:rPr>
        <w:t>see</w:t>
      </w:r>
      <w:r>
        <w:t xml:space="preserve"> </w:t>
      </w:r>
      <w:hyperlink r:id="rId1" w:history="1">
        <w:r w:rsidRPr="00DF76B9">
          <w:rPr>
            <w:rStyle w:val="Hyperlink"/>
          </w:rPr>
          <w:t>https://www.fcc.gov/encyclopedia/enforcement-bureau-organization</w:t>
        </w:r>
      </w:hyperlink>
      <w:r>
        <w:t xml:space="preserve">.  </w:t>
      </w:r>
    </w:p>
  </w:footnote>
  <w:footnote w:id="68">
    <w:p w:rsidR="00527D3A" w:rsidRDefault="00527D3A">
      <w:pPr>
        <w:pStyle w:val="FootnoteText"/>
      </w:pPr>
      <w:r>
        <w:rPr>
          <w:rStyle w:val="FootnoteReference"/>
        </w:rPr>
        <w:footnoteRef/>
      </w:r>
      <w:r>
        <w:t xml:space="preserve"> EchoStar Comments at 4.  We note that currently International Bureau licensees are 5.43% of the direct FTEs and therefore 5.43% of the indirect FTEs are assigned to the International Bureau licensees, which is lower than the 7% EchoStar is proposing.</w:t>
      </w:r>
    </w:p>
  </w:footnote>
  <w:footnote w:id="69">
    <w:p w:rsidR="00527D3A" w:rsidRDefault="00527D3A" w:rsidP="00816754">
      <w:pPr>
        <w:pStyle w:val="FootnoteText"/>
      </w:pPr>
      <w:r>
        <w:rPr>
          <w:rStyle w:val="FootnoteReference"/>
        </w:rPr>
        <w:footnoteRef/>
      </w:r>
      <w:r>
        <w:t xml:space="preserve"> SIA Comments at 10.</w:t>
      </w:r>
    </w:p>
  </w:footnote>
  <w:footnote w:id="70">
    <w:p w:rsidR="00527D3A" w:rsidRDefault="00527D3A">
      <w:pPr>
        <w:pStyle w:val="FootnoteText"/>
      </w:pPr>
      <w:r>
        <w:rPr>
          <w:rStyle w:val="FootnoteReference"/>
        </w:rPr>
        <w:footnoteRef/>
      </w:r>
      <w:r>
        <w:t xml:space="preserve"> NAB Comments at 4.</w:t>
      </w:r>
    </w:p>
  </w:footnote>
  <w:footnote w:id="71">
    <w:p w:rsidR="00527D3A" w:rsidRDefault="00527D3A">
      <w:pPr>
        <w:pStyle w:val="FootnoteText"/>
      </w:pPr>
      <w:r>
        <w:rPr>
          <w:rStyle w:val="FootnoteReference"/>
        </w:rPr>
        <w:footnoteRef/>
      </w:r>
      <w:r>
        <w:t xml:space="preserve"> SIA Comments at 12.</w:t>
      </w:r>
    </w:p>
  </w:footnote>
  <w:footnote w:id="72">
    <w:p w:rsidR="00527D3A" w:rsidRPr="00790B92" w:rsidRDefault="00527D3A" w:rsidP="00A36D20">
      <w:pPr>
        <w:pStyle w:val="FootnoteText"/>
      </w:pPr>
      <w:r w:rsidRPr="00790B92">
        <w:rPr>
          <w:rStyle w:val="FootnoteReference"/>
        </w:rPr>
        <w:footnoteRef/>
      </w:r>
      <w:r w:rsidRPr="00790B92">
        <w:t xml:space="preserve"> </w:t>
      </w:r>
      <w:r w:rsidRPr="00790B92">
        <w:rPr>
          <w:i/>
        </w:rPr>
        <w:t>See, e.g.</w:t>
      </w:r>
      <w:r w:rsidRPr="00790B92">
        <w:t xml:space="preserve"> the FCC’s FY 2015 appropriation statute, the Consolidated and Further Continuing Appropriations Act, 2015, Pub.L. 113-235, 128 Stat. 2130 (2014)</w:t>
      </w:r>
      <w:r>
        <w:t>.</w:t>
      </w:r>
    </w:p>
  </w:footnote>
  <w:footnote w:id="73">
    <w:p w:rsidR="00527D3A" w:rsidRDefault="00527D3A">
      <w:pPr>
        <w:pStyle w:val="FootnoteText"/>
      </w:pPr>
      <w:r>
        <w:rPr>
          <w:rStyle w:val="FootnoteReference"/>
        </w:rPr>
        <w:footnoteRef/>
      </w:r>
      <w:r>
        <w:t xml:space="preserve"> </w:t>
      </w:r>
      <w:r w:rsidRPr="003C7E29">
        <w:rPr>
          <w:i/>
        </w:rPr>
        <w:t>FY 2015 NPRM</w:t>
      </w:r>
      <w:r w:rsidRPr="001E72C5">
        <w:t>, 30 FCC Rcd at 5358,</w:t>
      </w:r>
      <w:r>
        <w:rPr>
          <w:i/>
        </w:rPr>
        <w:t xml:space="preserve"> </w:t>
      </w:r>
      <w:r>
        <w:t>para. 9.</w:t>
      </w:r>
    </w:p>
  </w:footnote>
  <w:footnote w:id="74">
    <w:p w:rsidR="00527D3A" w:rsidRDefault="00527D3A">
      <w:pPr>
        <w:pStyle w:val="FootnoteText"/>
      </w:pPr>
      <w:r>
        <w:rPr>
          <w:rStyle w:val="FootnoteReference"/>
        </w:rPr>
        <w:footnoteRef/>
      </w:r>
      <w:r>
        <w:t xml:space="preserve"> NCTA &amp; ACA Comments at 2-6 &amp; Reply Comments at 4-6; ITTA Comments at 5-7.</w:t>
      </w:r>
    </w:p>
  </w:footnote>
  <w:footnote w:id="75">
    <w:p w:rsidR="00527D3A" w:rsidRDefault="00527D3A" w:rsidP="00E67578">
      <w:pPr>
        <w:pStyle w:val="FootnoteText"/>
      </w:pPr>
      <w:r>
        <w:rPr>
          <w:rStyle w:val="FootnoteReference"/>
        </w:rPr>
        <w:footnoteRef/>
      </w:r>
      <w:r>
        <w:t xml:space="preserve"> DIRECTV Comments at 3-5 &amp; Reply Comments at 3-4 (arguing that if we adopt a fee it should be the 12 cents proposed); DISH Reply Comments at 4-5.</w:t>
      </w:r>
    </w:p>
  </w:footnote>
  <w:footnote w:id="76">
    <w:p w:rsidR="00527D3A" w:rsidRDefault="00527D3A" w:rsidP="00EC39EA">
      <w:pPr>
        <w:pStyle w:val="FootnoteText"/>
      </w:pPr>
      <w:r>
        <w:rPr>
          <w:rStyle w:val="FootnoteReference"/>
        </w:rPr>
        <w:footnoteRef/>
      </w:r>
      <w:r>
        <w:t xml:space="preserve"> </w:t>
      </w:r>
      <w:r w:rsidRPr="00BF29CE">
        <w:rPr>
          <w:i/>
        </w:rPr>
        <w:t xml:space="preserve">See FY 2015 </w:t>
      </w:r>
      <w:r>
        <w:rPr>
          <w:i/>
        </w:rPr>
        <w:t>Fee Reform Report and Order,</w:t>
      </w:r>
      <w:r>
        <w:t xml:space="preserve"> 30 FCC Rcd at 5367-68, para. 31.  </w:t>
      </w:r>
    </w:p>
  </w:footnote>
  <w:footnote w:id="77">
    <w:p w:rsidR="00527D3A" w:rsidRPr="00A1103B" w:rsidRDefault="00527D3A" w:rsidP="00EC39EA">
      <w:pPr>
        <w:pStyle w:val="FootnoteText"/>
      </w:pPr>
      <w:r w:rsidRPr="00A1103B">
        <w:rPr>
          <w:rStyle w:val="FootnoteReference"/>
        </w:rPr>
        <w:footnoteRef/>
      </w:r>
      <w:r w:rsidRPr="00A1103B">
        <w:t xml:space="preserve"> 47 U.S.C. § 548; 47 C.F.R. § 76.1000-1004.</w:t>
      </w:r>
    </w:p>
  </w:footnote>
  <w:footnote w:id="78">
    <w:p w:rsidR="00527D3A" w:rsidRPr="00A1103B" w:rsidRDefault="00527D3A" w:rsidP="00EC39EA">
      <w:pPr>
        <w:pStyle w:val="FootnoteText"/>
      </w:pPr>
      <w:r w:rsidRPr="00A1103B">
        <w:rPr>
          <w:rStyle w:val="FootnoteReference"/>
        </w:rPr>
        <w:footnoteRef/>
      </w:r>
      <w:r w:rsidRPr="00A1103B">
        <w:t xml:space="preserve"> 47 U.S.C. §§</w:t>
      </w:r>
      <w:r>
        <w:t xml:space="preserve"> </w:t>
      </w:r>
      <w:r w:rsidRPr="00A1103B">
        <w:t>325(b)(1), (3)(C)(ii); 47 C.F.R. § 76.65(b).</w:t>
      </w:r>
    </w:p>
  </w:footnote>
  <w:footnote w:id="79">
    <w:p w:rsidR="00527D3A" w:rsidRDefault="00527D3A" w:rsidP="00EC39EA">
      <w:pPr>
        <w:pStyle w:val="FootnoteText"/>
      </w:pPr>
      <w:r>
        <w:rPr>
          <w:rStyle w:val="FootnoteReference"/>
        </w:rPr>
        <w:footnoteRef/>
      </w:r>
      <w:r>
        <w:t xml:space="preserve"> </w:t>
      </w:r>
      <w:r w:rsidRPr="00A1103B">
        <w:t>47 U.S.C. § 5</w:t>
      </w:r>
      <w:r>
        <w:t>36; 47 C.F.R. §</w:t>
      </w:r>
      <w:r w:rsidRPr="00A1103B">
        <w:t>§</w:t>
      </w:r>
      <w:r>
        <w:t xml:space="preserve"> </w:t>
      </w:r>
      <w:r w:rsidRPr="00A1103B">
        <w:t>76.1</w:t>
      </w:r>
      <w:r>
        <w:t>3</w:t>
      </w:r>
      <w:r w:rsidRPr="00A1103B">
        <w:t>00-</w:t>
      </w:r>
      <w:r>
        <w:t>1302.</w:t>
      </w:r>
    </w:p>
  </w:footnote>
  <w:footnote w:id="80">
    <w:p w:rsidR="00527D3A" w:rsidRDefault="00527D3A" w:rsidP="00EC39EA">
      <w:pPr>
        <w:pStyle w:val="FootnoteText"/>
      </w:pPr>
      <w:r>
        <w:rPr>
          <w:rStyle w:val="FootnoteReference"/>
        </w:rPr>
        <w:footnoteRef/>
      </w:r>
      <w:r>
        <w:t xml:space="preserve"> </w:t>
      </w:r>
      <w:r w:rsidRPr="00A1103B">
        <w:t xml:space="preserve">47 U.S.C. § </w:t>
      </w:r>
      <w:r>
        <w:t xml:space="preserve">325(b)(3)(C)(iii); 47 C.F.R. § </w:t>
      </w:r>
      <w:r w:rsidRPr="00A1103B">
        <w:t>76.</w:t>
      </w:r>
      <w:r>
        <w:t>65(a)-(b).</w:t>
      </w:r>
    </w:p>
  </w:footnote>
  <w:footnote w:id="81">
    <w:p w:rsidR="00527D3A" w:rsidRPr="00A1103B" w:rsidRDefault="00527D3A" w:rsidP="00EC39EA">
      <w:pPr>
        <w:pStyle w:val="FootnoteText"/>
      </w:pPr>
      <w:r w:rsidRPr="00A1103B">
        <w:rPr>
          <w:rStyle w:val="FootnoteReference"/>
        </w:rPr>
        <w:footnoteRef/>
      </w:r>
      <w:r w:rsidRPr="00A1103B">
        <w:t xml:space="preserve"> </w:t>
      </w:r>
      <w:r w:rsidRPr="00A1103B">
        <w:rPr>
          <w:i/>
        </w:rPr>
        <w:t>See Implementation of the Commercial Advertisement, Loudness Mitigation (CALM) Act</w:t>
      </w:r>
      <w:r w:rsidRPr="00A1103B">
        <w:t>, Report and Order, 26 FCC Rcd 17222 (2011)</w:t>
      </w:r>
      <w:r>
        <w:t xml:space="preserve"> (</w:t>
      </w:r>
      <w:r w:rsidRPr="009B707A">
        <w:rPr>
          <w:i/>
        </w:rPr>
        <w:t>CALM Act Report and Order</w:t>
      </w:r>
      <w:r>
        <w:t>)</w:t>
      </w:r>
      <w:r w:rsidRPr="00A1103B">
        <w:t>.</w:t>
      </w:r>
    </w:p>
  </w:footnote>
  <w:footnote w:id="82">
    <w:p w:rsidR="00527D3A" w:rsidRDefault="00527D3A" w:rsidP="00EC39EA">
      <w:pPr>
        <w:pStyle w:val="FootnoteText"/>
      </w:pPr>
      <w:r>
        <w:rPr>
          <w:rStyle w:val="FootnoteReference"/>
        </w:rPr>
        <w:footnoteRef/>
      </w:r>
      <w:r>
        <w:t xml:space="preserve"> Pub. L. No. 111-260, 124 Stat. 2751 (2010).  </w:t>
      </w:r>
      <w:r w:rsidRPr="00CB308D">
        <w:rPr>
          <w:i/>
        </w:rPr>
        <w:t>See also Amendment of Twenty-First Century Communications and Video Accessibility Act of 2010</w:t>
      </w:r>
      <w:r>
        <w:t>, Pub. L. No. 111-265, 124 Stat. 2795 (2010) (making corrections to the CVAA);</w:t>
      </w:r>
      <w:r w:rsidRPr="005E1969">
        <w:t xml:space="preserve"> </w:t>
      </w:r>
      <w:r>
        <w:t>47 C.F.R. Part 79.</w:t>
      </w:r>
    </w:p>
  </w:footnote>
  <w:footnote w:id="83">
    <w:p w:rsidR="00527D3A" w:rsidRDefault="00527D3A" w:rsidP="00EC39EA">
      <w:pPr>
        <w:pStyle w:val="FootnoteText"/>
      </w:pPr>
      <w:r>
        <w:rPr>
          <w:rStyle w:val="FootnoteReference"/>
        </w:rPr>
        <w:footnoteRef/>
      </w:r>
      <w:r>
        <w:t xml:space="preserve"> The STELA Reauthorization Act of 2014 (STELAR), </w:t>
      </w:r>
      <w:r w:rsidRPr="00A1103B">
        <w:t>§§</w:t>
      </w:r>
      <w:r>
        <w:t xml:space="preserve"> 102, Pub. L. No.113-200, 128 Stat.2059, 2060-62 (2014) (codified at 47 U.S.C. </w:t>
      </w:r>
      <w:r w:rsidRPr="00A1103B">
        <w:t>§</w:t>
      </w:r>
      <w:r>
        <w:t xml:space="preserve"> 338(1)).  The STELAR was enacted on Dec. 4, 2014 (H.R.5728, 113</w:t>
      </w:r>
      <w:r w:rsidRPr="00022192">
        <w:rPr>
          <w:vertAlign w:val="superscript"/>
        </w:rPr>
        <w:t>th</w:t>
      </w:r>
      <w:r>
        <w:t xml:space="preserve"> Cong.).  </w:t>
      </w:r>
      <w:r w:rsidRPr="00022192">
        <w:rPr>
          <w:i/>
        </w:rPr>
        <w:t>Implementation of Section 102 of the STELA Reauthorization Act of 2014</w:t>
      </w:r>
      <w:r>
        <w:t>, Notice of Proposed Rulemaking, MB Docket No. 15-71, FCC 15-34 (rel. Mar. 26, 2015) proposes satellite television “market modification” rules to implement section 102 of STELAR.</w:t>
      </w:r>
    </w:p>
  </w:footnote>
  <w:footnote w:id="84">
    <w:p w:rsidR="00527D3A" w:rsidRDefault="00527D3A">
      <w:pPr>
        <w:pStyle w:val="FootnoteText"/>
      </w:pPr>
      <w:r>
        <w:rPr>
          <w:rStyle w:val="FootnoteReference"/>
        </w:rPr>
        <w:footnoteRef/>
      </w:r>
      <w:r>
        <w:t xml:space="preserve"> </w:t>
      </w:r>
      <w:r w:rsidRPr="00923DE2">
        <w:rPr>
          <w:i/>
        </w:rPr>
        <w:t>See FY 2015 Fee Reform Report and Order</w:t>
      </w:r>
      <w:r w:rsidRPr="00923DE2">
        <w:t xml:space="preserve">, 30 FCC Rcd at 5367-5373, paras. 31 to 41.  </w:t>
      </w:r>
      <w:r w:rsidRPr="00923DE2">
        <w:rPr>
          <w:rStyle w:val="documentbody"/>
        </w:rPr>
        <w:t xml:space="preserve">The agency is not required to calculate its costs with “scientific precision.” </w:t>
      </w:r>
      <w:r>
        <w:rPr>
          <w:rStyle w:val="documentbody"/>
        </w:rPr>
        <w:t xml:space="preserve"> </w:t>
      </w:r>
      <w:hyperlink r:id="rId2" w:tgtFrame="_top" w:history="1">
        <w:r w:rsidRPr="00923DE2">
          <w:rPr>
            <w:rStyle w:val="Hyperlink"/>
            <w:i/>
            <w:iCs/>
            <w:color w:val="auto"/>
            <w:u w:val="none"/>
          </w:rPr>
          <w:t>Central &amp; Southern Motor Freight Tariff Ass'n v. United States</w:t>
        </w:r>
        <w:r w:rsidRPr="00923DE2">
          <w:rPr>
            <w:rStyle w:val="Hyperlink"/>
            <w:color w:val="auto"/>
            <w:u w:val="none"/>
          </w:rPr>
          <w:t>, 777 F.2d 722, 736 (D.C. Cir. 1985)</w:t>
        </w:r>
      </w:hyperlink>
      <w:r w:rsidRPr="00923DE2">
        <w:rPr>
          <w:rStyle w:val="documentbody"/>
        </w:rPr>
        <w:t xml:space="preserve">. </w:t>
      </w:r>
      <w:r>
        <w:rPr>
          <w:rStyle w:val="documentbody"/>
        </w:rPr>
        <w:t xml:space="preserve"> </w:t>
      </w:r>
      <w:r w:rsidRPr="00923DE2">
        <w:rPr>
          <w:rStyle w:val="documentbody"/>
        </w:rPr>
        <w:t xml:space="preserve">Reasonable approximations will suffice. </w:t>
      </w:r>
      <w:r w:rsidRPr="00923DE2">
        <w:rPr>
          <w:rStyle w:val="documentbody"/>
          <w:i/>
          <w:iCs/>
        </w:rPr>
        <w:t xml:space="preserve">Id.; </w:t>
      </w:r>
      <w:hyperlink r:id="rId3" w:tgtFrame="_top" w:history="1">
        <w:r w:rsidRPr="00923DE2">
          <w:rPr>
            <w:rStyle w:val="Hyperlink"/>
            <w:i/>
            <w:iCs/>
            <w:color w:val="auto"/>
            <w:u w:val="none"/>
          </w:rPr>
          <w:t>Mississippi Power &amp; Light</w:t>
        </w:r>
        <w:r w:rsidRPr="00923DE2">
          <w:rPr>
            <w:rStyle w:val="Hyperlink"/>
            <w:color w:val="auto"/>
            <w:u w:val="none"/>
          </w:rPr>
          <w:t>, 601 F.2d at 232;</w:t>
        </w:r>
      </w:hyperlink>
      <w:r w:rsidRPr="00923DE2">
        <w:rPr>
          <w:rStyle w:val="documentbody"/>
        </w:rPr>
        <w:t xml:space="preserve"> </w:t>
      </w:r>
      <w:hyperlink r:id="rId4" w:tgtFrame="_top" w:history="1">
        <w:r w:rsidRPr="00923DE2">
          <w:rPr>
            <w:rStyle w:val="Hyperlink"/>
            <w:i/>
            <w:iCs/>
            <w:color w:val="auto"/>
            <w:u w:val="none"/>
          </w:rPr>
          <w:t xml:space="preserve">National Cable Television Ass'n v. </w:t>
        </w:r>
        <w:r w:rsidRPr="00923DE2">
          <w:rPr>
            <w:rStyle w:val="searchterm"/>
            <w:i/>
            <w:iCs/>
          </w:rPr>
          <w:t>FCC</w:t>
        </w:r>
        <w:r w:rsidRPr="00923DE2">
          <w:rPr>
            <w:rStyle w:val="Hyperlink"/>
            <w:color w:val="auto"/>
            <w:u w:val="none"/>
          </w:rPr>
          <w:t>, 554 F.2d 1094, 1105 (D.C. Cir. 1976)</w:t>
        </w:r>
      </w:hyperlink>
      <w:r w:rsidRPr="00923DE2">
        <w:rPr>
          <w:rStyle w:val="documentbody"/>
        </w:rPr>
        <w:t xml:space="preserve">; </w:t>
      </w:r>
      <w:hyperlink r:id="rId5" w:tgtFrame="_top" w:history="1">
        <w:r w:rsidRPr="00923DE2">
          <w:rPr>
            <w:rStyle w:val="Hyperlink"/>
            <w:color w:val="auto"/>
            <w:u w:val="none"/>
          </w:rPr>
          <w:t>36 Comp. Gen. 75 (1956)</w:t>
        </w:r>
      </w:hyperlink>
      <w:r w:rsidRPr="00923DE2">
        <w:rPr>
          <w:rStyle w:val="documentbody"/>
        </w:rPr>
        <w:t>.</w:t>
      </w:r>
    </w:p>
  </w:footnote>
  <w:footnote w:id="85">
    <w:p w:rsidR="00527D3A" w:rsidRDefault="00527D3A">
      <w:pPr>
        <w:pStyle w:val="FootnoteText"/>
      </w:pPr>
      <w:r>
        <w:rPr>
          <w:rStyle w:val="FootnoteReference"/>
        </w:rPr>
        <w:footnoteRef/>
      </w:r>
      <w:r>
        <w:t xml:space="preserve"> </w:t>
      </w:r>
      <w:r w:rsidRPr="00923DE2">
        <w:rPr>
          <w:i/>
        </w:rPr>
        <w:t>See FY 2015 Fee Reform Report and Order</w:t>
      </w:r>
      <w:r w:rsidRPr="00923DE2">
        <w:t>, 30 FCC Rcd at 53</w:t>
      </w:r>
      <w:r>
        <w:t>71-72, para. 38</w:t>
      </w:r>
    </w:p>
  </w:footnote>
  <w:footnote w:id="86">
    <w:p w:rsidR="00527D3A" w:rsidRDefault="00527D3A">
      <w:pPr>
        <w:pStyle w:val="FootnoteText"/>
      </w:pPr>
      <w:r>
        <w:rPr>
          <w:rStyle w:val="FootnoteReference"/>
        </w:rPr>
        <w:footnoteRef/>
      </w:r>
      <w:r>
        <w:t xml:space="preserve"> Aviation Joint Comments at 4-12.</w:t>
      </w:r>
    </w:p>
  </w:footnote>
  <w:footnote w:id="87">
    <w:p w:rsidR="00527D3A" w:rsidRDefault="00527D3A">
      <w:pPr>
        <w:pStyle w:val="FootnoteText"/>
      </w:pPr>
      <w:r>
        <w:rPr>
          <w:rStyle w:val="FootnoteReference"/>
        </w:rPr>
        <w:footnoteRef/>
      </w:r>
      <w:r>
        <w:t xml:space="preserve"> </w:t>
      </w:r>
      <w:r w:rsidRPr="005A3315">
        <w:rPr>
          <w:i/>
        </w:rPr>
        <w:t>Id.</w:t>
      </w:r>
      <w:r>
        <w:t xml:space="preserve"> at 5-6.</w:t>
      </w:r>
    </w:p>
  </w:footnote>
  <w:footnote w:id="88">
    <w:p w:rsidR="00527D3A" w:rsidRDefault="00527D3A">
      <w:pPr>
        <w:pStyle w:val="FootnoteText"/>
      </w:pPr>
      <w:r>
        <w:rPr>
          <w:rStyle w:val="FootnoteReference"/>
        </w:rPr>
        <w:footnoteRef/>
      </w:r>
      <w:r>
        <w:t xml:space="preserve"> </w:t>
      </w:r>
      <w:r w:rsidRPr="005A3315">
        <w:rPr>
          <w:i/>
        </w:rPr>
        <w:t>Id.</w:t>
      </w:r>
      <w:r>
        <w:t xml:space="preserve"> at 6-9.</w:t>
      </w:r>
    </w:p>
  </w:footnote>
  <w:footnote w:id="89">
    <w:p w:rsidR="00527D3A" w:rsidRDefault="00527D3A">
      <w:pPr>
        <w:pStyle w:val="FootnoteText"/>
      </w:pPr>
      <w:r>
        <w:rPr>
          <w:rStyle w:val="FootnoteReference"/>
        </w:rPr>
        <w:footnoteRef/>
      </w:r>
      <w:r>
        <w:t xml:space="preserve"> SIA Comments at 6-7; EchoStar Comments at 6-8.</w:t>
      </w:r>
    </w:p>
  </w:footnote>
  <w:footnote w:id="90">
    <w:p w:rsidR="00527D3A" w:rsidRDefault="00527D3A">
      <w:pPr>
        <w:pStyle w:val="FootnoteText"/>
      </w:pPr>
      <w:r>
        <w:rPr>
          <w:rStyle w:val="FootnoteReference"/>
        </w:rPr>
        <w:footnoteRef/>
      </w:r>
      <w:r>
        <w:t xml:space="preserve"> General Accountability Office, “Federal Communications Commission, Regulatory Fee Process Needs to be Updated”, GAO 12-686, August 2012, p. 1, 8-11.</w:t>
      </w:r>
    </w:p>
  </w:footnote>
  <w:footnote w:id="91">
    <w:p w:rsidR="00527D3A" w:rsidRDefault="00527D3A" w:rsidP="00241551">
      <w:pPr>
        <w:pStyle w:val="FootnoteText"/>
      </w:pPr>
      <w:r>
        <w:rPr>
          <w:rStyle w:val="FootnoteReference"/>
        </w:rPr>
        <w:footnoteRef/>
      </w:r>
      <w:r>
        <w:t xml:space="preserve"> </w:t>
      </w:r>
      <w:r w:rsidRPr="00AE51BF">
        <w:t>Application fees are assessed under Section 8 of the Communications Act.</w:t>
      </w:r>
      <w:r w:rsidRPr="00AE51BF">
        <w:rPr>
          <w:szCs w:val="22"/>
        </w:rPr>
        <w:t xml:space="preserve"> </w:t>
      </w:r>
      <w:r>
        <w:t xml:space="preserve">47 U.S.C. § 158 </w:t>
      </w:r>
      <w:r w:rsidRPr="00AE51BF">
        <w:t>and are paid directly into the general fund of the U.S. Treasury.  47 U.S.C. §158(e).  The Commission is not authorized to retain receipts from application fees for its own use or to use application fees to offset its appropriation.</w:t>
      </w:r>
    </w:p>
  </w:footnote>
  <w:footnote w:id="92">
    <w:p w:rsidR="00527D3A" w:rsidRDefault="00527D3A">
      <w:pPr>
        <w:pStyle w:val="FootnoteText"/>
      </w:pPr>
      <w:r>
        <w:rPr>
          <w:rStyle w:val="FootnoteReference"/>
        </w:rPr>
        <w:footnoteRef/>
      </w:r>
      <w:r>
        <w:t xml:space="preserve"> </w:t>
      </w:r>
      <w:r w:rsidRPr="00D0510A">
        <w:t>Intelsat Comments at 1-2.</w:t>
      </w:r>
    </w:p>
  </w:footnote>
  <w:footnote w:id="93">
    <w:p w:rsidR="00527D3A" w:rsidRDefault="00527D3A" w:rsidP="00241551">
      <w:pPr>
        <w:pStyle w:val="FootnoteText"/>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r>
        <w:rPr>
          <w:color w:val="000000"/>
        </w:rPr>
        <w:t xml:space="preserve">  </w:t>
      </w:r>
    </w:p>
  </w:footnote>
  <w:footnote w:id="94">
    <w:p w:rsidR="00527D3A" w:rsidRDefault="00527D3A">
      <w:pPr>
        <w:pStyle w:val="FootnoteText"/>
      </w:pPr>
      <w:r>
        <w:rPr>
          <w:rStyle w:val="FootnoteReference"/>
        </w:rPr>
        <w:footnoteRef/>
      </w:r>
      <w:r>
        <w:t xml:space="preserve"> Intelsat Comments at 3-4.</w:t>
      </w:r>
    </w:p>
  </w:footnote>
  <w:footnote w:id="95">
    <w:p w:rsidR="00527D3A" w:rsidRDefault="00527D3A">
      <w:pPr>
        <w:pStyle w:val="FootnoteText"/>
      </w:pPr>
      <w:r>
        <w:rPr>
          <w:rStyle w:val="FootnoteReference"/>
        </w:rPr>
        <w:footnoteRef/>
      </w:r>
      <w:r>
        <w:t xml:space="preserve"> </w:t>
      </w:r>
      <w:r w:rsidRPr="00EA0230">
        <w:rPr>
          <w:i/>
        </w:rPr>
        <w:t>See FY 2014 NPRM</w:t>
      </w:r>
      <w:r>
        <w:t>, 29 FCC Rcd at 6434, para. 50.</w:t>
      </w:r>
    </w:p>
  </w:footnote>
  <w:footnote w:id="96">
    <w:p w:rsidR="00527D3A" w:rsidRDefault="00527D3A">
      <w:pPr>
        <w:pStyle w:val="FootnoteText"/>
      </w:pPr>
      <w:r>
        <w:rPr>
          <w:rStyle w:val="FootnoteReference"/>
        </w:rPr>
        <w:footnoteRef/>
      </w:r>
      <w:r>
        <w:t xml:space="preserve"> The number of market access requests can vary; however, four FTEs is appropriate</w:t>
      </w:r>
      <w:r w:rsidRPr="00654C20">
        <w:t xml:space="preserve"> </w:t>
      </w:r>
      <w:r>
        <w:t>at this point.</w:t>
      </w:r>
    </w:p>
  </w:footnote>
  <w:footnote w:id="97">
    <w:p w:rsidR="00527D3A" w:rsidRDefault="00527D3A">
      <w:pPr>
        <w:pStyle w:val="FootnoteText"/>
      </w:pPr>
      <w:r>
        <w:rPr>
          <w:rStyle w:val="FootnoteReference"/>
        </w:rPr>
        <w:footnoteRef/>
      </w:r>
      <w:r>
        <w:t xml:space="preserve"> </w:t>
      </w:r>
      <w:r w:rsidRPr="003C5B39">
        <w:rPr>
          <w:i/>
        </w:rPr>
        <w:t>FY 2015 NPRM</w:t>
      </w:r>
      <w:r w:rsidRPr="009E2D8A">
        <w:t>, 30 FCC Rcd at 5360-61, paras</w:t>
      </w:r>
      <w:r>
        <w:t>. 15-18.  One commenter addressed the issues in the PRBA petition and suggests that we adopt our second proposal and create a separate fee category for Puerto Rico at a lower rate.  ARSO Comments at 6-8.</w:t>
      </w:r>
    </w:p>
  </w:footnote>
  <w:footnote w:id="98">
    <w:p w:rsidR="00527D3A" w:rsidRDefault="00527D3A">
      <w:pPr>
        <w:pStyle w:val="FootnoteText"/>
      </w:pPr>
      <w:r>
        <w:rPr>
          <w:rStyle w:val="FootnoteReference"/>
        </w:rPr>
        <w:footnoteRef/>
      </w:r>
      <w:r>
        <w:t xml:space="preserve"> PRBA Comments at 2.</w:t>
      </w:r>
    </w:p>
  </w:footnote>
  <w:footnote w:id="99">
    <w:p w:rsidR="00527D3A" w:rsidRDefault="00527D3A" w:rsidP="00572522">
      <w:pPr>
        <w:pStyle w:val="FootnoteText"/>
      </w:pPr>
      <w:r>
        <w:rPr>
          <w:rStyle w:val="FootnoteReference"/>
        </w:rPr>
        <w:footnoteRef/>
      </w:r>
      <w:r>
        <w:t xml:space="preserve"> 47 U.S.C. § 159(d); 47 C.F.R. § 1.1166.</w:t>
      </w:r>
    </w:p>
  </w:footnote>
  <w:footnote w:id="100">
    <w:p w:rsidR="00527D3A" w:rsidRDefault="00527D3A">
      <w:pPr>
        <w:pStyle w:val="FootnoteText"/>
      </w:pPr>
      <w:r>
        <w:rPr>
          <w:rStyle w:val="FootnoteReference"/>
        </w:rPr>
        <w:footnoteRef/>
      </w:r>
      <w:r>
        <w:t xml:space="preserve"> </w:t>
      </w:r>
      <w:r w:rsidRPr="00A127AF">
        <w:rPr>
          <w:i/>
        </w:rPr>
        <w:t>See</w:t>
      </w:r>
      <w:r>
        <w:t xml:space="preserve"> the Commission’s regulatory fee waiver fact sheet, </w:t>
      </w:r>
      <w:r w:rsidRPr="00A127AF">
        <w:rPr>
          <w:i/>
        </w:rPr>
        <w:t>available at</w:t>
      </w:r>
      <w:r>
        <w:t xml:space="preserve"> </w:t>
      </w:r>
      <w:r w:rsidRPr="00A127AF">
        <w:rPr>
          <w:rStyle w:val="Hyperlink"/>
        </w:rPr>
        <w:t>https://www.fcc.gov/document/fy-2014-regulatory-fees-waiver-fact-sheet</w:t>
      </w:r>
      <w:r>
        <w:rPr>
          <w:rStyle w:val="Hyperlink"/>
        </w:rPr>
        <w:t>.</w:t>
      </w:r>
    </w:p>
  </w:footnote>
  <w:footnote w:id="101">
    <w:p w:rsidR="00527D3A" w:rsidRDefault="00527D3A" w:rsidP="00411AE5">
      <w:pPr>
        <w:pStyle w:val="FootnoteText"/>
      </w:pPr>
      <w:r>
        <w:rPr>
          <w:rStyle w:val="FootnoteReference"/>
        </w:rPr>
        <w:footnoteRef/>
      </w:r>
      <w:r>
        <w:t xml:space="preserve"> </w:t>
      </w:r>
      <w:r w:rsidRPr="00196F8D">
        <w:rPr>
          <w:i/>
        </w:rPr>
        <w:t>FY 2015 Fee Reform Report and Order</w:t>
      </w:r>
      <w:r>
        <w:t>, 30 FCC Rcd at 5361-62, paras. 19-22.</w:t>
      </w:r>
    </w:p>
  </w:footnote>
  <w:footnote w:id="102">
    <w:p w:rsidR="00527D3A" w:rsidRDefault="00527D3A" w:rsidP="00411AE5">
      <w:pPr>
        <w:pStyle w:val="FootnoteText"/>
      </w:pPr>
      <w:r>
        <w:rPr>
          <w:rStyle w:val="FootnoteReference"/>
        </w:rPr>
        <w:footnoteRef/>
      </w:r>
      <w:r>
        <w:t xml:space="preserve"> Call signs assigned to newly licensed stations, </w:t>
      </w:r>
      <w:r w:rsidRPr="00FA0DDC">
        <w:t>i.e.,</w:t>
      </w:r>
      <w:r>
        <w:t xml:space="preserve"> a sequential call sign, are assigned based on the licensee’s mailing address and class of operator license.  47 C.F.R. § 97.17(d).  The licensee can request a specific unassigned but assignable call sign, known as a vanity call sign.</w:t>
      </w:r>
      <w:r w:rsidRPr="00A9297F">
        <w:t xml:space="preserve"> </w:t>
      </w:r>
      <w:r>
        <w:t>47 C.F.R. § 97.19.  There is no fee for the sequential call sign.</w:t>
      </w:r>
    </w:p>
  </w:footnote>
  <w:footnote w:id="103">
    <w:p w:rsidR="00527D3A" w:rsidRDefault="00527D3A" w:rsidP="00411AE5">
      <w:pPr>
        <w:pStyle w:val="FootnoteText"/>
      </w:pPr>
      <w:r>
        <w:rPr>
          <w:rStyle w:val="FootnoteReference"/>
        </w:rPr>
        <w:footnoteRef/>
      </w:r>
      <w:r>
        <w:t xml:space="preserve"> </w:t>
      </w:r>
      <w:r w:rsidRPr="00EC7C0F">
        <w:t>GMRS</w:t>
      </w:r>
      <w:r>
        <w:t xml:space="preserve"> (formerly Class A of the Citizens Radio Service)</w:t>
      </w:r>
      <w:r w:rsidRPr="00EC7C0F">
        <w:t xml:space="preserve"> is a </w:t>
      </w:r>
      <w:r>
        <w:t>personal radio service available for the conduct of an individual’s personal and family communications</w:t>
      </w:r>
      <w:r w:rsidRPr="00EC7C0F">
        <w:t xml:space="preserve">. </w:t>
      </w:r>
      <w:r>
        <w:t xml:space="preserve"> </w:t>
      </w:r>
      <w:r w:rsidRPr="00EC7C0F">
        <w:rPr>
          <w:i/>
        </w:rPr>
        <w:t>See</w:t>
      </w:r>
      <w:r w:rsidRPr="00EC7C0F">
        <w:t xml:space="preserve"> 47 C.F.R. §</w:t>
      </w:r>
      <w:r>
        <w:t xml:space="preserve"> </w:t>
      </w:r>
      <w:r w:rsidRPr="00EC7C0F">
        <w:t>95.</w:t>
      </w:r>
      <w:r>
        <w:t>1</w:t>
      </w:r>
      <w:r w:rsidRPr="00EC7C0F">
        <w:t>.</w:t>
      </w:r>
    </w:p>
  </w:footnote>
  <w:footnote w:id="104">
    <w:p w:rsidR="00527D3A" w:rsidRDefault="00527D3A">
      <w:pPr>
        <w:pStyle w:val="FootnoteText"/>
      </w:pPr>
      <w:r>
        <w:rPr>
          <w:rStyle w:val="FootnoteReference"/>
        </w:rPr>
        <w:footnoteRef/>
      </w:r>
      <w:r>
        <w:t xml:space="preserve"> The letter dated June 4, 2015 also includes the establishment of a DBS regulatory fee which will also be effective September 3, 2015.</w:t>
      </w:r>
    </w:p>
  </w:footnote>
  <w:footnote w:id="105">
    <w:p w:rsidR="00527D3A" w:rsidRPr="001C0DCE" w:rsidRDefault="00527D3A" w:rsidP="00EC4342">
      <w:pPr>
        <w:pStyle w:val="FootnoteText"/>
      </w:pPr>
      <w:r w:rsidRPr="00F53AC9">
        <w:rPr>
          <w:rStyle w:val="FootnoteReference"/>
        </w:rPr>
        <w:footnoteRef/>
      </w:r>
      <w:r w:rsidRPr="00F53AC9">
        <w:t xml:space="preserve"> 47 U.S.C. § 159(b)(1)(A) (</w:t>
      </w:r>
      <w:r w:rsidRPr="001C0DCE">
        <w:t>providing for adjustment of the FTE allocation to “</w:t>
      </w:r>
      <w:r w:rsidRPr="001C0DCE">
        <w:rPr>
          <w:lang w:val="en"/>
        </w:rPr>
        <w:t>take into account factors that are reasonably related to the benefits provided to the payor of the fee by the Commission’s activities, including such factors as service area coverage, shared use versus exclusive use, and other factors that the Commission determines are necessary in the public interest.”)</w:t>
      </w:r>
      <w:r>
        <w:rPr>
          <w:lang w:val="en"/>
        </w:rPr>
        <w:t>.</w:t>
      </w:r>
    </w:p>
  </w:footnote>
  <w:footnote w:id="106">
    <w:p w:rsidR="00527D3A" w:rsidRDefault="00527D3A" w:rsidP="00EC4342">
      <w:pPr>
        <w:pStyle w:val="FootnoteText"/>
      </w:pPr>
      <w:r>
        <w:rPr>
          <w:rStyle w:val="FootnoteReference"/>
        </w:rPr>
        <w:footnoteRef/>
      </w:r>
      <w:r>
        <w:t xml:space="preserve"> NAB Comments at 2.</w:t>
      </w:r>
    </w:p>
  </w:footnote>
  <w:footnote w:id="107">
    <w:p w:rsidR="00527D3A" w:rsidRDefault="00527D3A" w:rsidP="00EC4342">
      <w:pPr>
        <w:pStyle w:val="FootnoteText"/>
      </w:pPr>
      <w:r>
        <w:rPr>
          <w:rStyle w:val="FootnoteReference"/>
        </w:rPr>
        <w:footnoteRef/>
      </w:r>
      <w:r>
        <w:t xml:space="preserve"> </w:t>
      </w:r>
      <w:r w:rsidRPr="003C5B39">
        <w:rPr>
          <w:i/>
        </w:rPr>
        <w:t>FY 2015 NPRM</w:t>
      </w:r>
      <w:r w:rsidRPr="00520990">
        <w:t>, 30 FCC Rcd at 5359,</w:t>
      </w:r>
      <w:r>
        <w:rPr>
          <w:i/>
        </w:rPr>
        <w:t xml:space="preserve"> </w:t>
      </w:r>
      <w:r>
        <w:t>para. 13.</w:t>
      </w:r>
    </w:p>
  </w:footnote>
  <w:footnote w:id="108">
    <w:p w:rsidR="00527D3A" w:rsidRDefault="00527D3A">
      <w:pPr>
        <w:pStyle w:val="FootnoteText"/>
      </w:pPr>
      <w:r>
        <w:rPr>
          <w:rStyle w:val="FootnoteReference"/>
        </w:rPr>
        <w:footnoteRef/>
      </w:r>
      <w:r>
        <w:t xml:space="preserve"> NAB Comments at 7-9.  </w:t>
      </w:r>
    </w:p>
  </w:footnote>
  <w:footnote w:id="109">
    <w:p w:rsidR="00527D3A" w:rsidRPr="0069684B" w:rsidRDefault="00527D3A" w:rsidP="00011D72">
      <w:pPr>
        <w:pStyle w:val="FootnoteText"/>
      </w:pPr>
      <w:r w:rsidRPr="0069684B">
        <w:rPr>
          <w:rStyle w:val="FootnoteReference"/>
        </w:rPr>
        <w:footnoteRef/>
      </w:r>
      <w:r w:rsidRPr="0069684B">
        <w:t xml:space="preserve"> ITTA Comments at 2-5.</w:t>
      </w:r>
    </w:p>
  </w:footnote>
  <w:footnote w:id="110">
    <w:p w:rsidR="00527D3A" w:rsidRPr="0069684B" w:rsidRDefault="00527D3A" w:rsidP="00011D72">
      <w:pPr>
        <w:pStyle w:val="FootnoteText"/>
      </w:pPr>
      <w:r w:rsidRPr="0069684B">
        <w:rPr>
          <w:rStyle w:val="FootnoteReference"/>
        </w:rPr>
        <w:footnoteRef/>
      </w:r>
      <w:r w:rsidRPr="0069684B">
        <w:t xml:space="preserve"> </w:t>
      </w:r>
      <w:r w:rsidRPr="00BF77B7">
        <w:rPr>
          <w:i/>
        </w:rPr>
        <w:t>Id.</w:t>
      </w:r>
      <w:r w:rsidRPr="0069684B">
        <w:t xml:space="preserve"> at 3-4.</w:t>
      </w:r>
    </w:p>
  </w:footnote>
  <w:footnote w:id="111">
    <w:p w:rsidR="00527D3A" w:rsidRPr="0069684B" w:rsidRDefault="00527D3A" w:rsidP="00011D72">
      <w:pPr>
        <w:pStyle w:val="FootnoteText"/>
      </w:pPr>
      <w:r w:rsidRPr="0069684B">
        <w:rPr>
          <w:rStyle w:val="FootnoteReference"/>
        </w:rPr>
        <w:footnoteRef/>
      </w:r>
      <w:r w:rsidRPr="0069684B">
        <w:t xml:space="preserve"> </w:t>
      </w:r>
      <w:r w:rsidRPr="00BF77B7">
        <w:rPr>
          <w:i/>
        </w:rPr>
        <w:t>Id.</w:t>
      </w:r>
      <w:r w:rsidRPr="0069684B">
        <w:t xml:space="preserve"> at 4.</w:t>
      </w:r>
    </w:p>
  </w:footnote>
  <w:footnote w:id="112">
    <w:p w:rsidR="00527D3A" w:rsidRPr="0069684B" w:rsidRDefault="00527D3A" w:rsidP="00011D72">
      <w:pPr>
        <w:pStyle w:val="FootnoteText"/>
      </w:pPr>
      <w:r w:rsidRPr="0069684B">
        <w:rPr>
          <w:rStyle w:val="FootnoteReference"/>
        </w:rPr>
        <w:footnoteRef/>
      </w:r>
      <w:r w:rsidRPr="0069684B">
        <w:t xml:space="preserve"> </w:t>
      </w:r>
      <w:r w:rsidRPr="00BF77B7">
        <w:rPr>
          <w:i/>
        </w:rPr>
        <w:t>Id.</w:t>
      </w:r>
      <w:r w:rsidRPr="0069684B">
        <w:t xml:space="preserve"> at 4-5.</w:t>
      </w:r>
    </w:p>
  </w:footnote>
  <w:footnote w:id="113">
    <w:p w:rsidR="00527D3A" w:rsidRPr="0069684B" w:rsidRDefault="00527D3A" w:rsidP="00011D72">
      <w:pPr>
        <w:pStyle w:val="FootnoteText"/>
      </w:pPr>
      <w:r w:rsidRPr="0069684B">
        <w:rPr>
          <w:rStyle w:val="FootnoteReference"/>
        </w:rPr>
        <w:footnoteRef/>
      </w:r>
      <w:r w:rsidRPr="0069684B">
        <w:t xml:space="preserve"> </w:t>
      </w:r>
      <w:r w:rsidRPr="00BF77B7">
        <w:rPr>
          <w:i/>
        </w:rPr>
        <w:t>Id.</w:t>
      </w:r>
      <w:r w:rsidRPr="0069684B">
        <w:t xml:space="preserve"> at 3.</w:t>
      </w:r>
    </w:p>
  </w:footnote>
  <w:footnote w:id="114">
    <w:p w:rsidR="00527D3A" w:rsidRPr="0069684B" w:rsidRDefault="00527D3A" w:rsidP="00011D72">
      <w:pPr>
        <w:pStyle w:val="FootnoteText"/>
      </w:pPr>
      <w:r w:rsidRPr="0069684B">
        <w:rPr>
          <w:rStyle w:val="FootnoteReference"/>
        </w:rPr>
        <w:footnoteRef/>
      </w:r>
      <w:r w:rsidRPr="0069684B">
        <w:t xml:space="preserve"> </w:t>
      </w:r>
      <w:r w:rsidRPr="00BF77B7">
        <w:rPr>
          <w:i/>
        </w:rPr>
        <w:t>Id.</w:t>
      </w:r>
    </w:p>
  </w:footnote>
  <w:footnote w:id="115">
    <w:p w:rsidR="00527D3A" w:rsidRPr="0069684B" w:rsidRDefault="00527D3A" w:rsidP="00011D72">
      <w:pPr>
        <w:pStyle w:val="FootnoteText"/>
      </w:pPr>
      <w:r w:rsidRPr="0069684B">
        <w:rPr>
          <w:rStyle w:val="FootnoteReference"/>
        </w:rPr>
        <w:footnoteRef/>
      </w:r>
      <w:r w:rsidRPr="0069684B">
        <w:t xml:space="preserve"> </w:t>
      </w:r>
      <w:r>
        <w:t xml:space="preserve">47 C.F.R. §§ 54.900 </w:t>
      </w:r>
      <w:r w:rsidRPr="002B1B38">
        <w:rPr>
          <w:i/>
        </w:rPr>
        <w:t>et seq.</w:t>
      </w:r>
    </w:p>
  </w:footnote>
  <w:footnote w:id="116">
    <w:p w:rsidR="00527D3A" w:rsidRPr="0069684B" w:rsidRDefault="00527D3A" w:rsidP="00011D72">
      <w:pPr>
        <w:pStyle w:val="FootnoteText"/>
      </w:pPr>
      <w:r w:rsidRPr="0069684B">
        <w:rPr>
          <w:rStyle w:val="FootnoteReference"/>
        </w:rPr>
        <w:footnoteRef/>
      </w:r>
      <w:r w:rsidRPr="0069684B">
        <w:t xml:space="preserve"> </w:t>
      </w:r>
      <w:r w:rsidRPr="00EA310A">
        <w:rPr>
          <w:i/>
        </w:rPr>
        <w:t>FY 2013 Report and Order</w:t>
      </w:r>
      <w:r>
        <w:t>, 28 FCC Rcd at 12357-58, para. 1</w:t>
      </w:r>
      <w:r w:rsidRPr="0069684B">
        <w:t>9.</w:t>
      </w:r>
    </w:p>
  </w:footnote>
  <w:footnote w:id="117">
    <w:p w:rsidR="00527D3A" w:rsidRPr="003D2793" w:rsidRDefault="00527D3A" w:rsidP="00011D72">
      <w:pPr>
        <w:pStyle w:val="FootnoteText"/>
      </w:pPr>
      <w:r w:rsidRPr="003D2793">
        <w:rPr>
          <w:rStyle w:val="FootnoteReference"/>
        </w:rPr>
        <w:footnoteRef/>
      </w:r>
      <w:r w:rsidRPr="003D2793">
        <w:t xml:space="preserve"> </w:t>
      </w:r>
      <w:r w:rsidRPr="002B1B38">
        <w:t>Based on staff analysis, approximately 10 FTEs work on high-cost issues, 4 FTEs work on Lifeline issues, 9 FTEs work on E-rate issues, and 4 FTEs work on Rural Health Care issues.  In addition</w:t>
      </w:r>
      <w:r>
        <w:t xml:space="preserve"> approximately 14 </w:t>
      </w:r>
      <w:r w:rsidRPr="002B1B38">
        <w:t>FTEs work on numbering issues and/or special access.</w:t>
      </w:r>
    </w:p>
  </w:footnote>
  <w:footnote w:id="118">
    <w:p w:rsidR="00527D3A" w:rsidRPr="0069684B" w:rsidRDefault="00527D3A" w:rsidP="00011D72">
      <w:pPr>
        <w:pStyle w:val="FootnoteText"/>
      </w:pPr>
      <w:r w:rsidRPr="0069684B">
        <w:rPr>
          <w:rStyle w:val="FootnoteReference"/>
        </w:rPr>
        <w:footnoteRef/>
      </w:r>
      <w:r>
        <w:t xml:space="preserve"> Wireless providers received an estimated $1.4 billion in Lifeline disbursements in 2014.</w:t>
      </w:r>
    </w:p>
  </w:footnote>
  <w:footnote w:id="119">
    <w:p w:rsidR="00527D3A" w:rsidRPr="0069684B" w:rsidRDefault="00527D3A" w:rsidP="00011D72">
      <w:pPr>
        <w:pStyle w:val="FootnoteText"/>
      </w:pPr>
      <w:r w:rsidRPr="0069684B">
        <w:rPr>
          <w:rStyle w:val="FootnoteReference"/>
        </w:rPr>
        <w:footnoteRef/>
      </w:r>
      <w:r w:rsidRPr="0069684B">
        <w:t xml:space="preserve"> </w:t>
      </w:r>
      <w:r w:rsidRPr="002B1B38">
        <w:rPr>
          <w:i/>
        </w:rPr>
        <w:t>See, e.g., FY 2014 NPRM</w:t>
      </w:r>
      <w:r w:rsidRPr="0069684B">
        <w:t xml:space="preserve">, </w:t>
      </w:r>
      <w:r>
        <w:t xml:space="preserve">29 FCC Rcd at 10782-84, </w:t>
      </w:r>
      <w:r w:rsidRPr="0069684B">
        <w:t>paras. 38-43</w:t>
      </w:r>
      <w:r>
        <w:t>.</w:t>
      </w:r>
    </w:p>
  </w:footnote>
  <w:footnote w:id="120">
    <w:p w:rsidR="00527D3A" w:rsidRDefault="00527D3A" w:rsidP="00C51EFD">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6" w:history="1">
        <w:r>
          <w:rPr>
            <w:rStyle w:val="Hyperlink"/>
          </w:rPr>
          <w:t>http://www.whitehouse.gov/the-press-office/2011/06/13/executive-order-13576-delivering-efficient-effective-and-accountable-gov</w:t>
        </w:r>
      </w:hyperlink>
      <w:r>
        <w:t>.</w:t>
      </w:r>
    </w:p>
  </w:footnote>
  <w:footnote w:id="121">
    <w:p w:rsidR="00527D3A" w:rsidRDefault="00527D3A" w:rsidP="00C51EFD">
      <w:pPr>
        <w:pStyle w:val="FootnoteText"/>
      </w:pPr>
      <w:r>
        <w:rPr>
          <w:rStyle w:val="FootnoteReference"/>
        </w:rPr>
        <w:footnoteRef/>
      </w:r>
      <w:r>
        <w:t xml:space="preserve"> </w:t>
      </w:r>
      <w:r>
        <w:rPr>
          <w:i/>
          <w:iCs/>
        </w:rPr>
        <w:t>See</w:t>
      </w:r>
      <w:r>
        <w:t xml:space="preserve"> U.S. Department of the Treasury, Open Government Plan 2.1, Sept. 2012.</w:t>
      </w:r>
    </w:p>
  </w:footnote>
  <w:footnote w:id="122">
    <w:p w:rsidR="00527D3A" w:rsidRDefault="00527D3A" w:rsidP="00C51EFD">
      <w:pPr>
        <w:pStyle w:val="FootnoteText"/>
      </w:pPr>
      <w:r>
        <w:rPr>
          <w:rStyle w:val="FootnoteReference"/>
        </w:rPr>
        <w:footnoteRef/>
      </w:r>
      <w:r>
        <w:t xml:space="preserve"> Payors should note that this change will mean that to the extent certain entities have to date paid both regulatory fees and application fees at the same time via paper check, they will no longer be able to do so as the regulatory fees payment via paper check will no longer be accepted.</w:t>
      </w:r>
    </w:p>
  </w:footnote>
  <w:footnote w:id="123">
    <w:p w:rsidR="00527D3A" w:rsidRDefault="00527D3A">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24">
    <w:p w:rsidR="00527D3A" w:rsidRPr="00B60211" w:rsidRDefault="00527D3A" w:rsidP="00224688">
      <w:pPr>
        <w:pStyle w:val="FootnoteText"/>
      </w:pPr>
      <w:r w:rsidRPr="00B60211">
        <w:rPr>
          <w:rStyle w:val="FootnoteReference"/>
        </w:rPr>
        <w:footnoteRef/>
      </w:r>
      <w:r w:rsidRPr="00B60211">
        <w:t xml:space="preserve"> In accordance with U.S. Treasury Financial Manual Announcement No. A-201</w:t>
      </w:r>
      <w:r>
        <w:t>4</w:t>
      </w:r>
      <w:r w:rsidRPr="00B60211">
        <w:t>-0</w:t>
      </w:r>
      <w:r>
        <w:t>4 (July 2014)</w:t>
      </w:r>
      <w:r w:rsidRPr="00B60211">
        <w:t xml:space="preserve">, the </w:t>
      </w:r>
      <w:r>
        <w:t>amount that may be charged on a credit card for transactions with federal agencies has been reduced to $24,999.99.</w:t>
      </w:r>
    </w:p>
  </w:footnote>
  <w:footnote w:id="125">
    <w:p w:rsidR="00527D3A" w:rsidRPr="00B60211" w:rsidRDefault="00527D3A" w:rsidP="00224688">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w:t>
      </w:r>
      <w:r w:rsidRPr="00B60211">
        <w:t xml:space="preserve"> eliminated.  It should also be noted that only Visa and MasterCard branded debit cards are accepted by Pay.gov.</w:t>
      </w:r>
    </w:p>
  </w:footnote>
  <w:footnote w:id="126">
    <w:p w:rsidR="00527D3A" w:rsidRPr="00B60211" w:rsidRDefault="00527D3A" w:rsidP="00224688">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27">
    <w:p w:rsidR="00527D3A" w:rsidRPr="00B60211" w:rsidRDefault="00527D3A" w:rsidP="00224688">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4</w:t>
      </w:r>
      <w:r w:rsidRPr="00B60211">
        <w:rPr>
          <w:color w:val="000000"/>
        </w:rPr>
        <w:t>, rather than on a count as of December 31, 201</w:t>
      </w:r>
      <w:r>
        <w:rPr>
          <w:color w:val="000000"/>
        </w:rPr>
        <w:t>4</w:t>
      </w:r>
      <w:r w:rsidRPr="00B60211">
        <w:rPr>
          <w:color w:val="000000"/>
        </w:rPr>
        <w:t xml:space="preserve">. </w:t>
      </w:r>
    </w:p>
  </w:footnote>
  <w:footnote w:id="128">
    <w:p w:rsidR="00527D3A" w:rsidRDefault="00527D3A" w:rsidP="00455850">
      <w:pPr>
        <w:pStyle w:val="FootnoteText"/>
      </w:pPr>
      <w:r>
        <w:rPr>
          <w:rStyle w:val="FootnoteReference"/>
        </w:rPr>
        <w:footnoteRef/>
      </w:r>
      <w:r>
        <w:t xml:space="preserve"> </w:t>
      </w:r>
      <w:r w:rsidRPr="0041294C">
        <w:t xml:space="preserve">We encourage terrestrial and satellite service providers to seek guidance from the International Bureau’s Policy Division to verify their IBC reporting processes to ensure that their </w:t>
      </w:r>
      <w:r>
        <w:t xml:space="preserve">calculation </w:t>
      </w:r>
      <w:r w:rsidRPr="0041294C">
        <w:t>methods comply with our rules.</w:t>
      </w:r>
    </w:p>
  </w:footnote>
  <w:footnote w:id="129">
    <w:p w:rsidR="00527D3A" w:rsidRDefault="00527D3A" w:rsidP="00455850">
      <w:pPr>
        <w:pStyle w:val="FootnoteText"/>
      </w:pPr>
      <w:r>
        <w:rPr>
          <w:rStyle w:val="FootnoteReference"/>
        </w:rPr>
        <w:footnoteRef/>
      </w:r>
      <w:r>
        <w:t xml:space="preserve"> </w:t>
      </w:r>
      <w:r w:rsidRPr="00B63CEE">
        <w:rPr>
          <w:szCs w:val="22"/>
        </w:rPr>
        <w:t>We remind facilities-based common carriers to review their reporting processes to ensure that they accurately calculate and report IBCs.</w:t>
      </w:r>
      <w:r w:rsidRPr="00635F72">
        <w:rPr>
          <w:snapToGrid w:val="0"/>
          <w:kern w:val="28"/>
          <w:sz w:val="22"/>
          <w:szCs w:val="22"/>
        </w:rPr>
        <w:t xml:space="preserve"> </w:t>
      </w:r>
      <w:r>
        <w:rPr>
          <w:snapToGrid w:val="0"/>
          <w:kern w:val="28"/>
          <w:sz w:val="22"/>
          <w:szCs w:val="22"/>
        </w:rPr>
        <w:t xml:space="preserve"> </w:t>
      </w:r>
      <w:r w:rsidRPr="00635F72">
        <w:rPr>
          <w:szCs w:val="22"/>
        </w:rPr>
        <w:t>As we recently have done with submarine cable capacity holders, we will review the processes for reporting IBCs in the near future to ensure that all carriers are reporting IBCs in the same manner, consistent with our rules.</w:t>
      </w:r>
    </w:p>
  </w:footnote>
  <w:footnote w:id="130">
    <w:p w:rsidR="00527D3A" w:rsidRDefault="00527D3A" w:rsidP="00C51EFD">
      <w:pPr>
        <w:pStyle w:val="FootnoteText"/>
      </w:pPr>
      <w:r>
        <w:rPr>
          <w:rStyle w:val="FootnoteReference"/>
        </w:rPr>
        <w:footnoteRef/>
      </w:r>
      <w:r>
        <w:t xml:space="preserve"> </w:t>
      </w:r>
      <w:r>
        <w:rPr>
          <w:i/>
          <w:iCs/>
        </w:rPr>
        <w:t xml:space="preserve">See FY 2005 Report and Order, </w:t>
      </w:r>
      <w:r>
        <w:t>20 FCC Rcd at 12264, paras. 38-44.</w:t>
      </w:r>
    </w:p>
  </w:footnote>
  <w:footnote w:id="131">
    <w:p w:rsidR="00527D3A" w:rsidRDefault="00527D3A" w:rsidP="00C51EFD">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32">
    <w:p w:rsidR="00527D3A" w:rsidRPr="00B60211" w:rsidRDefault="00527D3A" w:rsidP="00C51EFD">
      <w:pPr>
        <w:pStyle w:val="FootnoteText"/>
      </w:pPr>
      <w:r w:rsidRPr="00B60211">
        <w:rPr>
          <w:rStyle w:val="FootnoteReference"/>
        </w:rPr>
        <w:footnoteRef/>
      </w:r>
      <w:r w:rsidRPr="00B60211">
        <w:t xml:space="preserve"> 47 U.S.C. § 159(c).</w:t>
      </w:r>
    </w:p>
  </w:footnote>
  <w:footnote w:id="133">
    <w:p w:rsidR="00527D3A" w:rsidRPr="00B60211" w:rsidRDefault="00527D3A" w:rsidP="00C51EFD">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134">
    <w:p w:rsidR="00527D3A" w:rsidRPr="00B60211" w:rsidRDefault="00527D3A" w:rsidP="00C51EFD">
      <w:pPr>
        <w:pStyle w:val="FootnoteText"/>
      </w:pPr>
      <w:r w:rsidRPr="00B60211">
        <w:rPr>
          <w:rStyle w:val="FootnoteReference"/>
        </w:rPr>
        <w:footnoteRef/>
      </w:r>
      <w:r w:rsidRPr="00B60211">
        <w:t xml:space="preserve"> </w:t>
      </w:r>
      <w:r>
        <w:rPr>
          <w:snapToGrid w:val="0"/>
        </w:rPr>
        <w:t>Delinquent debt owed to the Commission triggers the “red light rule,</w:t>
      </w:r>
      <w:r w:rsidRPr="00177232">
        <w:rPr>
          <w:snapToGrid w:val="0"/>
        </w:rPr>
        <w:t xml:space="preserve">” </w:t>
      </w:r>
      <w:r w:rsidRPr="00177232">
        <w:rPr>
          <w:bCs/>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135">
    <w:p w:rsidR="00527D3A" w:rsidRPr="00B60211" w:rsidRDefault="00527D3A" w:rsidP="00C51EFD">
      <w:pPr>
        <w:pStyle w:val="FootnoteText"/>
      </w:pPr>
      <w:r w:rsidRPr="00B60211">
        <w:rPr>
          <w:rStyle w:val="FootnoteReference"/>
        </w:rPr>
        <w:footnoteRef/>
      </w:r>
      <w:r w:rsidRPr="00B60211">
        <w:t xml:space="preserve"> 47 C.F.R. § 1.1940(d).</w:t>
      </w:r>
    </w:p>
  </w:footnote>
  <w:footnote w:id="136">
    <w:p w:rsidR="00527D3A" w:rsidRPr="00B60211" w:rsidRDefault="00527D3A" w:rsidP="00C51EFD">
      <w:pPr>
        <w:pStyle w:val="FootnoteText"/>
      </w:pPr>
      <w:r w:rsidRPr="00B60211">
        <w:rPr>
          <w:rStyle w:val="FootnoteReference"/>
        </w:rPr>
        <w:footnoteRef/>
      </w:r>
      <w:r w:rsidRPr="00B60211">
        <w:t xml:space="preserve"> </w:t>
      </w:r>
      <w:r w:rsidRPr="00B60211">
        <w:rPr>
          <w:i/>
        </w:rPr>
        <w:t>See</w:t>
      </w:r>
      <w:r w:rsidRPr="00B60211">
        <w:t xml:space="preserve"> 47 C.F.R. §§ 1.1161(c), 1.1164(f)(5), and 1.1910.  </w:t>
      </w:r>
    </w:p>
  </w:footnote>
  <w:footnote w:id="137">
    <w:p w:rsidR="00527D3A" w:rsidRDefault="00527D3A" w:rsidP="00C51EFD">
      <w:pPr>
        <w:pStyle w:val="FootnoteText"/>
      </w:pPr>
      <w:r>
        <w:rPr>
          <w:rStyle w:val="FootnoteReference"/>
        </w:rPr>
        <w:footnoteRef/>
      </w:r>
      <w:r>
        <w:t xml:space="preserve"> 47 U.S.C. § 159.</w:t>
      </w:r>
    </w:p>
  </w:footnote>
  <w:footnote w:id="138">
    <w:p w:rsidR="00527D3A" w:rsidRDefault="00527D3A" w:rsidP="00C51EFD">
      <w:pPr>
        <w:pStyle w:val="FootnoteText"/>
      </w:pPr>
      <w:r>
        <w:rPr>
          <w:rStyle w:val="FootnoteReference"/>
        </w:rPr>
        <w:footnoteRef/>
      </w:r>
      <w:r>
        <w:t xml:space="preserve"> </w:t>
      </w:r>
      <w:r>
        <w:rPr>
          <w:i/>
          <w:iCs/>
        </w:rPr>
        <w:t>See</w:t>
      </w:r>
      <w:r>
        <w:t xml:space="preserve"> 31 U.S.C. § 3711(g); 31 C.F.R. § 285.12; 47 C.F.R. § 1.1917.</w:t>
      </w:r>
    </w:p>
  </w:footnote>
  <w:footnote w:id="139">
    <w:p w:rsidR="00527D3A" w:rsidRPr="00B60211" w:rsidRDefault="00527D3A" w:rsidP="00224688">
      <w:pPr>
        <w:pStyle w:val="FootnoteText"/>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40">
    <w:p w:rsidR="00527D3A" w:rsidRDefault="00527D3A" w:rsidP="00233BF0">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41">
    <w:p w:rsidR="00527D3A" w:rsidRDefault="00527D3A" w:rsidP="00233BF0">
      <w:pPr>
        <w:pStyle w:val="FootnoteText"/>
      </w:pPr>
      <w:r>
        <w:rPr>
          <w:rStyle w:val="FootnoteReference"/>
        </w:rPr>
        <w:footnoteRef/>
      </w:r>
      <w:r>
        <w:t xml:space="preserve"> 5 U.S.C.</w:t>
      </w:r>
      <w:r>
        <w:rPr>
          <w:spacing w:val="-2"/>
        </w:rPr>
        <w:t xml:space="preserve"> §</w:t>
      </w:r>
      <w:r>
        <w:t xml:space="preserve"> 603(a).</w:t>
      </w:r>
    </w:p>
  </w:footnote>
  <w:footnote w:id="142">
    <w:p w:rsidR="00527D3A" w:rsidRDefault="00527D3A" w:rsidP="00233BF0">
      <w:pPr>
        <w:pStyle w:val="FootnoteText"/>
      </w:pPr>
      <w:r>
        <w:rPr>
          <w:rStyle w:val="FootnoteReference"/>
        </w:rPr>
        <w:footnoteRef/>
      </w:r>
      <w:r>
        <w:t xml:space="preserve"> </w:t>
      </w:r>
      <w:r w:rsidRPr="00820DF8">
        <w:rPr>
          <w:i/>
        </w:rPr>
        <w:t>Id.</w:t>
      </w:r>
    </w:p>
  </w:footnote>
  <w:footnote w:id="143">
    <w:p w:rsidR="00527D3A" w:rsidRDefault="00527D3A" w:rsidP="000563B6">
      <w:pPr>
        <w:pStyle w:val="FootnoteText"/>
      </w:pPr>
      <w:r>
        <w:rPr>
          <w:rStyle w:val="FootnoteReference"/>
        </w:rPr>
        <w:footnoteRef/>
      </w:r>
      <w:r>
        <w:t xml:space="preserve"> 47 U.S.C. </w:t>
      </w:r>
      <w:r>
        <w:rPr>
          <w:rStyle w:val="Footnote"/>
        </w:rPr>
        <w:t xml:space="preserve">§§ </w:t>
      </w:r>
      <w:r>
        <w:t>154(i) and (j), 159, and 303(r).</w:t>
      </w:r>
    </w:p>
  </w:footnote>
  <w:footnote w:id="144">
    <w:p w:rsidR="00527D3A" w:rsidRDefault="00527D3A" w:rsidP="000563B6">
      <w:pPr>
        <w:pStyle w:val="FootnoteText"/>
      </w:pPr>
      <w:r>
        <w:rPr>
          <w:rStyle w:val="FootnoteReference"/>
        </w:rPr>
        <w:footnoteRef/>
      </w:r>
      <w:r>
        <w:t xml:space="preserve"> </w:t>
      </w:r>
      <w:r>
        <w:rPr>
          <w:rStyle w:val="Footnote"/>
        </w:rPr>
        <w:t>5 U.S.C. § 603(b)(3).</w:t>
      </w:r>
    </w:p>
  </w:footnote>
  <w:footnote w:id="145">
    <w:p w:rsidR="00527D3A" w:rsidRDefault="00527D3A" w:rsidP="000563B6">
      <w:pPr>
        <w:pStyle w:val="FootnoteText"/>
      </w:pPr>
      <w:r>
        <w:rPr>
          <w:rStyle w:val="FootnoteReference"/>
        </w:rPr>
        <w:footnoteRef/>
      </w:r>
      <w:r>
        <w:t xml:space="preserve"> </w:t>
      </w:r>
      <w:r>
        <w:rPr>
          <w:rStyle w:val="Footnote"/>
        </w:rPr>
        <w:t>5 U.S.C. § 601(6).</w:t>
      </w:r>
    </w:p>
  </w:footnote>
  <w:footnote w:id="146">
    <w:p w:rsidR="00527D3A" w:rsidRDefault="00527D3A" w:rsidP="000563B6">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47">
    <w:p w:rsidR="00527D3A" w:rsidRDefault="00527D3A" w:rsidP="000563B6">
      <w:pPr>
        <w:pStyle w:val="FootnoteText"/>
      </w:pPr>
      <w:r>
        <w:rPr>
          <w:rStyle w:val="FootnoteReference"/>
        </w:rPr>
        <w:footnoteRef/>
      </w:r>
      <w:r>
        <w:t xml:space="preserve"> </w:t>
      </w:r>
      <w:r>
        <w:rPr>
          <w:rStyle w:val="Footnote"/>
        </w:rPr>
        <w:t>15 U.S.C. § 632.</w:t>
      </w:r>
    </w:p>
  </w:footnote>
  <w:footnote w:id="148">
    <w:p w:rsidR="00527D3A" w:rsidRDefault="00527D3A" w:rsidP="000563B6">
      <w:pPr>
        <w:pStyle w:val="FootnoteText"/>
      </w:pPr>
      <w:r>
        <w:rPr>
          <w:rStyle w:val="FootnoteReference"/>
        </w:rPr>
        <w:footnoteRef/>
      </w:r>
      <w:r>
        <w:t xml:space="preserve"> </w:t>
      </w:r>
      <w:r w:rsidRPr="00C84780">
        <w:rPr>
          <w:i/>
        </w:rPr>
        <w:t>See</w:t>
      </w:r>
      <w:r>
        <w:t xml:space="preserve"> 5 U.S.C. </w:t>
      </w:r>
      <w:r>
        <w:rPr>
          <w:rStyle w:val="Footnote"/>
        </w:rPr>
        <w:t xml:space="preserve">§ </w:t>
      </w:r>
      <w:r>
        <w:t>601(3)-(6).</w:t>
      </w:r>
    </w:p>
  </w:footnote>
  <w:footnote w:id="149">
    <w:p w:rsidR="00527D3A" w:rsidRDefault="00527D3A" w:rsidP="000563B6">
      <w:pPr>
        <w:pStyle w:val="FootnoteText"/>
      </w:pPr>
      <w:r>
        <w:rPr>
          <w:rStyle w:val="FootnoteReference"/>
        </w:rPr>
        <w:footnoteRef/>
      </w:r>
      <w:r>
        <w:t xml:space="preserve"> </w:t>
      </w:r>
      <w:r w:rsidRPr="00C84780">
        <w:rPr>
          <w:i/>
        </w:rPr>
        <w:t>See</w:t>
      </w:r>
      <w:r>
        <w:t xml:space="preserve"> SBA, Office of Advocacy, “Frequently Asked Questions”, available at </w:t>
      </w:r>
      <w:hyperlink r:id="rId7" w:history="1">
        <w:r w:rsidRPr="00901168">
          <w:rPr>
            <w:rStyle w:val="Hyperlink"/>
          </w:rPr>
          <w:t>http://www.sba.gov/faqs/faqindex.cfm?arealD=24</w:t>
        </w:r>
      </w:hyperlink>
      <w:r>
        <w:rPr>
          <w:rStyle w:val="Hyperlink"/>
        </w:rPr>
        <w:t>.</w:t>
      </w:r>
    </w:p>
  </w:footnote>
  <w:footnote w:id="150">
    <w:p w:rsidR="00527D3A" w:rsidRDefault="00527D3A" w:rsidP="000563B6">
      <w:pPr>
        <w:pStyle w:val="FootnoteText"/>
      </w:pPr>
      <w:r>
        <w:rPr>
          <w:rStyle w:val="FootnoteReference"/>
        </w:rPr>
        <w:footnoteRef/>
      </w:r>
      <w:r>
        <w:t xml:space="preserve"> 5 U.S.C. </w:t>
      </w:r>
      <w:r>
        <w:rPr>
          <w:rStyle w:val="Footnote"/>
        </w:rPr>
        <w:t xml:space="preserve">§ </w:t>
      </w:r>
      <w:r>
        <w:t>601(4).</w:t>
      </w:r>
    </w:p>
  </w:footnote>
  <w:footnote w:id="151">
    <w:p w:rsidR="00527D3A" w:rsidRDefault="00527D3A" w:rsidP="000563B6">
      <w:pPr>
        <w:pStyle w:val="FootnoteText"/>
      </w:pPr>
      <w:r>
        <w:rPr>
          <w:rStyle w:val="FootnoteReference"/>
        </w:rPr>
        <w:footnoteRef/>
      </w:r>
      <w:r>
        <w:t xml:space="preserve"> </w:t>
      </w:r>
      <w:r w:rsidRPr="00D3773F">
        <w:rPr>
          <w:i/>
        </w:rPr>
        <w:t>See</w:t>
      </w:r>
      <w:r>
        <w:t xml:space="preserve"> </w:t>
      </w:r>
      <w:r w:rsidRPr="00D3773F">
        <w:t>Independent Sector</w:t>
      </w:r>
      <w:r>
        <w:t>, The New Nonprofit Almanac and Desk Reference (2010).</w:t>
      </w:r>
    </w:p>
  </w:footnote>
  <w:footnote w:id="152">
    <w:p w:rsidR="00527D3A" w:rsidRDefault="00527D3A" w:rsidP="000563B6">
      <w:pPr>
        <w:pStyle w:val="FootnoteText"/>
      </w:pPr>
      <w:r>
        <w:rPr>
          <w:rStyle w:val="FootnoteReference"/>
        </w:rPr>
        <w:footnoteRef/>
      </w:r>
      <w:r>
        <w:t xml:space="preserve"> 5 U.S.C. </w:t>
      </w:r>
      <w:r>
        <w:rPr>
          <w:rStyle w:val="Footnote"/>
        </w:rPr>
        <w:t xml:space="preserve">§ </w:t>
      </w:r>
      <w:r>
        <w:t>601(5).</w:t>
      </w:r>
    </w:p>
  </w:footnote>
  <w:footnote w:id="153">
    <w:p w:rsidR="00527D3A" w:rsidRDefault="00527D3A" w:rsidP="000563B6">
      <w:pPr>
        <w:pStyle w:val="FootnoteText"/>
      </w:pPr>
      <w:r>
        <w:rPr>
          <w:rStyle w:val="FootnoteReference"/>
        </w:rPr>
        <w:footnoteRef/>
      </w:r>
      <w:r>
        <w:t xml:space="preserve"> </w:t>
      </w:r>
      <w:r w:rsidRPr="00C84780">
        <w:rPr>
          <w:i/>
        </w:rPr>
        <w:t>See</w:t>
      </w:r>
      <w:r>
        <w:t xml:space="preserve"> SBA, Office of Advocacy, “Frequently Asked Questions,” available at </w:t>
      </w:r>
      <w:hyperlink r:id="rId8" w:history="1">
        <w:r w:rsidRPr="00C84780">
          <w:rPr>
            <w:rStyle w:val="Hyperlink"/>
          </w:rPr>
          <w:t>http.www.sba.gov/sites/default/files.FAQ March 201_Opdf</w:t>
        </w:r>
      </w:hyperlink>
      <w:r>
        <w:t>.</w:t>
      </w:r>
    </w:p>
  </w:footnote>
  <w:footnote w:id="154">
    <w:p w:rsidR="00527D3A" w:rsidRDefault="00527D3A" w:rsidP="000563B6">
      <w:pPr>
        <w:pStyle w:val="FootnoteText"/>
      </w:pPr>
      <w:r>
        <w:rPr>
          <w:rStyle w:val="FootnoteReference"/>
        </w:rPr>
        <w:footnoteRef/>
      </w:r>
      <w:r>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we note that there were a total of 729 cities and towns (incorporated places and civil divisions) with populations over 50,000.  </w:t>
      </w:r>
      <w:r w:rsidRPr="00C84780">
        <w:rPr>
          <w:i/>
        </w:rPr>
        <w:t>See</w:t>
      </w:r>
      <w:r>
        <w:t xml:space="preserve"> </w:t>
      </w:r>
      <w:hyperlink r:id="rId9" w:history="1">
        <w:r w:rsidRPr="00901168">
          <w:rPr>
            <w:rStyle w:val="Hyperlink"/>
          </w:rPr>
          <w:t>http://factfinder.census.gov/faces/tableservices/jsf/pages/productview.xhtml?src=bkmk</w:t>
        </w:r>
      </w:hyperlink>
      <w:r>
        <w:t xml:space="preserve">.  If we subtract the 729 cities and towns that exceed the 50,000 population threshold, we conclude that approximately 789, 237 are small. </w:t>
      </w:r>
    </w:p>
  </w:footnote>
  <w:footnote w:id="155">
    <w:p w:rsidR="00527D3A" w:rsidRDefault="00527D3A" w:rsidP="000563B6">
      <w:pPr>
        <w:pStyle w:val="FootnoteText"/>
      </w:pPr>
      <w:r>
        <w:rPr>
          <w:rStyle w:val="FootnoteReference"/>
        </w:rPr>
        <w:footnoteRef/>
      </w:r>
      <w:r>
        <w:t xml:space="preserve"> </w:t>
      </w:r>
      <w:r w:rsidRPr="008A5A5E">
        <w:rPr>
          <w:i/>
        </w:rPr>
        <w:t>See</w:t>
      </w:r>
      <w:r>
        <w:t xml:space="preserve"> </w:t>
      </w:r>
      <w:hyperlink r:id="rId10" w:history="1">
        <w:r w:rsidRPr="008A5A5E">
          <w:rPr>
            <w:rStyle w:val="Hyperlink"/>
          </w:rPr>
          <w:t>http://www.census.gov/cgi-bin/sssd/naics/naicsrch</w:t>
        </w:r>
      </w:hyperlink>
    </w:p>
  </w:footnote>
  <w:footnote w:id="156">
    <w:p w:rsidR="00527D3A" w:rsidRDefault="00527D3A" w:rsidP="000563B6">
      <w:pPr>
        <w:pStyle w:val="FootnoteText"/>
      </w:pPr>
      <w:r>
        <w:rPr>
          <w:rStyle w:val="FootnoteReference"/>
        </w:rPr>
        <w:footnoteRef/>
      </w:r>
      <w:r>
        <w:t xml:space="preserve"> </w:t>
      </w:r>
      <w:r w:rsidRPr="008A5A5E">
        <w:rPr>
          <w:i/>
        </w:rPr>
        <w:t>See</w:t>
      </w:r>
      <w:r>
        <w:t xml:space="preserve"> 13 C.F.R. </w:t>
      </w:r>
      <w:r>
        <w:rPr>
          <w:rStyle w:val="Footnote"/>
        </w:rPr>
        <w:t xml:space="preserve">§ </w:t>
      </w:r>
      <w:r>
        <w:t>120.201, NAICS Code 517110.</w:t>
      </w:r>
    </w:p>
  </w:footnote>
  <w:footnote w:id="157">
    <w:p w:rsidR="00527D3A" w:rsidRPr="009975E0" w:rsidRDefault="00527D3A" w:rsidP="000563B6">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"D:\\Users\\Mika.Savir\\AppData\\Roaming\\Microsoft\\Word\\draft nprm 1 26 15 ogc  tb edits.docx"</w:instrText>
      </w:r>
      <w:r>
        <w:fldChar w:fldCharType="separate"/>
      </w:r>
      <w:r w:rsidRPr="009975E0">
        <w:rPr>
          <w:rStyle w:val="Hyperlink"/>
        </w:rPr>
        <w:t>http://factfinder.census.gov/faces/tableservices/jsf/pages/productview.xhtml?</w:t>
      </w:r>
    </w:p>
    <w:p w:rsidR="00527D3A" w:rsidRDefault="00527D3A" w:rsidP="000563B6">
      <w:pPr>
        <w:pStyle w:val="FootnoteText"/>
      </w:pPr>
      <w:r w:rsidRPr="009975E0">
        <w:rPr>
          <w:rStyle w:val="Hyperlink"/>
        </w:rPr>
        <w:t>pid=ECN_2007_US_51SSSZ5 &amp;prodType= table</w:t>
      </w:r>
      <w:r>
        <w:fldChar w:fldCharType="end"/>
      </w:r>
      <w:r>
        <w:t>.</w:t>
      </w:r>
    </w:p>
  </w:footnote>
  <w:footnote w:id="158">
    <w:p w:rsidR="00527D3A" w:rsidRDefault="00527D3A" w:rsidP="000563B6">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59">
    <w:p w:rsidR="00527D3A" w:rsidRDefault="00527D3A" w:rsidP="000563B6">
      <w:pPr>
        <w:pStyle w:val="FootnoteText"/>
      </w:pPr>
      <w:r>
        <w:rPr>
          <w:rStyle w:val="FootnoteReference"/>
        </w:rPr>
        <w:footnoteRef/>
      </w:r>
      <w:r>
        <w:t xml:space="preserve"> </w:t>
      </w:r>
      <w:r w:rsidRPr="00280043">
        <w:rPr>
          <w:i/>
        </w:rPr>
        <w:t>See id.</w:t>
      </w:r>
    </w:p>
  </w:footnote>
  <w:footnote w:id="160">
    <w:p w:rsidR="00527D3A" w:rsidRDefault="00527D3A" w:rsidP="006E638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61">
    <w:p w:rsidR="00527D3A" w:rsidRDefault="00527D3A" w:rsidP="006E638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62">
    <w:p w:rsidR="00527D3A" w:rsidRDefault="00527D3A" w:rsidP="006E6387">
      <w:pPr>
        <w:pStyle w:val="FootnoteText"/>
      </w:pPr>
      <w:r>
        <w:rPr>
          <w:rStyle w:val="FootnoteReference"/>
        </w:rPr>
        <w:footnoteRef/>
      </w:r>
      <w:r>
        <w:t xml:space="preserve"> </w:t>
      </w:r>
      <w:r w:rsidRPr="00280043">
        <w:rPr>
          <w:i/>
        </w:rPr>
        <w:t>See id.</w:t>
      </w:r>
    </w:p>
  </w:footnote>
  <w:footnote w:id="163">
    <w:p w:rsidR="00527D3A" w:rsidRDefault="00527D3A" w:rsidP="006E6387">
      <w:pPr>
        <w:pStyle w:val="FootnoteText"/>
      </w:pPr>
      <w:r>
        <w:rPr>
          <w:rStyle w:val="FootnoteReference"/>
        </w:rPr>
        <w:footnoteRef/>
      </w:r>
      <w:r>
        <w:t xml:space="preserve"> </w:t>
      </w:r>
      <w:r w:rsidRPr="00D15B65">
        <w:rPr>
          <w:i/>
        </w:rPr>
        <w:t xml:space="preserve">See </w:t>
      </w:r>
      <w:r>
        <w:rPr>
          <w:i/>
        </w:rPr>
        <w:t>id</w:t>
      </w:r>
      <w:r w:rsidRPr="00D15B65">
        <w:t>.</w:t>
      </w:r>
    </w:p>
  </w:footnote>
  <w:footnote w:id="164">
    <w:p w:rsidR="00527D3A" w:rsidRDefault="00527D3A" w:rsidP="006E6387">
      <w:pPr>
        <w:pStyle w:val="FootnoteText"/>
      </w:pPr>
      <w:r>
        <w:rPr>
          <w:rStyle w:val="FootnoteReference"/>
        </w:rPr>
        <w:footnoteRef/>
      </w:r>
      <w:r>
        <w:t xml:space="preserve"> </w:t>
      </w:r>
      <w:r w:rsidRPr="00007763">
        <w:rPr>
          <w:i/>
        </w:rPr>
        <w:t>Id.</w:t>
      </w:r>
    </w:p>
  </w:footnote>
  <w:footnote w:id="165">
    <w:p w:rsidR="00527D3A" w:rsidRDefault="00527D3A" w:rsidP="006E6387">
      <w:pPr>
        <w:pStyle w:val="FootnoteText"/>
      </w:pPr>
      <w:r>
        <w:rPr>
          <w:rStyle w:val="FootnoteReference"/>
        </w:rPr>
        <w:footnoteRef/>
      </w:r>
      <w:r>
        <w:t xml:space="preserve"> </w:t>
      </w:r>
      <w:r>
        <w:rPr>
          <w:rStyle w:val="FootnoteTextChar4"/>
        </w:rPr>
        <w:t>13 C.F.R. § 121.201, NAICS code 517110.</w:t>
      </w:r>
    </w:p>
  </w:footnote>
  <w:footnote w:id="166">
    <w:p w:rsidR="00527D3A" w:rsidRPr="009975E0" w:rsidRDefault="00527D3A" w:rsidP="006E6387">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"D:\\Users\\Mika.Savir\\AppData\\Roaming\\Microsoft\\Word\\draft nprm 1 28 15 ogc  tb edits.docx"</w:instrText>
      </w:r>
      <w:r>
        <w:fldChar w:fldCharType="separate"/>
      </w:r>
      <w:r w:rsidRPr="009975E0">
        <w:rPr>
          <w:rStyle w:val="Hyperlink"/>
        </w:rPr>
        <w:t>http://factfinder.census.gov/faces/tableservices/jsf/pages/productview.xhtml?</w:t>
      </w:r>
    </w:p>
    <w:p w:rsidR="00527D3A" w:rsidRDefault="00527D3A" w:rsidP="006E6387">
      <w:pPr>
        <w:pStyle w:val="FootnoteText"/>
      </w:pPr>
      <w:r w:rsidRPr="009975E0">
        <w:rPr>
          <w:rStyle w:val="Hyperlink"/>
        </w:rPr>
        <w:t>pid=ECN_2007_US_51SSSZ5&amp;prodType=%20table</w:t>
      </w:r>
      <w:r>
        <w:fldChar w:fldCharType="end"/>
      </w:r>
      <w:r>
        <w:t>.</w:t>
      </w:r>
    </w:p>
  </w:footnote>
  <w:footnote w:id="167">
    <w:p w:rsidR="00527D3A" w:rsidRDefault="00527D3A" w:rsidP="006E6387">
      <w:pPr>
        <w:pStyle w:val="FootnoteText"/>
      </w:pPr>
      <w:r>
        <w:rPr>
          <w:rStyle w:val="FootnoteReference"/>
        </w:rPr>
        <w:footnoteRef/>
      </w:r>
      <w:r>
        <w:t xml:space="preserve"> </w:t>
      </w:r>
      <w:r>
        <w:rPr>
          <w:i/>
        </w:rPr>
        <w:t>See Trends in Telephone Service,</w:t>
      </w:r>
      <w:r>
        <w:t xml:space="preserve"> at tbl. 5.3.</w:t>
      </w:r>
    </w:p>
  </w:footnote>
  <w:footnote w:id="168">
    <w:p w:rsidR="00527D3A" w:rsidRDefault="00527D3A" w:rsidP="006E6387">
      <w:pPr>
        <w:pStyle w:val="FootnoteText"/>
      </w:pPr>
      <w:r>
        <w:rPr>
          <w:rStyle w:val="FootnoteReference"/>
        </w:rPr>
        <w:footnoteRef/>
      </w:r>
      <w:r>
        <w:t xml:space="preserve"> </w:t>
      </w:r>
      <w:r w:rsidRPr="00C71B0F">
        <w:rPr>
          <w:i/>
        </w:rPr>
        <w:t>Id.</w:t>
      </w:r>
    </w:p>
  </w:footnote>
  <w:footnote w:id="169">
    <w:p w:rsidR="00527D3A" w:rsidRDefault="00527D3A" w:rsidP="006E6387">
      <w:pPr>
        <w:pStyle w:val="FootnoteText"/>
      </w:pPr>
      <w:r>
        <w:rPr>
          <w:rStyle w:val="FootnoteReference"/>
        </w:rPr>
        <w:footnoteRef/>
      </w:r>
      <w:r>
        <w:t xml:space="preserve"> </w:t>
      </w:r>
      <w:r w:rsidRPr="00C71B0F">
        <w:rPr>
          <w:i/>
        </w:rPr>
        <w:t>Id.</w:t>
      </w:r>
    </w:p>
  </w:footnote>
  <w:footnote w:id="170">
    <w:p w:rsidR="00527D3A" w:rsidRDefault="00527D3A" w:rsidP="006E6387">
      <w:pPr>
        <w:pStyle w:val="FootnoteText"/>
      </w:pPr>
      <w:r>
        <w:rPr>
          <w:rStyle w:val="FootnoteReference"/>
        </w:rPr>
        <w:footnoteRef/>
      </w:r>
      <w:r>
        <w:t xml:space="preserve"> </w:t>
      </w:r>
      <w:r w:rsidRPr="00C71B0F">
        <w:rPr>
          <w:i/>
        </w:rPr>
        <w:t>Id.</w:t>
      </w:r>
    </w:p>
  </w:footnote>
  <w:footnote w:id="171">
    <w:p w:rsidR="00527D3A" w:rsidRDefault="00527D3A" w:rsidP="006E6387">
      <w:pPr>
        <w:pStyle w:val="FootnoteText"/>
      </w:pPr>
      <w:r>
        <w:rPr>
          <w:rStyle w:val="FootnoteReference"/>
        </w:rPr>
        <w:footnoteRef/>
      </w:r>
      <w:r>
        <w:t xml:space="preserve"> </w:t>
      </w:r>
      <w:r>
        <w:rPr>
          <w:color w:val="000000"/>
        </w:rPr>
        <w:t>13 C.F.R. § 121.201, NAICS code 517110.</w:t>
      </w:r>
    </w:p>
  </w:footnote>
  <w:footnote w:id="172">
    <w:p w:rsidR="00527D3A" w:rsidRDefault="00527D3A" w:rsidP="006E6387">
      <w:pPr>
        <w:pStyle w:val="FootnoteText"/>
      </w:pPr>
      <w:r>
        <w:rPr>
          <w:rStyle w:val="FootnoteReference"/>
        </w:rPr>
        <w:footnoteRef/>
      </w:r>
      <w:r>
        <w:t xml:space="preserve"> </w:t>
      </w:r>
      <w:r>
        <w:rPr>
          <w:i/>
        </w:rPr>
        <w:t>See Trends in Telephone Service,</w:t>
      </w:r>
      <w:r>
        <w:t xml:space="preserve"> at tbl. 5.3.</w:t>
      </w:r>
    </w:p>
  </w:footnote>
  <w:footnote w:id="173">
    <w:p w:rsidR="00527D3A" w:rsidRDefault="00527D3A" w:rsidP="006E6387">
      <w:pPr>
        <w:pStyle w:val="FootnoteText"/>
      </w:pPr>
      <w:r>
        <w:rPr>
          <w:rStyle w:val="FootnoteReference"/>
        </w:rPr>
        <w:footnoteRef/>
      </w:r>
      <w:r>
        <w:t xml:space="preserve"> </w:t>
      </w:r>
      <w:r w:rsidRPr="0026657E">
        <w:rPr>
          <w:i/>
        </w:rPr>
        <w:t>Id.</w:t>
      </w:r>
    </w:p>
  </w:footnote>
  <w:footnote w:id="174">
    <w:p w:rsidR="00527D3A" w:rsidRDefault="00527D3A" w:rsidP="006E6387">
      <w:pPr>
        <w:pStyle w:val="FootnoteText"/>
      </w:pPr>
      <w:r>
        <w:rPr>
          <w:rStyle w:val="FootnoteReference"/>
        </w:rPr>
        <w:footnoteRef/>
      </w:r>
      <w:r>
        <w:t xml:space="preserve"> </w:t>
      </w:r>
      <w:hyperlink r:id="rId11" w:history="1">
        <w:r w:rsidRPr="0008354F">
          <w:rPr>
            <w:rStyle w:val="Hyperlink"/>
          </w:rPr>
          <w:t>http://www.census.gov/cgi-bin/ssd/naics/naicsrch</w:t>
        </w:r>
      </w:hyperlink>
      <w:r>
        <w:t>.</w:t>
      </w:r>
    </w:p>
  </w:footnote>
  <w:footnote w:id="175">
    <w:p w:rsidR="00527D3A" w:rsidRDefault="00527D3A" w:rsidP="006E6387">
      <w:pPr>
        <w:pStyle w:val="FootnoteText"/>
      </w:pPr>
      <w:r>
        <w:rPr>
          <w:rStyle w:val="FootnoteReference"/>
        </w:rPr>
        <w:footnoteRef/>
      </w:r>
      <w:r>
        <w:t xml:space="preserve"> </w:t>
      </w:r>
      <w:r>
        <w:rPr>
          <w:color w:val="000000"/>
        </w:rPr>
        <w:t>13 C.F.R. § 121.201, NAICS code 517911.</w:t>
      </w:r>
    </w:p>
  </w:footnote>
  <w:footnote w:id="176">
    <w:p w:rsidR="00527D3A" w:rsidRPr="009975E0" w:rsidRDefault="00527D3A" w:rsidP="006E6387">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"D:\\Users\\Mika.Savir\\AppData\\Roaming\\Microsoft\\Word\\2015 Regulatory Fees NPRM RO MOO and Order - FEB 27 OGC edits redline.docx"</w:instrText>
      </w:r>
      <w:r>
        <w:fldChar w:fldCharType="separate"/>
      </w:r>
      <w:r w:rsidRPr="009975E0">
        <w:rPr>
          <w:rStyle w:val="Hyperlink"/>
        </w:rPr>
        <w:t>http://factfinder.census.gov/faces/tableservices/jsf/pages/productview.xhtml?</w:t>
      </w:r>
    </w:p>
    <w:p w:rsidR="00527D3A" w:rsidRPr="009975E0" w:rsidRDefault="00527D3A" w:rsidP="006E6387">
      <w:pPr>
        <w:pStyle w:val="FootnoteText"/>
      </w:pPr>
      <w:r w:rsidRPr="009975E0">
        <w:rPr>
          <w:rStyle w:val="Hyperlink"/>
        </w:rPr>
        <w:t>pid=ECN_2007_US_51SSSZ5&amp;prodType=table</w:t>
      </w:r>
      <w:r>
        <w:fldChar w:fldCharType="end"/>
      </w:r>
      <w:r w:rsidRPr="009975E0">
        <w:t>.</w:t>
      </w:r>
    </w:p>
  </w:footnote>
  <w:footnote w:id="177">
    <w:p w:rsidR="00527D3A" w:rsidRDefault="00527D3A" w:rsidP="006E6387">
      <w:pPr>
        <w:pStyle w:val="FootnoteText"/>
      </w:pPr>
      <w:r>
        <w:rPr>
          <w:rStyle w:val="FootnoteReference"/>
        </w:rPr>
        <w:footnoteRef/>
      </w:r>
      <w:r>
        <w:t xml:space="preserve"> </w:t>
      </w:r>
      <w:r>
        <w:rPr>
          <w:i/>
        </w:rPr>
        <w:t>See Trends in Telephone Service,</w:t>
      </w:r>
      <w:r>
        <w:t xml:space="preserve"> at tbl. 5.3.</w:t>
      </w:r>
    </w:p>
  </w:footnote>
  <w:footnote w:id="178">
    <w:p w:rsidR="00527D3A" w:rsidRDefault="00527D3A" w:rsidP="006E6387">
      <w:pPr>
        <w:pStyle w:val="FootnoteText"/>
      </w:pPr>
      <w:r>
        <w:rPr>
          <w:rStyle w:val="FootnoteReference"/>
        </w:rPr>
        <w:footnoteRef/>
      </w:r>
      <w:r>
        <w:t xml:space="preserve"> </w:t>
      </w:r>
      <w:r w:rsidRPr="00860117">
        <w:rPr>
          <w:i/>
        </w:rPr>
        <w:t>Id.</w:t>
      </w:r>
    </w:p>
  </w:footnote>
  <w:footnote w:id="179">
    <w:p w:rsidR="00527D3A" w:rsidRDefault="00527D3A" w:rsidP="00CE7724">
      <w:pPr>
        <w:pStyle w:val="FootnoteText"/>
      </w:pPr>
      <w:r>
        <w:rPr>
          <w:rStyle w:val="FootnoteReference"/>
        </w:rPr>
        <w:footnoteRef/>
      </w:r>
      <w:r>
        <w:t xml:space="preserve"> </w:t>
      </w:r>
      <w:r>
        <w:rPr>
          <w:color w:val="000000"/>
        </w:rPr>
        <w:t>13 C.F.R. § 121.201, NAICS code 517911.</w:t>
      </w:r>
    </w:p>
  </w:footnote>
  <w:footnote w:id="180">
    <w:p w:rsidR="00527D3A" w:rsidRDefault="00527D3A" w:rsidP="00CE7724">
      <w:pPr>
        <w:pStyle w:val="FootnoteText"/>
      </w:pPr>
      <w:r>
        <w:rPr>
          <w:rStyle w:val="FootnoteReference"/>
        </w:rPr>
        <w:footnoteRef/>
      </w:r>
      <w:r>
        <w:t xml:space="preserve"> </w:t>
      </w:r>
      <w:r w:rsidRPr="009567E6">
        <w:rPr>
          <w:i/>
        </w:rPr>
        <w:t>Id.</w:t>
      </w:r>
    </w:p>
  </w:footnote>
  <w:footnote w:id="181">
    <w:p w:rsidR="00527D3A" w:rsidRDefault="00527D3A" w:rsidP="00CE7724">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82">
    <w:p w:rsidR="00527D3A" w:rsidRDefault="00527D3A" w:rsidP="00CE7724">
      <w:pPr>
        <w:pStyle w:val="FootnoteText"/>
      </w:pPr>
      <w:r>
        <w:rPr>
          <w:rStyle w:val="FootnoteReference"/>
        </w:rPr>
        <w:footnoteRef/>
      </w:r>
      <w:r>
        <w:t xml:space="preserve"> </w:t>
      </w:r>
      <w:r w:rsidRPr="00E024DD">
        <w:rPr>
          <w:i/>
        </w:rPr>
        <w:t>Id.</w:t>
      </w:r>
    </w:p>
  </w:footnote>
  <w:footnote w:id="183">
    <w:p w:rsidR="00527D3A" w:rsidRDefault="00527D3A" w:rsidP="00CE7724">
      <w:pPr>
        <w:pStyle w:val="FootnoteText"/>
      </w:pPr>
      <w:r>
        <w:rPr>
          <w:rStyle w:val="FootnoteReference"/>
        </w:rPr>
        <w:footnoteRef/>
      </w:r>
      <w:r>
        <w:t xml:space="preserve"> </w:t>
      </w:r>
      <w:r>
        <w:rPr>
          <w:color w:val="000000"/>
        </w:rPr>
        <w:t>13 C.F.R. § 121.201, NAICS code 517911.</w:t>
      </w:r>
    </w:p>
  </w:footnote>
  <w:footnote w:id="184">
    <w:p w:rsidR="00527D3A" w:rsidRDefault="00527D3A" w:rsidP="00CE7724">
      <w:pPr>
        <w:pStyle w:val="FootnoteText"/>
      </w:pPr>
      <w:r>
        <w:rPr>
          <w:rStyle w:val="FootnoteReference"/>
        </w:rPr>
        <w:footnoteRef/>
      </w:r>
      <w:r>
        <w:t xml:space="preserve"> </w:t>
      </w:r>
      <w:r w:rsidRPr="004076C3">
        <w:rPr>
          <w:i/>
        </w:rPr>
        <w:t>Id.</w:t>
      </w:r>
    </w:p>
  </w:footnote>
  <w:footnote w:id="185">
    <w:p w:rsidR="00527D3A" w:rsidRDefault="00527D3A" w:rsidP="00CE7724">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86">
    <w:p w:rsidR="00527D3A" w:rsidRDefault="00527D3A" w:rsidP="00CE7724">
      <w:pPr>
        <w:pStyle w:val="FootnoteText"/>
      </w:pPr>
      <w:r>
        <w:rPr>
          <w:rStyle w:val="FootnoteReference"/>
        </w:rPr>
        <w:footnoteRef/>
      </w:r>
      <w:r>
        <w:t xml:space="preserve"> </w:t>
      </w:r>
      <w:r w:rsidRPr="00E52E8F">
        <w:rPr>
          <w:i/>
        </w:rPr>
        <w:t>Id.</w:t>
      </w:r>
    </w:p>
  </w:footnote>
  <w:footnote w:id="187">
    <w:p w:rsidR="00527D3A" w:rsidRDefault="00527D3A" w:rsidP="00CE7724">
      <w:pPr>
        <w:pStyle w:val="FootnoteText"/>
      </w:pPr>
      <w:r>
        <w:rPr>
          <w:rStyle w:val="FootnoteReference"/>
        </w:rPr>
        <w:footnoteRef/>
      </w:r>
      <w:r>
        <w:t xml:space="preserve"> </w:t>
      </w:r>
      <w:r>
        <w:rPr>
          <w:color w:val="000000"/>
        </w:rPr>
        <w:t>13 C.F.R. § 121.201, NAICS code 517110.</w:t>
      </w:r>
    </w:p>
  </w:footnote>
  <w:footnote w:id="188">
    <w:p w:rsidR="00527D3A" w:rsidRDefault="00527D3A" w:rsidP="00CE7724">
      <w:pPr>
        <w:pStyle w:val="FootnoteText"/>
      </w:pPr>
      <w:r>
        <w:rPr>
          <w:rStyle w:val="FootnoteReference"/>
        </w:rPr>
        <w:footnoteRef/>
      </w:r>
      <w:r>
        <w:t xml:space="preserve"> </w:t>
      </w:r>
      <w:r w:rsidRPr="00235678">
        <w:rPr>
          <w:i/>
        </w:rPr>
        <w:t>Id.</w:t>
      </w:r>
    </w:p>
  </w:footnote>
  <w:footnote w:id="189">
    <w:p w:rsidR="00527D3A" w:rsidRDefault="00527D3A" w:rsidP="00CE7724">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0">
    <w:p w:rsidR="00527D3A" w:rsidRDefault="00527D3A" w:rsidP="00CE7724">
      <w:pPr>
        <w:pStyle w:val="FootnoteText"/>
      </w:pPr>
      <w:r>
        <w:rPr>
          <w:rStyle w:val="FootnoteReference"/>
        </w:rPr>
        <w:footnoteRef/>
      </w:r>
      <w:r>
        <w:t xml:space="preserve"> </w:t>
      </w:r>
      <w:r w:rsidRPr="00B605CD">
        <w:rPr>
          <w:i/>
        </w:rPr>
        <w:t>Id.</w:t>
      </w:r>
    </w:p>
  </w:footnote>
  <w:footnote w:id="191">
    <w:p w:rsidR="00527D3A" w:rsidRDefault="00527D3A" w:rsidP="00CE7724">
      <w:pPr>
        <w:pStyle w:val="FootnoteText"/>
      </w:pPr>
      <w:r>
        <w:rPr>
          <w:rStyle w:val="FootnoteReference"/>
        </w:rPr>
        <w:footnoteRef/>
      </w:r>
      <w:r>
        <w:t xml:space="preserve"> NAICS Code 517210.  </w:t>
      </w:r>
      <w:r w:rsidRPr="00236BFA">
        <w:rPr>
          <w:i/>
        </w:rPr>
        <w:t>See</w:t>
      </w:r>
      <w:r>
        <w:t xml:space="preserve"> </w:t>
      </w:r>
      <w:hyperlink r:id="rId12" w:history="1">
        <w:r w:rsidRPr="00236BFA">
          <w:rPr>
            <w:rStyle w:val="Hyperlink"/>
          </w:rPr>
          <w:t>http://www.census.gov/cgi-bin/ssd/naics/naiscsrch</w:t>
        </w:r>
      </w:hyperlink>
      <w:r>
        <w:t>.</w:t>
      </w:r>
    </w:p>
  </w:footnote>
  <w:footnote w:id="192">
    <w:p w:rsidR="00527D3A" w:rsidRDefault="00527D3A" w:rsidP="00CE7724">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93">
    <w:p w:rsidR="00527D3A" w:rsidRDefault="00527D3A" w:rsidP="00CE7724">
      <w:pPr>
        <w:pStyle w:val="FootnoteText"/>
      </w:pPr>
      <w:r>
        <w:rPr>
          <w:rStyle w:val="FootnoteReference"/>
        </w:rPr>
        <w:footnoteRef/>
      </w:r>
      <w:r>
        <w:t xml:space="preserve"> </w:t>
      </w:r>
      <w:r w:rsidRPr="00233E31">
        <w:rPr>
          <w:i/>
        </w:rPr>
        <w:t>Id.</w:t>
      </w:r>
    </w:p>
  </w:footnote>
  <w:footnote w:id="194">
    <w:p w:rsidR="00527D3A" w:rsidRDefault="00527D3A" w:rsidP="006C761E">
      <w:pPr>
        <w:pStyle w:val="FootnoteText"/>
      </w:pPr>
      <w:r>
        <w:rPr>
          <w:rStyle w:val="FootnoteReference"/>
        </w:rPr>
        <w:footnoteRef/>
      </w:r>
      <w:r>
        <w:t xml:space="preserve"> In 2014, “Cable and Other Subscription Programming,” NAICS Code 515210, replaced a prior category, now obsolete, which was called “Cable and Other Program Distribution.” Cable and Other Program Distribution, prior to 2014, were placed under NAICS Code 517110, Wired Telecommunications Carriers.  Wired Telecommunications Carriers is still a current and valid NAICS Code Category. Because of the similarity between “Cable and Other Subscription Programming” and “Cable and other Program Distribution,” we will, in this proceeding, continue to use Wired Telecommunications Carrier data based on the U.S. Census. The alternative of using data gathered under Cable and Other Subscription Programming (NAICS Code 515210) is unavailable to us for two reasons.  First, the size standard established by the SBA for Cable and Other Subscription Programming is annual receipts of $38.5 million or less. Thus  to use the annual receipts size standard would require the Commission either to switch from existing employee based size standard of 1,500 employees or less for Wired Telecommunications Carriers, or else would require the use of two size standards.  No official approval of either option has been granted by the Commission as of the time of the release of the </w:t>
      </w:r>
      <w:r w:rsidRPr="00B86F65">
        <w:rPr>
          <w:i/>
        </w:rPr>
        <w:t>FY 2015 NPRM</w:t>
      </w:r>
      <w:r>
        <w:t xml:space="preserve">. Second, the data available under the size standard of $38.5 million dollars or less is not applicable at this time, because the only currently available U.S. Census data for annual receipts of all businesses operating in the NAICS Code category of 515210 (Cable and other Subscription Programming) consists only of total receipts for all businesses operating in this category in 2007 and of total annual receipts for all businesses operatin6 in this category in 2012.  Hence the data do not provide any basis for determining, for either year, how many businesses were small because they had annual receipts of $38.5 million or less. </w:t>
      </w:r>
      <w:r w:rsidRPr="002D0408">
        <w:rPr>
          <w:i/>
        </w:rPr>
        <w:t xml:space="preserve">See </w:t>
      </w:r>
      <w:hyperlink r:id="rId13" w:history="1">
        <w:r w:rsidRPr="00D62302">
          <w:rPr>
            <w:rStyle w:val="Hyperlink"/>
          </w:rPr>
          <w:t>http://factfinder.census.gov/faces/tableservices/jsf/pages/productview.xhtml?pid=ECN_2012_US_51I2&amp;prodType=table</w:t>
        </w:r>
      </w:hyperlink>
      <w:r>
        <w:t>.</w:t>
      </w:r>
    </w:p>
  </w:footnote>
  <w:footnote w:id="195">
    <w:p w:rsidR="00527D3A" w:rsidRDefault="00527D3A" w:rsidP="006C761E">
      <w:pPr>
        <w:pStyle w:val="FootnoteText"/>
      </w:pPr>
      <w:r>
        <w:rPr>
          <w:rStyle w:val="FootnoteReference"/>
        </w:rPr>
        <w:footnoteRef/>
      </w:r>
      <w:r>
        <w:t xml:space="preserve"> U.S. Census Bureau, 2007 NAICS Definitions, “517110 Wired Telecommunications Carriers” (partial definition), (Full definition stated in paragraph 6 of this IRFA) available at </w:t>
      </w:r>
      <w:hyperlink r:id="rId14" w:history="1">
        <w:r w:rsidRPr="00D62302">
          <w:rPr>
            <w:rStyle w:val="Hyperlink"/>
          </w:rPr>
          <w:t>http://www.census.gov/cgi-bin/sssd/naics/naicsrch</w:t>
        </w:r>
      </w:hyperlink>
      <w:r>
        <w:t>.</w:t>
      </w:r>
    </w:p>
  </w:footnote>
  <w:footnote w:id="196">
    <w:p w:rsidR="00527D3A" w:rsidRDefault="00527D3A" w:rsidP="006C761E">
      <w:pPr>
        <w:pStyle w:val="FootnoteText"/>
      </w:pPr>
      <w:r>
        <w:rPr>
          <w:rStyle w:val="FootnoteReference"/>
        </w:rPr>
        <w:footnoteRef/>
      </w:r>
      <w:r>
        <w:t xml:space="preserve"> </w:t>
      </w:r>
      <w:r>
        <w:rPr>
          <w:color w:val="000000"/>
        </w:rPr>
        <w:t>13 C.F.R. § 121.201, NAICS code 517110.</w:t>
      </w:r>
    </w:p>
  </w:footnote>
  <w:footnote w:id="197">
    <w:p w:rsidR="00527D3A" w:rsidRDefault="00527D3A" w:rsidP="006C761E">
      <w:pPr>
        <w:pStyle w:val="FootnoteText"/>
      </w:pPr>
      <w:r>
        <w:rPr>
          <w:rStyle w:val="FootnoteReference"/>
        </w:rPr>
        <w:footnoteRef/>
      </w:r>
      <w:r>
        <w:t xml:space="preserve"> </w:t>
      </w:r>
      <w:hyperlink r:id="rId15" w:history="1">
        <w:r w:rsidRPr="00C37438">
          <w:rPr>
            <w:rStyle w:val="Hyperlink"/>
          </w:rPr>
          <w:t>http://factfinder.census.gov/faces/tableservices/jsf/pages/productview.xhtml?pid=ECN_2007_US-51SSSZ5&amp;prodType=Table</w:t>
        </w:r>
      </w:hyperlink>
      <w:r>
        <w:t>.</w:t>
      </w:r>
    </w:p>
  </w:footnote>
  <w:footnote w:id="198">
    <w:p w:rsidR="00527D3A" w:rsidRDefault="00527D3A" w:rsidP="00F14F72">
      <w:pPr>
        <w:pStyle w:val="FootnoteText"/>
      </w:pPr>
      <w:r>
        <w:rPr>
          <w:rStyle w:val="FootnoteReference"/>
        </w:rPr>
        <w:footnoteRef/>
      </w:r>
      <w:r>
        <w:t xml:space="preserve"> 47.C.F.R. 76.901(e)</w:t>
      </w:r>
    </w:p>
  </w:footnote>
  <w:footnote w:id="199">
    <w:p w:rsidR="00527D3A" w:rsidRDefault="00527D3A" w:rsidP="00F14F72">
      <w:pPr>
        <w:pStyle w:val="FootnoteText"/>
      </w:pPr>
      <w:r>
        <w:rPr>
          <w:rStyle w:val="FootnoteReference"/>
        </w:rPr>
        <w:footnoteRef/>
      </w:r>
      <w:r>
        <w:t xml:space="preserve"> August 15, 2015 Report from the Media Bureau based on data contained in the Commission’s Cable Operations And Licensing System(COALS). See www/fcc.gov/coals</w:t>
      </w:r>
    </w:p>
  </w:footnote>
  <w:footnote w:id="200">
    <w:p w:rsidR="00527D3A" w:rsidRDefault="00527D3A" w:rsidP="00F14F72">
      <w:pPr>
        <w:pStyle w:val="FootnoteText"/>
      </w:pPr>
      <w:r>
        <w:rPr>
          <w:rStyle w:val="FootnoteReference"/>
        </w:rPr>
        <w:footnoteRef/>
      </w:r>
      <w:r>
        <w:t xml:space="preserve"> </w:t>
      </w:r>
      <w:r w:rsidRPr="002B1B38">
        <w:rPr>
          <w:i/>
        </w:rPr>
        <w:t>See</w:t>
      </w:r>
      <w:r>
        <w:t xml:space="preserve"> SNL KAGAN at </w:t>
      </w:r>
      <w:hyperlink r:id="rId16" w:history="1">
        <w:r w:rsidRPr="00256AD6">
          <w:rPr>
            <w:rStyle w:val="Hyperlink"/>
          </w:rPr>
          <w:t>www.snl.com/interactiveX</w:t>
        </w:r>
      </w:hyperlink>
      <w:r w:rsidRPr="005C421A">
        <w:rPr>
          <w:rStyle w:val="Hyperlink"/>
        </w:rPr>
        <w:t>/top cableMSOs aspx?period2015Q1&amp;sortcol=subscribersbasic&amp;sortorder=desc</w:t>
      </w:r>
      <w:r>
        <w:rPr>
          <w:rStyle w:val="Hyperlink"/>
        </w:rPr>
        <w:t>.</w:t>
      </w:r>
    </w:p>
  </w:footnote>
  <w:footnote w:id="201">
    <w:p w:rsidR="00527D3A" w:rsidRDefault="00527D3A" w:rsidP="00F14F72">
      <w:pPr>
        <w:pStyle w:val="FootnoteText"/>
      </w:pPr>
      <w:r>
        <w:rPr>
          <w:rStyle w:val="FootnoteReference"/>
        </w:rPr>
        <w:footnoteRef/>
      </w:r>
      <w:r>
        <w:t xml:space="preserve"> 47 C.F.R 76.901(c)</w:t>
      </w:r>
    </w:p>
  </w:footnote>
  <w:footnote w:id="202">
    <w:p w:rsidR="00527D3A" w:rsidRDefault="00527D3A" w:rsidP="00F14F72">
      <w:pPr>
        <w:pStyle w:val="FootnoteText"/>
      </w:pPr>
      <w:r>
        <w:rPr>
          <w:rStyle w:val="FootnoteReference"/>
        </w:rPr>
        <w:footnoteRef/>
      </w:r>
      <w:r>
        <w:t xml:space="preserve"> </w:t>
      </w:r>
      <w:r w:rsidRPr="002B1B38">
        <w:rPr>
          <w:i/>
        </w:rPr>
        <w:t xml:space="preserve">See </w:t>
      </w:r>
      <w:r>
        <w:t xml:space="preserve">footnote 2, </w:t>
      </w:r>
      <w:r w:rsidRPr="002B1B38">
        <w:rPr>
          <w:i/>
        </w:rPr>
        <w:t>supra</w:t>
      </w:r>
      <w:r>
        <w:t>.</w:t>
      </w:r>
    </w:p>
  </w:footnote>
  <w:footnote w:id="203">
    <w:p w:rsidR="00527D3A" w:rsidRDefault="00527D3A" w:rsidP="00F14F72">
      <w:pPr>
        <w:pStyle w:val="FootnoteText"/>
      </w:pPr>
      <w:r>
        <w:rPr>
          <w:rStyle w:val="FootnoteReference"/>
        </w:rPr>
        <w:footnoteRef/>
      </w:r>
      <w:r>
        <w:t xml:space="preserve"> August 5, 2015 report from the Media Bureau based on its research in COALS.See </w:t>
      </w:r>
      <w:hyperlink r:id="rId17" w:history="1">
        <w:r w:rsidRPr="00080147">
          <w:rPr>
            <w:rStyle w:val="Hyperlink"/>
          </w:rPr>
          <w:t>www.fcc.gov</w:t>
        </w:r>
      </w:hyperlink>
      <w:r>
        <w:t xml:space="preserve"> /coals</w:t>
      </w:r>
    </w:p>
  </w:footnote>
  <w:footnote w:id="204">
    <w:p w:rsidR="00527D3A" w:rsidRDefault="00527D3A" w:rsidP="00F14F72">
      <w:pPr>
        <w:pStyle w:val="FootnoteText"/>
      </w:pPr>
      <w:r>
        <w:rPr>
          <w:rStyle w:val="FootnoteReference"/>
        </w:rPr>
        <w:footnoteRef/>
      </w:r>
      <w:r>
        <w:t xml:space="preserve"> </w:t>
      </w:r>
      <w:r w:rsidRPr="002B1B38">
        <w:rPr>
          <w:i/>
        </w:rPr>
        <w:t>See</w:t>
      </w:r>
      <w:r>
        <w:t xml:space="preserve"> SNL KAGAN at </w:t>
      </w:r>
      <w:r w:rsidRPr="005C421A">
        <w:rPr>
          <w:rStyle w:val="Hyperlink"/>
        </w:rPr>
        <w:t>www.snl.com/interactivex/MultichannelIndustryBenchmarks.aspx</w:t>
      </w:r>
      <w:r>
        <w:rPr>
          <w:rStyle w:val="Hyperlink"/>
        </w:rPr>
        <w:t>.</w:t>
      </w:r>
    </w:p>
  </w:footnote>
  <w:footnote w:id="205">
    <w:p w:rsidR="00527D3A" w:rsidRDefault="00527D3A" w:rsidP="00F14F72">
      <w:pPr>
        <w:pStyle w:val="FootnoteText"/>
      </w:pPr>
      <w:r>
        <w:rPr>
          <w:rStyle w:val="FootnoteReference"/>
        </w:rPr>
        <w:footnoteRef/>
      </w:r>
      <w:r>
        <w:t xml:space="preserve"> 47.901(f) and notes ff. 1, 2, and 3.</w:t>
      </w:r>
    </w:p>
  </w:footnote>
  <w:footnote w:id="206">
    <w:p w:rsidR="00527D3A" w:rsidRDefault="00527D3A" w:rsidP="00F14F72">
      <w:pPr>
        <w:pStyle w:val="FootnoteText"/>
      </w:pPr>
      <w:r>
        <w:rPr>
          <w:rStyle w:val="FootnoteReference"/>
        </w:rPr>
        <w:footnoteRef/>
      </w:r>
      <w:r>
        <w:t xml:space="preserve"> </w:t>
      </w:r>
      <w:r w:rsidRPr="002B1B38">
        <w:rPr>
          <w:i/>
        </w:rPr>
        <w:t>See</w:t>
      </w:r>
      <w:r>
        <w:t xml:space="preserve"> SNL KAGAN at </w:t>
      </w:r>
      <w:hyperlink r:id="rId18" w:history="1">
        <w:r w:rsidRPr="005C421A">
          <w:rPr>
            <w:rStyle w:val="Hyperlink"/>
          </w:rPr>
          <w:t>www.snl.com/Interactivex/TopCable</w:t>
        </w:r>
      </w:hyperlink>
      <w:r w:rsidRPr="005C421A">
        <w:rPr>
          <w:rStyle w:val="Hyperlink"/>
        </w:rPr>
        <w:t xml:space="preserve"> MSOs.aspx</w:t>
      </w:r>
      <w:r>
        <w:rPr>
          <w:rStyle w:val="Hyperlink"/>
        </w:rPr>
        <w:t>.</w:t>
      </w:r>
    </w:p>
  </w:footnote>
  <w:footnote w:id="207">
    <w:p w:rsidR="00527D3A" w:rsidRDefault="00527D3A" w:rsidP="00F14F72">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 § 76.901(f) of the Commission's rules</w:t>
      </w:r>
      <w:r w:rsidRPr="002B1B38">
        <w:rPr>
          <w:i/>
        </w:rPr>
        <w:t>.</w:t>
      </w:r>
      <w:r>
        <w:rPr>
          <w:i/>
        </w:rPr>
        <w:t xml:space="preserve"> </w:t>
      </w:r>
      <w:r w:rsidRPr="002B1B38">
        <w:rPr>
          <w:i/>
        </w:rPr>
        <w:t xml:space="preserve"> See</w:t>
      </w:r>
      <w:r w:rsidRPr="00133697">
        <w:t xml:space="preserve"> 47 C.F.R. § 76.901(f).</w:t>
      </w:r>
    </w:p>
  </w:footnote>
  <w:footnote w:id="208">
    <w:p w:rsidR="00527D3A" w:rsidRDefault="00527D3A" w:rsidP="006C761E">
      <w:pPr>
        <w:pStyle w:val="FootnoteText"/>
      </w:pPr>
      <w:r>
        <w:rPr>
          <w:rStyle w:val="FootnoteReference"/>
        </w:rPr>
        <w:footnoteRef/>
      </w:r>
      <w:r>
        <w:t xml:space="preserve"> </w:t>
      </w:r>
      <w:hyperlink r:id="rId19" w:history="1">
        <w:r w:rsidRPr="00900913">
          <w:rPr>
            <w:rStyle w:val="Hyperlink"/>
          </w:rPr>
          <w:t>http://www.census.gov/cgi-bin/ssssd/naics/naicsrch</w:t>
        </w:r>
      </w:hyperlink>
      <w:r>
        <w:t>.</w:t>
      </w:r>
    </w:p>
  </w:footnote>
  <w:footnote w:id="209">
    <w:p w:rsidR="00527D3A" w:rsidRDefault="00527D3A" w:rsidP="006C761E">
      <w:pPr>
        <w:pStyle w:val="FootnoteText"/>
      </w:pPr>
      <w:r>
        <w:rPr>
          <w:rStyle w:val="FootnoteReference"/>
        </w:rPr>
        <w:footnoteRef/>
      </w:r>
      <w:r>
        <w:t xml:space="preserve"> 13 C.F.R 121.201; NAICs Code 517919.</w:t>
      </w:r>
    </w:p>
  </w:footnote>
  <w:footnote w:id="210">
    <w:p w:rsidR="00527D3A" w:rsidRPr="00BD50E2" w:rsidRDefault="00527D3A" w:rsidP="006C761E">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"D:\\Users\\Mika.Savir\\AppData\\Roaming\\Microsoft\\Word\\draft nprm 1 26 15 ogc  tb edits.docx"</w:instrText>
      </w:r>
      <w:r>
        <w:fldChar w:fldCharType="separate"/>
      </w:r>
      <w:r w:rsidRPr="00BD50E2">
        <w:rPr>
          <w:rStyle w:val="Hyperlink"/>
        </w:rPr>
        <w:t>http://factfinder.census.gov/faces/tableservices.jasf/pages/productview.xhtml?</w:t>
      </w:r>
    </w:p>
    <w:p w:rsidR="00527D3A" w:rsidRDefault="00527D3A" w:rsidP="006C761E">
      <w:pPr>
        <w:pStyle w:val="FootnoteText"/>
      </w:pPr>
      <w:r w:rsidRPr="00BD50E2">
        <w:rPr>
          <w:rStyle w:val="Hyperlink"/>
        </w:rPr>
        <w:t>pid+ECN_2007_US.51SSSZ4&amp;prodType=table</w:t>
      </w:r>
      <w:r>
        <w:fldChar w:fldCharType="end"/>
      </w:r>
      <w:r>
        <w:rPr>
          <w:sz w:val="16"/>
          <w:szCs w:val="16"/>
        </w:rPr>
        <w:t>.</w:t>
      </w:r>
    </w:p>
  </w:footnote>
  <w:footnote w:id="211">
    <w:p w:rsidR="00527D3A" w:rsidRDefault="00527D3A" w:rsidP="006C761E">
      <w:pPr>
        <w:pStyle w:val="FootnoteText"/>
      </w:pPr>
      <w:r>
        <w:rPr>
          <w:rStyle w:val="FootnoteReference"/>
        </w:rPr>
        <w:footnoteRef/>
      </w:r>
      <w:r>
        <w:t xml:space="preserve"> </w:t>
      </w:r>
      <w:r w:rsidRPr="00185ED3">
        <w:t>5 U.S.C. § 603(c)(1)–(c)(4).</w:t>
      </w:r>
    </w:p>
  </w:footnote>
  <w:footnote w:id="212">
    <w:p w:rsidR="00527D3A" w:rsidRDefault="00527D3A" w:rsidP="0037182F">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13">
    <w:p w:rsidR="00527D3A" w:rsidRDefault="00527D3A" w:rsidP="0037182F">
      <w:pPr>
        <w:pStyle w:val="FootnoteText"/>
      </w:pPr>
      <w:r>
        <w:rPr>
          <w:rStyle w:val="FootnoteReference"/>
        </w:rPr>
        <w:footnoteRef/>
      </w:r>
      <w:r>
        <w:t xml:space="preserve"> </w:t>
      </w:r>
      <w:r w:rsidRPr="006A75BE">
        <w:rPr>
          <w:i/>
        </w:rPr>
        <w:t>Assessment and Collection of Regulatory Fees for Fiscal Year 201</w:t>
      </w:r>
      <w:r>
        <w:rPr>
          <w:i/>
        </w:rPr>
        <w:t>5</w:t>
      </w:r>
      <w:r>
        <w:t>, Notice of Proposed Rulemaking, Report and Order, and Order, MD Docket No. 15-121, 30 FCC Rcd 5354 (2015) (</w:t>
      </w:r>
      <w:r>
        <w:rPr>
          <w:i/>
        </w:rPr>
        <w:t>FY 2015 NPRM</w:t>
      </w:r>
      <w:r>
        <w:t>).</w:t>
      </w:r>
    </w:p>
  </w:footnote>
  <w:footnote w:id="214">
    <w:p w:rsidR="00527D3A" w:rsidRDefault="00527D3A" w:rsidP="0037182F">
      <w:pPr>
        <w:pStyle w:val="FootnoteText"/>
      </w:pPr>
      <w:r>
        <w:rPr>
          <w:rStyle w:val="FootnoteReference"/>
        </w:rPr>
        <w:footnoteRef/>
      </w:r>
      <w:r>
        <w:t xml:space="preserve"> </w:t>
      </w:r>
      <w:r>
        <w:rPr>
          <w:spacing w:val="-2"/>
          <w:lang w:val="fr-FR"/>
        </w:rPr>
        <w:t>5 U.S.C. § 604.</w:t>
      </w:r>
    </w:p>
  </w:footnote>
  <w:footnote w:id="215">
    <w:p w:rsidR="00527D3A" w:rsidRDefault="00527D3A">
      <w:pPr>
        <w:pStyle w:val="FootnoteText"/>
      </w:pPr>
      <w:r>
        <w:rPr>
          <w:rStyle w:val="FootnoteReference"/>
        </w:rPr>
        <w:footnoteRef/>
      </w:r>
      <w:r>
        <w:t xml:space="preserve"> 47 U.S.C. </w:t>
      </w:r>
      <w:r>
        <w:rPr>
          <w:spacing w:val="-2"/>
          <w:lang w:val="fr-FR"/>
        </w:rPr>
        <w:t>§ 159.</w:t>
      </w:r>
    </w:p>
  </w:footnote>
  <w:footnote w:id="216">
    <w:p w:rsidR="00527D3A" w:rsidRDefault="00527D3A" w:rsidP="00343304">
      <w:pPr>
        <w:pStyle w:val="FootnoteText"/>
      </w:pPr>
      <w:r>
        <w:rPr>
          <w:rStyle w:val="FootnoteReference"/>
        </w:rPr>
        <w:footnoteRef/>
      </w:r>
      <w:r>
        <w:t xml:space="preserve"> 47 U.S.C. </w:t>
      </w:r>
      <w:r>
        <w:rPr>
          <w:spacing w:val="-2"/>
          <w:lang w:val="fr-FR"/>
        </w:rPr>
        <w:t>§ 159(a).</w:t>
      </w:r>
    </w:p>
  </w:footnote>
  <w:footnote w:id="217">
    <w:p w:rsidR="00527D3A" w:rsidRDefault="00527D3A" w:rsidP="00526E6E">
      <w:pPr>
        <w:pStyle w:val="FootnoteText"/>
      </w:pPr>
      <w:r>
        <w:rPr>
          <w:rStyle w:val="FootnoteReference"/>
        </w:rPr>
        <w:footnoteRef/>
      </w:r>
      <w:r>
        <w:t xml:space="preserve"> </w:t>
      </w:r>
      <w:r>
        <w:rPr>
          <w:rStyle w:val="Footnote"/>
        </w:rPr>
        <w:t>5 U.S.C. § 603(b)(3).</w:t>
      </w:r>
    </w:p>
  </w:footnote>
  <w:footnote w:id="218">
    <w:p w:rsidR="00527D3A" w:rsidRDefault="00527D3A" w:rsidP="00526E6E">
      <w:pPr>
        <w:pStyle w:val="FootnoteText"/>
      </w:pPr>
      <w:r>
        <w:rPr>
          <w:rStyle w:val="FootnoteReference"/>
        </w:rPr>
        <w:footnoteRef/>
      </w:r>
      <w:r>
        <w:t xml:space="preserve"> </w:t>
      </w:r>
      <w:r>
        <w:rPr>
          <w:rStyle w:val="Footnote"/>
        </w:rPr>
        <w:t>5 U.S.C. § 601(6).</w:t>
      </w:r>
    </w:p>
  </w:footnote>
  <w:footnote w:id="219">
    <w:p w:rsidR="00527D3A" w:rsidRDefault="00527D3A" w:rsidP="00526E6E">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20">
    <w:p w:rsidR="00527D3A" w:rsidRDefault="00527D3A" w:rsidP="00526E6E">
      <w:pPr>
        <w:pStyle w:val="FootnoteText"/>
      </w:pPr>
      <w:r>
        <w:rPr>
          <w:rStyle w:val="FootnoteReference"/>
        </w:rPr>
        <w:footnoteRef/>
      </w:r>
      <w:r>
        <w:t xml:space="preserve"> </w:t>
      </w:r>
      <w:r>
        <w:rPr>
          <w:rStyle w:val="Footnote"/>
        </w:rPr>
        <w:t>15 U.S.C. § 632.</w:t>
      </w:r>
    </w:p>
  </w:footnote>
  <w:footnote w:id="221">
    <w:p w:rsidR="00527D3A" w:rsidRDefault="00527D3A" w:rsidP="00526E6E">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20" w:history="1">
        <w:r w:rsidRPr="00C31A4B">
          <w:rPr>
            <w:rStyle w:val="Hyperlink"/>
          </w:rPr>
          <w:t>http://www.sba.gov/sites/default/files/FAQ_Sept_2012.pdf.</w:t>
        </w:r>
      </w:hyperlink>
    </w:p>
  </w:footnote>
  <w:footnote w:id="222">
    <w:p w:rsidR="00527D3A" w:rsidRDefault="00527D3A" w:rsidP="00526E6E">
      <w:pPr>
        <w:pStyle w:val="FootnoteText"/>
      </w:pPr>
      <w:r>
        <w:rPr>
          <w:rStyle w:val="FootnoteReference"/>
        </w:rPr>
        <w:footnoteRef/>
      </w:r>
      <w:r>
        <w:t xml:space="preserve"> </w:t>
      </w:r>
      <w:hyperlink r:id="rId21" w:history="1">
        <w:r w:rsidRPr="00C662B9">
          <w:rPr>
            <w:rStyle w:val="Hyperlink"/>
          </w:rPr>
          <w:t>http://www.census.gov/cgi-bin/sssd/naics/naicsrch</w:t>
        </w:r>
      </w:hyperlink>
      <w:r>
        <w:t>.</w:t>
      </w:r>
    </w:p>
  </w:footnote>
  <w:footnote w:id="223">
    <w:p w:rsidR="00527D3A" w:rsidRDefault="00527D3A" w:rsidP="00526E6E">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224">
    <w:p w:rsidR="00527D3A" w:rsidRPr="00B013DC" w:rsidRDefault="00527D3A" w:rsidP="00526E6E">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526E6E">
      <w:pPr>
        <w:pStyle w:val="FootnoteText"/>
      </w:pPr>
      <w:r w:rsidRPr="00B013DC">
        <w:rPr>
          <w:rStyle w:val="Hyperlink"/>
        </w:rPr>
        <w:t>pid=ECN_2007_US_51SSSZ5&amp;prodType=table</w:t>
      </w:r>
      <w:r>
        <w:fldChar w:fldCharType="end"/>
      </w:r>
      <w:r w:rsidRPr="00B013DC">
        <w:t>.</w:t>
      </w:r>
    </w:p>
  </w:footnote>
  <w:footnote w:id="225">
    <w:p w:rsidR="00527D3A" w:rsidRDefault="00527D3A" w:rsidP="00526E6E">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C.F.R. § 121.201, NAICS code 517110</w:t>
      </w:r>
      <w:r>
        <w:rPr>
          <w:rStyle w:val="Footnote"/>
        </w:rPr>
        <w:t>.</w:t>
      </w:r>
    </w:p>
  </w:footnote>
  <w:footnote w:id="226">
    <w:p w:rsidR="00527D3A" w:rsidRPr="00B013DC" w:rsidRDefault="00527D3A" w:rsidP="00526E6E">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526E6E">
      <w:pPr>
        <w:pStyle w:val="FootnoteText"/>
      </w:pPr>
      <w:r w:rsidRPr="00B013DC">
        <w:rPr>
          <w:rStyle w:val="Hyperlink"/>
        </w:rPr>
        <w:t>pid=ECN_2007_US_51SSSZ5&amp;prodType=table</w:t>
      </w:r>
      <w:r>
        <w:fldChar w:fldCharType="end"/>
      </w:r>
      <w:r w:rsidRPr="00B013DC">
        <w:t>.</w:t>
      </w:r>
    </w:p>
  </w:footnote>
  <w:footnote w:id="227">
    <w:p w:rsidR="00527D3A" w:rsidRDefault="00527D3A" w:rsidP="00387D2D">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28">
    <w:p w:rsidR="00527D3A" w:rsidRPr="00B013DC" w:rsidRDefault="00527D3A" w:rsidP="00387D2D">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387D2D">
      <w:pPr>
        <w:pStyle w:val="FootnoteText"/>
      </w:pPr>
      <w:r w:rsidRPr="00B013DC">
        <w:rPr>
          <w:rStyle w:val="Hyperlink"/>
        </w:rPr>
        <w:t>pid=ECN_2007_US_51SSSZ5&amp;prodType=table</w:t>
      </w:r>
      <w:r>
        <w:fldChar w:fldCharType="end"/>
      </w:r>
      <w:r w:rsidRPr="00B013DC">
        <w:t>.</w:t>
      </w:r>
    </w:p>
  </w:footnote>
  <w:footnote w:id="229">
    <w:p w:rsidR="00527D3A" w:rsidRDefault="00527D3A" w:rsidP="00387D2D">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230">
    <w:p w:rsidR="00527D3A" w:rsidRDefault="00527D3A" w:rsidP="00387D2D">
      <w:pPr>
        <w:pStyle w:val="FootnoteText"/>
      </w:pPr>
      <w:r>
        <w:rPr>
          <w:rStyle w:val="FootnoteReference"/>
        </w:rPr>
        <w:footnoteRef/>
      </w:r>
      <w:r>
        <w:t xml:space="preserve"> </w:t>
      </w:r>
      <w:r w:rsidRPr="00007763">
        <w:rPr>
          <w:i/>
        </w:rPr>
        <w:t>Id.</w:t>
      </w:r>
    </w:p>
  </w:footnote>
  <w:footnote w:id="231">
    <w:p w:rsidR="00527D3A" w:rsidRDefault="00527D3A" w:rsidP="00387D2D">
      <w:pPr>
        <w:pStyle w:val="FootnoteText"/>
      </w:pPr>
      <w:r>
        <w:rPr>
          <w:rStyle w:val="FootnoteReference"/>
        </w:rPr>
        <w:footnoteRef/>
      </w:r>
      <w:r>
        <w:t xml:space="preserve"> </w:t>
      </w:r>
      <w:r>
        <w:rPr>
          <w:rStyle w:val="FootnoteTextChar4"/>
        </w:rPr>
        <w:t>13 C.F.R. § 121.201, NAICS code 517110.</w:t>
      </w:r>
    </w:p>
  </w:footnote>
  <w:footnote w:id="232">
    <w:p w:rsidR="00527D3A" w:rsidRPr="00B013DC" w:rsidRDefault="00527D3A" w:rsidP="00387D2D">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387D2D">
      <w:pPr>
        <w:pStyle w:val="FootnoteText"/>
      </w:pPr>
      <w:r w:rsidRPr="00B013DC">
        <w:rPr>
          <w:rStyle w:val="Hyperlink"/>
        </w:rPr>
        <w:t>pid=ECN_2007_US_51SSSZ5&amp;prodType=table</w:t>
      </w:r>
      <w:r>
        <w:fldChar w:fldCharType="end"/>
      </w:r>
      <w:r w:rsidRPr="00B013DC">
        <w:t>.</w:t>
      </w:r>
    </w:p>
  </w:footnote>
  <w:footnote w:id="233">
    <w:p w:rsidR="00527D3A" w:rsidRDefault="00527D3A" w:rsidP="00387D2D">
      <w:pPr>
        <w:pStyle w:val="FootnoteText"/>
      </w:pPr>
      <w:r>
        <w:rPr>
          <w:rStyle w:val="FootnoteReference"/>
        </w:rPr>
        <w:footnoteRef/>
      </w:r>
      <w:r>
        <w:t xml:space="preserve"> </w:t>
      </w:r>
      <w:r>
        <w:rPr>
          <w:i/>
        </w:rPr>
        <w:t>See Trends in Telephone Service,</w:t>
      </w:r>
      <w:r>
        <w:t xml:space="preserve"> at tbl. 5.3.</w:t>
      </w:r>
    </w:p>
  </w:footnote>
  <w:footnote w:id="234">
    <w:p w:rsidR="00527D3A" w:rsidRDefault="00527D3A" w:rsidP="00387D2D">
      <w:pPr>
        <w:pStyle w:val="FootnoteText"/>
      </w:pPr>
      <w:r>
        <w:rPr>
          <w:rStyle w:val="FootnoteReference"/>
        </w:rPr>
        <w:footnoteRef/>
      </w:r>
      <w:r>
        <w:t xml:space="preserve"> </w:t>
      </w:r>
      <w:r>
        <w:rPr>
          <w:i/>
        </w:rPr>
        <w:t>I</w:t>
      </w:r>
      <w:r w:rsidRPr="00F71FA2">
        <w:rPr>
          <w:i/>
        </w:rPr>
        <w:t>d.</w:t>
      </w:r>
    </w:p>
  </w:footnote>
  <w:footnote w:id="235">
    <w:p w:rsidR="00527D3A" w:rsidRDefault="00527D3A" w:rsidP="00387D2D">
      <w:pPr>
        <w:pStyle w:val="FootnoteText"/>
      </w:pPr>
      <w:r>
        <w:rPr>
          <w:rStyle w:val="FootnoteReference"/>
        </w:rPr>
        <w:footnoteRef/>
      </w:r>
      <w:r>
        <w:t xml:space="preserve"> </w:t>
      </w:r>
      <w:r w:rsidRPr="00C71B0F">
        <w:rPr>
          <w:i/>
        </w:rPr>
        <w:t>Id.</w:t>
      </w:r>
    </w:p>
  </w:footnote>
  <w:footnote w:id="236">
    <w:p w:rsidR="00527D3A" w:rsidRDefault="00527D3A" w:rsidP="00387D2D">
      <w:pPr>
        <w:pStyle w:val="FootnoteText"/>
      </w:pPr>
      <w:r>
        <w:rPr>
          <w:rStyle w:val="FootnoteReference"/>
        </w:rPr>
        <w:footnoteRef/>
      </w:r>
      <w:r>
        <w:t xml:space="preserve"> </w:t>
      </w:r>
      <w:r w:rsidRPr="00C71B0F">
        <w:rPr>
          <w:i/>
        </w:rPr>
        <w:t>Id.</w:t>
      </w:r>
    </w:p>
  </w:footnote>
  <w:footnote w:id="237">
    <w:p w:rsidR="00527D3A" w:rsidRDefault="00527D3A" w:rsidP="00387D2D">
      <w:pPr>
        <w:pStyle w:val="FootnoteText"/>
      </w:pPr>
      <w:r>
        <w:rPr>
          <w:rStyle w:val="FootnoteReference"/>
        </w:rPr>
        <w:footnoteRef/>
      </w:r>
      <w:r>
        <w:t xml:space="preserve"> </w:t>
      </w:r>
      <w:r w:rsidRPr="00C71B0F">
        <w:rPr>
          <w:i/>
        </w:rPr>
        <w:t>Id.</w:t>
      </w:r>
    </w:p>
  </w:footnote>
  <w:footnote w:id="238">
    <w:p w:rsidR="00527D3A" w:rsidRDefault="00527D3A" w:rsidP="00387D2D">
      <w:pPr>
        <w:pStyle w:val="FootnoteText"/>
      </w:pPr>
      <w:r>
        <w:rPr>
          <w:rStyle w:val="FootnoteReference"/>
        </w:rPr>
        <w:footnoteRef/>
      </w:r>
      <w:r>
        <w:t xml:space="preserve"> </w:t>
      </w:r>
      <w:r>
        <w:rPr>
          <w:color w:val="000000"/>
        </w:rPr>
        <w:t>13 C.F.R. § 121.201, NAICS code 517110.</w:t>
      </w:r>
    </w:p>
  </w:footnote>
  <w:footnote w:id="239">
    <w:p w:rsidR="00527D3A" w:rsidRPr="00B013DC" w:rsidRDefault="00527D3A" w:rsidP="00387D2D">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387D2D">
      <w:pPr>
        <w:pStyle w:val="FootnoteText"/>
      </w:pPr>
      <w:r w:rsidRPr="00B013DC">
        <w:rPr>
          <w:rStyle w:val="Hyperlink"/>
        </w:rPr>
        <w:t>pid=ECN_2007_US_51SSSZ5&amp;prodType=table</w:t>
      </w:r>
      <w:r>
        <w:fldChar w:fldCharType="end"/>
      </w:r>
      <w:r w:rsidRPr="00B013DC">
        <w:t>.</w:t>
      </w:r>
    </w:p>
  </w:footnote>
  <w:footnote w:id="240">
    <w:p w:rsidR="00527D3A" w:rsidRDefault="00527D3A" w:rsidP="00387D2D">
      <w:pPr>
        <w:pStyle w:val="FootnoteText"/>
      </w:pPr>
      <w:r>
        <w:rPr>
          <w:rStyle w:val="FootnoteReference"/>
        </w:rPr>
        <w:footnoteRef/>
      </w:r>
      <w:r>
        <w:t xml:space="preserve"> </w:t>
      </w:r>
      <w:r>
        <w:rPr>
          <w:i/>
        </w:rPr>
        <w:t>See Trends in Telephone Service,</w:t>
      </w:r>
      <w:r>
        <w:t xml:space="preserve"> at tbl. 5.3.</w:t>
      </w:r>
    </w:p>
  </w:footnote>
  <w:footnote w:id="241">
    <w:p w:rsidR="00527D3A" w:rsidRDefault="00527D3A" w:rsidP="00387D2D">
      <w:pPr>
        <w:pStyle w:val="FootnoteText"/>
      </w:pPr>
      <w:r>
        <w:rPr>
          <w:rStyle w:val="FootnoteReference"/>
        </w:rPr>
        <w:footnoteRef/>
      </w:r>
      <w:r>
        <w:t xml:space="preserve"> </w:t>
      </w:r>
      <w:r w:rsidRPr="0026657E">
        <w:rPr>
          <w:i/>
        </w:rPr>
        <w:t>Id.</w:t>
      </w:r>
    </w:p>
  </w:footnote>
  <w:footnote w:id="242">
    <w:p w:rsidR="00527D3A" w:rsidRDefault="00527D3A" w:rsidP="00387D2D">
      <w:pPr>
        <w:pStyle w:val="FootnoteText"/>
      </w:pPr>
      <w:r>
        <w:rPr>
          <w:rStyle w:val="FootnoteReference"/>
        </w:rPr>
        <w:footnoteRef/>
      </w:r>
      <w:r>
        <w:t xml:space="preserve"> </w:t>
      </w:r>
      <w:hyperlink r:id="rId22" w:history="1">
        <w:r w:rsidRPr="00F7466E">
          <w:rPr>
            <w:rStyle w:val="Hyperlink"/>
          </w:rPr>
          <w:t>http://www.census.gov/cgi-bin/ssd/naics/naicsrch</w:t>
        </w:r>
      </w:hyperlink>
      <w:r>
        <w:t>.</w:t>
      </w:r>
    </w:p>
  </w:footnote>
  <w:footnote w:id="243">
    <w:p w:rsidR="00527D3A" w:rsidRDefault="00527D3A" w:rsidP="00387D2D">
      <w:pPr>
        <w:pStyle w:val="FootnoteText"/>
      </w:pPr>
      <w:r>
        <w:rPr>
          <w:rStyle w:val="FootnoteReference"/>
        </w:rPr>
        <w:footnoteRef/>
      </w:r>
      <w:r>
        <w:t xml:space="preserve"> </w:t>
      </w:r>
      <w:r>
        <w:rPr>
          <w:color w:val="000000"/>
        </w:rPr>
        <w:t>13 C.F.R. § 121.201, NAICS code 517911.</w:t>
      </w:r>
    </w:p>
  </w:footnote>
  <w:footnote w:id="244">
    <w:p w:rsidR="00527D3A" w:rsidRPr="00EA3447" w:rsidRDefault="00527D3A" w:rsidP="00387D2D">
      <w:pPr>
        <w:pStyle w:val="FootnoteText"/>
        <w:spacing w:after="0"/>
        <w:rPr>
          <w:rStyle w:val="Hyperlink"/>
        </w:rPr>
      </w:pPr>
      <w:r>
        <w:rPr>
          <w:rStyle w:val="FootnoteReference"/>
        </w:rPr>
        <w:footnoteRef/>
      </w:r>
      <w:r>
        <w:t xml:space="preserve"> </w:t>
      </w:r>
      <w:r>
        <w:fldChar w:fldCharType="begin"/>
      </w:r>
      <w:r w:rsidR="000B7213">
        <w:instrText>HYPERLINK "http://factfinder.census.gov/faces/tableservices/jsf/pages/productview.xhtml?"</w:instrText>
      </w:r>
      <w:r>
        <w:fldChar w:fldCharType="separate"/>
      </w:r>
      <w:r w:rsidRPr="00EA3447">
        <w:rPr>
          <w:rStyle w:val="Hyperlink"/>
        </w:rPr>
        <w:t>http://factfinder.census.gov/faces/tableservices/jsf/pages/productview.xhtml?</w:t>
      </w:r>
    </w:p>
    <w:p w:rsidR="00527D3A" w:rsidRPr="008A1C84" w:rsidRDefault="00527D3A" w:rsidP="00387D2D">
      <w:pPr>
        <w:pStyle w:val="FootnoteText"/>
      </w:pPr>
      <w:r w:rsidRPr="00EA3447">
        <w:rPr>
          <w:rStyle w:val="Hyperlink"/>
        </w:rPr>
        <w:t>pid=ECN_2007_US_51SSSZ5&amp;prodType=table</w:t>
      </w:r>
      <w:r>
        <w:fldChar w:fldCharType="end"/>
      </w:r>
      <w:r>
        <w:rPr>
          <w:sz w:val="16"/>
          <w:szCs w:val="16"/>
        </w:rPr>
        <w:t>.</w:t>
      </w:r>
    </w:p>
  </w:footnote>
  <w:footnote w:id="245">
    <w:p w:rsidR="00527D3A" w:rsidRDefault="00527D3A" w:rsidP="00387D2D">
      <w:pPr>
        <w:pStyle w:val="FootnoteText"/>
      </w:pPr>
      <w:r>
        <w:rPr>
          <w:rStyle w:val="FootnoteReference"/>
        </w:rPr>
        <w:footnoteRef/>
      </w:r>
      <w:r>
        <w:t xml:space="preserve"> </w:t>
      </w:r>
      <w:r>
        <w:rPr>
          <w:i/>
        </w:rPr>
        <w:t>See Trends in Telephone Service,</w:t>
      </w:r>
      <w:r>
        <w:t xml:space="preserve"> at tbl. 5.3.</w:t>
      </w:r>
    </w:p>
  </w:footnote>
  <w:footnote w:id="246">
    <w:p w:rsidR="00527D3A" w:rsidRDefault="00527D3A" w:rsidP="00387D2D">
      <w:pPr>
        <w:pStyle w:val="FootnoteText"/>
      </w:pPr>
      <w:r>
        <w:rPr>
          <w:rStyle w:val="FootnoteReference"/>
        </w:rPr>
        <w:footnoteRef/>
      </w:r>
      <w:r>
        <w:t xml:space="preserve"> </w:t>
      </w:r>
      <w:r w:rsidRPr="00860117">
        <w:rPr>
          <w:i/>
        </w:rPr>
        <w:t>Id.</w:t>
      </w:r>
    </w:p>
  </w:footnote>
  <w:footnote w:id="247">
    <w:p w:rsidR="00527D3A" w:rsidRDefault="00527D3A" w:rsidP="00387D2D">
      <w:pPr>
        <w:pStyle w:val="FootnoteText"/>
      </w:pPr>
      <w:r>
        <w:rPr>
          <w:rStyle w:val="FootnoteReference"/>
        </w:rPr>
        <w:footnoteRef/>
      </w:r>
      <w:r>
        <w:t xml:space="preserve"> </w:t>
      </w:r>
      <w:r>
        <w:rPr>
          <w:color w:val="000000"/>
        </w:rPr>
        <w:t>13 C.F.R. § 121.201, NAICS code 517911.</w:t>
      </w:r>
    </w:p>
  </w:footnote>
  <w:footnote w:id="248">
    <w:p w:rsidR="00527D3A" w:rsidRPr="00EA3447" w:rsidRDefault="00527D3A" w:rsidP="00387D2D">
      <w:pPr>
        <w:pStyle w:val="FootnoteText"/>
        <w:spacing w:after="0"/>
        <w:rPr>
          <w:rStyle w:val="Hyperlink"/>
        </w:rPr>
      </w:pPr>
      <w:r>
        <w:rPr>
          <w:rStyle w:val="FootnoteReference"/>
        </w:rPr>
        <w:footnoteRef/>
      </w:r>
      <w:r>
        <w:t xml:space="preserve"> </w:t>
      </w:r>
      <w:r>
        <w:fldChar w:fldCharType="begin"/>
      </w:r>
      <w:r w:rsidR="000B7213">
        <w:instrText>HYPERLINK "http://factfinder.census.gov/faces/tableservices/jsf/pages/productview.xhtml?"</w:instrText>
      </w:r>
      <w:r>
        <w:fldChar w:fldCharType="separate"/>
      </w:r>
      <w:r w:rsidRPr="00EA3447">
        <w:rPr>
          <w:rStyle w:val="Hyperlink"/>
        </w:rPr>
        <w:t>http://factfinder.census.gov/faces/tableservices/jsf/pages/productview.xhtml?</w:t>
      </w:r>
    </w:p>
    <w:p w:rsidR="00527D3A" w:rsidRPr="00105D71" w:rsidRDefault="00527D3A" w:rsidP="00387D2D">
      <w:pPr>
        <w:pStyle w:val="FootnoteText"/>
      </w:pPr>
      <w:r w:rsidRPr="00EA3447">
        <w:rPr>
          <w:rStyle w:val="Hyperlink"/>
        </w:rPr>
        <w:t>pid=ECN_2007_US_51SSSZ5&amp;prodType=table</w:t>
      </w:r>
      <w:r>
        <w:fldChar w:fldCharType="end"/>
      </w:r>
      <w:r>
        <w:rPr>
          <w:sz w:val="16"/>
          <w:szCs w:val="16"/>
        </w:rPr>
        <w:t>.</w:t>
      </w:r>
    </w:p>
  </w:footnote>
  <w:footnote w:id="249">
    <w:p w:rsidR="00527D3A" w:rsidRDefault="00527D3A" w:rsidP="00387D2D">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50">
    <w:p w:rsidR="00527D3A" w:rsidRDefault="00527D3A" w:rsidP="00387D2D">
      <w:pPr>
        <w:pStyle w:val="FootnoteText"/>
      </w:pPr>
      <w:r>
        <w:rPr>
          <w:rStyle w:val="FootnoteReference"/>
        </w:rPr>
        <w:footnoteRef/>
      </w:r>
      <w:r>
        <w:t xml:space="preserve"> </w:t>
      </w:r>
      <w:r w:rsidRPr="00E024DD">
        <w:rPr>
          <w:i/>
        </w:rPr>
        <w:t>Id.</w:t>
      </w:r>
    </w:p>
  </w:footnote>
  <w:footnote w:id="251">
    <w:p w:rsidR="00527D3A" w:rsidRPr="00B013DC" w:rsidRDefault="00527D3A" w:rsidP="00387D2D">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387D2D">
      <w:pPr>
        <w:pStyle w:val="FootnoteText"/>
      </w:pPr>
      <w:r w:rsidRPr="00B013DC">
        <w:rPr>
          <w:rStyle w:val="Hyperlink"/>
        </w:rPr>
        <w:t>pid=ECN_2007_US_51SSSZ5&amp;prodType=table</w:t>
      </w:r>
      <w:r>
        <w:fldChar w:fldCharType="end"/>
      </w:r>
      <w:r w:rsidRPr="00B013DC">
        <w:t>.</w:t>
      </w:r>
    </w:p>
  </w:footnote>
  <w:footnote w:id="252">
    <w:p w:rsidR="00527D3A" w:rsidRDefault="00527D3A" w:rsidP="00387D2D">
      <w:pPr>
        <w:pStyle w:val="FootnoteText"/>
      </w:pPr>
      <w:r>
        <w:rPr>
          <w:rStyle w:val="FootnoteReference"/>
        </w:rPr>
        <w:footnoteRef/>
      </w:r>
      <w:r>
        <w:t xml:space="preserve"> </w:t>
      </w:r>
      <w:r w:rsidRPr="00F7466E">
        <w:rPr>
          <w:i/>
        </w:rPr>
        <w:t>Id</w:t>
      </w:r>
      <w:r>
        <w:t>.</w:t>
      </w:r>
    </w:p>
  </w:footnote>
  <w:footnote w:id="253">
    <w:p w:rsidR="00527D3A" w:rsidRDefault="00527D3A" w:rsidP="00387D2D">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54">
    <w:p w:rsidR="00527D3A" w:rsidRDefault="00527D3A" w:rsidP="00387D2D">
      <w:pPr>
        <w:pStyle w:val="FootnoteText"/>
      </w:pPr>
      <w:r>
        <w:rPr>
          <w:rStyle w:val="FootnoteReference"/>
        </w:rPr>
        <w:footnoteRef/>
      </w:r>
      <w:r>
        <w:t xml:space="preserve"> </w:t>
      </w:r>
      <w:r w:rsidRPr="00E52E8F">
        <w:rPr>
          <w:i/>
        </w:rPr>
        <w:t>Id.</w:t>
      </w:r>
    </w:p>
  </w:footnote>
  <w:footnote w:id="255">
    <w:p w:rsidR="00527D3A" w:rsidRDefault="00527D3A" w:rsidP="00990255">
      <w:pPr>
        <w:pStyle w:val="FootnoteText"/>
      </w:pPr>
      <w:r>
        <w:rPr>
          <w:rStyle w:val="FootnoteReference"/>
        </w:rPr>
        <w:footnoteRef/>
      </w:r>
      <w:r>
        <w:t xml:space="preserve"> </w:t>
      </w:r>
      <w:r>
        <w:rPr>
          <w:color w:val="000000"/>
        </w:rPr>
        <w:t>13 C.F.R. § 121.201, NAICS code 517110.</w:t>
      </w:r>
    </w:p>
  </w:footnote>
  <w:footnote w:id="256">
    <w:p w:rsidR="00527D3A" w:rsidRPr="00B013DC" w:rsidRDefault="00527D3A" w:rsidP="00990255">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990255">
      <w:pPr>
        <w:pStyle w:val="FootnoteText"/>
      </w:pPr>
      <w:r w:rsidRPr="00B013DC">
        <w:rPr>
          <w:rStyle w:val="Hyperlink"/>
        </w:rPr>
        <w:t>pid=ECN_2007_US_51SSSZ5&amp;prodType=table</w:t>
      </w:r>
      <w:r>
        <w:fldChar w:fldCharType="end"/>
      </w:r>
      <w:r w:rsidRPr="00B013DC">
        <w:t>.</w:t>
      </w:r>
    </w:p>
  </w:footnote>
  <w:footnote w:id="257">
    <w:p w:rsidR="00527D3A" w:rsidRDefault="00527D3A" w:rsidP="0099025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58">
    <w:p w:rsidR="00527D3A" w:rsidRDefault="00527D3A" w:rsidP="00990255">
      <w:pPr>
        <w:pStyle w:val="FootnoteText"/>
      </w:pPr>
      <w:r>
        <w:rPr>
          <w:rStyle w:val="FootnoteReference"/>
        </w:rPr>
        <w:footnoteRef/>
      </w:r>
      <w:r>
        <w:t xml:space="preserve"> </w:t>
      </w:r>
      <w:r w:rsidRPr="00B605CD">
        <w:rPr>
          <w:i/>
        </w:rPr>
        <w:t>Id.</w:t>
      </w:r>
    </w:p>
  </w:footnote>
  <w:footnote w:id="259">
    <w:p w:rsidR="00527D3A" w:rsidRDefault="00527D3A" w:rsidP="00990255">
      <w:pPr>
        <w:pStyle w:val="FootnoteText"/>
      </w:pPr>
      <w:r>
        <w:rPr>
          <w:rStyle w:val="FootnoteReference"/>
        </w:rPr>
        <w:footnoteRef/>
      </w:r>
      <w:r>
        <w:t xml:space="preserve"> NAICS Code 517210.  </w:t>
      </w:r>
      <w:r w:rsidRPr="00C114BE">
        <w:rPr>
          <w:i/>
        </w:rPr>
        <w:t>See</w:t>
      </w:r>
      <w:r>
        <w:t xml:space="preserve"> </w:t>
      </w:r>
      <w:hyperlink r:id="rId23" w:history="1">
        <w:r w:rsidRPr="00C114BE">
          <w:rPr>
            <w:rStyle w:val="Hyperlink"/>
          </w:rPr>
          <w:t>http://www.census.gov/cgi-bin/ssd/naics/naiscsrch</w:t>
        </w:r>
      </w:hyperlink>
      <w:r>
        <w:t>.</w:t>
      </w:r>
    </w:p>
  </w:footnote>
  <w:footnote w:id="260">
    <w:p w:rsidR="00527D3A" w:rsidRDefault="00527D3A" w:rsidP="0099025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61">
    <w:p w:rsidR="00527D3A" w:rsidRDefault="00527D3A" w:rsidP="00990255">
      <w:pPr>
        <w:pStyle w:val="FootnoteText"/>
      </w:pPr>
      <w:r>
        <w:rPr>
          <w:rStyle w:val="FootnoteReference"/>
        </w:rPr>
        <w:footnoteRef/>
      </w:r>
      <w:r>
        <w:t xml:space="preserve"> </w:t>
      </w:r>
      <w:r w:rsidRPr="00233E31">
        <w:rPr>
          <w:i/>
        </w:rPr>
        <w:t>Id.</w:t>
      </w:r>
    </w:p>
  </w:footnote>
  <w:footnote w:id="262">
    <w:p w:rsidR="00527D3A" w:rsidRDefault="00527D3A" w:rsidP="00990255">
      <w:pPr>
        <w:pStyle w:val="FootnoteText"/>
      </w:pPr>
      <w:r>
        <w:rPr>
          <w:rStyle w:val="FootnoteReference"/>
        </w:rPr>
        <w:footnoteRef/>
      </w:r>
      <w:r>
        <w:t xml:space="preserve"> In 2014, “Cable and Other Subscription Programming,” NAICS Code 515210, replaced a prior category, now obsolete, which was called “Cable and Other Program Distribution.”  Cable and Other Program Distribution, prior to 2014, was placed under NAICS Code 517110, Wired Telecommunications Carriers.  Wired Telecommunications Carriers is still a current and valid NAICS Code Category.  Because of the similarity between “Cable and Other Subscription Programming” and “Cable and other Program Distribution,” we will, in this proceeding, continue to use Wired Telecommunications Carrier data based on the U.S. Census.  The alternative of using data gathered under Cable and Other Subscription Programming (NAICS Code 515210) is unavailable to us for two reasons.  First, the size standard established by the SBA for Cable and Other Subscription Programming is annual receipts of $38.5 million or less.  Thus  to use the annual receipts size standard would require the Commission either to switch from existing employee based size standard of 1,500 employees or less for Wired Telecommunications Carriers, or else would require the use of two size standards.  No official approval of either option has been granted by the Commission as of the time of the release of the </w:t>
      </w:r>
      <w:r w:rsidRPr="00BC222B">
        <w:rPr>
          <w:i/>
        </w:rPr>
        <w:t>FY 2015 NPRM</w:t>
      </w:r>
      <w:r>
        <w:t xml:space="preserve">.  Second, the data available under the size standard of $38.5 million dollars or less is not applicable at this time, because the only currently available U.S. Census data for annual receipts of all businesses operating in the NAICS Code category of 515210 (Cable and other Subscription Programming) consists only of total receipts for all businesses operating in this category in 2007 and of total annual receipts for all businesses operating in this category in 2012.  The data do not provide any basis for determining, for either year, how many businesses were small because they had annual receipts of $38.5 million or less.  </w:t>
      </w:r>
      <w:r w:rsidRPr="002D0408">
        <w:rPr>
          <w:i/>
        </w:rPr>
        <w:t xml:space="preserve">See </w:t>
      </w:r>
      <w:hyperlink r:id="rId24" w:history="1">
        <w:r w:rsidRPr="00646DFE">
          <w:rPr>
            <w:rStyle w:val="Hyperlink"/>
          </w:rPr>
          <w:t>http://factfinder.census.gov/faces/tableservices/jsf/pages/productview.xhtml?pid=ECN_2012_US_51I2&amp;prodType=table</w:t>
        </w:r>
      </w:hyperlink>
      <w:r>
        <w:t>.</w:t>
      </w:r>
    </w:p>
  </w:footnote>
  <w:footnote w:id="263">
    <w:p w:rsidR="00527D3A" w:rsidRDefault="00527D3A" w:rsidP="00990255">
      <w:pPr>
        <w:pStyle w:val="FootnoteText"/>
      </w:pPr>
      <w:r>
        <w:rPr>
          <w:rStyle w:val="FootnoteReference"/>
        </w:rPr>
        <w:footnoteRef/>
      </w:r>
      <w:r>
        <w:t xml:space="preserve"> U.S. Census Bureau, 2007 NAICS Definitions, “517110 Wired Telecommunications Carriers” (partial definition), (Full definition stated in paragraph 6 of this IRFA) </w:t>
      </w:r>
      <w:r w:rsidRPr="005C421A">
        <w:rPr>
          <w:i/>
        </w:rPr>
        <w:t>available at</w:t>
      </w:r>
      <w:r>
        <w:t xml:space="preserve"> </w:t>
      </w:r>
      <w:hyperlink r:id="rId25" w:history="1">
        <w:r w:rsidRPr="00D62302">
          <w:rPr>
            <w:rStyle w:val="Hyperlink"/>
          </w:rPr>
          <w:t>http://www.census.gov/cgi-bin/sssd/naics/naicsrch</w:t>
        </w:r>
      </w:hyperlink>
      <w:r>
        <w:t>.</w:t>
      </w:r>
    </w:p>
  </w:footnote>
  <w:footnote w:id="264">
    <w:p w:rsidR="00527D3A" w:rsidRDefault="00527D3A" w:rsidP="00990255">
      <w:pPr>
        <w:pStyle w:val="FootnoteText"/>
      </w:pPr>
      <w:r>
        <w:rPr>
          <w:rStyle w:val="FootnoteReference"/>
        </w:rPr>
        <w:footnoteRef/>
      </w:r>
      <w:r>
        <w:t xml:space="preserve"> </w:t>
      </w:r>
      <w:r>
        <w:rPr>
          <w:color w:val="000000"/>
        </w:rPr>
        <w:t>13 C.F.R. § 121.201, NAICS code 517110.</w:t>
      </w:r>
    </w:p>
  </w:footnote>
  <w:footnote w:id="265">
    <w:p w:rsidR="00527D3A" w:rsidRDefault="00527D3A" w:rsidP="00990255">
      <w:pPr>
        <w:pStyle w:val="FootnoteText"/>
      </w:pPr>
      <w:r>
        <w:rPr>
          <w:rStyle w:val="FootnoteReference"/>
        </w:rPr>
        <w:footnoteRef/>
      </w:r>
      <w:r>
        <w:t xml:space="preserve"> </w:t>
      </w:r>
      <w:hyperlink r:id="rId26" w:history="1">
        <w:r w:rsidRPr="00C37438">
          <w:rPr>
            <w:rStyle w:val="Hyperlink"/>
          </w:rPr>
          <w:t>http://factfinder.census.gov/faces/tableservices/jsf/pages/productview.xhtml?pid=ECN_2007_US-51SSSZ5&amp;prodType=Table</w:t>
        </w:r>
      </w:hyperlink>
      <w:r>
        <w:t>.</w:t>
      </w:r>
    </w:p>
  </w:footnote>
  <w:footnote w:id="266">
    <w:p w:rsidR="00527D3A" w:rsidRDefault="00527D3A" w:rsidP="00C0735A">
      <w:pPr>
        <w:pStyle w:val="FootnoteText"/>
      </w:pPr>
      <w:r>
        <w:rPr>
          <w:rStyle w:val="FootnoteReference"/>
        </w:rPr>
        <w:footnoteRef/>
      </w:r>
      <w:r>
        <w:t xml:space="preserve"> 47.C.F.R. 76.901(e)</w:t>
      </w:r>
    </w:p>
  </w:footnote>
  <w:footnote w:id="267">
    <w:p w:rsidR="00527D3A" w:rsidRDefault="00527D3A" w:rsidP="00C0735A">
      <w:pPr>
        <w:pStyle w:val="FootnoteText"/>
      </w:pPr>
      <w:r>
        <w:rPr>
          <w:rStyle w:val="FootnoteReference"/>
        </w:rPr>
        <w:footnoteRef/>
      </w:r>
      <w:r>
        <w:t xml:space="preserve"> August 15, 2015 Report from the Media Bureau based on data contained in the Commission’s Cable Operations And Licensing System(COALS). </w:t>
      </w:r>
      <w:r w:rsidRPr="002B1B38">
        <w:rPr>
          <w:i/>
        </w:rPr>
        <w:t xml:space="preserve">See </w:t>
      </w:r>
      <w:r w:rsidRPr="008B595E">
        <w:rPr>
          <w:rStyle w:val="Hyperlink"/>
        </w:rPr>
        <w:t>www/fcc.gov/coals</w:t>
      </w:r>
      <w:r>
        <w:t>.</w:t>
      </w:r>
    </w:p>
  </w:footnote>
  <w:footnote w:id="268">
    <w:p w:rsidR="00527D3A" w:rsidRDefault="00527D3A" w:rsidP="00C0735A">
      <w:pPr>
        <w:pStyle w:val="FootnoteText"/>
      </w:pPr>
      <w:r>
        <w:rPr>
          <w:rStyle w:val="FootnoteReference"/>
        </w:rPr>
        <w:footnoteRef/>
      </w:r>
      <w:r>
        <w:t xml:space="preserve"> </w:t>
      </w:r>
      <w:r w:rsidRPr="002B1B38">
        <w:rPr>
          <w:i/>
        </w:rPr>
        <w:t>See</w:t>
      </w:r>
      <w:r>
        <w:t xml:space="preserve"> SNL KAGAN at </w:t>
      </w:r>
      <w:hyperlink r:id="rId27" w:history="1">
        <w:r w:rsidRPr="008B595E">
          <w:rPr>
            <w:rStyle w:val="Hyperlink"/>
          </w:rPr>
          <w:t>www.snl.com/interactiveX</w:t>
        </w:r>
      </w:hyperlink>
      <w:r w:rsidRPr="008B595E">
        <w:rPr>
          <w:rStyle w:val="Hyperlink"/>
        </w:rPr>
        <w:t>/top cableMSOs aspx?period2015Q1&amp;sortcol=subscribersbasic&amp;sortorder=desc</w:t>
      </w:r>
      <w:r>
        <w:rPr>
          <w:rStyle w:val="Hyperlink"/>
        </w:rPr>
        <w:t>.</w:t>
      </w:r>
    </w:p>
  </w:footnote>
  <w:footnote w:id="269">
    <w:p w:rsidR="00527D3A" w:rsidRDefault="00527D3A" w:rsidP="00C0735A">
      <w:pPr>
        <w:pStyle w:val="FootnoteText"/>
      </w:pPr>
      <w:r>
        <w:rPr>
          <w:rStyle w:val="FootnoteReference"/>
        </w:rPr>
        <w:footnoteRef/>
      </w:r>
      <w:r>
        <w:t xml:space="preserve"> 47 C.F.R 76.901(c)</w:t>
      </w:r>
    </w:p>
  </w:footnote>
  <w:footnote w:id="270">
    <w:p w:rsidR="00527D3A" w:rsidRDefault="00527D3A" w:rsidP="00C0735A">
      <w:pPr>
        <w:pStyle w:val="FootnoteText"/>
      </w:pPr>
      <w:r>
        <w:rPr>
          <w:rStyle w:val="FootnoteReference"/>
        </w:rPr>
        <w:footnoteRef/>
      </w:r>
      <w:r>
        <w:t xml:space="preserve"> </w:t>
      </w:r>
      <w:r w:rsidRPr="002B1B38">
        <w:rPr>
          <w:i/>
        </w:rPr>
        <w:t>See</w:t>
      </w:r>
      <w:r>
        <w:t xml:space="preserve"> footnote 2, </w:t>
      </w:r>
      <w:r w:rsidRPr="002B1B38">
        <w:rPr>
          <w:i/>
        </w:rPr>
        <w:t>supra</w:t>
      </w:r>
      <w:r>
        <w:t>.</w:t>
      </w:r>
    </w:p>
  </w:footnote>
  <w:footnote w:id="271">
    <w:p w:rsidR="00527D3A" w:rsidRDefault="00527D3A" w:rsidP="00C0735A">
      <w:pPr>
        <w:pStyle w:val="FootnoteText"/>
      </w:pPr>
      <w:r>
        <w:rPr>
          <w:rStyle w:val="FootnoteReference"/>
        </w:rPr>
        <w:footnoteRef/>
      </w:r>
      <w:r>
        <w:t xml:space="preserve"> August 5, 2015 report from the Media Bureau based on its research in COALS.  </w:t>
      </w:r>
      <w:r w:rsidRPr="002B1B38">
        <w:rPr>
          <w:i/>
        </w:rPr>
        <w:t>See</w:t>
      </w:r>
      <w:r>
        <w:t xml:space="preserve"> </w:t>
      </w:r>
      <w:hyperlink r:id="rId28" w:history="1">
        <w:r w:rsidRPr="008B595E">
          <w:rPr>
            <w:rStyle w:val="Hyperlink"/>
          </w:rPr>
          <w:t>www.fcc.gov</w:t>
        </w:r>
      </w:hyperlink>
      <w:r w:rsidRPr="008B595E">
        <w:rPr>
          <w:rStyle w:val="Hyperlink"/>
        </w:rPr>
        <w:t xml:space="preserve"> /coals</w:t>
      </w:r>
      <w:r>
        <w:rPr>
          <w:rStyle w:val="Hyperlink"/>
        </w:rPr>
        <w:t>.</w:t>
      </w:r>
    </w:p>
  </w:footnote>
  <w:footnote w:id="272">
    <w:p w:rsidR="00527D3A" w:rsidRDefault="00527D3A" w:rsidP="00C0735A">
      <w:pPr>
        <w:pStyle w:val="FootnoteText"/>
      </w:pPr>
      <w:r>
        <w:rPr>
          <w:rStyle w:val="FootnoteReference"/>
        </w:rPr>
        <w:footnoteRef/>
      </w:r>
      <w:r>
        <w:t xml:space="preserve"> 47 C.F.R 901 (f) and notes ff. 1, 2, and 3.</w:t>
      </w:r>
    </w:p>
  </w:footnote>
  <w:footnote w:id="273">
    <w:p w:rsidR="00527D3A" w:rsidRDefault="00527D3A" w:rsidP="00C0735A">
      <w:pPr>
        <w:pStyle w:val="FootnoteText"/>
      </w:pPr>
      <w:r>
        <w:rPr>
          <w:rStyle w:val="FootnoteReference"/>
        </w:rPr>
        <w:footnoteRef/>
      </w:r>
      <w:r>
        <w:t xml:space="preserve"> </w:t>
      </w:r>
      <w:r w:rsidRPr="002B1B38">
        <w:rPr>
          <w:i/>
        </w:rPr>
        <w:t>See</w:t>
      </w:r>
      <w:r>
        <w:t xml:space="preserve"> SNL KAGAN at </w:t>
      </w:r>
      <w:r w:rsidRPr="008B595E">
        <w:rPr>
          <w:rStyle w:val="Hyperlink"/>
        </w:rPr>
        <w:t>www.snl.com/interactivex/MultichannelIndustryBenchmarks.aspx</w:t>
      </w:r>
      <w:r>
        <w:rPr>
          <w:rStyle w:val="Hyperlink"/>
        </w:rPr>
        <w:t>.</w:t>
      </w:r>
    </w:p>
  </w:footnote>
  <w:footnote w:id="274">
    <w:p w:rsidR="00527D3A" w:rsidRDefault="00527D3A" w:rsidP="00C0735A">
      <w:pPr>
        <w:pStyle w:val="FootnoteText"/>
      </w:pPr>
      <w:r>
        <w:rPr>
          <w:rStyle w:val="FootnoteReference"/>
        </w:rPr>
        <w:footnoteRef/>
      </w:r>
      <w:r>
        <w:t xml:space="preserve"> 47.901(f) and notes ff. 1, 2, and 3.</w:t>
      </w:r>
    </w:p>
  </w:footnote>
  <w:footnote w:id="275">
    <w:p w:rsidR="00527D3A" w:rsidRDefault="00527D3A" w:rsidP="00C0735A">
      <w:pPr>
        <w:pStyle w:val="FootnoteText"/>
      </w:pPr>
      <w:r>
        <w:rPr>
          <w:rStyle w:val="FootnoteReference"/>
        </w:rPr>
        <w:footnoteRef/>
      </w:r>
      <w:r>
        <w:t xml:space="preserve"> </w:t>
      </w:r>
      <w:r w:rsidRPr="002B1B38">
        <w:rPr>
          <w:i/>
        </w:rPr>
        <w:t>See</w:t>
      </w:r>
      <w:r>
        <w:t xml:space="preserve"> SNL KAGAN at </w:t>
      </w:r>
      <w:hyperlink r:id="rId29" w:history="1">
        <w:r w:rsidRPr="008B595E">
          <w:rPr>
            <w:rStyle w:val="Hyperlink"/>
          </w:rPr>
          <w:t>www.snl.com/interactivex/TopCable</w:t>
        </w:r>
      </w:hyperlink>
      <w:r w:rsidRPr="008B595E">
        <w:rPr>
          <w:rStyle w:val="Hyperlink"/>
        </w:rPr>
        <w:t xml:space="preserve"> MSOs.aspx</w:t>
      </w:r>
      <w:r>
        <w:rPr>
          <w:rStyle w:val="Hyperlink"/>
        </w:rPr>
        <w:t>.</w:t>
      </w:r>
    </w:p>
  </w:footnote>
  <w:footnote w:id="276">
    <w:p w:rsidR="00527D3A" w:rsidRDefault="00527D3A" w:rsidP="00C0735A">
      <w:pPr>
        <w:pStyle w:val="FootnoteText"/>
      </w:pPr>
      <w:r>
        <w:rPr>
          <w:rStyle w:val="FootnoteReference"/>
        </w:rPr>
        <w:footnoteRef/>
      </w:r>
      <w:r>
        <w:t xml:space="preserve"> </w:t>
      </w:r>
      <w:r w:rsidRPr="00133697">
        <w:t xml:space="preserve">The Commission does receive such information on a case-by-case basis if a cable operator appeals a local franchise authority's finding that the operator does not qualify as a small cable operator pursuant to § 76.901(f) of the Commission's rules. </w:t>
      </w:r>
      <w:r>
        <w:t xml:space="preserve"> </w:t>
      </w:r>
      <w:r w:rsidRPr="002B1B38">
        <w:rPr>
          <w:i/>
        </w:rPr>
        <w:t>See</w:t>
      </w:r>
      <w:r w:rsidRPr="00133697">
        <w:t xml:space="preserve"> 47 C.F.R. § 76.901(f).</w:t>
      </w:r>
    </w:p>
  </w:footnote>
  <w:footnote w:id="277">
    <w:p w:rsidR="00527D3A" w:rsidRDefault="00527D3A" w:rsidP="00990255">
      <w:pPr>
        <w:pStyle w:val="FootnoteText"/>
      </w:pPr>
      <w:r>
        <w:rPr>
          <w:rStyle w:val="FootnoteReference"/>
        </w:rPr>
        <w:footnoteRef/>
      </w:r>
      <w:r>
        <w:t xml:space="preserve"> </w:t>
      </w:r>
      <w:hyperlink r:id="rId30" w:history="1">
        <w:r w:rsidRPr="00080C31">
          <w:rPr>
            <w:rStyle w:val="Hyperlink"/>
          </w:rPr>
          <w:t>http://www.census.gov/cgi-bin/ssssd/naics/naicsrch</w:t>
        </w:r>
      </w:hyperlink>
      <w:r>
        <w:t>.</w:t>
      </w:r>
    </w:p>
  </w:footnote>
  <w:footnote w:id="278">
    <w:p w:rsidR="00527D3A" w:rsidRDefault="00527D3A" w:rsidP="00990255">
      <w:pPr>
        <w:pStyle w:val="FootnoteText"/>
      </w:pPr>
      <w:r>
        <w:rPr>
          <w:rStyle w:val="FootnoteReference"/>
        </w:rPr>
        <w:footnoteRef/>
      </w:r>
      <w:r>
        <w:t xml:space="preserve"> 13 C.F.R 121.201; NAICS Code 517919</w:t>
      </w:r>
    </w:p>
  </w:footnote>
  <w:footnote w:id="279">
    <w:p w:rsidR="00527D3A" w:rsidRPr="00B013DC" w:rsidRDefault="00527D3A" w:rsidP="00990255">
      <w:pPr>
        <w:pStyle w:val="FootnoteText"/>
        <w:spacing w:after="0"/>
        <w:rPr>
          <w:rStyle w:val="Hyperlink"/>
        </w:rPr>
      </w:pPr>
      <w:r>
        <w:rPr>
          <w:rStyle w:val="FootnoteReference"/>
        </w:rPr>
        <w:footnoteRef/>
      </w:r>
      <w:r>
        <w:t xml:space="preserve"> </w:t>
      </w:r>
      <w:r>
        <w:fldChar w:fldCharType="begin"/>
      </w:r>
      <w:r w:rsidR="000B7213">
        <w:instrText>HYPERLINK "D:\\Users\\Mika.Savir\\AppData\\Roaming\\Microsoft\\Word\\cover memo 3 13 15.docx"</w:instrText>
      </w:r>
      <w:r>
        <w:fldChar w:fldCharType="separate"/>
      </w:r>
      <w:r w:rsidRPr="00B013DC">
        <w:rPr>
          <w:rStyle w:val="Hyperlink"/>
        </w:rPr>
        <w:t>http://factfinder.census.gov/faces/tableservices/jsf/pages/productview.xhtml?</w:t>
      </w:r>
    </w:p>
    <w:p w:rsidR="00527D3A" w:rsidRPr="00B013DC" w:rsidRDefault="00527D3A" w:rsidP="00990255">
      <w:pPr>
        <w:pStyle w:val="FootnoteText"/>
      </w:pPr>
      <w:r w:rsidRPr="00B013DC">
        <w:rPr>
          <w:rStyle w:val="Hyperlink"/>
        </w:rPr>
        <w:t>pid=ECN_2007_US_51SSSZ5&amp;prodType=table</w:t>
      </w:r>
      <w:r>
        <w:fldChar w:fldCharType="end"/>
      </w:r>
      <w:r w:rsidRPr="00B013DC">
        <w:t>.</w:t>
      </w:r>
    </w:p>
  </w:footnote>
  <w:footnote w:id="280">
    <w:p w:rsidR="00527D3A" w:rsidRDefault="00527D3A" w:rsidP="00990255">
      <w:pPr>
        <w:pStyle w:val="FootnoteText"/>
      </w:pPr>
      <w:r>
        <w:rPr>
          <w:rStyle w:val="FootnoteReference"/>
        </w:rPr>
        <w:footnoteRef/>
      </w:r>
      <w:r>
        <w:t xml:space="preserve"> </w:t>
      </w:r>
      <w:r w:rsidRPr="00185ED3">
        <w:t>5 U.S.C. § 603(c)(1)–(c)(4).</w:t>
      </w:r>
    </w:p>
  </w:footnote>
  <w:footnote w:id="281">
    <w:p w:rsidR="00527D3A" w:rsidRPr="00B60211" w:rsidRDefault="00527D3A" w:rsidP="00891D2A">
      <w:pPr>
        <w:pStyle w:val="FootnoteText"/>
        <w:spacing w:after="240"/>
        <w:rPr>
          <w:spacing w:val="-2"/>
        </w:rPr>
      </w:pPr>
      <w:r w:rsidRPr="00B60211">
        <w:rPr>
          <w:rStyle w:val="FootnoteReference"/>
          <w:spacing w:val="-2"/>
        </w:rPr>
        <w:footnoteRef/>
      </w:r>
      <w:r w:rsidRPr="00B60211">
        <w:rPr>
          <w:spacing w:val="-2"/>
        </w:rPr>
        <w:t xml:space="preserve"> Note that "small fees"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§1.1102 of this chapter.</w:t>
      </w:r>
    </w:p>
  </w:footnote>
  <w:footnote w:id="282">
    <w:p w:rsidR="00527D3A" w:rsidRPr="00B60211" w:rsidRDefault="00527D3A" w:rsidP="00891D2A">
      <w:pPr>
        <w:pStyle w:val="FootnoteText"/>
      </w:pPr>
      <w:r w:rsidRPr="00B60211">
        <w:rPr>
          <w:rStyle w:val="FootnoteReference"/>
        </w:rPr>
        <w:footnoteRef/>
      </w:r>
      <w:r w:rsidRPr="00B60211">
        <w:t xml:space="preserve"> These are standard fees that are to be paid in accordance with § 1.1157(b) of this chapter.</w:t>
      </w:r>
    </w:p>
  </w:footnote>
  <w:footnote w:id="283">
    <w:p w:rsidR="00527D3A" w:rsidRPr="005A3505" w:rsidRDefault="00527D3A" w:rsidP="00891D2A">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D9" w:rsidRDefault="005F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A" w:rsidRDefault="00527D3A" w:rsidP="00DD2A3A">
    <w:pPr>
      <w:pStyle w:val="Header"/>
    </w:pPr>
    <w:r>
      <w:tab/>
      <w:t>Federal Communications Commission</w:t>
    </w:r>
    <w:r>
      <w:tab/>
      <w:t xml:space="preserve"> FCC 15-108</w:t>
    </w:r>
  </w:p>
  <w:p w:rsidR="00527D3A" w:rsidRDefault="00527D3A" w:rsidP="00DD2A3A">
    <w:pPr>
      <w:pStyle w:val="Header"/>
    </w:pPr>
    <w:r>
      <w:rPr>
        <w:noProof/>
        <w:snapToGrid/>
      </w:rPr>
      <mc:AlternateContent>
        <mc:Choice Requires="wps">
          <w:drawing>
            <wp:anchor distT="4294967291" distB="4294967291" distL="114300" distR="114300" simplePos="0" relativeHeight="251658240" behindDoc="0" locked="0" layoutInCell="0" allowOverlap="1" wp14:anchorId="06B40620" wp14:editId="435BA3CF">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202E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A" w:rsidRDefault="00527D3A" w:rsidP="00DD2A3A">
    <w:pPr>
      <w:pStyle w:val="Header"/>
    </w:pPr>
    <w:r>
      <w:tab/>
      <w:t>Federal Communications Commission</w:t>
    </w:r>
    <w:r>
      <w:tab/>
      <w:t>FCC 15-108</w:t>
    </w:r>
  </w:p>
  <w:p w:rsidR="00527D3A" w:rsidRDefault="00527D3A" w:rsidP="00DD2A3A">
    <w:pPr>
      <w:pStyle w:val="Header"/>
    </w:pPr>
    <w:r>
      <w:rPr>
        <w:noProof/>
        <w:snapToGrid/>
      </w:rPr>
      <mc:AlternateContent>
        <mc:Choice Requires="wps">
          <w:drawing>
            <wp:anchor distT="4294967291" distB="4294967291" distL="114300" distR="114300" simplePos="0" relativeHeight="251660288" behindDoc="0" locked="0" layoutInCell="0" allowOverlap="1" wp14:anchorId="2DA82028" wp14:editId="25E65DD9">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C4E26"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5">
    <w:nsid w:val="44C509DC"/>
    <w:multiLevelType w:val="hybridMultilevel"/>
    <w:tmpl w:val="98FC70BE"/>
    <w:lvl w:ilvl="0" w:tplc="44C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1"/>
  </w:num>
  <w:num w:numId="3">
    <w:abstractNumId w:val="10"/>
  </w:num>
  <w:num w:numId="4">
    <w:abstractNumId w:val="9"/>
  </w:num>
  <w:num w:numId="5">
    <w:abstractNumId w:val="3"/>
  </w:num>
  <w:num w:numId="6">
    <w:abstractNumId w:val="8"/>
  </w:num>
  <w:num w:numId="7">
    <w:abstractNumId w:val="4"/>
  </w:num>
  <w:num w:numId="8">
    <w:abstractNumId w:val="9"/>
    <w:lvlOverride w:ilvl="0">
      <w:startOverride w:val="1"/>
    </w:lvlOverride>
  </w:num>
  <w:num w:numId="9">
    <w:abstractNumId w:val="3"/>
    <w:lvlOverride w:ilvl="0">
      <w:startOverride w:val="1"/>
    </w:lvlOverride>
    <w:lvlOverride w:ilvl="1">
      <w:startOverride w:val="1"/>
    </w:lvlOverride>
  </w:num>
  <w:num w:numId="10">
    <w:abstractNumId w:val="9"/>
    <w:lvlOverride w:ilvl="0">
      <w:startOverride w:val="1"/>
    </w:lvlOverride>
  </w:num>
  <w:num w:numId="11">
    <w:abstractNumId w:val="6"/>
  </w:num>
  <w:num w:numId="12">
    <w:abstractNumId w:val="1"/>
  </w:num>
  <w:num w:numId="13">
    <w:abstractNumId w:val="2"/>
  </w:num>
  <w:num w:numId="14">
    <w:abstractNumId w:val="0"/>
  </w:num>
  <w:num w:numId="15">
    <w:abstractNumId w:val="5"/>
  </w:num>
  <w:num w:numId="16">
    <w:abstractNumId w:val="9"/>
    <w:lvlOverride w:ilvl="0">
      <w:startOverride w:val="1"/>
    </w:lvlOverride>
  </w:num>
  <w:num w:numId="17">
    <w:abstractNumId w:val="9"/>
  </w:num>
  <w:num w:numId="18">
    <w:abstractNumId w:val="3"/>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BD"/>
    <w:rsid w:val="0000013B"/>
    <w:rsid w:val="000004DD"/>
    <w:rsid w:val="000011E0"/>
    <w:rsid w:val="000013D2"/>
    <w:rsid w:val="000013F3"/>
    <w:rsid w:val="00001B55"/>
    <w:rsid w:val="00001D3E"/>
    <w:rsid w:val="000021F2"/>
    <w:rsid w:val="00002230"/>
    <w:rsid w:val="000023CE"/>
    <w:rsid w:val="00002595"/>
    <w:rsid w:val="00002E0B"/>
    <w:rsid w:val="000036CD"/>
    <w:rsid w:val="00003B30"/>
    <w:rsid w:val="00004073"/>
    <w:rsid w:val="000049BE"/>
    <w:rsid w:val="000057B5"/>
    <w:rsid w:val="00005C9D"/>
    <w:rsid w:val="000066CF"/>
    <w:rsid w:val="000072C1"/>
    <w:rsid w:val="0000731A"/>
    <w:rsid w:val="0000777B"/>
    <w:rsid w:val="00007CFF"/>
    <w:rsid w:val="00007F9C"/>
    <w:rsid w:val="0001022E"/>
    <w:rsid w:val="00011185"/>
    <w:rsid w:val="0001128D"/>
    <w:rsid w:val="00011567"/>
    <w:rsid w:val="000115FF"/>
    <w:rsid w:val="00011D72"/>
    <w:rsid w:val="00012270"/>
    <w:rsid w:val="000128EE"/>
    <w:rsid w:val="000138F6"/>
    <w:rsid w:val="00014194"/>
    <w:rsid w:val="00014534"/>
    <w:rsid w:val="00014A4E"/>
    <w:rsid w:val="00015410"/>
    <w:rsid w:val="00015478"/>
    <w:rsid w:val="00015884"/>
    <w:rsid w:val="000162C7"/>
    <w:rsid w:val="00016C38"/>
    <w:rsid w:val="00017C6B"/>
    <w:rsid w:val="00020403"/>
    <w:rsid w:val="00020646"/>
    <w:rsid w:val="00020F07"/>
    <w:rsid w:val="00021046"/>
    <w:rsid w:val="0002135B"/>
    <w:rsid w:val="00021774"/>
    <w:rsid w:val="00021AF4"/>
    <w:rsid w:val="00021D5D"/>
    <w:rsid w:val="00022548"/>
    <w:rsid w:val="000225CD"/>
    <w:rsid w:val="00023049"/>
    <w:rsid w:val="00023C7C"/>
    <w:rsid w:val="00023E80"/>
    <w:rsid w:val="00023ECE"/>
    <w:rsid w:val="00023F9B"/>
    <w:rsid w:val="00024B58"/>
    <w:rsid w:val="00024C4A"/>
    <w:rsid w:val="000251CF"/>
    <w:rsid w:val="00025CA3"/>
    <w:rsid w:val="000263B2"/>
    <w:rsid w:val="0002641F"/>
    <w:rsid w:val="00026488"/>
    <w:rsid w:val="00026ED7"/>
    <w:rsid w:val="0003004E"/>
    <w:rsid w:val="0003079A"/>
    <w:rsid w:val="00030B8F"/>
    <w:rsid w:val="000311FD"/>
    <w:rsid w:val="0003175B"/>
    <w:rsid w:val="00032720"/>
    <w:rsid w:val="000333E4"/>
    <w:rsid w:val="00033BC5"/>
    <w:rsid w:val="000346C4"/>
    <w:rsid w:val="00034920"/>
    <w:rsid w:val="0003520C"/>
    <w:rsid w:val="00035821"/>
    <w:rsid w:val="000364A6"/>
    <w:rsid w:val="00036C71"/>
    <w:rsid w:val="00036D90"/>
    <w:rsid w:val="00037363"/>
    <w:rsid w:val="000406D0"/>
    <w:rsid w:val="0004157C"/>
    <w:rsid w:val="000415BF"/>
    <w:rsid w:val="000422A0"/>
    <w:rsid w:val="00042811"/>
    <w:rsid w:val="00042952"/>
    <w:rsid w:val="000444CA"/>
    <w:rsid w:val="00045051"/>
    <w:rsid w:val="00045486"/>
    <w:rsid w:val="00045FD5"/>
    <w:rsid w:val="0004772C"/>
    <w:rsid w:val="00047798"/>
    <w:rsid w:val="0005042B"/>
    <w:rsid w:val="00050B78"/>
    <w:rsid w:val="00052C99"/>
    <w:rsid w:val="00052D9F"/>
    <w:rsid w:val="00053193"/>
    <w:rsid w:val="00053458"/>
    <w:rsid w:val="000540B8"/>
    <w:rsid w:val="00054A29"/>
    <w:rsid w:val="00054E3D"/>
    <w:rsid w:val="000551D4"/>
    <w:rsid w:val="00055350"/>
    <w:rsid w:val="00055D39"/>
    <w:rsid w:val="00055F8F"/>
    <w:rsid w:val="000563B6"/>
    <w:rsid w:val="00056839"/>
    <w:rsid w:val="00056AF6"/>
    <w:rsid w:val="0005776C"/>
    <w:rsid w:val="0005796C"/>
    <w:rsid w:val="00057AFA"/>
    <w:rsid w:val="000600AA"/>
    <w:rsid w:val="0006173E"/>
    <w:rsid w:val="00061B17"/>
    <w:rsid w:val="00061C34"/>
    <w:rsid w:val="00061D2F"/>
    <w:rsid w:val="00061F34"/>
    <w:rsid w:val="0006268D"/>
    <w:rsid w:val="00062A28"/>
    <w:rsid w:val="000633E9"/>
    <w:rsid w:val="00063EF5"/>
    <w:rsid w:val="00066282"/>
    <w:rsid w:val="000668AE"/>
    <w:rsid w:val="00067117"/>
    <w:rsid w:val="0006721A"/>
    <w:rsid w:val="00070098"/>
    <w:rsid w:val="0007023D"/>
    <w:rsid w:val="00070FFA"/>
    <w:rsid w:val="00071064"/>
    <w:rsid w:val="000715D3"/>
    <w:rsid w:val="00071661"/>
    <w:rsid w:val="00071817"/>
    <w:rsid w:val="00071F05"/>
    <w:rsid w:val="000725D1"/>
    <w:rsid w:val="00073150"/>
    <w:rsid w:val="000736A0"/>
    <w:rsid w:val="00074268"/>
    <w:rsid w:val="00074E1D"/>
    <w:rsid w:val="00075022"/>
    <w:rsid w:val="00075A20"/>
    <w:rsid w:val="000766F9"/>
    <w:rsid w:val="000801E9"/>
    <w:rsid w:val="0008039F"/>
    <w:rsid w:val="000815EB"/>
    <w:rsid w:val="00081810"/>
    <w:rsid w:val="00081AFC"/>
    <w:rsid w:val="00081F59"/>
    <w:rsid w:val="0008216F"/>
    <w:rsid w:val="0008220E"/>
    <w:rsid w:val="00083865"/>
    <w:rsid w:val="00083E4F"/>
    <w:rsid w:val="00083F80"/>
    <w:rsid w:val="00083FCE"/>
    <w:rsid w:val="000840DD"/>
    <w:rsid w:val="000842AE"/>
    <w:rsid w:val="000849C7"/>
    <w:rsid w:val="000861F4"/>
    <w:rsid w:val="0008697F"/>
    <w:rsid w:val="00086A51"/>
    <w:rsid w:val="00087256"/>
    <w:rsid w:val="000877C8"/>
    <w:rsid w:val="00087C88"/>
    <w:rsid w:val="00090B78"/>
    <w:rsid w:val="0009217D"/>
    <w:rsid w:val="0009277E"/>
    <w:rsid w:val="00093D7F"/>
    <w:rsid w:val="0009569F"/>
    <w:rsid w:val="000975E5"/>
    <w:rsid w:val="00097D63"/>
    <w:rsid w:val="00097DF8"/>
    <w:rsid w:val="000A0AC7"/>
    <w:rsid w:val="000A1687"/>
    <w:rsid w:val="000A1C31"/>
    <w:rsid w:val="000A2105"/>
    <w:rsid w:val="000A3072"/>
    <w:rsid w:val="000A3189"/>
    <w:rsid w:val="000A348F"/>
    <w:rsid w:val="000A37D2"/>
    <w:rsid w:val="000A3F97"/>
    <w:rsid w:val="000A4240"/>
    <w:rsid w:val="000A4664"/>
    <w:rsid w:val="000A56A1"/>
    <w:rsid w:val="000A660B"/>
    <w:rsid w:val="000A6718"/>
    <w:rsid w:val="000A686E"/>
    <w:rsid w:val="000A68C6"/>
    <w:rsid w:val="000A6F0B"/>
    <w:rsid w:val="000A71C7"/>
    <w:rsid w:val="000A7604"/>
    <w:rsid w:val="000A762E"/>
    <w:rsid w:val="000A7B6C"/>
    <w:rsid w:val="000A7D69"/>
    <w:rsid w:val="000B065E"/>
    <w:rsid w:val="000B0E9A"/>
    <w:rsid w:val="000B0ECA"/>
    <w:rsid w:val="000B11BA"/>
    <w:rsid w:val="000B15F0"/>
    <w:rsid w:val="000B1C00"/>
    <w:rsid w:val="000B26F5"/>
    <w:rsid w:val="000B412F"/>
    <w:rsid w:val="000B4179"/>
    <w:rsid w:val="000B452E"/>
    <w:rsid w:val="000B6208"/>
    <w:rsid w:val="000B6728"/>
    <w:rsid w:val="000B7213"/>
    <w:rsid w:val="000B7775"/>
    <w:rsid w:val="000B7AB2"/>
    <w:rsid w:val="000B7F91"/>
    <w:rsid w:val="000C02EE"/>
    <w:rsid w:val="000C047B"/>
    <w:rsid w:val="000C06E3"/>
    <w:rsid w:val="000C14BD"/>
    <w:rsid w:val="000C1B6B"/>
    <w:rsid w:val="000C1F78"/>
    <w:rsid w:val="000C25C4"/>
    <w:rsid w:val="000C25D7"/>
    <w:rsid w:val="000C2DA1"/>
    <w:rsid w:val="000C3CA2"/>
    <w:rsid w:val="000C3D58"/>
    <w:rsid w:val="000C413D"/>
    <w:rsid w:val="000C4557"/>
    <w:rsid w:val="000C4618"/>
    <w:rsid w:val="000C4759"/>
    <w:rsid w:val="000C5229"/>
    <w:rsid w:val="000C52EC"/>
    <w:rsid w:val="000C6039"/>
    <w:rsid w:val="000C65E6"/>
    <w:rsid w:val="000C6BB7"/>
    <w:rsid w:val="000C6E8A"/>
    <w:rsid w:val="000D00CC"/>
    <w:rsid w:val="000D15F8"/>
    <w:rsid w:val="000D19F6"/>
    <w:rsid w:val="000D1AE7"/>
    <w:rsid w:val="000D2555"/>
    <w:rsid w:val="000D3F77"/>
    <w:rsid w:val="000D4F13"/>
    <w:rsid w:val="000D5739"/>
    <w:rsid w:val="000D580E"/>
    <w:rsid w:val="000D5C9D"/>
    <w:rsid w:val="000D65F2"/>
    <w:rsid w:val="000D6B01"/>
    <w:rsid w:val="000D724E"/>
    <w:rsid w:val="000E018A"/>
    <w:rsid w:val="000E1A50"/>
    <w:rsid w:val="000E201A"/>
    <w:rsid w:val="000E2106"/>
    <w:rsid w:val="000E2702"/>
    <w:rsid w:val="000E2882"/>
    <w:rsid w:val="000E333B"/>
    <w:rsid w:val="000E36C9"/>
    <w:rsid w:val="000E373D"/>
    <w:rsid w:val="000E38F8"/>
    <w:rsid w:val="000E395D"/>
    <w:rsid w:val="000E3F1B"/>
    <w:rsid w:val="000E3F61"/>
    <w:rsid w:val="000E48C3"/>
    <w:rsid w:val="000E4F66"/>
    <w:rsid w:val="000E6DB2"/>
    <w:rsid w:val="000E7158"/>
    <w:rsid w:val="000E7277"/>
    <w:rsid w:val="000E771A"/>
    <w:rsid w:val="000E7E27"/>
    <w:rsid w:val="000F0E8A"/>
    <w:rsid w:val="000F1654"/>
    <w:rsid w:val="000F1C35"/>
    <w:rsid w:val="000F1EAC"/>
    <w:rsid w:val="000F1F25"/>
    <w:rsid w:val="000F262E"/>
    <w:rsid w:val="000F3343"/>
    <w:rsid w:val="000F3742"/>
    <w:rsid w:val="000F3AA2"/>
    <w:rsid w:val="000F3C28"/>
    <w:rsid w:val="000F3CDE"/>
    <w:rsid w:val="000F3D95"/>
    <w:rsid w:val="000F4134"/>
    <w:rsid w:val="000F4197"/>
    <w:rsid w:val="000F53B0"/>
    <w:rsid w:val="000F5BB1"/>
    <w:rsid w:val="000F6359"/>
    <w:rsid w:val="000F6631"/>
    <w:rsid w:val="000F6AA0"/>
    <w:rsid w:val="000F71B5"/>
    <w:rsid w:val="000F74F9"/>
    <w:rsid w:val="000F7E16"/>
    <w:rsid w:val="00100C17"/>
    <w:rsid w:val="0010195C"/>
    <w:rsid w:val="00101B40"/>
    <w:rsid w:val="0010218E"/>
    <w:rsid w:val="001029EE"/>
    <w:rsid w:val="00102AB6"/>
    <w:rsid w:val="00102ECE"/>
    <w:rsid w:val="00103DDF"/>
    <w:rsid w:val="00103E14"/>
    <w:rsid w:val="001047D0"/>
    <w:rsid w:val="00104A93"/>
    <w:rsid w:val="00104E54"/>
    <w:rsid w:val="00105154"/>
    <w:rsid w:val="00105CB3"/>
    <w:rsid w:val="00105CD6"/>
    <w:rsid w:val="00105D3A"/>
    <w:rsid w:val="001063AA"/>
    <w:rsid w:val="00106799"/>
    <w:rsid w:val="00106C39"/>
    <w:rsid w:val="00106F7D"/>
    <w:rsid w:val="0011024C"/>
    <w:rsid w:val="00110A2C"/>
    <w:rsid w:val="00110C40"/>
    <w:rsid w:val="00110F55"/>
    <w:rsid w:val="0011180E"/>
    <w:rsid w:val="0011242B"/>
    <w:rsid w:val="0011286D"/>
    <w:rsid w:val="00112A7F"/>
    <w:rsid w:val="00113346"/>
    <w:rsid w:val="001137F5"/>
    <w:rsid w:val="00113BA5"/>
    <w:rsid w:val="00113D8D"/>
    <w:rsid w:val="001144AB"/>
    <w:rsid w:val="00114C85"/>
    <w:rsid w:val="00115BF1"/>
    <w:rsid w:val="0011609A"/>
    <w:rsid w:val="001163F6"/>
    <w:rsid w:val="00116894"/>
    <w:rsid w:val="00116947"/>
    <w:rsid w:val="001169B0"/>
    <w:rsid w:val="00116B9C"/>
    <w:rsid w:val="00117BEE"/>
    <w:rsid w:val="00120BF0"/>
    <w:rsid w:val="001217C2"/>
    <w:rsid w:val="00121A3B"/>
    <w:rsid w:val="00121B93"/>
    <w:rsid w:val="001226A8"/>
    <w:rsid w:val="00122F19"/>
    <w:rsid w:val="0012316B"/>
    <w:rsid w:val="0012317D"/>
    <w:rsid w:val="001234AA"/>
    <w:rsid w:val="00123957"/>
    <w:rsid w:val="00123B4F"/>
    <w:rsid w:val="00123CA7"/>
    <w:rsid w:val="00123DE3"/>
    <w:rsid w:val="00123E3F"/>
    <w:rsid w:val="0012456D"/>
    <w:rsid w:val="00124A29"/>
    <w:rsid w:val="00124EAF"/>
    <w:rsid w:val="00125B9A"/>
    <w:rsid w:val="00125CAF"/>
    <w:rsid w:val="0012628A"/>
    <w:rsid w:val="0012692F"/>
    <w:rsid w:val="00127AC4"/>
    <w:rsid w:val="00127B0F"/>
    <w:rsid w:val="001305DA"/>
    <w:rsid w:val="0013090E"/>
    <w:rsid w:val="0013104C"/>
    <w:rsid w:val="0013213F"/>
    <w:rsid w:val="00132A94"/>
    <w:rsid w:val="00132BAC"/>
    <w:rsid w:val="001330F7"/>
    <w:rsid w:val="001339E4"/>
    <w:rsid w:val="00133B75"/>
    <w:rsid w:val="00134C26"/>
    <w:rsid w:val="00135019"/>
    <w:rsid w:val="001350CA"/>
    <w:rsid w:val="001354C3"/>
    <w:rsid w:val="00135F32"/>
    <w:rsid w:val="00136DCF"/>
    <w:rsid w:val="00136DD6"/>
    <w:rsid w:val="00137A78"/>
    <w:rsid w:val="00140793"/>
    <w:rsid w:val="00140CBD"/>
    <w:rsid w:val="00140EAD"/>
    <w:rsid w:val="00140EC8"/>
    <w:rsid w:val="0014127A"/>
    <w:rsid w:val="00141889"/>
    <w:rsid w:val="001429DE"/>
    <w:rsid w:val="00142CC6"/>
    <w:rsid w:val="00143B92"/>
    <w:rsid w:val="00144B45"/>
    <w:rsid w:val="0014590B"/>
    <w:rsid w:val="0014645C"/>
    <w:rsid w:val="001468D7"/>
    <w:rsid w:val="001469EB"/>
    <w:rsid w:val="00146B0A"/>
    <w:rsid w:val="00147425"/>
    <w:rsid w:val="0014749C"/>
    <w:rsid w:val="00150424"/>
    <w:rsid w:val="00150E42"/>
    <w:rsid w:val="00151651"/>
    <w:rsid w:val="00151E1D"/>
    <w:rsid w:val="00152081"/>
    <w:rsid w:val="001527E0"/>
    <w:rsid w:val="00152848"/>
    <w:rsid w:val="00153C69"/>
    <w:rsid w:val="00153E41"/>
    <w:rsid w:val="00154D4E"/>
    <w:rsid w:val="00157135"/>
    <w:rsid w:val="00157425"/>
    <w:rsid w:val="0015764E"/>
    <w:rsid w:val="00157B67"/>
    <w:rsid w:val="00160543"/>
    <w:rsid w:val="00160C25"/>
    <w:rsid w:val="00160CCF"/>
    <w:rsid w:val="00160E5B"/>
    <w:rsid w:val="0016108A"/>
    <w:rsid w:val="001613BA"/>
    <w:rsid w:val="00161C8B"/>
    <w:rsid w:val="00162BB9"/>
    <w:rsid w:val="00162CD1"/>
    <w:rsid w:val="0016301B"/>
    <w:rsid w:val="00163030"/>
    <w:rsid w:val="001630FA"/>
    <w:rsid w:val="001632AE"/>
    <w:rsid w:val="00163B2B"/>
    <w:rsid w:val="00163CA3"/>
    <w:rsid w:val="00164E59"/>
    <w:rsid w:val="00165410"/>
    <w:rsid w:val="00165449"/>
    <w:rsid w:val="001654A4"/>
    <w:rsid w:val="0016559E"/>
    <w:rsid w:val="00165BC0"/>
    <w:rsid w:val="00165BE5"/>
    <w:rsid w:val="001662C6"/>
    <w:rsid w:val="00166E9A"/>
    <w:rsid w:val="00167267"/>
    <w:rsid w:val="0016737B"/>
    <w:rsid w:val="00167A50"/>
    <w:rsid w:val="00167EF6"/>
    <w:rsid w:val="0017000F"/>
    <w:rsid w:val="0017044A"/>
    <w:rsid w:val="00170EE7"/>
    <w:rsid w:val="0017182A"/>
    <w:rsid w:val="0017285A"/>
    <w:rsid w:val="001734DA"/>
    <w:rsid w:val="00174414"/>
    <w:rsid w:val="00174DAB"/>
    <w:rsid w:val="00176599"/>
    <w:rsid w:val="00176953"/>
    <w:rsid w:val="00177232"/>
    <w:rsid w:val="00177490"/>
    <w:rsid w:val="0018066B"/>
    <w:rsid w:val="0018123E"/>
    <w:rsid w:val="001813B5"/>
    <w:rsid w:val="00181943"/>
    <w:rsid w:val="001819CE"/>
    <w:rsid w:val="0018208F"/>
    <w:rsid w:val="00182705"/>
    <w:rsid w:val="0018289D"/>
    <w:rsid w:val="001828DD"/>
    <w:rsid w:val="00182B7F"/>
    <w:rsid w:val="00182E23"/>
    <w:rsid w:val="0018365B"/>
    <w:rsid w:val="0018382F"/>
    <w:rsid w:val="00183EA3"/>
    <w:rsid w:val="00183F3B"/>
    <w:rsid w:val="00184138"/>
    <w:rsid w:val="00184AA9"/>
    <w:rsid w:val="00184C06"/>
    <w:rsid w:val="00184CC8"/>
    <w:rsid w:val="00184EB6"/>
    <w:rsid w:val="0018511B"/>
    <w:rsid w:val="00186588"/>
    <w:rsid w:val="00186678"/>
    <w:rsid w:val="0018683A"/>
    <w:rsid w:val="00186AF7"/>
    <w:rsid w:val="00187FA3"/>
    <w:rsid w:val="001905E0"/>
    <w:rsid w:val="00191920"/>
    <w:rsid w:val="00191FFA"/>
    <w:rsid w:val="0019333C"/>
    <w:rsid w:val="00194577"/>
    <w:rsid w:val="00194EAB"/>
    <w:rsid w:val="001950FD"/>
    <w:rsid w:val="00195D67"/>
    <w:rsid w:val="00196046"/>
    <w:rsid w:val="001962C5"/>
    <w:rsid w:val="00196419"/>
    <w:rsid w:val="001A06B6"/>
    <w:rsid w:val="001A0863"/>
    <w:rsid w:val="001A0AA0"/>
    <w:rsid w:val="001A1DC5"/>
    <w:rsid w:val="001A3029"/>
    <w:rsid w:val="001A3452"/>
    <w:rsid w:val="001A3589"/>
    <w:rsid w:val="001A36DE"/>
    <w:rsid w:val="001A4165"/>
    <w:rsid w:val="001A5087"/>
    <w:rsid w:val="001A52FF"/>
    <w:rsid w:val="001A5689"/>
    <w:rsid w:val="001A5787"/>
    <w:rsid w:val="001A5B70"/>
    <w:rsid w:val="001A5DB0"/>
    <w:rsid w:val="001A69C5"/>
    <w:rsid w:val="001A6F6D"/>
    <w:rsid w:val="001A7130"/>
    <w:rsid w:val="001A771B"/>
    <w:rsid w:val="001A77B5"/>
    <w:rsid w:val="001A7C04"/>
    <w:rsid w:val="001B00F5"/>
    <w:rsid w:val="001B01F7"/>
    <w:rsid w:val="001B0902"/>
    <w:rsid w:val="001B0C58"/>
    <w:rsid w:val="001B0FC1"/>
    <w:rsid w:val="001B1001"/>
    <w:rsid w:val="001B1B0F"/>
    <w:rsid w:val="001B308B"/>
    <w:rsid w:val="001B34AA"/>
    <w:rsid w:val="001B3706"/>
    <w:rsid w:val="001B3FEB"/>
    <w:rsid w:val="001B45F2"/>
    <w:rsid w:val="001B49C0"/>
    <w:rsid w:val="001B4CA4"/>
    <w:rsid w:val="001B56BF"/>
    <w:rsid w:val="001B5723"/>
    <w:rsid w:val="001B58D6"/>
    <w:rsid w:val="001B59C3"/>
    <w:rsid w:val="001B61C0"/>
    <w:rsid w:val="001B629D"/>
    <w:rsid w:val="001B6501"/>
    <w:rsid w:val="001B716B"/>
    <w:rsid w:val="001C0133"/>
    <w:rsid w:val="001C0166"/>
    <w:rsid w:val="001C0478"/>
    <w:rsid w:val="001C0A30"/>
    <w:rsid w:val="001C11D0"/>
    <w:rsid w:val="001C135C"/>
    <w:rsid w:val="001C1A7C"/>
    <w:rsid w:val="001C1CB7"/>
    <w:rsid w:val="001C2887"/>
    <w:rsid w:val="001C28EA"/>
    <w:rsid w:val="001C29DD"/>
    <w:rsid w:val="001C2D54"/>
    <w:rsid w:val="001C309F"/>
    <w:rsid w:val="001C30B8"/>
    <w:rsid w:val="001C3DA9"/>
    <w:rsid w:val="001C50C8"/>
    <w:rsid w:val="001C5345"/>
    <w:rsid w:val="001C5463"/>
    <w:rsid w:val="001C564C"/>
    <w:rsid w:val="001C5937"/>
    <w:rsid w:val="001C6185"/>
    <w:rsid w:val="001C6370"/>
    <w:rsid w:val="001C667C"/>
    <w:rsid w:val="001D04A1"/>
    <w:rsid w:val="001D1608"/>
    <w:rsid w:val="001D1946"/>
    <w:rsid w:val="001D247A"/>
    <w:rsid w:val="001D27DA"/>
    <w:rsid w:val="001D2A5D"/>
    <w:rsid w:val="001D3301"/>
    <w:rsid w:val="001D39FA"/>
    <w:rsid w:val="001D4118"/>
    <w:rsid w:val="001D5EE6"/>
    <w:rsid w:val="001D5F72"/>
    <w:rsid w:val="001D688E"/>
    <w:rsid w:val="001D6942"/>
    <w:rsid w:val="001D6BCB"/>
    <w:rsid w:val="001D7B9F"/>
    <w:rsid w:val="001D7F9F"/>
    <w:rsid w:val="001E014D"/>
    <w:rsid w:val="001E1742"/>
    <w:rsid w:val="001E19DC"/>
    <w:rsid w:val="001E1FE6"/>
    <w:rsid w:val="001E2931"/>
    <w:rsid w:val="001E3170"/>
    <w:rsid w:val="001E36AD"/>
    <w:rsid w:val="001E3959"/>
    <w:rsid w:val="001E49F3"/>
    <w:rsid w:val="001E50B9"/>
    <w:rsid w:val="001E55EA"/>
    <w:rsid w:val="001E5AFD"/>
    <w:rsid w:val="001E5F86"/>
    <w:rsid w:val="001E62CE"/>
    <w:rsid w:val="001E640C"/>
    <w:rsid w:val="001E6F06"/>
    <w:rsid w:val="001E72C5"/>
    <w:rsid w:val="001E7EF2"/>
    <w:rsid w:val="001F04AA"/>
    <w:rsid w:val="001F0E88"/>
    <w:rsid w:val="001F1EDF"/>
    <w:rsid w:val="001F23F6"/>
    <w:rsid w:val="001F25B4"/>
    <w:rsid w:val="001F2E4D"/>
    <w:rsid w:val="001F2FF6"/>
    <w:rsid w:val="001F36BF"/>
    <w:rsid w:val="001F4665"/>
    <w:rsid w:val="001F4781"/>
    <w:rsid w:val="001F4C37"/>
    <w:rsid w:val="001F54CD"/>
    <w:rsid w:val="001F5A14"/>
    <w:rsid w:val="001F602F"/>
    <w:rsid w:val="001F60FD"/>
    <w:rsid w:val="001F650E"/>
    <w:rsid w:val="001F66C3"/>
    <w:rsid w:val="001F6998"/>
    <w:rsid w:val="001F7036"/>
    <w:rsid w:val="001F709A"/>
    <w:rsid w:val="001F7170"/>
    <w:rsid w:val="001F754C"/>
    <w:rsid w:val="001F7E8B"/>
    <w:rsid w:val="00200EBB"/>
    <w:rsid w:val="0020132C"/>
    <w:rsid w:val="0020178C"/>
    <w:rsid w:val="00202710"/>
    <w:rsid w:val="00202E6E"/>
    <w:rsid w:val="00203E39"/>
    <w:rsid w:val="002044DD"/>
    <w:rsid w:val="002046BA"/>
    <w:rsid w:val="00204AD5"/>
    <w:rsid w:val="00204CCF"/>
    <w:rsid w:val="00204DC2"/>
    <w:rsid w:val="00204F95"/>
    <w:rsid w:val="00205444"/>
    <w:rsid w:val="0020552A"/>
    <w:rsid w:val="002055D9"/>
    <w:rsid w:val="002063C6"/>
    <w:rsid w:val="00206CF0"/>
    <w:rsid w:val="00207432"/>
    <w:rsid w:val="00207CB0"/>
    <w:rsid w:val="00207EDB"/>
    <w:rsid w:val="002107EF"/>
    <w:rsid w:val="00210F79"/>
    <w:rsid w:val="00211C1A"/>
    <w:rsid w:val="00214B36"/>
    <w:rsid w:val="00214B80"/>
    <w:rsid w:val="00214DA1"/>
    <w:rsid w:val="002151AC"/>
    <w:rsid w:val="002163D2"/>
    <w:rsid w:val="00216CF9"/>
    <w:rsid w:val="00216D7E"/>
    <w:rsid w:val="002172C3"/>
    <w:rsid w:val="00221F0F"/>
    <w:rsid w:val="00222625"/>
    <w:rsid w:val="00222F79"/>
    <w:rsid w:val="00223017"/>
    <w:rsid w:val="00223331"/>
    <w:rsid w:val="002233EE"/>
    <w:rsid w:val="002243F4"/>
    <w:rsid w:val="00224688"/>
    <w:rsid w:val="0022480A"/>
    <w:rsid w:val="00225E89"/>
    <w:rsid w:val="00226809"/>
    <w:rsid w:val="00226E2D"/>
    <w:rsid w:val="00227084"/>
    <w:rsid w:val="00227107"/>
    <w:rsid w:val="002274B2"/>
    <w:rsid w:val="00230145"/>
    <w:rsid w:val="0023033C"/>
    <w:rsid w:val="002319E4"/>
    <w:rsid w:val="002319F0"/>
    <w:rsid w:val="00232B7B"/>
    <w:rsid w:val="00232BBD"/>
    <w:rsid w:val="00232C73"/>
    <w:rsid w:val="00232FAD"/>
    <w:rsid w:val="002339E8"/>
    <w:rsid w:val="00233BF0"/>
    <w:rsid w:val="00233EB8"/>
    <w:rsid w:val="00233F8A"/>
    <w:rsid w:val="00234340"/>
    <w:rsid w:val="00235538"/>
    <w:rsid w:val="0023624F"/>
    <w:rsid w:val="00236318"/>
    <w:rsid w:val="00236966"/>
    <w:rsid w:val="00236FB8"/>
    <w:rsid w:val="002409CA"/>
    <w:rsid w:val="00240A9A"/>
    <w:rsid w:val="002410D7"/>
    <w:rsid w:val="0024110F"/>
    <w:rsid w:val="002413D4"/>
    <w:rsid w:val="00241551"/>
    <w:rsid w:val="00241D84"/>
    <w:rsid w:val="00242202"/>
    <w:rsid w:val="002424B5"/>
    <w:rsid w:val="00242A4C"/>
    <w:rsid w:val="00242DF7"/>
    <w:rsid w:val="002431C0"/>
    <w:rsid w:val="002432A1"/>
    <w:rsid w:val="002442CD"/>
    <w:rsid w:val="00244892"/>
    <w:rsid w:val="002450A5"/>
    <w:rsid w:val="00245505"/>
    <w:rsid w:val="00245B70"/>
    <w:rsid w:val="00245DC2"/>
    <w:rsid w:val="00245E1F"/>
    <w:rsid w:val="002461F1"/>
    <w:rsid w:val="002463C3"/>
    <w:rsid w:val="00246A01"/>
    <w:rsid w:val="002472CB"/>
    <w:rsid w:val="0024745B"/>
    <w:rsid w:val="00247956"/>
    <w:rsid w:val="002512FE"/>
    <w:rsid w:val="0025167E"/>
    <w:rsid w:val="00251724"/>
    <w:rsid w:val="00251A61"/>
    <w:rsid w:val="00251BE3"/>
    <w:rsid w:val="00251DE6"/>
    <w:rsid w:val="00251F70"/>
    <w:rsid w:val="00253DA7"/>
    <w:rsid w:val="00253FC5"/>
    <w:rsid w:val="00254B5B"/>
    <w:rsid w:val="0025533E"/>
    <w:rsid w:val="0025539F"/>
    <w:rsid w:val="0025593E"/>
    <w:rsid w:val="00255DC8"/>
    <w:rsid w:val="00257EEE"/>
    <w:rsid w:val="002606C1"/>
    <w:rsid w:val="00261168"/>
    <w:rsid w:val="002616BB"/>
    <w:rsid w:val="00261731"/>
    <w:rsid w:val="00262413"/>
    <w:rsid w:val="002629E0"/>
    <w:rsid w:val="00262A4D"/>
    <w:rsid w:val="00263869"/>
    <w:rsid w:val="0026425F"/>
    <w:rsid w:val="002643F7"/>
    <w:rsid w:val="00264877"/>
    <w:rsid w:val="00264B34"/>
    <w:rsid w:val="00264D6C"/>
    <w:rsid w:val="00265D97"/>
    <w:rsid w:val="00265E9B"/>
    <w:rsid w:val="0026629A"/>
    <w:rsid w:val="00266462"/>
    <w:rsid w:val="00270155"/>
    <w:rsid w:val="00270333"/>
    <w:rsid w:val="002715A9"/>
    <w:rsid w:val="00271A79"/>
    <w:rsid w:val="00271B43"/>
    <w:rsid w:val="00271E6C"/>
    <w:rsid w:val="00272062"/>
    <w:rsid w:val="0027269E"/>
    <w:rsid w:val="002727DD"/>
    <w:rsid w:val="00273574"/>
    <w:rsid w:val="0027557E"/>
    <w:rsid w:val="00277CAC"/>
    <w:rsid w:val="00280833"/>
    <w:rsid w:val="00281239"/>
    <w:rsid w:val="00282408"/>
    <w:rsid w:val="002833F8"/>
    <w:rsid w:val="00283AAE"/>
    <w:rsid w:val="002841F1"/>
    <w:rsid w:val="0028451D"/>
    <w:rsid w:val="00284D8C"/>
    <w:rsid w:val="002856AA"/>
    <w:rsid w:val="00285A46"/>
    <w:rsid w:val="00285E6B"/>
    <w:rsid w:val="002860D1"/>
    <w:rsid w:val="0028665A"/>
    <w:rsid w:val="002871FF"/>
    <w:rsid w:val="00287479"/>
    <w:rsid w:val="00287B6D"/>
    <w:rsid w:val="00287BF6"/>
    <w:rsid w:val="00287DC5"/>
    <w:rsid w:val="002901D8"/>
    <w:rsid w:val="0029040E"/>
    <w:rsid w:val="00290508"/>
    <w:rsid w:val="00291574"/>
    <w:rsid w:val="00291778"/>
    <w:rsid w:val="00291A3F"/>
    <w:rsid w:val="00291FF6"/>
    <w:rsid w:val="002922DA"/>
    <w:rsid w:val="002925E0"/>
    <w:rsid w:val="0029325B"/>
    <w:rsid w:val="0029413D"/>
    <w:rsid w:val="00295980"/>
    <w:rsid w:val="00295B13"/>
    <w:rsid w:val="00295C2A"/>
    <w:rsid w:val="0029605D"/>
    <w:rsid w:val="002960C6"/>
    <w:rsid w:val="002960DC"/>
    <w:rsid w:val="002A06E7"/>
    <w:rsid w:val="002A07E3"/>
    <w:rsid w:val="002A1BF5"/>
    <w:rsid w:val="002A1C00"/>
    <w:rsid w:val="002A1EF7"/>
    <w:rsid w:val="002A255C"/>
    <w:rsid w:val="002A2B9E"/>
    <w:rsid w:val="002A5068"/>
    <w:rsid w:val="002A5481"/>
    <w:rsid w:val="002A5636"/>
    <w:rsid w:val="002A5F7C"/>
    <w:rsid w:val="002A60C9"/>
    <w:rsid w:val="002A77C8"/>
    <w:rsid w:val="002A7A0C"/>
    <w:rsid w:val="002B0880"/>
    <w:rsid w:val="002B0CD7"/>
    <w:rsid w:val="002B1125"/>
    <w:rsid w:val="002B1B38"/>
    <w:rsid w:val="002B25DA"/>
    <w:rsid w:val="002B280B"/>
    <w:rsid w:val="002B2E05"/>
    <w:rsid w:val="002B3CF2"/>
    <w:rsid w:val="002B3EA3"/>
    <w:rsid w:val="002B41DD"/>
    <w:rsid w:val="002B492D"/>
    <w:rsid w:val="002B4B8B"/>
    <w:rsid w:val="002B4F5F"/>
    <w:rsid w:val="002B524C"/>
    <w:rsid w:val="002B6493"/>
    <w:rsid w:val="002B64BD"/>
    <w:rsid w:val="002B65B7"/>
    <w:rsid w:val="002B7FA1"/>
    <w:rsid w:val="002C006B"/>
    <w:rsid w:val="002C049B"/>
    <w:rsid w:val="002C0FC5"/>
    <w:rsid w:val="002C1928"/>
    <w:rsid w:val="002C1DE0"/>
    <w:rsid w:val="002C21C2"/>
    <w:rsid w:val="002C2C9B"/>
    <w:rsid w:val="002C3789"/>
    <w:rsid w:val="002C3969"/>
    <w:rsid w:val="002C4422"/>
    <w:rsid w:val="002C5A91"/>
    <w:rsid w:val="002C62E7"/>
    <w:rsid w:val="002C67F2"/>
    <w:rsid w:val="002C71E0"/>
    <w:rsid w:val="002C7447"/>
    <w:rsid w:val="002D0094"/>
    <w:rsid w:val="002D03E7"/>
    <w:rsid w:val="002D0A46"/>
    <w:rsid w:val="002D0E51"/>
    <w:rsid w:val="002D1590"/>
    <w:rsid w:val="002D16CE"/>
    <w:rsid w:val="002D303E"/>
    <w:rsid w:val="002D329B"/>
    <w:rsid w:val="002D3B54"/>
    <w:rsid w:val="002D402B"/>
    <w:rsid w:val="002D4472"/>
    <w:rsid w:val="002D4977"/>
    <w:rsid w:val="002D4BAD"/>
    <w:rsid w:val="002D610C"/>
    <w:rsid w:val="002D645F"/>
    <w:rsid w:val="002D7193"/>
    <w:rsid w:val="002D7567"/>
    <w:rsid w:val="002D77D2"/>
    <w:rsid w:val="002D79B5"/>
    <w:rsid w:val="002E0E9A"/>
    <w:rsid w:val="002E14F4"/>
    <w:rsid w:val="002E18CC"/>
    <w:rsid w:val="002E21A9"/>
    <w:rsid w:val="002E2217"/>
    <w:rsid w:val="002E2FEA"/>
    <w:rsid w:val="002E4092"/>
    <w:rsid w:val="002E48A9"/>
    <w:rsid w:val="002E4AC4"/>
    <w:rsid w:val="002E4DC3"/>
    <w:rsid w:val="002E54C2"/>
    <w:rsid w:val="002E6389"/>
    <w:rsid w:val="002E66BB"/>
    <w:rsid w:val="002E6EA0"/>
    <w:rsid w:val="002E72D7"/>
    <w:rsid w:val="002E77B9"/>
    <w:rsid w:val="002F09AE"/>
    <w:rsid w:val="002F13B6"/>
    <w:rsid w:val="002F144A"/>
    <w:rsid w:val="002F2508"/>
    <w:rsid w:val="002F2C14"/>
    <w:rsid w:val="002F4A69"/>
    <w:rsid w:val="002F4B12"/>
    <w:rsid w:val="002F4B29"/>
    <w:rsid w:val="002F4DE2"/>
    <w:rsid w:val="002F4E48"/>
    <w:rsid w:val="002F5974"/>
    <w:rsid w:val="002F60E0"/>
    <w:rsid w:val="002F63EC"/>
    <w:rsid w:val="002F702E"/>
    <w:rsid w:val="002F7F8D"/>
    <w:rsid w:val="003007A7"/>
    <w:rsid w:val="00300AAB"/>
    <w:rsid w:val="00300BB2"/>
    <w:rsid w:val="00300DF1"/>
    <w:rsid w:val="003016A2"/>
    <w:rsid w:val="003019DC"/>
    <w:rsid w:val="00301E59"/>
    <w:rsid w:val="00302A0F"/>
    <w:rsid w:val="00303441"/>
    <w:rsid w:val="003039A2"/>
    <w:rsid w:val="00303A13"/>
    <w:rsid w:val="00304452"/>
    <w:rsid w:val="00304718"/>
    <w:rsid w:val="0030496B"/>
    <w:rsid w:val="00304B72"/>
    <w:rsid w:val="00304FC5"/>
    <w:rsid w:val="0030506A"/>
    <w:rsid w:val="003052B5"/>
    <w:rsid w:val="003053E5"/>
    <w:rsid w:val="0030549B"/>
    <w:rsid w:val="00305872"/>
    <w:rsid w:val="00305D31"/>
    <w:rsid w:val="003061EF"/>
    <w:rsid w:val="0030635C"/>
    <w:rsid w:val="00306B3E"/>
    <w:rsid w:val="003073AC"/>
    <w:rsid w:val="00307581"/>
    <w:rsid w:val="00307A7F"/>
    <w:rsid w:val="00310AAB"/>
    <w:rsid w:val="00310CFF"/>
    <w:rsid w:val="00311273"/>
    <w:rsid w:val="003119BC"/>
    <w:rsid w:val="003127A6"/>
    <w:rsid w:val="00312DB4"/>
    <w:rsid w:val="00312E62"/>
    <w:rsid w:val="0031360A"/>
    <w:rsid w:val="0031468D"/>
    <w:rsid w:val="00314AF7"/>
    <w:rsid w:val="003163DC"/>
    <w:rsid w:val="00316D68"/>
    <w:rsid w:val="003176C7"/>
    <w:rsid w:val="00317D09"/>
    <w:rsid w:val="00317DDB"/>
    <w:rsid w:val="00317F41"/>
    <w:rsid w:val="0032026D"/>
    <w:rsid w:val="00320343"/>
    <w:rsid w:val="00320A1D"/>
    <w:rsid w:val="00320E44"/>
    <w:rsid w:val="00322727"/>
    <w:rsid w:val="00322837"/>
    <w:rsid w:val="00322892"/>
    <w:rsid w:val="003230A2"/>
    <w:rsid w:val="003231EE"/>
    <w:rsid w:val="00323860"/>
    <w:rsid w:val="003245EF"/>
    <w:rsid w:val="003253FC"/>
    <w:rsid w:val="00326623"/>
    <w:rsid w:val="0032783E"/>
    <w:rsid w:val="00327C19"/>
    <w:rsid w:val="00327EF4"/>
    <w:rsid w:val="003309B0"/>
    <w:rsid w:val="00330FB3"/>
    <w:rsid w:val="003311E0"/>
    <w:rsid w:val="0033132C"/>
    <w:rsid w:val="00331446"/>
    <w:rsid w:val="00331C83"/>
    <w:rsid w:val="00331E33"/>
    <w:rsid w:val="00332429"/>
    <w:rsid w:val="00332B70"/>
    <w:rsid w:val="00332BB4"/>
    <w:rsid w:val="00333068"/>
    <w:rsid w:val="00333D0F"/>
    <w:rsid w:val="00333ED2"/>
    <w:rsid w:val="00334377"/>
    <w:rsid w:val="0033468D"/>
    <w:rsid w:val="00335F7B"/>
    <w:rsid w:val="00336062"/>
    <w:rsid w:val="00336251"/>
    <w:rsid w:val="0033626D"/>
    <w:rsid w:val="003370F2"/>
    <w:rsid w:val="00337306"/>
    <w:rsid w:val="00340179"/>
    <w:rsid w:val="0034153B"/>
    <w:rsid w:val="0034208E"/>
    <w:rsid w:val="00342105"/>
    <w:rsid w:val="00342D09"/>
    <w:rsid w:val="003431D8"/>
    <w:rsid w:val="00343304"/>
    <w:rsid w:val="00343B23"/>
    <w:rsid w:val="00343CC3"/>
    <w:rsid w:val="00343D32"/>
    <w:rsid w:val="0034428D"/>
    <w:rsid w:val="003446B7"/>
    <w:rsid w:val="00344968"/>
    <w:rsid w:val="00345472"/>
    <w:rsid w:val="00345AD0"/>
    <w:rsid w:val="00345B1C"/>
    <w:rsid w:val="00346125"/>
    <w:rsid w:val="00346AE5"/>
    <w:rsid w:val="00347262"/>
    <w:rsid w:val="00347A73"/>
    <w:rsid w:val="003501B2"/>
    <w:rsid w:val="00350376"/>
    <w:rsid w:val="00351422"/>
    <w:rsid w:val="0035164D"/>
    <w:rsid w:val="00352B75"/>
    <w:rsid w:val="0035324D"/>
    <w:rsid w:val="003533CC"/>
    <w:rsid w:val="00353BEC"/>
    <w:rsid w:val="003545BC"/>
    <w:rsid w:val="00354FCC"/>
    <w:rsid w:val="00355270"/>
    <w:rsid w:val="003567C4"/>
    <w:rsid w:val="00356D85"/>
    <w:rsid w:val="0035753F"/>
    <w:rsid w:val="00360A6F"/>
    <w:rsid w:val="00361219"/>
    <w:rsid w:val="00361AE8"/>
    <w:rsid w:val="00361F7A"/>
    <w:rsid w:val="00362281"/>
    <w:rsid w:val="00362ACD"/>
    <w:rsid w:val="0036389B"/>
    <w:rsid w:val="00363A79"/>
    <w:rsid w:val="00363D3A"/>
    <w:rsid w:val="003648C4"/>
    <w:rsid w:val="003656DB"/>
    <w:rsid w:val="003657F8"/>
    <w:rsid w:val="003662AE"/>
    <w:rsid w:val="0036637C"/>
    <w:rsid w:val="00366BCC"/>
    <w:rsid w:val="0036742D"/>
    <w:rsid w:val="00367B21"/>
    <w:rsid w:val="00370133"/>
    <w:rsid w:val="00370B00"/>
    <w:rsid w:val="0037182F"/>
    <w:rsid w:val="00371D21"/>
    <w:rsid w:val="0037210B"/>
    <w:rsid w:val="00372273"/>
    <w:rsid w:val="00372A5E"/>
    <w:rsid w:val="003755D8"/>
    <w:rsid w:val="00375D39"/>
    <w:rsid w:val="00375EBE"/>
    <w:rsid w:val="00376337"/>
    <w:rsid w:val="003763D2"/>
    <w:rsid w:val="003764D5"/>
    <w:rsid w:val="003768F9"/>
    <w:rsid w:val="00376F25"/>
    <w:rsid w:val="00377C23"/>
    <w:rsid w:val="0038002E"/>
    <w:rsid w:val="00380879"/>
    <w:rsid w:val="003809F0"/>
    <w:rsid w:val="00380B6C"/>
    <w:rsid w:val="00380F5A"/>
    <w:rsid w:val="0038145F"/>
    <w:rsid w:val="00381536"/>
    <w:rsid w:val="003816F0"/>
    <w:rsid w:val="00381CF5"/>
    <w:rsid w:val="00381EA0"/>
    <w:rsid w:val="00381F02"/>
    <w:rsid w:val="003823C1"/>
    <w:rsid w:val="00382F5A"/>
    <w:rsid w:val="00383DFB"/>
    <w:rsid w:val="00383F9D"/>
    <w:rsid w:val="00384C46"/>
    <w:rsid w:val="00385E88"/>
    <w:rsid w:val="00385F21"/>
    <w:rsid w:val="003860A8"/>
    <w:rsid w:val="00386217"/>
    <w:rsid w:val="00386CF3"/>
    <w:rsid w:val="00387083"/>
    <w:rsid w:val="00387825"/>
    <w:rsid w:val="00387D2D"/>
    <w:rsid w:val="00387D5A"/>
    <w:rsid w:val="0039026B"/>
    <w:rsid w:val="003911FA"/>
    <w:rsid w:val="00391A1F"/>
    <w:rsid w:val="00392625"/>
    <w:rsid w:val="0039274F"/>
    <w:rsid w:val="003927E3"/>
    <w:rsid w:val="00392CF2"/>
    <w:rsid w:val="0039331A"/>
    <w:rsid w:val="00393D4C"/>
    <w:rsid w:val="00393D60"/>
    <w:rsid w:val="003940E7"/>
    <w:rsid w:val="00394751"/>
    <w:rsid w:val="00394B08"/>
    <w:rsid w:val="00394CA7"/>
    <w:rsid w:val="00394EF2"/>
    <w:rsid w:val="00395840"/>
    <w:rsid w:val="00395DC0"/>
    <w:rsid w:val="003960F4"/>
    <w:rsid w:val="003962C9"/>
    <w:rsid w:val="003964D6"/>
    <w:rsid w:val="00396555"/>
    <w:rsid w:val="003969D1"/>
    <w:rsid w:val="003971E4"/>
    <w:rsid w:val="00397A51"/>
    <w:rsid w:val="00397A7F"/>
    <w:rsid w:val="003A00DF"/>
    <w:rsid w:val="003A00E9"/>
    <w:rsid w:val="003A129E"/>
    <w:rsid w:val="003A26B6"/>
    <w:rsid w:val="003A2791"/>
    <w:rsid w:val="003A2A15"/>
    <w:rsid w:val="003A3827"/>
    <w:rsid w:val="003A40F2"/>
    <w:rsid w:val="003A42D4"/>
    <w:rsid w:val="003A48D9"/>
    <w:rsid w:val="003A4C64"/>
    <w:rsid w:val="003A506D"/>
    <w:rsid w:val="003A50D5"/>
    <w:rsid w:val="003A5E40"/>
    <w:rsid w:val="003A5FA4"/>
    <w:rsid w:val="003A68AA"/>
    <w:rsid w:val="003A6B5D"/>
    <w:rsid w:val="003A721B"/>
    <w:rsid w:val="003A7249"/>
    <w:rsid w:val="003A7D6E"/>
    <w:rsid w:val="003B03AD"/>
    <w:rsid w:val="003B0941"/>
    <w:rsid w:val="003B09F6"/>
    <w:rsid w:val="003B0FBF"/>
    <w:rsid w:val="003B1697"/>
    <w:rsid w:val="003B187E"/>
    <w:rsid w:val="003B1DE7"/>
    <w:rsid w:val="003B1EC0"/>
    <w:rsid w:val="003B2FB0"/>
    <w:rsid w:val="003B3E35"/>
    <w:rsid w:val="003B431C"/>
    <w:rsid w:val="003B4613"/>
    <w:rsid w:val="003B4F39"/>
    <w:rsid w:val="003B5035"/>
    <w:rsid w:val="003B6105"/>
    <w:rsid w:val="003B6968"/>
    <w:rsid w:val="003B6CBD"/>
    <w:rsid w:val="003B7538"/>
    <w:rsid w:val="003C0F0B"/>
    <w:rsid w:val="003C1759"/>
    <w:rsid w:val="003C1987"/>
    <w:rsid w:val="003C1A37"/>
    <w:rsid w:val="003C23DC"/>
    <w:rsid w:val="003C2B0B"/>
    <w:rsid w:val="003C312D"/>
    <w:rsid w:val="003C33BE"/>
    <w:rsid w:val="003C37E5"/>
    <w:rsid w:val="003C41A5"/>
    <w:rsid w:val="003C4240"/>
    <w:rsid w:val="003C48F4"/>
    <w:rsid w:val="003C4D9D"/>
    <w:rsid w:val="003C5160"/>
    <w:rsid w:val="003C5B39"/>
    <w:rsid w:val="003C68FC"/>
    <w:rsid w:val="003C6B3A"/>
    <w:rsid w:val="003C6C86"/>
    <w:rsid w:val="003C74EF"/>
    <w:rsid w:val="003C75A4"/>
    <w:rsid w:val="003C76F7"/>
    <w:rsid w:val="003C7C4E"/>
    <w:rsid w:val="003C7E29"/>
    <w:rsid w:val="003D0D5C"/>
    <w:rsid w:val="003D16C4"/>
    <w:rsid w:val="003D1784"/>
    <w:rsid w:val="003D1FEF"/>
    <w:rsid w:val="003D2779"/>
    <w:rsid w:val="003D2793"/>
    <w:rsid w:val="003D2C33"/>
    <w:rsid w:val="003D3851"/>
    <w:rsid w:val="003D388E"/>
    <w:rsid w:val="003D4EA3"/>
    <w:rsid w:val="003D6003"/>
    <w:rsid w:val="003D795D"/>
    <w:rsid w:val="003D7E87"/>
    <w:rsid w:val="003E0086"/>
    <w:rsid w:val="003E023D"/>
    <w:rsid w:val="003E175B"/>
    <w:rsid w:val="003E34F7"/>
    <w:rsid w:val="003E433F"/>
    <w:rsid w:val="003E4462"/>
    <w:rsid w:val="003E5949"/>
    <w:rsid w:val="003E5AA1"/>
    <w:rsid w:val="003E6FED"/>
    <w:rsid w:val="003E71A6"/>
    <w:rsid w:val="003F09CE"/>
    <w:rsid w:val="003F10ED"/>
    <w:rsid w:val="003F15ED"/>
    <w:rsid w:val="003F286B"/>
    <w:rsid w:val="003F309E"/>
    <w:rsid w:val="003F3153"/>
    <w:rsid w:val="003F3351"/>
    <w:rsid w:val="003F3F27"/>
    <w:rsid w:val="003F4420"/>
    <w:rsid w:val="003F4647"/>
    <w:rsid w:val="003F47BB"/>
    <w:rsid w:val="003F4ABB"/>
    <w:rsid w:val="003F4FD6"/>
    <w:rsid w:val="003F5051"/>
    <w:rsid w:val="003F56CE"/>
    <w:rsid w:val="003F588D"/>
    <w:rsid w:val="003F5DC6"/>
    <w:rsid w:val="003F5E77"/>
    <w:rsid w:val="003F6530"/>
    <w:rsid w:val="003F68EC"/>
    <w:rsid w:val="003F6CDB"/>
    <w:rsid w:val="00400B0F"/>
    <w:rsid w:val="00400BE6"/>
    <w:rsid w:val="00401198"/>
    <w:rsid w:val="00401F38"/>
    <w:rsid w:val="00402783"/>
    <w:rsid w:val="00403E78"/>
    <w:rsid w:val="00404379"/>
    <w:rsid w:val="00404533"/>
    <w:rsid w:val="004047FF"/>
    <w:rsid w:val="00404D20"/>
    <w:rsid w:val="00404E54"/>
    <w:rsid w:val="0040545A"/>
    <w:rsid w:val="0040575B"/>
    <w:rsid w:val="00405C8B"/>
    <w:rsid w:val="00406439"/>
    <w:rsid w:val="004067B0"/>
    <w:rsid w:val="00406D54"/>
    <w:rsid w:val="004074BC"/>
    <w:rsid w:val="00407507"/>
    <w:rsid w:val="0041147E"/>
    <w:rsid w:val="00411AE5"/>
    <w:rsid w:val="00412CCF"/>
    <w:rsid w:val="00412CF0"/>
    <w:rsid w:val="00412DE0"/>
    <w:rsid w:val="00412EDE"/>
    <w:rsid w:val="00413291"/>
    <w:rsid w:val="004135C0"/>
    <w:rsid w:val="00413C2D"/>
    <w:rsid w:val="00413EBE"/>
    <w:rsid w:val="00414465"/>
    <w:rsid w:val="00415FDA"/>
    <w:rsid w:val="0041759A"/>
    <w:rsid w:val="004176F9"/>
    <w:rsid w:val="00420006"/>
    <w:rsid w:val="00420A35"/>
    <w:rsid w:val="0042103B"/>
    <w:rsid w:val="004212DF"/>
    <w:rsid w:val="00421CBE"/>
    <w:rsid w:val="00422252"/>
    <w:rsid w:val="004228A3"/>
    <w:rsid w:val="004230BF"/>
    <w:rsid w:val="00424FD7"/>
    <w:rsid w:val="004252B9"/>
    <w:rsid w:val="00425C1D"/>
    <w:rsid w:val="00425DB0"/>
    <w:rsid w:val="004265EB"/>
    <w:rsid w:val="00426628"/>
    <w:rsid w:val="00426E4E"/>
    <w:rsid w:val="00426F38"/>
    <w:rsid w:val="00430DE7"/>
    <w:rsid w:val="00433441"/>
    <w:rsid w:val="00433E5F"/>
    <w:rsid w:val="00434253"/>
    <w:rsid w:val="0043428E"/>
    <w:rsid w:val="0043480E"/>
    <w:rsid w:val="00434C1A"/>
    <w:rsid w:val="004351E1"/>
    <w:rsid w:val="00435351"/>
    <w:rsid w:val="004354F6"/>
    <w:rsid w:val="00436515"/>
    <w:rsid w:val="0043691E"/>
    <w:rsid w:val="00436AAD"/>
    <w:rsid w:val="0043768D"/>
    <w:rsid w:val="00440328"/>
    <w:rsid w:val="004404DB"/>
    <w:rsid w:val="004411BE"/>
    <w:rsid w:val="004417DE"/>
    <w:rsid w:val="004418CB"/>
    <w:rsid w:val="00441BD3"/>
    <w:rsid w:val="00441FE5"/>
    <w:rsid w:val="0044212E"/>
    <w:rsid w:val="004435D9"/>
    <w:rsid w:val="00443BEC"/>
    <w:rsid w:val="00443DFA"/>
    <w:rsid w:val="004445DB"/>
    <w:rsid w:val="00444748"/>
    <w:rsid w:val="004452A0"/>
    <w:rsid w:val="004453BD"/>
    <w:rsid w:val="0044553B"/>
    <w:rsid w:val="004455A7"/>
    <w:rsid w:val="00445F6E"/>
    <w:rsid w:val="00446FCE"/>
    <w:rsid w:val="00447A0E"/>
    <w:rsid w:val="00450E01"/>
    <w:rsid w:val="00450F58"/>
    <w:rsid w:val="0045112B"/>
    <w:rsid w:val="00453580"/>
    <w:rsid w:val="004537B4"/>
    <w:rsid w:val="00453F64"/>
    <w:rsid w:val="00453FBD"/>
    <w:rsid w:val="004540E1"/>
    <w:rsid w:val="00454148"/>
    <w:rsid w:val="00454342"/>
    <w:rsid w:val="00454629"/>
    <w:rsid w:val="00454CE9"/>
    <w:rsid w:val="00455666"/>
    <w:rsid w:val="00455671"/>
    <w:rsid w:val="0045572A"/>
    <w:rsid w:val="00455761"/>
    <w:rsid w:val="00455767"/>
    <w:rsid w:val="00455850"/>
    <w:rsid w:val="00456F5C"/>
    <w:rsid w:val="00457451"/>
    <w:rsid w:val="004575F0"/>
    <w:rsid w:val="00457770"/>
    <w:rsid w:val="0046022B"/>
    <w:rsid w:val="00460895"/>
    <w:rsid w:val="00460E14"/>
    <w:rsid w:val="00461256"/>
    <w:rsid w:val="00461745"/>
    <w:rsid w:val="00462D11"/>
    <w:rsid w:val="00462E94"/>
    <w:rsid w:val="00464643"/>
    <w:rsid w:val="004653DC"/>
    <w:rsid w:val="004655FB"/>
    <w:rsid w:val="00465628"/>
    <w:rsid w:val="00465637"/>
    <w:rsid w:val="004661B3"/>
    <w:rsid w:val="00466358"/>
    <w:rsid w:val="00466381"/>
    <w:rsid w:val="00466C35"/>
    <w:rsid w:val="004674A6"/>
    <w:rsid w:val="0046767F"/>
    <w:rsid w:val="00467ED9"/>
    <w:rsid w:val="00470797"/>
    <w:rsid w:val="00470FBB"/>
    <w:rsid w:val="00470FCC"/>
    <w:rsid w:val="0047253D"/>
    <w:rsid w:val="00472BDF"/>
    <w:rsid w:val="00472FC9"/>
    <w:rsid w:val="004733B2"/>
    <w:rsid w:val="00473695"/>
    <w:rsid w:val="00473955"/>
    <w:rsid w:val="0047395E"/>
    <w:rsid w:val="004739BE"/>
    <w:rsid w:val="004739ED"/>
    <w:rsid w:val="00473AF0"/>
    <w:rsid w:val="0047488B"/>
    <w:rsid w:val="00474F2A"/>
    <w:rsid w:val="0047575A"/>
    <w:rsid w:val="00476495"/>
    <w:rsid w:val="00476659"/>
    <w:rsid w:val="004777BD"/>
    <w:rsid w:val="00477981"/>
    <w:rsid w:val="004779F8"/>
    <w:rsid w:val="00477D82"/>
    <w:rsid w:val="004819EC"/>
    <w:rsid w:val="00481B8F"/>
    <w:rsid w:val="00482577"/>
    <w:rsid w:val="00482859"/>
    <w:rsid w:val="004829D9"/>
    <w:rsid w:val="00482A3A"/>
    <w:rsid w:val="00482C9A"/>
    <w:rsid w:val="0048370E"/>
    <w:rsid w:val="0048377F"/>
    <w:rsid w:val="004838E6"/>
    <w:rsid w:val="00483F8D"/>
    <w:rsid w:val="004840F2"/>
    <w:rsid w:val="00484942"/>
    <w:rsid w:val="004849EA"/>
    <w:rsid w:val="00485121"/>
    <w:rsid w:val="00485214"/>
    <w:rsid w:val="00485D34"/>
    <w:rsid w:val="0048638B"/>
    <w:rsid w:val="004863F0"/>
    <w:rsid w:val="004869AA"/>
    <w:rsid w:val="00486D6C"/>
    <w:rsid w:val="00486DDF"/>
    <w:rsid w:val="00487504"/>
    <w:rsid w:val="00487C2E"/>
    <w:rsid w:val="00487ECB"/>
    <w:rsid w:val="0049029A"/>
    <w:rsid w:val="00490767"/>
    <w:rsid w:val="004908F7"/>
    <w:rsid w:val="00490A8E"/>
    <w:rsid w:val="004922FB"/>
    <w:rsid w:val="0049279E"/>
    <w:rsid w:val="00492893"/>
    <w:rsid w:val="0049418E"/>
    <w:rsid w:val="00494821"/>
    <w:rsid w:val="0049485F"/>
    <w:rsid w:val="004949EC"/>
    <w:rsid w:val="004962BA"/>
    <w:rsid w:val="004968D7"/>
    <w:rsid w:val="00496C86"/>
    <w:rsid w:val="00496D4B"/>
    <w:rsid w:val="00497053"/>
    <w:rsid w:val="00497411"/>
    <w:rsid w:val="00497BA1"/>
    <w:rsid w:val="00497BE1"/>
    <w:rsid w:val="004A0E0C"/>
    <w:rsid w:val="004A127C"/>
    <w:rsid w:val="004A154E"/>
    <w:rsid w:val="004A159B"/>
    <w:rsid w:val="004A15A3"/>
    <w:rsid w:val="004A176E"/>
    <w:rsid w:val="004A18A6"/>
    <w:rsid w:val="004A1E52"/>
    <w:rsid w:val="004A1E60"/>
    <w:rsid w:val="004A33E7"/>
    <w:rsid w:val="004A3757"/>
    <w:rsid w:val="004A38A6"/>
    <w:rsid w:val="004A3AFF"/>
    <w:rsid w:val="004A3B65"/>
    <w:rsid w:val="004A4279"/>
    <w:rsid w:val="004A454B"/>
    <w:rsid w:val="004A4775"/>
    <w:rsid w:val="004A5231"/>
    <w:rsid w:val="004A5390"/>
    <w:rsid w:val="004A65A6"/>
    <w:rsid w:val="004A72CE"/>
    <w:rsid w:val="004A74AC"/>
    <w:rsid w:val="004A7B26"/>
    <w:rsid w:val="004A7E88"/>
    <w:rsid w:val="004B03E3"/>
    <w:rsid w:val="004B0918"/>
    <w:rsid w:val="004B1DED"/>
    <w:rsid w:val="004B1DF2"/>
    <w:rsid w:val="004B26D9"/>
    <w:rsid w:val="004B2BD6"/>
    <w:rsid w:val="004B2DB8"/>
    <w:rsid w:val="004B32F0"/>
    <w:rsid w:val="004B46F3"/>
    <w:rsid w:val="004B4EAD"/>
    <w:rsid w:val="004B4F92"/>
    <w:rsid w:val="004B5018"/>
    <w:rsid w:val="004B53B8"/>
    <w:rsid w:val="004B54A5"/>
    <w:rsid w:val="004B5B82"/>
    <w:rsid w:val="004B7265"/>
    <w:rsid w:val="004B7635"/>
    <w:rsid w:val="004B76E4"/>
    <w:rsid w:val="004B7D86"/>
    <w:rsid w:val="004C05B0"/>
    <w:rsid w:val="004C06B9"/>
    <w:rsid w:val="004C0CFA"/>
    <w:rsid w:val="004C0D00"/>
    <w:rsid w:val="004C0FAC"/>
    <w:rsid w:val="004C189F"/>
    <w:rsid w:val="004C2232"/>
    <w:rsid w:val="004C281A"/>
    <w:rsid w:val="004C35A1"/>
    <w:rsid w:val="004C4882"/>
    <w:rsid w:val="004C4F94"/>
    <w:rsid w:val="004C55B2"/>
    <w:rsid w:val="004C581E"/>
    <w:rsid w:val="004C657B"/>
    <w:rsid w:val="004C7A36"/>
    <w:rsid w:val="004D07B6"/>
    <w:rsid w:val="004D0854"/>
    <w:rsid w:val="004D0E48"/>
    <w:rsid w:val="004D1137"/>
    <w:rsid w:val="004D1816"/>
    <w:rsid w:val="004D201E"/>
    <w:rsid w:val="004D2DCC"/>
    <w:rsid w:val="004D303E"/>
    <w:rsid w:val="004D31D1"/>
    <w:rsid w:val="004D3CE7"/>
    <w:rsid w:val="004D3DE3"/>
    <w:rsid w:val="004D4015"/>
    <w:rsid w:val="004D40CD"/>
    <w:rsid w:val="004D41E9"/>
    <w:rsid w:val="004D4943"/>
    <w:rsid w:val="004D4EC1"/>
    <w:rsid w:val="004D53A3"/>
    <w:rsid w:val="004D56DA"/>
    <w:rsid w:val="004D5872"/>
    <w:rsid w:val="004D6F1D"/>
    <w:rsid w:val="004D7AB7"/>
    <w:rsid w:val="004E06E6"/>
    <w:rsid w:val="004E0BDC"/>
    <w:rsid w:val="004E0F6F"/>
    <w:rsid w:val="004E0F73"/>
    <w:rsid w:val="004E171D"/>
    <w:rsid w:val="004E17C6"/>
    <w:rsid w:val="004E2CB0"/>
    <w:rsid w:val="004E2FC1"/>
    <w:rsid w:val="004E300E"/>
    <w:rsid w:val="004E3788"/>
    <w:rsid w:val="004E3B5B"/>
    <w:rsid w:val="004E4121"/>
    <w:rsid w:val="004E438E"/>
    <w:rsid w:val="004E4550"/>
    <w:rsid w:val="004E4E14"/>
    <w:rsid w:val="004E531D"/>
    <w:rsid w:val="004E6394"/>
    <w:rsid w:val="004E657F"/>
    <w:rsid w:val="004E65F6"/>
    <w:rsid w:val="004E7279"/>
    <w:rsid w:val="004E73E2"/>
    <w:rsid w:val="004E77D1"/>
    <w:rsid w:val="004E7A6A"/>
    <w:rsid w:val="004F25B8"/>
    <w:rsid w:val="004F2707"/>
    <w:rsid w:val="004F2788"/>
    <w:rsid w:val="004F28CB"/>
    <w:rsid w:val="004F2F92"/>
    <w:rsid w:val="004F331B"/>
    <w:rsid w:val="004F3DD6"/>
    <w:rsid w:val="004F3FEC"/>
    <w:rsid w:val="004F434C"/>
    <w:rsid w:val="004F5A75"/>
    <w:rsid w:val="004F6642"/>
    <w:rsid w:val="004F6A48"/>
    <w:rsid w:val="004F7DE4"/>
    <w:rsid w:val="004F7FDA"/>
    <w:rsid w:val="00500396"/>
    <w:rsid w:val="005005FA"/>
    <w:rsid w:val="00500ABC"/>
    <w:rsid w:val="00500B6D"/>
    <w:rsid w:val="00500CB9"/>
    <w:rsid w:val="005011BE"/>
    <w:rsid w:val="00501C9A"/>
    <w:rsid w:val="00502458"/>
    <w:rsid w:val="00502CCD"/>
    <w:rsid w:val="005033AC"/>
    <w:rsid w:val="00503A3A"/>
    <w:rsid w:val="00503BBE"/>
    <w:rsid w:val="00503DFB"/>
    <w:rsid w:val="00504B6B"/>
    <w:rsid w:val="00504E7D"/>
    <w:rsid w:val="00504F2F"/>
    <w:rsid w:val="00504FA2"/>
    <w:rsid w:val="00505A24"/>
    <w:rsid w:val="00505AB7"/>
    <w:rsid w:val="00505C92"/>
    <w:rsid w:val="00505CD0"/>
    <w:rsid w:val="00506EB4"/>
    <w:rsid w:val="00507C30"/>
    <w:rsid w:val="005104BD"/>
    <w:rsid w:val="00510A39"/>
    <w:rsid w:val="0051124E"/>
    <w:rsid w:val="00511CD6"/>
    <w:rsid w:val="0051233E"/>
    <w:rsid w:val="005132A2"/>
    <w:rsid w:val="00513BA0"/>
    <w:rsid w:val="00514E3E"/>
    <w:rsid w:val="0051535B"/>
    <w:rsid w:val="00515BD9"/>
    <w:rsid w:val="00515EB6"/>
    <w:rsid w:val="00516402"/>
    <w:rsid w:val="005166DA"/>
    <w:rsid w:val="00520705"/>
    <w:rsid w:val="005208CC"/>
    <w:rsid w:val="00520990"/>
    <w:rsid w:val="00520A17"/>
    <w:rsid w:val="00520C83"/>
    <w:rsid w:val="00520D66"/>
    <w:rsid w:val="00520FA6"/>
    <w:rsid w:val="005218CC"/>
    <w:rsid w:val="00521FF4"/>
    <w:rsid w:val="0052201A"/>
    <w:rsid w:val="005222FF"/>
    <w:rsid w:val="00522FA3"/>
    <w:rsid w:val="0052325B"/>
    <w:rsid w:val="0052363A"/>
    <w:rsid w:val="00523B79"/>
    <w:rsid w:val="00523C4E"/>
    <w:rsid w:val="00523FE2"/>
    <w:rsid w:val="005242D3"/>
    <w:rsid w:val="00524431"/>
    <w:rsid w:val="00524AB3"/>
    <w:rsid w:val="00524B3A"/>
    <w:rsid w:val="00524D9A"/>
    <w:rsid w:val="0052510A"/>
    <w:rsid w:val="00525522"/>
    <w:rsid w:val="00525674"/>
    <w:rsid w:val="00525750"/>
    <w:rsid w:val="005261EC"/>
    <w:rsid w:val="00526D38"/>
    <w:rsid w:val="00526E69"/>
    <w:rsid w:val="00526E6E"/>
    <w:rsid w:val="00527D3A"/>
    <w:rsid w:val="00527F53"/>
    <w:rsid w:val="00527FB9"/>
    <w:rsid w:val="00530E10"/>
    <w:rsid w:val="00531BC0"/>
    <w:rsid w:val="00532083"/>
    <w:rsid w:val="0053257C"/>
    <w:rsid w:val="0053263C"/>
    <w:rsid w:val="005328E3"/>
    <w:rsid w:val="0053377A"/>
    <w:rsid w:val="0053390F"/>
    <w:rsid w:val="005340BC"/>
    <w:rsid w:val="0053457D"/>
    <w:rsid w:val="005345D7"/>
    <w:rsid w:val="005348C9"/>
    <w:rsid w:val="00534C6A"/>
    <w:rsid w:val="00535714"/>
    <w:rsid w:val="00535A9C"/>
    <w:rsid w:val="00535DB5"/>
    <w:rsid w:val="00536277"/>
    <w:rsid w:val="00536374"/>
    <w:rsid w:val="005369E4"/>
    <w:rsid w:val="0053737B"/>
    <w:rsid w:val="00537E0C"/>
    <w:rsid w:val="005403A8"/>
    <w:rsid w:val="005407CA"/>
    <w:rsid w:val="00540822"/>
    <w:rsid w:val="00540D73"/>
    <w:rsid w:val="0054148A"/>
    <w:rsid w:val="00541B78"/>
    <w:rsid w:val="00541DBF"/>
    <w:rsid w:val="00541EA7"/>
    <w:rsid w:val="00541F56"/>
    <w:rsid w:val="00542264"/>
    <w:rsid w:val="005429A2"/>
    <w:rsid w:val="00542A8A"/>
    <w:rsid w:val="00542D43"/>
    <w:rsid w:val="00542DD1"/>
    <w:rsid w:val="00543250"/>
    <w:rsid w:val="005434E0"/>
    <w:rsid w:val="0054386C"/>
    <w:rsid w:val="00543A8B"/>
    <w:rsid w:val="00543BE9"/>
    <w:rsid w:val="00544F00"/>
    <w:rsid w:val="005460E7"/>
    <w:rsid w:val="005465CE"/>
    <w:rsid w:val="005476FE"/>
    <w:rsid w:val="005479F8"/>
    <w:rsid w:val="005500C6"/>
    <w:rsid w:val="00551416"/>
    <w:rsid w:val="00551BAA"/>
    <w:rsid w:val="005520B4"/>
    <w:rsid w:val="0055291C"/>
    <w:rsid w:val="005530F0"/>
    <w:rsid w:val="005539B8"/>
    <w:rsid w:val="00553C55"/>
    <w:rsid w:val="005545E2"/>
    <w:rsid w:val="00555948"/>
    <w:rsid w:val="00555C8E"/>
    <w:rsid w:val="00556BD7"/>
    <w:rsid w:val="00557564"/>
    <w:rsid w:val="00560B11"/>
    <w:rsid w:val="00561FCA"/>
    <w:rsid w:val="00561FF3"/>
    <w:rsid w:val="005625D9"/>
    <w:rsid w:val="0056266B"/>
    <w:rsid w:val="005628BE"/>
    <w:rsid w:val="00562BE0"/>
    <w:rsid w:val="0056333D"/>
    <w:rsid w:val="0056416C"/>
    <w:rsid w:val="0056453C"/>
    <w:rsid w:val="00564D12"/>
    <w:rsid w:val="00565191"/>
    <w:rsid w:val="00565456"/>
    <w:rsid w:val="005659D5"/>
    <w:rsid w:val="00565A0E"/>
    <w:rsid w:val="00565D7F"/>
    <w:rsid w:val="00565FFB"/>
    <w:rsid w:val="00566023"/>
    <w:rsid w:val="005662A1"/>
    <w:rsid w:val="005663D1"/>
    <w:rsid w:val="005664E1"/>
    <w:rsid w:val="0056681B"/>
    <w:rsid w:val="0056690B"/>
    <w:rsid w:val="00567183"/>
    <w:rsid w:val="00567F14"/>
    <w:rsid w:val="00567F30"/>
    <w:rsid w:val="005703B5"/>
    <w:rsid w:val="00571026"/>
    <w:rsid w:val="00571226"/>
    <w:rsid w:val="0057216B"/>
    <w:rsid w:val="00572188"/>
    <w:rsid w:val="005721F8"/>
    <w:rsid w:val="0057220F"/>
    <w:rsid w:val="005723A5"/>
    <w:rsid w:val="00572522"/>
    <w:rsid w:val="0057255B"/>
    <w:rsid w:val="00572A9A"/>
    <w:rsid w:val="00572F79"/>
    <w:rsid w:val="005732A3"/>
    <w:rsid w:val="005732CA"/>
    <w:rsid w:val="005736E8"/>
    <w:rsid w:val="00573710"/>
    <w:rsid w:val="005737A1"/>
    <w:rsid w:val="00573B9F"/>
    <w:rsid w:val="005740B7"/>
    <w:rsid w:val="00574337"/>
    <w:rsid w:val="00575003"/>
    <w:rsid w:val="0057589F"/>
    <w:rsid w:val="00575BE3"/>
    <w:rsid w:val="00576C52"/>
    <w:rsid w:val="00576D37"/>
    <w:rsid w:val="00577446"/>
    <w:rsid w:val="005806A7"/>
    <w:rsid w:val="00580A1E"/>
    <w:rsid w:val="005810C6"/>
    <w:rsid w:val="00581908"/>
    <w:rsid w:val="0058232B"/>
    <w:rsid w:val="0058247C"/>
    <w:rsid w:val="005824CA"/>
    <w:rsid w:val="00582B05"/>
    <w:rsid w:val="00582C4C"/>
    <w:rsid w:val="005832F6"/>
    <w:rsid w:val="005835D5"/>
    <w:rsid w:val="00583B39"/>
    <w:rsid w:val="00583C5A"/>
    <w:rsid w:val="00583D50"/>
    <w:rsid w:val="00584249"/>
    <w:rsid w:val="005844D7"/>
    <w:rsid w:val="00584B6D"/>
    <w:rsid w:val="00585527"/>
    <w:rsid w:val="005855DC"/>
    <w:rsid w:val="00585BA2"/>
    <w:rsid w:val="0058667D"/>
    <w:rsid w:val="005872AC"/>
    <w:rsid w:val="00587BDE"/>
    <w:rsid w:val="00590A6B"/>
    <w:rsid w:val="00590CC5"/>
    <w:rsid w:val="00590E04"/>
    <w:rsid w:val="00590F27"/>
    <w:rsid w:val="005912E5"/>
    <w:rsid w:val="005916BB"/>
    <w:rsid w:val="00591870"/>
    <w:rsid w:val="005918FC"/>
    <w:rsid w:val="00592A10"/>
    <w:rsid w:val="00592F13"/>
    <w:rsid w:val="00593587"/>
    <w:rsid w:val="00593A52"/>
    <w:rsid w:val="00593CF6"/>
    <w:rsid w:val="0059406F"/>
    <w:rsid w:val="00594456"/>
    <w:rsid w:val="0059462E"/>
    <w:rsid w:val="00594802"/>
    <w:rsid w:val="00594945"/>
    <w:rsid w:val="0059563E"/>
    <w:rsid w:val="00595857"/>
    <w:rsid w:val="00595C84"/>
    <w:rsid w:val="00596298"/>
    <w:rsid w:val="00596353"/>
    <w:rsid w:val="005964CB"/>
    <w:rsid w:val="00596AB8"/>
    <w:rsid w:val="005976AF"/>
    <w:rsid w:val="005A040B"/>
    <w:rsid w:val="005A1183"/>
    <w:rsid w:val="005A1341"/>
    <w:rsid w:val="005A1F23"/>
    <w:rsid w:val="005A2EC9"/>
    <w:rsid w:val="005A3315"/>
    <w:rsid w:val="005A33DA"/>
    <w:rsid w:val="005A3DCA"/>
    <w:rsid w:val="005A3FF9"/>
    <w:rsid w:val="005A4D3E"/>
    <w:rsid w:val="005A4E65"/>
    <w:rsid w:val="005A5023"/>
    <w:rsid w:val="005A5439"/>
    <w:rsid w:val="005A564F"/>
    <w:rsid w:val="005A57CD"/>
    <w:rsid w:val="005A7239"/>
    <w:rsid w:val="005A7B1F"/>
    <w:rsid w:val="005B083C"/>
    <w:rsid w:val="005B09D5"/>
    <w:rsid w:val="005B1448"/>
    <w:rsid w:val="005B14FA"/>
    <w:rsid w:val="005B2BE9"/>
    <w:rsid w:val="005B2CDD"/>
    <w:rsid w:val="005B2E61"/>
    <w:rsid w:val="005B3F5F"/>
    <w:rsid w:val="005B404D"/>
    <w:rsid w:val="005B41D2"/>
    <w:rsid w:val="005B4722"/>
    <w:rsid w:val="005B4B92"/>
    <w:rsid w:val="005B5146"/>
    <w:rsid w:val="005B53DC"/>
    <w:rsid w:val="005B6005"/>
    <w:rsid w:val="005B65F0"/>
    <w:rsid w:val="005B6E63"/>
    <w:rsid w:val="005B73F3"/>
    <w:rsid w:val="005B7F17"/>
    <w:rsid w:val="005B7FD8"/>
    <w:rsid w:val="005C01E8"/>
    <w:rsid w:val="005C0F0F"/>
    <w:rsid w:val="005C15AB"/>
    <w:rsid w:val="005C1665"/>
    <w:rsid w:val="005C2C5F"/>
    <w:rsid w:val="005C2F4D"/>
    <w:rsid w:val="005C35C7"/>
    <w:rsid w:val="005C3850"/>
    <w:rsid w:val="005C38FA"/>
    <w:rsid w:val="005C3E47"/>
    <w:rsid w:val="005C3E80"/>
    <w:rsid w:val="005C3F19"/>
    <w:rsid w:val="005C421A"/>
    <w:rsid w:val="005C4534"/>
    <w:rsid w:val="005C4DA1"/>
    <w:rsid w:val="005C58B7"/>
    <w:rsid w:val="005C6D34"/>
    <w:rsid w:val="005C7ECF"/>
    <w:rsid w:val="005D0B16"/>
    <w:rsid w:val="005D1331"/>
    <w:rsid w:val="005D138D"/>
    <w:rsid w:val="005D1C65"/>
    <w:rsid w:val="005D223B"/>
    <w:rsid w:val="005D22C7"/>
    <w:rsid w:val="005D25FB"/>
    <w:rsid w:val="005D2B51"/>
    <w:rsid w:val="005D2E7F"/>
    <w:rsid w:val="005D303E"/>
    <w:rsid w:val="005D3071"/>
    <w:rsid w:val="005D31ED"/>
    <w:rsid w:val="005D3A44"/>
    <w:rsid w:val="005D3C7B"/>
    <w:rsid w:val="005D3FE8"/>
    <w:rsid w:val="005D48B6"/>
    <w:rsid w:val="005D51C8"/>
    <w:rsid w:val="005D729E"/>
    <w:rsid w:val="005D7428"/>
    <w:rsid w:val="005D7588"/>
    <w:rsid w:val="005D79F2"/>
    <w:rsid w:val="005D7EBF"/>
    <w:rsid w:val="005E0B16"/>
    <w:rsid w:val="005E0BD4"/>
    <w:rsid w:val="005E0EEA"/>
    <w:rsid w:val="005E0F0E"/>
    <w:rsid w:val="005E1110"/>
    <w:rsid w:val="005E1621"/>
    <w:rsid w:val="005E16BC"/>
    <w:rsid w:val="005E2152"/>
    <w:rsid w:val="005E3BCF"/>
    <w:rsid w:val="005E3EA9"/>
    <w:rsid w:val="005E574D"/>
    <w:rsid w:val="005E5859"/>
    <w:rsid w:val="005E5EFB"/>
    <w:rsid w:val="005E5FF8"/>
    <w:rsid w:val="005E7F6A"/>
    <w:rsid w:val="005F0141"/>
    <w:rsid w:val="005F0CAD"/>
    <w:rsid w:val="005F15FE"/>
    <w:rsid w:val="005F19D9"/>
    <w:rsid w:val="005F1AF7"/>
    <w:rsid w:val="005F1B48"/>
    <w:rsid w:val="005F25E7"/>
    <w:rsid w:val="005F39DE"/>
    <w:rsid w:val="005F3FB2"/>
    <w:rsid w:val="005F50D5"/>
    <w:rsid w:val="005F50EE"/>
    <w:rsid w:val="005F585D"/>
    <w:rsid w:val="005F5C43"/>
    <w:rsid w:val="005F5C89"/>
    <w:rsid w:val="005F647F"/>
    <w:rsid w:val="005F65D3"/>
    <w:rsid w:val="005F7208"/>
    <w:rsid w:val="005F73E7"/>
    <w:rsid w:val="005F7F5F"/>
    <w:rsid w:val="00600437"/>
    <w:rsid w:val="00600472"/>
    <w:rsid w:val="00600C9F"/>
    <w:rsid w:val="006011D6"/>
    <w:rsid w:val="00601314"/>
    <w:rsid w:val="006014E0"/>
    <w:rsid w:val="006017B2"/>
    <w:rsid w:val="00601D2E"/>
    <w:rsid w:val="006026B7"/>
    <w:rsid w:val="006029A6"/>
    <w:rsid w:val="00602B12"/>
    <w:rsid w:val="00602B18"/>
    <w:rsid w:val="00602EBF"/>
    <w:rsid w:val="006049D1"/>
    <w:rsid w:val="0060596B"/>
    <w:rsid w:val="00606928"/>
    <w:rsid w:val="0060700B"/>
    <w:rsid w:val="0060717E"/>
    <w:rsid w:val="00610335"/>
    <w:rsid w:val="00610667"/>
    <w:rsid w:val="0061140B"/>
    <w:rsid w:val="006114AE"/>
    <w:rsid w:val="0061178D"/>
    <w:rsid w:val="00611D57"/>
    <w:rsid w:val="006124E8"/>
    <w:rsid w:val="00612FD7"/>
    <w:rsid w:val="006146B9"/>
    <w:rsid w:val="00615AF6"/>
    <w:rsid w:val="00616468"/>
    <w:rsid w:val="00616C27"/>
    <w:rsid w:val="00616CA6"/>
    <w:rsid w:val="00616E39"/>
    <w:rsid w:val="00617CC9"/>
    <w:rsid w:val="006205E9"/>
    <w:rsid w:val="00621A22"/>
    <w:rsid w:val="00621C0A"/>
    <w:rsid w:val="00621E5D"/>
    <w:rsid w:val="006221EB"/>
    <w:rsid w:val="00622238"/>
    <w:rsid w:val="00622281"/>
    <w:rsid w:val="006229C9"/>
    <w:rsid w:val="0062300B"/>
    <w:rsid w:val="006230D9"/>
    <w:rsid w:val="00623801"/>
    <w:rsid w:val="0062391C"/>
    <w:rsid w:val="00623D7C"/>
    <w:rsid w:val="006240EA"/>
    <w:rsid w:val="006249DF"/>
    <w:rsid w:val="006250ED"/>
    <w:rsid w:val="0062593E"/>
    <w:rsid w:val="0062686D"/>
    <w:rsid w:val="0062708D"/>
    <w:rsid w:val="00627780"/>
    <w:rsid w:val="00627859"/>
    <w:rsid w:val="00630131"/>
    <w:rsid w:val="00630B2B"/>
    <w:rsid w:val="00630D19"/>
    <w:rsid w:val="0063110B"/>
    <w:rsid w:val="00631401"/>
    <w:rsid w:val="0063146E"/>
    <w:rsid w:val="00631663"/>
    <w:rsid w:val="006319A8"/>
    <w:rsid w:val="00631AA3"/>
    <w:rsid w:val="00631AEF"/>
    <w:rsid w:val="00632FCE"/>
    <w:rsid w:val="00632FDF"/>
    <w:rsid w:val="00633265"/>
    <w:rsid w:val="0063387F"/>
    <w:rsid w:val="00633883"/>
    <w:rsid w:val="00634F93"/>
    <w:rsid w:val="00636AE1"/>
    <w:rsid w:val="00636DA3"/>
    <w:rsid w:val="00640E1E"/>
    <w:rsid w:val="006411F4"/>
    <w:rsid w:val="00641B7F"/>
    <w:rsid w:val="00642D1B"/>
    <w:rsid w:val="0064326D"/>
    <w:rsid w:val="006432BC"/>
    <w:rsid w:val="00643BC0"/>
    <w:rsid w:val="00644276"/>
    <w:rsid w:val="0064473F"/>
    <w:rsid w:val="00644CCA"/>
    <w:rsid w:val="00645B25"/>
    <w:rsid w:val="00645D15"/>
    <w:rsid w:val="00645FC8"/>
    <w:rsid w:val="00646724"/>
    <w:rsid w:val="00646C1C"/>
    <w:rsid w:val="00647011"/>
    <w:rsid w:val="00647192"/>
    <w:rsid w:val="00647BD9"/>
    <w:rsid w:val="006503FC"/>
    <w:rsid w:val="00650A7F"/>
    <w:rsid w:val="00650B82"/>
    <w:rsid w:val="006511A9"/>
    <w:rsid w:val="006511F4"/>
    <w:rsid w:val="00651A15"/>
    <w:rsid w:val="00651C6C"/>
    <w:rsid w:val="0065253D"/>
    <w:rsid w:val="00654500"/>
    <w:rsid w:val="00654529"/>
    <w:rsid w:val="00654711"/>
    <w:rsid w:val="00654C20"/>
    <w:rsid w:val="00655DE0"/>
    <w:rsid w:val="00655FCF"/>
    <w:rsid w:val="00657127"/>
    <w:rsid w:val="00657300"/>
    <w:rsid w:val="00657787"/>
    <w:rsid w:val="006577B3"/>
    <w:rsid w:val="00657900"/>
    <w:rsid w:val="00657E2C"/>
    <w:rsid w:val="00660AC5"/>
    <w:rsid w:val="00660D70"/>
    <w:rsid w:val="00660F53"/>
    <w:rsid w:val="00661BE9"/>
    <w:rsid w:val="0066216A"/>
    <w:rsid w:val="00662812"/>
    <w:rsid w:val="00662D01"/>
    <w:rsid w:val="006632E0"/>
    <w:rsid w:val="006634BE"/>
    <w:rsid w:val="00663F60"/>
    <w:rsid w:val="0066461B"/>
    <w:rsid w:val="006649D1"/>
    <w:rsid w:val="00664C11"/>
    <w:rsid w:val="00665010"/>
    <w:rsid w:val="006650CB"/>
    <w:rsid w:val="0066604F"/>
    <w:rsid w:val="006665AC"/>
    <w:rsid w:val="00666692"/>
    <w:rsid w:val="006667FB"/>
    <w:rsid w:val="00666A94"/>
    <w:rsid w:val="0066777A"/>
    <w:rsid w:val="00670048"/>
    <w:rsid w:val="006702A8"/>
    <w:rsid w:val="00670D63"/>
    <w:rsid w:val="00671462"/>
    <w:rsid w:val="006725A6"/>
    <w:rsid w:val="0067302B"/>
    <w:rsid w:val="0067357D"/>
    <w:rsid w:val="00673B06"/>
    <w:rsid w:val="006746C5"/>
    <w:rsid w:val="006757D9"/>
    <w:rsid w:val="00675A11"/>
    <w:rsid w:val="00675A5E"/>
    <w:rsid w:val="006760DF"/>
    <w:rsid w:val="00676740"/>
    <w:rsid w:val="00676EF9"/>
    <w:rsid w:val="00676F2D"/>
    <w:rsid w:val="00677478"/>
    <w:rsid w:val="00677559"/>
    <w:rsid w:val="0067780B"/>
    <w:rsid w:val="0068028D"/>
    <w:rsid w:val="0068041F"/>
    <w:rsid w:val="0068063F"/>
    <w:rsid w:val="00680A51"/>
    <w:rsid w:val="00680D0B"/>
    <w:rsid w:val="006810AF"/>
    <w:rsid w:val="00681151"/>
    <w:rsid w:val="006812D2"/>
    <w:rsid w:val="006815FD"/>
    <w:rsid w:val="00681956"/>
    <w:rsid w:val="0068206A"/>
    <w:rsid w:val="00683583"/>
    <w:rsid w:val="0068430B"/>
    <w:rsid w:val="00684699"/>
    <w:rsid w:val="00684F17"/>
    <w:rsid w:val="00685128"/>
    <w:rsid w:val="006855B1"/>
    <w:rsid w:val="006855ED"/>
    <w:rsid w:val="00685C15"/>
    <w:rsid w:val="00686904"/>
    <w:rsid w:val="00686BCA"/>
    <w:rsid w:val="00686BE2"/>
    <w:rsid w:val="00686F76"/>
    <w:rsid w:val="006876B2"/>
    <w:rsid w:val="00690014"/>
    <w:rsid w:val="006909C7"/>
    <w:rsid w:val="00691034"/>
    <w:rsid w:val="00691A55"/>
    <w:rsid w:val="00692D7E"/>
    <w:rsid w:val="00693646"/>
    <w:rsid w:val="00693871"/>
    <w:rsid w:val="00694522"/>
    <w:rsid w:val="00694844"/>
    <w:rsid w:val="006948CA"/>
    <w:rsid w:val="00694D74"/>
    <w:rsid w:val="00694FA6"/>
    <w:rsid w:val="00695162"/>
    <w:rsid w:val="006953E7"/>
    <w:rsid w:val="00695651"/>
    <w:rsid w:val="0069598D"/>
    <w:rsid w:val="006960D3"/>
    <w:rsid w:val="00696162"/>
    <w:rsid w:val="0069719F"/>
    <w:rsid w:val="006973D9"/>
    <w:rsid w:val="00697574"/>
    <w:rsid w:val="00697B3B"/>
    <w:rsid w:val="00697E64"/>
    <w:rsid w:val="006A000A"/>
    <w:rsid w:val="006A08B5"/>
    <w:rsid w:val="006A0F1C"/>
    <w:rsid w:val="006A16E6"/>
    <w:rsid w:val="006A18D1"/>
    <w:rsid w:val="006A1ED7"/>
    <w:rsid w:val="006A2DBE"/>
    <w:rsid w:val="006A303E"/>
    <w:rsid w:val="006A3395"/>
    <w:rsid w:val="006A3879"/>
    <w:rsid w:val="006A4054"/>
    <w:rsid w:val="006A436C"/>
    <w:rsid w:val="006A462C"/>
    <w:rsid w:val="006A4654"/>
    <w:rsid w:val="006A4CFC"/>
    <w:rsid w:val="006A50B6"/>
    <w:rsid w:val="006A5BBD"/>
    <w:rsid w:val="006A60E4"/>
    <w:rsid w:val="006A61C0"/>
    <w:rsid w:val="006A74D2"/>
    <w:rsid w:val="006B02D9"/>
    <w:rsid w:val="006B1ED1"/>
    <w:rsid w:val="006B1FDA"/>
    <w:rsid w:val="006B3FEE"/>
    <w:rsid w:val="006B45AF"/>
    <w:rsid w:val="006B5018"/>
    <w:rsid w:val="006B5AE6"/>
    <w:rsid w:val="006B5BE3"/>
    <w:rsid w:val="006B5D7A"/>
    <w:rsid w:val="006B6789"/>
    <w:rsid w:val="006C04C0"/>
    <w:rsid w:val="006C073B"/>
    <w:rsid w:val="006C148C"/>
    <w:rsid w:val="006C1498"/>
    <w:rsid w:val="006C158D"/>
    <w:rsid w:val="006C1D51"/>
    <w:rsid w:val="006C24B0"/>
    <w:rsid w:val="006C30D7"/>
    <w:rsid w:val="006C39AD"/>
    <w:rsid w:val="006C40D8"/>
    <w:rsid w:val="006C4828"/>
    <w:rsid w:val="006C4C57"/>
    <w:rsid w:val="006C510C"/>
    <w:rsid w:val="006C6564"/>
    <w:rsid w:val="006C6796"/>
    <w:rsid w:val="006C6C85"/>
    <w:rsid w:val="006C6F07"/>
    <w:rsid w:val="006C7057"/>
    <w:rsid w:val="006C754F"/>
    <w:rsid w:val="006C761E"/>
    <w:rsid w:val="006C7A7D"/>
    <w:rsid w:val="006D01DC"/>
    <w:rsid w:val="006D0856"/>
    <w:rsid w:val="006D0E69"/>
    <w:rsid w:val="006D1315"/>
    <w:rsid w:val="006D1967"/>
    <w:rsid w:val="006D2985"/>
    <w:rsid w:val="006D2CC9"/>
    <w:rsid w:val="006D2EC8"/>
    <w:rsid w:val="006D3545"/>
    <w:rsid w:val="006D35B4"/>
    <w:rsid w:val="006D37F0"/>
    <w:rsid w:val="006D38E9"/>
    <w:rsid w:val="006D51B7"/>
    <w:rsid w:val="006D5560"/>
    <w:rsid w:val="006D5D0C"/>
    <w:rsid w:val="006D5FB5"/>
    <w:rsid w:val="006D6267"/>
    <w:rsid w:val="006D6AE8"/>
    <w:rsid w:val="006D6C14"/>
    <w:rsid w:val="006D76DE"/>
    <w:rsid w:val="006D786D"/>
    <w:rsid w:val="006D7A81"/>
    <w:rsid w:val="006D7BDA"/>
    <w:rsid w:val="006D7CC2"/>
    <w:rsid w:val="006E0A5D"/>
    <w:rsid w:val="006E0EE2"/>
    <w:rsid w:val="006E14DF"/>
    <w:rsid w:val="006E1A63"/>
    <w:rsid w:val="006E1EFA"/>
    <w:rsid w:val="006E27A5"/>
    <w:rsid w:val="006E36AB"/>
    <w:rsid w:val="006E38E4"/>
    <w:rsid w:val="006E3BB8"/>
    <w:rsid w:val="006E451E"/>
    <w:rsid w:val="006E4DEC"/>
    <w:rsid w:val="006E51F6"/>
    <w:rsid w:val="006E5530"/>
    <w:rsid w:val="006E55AA"/>
    <w:rsid w:val="006E5D92"/>
    <w:rsid w:val="006E6138"/>
    <w:rsid w:val="006E6387"/>
    <w:rsid w:val="006E7047"/>
    <w:rsid w:val="006E7501"/>
    <w:rsid w:val="006E7666"/>
    <w:rsid w:val="006E7A99"/>
    <w:rsid w:val="006E7F91"/>
    <w:rsid w:val="006F0300"/>
    <w:rsid w:val="006F0405"/>
    <w:rsid w:val="006F0D93"/>
    <w:rsid w:val="006F1091"/>
    <w:rsid w:val="006F129D"/>
    <w:rsid w:val="006F2C98"/>
    <w:rsid w:val="006F3A20"/>
    <w:rsid w:val="006F4517"/>
    <w:rsid w:val="006F504D"/>
    <w:rsid w:val="006F53F1"/>
    <w:rsid w:val="006F547D"/>
    <w:rsid w:val="006F594A"/>
    <w:rsid w:val="006F5F40"/>
    <w:rsid w:val="006F6AB6"/>
    <w:rsid w:val="006F6C54"/>
    <w:rsid w:val="006F6C55"/>
    <w:rsid w:val="006F70CC"/>
    <w:rsid w:val="006F758C"/>
    <w:rsid w:val="00700250"/>
    <w:rsid w:val="00700F36"/>
    <w:rsid w:val="00701642"/>
    <w:rsid w:val="0070194E"/>
    <w:rsid w:val="00701D13"/>
    <w:rsid w:val="0070376C"/>
    <w:rsid w:val="007038D2"/>
    <w:rsid w:val="007040A7"/>
    <w:rsid w:val="00704BAF"/>
    <w:rsid w:val="00705095"/>
    <w:rsid w:val="00706AEF"/>
    <w:rsid w:val="00706BAB"/>
    <w:rsid w:val="007074BF"/>
    <w:rsid w:val="0070775B"/>
    <w:rsid w:val="00710BC4"/>
    <w:rsid w:val="007113B2"/>
    <w:rsid w:val="00712589"/>
    <w:rsid w:val="007142CA"/>
    <w:rsid w:val="00715365"/>
    <w:rsid w:val="007153A1"/>
    <w:rsid w:val="007155ED"/>
    <w:rsid w:val="00715772"/>
    <w:rsid w:val="007159E0"/>
    <w:rsid w:val="00715A77"/>
    <w:rsid w:val="00715D8B"/>
    <w:rsid w:val="00715FDC"/>
    <w:rsid w:val="00716B46"/>
    <w:rsid w:val="0071703A"/>
    <w:rsid w:val="00717076"/>
    <w:rsid w:val="0071760B"/>
    <w:rsid w:val="0071781E"/>
    <w:rsid w:val="00717AD8"/>
    <w:rsid w:val="00717DD7"/>
    <w:rsid w:val="00720753"/>
    <w:rsid w:val="007213D3"/>
    <w:rsid w:val="00722297"/>
    <w:rsid w:val="007224C0"/>
    <w:rsid w:val="00722529"/>
    <w:rsid w:val="00722B23"/>
    <w:rsid w:val="00722CA6"/>
    <w:rsid w:val="00723102"/>
    <w:rsid w:val="007237B6"/>
    <w:rsid w:val="00723AD6"/>
    <w:rsid w:val="00723B8A"/>
    <w:rsid w:val="00724556"/>
    <w:rsid w:val="0072488A"/>
    <w:rsid w:val="00724E1D"/>
    <w:rsid w:val="00724FD9"/>
    <w:rsid w:val="0072577B"/>
    <w:rsid w:val="007257EE"/>
    <w:rsid w:val="00725B9A"/>
    <w:rsid w:val="007261F5"/>
    <w:rsid w:val="007262E2"/>
    <w:rsid w:val="00726A6E"/>
    <w:rsid w:val="00727257"/>
    <w:rsid w:val="0072747B"/>
    <w:rsid w:val="00727669"/>
    <w:rsid w:val="00727EF4"/>
    <w:rsid w:val="00730152"/>
    <w:rsid w:val="00730AD8"/>
    <w:rsid w:val="00730DBF"/>
    <w:rsid w:val="007313FD"/>
    <w:rsid w:val="00731C44"/>
    <w:rsid w:val="007322B6"/>
    <w:rsid w:val="00732EAE"/>
    <w:rsid w:val="00732EBC"/>
    <w:rsid w:val="0073396B"/>
    <w:rsid w:val="0073413C"/>
    <w:rsid w:val="00735A78"/>
    <w:rsid w:val="00735CE0"/>
    <w:rsid w:val="00735D34"/>
    <w:rsid w:val="00736591"/>
    <w:rsid w:val="0073672F"/>
    <w:rsid w:val="0073675D"/>
    <w:rsid w:val="007368B0"/>
    <w:rsid w:val="00737808"/>
    <w:rsid w:val="00737A63"/>
    <w:rsid w:val="0074007B"/>
    <w:rsid w:val="007408F9"/>
    <w:rsid w:val="00740A31"/>
    <w:rsid w:val="00741011"/>
    <w:rsid w:val="00741718"/>
    <w:rsid w:val="00742628"/>
    <w:rsid w:val="007426B2"/>
    <w:rsid w:val="007427DB"/>
    <w:rsid w:val="00743626"/>
    <w:rsid w:val="00743B5C"/>
    <w:rsid w:val="00744884"/>
    <w:rsid w:val="0074493E"/>
    <w:rsid w:val="00744BA3"/>
    <w:rsid w:val="00744D85"/>
    <w:rsid w:val="007454B2"/>
    <w:rsid w:val="00745AD7"/>
    <w:rsid w:val="00745D9D"/>
    <w:rsid w:val="00745DB6"/>
    <w:rsid w:val="00745E99"/>
    <w:rsid w:val="00745E9C"/>
    <w:rsid w:val="00745F41"/>
    <w:rsid w:val="00747D86"/>
    <w:rsid w:val="00750308"/>
    <w:rsid w:val="007507FE"/>
    <w:rsid w:val="007508D6"/>
    <w:rsid w:val="00750966"/>
    <w:rsid w:val="00750B26"/>
    <w:rsid w:val="00751D31"/>
    <w:rsid w:val="00751FAB"/>
    <w:rsid w:val="00752089"/>
    <w:rsid w:val="0075210B"/>
    <w:rsid w:val="007526AE"/>
    <w:rsid w:val="007526F4"/>
    <w:rsid w:val="007529F7"/>
    <w:rsid w:val="007531DD"/>
    <w:rsid w:val="007533D6"/>
    <w:rsid w:val="007535AF"/>
    <w:rsid w:val="0075385F"/>
    <w:rsid w:val="007548E3"/>
    <w:rsid w:val="00754BF4"/>
    <w:rsid w:val="00754D4D"/>
    <w:rsid w:val="00755515"/>
    <w:rsid w:val="00755B84"/>
    <w:rsid w:val="00756832"/>
    <w:rsid w:val="00756BD2"/>
    <w:rsid w:val="00756EF6"/>
    <w:rsid w:val="00756FE5"/>
    <w:rsid w:val="007570C8"/>
    <w:rsid w:val="007572EE"/>
    <w:rsid w:val="00757432"/>
    <w:rsid w:val="00757AE3"/>
    <w:rsid w:val="0076003C"/>
    <w:rsid w:val="00760DE2"/>
    <w:rsid w:val="00761735"/>
    <w:rsid w:val="00762844"/>
    <w:rsid w:val="007630B0"/>
    <w:rsid w:val="00763E26"/>
    <w:rsid w:val="0076450E"/>
    <w:rsid w:val="007646B1"/>
    <w:rsid w:val="00764E41"/>
    <w:rsid w:val="00765153"/>
    <w:rsid w:val="00765215"/>
    <w:rsid w:val="00765AF4"/>
    <w:rsid w:val="007660B0"/>
    <w:rsid w:val="00766487"/>
    <w:rsid w:val="0076691C"/>
    <w:rsid w:val="007669B8"/>
    <w:rsid w:val="00766D31"/>
    <w:rsid w:val="0076715B"/>
    <w:rsid w:val="007678EE"/>
    <w:rsid w:val="00767D3B"/>
    <w:rsid w:val="00767E16"/>
    <w:rsid w:val="007704A8"/>
    <w:rsid w:val="0077084B"/>
    <w:rsid w:val="00770BD7"/>
    <w:rsid w:val="00771180"/>
    <w:rsid w:val="0077159C"/>
    <w:rsid w:val="00771BAB"/>
    <w:rsid w:val="00771C41"/>
    <w:rsid w:val="0077200F"/>
    <w:rsid w:val="00772437"/>
    <w:rsid w:val="0077246C"/>
    <w:rsid w:val="007724AD"/>
    <w:rsid w:val="007729A8"/>
    <w:rsid w:val="007729CC"/>
    <w:rsid w:val="00773356"/>
    <w:rsid w:val="00773362"/>
    <w:rsid w:val="0077450B"/>
    <w:rsid w:val="00774B5C"/>
    <w:rsid w:val="00775524"/>
    <w:rsid w:val="00775646"/>
    <w:rsid w:val="0077587F"/>
    <w:rsid w:val="007764D3"/>
    <w:rsid w:val="00776547"/>
    <w:rsid w:val="007766B1"/>
    <w:rsid w:val="00776C17"/>
    <w:rsid w:val="00777580"/>
    <w:rsid w:val="00777E19"/>
    <w:rsid w:val="00780573"/>
    <w:rsid w:val="00780E62"/>
    <w:rsid w:val="00782DAE"/>
    <w:rsid w:val="00782FC7"/>
    <w:rsid w:val="00783C6E"/>
    <w:rsid w:val="00783F14"/>
    <w:rsid w:val="00784B9B"/>
    <w:rsid w:val="007859B9"/>
    <w:rsid w:val="00786294"/>
    <w:rsid w:val="007870FC"/>
    <w:rsid w:val="0078750B"/>
    <w:rsid w:val="007878CB"/>
    <w:rsid w:val="0079080F"/>
    <w:rsid w:val="00790AEB"/>
    <w:rsid w:val="00790BF9"/>
    <w:rsid w:val="00790EB0"/>
    <w:rsid w:val="00791ED4"/>
    <w:rsid w:val="00792CED"/>
    <w:rsid w:val="00792D68"/>
    <w:rsid w:val="00792FCE"/>
    <w:rsid w:val="00793108"/>
    <w:rsid w:val="007932CB"/>
    <w:rsid w:val="00793DCB"/>
    <w:rsid w:val="0079538B"/>
    <w:rsid w:val="007954C7"/>
    <w:rsid w:val="0079559E"/>
    <w:rsid w:val="00795B6D"/>
    <w:rsid w:val="0079600C"/>
    <w:rsid w:val="00796453"/>
    <w:rsid w:val="00796628"/>
    <w:rsid w:val="00796971"/>
    <w:rsid w:val="00796A74"/>
    <w:rsid w:val="007970A3"/>
    <w:rsid w:val="007977A7"/>
    <w:rsid w:val="007A010D"/>
    <w:rsid w:val="007A0294"/>
    <w:rsid w:val="007A0C9E"/>
    <w:rsid w:val="007A0D85"/>
    <w:rsid w:val="007A11F8"/>
    <w:rsid w:val="007A307D"/>
    <w:rsid w:val="007A3AFE"/>
    <w:rsid w:val="007A3DA9"/>
    <w:rsid w:val="007A4304"/>
    <w:rsid w:val="007A476C"/>
    <w:rsid w:val="007A5703"/>
    <w:rsid w:val="007A59DC"/>
    <w:rsid w:val="007A5A15"/>
    <w:rsid w:val="007A7409"/>
    <w:rsid w:val="007A76FE"/>
    <w:rsid w:val="007B0474"/>
    <w:rsid w:val="007B1052"/>
    <w:rsid w:val="007B141B"/>
    <w:rsid w:val="007B1C29"/>
    <w:rsid w:val="007B1E4B"/>
    <w:rsid w:val="007B24B0"/>
    <w:rsid w:val="007B2FBD"/>
    <w:rsid w:val="007B319B"/>
    <w:rsid w:val="007B34F4"/>
    <w:rsid w:val="007B3920"/>
    <w:rsid w:val="007B3A81"/>
    <w:rsid w:val="007B3D6F"/>
    <w:rsid w:val="007B3DAB"/>
    <w:rsid w:val="007B4D77"/>
    <w:rsid w:val="007B57A2"/>
    <w:rsid w:val="007B5EBE"/>
    <w:rsid w:val="007B63DA"/>
    <w:rsid w:val="007B6435"/>
    <w:rsid w:val="007B64AC"/>
    <w:rsid w:val="007B6BF5"/>
    <w:rsid w:val="007C0518"/>
    <w:rsid w:val="007C0B73"/>
    <w:rsid w:val="007C113E"/>
    <w:rsid w:val="007C15E7"/>
    <w:rsid w:val="007C1C06"/>
    <w:rsid w:val="007C1EBC"/>
    <w:rsid w:val="007C2FB7"/>
    <w:rsid w:val="007C30F3"/>
    <w:rsid w:val="007C38E2"/>
    <w:rsid w:val="007C38EE"/>
    <w:rsid w:val="007C423F"/>
    <w:rsid w:val="007C4760"/>
    <w:rsid w:val="007C4986"/>
    <w:rsid w:val="007C4EAF"/>
    <w:rsid w:val="007C50E7"/>
    <w:rsid w:val="007C5224"/>
    <w:rsid w:val="007C5BFA"/>
    <w:rsid w:val="007C5C26"/>
    <w:rsid w:val="007C6AD7"/>
    <w:rsid w:val="007C6CBE"/>
    <w:rsid w:val="007C7421"/>
    <w:rsid w:val="007C76E3"/>
    <w:rsid w:val="007D026F"/>
    <w:rsid w:val="007D08B8"/>
    <w:rsid w:val="007D08C1"/>
    <w:rsid w:val="007D0A3B"/>
    <w:rsid w:val="007D0FCD"/>
    <w:rsid w:val="007D23C3"/>
    <w:rsid w:val="007D2EC2"/>
    <w:rsid w:val="007D3857"/>
    <w:rsid w:val="007D4461"/>
    <w:rsid w:val="007D47E0"/>
    <w:rsid w:val="007D5118"/>
    <w:rsid w:val="007D671D"/>
    <w:rsid w:val="007D6A99"/>
    <w:rsid w:val="007D6B6A"/>
    <w:rsid w:val="007E020E"/>
    <w:rsid w:val="007E04F9"/>
    <w:rsid w:val="007E08D3"/>
    <w:rsid w:val="007E0A10"/>
    <w:rsid w:val="007E15AB"/>
    <w:rsid w:val="007E19FF"/>
    <w:rsid w:val="007E1CEB"/>
    <w:rsid w:val="007E1DEF"/>
    <w:rsid w:val="007E1DFF"/>
    <w:rsid w:val="007E2484"/>
    <w:rsid w:val="007E2D1E"/>
    <w:rsid w:val="007E2F7E"/>
    <w:rsid w:val="007E3261"/>
    <w:rsid w:val="007E3524"/>
    <w:rsid w:val="007E3956"/>
    <w:rsid w:val="007E3DAC"/>
    <w:rsid w:val="007E3EA6"/>
    <w:rsid w:val="007E4CA9"/>
    <w:rsid w:val="007E5A37"/>
    <w:rsid w:val="007E5BF1"/>
    <w:rsid w:val="007E5E70"/>
    <w:rsid w:val="007E5FAD"/>
    <w:rsid w:val="007E63E6"/>
    <w:rsid w:val="007E6CEC"/>
    <w:rsid w:val="007E6EE0"/>
    <w:rsid w:val="007E7A6E"/>
    <w:rsid w:val="007F03FA"/>
    <w:rsid w:val="007F106E"/>
    <w:rsid w:val="007F12DF"/>
    <w:rsid w:val="007F153A"/>
    <w:rsid w:val="007F188B"/>
    <w:rsid w:val="007F20A6"/>
    <w:rsid w:val="007F2524"/>
    <w:rsid w:val="007F2719"/>
    <w:rsid w:val="007F2747"/>
    <w:rsid w:val="007F3542"/>
    <w:rsid w:val="007F3A46"/>
    <w:rsid w:val="007F42FA"/>
    <w:rsid w:val="007F4C19"/>
    <w:rsid w:val="007F4F6E"/>
    <w:rsid w:val="007F509B"/>
    <w:rsid w:val="007F529F"/>
    <w:rsid w:val="007F5592"/>
    <w:rsid w:val="007F55EC"/>
    <w:rsid w:val="007F583D"/>
    <w:rsid w:val="007F5BD1"/>
    <w:rsid w:val="007F5C5B"/>
    <w:rsid w:val="007F5C94"/>
    <w:rsid w:val="007F5FA3"/>
    <w:rsid w:val="007F681C"/>
    <w:rsid w:val="007F7351"/>
    <w:rsid w:val="007F7679"/>
    <w:rsid w:val="007F7708"/>
    <w:rsid w:val="007F7A6E"/>
    <w:rsid w:val="007F7B4B"/>
    <w:rsid w:val="007F7EC5"/>
    <w:rsid w:val="007F7F80"/>
    <w:rsid w:val="008003DD"/>
    <w:rsid w:val="0080054C"/>
    <w:rsid w:val="00800ABD"/>
    <w:rsid w:val="008018A0"/>
    <w:rsid w:val="00801A5C"/>
    <w:rsid w:val="00802941"/>
    <w:rsid w:val="00802BC9"/>
    <w:rsid w:val="00802BEE"/>
    <w:rsid w:val="008035B8"/>
    <w:rsid w:val="0080391C"/>
    <w:rsid w:val="0080394C"/>
    <w:rsid w:val="00803F9F"/>
    <w:rsid w:val="008044D5"/>
    <w:rsid w:val="008044E7"/>
    <w:rsid w:val="00804591"/>
    <w:rsid w:val="00804B8C"/>
    <w:rsid w:val="00804BD9"/>
    <w:rsid w:val="008050EB"/>
    <w:rsid w:val="008058E9"/>
    <w:rsid w:val="00807219"/>
    <w:rsid w:val="008105A1"/>
    <w:rsid w:val="008110DA"/>
    <w:rsid w:val="00811162"/>
    <w:rsid w:val="00811989"/>
    <w:rsid w:val="00811F60"/>
    <w:rsid w:val="008120B3"/>
    <w:rsid w:val="0081289B"/>
    <w:rsid w:val="00812A73"/>
    <w:rsid w:val="00812E5E"/>
    <w:rsid w:val="008134D9"/>
    <w:rsid w:val="00813671"/>
    <w:rsid w:val="00813B54"/>
    <w:rsid w:val="00813D1D"/>
    <w:rsid w:val="0081410C"/>
    <w:rsid w:val="00814C9C"/>
    <w:rsid w:val="008156AF"/>
    <w:rsid w:val="00816754"/>
    <w:rsid w:val="00816893"/>
    <w:rsid w:val="00816BF1"/>
    <w:rsid w:val="00816DD8"/>
    <w:rsid w:val="00817464"/>
    <w:rsid w:val="00820471"/>
    <w:rsid w:val="008206A7"/>
    <w:rsid w:val="008209AD"/>
    <w:rsid w:val="00820F0C"/>
    <w:rsid w:val="00821EA3"/>
    <w:rsid w:val="00821EEA"/>
    <w:rsid w:val="00822616"/>
    <w:rsid w:val="008229BC"/>
    <w:rsid w:val="00823C30"/>
    <w:rsid w:val="00823E18"/>
    <w:rsid w:val="00823F40"/>
    <w:rsid w:val="008246A1"/>
    <w:rsid w:val="0082471D"/>
    <w:rsid w:val="00824BDF"/>
    <w:rsid w:val="00825D4C"/>
    <w:rsid w:val="0082791F"/>
    <w:rsid w:val="00827AAA"/>
    <w:rsid w:val="00830024"/>
    <w:rsid w:val="008309CE"/>
    <w:rsid w:val="00830A4D"/>
    <w:rsid w:val="00830B1A"/>
    <w:rsid w:val="00830EFB"/>
    <w:rsid w:val="00831DA6"/>
    <w:rsid w:val="0083246C"/>
    <w:rsid w:val="00832499"/>
    <w:rsid w:val="008326AC"/>
    <w:rsid w:val="00832C31"/>
    <w:rsid w:val="0083304C"/>
    <w:rsid w:val="008330C1"/>
    <w:rsid w:val="00833101"/>
    <w:rsid w:val="00833D42"/>
    <w:rsid w:val="00833F79"/>
    <w:rsid w:val="008353AE"/>
    <w:rsid w:val="00835624"/>
    <w:rsid w:val="00835E03"/>
    <w:rsid w:val="008362A8"/>
    <w:rsid w:val="0083660F"/>
    <w:rsid w:val="0083689F"/>
    <w:rsid w:val="00836CEA"/>
    <w:rsid w:val="00836FF4"/>
    <w:rsid w:val="00840239"/>
    <w:rsid w:val="0084062B"/>
    <w:rsid w:val="008412AA"/>
    <w:rsid w:val="00841A33"/>
    <w:rsid w:val="008432C8"/>
    <w:rsid w:val="0084367D"/>
    <w:rsid w:val="0084487E"/>
    <w:rsid w:val="00844F93"/>
    <w:rsid w:val="0084618F"/>
    <w:rsid w:val="00846AC5"/>
    <w:rsid w:val="00846F3A"/>
    <w:rsid w:val="008478D2"/>
    <w:rsid w:val="00847D89"/>
    <w:rsid w:val="00850091"/>
    <w:rsid w:val="0085140E"/>
    <w:rsid w:val="00852248"/>
    <w:rsid w:val="008524B2"/>
    <w:rsid w:val="00853D59"/>
    <w:rsid w:val="00853FA1"/>
    <w:rsid w:val="00854397"/>
    <w:rsid w:val="00854822"/>
    <w:rsid w:val="00855D87"/>
    <w:rsid w:val="00856430"/>
    <w:rsid w:val="00856ADF"/>
    <w:rsid w:val="008571B3"/>
    <w:rsid w:val="0086014F"/>
    <w:rsid w:val="0086025F"/>
    <w:rsid w:val="0086111B"/>
    <w:rsid w:val="00861669"/>
    <w:rsid w:val="00861C20"/>
    <w:rsid w:val="00861C87"/>
    <w:rsid w:val="00861F9C"/>
    <w:rsid w:val="008625AD"/>
    <w:rsid w:val="00863247"/>
    <w:rsid w:val="00863508"/>
    <w:rsid w:val="00863A53"/>
    <w:rsid w:val="008643F3"/>
    <w:rsid w:val="00864BFE"/>
    <w:rsid w:val="00864EBF"/>
    <w:rsid w:val="00865120"/>
    <w:rsid w:val="0086563B"/>
    <w:rsid w:val="00866463"/>
    <w:rsid w:val="008667BA"/>
    <w:rsid w:val="0086691C"/>
    <w:rsid w:val="00867182"/>
    <w:rsid w:val="00870B70"/>
    <w:rsid w:val="00870EF7"/>
    <w:rsid w:val="00871361"/>
    <w:rsid w:val="00871E4F"/>
    <w:rsid w:val="0087369D"/>
    <w:rsid w:val="00873B52"/>
    <w:rsid w:val="00873E2B"/>
    <w:rsid w:val="008749F5"/>
    <w:rsid w:val="008753F7"/>
    <w:rsid w:val="00875DCF"/>
    <w:rsid w:val="008761D6"/>
    <w:rsid w:val="0087745B"/>
    <w:rsid w:val="0088043A"/>
    <w:rsid w:val="00880682"/>
    <w:rsid w:val="00880D16"/>
    <w:rsid w:val="008814F4"/>
    <w:rsid w:val="0088186B"/>
    <w:rsid w:val="00881F70"/>
    <w:rsid w:val="00882151"/>
    <w:rsid w:val="008826AB"/>
    <w:rsid w:val="00883514"/>
    <w:rsid w:val="008839D5"/>
    <w:rsid w:val="00883A16"/>
    <w:rsid w:val="00883B16"/>
    <w:rsid w:val="00883C00"/>
    <w:rsid w:val="0088462E"/>
    <w:rsid w:val="00884884"/>
    <w:rsid w:val="00885A30"/>
    <w:rsid w:val="00885EF3"/>
    <w:rsid w:val="00885F6A"/>
    <w:rsid w:val="00886036"/>
    <w:rsid w:val="008860AD"/>
    <w:rsid w:val="00886682"/>
    <w:rsid w:val="0088704F"/>
    <w:rsid w:val="008873C4"/>
    <w:rsid w:val="008875BB"/>
    <w:rsid w:val="0089024B"/>
    <w:rsid w:val="00890609"/>
    <w:rsid w:val="00890768"/>
    <w:rsid w:val="00891179"/>
    <w:rsid w:val="008913E8"/>
    <w:rsid w:val="00891AE5"/>
    <w:rsid w:val="00891D2A"/>
    <w:rsid w:val="00892661"/>
    <w:rsid w:val="00892782"/>
    <w:rsid w:val="0089337E"/>
    <w:rsid w:val="008933BE"/>
    <w:rsid w:val="008934D9"/>
    <w:rsid w:val="008938E5"/>
    <w:rsid w:val="008939E8"/>
    <w:rsid w:val="00893AC6"/>
    <w:rsid w:val="00893D80"/>
    <w:rsid w:val="00894012"/>
    <w:rsid w:val="008940E9"/>
    <w:rsid w:val="00894FC1"/>
    <w:rsid w:val="00895142"/>
    <w:rsid w:val="00895210"/>
    <w:rsid w:val="0089551B"/>
    <w:rsid w:val="00895DED"/>
    <w:rsid w:val="00896534"/>
    <w:rsid w:val="00896AA4"/>
    <w:rsid w:val="008978E4"/>
    <w:rsid w:val="00897FF6"/>
    <w:rsid w:val="008A160E"/>
    <w:rsid w:val="008A1A16"/>
    <w:rsid w:val="008A2270"/>
    <w:rsid w:val="008A23C3"/>
    <w:rsid w:val="008A2728"/>
    <w:rsid w:val="008A2DD3"/>
    <w:rsid w:val="008A30AF"/>
    <w:rsid w:val="008A36FA"/>
    <w:rsid w:val="008A3762"/>
    <w:rsid w:val="008A3806"/>
    <w:rsid w:val="008A4374"/>
    <w:rsid w:val="008A43FF"/>
    <w:rsid w:val="008A44BC"/>
    <w:rsid w:val="008A4A18"/>
    <w:rsid w:val="008A5AB8"/>
    <w:rsid w:val="008A6483"/>
    <w:rsid w:val="008A658D"/>
    <w:rsid w:val="008A6B42"/>
    <w:rsid w:val="008B08F4"/>
    <w:rsid w:val="008B0CC2"/>
    <w:rsid w:val="008B17C8"/>
    <w:rsid w:val="008B36CF"/>
    <w:rsid w:val="008B3CCB"/>
    <w:rsid w:val="008B40BE"/>
    <w:rsid w:val="008B4237"/>
    <w:rsid w:val="008B494C"/>
    <w:rsid w:val="008B4D88"/>
    <w:rsid w:val="008B595E"/>
    <w:rsid w:val="008B5A93"/>
    <w:rsid w:val="008B6222"/>
    <w:rsid w:val="008B66E7"/>
    <w:rsid w:val="008B6AD4"/>
    <w:rsid w:val="008B6D33"/>
    <w:rsid w:val="008B7353"/>
    <w:rsid w:val="008B75B6"/>
    <w:rsid w:val="008B7633"/>
    <w:rsid w:val="008B7AEE"/>
    <w:rsid w:val="008B7DC7"/>
    <w:rsid w:val="008C0EA8"/>
    <w:rsid w:val="008C1121"/>
    <w:rsid w:val="008C1563"/>
    <w:rsid w:val="008C1F90"/>
    <w:rsid w:val="008C21E8"/>
    <w:rsid w:val="008C2208"/>
    <w:rsid w:val="008C365E"/>
    <w:rsid w:val="008C3ED2"/>
    <w:rsid w:val="008C4A65"/>
    <w:rsid w:val="008C5936"/>
    <w:rsid w:val="008C5D76"/>
    <w:rsid w:val="008C5F88"/>
    <w:rsid w:val="008C6A21"/>
    <w:rsid w:val="008C6E05"/>
    <w:rsid w:val="008C742A"/>
    <w:rsid w:val="008D02A8"/>
    <w:rsid w:val="008D06D4"/>
    <w:rsid w:val="008D0BE3"/>
    <w:rsid w:val="008D174C"/>
    <w:rsid w:val="008D3542"/>
    <w:rsid w:val="008D3806"/>
    <w:rsid w:val="008D3AF7"/>
    <w:rsid w:val="008D4C88"/>
    <w:rsid w:val="008D4D8D"/>
    <w:rsid w:val="008D52E3"/>
    <w:rsid w:val="008D68E1"/>
    <w:rsid w:val="008D7053"/>
    <w:rsid w:val="008D7677"/>
    <w:rsid w:val="008D7B18"/>
    <w:rsid w:val="008D7E2C"/>
    <w:rsid w:val="008E01AA"/>
    <w:rsid w:val="008E09AC"/>
    <w:rsid w:val="008E0A52"/>
    <w:rsid w:val="008E0C89"/>
    <w:rsid w:val="008E0F5B"/>
    <w:rsid w:val="008E1026"/>
    <w:rsid w:val="008E13E6"/>
    <w:rsid w:val="008E1907"/>
    <w:rsid w:val="008E1FB7"/>
    <w:rsid w:val="008E2A16"/>
    <w:rsid w:val="008E3147"/>
    <w:rsid w:val="008E3756"/>
    <w:rsid w:val="008E384C"/>
    <w:rsid w:val="008E40D0"/>
    <w:rsid w:val="008E4881"/>
    <w:rsid w:val="008E4DCF"/>
    <w:rsid w:val="008E4F8A"/>
    <w:rsid w:val="008E5A5B"/>
    <w:rsid w:val="008E5D38"/>
    <w:rsid w:val="008E6600"/>
    <w:rsid w:val="008E7210"/>
    <w:rsid w:val="008E723F"/>
    <w:rsid w:val="008E72EF"/>
    <w:rsid w:val="008E7705"/>
    <w:rsid w:val="008E7822"/>
    <w:rsid w:val="008E7D3B"/>
    <w:rsid w:val="008E7E2D"/>
    <w:rsid w:val="008F0058"/>
    <w:rsid w:val="008F036A"/>
    <w:rsid w:val="008F0843"/>
    <w:rsid w:val="008F1257"/>
    <w:rsid w:val="008F145A"/>
    <w:rsid w:val="008F1B0C"/>
    <w:rsid w:val="008F2077"/>
    <w:rsid w:val="008F2147"/>
    <w:rsid w:val="008F252F"/>
    <w:rsid w:val="008F4953"/>
    <w:rsid w:val="008F567A"/>
    <w:rsid w:val="008F584B"/>
    <w:rsid w:val="008F5F57"/>
    <w:rsid w:val="008F6131"/>
    <w:rsid w:val="008F62E3"/>
    <w:rsid w:val="008F6426"/>
    <w:rsid w:val="008F643A"/>
    <w:rsid w:val="008F6BD3"/>
    <w:rsid w:val="008F6D14"/>
    <w:rsid w:val="008F7445"/>
    <w:rsid w:val="008F7615"/>
    <w:rsid w:val="008F7991"/>
    <w:rsid w:val="008F7A2E"/>
    <w:rsid w:val="0090094D"/>
    <w:rsid w:val="00902ACC"/>
    <w:rsid w:val="00902F52"/>
    <w:rsid w:val="00903009"/>
    <w:rsid w:val="00904897"/>
    <w:rsid w:val="0090532C"/>
    <w:rsid w:val="00905784"/>
    <w:rsid w:val="0090623C"/>
    <w:rsid w:val="00906B73"/>
    <w:rsid w:val="009073E2"/>
    <w:rsid w:val="0090750F"/>
    <w:rsid w:val="0091005E"/>
    <w:rsid w:val="00910E26"/>
    <w:rsid w:val="00911C92"/>
    <w:rsid w:val="00911F9C"/>
    <w:rsid w:val="0091259B"/>
    <w:rsid w:val="009125F4"/>
    <w:rsid w:val="00914066"/>
    <w:rsid w:val="00914085"/>
    <w:rsid w:val="0091428C"/>
    <w:rsid w:val="009149D3"/>
    <w:rsid w:val="00914CE3"/>
    <w:rsid w:val="00915149"/>
    <w:rsid w:val="00915FA4"/>
    <w:rsid w:val="009165C7"/>
    <w:rsid w:val="009167FE"/>
    <w:rsid w:val="009168A8"/>
    <w:rsid w:val="009200D9"/>
    <w:rsid w:val="0092045F"/>
    <w:rsid w:val="00920649"/>
    <w:rsid w:val="009224CB"/>
    <w:rsid w:val="009227C3"/>
    <w:rsid w:val="009237DE"/>
    <w:rsid w:val="0092383F"/>
    <w:rsid w:val="00923DE2"/>
    <w:rsid w:val="009251B4"/>
    <w:rsid w:val="00925268"/>
    <w:rsid w:val="009258A8"/>
    <w:rsid w:val="009258B5"/>
    <w:rsid w:val="00925F51"/>
    <w:rsid w:val="00926170"/>
    <w:rsid w:val="00926B3F"/>
    <w:rsid w:val="00926BF5"/>
    <w:rsid w:val="00926D37"/>
    <w:rsid w:val="00927811"/>
    <w:rsid w:val="00927BE5"/>
    <w:rsid w:val="00927E9C"/>
    <w:rsid w:val="00931001"/>
    <w:rsid w:val="00931267"/>
    <w:rsid w:val="00931F12"/>
    <w:rsid w:val="0093218A"/>
    <w:rsid w:val="00932711"/>
    <w:rsid w:val="0093398E"/>
    <w:rsid w:val="009340D1"/>
    <w:rsid w:val="009343DE"/>
    <w:rsid w:val="00935A11"/>
    <w:rsid w:val="0093762B"/>
    <w:rsid w:val="00937631"/>
    <w:rsid w:val="00940210"/>
    <w:rsid w:val="00940428"/>
    <w:rsid w:val="00940556"/>
    <w:rsid w:val="00940647"/>
    <w:rsid w:val="00941426"/>
    <w:rsid w:val="00941A62"/>
    <w:rsid w:val="009421BC"/>
    <w:rsid w:val="00942291"/>
    <w:rsid w:val="00943695"/>
    <w:rsid w:val="00944815"/>
    <w:rsid w:val="00944BD3"/>
    <w:rsid w:val="00945421"/>
    <w:rsid w:val="009463A0"/>
    <w:rsid w:val="00946AC0"/>
    <w:rsid w:val="00947974"/>
    <w:rsid w:val="00947D29"/>
    <w:rsid w:val="009502AF"/>
    <w:rsid w:val="00951805"/>
    <w:rsid w:val="00951996"/>
    <w:rsid w:val="00952717"/>
    <w:rsid w:val="00952B28"/>
    <w:rsid w:val="00953761"/>
    <w:rsid w:val="0095377E"/>
    <w:rsid w:val="0095427F"/>
    <w:rsid w:val="00954759"/>
    <w:rsid w:val="009549AB"/>
    <w:rsid w:val="009549E2"/>
    <w:rsid w:val="00954D47"/>
    <w:rsid w:val="00954FC7"/>
    <w:rsid w:val="00955142"/>
    <w:rsid w:val="00955A8F"/>
    <w:rsid w:val="00956258"/>
    <w:rsid w:val="009563A6"/>
    <w:rsid w:val="009564DA"/>
    <w:rsid w:val="009566E5"/>
    <w:rsid w:val="0095689D"/>
    <w:rsid w:val="00956A14"/>
    <w:rsid w:val="00956CFD"/>
    <w:rsid w:val="009570D9"/>
    <w:rsid w:val="009579A2"/>
    <w:rsid w:val="009602EC"/>
    <w:rsid w:val="00960FF9"/>
    <w:rsid w:val="0096145B"/>
    <w:rsid w:val="00961514"/>
    <w:rsid w:val="009619E8"/>
    <w:rsid w:val="00962430"/>
    <w:rsid w:val="00962D7F"/>
    <w:rsid w:val="00963102"/>
    <w:rsid w:val="00965B28"/>
    <w:rsid w:val="00965DCD"/>
    <w:rsid w:val="00966486"/>
    <w:rsid w:val="00967A9D"/>
    <w:rsid w:val="00967D5E"/>
    <w:rsid w:val="00970FDA"/>
    <w:rsid w:val="00971411"/>
    <w:rsid w:val="00971593"/>
    <w:rsid w:val="009719FA"/>
    <w:rsid w:val="00972315"/>
    <w:rsid w:val="00972A25"/>
    <w:rsid w:val="00972B09"/>
    <w:rsid w:val="00973F1F"/>
    <w:rsid w:val="0097498B"/>
    <w:rsid w:val="00974C94"/>
    <w:rsid w:val="00976A2B"/>
    <w:rsid w:val="00976A7D"/>
    <w:rsid w:val="00976CDC"/>
    <w:rsid w:val="009773F5"/>
    <w:rsid w:val="00977409"/>
    <w:rsid w:val="00977CE8"/>
    <w:rsid w:val="0098021B"/>
    <w:rsid w:val="00980742"/>
    <w:rsid w:val="00980818"/>
    <w:rsid w:val="00980B46"/>
    <w:rsid w:val="0098131C"/>
    <w:rsid w:val="009816CC"/>
    <w:rsid w:val="00981770"/>
    <w:rsid w:val="00982464"/>
    <w:rsid w:val="009835E0"/>
    <w:rsid w:val="00983FE2"/>
    <w:rsid w:val="00985305"/>
    <w:rsid w:val="009853D9"/>
    <w:rsid w:val="009857C4"/>
    <w:rsid w:val="00985FA1"/>
    <w:rsid w:val="0098646F"/>
    <w:rsid w:val="009871C5"/>
    <w:rsid w:val="00990255"/>
    <w:rsid w:val="0099092F"/>
    <w:rsid w:val="00990D04"/>
    <w:rsid w:val="0099197F"/>
    <w:rsid w:val="00991F92"/>
    <w:rsid w:val="00992BFE"/>
    <w:rsid w:val="0099317F"/>
    <w:rsid w:val="009931E2"/>
    <w:rsid w:val="0099354B"/>
    <w:rsid w:val="00993C41"/>
    <w:rsid w:val="009946E8"/>
    <w:rsid w:val="009956EF"/>
    <w:rsid w:val="0099572E"/>
    <w:rsid w:val="00995C9F"/>
    <w:rsid w:val="009961C1"/>
    <w:rsid w:val="0099631A"/>
    <w:rsid w:val="00996415"/>
    <w:rsid w:val="00996682"/>
    <w:rsid w:val="009975E1"/>
    <w:rsid w:val="00997A0A"/>
    <w:rsid w:val="00997E0F"/>
    <w:rsid w:val="00997F00"/>
    <w:rsid w:val="009A0883"/>
    <w:rsid w:val="009A1CC3"/>
    <w:rsid w:val="009A223C"/>
    <w:rsid w:val="009A34AE"/>
    <w:rsid w:val="009A3AAE"/>
    <w:rsid w:val="009A3B34"/>
    <w:rsid w:val="009A40FA"/>
    <w:rsid w:val="009A471F"/>
    <w:rsid w:val="009A4FE6"/>
    <w:rsid w:val="009A504F"/>
    <w:rsid w:val="009A5CF0"/>
    <w:rsid w:val="009A618E"/>
    <w:rsid w:val="009A71F6"/>
    <w:rsid w:val="009B0CA1"/>
    <w:rsid w:val="009B165F"/>
    <w:rsid w:val="009B1F99"/>
    <w:rsid w:val="009B26F3"/>
    <w:rsid w:val="009B3CEC"/>
    <w:rsid w:val="009B3FC3"/>
    <w:rsid w:val="009B52A5"/>
    <w:rsid w:val="009B564E"/>
    <w:rsid w:val="009B5D5E"/>
    <w:rsid w:val="009B672E"/>
    <w:rsid w:val="009B674E"/>
    <w:rsid w:val="009B6796"/>
    <w:rsid w:val="009B7046"/>
    <w:rsid w:val="009B71A8"/>
    <w:rsid w:val="009B71C2"/>
    <w:rsid w:val="009B793B"/>
    <w:rsid w:val="009B7EE6"/>
    <w:rsid w:val="009C035B"/>
    <w:rsid w:val="009C044A"/>
    <w:rsid w:val="009C0CB7"/>
    <w:rsid w:val="009C0D81"/>
    <w:rsid w:val="009C1947"/>
    <w:rsid w:val="009C1BD2"/>
    <w:rsid w:val="009C1E5B"/>
    <w:rsid w:val="009C2332"/>
    <w:rsid w:val="009C2471"/>
    <w:rsid w:val="009C2713"/>
    <w:rsid w:val="009C27CC"/>
    <w:rsid w:val="009C29B7"/>
    <w:rsid w:val="009C348B"/>
    <w:rsid w:val="009C3614"/>
    <w:rsid w:val="009C377F"/>
    <w:rsid w:val="009C399F"/>
    <w:rsid w:val="009C3A6B"/>
    <w:rsid w:val="009C41E1"/>
    <w:rsid w:val="009C47BD"/>
    <w:rsid w:val="009C485E"/>
    <w:rsid w:val="009C5061"/>
    <w:rsid w:val="009C5579"/>
    <w:rsid w:val="009C5B9B"/>
    <w:rsid w:val="009C73A5"/>
    <w:rsid w:val="009C7C24"/>
    <w:rsid w:val="009D004F"/>
    <w:rsid w:val="009D0104"/>
    <w:rsid w:val="009D0356"/>
    <w:rsid w:val="009D0902"/>
    <w:rsid w:val="009D1650"/>
    <w:rsid w:val="009D1E04"/>
    <w:rsid w:val="009D28CD"/>
    <w:rsid w:val="009D2AD3"/>
    <w:rsid w:val="009D2E31"/>
    <w:rsid w:val="009D2EE8"/>
    <w:rsid w:val="009D3578"/>
    <w:rsid w:val="009D36C9"/>
    <w:rsid w:val="009D36F0"/>
    <w:rsid w:val="009D3C09"/>
    <w:rsid w:val="009D4320"/>
    <w:rsid w:val="009D56DA"/>
    <w:rsid w:val="009D58C5"/>
    <w:rsid w:val="009D5B7E"/>
    <w:rsid w:val="009D5E87"/>
    <w:rsid w:val="009D5EDA"/>
    <w:rsid w:val="009D6043"/>
    <w:rsid w:val="009D68BF"/>
    <w:rsid w:val="009D700B"/>
    <w:rsid w:val="009D7B0A"/>
    <w:rsid w:val="009D7FB3"/>
    <w:rsid w:val="009E0209"/>
    <w:rsid w:val="009E04DD"/>
    <w:rsid w:val="009E079D"/>
    <w:rsid w:val="009E1004"/>
    <w:rsid w:val="009E24AC"/>
    <w:rsid w:val="009E2AF6"/>
    <w:rsid w:val="009E2D8A"/>
    <w:rsid w:val="009E39CA"/>
    <w:rsid w:val="009E3BC1"/>
    <w:rsid w:val="009E3D5B"/>
    <w:rsid w:val="009E4176"/>
    <w:rsid w:val="009E5B6F"/>
    <w:rsid w:val="009E5F04"/>
    <w:rsid w:val="009F0D6B"/>
    <w:rsid w:val="009F1268"/>
    <w:rsid w:val="009F15E3"/>
    <w:rsid w:val="009F190A"/>
    <w:rsid w:val="009F20C6"/>
    <w:rsid w:val="009F272B"/>
    <w:rsid w:val="009F28B3"/>
    <w:rsid w:val="009F3579"/>
    <w:rsid w:val="009F4E73"/>
    <w:rsid w:val="009F55B4"/>
    <w:rsid w:val="009F5707"/>
    <w:rsid w:val="009F6736"/>
    <w:rsid w:val="009F7275"/>
    <w:rsid w:val="009F7569"/>
    <w:rsid w:val="00A00B1D"/>
    <w:rsid w:val="00A00E1B"/>
    <w:rsid w:val="00A0126F"/>
    <w:rsid w:val="00A02067"/>
    <w:rsid w:val="00A020FC"/>
    <w:rsid w:val="00A02100"/>
    <w:rsid w:val="00A0211B"/>
    <w:rsid w:val="00A0250D"/>
    <w:rsid w:val="00A0381A"/>
    <w:rsid w:val="00A03882"/>
    <w:rsid w:val="00A051C5"/>
    <w:rsid w:val="00A051CA"/>
    <w:rsid w:val="00A052C7"/>
    <w:rsid w:val="00A05388"/>
    <w:rsid w:val="00A06A07"/>
    <w:rsid w:val="00A06AEB"/>
    <w:rsid w:val="00A06E60"/>
    <w:rsid w:val="00A06FF8"/>
    <w:rsid w:val="00A07B96"/>
    <w:rsid w:val="00A07C25"/>
    <w:rsid w:val="00A10025"/>
    <w:rsid w:val="00A10169"/>
    <w:rsid w:val="00A107D0"/>
    <w:rsid w:val="00A107E8"/>
    <w:rsid w:val="00A108FC"/>
    <w:rsid w:val="00A10E87"/>
    <w:rsid w:val="00A1103B"/>
    <w:rsid w:val="00A113EB"/>
    <w:rsid w:val="00A11977"/>
    <w:rsid w:val="00A127AF"/>
    <w:rsid w:val="00A12837"/>
    <w:rsid w:val="00A12863"/>
    <w:rsid w:val="00A12D52"/>
    <w:rsid w:val="00A12DDE"/>
    <w:rsid w:val="00A1396E"/>
    <w:rsid w:val="00A13CB3"/>
    <w:rsid w:val="00A14C6E"/>
    <w:rsid w:val="00A14D8A"/>
    <w:rsid w:val="00A15395"/>
    <w:rsid w:val="00A15982"/>
    <w:rsid w:val="00A15A9D"/>
    <w:rsid w:val="00A15B8F"/>
    <w:rsid w:val="00A1632A"/>
    <w:rsid w:val="00A16414"/>
    <w:rsid w:val="00A1645F"/>
    <w:rsid w:val="00A16C1E"/>
    <w:rsid w:val="00A178B7"/>
    <w:rsid w:val="00A21333"/>
    <w:rsid w:val="00A213BD"/>
    <w:rsid w:val="00A213D0"/>
    <w:rsid w:val="00A2185D"/>
    <w:rsid w:val="00A21C76"/>
    <w:rsid w:val="00A22C1A"/>
    <w:rsid w:val="00A2308C"/>
    <w:rsid w:val="00A231D4"/>
    <w:rsid w:val="00A245B5"/>
    <w:rsid w:val="00A2484B"/>
    <w:rsid w:val="00A24C01"/>
    <w:rsid w:val="00A24CCE"/>
    <w:rsid w:val="00A25315"/>
    <w:rsid w:val="00A2590C"/>
    <w:rsid w:val="00A25A61"/>
    <w:rsid w:val="00A25AEA"/>
    <w:rsid w:val="00A26904"/>
    <w:rsid w:val="00A269F3"/>
    <w:rsid w:val="00A275A0"/>
    <w:rsid w:val="00A2794A"/>
    <w:rsid w:val="00A27B45"/>
    <w:rsid w:val="00A30689"/>
    <w:rsid w:val="00A30B97"/>
    <w:rsid w:val="00A3233A"/>
    <w:rsid w:val="00A32B29"/>
    <w:rsid w:val="00A33250"/>
    <w:rsid w:val="00A33EF2"/>
    <w:rsid w:val="00A35CF3"/>
    <w:rsid w:val="00A35F40"/>
    <w:rsid w:val="00A36118"/>
    <w:rsid w:val="00A36BB0"/>
    <w:rsid w:val="00A36D20"/>
    <w:rsid w:val="00A37234"/>
    <w:rsid w:val="00A37AB1"/>
    <w:rsid w:val="00A409D2"/>
    <w:rsid w:val="00A41622"/>
    <w:rsid w:val="00A41ABA"/>
    <w:rsid w:val="00A41F2E"/>
    <w:rsid w:val="00A42033"/>
    <w:rsid w:val="00A42258"/>
    <w:rsid w:val="00A42676"/>
    <w:rsid w:val="00A427D0"/>
    <w:rsid w:val="00A43489"/>
    <w:rsid w:val="00A43F07"/>
    <w:rsid w:val="00A44B45"/>
    <w:rsid w:val="00A44C29"/>
    <w:rsid w:val="00A44CC8"/>
    <w:rsid w:val="00A453A1"/>
    <w:rsid w:val="00A47BF9"/>
    <w:rsid w:val="00A501FA"/>
    <w:rsid w:val="00A50CDF"/>
    <w:rsid w:val="00A50F29"/>
    <w:rsid w:val="00A513AB"/>
    <w:rsid w:val="00A513B0"/>
    <w:rsid w:val="00A5287F"/>
    <w:rsid w:val="00A52CA2"/>
    <w:rsid w:val="00A52CA4"/>
    <w:rsid w:val="00A53153"/>
    <w:rsid w:val="00A53336"/>
    <w:rsid w:val="00A54E52"/>
    <w:rsid w:val="00A55137"/>
    <w:rsid w:val="00A55EF9"/>
    <w:rsid w:val="00A56535"/>
    <w:rsid w:val="00A56581"/>
    <w:rsid w:val="00A56B9E"/>
    <w:rsid w:val="00A574DE"/>
    <w:rsid w:val="00A57647"/>
    <w:rsid w:val="00A57965"/>
    <w:rsid w:val="00A57FB7"/>
    <w:rsid w:val="00A6147A"/>
    <w:rsid w:val="00A616FD"/>
    <w:rsid w:val="00A61727"/>
    <w:rsid w:val="00A618A2"/>
    <w:rsid w:val="00A61936"/>
    <w:rsid w:val="00A6235D"/>
    <w:rsid w:val="00A629E5"/>
    <w:rsid w:val="00A634A7"/>
    <w:rsid w:val="00A63A47"/>
    <w:rsid w:val="00A63C4D"/>
    <w:rsid w:val="00A64139"/>
    <w:rsid w:val="00A644FF"/>
    <w:rsid w:val="00A66139"/>
    <w:rsid w:val="00A664FC"/>
    <w:rsid w:val="00A66650"/>
    <w:rsid w:val="00A66804"/>
    <w:rsid w:val="00A66B43"/>
    <w:rsid w:val="00A66F1F"/>
    <w:rsid w:val="00A66F39"/>
    <w:rsid w:val="00A678AD"/>
    <w:rsid w:val="00A67DF5"/>
    <w:rsid w:val="00A70141"/>
    <w:rsid w:val="00A70AE4"/>
    <w:rsid w:val="00A718E1"/>
    <w:rsid w:val="00A72AC9"/>
    <w:rsid w:val="00A73513"/>
    <w:rsid w:val="00A736D3"/>
    <w:rsid w:val="00A739C2"/>
    <w:rsid w:val="00A73C5A"/>
    <w:rsid w:val="00A740AA"/>
    <w:rsid w:val="00A745E4"/>
    <w:rsid w:val="00A74989"/>
    <w:rsid w:val="00A74EC5"/>
    <w:rsid w:val="00A7535E"/>
    <w:rsid w:val="00A760E0"/>
    <w:rsid w:val="00A76416"/>
    <w:rsid w:val="00A7675D"/>
    <w:rsid w:val="00A769BF"/>
    <w:rsid w:val="00A77371"/>
    <w:rsid w:val="00A77697"/>
    <w:rsid w:val="00A77983"/>
    <w:rsid w:val="00A8022D"/>
    <w:rsid w:val="00A808F8"/>
    <w:rsid w:val="00A812CE"/>
    <w:rsid w:val="00A81713"/>
    <w:rsid w:val="00A8445A"/>
    <w:rsid w:val="00A84AA2"/>
    <w:rsid w:val="00A851C7"/>
    <w:rsid w:val="00A8530F"/>
    <w:rsid w:val="00A85327"/>
    <w:rsid w:val="00A863B2"/>
    <w:rsid w:val="00A8790E"/>
    <w:rsid w:val="00A906E4"/>
    <w:rsid w:val="00A9074D"/>
    <w:rsid w:val="00A9084C"/>
    <w:rsid w:val="00A90B6A"/>
    <w:rsid w:val="00A91002"/>
    <w:rsid w:val="00A91C19"/>
    <w:rsid w:val="00A9297F"/>
    <w:rsid w:val="00A92A74"/>
    <w:rsid w:val="00A92D33"/>
    <w:rsid w:val="00A93331"/>
    <w:rsid w:val="00A93590"/>
    <w:rsid w:val="00A93CCB"/>
    <w:rsid w:val="00A94228"/>
    <w:rsid w:val="00A94D3F"/>
    <w:rsid w:val="00A94ECC"/>
    <w:rsid w:val="00A958B5"/>
    <w:rsid w:val="00A95BBA"/>
    <w:rsid w:val="00A9600B"/>
    <w:rsid w:val="00A96090"/>
    <w:rsid w:val="00A96306"/>
    <w:rsid w:val="00A96500"/>
    <w:rsid w:val="00A966C6"/>
    <w:rsid w:val="00A97221"/>
    <w:rsid w:val="00A9765B"/>
    <w:rsid w:val="00A97716"/>
    <w:rsid w:val="00A97C01"/>
    <w:rsid w:val="00AA169A"/>
    <w:rsid w:val="00AA269B"/>
    <w:rsid w:val="00AA44D7"/>
    <w:rsid w:val="00AA5210"/>
    <w:rsid w:val="00AA5610"/>
    <w:rsid w:val="00AA59E5"/>
    <w:rsid w:val="00AA5A72"/>
    <w:rsid w:val="00AA6159"/>
    <w:rsid w:val="00AA694E"/>
    <w:rsid w:val="00AA743D"/>
    <w:rsid w:val="00AB10E5"/>
    <w:rsid w:val="00AB1442"/>
    <w:rsid w:val="00AB196F"/>
    <w:rsid w:val="00AB1BF0"/>
    <w:rsid w:val="00AB21C1"/>
    <w:rsid w:val="00AB21C6"/>
    <w:rsid w:val="00AB28FA"/>
    <w:rsid w:val="00AB2A67"/>
    <w:rsid w:val="00AB45D8"/>
    <w:rsid w:val="00AB4D47"/>
    <w:rsid w:val="00AB5671"/>
    <w:rsid w:val="00AB57E8"/>
    <w:rsid w:val="00AB5D4C"/>
    <w:rsid w:val="00AB5F72"/>
    <w:rsid w:val="00AB68B2"/>
    <w:rsid w:val="00AB6A9B"/>
    <w:rsid w:val="00AB6B93"/>
    <w:rsid w:val="00AB7063"/>
    <w:rsid w:val="00AB7614"/>
    <w:rsid w:val="00AB77A3"/>
    <w:rsid w:val="00AB7F99"/>
    <w:rsid w:val="00AC02C7"/>
    <w:rsid w:val="00AC05EE"/>
    <w:rsid w:val="00AC121A"/>
    <w:rsid w:val="00AC138A"/>
    <w:rsid w:val="00AC24C9"/>
    <w:rsid w:val="00AC2E89"/>
    <w:rsid w:val="00AC2F97"/>
    <w:rsid w:val="00AC316E"/>
    <w:rsid w:val="00AC31E5"/>
    <w:rsid w:val="00AC364C"/>
    <w:rsid w:val="00AC395B"/>
    <w:rsid w:val="00AC39D1"/>
    <w:rsid w:val="00AC3A33"/>
    <w:rsid w:val="00AC3D93"/>
    <w:rsid w:val="00AC44CB"/>
    <w:rsid w:val="00AC4DB1"/>
    <w:rsid w:val="00AC562F"/>
    <w:rsid w:val="00AC6E54"/>
    <w:rsid w:val="00AC7640"/>
    <w:rsid w:val="00AC771A"/>
    <w:rsid w:val="00AC7B9E"/>
    <w:rsid w:val="00AC7EDE"/>
    <w:rsid w:val="00AD0CB6"/>
    <w:rsid w:val="00AD1772"/>
    <w:rsid w:val="00AD18DB"/>
    <w:rsid w:val="00AD1E36"/>
    <w:rsid w:val="00AD2EBC"/>
    <w:rsid w:val="00AD414A"/>
    <w:rsid w:val="00AD4397"/>
    <w:rsid w:val="00AD43E3"/>
    <w:rsid w:val="00AD49DF"/>
    <w:rsid w:val="00AD528C"/>
    <w:rsid w:val="00AD617B"/>
    <w:rsid w:val="00AD66C3"/>
    <w:rsid w:val="00AD7310"/>
    <w:rsid w:val="00AD79CC"/>
    <w:rsid w:val="00AD7CED"/>
    <w:rsid w:val="00AE05C6"/>
    <w:rsid w:val="00AE1F98"/>
    <w:rsid w:val="00AE212D"/>
    <w:rsid w:val="00AE28F5"/>
    <w:rsid w:val="00AE2AFD"/>
    <w:rsid w:val="00AE2DBB"/>
    <w:rsid w:val="00AE30BD"/>
    <w:rsid w:val="00AE3656"/>
    <w:rsid w:val="00AE4063"/>
    <w:rsid w:val="00AE4531"/>
    <w:rsid w:val="00AE4E8B"/>
    <w:rsid w:val="00AE4F3E"/>
    <w:rsid w:val="00AE5027"/>
    <w:rsid w:val="00AE51BF"/>
    <w:rsid w:val="00AE5D28"/>
    <w:rsid w:val="00AE7D0E"/>
    <w:rsid w:val="00AE7E28"/>
    <w:rsid w:val="00AF0E56"/>
    <w:rsid w:val="00AF1307"/>
    <w:rsid w:val="00AF163D"/>
    <w:rsid w:val="00AF20CA"/>
    <w:rsid w:val="00AF262C"/>
    <w:rsid w:val="00AF28C3"/>
    <w:rsid w:val="00AF3817"/>
    <w:rsid w:val="00AF40D2"/>
    <w:rsid w:val="00AF4D61"/>
    <w:rsid w:val="00AF5460"/>
    <w:rsid w:val="00AF566B"/>
    <w:rsid w:val="00AF6A7D"/>
    <w:rsid w:val="00AF6D79"/>
    <w:rsid w:val="00AF72D5"/>
    <w:rsid w:val="00AF7766"/>
    <w:rsid w:val="00AF7A46"/>
    <w:rsid w:val="00AF7B29"/>
    <w:rsid w:val="00AF7FCC"/>
    <w:rsid w:val="00B00247"/>
    <w:rsid w:val="00B008E0"/>
    <w:rsid w:val="00B00C2E"/>
    <w:rsid w:val="00B01B69"/>
    <w:rsid w:val="00B01D90"/>
    <w:rsid w:val="00B01E75"/>
    <w:rsid w:val="00B022ED"/>
    <w:rsid w:val="00B024DA"/>
    <w:rsid w:val="00B02FF9"/>
    <w:rsid w:val="00B03601"/>
    <w:rsid w:val="00B03B81"/>
    <w:rsid w:val="00B043CC"/>
    <w:rsid w:val="00B046B2"/>
    <w:rsid w:val="00B0560E"/>
    <w:rsid w:val="00B05B9A"/>
    <w:rsid w:val="00B05E83"/>
    <w:rsid w:val="00B06768"/>
    <w:rsid w:val="00B069BE"/>
    <w:rsid w:val="00B07137"/>
    <w:rsid w:val="00B07152"/>
    <w:rsid w:val="00B071C2"/>
    <w:rsid w:val="00B074F6"/>
    <w:rsid w:val="00B0761D"/>
    <w:rsid w:val="00B1047A"/>
    <w:rsid w:val="00B10D7D"/>
    <w:rsid w:val="00B10E51"/>
    <w:rsid w:val="00B12C3B"/>
    <w:rsid w:val="00B13597"/>
    <w:rsid w:val="00B13DC9"/>
    <w:rsid w:val="00B14257"/>
    <w:rsid w:val="00B14BC5"/>
    <w:rsid w:val="00B161F6"/>
    <w:rsid w:val="00B165E8"/>
    <w:rsid w:val="00B166B3"/>
    <w:rsid w:val="00B16900"/>
    <w:rsid w:val="00B16C2A"/>
    <w:rsid w:val="00B174BF"/>
    <w:rsid w:val="00B1763C"/>
    <w:rsid w:val="00B17FE2"/>
    <w:rsid w:val="00B20115"/>
    <w:rsid w:val="00B2033C"/>
    <w:rsid w:val="00B20F00"/>
    <w:rsid w:val="00B22F6D"/>
    <w:rsid w:val="00B23147"/>
    <w:rsid w:val="00B23433"/>
    <w:rsid w:val="00B24540"/>
    <w:rsid w:val="00B246AB"/>
    <w:rsid w:val="00B250B9"/>
    <w:rsid w:val="00B2513D"/>
    <w:rsid w:val="00B256D0"/>
    <w:rsid w:val="00B25C66"/>
    <w:rsid w:val="00B25CF1"/>
    <w:rsid w:val="00B25FA8"/>
    <w:rsid w:val="00B26431"/>
    <w:rsid w:val="00B2643D"/>
    <w:rsid w:val="00B26B4B"/>
    <w:rsid w:val="00B27304"/>
    <w:rsid w:val="00B2757A"/>
    <w:rsid w:val="00B279B3"/>
    <w:rsid w:val="00B30F45"/>
    <w:rsid w:val="00B31889"/>
    <w:rsid w:val="00B31A7A"/>
    <w:rsid w:val="00B31CB4"/>
    <w:rsid w:val="00B31D73"/>
    <w:rsid w:val="00B32272"/>
    <w:rsid w:val="00B32779"/>
    <w:rsid w:val="00B32D1F"/>
    <w:rsid w:val="00B32F49"/>
    <w:rsid w:val="00B33593"/>
    <w:rsid w:val="00B33B05"/>
    <w:rsid w:val="00B33CF1"/>
    <w:rsid w:val="00B347A1"/>
    <w:rsid w:val="00B358A1"/>
    <w:rsid w:val="00B35B64"/>
    <w:rsid w:val="00B35BDC"/>
    <w:rsid w:val="00B35D44"/>
    <w:rsid w:val="00B362B4"/>
    <w:rsid w:val="00B369C4"/>
    <w:rsid w:val="00B36B32"/>
    <w:rsid w:val="00B36F5F"/>
    <w:rsid w:val="00B37097"/>
    <w:rsid w:val="00B376D4"/>
    <w:rsid w:val="00B3793B"/>
    <w:rsid w:val="00B37ED4"/>
    <w:rsid w:val="00B40A47"/>
    <w:rsid w:val="00B416AA"/>
    <w:rsid w:val="00B41C33"/>
    <w:rsid w:val="00B41E2A"/>
    <w:rsid w:val="00B42172"/>
    <w:rsid w:val="00B42476"/>
    <w:rsid w:val="00B4253D"/>
    <w:rsid w:val="00B42C54"/>
    <w:rsid w:val="00B42DC3"/>
    <w:rsid w:val="00B42E73"/>
    <w:rsid w:val="00B43CFA"/>
    <w:rsid w:val="00B4597D"/>
    <w:rsid w:val="00B4599E"/>
    <w:rsid w:val="00B45C70"/>
    <w:rsid w:val="00B47278"/>
    <w:rsid w:val="00B50492"/>
    <w:rsid w:val="00B504C5"/>
    <w:rsid w:val="00B50AAB"/>
    <w:rsid w:val="00B52717"/>
    <w:rsid w:val="00B52F19"/>
    <w:rsid w:val="00B53096"/>
    <w:rsid w:val="00B53718"/>
    <w:rsid w:val="00B53A9E"/>
    <w:rsid w:val="00B54290"/>
    <w:rsid w:val="00B544C1"/>
    <w:rsid w:val="00B5459C"/>
    <w:rsid w:val="00B545A3"/>
    <w:rsid w:val="00B5546C"/>
    <w:rsid w:val="00B5582E"/>
    <w:rsid w:val="00B55B4C"/>
    <w:rsid w:val="00B55BBD"/>
    <w:rsid w:val="00B56892"/>
    <w:rsid w:val="00B5693D"/>
    <w:rsid w:val="00B56A56"/>
    <w:rsid w:val="00B575BB"/>
    <w:rsid w:val="00B5788B"/>
    <w:rsid w:val="00B57BA0"/>
    <w:rsid w:val="00B60937"/>
    <w:rsid w:val="00B6272F"/>
    <w:rsid w:val="00B62823"/>
    <w:rsid w:val="00B62D86"/>
    <w:rsid w:val="00B63249"/>
    <w:rsid w:val="00B63549"/>
    <w:rsid w:val="00B64A88"/>
    <w:rsid w:val="00B64CD1"/>
    <w:rsid w:val="00B64EB2"/>
    <w:rsid w:val="00B653CB"/>
    <w:rsid w:val="00B65817"/>
    <w:rsid w:val="00B659D8"/>
    <w:rsid w:val="00B65E74"/>
    <w:rsid w:val="00B66746"/>
    <w:rsid w:val="00B66C0B"/>
    <w:rsid w:val="00B670A5"/>
    <w:rsid w:val="00B6716A"/>
    <w:rsid w:val="00B67408"/>
    <w:rsid w:val="00B702D4"/>
    <w:rsid w:val="00B704E3"/>
    <w:rsid w:val="00B7063E"/>
    <w:rsid w:val="00B707E3"/>
    <w:rsid w:val="00B724CC"/>
    <w:rsid w:val="00B724DD"/>
    <w:rsid w:val="00B729C2"/>
    <w:rsid w:val="00B72C4B"/>
    <w:rsid w:val="00B72F67"/>
    <w:rsid w:val="00B732CA"/>
    <w:rsid w:val="00B7392F"/>
    <w:rsid w:val="00B74339"/>
    <w:rsid w:val="00B745BC"/>
    <w:rsid w:val="00B746D6"/>
    <w:rsid w:val="00B74901"/>
    <w:rsid w:val="00B7531C"/>
    <w:rsid w:val="00B764AA"/>
    <w:rsid w:val="00B76A0E"/>
    <w:rsid w:val="00B77C98"/>
    <w:rsid w:val="00B800AB"/>
    <w:rsid w:val="00B8011E"/>
    <w:rsid w:val="00B80271"/>
    <w:rsid w:val="00B80535"/>
    <w:rsid w:val="00B807E9"/>
    <w:rsid w:val="00B80D85"/>
    <w:rsid w:val="00B8132D"/>
    <w:rsid w:val="00B81664"/>
    <w:rsid w:val="00B8166F"/>
    <w:rsid w:val="00B818F7"/>
    <w:rsid w:val="00B82BDE"/>
    <w:rsid w:val="00B838A4"/>
    <w:rsid w:val="00B84420"/>
    <w:rsid w:val="00B84AC0"/>
    <w:rsid w:val="00B85183"/>
    <w:rsid w:val="00B86BF8"/>
    <w:rsid w:val="00B86F65"/>
    <w:rsid w:val="00B871AD"/>
    <w:rsid w:val="00B8792B"/>
    <w:rsid w:val="00B87F40"/>
    <w:rsid w:val="00B900AE"/>
    <w:rsid w:val="00B9014A"/>
    <w:rsid w:val="00B9041C"/>
    <w:rsid w:val="00B90A78"/>
    <w:rsid w:val="00B91089"/>
    <w:rsid w:val="00B91D77"/>
    <w:rsid w:val="00B922C2"/>
    <w:rsid w:val="00B926AF"/>
    <w:rsid w:val="00B92941"/>
    <w:rsid w:val="00B92981"/>
    <w:rsid w:val="00B93946"/>
    <w:rsid w:val="00B9483E"/>
    <w:rsid w:val="00B9484B"/>
    <w:rsid w:val="00B94E71"/>
    <w:rsid w:val="00B9626D"/>
    <w:rsid w:val="00B9670A"/>
    <w:rsid w:val="00B96E92"/>
    <w:rsid w:val="00B97160"/>
    <w:rsid w:val="00B971E5"/>
    <w:rsid w:val="00BA0BEC"/>
    <w:rsid w:val="00BA1BA5"/>
    <w:rsid w:val="00BA1C1F"/>
    <w:rsid w:val="00BA229C"/>
    <w:rsid w:val="00BA302A"/>
    <w:rsid w:val="00BA34EE"/>
    <w:rsid w:val="00BA35A4"/>
    <w:rsid w:val="00BA3F6F"/>
    <w:rsid w:val="00BA5B5B"/>
    <w:rsid w:val="00BA5DF8"/>
    <w:rsid w:val="00BA5F85"/>
    <w:rsid w:val="00BA7146"/>
    <w:rsid w:val="00BA7498"/>
    <w:rsid w:val="00BA7B35"/>
    <w:rsid w:val="00BB0957"/>
    <w:rsid w:val="00BB0A2B"/>
    <w:rsid w:val="00BB0D73"/>
    <w:rsid w:val="00BB0EDB"/>
    <w:rsid w:val="00BB10B3"/>
    <w:rsid w:val="00BB1731"/>
    <w:rsid w:val="00BB2700"/>
    <w:rsid w:val="00BB382B"/>
    <w:rsid w:val="00BB3F53"/>
    <w:rsid w:val="00BB45D4"/>
    <w:rsid w:val="00BB47D0"/>
    <w:rsid w:val="00BB4E8D"/>
    <w:rsid w:val="00BB51EB"/>
    <w:rsid w:val="00BB5661"/>
    <w:rsid w:val="00BB5890"/>
    <w:rsid w:val="00BB58BC"/>
    <w:rsid w:val="00BB5AF2"/>
    <w:rsid w:val="00BB5B4D"/>
    <w:rsid w:val="00BB5CCE"/>
    <w:rsid w:val="00BB65F4"/>
    <w:rsid w:val="00BB7C12"/>
    <w:rsid w:val="00BB7F59"/>
    <w:rsid w:val="00BB7FDE"/>
    <w:rsid w:val="00BC08B1"/>
    <w:rsid w:val="00BC0ADE"/>
    <w:rsid w:val="00BC103E"/>
    <w:rsid w:val="00BC1812"/>
    <w:rsid w:val="00BC1DAB"/>
    <w:rsid w:val="00BC1E9A"/>
    <w:rsid w:val="00BC222B"/>
    <w:rsid w:val="00BC3EAD"/>
    <w:rsid w:val="00BC4186"/>
    <w:rsid w:val="00BC49EF"/>
    <w:rsid w:val="00BC4F00"/>
    <w:rsid w:val="00BC672E"/>
    <w:rsid w:val="00BC677F"/>
    <w:rsid w:val="00BC700A"/>
    <w:rsid w:val="00BC7561"/>
    <w:rsid w:val="00BD0251"/>
    <w:rsid w:val="00BD0657"/>
    <w:rsid w:val="00BD06FB"/>
    <w:rsid w:val="00BD0E26"/>
    <w:rsid w:val="00BD1327"/>
    <w:rsid w:val="00BD19F8"/>
    <w:rsid w:val="00BD1B83"/>
    <w:rsid w:val="00BD2CA1"/>
    <w:rsid w:val="00BD33DE"/>
    <w:rsid w:val="00BD3D67"/>
    <w:rsid w:val="00BD3E7E"/>
    <w:rsid w:val="00BD3F06"/>
    <w:rsid w:val="00BD42BF"/>
    <w:rsid w:val="00BD4CAB"/>
    <w:rsid w:val="00BD4E10"/>
    <w:rsid w:val="00BD4EDB"/>
    <w:rsid w:val="00BD59DB"/>
    <w:rsid w:val="00BD5F33"/>
    <w:rsid w:val="00BD62E9"/>
    <w:rsid w:val="00BD72F0"/>
    <w:rsid w:val="00BD798A"/>
    <w:rsid w:val="00BD7C86"/>
    <w:rsid w:val="00BD7E45"/>
    <w:rsid w:val="00BE0885"/>
    <w:rsid w:val="00BE09E3"/>
    <w:rsid w:val="00BE09F5"/>
    <w:rsid w:val="00BE0DF7"/>
    <w:rsid w:val="00BE2140"/>
    <w:rsid w:val="00BE24BF"/>
    <w:rsid w:val="00BE2C7D"/>
    <w:rsid w:val="00BE2F11"/>
    <w:rsid w:val="00BE3347"/>
    <w:rsid w:val="00BE366D"/>
    <w:rsid w:val="00BE573B"/>
    <w:rsid w:val="00BE6929"/>
    <w:rsid w:val="00BE7CAA"/>
    <w:rsid w:val="00BF0778"/>
    <w:rsid w:val="00BF0788"/>
    <w:rsid w:val="00BF07A1"/>
    <w:rsid w:val="00BF08B5"/>
    <w:rsid w:val="00BF0F71"/>
    <w:rsid w:val="00BF1CD2"/>
    <w:rsid w:val="00BF293A"/>
    <w:rsid w:val="00BF29CE"/>
    <w:rsid w:val="00BF2B33"/>
    <w:rsid w:val="00BF2FB6"/>
    <w:rsid w:val="00BF3656"/>
    <w:rsid w:val="00BF49D3"/>
    <w:rsid w:val="00BF4B6D"/>
    <w:rsid w:val="00BF58D5"/>
    <w:rsid w:val="00BF5DB9"/>
    <w:rsid w:val="00BF5F41"/>
    <w:rsid w:val="00BF67D1"/>
    <w:rsid w:val="00BF6D20"/>
    <w:rsid w:val="00BF6D71"/>
    <w:rsid w:val="00BF71AC"/>
    <w:rsid w:val="00BF739E"/>
    <w:rsid w:val="00BF76AF"/>
    <w:rsid w:val="00BF76E4"/>
    <w:rsid w:val="00BF77B7"/>
    <w:rsid w:val="00BF7DD8"/>
    <w:rsid w:val="00C00271"/>
    <w:rsid w:val="00C004CF"/>
    <w:rsid w:val="00C00797"/>
    <w:rsid w:val="00C0085E"/>
    <w:rsid w:val="00C00AAF"/>
    <w:rsid w:val="00C01527"/>
    <w:rsid w:val="00C01861"/>
    <w:rsid w:val="00C01925"/>
    <w:rsid w:val="00C01CB7"/>
    <w:rsid w:val="00C01CF3"/>
    <w:rsid w:val="00C02594"/>
    <w:rsid w:val="00C03290"/>
    <w:rsid w:val="00C0350D"/>
    <w:rsid w:val="00C03F56"/>
    <w:rsid w:val="00C041F6"/>
    <w:rsid w:val="00C04302"/>
    <w:rsid w:val="00C04689"/>
    <w:rsid w:val="00C04AD6"/>
    <w:rsid w:val="00C04D20"/>
    <w:rsid w:val="00C04F25"/>
    <w:rsid w:val="00C053E9"/>
    <w:rsid w:val="00C058D8"/>
    <w:rsid w:val="00C060A2"/>
    <w:rsid w:val="00C072C4"/>
    <w:rsid w:val="00C0735A"/>
    <w:rsid w:val="00C073AB"/>
    <w:rsid w:val="00C07662"/>
    <w:rsid w:val="00C07E91"/>
    <w:rsid w:val="00C07E96"/>
    <w:rsid w:val="00C07E9F"/>
    <w:rsid w:val="00C1046B"/>
    <w:rsid w:val="00C10675"/>
    <w:rsid w:val="00C10E76"/>
    <w:rsid w:val="00C1109C"/>
    <w:rsid w:val="00C114D1"/>
    <w:rsid w:val="00C1155A"/>
    <w:rsid w:val="00C117DF"/>
    <w:rsid w:val="00C11FA6"/>
    <w:rsid w:val="00C12899"/>
    <w:rsid w:val="00C12A8C"/>
    <w:rsid w:val="00C13535"/>
    <w:rsid w:val="00C13907"/>
    <w:rsid w:val="00C13DE6"/>
    <w:rsid w:val="00C1416B"/>
    <w:rsid w:val="00C14815"/>
    <w:rsid w:val="00C14A06"/>
    <w:rsid w:val="00C15461"/>
    <w:rsid w:val="00C15757"/>
    <w:rsid w:val="00C15B79"/>
    <w:rsid w:val="00C15E4E"/>
    <w:rsid w:val="00C16F6C"/>
    <w:rsid w:val="00C17436"/>
    <w:rsid w:val="00C179F7"/>
    <w:rsid w:val="00C17EF3"/>
    <w:rsid w:val="00C17FF7"/>
    <w:rsid w:val="00C200C4"/>
    <w:rsid w:val="00C20119"/>
    <w:rsid w:val="00C20769"/>
    <w:rsid w:val="00C20F31"/>
    <w:rsid w:val="00C21178"/>
    <w:rsid w:val="00C21F88"/>
    <w:rsid w:val="00C2251E"/>
    <w:rsid w:val="00C2272A"/>
    <w:rsid w:val="00C23A91"/>
    <w:rsid w:val="00C240A9"/>
    <w:rsid w:val="00C25606"/>
    <w:rsid w:val="00C26340"/>
    <w:rsid w:val="00C26AE0"/>
    <w:rsid w:val="00C27193"/>
    <w:rsid w:val="00C27439"/>
    <w:rsid w:val="00C27B2C"/>
    <w:rsid w:val="00C302DE"/>
    <w:rsid w:val="00C30C13"/>
    <w:rsid w:val="00C3125E"/>
    <w:rsid w:val="00C31D3A"/>
    <w:rsid w:val="00C31FE8"/>
    <w:rsid w:val="00C328A6"/>
    <w:rsid w:val="00C32F1F"/>
    <w:rsid w:val="00C339CB"/>
    <w:rsid w:val="00C33A04"/>
    <w:rsid w:val="00C34234"/>
    <w:rsid w:val="00C3441D"/>
    <w:rsid w:val="00C35305"/>
    <w:rsid w:val="00C35628"/>
    <w:rsid w:val="00C3591A"/>
    <w:rsid w:val="00C3626E"/>
    <w:rsid w:val="00C37F05"/>
    <w:rsid w:val="00C400A4"/>
    <w:rsid w:val="00C400AE"/>
    <w:rsid w:val="00C408E5"/>
    <w:rsid w:val="00C40971"/>
    <w:rsid w:val="00C41856"/>
    <w:rsid w:val="00C41A22"/>
    <w:rsid w:val="00C42102"/>
    <w:rsid w:val="00C428C0"/>
    <w:rsid w:val="00C43815"/>
    <w:rsid w:val="00C44645"/>
    <w:rsid w:val="00C44A84"/>
    <w:rsid w:val="00C45768"/>
    <w:rsid w:val="00C4714F"/>
    <w:rsid w:val="00C47E6F"/>
    <w:rsid w:val="00C501E1"/>
    <w:rsid w:val="00C5052D"/>
    <w:rsid w:val="00C505A8"/>
    <w:rsid w:val="00C50AFE"/>
    <w:rsid w:val="00C517DD"/>
    <w:rsid w:val="00C51EFD"/>
    <w:rsid w:val="00C52782"/>
    <w:rsid w:val="00C5288F"/>
    <w:rsid w:val="00C529AF"/>
    <w:rsid w:val="00C531A2"/>
    <w:rsid w:val="00C53451"/>
    <w:rsid w:val="00C535C7"/>
    <w:rsid w:val="00C53766"/>
    <w:rsid w:val="00C544CB"/>
    <w:rsid w:val="00C545DE"/>
    <w:rsid w:val="00C54E35"/>
    <w:rsid w:val="00C5508A"/>
    <w:rsid w:val="00C5550D"/>
    <w:rsid w:val="00C556B7"/>
    <w:rsid w:val="00C55B2F"/>
    <w:rsid w:val="00C55DB5"/>
    <w:rsid w:val="00C56044"/>
    <w:rsid w:val="00C5607E"/>
    <w:rsid w:val="00C56119"/>
    <w:rsid w:val="00C563E1"/>
    <w:rsid w:val="00C569B9"/>
    <w:rsid w:val="00C57436"/>
    <w:rsid w:val="00C57C16"/>
    <w:rsid w:val="00C57EDB"/>
    <w:rsid w:val="00C60754"/>
    <w:rsid w:val="00C61634"/>
    <w:rsid w:val="00C6186B"/>
    <w:rsid w:val="00C61C1F"/>
    <w:rsid w:val="00C6228A"/>
    <w:rsid w:val="00C624B6"/>
    <w:rsid w:val="00C62E99"/>
    <w:rsid w:val="00C63015"/>
    <w:rsid w:val="00C630A7"/>
    <w:rsid w:val="00C631D6"/>
    <w:rsid w:val="00C63CF9"/>
    <w:rsid w:val="00C650AC"/>
    <w:rsid w:val="00C65744"/>
    <w:rsid w:val="00C660B1"/>
    <w:rsid w:val="00C662F9"/>
    <w:rsid w:val="00C670CE"/>
    <w:rsid w:val="00C673B0"/>
    <w:rsid w:val="00C6741C"/>
    <w:rsid w:val="00C67736"/>
    <w:rsid w:val="00C67E02"/>
    <w:rsid w:val="00C703FF"/>
    <w:rsid w:val="00C70689"/>
    <w:rsid w:val="00C70AC2"/>
    <w:rsid w:val="00C7161A"/>
    <w:rsid w:val="00C71887"/>
    <w:rsid w:val="00C71C15"/>
    <w:rsid w:val="00C71FFC"/>
    <w:rsid w:val="00C724EF"/>
    <w:rsid w:val="00C72F9B"/>
    <w:rsid w:val="00C7307E"/>
    <w:rsid w:val="00C734FE"/>
    <w:rsid w:val="00C74129"/>
    <w:rsid w:val="00C74227"/>
    <w:rsid w:val="00C7523F"/>
    <w:rsid w:val="00C761A3"/>
    <w:rsid w:val="00C76414"/>
    <w:rsid w:val="00C767EC"/>
    <w:rsid w:val="00C76998"/>
    <w:rsid w:val="00C76F16"/>
    <w:rsid w:val="00C77CE0"/>
    <w:rsid w:val="00C77F79"/>
    <w:rsid w:val="00C77FF5"/>
    <w:rsid w:val="00C804B4"/>
    <w:rsid w:val="00C813DE"/>
    <w:rsid w:val="00C81414"/>
    <w:rsid w:val="00C81627"/>
    <w:rsid w:val="00C8197D"/>
    <w:rsid w:val="00C8211F"/>
    <w:rsid w:val="00C82293"/>
    <w:rsid w:val="00C83543"/>
    <w:rsid w:val="00C84695"/>
    <w:rsid w:val="00C84A12"/>
    <w:rsid w:val="00C855C9"/>
    <w:rsid w:val="00C855FE"/>
    <w:rsid w:val="00C85968"/>
    <w:rsid w:val="00C85E9C"/>
    <w:rsid w:val="00C86193"/>
    <w:rsid w:val="00C86BD6"/>
    <w:rsid w:val="00C87413"/>
    <w:rsid w:val="00C8791B"/>
    <w:rsid w:val="00C87A6F"/>
    <w:rsid w:val="00C87AEC"/>
    <w:rsid w:val="00C87C50"/>
    <w:rsid w:val="00C907E9"/>
    <w:rsid w:val="00C90825"/>
    <w:rsid w:val="00C90FC3"/>
    <w:rsid w:val="00C91C0F"/>
    <w:rsid w:val="00C92764"/>
    <w:rsid w:val="00C927C5"/>
    <w:rsid w:val="00C929D8"/>
    <w:rsid w:val="00C92FB3"/>
    <w:rsid w:val="00C9352C"/>
    <w:rsid w:val="00C93BC2"/>
    <w:rsid w:val="00C93E39"/>
    <w:rsid w:val="00C94103"/>
    <w:rsid w:val="00C9456B"/>
    <w:rsid w:val="00C94846"/>
    <w:rsid w:val="00C95165"/>
    <w:rsid w:val="00C95A5B"/>
    <w:rsid w:val="00C95AD2"/>
    <w:rsid w:val="00C9680C"/>
    <w:rsid w:val="00C96BD4"/>
    <w:rsid w:val="00C97270"/>
    <w:rsid w:val="00C97434"/>
    <w:rsid w:val="00C97497"/>
    <w:rsid w:val="00C97F25"/>
    <w:rsid w:val="00C97FF4"/>
    <w:rsid w:val="00CA0DF2"/>
    <w:rsid w:val="00CA0F05"/>
    <w:rsid w:val="00CA11E1"/>
    <w:rsid w:val="00CA1D6E"/>
    <w:rsid w:val="00CA25AA"/>
    <w:rsid w:val="00CA269E"/>
    <w:rsid w:val="00CA2EC0"/>
    <w:rsid w:val="00CA3075"/>
    <w:rsid w:val="00CA322E"/>
    <w:rsid w:val="00CA3559"/>
    <w:rsid w:val="00CA35D2"/>
    <w:rsid w:val="00CA377C"/>
    <w:rsid w:val="00CA4370"/>
    <w:rsid w:val="00CA4AFF"/>
    <w:rsid w:val="00CA4C23"/>
    <w:rsid w:val="00CA5351"/>
    <w:rsid w:val="00CA5520"/>
    <w:rsid w:val="00CA5BEE"/>
    <w:rsid w:val="00CA5F16"/>
    <w:rsid w:val="00CA6116"/>
    <w:rsid w:val="00CA755F"/>
    <w:rsid w:val="00CA7EEC"/>
    <w:rsid w:val="00CB0C49"/>
    <w:rsid w:val="00CB0E63"/>
    <w:rsid w:val="00CB1C97"/>
    <w:rsid w:val="00CB2112"/>
    <w:rsid w:val="00CB24D7"/>
    <w:rsid w:val="00CB2F2F"/>
    <w:rsid w:val="00CB458E"/>
    <w:rsid w:val="00CB478D"/>
    <w:rsid w:val="00CB4D7B"/>
    <w:rsid w:val="00CB4E61"/>
    <w:rsid w:val="00CB5025"/>
    <w:rsid w:val="00CB51F6"/>
    <w:rsid w:val="00CB5951"/>
    <w:rsid w:val="00CB5A99"/>
    <w:rsid w:val="00CB5CA9"/>
    <w:rsid w:val="00CB6D12"/>
    <w:rsid w:val="00CB6EE1"/>
    <w:rsid w:val="00CB7520"/>
    <w:rsid w:val="00CB7A19"/>
    <w:rsid w:val="00CB7A78"/>
    <w:rsid w:val="00CC0DB3"/>
    <w:rsid w:val="00CC0EAD"/>
    <w:rsid w:val="00CC1385"/>
    <w:rsid w:val="00CC1E74"/>
    <w:rsid w:val="00CC2436"/>
    <w:rsid w:val="00CC2EBD"/>
    <w:rsid w:val="00CC3C36"/>
    <w:rsid w:val="00CC3CF9"/>
    <w:rsid w:val="00CC45D8"/>
    <w:rsid w:val="00CC475A"/>
    <w:rsid w:val="00CC5011"/>
    <w:rsid w:val="00CC52FC"/>
    <w:rsid w:val="00CC5357"/>
    <w:rsid w:val="00CC56FF"/>
    <w:rsid w:val="00CC5955"/>
    <w:rsid w:val="00CC5C79"/>
    <w:rsid w:val="00CC5DAD"/>
    <w:rsid w:val="00CC6708"/>
    <w:rsid w:val="00CC6842"/>
    <w:rsid w:val="00CC6889"/>
    <w:rsid w:val="00CC6DF6"/>
    <w:rsid w:val="00CC7E65"/>
    <w:rsid w:val="00CD0072"/>
    <w:rsid w:val="00CD06AB"/>
    <w:rsid w:val="00CD09A4"/>
    <w:rsid w:val="00CD0BAA"/>
    <w:rsid w:val="00CD0F48"/>
    <w:rsid w:val="00CD1707"/>
    <w:rsid w:val="00CD1E2C"/>
    <w:rsid w:val="00CD2B6E"/>
    <w:rsid w:val="00CD2E0E"/>
    <w:rsid w:val="00CD4E6C"/>
    <w:rsid w:val="00CD54DE"/>
    <w:rsid w:val="00CD56E2"/>
    <w:rsid w:val="00CD5992"/>
    <w:rsid w:val="00CD6039"/>
    <w:rsid w:val="00CD6602"/>
    <w:rsid w:val="00CE0FE7"/>
    <w:rsid w:val="00CE1053"/>
    <w:rsid w:val="00CE11DB"/>
    <w:rsid w:val="00CE1B71"/>
    <w:rsid w:val="00CE1CC1"/>
    <w:rsid w:val="00CE22FD"/>
    <w:rsid w:val="00CE2A40"/>
    <w:rsid w:val="00CE2C12"/>
    <w:rsid w:val="00CE31F2"/>
    <w:rsid w:val="00CE352C"/>
    <w:rsid w:val="00CE382F"/>
    <w:rsid w:val="00CE39AF"/>
    <w:rsid w:val="00CE3AE8"/>
    <w:rsid w:val="00CE4787"/>
    <w:rsid w:val="00CE5718"/>
    <w:rsid w:val="00CE587F"/>
    <w:rsid w:val="00CE5C11"/>
    <w:rsid w:val="00CE6137"/>
    <w:rsid w:val="00CE63EC"/>
    <w:rsid w:val="00CE679E"/>
    <w:rsid w:val="00CE6BC3"/>
    <w:rsid w:val="00CE6DCD"/>
    <w:rsid w:val="00CE6E8B"/>
    <w:rsid w:val="00CE702C"/>
    <w:rsid w:val="00CE7331"/>
    <w:rsid w:val="00CE73A1"/>
    <w:rsid w:val="00CE7724"/>
    <w:rsid w:val="00CF02C8"/>
    <w:rsid w:val="00CF079E"/>
    <w:rsid w:val="00CF0A1B"/>
    <w:rsid w:val="00CF0F5E"/>
    <w:rsid w:val="00CF1212"/>
    <w:rsid w:val="00CF2F51"/>
    <w:rsid w:val="00CF32D0"/>
    <w:rsid w:val="00CF3D7A"/>
    <w:rsid w:val="00CF47A7"/>
    <w:rsid w:val="00CF5355"/>
    <w:rsid w:val="00CF5E90"/>
    <w:rsid w:val="00CF6C48"/>
    <w:rsid w:val="00CF74C7"/>
    <w:rsid w:val="00CF797A"/>
    <w:rsid w:val="00CF7C0C"/>
    <w:rsid w:val="00CF7EED"/>
    <w:rsid w:val="00D01E66"/>
    <w:rsid w:val="00D02023"/>
    <w:rsid w:val="00D020E5"/>
    <w:rsid w:val="00D03A26"/>
    <w:rsid w:val="00D03A76"/>
    <w:rsid w:val="00D04640"/>
    <w:rsid w:val="00D047C8"/>
    <w:rsid w:val="00D048B1"/>
    <w:rsid w:val="00D04BBB"/>
    <w:rsid w:val="00D0510A"/>
    <w:rsid w:val="00D05FA2"/>
    <w:rsid w:val="00D05FB0"/>
    <w:rsid w:val="00D066AB"/>
    <w:rsid w:val="00D06A63"/>
    <w:rsid w:val="00D07050"/>
    <w:rsid w:val="00D07B7C"/>
    <w:rsid w:val="00D07E62"/>
    <w:rsid w:val="00D107C8"/>
    <w:rsid w:val="00D10842"/>
    <w:rsid w:val="00D10C36"/>
    <w:rsid w:val="00D1132F"/>
    <w:rsid w:val="00D11531"/>
    <w:rsid w:val="00D1166B"/>
    <w:rsid w:val="00D12166"/>
    <w:rsid w:val="00D12BE9"/>
    <w:rsid w:val="00D12F0F"/>
    <w:rsid w:val="00D13C63"/>
    <w:rsid w:val="00D145D0"/>
    <w:rsid w:val="00D15040"/>
    <w:rsid w:val="00D15236"/>
    <w:rsid w:val="00D15E82"/>
    <w:rsid w:val="00D16152"/>
    <w:rsid w:val="00D16320"/>
    <w:rsid w:val="00D1686A"/>
    <w:rsid w:val="00D17A16"/>
    <w:rsid w:val="00D17CED"/>
    <w:rsid w:val="00D20151"/>
    <w:rsid w:val="00D20747"/>
    <w:rsid w:val="00D20DB3"/>
    <w:rsid w:val="00D21482"/>
    <w:rsid w:val="00D21678"/>
    <w:rsid w:val="00D21AF1"/>
    <w:rsid w:val="00D227C0"/>
    <w:rsid w:val="00D2293E"/>
    <w:rsid w:val="00D22F24"/>
    <w:rsid w:val="00D23645"/>
    <w:rsid w:val="00D2439D"/>
    <w:rsid w:val="00D2454F"/>
    <w:rsid w:val="00D24A35"/>
    <w:rsid w:val="00D24A62"/>
    <w:rsid w:val="00D24BED"/>
    <w:rsid w:val="00D25384"/>
    <w:rsid w:val="00D253D8"/>
    <w:rsid w:val="00D25797"/>
    <w:rsid w:val="00D258D4"/>
    <w:rsid w:val="00D27FBB"/>
    <w:rsid w:val="00D30038"/>
    <w:rsid w:val="00D30C25"/>
    <w:rsid w:val="00D3171A"/>
    <w:rsid w:val="00D31EF3"/>
    <w:rsid w:val="00D328E7"/>
    <w:rsid w:val="00D32C88"/>
    <w:rsid w:val="00D33AB3"/>
    <w:rsid w:val="00D33DD6"/>
    <w:rsid w:val="00D3432B"/>
    <w:rsid w:val="00D3540C"/>
    <w:rsid w:val="00D35D1F"/>
    <w:rsid w:val="00D376D2"/>
    <w:rsid w:val="00D377C6"/>
    <w:rsid w:val="00D37E47"/>
    <w:rsid w:val="00D40355"/>
    <w:rsid w:val="00D40B1F"/>
    <w:rsid w:val="00D40D60"/>
    <w:rsid w:val="00D41004"/>
    <w:rsid w:val="00D41036"/>
    <w:rsid w:val="00D41FA7"/>
    <w:rsid w:val="00D4209E"/>
    <w:rsid w:val="00D423E9"/>
    <w:rsid w:val="00D42772"/>
    <w:rsid w:val="00D429F0"/>
    <w:rsid w:val="00D42E3C"/>
    <w:rsid w:val="00D43BE8"/>
    <w:rsid w:val="00D4400B"/>
    <w:rsid w:val="00D44174"/>
    <w:rsid w:val="00D44477"/>
    <w:rsid w:val="00D44760"/>
    <w:rsid w:val="00D44E18"/>
    <w:rsid w:val="00D4618C"/>
    <w:rsid w:val="00D47488"/>
    <w:rsid w:val="00D50A17"/>
    <w:rsid w:val="00D50C55"/>
    <w:rsid w:val="00D50F49"/>
    <w:rsid w:val="00D5148D"/>
    <w:rsid w:val="00D52187"/>
    <w:rsid w:val="00D52F1B"/>
    <w:rsid w:val="00D534BB"/>
    <w:rsid w:val="00D538E9"/>
    <w:rsid w:val="00D5400F"/>
    <w:rsid w:val="00D542BE"/>
    <w:rsid w:val="00D555A5"/>
    <w:rsid w:val="00D55B31"/>
    <w:rsid w:val="00D55B86"/>
    <w:rsid w:val="00D5679C"/>
    <w:rsid w:val="00D56E53"/>
    <w:rsid w:val="00D57181"/>
    <w:rsid w:val="00D5758D"/>
    <w:rsid w:val="00D578D6"/>
    <w:rsid w:val="00D60183"/>
    <w:rsid w:val="00D61486"/>
    <w:rsid w:val="00D615CB"/>
    <w:rsid w:val="00D615DE"/>
    <w:rsid w:val="00D6224E"/>
    <w:rsid w:val="00D62BBC"/>
    <w:rsid w:val="00D635AD"/>
    <w:rsid w:val="00D6394C"/>
    <w:rsid w:val="00D648CC"/>
    <w:rsid w:val="00D64969"/>
    <w:rsid w:val="00D65966"/>
    <w:rsid w:val="00D664B4"/>
    <w:rsid w:val="00D670CF"/>
    <w:rsid w:val="00D70C6F"/>
    <w:rsid w:val="00D718BC"/>
    <w:rsid w:val="00D72990"/>
    <w:rsid w:val="00D735F6"/>
    <w:rsid w:val="00D73B94"/>
    <w:rsid w:val="00D73DFE"/>
    <w:rsid w:val="00D73F01"/>
    <w:rsid w:val="00D7407B"/>
    <w:rsid w:val="00D74241"/>
    <w:rsid w:val="00D74C7C"/>
    <w:rsid w:val="00D753A2"/>
    <w:rsid w:val="00D753FA"/>
    <w:rsid w:val="00D76223"/>
    <w:rsid w:val="00D76550"/>
    <w:rsid w:val="00D76B77"/>
    <w:rsid w:val="00D7702E"/>
    <w:rsid w:val="00D774AF"/>
    <w:rsid w:val="00D80526"/>
    <w:rsid w:val="00D80CCC"/>
    <w:rsid w:val="00D810B1"/>
    <w:rsid w:val="00D811F5"/>
    <w:rsid w:val="00D8131B"/>
    <w:rsid w:val="00D82125"/>
    <w:rsid w:val="00D8276E"/>
    <w:rsid w:val="00D836B0"/>
    <w:rsid w:val="00D83C3F"/>
    <w:rsid w:val="00D83D9C"/>
    <w:rsid w:val="00D847C2"/>
    <w:rsid w:val="00D852AA"/>
    <w:rsid w:val="00D853D7"/>
    <w:rsid w:val="00D859F6"/>
    <w:rsid w:val="00D86104"/>
    <w:rsid w:val="00D87F90"/>
    <w:rsid w:val="00D90071"/>
    <w:rsid w:val="00D900F9"/>
    <w:rsid w:val="00D91166"/>
    <w:rsid w:val="00D913AD"/>
    <w:rsid w:val="00D921E9"/>
    <w:rsid w:val="00D930FB"/>
    <w:rsid w:val="00D9326C"/>
    <w:rsid w:val="00D936A4"/>
    <w:rsid w:val="00D938BE"/>
    <w:rsid w:val="00D93BA1"/>
    <w:rsid w:val="00D93C71"/>
    <w:rsid w:val="00D94080"/>
    <w:rsid w:val="00D94EB8"/>
    <w:rsid w:val="00D95082"/>
    <w:rsid w:val="00D9583B"/>
    <w:rsid w:val="00D96AD4"/>
    <w:rsid w:val="00D96BE1"/>
    <w:rsid w:val="00D974B2"/>
    <w:rsid w:val="00D977E4"/>
    <w:rsid w:val="00DA0A6B"/>
    <w:rsid w:val="00DA153A"/>
    <w:rsid w:val="00DA1E72"/>
    <w:rsid w:val="00DA22A6"/>
    <w:rsid w:val="00DA2664"/>
    <w:rsid w:val="00DA34BC"/>
    <w:rsid w:val="00DA3E03"/>
    <w:rsid w:val="00DA3E35"/>
    <w:rsid w:val="00DA45BF"/>
    <w:rsid w:val="00DA4824"/>
    <w:rsid w:val="00DA548F"/>
    <w:rsid w:val="00DA5C59"/>
    <w:rsid w:val="00DA776D"/>
    <w:rsid w:val="00DB08A9"/>
    <w:rsid w:val="00DB0ED7"/>
    <w:rsid w:val="00DB0F38"/>
    <w:rsid w:val="00DB1271"/>
    <w:rsid w:val="00DB1414"/>
    <w:rsid w:val="00DB15BE"/>
    <w:rsid w:val="00DB160D"/>
    <w:rsid w:val="00DB21F4"/>
    <w:rsid w:val="00DB2C4A"/>
    <w:rsid w:val="00DB30CA"/>
    <w:rsid w:val="00DB3458"/>
    <w:rsid w:val="00DB36DA"/>
    <w:rsid w:val="00DB3C2A"/>
    <w:rsid w:val="00DB425D"/>
    <w:rsid w:val="00DB5257"/>
    <w:rsid w:val="00DB5784"/>
    <w:rsid w:val="00DB6065"/>
    <w:rsid w:val="00DB620D"/>
    <w:rsid w:val="00DB63F7"/>
    <w:rsid w:val="00DB6813"/>
    <w:rsid w:val="00DB6ACD"/>
    <w:rsid w:val="00DB6EA3"/>
    <w:rsid w:val="00DB75FC"/>
    <w:rsid w:val="00DB78A4"/>
    <w:rsid w:val="00DB7C2C"/>
    <w:rsid w:val="00DC00A5"/>
    <w:rsid w:val="00DC01D9"/>
    <w:rsid w:val="00DC037C"/>
    <w:rsid w:val="00DC05A8"/>
    <w:rsid w:val="00DC19B0"/>
    <w:rsid w:val="00DC2A3C"/>
    <w:rsid w:val="00DC3C82"/>
    <w:rsid w:val="00DC4453"/>
    <w:rsid w:val="00DC5CC4"/>
    <w:rsid w:val="00DC614B"/>
    <w:rsid w:val="00DC668F"/>
    <w:rsid w:val="00DC77C5"/>
    <w:rsid w:val="00DC798F"/>
    <w:rsid w:val="00DD0200"/>
    <w:rsid w:val="00DD0447"/>
    <w:rsid w:val="00DD0687"/>
    <w:rsid w:val="00DD12E9"/>
    <w:rsid w:val="00DD17BE"/>
    <w:rsid w:val="00DD185D"/>
    <w:rsid w:val="00DD1E99"/>
    <w:rsid w:val="00DD2565"/>
    <w:rsid w:val="00DD298A"/>
    <w:rsid w:val="00DD2A3A"/>
    <w:rsid w:val="00DD2B92"/>
    <w:rsid w:val="00DD3128"/>
    <w:rsid w:val="00DD3A8C"/>
    <w:rsid w:val="00DD3C74"/>
    <w:rsid w:val="00DD4F89"/>
    <w:rsid w:val="00DD5911"/>
    <w:rsid w:val="00DD5C2F"/>
    <w:rsid w:val="00DD5CD0"/>
    <w:rsid w:val="00DD5E00"/>
    <w:rsid w:val="00DD5F5F"/>
    <w:rsid w:val="00DD708D"/>
    <w:rsid w:val="00DD767A"/>
    <w:rsid w:val="00DD7741"/>
    <w:rsid w:val="00DE0527"/>
    <w:rsid w:val="00DE11A9"/>
    <w:rsid w:val="00DE11E5"/>
    <w:rsid w:val="00DE2D96"/>
    <w:rsid w:val="00DE33AB"/>
    <w:rsid w:val="00DE365B"/>
    <w:rsid w:val="00DE36B4"/>
    <w:rsid w:val="00DE3AA4"/>
    <w:rsid w:val="00DE41E0"/>
    <w:rsid w:val="00DE4456"/>
    <w:rsid w:val="00DE552D"/>
    <w:rsid w:val="00DE56FB"/>
    <w:rsid w:val="00DE59AF"/>
    <w:rsid w:val="00DE5A61"/>
    <w:rsid w:val="00DE67E4"/>
    <w:rsid w:val="00DE7500"/>
    <w:rsid w:val="00DE7904"/>
    <w:rsid w:val="00DF057A"/>
    <w:rsid w:val="00DF0800"/>
    <w:rsid w:val="00DF1111"/>
    <w:rsid w:val="00DF1129"/>
    <w:rsid w:val="00DF1400"/>
    <w:rsid w:val="00DF2295"/>
    <w:rsid w:val="00DF2A68"/>
    <w:rsid w:val="00DF2DF5"/>
    <w:rsid w:val="00DF30B1"/>
    <w:rsid w:val="00DF3109"/>
    <w:rsid w:val="00DF36FB"/>
    <w:rsid w:val="00DF392D"/>
    <w:rsid w:val="00DF403A"/>
    <w:rsid w:val="00DF443E"/>
    <w:rsid w:val="00DF45DE"/>
    <w:rsid w:val="00DF47B8"/>
    <w:rsid w:val="00DF4872"/>
    <w:rsid w:val="00DF4AA1"/>
    <w:rsid w:val="00DF4B6C"/>
    <w:rsid w:val="00DF57AE"/>
    <w:rsid w:val="00DF5C35"/>
    <w:rsid w:val="00DF636D"/>
    <w:rsid w:val="00DF64F2"/>
    <w:rsid w:val="00DF679A"/>
    <w:rsid w:val="00DF6A1E"/>
    <w:rsid w:val="00DF7539"/>
    <w:rsid w:val="00DF780F"/>
    <w:rsid w:val="00E001AC"/>
    <w:rsid w:val="00E00F2E"/>
    <w:rsid w:val="00E01D57"/>
    <w:rsid w:val="00E0258B"/>
    <w:rsid w:val="00E028F7"/>
    <w:rsid w:val="00E03250"/>
    <w:rsid w:val="00E0381F"/>
    <w:rsid w:val="00E03CAE"/>
    <w:rsid w:val="00E03DA7"/>
    <w:rsid w:val="00E03E8B"/>
    <w:rsid w:val="00E04444"/>
    <w:rsid w:val="00E04A68"/>
    <w:rsid w:val="00E04C3B"/>
    <w:rsid w:val="00E05285"/>
    <w:rsid w:val="00E05A45"/>
    <w:rsid w:val="00E05D75"/>
    <w:rsid w:val="00E0689F"/>
    <w:rsid w:val="00E068C1"/>
    <w:rsid w:val="00E0699E"/>
    <w:rsid w:val="00E06D39"/>
    <w:rsid w:val="00E07363"/>
    <w:rsid w:val="00E0765E"/>
    <w:rsid w:val="00E07727"/>
    <w:rsid w:val="00E07D09"/>
    <w:rsid w:val="00E07E00"/>
    <w:rsid w:val="00E10170"/>
    <w:rsid w:val="00E1039C"/>
    <w:rsid w:val="00E108AF"/>
    <w:rsid w:val="00E11A1E"/>
    <w:rsid w:val="00E11B60"/>
    <w:rsid w:val="00E122FA"/>
    <w:rsid w:val="00E12B7C"/>
    <w:rsid w:val="00E133F3"/>
    <w:rsid w:val="00E13D9D"/>
    <w:rsid w:val="00E141D1"/>
    <w:rsid w:val="00E146D9"/>
    <w:rsid w:val="00E14C72"/>
    <w:rsid w:val="00E1518C"/>
    <w:rsid w:val="00E1566F"/>
    <w:rsid w:val="00E15C7F"/>
    <w:rsid w:val="00E17B20"/>
    <w:rsid w:val="00E20012"/>
    <w:rsid w:val="00E202EB"/>
    <w:rsid w:val="00E21DE9"/>
    <w:rsid w:val="00E22119"/>
    <w:rsid w:val="00E22925"/>
    <w:rsid w:val="00E229D5"/>
    <w:rsid w:val="00E2332A"/>
    <w:rsid w:val="00E24319"/>
    <w:rsid w:val="00E2518C"/>
    <w:rsid w:val="00E25505"/>
    <w:rsid w:val="00E25876"/>
    <w:rsid w:val="00E25BB7"/>
    <w:rsid w:val="00E25DFE"/>
    <w:rsid w:val="00E26960"/>
    <w:rsid w:val="00E26D46"/>
    <w:rsid w:val="00E26F7D"/>
    <w:rsid w:val="00E2702E"/>
    <w:rsid w:val="00E27DF2"/>
    <w:rsid w:val="00E30938"/>
    <w:rsid w:val="00E3150D"/>
    <w:rsid w:val="00E3272C"/>
    <w:rsid w:val="00E32BEC"/>
    <w:rsid w:val="00E32E38"/>
    <w:rsid w:val="00E33F68"/>
    <w:rsid w:val="00E343F7"/>
    <w:rsid w:val="00E34589"/>
    <w:rsid w:val="00E346B9"/>
    <w:rsid w:val="00E35AC3"/>
    <w:rsid w:val="00E36728"/>
    <w:rsid w:val="00E369F7"/>
    <w:rsid w:val="00E369FD"/>
    <w:rsid w:val="00E36D3C"/>
    <w:rsid w:val="00E36D92"/>
    <w:rsid w:val="00E36ED7"/>
    <w:rsid w:val="00E37348"/>
    <w:rsid w:val="00E37E9D"/>
    <w:rsid w:val="00E404DE"/>
    <w:rsid w:val="00E406E0"/>
    <w:rsid w:val="00E4127D"/>
    <w:rsid w:val="00E41726"/>
    <w:rsid w:val="00E428AC"/>
    <w:rsid w:val="00E428C8"/>
    <w:rsid w:val="00E42A48"/>
    <w:rsid w:val="00E43945"/>
    <w:rsid w:val="00E43BD8"/>
    <w:rsid w:val="00E43EFD"/>
    <w:rsid w:val="00E440E6"/>
    <w:rsid w:val="00E44439"/>
    <w:rsid w:val="00E4469C"/>
    <w:rsid w:val="00E447DC"/>
    <w:rsid w:val="00E45070"/>
    <w:rsid w:val="00E453B1"/>
    <w:rsid w:val="00E4560F"/>
    <w:rsid w:val="00E45BD8"/>
    <w:rsid w:val="00E45BF9"/>
    <w:rsid w:val="00E45CCE"/>
    <w:rsid w:val="00E45E1B"/>
    <w:rsid w:val="00E45E54"/>
    <w:rsid w:val="00E4657F"/>
    <w:rsid w:val="00E4689E"/>
    <w:rsid w:val="00E468A0"/>
    <w:rsid w:val="00E4695F"/>
    <w:rsid w:val="00E46D86"/>
    <w:rsid w:val="00E50404"/>
    <w:rsid w:val="00E50870"/>
    <w:rsid w:val="00E50BC0"/>
    <w:rsid w:val="00E51420"/>
    <w:rsid w:val="00E5260A"/>
    <w:rsid w:val="00E529EE"/>
    <w:rsid w:val="00E52C0C"/>
    <w:rsid w:val="00E52ED7"/>
    <w:rsid w:val="00E5329A"/>
    <w:rsid w:val="00E53302"/>
    <w:rsid w:val="00E53E38"/>
    <w:rsid w:val="00E5443D"/>
    <w:rsid w:val="00E544D8"/>
    <w:rsid w:val="00E54B89"/>
    <w:rsid w:val="00E55596"/>
    <w:rsid w:val="00E559C8"/>
    <w:rsid w:val="00E561EE"/>
    <w:rsid w:val="00E564A8"/>
    <w:rsid w:val="00E56974"/>
    <w:rsid w:val="00E573D1"/>
    <w:rsid w:val="00E6020A"/>
    <w:rsid w:val="00E604B3"/>
    <w:rsid w:val="00E60780"/>
    <w:rsid w:val="00E60C0B"/>
    <w:rsid w:val="00E60FFD"/>
    <w:rsid w:val="00E61B5F"/>
    <w:rsid w:val="00E61CAB"/>
    <w:rsid w:val="00E61F31"/>
    <w:rsid w:val="00E62340"/>
    <w:rsid w:val="00E62F4E"/>
    <w:rsid w:val="00E6333C"/>
    <w:rsid w:val="00E63350"/>
    <w:rsid w:val="00E633EB"/>
    <w:rsid w:val="00E63BAC"/>
    <w:rsid w:val="00E655C4"/>
    <w:rsid w:val="00E65829"/>
    <w:rsid w:val="00E65C21"/>
    <w:rsid w:val="00E6721A"/>
    <w:rsid w:val="00E67578"/>
    <w:rsid w:val="00E67C1F"/>
    <w:rsid w:val="00E67EEF"/>
    <w:rsid w:val="00E67FEE"/>
    <w:rsid w:val="00E70C79"/>
    <w:rsid w:val="00E71CFD"/>
    <w:rsid w:val="00E72054"/>
    <w:rsid w:val="00E7213A"/>
    <w:rsid w:val="00E72559"/>
    <w:rsid w:val="00E72602"/>
    <w:rsid w:val="00E726A5"/>
    <w:rsid w:val="00E73728"/>
    <w:rsid w:val="00E73AD5"/>
    <w:rsid w:val="00E740A3"/>
    <w:rsid w:val="00E7577A"/>
    <w:rsid w:val="00E7587D"/>
    <w:rsid w:val="00E75CC1"/>
    <w:rsid w:val="00E76645"/>
    <w:rsid w:val="00E76BF3"/>
    <w:rsid w:val="00E7729F"/>
    <w:rsid w:val="00E7786F"/>
    <w:rsid w:val="00E77FDE"/>
    <w:rsid w:val="00E801FC"/>
    <w:rsid w:val="00E8031A"/>
    <w:rsid w:val="00E80E7B"/>
    <w:rsid w:val="00E811D7"/>
    <w:rsid w:val="00E813B3"/>
    <w:rsid w:val="00E8189F"/>
    <w:rsid w:val="00E82E5B"/>
    <w:rsid w:val="00E8316B"/>
    <w:rsid w:val="00E83681"/>
    <w:rsid w:val="00E83793"/>
    <w:rsid w:val="00E84338"/>
    <w:rsid w:val="00E856A5"/>
    <w:rsid w:val="00E85797"/>
    <w:rsid w:val="00E85B32"/>
    <w:rsid w:val="00E8609D"/>
    <w:rsid w:val="00E861B8"/>
    <w:rsid w:val="00E864C0"/>
    <w:rsid w:val="00E8660F"/>
    <w:rsid w:val="00E8679E"/>
    <w:rsid w:val="00E86C3F"/>
    <w:rsid w:val="00E86D88"/>
    <w:rsid w:val="00E86D8A"/>
    <w:rsid w:val="00E86E00"/>
    <w:rsid w:val="00E87522"/>
    <w:rsid w:val="00E87F30"/>
    <w:rsid w:val="00E90906"/>
    <w:rsid w:val="00E90FB2"/>
    <w:rsid w:val="00E91212"/>
    <w:rsid w:val="00E91734"/>
    <w:rsid w:val="00E9178C"/>
    <w:rsid w:val="00E92021"/>
    <w:rsid w:val="00E92343"/>
    <w:rsid w:val="00E92E2F"/>
    <w:rsid w:val="00E9364E"/>
    <w:rsid w:val="00E9379E"/>
    <w:rsid w:val="00E94503"/>
    <w:rsid w:val="00E94532"/>
    <w:rsid w:val="00E948ED"/>
    <w:rsid w:val="00E949F5"/>
    <w:rsid w:val="00E95537"/>
    <w:rsid w:val="00E95759"/>
    <w:rsid w:val="00E95CBB"/>
    <w:rsid w:val="00E960AE"/>
    <w:rsid w:val="00E962EA"/>
    <w:rsid w:val="00E96527"/>
    <w:rsid w:val="00E96860"/>
    <w:rsid w:val="00EA0230"/>
    <w:rsid w:val="00EA0392"/>
    <w:rsid w:val="00EA0619"/>
    <w:rsid w:val="00EA06E9"/>
    <w:rsid w:val="00EA0E8B"/>
    <w:rsid w:val="00EA1215"/>
    <w:rsid w:val="00EA12F8"/>
    <w:rsid w:val="00EA178E"/>
    <w:rsid w:val="00EA310A"/>
    <w:rsid w:val="00EA37B4"/>
    <w:rsid w:val="00EA3C1B"/>
    <w:rsid w:val="00EA471A"/>
    <w:rsid w:val="00EA49E0"/>
    <w:rsid w:val="00EA5E40"/>
    <w:rsid w:val="00EA5EA1"/>
    <w:rsid w:val="00EA7147"/>
    <w:rsid w:val="00EB0549"/>
    <w:rsid w:val="00EB0AA7"/>
    <w:rsid w:val="00EB0BC2"/>
    <w:rsid w:val="00EB137A"/>
    <w:rsid w:val="00EB1DCD"/>
    <w:rsid w:val="00EB21BD"/>
    <w:rsid w:val="00EB265E"/>
    <w:rsid w:val="00EB2662"/>
    <w:rsid w:val="00EB385C"/>
    <w:rsid w:val="00EB3B34"/>
    <w:rsid w:val="00EB3E70"/>
    <w:rsid w:val="00EB50B3"/>
    <w:rsid w:val="00EB72A2"/>
    <w:rsid w:val="00EB7459"/>
    <w:rsid w:val="00EB7F92"/>
    <w:rsid w:val="00EC03F6"/>
    <w:rsid w:val="00EC089F"/>
    <w:rsid w:val="00EC0947"/>
    <w:rsid w:val="00EC0EC5"/>
    <w:rsid w:val="00EC13EC"/>
    <w:rsid w:val="00EC13F6"/>
    <w:rsid w:val="00EC1C2F"/>
    <w:rsid w:val="00EC1F4C"/>
    <w:rsid w:val="00EC2B2C"/>
    <w:rsid w:val="00EC3502"/>
    <w:rsid w:val="00EC39EA"/>
    <w:rsid w:val="00EC3C9F"/>
    <w:rsid w:val="00EC4342"/>
    <w:rsid w:val="00EC4663"/>
    <w:rsid w:val="00EC4B4F"/>
    <w:rsid w:val="00EC4EF2"/>
    <w:rsid w:val="00EC6F5B"/>
    <w:rsid w:val="00EC6F91"/>
    <w:rsid w:val="00EC70F4"/>
    <w:rsid w:val="00EC79F0"/>
    <w:rsid w:val="00EC7C0F"/>
    <w:rsid w:val="00ED00FB"/>
    <w:rsid w:val="00ED0381"/>
    <w:rsid w:val="00ED071D"/>
    <w:rsid w:val="00ED162C"/>
    <w:rsid w:val="00ED1F63"/>
    <w:rsid w:val="00ED21DA"/>
    <w:rsid w:val="00ED2721"/>
    <w:rsid w:val="00ED2FF5"/>
    <w:rsid w:val="00ED3762"/>
    <w:rsid w:val="00ED45F9"/>
    <w:rsid w:val="00ED4B7D"/>
    <w:rsid w:val="00ED4D6F"/>
    <w:rsid w:val="00ED5146"/>
    <w:rsid w:val="00ED54CE"/>
    <w:rsid w:val="00ED56C0"/>
    <w:rsid w:val="00ED6799"/>
    <w:rsid w:val="00ED6E79"/>
    <w:rsid w:val="00ED7636"/>
    <w:rsid w:val="00EE0AED"/>
    <w:rsid w:val="00EE1125"/>
    <w:rsid w:val="00EE12B4"/>
    <w:rsid w:val="00EE1DE7"/>
    <w:rsid w:val="00EE1E92"/>
    <w:rsid w:val="00EE2193"/>
    <w:rsid w:val="00EE24B6"/>
    <w:rsid w:val="00EE25DA"/>
    <w:rsid w:val="00EE284D"/>
    <w:rsid w:val="00EE3137"/>
    <w:rsid w:val="00EE3216"/>
    <w:rsid w:val="00EE32A8"/>
    <w:rsid w:val="00EE357F"/>
    <w:rsid w:val="00EE35FC"/>
    <w:rsid w:val="00EE36DB"/>
    <w:rsid w:val="00EE49BD"/>
    <w:rsid w:val="00EE4CE1"/>
    <w:rsid w:val="00EE4F4C"/>
    <w:rsid w:val="00EE5B23"/>
    <w:rsid w:val="00EE6089"/>
    <w:rsid w:val="00EE6486"/>
    <w:rsid w:val="00EE6CEB"/>
    <w:rsid w:val="00EE6E0D"/>
    <w:rsid w:val="00EE6E83"/>
    <w:rsid w:val="00EE75AE"/>
    <w:rsid w:val="00EF00DE"/>
    <w:rsid w:val="00EF0136"/>
    <w:rsid w:val="00EF0436"/>
    <w:rsid w:val="00EF04EC"/>
    <w:rsid w:val="00EF1F36"/>
    <w:rsid w:val="00EF21C0"/>
    <w:rsid w:val="00EF288A"/>
    <w:rsid w:val="00EF2B4A"/>
    <w:rsid w:val="00EF30E2"/>
    <w:rsid w:val="00EF3261"/>
    <w:rsid w:val="00EF352D"/>
    <w:rsid w:val="00EF3AEE"/>
    <w:rsid w:val="00EF3E35"/>
    <w:rsid w:val="00EF40C5"/>
    <w:rsid w:val="00EF4948"/>
    <w:rsid w:val="00EF4E07"/>
    <w:rsid w:val="00EF57C4"/>
    <w:rsid w:val="00EF6A51"/>
    <w:rsid w:val="00EF6EC1"/>
    <w:rsid w:val="00EF7F8B"/>
    <w:rsid w:val="00F0003A"/>
    <w:rsid w:val="00F01226"/>
    <w:rsid w:val="00F017F0"/>
    <w:rsid w:val="00F01A04"/>
    <w:rsid w:val="00F02A6A"/>
    <w:rsid w:val="00F02DE0"/>
    <w:rsid w:val="00F04073"/>
    <w:rsid w:val="00F04157"/>
    <w:rsid w:val="00F04270"/>
    <w:rsid w:val="00F04378"/>
    <w:rsid w:val="00F04778"/>
    <w:rsid w:val="00F0532F"/>
    <w:rsid w:val="00F05B41"/>
    <w:rsid w:val="00F05DA1"/>
    <w:rsid w:val="00F06118"/>
    <w:rsid w:val="00F06289"/>
    <w:rsid w:val="00F077D5"/>
    <w:rsid w:val="00F10308"/>
    <w:rsid w:val="00F10591"/>
    <w:rsid w:val="00F110BC"/>
    <w:rsid w:val="00F1111B"/>
    <w:rsid w:val="00F1207E"/>
    <w:rsid w:val="00F12B45"/>
    <w:rsid w:val="00F12C08"/>
    <w:rsid w:val="00F12C68"/>
    <w:rsid w:val="00F12E41"/>
    <w:rsid w:val="00F139C3"/>
    <w:rsid w:val="00F13F62"/>
    <w:rsid w:val="00F1440A"/>
    <w:rsid w:val="00F14893"/>
    <w:rsid w:val="00F14F69"/>
    <w:rsid w:val="00F14F72"/>
    <w:rsid w:val="00F15C95"/>
    <w:rsid w:val="00F160D6"/>
    <w:rsid w:val="00F1684A"/>
    <w:rsid w:val="00F16A1A"/>
    <w:rsid w:val="00F17204"/>
    <w:rsid w:val="00F1748E"/>
    <w:rsid w:val="00F2014E"/>
    <w:rsid w:val="00F20622"/>
    <w:rsid w:val="00F20904"/>
    <w:rsid w:val="00F20B89"/>
    <w:rsid w:val="00F20D72"/>
    <w:rsid w:val="00F218A4"/>
    <w:rsid w:val="00F21CE2"/>
    <w:rsid w:val="00F225C2"/>
    <w:rsid w:val="00F232F7"/>
    <w:rsid w:val="00F236E1"/>
    <w:rsid w:val="00F23E34"/>
    <w:rsid w:val="00F24557"/>
    <w:rsid w:val="00F246B2"/>
    <w:rsid w:val="00F253FD"/>
    <w:rsid w:val="00F261A4"/>
    <w:rsid w:val="00F268C9"/>
    <w:rsid w:val="00F26BF9"/>
    <w:rsid w:val="00F27781"/>
    <w:rsid w:val="00F277CC"/>
    <w:rsid w:val="00F306EF"/>
    <w:rsid w:val="00F30734"/>
    <w:rsid w:val="00F30874"/>
    <w:rsid w:val="00F30DB9"/>
    <w:rsid w:val="00F31890"/>
    <w:rsid w:val="00F31B0C"/>
    <w:rsid w:val="00F31F71"/>
    <w:rsid w:val="00F3353F"/>
    <w:rsid w:val="00F3467D"/>
    <w:rsid w:val="00F34911"/>
    <w:rsid w:val="00F34AF4"/>
    <w:rsid w:val="00F35542"/>
    <w:rsid w:val="00F3625E"/>
    <w:rsid w:val="00F36754"/>
    <w:rsid w:val="00F36F2E"/>
    <w:rsid w:val="00F378E1"/>
    <w:rsid w:val="00F40142"/>
    <w:rsid w:val="00F40773"/>
    <w:rsid w:val="00F4106A"/>
    <w:rsid w:val="00F416BE"/>
    <w:rsid w:val="00F41B23"/>
    <w:rsid w:val="00F41DA1"/>
    <w:rsid w:val="00F421EA"/>
    <w:rsid w:val="00F42903"/>
    <w:rsid w:val="00F42A8D"/>
    <w:rsid w:val="00F436F7"/>
    <w:rsid w:val="00F43B73"/>
    <w:rsid w:val="00F43F5C"/>
    <w:rsid w:val="00F4440A"/>
    <w:rsid w:val="00F4530A"/>
    <w:rsid w:val="00F4541B"/>
    <w:rsid w:val="00F462E1"/>
    <w:rsid w:val="00F502C5"/>
    <w:rsid w:val="00F504F1"/>
    <w:rsid w:val="00F505BD"/>
    <w:rsid w:val="00F5080A"/>
    <w:rsid w:val="00F509DD"/>
    <w:rsid w:val="00F511A8"/>
    <w:rsid w:val="00F515AD"/>
    <w:rsid w:val="00F51E57"/>
    <w:rsid w:val="00F51FE5"/>
    <w:rsid w:val="00F529CA"/>
    <w:rsid w:val="00F52C28"/>
    <w:rsid w:val="00F5330D"/>
    <w:rsid w:val="00F53345"/>
    <w:rsid w:val="00F536A6"/>
    <w:rsid w:val="00F53B0D"/>
    <w:rsid w:val="00F53C65"/>
    <w:rsid w:val="00F5497D"/>
    <w:rsid w:val="00F54A3B"/>
    <w:rsid w:val="00F54EFD"/>
    <w:rsid w:val="00F5566E"/>
    <w:rsid w:val="00F55921"/>
    <w:rsid w:val="00F55AB2"/>
    <w:rsid w:val="00F55D37"/>
    <w:rsid w:val="00F55DDD"/>
    <w:rsid w:val="00F56128"/>
    <w:rsid w:val="00F562A8"/>
    <w:rsid w:val="00F568BB"/>
    <w:rsid w:val="00F568E1"/>
    <w:rsid w:val="00F56FDE"/>
    <w:rsid w:val="00F5779C"/>
    <w:rsid w:val="00F57DA8"/>
    <w:rsid w:val="00F606D5"/>
    <w:rsid w:val="00F6124E"/>
    <w:rsid w:val="00F615F7"/>
    <w:rsid w:val="00F6184B"/>
    <w:rsid w:val="00F6185D"/>
    <w:rsid w:val="00F62FCA"/>
    <w:rsid w:val="00F630B9"/>
    <w:rsid w:val="00F63C2A"/>
    <w:rsid w:val="00F64683"/>
    <w:rsid w:val="00F64B9F"/>
    <w:rsid w:val="00F65051"/>
    <w:rsid w:val="00F65139"/>
    <w:rsid w:val="00F6556F"/>
    <w:rsid w:val="00F65AD8"/>
    <w:rsid w:val="00F65E57"/>
    <w:rsid w:val="00F669E2"/>
    <w:rsid w:val="00F67FD7"/>
    <w:rsid w:val="00F70220"/>
    <w:rsid w:val="00F70880"/>
    <w:rsid w:val="00F7118E"/>
    <w:rsid w:val="00F71275"/>
    <w:rsid w:val="00F713C5"/>
    <w:rsid w:val="00F714B5"/>
    <w:rsid w:val="00F719FB"/>
    <w:rsid w:val="00F720A5"/>
    <w:rsid w:val="00F7229A"/>
    <w:rsid w:val="00F72697"/>
    <w:rsid w:val="00F73A42"/>
    <w:rsid w:val="00F74391"/>
    <w:rsid w:val="00F74BA2"/>
    <w:rsid w:val="00F74FA1"/>
    <w:rsid w:val="00F755BF"/>
    <w:rsid w:val="00F81618"/>
    <w:rsid w:val="00F81FEB"/>
    <w:rsid w:val="00F8265C"/>
    <w:rsid w:val="00F829A8"/>
    <w:rsid w:val="00F82CB9"/>
    <w:rsid w:val="00F82DF3"/>
    <w:rsid w:val="00F83BDF"/>
    <w:rsid w:val="00F857AA"/>
    <w:rsid w:val="00F85AB7"/>
    <w:rsid w:val="00F85CBF"/>
    <w:rsid w:val="00F85F8E"/>
    <w:rsid w:val="00F860EE"/>
    <w:rsid w:val="00F868FF"/>
    <w:rsid w:val="00F86EEB"/>
    <w:rsid w:val="00F86F2A"/>
    <w:rsid w:val="00F900B8"/>
    <w:rsid w:val="00F906EF"/>
    <w:rsid w:val="00F90E7F"/>
    <w:rsid w:val="00F90FEF"/>
    <w:rsid w:val="00F9116C"/>
    <w:rsid w:val="00F912AF"/>
    <w:rsid w:val="00F91882"/>
    <w:rsid w:val="00F91B7F"/>
    <w:rsid w:val="00F91C62"/>
    <w:rsid w:val="00F91CDD"/>
    <w:rsid w:val="00F91EBD"/>
    <w:rsid w:val="00F9211E"/>
    <w:rsid w:val="00F922EB"/>
    <w:rsid w:val="00F9281A"/>
    <w:rsid w:val="00F9290B"/>
    <w:rsid w:val="00F93961"/>
    <w:rsid w:val="00F943AA"/>
    <w:rsid w:val="00F9479E"/>
    <w:rsid w:val="00F94849"/>
    <w:rsid w:val="00F94C23"/>
    <w:rsid w:val="00F94EF2"/>
    <w:rsid w:val="00F954B2"/>
    <w:rsid w:val="00F957CF"/>
    <w:rsid w:val="00F95B79"/>
    <w:rsid w:val="00F95F06"/>
    <w:rsid w:val="00F95F88"/>
    <w:rsid w:val="00F96BAC"/>
    <w:rsid w:val="00F974F9"/>
    <w:rsid w:val="00F97911"/>
    <w:rsid w:val="00FA04DD"/>
    <w:rsid w:val="00FA0DDC"/>
    <w:rsid w:val="00FA2BA2"/>
    <w:rsid w:val="00FA2CB4"/>
    <w:rsid w:val="00FA2E19"/>
    <w:rsid w:val="00FA37A3"/>
    <w:rsid w:val="00FA3A39"/>
    <w:rsid w:val="00FA3CF4"/>
    <w:rsid w:val="00FA3FF0"/>
    <w:rsid w:val="00FA57CC"/>
    <w:rsid w:val="00FA6513"/>
    <w:rsid w:val="00FA6A8C"/>
    <w:rsid w:val="00FA6B8C"/>
    <w:rsid w:val="00FA7250"/>
    <w:rsid w:val="00FA729F"/>
    <w:rsid w:val="00FA7433"/>
    <w:rsid w:val="00FA7C40"/>
    <w:rsid w:val="00FB0137"/>
    <w:rsid w:val="00FB0CD4"/>
    <w:rsid w:val="00FB0F33"/>
    <w:rsid w:val="00FB202C"/>
    <w:rsid w:val="00FB3584"/>
    <w:rsid w:val="00FB520A"/>
    <w:rsid w:val="00FB5DB1"/>
    <w:rsid w:val="00FB5E64"/>
    <w:rsid w:val="00FB618D"/>
    <w:rsid w:val="00FB7CDE"/>
    <w:rsid w:val="00FC03D3"/>
    <w:rsid w:val="00FC0F47"/>
    <w:rsid w:val="00FC1690"/>
    <w:rsid w:val="00FC1D5B"/>
    <w:rsid w:val="00FC229C"/>
    <w:rsid w:val="00FC2387"/>
    <w:rsid w:val="00FC341D"/>
    <w:rsid w:val="00FC657A"/>
    <w:rsid w:val="00FC69AF"/>
    <w:rsid w:val="00FC6AE9"/>
    <w:rsid w:val="00FD036C"/>
    <w:rsid w:val="00FD0375"/>
    <w:rsid w:val="00FD0B12"/>
    <w:rsid w:val="00FD0E97"/>
    <w:rsid w:val="00FD0EF2"/>
    <w:rsid w:val="00FD0F13"/>
    <w:rsid w:val="00FD1E3A"/>
    <w:rsid w:val="00FD23D8"/>
    <w:rsid w:val="00FD360B"/>
    <w:rsid w:val="00FD3A84"/>
    <w:rsid w:val="00FD4329"/>
    <w:rsid w:val="00FD44B3"/>
    <w:rsid w:val="00FD4A9B"/>
    <w:rsid w:val="00FD4E22"/>
    <w:rsid w:val="00FD5400"/>
    <w:rsid w:val="00FD5FEE"/>
    <w:rsid w:val="00FD63F1"/>
    <w:rsid w:val="00FD670D"/>
    <w:rsid w:val="00FE0CC6"/>
    <w:rsid w:val="00FE0CDE"/>
    <w:rsid w:val="00FE1A37"/>
    <w:rsid w:val="00FE1BA2"/>
    <w:rsid w:val="00FE1F2F"/>
    <w:rsid w:val="00FE24D5"/>
    <w:rsid w:val="00FE2BD2"/>
    <w:rsid w:val="00FE2F75"/>
    <w:rsid w:val="00FE3234"/>
    <w:rsid w:val="00FE4424"/>
    <w:rsid w:val="00FE4834"/>
    <w:rsid w:val="00FE59A8"/>
    <w:rsid w:val="00FE64EB"/>
    <w:rsid w:val="00FE66C7"/>
    <w:rsid w:val="00FE6773"/>
    <w:rsid w:val="00FE6E82"/>
    <w:rsid w:val="00FE72F0"/>
    <w:rsid w:val="00FE7CFD"/>
    <w:rsid w:val="00FF05C8"/>
    <w:rsid w:val="00FF0A9D"/>
    <w:rsid w:val="00FF0CCF"/>
    <w:rsid w:val="00FF147D"/>
    <w:rsid w:val="00FF1503"/>
    <w:rsid w:val="00FF1C46"/>
    <w:rsid w:val="00FF1F82"/>
    <w:rsid w:val="00FF1F98"/>
    <w:rsid w:val="00FF206D"/>
    <w:rsid w:val="00FF254A"/>
    <w:rsid w:val="00FF2977"/>
    <w:rsid w:val="00FF33FE"/>
    <w:rsid w:val="00FF3D6F"/>
    <w:rsid w:val="00FF4327"/>
    <w:rsid w:val="00FF4A1E"/>
    <w:rsid w:val="00FF673E"/>
    <w:rsid w:val="00FF6DB5"/>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13"/>
    <w:pPr>
      <w:widowControl w:val="0"/>
    </w:pPr>
    <w:rPr>
      <w:snapToGrid w:val="0"/>
      <w:kern w:val="28"/>
      <w:sz w:val="22"/>
    </w:rPr>
  </w:style>
  <w:style w:type="paragraph" w:styleId="Heading1">
    <w:name w:val="heading 1"/>
    <w:basedOn w:val="Normal"/>
    <w:next w:val="ParaNum"/>
    <w:link w:val="Heading1Char"/>
    <w:qFormat/>
    <w:rsid w:val="000B7213"/>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0B7213"/>
    <w:pPr>
      <w:keepNext/>
      <w:numPr>
        <w:ilvl w:val="1"/>
        <w:numId w:val="5"/>
      </w:numPr>
      <w:spacing w:after="120"/>
      <w:outlineLvl w:val="1"/>
    </w:pPr>
    <w:rPr>
      <w:b/>
    </w:rPr>
  </w:style>
  <w:style w:type="paragraph" w:styleId="Heading3">
    <w:name w:val="heading 3"/>
    <w:basedOn w:val="Normal"/>
    <w:next w:val="ParaNum"/>
    <w:link w:val="Heading3Char"/>
    <w:qFormat/>
    <w:rsid w:val="000B7213"/>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B7213"/>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B7213"/>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B7213"/>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B7213"/>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B7213"/>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B7213"/>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7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7213"/>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0B7213"/>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0B7213"/>
    <w:pPr>
      <w:spacing w:after="120"/>
    </w:pPr>
  </w:style>
  <w:style w:type="paragraph" w:customStyle="1" w:styleId="Bullet">
    <w:name w:val="Bullet"/>
    <w:basedOn w:val="Normal"/>
    <w:rsid w:val="000B7213"/>
    <w:pPr>
      <w:tabs>
        <w:tab w:val="left" w:pos="2160"/>
      </w:tabs>
      <w:spacing w:after="220"/>
      <w:ind w:left="2160" w:hanging="720"/>
    </w:pPr>
  </w:style>
  <w:style w:type="paragraph" w:styleId="BlockText">
    <w:name w:val="Block Text"/>
    <w:basedOn w:val="Normal"/>
    <w:rsid w:val="000B7213"/>
    <w:pPr>
      <w:spacing w:after="240"/>
      <w:ind w:left="1440" w:right="1440"/>
    </w:pPr>
  </w:style>
  <w:style w:type="paragraph" w:customStyle="1" w:styleId="TableFormat">
    <w:name w:val="TableFormat"/>
    <w:basedOn w:val="Bullet"/>
    <w:rsid w:val="000B7213"/>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0B7213"/>
    <w:rPr>
      <w:rFonts w:ascii="Times New Roman" w:hAnsi="Times New Roman"/>
      <w:dstrike w:val="0"/>
      <w:color w:val="auto"/>
      <w:sz w:val="20"/>
      <w:vertAlign w:val="superscript"/>
    </w:rPr>
  </w:style>
  <w:style w:type="paragraph" w:styleId="Header">
    <w:name w:val="header"/>
    <w:basedOn w:val="Normal"/>
    <w:link w:val="HeaderChar"/>
    <w:autoRedefine/>
    <w:rsid w:val="000B7213"/>
    <w:pPr>
      <w:tabs>
        <w:tab w:val="center" w:pos="4680"/>
        <w:tab w:val="right" w:pos="9360"/>
      </w:tabs>
    </w:pPr>
    <w:rPr>
      <w:b/>
    </w:rPr>
  </w:style>
  <w:style w:type="paragraph" w:styleId="Footer">
    <w:name w:val="footer"/>
    <w:basedOn w:val="Normal"/>
    <w:link w:val="FooterChar"/>
    <w:rsid w:val="000B7213"/>
    <w:pPr>
      <w:tabs>
        <w:tab w:val="center" w:pos="4320"/>
        <w:tab w:val="right" w:pos="8640"/>
      </w:tabs>
    </w:pPr>
  </w:style>
  <w:style w:type="paragraph" w:styleId="TOC2">
    <w:name w:val="toc 2"/>
    <w:basedOn w:val="Normal"/>
    <w:next w:val="Normal"/>
    <w:rsid w:val="000B7213"/>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style>
  <w:style w:type="paragraph" w:styleId="TOC1">
    <w:name w:val="toc 1"/>
    <w:basedOn w:val="Normal"/>
    <w:next w:val="Normal"/>
    <w:rsid w:val="000B7213"/>
    <w:pPr>
      <w:tabs>
        <w:tab w:val="left" w:pos="360"/>
        <w:tab w:val="right" w:leader="dot" w:pos="9360"/>
      </w:tabs>
      <w:suppressAutoHyphens/>
      <w:ind w:left="360" w:right="720" w:hanging="360"/>
    </w:pPr>
    <w:rPr>
      <w:caps/>
      <w:noProof/>
    </w:rPr>
  </w:style>
  <w:style w:type="paragraph" w:styleId="TOC3">
    <w:name w:val="toc 3"/>
    <w:basedOn w:val="Normal"/>
    <w:next w:val="Normal"/>
    <w:rsid w:val="000B72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72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72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72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72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72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7213"/>
    <w:pPr>
      <w:tabs>
        <w:tab w:val="left" w:pos="3240"/>
        <w:tab w:val="right" w:leader="dot" w:pos="9360"/>
      </w:tabs>
      <w:suppressAutoHyphens/>
      <w:ind w:left="3240" w:hanging="360"/>
    </w:pPr>
    <w:rPr>
      <w:noProof/>
    </w:rPr>
  </w:style>
  <w:style w:type="character" w:styleId="PageNumber">
    <w:name w:val="page number"/>
    <w:basedOn w:val="DefaultParagraphFont"/>
    <w:rsid w:val="000B7213"/>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0B7213"/>
    <w:pPr>
      <w:jc w:val="center"/>
    </w:pPr>
    <w:rPr>
      <w:rFonts w:ascii="Times New Roman Bold" w:hAnsi="Times New Roman Bold"/>
      <w:b/>
      <w:bCs/>
      <w:caps/>
      <w:szCs w:val="22"/>
    </w:rPr>
  </w:style>
  <w:style w:type="paragraph" w:styleId="EndnoteText">
    <w:name w:val="endnote text"/>
    <w:basedOn w:val="Normal"/>
    <w:link w:val="EndnoteTextChar"/>
    <w:semiHidden/>
    <w:rsid w:val="000B7213"/>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0B7213"/>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DD2A3A"/>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0B7213"/>
    <w:rPr>
      <w:vertAlign w:val="superscript"/>
    </w:rPr>
  </w:style>
  <w:style w:type="paragraph" w:styleId="TOAHeading">
    <w:name w:val="toa heading"/>
    <w:basedOn w:val="Normal"/>
    <w:next w:val="Normal"/>
    <w:rsid w:val="000B7213"/>
    <w:pPr>
      <w:tabs>
        <w:tab w:val="right" w:pos="9360"/>
      </w:tabs>
      <w:suppressAutoHyphens/>
    </w:pPr>
  </w:style>
  <w:style w:type="character" w:customStyle="1" w:styleId="EquationCaption">
    <w:name w:val="_Equation Caption"/>
    <w:rsid w:val="000B7213"/>
  </w:style>
  <w:style w:type="paragraph" w:customStyle="1" w:styleId="Paratitle">
    <w:name w:val="Para title"/>
    <w:basedOn w:val="Normal"/>
    <w:rsid w:val="000B7213"/>
    <w:pPr>
      <w:tabs>
        <w:tab w:val="center" w:pos="9270"/>
      </w:tabs>
      <w:spacing w:after="240"/>
    </w:pPr>
    <w:rPr>
      <w:spacing w:val="-2"/>
    </w:rPr>
  </w:style>
  <w:style w:type="paragraph" w:customStyle="1" w:styleId="TOCTitle">
    <w:name w:val="TOC Title"/>
    <w:basedOn w:val="Normal"/>
    <w:rsid w:val="000B7213"/>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 w:type="paragraph" w:styleId="PlainText">
    <w:name w:val="Plain Text"/>
    <w:basedOn w:val="Normal"/>
    <w:link w:val="PlainTextChar"/>
    <w:uiPriority w:val="99"/>
    <w:unhideWhenUsed/>
    <w:rsid w:val="009D36F0"/>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9D36F0"/>
    <w:rPr>
      <w:rFonts w:ascii="Calibri" w:eastAsiaTheme="minorHAnsi" w:hAnsi="Calibri" w:cstheme="minorBidi"/>
      <w:sz w:val="22"/>
      <w:szCs w:val="21"/>
    </w:rPr>
  </w:style>
  <w:style w:type="character" w:customStyle="1" w:styleId="ptext-18">
    <w:name w:val="ptext-18"/>
    <w:basedOn w:val="DefaultParagraphFont"/>
    <w:rsid w:val="0023624F"/>
  </w:style>
  <w:style w:type="character" w:customStyle="1" w:styleId="documentbody">
    <w:name w:val="documentbody"/>
    <w:basedOn w:val="DefaultParagraphFont"/>
    <w:rsid w:val="006C6C85"/>
  </w:style>
  <w:style w:type="character" w:customStyle="1" w:styleId="searchterm">
    <w:name w:val="searchterm"/>
    <w:basedOn w:val="DefaultParagraphFont"/>
    <w:rsid w:val="006C6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13"/>
    <w:pPr>
      <w:widowControl w:val="0"/>
    </w:pPr>
    <w:rPr>
      <w:snapToGrid w:val="0"/>
      <w:kern w:val="28"/>
      <w:sz w:val="22"/>
    </w:rPr>
  </w:style>
  <w:style w:type="paragraph" w:styleId="Heading1">
    <w:name w:val="heading 1"/>
    <w:basedOn w:val="Normal"/>
    <w:next w:val="ParaNum"/>
    <w:link w:val="Heading1Char"/>
    <w:qFormat/>
    <w:rsid w:val="000B7213"/>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0B7213"/>
    <w:pPr>
      <w:keepNext/>
      <w:numPr>
        <w:ilvl w:val="1"/>
        <w:numId w:val="5"/>
      </w:numPr>
      <w:spacing w:after="120"/>
      <w:outlineLvl w:val="1"/>
    </w:pPr>
    <w:rPr>
      <w:b/>
    </w:rPr>
  </w:style>
  <w:style w:type="paragraph" w:styleId="Heading3">
    <w:name w:val="heading 3"/>
    <w:basedOn w:val="Normal"/>
    <w:next w:val="ParaNum"/>
    <w:link w:val="Heading3Char"/>
    <w:qFormat/>
    <w:rsid w:val="000B7213"/>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B7213"/>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B7213"/>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B7213"/>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B7213"/>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B7213"/>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B7213"/>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7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7213"/>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0B7213"/>
    <w:pPr>
      <w:numPr>
        <w:numId w:val="4"/>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0B7213"/>
    <w:pPr>
      <w:spacing w:after="120"/>
    </w:pPr>
  </w:style>
  <w:style w:type="paragraph" w:customStyle="1" w:styleId="Bullet">
    <w:name w:val="Bullet"/>
    <w:basedOn w:val="Normal"/>
    <w:rsid w:val="000B7213"/>
    <w:pPr>
      <w:tabs>
        <w:tab w:val="left" w:pos="2160"/>
      </w:tabs>
      <w:spacing w:after="220"/>
      <w:ind w:left="2160" w:hanging="720"/>
    </w:pPr>
  </w:style>
  <w:style w:type="paragraph" w:styleId="BlockText">
    <w:name w:val="Block Text"/>
    <w:basedOn w:val="Normal"/>
    <w:rsid w:val="000B7213"/>
    <w:pPr>
      <w:spacing w:after="240"/>
      <w:ind w:left="1440" w:right="1440"/>
    </w:pPr>
  </w:style>
  <w:style w:type="paragraph" w:customStyle="1" w:styleId="TableFormat">
    <w:name w:val="TableFormat"/>
    <w:basedOn w:val="Bullet"/>
    <w:rsid w:val="000B7213"/>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0B7213"/>
    <w:rPr>
      <w:rFonts w:ascii="Times New Roman" w:hAnsi="Times New Roman"/>
      <w:dstrike w:val="0"/>
      <w:color w:val="auto"/>
      <w:sz w:val="20"/>
      <w:vertAlign w:val="superscript"/>
    </w:rPr>
  </w:style>
  <w:style w:type="paragraph" w:styleId="Header">
    <w:name w:val="header"/>
    <w:basedOn w:val="Normal"/>
    <w:link w:val="HeaderChar"/>
    <w:autoRedefine/>
    <w:rsid w:val="000B7213"/>
    <w:pPr>
      <w:tabs>
        <w:tab w:val="center" w:pos="4680"/>
        <w:tab w:val="right" w:pos="9360"/>
      </w:tabs>
    </w:pPr>
    <w:rPr>
      <w:b/>
    </w:rPr>
  </w:style>
  <w:style w:type="paragraph" w:styleId="Footer">
    <w:name w:val="footer"/>
    <w:basedOn w:val="Normal"/>
    <w:link w:val="FooterChar"/>
    <w:rsid w:val="000B7213"/>
    <w:pPr>
      <w:tabs>
        <w:tab w:val="center" w:pos="4320"/>
        <w:tab w:val="right" w:pos="8640"/>
      </w:tabs>
    </w:pPr>
  </w:style>
  <w:style w:type="paragraph" w:styleId="TOC2">
    <w:name w:val="toc 2"/>
    <w:basedOn w:val="Normal"/>
    <w:next w:val="Normal"/>
    <w:rsid w:val="000B7213"/>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1"/>
      </w:numPr>
      <w:tabs>
        <w:tab w:val="clear" w:pos="1080"/>
      </w:tabs>
      <w:spacing w:after="220"/>
      <w:ind w:firstLine="0"/>
    </w:pPr>
  </w:style>
  <w:style w:type="paragraph" w:styleId="TOC1">
    <w:name w:val="toc 1"/>
    <w:basedOn w:val="Normal"/>
    <w:next w:val="Normal"/>
    <w:rsid w:val="000B7213"/>
    <w:pPr>
      <w:tabs>
        <w:tab w:val="left" w:pos="360"/>
        <w:tab w:val="right" w:leader="dot" w:pos="9360"/>
      </w:tabs>
      <w:suppressAutoHyphens/>
      <w:ind w:left="360" w:right="720" w:hanging="360"/>
    </w:pPr>
    <w:rPr>
      <w:caps/>
      <w:noProof/>
    </w:rPr>
  </w:style>
  <w:style w:type="paragraph" w:styleId="TOC3">
    <w:name w:val="toc 3"/>
    <w:basedOn w:val="Normal"/>
    <w:next w:val="Normal"/>
    <w:rsid w:val="000B72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72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72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72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72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72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7213"/>
    <w:pPr>
      <w:tabs>
        <w:tab w:val="left" w:pos="3240"/>
        <w:tab w:val="right" w:leader="dot" w:pos="9360"/>
      </w:tabs>
      <w:suppressAutoHyphens/>
      <w:ind w:left="3240" w:hanging="360"/>
    </w:pPr>
    <w:rPr>
      <w:noProof/>
    </w:rPr>
  </w:style>
  <w:style w:type="character" w:styleId="PageNumber">
    <w:name w:val="page number"/>
    <w:basedOn w:val="DefaultParagraphFont"/>
    <w:rsid w:val="000B7213"/>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0B7213"/>
    <w:pPr>
      <w:jc w:val="center"/>
    </w:pPr>
    <w:rPr>
      <w:rFonts w:ascii="Times New Roman Bold" w:hAnsi="Times New Roman Bold"/>
      <w:b/>
      <w:bCs/>
      <w:caps/>
      <w:szCs w:val="22"/>
    </w:rPr>
  </w:style>
  <w:style w:type="paragraph" w:styleId="EndnoteText">
    <w:name w:val="endnote text"/>
    <w:basedOn w:val="Normal"/>
    <w:link w:val="EndnoteTextChar"/>
    <w:semiHidden/>
    <w:rsid w:val="000B7213"/>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2"/>
      </w:numPr>
    </w:pPr>
  </w:style>
  <w:style w:type="character" w:styleId="Hyperlink">
    <w:name w:val="Hyperlink"/>
    <w:rsid w:val="000B7213"/>
    <w:rPr>
      <w:color w:val="0000FF"/>
      <w:u w:val="single"/>
    </w:rPr>
  </w:style>
  <w:style w:type="paragraph" w:customStyle="1" w:styleId="Paranum0">
    <w:name w:val="Paranum"/>
    <w:rsid w:val="00863A53"/>
    <w:pPr>
      <w:numPr>
        <w:numId w:val="3"/>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uiPriority w:val="99"/>
    <w:rsid w:val="004849EA"/>
    <w:rPr>
      <w:sz w:val="16"/>
      <w:szCs w:val="16"/>
    </w:rPr>
  </w:style>
  <w:style w:type="paragraph" w:styleId="CommentText">
    <w:name w:val="annotation text"/>
    <w:basedOn w:val="Normal"/>
    <w:link w:val="CommentTextChar"/>
    <w:uiPriority w:val="99"/>
    <w:rsid w:val="004849EA"/>
    <w:rPr>
      <w:sz w:val="20"/>
    </w:rPr>
  </w:style>
  <w:style w:type="character" w:customStyle="1" w:styleId="CommentTextChar">
    <w:name w:val="Comment Text Char"/>
    <w:basedOn w:val="DefaultParagraphFont"/>
    <w:link w:val="CommentText"/>
    <w:uiPriority w:val="99"/>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DD2A3A"/>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rsid w:val="000B7213"/>
    <w:rPr>
      <w:vertAlign w:val="superscript"/>
    </w:rPr>
  </w:style>
  <w:style w:type="paragraph" w:styleId="TOAHeading">
    <w:name w:val="toa heading"/>
    <w:basedOn w:val="Normal"/>
    <w:next w:val="Normal"/>
    <w:rsid w:val="000B7213"/>
    <w:pPr>
      <w:tabs>
        <w:tab w:val="right" w:pos="9360"/>
      </w:tabs>
      <w:suppressAutoHyphens/>
    </w:pPr>
  </w:style>
  <w:style w:type="character" w:customStyle="1" w:styleId="EquationCaption">
    <w:name w:val="_Equation Caption"/>
    <w:rsid w:val="000B7213"/>
  </w:style>
  <w:style w:type="paragraph" w:customStyle="1" w:styleId="Paratitle">
    <w:name w:val="Para title"/>
    <w:basedOn w:val="Normal"/>
    <w:rsid w:val="000B7213"/>
    <w:pPr>
      <w:tabs>
        <w:tab w:val="center" w:pos="9270"/>
      </w:tabs>
      <w:spacing w:after="240"/>
    </w:pPr>
    <w:rPr>
      <w:spacing w:val="-2"/>
    </w:rPr>
  </w:style>
  <w:style w:type="paragraph" w:customStyle="1" w:styleId="TOCTitle">
    <w:name w:val="TOC Title"/>
    <w:basedOn w:val="Normal"/>
    <w:rsid w:val="000B7213"/>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 w:type="paragraph" w:styleId="PlainText">
    <w:name w:val="Plain Text"/>
    <w:basedOn w:val="Normal"/>
    <w:link w:val="PlainTextChar"/>
    <w:uiPriority w:val="99"/>
    <w:unhideWhenUsed/>
    <w:rsid w:val="009D36F0"/>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9D36F0"/>
    <w:rPr>
      <w:rFonts w:ascii="Calibri" w:eastAsiaTheme="minorHAnsi" w:hAnsi="Calibri" w:cstheme="minorBidi"/>
      <w:sz w:val="22"/>
      <w:szCs w:val="21"/>
    </w:rPr>
  </w:style>
  <w:style w:type="character" w:customStyle="1" w:styleId="ptext-18">
    <w:name w:val="ptext-18"/>
    <w:basedOn w:val="DefaultParagraphFont"/>
    <w:rsid w:val="0023624F"/>
  </w:style>
  <w:style w:type="character" w:customStyle="1" w:styleId="documentbody">
    <w:name w:val="documentbody"/>
    <w:basedOn w:val="DefaultParagraphFont"/>
    <w:rsid w:val="006C6C85"/>
  </w:style>
  <w:style w:type="character" w:customStyle="1" w:styleId="searchterm">
    <w:name w:val="searchterm"/>
    <w:basedOn w:val="DefaultParagraphFont"/>
    <w:rsid w:val="006C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025">
      <w:bodyDiv w:val="1"/>
      <w:marLeft w:val="0"/>
      <w:marRight w:val="0"/>
      <w:marTop w:val="0"/>
      <w:marBottom w:val="0"/>
      <w:divBdr>
        <w:top w:val="none" w:sz="0" w:space="0" w:color="auto"/>
        <w:left w:val="none" w:sz="0" w:space="0" w:color="auto"/>
        <w:bottom w:val="none" w:sz="0" w:space="0" w:color="auto"/>
        <w:right w:val="none" w:sz="0" w:space="0" w:color="auto"/>
      </w:divBdr>
    </w:div>
    <w:div w:id="152914902">
      <w:bodyDiv w:val="1"/>
      <w:marLeft w:val="0"/>
      <w:marRight w:val="0"/>
      <w:marTop w:val="0"/>
      <w:marBottom w:val="0"/>
      <w:divBdr>
        <w:top w:val="none" w:sz="0" w:space="0" w:color="auto"/>
        <w:left w:val="none" w:sz="0" w:space="0" w:color="auto"/>
        <w:bottom w:val="none" w:sz="0" w:space="0" w:color="auto"/>
        <w:right w:val="none" w:sz="0" w:space="0" w:color="auto"/>
      </w:divBdr>
    </w:div>
    <w:div w:id="233055040">
      <w:bodyDiv w:val="1"/>
      <w:marLeft w:val="0"/>
      <w:marRight w:val="0"/>
      <w:marTop w:val="0"/>
      <w:marBottom w:val="0"/>
      <w:divBdr>
        <w:top w:val="none" w:sz="0" w:space="0" w:color="auto"/>
        <w:left w:val="none" w:sz="0" w:space="0" w:color="auto"/>
        <w:bottom w:val="none" w:sz="0" w:space="0" w:color="auto"/>
        <w:right w:val="none" w:sz="0" w:space="0" w:color="auto"/>
      </w:divBdr>
    </w:div>
    <w:div w:id="555241451">
      <w:bodyDiv w:val="1"/>
      <w:marLeft w:val="0"/>
      <w:marRight w:val="0"/>
      <w:marTop w:val="0"/>
      <w:marBottom w:val="0"/>
      <w:divBdr>
        <w:top w:val="none" w:sz="0" w:space="0" w:color="auto"/>
        <w:left w:val="none" w:sz="0" w:space="0" w:color="auto"/>
        <w:bottom w:val="none" w:sz="0" w:space="0" w:color="auto"/>
        <w:right w:val="none" w:sz="0" w:space="0" w:color="auto"/>
      </w:divBdr>
    </w:div>
    <w:div w:id="566889729">
      <w:bodyDiv w:val="1"/>
      <w:marLeft w:val="0"/>
      <w:marRight w:val="0"/>
      <w:marTop w:val="0"/>
      <w:marBottom w:val="0"/>
      <w:divBdr>
        <w:top w:val="none" w:sz="0" w:space="0" w:color="auto"/>
        <w:left w:val="none" w:sz="0" w:space="0" w:color="auto"/>
        <w:bottom w:val="none" w:sz="0" w:space="0" w:color="auto"/>
        <w:right w:val="none" w:sz="0" w:space="0" w:color="auto"/>
      </w:divBdr>
    </w:div>
    <w:div w:id="1211771654">
      <w:bodyDiv w:val="1"/>
      <w:marLeft w:val="0"/>
      <w:marRight w:val="0"/>
      <w:marTop w:val="0"/>
      <w:marBottom w:val="0"/>
      <w:divBdr>
        <w:top w:val="none" w:sz="0" w:space="0" w:color="auto"/>
        <w:left w:val="none" w:sz="0" w:space="0" w:color="auto"/>
        <w:bottom w:val="none" w:sz="0" w:space="0" w:color="auto"/>
        <w:right w:val="none" w:sz="0" w:space="0" w:color="auto"/>
      </w:divBdr>
    </w:div>
    <w:div w:id="1604069791">
      <w:bodyDiv w:val="1"/>
      <w:marLeft w:val="0"/>
      <w:marRight w:val="0"/>
      <w:marTop w:val="0"/>
      <w:marBottom w:val="0"/>
      <w:divBdr>
        <w:top w:val="none" w:sz="0" w:space="0" w:color="auto"/>
        <w:left w:val="none" w:sz="0" w:space="0" w:color="auto"/>
        <w:bottom w:val="none" w:sz="0" w:space="0" w:color="auto"/>
        <w:right w:val="none" w:sz="0" w:space="0" w:color="auto"/>
      </w:divBdr>
    </w:div>
    <w:div w:id="1765954368">
      <w:bodyDiv w:val="1"/>
      <w:marLeft w:val="0"/>
      <w:marRight w:val="0"/>
      <w:marTop w:val="0"/>
      <w:marBottom w:val="0"/>
      <w:divBdr>
        <w:top w:val="none" w:sz="0" w:space="0" w:color="auto"/>
        <w:left w:val="none" w:sz="0" w:space="0" w:color="auto"/>
        <w:bottom w:val="none" w:sz="0" w:space="0" w:color="auto"/>
        <w:right w:val="none" w:sz="0" w:space="0" w:color="auto"/>
      </w:divBdr>
    </w:div>
    <w:div w:id="1927616617">
      <w:bodyDiv w:val="1"/>
      <w:marLeft w:val="0"/>
      <w:marRight w:val="0"/>
      <w:marTop w:val="0"/>
      <w:marBottom w:val="0"/>
      <w:divBdr>
        <w:top w:val="none" w:sz="0" w:space="0" w:color="auto"/>
        <w:left w:val="none" w:sz="0" w:space="0" w:color="auto"/>
        <w:bottom w:val="none" w:sz="0" w:space="0" w:color="auto"/>
        <w:right w:val="none" w:sz="0" w:space="0" w:color="auto"/>
      </w:divBdr>
    </w:div>
    <w:div w:id="1963800300">
      <w:bodyDiv w:val="1"/>
      <w:marLeft w:val="0"/>
      <w:marRight w:val="0"/>
      <w:marTop w:val="0"/>
      <w:marBottom w:val="0"/>
      <w:divBdr>
        <w:top w:val="none" w:sz="0" w:space="0" w:color="auto"/>
        <w:left w:val="none" w:sz="0" w:space="0" w:color="auto"/>
        <w:bottom w:val="none" w:sz="0" w:space="0" w:color="auto"/>
        <w:right w:val="none" w:sz="0" w:space="0" w:color="auto"/>
      </w:divBdr>
    </w:div>
    <w:div w:id="1972052374">
      <w:bodyDiv w:val="1"/>
      <w:marLeft w:val="0"/>
      <w:marRight w:val="0"/>
      <w:marTop w:val="0"/>
      <w:marBottom w:val="0"/>
      <w:divBdr>
        <w:top w:val="none" w:sz="0" w:space="0" w:color="auto"/>
        <w:left w:val="none" w:sz="0" w:space="0" w:color="auto"/>
        <w:bottom w:val="none" w:sz="0" w:space="0" w:color="auto"/>
        <w:right w:val="none" w:sz="0" w:space="0" w:color="auto"/>
      </w:divBdr>
      <w:divsChild>
        <w:div w:id="84233401">
          <w:marLeft w:val="0"/>
          <w:marRight w:val="0"/>
          <w:marTop w:val="0"/>
          <w:marBottom w:val="0"/>
          <w:divBdr>
            <w:top w:val="none" w:sz="0" w:space="0" w:color="auto"/>
            <w:left w:val="none" w:sz="0" w:space="0" w:color="auto"/>
            <w:bottom w:val="none" w:sz="0" w:space="0" w:color="auto"/>
            <w:right w:val="none" w:sz="0" w:space="0" w:color="auto"/>
          </w:divBdr>
        </w:div>
      </w:divsChild>
    </w:div>
    <w:div w:id="2143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regfe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ansition.fcc.gov/fees/wiretr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nsition.fcc.gov/fees/regfe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iman.khalek\AppData\Local\Microsoft\Windows\Temporary%20Internet%20Files\Content.Outlook\5VHUPB5P\draft%20nprm%201%2028%2015%20ogc%20%20tb%20edits.docx" TargetMode="External"/><Relationship Id="rId13" Type="http://schemas.openxmlformats.org/officeDocument/2006/relationships/hyperlink" Target="http://factfinder.census.gov/faces/tableservices/jsf/pages/productview.xhtml?pid=ECN_2012_US_51I2&amp;prodType=table" TargetMode="External"/><Relationship Id="rId18" Type="http://schemas.openxmlformats.org/officeDocument/2006/relationships/hyperlink" Target="http://www.snl.com/Interactivex/TopCable" TargetMode="External"/><Relationship Id="rId26" Type="http://schemas.openxmlformats.org/officeDocument/2006/relationships/hyperlink" Target="http://factfinder.census.gov/faces/tableservices/jsf/pages/productview.xhtml?pid=ECN_2007_US-51SSSZ5&amp;prodType=Table" TargetMode="External"/><Relationship Id="rId3" Type="http://schemas.openxmlformats.org/officeDocument/2006/relationships/hyperlink" Target="https://web2.westlaw.com/find/default.wl?mt=Westlaw&amp;db=350&amp;tc=-1&amp;rp=%2ffind%2fdefault.wl&amp;findtype=Y&amp;ordoc=0347269281&amp;serialnum=1979113602&amp;vr=2.0&amp;fn=_top&amp;sv=Split&amp;tf=-1&amp;referencepositiontype=S&amp;pbc=9718645D&amp;referenceposition=232&amp;rs=WLW15.04" TargetMode="External"/><Relationship Id="rId21" Type="http://schemas.openxmlformats.org/officeDocument/2006/relationships/hyperlink" Target="http://www.census.gov/cgi-bin/sssd/naics/naicsrch" TargetMode="External"/><Relationship Id="rId7" Type="http://schemas.openxmlformats.org/officeDocument/2006/relationships/hyperlink" Target="http://www.sba.gov/faqs/faqindex.cfm?arealD=24" TargetMode="External"/><Relationship Id="rId12" Type="http://schemas.openxmlformats.org/officeDocument/2006/relationships/hyperlink" Target="http://www.census.gov/cgi-bin/ssd/naics/naiscsrch" TargetMode="External"/><Relationship Id="rId17" Type="http://schemas.openxmlformats.org/officeDocument/2006/relationships/hyperlink" Target="http://www.fcc.gov/" TargetMode="External"/><Relationship Id="rId25" Type="http://schemas.openxmlformats.org/officeDocument/2006/relationships/hyperlink" Target="http://www.census.gov/cgi-bin/sssd/naics/naicsrch" TargetMode="External"/><Relationship Id="rId2" Type="http://schemas.openxmlformats.org/officeDocument/2006/relationships/hyperlink" Target="https://web2.westlaw.com/find/default.wl?mt=Westlaw&amp;db=0000350&amp;tc=-1&amp;rp=%2ffind%2fdefault.wl&amp;findtype=Y&amp;ordoc=0347269281&amp;serialnum=1985157062&amp;vr=2.0&amp;fn=_top&amp;sv=Split&amp;tf=-1&amp;referencepositiontype=S&amp;pbc=9718645D&amp;referenceposition=736&amp;rs=WLW15.04" TargetMode="External"/><Relationship Id="rId16" Type="http://schemas.openxmlformats.org/officeDocument/2006/relationships/hyperlink" Target="http://www.snl.com/interactiveX" TargetMode="External"/><Relationship Id="rId20" Type="http://schemas.openxmlformats.org/officeDocument/2006/relationships/hyperlink" Target="http://www.sba.gov/sites/default/files/FAQ_Sept_2012.pdf." TargetMode="External"/><Relationship Id="rId29" Type="http://schemas.openxmlformats.org/officeDocument/2006/relationships/hyperlink" Target="http://www.snl.com/interactivex/TopCable" TargetMode="External"/><Relationship Id="rId1" Type="http://schemas.openxmlformats.org/officeDocument/2006/relationships/hyperlink" Target="https://www.fcc.gov/encyclopedia/enforcement-bureau-organization" TargetMode="External"/><Relationship Id="rId6" Type="http://schemas.openxmlformats.org/officeDocument/2006/relationships/hyperlink" Target="http://www.whitehouse.gov/the-press-office/2011/06/13/executive-order-13576-delivering-efficient-effective-and-accountable-gov" TargetMode="External"/><Relationship Id="rId11" Type="http://schemas.openxmlformats.org/officeDocument/2006/relationships/hyperlink" Target="http://www.census.gov/cgi-bin/ssd/naics/naicsrch" TargetMode="External"/><Relationship Id="rId24" Type="http://schemas.openxmlformats.org/officeDocument/2006/relationships/hyperlink" Target="http://factfinder.census.gov/faces/tableservices/jsf/pages/productview.xhtml?pid=ECN_2012_US_51I2&amp;prodType=table" TargetMode="External"/><Relationship Id="rId5" Type="http://schemas.openxmlformats.org/officeDocument/2006/relationships/hyperlink" Target="https://web2.westlaw.com/find/default.wl?mt=Westlaw&amp;db=0001008&amp;tc=-1&amp;rp=%2ffind%2fdefault.wl&amp;findtype=Y&amp;ordoc=0347269281&amp;serialnum=1956017349&amp;vr=2.0&amp;fn=_top&amp;sv=Split&amp;tf=-1&amp;pbc=9718645D&amp;rs=WLW15.04" TargetMode="External"/><Relationship Id="rId15" Type="http://schemas.openxmlformats.org/officeDocument/2006/relationships/hyperlink" Target="http://factfinder.census.gov/faces/tableservices/jsf/pages/productview.xhtml?pid=ECN_2007_US-51SSSZ5&amp;prodType=Table" TargetMode="External"/><Relationship Id="rId23" Type="http://schemas.openxmlformats.org/officeDocument/2006/relationships/hyperlink" Target="http://www.census.gov/cgi-bin/ssd/naics/naiscsrch" TargetMode="External"/><Relationship Id="rId28" Type="http://schemas.openxmlformats.org/officeDocument/2006/relationships/hyperlink" Target="http://www.fcc.gov/" TargetMode="External"/><Relationship Id="rId10" Type="http://schemas.openxmlformats.org/officeDocument/2006/relationships/hyperlink" Target="http://www.census.gov/cgi-bin/sssd/naics/naicsrch" TargetMode="External"/><Relationship Id="rId19" Type="http://schemas.openxmlformats.org/officeDocument/2006/relationships/hyperlink" Target="http://www.census.gov/cgi-bin/ssssd/naics/naicsrch" TargetMode="External"/><Relationship Id="rId4" Type="http://schemas.openxmlformats.org/officeDocument/2006/relationships/hyperlink" Target="https://web2.westlaw.com/find/default.wl?mt=Westlaw&amp;db=0000350&amp;tc=-1&amp;rp=%2ffind%2fdefault.wl&amp;findtype=Y&amp;ordoc=0347269281&amp;serialnum=1977196004&amp;vr=2.0&amp;fn=_top&amp;sv=Split&amp;tf=-1&amp;referencepositiontype=S&amp;pbc=9718645D&amp;referenceposition=1105&amp;rs=WLW15.04" TargetMode="External"/><Relationship Id="rId9" Type="http://schemas.openxmlformats.org/officeDocument/2006/relationships/hyperlink" Target="http://factfinder.census.gov/faces/tableservices/jsf/pages/productview.xhtml?src=bkmk"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www.census.gov/cgi-bin/ssd/naics/naicsrch" TargetMode="External"/><Relationship Id="rId27" Type="http://schemas.openxmlformats.org/officeDocument/2006/relationships/hyperlink" Target="https://snl.cominteractivex/" TargetMode="External"/><Relationship Id="rId30" Type="http://schemas.openxmlformats.org/officeDocument/2006/relationships/hyperlink" Target="http://www.census.gov/cgi-bin/s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20136</Words>
  <Characters>111298</Characters>
  <Application>Microsoft Office Word</Application>
  <DocSecurity>0</DocSecurity>
  <Lines>2678</Lines>
  <Paragraphs>1241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132093</CharactersWithSpaces>
  <SharedDoc>false</SharedDoc>
  <HyperlinkBase> </HyperlinkBase>
  <HLinks>
    <vt:vector size="426" baseType="variant">
      <vt:variant>
        <vt:i4>6488123</vt:i4>
      </vt:variant>
      <vt:variant>
        <vt:i4>268</vt:i4>
      </vt:variant>
      <vt:variant>
        <vt:i4>0</vt:i4>
      </vt:variant>
      <vt:variant>
        <vt:i4>5</vt:i4>
      </vt:variant>
      <vt:variant>
        <vt:lpwstr>../AppData/Local/Microsoft/Windows/Temporary Internet Files/Content.IE5/AppData/Local/Microsoft/Windows/Temporary Internet Files/Content.IE5/Users/Mika.Savir/AppData/Local/Microsoft/Windows/Temporary Internet Files/AppData/Local/Microsoft/Windows/Temporary Internet Files/Content.IE5/Users/Roland.Helvajian/AppData/Local/Microsoft/Windows/Temporary Internet Files/Content.Outlook/Users/Mika.Savir/AppData/Local/Microsoft/Windows/Temporary Internet Files/Content.Outlook/Local Settings/Temporary Internet Files/Users/Mika.Savir/AppData/Local/Microsoft/Windows/Temporary Internet Files/AppData/Local/Microsoft/Windows/Temporary Internet Files/Content.IE5/Local Settings/Temporary Internet Files/AppData/Local/Microsoft/Windows/Temporary Internet Files/Content.IE5/Users/Mika.Savir/AppData/Local/Microsoft/Windows/Temporary Internet Files/Content.Outlook/204T2IWP/fcc504@fcc.gov</vt:lpwstr>
      </vt:variant>
      <vt:variant>
        <vt:lpwstr/>
      </vt:variant>
      <vt:variant>
        <vt:i4>7929897</vt:i4>
      </vt:variant>
      <vt:variant>
        <vt:i4>265</vt:i4>
      </vt:variant>
      <vt:variant>
        <vt:i4>0</vt:i4>
      </vt:variant>
      <vt:variant>
        <vt:i4>5</vt:i4>
      </vt:variant>
      <vt:variant>
        <vt:lpwstr>http://fjallfoss.fcc.gov/ecfs2/</vt:lpwstr>
      </vt:variant>
      <vt:variant>
        <vt:lpwstr/>
      </vt:variant>
      <vt:variant>
        <vt:i4>4522070</vt:i4>
      </vt:variant>
      <vt:variant>
        <vt:i4>262</vt:i4>
      </vt:variant>
      <vt:variant>
        <vt:i4>0</vt:i4>
      </vt:variant>
      <vt:variant>
        <vt:i4>5</vt:i4>
      </vt:variant>
      <vt:variant>
        <vt:lpwstr>http://transition.fcc.gov/fees/wiretran.html</vt:lpwstr>
      </vt:variant>
      <vt:variant>
        <vt:lpwstr/>
      </vt:variant>
      <vt:variant>
        <vt:i4>6619263</vt:i4>
      </vt:variant>
      <vt:variant>
        <vt:i4>259</vt:i4>
      </vt:variant>
      <vt:variant>
        <vt:i4>0</vt:i4>
      </vt:variant>
      <vt:variant>
        <vt:i4>5</vt:i4>
      </vt:variant>
      <vt:variant>
        <vt:lpwstr>http://transition.fcc.gov/fees/regfees.html</vt:lpwstr>
      </vt:variant>
      <vt:variant>
        <vt:lpwstr/>
      </vt:variant>
      <vt:variant>
        <vt:i4>1507379</vt:i4>
      </vt:variant>
      <vt:variant>
        <vt:i4>252</vt:i4>
      </vt:variant>
      <vt:variant>
        <vt:i4>0</vt:i4>
      </vt:variant>
      <vt:variant>
        <vt:i4>5</vt:i4>
      </vt:variant>
      <vt:variant>
        <vt:lpwstr/>
      </vt:variant>
      <vt:variant>
        <vt:lpwstr>_Toc353032079</vt:lpwstr>
      </vt:variant>
      <vt:variant>
        <vt:i4>1507379</vt:i4>
      </vt:variant>
      <vt:variant>
        <vt:i4>246</vt:i4>
      </vt:variant>
      <vt:variant>
        <vt:i4>0</vt:i4>
      </vt:variant>
      <vt:variant>
        <vt:i4>5</vt:i4>
      </vt:variant>
      <vt:variant>
        <vt:lpwstr/>
      </vt:variant>
      <vt:variant>
        <vt:lpwstr>_Toc353032078</vt:lpwstr>
      </vt:variant>
      <vt:variant>
        <vt:i4>1507379</vt:i4>
      </vt:variant>
      <vt:variant>
        <vt:i4>240</vt:i4>
      </vt:variant>
      <vt:variant>
        <vt:i4>0</vt:i4>
      </vt:variant>
      <vt:variant>
        <vt:i4>5</vt:i4>
      </vt:variant>
      <vt:variant>
        <vt:lpwstr/>
      </vt:variant>
      <vt:variant>
        <vt:lpwstr>_Toc353032077</vt:lpwstr>
      </vt:variant>
      <vt:variant>
        <vt:i4>1507379</vt:i4>
      </vt:variant>
      <vt:variant>
        <vt:i4>234</vt:i4>
      </vt:variant>
      <vt:variant>
        <vt:i4>0</vt:i4>
      </vt:variant>
      <vt:variant>
        <vt:i4>5</vt:i4>
      </vt:variant>
      <vt:variant>
        <vt:lpwstr/>
      </vt:variant>
      <vt:variant>
        <vt:lpwstr>_Toc353032076</vt:lpwstr>
      </vt:variant>
      <vt:variant>
        <vt:i4>1507379</vt:i4>
      </vt:variant>
      <vt:variant>
        <vt:i4>228</vt:i4>
      </vt:variant>
      <vt:variant>
        <vt:i4>0</vt:i4>
      </vt:variant>
      <vt:variant>
        <vt:i4>5</vt:i4>
      </vt:variant>
      <vt:variant>
        <vt:lpwstr/>
      </vt:variant>
      <vt:variant>
        <vt:lpwstr>_Toc353032075</vt:lpwstr>
      </vt:variant>
      <vt:variant>
        <vt:i4>1507379</vt:i4>
      </vt:variant>
      <vt:variant>
        <vt:i4>222</vt:i4>
      </vt:variant>
      <vt:variant>
        <vt:i4>0</vt:i4>
      </vt:variant>
      <vt:variant>
        <vt:i4>5</vt:i4>
      </vt:variant>
      <vt:variant>
        <vt:lpwstr/>
      </vt:variant>
      <vt:variant>
        <vt:lpwstr>_Toc353032074</vt:lpwstr>
      </vt:variant>
      <vt:variant>
        <vt:i4>1507379</vt:i4>
      </vt:variant>
      <vt:variant>
        <vt:i4>216</vt:i4>
      </vt:variant>
      <vt:variant>
        <vt:i4>0</vt:i4>
      </vt:variant>
      <vt:variant>
        <vt:i4>5</vt:i4>
      </vt:variant>
      <vt:variant>
        <vt:lpwstr/>
      </vt:variant>
      <vt:variant>
        <vt:lpwstr>_Toc353032073</vt:lpwstr>
      </vt:variant>
      <vt:variant>
        <vt:i4>1507379</vt:i4>
      </vt:variant>
      <vt:variant>
        <vt:i4>210</vt:i4>
      </vt:variant>
      <vt:variant>
        <vt:i4>0</vt:i4>
      </vt:variant>
      <vt:variant>
        <vt:i4>5</vt:i4>
      </vt:variant>
      <vt:variant>
        <vt:lpwstr/>
      </vt:variant>
      <vt:variant>
        <vt:lpwstr>_Toc353032072</vt:lpwstr>
      </vt:variant>
      <vt:variant>
        <vt:i4>1507379</vt:i4>
      </vt:variant>
      <vt:variant>
        <vt:i4>204</vt:i4>
      </vt:variant>
      <vt:variant>
        <vt:i4>0</vt:i4>
      </vt:variant>
      <vt:variant>
        <vt:i4>5</vt:i4>
      </vt:variant>
      <vt:variant>
        <vt:lpwstr/>
      </vt:variant>
      <vt:variant>
        <vt:lpwstr>_Toc353032071</vt:lpwstr>
      </vt:variant>
      <vt:variant>
        <vt:i4>1507379</vt:i4>
      </vt:variant>
      <vt:variant>
        <vt:i4>198</vt:i4>
      </vt:variant>
      <vt:variant>
        <vt:i4>0</vt:i4>
      </vt:variant>
      <vt:variant>
        <vt:i4>5</vt:i4>
      </vt:variant>
      <vt:variant>
        <vt:lpwstr/>
      </vt:variant>
      <vt:variant>
        <vt:lpwstr>_Toc353032070</vt:lpwstr>
      </vt:variant>
      <vt:variant>
        <vt:i4>1441843</vt:i4>
      </vt:variant>
      <vt:variant>
        <vt:i4>192</vt:i4>
      </vt:variant>
      <vt:variant>
        <vt:i4>0</vt:i4>
      </vt:variant>
      <vt:variant>
        <vt:i4>5</vt:i4>
      </vt:variant>
      <vt:variant>
        <vt:lpwstr/>
      </vt:variant>
      <vt:variant>
        <vt:lpwstr>_Toc353032069</vt:lpwstr>
      </vt:variant>
      <vt:variant>
        <vt:i4>1441843</vt:i4>
      </vt:variant>
      <vt:variant>
        <vt:i4>186</vt:i4>
      </vt:variant>
      <vt:variant>
        <vt:i4>0</vt:i4>
      </vt:variant>
      <vt:variant>
        <vt:i4>5</vt:i4>
      </vt:variant>
      <vt:variant>
        <vt:lpwstr/>
      </vt:variant>
      <vt:variant>
        <vt:lpwstr>_Toc353032068</vt:lpwstr>
      </vt:variant>
      <vt:variant>
        <vt:i4>1441843</vt:i4>
      </vt:variant>
      <vt:variant>
        <vt:i4>180</vt:i4>
      </vt:variant>
      <vt:variant>
        <vt:i4>0</vt:i4>
      </vt:variant>
      <vt:variant>
        <vt:i4>5</vt:i4>
      </vt:variant>
      <vt:variant>
        <vt:lpwstr/>
      </vt:variant>
      <vt:variant>
        <vt:lpwstr>_Toc353032067</vt:lpwstr>
      </vt:variant>
      <vt:variant>
        <vt:i4>1441843</vt:i4>
      </vt:variant>
      <vt:variant>
        <vt:i4>174</vt:i4>
      </vt:variant>
      <vt:variant>
        <vt:i4>0</vt:i4>
      </vt:variant>
      <vt:variant>
        <vt:i4>5</vt:i4>
      </vt:variant>
      <vt:variant>
        <vt:lpwstr/>
      </vt:variant>
      <vt:variant>
        <vt:lpwstr>_Toc353032066</vt:lpwstr>
      </vt:variant>
      <vt:variant>
        <vt:i4>1441843</vt:i4>
      </vt:variant>
      <vt:variant>
        <vt:i4>168</vt:i4>
      </vt:variant>
      <vt:variant>
        <vt:i4>0</vt:i4>
      </vt:variant>
      <vt:variant>
        <vt:i4>5</vt:i4>
      </vt:variant>
      <vt:variant>
        <vt:lpwstr/>
      </vt:variant>
      <vt:variant>
        <vt:lpwstr>_Toc353032065</vt:lpwstr>
      </vt:variant>
      <vt:variant>
        <vt:i4>1441843</vt:i4>
      </vt:variant>
      <vt:variant>
        <vt:i4>162</vt:i4>
      </vt:variant>
      <vt:variant>
        <vt:i4>0</vt:i4>
      </vt:variant>
      <vt:variant>
        <vt:i4>5</vt:i4>
      </vt:variant>
      <vt:variant>
        <vt:lpwstr/>
      </vt:variant>
      <vt:variant>
        <vt:lpwstr>_Toc353032064</vt:lpwstr>
      </vt:variant>
      <vt:variant>
        <vt:i4>1441843</vt:i4>
      </vt:variant>
      <vt:variant>
        <vt:i4>156</vt:i4>
      </vt:variant>
      <vt:variant>
        <vt:i4>0</vt:i4>
      </vt:variant>
      <vt:variant>
        <vt:i4>5</vt:i4>
      </vt:variant>
      <vt:variant>
        <vt:lpwstr/>
      </vt:variant>
      <vt:variant>
        <vt:lpwstr>_Toc353032063</vt:lpwstr>
      </vt:variant>
      <vt:variant>
        <vt:i4>1441843</vt:i4>
      </vt:variant>
      <vt:variant>
        <vt:i4>150</vt:i4>
      </vt:variant>
      <vt:variant>
        <vt:i4>0</vt:i4>
      </vt:variant>
      <vt:variant>
        <vt:i4>5</vt:i4>
      </vt:variant>
      <vt:variant>
        <vt:lpwstr/>
      </vt:variant>
      <vt:variant>
        <vt:lpwstr>_Toc353032062</vt:lpwstr>
      </vt:variant>
      <vt:variant>
        <vt:i4>1441843</vt:i4>
      </vt:variant>
      <vt:variant>
        <vt:i4>144</vt:i4>
      </vt:variant>
      <vt:variant>
        <vt:i4>0</vt:i4>
      </vt:variant>
      <vt:variant>
        <vt:i4>5</vt:i4>
      </vt:variant>
      <vt:variant>
        <vt:lpwstr/>
      </vt:variant>
      <vt:variant>
        <vt:lpwstr>_Toc353032061</vt:lpwstr>
      </vt:variant>
      <vt:variant>
        <vt:i4>1441843</vt:i4>
      </vt:variant>
      <vt:variant>
        <vt:i4>138</vt:i4>
      </vt:variant>
      <vt:variant>
        <vt:i4>0</vt:i4>
      </vt:variant>
      <vt:variant>
        <vt:i4>5</vt:i4>
      </vt:variant>
      <vt:variant>
        <vt:lpwstr/>
      </vt:variant>
      <vt:variant>
        <vt:lpwstr>_Toc353032060</vt:lpwstr>
      </vt:variant>
      <vt:variant>
        <vt:i4>1376307</vt:i4>
      </vt:variant>
      <vt:variant>
        <vt:i4>132</vt:i4>
      </vt:variant>
      <vt:variant>
        <vt:i4>0</vt:i4>
      </vt:variant>
      <vt:variant>
        <vt:i4>5</vt:i4>
      </vt:variant>
      <vt:variant>
        <vt:lpwstr/>
      </vt:variant>
      <vt:variant>
        <vt:lpwstr>_Toc353032059</vt:lpwstr>
      </vt:variant>
      <vt:variant>
        <vt:i4>1376307</vt:i4>
      </vt:variant>
      <vt:variant>
        <vt:i4>126</vt:i4>
      </vt:variant>
      <vt:variant>
        <vt:i4>0</vt:i4>
      </vt:variant>
      <vt:variant>
        <vt:i4>5</vt:i4>
      </vt:variant>
      <vt:variant>
        <vt:lpwstr/>
      </vt:variant>
      <vt:variant>
        <vt:lpwstr>_Toc353032058</vt:lpwstr>
      </vt:variant>
      <vt:variant>
        <vt:i4>1376307</vt:i4>
      </vt:variant>
      <vt:variant>
        <vt:i4>120</vt:i4>
      </vt:variant>
      <vt:variant>
        <vt:i4>0</vt:i4>
      </vt:variant>
      <vt:variant>
        <vt:i4>5</vt:i4>
      </vt:variant>
      <vt:variant>
        <vt:lpwstr/>
      </vt:variant>
      <vt:variant>
        <vt:lpwstr>_Toc353032057</vt:lpwstr>
      </vt:variant>
      <vt:variant>
        <vt:i4>1376307</vt:i4>
      </vt:variant>
      <vt:variant>
        <vt:i4>114</vt:i4>
      </vt:variant>
      <vt:variant>
        <vt:i4>0</vt:i4>
      </vt:variant>
      <vt:variant>
        <vt:i4>5</vt:i4>
      </vt:variant>
      <vt:variant>
        <vt:lpwstr/>
      </vt:variant>
      <vt:variant>
        <vt:lpwstr>_Toc353032056</vt:lpwstr>
      </vt:variant>
      <vt:variant>
        <vt:i4>1376307</vt:i4>
      </vt:variant>
      <vt:variant>
        <vt:i4>108</vt:i4>
      </vt:variant>
      <vt:variant>
        <vt:i4>0</vt:i4>
      </vt:variant>
      <vt:variant>
        <vt:i4>5</vt:i4>
      </vt:variant>
      <vt:variant>
        <vt:lpwstr/>
      </vt:variant>
      <vt:variant>
        <vt:lpwstr>_Toc353032055</vt:lpwstr>
      </vt:variant>
      <vt:variant>
        <vt:i4>1376307</vt:i4>
      </vt:variant>
      <vt:variant>
        <vt:i4>102</vt:i4>
      </vt:variant>
      <vt:variant>
        <vt:i4>0</vt:i4>
      </vt:variant>
      <vt:variant>
        <vt:i4>5</vt:i4>
      </vt:variant>
      <vt:variant>
        <vt:lpwstr/>
      </vt:variant>
      <vt:variant>
        <vt:lpwstr>_Toc353032054</vt:lpwstr>
      </vt:variant>
      <vt:variant>
        <vt:i4>1376307</vt:i4>
      </vt:variant>
      <vt:variant>
        <vt:i4>96</vt:i4>
      </vt:variant>
      <vt:variant>
        <vt:i4>0</vt:i4>
      </vt:variant>
      <vt:variant>
        <vt:i4>5</vt:i4>
      </vt:variant>
      <vt:variant>
        <vt:lpwstr/>
      </vt:variant>
      <vt:variant>
        <vt:lpwstr>_Toc353032053</vt:lpwstr>
      </vt:variant>
      <vt:variant>
        <vt:i4>1376307</vt:i4>
      </vt:variant>
      <vt:variant>
        <vt:i4>90</vt:i4>
      </vt:variant>
      <vt:variant>
        <vt:i4>0</vt:i4>
      </vt:variant>
      <vt:variant>
        <vt:i4>5</vt:i4>
      </vt:variant>
      <vt:variant>
        <vt:lpwstr/>
      </vt:variant>
      <vt:variant>
        <vt:lpwstr>_Toc353032052</vt:lpwstr>
      </vt:variant>
      <vt:variant>
        <vt:i4>1376307</vt:i4>
      </vt:variant>
      <vt:variant>
        <vt:i4>84</vt:i4>
      </vt:variant>
      <vt:variant>
        <vt:i4>0</vt:i4>
      </vt:variant>
      <vt:variant>
        <vt:i4>5</vt:i4>
      </vt:variant>
      <vt:variant>
        <vt:lpwstr/>
      </vt:variant>
      <vt:variant>
        <vt:lpwstr>_Toc353032051</vt:lpwstr>
      </vt:variant>
      <vt:variant>
        <vt:i4>1376307</vt:i4>
      </vt:variant>
      <vt:variant>
        <vt:i4>78</vt:i4>
      </vt:variant>
      <vt:variant>
        <vt:i4>0</vt:i4>
      </vt:variant>
      <vt:variant>
        <vt:i4>5</vt:i4>
      </vt:variant>
      <vt:variant>
        <vt:lpwstr/>
      </vt:variant>
      <vt:variant>
        <vt:lpwstr>_Toc353032050</vt:lpwstr>
      </vt:variant>
      <vt:variant>
        <vt:i4>1310771</vt:i4>
      </vt:variant>
      <vt:variant>
        <vt:i4>72</vt:i4>
      </vt:variant>
      <vt:variant>
        <vt:i4>0</vt:i4>
      </vt:variant>
      <vt:variant>
        <vt:i4>5</vt:i4>
      </vt:variant>
      <vt:variant>
        <vt:lpwstr/>
      </vt:variant>
      <vt:variant>
        <vt:lpwstr>_Toc353032049</vt:lpwstr>
      </vt:variant>
      <vt:variant>
        <vt:i4>1310771</vt:i4>
      </vt:variant>
      <vt:variant>
        <vt:i4>66</vt:i4>
      </vt:variant>
      <vt:variant>
        <vt:i4>0</vt:i4>
      </vt:variant>
      <vt:variant>
        <vt:i4>5</vt:i4>
      </vt:variant>
      <vt:variant>
        <vt:lpwstr/>
      </vt:variant>
      <vt:variant>
        <vt:lpwstr>_Toc353032048</vt:lpwstr>
      </vt:variant>
      <vt:variant>
        <vt:i4>1310771</vt:i4>
      </vt:variant>
      <vt:variant>
        <vt:i4>60</vt:i4>
      </vt:variant>
      <vt:variant>
        <vt:i4>0</vt:i4>
      </vt:variant>
      <vt:variant>
        <vt:i4>5</vt:i4>
      </vt:variant>
      <vt:variant>
        <vt:lpwstr/>
      </vt:variant>
      <vt:variant>
        <vt:lpwstr>_Toc353032047</vt:lpwstr>
      </vt:variant>
      <vt:variant>
        <vt:i4>1310771</vt:i4>
      </vt:variant>
      <vt:variant>
        <vt:i4>54</vt:i4>
      </vt:variant>
      <vt:variant>
        <vt:i4>0</vt:i4>
      </vt:variant>
      <vt:variant>
        <vt:i4>5</vt:i4>
      </vt:variant>
      <vt:variant>
        <vt:lpwstr/>
      </vt:variant>
      <vt:variant>
        <vt:lpwstr>_Toc353032046</vt:lpwstr>
      </vt:variant>
      <vt:variant>
        <vt:i4>1310771</vt:i4>
      </vt:variant>
      <vt:variant>
        <vt:i4>48</vt:i4>
      </vt:variant>
      <vt:variant>
        <vt:i4>0</vt:i4>
      </vt:variant>
      <vt:variant>
        <vt:i4>5</vt:i4>
      </vt:variant>
      <vt:variant>
        <vt:lpwstr/>
      </vt:variant>
      <vt:variant>
        <vt:lpwstr>_Toc353032045</vt:lpwstr>
      </vt:variant>
      <vt:variant>
        <vt:i4>1310771</vt:i4>
      </vt:variant>
      <vt:variant>
        <vt:i4>42</vt:i4>
      </vt:variant>
      <vt:variant>
        <vt:i4>0</vt:i4>
      </vt:variant>
      <vt:variant>
        <vt:i4>5</vt:i4>
      </vt:variant>
      <vt:variant>
        <vt:lpwstr/>
      </vt:variant>
      <vt:variant>
        <vt:lpwstr>_Toc353032044</vt:lpwstr>
      </vt:variant>
      <vt:variant>
        <vt:i4>1310771</vt:i4>
      </vt:variant>
      <vt:variant>
        <vt:i4>36</vt:i4>
      </vt:variant>
      <vt:variant>
        <vt:i4>0</vt:i4>
      </vt:variant>
      <vt:variant>
        <vt:i4>5</vt:i4>
      </vt:variant>
      <vt:variant>
        <vt:lpwstr/>
      </vt:variant>
      <vt:variant>
        <vt:lpwstr>_Toc353032043</vt:lpwstr>
      </vt:variant>
      <vt:variant>
        <vt:i4>1310771</vt:i4>
      </vt:variant>
      <vt:variant>
        <vt:i4>30</vt:i4>
      </vt:variant>
      <vt:variant>
        <vt:i4>0</vt:i4>
      </vt:variant>
      <vt:variant>
        <vt:i4>5</vt:i4>
      </vt:variant>
      <vt:variant>
        <vt:lpwstr/>
      </vt:variant>
      <vt:variant>
        <vt:lpwstr>_Toc353032042</vt:lpwstr>
      </vt:variant>
      <vt:variant>
        <vt:i4>1310771</vt:i4>
      </vt:variant>
      <vt:variant>
        <vt:i4>24</vt:i4>
      </vt:variant>
      <vt:variant>
        <vt:i4>0</vt:i4>
      </vt:variant>
      <vt:variant>
        <vt:i4>5</vt:i4>
      </vt:variant>
      <vt:variant>
        <vt:lpwstr/>
      </vt:variant>
      <vt:variant>
        <vt:lpwstr>_Toc353032041</vt:lpwstr>
      </vt:variant>
      <vt:variant>
        <vt:i4>1310771</vt:i4>
      </vt:variant>
      <vt:variant>
        <vt:i4>18</vt:i4>
      </vt:variant>
      <vt:variant>
        <vt:i4>0</vt:i4>
      </vt:variant>
      <vt:variant>
        <vt:i4>5</vt:i4>
      </vt:variant>
      <vt:variant>
        <vt:lpwstr/>
      </vt:variant>
      <vt:variant>
        <vt:lpwstr>_Toc353032040</vt:lpwstr>
      </vt:variant>
      <vt:variant>
        <vt:i4>1245235</vt:i4>
      </vt:variant>
      <vt:variant>
        <vt:i4>12</vt:i4>
      </vt:variant>
      <vt:variant>
        <vt:i4>0</vt:i4>
      </vt:variant>
      <vt:variant>
        <vt:i4>5</vt:i4>
      </vt:variant>
      <vt:variant>
        <vt:lpwstr/>
      </vt:variant>
      <vt:variant>
        <vt:lpwstr>_Toc353032039</vt:lpwstr>
      </vt:variant>
      <vt:variant>
        <vt:i4>1245235</vt:i4>
      </vt:variant>
      <vt:variant>
        <vt:i4>6</vt:i4>
      </vt:variant>
      <vt:variant>
        <vt:i4>0</vt:i4>
      </vt:variant>
      <vt:variant>
        <vt:i4>5</vt:i4>
      </vt:variant>
      <vt:variant>
        <vt:lpwstr/>
      </vt:variant>
      <vt:variant>
        <vt:lpwstr>_Toc353032038</vt:lpwstr>
      </vt:variant>
      <vt:variant>
        <vt:i4>6291563</vt:i4>
      </vt:variant>
      <vt:variant>
        <vt:i4>72</vt:i4>
      </vt:variant>
      <vt:variant>
        <vt:i4>0</vt:i4>
      </vt:variant>
      <vt:variant>
        <vt:i4>5</vt:i4>
      </vt:variant>
      <vt:variant>
        <vt:lpwstr>http://www.westlaw.com/Find/Default.wl?rs=++++1.0&amp;vr=2.0&amp;DB=1000547&amp;DocName=47CFRS90.33&amp;FindType=L</vt:lpwstr>
      </vt:variant>
      <vt:variant>
        <vt:lpwstr/>
      </vt:variant>
      <vt:variant>
        <vt:i4>6422637</vt:i4>
      </vt:variant>
      <vt:variant>
        <vt:i4>69</vt:i4>
      </vt:variant>
      <vt:variant>
        <vt:i4>0</vt:i4>
      </vt:variant>
      <vt:variant>
        <vt:i4>5</vt:i4>
      </vt:variant>
      <vt:variant>
        <vt:lpwstr>http://www.westlaw.com/Find/Default.wl?rs=++++1.0&amp;vr=2.0&amp;DB=1000547&amp;DocName=47CFRS90.15&amp;FindType=L</vt:lpwstr>
      </vt:variant>
      <vt:variant>
        <vt:lpwstr/>
      </vt:variant>
      <vt:variant>
        <vt:i4>8061012</vt:i4>
      </vt:variant>
      <vt:variant>
        <vt:i4>66</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2162789</vt:i4>
      </vt:variant>
      <vt:variant>
        <vt:i4>63</vt:i4>
      </vt:variant>
      <vt:variant>
        <vt:i4>0</vt:i4>
      </vt:variant>
      <vt:variant>
        <vt:i4>5</vt:i4>
      </vt:variant>
      <vt:variant>
        <vt:lpwstr>http://www.census.gov/naics/2007/def/ND517110.HTM</vt:lpwstr>
      </vt:variant>
      <vt:variant>
        <vt:lpwstr>N517110</vt:lpwstr>
      </vt:variant>
      <vt:variant>
        <vt:i4>6422562</vt:i4>
      </vt:variant>
      <vt:variant>
        <vt:i4>60</vt:i4>
      </vt:variant>
      <vt:variant>
        <vt:i4>0</vt:i4>
      </vt:variant>
      <vt:variant>
        <vt:i4>5</vt:i4>
      </vt:variant>
      <vt:variant>
        <vt:lpwstr>http://transition.fcc.gov/Daily_Releases/Daily_Business/2012/db0106/DOC-311837A1.pdf</vt:lpwstr>
      </vt:variant>
      <vt:variant>
        <vt:lpwstr/>
      </vt:variant>
      <vt:variant>
        <vt:i4>2162791</vt:i4>
      </vt:variant>
      <vt:variant>
        <vt:i4>57</vt:i4>
      </vt:variant>
      <vt:variant>
        <vt:i4>0</vt:i4>
      </vt:variant>
      <vt:variant>
        <vt:i4>5</vt:i4>
      </vt:variant>
      <vt:variant>
        <vt:lpwstr>http://www.census.gov/naics/2007/def/ND515112.HTM</vt:lpwstr>
      </vt:variant>
      <vt:variant>
        <vt:lpwstr>N515112</vt:lpwstr>
      </vt:variant>
      <vt:variant>
        <vt:i4>6422562</vt:i4>
      </vt:variant>
      <vt:variant>
        <vt:i4>54</vt:i4>
      </vt:variant>
      <vt:variant>
        <vt:i4>0</vt:i4>
      </vt:variant>
      <vt:variant>
        <vt:i4>5</vt:i4>
      </vt:variant>
      <vt:variant>
        <vt:lpwstr>http://transition.fcc.gov/Daily_Releases/Daily_Business/2012/db0106/DOC-311837A1.pdf</vt:lpwstr>
      </vt:variant>
      <vt:variant>
        <vt:lpwstr/>
      </vt:variant>
      <vt:variant>
        <vt:i4>6422562</vt:i4>
      </vt:variant>
      <vt:variant>
        <vt:i4>51</vt:i4>
      </vt:variant>
      <vt:variant>
        <vt:i4>0</vt:i4>
      </vt:variant>
      <vt:variant>
        <vt:i4>5</vt:i4>
      </vt:variant>
      <vt:variant>
        <vt:lpwstr>http://transition.fcc.gov/Daily_Releases/Daily_Business/2012/db0106/DOC-311837A1.pdf</vt:lpwstr>
      </vt:variant>
      <vt:variant>
        <vt:lpwstr/>
      </vt:variant>
      <vt:variant>
        <vt:i4>6422562</vt:i4>
      </vt:variant>
      <vt:variant>
        <vt:i4>48</vt:i4>
      </vt:variant>
      <vt:variant>
        <vt:i4>0</vt:i4>
      </vt:variant>
      <vt:variant>
        <vt:i4>5</vt:i4>
      </vt:variant>
      <vt:variant>
        <vt:lpwstr>http://transition.fcc.gov/Daily_Releases/Daily_Business/2012/db0106/DOC-311837A1.pdf</vt:lpwstr>
      </vt:variant>
      <vt:variant>
        <vt:lpwstr/>
      </vt:variant>
      <vt:variant>
        <vt:i4>2162789</vt:i4>
      </vt:variant>
      <vt:variant>
        <vt:i4>45</vt:i4>
      </vt:variant>
      <vt:variant>
        <vt:i4>0</vt:i4>
      </vt:variant>
      <vt:variant>
        <vt:i4>5</vt:i4>
      </vt:variant>
      <vt:variant>
        <vt:lpwstr>http://www.census.gov/naics/2007/def/ND515120.HTM</vt:lpwstr>
      </vt:variant>
      <vt:variant>
        <vt:lpwstr>N515120</vt:lpwstr>
      </vt:variant>
      <vt:variant>
        <vt:i4>7471129</vt:i4>
      </vt:variant>
      <vt:variant>
        <vt:i4>42</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39</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33</vt:i4>
      </vt:variant>
      <vt:variant>
        <vt:i4>0</vt:i4>
      </vt:variant>
      <vt:variant>
        <vt:i4>5</vt:i4>
      </vt:variant>
      <vt:variant>
        <vt:lpwstr>http://www.census.gov/naics/2007/def/ND517210.HTM</vt:lpwstr>
      </vt:variant>
      <vt:variant>
        <vt:lpwstr>N517210</vt:lpwstr>
      </vt:variant>
      <vt:variant>
        <vt:i4>2883710</vt:i4>
      </vt:variant>
      <vt:variant>
        <vt:i4>30</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27</vt:i4>
      </vt:variant>
      <vt:variant>
        <vt:i4>0</vt:i4>
      </vt:variant>
      <vt:variant>
        <vt:i4>5</vt:i4>
      </vt:variant>
      <vt:variant>
        <vt:lpwstr>http://www.census.gov/cgi-bin/sssd/naics/naicsrch?code=517210&amp;search=2007%20NAICS%20Search</vt:lpwstr>
      </vt:variant>
      <vt:variant>
        <vt:lpwstr/>
      </vt:variant>
      <vt:variant>
        <vt:i4>2883710</vt:i4>
      </vt:variant>
      <vt:variant>
        <vt:i4>24</vt:i4>
      </vt:variant>
      <vt:variant>
        <vt:i4>0</vt:i4>
      </vt:variant>
      <vt:variant>
        <vt:i4>5</vt:i4>
      </vt:variant>
      <vt:variant>
        <vt:lpwstr>http://factfinder.census.gov/servlet/IBQTable?_bm=y&amp;-fds_name=EC0700A1&amp;-geo_id=&amp;-_skip=600&amp;-ds_name=EC0751SSSZ5&amp;-_lang=en</vt:lpwstr>
      </vt:variant>
      <vt:variant>
        <vt:lpwstr/>
      </vt:variant>
      <vt:variant>
        <vt:i4>2752559</vt:i4>
      </vt:variant>
      <vt:variant>
        <vt:i4>21</vt:i4>
      </vt:variant>
      <vt:variant>
        <vt:i4>0</vt:i4>
      </vt:variant>
      <vt:variant>
        <vt:i4>5</vt:i4>
      </vt:variant>
      <vt:variant>
        <vt:lpwstr>http://web.sba.gov/faqs</vt:lpwstr>
      </vt:variant>
      <vt:variant>
        <vt:lpwstr/>
      </vt:variant>
      <vt:variant>
        <vt:i4>6815776</vt:i4>
      </vt:variant>
      <vt:variant>
        <vt:i4>18</vt:i4>
      </vt:variant>
      <vt:variant>
        <vt:i4>0</vt:i4>
      </vt:variant>
      <vt:variant>
        <vt:i4>5</vt:i4>
      </vt:variant>
      <vt:variant>
        <vt:lpwstr>http://www.whitehouse.gov/the-press-office/2011/06/13/executive-order-13576-delivering-efficient-effective-and-accountable-gov</vt:lpwstr>
      </vt:variant>
      <vt:variant>
        <vt:lpwstr/>
      </vt:variant>
      <vt:variant>
        <vt:i4>1441874</vt:i4>
      </vt:variant>
      <vt:variant>
        <vt:i4>15</vt:i4>
      </vt:variant>
      <vt:variant>
        <vt:i4>0</vt:i4>
      </vt:variant>
      <vt:variant>
        <vt:i4>5</vt:i4>
      </vt:variant>
      <vt:variant>
        <vt:lpwstr>http://pewinternet.org/Reports/2012/Smartphone-Update-2012/Findings.aspx</vt:lpwstr>
      </vt:variant>
      <vt:variant>
        <vt:lpwstr/>
      </vt:variant>
      <vt:variant>
        <vt:i4>2752560</vt:i4>
      </vt:variant>
      <vt:variant>
        <vt:i4>12</vt:i4>
      </vt:variant>
      <vt:variant>
        <vt:i4>0</vt:i4>
      </vt:variant>
      <vt:variant>
        <vt:i4>5</vt:i4>
      </vt:variant>
      <vt:variant>
        <vt:lpwstr>http://www.ntia.doc.gov/report/2011/exploring-digital-nation-computer-and-internet-use-home</vt:lpwstr>
      </vt:variant>
      <vt:variant>
        <vt:lpwstr/>
      </vt:variant>
      <vt:variant>
        <vt:i4>6029312</vt:i4>
      </vt:variant>
      <vt:variant>
        <vt:i4>9</vt:i4>
      </vt:variant>
      <vt:variant>
        <vt:i4>0</vt:i4>
      </vt:variant>
      <vt:variant>
        <vt:i4>5</vt:i4>
      </vt:variant>
      <vt:variant>
        <vt:lpwstr>http://www22.verizon.com/?lid=//global//residential.</vt:lpwstr>
      </vt:variant>
      <vt:variant>
        <vt:lpwstr/>
      </vt:variant>
      <vt:variant>
        <vt:i4>786518</vt:i4>
      </vt:variant>
      <vt:variant>
        <vt:i4>6</vt:i4>
      </vt:variant>
      <vt:variant>
        <vt:i4>0</vt:i4>
      </vt:variant>
      <vt:variant>
        <vt:i4>5</vt:i4>
      </vt:variant>
      <vt:variant>
        <vt:lpwstr>http://www.comcast.com/Corporate/Learn/Bundles/bundles.html.</vt:lpwstr>
      </vt:variant>
      <vt:variant>
        <vt:lpwstr/>
      </vt:variant>
      <vt:variant>
        <vt:i4>1441874</vt:i4>
      </vt:variant>
      <vt:variant>
        <vt:i4>3</vt:i4>
      </vt:variant>
      <vt:variant>
        <vt:i4>0</vt:i4>
      </vt:variant>
      <vt:variant>
        <vt:i4>5</vt:i4>
      </vt:variant>
      <vt:variant>
        <vt:lpwstr>http://pewinternet.org/Reports/2012/Smartphone-Update-2012/Findings.aspx</vt:lpwstr>
      </vt:variant>
      <vt:variant>
        <vt:lpwstr/>
      </vt:variant>
      <vt:variant>
        <vt:i4>2752560</vt:i4>
      </vt:variant>
      <vt:variant>
        <vt:i4>0</vt:i4>
      </vt:variant>
      <vt:variant>
        <vt:i4>0</vt:i4>
      </vt:variant>
      <vt:variant>
        <vt:i4>5</vt:i4>
      </vt:variant>
      <vt:variant>
        <vt:lpwstr>http://www.ntia.doc.gov/report/2011/exploring-digital-nation-computer-and-internet-use-home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2015-09-02T16:41:00Z</cp:lastPrinted>
  <dcterms:created xsi:type="dcterms:W3CDTF">2015-09-02T16:48:00Z</dcterms:created>
  <dcterms:modified xsi:type="dcterms:W3CDTF">2015-09-02T16:48:00Z</dcterms:modified>
  <cp:category> </cp:category>
  <cp:contentStatus> </cp:contentStatus>
</cp:coreProperties>
</file>