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F76B" w14:textId="77777777"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14:paraId="013CCF51" w14:textId="77777777" w:rsidR="00921803" w:rsidRDefault="00921803" w:rsidP="00921803">
      <w:pPr>
        <w:pStyle w:val="StyleBoldCentered"/>
      </w:pPr>
      <w:r>
        <w:t>F</w:t>
      </w:r>
      <w:r>
        <w:rPr>
          <w:caps w:val="0"/>
        </w:rPr>
        <w:t>ederal Communications Commission</w:t>
      </w:r>
    </w:p>
    <w:p w14:paraId="14EA0B41" w14:textId="77777777" w:rsidR="004C2EE3" w:rsidRDefault="00810B6F" w:rsidP="00096D8C">
      <w:pPr>
        <w:pStyle w:val="StyleBoldCentered"/>
      </w:pPr>
      <w:r>
        <w:rPr>
          <w:caps w:val="0"/>
        </w:rPr>
        <w:t>Washington, D.C. 20554</w:t>
      </w:r>
    </w:p>
    <w:p w14:paraId="32325BC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97AF0C3" w14:textId="77777777">
        <w:tc>
          <w:tcPr>
            <w:tcW w:w="4698" w:type="dxa"/>
          </w:tcPr>
          <w:p w14:paraId="50F7C506" w14:textId="77777777" w:rsidR="004C2EE3" w:rsidRDefault="004C2EE3">
            <w:pPr>
              <w:tabs>
                <w:tab w:val="center" w:pos="4680"/>
              </w:tabs>
              <w:suppressAutoHyphens/>
              <w:rPr>
                <w:spacing w:val="-2"/>
              </w:rPr>
            </w:pPr>
            <w:r>
              <w:rPr>
                <w:spacing w:val="-2"/>
              </w:rPr>
              <w:t>In the Matter of</w:t>
            </w:r>
          </w:p>
          <w:p w14:paraId="4C4E47F4" w14:textId="77777777" w:rsidR="004C2EE3" w:rsidRDefault="004C2EE3">
            <w:pPr>
              <w:tabs>
                <w:tab w:val="center" w:pos="4680"/>
              </w:tabs>
              <w:suppressAutoHyphens/>
              <w:rPr>
                <w:spacing w:val="-2"/>
              </w:rPr>
            </w:pPr>
          </w:p>
          <w:p w14:paraId="722B2E22" w14:textId="77777777" w:rsidR="004C2EE3" w:rsidRPr="007115F7" w:rsidRDefault="000F43AB" w:rsidP="00716307">
            <w:pPr>
              <w:tabs>
                <w:tab w:val="center" w:pos="4680"/>
              </w:tabs>
              <w:suppressAutoHyphens/>
              <w:rPr>
                <w:spacing w:val="-2"/>
              </w:rPr>
            </w:pPr>
            <w:r w:rsidRPr="000F43AB">
              <w:rPr>
                <w:spacing w:val="-2"/>
              </w:rPr>
              <w:t xml:space="preserve">Amendment of </w:t>
            </w:r>
            <w:r w:rsidR="00716307" w:rsidRPr="00716307">
              <w:rPr>
                <w:spacing w:val="-2"/>
              </w:rPr>
              <w:t xml:space="preserve">Section 73.1216 </w:t>
            </w:r>
            <w:r w:rsidR="00716307">
              <w:rPr>
                <w:spacing w:val="-2"/>
              </w:rPr>
              <w:t xml:space="preserve">of </w:t>
            </w:r>
            <w:r w:rsidRPr="000F43AB">
              <w:rPr>
                <w:spacing w:val="-2"/>
              </w:rPr>
              <w:t>the Commission’s Rule</w:t>
            </w:r>
            <w:r w:rsidR="00716307">
              <w:rPr>
                <w:spacing w:val="-2"/>
              </w:rPr>
              <w:t>s</w:t>
            </w:r>
            <w:r w:rsidRPr="000F43AB">
              <w:rPr>
                <w:spacing w:val="-2"/>
              </w:rPr>
              <w:t xml:space="preserve"> Related to </w:t>
            </w:r>
            <w:r w:rsidR="002F40A0">
              <w:rPr>
                <w:spacing w:val="-2"/>
              </w:rPr>
              <w:t xml:space="preserve">Broadcast </w:t>
            </w:r>
            <w:r w:rsidRPr="000F43AB">
              <w:rPr>
                <w:spacing w:val="-2"/>
              </w:rPr>
              <w:t>Licensee-Conducted Contests</w:t>
            </w:r>
          </w:p>
        </w:tc>
        <w:tc>
          <w:tcPr>
            <w:tcW w:w="630" w:type="dxa"/>
          </w:tcPr>
          <w:p w14:paraId="7D95CE07" w14:textId="77777777" w:rsidR="004C2EE3" w:rsidRDefault="004C2EE3">
            <w:pPr>
              <w:tabs>
                <w:tab w:val="center" w:pos="4680"/>
              </w:tabs>
              <w:suppressAutoHyphens/>
              <w:rPr>
                <w:b/>
                <w:spacing w:val="-2"/>
              </w:rPr>
            </w:pPr>
            <w:r>
              <w:rPr>
                <w:b/>
                <w:spacing w:val="-2"/>
              </w:rPr>
              <w:t>)</w:t>
            </w:r>
          </w:p>
          <w:p w14:paraId="770DD029" w14:textId="77777777" w:rsidR="004C2EE3" w:rsidRDefault="004C2EE3">
            <w:pPr>
              <w:tabs>
                <w:tab w:val="center" w:pos="4680"/>
              </w:tabs>
              <w:suppressAutoHyphens/>
              <w:rPr>
                <w:b/>
                <w:spacing w:val="-2"/>
              </w:rPr>
            </w:pPr>
            <w:r>
              <w:rPr>
                <w:b/>
                <w:spacing w:val="-2"/>
              </w:rPr>
              <w:t>)</w:t>
            </w:r>
          </w:p>
          <w:p w14:paraId="67F7AB34" w14:textId="77777777" w:rsidR="004C2EE3" w:rsidRDefault="004C2EE3">
            <w:pPr>
              <w:tabs>
                <w:tab w:val="center" w:pos="4680"/>
              </w:tabs>
              <w:suppressAutoHyphens/>
              <w:rPr>
                <w:b/>
                <w:spacing w:val="-2"/>
              </w:rPr>
            </w:pPr>
            <w:r>
              <w:rPr>
                <w:b/>
                <w:spacing w:val="-2"/>
              </w:rPr>
              <w:t>)</w:t>
            </w:r>
          </w:p>
          <w:p w14:paraId="236FE2E7" w14:textId="77777777" w:rsidR="004C2EE3" w:rsidRDefault="004C2EE3">
            <w:pPr>
              <w:tabs>
                <w:tab w:val="center" w:pos="4680"/>
              </w:tabs>
              <w:suppressAutoHyphens/>
              <w:rPr>
                <w:b/>
                <w:spacing w:val="-2"/>
              </w:rPr>
            </w:pPr>
            <w:r>
              <w:rPr>
                <w:b/>
                <w:spacing w:val="-2"/>
              </w:rPr>
              <w:t>)</w:t>
            </w:r>
          </w:p>
          <w:p w14:paraId="166078CF" w14:textId="77777777" w:rsidR="004C2EE3" w:rsidRDefault="004C2EE3">
            <w:pPr>
              <w:tabs>
                <w:tab w:val="center" w:pos="4680"/>
              </w:tabs>
              <w:suppressAutoHyphens/>
              <w:rPr>
                <w:b/>
                <w:spacing w:val="-2"/>
              </w:rPr>
            </w:pPr>
            <w:r>
              <w:rPr>
                <w:b/>
                <w:spacing w:val="-2"/>
              </w:rPr>
              <w:t>)</w:t>
            </w:r>
          </w:p>
          <w:p w14:paraId="0E075C38" w14:textId="77777777" w:rsidR="004C2EE3" w:rsidRDefault="004C2EE3">
            <w:pPr>
              <w:tabs>
                <w:tab w:val="center" w:pos="4680"/>
              </w:tabs>
              <w:suppressAutoHyphens/>
              <w:rPr>
                <w:spacing w:val="-2"/>
              </w:rPr>
            </w:pPr>
          </w:p>
        </w:tc>
        <w:tc>
          <w:tcPr>
            <w:tcW w:w="4248" w:type="dxa"/>
          </w:tcPr>
          <w:p w14:paraId="4B697A9A" w14:textId="77777777" w:rsidR="004C2EE3" w:rsidRDefault="004C2EE3">
            <w:pPr>
              <w:tabs>
                <w:tab w:val="center" w:pos="4680"/>
              </w:tabs>
              <w:suppressAutoHyphens/>
              <w:rPr>
                <w:spacing w:val="-2"/>
              </w:rPr>
            </w:pPr>
          </w:p>
          <w:p w14:paraId="75823A18" w14:textId="77777777" w:rsidR="0019192D" w:rsidRDefault="0019192D">
            <w:pPr>
              <w:pStyle w:val="TOAHeading"/>
              <w:tabs>
                <w:tab w:val="clear" w:pos="9360"/>
                <w:tab w:val="center" w:pos="4680"/>
              </w:tabs>
              <w:rPr>
                <w:spacing w:val="-2"/>
              </w:rPr>
            </w:pPr>
          </w:p>
          <w:p w14:paraId="289150DF" w14:textId="77777777" w:rsidR="004C2EE3" w:rsidRDefault="007764CE">
            <w:pPr>
              <w:pStyle w:val="TOAHeading"/>
              <w:tabs>
                <w:tab w:val="clear" w:pos="9360"/>
                <w:tab w:val="center" w:pos="4680"/>
              </w:tabs>
              <w:rPr>
                <w:spacing w:val="-2"/>
              </w:rPr>
            </w:pPr>
            <w:r>
              <w:rPr>
                <w:spacing w:val="-2"/>
              </w:rPr>
              <w:t>MB Docket No. 14-226</w:t>
            </w:r>
          </w:p>
          <w:p w14:paraId="69D83634" w14:textId="77777777" w:rsidR="000C68FA" w:rsidRPr="000C68FA" w:rsidRDefault="000C68FA" w:rsidP="000C68FA"/>
          <w:p w14:paraId="26A455C3" w14:textId="77777777" w:rsidR="004C2EE3" w:rsidRDefault="000F43AB">
            <w:pPr>
              <w:tabs>
                <w:tab w:val="center" w:pos="4680"/>
              </w:tabs>
              <w:suppressAutoHyphens/>
              <w:rPr>
                <w:spacing w:val="-2"/>
              </w:rPr>
            </w:pPr>
            <w:r w:rsidRPr="000F43AB">
              <w:rPr>
                <w:spacing w:val="-2"/>
              </w:rPr>
              <w:t>RM-11684</w:t>
            </w:r>
          </w:p>
        </w:tc>
      </w:tr>
    </w:tbl>
    <w:p w14:paraId="755D34C1" w14:textId="77777777" w:rsidR="00841AB1" w:rsidRDefault="001129A6" w:rsidP="00F021FA">
      <w:pPr>
        <w:pStyle w:val="StyleBoldCentered"/>
      </w:pPr>
      <w:r>
        <w:t>REPORT AND ORDER</w:t>
      </w:r>
    </w:p>
    <w:p w14:paraId="13BDB618" w14:textId="77777777" w:rsidR="004C2EE3" w:rsidRDefault="004C2EE3">
      <w:pPr>
        <w:tabs>
          <w:tab w:val="left" w:pos="-720"/>
        </w:tabs>
        <w:suppressAutoHyphens/>
        <w:spacing w:line="227" w:lineRule="auto"/>
        <w:rPr>
          <w:spacing w:val="-2"/>
        </w:rPr>
      </w:pPr>
    </w:p>
    <w:p w14:paraId="6FFF726F" w14:textId="13B85807" w:rsidR="004C2EE3" w:rsidRDefault="004C2EE3" w:rsidP="00133F79">
      <w:pPr>
        <w:tabs>
          <w:tab w:val="left" w:pos="720"/>
          <w:tab w:val="right" w:pos="9360"/>
        </w:tabs>
        <w:suppressAutoHyphens/>
        <w:spacing w:line="227" w:lineRule="auto"/>
        <w:rPr>
          <w:b/>
          <w:spacing w:val="-2"/>
        </w:rPr>
      </w:pPr>
      <w:r>
        <w:rPr>
          <w:b/>
          <w:spacing w:val="-2"/>
        </w:rPr>
        <w:t xml:space="preserve">Adopted:  </w:t>
      </w:r>
      <w:r w:rsidR="00332301">
        <w:rPr>
          <w:b/>
          <w:spacing w:val="-2"/>
        </w:rPr>
        <w:t>September 17, 2015</w:t>
      </w:r>
      <w:r w:rsidR="001129A6">
        <w:rPr>
          <w:b/>
          <w:spacing w:val="-2"/>
        </w:rPr>
        <w:tab/>
        <w:t xml:space="preserve">Released:  </w:t>
      </w:r>
      <w:r w:rsidR="00332301">
        <w:rPr>
          <w:b/>
          <w:spacing w:val="-2"/>
        </w:rPr>
        <w:t>September 17, 2015</w:t>
      </w:r>
    </w:p>
    <w:p w14:paraId="35D6039C" w14:textId="77777777" w:rsidR="000F43AB" w:rsidRDefault="000F43AB" w:rsidP="00133F79">
      <w:pPr>
        <w:tabs>
          <w:tab w:val="left" w:pos="720"/>
          <w:tab w:val="right" w:pos="9360"/>
        </w:tabs>
        <w:suppressAutoHyphens/>
        <w:spacing w:line="227" w:lineRule="auto"/>
        <w:rPr>
          <w:b/>
          <w:spacing w:val="-2"/>
        </w:rPr>
      </w:pPr>
    </w:p>
    <w:p w14:paraId="6E55581A" w14:textId="6E0BAA48" w:rsidR="0001576A" w:rsidRDefault="004C2EE3" w:rsidP="0001576A">
      <w:r>
        <w:t xml:space="preserve">By </w:t>
      </w:r>
      <w:r w:rsidR="004E4A22">
        <w:t>the</w:t>
      </w:r>
      <w:r w:rsidR="002A2D2E">
        <w:t xml:space="preserve"> </w:t>
      </w:r>
      <w:r w:rsidR="000F43AB">
        <w:rPr>
          <w:spacing w:val="-2"/>
        </w:rPr>
        <w:t>Commission</w:t>
      </w:r>
      <w:r>
        <w:rPr>
          <w:spacing w:val="-2"/>
        </w:rPr>
        <w:t>:</w:t>
      </w:r>
      <w:r w:rsidR="0001576A">
        <w:rPr>
          <w:spacing w:val="-2"/>
        </w:rPr>
        <w:t xml:space="preserve"> </w:t>
      </w:r>
      <w:r w:rsidR="00332301">
        <w:rPr>
          <w:spacing w:val="-2"/>
        </w:rPr>
        <w:t xml:space="preserve"> </w:t>
      </w:r>
      <w:r w:rsidR="00332301">
        <w:t>Chairman Wheeler and Commissioners Clyburn, Pai and O’Rielly issuing separate statements.</w:t>
      </w:r>
    </w:p>
    <w:p w14:paraId="5B21D4E1" w14:textId="77777777" w:rsidR="00822CE0" w:rsidRDefault="00822CE0">
      <w:pPr>
        <w:rPr>
          <w:spacing w:val="-2"/>
        </w:rPr>
      </w:pPr>
    </w:p>
    <w:p w14:paraId="3BF0AA42" w14:textId="77777777" w:rsidR="002C00E8" w:rsidRDefault="000F43AB" w:rsidP="002C00E8">
      <w:pPr>
        <w:pStyle w:val="Heading1"/>
      </w:pPr>
      <w:bookmarkStart w:id="1" w:name="_Toc394657498"/>
      <w:bookmarkStart w:id="2" w:name="_Toc394659865"/>
      <w:bookmarkStart w:id="3" w:name="_Toc394663443"/>
      <w:bookmarkStart w:id="4" w:name="_Toc401909701"/>
      <w:bookmarkStart w:id="5" w:name="_Toc402428410"/>
      <w:bookmarkStart w:id="6" w:name="_Toc403718708"/>
      <w:r>
        <w:t>introduction</w:t>
      </w:r>
      <w:bookmarkEnd w:id="1"/>
      <w:bookmarkEnd w:id="2"/>
      <w:bookmarkEnd w:id="3"/>
      <w:bookmarkEnd w:id="4"/>
      <w:bookmarkEnd w:id="5"/>
      <w:bookmarkEnd w:id="6"/>
    </w:p>
    <w:p w14:paraId="1AC07CBF" w14:textId="0E46A449" w:rsidR="008062C6" w:rsidRDefault="00FC5D80" w:rsidP="00D537A7">
      <w:pPr>
        <w:pStyle w:val="ParaNum"/>
      </w:pPr>
      <w:r>
        <w:t>Our “Contest Rule,” Section 73.1216 of our rules, requires broadcast licensees to disclose on air the material terms of contests that they broadcast.</w:t>
      </w:r>
      <w:r>
        <w:rPr>
          <w:rStyle w:val="FootnoteReference"/>
        </w:rPr>
        <w:footnoteReference w:id="2"/>
      </w:r>
      <w:r>
        <w:t xml:space="preserve">  </w:t>
      </w:r>
      <w:r w:rsidR="003C7D8B">
        <w:t xml:space="preserve">In this </w:t>
      </w:r>
      <w:r w:rsidR="006547B0" w:rsidRPr="00F257BD">
        <w:rPr>
          <w:i/>
        </w:rPr>
        <w:t>Report and Order</w:t>
      </w:r>
      <w:r w:rsidR="006547B0">
        <w:t xml:space="preserve"> (“</w:t>
      </w:r>
      <w:r w:rsidR="006547B0" w:rsidRPr="00F257BD">
        <w:rPr>
          <w:i/>
        </w:rPr>
        <w:t>Order</w:t>
      </w:r>
      <w:r w:rsidR="006547B0">
        <w:t xml:space="preserve">”), we </w:t>
      </w:r>
      <w:r w:rsidR="00BF48BF">
        <w:t>update</w:t>
      </w:r>
      <w:r w:rsidR="00584E83">
        <w:t xml:space="preserve"> </w:t>
      </w:r>
      <w:r>
        <w:t xml:space="preserve">that rule </w:t>
      </w:r>
      <w:r w:rsidR="0020586D">
        <w:t xml:space="preserve">to permit </w:t>
      </w:r>
      <w:r w:rsidR="00563BF5">
        <w:t xml:space="preserve">broadcast </w:t>
      </w:r>
      <w:r w:rsidR="0020586D">
        <w:t xml:space="preserve">licensees to comply with their obligation to disclose material contest terms either by broadcasting </w:t>
      </w:r>
      <w:r>
        <w:t xml:space="preserve">those </w:t>
      </w:r>
      <w:r w:rsidR="0020586D">
        <w:t xml:space="preserve">terms or by </w:t>
      </w:r>
      <w:r w:rsidR="000B17A1">
        <w:t>making them</w:t>
      </w:r>
      <w:r w:rsidR="0020586D" w:rsidRPr="003B15B5">
        <w:t xml:space="preserve"> available in writing on a publicly</w:t>
      </w:r>
      <w:r w:rsidR="0020586D">
        <w:t xml:space="preserve"> </w:t>
      </w:r>
      <w:r w:rsidR="0020586D" w:rsidRPr="003B15B5">
        <w:t>accessible Internet website</w:t>
      </w:r>
      <w:r w:rsidR="0020586D">
        <w:t xml:space="preserve">.  </w:t>
      </w:r>
      <w:r w:rsidR="00441B76">
        <w:t xml:space="preserve">In particular, </w:t>
      </w:r>
      <w:r w:rsidR="00693749" w:rsidRPr="009C4506">
        <w:t>we</w:t>
      </w:r>
      <w:r w:rsidR="00693749">
        <w:t xml:space="preserve"> </w:t>
      </w:r>
      <w:r w:rsidR="003E2BA1">
        <w:t>amend the Contest Rule to allow</w:t>
      </w:r>
      <w:r w:rsidR="00693749">
        <w:t xml:space="preserve"> licensee</w:t>
      </w:r>
      <w:r w:rsidR="00AB74B1">
        <w:t>s</w:t>
      </w:r>
      <w:r w:rsidR="00693749">
        <w:t xml:space="preserve"> to satisfy </w:t>
      </w:r>
      <w:r w:rsidR="00AB74B1">
        <w:t>their</w:t>
      </w:r>
      <w:r w:rsidR="00693749">
        <w:t xml:space="preserve"> disclosure obligation by posting material contest terms on the </w:t>
      </w:r>
      <w:r w:rsidR="00B803A4">
        <w:t>station</w:t>
      </w:r>
      <w:r w:rsidR="00DF2951">
        <w:t>’s website</w:t>
      </w:r>
      <w:r w:rsidR="00693749">
        <w:t xml:space="preserve">, the licensee’s website, or, if neither the individual station nor the licensee has its own website, any Internet website that is </w:t>
      </w:r>
      <w:r w:rsidR="003E2BA1">
        <w:t xml:space="preserve">readily </w:t>
      </w:r>
      <w:r w:rsidR="00693749">
        <w:t>accessible</w:t>
      </w:r>
      <w:r w:rsidR="00563BF5">
        <w:t xml:space="preserve"> to the public</w:t>
      </w:r>
      <w:r w:rsidR="00693749">
        <w:t xml:space="preserve">. </w:t>
      </w:r>
      <w:r w:rsidR="00B26F28">
        <w:t xml:space="preserve"> </w:t>
      </w:r>
      <w:r w:rsidR="00C106F5">
        <w:t>Commenters in this proceeding uniformly support updating the Contest Rule, which has remained unchanged since its adoption by the Commission almost forty years ago.</w:t>
      </w:r>
    </w:p>
    <w:p w14:paraId="657E6BE6" w14:textId="458D5DE5" w:rsidR="00A37490" w:rsidRDefault="00B26F28" w:rsidP="00D537A7">
      <w:pPr>
        <w:pStyle w:val="ParaNum"/>
      </w:pPr>
      <w:r>
        <w:t>W</w:t>
      </w:r>
      <w:r w:rsidR="00730E54">
        <w:t xml:space="preserve">e </w:t>
      </w:r>
      <w:r>
        <w:t xml:space="preserve">also adopt, with some modifications, requirements proposed in the </w:t>
      </w:r>
      <w:r>
        <w:rPr>
          <w:i/>
        </w:rPr>
        <w:t xml:space="preserve">Notice of Proposed Rulemaking </w:t>
      </w:r>
      <w:r>
        <w:t>that</w:t>
      </w:r>
      <w:r w:rsidR="00D653BD">
        <w:t xml:space="preserve"> </w:t>
      </w:r>
      <w:r w:rsidR="00612831">
        <w:t>define the disclos</w:t>
      </w:r>
      <w:r w:rsidR="00625CAF">
        <w:t>ure obligation in cases where a licensee</w:t>
      </w:r>
      <w:r w:rsidR="00612831">
        <w:t xml:space="preserve"> ha</w:t>
      </w:r>
      <w:r w:rsidR="00625CAF">
        <w:t>s</w:t>
      </w:r>
      <w:r w:rsidR="00612831">
        <w:t xml:space="preserve"> chosen to meet </w:t>
      </w:r>
      <w:r w:rsidR="00FC5D80">
        <w:t xml:space="preserve">its </w:t>
      </w:r>
      <w:r w:rsidR="00612831">
        <w:t>obligation through an Internet website.</w:t>
      </w:r>
      <w:r w:rsidR="008062C6">
        <w:rPr>
          <w:rStyle w:val="FootnoteReference"/>
        </w:rPr>
        <w:footnoteReference w:id="3"/>
      </w:r>
      <w:r w:rsidR="008062C6">
        <w:t xml:space="preserve"> </w:t>
      </w:r>
      <w:r w:rsidR="007E1377">
        <w:t xml:space="preserve"> </w:t>
      </w:r>
      <w:r w:rsidR="00A37490">
        <w:t>Specifically</w:t>
      </w:r>
      <w:r w:rsidR="00FA2858">
        <w:t xml:space="preserve">, we revise the </w:t>
      </w:r>
      <w:r w:rsidR="00441B76">
        <w:t>Contest Rule</w:t>
      </w:r>
      <w:r w:rsidR="00C225A9">
        <w:t xml:space="preserve"> to specify that in such cases</w:t>
      </w:r>
      <w:r w:rsidR="00693749">
        <w:t xml:space="preserve"> a licensee</w:t>
      </w:r>
      <w:r w:rsidR="00FA2858">
        <w:t xml:space="preserve">:  (i) </w:t>
      </w:r>
      <w:r w:rsidR="00C225A9">
        <w:t>must</w:t>
      </w:r>
      <w:r w:rsidR="00625CAF">
        <w:t xml:space="preserve"> </w:t>
      </w:r>
      <w:r w:rsidRPr="00E62C8D">
        <w:t xml:space="preserve">broadcast the relevant website address periodically with information sufficient for a consumer easily </w:t>
      </w:r>
      <w:r w:rsidR="00FC5D80" w:rsidRPr="00E62C8D">
        <w:t xml:space="preserve">to </w:t>
      </w:r>
      <w:r w:rsidRPr="00E62C8D">
        <w:t>find material contest terms online</w:t>
      </w:r>
      <w:r>
        <w:t xml:space="preserve">; (ii) must </w:t>
      </w:r>
      <w:r w:rsidR="00284171">
        <w:t xml:space="preserve">establish a link </w:t>
      </w:r>
      <w:r w:rsidR="00F637CC">
        <w:t xml:space="preserve">or tab </w:t>
      </w:r>
      <w:r w:rsidR="00284171">
        <w:t xml:space="preserve">to material contest terms </w:t>
      </w:r>
      <w:r w:rsidR="00A37490">
        <w:t>on the website’s home page; (</w:t>
      </w:r>
      <w:r>
        <w:t>i</w:t>
      </w:r>
      <w:r w:rsidR="00A37490">
        <w:t>ii</w:t>
      </w:r>
      <w:r w:rsidR="00284171">
        <w:t xml:space="preserve">) </w:t>
      </w:r>
      <w:r w:rsidR="002039BB">
        <w:t>must ma</w:t>
      </w:r>
      <w:r w:rsidR="00282CA6">
        <w:t>intain</w:t>
      </w:r>
      <w:r w:rsidR="002039BB">
        <w:t xml:space="preserve"> </w:t>
      </w:r>
      <w:r w:rsidR="00F637CC">
        <w:t xml:space="preserve">contest terms online for a period of </w:t>
      </w:r>
      <w:r w:rsidR="002039BB">
        <w:t xml:space="preserve">at least </w:t>
      </w:r>
      <w:r w:rsidR="00F637CC">
        <w:t xml:space="preserve">thirty days after </w:t>
      </w:r>
      <w:r w:rsidR="002039BB">
        <w:t xml:space="preserve">the contest has </w:t>
      </w:r>
      <w:r w:rsidR="00A37490">
        <w:t>ended</w:t>
      </w:r>
      <w:r w:rsidR="002039BB">
        <w:t xml:space="preserve">; </w:t>
      </w:r>
      <w:r w:rsidR="00C6282D">
        <w:t xml:space="preserve">and </w:t>
      </w:r>
      <w:r w:rsidR="002039BB">
        <w:t>(i</w:t>
      </w:r>
      <w:r>
        <w:t>v</w:t>
      </w:r>
      <w:r w:rsidR="002039BB">
        <w:t xml:space="preserve">) </w:t>
      </w:r>
      <w:r w:rsidR="002B1585">
        <w:t xml:space="preserve">must announce on air that the </w:t>
      </w:r>
      <w:r w:rsidR="00FC5D80">
        <w:t xml:space="preserve">material terms of a contest have changed since the contest was first announced, where that is the case, </w:t>
      </w:r>
      <w:r w:rsidR="002B1585">
        <w:t xml:space="preserve">and direct participants to the website to review the changes.  As discussed </w:t>
      </w:r>
      <w:r w:rsidR="002B1585" w:rsidRPr="0089452A">
        <w:t>below</w:t>
      </w:r>
      <w:r w:rsidR="002B1585">
        <w:t xml:space="preserve">, </w:t>
      </w:r>
      <w:r w:rsidR="00FC5D80">
        <w:t xml:space="preserve">the </w:t>
      </w:r>
      <w:r w:rsidR="002B1585">
        <w:t xml:space="preserve">announcements </w:t>
      </w:r>
      <w:r w:rsidR="00FC5D80">
        <w:t xml:space="preserve">of any change in contest terms </w:t>
      </w:r>
      <w:r w:rsidR="002B1585">
        <w:t xml:space="preserve">must be made within 24 hours of </w:t>
      </w:r>
      <w:r w:rsidR="009B7779">
        <w:t xml:space="preserve">the change </w:t>
      </w:r>
      <w:r w:rsidR="002B1585">
        <w:t xml:space="preserve">and periodically thereafter.  Finally, we require that licensees </w:t>
      </w:r>
      <w:r w:rsidR="00A37490">
        <w:t>ensure that any material terms disclose</w:t>
      </w:r>
      <w:r w:rsidR="00441B76">
        <w:t>d</w:t>
      </w:r>
      <w:r w:rsidR="00A37490">
        <w:t xml:space="preserve"> on a website conform in all substantive respects to those </w:t>
      </w:r>
      <w:r w:rsidR="00571157">
        <w:t>m</w:t>
      </w:r>
      <w:r w:rsidR="00A37490">
        <w:t>ention</w:t>
      </w:r>
      <w:r w:rsidR="00441B76">
        <w:t>ed</w:t>
      </w:r>
      <w:r w:rsidR="00A37490">
        <w:t xml:space="preserve"> </w:t>
      </w:r>
      <w:r w:rsidR="00641453">
        <w:t>over the air.</w:t>
      </w:r>
      <w:r w:rsidR="00D1674D">
        <w:t xml:space="preserve">  </w:t>
      </w:r>
    </w:p>
    <w:p w14:paraId="3DFE3F74" w14:textId="5B57E904" w:rsidR="000D38E5" w:rsidRDefault="00F257BD" w:rsidP="00D537A7">
      <w:pPr>
        <w:pStyle w:val="ParaNum"/>
      </w:pPr>
      <w:r>
        <w:t xml:space="preserve">The </w:t>
      </w:r>
      <w:r w:rsidR="00282CA6">
        <w:t>actions</w:t>
      </w:r>
      <w:r>
        <w:t xml:space="preserve"> we take </w:t>
      </w:r>
      <w:r w:rsidR="008062C6">
        <w:t xml:space="preserve">in this </w:t>
      </w:r>
      <w:r w:rsidR="008062C6">
        <w:rPr>
          <w:i/>
        </w:rPr>
        <w:t xml:space="preserve">Order </w:t>
      </w:r>
      <w:r w:rsidR="00563BF5">
        <w:t>to update the Contest Rule</w:t>
      </w:r>
      <w:r w:rsidR="00563BF5">
        <w:rPr>
          <w:i/>
        </w:rPr>
        <w:t xml:space="preserve"> </w:t>
      </w:r>
      <w:r>
        <w:t>advance</w:t>
      </w:r>
      <w:r w:rsidR="003E1307">
        <w:t xml:space="preserve"> the public interest by </w:t>
      </w:r>
      <w:r w:rsidR="008062C6">
        <w:t xml:space="preserve">affording </w:t>
      </w:r>
      <w:r>
        <w:t>broadcast</w:t>
      </w:r>
      <w:r w:rsidR="008062C6">
        <w:t>ers</w:t>
      </w:r>
      <w:r>
        <w:t xml:space="preserve"> </w:t>
      </w:r>
      <w:r w:rsidR="00BF48BF">
        <w:t xml:space="preserve">more </w:t>
      </w:r>
      <w:r w:rsidR="00584E83">
        <w:t xml:space="preserve">flexibility in </w:t>
      </w:r>
      <w:r w:rsidR="00B803A4">
        <w:t xml:space="preserve">the manner of </w:t>
      </w:r>
      <w:r w:rsidR="00447D34">
        <w:t xml:space="preserve">their </w:t>
      </w:r>
      <w:r>
        <w:t>compl</w:t>
      </w:r>
      <w:r w:rsidR="00B803A4">
        <w:t xml:space="preserve">iance </w:t>
      </w:r>
      <w:r>
        <w:t xml:space="preserve">with Section 73.1216 </w:t>
      </w:r>
      <w:r w:rsidR="00C6282D">
        <w:t>while</w:t>
      </w:r>
      <w:r w:rsidR="00BF48BF">
        <w:t xml:space="preserve"> </w:t>
      </w:r>
      <w:r w:rsidR="00447D34">
        <w:t xml:space="preserve">giving </w:t>
      </w:r>
      <w:r w:rsidR="00BF48BF">
        <w:t xml:space="preserve">consumers improved access to important contest information.  Through this </w:t>
      </w:r>
      <w:r w:rsidR="00BF48BF" w:rsidRPr="009C4506">
        <w:rPr>
          <w:i/>
        </w:rPr>
        <w:t xml:space="preserve">Order, </w:t>
      </w:r>
      <w:r w:rsidR="00BF48BF">
        <w:t xml:space="preserve">we take another step </w:t>
      </w:r>
      <w:r w:rsidR="00C6282D">
        <w:t xml:space="preserve">to </w:t>
      </w:r>
      <w:r w:rsidR="00BF48BF">
        <w:t>moderniz</w:t>
      </w:r>
      <w:r w:rsidR="00C6282D">
        <w:t>e</w:t>
      </w:r>
      <w:r w:rsidR="00BF48BF">
        <w:t xml:space="preserve"> our rules </w:t>
      </w:r>
      <w:r w:rsidR="00447D34">
        <w:t>to</w:t>
      </w:r>
      <w:r w:rsidR="00BF48BF">
        <w:t xml:space="preserve"> reflect how Americans access and consume information in the 21</w:t>
      </w:r>
      <w:r w:rsidR="00BF48BF" w:rsidRPr="009C4506">
        <w:rPr>
          <w:vertAlign w:val="superscript"/>
        </w:rPr>
        <w:t>st</w:t>
      </w:r>
      <w:r w:rsidR="00BF48BF">
        <w:t xml:space="preserve"> </w:t>
      </w:r>
      <w:r w:rsidR="002166CC">
        <w:t>c</w:t>
      </w:r>
      <w:r w:rsidR="00BF48BF">
        <w:t>entury.</w:t>
      </w:r>
      <w:r w:rsidR="008D26E7">
        <w:rPr>
          <w:rStyle w:val="FootnoteReference"/>
        </w:rPr>
        <w:footnoteReference w:id="4"/>
      </w:r>
      <w:r w:rsidR="00C26513">
        <w:t xml:space="preserve">  </w:t>
      </w:r>
      <w:r w:rsidR="00001D04">
        <w:t>At the same time, we affirm the core principle</w:t>
      </w:r>
      <w:r w:rsidR="006736D8">
        <w:t xml:space="preserve">s of the Contest Rule.  Regardless of the medium </w:t>
      </w:r>
      <w:r w:rsidR="006736D8">
        <w:lastRenderedPageBreak/>
        <w:t>of disclosure, broadcasters must p</w:t>
      </w:r>
      <w:r w:rsidR="00001D04">
        <w:t>rovide complete, accurate, and timely information about the contests they conduct</w:t>
      </w:r>
      <w:r w:rsidR="006736D8">
        <w:t>, ensure that such information is not</w:t>
      </w:r>
      <w:r w:rsidR="00001D04">
        <w:t xml:space="preserve"> false, misleading, or deceptive</w:t>
      </w:r>
      <w:r w:rsidR="006736D8">
        <w:t>, and conduct their contests substantially as announced or advertised</w:t>
      </w:r>
      <w:r w:rsidR="00001D04">
        <w:t xml:space="preserve">.  </w:t>
      </w:r>
    </w:p>
    <w:p w14:paraId="5DD52A5E" w14:textId="77777777" w:rsidR="000F43AB" w:rsidRDefault="003C7D8B" w:rsidP="00C32A18">
      <w:pPr>
        <w:pStyle w:val="Heading1"/>
      </w:pPr>
      <w:bookmarkStart w:id="7" w:name="_Toc394657499"/>
      <w:bookmarkStart w:id="8" w:name="_Toc394659866"/>
      <w:bookmarkStart w:id="9" w:name="_Toc394663444"/>
      <w:bookmarkStart w:id="10" w:name="_Toc401909702"/>
      <w:bookmarkStart w:id="11" w:name="_Toc402428411"/>
      <w:bookmarkStart w:id="12" w:name="_Toc403718709"/>
      <w:r>
        <w:t>background</w:t>
      </w:r>
      <w:bookmarkEnd w:id="7"/>
      <w:bookmarkEnd w:id="8"/>
      <w:bookmarkEnd w:id="9"/>
      <w:bookmarkEnd w:id="10"/>
      <w:bookmarkEnd w:id="11"/>
      <w:bookmarkEnd w:id="12"/>
    </w:p>
    <w:p w14:paraId="55C74132" w14:textId="77777777" w:rsidR="00A733FF" w:rsidRDefault="003C7D8B" w:rsidP="00D537A7">
      <w:pPr>
        <w:pStyle w:val="ParaNum"/>
      </w:pPr>
      <w:r w:rsidRPr="003C7D8B">
        <w:t xml:space="preserve">Radio and television </w:t>
      </w:r>
      <w:r w:rsidR="0074160F">
        <w:t xml:space="preserve">broadcast </w:t>
      </w:r>
      <w:r w:rsidRPr="003C7D8B">
        <w:t xml:space="preserve">stations </w:t>
      </w:r>
      <w:r w:rsidR="0074160F">
        <w:t xml:space="preserve">often conduct contests as a means of </w:t>
      </w:r>
      <w:r w:rsidRPr="003C7D8B">
        <w:t>entertainment</w:t>
      </w:r>
      <w:r w:rsidR="008A2996">
        <w:t>, promoting station support</w:t>
      </w:r>
      <w:r w:rsidR="00A646F3">
        <w:t>,</w:t>
      </w:r>
      <w:r w:rsidR="001955C2">
        <w:t xml:space="preserve"> and deepening </w:t>
      </w:r>
      <w:r w:rsidR="0074160F">
        <w:t>audience engagement</w:t>
      </w:r>
      <w:r w:rsidRPr="003C7D8B">
        <w:t>.</w:t>
      </w:r>
      <w:r w:rsidRPr="003C7D8B">
        <w:rPr>
          <w:vertAlign w:val="superscript"/>
        </w:rPr>
        <w:footnoteReference w:id="5"/>
      </w:r>
      <w:r w:rsidRPr="003C7D8B">
        <w:t xml:space="preserve">  </w:t>
      </w:r>
      <w:r w:rsidR="001955C2">
        <w:t>Almost forty years ago</w:t>
      </w:r>
      <w:r w:rsidR="00DF4F16">
        <w:t xml:space="preserve">, </w:t>
      </w:r>
      <w:r w:rsidR="007811BF">
        <w:t>in 1976</w:t>
      </w:r>
      <w:r w:rsidR="00DF4F16">
        <w:t>,</w:t>
      </w:r>
      <w:r w:rsidR="001955C2">
        <w:t xml:space="preserve"> t</w:t>
      </w:r>
      <w:r w:rsidRPr="003C7D8B">
        <w:t>he Commission adopted t</w:t>
      </w:r>
      <w:r w:rsidR="001955C2">
        <w:t xml:space="preserve">he Contest Rule </w:t>
      </w:r>
      <w:r w:rsidR="006176F7">
        <w:t xml:space="preserve">to address concerns </w:t>
      </w:r>
      <w:r w:rsidR="00FA3D8C">
        <w:t xml:space="preserve">about </w:t>
      </w:r>
      <w:r w:rsidR="006176F7">
        <w:t xml:space="preserve">the </w:t>
      </w:r>
      <w:r w:rsidR="001955C2">
        <w:t>way in which broadcast stations</w:t>
      </w:r>
      <w:r w:rsidR="006176F7">
        <w:t xml:space="preserve"> were conducting contests.</w:t>
      </w:r>
      <w:r w:rsidR="006176F7">
        <w:rPr>
          <w:rStyle w:val="FootnoteReference"/>
        </w:rPr>
        <w:footnoteReference w:id="6"/>
      </w:r>
      <w:r w:rsidR="006176F7">
        <w:t xml:space="preserve">  </w:t>
      </w:r>
      <w:r w:rsidR="00A733FF">
        <w:t>That rule provides</w:t>
      </w:r>
      <w:r w:rsidR="00A27076">
        <w:t>, in part</w:t>
      </w:r>
      <w:r w:rsidR="00A733FF">
        <w:t>:</w:t>
      </w:r>
    </w:p>
    <w:p w14:paraId="581D0E54" w14:textId="77777777" w:rsidR="00A733FF" w:rsidRDefault="00A733FF" w:rsidP="00A733FF">
      <w:pPr>
        <w:pStyle w:val="ParaNum"/>
        <w:numPr>
          <w:ilvl w:val="0"/>
          <w:numId w:val="0"/>
        </w:numPr>
        <w:ind w:left="720" w:right="720"/>
      </w:pPr>
      <w:r>
        <w:t>A licensee that broadcasts or advertises information about a contest it conducts shall fully and accurately disclose the material terms of the contest, and shall conduct the contest substantially as announced or advertised.  No contest description shall be false, misleading or deceptive with respect to any material term.</w:t>
      </w:r>
      <w:r>
        <w:rPr>
          <w:rStyle w:val="FootnoteReference"/>
        </w:rPr>
        <w:footnoteReference w:id="7"/>
      </w:r>
      <w:r>
        <w:t xml:space="preserve">  </w:t>
      </w:r>
    </w:p>
    <w:p w14:paraId="6DBB8D52" w14:textId="77777777" w:rsidR="00B633AB" w:rsidRDefault="00E614CA" w:rsidP="00836EB7">
      <w:pPr>
        <w:pStyle w:val="ParaNum"/>
        <w:numPr>
          <w:ilvl w:val="0"/>
          <w:numId w:val="0"/>
        </w:numPr>
      </w:pPr>
      <w:r>
        <w:t xml:space="preserve">The Contest Rule </w:t>
      </w:r>
      <w:r w:rsidR="00FA3D8C">
        <w:t>prescri</w:t>
      </w:r>
      <w:r w:rsidR="00FA3CAF">
        <w:t>bes requirements governing</w:t>
      </w:r>
      <w:r w:rsidR="006400B0">
        <w:t xml:space="preserve"> the </w:t>
      </w:r>
      <w:r w:rsidR="00A646F3">
        <w:t>disclosure of</w:t>
      </w:r>
      <w:r w:rsidR="00D41808">
        <w:t xml:space="preserve"> contest terms</w:t>
      </w:r>
      <w:r w:rsidR="00B633AB">
        <w:t>:</w:t>
      </w:r>
    </w:p>
    <w:p w14:paraId="4F2976B4" w14:textId="4EDBBE65" w:rsidR="00836EB7" w:rsidRDefault="00B633AB" w:rsidP="00B147B7">
      <w:pPr>
        <w:pStyle w:val="ParaNum"/>
        <w:widowControl/>
        <w:numPr>
          <w:ilvl w:val="0"/>
          <w:numId w:val="0"/>
        </w:numPr>
        <w:ind w:left="720" w:right="720"/>
      </w:pPr>
      <w:r>
        <w:t>[T]he time and manner of disclosure of the material terms of a contest</w:t>
      </w:r>
      <w:r w:rsidR="00836EB7">
        <w:t xml:space="preserve"> are within the licensee</w:t>
      </w:r>
      <w:r w:rsidR="00513E00">
        <w:t>’</w:t>
      </w:r>
      <w:r w:rsidR="00836EB7">
        <w:t xml:space="preserve">s discretion.  However, the obligation to disclose the material terms arises at the time the audience is first told how to enter or participate and continues thereafter.  The material terms should be disclosed periodically by announcements broadcast on the station conducting the contest, but need not be enumerated each time an announcement promoting the contest is broadcast.  Disclosure of material terms in a reasonable number </w:t>
      </w:r>
      <w:r w:rsidR="00836EB7">
        <w:lastRenderedPageBreak/>
        <w:t>of announcements is sufficient.  In addition to the required broadcast announcements, disclosure of the material terms may be made in a non-broadcast manner.</w:t>
      </w:r>
      <w:r w:rsidR="00836EB7">
        <w:rPr>
          <w:rStyle w:val="FootnoteReference"/>
        </w:rPr>
        <w:footnoteReference w:id="8"/>
      </w:r>
    </w:p>
    <w:p w14:paraId="04BBB13C" w14:textId="389FFCD7" w:rsidR="003C7D8B" w:rsidRDefault="00DF4F16" w:rsidP="00DF4F16">
      <w:pPr>
        <w:pStyle w:val="ParaNum"/>
        <w:numPr>
          <w:ilvl w:val="0"/>
          <w:numId w:val="0"/>
        </w:numPr>
      </w:pPr>
      <w:r>
        <w:t>A</w:t>
      </w:r>
      <w:r w:rsidR="00C5260F" w:rsidRPr="003B2CFE">
        <w:t>lthough</w:t>
      </w:r>
      <w:r w:rsidR="00270B0F">
        <w:t xml:space="preserve"> </w:t>
      </w:r>
      <w:r w:rsidR="00A845F5">
        <w:t>under the existing rule</w:t>
      </w:r>
      <w:r w:rsidR="002166CC">
        <w:t>,</w:t>
      </w:r>
      <w:r w:rsidR="00A845F5">
        <w:t xml:space="preserve"> </w:t>
      </w:r>
      <w:r w:rsidR="00270B0F">
        <w:t>a</w:t>
      </w:r>
      <w:r w:rsidR="00AD2983">
        <w:t xml:space="preserve"> licensee</w:t>
      </w:r>
      <w:r w:rsidR="00270B0F">
        <w:t xml:space="preserve"> may use</w:t>
      </w:r>
      <w:r w:rsidR="00C5260F">
        <w:t xml:space="preserve"> </w:t>
      </w:r>
      <w:r w:rsidR="006400B0">
        <w:t>non-broadcast</w:t>
      </w:r>
      <w:r w:rsidR="00C5260F">
        <w:t xml:space="preserve"> methods </w:t>
      </w:r>
      <w:r w:rsidR="00270B0F">
        <w:t>to</w:t>
      </w:r>
      <w:r w:rsidR="00C5260F">
        <w:t xml:space="preserve"> disclos</w:t>
      </w:r>
      <w:r w:rsidR="00270B0F">
        <w:t>e</w:t>
      </w:r>
      <w:r w:rsidR="00C5260F">
        <w:t xml:space="preserve"> material contest terms, </w:t>
      </w:r>
      <w:r w:rsidR="00FF3D17">
        <w:t xml:space="preserve">it cannot substitute </w:t>
      </w:r>
      <w:r w:rsidR="003E5196">
        <w:t>such methods for the required broadcast disclosure</w:t>
      </w:r>
      <w:r w:rsidR="00C00118">
        <w:t xml:space="preserve"> and be deemed compliant with the rule</w:t>
      </w:r>
      <w:r w:rsidR="00C72260">
        <w:t>.</w:t>
      </w:r>
      <w:r w:rsidR="00F06906">
        <w:rPr>
          <w:rStyle w:val="FootnoteReference"/>
        </w:rPr>
        <w:footnoteReference w:id="9"/>
      </w:r>
      <w:r w:rsidR="00C72260">
        <w:t xml:space="preserve"> </w:t>
      </w:r>
    </w:p>
    <w:p w14:paraId="302D7FEC" w14:textId="4BA98C5E" w:rsidR="000C6FA5" w:rsidRPr="00D537A7" w:rsidRDefault="00F303C6" w:rsidP="00D537A7">
      <w:pPr>
        <w:pStyle w:val="ParaNum"/>
      </w:pPr>
      <w:r>
        <w:t>I</w:t>
      </w:r>
      <w:r w:rsidR="00590BD5">
        <w:t>n January 2012, Entercom</w:t>
      </w:r>
      <w:r w:rsidR="00DE24B0">
        <w:t xml:space="preserve"> </w:t>
      </w:r>
      <w:r w:rsidR="00447D34">
        <w:t xml:space="preserve">Communications Corp. </w:t>
      </w:r>
      <w:r w:rsidR="00DE24B0">
        <w:t>(“Entercom” or “Petitioner”)</w:t>
      </w:r>
      <w:r w:rsidR="00590BD5">
        <w:t xml:space="preserve"> filed </w:t>
      </w:r>
      <w:r w:rsidR="00270B0F">
        <w:t>a</w:t>
      </w:r>
      <w:r w:rsidR="00CC2A00">
        <w:t>n unopposed</w:t>
      </w:r>
      <w:r w:rsidR="00270B0F">
        <w:t xml:space="preserve"> </w:t>
      </w:r>
      <w:r w:rsidR="00590BD5">
        <w:t xml:space="preserve">Petition </w:t>
      </w:r>
      <w:r w:rsidR="00270B0F">
        <w:t xml:space="preserve">for Rulemaking </w:t>
      </w:r>
      <w:r w:rsidR="00FD755E">
        <w:t xml:space="preserve">asking </w:t>
      </w:r>
      <w:r w:rsidR="005258B8">
        <w:t xml:space="preserve">the Commission </w:t>
      </w:r>
      <w:r w:rsidR="00FD755E">
        <w:t xml:space="preserve">to </w:t>
      </w:r>
      <w:r w:rsidR="00270B0F">
        <w:t xml:space="preserve">update </w:t>
      </w:r>
      <w:r w:rsidR="00590BD5">
        <w:t>the disclosure requirements of</w:t>
      </w:r>
      <w:r>
        <w:t xml:space="preserve"> Section 73.1216</w:t>
      </w:r>
      <w:r w:rsidR="00EC2A38">
        <w:t>.</w:t>
      </w:r>
      <w:r w:rsidR="00F90B5A">
        <w:rPr>
          <w:rStyle w:val="FootnoteReference"/>
        </w:rPr>
        <w:footnoteReference w:id="10"/>
      </w:r>
      <w:r w:rsidR="00EC2A38">
        <w:t xml:space="preserve">  </w:t>
      </w:r>
      <w:r w:rsidR="00DE24B0">
        <w:t xml:space="preserve">Petitioner </w:t>
      </w:r>
      <w:r w:rsidR="00EC2A38">
        <w:t xml:space="preserve">principally </w:t>
      </w:r>
      <w:r w:rsidR="008E6E0E">
        <w:t xml:space="preserve">sought an amendment to </w:t>
      </w:r>
      <w:r w:rsidR="005E3CBB">
        <w:t>Section 73.1216</w:t>
      </w:r>
      <w:r w:rsidR="00EC2A38">
        <w:t xml:space="preserve"> </w:t>
      </w:r>
      <w:r w:rsidR="008E6E0E">
        <w:t xml:space="preserve">that would </w:t>
      </w:r>
      <w:r w:rsidR="00EC2A38">
        <w:t>allow</w:t>
      </w:r>
      <w:r w:rsidR="00590BD5">
        <w:t xml:space="preserve"> broadcast</w:t>
      </w:r>
      <w:r w:rsidR="004B00E6">
        <w:t>ers</w:t>
      </w:r>
      <w:r w:rsidR="00590BD5">
        <w:t xml:space="preserve"> </w:t>
      </w:r>
      <w:r w:rsidR="00F46190">
        <w:t xml:space="preserve">to </w:t>
      </w:r>
      <w:r w:rsidR="00514D38">
        <w:t>satisfy</w:t>
      </w:r>
      <w:r w:rsidR="005E3CBB">
        <w:t xml:space="preserve"> their obligation to disclose </w:t>
      </w:r>
      <w:r w:rsidR="00EC2A38">
        <w:t xml:space="preserve">material contest terms either through </w:t>
      </w:r>
      <w:r w:rsidR="00590BD5">
        <w:t>broadcast</w:t>
      </w:r>
      <w:r w:rsidR="00EC2A38">
        <w:t xml:space="preserve"> announcements</w:t>
      </w:r>
      <w:r w:rsidR="005E3CBB">
        <w:t xml:space="preserve"> or </w:t>
      </w:r>
      <w:r w:rsidR="00EC2A38">
        <w:t>by</w:t>
      </w:r>
      <w:r w:rsidR="005E3CBB">
        <w:t xml:space="preserve"> </w:t>
      </w:r>
      <w:r w:rsidR="008E6E0E">
        <w:t xml:space="preserve">making such </w:t>
      </w:r>
      <w:r w:rsidR="005E3CBB">
        <w:t xml:space="preserve">terms </w:t>
      </w:r>
      <w:r w:rsidR="008E6E0E">
        <w:t xml:space="preserve">available </w:t>
      </w:r>
      <w:r w:rsidR="00590BD5">
        <w:t>in written form on a</w:t>
      </w:r>
      <w:r w:rsidR="00EC2A38">
        <w:t>n Internet</w:t>
      </w:r>
      <w:r w:rsidR="00590BD5">
        <w:t xml:space="preserve"> website</w:t>
      </w:r>
      <w:r w:rsidR="00EC2A38">
        <w:t>.</w:t>
      </w:r>
      <w:r w:rsidR="00EC2A38">
        <w:rPr>
          <w:rStyle w:val="FootnoteReference"/>
        </w:rPr>
        <w:footnoteReference w:id="11"/>
      </w:r>
      <w:r w:rsidR="008E6146">
        <w:t xml:space="preserve">  </w:t>
      </w:r>
      <w:r w:rsidR="00B2789F">
        <w:t xml:space="preserve">In November 2014, the Commission issued </w:t>
      </w:r>
      <w:r w:rsidR="007653C9">
        <w:t>a</w:t>
      </w:r>
      <w:r w:rsidR="00447D34">
        <w:t>n</w:t>
      </w:r>
      <w:r w:rsidR="007653C9">
        <w:t xml:space="preserve"> </w:t>
      </w:r>
      <w:r w:rsidR="00FD755E">
        <w:rPr>
          <w:i/>
        </w:rPr>
        <w:t xml:space="preserve">NPRM </w:t>
      </w:r>
      <w:r w:rsidR="00FD755E">
        <w:t>s</w:t>
      </w:r>
      <w:r w:rsidR="00FD755E" w:rsidRPr="00FD755E">
        <w:t>eeking</w:t>
      </w:r>
      <w:r w:rsidR="00FD755E">
        <w:t xml:space="preserve"> comment </w:t>
      </w:r>
      <w:r w:rsidR="00E26F52">
        <w:t xml:space="preserve">on </w:t>
      </w:r>
      <w:r w:rsidR="00447D34">
        <w:t xml:space="preserve">a number of possible </w:t>
      </w:r>
      <w:r w:rsidR="00FD755E">
        <w:t>revisions to the Contest Rule</w:t>
      </w:r>
      <w:r w:rsidR="00441B76">
        <w:rPr>
          <w:i/>
        </w:rPr>
        <w:t>.</w:t>
      </w:r>
      <w:r w:rsidR="00441B76">
        <w:rPr>
          <w:rStyle w:val="FootnoteReference"/>
        </w:rPr>
        <w:footnoteReference w:id="12"/>
      </w:r>
      <w:r w:rsidR="008D5018">
        <w:rPr>
          <w:i/>
        </w:rPr>
        <w:t xml:space="preserve">  </w:t>
      </w:r>
      <w:r w:rsidR="00282CA6">
        <w:t>Commenters respond</w:t>
      </w:r>
      <w:r w:rsidR="00D40A69">
        <w:t>ing</w:t>
      </w:r>
      <w:r w:rsidR="00282CA6">
        <w:t xml:space="preserve"> to the </w:t>
      </w:r>
      <w:r w:rsidR="00282CA6">
        <w:rPr>
          <w:i/>
        </w:rPr>
        <w:t>NPRM</w:t>
      </w:r>
      <w:r w:rsidR="00282CA6">
        <w:t>, largely broadcasters,</w:t>
      </w:r>
      <w:r w:rsidR="00282CA6">
        <w:rPr>
          <w:i/>
        </w:rPr>
        <w:t xml:space="preserve"> </w:t>
      </w:r>
      <w:r w:rsidR="00282CA6">
        <w:t xml:space="preserve">support </w:t>
      </w:r>
      <w:r w:rsidR="00CB5C56">
        <w:t xml:space="preserve">updating the Contest Rule but advocate some modifications to </w:t>
      </w:r>
      <w:r w:rsidR="00282CA6">
        <w:t>the Commission’s proposed revisions.</w:t>
      </w:r>
      <w:r w:rsidR="00282CA6">
        <w:rPr>
          <w:rStyle w:val="FootnoteReference"/>
        </w:rPr>
        <w:footnoteReference w:id="13"/>
      </w:r>
      <w:bookmarkStart w:id="13" w:name="_Toc394657502"/>
      <w:bookmarkStart w:id="14" w:name="_Toc394659869"/>
      <w:bookmarkStart w:id="15" w:name="_Toc394663447"/>
      <w:bookmarkStart w:id="16" w:name="_Toc401909705"/>
      <w:bookmarkStart w:id="17" w:name="_Toc402428414"/>
      <w:bookmarkStart w:id="18" w:name="_Toc403718712"/>
    </w:p>
    <w:p w14:paraId="01104334" w14:textId="6A03D5C9" w:rsidR="00590BD5" w:rsidRDefault="00590BD5" w:rsidP="00590BD5">
      <w:pPr>
        <w:pStyle w:val="Heading1"/>
      </w:pPr>
      <w:r>
        <w:t>discussion</w:t>
      </w:r>
      <w:bookmarkEnd w:id="13"/>
      <w:bookmarkEnd w:id="14"/>
      <w:bookmarkEnd w:id="15"/>
      <w:bookmarkEnd w:id="16"/>
      <w:bookmarkEnd w:id="17"/>
      <w:bookmarkEnd w:id="18"/>
    </w:p>
    <w:p w14:paraId="67EEC9C0" w14:textId="77777777" w:rsidR="003D4F7B" w:rsidRDefault="00C309CD" w:rsidP="00AC6F02">
      <w:pPr>
        <w:pStyle w:val="Heading2"/>
      </w:pPr>
      <w:r>
        <w:t xml:space="preserve">Satisfying the </w:t>
      </w:r>
      <w:r w:rsidR="00EA52CC">
        <w:t>Obligation</w:t>
      </w:r>
      <w:r>
        <w:t xml:space="preserve"> to Disclose Material Contest Terms</w:t>
      </w:r>
      <w:r w:rsidR="00B71E4C">
        <w:t xml:space="preserve"> through</w:t>
      </w:r>
      <w:r w:rsidR="003D4F7B">
        <w:t xml:space="preserve"> an Internet Website</w:t>
      </w:r>
    </w:p>
    <w:p w14:paraId="4EBEBCDE" w14:textId="383F2F70" w:rsidR="00563E59" w:rsidRDefault="005E5D48" w:rsidP="00D537A7">
      <w:pPr>
        <w:pStyle w:val="ParaNum"/>
      </w:pPr>
      <w:r>
        <w:t>As advocated by all of the commenters, w</w:t>
      </w:r>
      <w:r w:rsidR="003873E7" w:rsidRPr="003E4724">
        <w:t>e</w:t>
      </w:r>
      <w:r w:rsidR="003873E7">
        <w:t xml:space="preserve"> amend </w:t>
      </w:r>
      <w:r w:rsidR="007D71E9">
        <w:t>the Contest Rule</w:t>
      </w:r>
      <w:r w:rsidR="003873E7">
        <w:t xml:space="preserve"> to </w:t>
      </w:r>
      <w:r w:rsidR="007D71E9">
        <w:t xml:space="preserve">allow broadcast licensees to </w:t>
      </w:r>
      <w:r w:rsidR="00C309CD">
        <w:t>meet</w:t>
      </w:r>
      <w:r w:rsidR="007D71E9">
        <w:t xml:space="preserve"> their obligation to disclose material contest terms either by </w:t>
      </w:r>
      <w:r w:rsidR="00DA7E42">
        <w:t xml:space="preserve">broadcasting the material terms </w:t>
      </w:r>
      <w:r w:rsidR="007D71E9">
        <w:t xml:space="preserve">or by making </w:t>
      </w:r>
      <w:r w:rsidR="00DF1356">
        <w:t xml:space="preserve">those </w:t>
      </w:r>
      <w:r w:rsidR="007D71E9">
        <w:t>terms available in wri</w:t>
      </w:r>
      <w:r w:rsidR="007E6467">
        <w:t xml:space="preserve">tten form on a readily </w:t>
      </w:r>
      <w:r w:rsidR="007D71E9">
        <w:t xml:space="preserve">accessible </w:t>
      </w:r>
      <w:r w:rsidR="007E6467">
        <w:t xml:space="preserve">public </w:t>
      </w:r>
      <w:r w:rsidR="007D71E9">
        <w:t>Internet website.</w:t>
      </w:r>
      <w:r w:rsidR="004D7C79">
        <w:rPr>
          <w:rStyle w:val="FootnoteReference"/>
        </w:rPr>
        <w:footnoteReference w:id="14"/>
      </w:r>
      <w:r w:rsidR="007D71E9">
        <w:t xml:space="preserve">  </w:t>
      </w:r>
      <w:r w:rsidR="00DA7E42">
        <w:t>We agree with parties</w:t>
      </w:r>
      <w:r w:rsidR="00FE77D3">
        <w:t xml:space="preserve"> who </w:t>
      </w:r>
      <w:r w:rsidR="00E8425E">
        <w:t xml:space="preserve">assert that, given the ubiquitous nature of the Internet and </w:t>
      </w:r>
      <w:r w:rsidR="00DA7E42">
        <w:t xml:space="preserve">current </w:t>
      </w:r>
      <w:r w:rsidR="00E8425E">
        <w:t xml:space="preserve">consumer expectations about how to obtain information, </w:t>
      </w:r>
      <w:r w:rsidR="007336E2">
        <w:t>broadcast</w:t>
      </w:r>
      <w:r w:rsidR="00E8425E">
        <w:t xml:space="preserve"> disclosure of material</w:t>
      </w:r>
      <w:r w:rsidR="003E4724">
        <w:t xml:space="preserve"> </w:t>
      </w:r>
      <w:r w:rsidR="003B3CB4">
        <w:t xml:space="preserve">contest </w:t>
      </w:r>
      <w:r w:rsidR="00E8425E">
        <w:t>terms no lon</w:t>
      </w:r>
      <w:r w:rsidR="00DA7E42">
        <w:t xml:space="preserve">ger </w:t>
      </w:r>
      <w:r w:rsidR="00A64AB1">
        <w:t xml:space="preserve">reflects </w:t>
      </w:r>
      <w:r w:rsidR="00DA7E42">
        <w:t>t</w:t>
      </w:r>
      <w:r w:rsidR="00FE77D3">
        <w:t>he best means of conveying such information</w:t>
      </w:r>
      <w:r w:rsidR="00E8425E">
        <w:t xml:space="preserve"> to the public</w:t>
      </w:r>
      <w:r w:rsidR="00812E1B">
        <w:t xml:space="preserve"> in all cases</w:t>
      </w:r>
      <w:r w:rsidR="00191D40">
        <w:t xml:space="preserve">.  </w:t>
      </w:r>
      <w:r w:rsidR="00812E1B">
        <w:t xml:space="preserve">For example, although on-air disclosure may be </w:t>
      </w:r>
      <w:r w:rsidR="002D53BF">
        <w:t xml:space="preserve">preferable in certain circumstances, </w:t>
      </w:r>
      <w:r w:rsidR="002D53BF">
        <w:rPr>
          <w:i/>
        </w:rPr>
        <w:t>e.g.</w:t>
      </w:r>
      <w:r w:rsidR="002D53BF">
        <w:t xml:space="preserve">, </w:t>
      </w:r>
      <w:r w:rsidR="00812E1B">
        <w:t xml:space="preserve">simple contests and </w:t>
      </w:r>
      <w:r w:rsidR="002D53BF">
        <w:t xml:space="preserve">cases in which stations </w:t>
      </w:r>
      <w:r w:rsidR="00812E1B">
        <w:t>lack websites,</w:t>
      </w:r>
      <w:r w:rsidR="002D53BF">
        <w:rPr>
          <w:rStyle w:val="FootnoteReference"/>
        </w:rPr>
        <w:footnoteReference w:id="15"/>
      </w:r>
      <w:r w:rsidR="00812E1B">
        <w:t xml:space="preserve"> we </w:t>
      </w:r>
      <w:r w:rsidR="002D53BF">
        <w:t>believe</w:t>
      </w:r>
      <w:r w:rsidR="00812E1B">
        <w:t xml:space="preserve"> that broadcasters should be given flexibility to meet their disclosure obligation </w:t>
      </w:r>
      <w:r w:rsidR="002D53BF">
        <w:t xml:space="preserve">either </w:t>
      </w:r>
      <w:r w:rsidR="00812E1B">
        <w:t xml:space="preserve">through </w:t>
      </w:r>
      <w:r w:rsidR="002D53BF">
        <w:t xml:space="preserve">broadcast announcements or </w:t>
      </w:r>
      <w:r w:rsidR="00812E1B">
        <w:t xml:space="preserve">the Internet, and we will defer to broadcasters’ discretion in selecting </w:t>
      </w:r>
      <w:r w:rsidR="00EC418C">
        <w:t xml:space="preserve">between those </w:t>
      </w:r>
      <w:r w:rsidR="00812E1B">
        <w:t>means of disclosure.</w:t>
      </w:r>
      <w:r w:rsidR="002D53BF">
        <w:t xml:space="preserve">  </w:t>
      </w:r>
      <w:r w:rsidR="003B3CB4">
        <w:t xml:space="preserve">As </w:t>
      </w:r>
      <w:r w:rsidR="00FE77D3">
        <w:t>explained</w:t>
      </w:r>
      <w:r w:rsidR="003B3CB4">
        <w:t xml:space="preserve"> below, </w:t>
      </w:r>
      <w:r w:rsidR="003B3CB4" w:rsidRPr="003B3CB4">
        <w:t>w</w:t>
      </w:r>
      <w:r w:rsidR="00E8425E" w:rsidRPr="003B3CB4">
        <w:t>e</w:t>
      </w:r>
      <w:r w:rsidR="007D71E9" w:rsidRPr="003B3CB4">
        <w:t xml:space="preserve"> </w:t>
      </w:r>
      <w:r w:rsidR="00DA7E42" w:rsidRPr="003B3CB4">
        <w:t>find</w:t>
      </w:r>
      <w:r w:rsidR="0056117F" w:rsidRPr="003B3CB4">
        <w:t xml:space="preserve"> </w:t>
      </w:r>
      <w:r w:rsidR="007D71E9" w:rsidRPr="003B3CB4">
        <w:t xml:space="preserve">that </w:t>
      </w:r>
      <w:r w:rsidR="00E8425E" w:rsidRPr="003B3CB4">
        <w:t xml:space="preserve">revising the Contest Rule to permit </w:t>
      </w:r>
      <w:r w:rsidR="00EC418C">
        <w:t xml:space="preserve">reliance on </w:t>
      </w:r>
      <w:r w:rsidR="003B3CB4" w:rsidRPr="003B3CB4">
        <w:t>online</w:t>
      </w:r>
      <w:r w:rsidR="003B3CB4">
        <w:t xml:space="preserve"> disclosure </w:t>
      </w:r>
      <w:r w:rsidR="00FE77D3">
        <w:t xml:space="preserve">will provide </w:t>
      </w:r>
      <w:r w:rsidR="003B3CB4" w:rsidRPr="003B3CB4">
        <w:t>benefit</w:t>
      </w:r>
      <w:r w:rsidR="00FE77D3">
        <w:t>s</w:t>
      </w:r>
      <w:r w:rsidR="003B3CB4" w:rsidRPr="003B3CB4">
        <w:t xml:space="preserve"> </w:t>
      </w:r>
      <w:r w:rsidR="00FE77D3">
        <w:t xml:space="preserve">to </w:t>
      </w:r>
      <w:r w:rsidR="003B3CB4" w:rsidRPr="003B3CB4">
        <w:t>both consumers and broadcasters, and that such</w:t>
      </w:r>
      <w:r w:rsidR="003B3CB4">
        <w:t xml:space="preserve"> </w:t>
      </w:r>
      <w:r w:rsidR="003B3CB4" w:rsidRPr="003B3CB4">
        <w:t>benefits outweigh any associated costs.</w:t>
      </w:r>
      <w:r w:rsidR="00563E59">
        <w:t xml:space="preserve">  </w:t>
      </w:r>
    </w:p>
    <w:p w14:paraId="06606818" w14:textId="767E2EC5" w:rsidR="00191D40" w:rsidRDefault="008235BF" w:rsidP="00D537A7">
      <w:pPr>
        <w:pStyle w:val="ParaNum"/>
      </w:pPr>
      <w:r>
        <w:t>Based on the record, w</w:t>
      </w:r>
      <w:r w:rsidR="00DA7E42">
        <w:t>e conclude that allowing</w:t>
      </w:r>
      <w:r w:rsidR="0047743F">
        <w:t xml:space="preserve"> </w:t>
      </w:r>
      <w:r w:rsidR="00DA7E42">
        <w:t>broadcasters</w:t>
      </w:r>
      <w:r w:rsidR="0047743F">
        <w:t xml:space="preserve"> to </w:t>
      </w:r>
      <w:r w:rsidR="00EC418C">
        <w:t xml:space="preserve">meet their obligation to </w:t>
      </w:r>
      <w:r w:rsidR="0047743F">
        <w:t xml:space="preserve">disclose material contest terms through the Internet </w:t>
      </w:r>
      <w:r w:rsidR="008D28C6">
        <w:t xml:space="preserve">in lieu of broadcasting the terms </w:t>
      </w:r>
      <w:r w:rsidR="0047743F">
        <w:t xml:space="preserve">will benefit consumers by improving </w:t>
      </w:r>
      <w:r w:rsidR="00C647EE">
        <w:t xml:space="preserve">their </w:t>
      </w:r>
      <w:r w:rsidR="0047743F">
        <w:t>access to important contest information</w:t>
      </w:r>
      <w:r w:rsidR="008D28C6">
        <w:t>, to the extent that our action results in greater use of online disclosure</w:t>
      </w:r>
      <w:r w:rsidR="0047743F">
        <w:t xml:space="preserve">.  </w:t>
      </w:r>
      <w:r w:rsidR="00F05BFE">
        <w:t>B</w:t>
      </w:r>
      <w:r w:rsidR="0047743F">
        <w:t>ecause the current rule requires that licensees disclose</w:t>
      </w:r>
      <w:r w:rsidR="0047743F" w:rsidRPr="00590BD5">
        <w:t xml:space="preserve"> material </w:t>
      </w:r>
      <w:r w:rsidR="0047743F">
        <w:t xml:space="preserve">contest </w:t>
      </w:r>
      <w:r w:rsidR="0047743F" w:rsidRPr="00590BD5">
        <w:t xml:space="preserve">terms </w:t>
      </w:r>
      <w:r w:rsidR="0047743F">
        <w:t xml:space="preserve">via broadcast </w:t>
      </w:r>
      <w:r w:rsidR="00DA7E42">
        <w:t xml:space="preserve">announcements </w:t>
      </w:r>
      <w:r w:rsidR="0047743F" w:rsidRPr="003B2CFE">
        <w:t>periodically</w:t>
      </w:r>
      <w:r w:rsidR="0047743F">
        <w:t xml:space="preserve">, audience members interested in a contest may not </w:t>
      </w:r>
      <w:r w:rsidR="0047743F" w:rsidRPr="00590BD5">
        <w:t>hear</w:t>
      </w:r>
      <w:r w:rsidR="0047743F">
        <w:t xml:space="preserve"> </w:t>
      </w:r>
      <w:r w:rsidR="0047743F" w:rsidRPr="00590BD5">
        <w:t xml:space="preserve">or see </w:t>
      </w:r>
      <w:r w:rsidR="0047743F">
        <w:t>contest disclosures</w:t>
      </w:r>
      <w:r w:rsidR="006F3BB9">
        <w:t xml:space="preserve"> if they are not tuned into the broadcast at the time the announcement is aired</w:t>
      </w:r>
      <w:r w:rsidR="0047743F" w:rsidRPr="00590BD5">
        <w:t>.</w:t>
      </w:r>
      <w:r w:rsidR="0047743F" w:rsidRPr="00590BD5">
        <w:rPr>
          <w:vertAlign w:val="superscript"/>
        </w:rPr>
        <w:footnoteReference w:id="16"/>
      </w:r>
      <w:r w:rsidR="0047743F">
        <w:t xml:space="preserve"> </w:t>
      </w:r>
      <w:r w:rsidR="00F05BFE">
        <w:t xml:space="preserve"> </w:t>
      </w:r>
      <w:r w:rsidR="00191D40">
        <w:t xml:space="preserve">Moreover, even in cases </w:t>
      </w:r>
      <w:r w:rsidR="00DE7ADE">
        <w:t xml:space="preserve">where </w:t>
      </w:r>
      <w:r w:rsidR="00C647EE">
        <w:t xml:space="preserve">prospective contestants </w:t>
      </w:r>
      <w:r w:rsidR="00191D40">
        <w:t>hear or see a contest disclosure, the length or complexity of contest terms or the</w:t>
      </w:r>
      <w:r w:rsidR="007653C9">
        <w:t xml:space="preserve"> speed at </w:t>
      </w:r>
      <w:r w:rsidR="00191D40">
        <w:t xml:space="preserve">which </w:t>
      </w:r>
      <w:r w:rsidR="003E4724">
        <w:t>licensees c</w:t>
      </w:r>
      <w:r w:rsidR="00191D40">
        <w:t>ommunicate</w:t>
      </w:r>
      <w:r w:rsidR="00C647EE">
        <w:t xml:space="preserve"> those</w:t>
      </w:r>
      <w:r w:rsidR="003E4724">
        <w:t xml:space="preserve"> terms</w:t>
      </w:r>
      <w:r w:rsidR="00191D40">
        <w:t xml:space="preserve"> may render it </w:t>
      </w:r>
      <w:r w:rsidR="006F3BB9">
        <w:t>difficult</w:t>
      </w:r>
      <w:r w:rsidR="00191D40">
        <w:t xml:space="preserve"> for </w:t>
      </w:r>
      <w:r w:rsidR="00EC418C">
        <w:t xml:space="preserve">many </w:t>
      </w:r>
      <w:r w:rsidR="00191D40">
        <w:t xml:space="preserve">to </w:t>
      </w:r>
      <w:r w:rsidR="004B3603">
        <w:t>comprehend</w:t>
      </w:r>
      <w:r w:rsidR="00191D40">
        <w:t xml:space="preserve"> or re</w:t>
      </w:r>
      <w:r w:rsidR="00C63C4A">
        <w:t>call</w:t>
      </w:r>
      <w:r w:rsidR="004B3603">
        <w:t xml:space="preserve"> </w:t>
      </w:r>
      <w:r w:rsidR="00191D40">
        <w:t>the information conveyed</w:t>
      </w:r>
      <w:r w:rsidR="00191D40" w:rsidRPr="00590BD5">
        <w:t>.</w:t>
      </w:r>
      <w:r w:rsidR="00191D40" w:rsidRPr="00590BD5">
        <w:rPr>
          <w:vertAlign w:val="superscript"/>
        </w:rPr>
        <w:footnoteReference w:id="17"/>
      </w:r>
      <w:r w:rsidR="00191D40" w:rsidRPr="00590BD5">
        <w:t xml:space="preserve">  </w:t>
      </w:r>
      <w:r w:rsidR="004469A9">
        <w:t>For these reasons</w:t>
      </w:r>
      <w:r w:rsidR="003F42D9">
        <w:t xml:space="preserve">, we agree with parties </w:t>
      </w:r>
      <w:r w:rsidR="0056117F">
        <w:t xml:space="preserve">who assert </w:t>
      </w:r>
      <w:r w:rsidR="003F42D9">
        <w:t xml:space="preserve">that </w:t>
      </w:r>
      <w:r>
        <w:t>broadcasters</w:t>
      </w:r>
      <w:r w:rsidR="008D28C6">
        <w:t>’</w:t>
      </w:r>
      <w:r w:rsidR="003F42D9">
        <w:t xml:space="preserve"> online posting of material terms </w:t>
      </w:r>
      <w:r w:rsidR="00191D40">
        <w:t xml:space="preserve">will allow consumers to obtain “on demand” access to </w:t>
      </w:r>
      <w:r w:rsidR="004B3603">
        <w:t>those</w:t>
      </w:r>
      <w:r>
        <w:t xml:space="preserve"> </w:t>
      </w:r>
      <w:r w:rsidR="00191D40">
        <w:t xml:space="preserve">terms and to review them at their convenience, thereby increasing the likelihood that </w:t>
      </w:r>
      <w:r>
        <w:t xml:space="preserve">contest </w:t>
      </w:r>
      <w:r w:rsidR="00191D40">
        <w:t xml:space="preserve">terms </w:t>
      </w:r>
      <w:r w:rsidR="00EC418C">
        <w:t xml:space="preserve">will be </w:t>
      </w:r>
      <w:r w:rsidR="00191D40">
        <w:t>understood</w:t>
      </w:r>
      <w:r w:rsidR="00C63C4A">
        <w:t xml:space="preserve"> and remembered</w:t>
      </w:r>
      <w:r w:rsidR="00191D40">
        <w:t>.</w:t>
      </w:r>
      <w:r w:rsidR="00191D40">
        <w:rPr>
          <w:rStyle w:val="FootnoteReference"/>
        </w:rPr>
        <w:footnoteReference w:id="18"/>
      </w:r>
      <w:r w:rsidR="00C63C4A">
        <w:t xml:space="preserve">  </w:t>
      </w:r>
    </w:p>
    <w:p w14:paraId="3B861339" w14:textId="040874E7" w:rsidR="00DC2944" w:rsidRDefault="00541C3A" w:rsidP="00D537A7">
      <w:pPr>
        <w:pStyle w:val="ParaNum"/>
      </w:pPr>
      <w:r>
        <w:t xml:space="preserve">We </w:t>
      </w:r>
      <w:r w:rsidR="006E7735">
        <w:t xml:space="preserve">find </w:t>
      </w:r>
      <w:r w:rsidR="001B4B95">
        <w:t xml:space="preserve">that this revision to </w:t>
      </w:r>
      <w:r>
        <w:t xml:space="preserve">the Contest Rule </w:t>
      </w:r>
      <w:r w:rsidR="00170450">
        <w:t xml:space="preserve">is consistent with </w:t>
      </w:r>
      <w:r>
        <w:t xml:space="preserve">consumer expectations about </w:t>
      </w:r>
      <w:r w:rsidR="00DE7ADE">
        <w:t xml:space="preserve">how </w:t>
      </w:r>
      <w:r>
        <w:t xml:space="preserve">to obtain </w:t>
      </w:r>
      <w:r w:rsidR="0058650E">
        <w:t xml:space="preserve">contest </w:t>
      </w:r>
      <w:r>
        <w:t xml:space="preserve">information.  </w:t>
      </w:r>
      <w:r w:rsidR="00E00950">
        <w:t xml:space="preserve">As </w:t>
      </w:r>
      <w:r w:rsidR="00093E9F">
        <w:t xml:space="preserve">many </w:t>
      </w:r>
      <w:r w:rsidR="00E00950">
        <w:t xml:space="preserve">parties </w:t>
      </w:r>
      <w:r w:rsidR="006719D9">
        <w:t>note</w:t>
      </w:r>
      <w:r w:rsidR="00E00950">
        <w:t>, the public today accesses informatio</w:t>
      </w:r>
      <w:r w:rsidR="001E034E">
        <w:t xml:space="preserve">n in ways that are </w:t>
      </w:r>
      <w:r w:rsidR="009B7628">
        <w:t>dramatically</w:t>
      </w:r>
      <w:r w:rsidR="001E034E">
        <w:t xml:space="preserve"> </w:t>
      </w:r>
      <w:r w:rsidR="00E00950">
        <w:t>different from how they did when the Contest Rule was adopted.</w:t>
      </w:r>
      <w:r w:rsidR="00A7172B">
        <w:rPr>
          <w:rStyle w:val="FootnoteReference"/>
        </w:rPr>
        <w:footnoteReference w:id="19"/>
      </w:r>
      <w:r w:rsidR="00E00950">
        <w:t xml:space="preserve">  </w:t>
      </w:r>
      <w:r w:rsidR="00FE52D2">
        <w:t>T</w:t>
      </w:r>
      <w:r w:rsidR="00E00950">
        <w:t xml:space="preserve">he Internet has become a fundamental part of consumers’ daily lives and </w:t>
      </w:r>
      <w:r w:rsidR="00A7172B">
        <w:t xml:space="preserve">now </w:t>
      </w:r>
      <w:r w:rsidR="00E00950">
        <w:t xml:space="preserve">represents the medium used most by </w:t>
      </w:r>
      <w:r w:rsidR="00FE52D2">
        <w:t>the public</w:t>
      </w:r>
      <w:r w:rsidR="00E00950">
        <w:t xml:space="preserve"> to obtain information instantaneously.</w:t>
      </w:r>
      <w:r w:rsidR="00E00950">
        <w:rPr>
          <w:rStyle w:val="FootnoteReference"/>
        </w:rPr>
        <w:footnoteReference w:id="20"/>
      </w:r>
      <w:r w:rsidR="00E00950">
        <w:t xml:space="preserve">  </w:t>
      </w:r>
      <w:r w:rsidR="00FE52D2">
        <w:t>Given that Americans today are accustomed to using the Internet to obtain a broad range of information, we</w:t>
      </w:r>
      <w:r w:rsidR="00BE08AB">
        <w:t xml:space="preserve"> agree with parties who assert that</w:t>
      </w:r>
      <w:r w:rsidR="00FE52D2">
        <w:t xml:space="preserve"> consumers reasonably expect to obtain in</w:t>
      </w:r>
      <w:r w:rsidR="001B4B95">
        <w:t xml:space="preserve">formation about licensee-conducted </w:t>
      </w:r>
      <w:r w:rsidR="00170450">
        <w:t>contests through</w:t>
      </w:r>
      <w:r w:rsidR="00FE52D2">
        <w:t xml:space="preserve"> the Internet.</w:t>
      </w:r>
      <w:r w:rsidR="00BE08AB">
        <w:rPr>
          <w:rStyle w:val="FootnoteReference"/>
        </w:rPr>
        <w:footnoteReference w:id="21"/>
      </w:r>
      <w:r w:rsidR="00FE52D2">
        <w:t xml:space="preserve">  Indeed, as </w:t>
      </w:r>
      <w:r w:rsidR="00AD0C84">
        <w:t>some parties</w:t>
      </w:r>
      <w:r w:rsidR="00FE52D2">
        <w:t xml:space="preserve"> note, </w:t>
      </w:r>
      <w:r w:rsidR="001B4B95">
        <w:t>broadcasters</w:t>
      </w:r>
      <w:r w:rsidR="00FE52D2" w:rsidRPr="00B476F6">
        <w:t xml:space="preserve"> </w:t>
      </w:r>
      <w:r w:rsidR="00FE52D2">
        <w:t xml:space="preserve">already </w:t>
      </w:r>
      <w:r w:rsidR="00FE52D2" w:rsidRPr="00B476F6">
        <w:t xml:space="preserve">use </w:t>
      </w:r>
      <w:r w:rsidR="00AD0C84">
        <w:t xml:space="preserve">the </w:t>
      </w:r>
      <w:r w:rsidR="00FE52D2">
        <w:t>Internet</w:t>
      </w:r>
      <w:r w:rsidR="001B6FC4">
        <w:t xml:space="preserve"> to post contest-related </w:t>
      </w:r>
      <w:r w:rsidR="00FE52D2" w:rsidRPr="00B476F6">
        <w:t>information</w:t>
      </w:r>
      <w:r w:rsidR="00FE52D2">
        <w:t>,</w:t>
      </w:r>
      <w:r w:rsidR="00FE52D2" w:rsidRPr="00B476F6">
        <w:t xml:space="preserve"> and </w:t>
      </w:r>
      <w:r w:rsidR="00FE52D2">
        <w:t xml:space="preserve">consumers </w:t>
      </w:r>
      <w:r w:rsidR="00126C7B">
        <w:t xml:space="preserve">often </w:t>
      </w:r>
      <w:r w:rsidR="00FE52D2" w:rsidRPr="00B476F6">
        <w:t xml:space="preserve">enter and participate in contests via </w:t>
      </w:r>
      <w:r w:rsidR="00AD0C84">
        <w:t>the Internet</w:t>
      </w:r>
      <w:r w:rsidR="00FE52D2" w:rsidRPr="00B476F6">
        <w:t>.</w:t>
      </w:r>
      <w:r w:rsidR="00FE52D2" w:rsidRPr="00B476F6">
        <w:rPr>
          <w:vertAlign w:val="superscript"/>
        </w:rPr>
        <w:footnoteReference w:id="22"/>
      </w:r>
      <w:r w:rsidR="00FE52D2" w:rsidRPr="00B476F6">
        <w:t xml:space="preserve"> </w:t>
      </w:r>
      <w:r w:rsidR="00FE52D2">
        <w:t xml:space="preserve"> </w:t>
      </w:r>
      <w:r w:rsidR="00177804">
        <w:t>A</w:t>
      </w:r>
      <w:r w:rsidR="00FE52D2">
        <w:t xml:space="preserve">mending the Contest Rule to </w:t>
      </w:r>
      <w:r w:rsidR="00093E9F">
        <w:t>permit reliance on</w:t>
      </w:r>
      <w:r w:rsidR="00FE52D2">
        <w:t xml:space="preserve"> online disclosure </w:t>
      </w:r>
      <w:r w:rsidR="008D14A6">
        <w:t xml:space="preserve">of material contest terms </w:t>
      </w:r>
      <w:r w:rsidR="00BE08AB">
        <w:t xml:space="preserve">thus </w:t>
      </w:r>
      <w:r w:rsidR="008D14A6">
        <w:t>b</w:t>
      </w:r>
      <w:r w:rsidR="00F05D98">
        <w:t>ring</w:t>
      </w:r>
      <w:r w:rsidR="001B4B95">
        <w:t>s</w:t>
      </w:r>
      <w:r w:rsidR="00AD0C84">
        <w:t xml:space="preserve"> the rule into alignment </w:t>
      </w:r>
      <w:r w:rsidR="00FE52D2">
        <w:t>with current consumer expectation</w:t>
      </w:r>
      <w:r w:rsidR="00504CCA">
        <w:t>s</w:t>
      </w:r>
      <w:r w:rsidR="008A2996">
        <w:t xml:space="preserve">. </w:t>
      </w:r>
      <w:r w:rsidR="00DC2944">
        <w:t xml:space="preserve">  </w:t>
      </w:r>
    </w:p>
    <w:p w14:paraId="219C3585" w14:textId="4C2E48D0" w:rsidR="00170450" w:rsidRDefault="003857DC" w:rsidP="00B147B7">
      <w:pPr>
        <w:pStyle w:val="ParaNum"/>
        <w:widowControl/>
      </w:pPr>
      <w:r>
        <w:t xml:space="preserve">As noted, permitting </w:t>
      </w:r>
      <w:r w:rsidR="00093E9F">
        <w:t xml:space="preserve">reliance on </w:t>
      </w:r>
      <w:r>
        <w:t xml:space="preserve">online disclosure of contest terms also </w:t>
      </w:r>
      <w:r w:rsidR="00DE7ADE">
        <w:t xml:space="preserve">will </w:t>
      </w:r>
      <w:r w:rsidR="00170450">
        <w:t xml:space="preserve">benefit </w:t>
      </w:r>
      <w:r w:rsidR="00DE7ADE">
        <w:t xml:space="preserve">broadcasters </w:t>
      </w:r>
      <w:r w:rsidR="00170450">
        <w:t xml:space="preserve">by </w:t>
      </w:r>
      <w:r w:rsidR="003E766D">
        <w:t>a</w:t>
      </w:r>
      <w:r>
        <w:t>ffording</w:t>
      </w:r>
      <w:r w:rsidR="003E766D">
        <w:t xml:space="preserve"> t</w:t>
      </w:r>
      <w:r w:rsidR="00170450">
        <w:t xml:space="preserve">hem </w:t>
      </w:r>
      <w:r w:rsidR="001543CA">
        <w:t>greater</w:t>
      </w:r>
      <w:r w:rsidR="00170450">
        <w:t xml:space="preserve"> </w:t>
      </w:r>
      <w:r w:rsidR="00DE7ADE">
        <w:t xml:space="preserve">flexibility in </w:t>
      </w:r>
      <w:r w:rsidR="003E766D">
        <w:t xml:space="preserve">the manner of </w:t>
      </w:r>
      <w:r w:rsidR="00093E9F">
        <w:t xml:space="preserve">their </w:t>
      </w:r>
      <w:r w:rsidR="003E766D">
        <w:t xml:space="preserve">compliance with </w:t>
      </w:r>
      <w:r w:rsidR="00DE7ADE">
        <w:t>Sectio</w:t>
      </w:r>
      <w:r w:rsidR="003E766D">
        <w:t xml:space="preserve">n 73.1216 </w:t>
      </w:r>
      <w:r w:rsidR="00DE7ADE">
        <w:t xml:space="preserve">and by freeing up </w:t>
      </w:r>
      <w:r w:rsidR="007507DC">
        <w:t xml:space="preserve">air time for other </w:t>
      </w:r>
      <w:r w:rsidR="00DE7ADE">
        <w:t>programming.</w:t>
      </w:r>
      <w:r w:rsidR="00182230">
        <w:rPr>
          <w:rStyle w:val="FootnoteReference"/>
        </w:rPr>
        <w:footnoteReference w:id="23"/>
      </w:r>
      <w:r w:rsidR="00DE7ADE">
        <w:t xml:space="preserve">  </w:t>
      </w:r>
      <w:r w:rsidR="00170450">
        <w:t xml:space="preserve">Because </w:t>
      </w:r>
      <w:r w:rsidR="009B7628">
        <w:t xml:space="preserve">many </w:t>
      </w:r>
      <w:r w:rsidR="00170450">
        <w:t xml:space="preserve">broadcasters already have dedicated websites where they can post complete contest information that the public can access “on demand,” </w:t>
      </w:r>
      <w:r w:rsidR="008D28C6">
        <w:t xml:space="preserve">and because we are not requiring broadcasters to use online posting if they prefer to broadcast contest terms over the air, </w:t>
      </w:r>
      <w:r w:rsidR="00170450">
        <w:t>we agree with parties</w:t>
      </w:r>
      <w:r w:rsidR="00F9700D">
        <w:t xml:space="preserve"> who assert that the be</w:t>
      </w:r>
      <w:r>
        <w:t xml:space="preserve">nefits of this rule change </w:t>
      </w:r>
      <w:r w:rsidR="00F9700D">
        <w:t>outweigh any associate</w:t>
      </w:r>
      <w:r w:rsidR="00170450">
        <w:t>d costs.</w:t>
      </w:r>
      <w:r w:rsidR="00170450">
        <w:rPr>
          <w:rStyle w:val="FootnoteReference"/>
        </w:rPr>
        <w:footnoteReference w:id="24"/>
      </w:r>
      <w:r w:rsidR="00170450">
        <w:t xml:space="preserve">  </w:t>
      </w:r>
    </w:p>
    <w:p w14:paraId="00BDF18F" w14:textId="77777777" w:rsidR="00251BFE" w:rsidRDefault="00F86C07" w:rsidP="00AC6F02">
      <w:pPr>
        <w:pStyle w:val="Heading2"/>
      </w:pPr>
      <w:r>
        <w:t>Requirements Governing Online Disclosure of Material Contest Terms</w:t>
      </w:r>
    </w:p>
    <w:p w14:paraId="11E89DF2" w14:textId="4FE78DF6" w:rsidR="00CA773B" w:rsidRPr="008B4249" w:rsidRDefault="00880EF3" w:rsidP="00D537A7">
      <w:pPr>
        <w:pStyle w:val="ParaNum"/>
      </w:pPr>
      <w:r>
        <w:t>A</w:t>
      </w:r>
      <w:r w:rsidR="00A65823">
        <w:t xml:space="preserve">lthough </w:t>
      </w:r>
      <w:r w:rsidR="00862581">
        <w:t>this rule revision is</w:t>
      </w:r>
      <w:r w:rsidR="009D0B87">
        <w:t xml:space="preserve"> intended</w:t>
      </w:r>
      <w:r w:rsidR="00A65823">
        <w:t xml:space="preserve">, in part, </w:t>
      </w:r>
      <w:r w:rsidR="009D0B87">
        <w:t>to give broadcasters more flexibility in how they satisfy their obligation to disclose material contest terms</w:t>
      </w:r>
      <w:r w:rsidR="00A65823">
        <w:t xml:space="preserve">, </w:t>
      </w:r>
      <w:r w:rsidR="00D56708">
        <w:t>w</w:t>
      </w:r>
      <w:r>
        <w:t xml:space="preserve">e </w:t>
      </w:r>
      <w:r w:rsidR="00A65823">
        <w:t>find</w:t>
      </w:r>
      <w:r>
        <w:t xml:space="preserve"> that the public interest </w:t>
      </w:r>
      <w:r w:rsidR="00862581">
        <w:t>wil</w:t>
      </w:r>
      <w:r w:rsidR="00CC24AB">
        <w:t>l</w:t>
      </w:r>
      <w:r w:rsidR="00862581">
        <w:t xml:space="preserve"> </w:t>
      </w:r>
      <w:r>
        <w:t>be served</w:t>
      </w:r>
      <w:r w:rsidR="00D56708">
        <w:t xml:space="preserve"> </w:t>
      </w:r>
      <w:r>
        <w:t xml:space="preserve">by </w:t>
      </w:r>
      <w:r w:rsidR="00A65823">
        <w:t>establishing specific</w:t>
      </w:r>
      <w:r w:rsidR="00D56708">
        <w:t xml:space="preserve"> requirements that </w:t>
      </w:r>
      <w:r>
        <w:t>defin</w:t>
      </w:r>
      <w:r w:rsidR="00D56708">
        <w:t>e</w:t>
      </w:r>
      <w:r>
        <w:t xml:space="preserve"> the disclosure obligation in cases where a broadcaster </w:t>
      </w:r>
      <w:r w:rsidR="00862581">
        <w:t>chooses</w:t>
      </w:r>
      <w:r>
        <w:t xml:space="preserve"> to meet that obligation through an Internet website.  </w:t>
      </w:r>
      <w:r w:rsidR="00F83489">
        <w:t>In particular, w</w:t>
      </w:r>
      <w:r w:rsidR="00D56708">
        <w:t>e believe that the</w:t>
      </w:r>
      <w:r w:rsidR="00A342B8">
        <w:t>se</w:t>
      </w:r>
      <w:r w:rsidR="00D56708">
        <w:t xml:space="preserve"> </w:t>
      </w:r>
      <w:r w:rsidR="00F76FFA">
        <w:t>requirements</w:t>
      </w:r>
      <w:r w:rsidR="00A342B8">
        <w:t>, which are comparable to those that apply to on-air disclosures,</w:t>
      </w:r>
      <w:r w:rsidR="00A342B8">
        <w:rPr>
          <w:rStyle w:val="FootnoteReference"/>
        </w:rPr>
        <w:footnoteReference w:id="25"/>
      </w:r>
      <w:r w:rsidR="00A342B8">
        <w:t xml:space="preserve"> </w:t>
      </w:r>
      <w:r w:rsidR="00F83489">
        <w:t xml:space="preserve">will provide guidance to licensees </w:t>
      </w:r>
      <w:r w:rsidR="0026045F">
        <w:t xml:space="preserve">and </w:t>
      </w:r>
      <w:r w:rsidR="00D56708">
        <w:t xml:space="preserve">facilitate </w:t>
      </w:r>
      <w:r w:rsidR="00F83489">
        <w:t xml:space="preserve">useful access to contest information by the public.  </w:t>
      </w:r>
      <w:r w:rsidR="0026045F">
        <w:t>We discuss each requirement</w:t>
      </w:r>
      <w:r w:rsidR="00D56708">
        <w:t xml:space="preserve">, in turn, below.  </w:t>
      </w:r>
    </w:p>
    <w:p w14:paraId="23FFF9B9" w14:textId="6F60A19E" w:rsidR="00D20C2D" w:rsidRDefault="00F86C07" w:rsidP="00D537A7">
      <w:pPr>
        <w:pStyle w:val="ParaNum"/>
      </w:pPr>
      <w:r>
        <w:rPr>
          <w:i/>
        </w:rPr>
        <w:t xml:space="preserve">“Publicly Accessible” Website.  </w:t>
      </w:r>
      <w:r w:rsidR="00F95751">
        <w:t>W</w:t>
      </w:r>
      <w:r w:rsidR="00677468">
        <w:t xml:space="preserve">e require </w:t>
      </w:r>
      <w:r w:rsidR="00654E38">
        <w:t xml:space="preserve">that </w:t>
      </w:r>
      <w:r w:rsidR="00677468">
        <w:t xml:space="preserve">any Internet website </w:t>
      </w:r>
      <w:r w:rsidR="00862581">
        <w:t xml:space="preserve">relied on </w:t>
      </w:r>
      <w:r w:rsidR="00654E38">
        <w:t xml:space="preserve">by </w:t>
      </w:r>
      <w:r w:rsidR="00677468">
        <w:t>a broadcaster to disclose material contest terms be “publicly accessible.”</w:t>
      </w:r>
      <w:r w:rsidR="00F95751">
        <w:t xml:space="preserve">  </w:t>
      </w:r>
      <w:r w:rsidR="000C371B">
        <w:t>W</w:t>
      </w:r>
      <w:r w:rsidR="00F95751">
        <w:t xml:space="preserve">e interpret the term “publicly accessible” to mean that the Internet website is </w:t>
      </w:r>
      <w:r w:rsidR="002B623D">
        <w:t xml:space="preserve">designed to be </w:t>
      </w:r>
      <w:r w:rsidR="00F95751">
        <w:t>accessible to the public 24/7, for free</w:t>
      </w:r>
      <w:r w:rsidR="00862581">
        <w:t>,</w:t>
      </w:r>
      <w:r w:rsidR="00F95751">
        <w:t xml:space="preserve"> and without any registration requirement.</w:t>
      </w:r>
      <w:r w:rsidR="00F95751">
        <w:rPr>
          <w:rStyle w:val="FootnoteReference"/>
        </w:rPr>
        <w:footnoteReference w:id="26"/>
      </w:r>
      <w:r w:rsidR="00F95751">
        <w:t xml:space="preserve"> </w:t>
      </w:r>
      <w:r w:rsidR="006F46AB">
        <w:t xml:space="preserve"> </w:t>
      </w:r>
      <w:r w:rsidR="00AD4B65">
        <w:t xml:space="preserve">This may include either the station’s website, the licensee’s website, or, if neither the individual station nor the licensee has its own website, any Internet website that is readily accessible to the public.  </w:t>
      </w:r>
      <w:r w:rsidR="00C62329">
        <w:t xml:space="preserve">Commenters generally agree that consumers should have access to material </w:t>
      </w:r>
      <w:r w:rsidR="005017DD">
        <w:t xml:space="preserve">contest </w:t>
      </w:r>
      <w:r w:rsidR="00C62329">
        <w:t xml:space="preserve">terms </w:t>
      </w:r>
      <w:r w:rsidR="005017DD">
        <w:t xml:space="preserve">disclosed </w:t>
      </w:r>
      <w:r w:rsidR="00C62329">
        <w:t>on a website</w:t>
      </w:r>
      <w:r w:rsidR="00866764">
        <w:t xml:space="preserve"> without</w:t>
      </w:r>
      <w:r w:rsidR="00C62329">
        <w:t xml:space="preserve"> any fee or registration,</w:t>
      </w:r>
      <w:r w:rsidR="00C62329">
        <w:rPr>
          <w:rStyle w:val="FootnoteReference"/>
        </w:rPr>
        <w:footnoteReference w:id="27"/>
      </w:r>
      <w:r w:rsidR="00C62329">
        <w:t xml:space="preserve"> and we believe that adopting </w:t>
      </w:r>
      <w:r w:rsidR="005017DD">
        <w:t>the</w:t>
      </w:r>
      <w:r w:rsidR="00C62329">
        <w:t xml:space="preserve">se requirements will facilitate widespread and unfettered access to </w:t>
      </w:r>
      <w:r w:rsidR="00862581">
        <w:t xml:space="preserve">contest </w:t>
      </w:r>
      <w:r w:rsidR="00C62329">
        <w:t xml:space="preserve">terms by broadcast audiences.  </w:t>
      </w:r>
      <w:r w:rsidR="007C3B81">
        <w:t>Some parties assert</w:t>
      </w:r>
      <w:r w:rsidR="007507DC">
        <w:t xml:space="preserve"> </w:t>
      </w:r>
      <w:r w:rsidR="007C3B81">
        <w:t>that broadcasters should not be required to make available material contest terms on a 24/7 basis because factors beyond their control, such as system outages, power failures, and hacked websites could prevent them from ensuring 24/7 access</w:t>
      </w:r>
      <w:r w:rsidR="00E7513A">
        <w:t>.  Thus, they express concern that they could be</w:t>
      </w:r>
      <w:r w:rsidR="007C3B81">
        <w:t xml:space="preserve"> expose</w:t>
      </w:r>
      <w:r w:rsidR="00E7513A">
        <w:t>d</w:t>
      </w:r>
      <w:r w:rsidR="007C3B81">
        <w:t xml:space="preserve"> to liability for</w:t>
      </w:r>
      <w:r w:rsidR="005756D3">
        <w:t xml:space="preserve"> violati</w:t>
      </w:r>
      <w:r w:rsidR="00153F50">
        <w:t xml:space="preserve">on of </w:t>
      </w:r>
      <w:r w:rsidR="007C3B81">
        <w:t xml:space="preserve">the Contest Rule </w:t>
      </w:r>
      <w:r w:rsidR="00153F50">
        <w:t xml:space="preserve">even </w:t>
      </w:r>
      <w:r w:rsidR="005756D3">
        <w:t xml:space="preserve">where they </w:t>
      </w:r>
      <w:r w:rsidR="009B7628">
        <w:t xml:space="preserve">have </w:t>
      </w:r>
      <w:r w:rsidR="005756D3">
        <w:t>made a good faith effort to ensure public accessibility.</w:t>
      </w:r>
      <w:r w:rsidR="00823E66">
        <w:rPr>
          <w:rStyle w:val="FootnoteReference"/>
        </w:rPr>
        <w:footnoteReference w:id="28"/>
      </w:r>
      <w:r w:rsidR="005756D3">
        <w:t xml:space="preserve">  </w:t>
      </w:r>
      <w:r w:rsidR="000C371B">
        <w:t xml:space="preserve">Because we </w:t>
      </w:r>
      <w:r w:rsidR="005A3DA1">
        <w:t>requir</w:t>
      </w:r>
      <w:r w:rsidR="000C371B">
        <w:t xml:space="preserve">e </w:t>
      </w:r>
      <w:r w:rsidR="005A3DA1">
        <w:t xml:space="preserve">that any website used to disclose material contest terms be </w:t>
      </w:r>
      <w:r w:rsidR="005A3DA1" w:rsidRPr="00513E00">
        <w:rPr>
          <w:i/>
        </w:rPr>
        <w:t>designed</w:t>
      </w:r>
      <w:r w:rsidR="005A3DA1" w:rsidRPr="005A3DA1">
        <w:t xml:space="preserve"> to be</w:t>
      </w:r>
      <w:r w:rsidR="005A3DA1">
        <w:t xml:space="preserve"> accessible to the public on a 24/7 basis, we believe the rule we adopt accounts for factors beyond the control of the licensee.</w:t>
      </w:r>
      <w:r w:rsidR="00400DAB">
        <w:t xml:space="preserve">   </w:t>
      </w:r>
      <w:r w:rsidR="00B004C4">
        <w:t xml:space="preserve"> </w:t>
      </w:r>
      <w:r w:rsidR="0056152D">
        <w:t xml:space="preserve"> </w:t>
      </w:r>
      <w:r w:rsidR="006F46AB">
        <w:t xml:space="preserve"> </w:t>
      </w:r>
    </w:p>
    <w:p w14:paraId="2E1C0503" w14:textId="626B49A8" w:rsidR="004020C6" w:rsidRDefault="00BF5E7E" w:rsidP="00D537A7">
      <w:pPr>
        <w:pStyle w:val="ParaNum"/>
      </w:pPr>
      <w:r>
        <w:rPr>
          <w:i/>
        </w:rPr>
        <w:t xml:space="preserve">Broadcast </w:t>
      </w:r>
      <w:r w:rsidR="004020C6">
        <w:rPr>
          <w:i/>
        </w:rPr>
        <w:t xml:space="preserve">Identification of Website Address.  </w:t>
      </w:r>
      <w:r w:rsidR="004020C6">
        <w:t xml:space="preserve">We also amend the Contest Rule to require that a licensee broadcast the address of an Internet website </w:t>
      </w:r>
      <w:r w:rsidR="00862581">
        <w:t>on which it relies</w:t>
      </w:r>
      <w:r w:rsidR="004020C6">
        <w:t xml:space="preserve"> to disclose material contest terms </w:t>
      </w:r>
      <w:r w:rsidR="009B39A4">
        <w:t xml:space="preserve">with information sufficient for a consumer to find </w:t>
      </w:r>
      <w:r w:rsidR="00862581">
        <w:t xml:space="preserve">those </w:t>
      </w:r>
      <w:r w:rsidR="009B39A4">
        <w:t xml:space="preserve">terms easily.  Although we </w:t>
      </w:r>
      <w:r>
        <w:t xml:space="preserve">proposed </w:t>
      </w:r>
      <w:r w:rsidR="009B39A4">
        <w:t xml:space="preserve">in the </w:t>
      </w:r>
      <w:r w:rsidR="009B39A4">
        <w:rPr>
          <w:i/>
        </w:rPr>
        <w:t xml:space="preserve">NPRM </w:t>
      </w:r>
      <w:r w:rsidR="009B39A4">
        <w:t>to require licensees that choose to satisfy their disclosure obligation through the Internet to broadcast the “complete, direct website address” where contest terms are posted,</w:t>
      </w:r>
      <w:r w:rsidR="009B39A4">
        <w:rPr>
          <w:rStyle w:val="FootnoteReference"/>
        </w:rPr>
        <w:footnoteReference w:id="29"/>
      </w:r>
      <w:r w:rsidR="009B39A4">
        <w:t xml:space="preserve"> we </w:t>
      </w:r>
      <w:r w:rsidR="005C06B2">
        <w:t>decline to adopt this requirement</w:t>
      </w:r>
      <w:r w:rsidR="00D25694">
        <w:t>.  We agree with</w:t>
      </w:r>
      <w:r w:rsidR="005C06B2">
        <w:t xml:space="preserve"> commenters </w:t>
      </w:r>
      <w:r w:rsidR="00D25694">
        <w:t xml:space="preserve">that a literal interpretation of such a requirement could be </w:t>
      </w:r>
      <w:r w:rsidR="005C06B2">
        <w:t>un</w:t>
      </w:r>
      <w:r w:rsidR="007224AB">
        <w:t xml:space="preserve">duly burdensome to broadcasters </w:t>
      </w:r>
      <w:r w:rsidR="005C06B2">
        <w:t>and confusing to the public.  Some parties contend, for example, that a rule requiring identification of the “complete, direct” website address could be interpreted to require a mechanical recitation of a web address as it appears on an Internet browser (</w:t>
      </w:r>
      <w:r w:rsidR="005C06B2">
        <w:rPr>
          <w:i/>
        </w:rPr>
        <w:t xml:space="preserve">e.g., </w:t>
      </w:r>
      <w:r w:rsidR="005C06B2">
        <w:t xml:space="preserve">“http-colon-backslash, etc.”), and that such </w:t>
      </w:r>
      <w:r w:rsidR="00771213">
        <w:t xml:space="preserve">a rule is </w:t>
      </w:r>
      <w:r w:rsidR="005C06B2" w:rsidRPr="005C06B2">
        <w:t>less helpful to consumers than one that allows broadcasters t</w:t>
      </w:r>
      <w:r w:rsidR="00771213">
        <w:t xml:space="preserve">o identify the relevant </w:t>
      </w:r>
      <w:r w:rsidR="005C06B2" w:rsidRPr="005C06B2">
        <w:t>address through simple instructions o</w:t>
      </w:r>
      <w:r w:rsidR="00771213">
        <w:t>r natural language (</w:t>
      </w:r>
      <w:r w:rsidR="00771213">
        <w:rPr>
          <w:i/>
        </w:rPr>
        <w:t xml:space="preserve">e.g., </w:t>
      </w:r>
      <w:r w:rsidR="00771213">
        <w:t>“for contest rules go to kxyz.com and then click on the contest tab”).</w:t>
      </w:r>
      <w:r w:rsidR="00771213">
        <w:rPr>
          <w:rStyle w:val="FootnoteReference"/>
        </w:rPr>
        <w:footnoteReference w:id="30"/>
      </w:r>
      <w:r w:rsidR="005C06B2" w:rsidRPr="005C06B2">
        <w:t xml:space="preserve">  </w:t>
      </w:r>
      <w:r w:rsidR="00627578">
        <w:t>In a</w:t>
      </w:r>
      <w:r>
        <w:t>ddition, Joint Commenters assert</w:t>
      </w:r>
      <w:r w:rsidR="00627578">
        <w:t xml:space="preserve"> that website addresses and their subdirectories </w:t>
      </w:r>
      <w:r w:rsidR="001543CA">
        <w:t>may</w:t>
      </w:r>
      <w:r w:rsidR="00E35CF7">
        <w:t xml:space="preserve"> change while</w:t>
      </w:r>
      <w:r w:rsidR="00627578">
        <w:t xml:space="preserve"> contests are ongoing</w:t>
      </w:r>
      <w:r>
        <w:t>, and th</w:t>
      </w:r>
      <w:r w:rsidR="00E35CF7">
        <w:t>us</w:t>
      </w:r>
      <w:r>
        <w:t xml:space="preserve"> requiring identification of a “complete, direct” address, including local host names and subdirectories, would be unnecessarily onerous to broadcasters</w:t>
      </w:r>
      <w:r w:rsidR="00AD709D">
        <w:t xml:space="preserve"> and could be confusing to consumers</w:t>
      </w:r>
      <w:r>
        <w:t>.</w:t>
      </w:r>
      <w:r>
        <w:rPr>
          <w:rStyle w:val="FootnoteReference"/>
        </w:rPr>
        <w:footnoteReference w:id="31"/>
      </w:r>
      <w:r w:rsidR="00862581">
        <w:t xml:space="preserve">  We require that broadcasters identify the website in language that enables a typical </w:t>
      </w:r>
      <w:r w:rsidR="00586E13">
        <w:t xml:space="preserve">consumer easily to locate </w:t>
      </w:r>
      <w:r w:rsidR="004C5EDB">
        <w:t>the website’s home page</w:t>
      </w:r>
      <w:r w:rsidR="00862581">
        <w:t xml:space="preserve"> online</w:t>
      </w:r>
      <w:r w:rsidR="005B6931">
        <w:t>, such as in the example provided above (“for contest rules go to kxyz.com and then click on the contest tab”)</w:t>
      </w:r>
      <w:r w:rsidR="00862581">
        <w:t>.</w:t>
      </w:r>
      <w:r w:rsidR="009B1A4A">
        <w:t xml:space="preserve">  As with all elements of contest-related announcements, the burden is on the broadcaster to inform the public, not on the public to discern the message.  </w:t>
      </w:r>
    </w:p>
    <w:p w14:paraId="03F91B46" w14:textId="5E72EA1E" w:rsidR="00621DDE" w:rsidRDefault="00BF5E7E" w:rsidP="00D537A7">
      <w:pPr>
        <w:pStyle w:val="ParaNum"/>
      </w:pPr>
      <w:r>
        <w:t xml:space="preserve">Consistent with </w:t>
      </w:r>
      <w:r w:rsidR="003857DC">
        <w:t xml:space="preserve">broadcasters’ existing obligation to broadcast contest </w:t>
      </w:r>
      <w:r w:rsidR="007933D4">
        <w:t xml:space="preserve">rule </w:t>
      </w:r>
      <w:r w:rsidR="003857DC">
        <w:t>disclosures “periodically,”</w:t>
      </w:r>
      <w:r>
        <w:t xml:space="preserve"> we conclude further that license</w:t>
      </w:r>
      <w:r w:rsidR="003857DC">
        <w:t xml:space="preserve">es must broadcast the </w:t>
      </w:r>
      <w:r>
        <w:t xml:space="preserve">website address </w:t>
      </w:r>
      <w:r w:rsidR="00C22022">
        <w:t xml:space="preserve">where contest terms are posted </w:t>
      </w:r>
      <w:r w:rsidR="00BE6BF4">
        <w:t>“</w:t>
      </w:r>
      <w:r>
        <w:t>periodically</w:t>
      </w:r>
      <w:r w:rsidR="00BE6BF4">
        <w:t xml:space="preserve">” </w:t>
      </w:r>
      <w:r w:rsidR="00C22022">
        <w:t xml:space="preserve">during the </w:t>
      </w:r>
      <w:r w:rsidR="00586E13">
        <w:t xml:space="preserve">period </w:t>
      </w:r>
      <w:r w:rsidR="00BE6BF4">
        <w:t>of the contest.</w:t>
      </w:r>
      <w:r>
        <w:t xml:space="preserve">  Although we proposed </w:t>
      </w:r>
      <w:r w:rsidR="00BE6BF4">
        <w:t xml:space="preserve">in the </w:t>
      </w:r>
      <w:r w:rsidR="00BE6BF4">
        <w:rPr>
          <w:i/>
        </w:rPr>
        <w:t xml:space="preserve">NPRM </w:t>
      </w:r>
      <w:r>
        <w:t>to require licensees to broadcast the website address “each time</w:t>
      </w:r>
      <w:r w:rsidR="00BE6BF4">
        <w:t xml:space="preserve"> the station mentions or advertises the contest,”</w:t>
      </w:r>
      <w:r w:rsidR="00BE6BF4">
        <w:rPr>
          <w:rStyle w:val="FootnoteReference"/>
        </w:rPr>
        <w:footnoteReference w:id="32"/>
      </w:r>
      <w:r>
        <w:t xml:space="preserve"> </w:t>
      </w:r>
      <w:r w:rsidR="00BE6BF4">
        <w:t>we decline to adopt this requirement, which parties uniformly oppose.</w:t>
      </w:r>
      <w:r w:rsidR="00DF6824">
        <w:t xml:space="preserve">  F</w:t>
      </w:r>
      <w:r w:rsidR="009A06BA">
        <w:t xml:space="preserve">or example, </w:t>
      </w:r>
      <w:r w:rsidR="00E35CF7">
        <w:t xml:space="preserve">some </w:t>
      </w:r>
      <w:r w:rsidR="009A06BA">
        <w:t xml:space="preserve">commenters argue that </w:t>
      </w:r>
      <w:r w:rsidR="00DF6824">
        <w:t xml:space="preserve">such a requirement </w:t>
      </w:r>
      <w:r w:rsidR="00754C22">
        <w:t>c</w:t>
      </w:r>
      <w:r w:rsidR="004428BD">
        <w:t xml:space="preserve">ould </w:t>
      </w:r>
      <w:r w:rsidR="00DF6824">
        <w:t>create unnecessary</w:t>
      </w:r>
      <w:r w:rsidR="009A06BA">
        <w:t xml:space="preserve"> aural clutter and disrupt the listener experience.</w:t>
      </w:r>
      <w:r w:rsidR="00E35CF7">
        <w:rPr>
          <w:rStyle w:val="FootnoteReference"/>
        </w:rPr>
        <w:footnoteReference w:id="33"/>
      </w:r>
      <w:r w:rsidR="009A06BA">
        <w:t xml:space="preserve">  </w:t>
      </w:r>
      <w:r w:rsidR="00BD41AC">
        <w:t>P</w:t>
      </w:r>
      <w:r w:rsidR="009A06BA">
        <w:t xml:space="preserve">arties </w:t>
      </w:r>
      <w:r w:rsidR="00BD41AC">
        <w:t xml:space="preserve">also </w:t>
      </w:r>
      <w:r w:rsidR="009A06BA">
        <w:t>assert that</w:t>
      </w:r>
      <w:r w:rsidR="00BD41AC">
        <w:t>,</w:t>
      </w:r>
      <w:r w:rsidR="009A06BA">
        <w:t xml:space="preserve"> </w:t>
      </w:r>
      <w:r w:rsidR="00BD41AC" w:rsidRPr="00BD41AC">
        <w:t xml:space="preserve">given the number of contests that are conducted simultaneously and the </w:t>
      </w:r>
      <w:r w:rsidR="00656AAA">
        <w:t>multitude</w:t>
      </w:r>
      <w:r w:rsidR="00BD41AC" w:rsidRPr="00BD41AC">
        <w:t xml:space="preserve"> and variety of contest references</w:t>
      </w:r>
      <w:r w:rsidR="00BD41AC">
        <w:t xml:space="preserve">, </w:t>
      </w:r>
      <w:r w:rsidR="009A06BA">
        <w:t xml:space="preserve">requiring </w:t>
      </w:r>
      <w:r w:rsidR="00BD41AC">
        <w:t xml:space="preserve">licensees to </w:t>
      </w:r>
      <w:r w:rsidR="009A06BA">
        <w:t>identif</w:t>
      </w:r>
      <w:r w:rsidR="00BD41AC">
        <w:t>y the relevant website address</w:t>
      </w:r>
      <w:r w:rsidR="009A06BA">
        <w:t xml:space="preserve"> each time a contest is mentioned will reduce </w:t>
      </w:r>
      <w:r w:rsidR="00BD41AC">
        <w:t xml:space="preserve">the amount of </w:t>
      </w:r>
      <w:r w:rsidR="009A06BA">
        <w:t xml:space="preserve">air time that </w:t>
      </w:r>
      <w:r w:rsidR="00BD41AC">
        <w:t>can</w:t>
      </w:r>
      <w:r w:rsidR="009A06BA">
        <w:t xml:space="preserve"> be utilized for other programming.</w:t>
      </w:r>
      <w:r w:rsidR="00E35CF7">
        <w:rPr>
          <w:rStyle w:val="FootnoteReference"/>
        </w:rPr>
        <w:footnoteReference w:id="34"/>
      </w:r>
      <w:r w:rsidR="00BD41AC">
        <w:t xml:space="preserve">  Some parties contend further that the burdens</w:t>
      </w:r>
      <w:r w:rsidR="00E35CF7">
        <w:t xml:space="preserve"> imposed by such a requirement c</w:t>
      </w:r>
      <w:r w:rsidR="00BD41AC">
        <w:t>ould cause stations to reduce the number of contest mentions or not to adopt online disclosure.</w:t>
      </w:r>
      <w:r w:rsidR="00E35CF7">
        <w:rPr>
          <w:rStyle w:val="FootnoteReference"/>
        </w:rPr>
        <w:footnoteReference w:id="35"/>
      </w:r>
      <w:r w:rsidR="00BD41AC">
        <w:t xml:space="preserve">  </w:t>
      </w:r>
      <w:r w:rsidR="00E35CF7">
        <w:t>For these reasons</w:t>
      </w:r>
      <w:r w:rsidR="00F62DFF">
        <w:t xml:space="preserve">, we are persuaded that the potential </w:t>
      </w:r>
      <w:r w:rsidR="00E35CF7">
        <w:t>drawbacks</w:t>
      </w:r>
      <w:r w:rsidR="00F62DFF">
        <w:t xml:space="preserve"> </w:t>
      </w:r>
      <w:r w:rsidR="00586E13">
        <w:t xml:space="preserve">of </w:t>
      </w:r>
      <w:r w:rsidR="00F62DFF">
        <w:t xml:space="preserve">requiring broadcast identification of the website address where contest terms are posted each time a contest is mentioned outweigh any associated benefits.  </w:t>
      </w:r>
    </w:p>
    <w:p w14:paraId="0697F9BA" w14:textId="4558D124" w:rsidR="00BF5E7E" w:rsidRPr="004020C6" w:rsidRDefault="00621DDE" w:rsidP="00D537A7">
      <w:pPr>
        <w:pStyle w:val="ParaNum"/>
      </w:pPr>
      <w:r>
        <w:t>W</w:t>
      </w:r>
      <w:r w:rsidR="005476E5">
        <w:t xml:space="preserve">e decline </w:t>
      </w:r>
      <w:r w:rsidR="0078080F">
        <w:t xml:space="preserve">at this time </w:t>
      </w:r>
      <w:r w:rsidR="005476E5">
        <w:t xml:space="preserve">to adopt a more </w:t>
      </w:r>
      <w:r w:rsidR="00C22022">
        <w:t>prescriptive</w:t>
      </w:r>
      <w:r w:rsidR="005476E5">
        <w:t xml:space="preserve"> requirement governing the frequency of broadcast identification of the website address where contest terms are posted</w:t>
      </w:r>
      <w:r>
        <w:t xml:space="preserve"> as some parties have suggested.</w:t>
      </w:r>
      <w:r w:rsidRPr="00621DDE">
        <w:rPr>
          <w:vertAlign w:val="superscript"/>
        </w:rPr>
        <w:footnoteReference w:id="36"/>
      </w:r>
      <w:r w:rsidRPr="00621DDE">
        <w:t xml:space="preserve"> </w:t>
      </w:r>
      <w:r w:rsidR="005476E5">
        <w:t xml:space="preserve"> </w:t>
      </w:r>
      <w:r w:rsidR="004C3AD7">
        <w:t xml:space="preserve">We conclude that requiring on-air identification of the website address a specified number of times daily, </w:t>
      </w:r>
      <w:r w:rsidR="004C3AD7" w:rsidRPr="00B5130B">
        <w:rPr>
          <w:i/>
        </w:rPr>
        <w:t>e.g.</w:t>
      </w:r>
      <w:r w:rsidR="004C3AD7">
        <w:t xml:space="preserve">, an average of three times per day, would not serve the public interest because such a rule could </w:t>
      </w:r>
      <w:r w:rsidR="00586E13">
        <w:t xml:space="preserve">lead </w:t>
      </w:r>
      <w:r w:rsidR="004C3AD7">
        <w:t xml:space="preserve">broadcasters to identify the website address the </w:t>
      </w:r>
      <w:r w:rsidR="00E35CF7">
        <w:t xml:space="preserve">specified </w:t>
      </w:r>
      <w:r w:rsidR="002B7625">
        <w:t xml:space="preserve">minimum number of times irrespective of </w:t>
      </w:r>
      <w:r w:rsidR="00E35CF7">
        <w:t xml:space="preserve">how often </w:t>
      </w:r>
      <w:r w:rsidR="002B7625">
        <w:t xml:space="preserve">a contest is mentioned.  </w:t>
      </w:r>
      <w:r w:rsidR="00E35CF7">
        <w:t>Similarly</w:t>
      </w:r>
      <w:r w:rsidR="003E35B1">
        <w:t xml:space="preserve">, we </w:t>
      </w:r>
      <w:r w:rsidR="00061B3F">
        <w:t xml:space="preserve">decline to </w:t>
      </w:r>
      <w:r w:rsidR="002B7625">
        <w:t>requir</w:t>
      </w:r>
      <w:r w:rsidR="00061B3F">
        <w:t>e</w:t>
      </w:r>
      <w:r w:rsidR="002B7625">
        <w:t xml:space="preserve"> broadcast identification of the website address only </w:t>
      </w:r>
      <w:r w:rsidR="003E35B1">
        <w:t xml:space="preserve">when </w:t>
      </w:r>
      <w:r w:rsidR="002B7625">
        <w:t xml:space="preserve">a station substantially </w:t>
      </w:r>
      <w:r w:rsidR="00E16EA5">
        <w:t>highlights or discusses</w:t>
      </w:r>
      <w:r w:rsidR="002B7625">
        <w:t xml:space="preserve"> a contest</w:t>
      </w:r>
      <w:r w:rsidR="00061B3F">
        <w:t>, as proposed by Hubbard and NSBA,</w:t>
      </w:r>
      <w:r w:rsidR="00754C22">
        <w:rPr>
          <w:rStyle w:val="FootnoteReference"/>
        </w:rPr>
        <w:footnoteReference w:id="37"/>
      </w:r>
      <w:r w:rsidR="00061B3F">
        <w:t xml:space="preserve"> as this approach </w:t>
      </w:r>
      <w:r w:rsidR="00E35CF7">
        <w:t>w</w:t>
      </w:r>
      <w:r w:rsidR="00B70ABA">
        <w:t xml:space="preserve">ould make the Contest Rule more </w:t>
      </w:r>
      <w:r w:rsidR="00E35CF7">
        <w:t>challenging</w:t>
      </w:r>
      <w:r w:rsidR="00B70ABA">
        <w:t xml:space="preserve"> to enforce by requiring the Commission to assess in a particular case whether a contest has been “substantially</w:t>
      </w:r>
      <w:r w:rsidR="00E35CF7">
        <w:t>”</w:t>
      </w:r>
      <w:r w:rsidR="00B70ABA">
        <w:t xml:space="preserve"> </w:t>
      </w:r>
      <w:r w:rsidR="0050017A">
        <w:t>highlighted or discussed</w:t>
      </w:r>
      <w:r w:rsidR="00B70ABA">
        <w:t>.</w:t>
      </w:r>
      <w:r w:rsidR="00DA1C30">
        <w:rPr>
          <w:rStyle w:val="FootnoteReference"/>
        </w:rPr>
        <w:footnoteReference w:id="38"/>
      </w:r>
      <w:r w:rsidR="00B70ABA">
        <w:t xml:space="preserve">  </w:t>
      </w:r>
      <w:r w:rsidR="00C512D5">
        <w:t>On balance</w:t>
      </w:r>
      <w:r w:rsidR="00DA1C30">
        <w:t xml:space="preserve">, we find that the public interest would be </w:t>
      </w:r>
      <w:r w:rsidR="00C512D5">
        <w:t xml:space="preserve">better </w:t>
      </w:r>
      <w:r w:rsidR="00DA1C30">
        <w:t xml:space="preserve">served by </w:t>
      </w:r>
      <w:r w:rsidR="00B5130B">
        <w:t xml:space="preserve">providing </w:t>
      </w:r>
      <w:r w:rsidR="00DA1C30">
        <w:t xml:space="preserve">licensees </w:t>
      </w:r>
      <w:r w:rsidR="00FB0C77">
        <w:t xml:space="preserve">with </w:t>
      </w:r>
      <w:r w:rsidR="00DA1C30">
        <w:t xml:space="preserve">flexibility to determine </w:t>
      </w:r>
      <w:r w:rsidR="00384F50">
        <w:t xml:space="preserve">the frequency </w:t>
      </w:r>
      <w:r w:rsidR="00B5130B">
        <w:t>with</w:t>
      </w:r>
      <w:r w:rsidR="00384F50">
        <w:t xml:space="preserve"> which they broadcast the website address where contest terms</w:t>
      </w:r>
      <w:r w:rsidR="002144AB">
        <w:t xml:space="preserve"> are made available to th</w:t>
      </w:r>
      <w:r w:rsidR="008179E6">
        <w:t xml:space="preserve">e </w:t>
      </w:r>
      <w:r w:rsidR="002144AB">
        <w:t>public</w:t>
      </w:r>
      <w:r w:rsidR="00384F50">
        <w:t>.  As noted, the requirement</w:t>
      </w:r>
      <w:r w:rsidR="00C22022">
        <w:t xml:space="preserve"> we adopt is harmonious with</w:t>
      </w:r>
      <w:r w:rsidR="00384F50">
        <w:t xml:space="preserve"> </w:t>
      </w:r>
      <w:r w:rsidR="00C22022">
        <w:t>licensees’ existing obligation to broadcast contest disclosures “periodically”</w:t>
      </w:r>
      <w:r w:rsidR="00384F50">
        <w:rPr>
          <w:rStyle w:val="FootnoteReference"/>
        </w:rPr>
        <w:footnoteReference w:id="39"/>
      </w:r>
      <w:r w:rsidR="00384F50">
        <w:t xml:space="preserve"> and the discretion long afforded licensees in this area.</w:t>
      </w:r>
      <w:r w:rsidR="00384F50">
        <w:rPr>
          <w:rStyle w:val="FootnoteReference"/>
        </w:rPr>
        <w:footnoteReference w:id="40"/>
      </w:r>
      <w:r w:rsidR="00B5130B">
        <w:t xml:space="preserve">  </w:t>
      </w:r>
      <w:r w:rsidR="00D62441">
        <w:t xml:space="preserve">If we find that licensees are failing to broadcast the website address with adequate frequency, we will </w:t>
      </w:r>
      <w:r w:rsidR="00C22022">
        <w:t xml:space="preserve">revisit this issue </w:t>
      </w:r>
      <w:r w:rsidR="00D62441">
        <w:t xml:space="preserve">in the future. </w:t>
      </w:r>
      <w:r w:rsidR="00CF0B66">
        <w:t xml:space="preserve"> </w:t>
      </w:r>
    </w:p>
    <w:p w14:paraId="0F5413A0" w14:textId="20DC0C97" w:rsidR="00841D5C" w:rsidRDefault="00C944FC" w:rsidP="00D537A7">
      <w:pPr>
        <w:pStyle w:val="ParaNum"/>
      </w:pPr>
      <w:r w:rsidRPr="007D71E9">
        <w:rPr>
          <w:i/>
        </w:rPr>
        <w:t>Internet Link to Contest Terms</w:t>
      </w:r>
      <w:r>
        <w:t>.</w:t>
      </w:r>
      <w:r w:rsidR="005A7C0E">
        <w:t xml:space="preserve">  </w:t>
      </w:r>
      <w:r w:rsidR="00CB229E">
        <w:t xml:space="preserve">As proposed in the </w:t>
      </w:r>
      <w:r w:rsidR="00CB229E" w:rsidRPr="00CB229E">
        <w:rPr>
          <w:i/>
        </w:rPr>
        <w:t>NPRM</w:t>
      </w:r>
      <w:r w:rsidR="00CB229E">
        <w:t>, w</w:t>
      </w:r>
      <w:r w:rsidR="00E87672" w:rsidRPr="00CB229E">
        <w:t>e</w:t>
      </w:r>
      <w:r w:rsidR="00E87672">
        <w:t xml:space="preserve"> also </w:t>
      </w:r>
      <w:r w:rsidR="00E87672" w:rsidRPr="000C4C17">
        <w:t>amend the Contest Rule</w:t>
      </w:r>
      <w:r w:rsidR="00E87672">
        <w:t xml:space="preserve"> to require </w:t>
      </w:r>
      <w:r w:rsidR="00FC1D81">
        <w:t xml:space="preserve">that </w:t>
      </w:r>
      <w:r w:rsidR="00E87672">
        <w:t xml:space="preserve">licensees establish a link </w:t>
      </w:r>
      <w:r w:rsidR="005B1D48">
        <w:t xml:space="preserve">or tab </w:t>
      </w:r>
      <w:r w:rsidR="0050017A">
        <w:t xml:space="preserve">on the home page of an Internet website used to disclose material contest terms, that </w:t>
      </w:r>
      <w:r w:rsidR="00586E13">
        <w:t xml:space="preserve">takes </w:t>
      </w:r>
      <w:r w:rsidR="0050017A">
        <w:t xml:space="preserve">consumers </w:t>
      </w:r>
      <w:r w:rsidR="00E87672">
        <w:t>to contest information</w:t>
      </w:r>
      <w:r w:rsidR="0050017A">
        <w:t>.</w:t>
      </w:r>
      <w:r w:rsidR="00E87672">
        <w:rPr>
          <w:rStyle w:val="FootnoteReference"/>
        </w:rPr>
        <w:footnoteReference w:id="41"/>
      </w:r>
      <w:r w:rsidR="00E87672">
        <w:t xml:space="preserve"> </w:t>
      </w:r>
      <w:r w:rsidR="00FC1D81">
        <w:t xml:space="preserve"> </w:t>
      </w:r>
      <w:r w:rsidR="00586E13">
        <w:t xml:space="preserve">That </w:t>
      </w:r>
      <w:r w:rsidR="005B1D48">
        <w:t xml:space="preserve">link or tab must </w:t>
      </w:r>
      <w:r w:rsidR="0066336C">
        <w:t xml:space="preserve">be conspicuously located </w:t>
      </w:r>
      <w:r w:rsidR="005B1D48">
        <w:t xml:space="preserve">on the website home page and must be labeled in a way that makes </w:t>
      </w:r>
      <w:r w:rsidR="00B3489C">
        <w:t xml:space="preserve">clear </w:t>
      </w:r>
      <w:r w:rsidR="005B1D48">
        <w:t>its relation to contest information.</w:t>
      </w:r>
      <w:r w:rsidR="005B1D48">
        <w:rPr>
          <w:rStyle w:val="FootnoteReference"/>
        </w:rPr>
        <w:footnoteReference w:id="42"/>
      </w:r>
      <w:r w:rsidR="00716118">
        <w:t xml:space="preserve">  </w:t>
      </w:r>
      <w:r w:rsidR="00E827F2">
        <w:t xml:space="preserve">We disagree with </w:t>
      </w:r>
      <w:r w:rsidR="00D76D11">
        <w:t xml:space="preserve">commenters’ </w:t>
      </w:r>
      <w:r w:rsidR="00E827F2">
        <w:t>assertion</w:t>
      </w:r>
      <w:r w:rsidR="007933D4">
        <w:t>s</w:t>
      </w:r>
      <w:r w:rsidR="00E827F2">
        <w:t xml:space="preserve"> that the Commission need not adopt any rules to facilitate access to contest information because broadcasters have </w:t>
      </w:r>
      <w:r w:rsidR="007507DC">
        <w:t>a natural</w:t>
      </w:r>
      <w:r w:rsidR="00E827F2">
        <w:t xml:space="preserve"> incentive to make such information readily accessible and </w:t>
      </w:r>
      <w:r w:rsidR="007507DC">
        <w:t xml:space="preserve">consumers can utilize </w:t>
      </w:r>
      <w:r w:rsidR="00D83723">
        <w:t xml:space="preserve">Internet search engines to </w:t>
      </w:r>
      <w:r w:rsidR="007507DC">
        <w:t>locate</w:t>
      </w:r>
      <w:r w:rsidR="00D83723">
        <w:t xml:space="preserve"> </w:t>
      </w:r>
      <w:r w:rsidR="00B04D42">
        <w:t xml:space="preserve">contest </w:t>
      </w:r>
      <w:r w:rsidR="00D83723">
        <w:t>information quickly.</w:t>
      </w:r>
      <w:r w:rsidR="00D83723">
        <w:rPr>
          <w:rStyle w:val="FootnoteReference"/>
        </w:rPr>
        <w:footnoteReference w:id="43"/>
      </w:r>
      <w:r w:rsidR="00D83723">
        <w:t xml:space="preserve">  </w:t>
      </w:r>
      <w:r w:rsidR="007507DC">
        <w:t xml:space="preserve">Even if </w:t>
      </w:r>
      <w:r w:rsidR="00586E13">
        <w:t xml:space="preserve">many </w:t>
      </w:r>
      <w:r w:rsidR="007507DC">
        <w:t xml:space="preserve">consumers </w:t>
      </w:r>
      <w:r w:rsidR="00662D05">
        <w:t>a</w:t>
      </w:r>
      <w:r w:rsidR="007507DC">
        <w:t xml:space="preserve">re able to locate contest terms absent any </w:t>
      </w:r>
      <w:r w:rsidR="00FE77D3">
        <w:t>guidance</w:t>
      </w:r>
      <w:r w:rsidR="007507DC">
        <w:t>, w</w:t>
      </w:r>
      <w:r w:rsidR="00FC1D81">
        <w:t xml:space="preserve">e believe that </w:t>
      </w:r>
      <w:r w:rsidR="00716118">
        <w:t>requiring broadcasters to establish a</w:t>
      </w:r>
      <w:r w:rsidR="00866764">
        <w:t xml:space="preserve"> conspicuous</w:t>
      </w:r>
      <w:r w:rsidR="00716118">
        <w:t xml:space="preserve"> </w:t>
      </w:r>
      <w:r w:rsidR="00430164">
        <w:t xml:space="preserve">link </w:t>
      </w:r>
      <w:r w:rsidR="00716118">
        <w:t xml:space="preserve">or tab </w:t>
      </w:r>
      <w:r w:rsidR="00B04D42">
        <w:t xml:space="preserve">on the </w:t>
      </w:r>
      <w:r w:rsidR="007507DC">
        <w:t xml:space="preserve">website home page </w:t>
      </w:r>
      <w:r w:rsidR="00FE77D3">
        <w:t xml:space="preserve">that takes users </w:t>
      </w:r>
      <w:r w:rsidR="007507DC">
        <w:t xml:space="preserve">to contest terms </w:t>
      </w:r>
      <w:r w:rsidR="00FC1D81">
        <w:t xml:space="preserve">will facilitate </w:t>
      </w:r>
      <w:r w:rsidR="00662D05">
        <w:t>ready</w:t>
      </w:r>
      <w:r w:rsidR="00FC1D81">
        <w:t xml:space="preserve"> access to </w:t>
      </w:r>
      <w:r w:rsidR="007507DC">
        <w:t xml:space="preserve">those </w:t>
      </w:r>
      <w:r w:rsidR="00FC1D81">
        <w:t xml:space="preserve">terms </w:t>
      </w:r>
      <w:r w:rsidR="00716118">
        <w:t xml:space="preserve">by </w:t>
      </w:r>
      <w:r w:rsidR="007507DC">
        <w:t>the public</w:t>
      </w:r>
      <w:r w:rsidR="0091715E">
        <w:t>.</w:t>
      </w:r>
      <w:r w:rsidR="00CB0224">
        <w:rPr>
          <w:rStyle w:val="FootnoteReference"/>
        </w:rPr>
        <w:footnoteReference w:id="44"/>
      </w:r>
      <w:r w:rsidR="00430164">
        <w:t xml:space="preserve">  </w:t>
      </w:r>
      <w:r w:rsidR="000C4C17">
        <w:t>As noted, t</w:t>
      </w:r>
      <w:r w:rsidR="00430164">
        <w:t xml:space="preserve">he record reflects that many </w:t>
      </w:r>
      <w:r w:rsidR="00D2717B">
        <w:t>broadcasters</w:t>
      </w:r>
      <w:r w:rsidR="00430164">
        <w:t xml:space="preserve"> </w:t>
      </w:r>
      <w:r w:rsidR="000C4C17">
        <w:t>already</w:t>
      </w:r>
      <w:r w:rsidR="00430164">
        <w:t xml:space="preserve"> make available a link </w:t>
      </w:r>
      <w:r w:rsidR="000C2816">
        <w:t xml:space="preserve">or tab </w:t>
      </w:r>
      <w:r w:rsidR="00430164">
        <w:t xml:space="preserve">to contest information on their website </w:t>
      </w:r>
      <w:r w:rsidR="001B1E28">
        <w:t xml:space="preserve">home </w:t>
      </w:r>
      <w:r w:rsidR="00430164">
        <w:t>page</w:t>
      </w:r>
      <w:r w:rsidR="00990EFC">
        <w:t>,</w:t>
      </w:r>
      <w:r w:rsidR="000C2816">
        <w:rPr>
          <w:rStyle w:val="FootnoteReference"/>
        </w:rPr>
        <w:footnoteReference w:id="45"/>
      </w:r>
      <w:r w:rsidR="00990EFC">
        <w:t xml:space="preserve"> </w:t>
      </w:r>
      <w:r w:rsidR="0066336C">
        <w:t xml:space="preserve">which suggests that </w:t>
      </w:r>
      <w:r w:rsidR="00716118">
        <w:t>compl</w:t>
      </w:r>
      <w:r w:rsidR="007507DC">
        <w:t xml:space="preserve">iance </w:t>
      </w:r>
      <w:r w:rsidR="00716118">
        <w:t xml:space="preserve">with </w:t>
      </w:r>
      <w:r w:rsidR="000C2816">
        <w:t>such a r</w:t>
      </w:r>
      <w:r w:rsidR="00B04D42">
        <w:t>equirement</w:t>
      </w:r>
      <w:r w:rsidR="000C2816">
        <w:t xml:space="preserve"> </w:t>
      </w:r>
      <w:r w:rsidR="00D2717B">
        <w:t xml:space="preserve">is not </w:t>
      </w:r>
      <w:r w:rsidR="00990EFC">
        <w:t>unduly burdensome</w:t>
      </w:r>
      <w:r w:rsidR="000C2816">
        <w:t>.</w:t>
      </w:r>
      <w:r w:rsidR="00716118">
        <w:t xml:space="preserve">  </w:t>
      </w:r>
      <w:r w:rsidR="00156F02">
        <w:t xml:space="preserve">Although </w:t>
      </w:r>
      <w:r w:rsidR="00E827F2">
        <w:t xml:space="preserve">some parties assert that </w:t>
      </w:r>
      <w:r w:rsidR="00156F02">
        <w:t xml:space="preserve">licensees are in the best position to determine where contest information should be </w:t>
      </w:r>
      <w:r w:rsidR="00662D05">
        <w:t>posted</w:t>
      </w:r>
      <w:r w:rsidR="00E827F2">
        <w:t xml:space="preserve"> on a website</w:t>
      </w:r>
      <w:r w:rsidR="00156F02">
        <w:t>,</w:t>
      </w:r>
      <w:r w:rsidR="00E827F2">
        <w:rPr>
          <w:rStyle w:val="FootnoteReference"/>
        </w:rPr>
        <w:footnoteReference w:id="46"/>
      </w:r>
      <w:r w:rsidR="00156F02">
        <w:t xml:space="preserve"> the rule we adopt </w:t>
      </w:r>
      <w:r w:rsidR="00E827F2">
        <w:t xml:space="preserve">requiring a link or tab to contest terms </w:t>
      </w:r>
      <w:r w:rsidR="00662D05">
        <w:t xml:space="preserve">on a </w:t>
      </w:r>
      <w:r w:rsidR="00E827F2">
        <w:t xml:space="preserve">website home page </w:t>
      </w:r>
      <w:r w:rsidR="00156F02">
        <w:t xml:space="preserve">does not dictate the location </w:t>
      </w:r>
      <w:r w:rsidR="003D7189">
        <w:t xml:space="preserve">where </w:t>
      </w:r>
      <w:r w:rsidR="00156F02">
        <w:t>material terms must be</w:t>
      </w:r>
      <w:r w:rsidR="00662D05">
        <w:t xml:space="preserve"> disclosed</w:t>
      </w:r>
      <w:r w:rsidR="00156F02">
        <w:t>.</w:t>
      </w:r>
      <w:r w:rsidR="00E827F2">
        <w:t xml:space="preserve">  </w:t>
      </w:r>
      <w:r w:rsidR="003D7189">
        <w:t>To the contrary, the rule preserves</w:t>
      </w:r>
      <w:r w:rsidR="003D7189" w:rsidRPr="003D7189">
        <w:t xml:space="preserve"> </w:t>
      </w:r>
      <w:r w:rsidR="003D7189">
        <w:t>the ability of broadcasters to maintain contest terms on a dedicated webpage, so long as that webpage is accessible by a link or tab on the home page that meets the requirements above.</w:t>
      </w:r>
    </w:p>
    <w:p w14:paraId="3332A267" w14:textId="5693270D" w:rsidR="004049E1" w:rsidRDefault="00C944FC" w:rsidP="00D537A7">
      <w:pPr>
        <w:pStyle w:val="ParaNum"/>
      </w:pPr>
      <w:r w:rsidRPr="007D71E9">
        <w:rPr>
          <w:i/>
        </w:rPr>
        <w:t xml:space="preserve">Duration of </w:t>
      </w:r>
      <w:r w:rsidR="004F348D">
        <w:rPr>
          <w:i/>
        </w:rPr>
        <w:t xml:space="preserve">Online </w:t>
      </w:r>
      <w:r w:rsidRPr="007D71E9">
        <w:rPr>
          <w:i/>
        </w:rPr>
        <w:t>Disclosure Obligation</w:t>
      </w:r>
      <w:r>
        <w:t>.</w:t>
      </w:r>
      <w:r w:rsidR="00750663">
        <w:t xml:space="preserve">  </w:t>
      </w:r>
      <w:r w:rsidR="005E6FB6">
        <w:t xml:space="preserve">We </w:t>
      </w:r>
      <w:r w:rsidR="003547B2">
        <w:t xml:space="preserve">also </w:t>
      </w:r>
      <w:r w:rsidR="00662D05">
        <w:t xml:space="preserve">require </w:t>
      </w:r>
      <w:r w:rsidR="005E6FB6">
        <w:t xml:space="preserve">licensees that choose to disclose material contest terms via an Internet website </w:t>
      </w:r>
      <w:r w:rsidR="00662D05">
        <w:t xml:space="preserve">to </w:t>
      </w:r>
      <w:r w:rsidR="005E6FB6">
        <w:t xml:space="preserve">maintain such </w:t>
      </w:r>
      <w:r w:rsidR="00662D05">
        <w:t>terms on the website</w:t>
      </w:r>
      <w:r w:rsidR="005E6FB6">
        <w:t xml:space="preserve"> </w:t>
      </w:r>
      <w:r w:rsidR="003547B2">
        <w:t xml:space="preserve">for </w:t>
      </w:r>
      <w:r w:rsidR="005E6FB6">
        <w:t xml:space="preserve">at least </w:t>
      </w:r>
      <w:r w:rsidR="003547B2">
        <w:t>thirty days after</w:t>
      </w:r>
      <w:r w:rsidR="005E6FB6">
        <w:t xml:space="preserve"> the contest has concluded</w:t>
      </w:r>
      <w:r w:rsidR="00A202E5">
        <w:t xml:space="preserve"> (</w:t>
      </w:r>
      <w:r w:rsidR="00FD1A16" w:rsidRPr="00FD1A16">
        <w:rPr>
          <w:i/>
        </w:rPr>
        <w:t>i.e</w:t>
      </w:r>
      <w:r w:rsidR="00FD1A16">
        <w:t xml:space="preserve">., </w:t>
      </w:r>
      <w:r w:rsidR="003547B2">
        <w:t>thirty days after</w:t>
      </w:r>
      <w:r w:rsidR="00FD1A16">
        <w:t xml:space="preserve"> a winner has been selected</w:t>
      </w:r>
      <w:r w:rsidR="00610736">
        <w:t xml:space="preserve"> and the station has </w:t>
      </w:r>
      <w:r w:rsidR="0099077B">
        <w:t xml:space="preserve">notified the winner personally or </w:t>
      </w:r>
      <w:r w:rsidR="00610736">
        <w:t>publicly announced the winner by broadcast announcement or over the Internet site where it disclosed the contest rules</w:t>
      </w:r>
      <w:r w:rsidR="00A202E5">
        <w:t>)</w:t>
      </w:r>
      <w:r w:rsidR="00FD1A16">
        <w:t xml:space="preserve">.  </w:t>
      </w:r>
      <w:r w:rsidR="00483920">
        <w:t>We note that u</w:t>
      </w:r>
      <w:r w:rsidR="00662D05">
        <w:t xml:space="preserve">nder the existing </w:t>
      </w:r>
      <w:r w:rsidR="004408FE">
        <w:t>r</w:t>
      </w:r>
      <w:r w:rsidR="00662D05">
        <w:t>ule, a licensee’s obligation to disclose material terms “arises at the time the audience is first told how to enter or participate and continues thereafter</w:t>
      </w:r>
      <w:r w:rsidR="007F23A7">
        <w:t>;</w:t>
      </w:r>
      <w:r w:rsidR="00662D05">
        <w:t>”</w:t>
      </w:r>
      <w:r w:rsidR="00C76059">
        <w:t xml:space="preserve"> </w:t>
      </w:r>
      <w:r w:rsidR="007F23A7">
        <w:t>however,</w:t>
      </w:r>
      <w:r w:rsidR="00C76059">
        <w:t xml:space="preserve"> the rule is silent on when this obligation ends.</w:t>
      </w:r>
      <w:r w:rsidR="00C76059">
        <w:rPr>
          <w:rStyle w:val="FootnoteReference"/>
        </w:rPr>
        <w:footnoteReference w:id="47"/>
      </w:r>
      <w:r w:rsidR="00C76059">
        <w:t xml:space="preserve">  </w:t>
      </w:r>
      <w:r w:rsidR="00847A00">
        <w:t xml:space="preserve">In the </w:t>
      </w:r>
      <w:r w:rsidR="00847A00">
        <w:rPr>
          <w:i/>
        </w:rPr>
        <w:t>NPRM,</w:t>
      </w:r>
      <w:r w:rsidR="00847A00">
        <w:t xml:space="preserve"> we sought comment on how long a licensee should be required to maintain contest information on an Internet website.</w:t>
      </w:r>
      <w:r w:rsidR="00847A00">
        <w:rPr>
          <w:rStyle w:val="FootnoteReference"/>
        </w:rPr>
        <w:footnoteReference w:id="48"/>
      </w:r>
      <w:r w:rsidR="00847A00">
        <w:t xml:space="preserve">  </w:t>
      </w:r>
      <w:r w:rsidR="007826D9">
        <w:t>Although no commenter proposed the thirty</w:t>
      </w:r>
      <w:r w:rsidR="004C5EDB">
        <w:t>-</w:t>
      </w:r>
      <w:r w:rsidR="007826D9">
        <w:t>day period we adopt herein, we believe this time period is reasonable because it strikes an appropriate balance between the public’s interest in accessing material terms after a contest has ended and the interest of broadcasters in keeping their websites up-to-date.</w:t>
      </w:r>
      <w:r w:rsidR="00241603">
        <w:rPr>
          <w:rStyle w:val="FootnoteReference"/>
        </w:rPr>
        <w:footnoteReference w:id="49"/>
      </w:r>
      <w:r w:rsidR="00241603">
        <w:t xml:space="preserve">  </w:t>
      </w:r>
      <w:r w:rsidR="006C59AE">
        <w:t xml:space="preserve">We disagree with </w:t>
      </w:r>
      <w:r w:rsidR="003547B2">
        <w:t xml:space="preserve">parties who assert that the Commission </w:t>
      </w:r>
      <w:r w:rsidR="00483920">
        <w:t>should refrain from</w:t>
      </w:r>
      <w:r w:rsidR="003547B2">
        <w:t xml:space="preserve"> </w:t>
      </w:r>
      <w:r w:rsidR="006C59AE">
        <w:t>specify</w:t>
      </w:r>
      <w:r w:rsidR="00483920">
        <w:t>ing</w:t>
      </w:r>
      <w:r w:rsidR="006C59AE">
        <w:t xml:space="preserve"> the duration that material contest terms must remain available online</w:t>
      </w:r>
      <w:r w:rsidR="003547B2">
        <w:t>,</w:t>
      </w:r>
      <w:r w:rsidR="00483920">
        <w:rPr>
          <w:rStyle w:val="FootnoteReference"/>
        </w:rPr>
        <w:footnoteReference w:id="50"/>
      </w:r>
      <w:r w:rsidR="003547B2">
        <w:t xml:space="preserve"> or should require broadcasters to maintain online disclosures only until a contest winner has been selected</w:t>
      </w:r>
      <w:r w:rsidR="006C59AE">
        <w:t>.</w:t>
      </w:r>
      <w:r w:rsidR="00483920">
        <w:rPr>
          <w:rStyle w:val="FootnoteReference"/>
        </w:rPr>
        <w:footnoteReference w:id="51"/>
      </w:r>
      <w:r w:rsidR="006C59AE">
        <w:t xml:space="preserve">  W</w:t>
      </w:r>
      <w:r w:rsidR="00C76059">
        <w:t>e believe that requiring broadc</w:t>
      </w:r>
      <w:r w:rsidR="00E9243E">
        <w:t>asters to maintain</w:t>
      </w:r>
      <w:r w:rsidR="00C76059">
        <w:t xml:space="preserve"> </w:t>
      </w:r>
      <w:r w:rsidR="00E9243E">
        <w:t xml:space="preserve">contest </w:t>
      </w:r>
      <w:r w:rsidR="00C76059">
        <w:t xml:space="preserve">terms online </w:t>
      </w:r>
      <w:r w:rsidR="00483920">
        <w:t xml:space="preserve">for </w:t>
      </w:r>
      <w:r w:rsidR="00C76059">
        <w:t>a</w:t>
      </w:r>
      <w:r w:rsidR="00340695">
        <w:t xml:space="preserve"> reasonable period of time </w:t>
      </w:r>
      <w:r w:rsidR="00483920">
        <w:t>after</w:t>
      </w:r>
      <w:r w:rsidR="00C76059">
        <w:t xml:space="preserve"> a contest winner has been </w:t>
      </w:r>
      <w:r w:rsidR="00E9243E">
        <w:t>selected</w:t>
      </w:r>
      <w:r w:rsidR="00E7755A">
        <w:t xml:space="preserve"> </w:t>
      </w:r>
      <w:r w:rsidR="00DE4124">
        <w:t xml:space="preserve">is necessary to </w:t>
      </w:r>
      <w:r w:rsidR="004408FE">
        <w:t>ensur</w:t>
      </w:r>
      <w:r w:rsidR="00DE4124">
        <w:t>e</w:t>
      </w:r>
      <w:r w:rsidR="004408FE">
        <w:t xml:space="preserve"> that contest information is readily available</w:t>
      </w:r>
      <w:r w:rsidR="006C59AE">
        <w:t xml:space="preserve"> </w:t>
      </w:r>
      <w:r w:rsidR="00D64594">
        <w:t xml:space="preserve">not only </w:t>
      </w:r>
      <w:r w:rsidR="006C59AE">
        <w:t>to potential contest</w:t>
      </w:r>
      <w:r w:rsidR="00E9243E">
        <w:t xml:space="preserve"> participant</w:t>
      </w:r>
      <w:r w:rsidR="00D64594">
        <w:t>s, but also to actual contest</w:t>
      </w:r>
      <w:r w:rsidR="00E9243E">
        <w:t xml:space="preserve">ants </w:t>
      </w:r>
      <w:r w:rsidR="004C5EDB">
        <w:t xml:space="preserve">or others who </w:t>
      </w:r>
      <w:r w:rsidR="00D64594">
        <w:t>wish to consult or confirm the rules after the contest has ended.</w:t>
      </w:r>
      <w:r w:rsidR="00D64594">
        <w:rPr>
          <w:rStyle w:val="FootnoteReference"/>
        </w:rPr>
        <w:footnoteReference w:id="52"/>
      </w:r>
      <w:r w:rsidR="00D64594">
        <w:t xml:space="preserve">  </w:t>
      </w:r>
      <w:r w:rsidR="00204CA3">
        <w:t>To address concerns that maintaining contest rules online after a contest has ended could create confusion about whether a contest is ongoing,</w:t>
      </w:r>
      <w:r w:rsidR="00204CA3">
        <w:rPr>
          <w:rStyle w:val="FootnoteReference"/>
        </w:rPr>
        <w:footnoteReference w:id="53"/>
      </w:r>
      <w:r w:rsidR="00340695">
        <w:t xml:space="preserve"> </w:t>
      </w:r>
      <w:r w:rsidR="00A202E5">
        <w:t xml:space="preserve">licensees </w:t>
      </w:r>
      <w:r w:rsidR="0059154D">
        <w:t xml:space="preserve">should </w:t>
      </w:r>
      <w:r w:rsidR="006C7099">
        <w:t xml:space="preserve">timely </w:t>
      </w:r>
      <w:r w:rsidR="0059154D">
        <w:t xml:space="preserve">label </w:t>
      </w:r>
      <w:r w:rsidR="006C7099">
        <w:t xml:space="preserve">expired </w:t>
      </w:r>
      <w:r w:rsidR="0059154D">
        <w:t>contest terms to make clear that a contest has ended</w:t>
      </w:r>
      <w:r w:rsidR="00D7574F">
        <w:t>, including the date that a winner was selected</w:t>
      </w:r>
      <w:r w:rsidR="0059154D">
        <w:t>.</w:t>
      </w:r>
      <w:r w:rsidR="00D7574F">
        <w:rPr>
          <w:rStyle w:val="FootnoteReference"/>
        </w:rPr>
        <w:footnoteReference w:id="54"/>
      </w:r>
    </w:p>
    <w:p w14:paraId="55B674D4" w14:textId="26F92B24" w:rsidR="00622A1C" w:rsidRDefault="00750663" w:rsidP="00D537A7">
      <w:pPr>
        <w:pStyle w:val="ParaNum"/>
      </w:pPr>
      <w:r w:rsidRPr="007D71E9">
        <w:rPr>
          <w:i/>
        </w:rPr>
        <w:t xml:space="preserve">Changes to </w:t>
      </w:r>
      <w:r w:rsidR="00D25694">
        <w:rPr>
          <w:i/>
        </w:rPr>
        <w:t xml:space="preserve">Material </w:t>
      </w:r>
      <w:r w:rsidRPr="007D71E9">
        <w:rPr>
          <w:i/>
        </w:rPr>
        <w:t>Contest Terms</w:t>
      </w:r>
      <w:r>
        <w:t>.</w:t>
      </w:r>
      <w:r w:rsidR="00033288">
        <w:t xml:space="preserve">  </w:t>
      </w:r>
      <w:r w:rsidR="00A944D6" w:rsidRPr="00054437">
        <w:rPr>
          <w:color w:val="000000"/>
          <w:szCs w:val="22"/>
        </w:rPr>
        <w:t xml:space="preserve">The Contest Rule </w:t>
      </w:r>
      <w:r w:rsidR="009229C9">
        <w:rPr>
          <w:color w:val="000000"/>
          <w:szCs w:val="22"/>
        </w:rPr>
        <w:t>prohibit</w:t>
      </w:r>
      <w:r w:rsidR="003A1B8F">
        <w:rPr>
          <w:color w:val="000000"/>
          <w:szCs w:val="22"/>
        </w:rPr>
        <w:t>s</w:t>
      </w:r>
      <w:r w:rsidR="009229C9">
        <w:rPr>
          <w:color w:val="000000"/>
          <w:szCs w:val="22"/>
        </w:rPr>
        <w:t xml:space="preserve"> false, misleading or deceptive contest descriptions and </w:t>
      </w:r>
      <w:r w:rsidR="00A944D6" w:rsidRPr="00054437">
        <w:rPr>
          <w:color w:val="000000"/>
          <w:szCs w:val="22"/>
        </w:rPr>
        <w:t>require</w:t>
      </w:r>
      <w:r w:rsidR="003A1B8F">
        <w:rPr>
          <w:color w:val="000000"/>
          <w:szCs w:val="22"/>
        </w:rPr>
        <w:t>s</w:t>
      </w:r>
      <w:r w:rsidR="00A944D6" w:rsidRPr="00054437">
        <w:rPr>
          <w:color w:val="000000"/>
          <w:szCs w:val="22"/>
        </w:rPr>
        <w:t xml:space="preserve"> broadcasters to conduct their contests substantially as announced</w:t>
      </w:r>
      <w:r w:rsidR="003A1B8F">
        <w:rPr>
          <w:color w:val="000000"/>
          <w:szCs w:val="22"/>
        </w:rPr>
        <w:t>.</w:t>
      </w:r>
      <w:r w:rsidR="007A3103">
        <w:rPr>
          <w:rStyle w:val="FootnoteReference"/>
          <w:szCs w:val="22"/>
        </w:rPr>
        <w:footnoteReference w:id="55"/>
      </w:r>
      <w:r w:rsidR="003A1B8F">
        <w:rPr>
          <w:color w:val="000000"/>
          <w:szCs w:val="22"/>
        </w:rPr>
        <w:t xml:space="preserve">  Accordingly</w:t>
      </w:r>
      <w:r w:rsidR="00A944D6" w:rsidRPr="00054437">
        <w:rPr>
          <w:color w:val="000000"/>
          <w:szCs w:val="22"/>
        </w:rPr>
        <w:t>, we do not expect broadcasters to regularly change the material terms of a contest after the contest has commenced.  Nevertheless, we recognize that, on rare occasions, limited changes to a contest’s terms may be necessary to address changes in circumstances beyond the anticipation or control of the broadcaster.</w:t>
      </w:r>
      <w:r w:rsidR="00A944D6" w:rsidRPr="00054437">
        <w:rPr>
          <w:szCs w:val="22"/>
        </w:rPr>
        <w:t xml:space="preserve">  We therefore adopt our proposal</w:t>
      </w:r>
      <w:r w:rsidR="00A944D6">
        <w:rPr>
          <w:szCs w:val="22"/>
        </w:rPr>
        <w:t xml:space="preserve"> </w:t>
      </w:r>
      <w:r w:rsidR="00622A1C">
        <w:t xml:space="preserve">to require that, in cases where a licensee chooses to satisfy its disclosure obligation through the Internet, if the material terms of a contest </w:t>
      </w:r>
      <w:r w:rsidR="004C5EDB">
        <w:t xml:space="preserve">are </w:t>
      </w:r>
      <w:r w:rsidR="00622A1C">
        <w:t>change</w:t>
      </w:r>
      <w:r w:rsidR="004C5EDB">
        <w:t>d</w:t>
      </w:r>
      <w:r w:rsidR="00622A1C">
        <w:t xml:space="preserve"> after the contest is first announced, the licensee must announce on air that the contest rules have </w:t>
      </w:r>
      <w:r w:rsidR="004C5EDB">
        <w:t xml:space="preserve">been </w:t>
      </w:r>
      <w:r w:rsidR="00622A1C">
        <w:t>changed and direct participants to the website to review the changes.</w:t>
      </w:r>
      <w:r w:rsidR="00A303CF">
        <w:rPr>
          <w:rStyle w:val="FootnoteReference"/>
        </w:rPr>
        <w:footnoteReference w:id="56"/>
      </w:r>
      <w:r w:rsidR="00AF2E69">
        <w:t xml:space="preserve">  </w:t>
      </w:r>
      <w:r w:rsidR="00222805">
        <w:t xml:space="preserve">With the exception of NPR, commenters support </w:t>
      </w:r>
      <w:r w:rsidR="00B34715">
        <w:t xml:space="preserve">this </w:t>
      </w:r>
      <w:r w:rsidR="004619AD">
        <w:t>proposal</w:t>
      </w:r>
      <w:r w:rsidR="004619AD" w:rsidRPr="00F40B05">
        <w:rPr>
          <w:i/>
        </w:rPr>
        <w:t>.</w:t>
      </w:r>
      <w:r w:rsidR="00222805">
        <w:rPr>
          <w:rStyle w:val="FootnoteReference"/>
        </w:rPr>
        <w:footnoteReference w:id="57"/>
      </w:r>
      <w:r w:rsidR="00222805" w:rsidRPr="00F40B05">
        <w:rPr>
          <w:i/>
        </w:rPr>
        <w:t xml:space="preserve"> </w:t>
      </w:r>
      <w:r w:rsidR="004619AD" w:rsidRPr="00F40B05">
        <w:rPr>
          <w:i/>
        </w:rPr>
        <w:t xml:space="preserve"> </w:t>
      </w:r>
      <w:r w:rsidR="00EA745B">
        <w:t>As suggested by some parties, w</w:t>
      </w:r>
      <w:r w:rsidR="00033288">
        <w:t xml:space="preserve">e require licensees </w:t>
      </w:r>
      <w:r w:rsidR="00DA339C">
        <w:t xml:space="preserve">to </w:t>
      </w:r>
      <w:r w:rsidR="00033288">
        <w:t xml:space="preserve">make such announcements </w:t>
      </w:r>
      <w:r w:rsidR="00D17425">
        <w:t xml:space="preserve">on air </w:t>
      </w:r>
      <w:r w:rsidR="00033288">
        <w:t>within 24 hours o</w:t>
      </w:r>
      <w:r w:rsidR="00222805">
        <w:t>f the change</w:t>
      </w:r>
      <w:r w:rsidR="00241603">
        <w:t xml:space="preserve"> in material terms</w:t>
      </w:r>
      <w:r w:rsidR="00904317">
        <w:t xml:space="preserve"> on the website</w:t>
      </w:r>
      <w:r w:rsidR="00146F4B">
        <w:t>,</w:t>
      </w:r>
      <w:r w:rsidR="00EA745B">
        <w:rPr>
          <w:rStyle w:val="FootnoteReference"/>
        </w:rPr>
        <w:footnoteReference w:id="58"/>
      </w:r>
      <w:r w:rsidR="00033288">
        <w:t xml:space="preserve"> and periodically thereafter, until the contest has concluded.</w:t>
      </w:r>
      <w:r w:rsidR="003849CF">
        <w:rPr>
          <w:rStyle w:val="FootnoteReference"/>
        </w:rPr>
        <w:footnoteReference w:id="59"/>
      </w:r>
      <w:r w:rsidR="00EA745B">
        <w:t xml:space="preserve">  </w:t>
      </w:r>
      <w:r w:rsidR="00A53A83">
        <w:t>We are not persuaded by NPR’</w:t>
      </w:r>
      <w:r w:rsidR="00663BF1">
        <w:t xml:space="preserve">s </w:t>
      </w:r>
      <w:r w:rsidR="00A303CF">
        <w:t xml:space="preserve">speculative </w:t>
      </w:r>
      <w:r w:rsidR="00663BF1">
        <w:t xml:space="preserve">assertion that </w:t>
      </w:r>
      <w:r w:rsidR="00A53A83">
        <w:t>requir</w:t>
      </w:r>
      <w:r w:rsidR="00663BF1">
        <w:t>ing</w:t>
      </w:r>
      <w:r w:rsidR="00A53A83">
        <w:t xml:space="preserve"> broadcasters to announce changes to </w:t>
      </w:r>
      <w:r w:rsidR="00241603">
        <w:t xml:space="preserve">material </w:t>
      </w:r>
      <w:r w:rsidR="00A53A83">
        <w:t>contest terms over the air could lead to public confusion about whe</w:t>
      </w:r>
      <w:r w:rsidR="00B101EB">
        <w:t>ther contest terms posted on a</w:t>
      </w:r>
      <w:r w:rsidR="00A53A83">
        <w:t xml:space="preserve"> website are accurate.</w:t>
      </w:r>
      <w:r w:rsidR="00A53A83">
        <w:rPr>
          <w:rStyle w:val="FootnoteReference"/>
        </w:rPr>
        <w:footnoteReference w:id="60"/>
      </w:r>
      <w:r w:rsidR="00663BF1">
        <w:t xml:space="preserve">  </w:t>
      </w:r>
      <w:r w:rsidR="004A16B6">
        <w:t>W</w:t>
      </w:r>
      <w:r w:rsidR="00F100D5">
        <w:t>e believe that stations can</w:t>
      </w:r>
      <w:r w:rsidR="00D17425">
        <w:t xml:space="preserve"> </w:t>
      </w:r>
      <w:r w:rsidR="00C12F54">
        <w:t xml:space="preserve">address </w:t>
      </w:r>
      <w:r w:rsidR="00D17425">
        <w:t xml:space="preserve">this </w:t>
      </w:r>
      <w:r w:rsidR="00C12F54">
        <w:t>concern</w:t>
      </w:r>
      <w:r w:rsidR="00F100D5">
        <w:t xml:space="preserve"> by labeling contest terms with information </w:t>
      </w:r>
      <w:r w:rsidR="00C12F54">
        <w:t xml:space="preserve">that indicates, for example, the date that the terms were last updated.  </w:t>
      </w:r>
      <w:r w:rsidR="004D7964">
        <w:t>W</w:t>
      </w:r>
      <w:r w:rsidR="00663BF1">
        <w:t xml:space="preserve">e </w:t>
      </w:r>
      <w:r w:rsidR="00B101EB">
        <w:t>believe</w:t>
      </w:r>
      <w:r w:rsidR="00663BF1">
        <w:t xml:space="preserve"> that </w:t>
      </w:r>
      <w:r w:rsidR="009F5ECD">
        <w:t>requiring on</w:t>
      </w:r>
      <w:r w:rsidR="00B5387D">
        <w:t>-</w:t>
      </w:r>
      <w:r w:rsidR="009F5ECD">
        <w:t xml:space="preserve">air announcements of changes in </w:t>
      </w:r>
      <w:r w:rsidR="00241603">
        <w:t xml:space="preserve">material </w:t>
      </w:r>
      <w:r w:rsidR="009F5ECD">
        <w:t xml:space="preserve">contest terms </w:t>
      </w:r>
      <w:r w:rsidR="00663BF1">
        <w:t>is necess</w:t>
      </w:r>
      <w:r w:rsidR="00A04C9C">
        <w:t xml:space="preserve">ary to address the potential that </w:t>
      </w:r>
      <w:r w:rsidR="00B7060C">
        <w:t xml:space="preserve">some </w:t>
      </w:r>
      <w:r w:rsidR="00A04C9C">
        <w:t xml:space="preserve">broadcasters </w:t>
      </w:r>
      <w:r w:rsidR="00B7060C">
        <w:t xml:space="preserve">will </w:t>
      </w:r>
      <w:r w:rsidR="00A04C9C">
        <w:t xml:space="preserve">use their ability to disclose terms online as a means of changing contest </w:t>
      </w:r>
      <w:r w:rsidR="00B7060C">
        <w:t>rules</w:t>
      </w:r>
      <w:r w:rsidR="00A04C9C">
        <w:t xml:space="preserve"> in a way that </w:t>
      </w:r>
      <w:r w:rsidR="00B7060C">
        <w:t xml:space="preserve">is misleading or </w:t>
      </w:r>
      <w:r w:rsidR="00A04C9C">
        <w:t>dece</w:t>
      </w:r>
      <w:r w:rsidR="00B7060C">
        <w:t>ptive to</w:t>
      </w:r>
      <w:r w:rsidR="00A04C9C">
        <w:t xml:space="preserve"> the public.  </w:t>
      </w:r>
      <w:r w:rsidR="003A1B8F">
        <w:rPr>
          <w:color w:val="000000" w:themeColor="text1"/>
        </w:rPr>
        <w:t xml:space="preserve">We emphasize that </w:t>
      </w:r>
      <w:r w:rsidR="00FA3F76" w:rsidRPr="00D96803">
        <w:rPr>
          <w:color w:val="000000" w:themeColor="text1"/>
        </w:rPr>
        <w:t xml:space="preserve">a broadcaster that effectuates a change </w:t>
      </w:r>
      <w:r w:rsidR="009E0EEB">
        <w:rPr>
          <w:color w:val="000000" w:themeColor="text1"/>
        </w:rPr>
        <w:t xml:space="preserve">in terms </w:t>
      </w:r>
      <w:r w:rsidR="00FA3F76">
        <w:rPr>
          <w:color w:val="000000" w:themeColor="text1"/>
        </w:rPr>
        <w:t>that</w:t>
      </w:r>
      <w:r w:rsidR="00FA3F76" w:rsidRPr="00D96803">
        <w:rPr>
          <w:color w:val="000000" w:themeColor="text1"/>
        </w:rPr>
        <w:t xml:space="preserve"> unfairly or deceptively alters the operation of the contest</w:t>
      </w:r>
      <w:r w:rsidR="00FA3F76">
        <w:rPr>
          <w:color w:val="000000" w:themeColor="text1"/>
        </w:rPr>
        <w:t xml:space="preserve"> </w:t>
      </w:r>
      <w:r w:rsidR="00FA3F76" w:rsidRPr="00D96803">
        <w:rPr>
          <w:color w:val="000000" w:themeColor="text1"/>
        </w:rPr>
        <w:t>or the nature or value of the prize</w:t>
      </w:r>
      <w:r w:rsidR="00FA3F76">
        <w:rPr>
          <w:color w:val="000000" w:themeColor="text1"/>
        </w:rPr>
        <w:t xml:space="preserve"> or materially disadvantages existing contestants</w:t>
      </w:r>
      <w:r w:rsidR="00FA3F76" w:rsidRPr="00D96803">
        <w:rPr>
          <w:color w:val="000000" w:themeColor="text1"/>
        </w:rPr>
        <w:t xml:space="preserve"> will be deemed to have</w:t>
      </w:r>
      <w:r w:rsidR="00F26EB5">
        <w:rPr>
          <w:color w:val="000000" w:themeColor="text1"/>
        </w:rPr>
        <w:t xml:space="preserve"> rendered prior descriptions false, misleading, and deceptive</w:t>
      </w:r>
      <w:r w:rsidR="00FA3F76" w:rsidRPr="00D96803">
        <w:rPr>
          <w:color w:val="000000" w:themeColor="text1"/>
        </w:rPr>
        <w:t xml:space="preserve"> and, thus, would</w:t>
      </w:r>
      <w:r w:rsidR="009229C9">
        <w:rPr>
          <w:color w:val="000000" w:themeColor="text1"/>
        </w:rPr>
        <w:t xml:space="preserve"> violate the Contest R</w:t>
      </w:r>
      <w:r w:rsidR="00FA3F76" w:rsidRPr="00D96803">
        <w:rPr>
          <w:color w:val="000000" w:themeColor="text1"/>
        </w:rPr>
        <w:t>ule</w:t>
      </w:r>
      <w:r w:rsidR="00595434">
        <w:rPr>
          <w:color w:val="000000" w:themeColor="text1"/>
        </w:rPr>
        <w:t>, regardless of whether such alterations are announced on air or posted to a website</w:t>
      </w:r>
      <w:r w:rsidR="00FA3F76" w:rsidRPr="00D96803">
        <w:rPr>
          <w:color w:val="000000" w:themeColor="text1"/>
        </w:rPr>
        <w:t>.</w:t>
      </w:r>
      <w:r w:rsidR="007A3103">
        <w:rPr>
          <w:rStyle w:val="FootnoteReference"/>
        </w:rPr>
        <w:footnoteReference w:id="61"/>
      </w:r>
      <w:r w:rsidR="00FA3F76" w:rsidRPr="00D96803">
        <w:rPr>
          <w:color w:val="000000" w:themeColor="text1"/>
        </w:rPr>
        <w:t> </w:t>
      </w:r>
      <w:r w:rsidR="00663BF1">
        <w:t xml:space="preserve"> </w:t>
      </w:r>
      <w:r w:rsidR="009C1B2C">
        <w:t xml:space="preserve"> </w:t>
      </w:r>
    </w:p>
    <w:p w14:paraId="388D2B2A" w14:textId="7CC8C19F" w:rsidR="008C7F78" w:rsidRDefault="00622A1C" w:rsidP="00D537A7">
      <w:pPr>
        <w:pStyle w:val="ParaNum"/>
      </w:pPr>
      <w:r w:rsidRPr="007D71E9">
        <w:rPr>
          <w:i/>
        </w:rPr>
        <w:t>Consistency of Contest Terms</w:t>
      </w:r>
      <w:r>
        <w:t xml:space="preserve">.  We adopt our proposal in the </w:t>
      </w:r>
      <w:r>
        <w:rPr>
          <w:i/>
        </w:rPr>
        <w:t xml:space="preserve">NPRM </w:t>
      </w:r>
      <w:r>
        <w:t xml:space="preserve">to require that </w:t>
      </w:r>
      <w:r w:rsidRPr="000D60D7">
        <w:t xml:space="preserve">any material </w:t>
      </w:r>
      <w:r>
        <w:t xml:space="preserve">contest </w:t>
      </w:r>
      <w:r w:rsidRPr="000D60D7">
        <w:t xml:space="preserve">terms </w:t>
      </w:r>
      <w:r>
        <w:t>disclosed on an Internet website conform in all substantive respects to contest terms broadcast over the air.</w:t>
      </w:r>
      <w:r w:rsidRPr="000D60D7">
        <w:rPr>
          <w:vertAlign w:val="superscript"/>
        </w:rPr>
        <w:footnoteReference w:id="62"/>
      </w:r>
      <w:r>
        <w:t xml:space="preserve">  Although no commenter specifically addressed this proposal, we conclude that amending the Contest Rule to include such a requirement serves the public interest by ensuring that contest information made available by broadcasters in written and oral form is consistent.  We note that the Contest Rule currently requires licensees, among other things, to disclose material contest terms “fully and accurately” and to conduct contests “substantially as announced or advertised.”</w:t>
      </w:r>
      <w:r>
        <w:rPr>
          <w:rStyle w:val="FootnoteReference"/>
        </w:rPr>
        <w:footnoteReference w:id="63"/>
      </w:r>
      <w:r>
        <w:t xml:space="preserve">  The Contest Rule directs further that “[n]o contest description shall be false, misleading or deceptive with respect to any material term.”</w:t>
      </w:r>
      <w:r>
        <w:rPr>
          <w:rStyle w:val="FootnoteReference"/>
        </w:rPr>
        <w:footnoteReference w:id="64"/>
      </w:r>
      <w:r>
        <w:t xml:space="preserve">  We believe that prohibiting </w:t>
      </w:r>
      <w:r w:rsidRPr="000C4C17">
        <w:t>broadcaster</w:t>
      </w:r>
      <w:r>
        <w:t>s</w:t>
      </w:r>
      <w:r w:rsidRPr="000C4C17">
        <w:t xml:space="preserve"> </w:t>
      </w:r>
      <w:r>
        <w:t xml:space="preserve">from </w:t>
      </w:r>
      <w:r w:rsidRPr="000C4C17">
        <w:t>disclos</w:t>
      </w:r>
      <w:r>
        <w:t>ing</w:t>
      </w:r>
      <w:r w:rsidRPr="000C4C17">
        <w:t xml:space="preserve"> material contest terms on an Internet website that differ in any substantive respect from contest information broadcast over the air </w:t>
      </w:r>
      <w:r>
        <w:t>is harmonious with broadcasters’ existing obligations under the Contest Rule.  In particular, we find that a licensee’s failure to disseminate consistent information about a contest it conducts constitutes a violation of the requirements noted above to disclose material contest terms accurately, to conduct contests substantially as announced or advertised, and to provide contest descriptions that are not false, misleading</w:t>
      </w:r>
      <w:r w:rsidR="003069F6">
        <w:t>,</w:t>
      </w:r>
      <w:r>
        <w:t xml:space="preserve"> or deceptive.</w:t>
      </w:r>
      <w:r w:rsidR="00082913">
        <w:rPr>
          <w:rStyle w:val="FootnoteReference"/>
        </w:rPr>
        <w:footnoteReference w:id="65"/>
      </w:r>
      <w:r>
        <w:t xml:space="preserve">  To the extent </w:t>
      </w:r>
      <w:r w:rsidR="003069F6">
        <w:t xml:space="preserve">that </w:t>
      </w:r>
      <w:r>
        <w:t xml:space="preserve">there are any ambiguities in contest disclosures that </w:t>
      </w:r>
      <w:r w:rsidR="003069F6">
        <w:t xml:space="preserve">generate </w:t>
      </w:r>
      <w:r>
        <w:t>inconsisten</w:t>
      </w:r>
      <w:r w:rsidR="003069F6">
        <w:t>cy</w:t>
      </w:r>
      <w:r>
        <w:t>, we place broadcasters on notice that the Commission will construe such ambiguities against the licensee.  We believe that this approach will benefit broadcast audiences by facilitating clarity and consistency in contest disclosures.</w:t>
      </w:r>
      <w:r w:rsidR="009C1B2C">
        <w:t xml:space="preserve"> </w:t>
      </w:r>
      <w:r w:rsidR="00B5369C">
        <w:t xml:space="preserve">  </w:t>
      </w:r>
    </w:p>
    <w:p w14:paraId="1ABDAF02" w14:textId="77777777" w:rsidR="0047056F" w:rsidRDefault="0047056F" w:rsidP="0047056F">
      <w:pPr>
        <w:pStyle w:val="Heading1"/>
      </w:pPr>
      <w:bookmarkStart w:id="19" w:name="_Toc394659873"/>
      <w:bookmarkStart w:id="20" w:name="_Toc394663451"/>
      <w:bookmarkStart w:id="21" w:name="_Toc401909708"/>
      <w:bookmarkStart w:id="22" w:name="_Toc402428417"/>
      <w:bookmarkStart w:id="23" w:name="_Toc403718714"/>
      <w:r>
        <w:t>Procedural matters</w:t>
      </w:r>
      <w:bookmarkEnd w:id="19"/>
      <w:bookmarkEnd w:id="20"/>
      <w:bookmarkEnd w:id="21"/>
      <w:bookmarkEnd w:id="22"/>
      <w:bookmarkEnd w:id="23"/>
    </w:p>
    <w:p w14:paraId="79EF991E" w14:textId="77777777" w:rsidR="0047056F" w:rsidRDefault="0047056F" w:rsidP="00AC6F02">
      <w:pPr>
        <w:pStyle w:val="Heading2"/>
      </w:pPr>
      <w:bookmarkStart w:id="24" w:name="_Toc394659874"/>
      <w:bookmarkStart w:id="25" w:name="_Toc394663452"/>
      <w:bookmarkStart w:id="26" w:name="_Toc401909709"/>
      <w:bookmarkStart w:id="27" w:name="_Toc402428418"/>
      <w:bookmarkStart w:id="28" w:name="_Toc403718715"/>
      <w:r>
        <w:t>Regulatory Flexibility Act</w:t>
      </w:r>
      <w:bookmarkEnd w:id="24"/>
      <w:bookmarkEnd w:id="25"/>
      <w:bookmarkEnd w:id="26"/>
      <w:bookmarkEnd w:id="27"/>
      <w:bookmarkEnd w:id="28"/>
    </w:p>
    <w:p w14:paraId="77D21958" w14:textId="77777777" w:rsidR="00734C80" w:rsidRDefault="00734C80" w:rsidP="00D537A7">
      <w:pPr>
        <w:pStyle w:val="ParaNum"/>
      </w:pPr>
      <w:r>
        <w:rPr>
          <w:i/>
        </w:rPr>
        <w:t>Final Regulatory Flexibility Act Analysis.</w:t>
      </w:r>
      <w:r>
        <w:t xml:space="preserve">  As required by the Regulatory Flexibility Act of 1980, as amended (“RFA”),</w:t>
      </w:r>
      <w:r>
        <w:rPr>
          <w:rStyle w:val="FootnoteReference"/>
          <w:color w:val="000000"/>
        </w:rPr>
        <w:footnoteReference w:id="66"/>
      </w:r>
      <w:r>
        <w:t xml:space="preserve"> the Commission has prepared a Final Regulatory Flexibility Act Analysis (“FRFA”) relating to this </w:t>
      </w:r>
      <w:r>
        <w:rPr>
          <w:i/>
        </w:rPr>
        <w:t>Report and Order</w:t>
      </w:r>
      <w:r>
        <w:t xml:space="preserve"> in MB Docket No. 14-226</w:t>
      </w:r>
      <w:r>
        <w:rPr>
          <w:i/>
        </w:rPr>
        <w:t xml:space="preserve">.  </w:t>
      </w:r>
      <w:r>
        <w:t>The FRFA is set forth in Appendix C.</w:t>
      </w:r>
    </w:p>
    <w:p w14:paraId="52233223" w14:textId="77777777" w:rsidR="0047056F" w:rsidRDefault="0047056F" w:rsidP="00AC6F02">
      <w:pPr>
        <w:pStyle w:val="Heading2"/>
      </w:pPr>
      <w:bookmarkStart w:id="29" w:name="_Toc394659875"/>
      <w:bookmarkStart w:id="30" w:name="_Toc394663453"/>
      <w:bookmarkStart w:id="31" w:name="_Toc401909710"/>
      <w:bookmarkStart w:id="32" w:name="_Toc402428419"/>
      <w:bookmarkStart w:id="33" w:name="_Toc403718716"/>
      <w:r>
        <w:t>Paperwork Reduction Act</w:t>
      </w:r>
      <w:bookmarkEnd w:id="29"/>
      <w:bookmarkEnd w:id="30"/>
      <w:bookmarkEnd w:id="31"/>
      <w:bookmarkEnd w:id="32"/>
      <w:bookmarkEnd w:id="33"/>
    </w:p>
    <w:p w14:paraId="2B475B95" w14:textId="77777777" w:rsidR="0047056F" w:rsidRDefault="00FB7694" w:rsidP="00D537A7">
      <w:pPr>
        <w:pStyle w:val="ParaNum"/>
      </w:pPr>
      <w:r>
        <w:t xml:space="preserve">This </w:t>
      </w:r>
      <w:r>
        <w:rPr>
          <w:i/>
        </w:rPr>
        <w:t xml:space="preserve">Report and Order </w:t>
      </w:r>
      <w:r>
        <w:t xml:space="preserve">contains </w:t>
      </w:r>
      <w:r w:rsidRPr="005A1520">
        <w:t>new or modified</w:t>
      </w:r>
      <w:r>
        <w:t xml:space="preserve"> information collection requirements subject to the Paperwork Reduction Act of 1995 (PRA).</w:t>
      </w:r>
      <w:r w:rsidRPr="00D3255B">
        <w:rPr>
          <w:rStyle w:val="FootnoteReference"/>
        </w:rPr>
        <w:footnoteReference w:id="67"/>
      </w:r>
      <w:r>
        <w:t xml:space="preserve">  The requirements </w:t>
      </w:r>
      <w:r w:rsidRPr="00FB7694">
        <w:t>will be</w:t>
      </w:r>
      <w:r>
        <w:t xml:space="preserve"> submitted to the Office of Management and Budget (OMB) for review under Section 3507(d) of the PRA. </w:t>
      </w:r>
      <w:r w:rsidR="009369C0">
        <w:t xml:space="preserve"> </w:t>
      </w:r>
      <w:r>
        <w:t xml:space="preserve">OMB, the general public, and other Federal agencies </w:t>
      </w:r>
      <w:r w:rsidR="009369C0">
        <w:t>will be</w:t>
      </w:r>
      <w:r>
        <w:t xml:space="preserve"> invited to comment on the </w:t>
      </w:r>
      <w:r w:rsidRPr="005A1520">
        <w:t>new or modified</w:t>
      </w:r>
      <w:r>
        <w:t xml:space="preserve"> information collection requirements contained in this proceeding. </w:t>
      </w:r>
      <w:r w:rsidR="00401229">
        <w:t xml:space="preserve"> </w:t>
      </w:r>
      <w:r>
        <w:t>In addition, we note that pursuant to the Small Business Paperwork Relief Act of 2002,</w:t>
      </w:r>
      <w:r w:rsidR="00401229">
        <w:rPr>
          <w:rStyle w:val="FootnoteReference"/>
        </w:rPr>
        <w:footnoteReference w:id="68"/>
      </w:r>
      <w:r w:rsidR="00401229">
        <w:t xml:space="preserve"> </w:t>
      </w:r>
      <w:r>
        <w:t xml:space="preserve">we </w:t>
      </w:r>
      <w:r w:rsidR="00A303CF">
        <w:t xml:space="preserve">previously sought </w:t>
      </w:r>
      <w:r w:rsidR="00401229">
        <w:t xml:space="preserve">specific </w:t>
      </w:r>
      <w:r>
        <w:t>comment on how the Commission might further reduce the information collection burden for small business concerns with fewer than 25 employees.</w:t>
      </w:r>
    </w:p>
    <w:p w14:paraId="6B912810" w14:textId="77777777" w:rsidR="00DD5785" w:rsidRPr="00DD5785" w:rsidRDefault="00DD5785" w:rsidP="00AC6F02">
      <w:pPr>
        <w:pStyle w:val="Heading2"/>
      </w:pPr>
      <w:r w:rsidRPr="00DD5785">
        <w:t>Congressional Review Act</w:t>
      </w:r>
    </w:p>
    <w:p w14:paraId="3ABACBD9" w14:textId="77777777" w:rsidR="00577B52" w:rsidRPr="00577B52" w:rsidRDefault="00DD5785" w:rsidP="00D537A7">
      <w:pPr>
        <w:pStyle w:val="ParaNum"/>
      </w:pPr>
      <w:r w:rsidRPr="00DD5785">
        <w:t>The Commi</w:t>
      </w:r>
      <w:r>
        <w:t xml:space="preserve">ssion will send a copy of this </w:t>
      </w:r>
      <w:r w:rsidRPr="00DD5785">
        <w:rPr>
          <w:i/>
        </w:rPr>
        <w:t>Report and Order</w:t>
      </w:r>
      <w:r w:rsidRPr="00DD5785">
        <w:t xml:space="preserve"> to Congress and the Government Accountability Office pursuant to the Congressional Review Act, </w:t>
      </w:r>
      <w:r w:rsidRPr="00DD5785">
        <w:rPr>
          <w:i/>
        </w:rPr>
        <w:t>see</w:t>
      </w:r>
      <w:r w:rsidRPr="00DD5785">
        <w:t xml:space="preserve"> 5 U.S.C. </w:t>
      </w:r>
      <w:r>
        <w:t xml:space="preserve">§ </w:t>
      </w:r>
      <w:r w:rsidRPr="00DD5785">
        <w:t>801(a)(1)(A).</w:t>
      </w:r>
    </w:p>
    <w:p w14:paraId="2B2B1C2D" w14:textId="2AF80685" w:rsidR="00577B52" w:rsidRDefault="00577B52" w:rsidP="00D537A7">
      <w:pPr>
        <w:pStyle w:val="ParaNum"/>
      </w:pPr>
      <w:r w:rsidRPr="004C6E19">
        <w:rPr>
          <w:u w:val="single"/>
        </w:rPr>
        <w:t>Additional</w:t>
      </w:r>
      <w:r w:rsidRPr="00577B52">
        <w:rPr>
          <w:u w:val="single"/>
        </w:rPr>
        <w:t xml:space="preserve"> Information</w:t>
      </w:r>
      <w:r w:rsidRPr="00577B52">
        <w:t xml:space="preserve">.  For additional information on this proceeding, contact </w:t>
      </w:r>
      <w:r w:rsidR="00F8440F">
        <w:t>Raelynn Remy</w:t>
      </w:r>
      <w:r w:rsidR="00984D84">
        <w:t xml:space="preserve"> </w:t>
      </w:r>
      <w:r w:rsidR="000655A9">
        <w:t xml:space="preserve">or Raphael Sznajder </w:t>
      </w:r>
      <w:r w:rsidRPr="00577B52">
        <w:t>of the Media Bureau</w:t>
      </w:r>
      <w:r w:rsidR="00F8440F">
        <w:t xml:space="preserve"> </w:t>
      </w:r>
      <w:r w:rsidR="00984D84">
        <w:t xml:space="preserve">at </w:t>
      </w:r>
      <w:r w:rsidR="00F8440F">
        <w:t>(202) 418-2</w:t>
      </w:r>
      <w:r w:rsidR="000655A9">
        <w:t>120</w:t>
      </w:r>
      <w:r w:rsidR="00984D84">
        <w:t xml:space="preserve"> or </w:t>
      </w:r>
      <w:hyperlink r:id="rId8" w:history="1">
        <w:r w:rsidR="00984D84" w:rsidRPr="00377427">
          <w:rPr>
            <w:rStyle w:val="Hyperlink"/>
          </w:rPr>
          <w:t>Raelynn.Remy@fcc.gov</w:t>
        </w:r>
      </w:hyperlink>
      <w:r w:rsidR="000655A9">
        <w:t>; Raphael.Sznajder@fcc.gov.</w:t>
      </w:r>
    </w:p>
    <w:p w14:paraId="2FE4A3BE" w14:textId="77777777" w:rsidR="00577B52" w:rsidRDefault="00577B52" w:rsidP="00577B52">
      <w:pPr>
        <w:pStyle w:val="Heading1"/>
      </w:pPr>
      <w:bookmarkStart w:id="34" w:name="_Toc394659878"/>
      <w:bookmarkStart w:id="35" w:name="_Toc394663456"/>
      <w:bookmarkStart w:id="36" w:name="_Toc401909713"/>
      <w:bookmarkStart w:id="37" w:name="_Toc402428422"/>
      <w:bookmarkStart w:id="38" w:name="_Toc403718719"/>
      <w:r>
        <w:t>ordering clauses</w:t>
      </w:r>
      <w:bookmarkEnd w:id="34"/>
      <w:bookmarkEnd w:id="35"/>
      <w:bookmarkEnd w:id="36"/>
      <w:bookmarkEnd w:id="37"/>
      <w:bookmarkEnd w:id="38"/>
    </w:p>
    <w:p w14:paraId="716A8F1B" w14:textId="77114E62" w:rsidR="00577B52" w:rsidRDefault="00577B52" w:rsidP="00D537A7">
      <w:pPr>
        <w:pStyle w:val="ParaNum"/>
      </w:pPr>
      <w:r>
        <w:t xml:space="preserve">Accordingly, </w:t>
      </w:r>
      <w:r w:rsidRPr="004E5347">
        <w:rPr>
          <w:b/>
        </w:rPr>
        <w:t>IT IS ORDERED</w:t>
      </w:r>
      <w:r>
        <w:t xml:space="preserve"> that</w:t>
      </w:r>
      <w:r w:rsidR="004E5347">
        <w:t>,</w:t>
      </w:r>
      <w:r>
        <w:t xml:space="preserve"> pursuant to the authority contained in Sections </w:t>
      </w:r>
      <w:r w:rsidR="00C34278">
        <w:t>4(i), 4(j) and</w:t>
      </w:r>
      <w:r w:rsidRPr="00274860">
        <w:t xml:space="preserve"> 303 of the Communications Act of 1934, as amended, 47 U.S.C. §§ 154(i), 154(j), </w:t>
      </w:r>
      <w:r>
        <w:t>and 303</w:t>
      </w:r>
      <w:r w:rsidRPr="00274860">
        <w:t>, th</w:t>
      </w:r>
      <w:r w:rsidR="004E5347">
        <w:t xml:space="preserve">is </w:t>
      </w:r>
      <w:r w:rsidR="004E5347">
        <w:rPr>
          <w:i/>
        </w:rPr>
        <w:t>Report and Order</w:t>
      </w:r>
      <w:r w:rsidRPr="00274860">
        <w:t xml:space="preserve"> </w:t>
      </w:r>
      <w:r w:rsidRPr="004E5347">
        <w:rPr>
          <w:b/>
        </w:rPr>
        <w:t>IS ADOPTED</w:t>
      </w:r>
      <w:r w:rsidR="004E5347">
        <w:t xml:space="preserve">, </w:t>
      </w:r>
      <w:r w:rsidR="002A5E91">
        <w:t xml:space="preserve">and </w:t>
      </w:r>
      <w:r w:rsidR="00441C13">
        <w:t>shall</w:t>
      </w:r>
      <w:r w:rsidR="005A1520">
        <w:t xml:space="preserve"> become effective upon announcement in the </w:t>
      </w:r>
      <w:r w:rsidR="005A1520">
        <w:rPr>
          <w:i/>
        </w:rPr>
        <w:t xml:space="preserve">Federal Register </w:t>
      </w:r>
      <w:r w:rsidR="005A1520">
        <w:t>of OMB approval and an effective date of the rules</w:t>
      </w:r>
      <w:r w:rsidR="002A5E91">
        <w:t xml:space="preserve"> adopted therein</w:t>
      </w:r>
      <w:r w:rsidR="005A1520">
        <w:t>.</w:t>
      </w:r>
    </w:p>
    <w:p w14:paraId="2000EBE8" w14:textId="77777777" w:rsidR="00627A2F" w:rsidRDefault="00627A2F" w:rsidP="00D537A7">
      <w:pPr>
        <w:pStyle w:val="ParaNum"/>
      </w:pPr>
      <w:r w:rsidRPr="00196FED">
        <w:rPr>
          <w:b/>
        </w:rPr>
        <w:t xml:space="preserve">IT IS </w:t>
      </w:r>
      <w:r w:rsidR="005A1520">
        <w:rPr>
          <w:b/>
        </w:rPr>
        <w:t xml:space="preserve">FURTHER </w:t>
      </w:r>
      <w:r w:rsidRPr="00196FED">
        <w:rPr>
          <w:b/>
        </w:rPr>
        <w:t xml:space="preserve">ORDERED </w:t>
      </w:r>
      <w:r>
        <w:t xml:space="preserve">that, pursuant to the authority found in Sections 4(i), 4(j) and 303 of the Communications Act of 1934, as amended, 47 U.S.C. §§ 154(i), 154(j), and 303, the Commission’s rules </w:t>
      </w:r>
      <w:r w:rsidRPr="00196FED">
        <w:rPr>
          <w:b/>
        </w:rPr>
        <w:t xml:space="preserve">ARE HEREBY AMENDED </w:t>
      </w:r>
      <w:r w:rsidR="003F452F">
        <w:t>as set forth in Appendix B</w:t>
      </w:r>
      <w:r>
        <w:t xml:space="preserve">.  </w:t>
      </w:r>
    </w:p>
    <w:p w14:paraId="5E66E8BD" w14:textId="77777777" w:rsidR="005A1520" w:rsidRDefault="005A1520" w:rsidP="00AC6F02">
      <w:pPr>
        <w:pStyle w:val="ParaNum"/>
        <w:widowControl/>
      </w:pPr>
      <w:r w:rsidRPr="004E5347">
        <w:rPr>
          <w:b/>
        </w:rPr>
        <w:t>IT IS FURTHER ORDERED</w:t>
      </w:r>
      <w:r w:rsidRPr="00577B52">
        <w:t xml:space="preserve"> that the Commission’s Consumer and Governmental Affairs Bureau, Reference Information Center, </w:t>
      </w:r>
      <w:r w:rsidRPr="00627A2F">
        <w:rPr>
          <w:b/>
        </w:rPr>
        <w:t>SHALL SEND</w:t>
      </w:r>
      <w:r w:rsidRPr="00577B52">
        <w:t xml:space="preserve"> a copy of this </w:t>
      </w:r>
      <w:r>
        <w:rPr>
          <w:i/>
        </w:rPr>
        <w:t>Report and Order</w:t>
      </w:r>
      <w:r w:rsidRPr="00577B52">
        <w:t xml:space="preserve">, </w:t>
      </w:r>
      <w:r>
        <w:t xml:space="preserve">including the Final </w:t>
      </w:r>
      <w:r w:rsidRPr="00577B52">
        <w:t xml:space="preserve">Regulatory Flexibility </w:t>
      </w:r>
      <w:r>
        <w:t xml:space="preserve">Act </w:t>
      </w:r>
      <w:r w:rsidRPr="00577B52">
        <w:t>Analysis, to the Chief Counsel for Advocacy of the Small Business Administration.</w:t>
      </w:r>
    </w:p>
    <w:p w14:paraId="02B27DAB" w14:textId="0D66EE81" w:rsidR="00627A2F" w:rsidRDefault="00627A2F" w:rsidP="00DF5C67">
      <w:pPr>
        <w:pStyle w:val="ParaNum"/>
      </w:pPr>
      <w:r w:rsidRPr="00DF5C67">
        <w:rPr>
          <w:b/>
        </w:rPr>
        <w:t xml:space="preserve">IT IS FURTHER ORDERED </w:t>
      </w:r>
      <w:r>
        <w:t xml:space="preserve">that the Commission </w:t>
      </w:r>
      <w:r w:rsidRPr="00DF5C67">
        <w:rPr>
          <w:b/>
        </w:rPr>
        <w:t xml:space="preserve">SHALL SEND </w:t>
      </w:r>
      <w:r>
        <w:t>a copy of this</w:t>
      </w:r>
      <w:r w:rsidRPr="00DF5C67">
        <w:rPr>
          <w:i/>
        </w:rPr>
        <w:t xml:space="preserve"> Report and Order </w:t>
      </w:r>
      <w:r>
        <w:t xml:space="preserve">in a report to be sent to Congress and the Government Accountability Office pursuant to the Congressional Review Act, </w:t>
      </w:r>
      <w:r w:rsidRPr="00DF5C67">
        <w:rPr>
          <w:i/>
        </w:rPr>
        <w:t xml:space="preserve">see </w:t>
      </w:r>
      <w:r>
        <w:t>5 U.S.C. § 801(a)(1)(A).</w:t>
      </w:r>
    </w:p>
    <w:p w14:paraId="47E1AAF4" w14:textId="77777777" w:rsidR="00577B52" w:rsidRDefault="00577B52" w:rsidP="00577B52">
      <w:pPr>
        <w:keepNext/>
        <w:keepLines/>
      </w:pPr>
    </w:p>
    <w:p w14:paraId="37682E0E" w14:textId="77777777" w:rsidR="00040D80" w:rsidRDefault="00577B52" w:rsidP="006E5552">
      <w:r>
        <w:tab/>
      </w:r>
      <w:r>
        <w:tab/>
      </w:r>
      <w:r>
        <w:tab/>
      </w:r>
      <w:r>
        <w:tab/>
      </w:r>
      <w:r>
        <w:tab/>
      </w:r>
      <w:r w:rsidR="00040D80">
        <w:tab/>
        <w:t>FEDERAL COMMUNICATIONS COMMISSION</w:t>
      </w:r>
    </w:p>
    <w:p w14:paraId="32BB99A4" w14:textId="77777777" w:rsidR="00040D80" w:rsidRDefault="00040D80" w:rsidP="006E5552"/>
    <w:p w14:paraId="6201F826" w14:textId="77777777" w:rsidR="00040D80" w:rsidRDefault="00040D80" w:rsidP="006E5552"/>
    <w:p w14:paraId="0099C644" w14:textId="77777777" w:rsidR="00040D80" w:rsidRDefault="00040D80" w:rsidP="006E5552"/>
    <w:p w14:paraId="2657C6DE" w14:textId="77777777" w:rsidR="00040D80" w:rsidRDefault="00040D80" w:rsidP="006E5552"/>
    <w:p w14:paraId="1074F3EA" w14:textId="77777777" w:rsidR="00040D80" w:rsidRDefault="00040D80" w:rsidP="006E5552">
      <w:r>
        <w:tab/>
      </w:r>
      <w:r>
        <w:tab/>
      </w:r>
      <w:r>
        <w:tab/>
      </w:r>
      <w:r>
        <w:tab/>
      </w:r>
      <w:r>
        <w:tab/>
      </w:r>
      <w:r>
        <w:tab/>
        <w:t>Marlene H. Dortch</w:t>
      </w:r>
    </w:p>
    <w:p w14:paraId="285D7624" w14:textId="54788FCC" w:rsidR="000D07F4" w:rsidRDefault="00040D80" w:rsidP="00B147B7">
      <w:r>
        <w:tab/>
      </w:r>
      <w:r>
        <w:tab/>
      </w:r>
      <w:r>
        <w:tab/>
      </w:r>
      <w:r>
        <w:tab/>
      </w:r>
      <w:r>
        <w:tab/>
      </w:r>
      <w:r>
        <w:tab/>
        <w:t>Secretary</w:t>
      </w:r>
      <w:r w:rsidR="000D07F4">
        <w:br w:type="page"/>
      </w:r>
    </w:p>
    <w:p w14:paraId="25B83408" w14:textId="222CB661" w:rsidR="000C0460" w:rsidRDefault="000C0460" w:rsidP="000D07F4">
      <w:pPr>
        <w:jc w:val="center"/>
        <w:rPr>
          <w:b/>
        </w:rPr>
      </w:pPr>
      <w:r>
        <w:rPr>
          <w:b/>
        </w:rPr>
        <w:t>APPENDIX A</w:t>
      </w:r>
    </w:p>
    <w:p w14:paraId="26B0DDDD" w14:textId="77777777" w:rsidR="000C0460" w:rsidRDefault="000C0460" w:rsidP="000C0460">
      <w:pPr>
        <w:jc w:val="center"/>
        <w:rPr>
          <w:b/>
        </w:rPr>
      </w:pPr>
    </w:p>
    <w:p w14:paraId="6A3C41A5" w14:textId="77777777" w:rsidR="000C0460" w:rsidRDefault="000C0460" w:rsidP="000C0460">
      <w:pPr>
        <w:jc w:val="center"/>
        <w:rPr>
          <w:b/>
        </w:rPr>
      </w:pPr>
      <w:r>
        <w:rPr>
          <w:b/>
        </w:rPr>
        <w:t xml:space="preserve">List of Commenters </w:t>
      </w:r>
    </w:p>
    <w:p w14:paraId="24AF5965" w14:textId="77777777" w:rsidR="000C0460" w:rsidRDefault="000C0460" w:rsidP="000C0460">
      <w:pPr>
        <w:rPr>
          <w:b/>
        </w:rPr>
      </w:pPr>
    </w:p>
    <w:p w14:paraId="7605343B" w14:textId="77777777" w:rsidR="000C0460" w:rsidRDefault="00C0478E" w:rsidP="000C0460">
      <w:pPr>
        <w:rPr>
          <w:b/>
        </w:rPr>
      </w:pPr>
      <w:r>
        <w:rPr>
          <w:b/>
        </w:rPr>
        <w:t xml:space="preserve">Comments </w:t>
      </w:r>
      <w:r w:rsidR="00196FED">
        <w:rPr>
          <w:b/>
        </w:rPr>
        <w:t>filed in MB</w:t>
      </w:r>
      <w:r w:rsidR="000C0460">
        <w:rPr>
          <w:b/>
        </w:rPr>
        <w:t xml:space="preserve"> Docket </w:t>
      </w:r>
      <w:r w:rsidR="00DD6AE2">
        <w:rPr>
          <w:b/>
        </w:rPr>
        <w:t xml:space="preserve">No. </w:t>
      </w:r>
      <w:r w:rsidR="005A1520">
        <w:rPr>
          <w:b/>
        </w:rPr>
        <w:t xml:space="preserve">14-226 </w:t>
      </w:r>
    </w:p>
    <w:p w14:paraId="40B1B2A5" w14:textId="77777777" w:rsidR="000C0460" w:rsidRDefault="000C0460" w:rsidP="000C0460">
      <w:pPr>
        <w:rPr>
          <w:b/>
        </w:rPr>
      </w:pPr>
    </w:p>
    <w:p w14:paraId="7C1F3D7A" w14:textId="77777777" w:rsidR="000C0460" w:rsidRDefault="0097547B" w:rsidP="000C0460">
      <w:pPr>
        <w:autoSpaceDE w:val="0"/>
        <w:autoSpaceDN w:val="0"/>
        <w:adjustRightInd w:val="0"/>
      </w:pPr>
      <w:r>
        <w:t>Bouchard Broadcasting, Inc.</w:t>
      </w:r>
      <w:r w:rsidR="00151353">
        <w:t xml:space="preserve"> </w:t>
      </w:r>
    </w:p>
    <w:p w14:paraId="558673D8" w14:textId="77777777" w:rsidR="0097547B" w:rsidRDefault="0097547B" w:rsidP="000C0460">
      <w:pPr>
        <w:autoSpaceDE w:val="0"/>
        <w:autoSpaceDN w:val="0"/>
        <w:adjustRightInd w:val="0"/>
      </w:pPr>
      <w:r>
        <w:t>Brand Activation Association</w:t>
      </w:r>
    </w:p>
    <w:p w14:paraId="22170F7F" w14:textId="77777777" w:rsidR="0097547B" w:rsidRDefault="0097547B" w:rsidP="000C0460">
      <w:pPr>
        <w:autoSpaceDE w:val="0"/>
        <w:autoSpaceDN w:val="0"/>
        <w:adjustRightInd w:val="0"/>
      </w:pPr>
      <w:r>
        <w:t>Coalition for Modernization of the FCC Contest Rule</w:t>
      </w:r>
    </w:p>
    <w:p w14:paraId="69BA2F6F" w14:textId="77777777" w:rsidR="0097547B" w:rsidRDefault="0097547B" w:rsidP="000C0460">
      <w:pPr>
        <w:autoSpaceDE w:val="0"/>
        <w:autoSpaceDN w:val="0"/>
        <w:adjustRightInd w:val="0"/>
      </w:pPr>
      <w:r>
        <w:t>Entercom Communications Corp.</w:t>
      </w:r>
    </w:p>
    <w:p w14:paraId="26BAAD49" w14:textId="77777777" w:rsidR="0097547B" w:rsidRDefault="0097547B" w:rsidP="000C0460">
      <w:pPr>
        <w:autoSpaceDE w:val="0"/>
        <w:autoSpaceDN w:val="0"/>
        <w:adjustRightInd w:val="0"/>
      </w:pPr>
      <w:r>
        <w:t>Hubbard Broadcasting</w:t>
      </w:r>
      <w:r w:rsidR="00E26B19">
        <w:t>,</w:t>
      </w:r>
      <w:r>
        <w:t xml:space="preserve"> Inc.</w:t>
      </w:r>
    </w:p>
    <w:p w14:paraId="62969BF0" w14:textId="77777777" w:rsidR="000C0460" w:rsidRDefault="0097547B" w:rsidP="000C0460">
      <w:pPr>
        <w:autoSpaceDE w:val="0"/>
        <w:autoSpaceDN w:val="0"/>
        <w:adjustRightInd w:val="0"/>
      </w:pPr>
      <w:r>
        <w:t>iHeartMedia, Inc.</w:t>
      </w:r>
    </w:p>
    <w:p w14:paraId="46E93EE6" w14:textId="77777777" w:rsidR="000C0460" w:rsidRDefault="000C0460" w:rsidP="000C0460">
      <w:pPr>
        <w:autoSpaceDE w:val="0"/>
        <w:autoSpaceDN w:val="0"/>
        <w:adjustRightInd w:val="0"/>
      </w:pPr>
      <w:r w:rsidRPr="001674FC">
        <w:t>Joint C</w:t>
      </w:r>
      <w:r>
        <w:t>ommenters (Beasl</w:t>
      </w:r>
      <w:r w:rsidR="0097547B">
        <w:t xml:space="preserve">ey Media </w:t>
      </w:r>
      <w:r>
        <w:t xml:space="preserve">Group, Inc., </w:t>
      </w:r>
      <w:r w:rsidRPr="0064452C">
        <w:rPr>
          <w:i/>
        </w:rPr>
        <w:t>et al</w:t>
      </w:r>
      <w:r>
        <w:rPr>
          <w:i/>
        </w:rPr>
        <w:t>.</w:t>
      </w:r>
      <w:r w:rsidRPr="001674FC">
        <w:t>)</w:t>
      </w:r>
    </w:p>
    <w:p w14:paraId="7D1EC8EE" w14:textId="77777777" w:rsidR="0097547B" w:rsidRDefault="0097547B" w:rsidP="000C0460">
      <w:pPr>
        <w:autoSpaceDE w:val="0"/>
        <w:autoSpaceDN w:val="0"/>
        <w:adjustRightInd w:val="0"/>
      </w:pPr>
      <w:r>
        <w:t>Joint Parties (Alpha Media LLC</w:t>
      </w:r>
      <w:r w:rsidRPr="0097547B">
        <w:rPr>
          <w:i/>
        </w:rPr>
        <w:t>, et al</w:t>
      </w:r>
      <w:r>
        <w:t>.)</w:t>
      </w:r>
    </w:p>
    <w:p w14:paraId="210F4853" w14:textId="77777777" w:rsidR="000C0460" w:rsidRDefault="000C0460" w:rsidP="000C0460">
      <w:pPr>
        <w:autoSpaceDE w:val="0"/>
        <w:autoSpaceDN w:val="0"/>
        <w:adjustRightInd w:val="0"/>
      </w:pPr>
      <w:r>
        <w:t>Named Sta</w:t>
      </w:r>
      <w:r w:rsidR="0097547B">
        <w:t xml:space="preserve">te Broadcasters Associations </w:t>
      </w:r>
      <w:r>
        <w:t>(NSBA)</w:t>
      </w:r>
    </w:p>
    <w:p w14:paraId="6256675A" w14:textId="77777777" w:rsidR="000C0460" w:rsidRDefault="000C0460" w:rsidP="000C0460">
      <w:pPr>
        <w:autoSpaceDE w:val="0"/>
        <w:autoSpaceDN w:val="0"/>
        <w:adjustRightInd w:val="0"/>
      </w:pPr>
      <w:r>
        <w:t>National Association of Broadcasters (NAB)</w:t>
      </w:r>
    </w:p>
    <w:p w14:paraId="27C7C150" w14:textId="77777777" w:rsidR="000C0460" w:rsidRDefault="000C0460" w:rsidP="000C0460">
      <w:pPr>
        <w:autoSpaceDE w:val="0"/>
        <w:autoSpaceDN w:val="0"/>
        <w:adjustRightInd w:val="0"/>
      </w:pPr>
      <w:r>
        <w:t>National Public Radio, Inc. (NPR)</w:t>
      </w:r>
    </w:p>
    <w:p w14:paraId="354FD6D5" w14:textId="77777777" w:rsidR="0097547B" w:rsidRDefault="0097547B" w:rsidP="0097547B">
      <w:pPr>
        <w:autoSpaceDE w:val="0"/>
        <w:autoSpaceDN w:val="0"/>
        <w:adjustRightInd w:val="0"/>
      </w:pPr>
      <w:r>
        <w:t>Saga Communications, Inc.</w:t>
      </w:r>
    </w:p>
    <w:p w14:paraId="52F168C4" w14:textId="77777777" w:rsidR="0097547B" w:rsidRDefault="0097547B" w:rsidP="000C0460">
      <w:pPr>
        <w:autoSpaceDE w:val="0"/>
        <w:autoSpaceDN w:val="0"/>
        <w:adjustRightInd w:val="0"/>
      </w:pPr>
    </w:p>
    <w:p w14:paraId="124D1AAC" w14:textId="77777777" w:rsidR="000C0460" w:rsidRDefault="000C0460" w:rsidP="000C0460">
      <w:pPr>
        <w:rPr>
          <w:b/>
        </w:rPr>
      </w:pPr>
      <w:r>
        <w:rPr>
          <w:b/>
        </w:rPr>
        <w:t xml:space="preserve">Reply Comments </w:t>
      </w:r>
      <w:r w:rsidR="00C0478E">
        <w:rPr>
          <w:b/>
        </w:rPr>
        <w:t xml:space="preserve">filed in </w:t>
      </w:r>
      <w:r w:rsidR="005A1520">
        <w:rPr>
          <w:b/>
        </w:rPr>
        <w:t xml:space="preserve">MB Docket No. 14-226 </w:t>
      </w:r>
    </w:p>
    <w:p w14:paraId="3304E871" w14:textId="77777777" w:rsidR="000C0460" w:rsidRDefault="000C0460" w:rsidP="000C0460">
      <w:pPr>
        <w:rPr>
          <w:b/>
        </w:rPr>
      </w:pPr>
    </w:p>
    <w:p w14:paraId="5E55F41E" w14:textId="77777777" w:rsidR="0097547B" w:rsidRDefault="0097547B" w:rsidP="0097547B">
      <w:pPr>
        <w:autoSpaceDE w:val="0"/>
        <w:autoSpaceDN w:val="0"/>
        <w:adjustRightInd w:val="0"/>
      </w:pPr>
      <w:r>
        <w:t xml:space="preserve">Anonymous </w:t>
      </w:r>
    </w:p>
    <w:p w14:paraId="2282FE2A" w14:textId="77777777" w:rsidR="00E26B19" w:rsidRDefault="00E26B19" w:rsidP="00E26B19">
      <w:r>
        <w:t xml:space="preserve">Broadcasters Associations (Virginia Association of Broadcasters, </w:t>
      </w:r>
      <w:r>
        <w:rPr>
          <w:i/>
        </w:rPr>
        <w:t>et al.</w:t>
      </w:r>
      <w:r>
        <w:t>)</w:t>
      </w:r>
    </w:p>
    <w:p w14:paraId="165D4DE1" w14:textId="77777777" w:rsidR="00E26B19" w:rsidRDefault="00E26B19" w:rsidP="00E26B19">
      <w:r>
        <w:t>Clarke Broadcasting Corp.</w:t>
      </w:r>
    </w:p>
    <w:p w14:paraId="14816232" w14:textId="77777777" w:rsidR="0097547B" w:rsidRDefault="0097547B" w:rsidP="0097547B">
      <w:pPr>
        <w:autoSpaceDE w:val="0"/>
        <w:autoSpaceDN w:val="0"/>
        <w:adjustRightInd w:val="0"/>
      </w:pPr>
      <w:r>
        <w:t>iHeartMedia, Inc.</w:t>
      </w:r>
    </w:p>
    <w:p w14:paraId="42A0C725" w14:textId="77777777" w:rsidR="00BE060D" w:rsidRDefault="00BE060D" w:rsidP="000C0460">
      <w:pPr>
        <w:sectPr w:rsidR="00BE060D" w:rsidSect="00DF5C6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2D04AC03" w14:textId="77777777" w:rsidR="00C1581E" w:rsidRPr="00C1581E" w:rsidRDefault="00C1581E" w:rsidP="00C1581E">
      <w:pPr>
        <w:jc w:val="center"/>
        <w:rPr>
          <w:b/>
        </w:rPr>
      </w:pPr>
      <w:r w:rsidRPr="00C1581E">
        <w:rPr>
          <w:b/>
        </w:rPr>
        <w:t>APPENDIX B</w:t>
      </w:r>
    </w:p>
    <w:p w14:paraId="2747B334" w14:textId="77777777" w:rsidR="00C1581E" w:rsidRPr="00C1581E" w:rsidRDefault="00C1581E" w:rsidP="00C1581E">
      <w:pPr>
        <w:jc w:val="center"/>
        <w:rPr>
          <w:b/>
        </w:rPr>
      </w:pPr>
    </w:p>
    <w:p w14:paraId="04B289A4" w14:textId="77777777" w:rsidR="00C1581E" w:rsidRPr="00C1581E" w:rsidRDefault="00DB5E3C" w:rsidP="00C1581E">
      <w:pPr>
        <w:jc w:val="center"/>
        <w:rPr>
          <w:b/>
        </w:rPr>
      </w:pPr>
      <w:r>
        <w:rPr>
          <w:b/>
        </w:rPr>
        <w:t xml:space="preserve">Final </w:t>
      </w:r>
      <w:r w:rsidR="00754539">
        <w:rPr>
          <w:b/>
        </w:rPr>
        <w:t>Rule</w:t>
      </w:r>
      <w:r w:rsidR="00C1581E" w:rsidRPr="00C1581E">
        <w:rPr>
          <w:b/>
        </w:rPr>
        <w:t>s</w:t>
      </w:r>
    </w:p>
    <w:p w14:paraId="50571173" w14:textId="77777777" w:rsidR="00C1581E" w:rsidRPr="00C1581E" w:rsidRDefault="00C1581E" w:rsidP="00C1581E"/>
    <w:p w14:paraId="47953103" w14:textId="77777777" w:rsidR="007A3103" w:rsidRPr="007A3103" w:rsidRDefault="007A3103" w:rsidP="007A3103">
      <w:r w:rsidRPr="007A3103">
        <w:t xml:space="preserve">The Federal Communications Commission amends 47 CFR Part 73 as set forth below: </w:t>
      </w:r>
    </w:p>
    <w:p w14:paraId="4186161C" w14:textId="77777777" w:rsidR="007A3103" w:rsidRPr="007A3103" w:rsidRDefault="007A3103" w:rsidP="007A3103"/>
    <w:p w14:paraId="500AF7BA" w14:textId="77777777" w:rsidR="007A3103" w:rsidRPr="007A3103" w:rsidRDefault="007A3103" w:rsidP="007A3103">
      <w:pPr>
        <w:spacing w:after="120"/>
      </w:pPr>
      <w:r w:rsidRPr="007A3103">
        <w:t>PART 73 – RADIO BROADCAST SERVICE</w:t>
      </w:r>
    </w:p>
    <w:p w14:paraId="4FCE8651" w14:textId="77777777" w:rsidR="007A3103" w:rsidRPr="007A3103" w:rsidRDefault="007A3103" w:rsidP="007A3103">
      <w:r w:rsidRPr="007A3103">
        <w:t>1.</w:t>
      </w:r>
      <w:r w:rsidRPr="007A3103">
        <w:tab/>
        <w:t>The authority citation for part 73 continues to read as follows:</w:t>
      </w:r>
    </w:p>
    <w:p w14:paraId="4103B2E8" w14:textId="77777777" w:rsidR="007A3103" w:rsidRPr="007A3103" w:rsidRDefault="007A3103" w:rsidP="007A3103"/>
    <w:p w14:paraId="45F3542F" w14:textId="77777777" w:rsidR="007A3103" w:rsidRPr="007A3103" w:rsidRDefault="007A3103" w:rsidP="007A3103">
      <w:r w:rsidRPr="007A3103">
        <w:t>Authority:  47 U.S.C. 154, 303, 334, 336, and 339.</w:t>
      </w:r>
    </w:p>
    <w:p w14:paraId="22F16A1D" w14:textId="77777777" w:rsidR="007A3103" w:rsidRPr="007A3103" w:rsidRDefault="007A3103" w:rsidP="007A3103"/>
    <w:p w14:paraId="2280A89D" w14:textId="77777777" w:rsidR="007A3103" w:rsidRPr="007A3103" w:rsidRDefault="007A3103" w:rsidP="007A3103">
      <w:r w:rsidRPr="007A3103">
        <w:t>2.</w:t>
      </w:r>
      <w:r w:rsidRPr="007A3103">
        <w:tab/>
        <w:t xml:space="preserve">Amend § 73.1216 to read as follows: </w:t>
      </w:r>
    </w:p>
    <w:p w14:paraId="3CD14CDA" w14:textId="77777777" w:rsidR="007A3103" w:rsidRPr="007A3103" w:rsidRDefault="007A3103" w:rsidP="007A3103"/>
    <w:p w14:paraId="447E1B6A" w14:textId="77777777" w:rsidR="007A3103" w:rsidRPr="007A3103" w:rsidRDefault="007A3103" w:rsidP="007A3103">
      <w:pPr>
        <w:spacing w:line="480" w:lineRule="auto"/>
      </w:pPr>
      <w:r w:rsidRPr="007A3103">
        <w:rPr>
          <w:u w:val="single"/>
        </w:rPr>
        <w:t>§ 73.1216  Licensee-conducted contests</w:t>
      </w:r>
      <w:r w:rsidRPr="007A3103">
        <w:t xml:space="preserve">.  </w:t>
      </w:r>
    </w:p>
    <w:p w14:paraId="34EE91A4" w14:textId="533CB9C4" w:rsidR="007A3103" w:rsidRPr="007A3103" w:rsidRDefault="007A3103" w:rsidP="007A3103">
      <w:pPr>
        <w:spacing w:line="480" w:lineRule="auto"/>
        <w:rPr>
          <w:color w:val="000000"/>
        </w:rPr>
      </w:pPr>
      <w:r w:rsidRPr="007A3103">
        <w:t xml:space="preserve">(a)  </w:t>
      </w:r>
      <w:r w:rsidRPr="007A3103">
        <w:rPr>
          <w:color w:val="000000"/>
        </w:rPr>
        <w:t>A licensee that broadcasts or advertises information about a contest it conducts shall fully and accurately disclose the material terms of the contest, and shall conduct the contest substantially as announced or advertised</w:t>
      </w:r>
      <w:r w:rsidR="00852F45">
        <w:rPr>
          <w:color w:val="000000"/>
        </w:rPr>
        <w:t xml:space="preserve"> over the air or on the I</w:t>
      </w:r>
      <w:r w:rsidR="00581F6A">
        <w:rPr>
          <w:color w:val="000000"/>
        </w:rPr>
        <w:t>nternet</w:t>
      </w:r>
      <w:r w:rsidRPr="007A3103">
        <w:rPr>
          <w:color w:val="000000"/>
        </w:rPr>
        <w:t>.  No contest description shall be false, misleading or deceptive with respect to any material term.</w:t>
      </w:r>
    </w:p>
    <w:p w14:paraId="3F561C24" w14:textId="77777777" w:rsidR="007A3103" w:rsidRPr="007A3103" w:rsidRDefault="007A3103" w:rsidP="007A3103">
      <w:pPr>
        <w:spacing w:line="480" w:lineRule="auto"/>
      </w:pPr>
      <w:r w:rsidRPr="007A3103">
        <w:rPr>
          <w:color w:val="000000"/>
        </w:rPr>
        <w:t xml:space="preserve">(b)  </w:t>
      </w:r>
      <w:r w:rsidRPr="007A3103">
        <w:t xml:space="preserve">The disclosure of material terms shall be made by the station conducting the contest by either:  </w:t>
      </w:r>
    </w:p>
    <w:p w14:paraId="65826991" w14:textId="77777777" w:rsidR="007A3103" w:rsidRPr="007A3103" w:rsidRDefault="007A3103" w:rsidP="007A3103">
      <w:pPr>
        <w:spacing w:line="480" w:lineRule="auto"/>
      </w:pPr>
      <w:r w:rsidRPr="007A3103">
        <w:t xml:space="preserve">(1) Periodic disclosures broadcast on the station; or </w:t>
      </w:r>
    </w:p>
    <w:p w14:paraId="5718CD5F" w14:textId="77777777" w:rsidR="007A3103" w:rsidRPr="007A3103" w:rsidRDefault="007A3103" w:rsidP="007A3103">
      <w:pPr>
        <w:spacing w:line="480" w:lineRule="auto"/>
      </w:pPr>
      <w:r w:rsidRPr="007A3103">
        <w:t xml:space="preserve">(2) Written disclosures on the station’s Internet website, the licensee’s website, or if neither the </w:t>
      </w:r>
    </w:p>
    <w:p w14:paraId="6D8B8C5A" w14:textId="77777777" w:rsidR="007A3103" w:rsidRPr="007A3103" w:rsidRDefault="007A3103" w:rsidP="007A3103">
      <w:pPr>
        <w:spacing w:line="480" w:lineRule="auto"/>
      </w:pPr>
      <w:r w:rsidRPr="007A3103">
        <w:t xml:space="preserve">individual station nor the licensee has its own website, any Internet website that is publicly accessible.  </w:t>
      </w:r>
    </w:p>
    <w:p w14:paraId="1D94468B" w14:textId="77777777" w:rsidR="007A3103" w:rsidRPr="007A3103" w:rsidRDefault="007A3103" w:rsidP="007A3103">
      <w:pPr>
        <w:spacing w:line="480" w:lineRule="auto"/>
      </w:pPr>
      <w:r w:rsidRPr="007A3103">
        <w:t xml:space="preserve">(c)  In the case of disclosure under paragraph (b)(1) of this section, a reasonable number of periodic broadcast disclosures is sufficient.  In the case of disclosure under paragraph (b)(2) of this section, the </w:t>
      </w:r>
    </w:p>
    <w:p w14:paraId="5C63010F" w14:textId="77777777" w:rsidR="007A3103" w:rsidRPr="007A3103" w:rsidRDefault="007A3103" w:rsidP="007A3103">
      <w:pPr>
        <w:spacing w:line="480" w:lineRule="auto"/>
      </w:pPr>
      <w:r w:rsidRPr="007A3103">
        <w:t xml:space="preserve">station shall: </w:t>
      </w:r>
    </w:p>
    <w:p w14:paraId="5D2C8FFD" w14:textId="77777777" w:rsidR="007A3103" w:rsidRPr="007A3103" w:rsidRDefault="007A3103" w:rsidP="007A3103">
      <w:pPr>
        <w:spacing w:line="480" w:lineRule="auto"/>
        <w:ind w:firstLine="720"/>
      </w:pPr>
      <w:r w:rsidRPr="007A3103">
        <w:t xml:space="preserve"> (i) Establish a conspicuous link or tab to material contest terms on the home page of </w:t>
      </w:r>
    </w:p>
    <w:p w14:paraId="119CBA33" w14:textId="77777777" w:rsidR="007A3103" w:rsidRPr="007A3103" w:rsidRDefault="007A3103" w:rsidP="007A3103">
      <w:pPr>
        <w:spacing w:line="480" w:lineRule="auto"/>
      </w:pPr>
      <w:r w:rsidRPr="007A3103">
        <w:t xml:space="preserve">      </w:t>
      </w:r>
      <w:r w:rsidRPr="007A3103">
        <w:tab/>
        <w:t xml:space="preserve"> the Internet website; </w:t>
      </w:r>
    </w:p>
    <w:p w14:paraId="449FEF79" w14:textId="77777777" w:rsidR="007A3103" w:rsidRPr="007A3103" w:rsidRDefault="007A3103" w:rsidP="007A3103">
      <w:pPr>
        <w:spacing w:line="480" w:lineRule="auto"/>
        <w:ind w:firstLine="720"/>
      </w:pPr>
      <w:r w:rsidRPr="007A3103">
        <w:t xml:space="preserve">(ii) Announce over the air periodically the availability of material contest terms on the </w:t>
      </w:r>
    </w:p>
    <w:p w14:paraId="46B2D098" w14:textId="77777777" w:rsidR="007A3103" w:rsidRPr="007A3103" w:rsidRDefault="007A3103" w:rsidP="007A3103">
      <w:pPr>
        <w:spacing w:line="480" w:lineRule="auto"/>
        <w:ind w:firstLine="720"/>
      </w:pPr>
      <w:r w:rsidRPr="007A3103">
        <w:t xml:space="preserve">website and identify the website address where the terms are posted with information sufficient </w:t>
      </w:r>
    </w:p>
    <w:p w14:paraId="54F936AD" w14:textId="77777777" w:rsidR="007A3103" w:rsidRPr="007A3103" w:rsidRDefault="007A3103" w:rsidP="007A3103">
      <w:pPr>
        <w:spacing w:line="480" w:lineRule="auto"/>
        <w:ind w:firstLine="720"/>
      </w:pPr>
      <w:r w:rsidRPr="007A3103">
        <w:t>for a consumer to find such terms easily; and</w:t>
      </w:r>
    </w:p>
    <w:p w14:paraId="77B3746B" w14:textId="77777777" w:rsidR="007A3103" w:rsidRPr="007A3103" w:rsidRDefault="007A3103" w:rsidP="007A3103">
      <w:pPr>
        <w:spacing w:line="480" w:lineRule="auto"/>
        <w:ind w:firstLine="720"/>
      </w:pPr>
      <w:r w:rsidRPr="007A3103">
        <w:t xml:space="preserve"> (iii) Maintain material contest terms on the website for at least thirty days after the </w:t>
      </w:r>
    </w:p>
    <w:p w14:paraId="3A862A74" w14:textId="77777777" w:rsidR="007A3103" w:rsidRPr="007A3103" w:rsidRDefault="007A3103" w:rsidP="007A3103">
      <w:pPr>
        <w:spacing w:line="480" w:lineRule="auto"/>
        <w:ind w:firstLine="720"/>
        <w:rPr>
          <w:rFonts w:ascii="Times-Roman" w:hAnsi="Times-Roman" w:cs="Times-Roman"/>
          <w:lang w:bidi="en-US"/>
        </w:rPr>
      </w:pPr>
      <w:r w:rsidRPr="007A3103">
        <w:t xml:space="preserve">contest has concluded.  </w:t>
      </w:r>
      <w:r w:rsidRPr="007A3103">
        <w:rPr>
          <w:rFonts w:ascii="Times-Roman" w:hAnsi="Times-Roman" w:cs="Times-Roman"/>
          <w:lang w:bidi="en-US"/>
        </w:rPr>
        <w:t xml:space="preserve">Any changes to the material terms during the course of the contest must </w:t>
      </w:r>
    </w:p>
    <w:p w14:paraId="249C7DDF" w14:textId="512CEBDE" w:rsidR="007A3103" w:rsidRPr="007A3103" w:rsidRDefault="007A3103" w:rsidP="00DF5C67">
      <w:pPr>
        <w:spacing w:line="480" w:lineRule="auto"/>
        <w:ind w:left="720"/>
      </w:pPr>
      <w:r w:rsidRPr="007A3103">
        <w:rPr>
          <w:rFonts w:ascii="Times-Roman" w:hAnsi="Times-Roman" w:cs="Times-Roman"/>
          <w:lang w:bidi="en-US"/>
        </w:rPr>
        <w:t xml:space="preserve">be fully disclosed on air within 24 hours of the change </w:t>
      </w:r>
      <w:r w:rsidR="00DF5C67">
        <w:rPr>
          <w:rFonts w:ascii="Times-Roman" w:hAnsi="Times-Roman" w:cs="Times-Roman"/>
          <w:lang w:bidi="en-US"/>
        </w:rPr>
        <w:t xml:space="preserve">on the website </w:t>
      </w:r>
      <w:r w:rsidRPr="007A3103">
        <w:rPr>
          <w:rFonts w:ascii="Times-Roman" w:hAnsi="Times-Roman" w:cs="Times-Roman"/>
          <w:lang w:bidi="en-US"/>
        </w:rPr>
        <w:t>and periodically thereafter or the fact that</w:t>
      </w:r>
      <w:r w:rsidR="00DF5C67">
        <w:rPr>
          <w:rFonts w:ascii="Times-Roman" w:hAnsi="Times-Roman" w:cs="Times-Roman"/>
          <w:lang w:bidi="en-US"/>
        </w:rPr>
        <w:t xml:space="preserve"> </w:t>
      </w:r>
      <w:r w:rsidRPr="007A3103">
        <w:rPr>
          <w:rFonts w:ascii="Times-Roman" w:hAnsi="Times-Roman" w:cs="Times-Roman"/>
          <w:lang w:bidi="en-US"/>
        </w:rPr>
        <w:t>such changes have been made must be announced on air within 24 hours of the change</w:t>
      </w:r>
      <w:r w:rsidRPr="007A3103">
        <w:t>,</w:t>
      </w:r>
      <w:r w:rsidRPr="007A3103">
        <w:rPr>
          <w:rFonts w:ascii="Times-Roman" w:hAnsi="Times-Roman" w:cs="Times-Roman"/>
          <w:lang w:bidi="en-US"/>
        </w:rPr>
        <w:t xml:space="preserve"> and periodically thereafter, and such announcements must direct participants to the written disclosures on the website.  </w:t>
      </w:r>
      <w:r w:rsidRPr="007A3103">
        <w:rPr>
          <w:rFonts w:ascii="Times-Roman" w:hAnsi="Times-Roman"/>
          <w:bCs/>
        </w:rPr>
        <w:t xml:space="preserve">Material contest terms that are disclosed on an Internet website must </w:t>
      </w:r>
      <w:r w:rsidRPr="007A3103">
        <w:t>be consistent</w:t>
      </w:r>
      <w:r w:rsidRPr="007A3103" w:rsidDel="00CC1CFD">
        <w:rPr>
          <w:rFonts w:ascii="Times-Roman" w:hAnsi="Times-Roman"/>
          <w:bCs/>
        </w:rPr>
        <w:t xml:space="preserve"> </w:t>
      </w:r>
      <w:r w:rsidRPr="007A3103">
        <w:rPr>
          <w:rFonts w:ascii="Times-Roman" w:hAnsi="Times-Roman"/>
          <w:bCs/>
        </w:rPr>
        <w:t>in all substantive respects with those mentioned over the air. </w:t>
      </w:r>
      <w:r w:rsidRPr="007A3103">
        <w:rPr>
          <w:rFonts w:ascii="Times-Roman" w:hAnsi="Times-Roman" w:cs="Times-Roman"/>
          <w:lang w:bidi="en-US"/>
        </w:rPr>
        <w:t xml:space="preserve">  </w:t>
      </w:r>
    </w:p>
    <w:p w14:paraId="229599C6" w14:textId="77777777" w:rsidR="007A3103" w:rsidRPr="007A3103" w:rsidRDefault="007A3103" w:rsidP="007A3103">
      <w:pPr>
        <w:spacing w:line="480" w:lineRule="auto"/>
        <w:rPr>
          <w:color w:val="000000"/>
          <w:szCs w:val="22"/>
        </w:rPr>
      </w:pPr>
      <w:r w:rsidRPr="007A3103">
        <w:rPr>
          <w:smallCaps/>
          <w:color w:val="000000"/>
          <w:szCs w:val="22"/>
        </w:rPr>
        <w:t>NOTE 1:</w:t>
      </w:r>
      <w:r w:rsidRPr="007A3103">
        <w:rPr>
          <w:color w:val="000000"/>
          <w:szCs w:val="22"/>
        </w:rPr>
        <w:t> For the purposes of this rule:</w:t>
      </w:r>
    </w:p>
    <w:p w14:paraId="6038F886" w14:textId="77777777" w:rsidR="007A3103" w:rsidRPr="007A3103" w:rsidRDefault="007A3103" w:rsidP="007A3103">
      <w:pPr>
        <w:spacing w:line="480" w:lineRule="auto"/>
        <w:ind w:firstLine="720"/>
        <w:rPr>
          <w:color w:val="000000"/>
          <w:szCs w:val="22"/>
        </w:rPr>
      </w:pPr>
      <w:r w:rsidRPr="007A3103">
        <w:rPr>
          <w:color w:val="000000"/>
          <w:szCs w:val="22"/>
        </w:rPr>
        <w:t>(a) A contest is a scheme in which a prize is offered or awarded, based upon chance, diligence, knowledge or skill, to members of the public.</w:t>
      </w:r>
    </w:p>
    <w:p w14:paraId="04A32458" w14:textId="77777777" w:rsidR="007A3103" w:rsidRPr="007A3103" w:rsidRDefault="007A3103" w:rsidP="007A3103">
      <w:pPr>
        <w:spacing w:line="480" w:lineRule="auto"/>
        <w:ind w:firstLine="720"/>
        <w:rPr>
          <w:color w:val="000000"/>
          <w:szCs w:val="22"/>
        </w:rPr>
      </w:pPr>
      <w:r w:rsidRPr="007A3103">
        <w:rPr>
          <w:color w:val="000000"/>
          <w:szCs w:val="22"/>
        </w:rPr>
        <w:t>(b) Material terms include those factors which define the operation of the contest and which affect participation therein. Although the material terms may vary widely depending upon the exact nature of the contest, they will generally include: how to enter or participate; eligibility restrictions; entry deadline dates; whether prizes can be won; when prizes can be won; the extent, nature and value of prizes; basis for valuation of prizes; time and means of selection of winners; and/or tie-breaking procedures.</w:t>
      </w:r>
    </w:p>
    <w:p w14:paraId="01B5FA85" w14:textId="77777777" w:rsidR="007A3103" w:rsidRPr="007A3103" w:rsidRDefault="007A3103" w:rsidP="007A3103">
      <w:pPr>
        <w:spacing w:line="480" w:lineRule="auto"/>
        <w:rPr>
          <w:szCs w:val="22"/>
        </w:rPr>
      </w:pPr>
      <w:r w:rsidRPr="007A3103">
        <w:rPr>
          <w:szCs w:val="22"/>
        </w:rPr>
        <w:t>NOTE 2:  In general, the time and manner of disclosure of the material terms of a contest are within the licensee’s discretion.  However, the obligation to disclose the material terms arises at the time the audience is first told how to enter or participate and continues thereafter.</w:t>
      </w:r>
    </w:p>
    <w:p w14:paraId="1885C3DE" w14:textId="5F6746EB" w:rsidR="00B60144" w:rsidRDefault="007A3103" w:rsidP="00B60144">
      <w:pPr>
        <w:spacing w:line="480" w:lineRule="auto"/>
        <w:rPr>
          <w:color w:val="000000"/>
          <w:szCs w:val="22"/>
          <w:shd w:val="clear" w:color="auto" w:fill="FFFFFF"/>
        </w:rPr>
      </w:pPr>
      <w:r w:rsidRPr="007A3103">
        <w:rPr>
          <w:smallCaps/>
          <w:color w:val="000000"/>
          <w:szCs w:val="22"/>
          <w:shd w:val="clear" w:color="auto" w:fill="FFFFFF"/>
        </w:rPr>
        <w:t>NOTE 3:</w:t>
      </w:r>
      <w:r w:rsidRPr="007A3103">
        <w:rPr>
          <w:color w:val="000000"/>
          <w:szCs w:val="22"/>
          <w:shd w:val="clear" w:color="auto" w:fill="FFFFFF"/>
        </w:rPr>
        <w:t>  This rule is not applicable to licensee-conducted contests not broadcast or advertised to the general public or to a substantial segment thereof, to contests in which the general public is not requested or permitted to participate, to the commercial advertisement of non-licensee-conducted contests, or to a contest conducted by a non-broadcast division of the licensee or by a non-broadcast company related to the licensee.</w:t>
      </w:r>
    </w:p>
    <w:p w14:paraId="18188A01" w14:textId="77777777" w:rsidR="00B60144" w:rsidRDefault="00B60144">
      <w:pPr>
        <w:widowControl/>
        <w:rPr>
          <w:color w:val="000000"/>
          <w:szCs w:val="22"/>
          <w:shd w:val="clear" w:color="auto" w:fill="FFFFFF"/>
        </w:rPr>
      </w:pPr>
      <w:r>
        <w:rPr>
          <w:color w:val="000000"/>
          <w:szCs w:val="22"/>
          <w:shd w:val="clear" w:color="auto" w:fill="FFFFFF"/>
        </w:rPr>
        <w:br w:type="page"/>
      </w:r>
    </w:p>
    <w:p w14:paraId="227C7E58" w14:textId="77777777" w:rsidR="00C1581E" w:rsidRPr="00C1581E" w:rsidRDefault="00C1581E" w:rsidP="00C1581E">
      <w:pPr>
        <w:jc w:val="center"/>
        <w:rPr>
          <w:b/>
        </w:rPr>
      </w:pPr>
      <w:r w:rsidRPr="00C1581E">
        <w:rPr>
          <w:b/>
        </w:rPr>
        <w:t>APPENDIX C</w:t>
      </w:r>
    </w:p>
    <w:p w14:paraId="1D07CD0A" w14:textId="77777777" w:rsidR="00C1581E" w:rsidRPr="00C1581E" w:rsidRDefault="00C1581E" w:rsidP="00C1581E">
      <w:pPr>
        <w:jc w:val="center"/>
        <w:rPr>
          <w:b/>
        </w:rPr>
      </w:pPr>
    </w:p>
    <w:p w14:paraId="4F51AEA8" w14:textId="77777777" w:rsidR="00C1581E" w:rsidRPr="00C1581E" w:rsidRDefault="009703B8" w:rsidP="009703B8">
      <w:pPr>
        <w:ind w:firstLine="720"/>
        <w:jc w:val="center"/>
        <w:rPr>
          <w:b/>
        </w:rPr>
      </w:pPr>
      <w:r>
        <w:rPr>
          <w:b/>
        </w:rPr>
        <w:t xml:space="preserve">Final </w:t>
      </w:r>
      <w:r w:rsidR="00C1581E" w:rsidRPr="00C1581E">
        <w:rPr>
          <w:b/>
        </w:rPr>
        <w:t>Regulatory Flexibility Act Analysis</w:t>
      </w:r>
    </w:p>
    <w:p w14:paraId="0BA63B73" w14:textId="77777777" w:rsidR="00C1581E" w:rsidRPr="00C1581E" w:rsidRDefault="00C1581E" w:rsidP="00C1581E">
      <w:pPr>
        <w:rPr>
          <w:highlight w:val="yellow"/>
        </w:rPr>
      </w:pPr>
    </w:p>
    <w:p w14:paraId="03436B25" w14:textId="77777777" w:rsidR="00C1581E" w:rsidRDefault="00C1581E" w:rsidP="0063539B">
      <w:pPr>
        <w:pStyle w:val="ParaNum"/>
        <w:numPr>
          <w:ilvl w:val="0"/>
          <w:numId w:val="9"/>
        </w:numPr>
        <w:tabs>
          <w:tab w:val="clear" w:pos="1080"/>
          <w:tab w:val="num" w:pos="1440"/>
          <w:tab w:val="num" w:pos="1530"/>
        </w:tabs>
      </w:pPr>
      <w:r w:rsidRPr="00C1581E">
        <w:t>As required by the Regulatory Flexibility Act of 1980, as amended (“RFA”)</w:t>
      </w:r>
      <w:r w:rsidRPr="00C1581E">
        <w:rPr>
          <w:vertAlign w:val="superscript"/>
        </w:rPr>
        <w:footnoteReference w:id="69"/>
      </w:r>
      <w:r w:rsidRPr="00C1581E">
        <w:t xml:space="preserve"> </w:t>
      </w:r>
      <w:r w:rsidR="001C192A">
        <w:t xml:space="preserve">an Initial Regulatory Flexibility Act Analysis (“IRFA”) was incorporated in the </w:t>
      </w:r>
      <w:r w:rsidR="001C192A" w:rsidRPr="00C26601">
        <w:rPr>
          <w:i/>
        </w:rPr>
        <w:t>Notice of Proposed Rulemaking</w:t>
      </w:r>
      <w:r w:rsidR="001C192A">
        <w:t xml:space="preserve"> (“</w:t>
      </w:r>
      <w:r w:rsidR="001C192A" w:rsidRPr="00C26601">
        <w:rPr>
          <w:i/>
        </w:rPr>
        <w:t>NPRM</w:t>
      </w:r>
      <w:r w:rsidR="001C192A">
        <w:t xml:space="preserve">”) </w:t>
      </w:r>
      <w:r w:rsidR="001C192A" w:rsidRPr="001C192A">
        <w:t>in</w:t>
      </w:r>
      <w:r w:rsidR="001C192A">
        <w:t xml:space="preserve"> this proceeding.  The Commission sought w</w:t>
      </w:r>
      <w:r w:rsidRPr="00F836D3">
        <w:t>ritten</w:t>
      </w:r>
      <w:r w:rsidRPr="00C1581E">
        <w:t xml:space="preserve"> public comment </w:t>
      </w:r>
      <w:r w:rsidR="001C192A">
        <w:t xml:space="preserve">on the proposals in the </w:t>
      </w:r>
      <w:r w:rsidR="001C192A" w:rsidRPr="00C26601">
        <w:rPr>
          <w:i/>
        </w:rPr>
        <w:t>NPRM,</w:t>
      </w:r>
      <w:r w:rsidR="001C192A">
        <w:t xml:space="preserve"> including comment on the IRFA</w:t>
      </w:r>
      <w:r w:rsidRPr="00C1581E">
        <w:t xml:space="preserve">.  </w:t>
      </w:r>
      <w:r w:rsidR="001C192A">
        <w:t>The Commission received no comments on the IRFA.  This Final Regulatory Flexibility Act Analysis (“</w:t>
      </w:r>
      <w:r w:rsidR="001C192A" w:rsidRPr="001C192A">
        <w:t>FRFA</w:t>
      </w:r>
      <w:r w:rsidR="001C192A">
        <w:t>”) conforms to the RFA.</w:t>
      </w:r>
      <w:r w:rsidR="001C192A">
        <w:rPr>
          <w:rStyle w:val="FootnoteReference"/>
        </w:rPr>
        <w:footnoteReference w:id="70"/>
      </w:r>
      <w:r w:rsidR="001C192A">
        <w:t xml:space="preserve"> </w:t>
      </w:r>
    </w:p>
    <w:p w14:paraId="4C721F0A" w14:textId="4A1CC342" w:rsidR="00F836D3" w:rsidRDefault="00F836D3" w:rsidP="00AC6F02">
      <w:pPr>
        <w:pStyle w:val="Heading2"/>
      </w:pPr>
      <w:bookmarkStart w:id="39" w:name="_Toc394663457"/>
      <w:bookmarkStart w:id="40" w:name="_Toc401909714"/>
      <w:bookmarkStart w:id="41" w:name="_Toc402428423"/>
      <w:bookmarkStart w:id="42" w:name="_Toc403718720"/>
      <w:r>
        <w:t>Need for, and Objectives of, the Rule Changes</w:t>
      </w:r>
      <w:bookmarkEnd w:id="39"/>
      <w:bookmarkEnd w:id="40"/>
      <w:bookmarkEnd w:id="41"/>
      <w:bookmarkEnd w:id="42"/>
    </w:p>
    <w:p w14:paraId="511DB01B" w14:textId="38713ED9" w:rsidR="00B846AB" w:rsidRPr="00B846AB" w:rsidRDefault="000508CA" w:rsidP="00B83BF7">
      <w:pPr>
        <w:pStyle w:val="ParaNum"/>
      </w:pPr>
      <w:r>
        <w:t>Th</w:t>
      </w:r>
      <w:r w:rsidR="006B13C8">
        <w:t>is proceeding</w:t>
      </w:r>
      <w:r>
        <w:t xml:space="preserve"> stems from an unopposed Petition for Rulemaking filed by Entercom Communications Corp. requesting that the Commission update Section 73.1216 of its rules governing broadcast licensee-conducted contests (the “Contest Rule”)</w:t>
      </w:r>
      <w:r w:rsidRPr="000458C2">
        <w:rPr>
          <w:vertAlign w:val="superscript"/>
        </w:rPr>
        <w:footnoteReference w:id="71"/>
      </w:r>
      <w:r>
        <w:t xml:space="preserve"> in a manner that reflects how consumers access information in the 21</w:t>
      </w:r>
      <w:r w:rsidRPr="001B3299">
        <w:rPr>
          <w:vertAlign w:val="superscript"/>
        </w:rPr>
        <w:t>st</w:t>
      </w:r>
      <w:r>
        <w:t xml:space="preserve"> Century.</w:t>
      </w:r>
      <w:r>
        <w:rPr>
          <w:rStyle w:val="FootnoteReference"/>
        </w:rPr>
        <w:footnoteReference w:id="72"/>
      </w:r>
      <w:r>
        <w:t xml:space="preserve">  </w:t>
      </w:r>
      <w:r w:rsidR="006B13C8">
        <w:t>In November 2014, t</w:t>
      </w:r>
      <w:r w:rsidRPr="000458C2">
        <w:t xml:space="preserve">he </w:t>
      </w:r>
      <w:r w:rsidR="00DC3A4E">
        <w:t>Commission issued a</w:t>
      </w:r>
      <w:r w:rsidR="006B13C8">
        <w:t xml:space="preserve"> </w:t>
      </w:r>
      <w:r w:rsidRPr="006B13C8">
        <w:rPr>
          <w:i/>
        </w:rPr>
        <w:t>NPRM</w:t>
      </w:r>
      <w:r w:rsidRPr="000458C2">
        <w:t xml:space="preserve"> </w:t>
      </w:r>
      <w:r w:rsidR="004669F8">
        <w:t xml:space="preserve">seeking comment on certain proposals </w:t>
      </w:r>
      <w:r w:rsidR="00E73888">
        <w:t xml:space="preserve">intended to </w:t>
      </w:r>
      <w:r w:rsidR="004669F8">
        <w:t>moderniz</w:t>
      </w:r>
      <w:r w:rsidR="00E73888">
        <w:t>e</w:t>
      </w:r>
      <w:r w:rsidR="004669F8">
        <w:t xml:space="preserve"> the Contest Rule </w:t>
      </w:r>
      <w:r w:rsidR="00E73888">
        <w:t xml:space="preserve">by </w:t>
      </w:r>
      <w:r w:rsidR="004669F8">
        <w:t>provid</w:t>
      </w:r>
      <w:r w:rsidR="00E73888">
        <w:t>ing</w:t>
      </w:r>
      <w:r w:rsidR="004669F8">
        <w:t xml:space="preserve"> broadcasters with </w:t>
      </w:r>
      <w:r w:rsidR="00E73888">
        <w:t>more</w:t>
      </w:r>
      <w:r w:rsidR="004669F8">
        <w:t xml:space="preserve"> flexibility in </w:t>
      </w:r>
      <w:r w:rsidR="00E73888">
        <w:t xml:space="preserve">how they </w:t>
      </w:r>
      <w:r w:rsidR="004669F8">
        <w:t xml:space="preserve">satisfy their obligation to disclose material contest terms, without </w:t>
      </w:r>
      <w:r w:rsidR="0008403D">
        <w:t xml:space="preserve">relaxing </w:t>
      </w:r>
      <w:r w:rsidR="00E73888">
        <w:t xml:space="preserve">their </w:t>
      </w:r>
      <w:r w:rsidR="0008403D">
        <w:t xml:space="preserve">duty to conduct contests with due regard for the public interest.  </w:t>
      </w:r>
    </w:p>
    <w:p w14:paraId="7AF9D4BF" w14:textId="77777777" w:rsidR="004669F8" w:rsidRDefault="00B846AB" w:rsidP="00B83BF7">
      <w:pPr>
        <w:pStyle w:val="ParaNum"/>
      </w:pPr>
      <w:r>
        <w:t xml:space="preserve">In </w:t>
      </w:r>
      <w:r w:rsidR="006B13C8">
        <w:t xml:space="preserve">the accompanying </w:t>
      </w:r>
      <w:r w:rsidR="006B13C8" w:rsidRPr="006B13C8">
        <w:rPr>
          <w:i/>
        </w:rPr>
        <w:t>Report and</w:t>
      </w:r>
      <w:r w:rsidR="006B13C8">
        <w:t xml:space="preserve"> </w:t>
      </w:r>
      <w:r w:rsidR="006B13C8" w:rsidRPr="006B13C8">
        <w:rPr>
          <w:i/>
        </w:rPr>
        <w:t>Order</w:t>
      </w:r>
      <w:r w:rsidR="004669F8">
        <w:rPr>
          <w:i/>
        </w:rPr>
        <w:t xml:space="preserve"> </w:t>
      </w:r>
      <w:r w:rsidR="004669F8">
        <w:t>(“</w:t>
      </w:r>
      <w:r w:rsidR="004669F8">
        <w:rPr>
          <w:i/>
        </w:rPr>
        <w:t>Order</w:t>
      </w:r>
      <w:r w:rsidR="004669F8">
        <w:t>”)</w:t>
      </w:r>
      <w:r w:rsidR="006B13C8">
        <w:t xml:space="preserve">, </w:t>
      </w:r>
      <w:r w:rsidR="004669F8">
        <w:t>the Commission amends the Contest Rule to permit broadcast licensees to comply with their obligation to disclose material contest terms either by broadcasting such terms or by making them</w:t>
      </w:r>
      <w:r w:rsidR="004669F8" w:rsidRPr="003B15B5">
        <w:t xml:space="preserve"> available in writing on a publicly</w:t>
      </w:r>
      <w:r w:rsidR="004669F8">
        <w:t xml:space="preserve"> </w:t>
      </w:r>
      <w:r w:rsidR="004669F8" w:rsidRPr="003B15B5">
        <w:t>accessible Internet website</w:t>
      </w:r>
      <w:r w:rsidR="004669F8">
        <w:t xml:space="preserve">.  In particular, </w:t>
      </w:r>
      <w:r w:rsidR="0008403D">
        <w:t xml:space="preserve">the </w:t>
      </w:r>
      <w:r w:rsidR="0008403D">
        <w:rPr>
          <w:i/>
        </w:rPr>
        <w:t xml:space="preserve">Order </w:t>
      </w:r>
      <w:r w:rsidR="004669F8">
        <w:t>amend</w:t>
      </w:r>
      <w:r w:rsidR="0008403D">
        <w:t>s</w:t>
      </w:r>
      <w:r w:rsidR="004669F8">
        <w:t xml:space="preserve"> the </w:t>
      </w:r>
      <w:r w:rsidR="0008403D">
        <w:t>r</w:t>
      </w:r>
      <w:r w:rsidR="004669F8">
        <w:t xml:space="preserve">ule to allow a broadcast licensee to satisfy its disclosure obligation by posting material contest terms on the station’s website, the licensee’s website, or, if neither the individual station nor the licensee has its own website, any Internet website that is readily accessible to the public.  </w:t>
      </w:r>
    </w:p>
    <w:p w14:paraId="6A521443" w14:textId="6BD0130E" w:rsidR="002B1585" w:rsidRDefault="0008403D" w:rsidP="00B83BF7">
      <w:pPr>
        <w:pStyle w:val="ParaNum"/>
      </w:pPr>
      <w:r>
        <w:t xml:space="preserve">The </w:t>
      </w:r>
      <w:r w:rsidRPr="004C6E19">
        <w:rPr>
          <w:i/>
        </w:rPr>
        <w:t>Order</w:t>
      </w:r>
      <w:r>
        <w:rPr>
          <w:i/>
        </w:rPr>
        <w:t xml:space="preserve"> </w:t>
      </w:r>
      <w:r w:rsidR="004669F8">
        <w:t>also revise</w:t>
      </w:r>
      <w:r w:rsidR="00905D3B">
        <w:t>s</w:t>
      </w:r>
      <w:r w:rsidR="004669F8">
        <w:t xml:space="preserve"> the Contest Rule</w:t>
      </w:r>
      <w:r w:rsidR="00905D3B">
        <w:t xml:space="preserve"> to specify that, in </w:t>
      </w:r>
      <w:r w:rsidR="004669F8">
        <w:t>cases</w:t>
      </w:r>
      <w:r w:rsidR="00905D3B">
        <w:t xml:space="preserve"> where a licensee chooses to disclose material contest terms through an Internet website</w:t>
      </w:r>
      <w:r w:rsidR="004669F8">
        <w:t xml:space="preserve">, </w:t>
      </w:r>
      <w:r w:rsidR="00905D3B">
        <w:t>the</w:t>
      </w:r>
      <w:r w:rsidR="004669F8">
        <w:t xml:space="preserve"> licensee:  (i) must </w:t>
      </w:r>
      <w:r w:rsidR="004669F8" w:rsidRPr="00E62C8D">
        <w:t>broadcast the relevant website address periodically with information sufficient for a consumer to easily find material contest terms online</w:t>
      </w:r>
      <w:r w:rsidR="004669F8">
        <w:t xml:space="preserve">; (ii) must establish a link or tab to material contest terms on the website’s home page; (iii) must maintain contest terms online for a period of at least thirty days after the contest has ended; and (iv) </w:t>
      </w:r>
      <w:r w:rsidR="002D14FD">
        <w:t xml:space="preserve">that changes the material terms of a contest after the contest is first announced must announce on air that the contest rules have changed and direct participants to the website to review the changes.  The </w:t>
      </w:r>
      <w:r w:rsidR="002D14FD">
        <w:rPr>
          <w:i/>
        </w:rPr>
        <w:t xml:space="preserve">Order </w:t>
      </w:r>
      <w:r w:rsidR="002D14FD">
        <w:t xml:space="preserve">requires that such announcements be made </w:t>
      </w:r>
      <w:r w:rsidR="00FD632A">
        <w:t xml:space="preserve">on air </w:t>
      </w:r>
      <w:r w:rsidR="002D14FD">
        <w:t xml:space="preserve">within 24 hours of the change in contest terms </w:t>
      </w:r>
      <w:r w:rsidR="00FD632A">
        <w:t xml:space="preserve">on the website, </w:t>
      </w:r>
      <w:r w:rsidR="002D14FD">
        <w:t>and periodically thereafter.  Finally, licensees must ensure that any material terms disclosed on a website conform in all substantive respects to those mentioned over the air.</w:t>
      </w:r>
      <w:r w:rsidR="004669F8">
        <w:t xml:space="preserve">  </w:t>
      </w:r>
    </w:p>
    <w:p w14:paraId="1078D3C9" w14:textId="62B2E380" w:rsidR="00A16590" w:rsidRDefault="00A16590" w:rsidP="00AC6F02">
      <w:pPr>
        <w:pStyle w:val="Heading2"/>
        <w:rPr>
          <w:rStyle w:val="CommentReference"/>
          <w:sz w:val="22"/>
          <w:szCs w:val="22"/>
        </w:rPr>
      </w:pPr>
      <w:bookmarkStart w:id="43" w:name="_Toc394663459"/>
      <w:bookmarkStart w:id="44" w:name="_Toc401909716"/>
      <w:bookmarkStart w:id="45" w:name="_Toc402428425"/>
      <w:bookmarkStart w:id="46" w:name="_Toc403718722"/>
      <w:r w:rsidRPr="00A16590">
        <w:rPr>
          <w:rStyle w:val="CommentReference"/>
          <w:sz w:val="22"/>
          <w:szCs w:val="22"/>
        </w:rPr>
        <w:t>Summary of Significant Issues Raised by Public Comments in Response to the IRFA</w:t>
      </w:r>
    </w:p>
    <w:p w14:paraId="6EB196CB" w14:textId="76535CF3" w:rsidR="00A16590" w:rsidRPr="00A16590" w:rsidRDefault="00A16590" w:rsidP="0063539B">
      <w:pPr>
        <w:pStyle w:val="ParaNum"/>
      </w:pPr>
      <w:r>
        <w:t>No comments were filed that specifically addressed the IRFA.</w:t>
      </w:r>
    </w:p>
    <w:p w14:paraId="5045E3AC" w14:textId="77777777" w:rsidR="00A04B27" w:rsidRDefault="00A04B27" w:rsidP="00AC6F02">
      <w:pPr>
        <w:pStyle w:val="Heading2"/>
      </w:pPr>
      <w:r>
        <w:t>Description and Estimates of the Number of Small Entities to Which the Proposed Rules Will Apply</w:t>
      </w:r>
      <w:bookmarkEnd w:id="43"/>
      <w:bookmarkEnd w:id="44"/>
      <w:bookmarkEnd w:id="45"/>
      <w:bookmarkEnd w:id="46"/>
      <w:r w:rsidR="00095B8C">
        <w:t xml:space="preserve"> </w:t>
      </w:r>
    </w:p>
    <w:p w14:paraId="243C1527" w14:textId="77777777" w:rsidR="00CB3505" w:rsidRDefault="00CB3505" w:rsidP="00B142EF">
      <w:pPr>
        <w:pStyle w:val="ParaNum"/>
        <w:widowControl/>
      </w:pPr>
      <w:r>
        <w:t xml:space="preserve"> The RFA directs agencies to provide a description of and, where feasible, an estimate of the number of small entities that may be affected by the proposed rules, if adopted.</w:t>
      </w:r>
      <w:r w:rsidR="00F20F7B" w:rsidRPr="00F20F7B">
        <w:rPr>
          <w:vertAlign w:val="superscript"/>
        </w:rPr>
        <w:footnoteReference w:id="73"/>
      </w:r>
      <w:r>
        <w:t xml:space="preserve">  The RFA generally defines the term “small entity” as having the same meaning as the terms “small business,” “small organization,” and “small governmental jurisdiction.”</w:t>
      </w:r>
      <w:r w:rsidR="00F20F7B" w:rsidRPr="00F20F7B">
        <w:rPr>
          <w:vertAlign w:val="superscript"/>
        </w:rPr>
        <w:footnoteReference w:id="74"/>
      </w:r>
      <w:r w:rsidR="00F20F7B" w:rsidRPr="00F20F7B">
        <w:t xml:space="preserve"> </w:t>
      </w:r>
      <w:r>
        <w:t xml:space="preserve"> In addition, the term “small business” has the same meaning as the term “small business concern” under the Small Business Act.</w:t>
      </w:r>
      <w:r w:rsidR="00F20F7B" w:rsidRPr="00F20F7B">
        <w:rPr>
          <w:vertAlign w:val="superscript"/>
        </w:rPr>
        <w:footnoteReference w:id="75"/>
      </w:r>
      <w:r>
        <w:t xml:space="preserve">  A small business concern is one which: </w:t>
      </w:r>
      <w:r w:rsidR="00B35D50">
        <w:t xml:space="preserve"> </w:t>
      </w:r>
      <w:r>
        <w:t>(1) is independently owned and operated; (2) is not dominant in its field of operation; and (3) satisfies any additional criteria establi</w:t>
      </w:r>
      <w:r w:rsidR="00B35D50">
        <w:t>shed by the SBA.</w:t>
      </w:r>
      <w:r w:rsidR="00F20F7B" w:rsidRPr="00F20F7B">
        <w:rPr>
          <w:vertAlign w:val="superscript"/>
        </w:rPr>
        <w:footnoteReference w:id="76"/>
      </w:r>
      <w:r w:rsidR="00F20F7B" w:rsidRPr="00F20F7B">
        <w:t xml:space="preserve"> </w:t>
      </w:r>
      <w:r w:rsidR="00B35D50">
        <w:t xml:space="preserve"> The </w:t>
      </w:r>
      <w:r>
        <w:t xml:space="preserve">rules </w:t>
      </w:r>
      <w:r w:rsidR="00DA282B">
        <w:t xml:space="preserve">adopted in the accompanying </w:t>
      </w:r>
      <w:r w:rsidR="00DA282B">
        <w:rPr>
          <w:i/>
        </w:rPr>
        <w:t>Order</w:t>
      </w:r>
      <w:r>
        <w:t xml:space="preserve"> will directly affect small television and radio broadcast stations.  Below, we provide a description of these small entities, as well as an estimate of the number of such small entities, where feasible. </w:t>
      </w:r>
    </w:p>
    <w:p w14:paraId="30044093" w14:textId="77777777" w:rsidR="00CB3505" w:rsidRDefault="00CB3505" w:rsidP="00B83BF7">
      <w:pPr>
        <w:pStyle w:val="ParaNum"/>
      </w:pPr>
      <w:r w:rsidRPr="00D46E45">
        <w:rPr>
          <w:i/>
        </w:rPr>
        <w:t>Television Broadcasting</w:t>
      </w:r>
      <w:r>
        <w:t>.  This economic Census category “comprises establishments primarily engaged in broadcast</w:t>
      </w:r>
      <w:r w:rsidR="00B35D50">
        <w:t>ing images together with sound.</w:t>
      </w:r>
      <w:r>
        <w:t>”</w:t>
      </w:r>
      <w:r w:rsidR="005420B1" w:rsidRPr="005420B1">
        <w:rPr>
          <w:sz w:val="20"/>
          <w:vertAlign w:val="superscript"/>
        </w:rPr>
        <w:footnoteReference w:id="77"/>
      </w:r>
      <w:r w:rsidR="005420B1" w:rsidRPr="005420B1">
        <w:t xml:space="preserve"> </w:t>
      </w:r>
      <w:r>
        <w:t xml:space="preserve"> The SBA has created the following small business size standard for such businesses:  those having $38.5 million or less in annual receipts.</w:t>
      </w:r>
      <w:r w:rsidR="005420B1" w:rsidRPr="005420B1">
        <w:rPr>
          <w:sz w:val="20"/>
          <w:vertAlign w:val="superscript"/>
        </w:rPr>
        <w:footnoteReference w:id="78"/>
      </w:r>
      <w:r w:rsidR="005420B1" w:rsidRPr="005420B1">
        <w:t xml:space="preserve"> </w:t>
      </w:r>
      <w:r>
        <w:t xml:space="preserve">   The 2007 U.S. Census indicates that </w:t>
      </w:r>
      <w:r w:rsidR="006B1E34">
        <w:t>808 firms</w:t>
      </w:r>
      <w:r>
        <w:t xml:space="preserve"> in this category operated in that year.  Of that number, </w:t>
      </w:r>
      <w:r w:rsidR="006B1E34">
        <w:t>709</w:t>
      </w:r>
      <w:r>
        <w:t xml:space="preserve"> had annual receipts of $</w:t>
      </w:r>
      <w:r w:rsidR="006B1E34">
        <w:t>25</w:t>
      </w:r>
      <w:r>
        <w:t xml:space="preserve">,000,000 or less, and </w:t>
      </w:r>
      <w:r w:rsidR="006B1E34">
        <w:t>99</w:t>
      </w:r>
      <w:r>
        <w:t xml:space="preserve"> had annual receipts of more than $</w:t>
      </w:r>
      <w:r w:rsidR="006B1E34">
        <w:t>25</w:t>
      </w:r>
      <w:r>
        <w:t>,000,000.</w:t>
      </w:r>
      <w:r w:rsidR="006B1E34">
        <w:rPr>
          <w:rStyle w:val="FootnoteReference"/>
        </w:rPr>
        <w:footnoteReference w:id="79"/>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14:paraId="2E2E2537" w14:textId="77777777" w:rsidR="00CB3505" w:rsidRDefault="00CB3505" w:rsidP="00B142EF">
      <w:pPr>
        <w:pStyle w:val="ParaNum"/>
        <w:widowControl/>
      </w:pPr>
      <w:r>
        <w:t>Apart from the U.S. Census, the Commission has estimated the number of licensed commercial television stations to be 1,387 stations.</w:t>
      </w:r>
      <w:r w:rsidR="005420B1" w:rsidRPr="005420B1">
        <w:rPr>
          <w:sz w:val="20"/>
          <w:vertAlign w:val="superscript"/>
        </w:rPr>
        <w:footnoteReference w:id="80"/>
      </w:r>
      <w:r w:rsidR="005420B1" w:rsidRPr="005420B1">
        <w:t xml:space="preserve"> </w:t>
      </w:r>
      <w:r>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005420B1" w:rsidRPr="005420B1">
        <w:rPr>
          <w:sz w:val="20"/>
          <w:vertAlign w:val="superscript"/>
        </w:rPr>
        <w:footnoteReference w:id="81"/>
      </w:r>
      <w:r w:rsidR="005420B1" w:rsidRPr="005420B1">
        <w:t xml:space="preserve"> </w:t>
      </w:r>
      <w:r>
        <w:t xml:space="preserve"> NCE stations are non-profit, and therefore considered to be small entities.</w:t>
      </w:r>
      <w:r w:rsidR="00333F64" w:rsidRPr="00333F64">
        <w:rPr>
          <w:sz w:val="20"/>
          <w:vertAlign w:val="superscript"/>
        </w:rPr>
        <w:footnoteReference w:id="82"/>
      </w:r>
      <w:r>
        <w:t xml:space="preserve">  Based on these data, we estimate that the majority of television broadcast stations are small entities.  </w:t>
      </w:r>
    </w:p>
    <w:p w14:paraId="3B567257" w14:textId="77777777" w:rsidR="00CB3505" w:rsidRDefault="00CB3505" w:rsidP="00B67B56">
      <w:pPr>
        <w:pStyle w:val="ParaNum"/>
        <w:widowControl/>
      </w:pPr>
      <w:r w:rsidRPr="00D46E45">
        <w:rPr>
          <w:i/>
        </w:rPr>
        <w:t>Class A TV and LPTV Stations</w:t>
      </w:r>
      <w:r>
        <w:t>.  The same SBA definition that applies to television broadcast stations would apply to licensees of Class A television stations and low power television (LPTV) stations, as well as to potential licensees in these television services.  As noted above, the SBA has created the following small business size standard for this category:  those having $38.5 million or less in annual receipts.</w:t>
      </w:r>
      <w:r w:rsidR="004967EA" w:rsidRPr="004967EA">
        <w:rPr>
          <w:sz w:val="20"/>
          <w:vertAlign w:val="superscript"/>
        </w:rPr>
        <w:footnoteReference w:id="83"/>
      </w:r>
      <w:r w:rsidR="004967EA" w:rsidRPr="004967EA">
        <w:t xml:space="preserve"> </w:t>
      </w:r>
      <w:r>
        <w:t xml:space="preserve"> The Commission has estimated the number of licensed Class A television stations to be 432.</w:t>
      </w:r>
      <w:r w:rsidR="0015566B" w:rsidRPr="0015566B">
        <w:rPr>
          <w:sz w:val="20"/>
          <w:vertAlign w:val="superscript"/>
        </w:rPr>
        <w:footnoteReference w:id="84"/>
      </w:r>
      <w:r w:rsidR="0015566B" w:rsidRPr="0015566B">
        <w:t xml:space="preserve"> </w:t>
      </w:r>
      <w:r>
        <w:t xml:space="preserve"> The Commission has also estimated the number of licensed LPTV stations to be 2,028.</w:t>
      </w:r>
      <w:r w:rsidR="005C3C4C" w:rsidRPr="005C3C4C">
        <w:rPr>
          <w:sz w:val="20"/>
          <w:vertAlign w:val="superscript"/>
        </w:rPr>
        <w:footnoteReference w:id="85"/>
      </w:r>
      <w:r>
        <w:t xml:space="preserve">  Given the nature of these services, we will presume that these licensees qualify as small entities under the SBA definition.  </w:t>
      </w:r>
    </w:p>
    <w:p w14:paraId="7E6D58C1" w14:textId="77777777" w:rsidR="00CB3505" w:rsidRDefault="00CB3505" w:rsidP="00B83BF7">
      <w:pPr>
        <w:pStyle w:val="ParaNum"/>
      </w:pPr>
      <w:r>
        <w:t>We note, however, that in assessing whether a business concern qualifies as “small” under the above definition, business (control) affiliations</w:t>
      </w:r>
      <w:r w:rsidR="00DC41D1" w:rsidRPr="00DC41D1">
        <w:rPr>
          <w:vertAlign w:val="superscript"/>
        </w:rPr>
        <w:footnoteReference w:id="86"/>
      </w:r>
      <w:r w:rsidR="00DC41D1" w:rsidRPr="00DC41D1">
        <w:t xml:space="preserve"> </w:t>
      </w:r>
      <w:r>
        <w:t>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14:paraId="43F2EC8F" w14:textId="77777777" w:rsidR="00CB3505" w:rsidRDefault="00CB3505" w:rsidP="00B83BF7">
      <w:pPr>
        <w:pStyle w:val="ParaNum"/>
      </w:pPr>
      <w:r w:rsidRPr="00D46E45">
        <w:rPr>
          <w:i/>
        </w:rPr>
        <w:t>Radio Stations</w:t>
      </w:r>
      <w:r>
        <w:t>.  This economic Census category “comprises establishments primarily engaged in broadcasting aural programs by radio to the public.”</w:t>
      </w:r>
      <w:r w:rsidR="00DC41D1" w:rsidRPr="00DC41D1">
        <w:rPr>
          <w:sz w:val="20"/>
          <w:vertAlign w:val="superscript"/>
        </w:rPr>
        <w:footnoteReference w:id="87"/>
      </w:r>
      <w:r w:rsidR="00DC41D1" w:rsidRPr="00DC41D1">
        <w:t xml:space="preserve"> </w:t>
      </w:r>
      <w:r>
        <w:t xml:space="preserve"> The SBA has created the following small business size standard for this category:  those having $38.5 million or less in annual receipts.</w:t>
      </w:r>
      <w:r w:rsidR="00DC41D1" w:rsidRPr="00DC41D1">
        <w:rPr>
          <w:sz w:val="20"/>
          <w:vertAlign w:val="superscript"/>
        </w:rPr>
        <w:footnoteReference w:id="88"/>
      </w:r>
      <w:r w:rsidR="00DC41D1" w:rsidRPr="00DC41D1">
        <w:t xml:space="preserve"> </w:t>
      </w:r>
      <w:r>
        <w:t xml:space="preserve">   Census data for 2007 shows that </w:t>
      </w:r>
      <w:r w:rsidR="006B1E34">
        <w:t>2,926 firms</w:t>
      </w:r>
      <w:r>
        <w:t xml:space="preserve"> in this category operated in that year.</w:t>
      </w:r>
      <w:r w:rsidR="00DC41D1" w:rsidRPr="00DC41D1">
        <w:rPr>
          <w:sz w:val="20"/>
          <w:vertAlign w:val="superscript"/>
        </w:rPr>
        <w:footnoteReference w:id="89"/>
      </w:r>
      <w:r w:rsidR="00DC41D1" w:rsidRPr="00DC41D1">
        <w:t xml:space="preserve"> </w:t>
      </w:r>
      <w:r>
        <w:t xml:space="preserve"> Of this number, </w:t>
      </w:r>
      <w:r w:rsidR="006B1E34">
        <w:t>2,877 firms</w:t>
      </w:r>
      <w:r>
        <w:t xml:space="preserve"> had annual receipts of less than $</w:t>
      </w:r>
      <w:r w:rsidR="008A5B9F">
        <w:t>25</w:t>
      </w:r>
      <w:r>
        <w:t xml:space="preserve">,000,000, and </w:t>
      </w:r>
      <w:r w:rsidR="008A5B9F">
        <w:t xml:space="preserve">49 firms </w:t>
      </w:r>
      <w:r>
        <w:t>had annual receipts of $</w:t>
      </w:r>
      <w:r w:rsidR="008A5B9F">
        <w:t>25</w:t>
      </w:r>
      <w:r>
        <w:t>,000,000 or more.</w:t>
      </w:r>
      <w:r w:rsidR="00D327C7" w:rsidRPr="00D327C7">
        <w:rPr>
          <w:sz w:val="20"/>
          <w:vertAlign w:val="superscript"/>
        </w:rPr>
        <w:footnoteReference w:id="90"/>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14:paraId="5969FAF2" w14:textId="77777777" w:rsidR="005F7095" w:rsidRDefault="005F7095" w:rsidP="00B83BF7">
      <w:pPr>
        <w:pStyle w:val="ParaNum"/>
      </w:pPr>
      <w:r w:rsidRPr="005F7095">
        <w:t>Apart from the U.S. Census, the Commission has estimated the number of licensed commercial AM radio stations to be 4,553 stations and the number of commercial FM radio stations to be 6,622, for a total number of 11,175.</w:t>
      </w:r>
      <w:r w:rsidR="00D327C7" w:rsidRPr="00D327C7">
        <w:rPr>
          <w:sz w:val="20"/>
          <w:vertAlign w:val="superscript"/>
        </w:rPr>
        <w:footnoteReference w:id="91"/>
      </w:r>
      <w:r w:rsidRPr="005F7095">
        <w:t xml:space="preserve">  Of this total, 9,898 stations (or about 90 percent) had revenues of $38.5 million or less, according to Commission staff review of the BIA Kelsey Inc. Media Access Pro Television Database (BIA) on October 23, 2014.  In addition, the Commission has estimated the number of licensed noncommercial educational (“NCE”) AM radio stations to be 168 stations and the number of noncommercial educational FM radio stations to be 4,082, for a total of 4,250.</w:t>
      </w:r>
      <w:r w:rsidR="00D327C7" w:rsidRPr="00D327C7">
        <w:rPr>
          <w:sz w:val="20"/>
          <w:vertAlign w:val="superscript"/>
        </w:rPr>
        <w:footnoteReference w:id="92"/>
      </w:r>
      <w:r w:rsidR="00D327C7" w:rsidRPr="00D327C7">
        <w:t xml:space="preserve"> </w:t>
      </w:r>
      <w:r w:rsidRPr="005F7095">
        <w:t xml:space="preserve"> NCE stations are non-profit, and therefore considered to be small entities.</w:t>
      </w:r>
      <w:r w:rsidR="00D327C7" w:rsidRPr="00D327C7">
        <w:rPr>
          <w:sz w:val="20"/>
          <w:vertAlign w:val="superscript"/>
        </w:rPr>
        <w:footnoteReference w:id="93"/>
      </w:r>
      <w:r w:rsidRPr="005F7095">
        <w:t xml:space="preserve">  Therefore, we estimate that the majority of radio broadcast stations are small entities.</w:t>
      </w:r>
    </w:p>
    <w:p w14:paraId="51CCFD50" w14:textId="77777777" w:rsidR="00CB3505" w:rsidRDefault="00CB3505" w:rsidP="00B83BF7">
      <w:pPr>
        <w:pStyle w:val="ParaNum"/>
      </w:pPr>
      <w:r w:rsidRPr="00D46E45">
        <w:rPr>
          <w:i/>
        </w:rPr>
        <w:t>Low Power FM Stations</w:t>
      </w:r>
      <w:r>
        <w:t>.  The same SBA definition that applies to radio stations would apply to low power FM stations.  As noted above, the SBA has created the following small business size standard for this category:  those having $38.5 million or less in annual receipts</w:t>
      </w:r>
      <w:r w:rsidRPr="004577EF">
        <w:t>.</w:t>
      </w:r>
      <w:r w:rsidR="004577EF" w:rsidRPr="004577EF">
        <w:rPr>
          <w:vertAlign w:val="superscript"/>
        </w:rPr>
        <w:footnoteReference w:id="94"/>
      </w:r>
      <w:r w:rsidR="004577EF" w:rsidRPr="004577EF">
        <w:t xml:space="preserve"> </w:t>
      </w:r>
      <w:r>
        <w:t xml:space="preserve"> The Commission has estimated the number of licensed low power FM stations to be 814.</w:t>
      </w:r>
      <w:r w:rsidR="00892C8A" w:rsidRPr="00892C8A">
        <w:rPr>
          <w:sz w:val="20"/>
          <w:vertAlign w:val="superscript"/>
        </w:rPr>
        <w:footnoteReference w:id="95"/>
      </w:r>
      <w:r>
        <w:t xml:space="preserve">  Given the nature of these services, we will presume that these licensees qualify as small entities under the SBA definition.  </w:t>
      </w:r>
    </w:p>
    <w:p w14:paraId="401ED961" w14:textId="77777777" w:rsidR="00CB3505" w:rsidRDefault="00CB3505" w:rsidP="00B83BF7">
      <w:pPr>
        <w:pStyle w:val="ParaNum"/>
      </w:pPr>
      <w:r>
        <w:t>We note again, however, that in assessing whether a business concern qualifies as “small” under the above definition, b</w:t>
      </w:r>
      <w:r w:rsidR="00B35D50">
        <w:t>usiness (control) affiliations</w:t>
      </w:r>
      <w:r w:rsidR="00892C8A" w:rsidRPr="00892C8A">
        <w:rPr>
          <w:vertAlign w:val="superscript"/>
        </w:rPr>
        <w:footnoteReference w:id="96"/>
      </w:r>
      <w:r w:rsidR="00892C8A" w:rsidRPr="00892C8A">
        <w:t xml:space="preserve"> </w:t>
      </w:r>
      <w:r>
        <w:t>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14:paraId="7A86269E" w14:textId="723F51B3" w:rsidR="0021391D" w:rsidRDefault="00EA33AB" w:rsidP="00AC6F02">
      <w:pPr>
        <w:pStyle w:val="Heading2"/>
      </w:pPr>
      <w:bookmarkStart w:id="47" w:name="_Toc394663460"/>
      <w:bookmarkStart w:id="48" w:name="_Toc401909717"/>
      <w:bookmarkStart w:id="49" w:name="_Toc402428426"/>
      <w:bookmarkStart w:id="50" w:name="_Toc403718723"/>
      <w:r>
        <w:t>Description of Projected Reporting, Recordkeeping, and Other Compliance Requirements</w:t>
      </w:r>
      <w:bookmarkEnd w:id="47"/>
      <w:bookmarkEnd w:id="48"/>
      <w:bookmarkEnd w:id="49"/>
      <w:bookmarkEnd w:id="50"/>
      <w:r w:rsidR="00A16590">
        <w:t xml:space="preserve"> for Small Entities</w:t>
      </w:r>
    </w:p>
    <w:p w14:paraId="07846713" w14:textId="022E3332" w:rsidR="00347DD5" w:rsidRDefault="00347DD5" w:rsidP="00B83BF7">
      <w:pPr>
        <w:pStyle w:val="ParaNum"/>
      </w:pPr>
      <w:r>
        <w:t xml:space="preserve">In this section, we identify the reporting, recordkeeping, and other compliance requirements </w:t>
      </w:r>
      <w:r w:rsidR="00A16590">
        <w:t xml:space="preserve">for small entities </w:t>
      </w:r>
      <w:r w:rsidR="004C1FB2">
        <w:t xml:space="preserve">that the Commission adopts in the </w:t>
      </w:r>
      <w:r w:rsidR="004C1FB2" w:rsidRPr="004C1FB2">
        <w:rPr>
          <w:i/>
        </w:rPr>
        <w:t>Order</w:t>
      </w:r>
      <w:r w:rsidR="004C1FB2">
        <w:t xml:space="preserve">.  </w:t>
      </w:r>
      <w:r>
        <w:t xml:space="preserve">  </w:t>
      </w:r>
    </w:p>
    <w:p w14:paraId="7D72F820" w14:textId="77777777" w:rsidR="00347DD5" w:rsidRDefault="00347DD5" w:rsidP="00B83BF7">
      <w:pPr>
        <w:pStyle w:val="ParaNum"/>
      </w:pPr>
      <w:r>
        <w:rPr>
          <w:i/>
        </w:rPr>
        <w:t xml:space="preserve">Reporting Requirements.  </w:t>
      </w:r>
      <w:r>
        <w:t xml:space="preserve">The </w:t>
      </w:r>
      <w:r w:rsidR="004C1FB2">
        <w:rPr>
          <w:i/>
        </w:rPr>
        <w:t>Order</w:t>
      </w:r>
      <w:r>
        <w:t xml:space="preserve"> does not adopt reporting requirements.</w:t>
      </w:r>
    </w:p>
    <w:p w14:paraId="3EA5D49E" w14:textId="76D6FF2E" w:rsidR="00347DD5" w:rsidRDefault="00347DD5" w:rsidP="00B83BF7">
      <w:pPr>
        <w:pStyle w:val="ParaNum"/>
      </w:pPr>
      <w:r>
        <w:rPr>
          <w:i/>
        </w:rPr>
        <w:t xml:space="preserve">Recordkeeping Requirements.  </w:t>
      </w:r>
      <w:r>
        <w:t xml:space="preserve">The </w:t>
      </w:r>
      <w:r w:rsidR="004C1FB2">
        <w:rPr>
          <w:i/>
        </w:rPr>
        <w:t>Order</w:t>
      </w:r>
      <w:r>
        <w:rPr>
          <w:i/>
        </w:rPr>
        <w:t xml:space="preserve"> </w:t>
      </w:r>
      <w:r w:rsidR="004C1FB2">
        <w:t xml:space="preserve">adopts </w:t>
      </w:r>
      <w:r>
        <w:t xml:space="preserve">certain recordkeeping requirements that </w:t>
      </w:r>
      <w:r w:rsidR="004C1FB2">
        <w:t>apply</w:t>
      </w:r>
      <w:r>
        <w:t xml:space="preserve"> to </w:t>
      </w:r>
      <w:r w:rsidR="008D28C6">
        <w:t xml:space="preserve">broadcast entities, including </w:t>
      </w:r>
      <w:r w:rsidR="008278C5">
        <w:t>small broadcast entities</w:t>
      </w:r>
      <w:r w:rsidR="008D28C6">
        <w:t>,</w:t>
      </w:r>
      <w:r w:rsidR="0005309C">
        <w:t xml:space="preserve"> </w:t>
      </w:r>
      <w:r w:rsidR="008278C5">
        <w:t>that choose to disclose material contest terms by posting such terms on an Internet website</w:t>
      </w:r>
      <w:r w:rsidR="004C1FB2">
        <w:t xml:space="preserve">.  In particular, the </w:t>
      </w:r>
      <w:r w:rsidR="004C1FB2">
        <w:rPr>
          <w:i/>
        </w:rPr>
        <w:t>Order</w:t>
      </w:r>
      <w:r w:rsidR="008278C5">
        <w:rPr>
          <w:i/>
        </w:rPr>
        <w:t xml:space="preserve"> </w:t>
      </w:r>
      <w:r w:rsidR="008278C5">
        <w:t>requires such entities</w:t>
      </w:r>
      <w:r>
        <w:t xml:space="preserve">:  </w:t>
      </w:r>
    </w:p>
    <w:p w14:paraId="7ADA87F0" w14:textId="77777777" w:rsidR="00347DD5" w:rsidRDefault="004C1FB2" w:rsidP="00235761">
      <w:pPr>
        <w:pStyle w:val="ListParagraph"/>
        <w:numPr>
          <w:ilvl w:val="0"/>
          <w:numId w:val="4"/>
        </w:numPr>
      </w:pPr>
      <w:r>
        <w:t xml:space="preserve">to </w:t>
      </w:r>
      <w:r w:rsidRPr="00E62C8D">
        <w:t>broadcast the relevant website address periodically with information sufficient for a consumer to easily find material contest terms online</w:t>
      </w:r>
      <w:r w:rsidR="00347DD5">
        <w:t>;</w:t>
      </w:r>
    </w:p>
    <w:p w14:paraId="2C9DFA86" w14:textId="77777777" w:rsidR="008278C5" w:rsidRDefault="008278C5" w:rsidP="00235761">
      <w:pPr>
        <w:pStyle w:val="ListParagraph"/>
        <w:numPr>
          <w:ilvl w:val="0"/>
          <w:numId w:val="4"/>
        </w:numPr>
      </w:pPr>
      <w:r>
        <w:t>to establish a link or tab to material contest terms on the website’s home page;</w:t>
      </w:r>
    </w:p>
    <w:p w14:paraId="43A0B5BB" w14:textId="77777777" w:rsidR="00CC2F72" w:rsidRDefault="00CC2F72" w:rsidP="00CC2F72">
      <w:pPr>
        <w:pStyle w:val="ListParagraph"/>
        <w:numPr>
          <w:ilvl w:val="0"/>
          <w:numId w:val="4"/>
        </w:numPr>
      </w:pPr>
      <w:r>
        <w:t>to maintain contest terms online for a period of at least thirty days after the contest has ended</w:t>
      </w:r>
      <w:r w:rsidR="00AF0DB5">
        <w:t>;</w:t>
      </w:r>
    </w:p>
    <w:p w14:paraId="523C45BC" w14:textId="1A4EDB12" w:rsidR="002D14FD" w:rsidRDefault="002D14FD" w:rsidP="008278C5">
      <w:pPr>
        <w:pStyle w:val="ListParagraph"/>
        <w:numPr>
          <w:ilvl w:val="0"/>
          <w:numId w:val="4"/>
        </w:numPr>
      </w:pPr>
      <w:r>
        <w:t xml:space="preserve">in cases where such entities change the material terms of a contest after the contest is first announced, to announce on air that the contest rules have changed and direct participants to the website to review the changes, and to make such announcements </w:t>
      </w:r>
      <w:r w:rsidR="00FD632A">
        <w:t xml:space="preserve">on air </w:t>
      </w:r>
      <w:r>
        <w:t xml:space="preserve">within 24 hours of the change </w:t>
      </w:r>
      <w:r w:rsidR="00FD632A">
        <w:t xml:space="preserve">on the website </w:t>
      </w:r>
      <w:r>
        <w:t>and periodically thereafter;</w:t>
      </w:r>
      <w:r w:rsidR="00DC3A4E">
        <w:t xml:space="preserve"> and</w:t>
      </w:r>
    </w:p>
    <w:p w14:paraId="0768929D" w14:textId="3D9D2BDE" w:rsidR="008278C5" w:rsidRDefault="008278C5" w:rsidP="008278C5">
      <w:pPr>
        <w:pStyle w:val="ListParagraph"/>
        <w:numPr>
          <w:ilvl w:val="0"/>
          <w:numId w:val="4"/>
        </w:numPr>
      </w:pPr>
      <w:r>
        <w:t xml:space="preserve">to ensure that any material terms disclosed on a website conform in all substantive respects to those mentioned over the </w:t>
      </w:r>
      <w:r w:rsidR="00DC3A4E">
        <w:t>air.</w:t>
      </w:r>
    </w:p>
    <w:p w14:paraId="4D6AC900" w14:textId="77777777" w:rsidR="00347DD5" w:rsidRDefault="00347DD5" w:rsidP="00347DD5">
      <w:pPr>
        <w:pStyle w:val="ListParagraph"/>
      </w:pPr>
    </w:p>
    <w:p w14:paraId="14ADD926" w14:textId="77777777" w:rsidR="00B35D50" w:rsidRDefault="00347DD5" w:rsidP="00B83BF7">
      <w:pPr>
        <w:pStyle w:val="ParaNum"/>
      </w:pPr>
      <w:r w:rsidRPr="00AF0DB5">
        <w:rPr>
          <w:i/>
        </w:rPr>
        <w:t>Other Compliance Requirements</w:t>
      </w:r>
      <w:r>
        <w:t xml:space="preserve">.  The </w:t>
      </w:r>
      <w:r w:rsidR="00AF0DB5" w:rsidRPr="00AF0DB5">
        <w:rPr>
          <w:i/>
        </w:rPr>
        <w:t xml:space="preserve">Order </w:t>
      </w:r>
      <w:r w:rsidR="00AF0DB5">
        <w:t xml:space="preserve">does not adopt other compliance requirements.  </w:t>
      </w:r>
    </w:p>
    <w:p w14:paraId="6C70399B" w14:textId="77777777" w:rsidR="003F3B01" w:rsidRDefault="003F3B01" w:rsidP="00B83BF7">
      <w:pPr>
        <w:pStyle w:val="ParaNum"/>
      </w:pPr>
      <w:r>
        <w:t xml:space="preserve">Based on the record, we </w:t>
      </w:r>
      <w:r w:rsidR="00DD561F">
        <w:t>cannot</w:t>
      </w:r>
      <w:r>
        <w:t xml:space="preserve"> estimate with precision the impact of the rules adopted in the </w:t>
      </w:r>
      <w:r>
        <w:rPr>
          <w:i/>
        </w:rPr>
        <w:t>Order</w:t>
      </w:r>
      <w:r>
        <w:t xml:space="preserve"> on small entities.  However, the rule revisions will afford all licensees, including small broadcasters, greater flexibility in their manner of compliance with the Contest Rule.  In addition, we note that some of the rule revisions were derived from the Petition for Rulemaking in this proceeding, which was unopposed and supported by all commenters, including small broadcasters.  Thus, we find it reasonable to conclude that any costs or burdens on small entities resulting from the requirements will be outweighed by the benefits. </w:t>
      </w:r>
      <w:r w:rsidRPr="00590BD5">
        <w:t xml:space="preserve"> </w:t>
      </w:r>
    </w:p>
    <w:p w14:paraId="285ECEFE" w14:textId="77777777" w:rsidR="00EA33AB" w:rsidRDefault="00EA33AB" w:rsidP="00AC6F02">
      <w:pPr>
        <w:pStyle w:val="Heading2"/>
      </w:pPr>
      <w:bookmarkStart w:id="51" w:name="_Toc394663461"/>
      <w:bookmarkStart w:id="52" w:name="_Toc401909718"/>
      <w:bookmarkStart w:id="53" w:name="_Toc402428427"/>
      <w:bookmarkStart w:id="54" w:name="_Toc403718724"/>
      <w:r>
        <w:t>Steps Taken to Minimize Significant Economic Impact on Small Entities, and Significant Alternatives Considered</w:t>
      </w:r>
      <w:bookmarkEnd w:id="51"/>
      <w:bookmarkEnd w:id="52"/>
      <w:bookmarkEnd w:id="53"/>
      <w:bookmarkEnd w:id="54"/>
    </w:p>
    <w:p w14:paraId="5837BE76" w14:textId="77777777" w:rsidR="00EA33AB" w:rsidRDefault="00EA33AB" w:rsidP="00B83BF7">
      <w:pPr>
        <w:pStyle w:val="ParaNum"/>
      </w:pPr>
      <w:r w:rsidRPr="00EA33AB">
        <w:t>The RFA requires an agency to describe any significant</w:t>
      </w:r>
      <w:r w:rsidR="00AC6AD6">
        <w:t>, specifically small business,</w:t>
      </w:r>
      <w:r w:rsidRPr="00EA33AB">
        <w:t xml:space="preserve"> alternatives that it has considered in reaching its proposed approach, which may include the following four alternatives (among others): </w:t>
      </w:r>
      <w:r w:rsidR="00AC6AD6">
        <w:t xml:space="preserve"> </w:t>
      </w:r>
      <w:r w:rsidRPr="00EA33AB">
        <w:t xml:space="preserve">(1) the establishment of differing compliance or reporting requirements or timetables that take into account the resources available to small entities; (2) the clarification, consolidation, or simplification of compliance </w:t>
      </w:r>
      <w:r w:rsidR="00AC6AD6">
        <w:t>and</w:t>
      </w:r>
      <w:r w:rsidRPr="00EA33AB">
        <w:t xml:space="preserve"> reporting requirements under the rule for </w:t>
      </w:r>
      <w:r w:rsidR="00AC6AD6">
        <w:t xml:space="preserve">such </w:t>
      </w:r>
      <w:r w:rsidRPr="00EA33AB">
        <w:t>small entities; (3) the use of performance, rather than design, standards; and (4) an exemption from coverage of the rule, or any part thereof, for small entities.</w:t>
      </w:r>
      <w:r>
        <w:rPr>
          <w:rStyle w:val="FootnoteReference"/>
        </w:rPr>
        <w:footnoteReference w:id="97"/>
      </w:r>
    </w:p>
    <w:p w14:paraId="6D92AD0D" w14:textId="08C373CC" w:rsidR="00347DD5" w:rsidRDefault="00347DD5" w:rsidP="00B83BF7">
      <w:pPr>
        <w:pStyle w:val="ParaNum"/>
      </w:pPr>
      <w:r>
        <w:t xml:space="preserve">The accompanying </w:t>
      </w:r>
      <w:r w:rsidR="00D93205">
        <w:rPr>
          <w:i/>
        </w:rPr>
        <w:t>Order</w:t>
      </w:r>
      <w:r>
        <w:t xml:space="preserve"> amend</w:t>
      </w:r>
      <w:r w:rsidR="00D93205">
        <w:t>s</w:t>
      </w:r>
      <w:r>
        <w:t xml:space="preserve"> Section 73.1216 of the Commission’s rules by allowing all licensees, including small broadcasters, to </w:t>
      </w:r>
      <w:r w:rsidR="00B35D50">
        <w:t>meet</w:t>
      </w:r>
      <w:r>
        <w:t xml:space="preserve"> their obligation to disclose material contest terms either through broadcast announcements or by </w:t>
      </w:r>
      <w:r w:rsidRPr="003B15B5">
        <w:t>making such terms available in writing on a publicly</w:t>
      </w:r>
      <w:r>
        <w:t xml:space="preserve"> </w:t>
      </w:r>
      <w:r w:rsidRPr="003B15B5">
        <w:t>accessible Internet website</w:t>
      </w:r>
      <w:r>
        <w:t xml:space="preserve">.  This revision to the rule </w:t>
      </w:r>
      <w:r w:rsidR="009915BD">
        <w:t>is</w:t>
      </w:r>
      <w:r>
        <w:t xml:space="preserve"> intended to give broadcasters greater flexibility in </w:t>
      </w:r>
      <w:r w:rsidR="00B35D50">
        <w:t>the manner by which they satisfy</w:t>
      </w:r>
      <w:r>
        <w:t xml:space="preserve"> their obligation to disclose material contest terms, while ensuring adequate notice of such terms to the public.  Whereas under the current rule, licensees must expend time and resources developing broadcast messages that adequately disclose important contest information, </w:t>
      </w:r>
      <w:r w:rsidR="00D93205">
        <w:t xml:space="preserve">under the revised rule, </w:t>
      </w:r>
      <w:r>
        <w:t xml:space="preserve">licensees will have the option to disclose such information through </w:t>
      </w:r>
      <w:r w:rsidR="009915BD">
        <w:t xml:space="preserve">the Internet.  Permitting disclosure through this additional </w:t>
      </w:r>
      <w:r>
        <w:t xml:space="preserve">method </w:t>
      </w:r>
      <w:r w:rsidR="003F3B01">
        <w:t xml:space="preserve">likely </w:t>
      </w:r>
      <w:r w:rsidR="009915BD">
        <w:t xml:space="preserve">is </w:t>
      </w:r>
      <w:r>
        <w:t>less costly and administratively burdensome</w:t>
      </w:r>
      <w:r w:rsidR="009915BD">
        <w:t xml:space="preserve"> for licensees</w:t>
      </w:r>
      <w:r w:rsidR="008A5B9F">
        <w:t xml:space="preserve">, </w:t>
      </w:r>
      <w:r w:rsidR="003F3B01">
        <w:t xml:space="preserve">including </w:t>
      </w:r>
      <w:r w:rsidR="009915BD">
        <w:t>small</w:t>
      </w:r>
      <w:r w:rsidR="008A5B9F">
        <w:t xml:space="preserve"> entities</w:t>
      </w:r>
      <w:r>
        <w:t>.  O</w:t>
      </w:r>
      <w:r w:rsidRPr="003D67D2">
        <w:t>ne commenter has estimated</w:t>
      </w:r>
      <w:r>
        <w:t>, for example,</w:t>
      </w:r>
      <w:r w:rsidRPr="003D67D2">
        <w:t xml:space="preserve"> that as much as two hours that are presently devoted by licensees to the production of contest-related broadcast spots will be s</w:t>
      </w:r>
      <w:r>
        <w:t>pared</w:t>
      </w:r>
      <w:r w:rsidRPr="003D67D2">
        <w:t>.</w:t>
      </w:r>
      <w:r>
        <w:t xml:space="preserve">  Moreover, the air time that is likely to be freed up as a result of more abbreviated contest-related announcements could be used for </w:t>
      </w:r>
      <w:r w:rsidR="00F41E22">
        <w:t>non-contest-related programming</w:t>
      </w:r>
      <w:r>
        <w:t>.  As noted</w:t>
      </w:r>
      <w:r w:rsidR="003F3B01">
        <w:t xml:space="preserve"> above</w:t>
      </w:r>
      <w:r>
        <w:t xml:space="preserve">, the Petition for Rulemaking in this proceeding was uniformly supported by commenting parties, including small entities.  Thus, we </w:t>
      </w:r>
      <w:r w:rsidR="003F3B01">
        <w:t>expect that the rule r</w:t>
      </w:r>
      <w:r>
        <w:t>evisions adopted</w:t>
      </w:r>
      <w:r w:rsidR="003F3B01">
        <w:t xml:space="preserve"> in the </w:t>
      </w:r>
      <w:r w:rsidR="003F3B01">
        <w:rPr>
          <w:i/>
        </w:rPr>
        <w:t>Order</w:t>
      </w:r>
      <w:r>
        <w:t xml:space="preserve"> will benefit</w:t>
      </w:r>
      <w:r w:rsidR="003F3B01">
        <w:t xml:space="preserve"> small broadcast entities.</w:t>
      </w:r>
    </w:p>
    <w:p w14:paraId="2305FB69" w14:textId="77777777" w:rsidR="00912727" w:rsidRDefault="00912727" w:rsidP="00912727">
      <w:pPr>
        <w:tabs>
          <w:tab w:val="num" w:pos="1530"/>
        </w:tabs>
        <w:spacing w:after="120"/>
        <w:ind w:left="720"/>
        <w:sectPr w:rsidR="00912727"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14:paraId="17472126" w14:textId="77777777" w:rsidR="00827741" w:rsidRPr="005577AD" w:rsidRDefault="00827741" w:rsidP="00827741">
      <w:pPr>
        <w:jc w:val="center"/>
        <w:rPr>
          <w:b/>
          <w:bCs/>
          <w:caps/>
          <w:szCs w:val="22"/>
        </w:rPr>
      </w:pPr>
      <w:r w:rsidRPr="005577AD">
        <w:rPr>
          <w:b/>
          <w:bCs/>
          <w:caps/>
          <w:szCs w:val="22"/>
        </w:rPr>
        <w:t>Statement of</w:t>
      </w:r>
    </w:p>
    <w:p w14:paraId="1ECF716B" w14:textId="5E3DE7EF" w:rsidR="00827741" w:rsidRPr="005577AD" w:rsidRDefault="00827741" w:rsidP="00827741">
      <w:pPr>
        <w:jc w:val="center"/>
        <w:rPr>
          <w:b/>
          <w:bCs/>
          <w:caps/>
          <w:szCs w:val="22"/>
        </w:rPr>
      </w:pPr>
      <w:r>
        <w:rPr>
          <w:b/>
          <w:bCs/>
          <w:caps/>
          <w:szCs w:val="22"/>
        </w:rPr>
        <w:t>CHAIRMAN T</w:t>
      </w:r>
      <w:r w:rsidR="0031747D">
        <w:rPr>
          <w:b/>
          <w:bCs/>
          <w:caps/>
          <w:szCs w:val="22"/>
        </w:rPr>
        <w:t>OM</w:t>
      </w:r>
      <w:r>
        <w:rPr>
          <w:b/>
          <w:bCs/>
          <w:caps/>
          <w:szCs w:val="22"/>
        </w:rPr>
        <w:t xml:space="preserve"> WHEELER</w:t>
      </w:r>
    </w:p>
    <w:p w14:paraId="173EDBB5" w14:textId="77777777" w:rsidR="00827741" w:rsidRPr="005577AD" w:rsidRDefault="00827741" w:rsidP="00827741">
      <w:pPr>
        <w:jc w:val="center"/>
        <w:rPr>
          <w:b/>
          <w:bCs/>
          <w:caps/>
          <w:szCs w:val="22"/>
        </w:rPr>
      </w:pPr>
    </w:p>
    <w:p w14:paraId="617F6D51" w14:textId="77777777" w:rsidR="00827741" w:rsidRPr="005577AD" w:rsidRDefault="00827741" w:rsidP="00827741">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Amendment of Section 73.1216 of the Commission’s Rules Related to Broadcast Licensee-Conducted Contests</w:t>
      </w:r>
      <w:r w:rsidRPr="005577AD">
        <w:rPr>
          <w:iCs/>
          <w:szCs w:val="22"/>
        </w:rPr>
        <w:t xml:space="preserve">, </w:t>
      </w:r>
      <w:r>
        <w:rPr>
          <w:iCs/>
          <w:szCs w:val="22"/>
        </w:rPr>
        <w:t>MB Docket No. 14</w:t>
      </w:r>
      <w:r w:rsidRPr="005577AD">
        <w:rPr>
          <w:iCs/>
          <w:szCs w:val="22"/>
        </w:rPr>
        <w:t>-</w:t>
      </w:r>
      <w:r>
        <w:rPr>
          <w:iCs/>
          <w:szCs w:val="22"/>
        </w:rPr>
        <w:t>226</w:t>
      </w:r>
      <w:r w:rsidRPr="005577AD">
        <w:rPr>
          <w:iCs/>
          <w:szCs w:val="22"/>
        </w:rPr>
        <w:t>.</w:t>
      </w:r>
    </w:p>
    <w:p w14:paraId="670A8F5D" w14:textId="77777777" w:rsidR="00A53293" w:rsidRDefault="00A53293" w:rsidP="00A53293">
      <w:pPr>
        <w:rPr>
          <w:sz w:val="24"/>
          <w:szCs w:val="24"/>
        </w:rPr>
      </w:pPr>
    </w:p>
    <w:p w14:paraId="1B2AE0F8" w14:textId="77777777" w:rsidR="00A53293" w:rsidRPr="00A53293" w:rsidRDefault="00A53293" w:rsidP="00A53293">
      <w:pPr>
        <w:ind w:firstLine="720"/>
        <w:rPr>
          <w:szCs w:val="22"/>
        </w:rPr>
      </w:pPr>
      <w:r w:rsidRPr="00A53293">
        <w:rPr>
          <w:szCs w:val="22"/>
        </w:rPr>
        <w:t>If you are listening to the radio or watching TV, chances are it won’t be long until you hear about you’re chance to win concert tickets, cash prizes, or maybe even a new car. Chances are this offer to enter-and-win a contest will also be followed by the disclosure of contest rules that are either read too quickly to understand or printed too small on the screen to read. These disclosures are required by the FCC to protect consumers, but their inaccessibility can make them likely to sow confusion. Today, the FCC is updating our Contest Rules for the Internet age, giving broadcasters the flexibility to disclose contest guidelines online and making it easier for consumers to access the information they need.</w:t>
      </w:r>
    </w:p>
    <w:p w14:paraId="57053913" w14:textId="77777777" w:rsidR="00A53293" w:rsidRPr="00A53293" w:rsidRDefault="00A53293" w:rsidP="00A53293">
      <w:pPr>
        <w:ind w:firstLine="720"/>
        <w:rPr>
          <w:szCs w:val="22"/>
        </w:rPr>
      </w:pPr>
    </w:p>
    <w:p w14:paraId="7E6B6378" w14:textId="77777777" w:rsidR="00A53293" w:rsidRPr="00A53293" w:rsidRDefault="00A53293" w:rsidP="00A53293">
      <w:pPr>
        <w:ind w:firstLine="720"/>
        <w:rPr>
          <w:szCs w:val="22"/>
        </w:rPr>
      </w:pPr>
      <w:r w:rsidRPr="00A53293">
        <w:rPr>
          <w:szCs w:val="22"/>
        </w:rPr>
        <w:t>Almost forty years ago, the Commission adopted the Contest Rule out of concern about the way in which broadcasters were conducting contests over the air. The Rule ensured that broadcasters would conduct contests fairly and substantially as represented to the public.</w:t>
      </w:r>
    </w:p>
    <w:p w14:paraId="78D3DD10" w14:textId="77777777" w:rsidR="00A53293" w:rsidRPr="00A53293" w:rsidRDefault="00A53293" w:rsidP="00A53293">
      <w:pPr>
        <w:ind w:firstLine="720"/>
        <w:rPr>
          <w:szCs w:val="22"/>
        </w:rPr>
      </w:pPr>
    </w:p>
    <w:p w14:paraId="72D4B35C" w14:textId="77777777" w:rsidR="00A53293" w:rsidRPr="00A53293" w:rsidRDefault="00A53293" w:rsidP="00A53293">
      <w:pPr>
        <w:ind w:firstLine="720"/>
        <w:rPr>
          <w:szCs w:val="22"/>
        </w:rPr>
      </w:pPr>
      <w:r w:rsidRPr="00A53293">
        <w:rPr>
          <w:szCs w:val="22"/>
        </w:rPr>
        <w:t>When the Contest Rule was adopted, on-air announcements were the only practical way to disclose important contest information. Fast forward to today, and that is no longer the case.</w:t>
      </w:r>
    </w:p>
    <w:p w14:paraId="64F1B6B2" w14:textId="77777777" w:rsidR="00A53293" w:rsidRPr="00A53293" w:rsidRDefault="00A53293" w:rsidP="00A53293">
      <w:pPr>
        <w:ind w:firstLine="720"/>
        <w:rPr>
          <w:szCs w:val="22"/>
        </w:rPr>
      </w:pPr>
    </w:p>
    <w:p w14:paraId="27FAC89F" w14:textId="77777777" w:rsidR="00A53293" w:rsidRPr="00A53293" w:rsidRDefault="00A53293" w:rsidP="00A53293">
      <w:pPr>
        <w:ind w:firstLine="720"/>
        <w:rPr>
          <w:szCs w:val="22"/>
        </w:rPr>
      </w:pPr>
      <w:r w:rsidRPr="00A53293">
        <w:rPr>
          <w:szCs w:val="22"/>
        </w:rPr>
        <w:t>Broadcasters have called for the Commission to modernize the Contest Rule to reflect how Americans access information in the 21st Century.  To that end, the Report and Order updates the Contest Rule to allow broadcasters to disclose material contest information either through broadcast announcements, as required under the current Rule, or by making such information available online.  In addition, the Order adopts certain requirements that define the disclosure obligation in cases where a broadcaster chooses to meet that obligation using an Internet website.</w:t>
      </w:r>
    </w:p>
    <w:p w14:paraId="5AEF3C33" w14:textId="77777777" w:rsidR="00A53293" w:rsidRPr="00A53293" w:rsidRDefault="00A53293" w:rsidP="00A53293">
      <w:pPr>
        <w:ind w:firstLine="720"/>
        <w:rPr>
          <w:szCs w:val="22"/>
        </w:rPr>
      </w:pPr>
    </w:p>
    <w:p w14:paraId="26E55276" w14:textId="77777777" w:rsidR="00A53293" w:rsidRPr="00A53293" w:rsidRDefault="00A53293" w:rsidP="00A53293">
      <w:pPr>
        <w:ind w:firstLine="720"/>
        <w:rPr>
          <w:szCs w:val="22"/>
        </w:rPr>
      </w:pPr>
      <w:r w:rsidRPr="00A53293">
        <w:rPr>
          <w:szCs w:val="22"/>
        </w:rPr>
        <w:t>While today’s Order updates the Contest Rule, it preserves its core principles.  Regardless of the medium of disclosure, broadcasters are still obligated to provide complete, accurate, and timely information about the contests they conduct, to ensure that such information is not false, misleading, or deceptive, and to conduct their contests substantially as announced.</w:t>
      </w:r>
    </w:p>
    <w:p w14:paraId="46993BDA" w14:textId="77777777" w:rsidR="00A53293" w:rsidRPr="00A53293" w:rsidRDefault="00A53293" w:rsidP="00A53293">
      <w:pPr>
        <w:ind w:firstLine="720"/>
        <w:rPr>
          <w:szCs w:val="22"/>
        </w:rPr>
      </w:pPr>
    </w:p>
    <w:p w14:paraId="7F9A02DE" w14:textId="77777777" w:rsidR="00A53293" w:rsidRPr="00A53293" w:rsidRDefault="00A53293" w:rsidP="00A53293">
      <w:pPr>
        <w:ind w:firstLine="720"/>
        <w:rPr>
          <w:szCs w:val="22"/>
        </w:rPr>
      </w:pPr>
      <w:r w:rsidRPr="00A53293">
        <w:rPr>
          <w:szCs w:val="22"/>
        </w:rPr>
        <w:t>Modernizing the Contest Rule is uniformly supported by commenters and serves the public interest.  Under the revised Rule, broadcasters will have more flexibility in how they meet their disclosure obligation and consumers will have improved access to important contest information.  For example, in cases where a broadcaster chooses to disclose contest terms online, consumers will be able to access those terms “</w:t>
      </w:r>
      <w:r w:rsidRPr="00A53293">
        <w:rPr>
          <w:i/>
          <w:szCs w:val="22"/>
        </w:rPr>
        <w:t>on demand</w:t>
      </w:r>
      <w:r w:rsidRPr="00A53293">
        <w:rPr>
          <w:szCs w:val="22"/>
        </w:rPr>
        <w:t>” and review them at their convenience.</w:t>
      </w:r>
    </w:p>
    <w:p w14:paraId="526CF556" w14:textId="77777777" w:rsidR="00A53293" w:rsidRPr="00A53293" w:rsidRDefault="00A53293" w:rsidP="00A53293">
      <w:pPr>
        <w:ind w:firstLine="720"/>
        <w:rPr>
          <w:szCs w:val="22"/>
        </w:rPr>
      </w:pPr>
    </w:p>
    <w:p w14:paraId="390CB34B" w14:textId="77777777" w:rsidR="00A53293" w:rsidRPr="00A53293" w:rsidRDefault="00A53293" w:rsidP="00A53293">
      <w:pPr>
        <w:ind w:firstLine="720"/>
        <w:rPr>
          <w:szCs w:val="22"/>
        </w:rPr>
      </w:pPr>
      <w:r w:rsidRPr="00A53293">
        <w:rPr>
          <w:szCs w:val="22"/>
        </w:rPr>
        <w:t>Permitting online disclosure of contest terms meets consumer expectations about how to obtain important contest information and capitalizes on the Internet’s ability to efficiently disseminate information to the public.</w:t>
      </w:r>
    </w:p>
    <w:p w14:paraId="37470FED" w14:textId="77777777" w:rsidR="00A53293" w:rsidRPr="00A53293" w:rsidRDefault="00A53293" w:rsidP="00A53293">
      <w:pPr>
        <w:ind w:firstLine="720"/>
        <w:rPr>
          <w:szCs w:val="22"/>
        </w:rPr>
      </w:pPr>
    </w:p>
    <w:p w14:paraId="3C3ABC1B" w14:textId="77777777" w:rsidR="00A53293" w:rsidRPr="00A53293" w:rsidRDefault="00A53293" w:rsidP="00A53293">
      <w:pPr>
        <w:ind w:firstLine="720"/>
        <w:rPr>
          <w:szCs w:val="22"/>
        </w:rPr>
      </w:pPr>
      <w:r w:rsidRPr="00A53293">
        <w:rPr>
          <w:szCs w:val="22"/>
        </w:rPr>
        <w:t>Contests are a time-tested way for broadcasters to engage with their local audience and build relationships. Updating our rules to allow use of the Internet to disclose contest information is a common-sense move that will benefit both broadcasters and consumers. Everybody’s a winner.</w:t>
      </w:r>
    </w:p>
    <w:p w14:paraId="344F3CD0" w14:textId="77777777" w:rsidR="00A53293" w:rsidRPr="00A53293" w:rsidRDefault="00A53293" w:rsidP="00A53293">
      <w:pPr>
        <w:ind w:firstLine="720"/>
        <w:rPr>
          <w:szCs w:val="22"/>
        </w:rPr>
      </w:pPr>
    </w:p>
    <w:p w14:paraId="5EDCCBB5" w14:textId="77777777" w:rsidR="00A53293" w:rsidRPr="00A53293" w:rsidRDefault="00A53293" w:rsidP="00A53293">
      <w:pPr>
        <w:ind w:firstLine="720"/>
        <w:rPr>
          <w:szCs w:val="22"/>
        </w:rPr>
      </w:pPr>
      <w:r w:rsidRPr="00A53293">
        <w:rPr>
          <w:szCs w:val="22"/>
        </w:rPr>
        <w:t xml:space="preserve">Thank you to the Media Bureau for their work on this item. </w:t>
      </w:r>
    </w:p>
    <w:p w14:paraId="747F90D9" w14:textId="77777777" w:rsidR="00A53293" w:rsidRDefault="00A53293" w:rsidP="00912727">
      <w:pPr>
        <w:tabs>
          <w:tab w:val="num" w:pos="1530"/>
        </w:tabs>
        <w:spacing w:after="120"/>
        <w:ind w:left="720"/>
        <w:sectPr w:rsidR="00A53293"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14:paraId="6BA302AF" w14:textId="77777777" w:rsidR="00827741" w:rsidRPr="00A53293" w:rsidRDefault="00827741" w:rsidP="00827741">
      <w:pPr>
        <w:jc w:val="center"/>
        <w:rPr>
          <w:b/>
          <w:bCs/>
          <w:caps/>
          <w:szCs w:val="22"/>
        </w:rPr>
      </w:pPr>
      <w:r w:rsidRPr="00A53293">
        <w:rPr>
          <w:b/>
          <w:bCs/>
          <w:caps/>
          <w:szCs w:val="22"/>
        </w:rPr>
        <w:t>Statement of</w:t>
      </w:r>
    </w:p>
    <w:p w14:paraId="67AAE191" w14:textId="239FE69F" w:rsidR="00827741" w:rsidRPr="00A53293" w:rsidRDefault="00827741" w:rsidP="00827741">
      <w:pPr>
        <w:jc w:val="center"/>
        <w:rPr>
          <w:b/>
          <w:bCs/>
          <w:caps/>
          <w:szCs w:val="22"/>
        </w:rPr>
      </w:pPr>
      <w:r w:rsidRPr="00A53293">
        <w:rPr>
          <w:b/>
          <w:bCs/>
          <w:caps/>
          <w:szCs w:val="22"/>
        </w:rPr>
        <w:t xml:space="preserve">COMMISSIONER MIGNON </w:t>
      </w:r>
      <w:r w:rsidR="0031747D" w:rsidRPr="00A53293">
        <w:rPr>
          <w:b/>
          <w:bCs/>
          <w:caps/>
          <w:szCs w:val="22"/>
        </w:rPr>
        <w:t xml:space="preserve">L. </w:t>
      </w:r>
      <w:r w:rsidRPr="00A53293">
        <w:rPr>
          <w:b/>
          <w:bCs/>
          <w:caps/>
          <w:szCs w:val="22"/>
        </w:rPr>
        <w:t>CLYBURN</w:t>
      </w:r>
    </w:p>
    <w:p w14:paraId="219C6A65" w14:textId="77777777" w:rsidR="00827741" w:rsidRPr="00A53293" w:rsidRDefault="00827741" w:rsidP="00827741">
      <w:pPr>
        <w:jc w:val="center"/>
        <w:rPr>
          <w:b/>
          <w:bCs/>
          <w:caps/>
          <w:szCs w:val="22"/>
        </w:rPr>
      </w:pPr>
    </w:p>
    <w:p w14:paraId="2975FF34" w14:textId="77777777" w:rsidR="00B67B56" w:rsidRPr="005577AD" w:rsidRDefault="00B67B56" w:rsidP="00B67B56">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Amendment of Section 73.1216 of the Commission’s Rules Related to Broadcast Licensee-Conducted Contests</w:t>
      </w:r>
      <w:r w:rsidRPr="005577AD">
        <w:rPr>
          <w:iCs/>
          <w:szCs w:val="22"/>
        </w:rPr>
        <w:t xml:space="preserve">, </w:t>
      </w:r>
      <w:r>
        <w:rPr>
          <w:iCs/>
          <w:szCs w:val="22"/>
        </w:rPr>
        <w:t>MB Docket No. 14</w:t>
      </w:r>
      <w:r w:rsidRPr="005577AD">
        <w:rPr>
          <w:iCs/>
          <w:szCs w:val="22"/>
        </w:rPr>
        <w:t>-</w:t>
      </w:r>
      <w:r>
        <w:rPr>
          <w:iCs/>
          <w:szCs w:val="22"/>
        </w:rPr>
        <w:t>226</w:t>
      </w:r>
      <w:r w:rsidRPr="005577AD">
        <w:rPr>
          <w:iCs/>
          <w:szCs w:val="22"/>
        </w:rPr>
        <w:t>.</w:t>
      </w:r>
    </w:p>
    <w:p w14:paraId="024853E2" w14:textId="77777777" w:rsidR="00912727" w:rsidRPr="00A53293" w:rsidRDefault="00912727" w:rsidP="00912727">
      <w:pPr>
        <w:tabs>
          <w:tab w:val="num" w:pos="1530"/>
        </w:tabs>
        <w:spacing w:after="120"/>
        <w:ind w:left="720"/>
        <w:rPr>
          <w:szCs w:val="22"/>
        </w:rPr>
      </w:pPr>
    </w:p>
    <w:p w14:paraId="1A86CCE4" w14:textId="77777777" w:rsidR="00A53293" w:rsidRPr="00A53293" w:rsidRDefault="00A53293" w:rsidP="00A53293">
      <w:pPr>
        <w:ind w:firstLine="720"/>
        <w:rPr>
          <w:szCs w:val="22"/>
        </w:rPr>
      </w:pPr>
      <w:r w:rsidRPr="00A53293">
        <w:rPr>
          <w:szCs w:val="22"/>
        </w:rPr>
        <w:t>1976 was a pretty eventful year in the United States. The nation marked the Bicentennial of the American Revolution with a scores of observances and festivities, culminating on Sunday, July 4</w:t>
      </w:r>
      <w:r w:rsidRPr="00A53293">
        <w:rPr>
          <w:szCs w:val="22"/>
          <w:vertAlign w:val="superscript"/>
        </w:rPr>
        <w:t>th</w:t>
      </w:r>
      <w:r w:rsidRPr="00A53293">
        <w:rPr>
          <w:szCs w:val="22"/>
        </w:rPr>
        <w:t>, with the 200</w:t>
      </w:r>
      <w:r w:rsidRPr="00A53293">
        <w:rPr>
          <w:szCs w:val="22"/>
          <w:vertAlign w:val="superscript"/>
        </w:rPr>
        <w:t>th</w:t>
      </w:r>
      <w:r w:rsidRPr="00A53293">
        <w:rPr>
          <w:szCs w:val="22"/>
        </w:rPr>
        <w:t xml:space="preserve"> anniversary celebration of the signing of the Declaration of Independence.  </w:t>
      </w:r>
    </w:p>
    <w:p w14:paraId="2041DE8D" w14:textId="77777777" w:rsidR="00A53293" w:rsidRPr="00A53293" w:rsidRDefault="00A53293" w:rsidP="00A53293">
      <w:pPr>
        <w:ind w:firstLine="720"/>
        <w:rPr>
          <w:szCs w:val="22"/>
        </w:rPr>
      </w:pPr>
    </w:p>
    <w:p w14:paraId="406F0EC2" w14:textId="77777777" w:rsidR="00A53293" w:rsidRPr="00A53293" w:rsidRDefault="00A53293" w:rsidP="00A53293">
      <w:pPr>
        <w:ind w:firstLine="720"/>
        <w:rPr>
          <w:szCs w:val="22"/>
        </w:rPr>
      </w:pPr>
      <w:r w:rsidRPr="00A53293">
        <w:rPr>
          <w:szCs w:val="22"/>
        </w:rPr>
        <w:t xml:space="preserve">In our nation’s capital, the Metro System would open its doors; Texas-state lawmaker Barbara Jordan, the first southern African American female elected to the U. S. House of Representatives, made history by keynoting a political convention; The Homebrew Computer Club, a group of hackers and entrepreneurs, met in Silicon Valley; two gentlemen named Steve, designed the First Apple Computer – “Apple 1”; Rocky – the original Rocky – was released in theaters; and FCC Chairman Dick Wiley announced that the major networks would launch a family hour in the Fall, while the country jammed to Wild Cherry’s “Play that Funky Music” and K.C. and the Sunshine Band’s “Shake, Shake, Shake.”  </w:t>
      </w:r>
    </w:p>
    <w:p w14:paraId="33EF75DB" w14:textId="77777777" w:rsidR="00A53293" w:rsidRPr="00A53293" w:rsidRDefault="00A53293" w:rsidP="00A53293">
      <w:pPr>
        <w:ind w:firstLine="720"/>
        <w:rPr>
          <w:szCs w:val="22"/>
        </w:rPr>
      </w:pPr>
    </w:p>
    <w:p w14:paraId="7F9610B3" w14:textId="77777777" w:rsidR="00A53293" w:rsidRPr="00A53293" w:rsidRDefault="00A53293" w:rsidP="00A53293">
      <w:pPr>
        <w:rPr>
          <w:szCs w:val="22"/>
        </w:rPr>
      </w:pPr>
      <w:r w:rsidRPr="00A53293">
        <w:rPr>
          <w:szCs w:val="22"/>
        </w:rPr>
        <w:tab/>
        <w:t>Making less news that year, was the FCC’s adoption of its Contest Rule, requiring the disclosure of material contest terms over the air by radio and television broadcasters.  That rule and the manner in which its obligations informed the public, were in sync with the information consumption patterns of forty years ago. Today, those patterns are as different and as varied as the platform options at our disposal.</w:t>
      </w:r>
    </w:p>
    <w:p w14:paraId="04892476" w14:textId="77777777" w:rsidR="00A53293" w:rsidRPr="00A53293" w:rsidRDefault="00A53293" w:rsidP="00A53293">
      <w:pPr>
        <w:rPr>
          <w:szCs w:val="22"/>
        </w:rPr>
      </w:pPr>
    </w:p>
    <w:p w14:paraId="3B0B9645" w14:textId="77777777" w:rsidR="00A53293" w:rsidRPr="00A53293" w:rsidRDefault="00A53293" w:rsidP="00A53293">
      <w:pPr>
        <w:rPr>
          <w:szCs w:val="22"/>
        </w:rPr>
      </w:pPr>
      <w:r w:rsidRPr="00A53293">
        <w:rPr>
          <w:szCs w:val="22"/>
        </w:rPr>
        <w:tab/>
        <w:t>Today’s Report and Order brings our Contest Rules up to date with how the public accesses and consumes information today, gives broadcasters the flexibility to disclose their contest terms online, and outlines reasonable guidelines that largely enjoy a consensus in the record, for online disclosures.</w:t>
      </w:r>
    </w:p>
    <w:p w14:paraId="1C486470" w14:textId="77777777" w:rsidR="00A53293" w:rsidRPr="00A53293" w:rsidRDefault="00A53293" w:rsidP="00A53293">
      <w:pPr>
        <w:rPr>
          <w:szCs w:val="22"/>
        </w:rPr>
      </w:pPr>
    </w:p>
    <w:p w14:paraId="469096A1" w14:textId="77777777" w:rsidR="00A53293" w:rsidRPr="00A53293" w:rsidRDefault="00A53293" w:rsidP="00A53293">
      <w:pPr>
        <w:rPr>
          <w:szCs w:val="22"/>
        </w:rPr>
      </w:pPr>
      <w:r w:rsidRPr="00A53293">
        <w:rPr>
          <w:szCs w:val="22"/>
        </w:rPr>
        <w:tab/>
        <w:t>And to those participating in the many contests and promotions sponsored by these stations, the days of trying to understand that announcer speaking at a mile a minute will be few and the opportunity to learn and interpret for yourselves the rules for winning concert tickets, dining experiences and cash prizes will be available on line even after the promotion ends.</w:t>
      </w:r>
    </w:p>
    <w:p w14:paraId="40A87B16" w14:textId="77777777" w:rsidR="00A53293" w:rsidRPr="00A53293" w:rsidRDefault="00A53293" w:rsidP="00912727">
      <w:pPr>
        <w:tabs>
          <w:tab w:val="num" w:pos="1530"/>
        </w:tabs>
        <w:spacing w:after="120"/>
        <w:ind w:left="720"/>
        <w:rPr>
          <w:szCs w:val="22"/>
        </w:rPr>
        <w:sectPr w:rsidR="00A53293" w:rsidRPr="00A53293"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14:paraId="5F5EE6EE" w14:textId="77777777" w:rsidR="00912727" w:rsidRPr="005577AD" w:rsidRDefault="00912727" w:rsidP="00912727">
      <w:pPr>
        <w:jc w:val="center"/>
        <w:rPr>
          <w:b/>
          <w:bCs/>
          <w:caps/>
          <w:szCs w:val="22"/>
        </w:rPr>
      </w:pPr>
      <w:r w:rsidRPr="005577AD">
        <w:rPr>
          <w:b/>
          <w:bCs/>
          <w:caps/>
          <w:szCs w:val="22"/>
        </w:rPr>
        <w:t>Statement of</w:t>
      </w:r>
    </w:p>
    <w:p w14:paraId="56CE1153" w14:textId="77777777" w:rsidR="00912727" w:rsidRPr="005577AD" w:rsidRDefault="00912727" w:rsidP="00912727">
      <w:pPr>
        <w:jc w:val="center"/>
        <w:rPr>
          <w:b/>
          <w:bCs/>
          <w:caps/>
          <w:szCs w:val="22"/>
        </w:rPr>
      </w:pPr>
      <w:r>
        <w:rPr>
          <w:b/>
          <w:bCs/>
          <w:caps/>
          <w:szCs w:val="22"/>
        </w:rPr>
        <w:t>COMMISSIONER</w:t>
      </w:r>
      <w:r w:rsidRPr="005577AD">
        <w:rPr>
          <w:b/>
          <w:bCs/>
          <w:caps/>
          <w:szCs w:val="22"/>
        </w:rPr>
        <w:t xml:space="preserve"> </w:t>
      </w:r>
      <w:r>
        <w:rPr>
          <w:b/>
          <w:bCs/>
          <w:caps/>
          <w:szCs w:val="22"/>
        </w:rPr>
        <w:t>AJIT PAI</w:t>
      </w:r>
    </w:p>
    <w:p w14:paraId="3A7B8754" w14:textId="77777777" w:rsidR="00912727" w:rsidRPr="005577AD" w:rsidRDefault="00912727" w:rsidP="00912727">
      <w:pPr>
        <w:jc w:val="center"/>
        <w:rPr>
          <w:b/>
          <w:bCs/>
          <w:caps/>
          <w:szCs w:val="22"/>
        </w:rPr>
      </w:pPr>
    </w:p>
    <w:p w14:paraId="6977F2CF" w14:textId="77777777" w:rsidR="00F83EA1" w:rsidRPr="005577AD" w:rsidRDefault="00F83EA1" w:rsidP="00F83EA1">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Amendment of Section 73.1216 of the Commission’s Rules Related to Broadcast Licensee-Conducted Contests</w:t>
      </w:r>
      <w:r w:rsidRPr="005577AD">
        <w:rPr>
          <w:iCs/>
          <w:szCs w:val="22"/>
        </w:rPr>
        <w:t xml:space="preserve">, </w:t>
      </w:r>
      <w:r>
        <w:rPr>
          <w:iCs/>
          <w:szCs w:val="22"/>
        </w:rPr>
        <w:t>MB Docket No. 14</w:t>
      </w:r>
      <w:r w:rsidRPr="005577AD">
        <w:rPr>
          <w:iCs/>
          <w:szCs w:val="22"/>
        </w:rPr>
        <w:t>-</w:t>
      </w:r>
      <w:r>
        <w:rPr>
          <w:iCs/>
          <w:szCs w:val="22"/>
        </w:rPr>
        <w:t>226</w:t>
      </w:r>
      <w:r w:rsidRPr="005577AD">
        <w:rPr>
          <w:iCs/>
          <w:szCs w:val="22"/>
        </w:rPr>
        <w:t>.</w:t>
      </w:r>
    </w:p>
    <w:p w14:paraId="0D16AC79" w14:textId="77777777" w:rsidR="00912727" w:rsidRPr="005577AD" w:rsidRDefault="00912727" w:rsidP="00912727">
      <w:pPr>
        <w:ind w:firstLine="720"/>
        <w:rPr>
          <w:szCs w:val="22"/>
        </w:rPr>
      </w:pPr>
    </w:p>
    <w:p w14:paraId="39E34AC4" w14:textId="77777777" w:rsidR="00912727" w:rsidRDefault="00912727" w:rsidP="00912727">
      <w:r>
        <w:tab/>
      </w:r>
      <w:r w:rsidRPr="002944A5">
        <w:t xml:space="preserve">In 1992, two high school students </w:t>
      </w:r>
      <w:r>
        <w:t>tried</w:t>
      </w:r>
      <w:r w:rsidRPr="002944A5">
        <w:t xml:space="preserve"> to rig a radio contest where the tenth caller would win a trip to Hawaii</w:t>
      </w:r>
      <w:r>
        <w:t xml:space="preserve">.  One posed as a telephone company employee purporting to check on the status of the radio station’s phone.  But in reality, he was blocking calls to the station until the other student’s call could be put through.  The two students were Screech and Zack, from the iconic television show </w:t>
      </w:r>
      <w:r w:rsidRPr="002944A5">
        <w:rPr>
          <w:i/>
        </w:rPr>
        <w:t>Saved by the Bell</w:t>
      </w:r>
      <w:r>
        <w:t xml:space="preserve">.      </w:t>
      </w:r>
    </w:p>
    <w:p w14:paraId="5FB80C81" w14:textId="77777777" w:rsidR="00912727" w:rsidRDefault="00912727" w:rsidP="00912727"/>
    <w:p w14:paraId="32C49FC2" w14:textId="77777777" w:rsidR="00912727" w:rsidRDefault="00912727" w:rsidP="00912727">
      <w:r>
        <w:tab/>
        <w:t>Much has changed since 1992.  But one thing that hasn’t is the FCC’s Contest Rule, which was adopted way back in 1976.</w:t>
      </w:r>
      <w:r>
        <w:rPr>
          <w:rStyle w:val="FootnoteReference"/>
        </w:rPr>
        <w:footnoteReference w:id="98"/>
      </w:r>
      <w:r>
        <w:t xml:space="preserve">  When Zack, Screech, Kelly, and A.C. were roaming the halls of Bayside High School, it might have made sense for the Commission to require broadcasters to periodically disclose over the air all of a contest’s material terms.  But in 2015, this requirement reflects neither current technology nor how Americans consume information.  Indeed, announcements of contest terms aren’t exactly compelling content, and they can cause listeners to turn the dial.</w:t>
      </w:r>
    </w:p>
    <w:p w14:paraId="3C31A8B9" w14:textId="77777777" w:rsidR="00912727" w:rsidRDefault="00912727" w:rsidP="00912727"/>
    <w:p w14:paraId="5822937A" w14:textId="77777777" w:rsidR="00912727" w:rsidRDefault="00912727" w:rsidP="00912727">
      <w:r>
        <w:tab/>
        <w:t xml:space="preserve">That’s why, in the summer of 2013, I proposed that the Commission modernize the Contest Rule.  Specifically, at Pittsburgh’s KDKA, home to the nation’s first commercial radio broadcast, I suggested giving </w:t>
      </w:r>
      <w:r w:rsidRPr="00AA5BE2">
        <w:t xml:space="preserve">broadcasters the option of disclosing the material terms of </w:t>
      </w:r>
      <w:r>
        <w:t>a contest</w:t>
      </w:r>
      <w:r w:rsidRPr="00AA5BE2">
        <w:t xml:space="preserve"> on</w:t>
      </w:r>
      <w:r>
        <w:t xml:space="preserve"> air </w:t>
      </w:r>
      <w:r w:rsidRPr="000E4365">
        <w:rPr>
          <w:i/>
        </w:rPr>
        <w:t>or</w:t>
      </w:r>
      <w:r>
        <w:t xml:space="preserve"> in writing on</w:t>
      </w:r>
      <w:r w:rsidRPr="00AA5BE2">
        <w:t xml:space="preserve"> a publicly accessible website</w:t>
      </w:r>
      <w:r>
        <w:t xml:space="preserve">.  </w:t>
      </w:r>
    </w:p>
    <w:p w14:paraId="41809A18" w14:textId="77777777" w:rsidR="00912727" w:rsidRDefault="00912727" w:rsidP="00912727"/>
    <w:p w14:paraId="7DA45E56" w14:textId="77777777" w:rsidR="00912727" w:rsidRPr="00AA5BE2" w:rsidRDefault="00912727" w:rsidP="00912727">
      <w:pPr>
        <w:ind w:firstLine="720"/>
      </w:pPr>
      <w:r>
        <w:t xml:space="preserve">Today, I am pleased that the Commission is taking this simple and straightforward step.  Now, instead of trudging through each and every contest rule on air, a broadcaster can simply refer listeners to a publicly accessible website.  This flexibility will be good for broadcasters.  Moreover, posting contest rules online will be good for interested consumers, who will be able to review them whenever they want.  And critically, this change is consistent with the basic purposes of our Contest Rule, which are for broadcasters to provide full and accurate disclosures of contest terms and to conduct contests substantially as announced or advertised.  </w:t>
      </w:r>
    </w:p>
    <w:p w14:paraId="25C3FE5B" w14:textId="77777777" w:rsidR="00912727" w:rsidRPr="00AA5BE2" w:rsidRDefault="00912727" w:rsidP="00912727">
      <w:r>
        <w:t xml:space="preserve"> </w:t>
      </w:r>
    </w:p>
    <w:p w14:paraId="6B01BF4C" w14:textId="77777777" w:rsidR="00912727" w:rsidRPr="00AA5BE2" w:rsidRDefault="00912727" w:rsidP="00912727">
      <w:pPr>
        <w:ind w:firstLine="720"/>
      </w:pPr>
      <w:r>
        <w:t xml:space="preserve">I would like to thank Commissioner O’Rielly for his leadership on this issue and the staff of the Media Bureau for their work on this reform.  This is a good example of how the Commission can make sure that our rules reflect the modern marketplace.  From AM radio to the IP transition, I hope that we will continue to work together to ease outdated regulatory burdens in the months to come.  </w:t>
      </w:r>
    </w:p>
    <w:p w14:paraId="71749E04" w14:textId="77777777" w:rsidR="00912727" w:rsidRDefault="00912727" w:rsidP="00912727">
      <w:pPr>
        <w:tabs>
          <w:tab w:val="num" w:pos="1530"/>
        </w:tabs>
        <w:spacing w:after="120"/>
        <w:ind w:left="720"/>
        <w:sectPr w:rsidR="00912727"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14:paraId="1BDE5D31" w14:textId="77777777" w:rsidR="00912727" w:rsidRPr="005577AD" w:rsidRDefault="00912727" w:rsidP="00912727">
      <w:pPr>
        <w:jc w:val="center"/>
        <w:rPr>
          <w:b/>
          <w:bCs/>
          <w:caps/>
          <w:szCs w:val="22"/>
        </w:rPr>
      </w:pPr>
      <w:r w:rsidRPr="005577AD">
        <w:rPr>
          <w:b/>
          <w:bCs/>
          <w:caps/>
          <w:szCs w:val="22"/>
        </w:rPr>
        <w:t>Statement of</w:t>
      </w:r>
    </w:p>
    <w:p w14:paraId="3CA9D5C7" w14:textId="138E1CDB" w:rsidR="00912727" w:rsidRPr="005577AD" w:rsidRDefault="00912727" w:rsidP="00912727">
      <w:pPr>
        <w:jc w:val="center"/>
        <w:rPr>
          <w:b/>
          <w:bCs/>
          <w:caps/>
          <w:szCs w:val="22"/>
        </w:rPr>
      </w:pPr>
      <w:r>
        <w:rPr>
          <w:b/>
          <w:bCs/>
          <w:caps/>
          <w:szCs w:val="22"/>
        </w:rPr>
        <w:t>COMMISSIONER</w:t>
      </w:r>
      <w:r w:rsidRPr="005577AD">
        <w:rPr>
          <w:b/>
          <w:bCs/>
          <w:caps/>
          <w:szCs w:val="22"/>
        </w:rPr>
        <w:t xml:space="preserve"> </w:t>
      </w:r>
      <w:r>
        <w:rPr>
          <w:b/>
          <w:bCs/>
          <w:caps/>
          <w:szCs w:val="22"/>
        </w:rPr>
        <w:t>MICHAEL O’RIELLY</w:t>
      </w:r>
    </w:p>
    <w:p w14:paraId="5A7AF6E1" w14:textId="77777777" w:rsidR="00912727" w:rsidRPr="005577AD" w:rsidRDefault="00912727" w:rsidP="00912727">
      <w:pPr>
        <w:jc w:val="center"/>
        <w:rPr>
          <w:b/>
          <w:bCs/>
          <w:caps/>
          <w:szCs w:val="22"/>
        </w:rPr>
      </w:pPr>
    </w:p>
    <w:p w14:paraId="42FF725E" w14:textId="77777777" w:rsidR="00B06D09" w:rsidRPr="005577AD" w:rsidRDefault="00B06D09" w:rsidP="00B06D09">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Amendment of Section 73.1216 of the Commission’s Rules Related to Broadcast Licensee-Conducted Contests</w:t>
      </w:r>
      <w:r w:rsidRPr="005577AD">
        <w:rPr>
          <w:iCs/>
          <w:szCs w:val="22"/>
        </w:rPr>
        <w:t xml:space="preserve">, </w:t>
      </w:r>
      <w:r>
        <w:rPr>
          <w:iCs/>
          <w:szCs w:val="22"/>
        </w:rPr>
        <w:t>MB Docket No. 14</w:t>
      </w:r>
      <w:r w:rsidRPr="005577AD">
        <w:rPr>
          <w:iCs/>
          <w:szCs w:val="22"/>
        </w:rPr>
        <w:t>-</w:t>
      </w:r>
      <w:r>
        <w:rPr>
          <w:iCs/>
          <w:szCs w:val="22"/>
        </w:rPr>
        <w:t>226</w:t>
      </w:r>
      <w:r w:rsidRPr="005577AD">
        <w:rPr>
          <w:iCs/>
          <w:szCs w:val="22"/>
        </w:rPr>
        <w:t>.</w:t>
      </w:r>
    </w:p>
    <w:p w14:paraId="4DF5B514" w14:textId="77777777" w:rsidR="00912727" w:rsidRPr="005577AD" w:rsidRDefault="00912727" w:rsidP="00912727">
      <w:pPr>
        <w:ind w:left="720" w:hanging="720"/>
        <w:rPr>
          <w:i/>
          <w:iCs/>
          <w:szCs w:val="22"/>
        </w:rPr>
      </w:pPr>
    </w:p>
    <w:p w14:paraId="0AD9410E" w14:textId="77777777" w:rsidR="00912727" w:rsidRDefault="00912727" w:rsidP="00A53293">
      <w:pPr>
        <w:ind w:firstLine="720"/>
      </w:pPr>
      <w:r w:rsidRPr="00FD6E1C">
        <w:t>I am more than happy to support this Order updating requirements for consumer notification of the rules applicable to contests promoted on TV and radio.  With its origins in a Petition for Rulemaking filed in January 2012,</w:t>
      </w:r>
      <w:r>
        <w:rPr>
          <w:rStyle w:val="FootnoteReference"/>
        </w:rPr>
        <w:footnoteReference w:id="99"/>
      </w:r>
      <w:r w:rsidRPr="00FD6E1C">
        <w:t xml:space="preserve"> this is an idea whose time has come, and a common-sense update I championed on my blog early in my time at the Commission.  And while I can’t say that every one of my blog posts has gained this amount of traction, hope springs eternal</w:t>
      </w:r>
      <w:r>
        <w:t xml:space="preserve"> that this is a sign of more good things to come</w:t>
      </w:r>
      <w:r w:rsidRPr="00FD6E1C">
        <w:t>.</w:t>
      </w:r>
    </w:p>
    <w:p w14:paraId="308A8D71" w14:textId="77777777" w:rsidR="00A53293" w:rsidRPr="00FD6E1C" w:rsidRDefault="00A53293" w:rsidP="00912727"/>
    <w:p w14:paraId="4BA161FE" w14:textId="77777777" w:rsidR="00912727" w:rsidRDefault="00912727" w:rsidP="00A53293">
      <w:pPr>
        <w:ind w:firstLine="720"/>
      </w:pPr>
      <w:r w:rsidRPr="00FD6E1C">
        <w:t>The original Contest Rule was adopted in 1976 to ensure that broadcasters inform consumers of the material terms of contests they promote.  Thirty-nine years later, with almost infinite information about anything available via a quick Internet search, fast talking radio announcers and tiny print on a TV screen are usually not the most effective means to communicate this kind of information</w:t>
      </w:r>
      <w:r>
        <w:t>.</w:t>
      </w:r>
      <w:r w:rsidRPr="00FD6E1C">
        <w:t xml:space="preserve">  </w:t>
      </w:r>
      <w:r>
        <w:t>I</w:t>
      </w:r>
      <w:r w:rsidRPr="00FD6E1C">
        <w:t>t is great that the Commission has recognized this reality and moved decisively to allow broadcasters to meet their disclosure obligations by posting contest terms on the Internet.  Adding this flexibility will vastly improve consumer access to contest information, by making it possible to put that information where interested consumers are most likely to look, and where they will be able to read and digest it 24 hours a day.</w:t>
      </w:r>
    </w:p>
    <w:p w14:paraId="4E60F959" w14:textId="77777777" w:rsidR="00A53293" w:rsidRPr="00FD6E1C" w:rsidRDefault="00A53293" w:rsidP="00912727"/>
    <w:p w14:paraId="0939380D" w14:textId="77777777" w:rsidR="00912727" w:rsidRPr="00FD6E1C" w:rsidRDefault="00912727" w:rsidP="00A53293">
      <w:pPr>
        <w:ind w:firstLine="720"/>
      </w:pPr>
      <w:r w:rsidRPr="00FD6E1C">
        <w:t xml:space="preserve">The key word there is flexibility, and I appreciate that this </w:t>
      </w:r>
      <w:r>
        <w:t>Order</w:t>
      </w:r>
      <w:r w:rsidRPr="00FD6E1C">
        <w:t xml:space="preserve"> takes the flexible approach of </w:t>
      </w:r>
      <w:r w:rsidRPr="00FD6E1C">
        <w:rPr>
          <w:i/>
        </w:rPr>
        <w:t>allowing</w:t>
      </w:r>
      <w:r w:rsidRPr="00FD6E1C">
        <w:t xml:space="preserve"> rather than </w:t>
      </w:r>
      <w:r w:rsidRPr="00FD6E1C">
        <w:rPr>
          <w:i/>
        </w:rPr>
        <w:t>requiring</w:t>
      </w:r>
      <w:r w:rsidRPr="00FD6E1C">
        <w:t xml:space="preserve"> Internet disclosure of contest rules.  As I have said, this update should make complying with the rules easier for broadcasters, not more difficult, so those </w:t>
      </w:r>
      <w:r>
        <w:t>that</w:t>
      </w:r>
      <w:r w:rsidRPr="00FD6E1C">
        <w:t xml:space="preserve"> wish to continue their current </w:t>
      </w:r>
      <w:r>
        <w:t xml:space="preserve">on-air </w:t>
      </w:r>
      <w:r w:rsidRPr="00FD6E1C">
        <w:t>disclosure practices should be free to do so.  That being said, I predict many broadcasters will take this opportunity to rev</w:t>
      </w:r>
      <w:r>
        <w:t>isit</w:t>
      </w:r>
      <w:r w:rsidRPr="00FD6E1C">
        <w:t xml:space="preserve"> their disclosures </w:t>
      </w:r>
      <w:r>
        <w:t>and</w:t>
      </w:r>
      <w:r w:rsidRPr="00FD6E1C">
        <w:t xml:space="preserve"> free up some valuable airtime for more content, while consumers interested in participating in contests will be equipped with more information than ever before.  This is a true win-win, and I wholeheartedly approve.</w:t>
      </w:r>
    </w:p>
    <w:sectPr w:rsidR="00912727" w:rsidRPr="00FD6E1C" w:rsidSect="00BE060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A347" w14:textId="77777777" w:rsidR="0064312A" w:rsidRDefault="0064312A">
      <w:pPr>
        <w:spacing w:line="20" w:lineRule="exact"/>
      </w:pPr>
    </w:p>
  </w:endnote>
  <w:endnote w:type="continuationSeparator" w:id="0">
    <w:p w14:paraId="69E1BDDF" w14:textId="77777777" w:rsidR="0064312A" w:rsidRDefault="0064312A">
      <w:r>
        <w:t xml:space="preserve"> </w:t>
      </w:r>
    </w:p>
  </w:endnote>
  <w:endnote w:type="continuationNotice" w:id="1">
    <w:p w14:paraId="29E872B1" w14:textId="77777777" w:rsidR="0064312A" w:rsidRDefault="006431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B6D9" w14:textId="77777777" w:rsidR="003069F6" w:rsidRDefault="003069F6" w:rsidP="0055614C">
    <w:pPr>
      <w:pStyle w:val="Footer"/>
      <w:framePr w:wrap="around" w:vAnchor="text" w:hAnchor="margin" w:xAlign="center" w:y="1"/>
    </w:pPr>
    <w:r>
      <w:fldChar w:fldCharType="begin"/>
    </w:r>
    <w:r>
      <w:instrText xml:space="preserve">PAGE  </w:instrText>
    </w:r>
    <w:r>
      <w:fldChar w:fldCharType="end"/>
    </w:r>
  </w:p>
  <w:p w14:paraId="36A97900" w14:textId="77777777" w:rsidR="003069F6" w:rsidRDefault="00306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2748" w14:textId="6EF98ED4" w:rsidR="003069F6" w:rsidRDefault="003069F6" w:rsidP="0063539B">
    <w:pPr>
      <w:pStyle w:val="Footer"/>
      <w:framePr w:wrap="around" w:vAnchor="text" w:hAnchor="page" w:x="6229" w:y="1"/>
    </w:pPr>
    <w:r>
      <w:fldChar w:fldCharType="begin"/>
    </w:r>
    <w:r>
      <w:instrText xml:space="preserve">PAGE  </w:instrText>
    </w:r>
    <w:r>
      <w:fldChar w:fldCharType="separate"/>
    </w:r>
    <w:r w:rsidR="00AC16F1">
      <w:rPr>
        <w:noProof/>
      </w:rPr>
      <w:t>2</w:t>
    </w:r>
    <w:r>
      <w:rPr>
        <w:noProof/>
      </w:rPr>
      <w:fldChar w:fldCharType="end"/>
    </w:r>
  </w:p>
  <w:p w14:paraId="010BB107" w14:textId="77777777" w:rsidR="003069F6" w:rsidRDefault="003069F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E93" w14:textId="77777777" w:rsidR="003069F6" w:rsidRDefault="003069F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6ED3" w14:textId="77777777" w:rsidR="0064312A" w:rsidRDefault="0064312A">
      <w:r>
        <w:separator/>
      </w:r>
    </w:p>
  </w:footnote>
  <w:footnote w:type="continuationSeparator" w:id="0">
    <w:p w14:paraId="7E12DE60" w14:textId="77777777" w:rsidR="0064312A" w:rsidRDefault="0064312A" w:rsidP="00C721AC">
      <w:pPr>
        <w:spacing w:before="120"/>
        <w:rPr>
          <w:sz w:val="20"/>
        </w:rPr>
      </w:pPr>
      <w:r>
        <w:rPr>
          <w:sz w:val="20"/>
        </w:rPr>
        <w:t xml:space="preserve">(Continued from previous page)  </w:t>
      </w:r>
      <w:r>
        <w:rPr>
          <w:sz w:val="20"/>
        </w:rPr>
        <w:separator/>
      </w:r>
    </w:p>
  </w:footnote>
  <w:footnote w:type="continuationNotice" w:id="1">
    <w:p w14:paraId="12AA27BC" w14:textId="77777777" w:rsidR="0064312A" w:rsidRDefault="0064312A" w:rsidP="00C721AC">
      <w:pPr>
        <w:jc w:val="right"/>
        <w:rPr>
          <w:sz w:val="20"/>
        </w:rPr>
      </w:pPr>
      <w:r>
        <w:rPr>
          <w:sz w:val="20"/>
        </w:rPr>
        <w:t>(continued….)</w:t>
      </w:r>
    </w:p>
  </w:footnote>
  <w:footnote w:id="2">
    <w:p w14:paraId="65F7C7C0" w14:textId="77777777" w:rsidR="003069F6" w:rsidRPr="006369A7" w:rsidRDefault="003069F6" w:rsidP="00FC5D80">
      <w:pPr>
        <w:pStyle w:val="FootnoteText"/>
        <w:rPr>
          <w:i/>
        </w:rPr>
      </w:pPr>
      <w:r>
        <w:rPr>
          <w:rStyle w:val="FootnoteReference"/>
        </w:rPr>
        <w:footnoteRef/>
      </w:r>
      <w:r>
        <w:t xml:space="preserve"> 47 C.F.R. § 73.1216</w:t>
      </w:r>
      <w:r>
        <w:rPr>
          <w:i/>
        </w:rPr>
        <w:t>.</w:t>
      </w:r>
    </w:p>
  </w:footnote>
  <w:footnote w:id="3">
    <w:p w14:paraId="112393CB" w14:textId="77777777" w:rsidR="003069F6" w:rsidRDefault="003069F6" w:rsidP="008062C6">
      <w:pPr>
        <w:pStyle w:val="FootnoteText"/>
      </w:pPr>
      <w:r>
        <w:rPr>
          <w:rStyle w:val="FootnoteReference"/>
        </w:rPr>
        <w:footnoteRef/>
      </w:r>
      <w:r>
        <w:t xml:space="preserve"> </w:t>
      </w:r>
      <w:r>
        <w:rPr>
          <w:i/>
        </w:rPr>
        <w:t xml:space="preserve">See Amendment of Section 73.1216 of the Commission’s Rules Related to Broadcast Licensee-Conducted </w:t>
      </w:r>
      <w:r w:rsidRPr="00147B71">
        <w:rPr>
          <w:i/>
        </w:rPr>
        <w:t>Contests</w:t>
      </w:r>
      <w:r>
        <w:t>, Notice of Proposed Rulemaking, 29 FCC Rcd 14185 (2014) (“</w:t>
      </w:r>
      <w:r>
        <w:rPr>
          <w:i/>
        </w:rPr>
        <w:t>NPRM</w:t>
      </w:r>
      <w:r>
        <w:t xml:space="preserve">”).  </w:t>
      </w:r>
    </w:p>
  </w:footnote>
  <w:footnote w:id="4">
    <w:p w14:paraId="1CE98613" w14:textId="1DECE64F" w:rsidR="003069F6" w:rsidRPr="00771706" w:rsidRDefault="003069F6">
      <w:pPr>
        <w:pStyle w:val="FootnoteText"/>
      </w:pPr>
      <w:r>
        <w:rPr>
          <w:rStyle w:val="FootnoteReference"/>
        </w:rPr>
        <w:footnoteRef/>
      </w:r>
      <w:r>
        <w:t xml:space="preserve"> </w:t>
      </w:r>
      <w:r>
        <w:rPr>
          <w:i/>
        </w:rPr>
        <w:t xml:space="preserve">See, e.g., </w:t>
      </w:r>
      <w:r w:rsidRPr="004A6625">
        <w:rPr>
          <w:i/>
        </w:rPr>
        <w:t>Standardized and Enhanced Disclosure Requirements for Television Broadcast Licensee Public Interest Obligations</w:t>
      </w:r>
      <w:r>
        <w:t xml:space="preserve">, Second Report and Order, 27 FCC Rcd 4535, 4540 ¶ 10 (2012) (concluding that </w:t>
      </w:r>
      <w:r w:rsidRPr="00E17712">
        <w:t>“[t]he evolution of the Internet and the spread of broadband Internet access, has made it easy for stations to post material online and for many consumers to find information online</w:t>
      </w:r>
      <w:r>
        <w:t>,</w:t>
      </w:r>
      <w:r w:rsidRPr="00E17712">
        <w:t>”</w:t>
      </w:r>
      <w:r w:rsidRPr="00E17712">
        <w:rPr>
          <w:vertAlign w:val="superscript"/>
        </w:rPr>
        <w:t xml:space="preserve"> </w:t>
      </w:r>
      <w:r w:rsidRPr="00E17712">
        <w:t>and therefore it makes “plain common sense” to place broadcasters’ public files online to make them more accessible and to advance the goals of the public file requirement</w:t>
      </w:r>
      <w:r>
        <w:t xml:space="preserve">); </w:t>
      </w:r>
      <w:r>
        <w:rPr>
          <w:i/>
        </w:rPr>
        <w:t>Expansion of Online Public File Obligations to Cable and Satellite TV Operators and Broadcast and Satellite Radio Licensees</w:t>
      </w:r>
      <w:r>
        <w:t>, Notice of Proposed Rulemaking, 29 FCC Rcd 15943 (2014) (proposing to expand to cable, satellite TV providers, broadcast radio licensees, and satellite radio licensees the requirement that public inspection files be posted to the Commission’s online database).</w:t>
      </w:r>
    </w:p>
  </w:footnote>
  <w:footnote w:id="5">
    <w:p w14:paraId="45C94AA3" w14:textId="77777777" w:rsidR="003069F6" w:rsidRDefault="003069F6" w:rsidP="003C7D8B">
      <w:pPr>
        <w:pStyle w:val="FootnoteText"/>
      </w:pPr>
      <w:r>
        <w:rPr>
          <w:rStyle w:val="FootnoteReference"/>
        </w:rPr>
        <w:footnoteRef/>
      </w:r>
      <w:r>
        <w:t xml:space="preserve"> </w:t>
      </w:r>
      <w:r>
        <w:rPr>
          <w:i/>
        </w:rPr>
        <w:t>See</w:t>
      </w:r>
      <w:r>
        <w:t xml:space="preserve"> </w:t>
      </w:r>
      <w:r w:rsidRPr="00EA52CC">
        <w:rPr>
          <w:i/>
        </w:rPr>
        <w:t>NPRM</w:t>
      </w:r>
      <w:r>
        <w:t xml:space="preserve">, 29 FCC Rcd </w:t>
      </w:r>
      <w:r w:rsidRPr="00EA52CC">
        <w:t>at</w:t>
      </w:r>
      <w:r>
        <w:t xml:space="preserve"> 14185, ¶ 2, n.5.  </w:t>
      </w:r>
    </w:p>
  </w:footnote>
  <w:footnote w:id="6">
    <w:p w14:paraId="564130D8" w14:textId="77777777" w:rsidR="003069F6" w:rsidRPr="006176F7" w:rsidRDefault="003069F6">
      <w:pPr>
        <w:pStyle w:val="FootnoteText"/>
        <w:rPr>
          <w:i/>
        </w:rPr>
      </w:pPr>
      <w:r>
        <w:rPr>
          <w:rStyle w:val="FootnoteReference"/>
        </w:rPr>
        <w:footnoteRef/>
      </w:r>
      <w:r>
        <w:t xml:space="preserve"> </w:t>
      </w:r>
      <w:r w:rsidRPr="008632FF">
        <w:rPr>
          <w:i/>
        </w:rPr>
        <w:t>See Amendment of Part 73 of the Commission’s Rules Relating to Licensee-Conducted Contests</w:t>
      </w:r>
      <w:r>
        <w:t xml:space="preserve">, </w:t>
      </w:r>
      <w:r w:rsidRPr="008632FF">
        <w:t>Report and Order, 60 F.C.C.2d 1072 (1976)</w:t>
      </w:r>
      <w:r>
        <w:t xml:space="preserve">.  </w:t>
      </w:r>
      <w:r>
        <w:rPr>
          <w:i/>
        </w:rPr>
        <w:t xml:space="preserve">See also Public Notice </w:t>
      </w:r>
      <w:r w:rsidRPr="004A3C8D">
        <w:rPr>
          <w:i/>
        </w:rPr>
        <w:t>Concerning Failure of Broadcast Licensees to Conduct Contests Fairly</w:t>
      </w:r>
      <w:r w:rsidRPr="004A3C8D">
        <w:t xml:space="preserve">, </w:t>
      </w:r>
      <w:r>
        <w:t>45 F.C.C.2d 1056-57 (1974) (identifying contest practices that raise questions about a broadcast licensee’s responsibility to the public, such as</w:t>
      </w:r>
      <w:r w:rsidRPr="004A3C8D">
        <w:t xml:space="preserve">: </w:t>
      </w:r>
      <w:r>
        <w:t xml:space="preserve"> </w:t>
      </w:r>
      <w:r w:rsidRPr="004A3C8D">
        <w:t>(1) disseminating false or misleading information regarding the amount or nature of prizes; (2) failing to control the contest to assure a fair opportunity for contestants to win the announced prizes; (3) urging participation in a contest, or urging persons to stay tuned to the station in order to win, at times when it is not possible to win prizes; (4) failing to award prizes, or failing to award them within a reasonable time; (5) failing to set forth fully and accurately the rules and conditions for contests; (6) changing the rules or conditions of a contest without advising the public or doing so promptly; and (7) using arbitrary or inconsistently appli</w:t>
      </w:r>
      <w:r>
        <w:t>ed standards in judging entries).</w:t>
      </w:r>
    </w:p>
  </w:footnote>
  <w:footnote w:id="7">
    <w:p w14:paraId="1DFBC24F" w14:textId="77777777" w:rsidR="003069F6" w:rsidRDefault="003069F6">
      <w:pPr>
        <w:pStyle w:val="FootnoteText"/>
      </w:pPr>
      <w:r>
        <w:rPr>
          <w:rStyle w:val="FootnoteReference"/>
        </w:rPr>
        <w:footnoteRef/>
      </w:r>
      <w:r>
        <w:t xml:space="preserve"> 47 C.F.R. § 73.1216.  The Contest Rule defines “contest” as “a scheme in which a prize is offered or awarded, based upon chance, diligence, knowledge or skill, to members of the public.”  </w:t>
      </w:r>
      <w:r>
        <w:rPr>
          <w:i/>
        </w:rPr>
        <w:t>Id.</w:t>
      </w:r>
      <w:r>
        <w:t xml:space="preserve">, Note 1(a).  In addition, the rule provides that:  </w:t>
      </w:r>
    </w:p>
    <w:p w14:paraId="5E5A237E" w14:textId="77777777" w:rsidR="003069F6" w:rsidRDefault="003069F6" w:rsidP="001A1891">
      <w:pPr>
        <w:pStyle w:val="FootnoteText"/>
        <w:ind w:left="720" w:right="720"/>
      </w:pPr>
      <w:r>
        <w:t xml:space="preserve">[m]aterial terms include those factors which define the operation of the contest and which affect participation therein.  Although the material terms may vary widely depending on the exact nature of the contest, they will generally include:  how to enter or participate; eligibility restrictions; entry deadline dates, whether prizes can be won; when prizes can be won; the extent, nature and value of prizes; basis for valuation of prizes; time and means of selection of winners; and/or tie-breaking procedures.    </w:t>
      </w:r>
    </w:p>
    <w:p w14:paraId="43108DF6" w14:textId="77777777" w:rsidR="003069F6" w:rsidRPr="00D10606" w:rsidRDefault="003069F6" w:rsidP="001A1891">
      <w:pPr>
        <w:pStyle w:val="FootnoteText"/>
      </w:pPr>
      <w:r>
        <w:t xml:space="preserve"> </w:t>
      </w:r>
      <w:r w:rsidRPr="008632FF">
        <w:t xml:space="preserve"> </w:t>
      </w:r>
      <w:r>
        <w:rPr>
          <w:i/>
        </w:rPr>
        <w:t>Id.</w:t>
      </w:r>
      <w:r>
        <w:t>, Note 1(b).</w:t>
      </w:r>
    </w:p>
  </w:footnote>
  <w:footnote w:id="8">
    <w:p w14:paraId="6D22F380" w14:textId="77777777" w:rsidR="003069F6" w:rsidRPr="007D7415" w:rsidRDefault="003069F6">
      <w:pPr>
        <w:pStyle w:val="FootnoteText"/>
      </w:pPr>
      <w:r>
        <w:rPr>
          <w:rStyle w:val="FootnoteReference"/>
        </w:rPr>
        <w:footnoteRef/>
      </w:r>
      <w:r>
        <w:t xml:space="preserve"> </w:t>
      </w:r>
      <w:r>
        <w:rPr>
          <w:i/>
        </w:rPr>
        <w:t xml:space="preserve">Id., </w:t>
      </w:r>
      <w:r>
        <w:t xml:space="preserve">Note 2.  The Contest Rule does </w:t>
      </w:r>
      <w:r w:rsidRPr="00D537A7">
        <w:rPr>
          <w:snapToGrid w:val="0"/>
          <w:kern w:val="28"/>
          <w:sz w:val="22"/>
        </w:rPr>
        <w:t>no</w:t>
      </w:r>
      <w:r>
        <w:t xml:space="preserve">t apply to licensee-conducted contests that are not broadcast or advertised to the general public or to a substantial segment of the public, to contests in which the general public is not requested or permitted to participate, to the commercial advertisement of non-licensee-conducted contests, or to a contest conducted by a non-broadcast division of the licensee or by a non-broadcast company related to the licensee.  </w:t>
      </w:r>
      <w:r>
        <w:rPr>
          <w:i/>
        </w:rPr>
        <w:t>See id.</w:t>
      </w:r>
      <w:r>
        <w:t>, Note 3.</w:t>
      </w:r>
    </w:p>
  </w:footnote>
  <w:footnote w:id="9">
    <w:p w14:paraId="70E46D3C" w14:textId="77777777" w:rsidR="003069F6" w:rsidRPr="00F06906" w:rsidRDefault="003069F6">
      <w:pPr>
        <w:pStyle w:val="FootnoteText"/>
      </w:pPr>
      <w:r>
        <w:rPr>
          <w:rStyle w:val="FootnoteReference"/>
        </w:rPr>
        <w:footnoteRef/>
      </w:r>
      <w:r>
        <w:t xml:space="preserve"> </w:t>
      </w:r>
      <w:r>
        <w:rPr>
          <w:i/>
        </w:rPr>
        <w:t>Id.</w:t>
      </w:r>
      <w:r>
        <w:t xml:space="preserve">, Note 2 (“The material terms should be disclosed periodically by announcements broadcast on the station conducting the contest. . . .  In addition to the required broadcast announcements, disclosure of the material terms may be made in a non-broadcast manner.”).  </w:t>
      </w:r>
      <w:r>
        <w:rPr>
          <w:i/>
        </w:rPr>
        <w:t>See also</w:t>
      </w:r>
      <w:r w:rsidRPr="00C21A8D">
        <w:t xml:space="preserve"> </w:t>
      </w:r>
      <w:r>
        <w:rPr>
          <w:i/>
        </w:rPr>
        <w:t>Good Karma Broad. LLC</w:t>
      </w:r>
      <w:r>
        <w:t>, 27 FCC Rcd 10938, 10941 n.32 (EB 2012) (“Posting contest rules on a station’s website does not satisfy Section 73.1216’s requirement that a licensee broadcast the material terms of a contest it conducts.”);</w:t>
      </w:r>
      <w:r>
        <w:rPr>
          <w:i/>
        </w:rPr>
        <w:t xml:space="preserve"> Clear Channel Communications, Inc.</w:t>
      </w:r>
      <w:r>
        <w:t>, 27 FCC Rcd 343, 346 ¶ 6 (EB 2012) (“While stations are free to provide contest information in other formats, including Internet postings, numerous Commission decisions have repeatedly made clear that ‘licensees cannot avail themselves of alternative non-broadcast announcements to satisfy the requirement that they accurately announce a contest’s material terms.’”).</w:t>
      </w:r>
    </w:p>
  </w:footnote>
  <w:footnote w:id="10">
    <w:p w14:paraId="063F7AD4" w14:textId="222A1BAE" w:rsidR="003069F6" w:rsidRPr="00F90B5A" w:rsidRDefault="003069F6">
      <w:pPr>
        <w:pStyle w:val="FootnoteText"/>
      </w:pPr>
      <w:r>
        <w:rPr>
          <w:rStyle w:val="FootnoteReference"/>
        </w:rPr>
        <w:footnoteRef/>
      </w:r>
      <w:r>
        <w:t xml:space="preserve"> </w:t>
      </w:r>
      <w:r>
        <w:rPr>
          <w:i/>
        </w:rPr>
        <w:t xml:space="preserve">See </w:t>
      </w:r>
      <w:r>
        <w:t>Petition for Rulemaking filed by Entercom Communications Corp., CGB Docket No. RM-11684 (filed Jan. 20, 2012) (“</w:t>
      </w:r>
      <w:r>
        <w:rPr>
          <w:i/>
        </w:rPr>
        <w:t>Petition for Rulemaking</w:t>
      </w:r>
      <w:r>
        <w:t xml:space="preserve">”).  In November 2012, the Commission’s Consumer and Governmental Affairs Bureau (“CGB”) issued a </w:t>
      </w:r>
      <w:r w:rsidRPr="00A83AE9">
        <w:rPr>
          <w:i/>
        </w:rPr>
        <w:t>Public Notice</w:t>
      </w:r>
      <w:r>
        <w:t xml:space="preserve"> inviting </w:t>
      </w:r>
      <w:r w:rsidRPr="003B2CFE">
        <w:rPr>
          <w:szCs w:val="22"/>
        </w:rPr>
        <w:t>comment</w:t>
      </w:r>
      <w:r>
        <w:t xml:space="preserve"> on the Petition.  </w:t>
      </w:r>
      <w:r>
        <w:rPr>
          <w:i/>
        </w:rPr>
        <w:t xml:space="preserve">See </w:t>
      </w:r>
      <w:r w:rsidRPr="008632FF">
        <w:rPr>
          <w:i/>
        </w:rPr>
        <w:t>Consumer and Governmental Affairs Bureau, Reference Information Center</w:t>
      </w:r>
      <w:r>
        <w:rPr>
          <w:i/>
        </w:rPr>
        <w:t>,</w:t>
      </w:r>
      <w:r w:rsidRPr="008632FF">
        <w:rPr>
          <w:i/>
        </w:rPr>
        <w:t xml:space="preserve"> Petition for Rulemaking Filed</w:t>
      </w:r>
      <w:r>
        <w:t xml:space="preserve">, Public Notice, Report No. 2969 (rel. Nov. 28, 2012).  All of the parties responding to the </w:t>
      </w:r>
      <w:r w:rsidRPr="002F7659">
        <w:rPr>
          <w:i/>
        </w:rPr>
        <w:t>Public Notice</w:t>
      </w:r>
      <w:r>
        <w:t xml:space="preserve"> supported Petitioner’s request to commence a rulemaking proceeding to modernize the Contest Rule. </w:t>
      </w:r>
    </w:p>
  </w:footnote>
  <w:footnote w:id="11">
    <w:p w14:paraId="4C57DD5F" w14:textId="244C3493" w:rsidR="003069F6" w:rsidRDefault="003069F6">
      <w:pPr>
        <w:pStyle w:val="FootnoteText"/>
      </w:pPr>
      <w:r>
        <w:rPr>
          <w:rStyle w:val="FootnoteReference"/>
        </w:rPr>
        <w:footnoteRef/>
      </w:r>
      <w:r>
        <w:t xml:space="preserve"> </w:t>
      </w:r>
      <w:r w:rsidRPr="008632FF">
        <w:rPr>
          <w:i/>
        </w:rPr>
        <w:t xml:space="preserve">See </w:t>
      </w:r>
      <w:r w:rsidRPr="002013CF">
        <w:rPr>
          <w:i/>
        </w:rPr>
        <w:t>Petition for Rulemaking</w:t>
      </w:r>
      <w:r>
        <w:t xml:space="preserve"> </w:t>
      </w:r>
      <w:r w:rsidRPr="008632FF">
        <w:t>at 5.</w:t>
      </w:r>
      <w:r>
        <w:t xml:space="preserve">  Although Petitioner also proposed to require licensees to make contest terms available, on request, via email, facsimile, postal mail, or in person, we declined to seek comment on that proposal because we believe that permitting licensees to disclose contest terms through broadcast and Internet methods is adequate to ensure the availability of material contest information to the public.  </w:t>
      </w:r>
    </w:p>
  </w:footnote>
  <w:footnote w:id="12">
    <w:p w14:paraId="2E93CC41" w14:textId="046CFF4A" w:rsidR="003069F6" w:rsidRPr="00147B71" w:rsidRDefault="003069F6" w:rsidP="00441B76">
      <w:pPr>
        <w:pStyle w:val="FootnoteText"/>
      </w:pPr>
      <w:r>
        <w:rPr>
          <w:rStyle w:val="FootnoteReference"/>
        </w:rPr>
        <w:footnoteRef/>
      </w:r>
      <w:r>
        <w:t xml:space="preserve"> </w:t>
      </w:r>
      <w:r w:rsidRPr="00D40A69">
        <w:t>As noted,</w:t>
      </w:r>
      <w:r w:rsidRPr="00D40A69">
        <w:rPr>
          <w:i/>
        </w:rPr>
        <w:t xml:space="preserve"> </w:t>
      </w:r>
      <w:r w:rsidRPr="00D40A69">
        <w:t xml:space="preserve">the Commission proposed to amend the Contest Rule by allowing licensees to comply with their obligation to disclose material contest terms either by broadcasting the material terms or by making </w:t>
      </w:r>
      <w:r>
        <w:t>those</w:t>
      </w:r>
      <w:r w:rsidRPr="00D40A69">
        <w:t xml:space="preserve"> terms available in writing on a publicly accessible Internet website.  </w:t>
      </w:r>
      <w:r w:rsidRPr="00D40A69">
        <w:rPr>
          <w:i/>
        </w:rPr>
        <w:t>See NPRM</w:t>
      </w:r>
      <w:r w:rsidRPr="00D40A69">
        <w:t xml:space="preserve"> at ¶¶ 1, 9.  In addition, the Com</w:t>
      </w:r>
      <w:r>
        <w:t xml:space="preserve">mission sought comment on </w:t>
      </w:r>
      <w:r w:rsidRPr="00D40A69">
        <w:t>changes to the Contest Rule that would define the disclosure obligation in cases where a licensee has chosen to satisfy that obligation through an Internet website.</w:t>
      </w:r>
      <w:r>
        <w:t xml:space="preserve">  </w:t>
      </w:r>
      <w:r>
        <w:rPr>
          <w:i/>
        </w:rPr>
        <w:t>See, e.g.</w:t>
      </w:r>
      <w:r>
        <w:t xml:space="preserve">, </w:t>
      </w:r>
      <w:r>
        <w:rPr>
          <w:i/>
        </w:rPr>
        <w:t xml:space="preserve">NPRM </w:t>
      </w:r>
      <w:r>
        <w:t>at ¶ 11 (seeking comment on how to ensure that material contest terms are easy for consumers to locate on a website); ¶ 12 (seeking comment on whether to require that any material terms announced on air not differ from material terms disclosed on a website); ¶ 13 (seeking comment on whether to require a licensee that chooses to satisfy its disclosure obligation via an Internet website to broadcast the complete, direct website address where the contest terms are posted each time the station mentions or advertises a contest).</w:t>
      </w:r>
    </w:p>
  </w:footnote>
  <w:footnote w:id="13">
    <w:p w14:paraId="770F9328" w14:textId="77777777" w:rsidR="003069F6" w:rsidRDefault="003069F6">
      <w:pPr>
        <w:pStyle w:val="FootnoteText"/>
      </w:pPr>
      <w:r>
        <w:rPr>
          <w:rStyle w:val="FootnoteReference"/>
        </w:rPr>
        <w:footnoteRef/>
      </w:r>
      <w:r>
        <w:t xml:space="preserve"> </w:t>
      </w:r>
      <w:r>
        <w:rPr>
          <w:i/>
        </w:rPr>
        <w:t xml:space="preserve">See </w:t>
      </w:r>
      <w:r>
        <w:t>Appendix A for a list of commenters.</w:t>
      </w:r>
    </w:p>
  </w:footnote>
  <w:footnote w:id="14">
    <w:p w14:paraId="2B8D528E" w14:textId="648A7034" w:rsidR="003069F6" w:rsidRPr="0023299C" w:rsidRDefault="003069F6" w:rsidP="004D7C79">
      <w:pPr>
        <w:pStyle w:val="FootnoteText"/>
        <w:rPr>
          <w:i/>
        </w:rPr>
      </w:pPr>
      <w:r>
        <w:rPr>
          <w:rStyle w:val="FootnoteReference"/>
        </w:rPr>
        <w:footnoteRef/>
      </w:r>
      <w:r>
        <w:t xml:space="preserve"> As proposed in the </w:t>
      </w:r>
      <w:r w:rsidRPr="004D7C79">
        <w:rPr>
          <w:i/>
        </w:rPr>
        <w:t>NPRM</w:t>
      </w:r>
      <w:r>
        <w:t xml:space="preserve">, broadcasters will remain permitted under the rule to meet their disclosure obligation through broadcast announcements alone.  </w:t>
      </w:r>
      <w:r>
        <w:rPr>
          <w:i/>
        </w:rPr>
        <w:t xml:space="preserve">See </w:t>
      </w:r>
      <w:r w:rsidRPr="0081155C">
        <w:rPr>
          <w:i/>
        </w:rPr>
        <w:t>NPRM</w:t>
      </w:r>
      <w:r>
        <w:t xml:space="preserve"> at ¶ 14.  In addition, we will continue to apply the Contest Rule, as amended, equally to radio and television licensees, a proposal that no commenter has opposed.</w:t>
      </w:r>
      <w:r>
        <w:rPr>
          <w:i/>
        </w:rPr>
        <w:t xml:space="preserve"> </w:t>
      </w:r>
    </w:p>
  </w:footnote>
  <w:footnote w:id="15">
    <w:p w14:paraId="67A4D026" w14:textId="77777777" w:rsidR="003069F6" w:rsidRDefault="003069F6">
      <w:pPr>
        <w:pStyle w:val="FootnoteText"/>
      </w:pPr>
      <w:r>
        <w:rPr>
          <w:rStyle w:val="FootnoteReference"/>
        </w:rPr>
        <w:footnoteRef/>
      </w:r>
      <w:r>
        <w:t xml:space="preserve"> </w:t>
      </w:r>
      <w:r w:rsidRPr="004D7C79">
        <w:rPr>
          <w:i/>
        </w:rPr>
        <w:t xml:space="preserve">See </w:t>
      </w:r>
      <w:r>
        <w:t>Entercom Comments at 12; Joint Commenters Comments at 3; NSBA Comments at 9.</w:t>
      </w:r>
    </w:p>
  </w:footnote>
  <w:footnote w:id="16">
    <w:p w14:paraId="38D23558" w14:textId="77777777" w:rsidR="003069F6" w:rsidRPr="006914E6" w:rsidRDefault="003069F6" w:rsidP="0047743F">
      <w:pPr>
        <w:pStyle w:val="FootnoteText"/>
      </w:pPr>
      <w:r>
        <w:rPr>
          <w:rStyle w:val="FootnoteReference"/>
        </w:rPr>
        <w:footnoteRef/>
      </w:r>
      <w:r>
        <w:t xml:space="preserve"> </w:t>
      </w:r>
      <w:r>
        <w:rPr>
          <w:i/>
        </w:rPr>
        <w:t xml:space="preserve">See </w:t>
      </w:r>
      <w:r>
        <w:t>NAB Comments at 4.</w:t>
      </w:r>
    </w:p>
  </w:footnote>
  <w:footnote w:id="17">
    <w:p w14:paraId="73554E40" w14:textId="5CB792D4" w:rsidR="003069F6" w:rsidRPr="00C647EE" w:rsidRDefault="003069F6" w:rsidP="00191D40">
      <w:pPr>
        <w:pStyle w:val="FootnoteText"/>
      </w:pPr>
      <w:r>
        <w:rPr>
          <w:rStyle w:val="FootnoteReference"/>
        </w:rPr>
        <w:footnoteRef/>
      </w:r>
      <w:r>
        <w:t xml:space="preserve"> </w:t>
      </w:r>
      <w:r>
        <w:rPr>
          <w:i/>
        </w:rPr>
        <w:t xml:space="preserve">See, e.g., </w:t>
      </w:r>
      <w:r>
        <w:t xml:space="preserve">Bouchard Comments at 1 (some stations have “canned” announcements that are sped up and barely understandable); Coalition Comments at 3 (contest terms are often broadcast while audience members are involved in other tasks such as cooking, driving, or working; these distractions could lead to confusion about contest terms); iHeartMedia Comments at 10 (even when consumers hear or see a broadcast disclosure, the disclosure may be too quick or contain too much information for consumers to process fully, or consumers may be distracted by other tasks); Joint Commenters Comments at 2 (it is difficult for the public to follow and retain the specifics of lengthy contest disclosures).  NAB asserts that amending the Contest Rule to provide for online disclosure also will benefit audience members not interested in contests by reducing over-the-air contest announcements that they find annoying.  </w:t>
      </w:r>
      <w:r>
        <w:rPr>
          <w:i/>
        </w:rPr>
        <w:t xml:space="preserve">See </w:t>
      </w:r>
      <w:r>
        <w:t xml:space="preserve">NAB Comments at 4.  </w:t>
      </w:r>
      <w:r>
        <w:rPr>
          <w:i/>
        </w:rPr>
        <w:t xml:space="preserve">See also </w:t>
      </w:r>
      <w:r>
        <w:t>Bouchard Comments at 1 (over-the-air contest announcements are “audience killers”); Joint Commenters Comments at 2 (the public has an understandable tendency to tune out when it hears lengthy contest disclosures on air).</w:t>
      </w:r>
    </w:p>
  </w:footnote>
  <w:footnote w:id="18">
    <w:p w14:paraId="2AA7F2EC" w14:textId="5C12FC19" w:rsidR="003069F6" w:rsidRPr="00C63C4A" w:rsidRDefault="003069F6" w:rsidP="00191D40">
      <w:pPr>
        <w:pStyle w:val="FootnoteText"/>
      </w:pPr>
      <w:r>
        <w:rPr>
          <w:rStyle w:val="FootnoteReference"/>
        </w:rPr>
        <w:footnoteRef/>
      </w:r>
      <w:r>
        <w:t xml:space="preserve"> </w:t>
      </w:r>
      <w:r>
        <w:rPr>
          <w:i/>
        </w:rPr>
        <w:t xml:space="preserve">See </w:t>
      </w:r>
      <w:r>
        <w:t xml:space="preserve">iHeartMedia Comments at 7; Coalition Comments at 3; Entercom Comments at 2; Hubbard Comments at 3; Joint Commenters Comments at 3; NSBA Comments at 5; NPR Comments at 2; Saga Comments at 2-3; iHeartMedia Reply at 3; </w:t>
      </w:r>
      <w:r>
        <w:rPr>
          <w:i/>
        </w:rPr>
        <w:t xml:space="preserve">Ex Parte </w:t>
      </w:r>
      <w:r>
        <w:t xml:space="preserve">letters of California Broadcasters Association and Missouri Broadcasters Association (filed Feb. 26, 2015), at 2.  </w:t>
      </w:r>
      <w:r>
        <w:rPr>
          <w:i/>
        </w:rPr>
        <w:t xml:space="preserve">See also </w:t>
      </w:r>
      <w:r>
        <w:t xml:space="preserve">NAB Comments at 4 (online disclosure will improve consumer access to contest information also because such access will be enabled through an increasing variety of devices such as mobile phones and tablets).  </w:t>
      </w:r>
    </w:p>
  </w:footnote>
  <w:footnote w:id="19">
    <w:p w14:paraId="081F2360" w14:textId="77777777" w:rsidR="003069F6" w:rsidRPr="003F3C2B" w:rsidRDefault="003069F6">
      <w:pPr>
        <w:pStyle w:val="FootnoteText"/>
      </w:pPr>
      <w:r>
        <w:rPr>
          <w:rStyle w:val="FootnoteReference"/>
        </w:rPr>
        <w:footnoteRef/>
      </w:r>
      <w:r>
        <w:t xml:space="preserve"> </w:t>
      </w:r>
      <w:r>
        <w:rPr>
          <w:i/>
        </w:rPr>
        <w:t xml:space="preserve">See </w:t>
      </w:r>
      <w:r>
        <w:t xml:space="preserve">Brand Activation Association Comments at 4-5; Entercom Comments at 2; Hubbard Comments at 2-3; iHeartMedia Comments at 4-5; NAB Comments at 2; Saga Comments at 3.  </w:t>
      </w:r>
    </w:p>
  </w:footnote>
  <w:footnote w:id="20">
    <w:p w14:paraId="2D9CD2F9" w14:textId="5F5E3507" w:rsidR="003069F6" w:rsidRPr="00A7172B" w:rsidRDefault="003069F6">
      <w:pPr>
        <w:pStyle w:val="FootnoteText"/>
      </w:pPr>
      <w:r>
        <w:rPr>
          <w:rStyle w:val="FootnoteReference"/>
        </w:rPr>
        <w:footnoteRef/>
      </w:r>
      <w:r>
        <w:t xml:space="preserve"> </w:t>
      </w:r>
      <w:r>
        <w:rPr>
          <w:i/>
        </w:rPr>
        <w:t xml:space="preserve">See </w:t>
      </w:r>
      <w:r>
        <w:t xml:space="preserve">Brand Activation Association Comments at 4 (citing a 2014 survey by Pew Research indicating that 87 percent of American adults use the Internet, and that the vast majority of Americans believe their use of the Internet helps them to learn new things and stay informed about issues that matter to them); NSBA Comments at 2 (referencing a publication by the U.S. Census Bureau showing that as of 2013 more than 74 percent of American households reported having high-speed Internet access); iHeartMedia Reply at 2 (citing a 2015 study by Edison Research indicating that 54 percent of consumers over age 12 rank the Internet as the information medium “most essential” to their lives).  </w:t>
      </w:r>
      <w:r>
        <w:rPr>
          <w:i/>
        </w:rPr>
        <w:t xml:space="preserve">See also </w:t>
      </w:r>
      <w:r w:rsidRPr="000E078A">
        <w:rPr>
          <w:i/>
        </w:rPr>
        <w:t>Petition</w:t>
      </w:r>
      <w:r>
        <w:t xml:space="preserve"> </w:t>
      </w:r>
      <w:r>
        <w:rPr>
          <w:i/>
        </w:rPr>
        <w:t xml:space="preserve">for Rulemaking </w:t>
      </w:r>
      <w:r>
        <w:t xml:space="preserve">at 3, nn.4-5 (citing a 2010 study conducted by Arbitron Inc./Edison Research that revealed that people aged 12 and over view the Internet as the most essential medium in their lives relative to television, radio, or newspapers, and that 84 percent of respondents have access to the Internet from at least one location); </w:t>
      </w:r>
      <w:r>
        <w:rPr>
          <w:i/>
        </w:rPr>
        <w:t>id.</w:t>
      </w:r>
      <w:r>
        <w:t xml:space="preserve"> at</w:t>
      </w:r>
      <w:r w:rsidRPr="00A7172B">
        <w:t xml:space="preserve"> </w:t>
      </w:r>
      <w:r>
        <w:t>3, n.6 (citing a 2010/2011 report by International Demographics, Inc. showing that 81 percent of all adults 18 and over accessed the Internet in a given 30-day period).</w:t>
      </w:r>
    </w:p>
  </w:footnote>
  <w:footnote w:id="21">
    <w:p w14:paraId="74565DAA" w14:textId="77777777" w:rsidR="003069F6" w:rsidRPr="00BE08AB" w:rsidRDefault="003069F6">
      <w:pPr>
        <w:pStyle w:val="FootnoteText"/>
      </w:pPr>
      <w:r>
        <w:rPr>
          <w:rStyle w:val="FootnoteReference"/>
        </w:rPr>
        <w:footnoteRef/>
      </w:r>
      <w:r>
        <w:t xml:space="preserve"> </w:t>
      </w:r>
      <w:r>
        <w:rPr>
          <w:i/>
        </w:rPr>
        <w:t xml:space="preserve">See </w:t>
      </w:r>
      <w:r>
        <w:t>Brand Activation Association Comments at 3-4; Entercom Comments at 2; Hubbard Comments at 3; iHeartMedia Comments at 4, 6-7; Joint Commenters Comments at 3; NAB Comments at 2-3; NPR Comments at 2; Broadcasters Associations Reply at 2-3; iHeartMedia Reply at 2-3.</w:t>
      </w:r>
    </w:p>
  </w:footnote>
  <w:footnote w:id="22">
    <w:p w14:paraId="30544057" w14:textId="77777777" w:rsidR="003069F6" w:rsidRDefault="003069F6" w:rsidP="00FE52D2">
      <w:pPr>
        <w:pStyle w:val="FootnoteText"/>
      </w:pPr>
      <w:r>
        <w:rPr>
          <w:rStyle w:val="FootnoteReference"/>
        </w:rPr>
        <w:footnoteRef/>
      </w:r>
      <w:r>
        <w:t xml:space="preserve"> </w:t>
      </w:r>
      <w:r>
        <w:rPr>
          <w:i/>
        </w:rPr>
        <w:t xml:space="preserve">See </w:t>
      </w:r>
      <w:r>
        <w:t xml:space="preserve">Brand Activation Association Comments at 5; iHeartMedia Comments at 7-8; NAB Comments at 2-3.  </w:t>
      </w:r>
      <w:r>
        <w:rPr>
          <w:i/>
        </w:rPr>
        <w:t xml:space="preserve">See also </w:t>
      </w:r>
      <w:r>
        <w:t xml:space="preserve">Clear Channel Comments in Response to Petition at 3, 4-5 (many broadcasters have websites where they often post contest rules, and unlike in 1976, many contests today are promoted on-air but conducted primarily online via the station’s website, Facebook page, or other social media site); Joint Commenters Comments in Response to Petition at 2 (many stations already choose to post material contest terms online and many contests take place wholly or partially online, often through station websites, making websites the logical place for disclosing material terms); Joint Broadcasters Comments in Response to Petition at 2, n.3 (many member stations have promoted contests on-air but conducted them online, and many contests require online entry through a station website entry form, by “liking” the station’s Facebook page or becoming a member of the station’s online club); NPR Comments in Response to Petition at 2 (many public radio station contests require the public to use a station website to enter).  </w:t>
      </w:r>
    </w:p>
  </w:footnote>
  <w:footnote w:id="23">
    <w:p w14:paraId="2B350D91" w14:textId="77777777" w:rsidR="003069F6" w:rsidRPr="006775A8" w:rsidRDefault="003069F6">
      <w:pPr>
        <w:pStyle w:val="FootnoteText"/>
      </w:pPr>
      <w:r>
        <w:rPr>
          <w:rStyle w:val="FootnoteReference"/>
        </w:rPr>
        <w:footnoteRef/>
      </w:r>
      <w:r>
        <w:t xml:space="preserve"> </w:t>
      </w:r>
      <w:r>
        <w:rPr>
          <w:i/>
        </w:rPr>
        <w:t xml:space="preserve">See </w:t>
      </w:r>
      <w:r>
        <w:t xml:space="preserve">iHeartMedia Comments at 9-10 (stations would experience less audience loss during announcements directing listeners to website than disclosing material terms in full); Joint Parties Comments at 5-6 (proposed rule changes will reduce on-air clutter and open up additional inventory for programming).  </w:t>
      </w:r>
      <w:r>
        <w:rPr>
          <w:i/>
        </w:rPr>
        <w:t xml:space="preserve">See also </w:t>
      </w:r>
      <w:r>
        <w:t>Entercom Comments at 1; Hubbard Comments at 3; NSBA Comments at 4-5; NAB Comments at 2 (all asserting that permitting broadcasters to meet their disclosure obligation through an Internet website will benefit licensees).</w:t>
      </w:r>
    </w:p>
  </w:footnote>
  <w:footnote w:id="24">
    <w:p w14:paraId="2D5643DA" w14:textId="77777777" w:rsidR="003069F6" w:rsidRPr="00F9700D" w:rsidRDefault="003069F6" w:rsidP="00170450">
      <w:pPr>
        <w:pStyle w:val="FootnoteText"/>
      </w:pPr>
      <w:r>
        <w:rPr>
          <w:rStyle w:val="FootnoteReference"/>
        </w:rPr>
        <w:footnoteRef/>
      </w:r>
      <w:r>
        <w:t xml:space="preserve"> </w:t>
      </w:r>
      <w:r>
        <w:rPr>
          <w:i/>
        </w:rPr>
        <w:t xml:space="preserve">See </w:t>
      </w:r>
      <w:r>
        <w:t xml:space="preserve">Entercom Comments at 2-3 (at least 90 percent of all commercial full power radio and television stations already have a website; thus, the benefits of online disclosure outweigh the costs); NAB Comments at 3 (many licensees already have websites and use them to post contest rules); NSBA Comments at 3 (same); NPR Comments at 2 (same).  </w:t>
      </w:r>
    </w:p>
  </w:footnote>
  <w:footnote w:id="25">
    <w:p w14:paraId="6175C34E" w14:textId="77777777" w:rsidR="003069F6" w:rsidRDefault="003069F6" w:rsidP="00A342B8">
      <w:pPr>
        <w:pStyle w:val="FootnoteText"/>
      </w:pPr>
      <w:r>
        <w:rPr>
          <w:rStyle w:val="FootnoteReference"/>
        </w:rPr>
        <w:footnoteRef/>
      </w:r>
      <w:r>
        <w:t xml:space="preserve"> </w:t>
      </w:r>
      <w:r>
        <w:rPr>
          <w:i/>
        </w:rPr>
        <w:t xml:space="preserve">See </w:t>
      </w:r>
      <w:r>
        <w:t xml:space="preserve">47 C.F.R. § 73.1216, Notes 1-3. </w:t>
      </w:r>
    </w:p>
  </w:footnote>
  <w:footnote w:id="26">
    <w:p w14:paraId="7DD2819E" w14:textId="4B684D0E" w:rsidR="003069F6" w:rsidRPr="003E0C5E" w:rsidRDefault="003069F6" w:rsidP="00F95751">
      <w:pPr>
        <w:pStyle w:val="FootnoteText"/>
      </w:pPr>
      <w:r>
        <w:rPr>
          <w:rStyle w:val="FootnoteReference"/>
        </w:rPr>
        <w:footnoteRef/>
      </w:r>
      <w:r>
        <w:t xml:space="preserve"> </w:t>
      </w:r>
      <w:r>
        <w:rPr>
          <w:i/>
        </w:rPr>
        <w:t>See NPRM,</w:t>
      </w:r>
      <w:r>
        <w:t xml:space="preserve"> 29 FCC Rcd</w:t>
      </w:r>
      <w:r>
        <w:rPr>
          <w:i/>
        </w:rPr>
        <w:t xml:space="preserve"> </w:t>
      </w:r>
      <w:r>
        <w:t xml:space="preserve">at 14189-90, ¶ 11.  </w:t>
      </w:r>
    </w:p>
  </w:footnote>
  <w:footnote w:id="27">
    <w:p w14:paraId="0FC37506" w14:textId="77777777" w:rsidR="003069F6" w:rsidRDefault="003069F6">
      <w:pPr>
        <w:pStyle w:val="FootnoteText"/>
      </w:pPr>
      <w:r>
        <w:rPr>
          <w:rStyle w:val="FootnoteReference"/>
        </w:rPr>
        <w:footnoteRef/>
      </w:r>
      <w:r>
        <w:t xml:space="preserve"> </w:t>
      </w:r>
      <w:r>
        <w:rPr>
          <w:i/>
        </w:rPr>
        <w:t xml:space="preserve">See </w:t>
      </w:r>
      <w:r>
        <w:t xml:space="preserve">Joint Commenters Comments at 7-8.  </w:t>
      </w:r>
      <w:r>
        <w:rPr>
          <w:i/>
        </w:rPr>
        <w:t xml:space="preserve">See also </w:t>
      </w:r>
      <w:r>
        <w:t>iHeartMedia Comments at 8-9; Joint Parties Comments at 3, n.7.</w:t>
      </w:r>
    </w:p>
  </w:footnote>
  <w:footnote w:id="28">
    <w:p w14:paraId="586D2CF0" w14:textId="77777777" w:rsidR="003069F6" w:rsidRPr="00823E66" w:rsidRDefault="003069F6">
      <w:pPr>
        <w:pStyle w:val="FootnoteText"/>
      </w:pPr>
      <w:r>
        <w:rPr>
          <w:rStyle w:val="FootnoteReference"/>
        </w:rPr>
        <w:footnoteRef/>
      </w:r>
      <w:r>
        <w:t xml:space="preserve"> </w:t>
      </w:r>
      <w:r>
        <w:rPr>
          <w:i/>
        </w:rPr>
        <w:t>See, e.g.</w:t>
      </w:r>
      <w:r>
        <w:t>, Joint Commenters Comments at 8; NPR Comments at 5-6.</w:t>
      </w:r>
    </w:p>
  </w:footnote>
  <w:footnote w:id="29">
    <w:p w14:paraId="16A1701B" w14:textId="77777777" w:rsidR="003069F6" w:rsidRPr="009B39A4" w:rsidRDefault="003069F6">
      <w:pPr>
        <w:pStyle w:val="FootnoteText"/>
      </w:pPr>
      <w:r>
        <w:rPr>
          <w:rStyle w:val="FootnoteReference"/>
        </w:rPr>
        <w:footnoteRef/>
      </w:r>
      <w:r>
        <w:t xml:space="preserve"> </w:t>
      </w:r>
      <w:r>
        <w:rPr>
          <w:i/>
        </w:rPr>
        <w:t>See NPRM</w:t>
      </w:r>
      <w:r>
        <w:t>, 29 FCC Rcd at 14191-92, ¶ 13, and Appendix B.</w:t>
      </w:r>
    </w:p>
  </w:footnote>
  <w:footnote w:id="30">
    <w:p w14:paraId="4A56726E" w14:textId="77777777" w:rsidR="003069F6" w:rsidRPr="00771213" w:rsidRDefault="003069F6">
      <w:pPr>
        <w:pStyle w:val="FootnoteText"/>
      </w:pPr>
      <w:r>
        <w:rPr>
          <w:rStyle w:val="FootnoteReference"/>
        </w:rPr>
        <w:footnoteRef/>
      </w:r>
      <w:r>
        <w:t xml:space="preserve"> </w:t>
      </w:r>
      <w:r>
        <w:rPr>
          <w:i/>
        </w:rPr>
        <w:t xml:space="preserve">See, e.g., </w:t>
      </w:r>
      <w:r>
        <w:t>Entercom Comments at 7-8; Hubbard Comments at 4, n.10; iHeartMedia Comments at 14-15; iHeartMedia Reply at 4-7; Joint Parties Comments at 8-9; Joint Commenters Comments at 5-7; NAB Comments at 8-9.</w:t>
      </w:r>
    </w:p>
  </w:footnote>
  <w:footnote w:id="31">
    <w:p w14:paraId="7170CFC2" w14:textId="77777777" w:rsidR="003069F6" w:rsidRPr="00BF5E7E" w:rsidRDefault="003069F6">
      <w:pPr>
        <w:pStyle w:val="FootnoteText"/>
      </w:pPr>
      <w:r>
        <w:rPr>
          <w:rStyle w:val="FootnoteReference"/>
        </w:rPr>
        <w:footnoteRef/>
      </w:r>
      <w:r>
        <w:t xml:space="preserve"> </w:t>
      </w:r>
      <w:r>
        <w:rPr>
          <w:i/>
        </w:rPr>
        <w:t xml:space="preserve">See </w:t>
      </w:r>
      <w:r>
        <w:t>Joint Commenters Comments at 6-7.</w:t>
      </w:r>
    </w:p>
  </w:footnote>
  <w:footnote w:id="32">
    <w:p w14:paraId="0FDF319A" w14:textId="77777777" w:rsidR="003069F6" w:rsidRPr="00BE6BF4" w:rsidRDefault="003069F6">
      <w:pPr>
        <w:pStyle w:val="FootnoteText"/>
      </w:pPr>
      <w:r>
        <w:rPr>
          <w:rStyle w:val="FootnoteReference"/>
        </w:rPr>
        <w:footnoteRef/>
      </w:r>
      <w:r>
        <w:t xml:space="preserve"> </w:t>
      </w:r>
      <w:r>
        <w:rPr>
          <w:i/>
        </w:rPr>
        <w:t>See NPRM</w:t>
      </w:r>
      <w:r>
        <w:t>, 29 FCC Rcd at 14191-92, ¶ 13, and Appendix B.</w:t>
      </w:r>
    </w:p>
  </w:footnote>
  <w:footnote w:id="33">
    <w:p w14:paraId="007E989F" w14:textId="77777777" w:rsidR="003069F6" w:rsidRPr="00493382" w:rsidRDefault="003069F6">
      <w:pPr>
        <w:pStyle w:val="FootnoteText"/>
      </w:pPr>
      <w:r>
        <w:rPr>
          <w:rStyle w:val="FootnoteReference"/>
        </w:rPr>
        <w:footnoteRef/>
      </w:r>
      <w:r>
        <w:t xml:space="preserve"> </w:t>
      </w:r>
      <w:r>
        <w:rPr>
          <w:i/>
        </w:rPr>
        <w:t xml:space="preserve">See, e.g., </w:t>
      </w:r>
      <w:r>
        <w:t>Entercom Comments at 8-9; Hubbard Comments at 3-4; iHeartMedia Comments at 12.</w:t>
      </w:r>
    </w:p>
  </w:footnote>
  <w:footnote w:id="34">
    <w:p w14:paraId="13B1BDAB" w14:textId="77777777" w:rsidR="003069F6" w:rsidRPr="00493382" w:rsidRDefault="003069F6">
      <w:pPr>
        <w:pStyle w:val="FootnoteText"/>
      </w:pPr>
      <w:r>
        <w:rPr>
          <w:rStyle w:val="FootnoteReference"/>
        </w:rPr>
        <w:footnoteRef/>
      </w:r>
      <w:r>
        <w:t xml:space="preserve"> </w:t>
      </w:r>
      <w:r>
        <w:rPr>
          <w:i/>
        </w:rPr>
        <w:t xml:space="preserve">See, e.g., </w:t>
      </w:r>
      <w:r>
        <w:t>Joint Commenters Comments at 9.</w:t>
      </w:r>
    </w:p>
  </w:footnote>
  <w:footnote w:id="35">
    <w:p w14:paraId="24C5FB8D" w14:textId="77777777" w:rsidR="003069F6" w:rsidRPr="00656AAA" w:rsidRDefault="003069F6">
      <w:pPr>
        <w:pStyle w:val="FootnoteText"/>
      </w:pPr>
      <w:r>
        <w:rPr>
          <w:rStyle w:val="FootnoteReference"/>
        </w:rPr>
        <w:footnoteRef/>
      </w:r>
      <w:r>
        <w:t xml:space="preserve"> </w:t>
      </w:r>
      <w:r>
        <w:rPr>
          <w:i/>
        </w:rPr>
        <w:t xml:space="preserve">See, e.g., </w:t>
      </w:r>
      <w:r>
        <w:t>iHeartMedia Comments at 12; Joint Commenters Comments at 8-9.</w:t>
      </w:r>
    </w:p>
  </w:footnote>
  <w:footnote w:id="36">
    <w:p w14:paraId="5A501891" w14:textId="77777777" w:rsidR="003069F6" w:rsidRPr="00D20E56" w:rsidRDefault="003069F6" w:rsidP="00621DDE">
      <w:pPr>
        <w:pStyle w:val="FootnoteText"/>
      </w:pPr>
      <w:r>
        <w:rPr>
          <w:rStyle w:val="FootnoteReference"/>
        </w:rPr>
        <w:footnoteRef/>
      </w:r>
      <w:r>
        <w:t xml:space="preserve"> </w:t>
      </w:r>
      <w:r>
        <w:rPr>
          <w:i/>
        </w:rPr>
        <w:t xml:space="preserve">See, e.g., </w:t>
      </w:r>
      <w:r>
        <w:t xml:space="preserve">iHeartMedia Comments at </w:t>
      </w:r>
      <w:r w:rsidRPr="0078080F">
        <w:t>13</w:t>
      </w:r>
      <w:r>
        <w:t xml:space="preserve">; Joint Parties Comments at 7-8 (suggesting that the Commission could require licensees to broadcast the website address an average of at least three times per day, excluding the hours of 12-6 a.m.).  </w:t>
      </w:r>
      <w:r>
        <w:rPr>
          <w:i/>
        </w:rPr>
        <w:t xml:space="preserve">See also </w:t>
      </w:r>
      <w:r>
        <w:t xml:space="preserve">Hubbard Comments at </w:t>
      </w:r>
      <w:r w:rsidRPr="008179E6">
        <w:t>4</w:t>
      </w:r>
      <w:r>
        <w:t xml:space="preserve">; NSBA Comments at </w:t>
      </w:r>
      <w:r w:rsidRPr="008179E6">
        <w:t>5</w:t>
      </w:r>
      <w:r>
        <w:t xml:space="preserve"> (suggesting that the Commission could require licensees to broadcast the website address when they substantially highlight or discuss a contest, </w:t>
      </w:r>
      <w:r>
        <w:rPr>
          <w:i/>
        </w:rPr>
        <w:t xml:space="preserve">i.e., </w:t>
      </w:r>
      <w:r>
        <w:t xml:space="preserve">not during passing references).  We note that some of these suggestions were proffered as an alternative to our proposal in the </w:t>
      </w:r>
      <w:r>
        <w:rPr>
          <w:i/>
        </w:rPr>
        <w:t xml:space="preserve">NPRM </w:t>
      </w:r>
      <w:r>
        <w:t xml:space="preserve">to require licensees to broadcast the relevant website address </w:t>
      </w:r>
      <w:r w:rsidRPr="00D20E56">
        <w:rPr>
          <w:i/>
        </w:rPr>
        <w:t>each time</w:t>
      </w:r>
      <w:r>
        <w:t xml:space="preserve"> a contest is mentioned, and that some of these parties advocate principally for the requirement adopted herein (</w:t>
      </w:r>
      <w:r w:rsidRPr="00A33BF8">
        <w:rPr>
          <w:i/>
        </w:rPr>
        <w:t>i.e</w:t>
      </w:r>
      <w:r>
        <w:t xml:space="preserve">., periodic broadcast identification of the website address).  Nevertheless, we set forth above our reasons for declining to adopt those alternatives. </w:t>
      </w:r>
    </w:p>
  </w:footnote>
  <w:footnote w:id="37">
    <w:p w14:paraId="4DCB47AE" w14:textId="77777777" w:rsidR="003069F6" w:rsidRDefault="003069F6" w:rsidP="00754C22">
      <w:pPr>
        <w:pStyle w:val="FootnoteText"/>
      </w:pPr>
      <w:r>
        <w:rPr>
          <w:rStyle w:val="FootnoteReference"/>
        </w:rPr>
        <w:footnoteRef/>
      </w:r>
      <w:r>
        <w:t xml:space="preserve"> </w:t>
      </w:r>
      <w:r>
        <w:rPr>
          <w:i/>
        </w:rPr>
        <w:t xml:space="preserve">See </w:t>
      </w:r>
      <w:r>
        <w:t xml:space="preserve">Hubbard Comments at </w:t>
      </w:r>
      <w:r w:rsidRPr="008179E6">
        <w:t>3-4</w:t>
      </w:r>
      <w:r>
        <w:t xml:space="preserve">; NSBA Comments at </w:t>
      </w:r>
      <w:r w:rsidRPr="008179E6">
        <w:t>5</w:t>
      </w:r>
      <w:r>
        <w:t>.</w:t>
      </w:r>
    </w:p>
  </w:footnote>
  <w:footnote w:id="38">
    <w:p w14:paraId="0A89CE02" w14:textId="77777777" w:rsidR="003069F6" w:rsidRDefault="003069F6">
      <w:pPr>
        <w:pStyle w:val="FootnoteText"/>
      </w:pPr>
      <w:r>
        <w:rPr>
          <w:rStyle w:val="FootnoteReference"/>
        </w:rPr>
        <w:footnoteRef/>
      </w:r>
      <w:r>
        <w:t xml:space="preserve"> G</w:t>
      </w:r>
      <w:r w:rsidRPr="00DA1C30">
        <w:t>iven the po</w:t>
      </w:r>
      <w:r>
        <w:t>tential</w:t>
      </w:r>
      <w:r w:rsidRPr="00DA1C30">
        <w:t xml:space="preserve"> number of spontaneous, unscripted contest promotions, </w:t>
      </w:r>
      <w:r w:rsidRPr="00DA1C30">
        <w:rPr>
          <w:i/>
        </w:rPr>
        <w:t>e.g</w:t>
      </w:r>
      <w:r w:rsidRPr="00DA1C30">
        <w:t xml:space="preserve">., by on-air radio personalities, </w:t>
      </w:r>
      <w:r>
        <w:t xml:space="preserve">we also believe that </w:t>
      </w:r>
      <w:r w:rsidRPr="00DA1C30">
        <w:t>adopting this proposal could result in a high number of Contest Rule violations</w:t>
      </w:r>
      <w:r>
        <w:t xml:space="preserve">.  </w:t>
      </w:r>
      <w:r>
        <w:rPr>
          <w:i/>
        </w:rPr>
        <w:t>See, e.g.</w:t>
      </w:r>
      <w:r>
        <w:t>, Entercom Comments at 9; iHeartMedia Comments at 12-13; NSBA Comments at 5.</w:t>
      </w:r>
    </w:p>
  </w:footnote>
  <w:footnote w:id="39">
    <w:p w14:paraId="63B0D680" w14:textId="7D38B4A9" w:rsidR="003069F6" w:rsidRPr="00384F50" w:rsidRDefault="003069F6">
      <w:pPr>
        <w:pStyle w:val="FootnoteText"/>
      </w:pPr>
      <w:r>
        <w:rPr>
          <w:rStyle w:val="FootnoteReference"/>
        </w:rPr>
        <w:footnoteRef/>
      </w:r>
      <w:r>
        <w:t xml:space="preserve"> </w:t>
      </w:r>
      <w:r>
        <w:rPr>
          <w:i/>
        </w:rPr>
        <w:t xml:space="preserve">See </w:t>
      </w:r>
      <w:r>
        <w:t xml:space="preserve">47 C.F.R. § 73.1216, Note 2 (directing, among other things, disclosure of material contest terms be made “periodically by announcements broadcast on the station conducting the contest, but need not be enumerated each time an announcement promoting the contest is broadcast”). </w:t>
      </w:r>
    </w:p>
  </w:footnote>
  <w:footnote w:id="40">
    <w:p w14:paraId="1221DA0C" w14:textId="77777777" w:rsidR="003069F6" w:rsidRPr="00B5130B" w:rsidRDefault="003069F6">
      <w:pPr>
        <w:pStyle w:val="FootnoteText"/>
      </w:pPr>
      <w:r>
        <w:rPr>
          <w:rStyle w:val="FootnoteReference"/>
        </w:rPr>
        <w:footnoteRef/>
      </w:r>
      <w:r>
        <w:t xml:space="preserve"> </w:t>
      </w:r>
      <w:r>
        <w:rPr>
          <w:i/>
        </w:rPr>
        <w:t>Id.</w:t>
      </w:r>
      <w:r>
        <w:t xml:space="preserve"> (stating that “[i]n general, the time and manner of disclosure of the material terms of a contest are within the licensee’s discretion,” and that “[d]isclosure of</w:t>
      </w:r>
      <w:r w:rsidRPr="00B5130B">
        <w:t xml:space="preserve"> material terms in a reasonable number of announc</w:t>
      </w:r>
      <w:r>
        <w:t>ements is sufficient</w:t>
      </w:r>
      <w:r w:rsidRPr="00B5130B">
        <w:t>”</w:t>
      </w:r>
      <w:r>
        <w:t xml:space="preserve">). </w:t>
      </w:r>
    </w:p>
  </w:footnote>
  <w:footnote w:id="41">
    <w:p w14:paraId="37B6C744" w14:textId="77777777" w:rsidR="003069F6" w:rsidRPr="00E87672" w:rsidRDefault="003069F6">
      <w:pPr>
        <w:pStyle w:val="FootnoteText"/>
      </w:pPr>
      <w:r>
        <w:rPr>
          <w:rStyle w:val="FootnoteReference"/>
        </w:rPr>
        <w:footnoteRef/>
      </w:r>
      <w:r>
        <w:t xml:space="preserve"> </w:t>
      </w:r>
      <w:r>
        <w:rPr>
          <w:i/>
        </w:rPr>
        <w:t xml:space="preserve">See </w:t>
      </w:r>
      <w:r w:rsidRPr="009B39A4">
        <w:rPr>
          <w:i/>
        </w:rPr>
        <w:t>NPRM</w:t>
      </w:r>
      <w:r>
        <w:rPr>
          <w:i/>
        </w:rPr>
        <w:t xml:space="preserve">, </w:t>
      </w:r>
      <w:r>
        <w:t>29 FCC Rcd at 14191, ¶ 11 (seeking comment on how the Commission can ensure that material contest terms are easy for consumers to locate on an Internet website, and on whether to require a link on the website’s home page to contest terms).</w:t>
      </w:r>
    </w:p>
  </w:footnote>
  <w:footnote w:id="42">
    <w:p w14:paraId="7A074B6C" w14:textId="77777777" w:rsidR="003069F6" w:rsidRDefault="003069F6">
      <w:pPr>
        <w:pStyle w:val="FootnoteText"/>
      </w:pPr>
      <w:r>
        <w:rPr>
          <w:rStyle w:val="FootnoteReference"/>
        </w:rPr>
        <w:footnoteRef/>
      </w:r>
      <w:r>
        <w:t xml:space="preserve"> </w:t>
      </w:r>
      <w:r>
        <w:rPr>
          <w:i/>
        </w:rPr>
        <w:t xml:space="preserve">See </w:t>
      </w:r>
      <w:r>
        <w:t>iHeartMedia Comments at 8; Joint Parties Comments at 4.</w:t>
      </w:r>
    </w:p>
  </w:footnote>
  <w:footnote w:id="43">
    <w:p w14:paraId="04E578A2" w14:textId="77777777" w:rsidR="003069F6" w:rsidRPr="00D76D11" w:rsidRDefault="003069F6">
      <w:pPr>
        <w:pStyle w:val="FootnoteText"/>
      </w:pPr>
      <w:r>
        <w:rPr>
          <w:rStyle w:val="FootnoteReference"/>
        </w:rPr>
        <w:footnoteRef/>
      </w:r>
      <w:r>
        <w:t xml:space="preserve"> </w:t>
      </w:r>
      <w:r>
        <w:rPr>
          <w:i/>
        </w:rPr>
        <w:t xml:space="preserve">See </w:t>
      </w:r>
      <w:r>
        <w:t>Joint Commenters Comments at 5; NSBA Comments at 6.</w:t>
      </w:r>
      <w:r>
        <w:rPr>
          <w:i/>
        </w:rPr>
        <w:t xml:space="preserve"> </w:t>
      </w:r>
    </w:p>
  </w:footnote>
  <w:footnote w:id="44">
    <w:p w14:paraId="72517ED8" w14:textId="77777777" w:rsidR="003069F6" w:rsidRPr="00CB0224" w:rsidRDefault="003069F6">
      <w:pPr>
        <w:pStyle w:val="FootnoteText"/>
      </w:pPr>
      <w:r>
        <w:rPr>
          <w:rStyle w:val="FootnoteReference"/>
        </w:rPr>
        <w:footnoteRef/>
      </w:r>
      <w:r>
        <w:t xml:space="preserve"> </w:t>
      </w:r>
      <w:r>
        <w:rPr>
          <w:i/>
        </w:rPr>
        <w:t xml:space="preserve">See </w:t>
      </w:r>
      <w:r>
        <w:t>iHeartMedia Comments at 8; Joint Parties Comments at 4.</w:t>
      </w:r>
    </w:p>
  </w:footnote>
  <w:footnote w:id="45">
    <w:p w14:paraId="3B7C13D0" w14:textId="77777777" w:rsidR="003069F6" w:rsidRPr="000C2816" w:rsidRDefault="003069F6">
      <w:pPr>
        <w:pStyle w:val="FootnoteText"/>
      </w:pPr>
      <w:r>
        <w:rPr>
          <w:rStyle w:val="FootnoteReference"/>
        </w:rPr>
        <w:footnoteRef/>
      </w:r>
      <w:r>
        <w:t xml:space="preserve"> </w:t>
      </w:r>
      <w:r>
        <w:rPr>
          <w:i/>
        </w:rPr>
        <w:t xml:space="preserve">See </w:t>
      </w:r>
      <w:r>
        <w:t>iHeartMedia Comments at 8.</w:t>
      </w:r>
    </w:p>
  </w:footnote>
  <w:footnote w:id="46">
    <w:p w14:paraId="2210E968" w14:textId="77777777" w:rsidR="003069F6" w:rsidRPr="00E827F2" w:rsidRDefault="003069F6">
      <w:pPr>
        <w:pStyle w:val="FootnoteText"/>
      </w:pPr>
      <w:r>
        <w:rPr>
          <w:rStyle w:val="FootnoteReference"/>
        </w:rPr>
        <w:footnoteRef/>
      </w:r>
      <w:r>
        <w:t xml:space="preserve"> </w:t>
      </w:r>
      <w:r>
        <w:rPr>
          <w:i/>
        </w:rPr>
        <w:t>See, e.g.</w:t>
      </w:r>
      <w:r>
        <w:t>, Joint Commenters Comments at 5; Entercom Comments at 4-5.</w:t>
      </w:r>
    </w:p>
  </w:footnote>
  <w:footnote w:id="47">
    <w:p w14:paraId="7DD70242" w14:textId="77777777" w:rsidR="003069F6" w:rsidRPr="00C76059" w:rsidRDefault="003069F6">
      <w:pPr>
        <w:pStyle w:val="FootnoteText"/>
      </w:pPr>
      <w:r>
        <w:rPr>
          <w:rStyle w:val="FootnoteReference"/>
        </w:rPr>
        <w:footnoteRef/>
      </w:r>
      <w:r>
        <w:t xml:space="preserve"> </w:t>
      </w:r>
      <w:r>
        <w:rPr>
          <w:i/>
        </w:rPr>
        <w:t xml:space="preserve">See </w:t>
      </w:r>
      <w:r>
        <w:t>47 C.F.R. § 73.1216, Note 2.</w:t>
      </w:r>
    </w:p>
  </w:footnote>
  <w:footnote w:id="48">
    <w:p w14:paraId="3C7EA91E" w14:textId="77777777" w:rsidR="003069F6" w:rsidRPr="00847A00" w:rsidRDefault="003069F6">
      <w:pPr>
        <w:pStyle w:val="FootnoteText"/>
      </w:pPr>
      <w:r>
        <w:rPr>
          <w:rStyle w:val="FootnoteReference"/>
        </w:rPr>
        <w:footnoteRef/>
      </w:r>
      <w:r>
        <w:t xml:space="preserve"> </w:t>
      </w:r>
      <w:r>
        <w:rPr>
          <w:i/>
        </w:rPr>
        <w:t>See NPRM</w:t>
      </w:r>
      <w:r>
        <w:t>, 29 FCC Rcd at 14191, ¶ 11.</w:t>
      </w:r>
    </w:p>
  </w:footnote>
  <w:footnote w:id="49">
    <w:p w14:paraId="09946C42" w14:textId="15F001FC" w:rsidR="003069F6" w:rsidRPr="00652687" w:rsidRDefault="003069F6">
      <w:pPr>
        <w:pStyle w:val="FootnoteText"/>
      </w:pPr>
      <w:r>
        <w:rPr>
          <w:rStyle w:val="FootnoteReference"/>
        </w:rPr>
        <w:footnoteRef/>
      </w:r>
      <w:r>
        <w:t xml:space="preserve"> We note that the Commission, in other contexts, has found thirty days to be a reasonable period of notification to the public.  </w:t>
      </w:r>
      <w:r>
        <w:rPr>
          <w:i/>
        </w:rPr>
        <w:t>See, e.g.</w:t>
      </w:r>
      <w:r>
        <w:t xml:space="preserve">, </w:t>
      </w:r>
      <w:hyperlink r:id="rId1" w:history="1">
        <w:r w:rsidRPr="00D65712">
          <w:rPr>
            <w:rStyle w:val="Hyperlink"/>
          </w:rPr>
          <w:t>https://www.fcc.gov/asr/localnotice</w:t>
        </w:r>
      </w:hyperlink>
      <w:r>
        <w:t xml:space="preserve"> (visited July 15, 2015) (providing that the Commission will post for thirty days information submitted by applicants for antenna structures that could raise environmental concerns); 47 C.F.R. § 76.1601 (requiring that a c</w:t>
      </w:r>
      <w:r w:rsidRPr="009A5FA8">
        <w:t xml:space="preserve">able operator provide </w:t>
      </w:r>
      <w:r>
        <w:t>at least thirty</w:t>
      </w:r>
      <w:r w:rsidRPr="009A5FA8">
        <w:t xml:space="preserve"> days</w:t>
      </w:r>
      <w:r>
        <w:t>’</w:t>
      </w:r>
      <w:r w:rsidRPr="009A5FA8">
        <w:t xml:space="preserve"> </w:t>
      </w:r>
      <w:r>
        <w:t>notice to subscribers prior to deleting or repositioning a broadcast signal).</w:t>
      </w:r>
    </w:p>
  </w:footnote>
  <w:footnote w:id="50">
    <w:p w14:paraId="622AC993" w14:textId="77777777" w:rsidR="003069F6" w:rsidRPr="00DE4124" w:rsidRDefault="003069F6" w:rsidP="00483920">
      <w:pPr>
        <w:pStyle w:val="FootnoteText"/>
      </w:pPr>
      <w:r>
        <w:rPr>
          <w:rStyle w:val="FootnoteReference"/>
        </w:rPr>
        <w:footnoteRef/>
      </w:r>
      <w:r>
        <w:t xml:space="preserve"> </w:t>
      </w:r>
      <w:r>
        <w:rPr>
          <w:i/>
        </w:rPr>
        <w:t xml:space="preserve">See </w:t>
      </w:r>
      <w:r>
        <w:t>NAB Comments at 6.</w:t>
      </w:r>
    </w:p>
  </w:footnote>
  <w:footnote w:id="51">
    <w:p w14:paraId="1E83F8E7" w14:textId="77777777" w:rsidR="003069F6" w:rsidRPr="007F23A7" w:rsidRDefault="003069F6" w:rsidP="00483920">
      <w:pPr>
        <w:pStyle w:val="FootnoteText"/>
      </w:pPr>
      <w:r>
        <w:rPr>
          <w:rStyle w:val="FootnoteReference"/>
        </w:rPr>
        <w:footnoteRef/>
      </w:r>
      <w:r>
        <w:t xml:space="preserve"> </w:t>
      </w:r>
      <w:r>
        <w:rPr>
          <w:i/>
        </w:rPr>
        <w:t xml:space="preserve">See </w:t>
      </w:r>
      <w:r>
        <w:t xml:space="preserve">Coalition Comments at 4-5; Entercom Comments at 5; iHeartMedia Comments at 8; Joint Parties Comments at 6; Joint Commenters Comments at 7.  </w:t>
      </w:r>
      <w:r>
        <w:rPr>
          <w:i/>
        </w:rPr>
        <w:t>Cf.</w:t>
      </w:r>
      <w:r>
        <w:t xml:space="preserve"> NPR Comments at 4 (Commission should not require licensees to maintain contest disclosures after the relevant contest has ended because material terms of a contest are no longer important to communicate to the public after contest has ended).</w:t>
      </w:r>
    </w:p>
  </w:footnote>
  <w:footnote w:id="52">
    <w:p w14:paraId="47F069FE" w14:textId="77777777" w:rsidR="003069F6" w:rsidRDefault="003069F6">
      <w:pPr>
        <w:pStyle w:val="FootnoteText"/>
      </w:pPr>
      <w:r>
        <w:rPr>
          <w:rStyle w:val="FootnoteReference"/>
        </w:rPr>
        <w:footnoteRef/>
      </w:r>
      <w:r>
        <w:t xml:space="preserve"> Absent such a requirement, for example, a contest winner might not be able to readily confirm that the prize he/she has been awarded after the content has ended is, in fact, the prize disclosed online.  Similarly, a losing contestant that wished to consult the contest rules could not readily do so if licensees were permitted to remove the rules immediately upon the contest’s conclusion.    </w:t>
      </w:r>
    </w:p>
  </w:footnote>
  <w:footnote w:id="53">
    <w:p w14:paraId="6D1F1854" w14:textId="77777777" w:rsidR="003069F6" w:rsidRPr="00204CA3" w:rsidRDefault="003069F6">
      <w:pPr>
        <w:pStyle w:val="FootnoteText"/>
      </w:pPr>
      <w:r>
        <w:rPr>
          <w:rStyle w:val="FootnoteReference"/>
        </w:rPr>
        <w:footnoteRef/>
      </w:r>
      <w:r>
        <w:t xml:space="preserve"> </w:t>
      </w:r>
      <w:r>
        <w:rPr>
          <w:i/>
        </w:rPr>
        <w:t xml:space="preserve">See </w:t>
      </w:r>
      <w:r>
        <w:t>Joint Parties Comments at 6.</w:t>
      </w:r>
    </w:p>
  </w:footnote>
  <w:footnote w:id="54">
    <w:p w14:paraId="407D22DC" w14:textId="25BFEA73" w:rsidR="00D7574F" w:rsidRPr="00D7574F" w:rsidRDefault="00D7574F">
      <w:pPr>
        <w:pStyle w:val="FootnoteText"/>
      </w:pPr>
      <w:r>
        <w:rPr>
          <w:rStyle w:val="FootnoteReference"/>
        </w:rPr>
        <w:footnoteRef/>
      </w:r>
      <w:r>
        <w:t xml:space="preserve"> </w:t>
      </w:r>
      <w:r>
        <w:rPr>
          <w:i/>
        </w:rPr>
        <w:t xml:space="preserve">See </w:t>
      </w:r>
      <w:r>
        <w:t xml:space="preserve">47 C.F.R. § 73.1216, Note 1(b) (“Material terms include . . . [the] </w:t>
      </w:r>
      <w:r w:rsidRPr="00131E4B">
        <w:rPr>
          <w:i/>
        </w:rPr>
        <w:t>time</w:t>
      </w:r>
      <w:r>
        <w:t xml:space="preserve"> and means </w:t>
      </w:r>
      <w:r w:rsidRPr="00131E4B">
        <w:rPr>
          <w:i/>
        </w:rPr>
        <w:t>of selection</w:t>
      </w:r>
      <w:r>
        <w:t xml:space="preserve"> </w:t>
      </w:r>
      <w:r w:rsidRPr="00131E4B">
        <w:rPr>
          <w:i/>
        </w:rPr>
        <w:t>of winners</w:t>
      </w:r>
      <w:r>
        <w:t>”) (emphasis added).</w:t>
      </w:r>
    </w:p>
  </w:footnote>
  <w:footnote w:id="55">
    <w:p w14:paraId="153B8DB7" w14:textId="6EC69583" w:rsidR="007A3103" w:rsidRDefault="007A3103">
      <w:pPr>
        <w:pStyle w:val="FootnoteText"/>
      </w:pPr>
      <w:r>
        <w:rPr>
          <w:rStyle w:val="FootnoteReference"/>
        </w:rPr>
        <w:footnoteRef/>
      </w:r>
      <w:r>
        <w:t xml:space="preserve"> </w:t>
      </w:r>
      <w:r>
        <w:rPr>
          <w:i/>
        </w:rPr>
        <w:t xml:space="preserve">See </w:t>
      </w:r>
      <w:r>
        <w:t>47 C.F.R. § 73.1216.</w:t>
      </w:r>
    </w:p>
  </w:footnote>
  <w:footnote w:id="56">
    <w:p w14:paraId="7D7234A6" w14:textId="0408CD43" w:rsidR="003069F6" w:rsidRDefault="003069F6">
      <w:pPr>
        <w:pStyle w:val="FootnoteText"/>
      </w:pPr>
      <w:r>
        <w:rPr>
          <w:rStyle w:val="FootnoteReference"/>
        </w:rPr>
        <w:footnoteRef/>
      </w:r>
      <w:r>
        <w:t xml:space="preserve"> </w:t>
      </w:r>
      <w:r>
        <w:rPr>
          <w:i/>
        </w:rPr>
        <w:t xml:space="preserve">See </w:t>
      </w:r>
      <w:r w:rsidRPr="00306C16">
        <w:rPr>
          <w:i/>
        </w:rPr>
        <w:t>NPRM</w:t>
      </w:r>
      <w:r>
        <w:t xml:space="preserve">, 29 FCC Rcd 14191-92, ¶ </w:t>
      </w:r>
      <w:r w:rsidRPr="00B34715">
        <w:t>13</w:t>
      </w:r>
      <w:r>
        <w:t xml:space="preserve"> (also seeking comment on </w:t>
      </w:r>
      <w:r w:rsidRPr="00033288">
        <w:rPr>
          <w:iCs/>
        </w:rPr>
        <w:t>the appropriate frequency a</w:t>
      </w:r>
      <w:r>
        <w:rPr>
          <w:iCs/>
        </w:rPr>
        <w:t>nd duration of this requirement</w:t>
      </w:r>
      <w:r>
        <w:t>), and Appendix B.</w:t>
      </w:r>
      <w:r w:rsidR="00835EE2">
        <w:t xml:space="preserve">  </w:t>
      </w:r>
    </w:p>
  </w:footnote>
  <w:footnote w:id="57">
    <w:p w14:paraId="215AB48D" w14:textId="77777777" w:rsidR="003069F6" w:rsidRPr="004619AD" w:rsidRDefault="003069F6" w:rsidP="00222805">
      <w:pPr>
        <w:pStyle w:val="FootnoteText"/>
        <w:rPr>
          <w:i/>
        </w:rPr>
      </w:pPr>
      <w:r>
        <w:rPr>
          <w:rStyle w:val="FootnoteReference"/>
        </w:rPr>
        <w:footnoteRef/>
      </w:r>
      <w:r>
        <w:t xml:space="preserve"> </w:t>
      </w:r>
      <w:r>
        <w:rPr>
          <w:i/>
        </w:rPr>
        <w:t xml:space="preserve">See </w:t>
      </w:r>
      <w:r>
        <w:t>Entercom Comments at 11; iHeartMedia Comments at 13-14; Joint Parties Comments at 9; NSBA Comments at 10.</w:t>
      </w:r>
    </w:p>
  </w:footnote>
  <w:footnote w:id="58">
    <w:p w14:paraId="2FCD3C99" w14:textId="45D84B31" w:rsidR="003069F6" w:rsidRPr="00EA745B" w:rsidRDefault="003069F6">
      <w:pPr>
        <w:pStyle w:val="FootnoteText"/>
      </w:pPr>
      <w:r>
        <w:rPr>
          <w:rStyle w:val="FootnoteReference"/>
        </w:rPr>
        <w:footnoteRef/>
      </w:r>
      <w:r>
        <w:t xml:space="preserve"> </w:t>
      </w:r>
      <w:r>
        <w:rPr>
          <w:i/>
        </w:rPr>
        <w:t xml:space="preserve">See </w:t>
      </w:r>
      <w:r>
        <w:t>Entercom Comments at 11; iHeartMedia Comments at 14 (advocating a requirement that licensees announce changes to material contest terms within 24 hours of the change).</w:t>
      </w:r>
      <w:r w:rsidR="00D7574F">
        <w:t xml:space="preserve">  We expect licensees to broadcast </w:t>
      </w:r>
      <w:r w:rsidR="00146F4B">
        <w:t xml:space="preserve">forthwith </w:t>
      </w:r>
      <w:r w:rsidR="00D7574F">
        <w:t xml:space="preserve">announcements of </w:t>
      </w:r>
      <w:r w:rsidR="00904317">
        <w:t xml:space="preserve">the </w:t>
      </w:r>
      <w:r w:rsidR="00D7574F">
        <w:t xml:space="preserve">changes in material terms </w:t>
      </w:r>
      <w:r w:rsidR="00904317">
        <w:t xml:space="preserve">that they have posted on a website, </w:t>
      </w:r>
      <w:r w:rsidR="00D7574F">
        <w:t xml:space="preserve">and </w:t>
      </w:r>
      <w:r w:rsidR="00E706D8">
        <w:t>to</w:t>
      </w:r>
      <w:r w:rsidR="00D7574F">
        <w:t xml:space="preserve"> not wait 24 hours before doing so.</w:t>
      </w:r>
    </w:p>
  </w:footnote>
  <w:footnote w:id="59">
    <w:p w14:paraId="6F9A75F9" w14:textId="72125628" w:rsidR="003069F6" w:rsidRPr="00513E00" w:rsidRDefault="003069F6">
      <w:pPr>
        <w:pStyle w:val="FootnoteText"/>
      </w:pPr>
      <w:r>
        <w:rPr>
          <w:rStyle w:val="FootnoteReference"/>
        </w:rPr>
        <w:footnoteRef/>
      </w:r>
      <w:r>
        <w:t xml:space="preserve"> Although a few parties have suggested that licensees be required to announce on air that contest terms have changed three times daily, </w:t>
      </w:r>
      <w:r>
        <w:rPr>
          <w:i/>
        </w:rPr>
        <w:t xml:space="preserve">see </w:t>
      </w:r>
      <w:r>
        <w:t>Entercom Comments at 11; iHeartMedia Comments at 14; Joint Parties Comments at 9, we conclude that requiring such announcements on a periodic basis will give broadcasters more flexibility in how they satisfy their disclosure obligation, and is consistent with licensees’ existing obligation to broadcast contest disclosures “periodically” and the discretion granted licensees under the Contest Rule.  We note that this requirement also is harmonious with the rule we adopt above governing broadcast identification of website addresses.</w:t>
      </w:r>
      <w:r>
        <w:rPr>
          <w:i/>
        </w:rPr>
        <w:t xml:space="preserve"> </w:t>
      </w:r>
    </w:p>
  </w:footnote>
  <w:footnote w:id="60">
    <w:p w14:paraId="13ACBABC" w14:textId="21A047C8" w:rsidR="003069F6" w:rsidRPr="00A53A83" w:rsidRDefault="003069F6">
      <w:pPr>
        <w:pStyle w:val="FootnoteText"/>
      </w:pPr>
      <w:r>
        <w:rPr>
          <w:rStyle w:val="FootnoteReference"/>
        </w:rPr>
        <w:footnoteRef/>
      </w:r>
      <w:r>
        <w:t xml:space="preserve"> </w:t>
      </w:r>
      <w:r>
        <w:rPr>
          <w:i/>
        </w:rPr>
        <w:t xml:space="preserve">See </w:t>
      </w:r>
      <w:r>
        <w:t>NPR Comments at 5 (rather than requiring licensees to disclose on air that material contest terms have been changed, the Commission should require them to state clearly on the website that contest terms have changed).</w:t>
      </w:r>
    </w:p>
  </w:footnote>
  <w:footnote w:id="61">
    <w:p w14:paraId="76426F33" w14:textId="0B0C352A" w:rsidR="007A3103" w:rsidRDefault="007A3103">
      <w:pPr>
        <w:pStyle w:val="FootnoteText"/>
      </w:pPr>
      <w:r>
        <w:rPr>
          <w:rStyle w:val="FootnoteReference"/>
        </w:rPr>
        <w:footnoteRef/>
      </w:r>
      <w:r>
        <w:t xml:space="preserve"> </w:t>
      </w:r>
      <w:r>
        <w:rPr>
          <w:i/>
        </w:rPr>
        <w:t xml:space="preserve">See </w:t>
      </w:r>
      <w:r>
        <w:t>47 C.F.R. § 73.1216.</w:t>
      </w:r>
    </w:p>
  </w:footnote>
  <w:footnote w:id="62">
    <w:p w14:paraId="061A0583" w14:textId="77777777" w:rsidR="003069F6" w:rsidRPr="00B34715" w:rsidRDefault="003069F6" w:rsidP="00622A1C">
      <w:pPr>
        <w:pStyle w:val="FootnoteText"/>
      </w:pPr>
      <w:r>
        <w:rPr>
          <w:rStyle w:val="FootnoteReference"/>
        </w:rPr>
        <w:footnoteRef/>
      </w:r>
      <w:r>
        <w:t xml:space="preserve"> </w:t>
      </w:r>
      <w:r>
        <w:rPr>
          <w:i/>
        </w:rPr>
        <w:t xml:space="preserve">See </w:t>
      </w:r>
      <w:r w:rsidRPr="00306C16">
        <w:rPr>
          <w:i/>
        </w:rPr>
        <w:t>NPRM</w:t>
      </w:r>
      <w:r>
        <w:t xml:space="preserve">, 29 FCC Rcd at 14191, ¶ 12.  </w:t>
      </w:r>
      <w:r w:rsidRPr="006E7735">
        <w:t xml:space="preserve">As noted in the </w:t>
      </w:r>
      <w:r w:rsidRPr="006E7735">
        <w:rPr>
          <w:i/>
        </w:rPr>
        <w:t>NPRM</w:t>
      </w:r>
      <w:r w:rsidRPr="006E7735">
        <w:t>, for example, if a broadcast contest announcement identifies a particular prize by brand name or model, then the terms disclosed on the website must be the same.</w:t>
      </w:r>
      <w:r>
        <w:t xml:space="preserve">  </w:t>
      </w:r>
      <w:r>
        <w:rPr>
          <w:i/>
        </w:rPr>
        <w:t>Id.</w:t>
      </w:r>
      <w:r>
        <w:t xml:space="preserve"> ¶ 12, n.41.</w:t>
      </w:r>
    </w:p>
  </w:footnote>
  <w:footnote w:id="63">
    <w:p w14:paraId="2F522F0F" w14:textId="77777777" w:rsidR="003069F6" w:rsidRDefault="003069F6" w:rsidP="00622A1C">
      <w:pPr>
        <w:pStyle w:val="FootnoteText"/>
      </w:pPr>
      <w:r>
        <w:rPr>
          <w:rStyle w:val="FootnoteReference"/>
        </w:rPr>
        <w:footnoteRef/>
      </w:r>
      <w:r>
        <w:t xml:space="preserve"> </w:t>
      </w:r>
      <w:r>
        <w:rPr>
          <w:i/>
        </w:rPr>
        <w:t xml:space="preserve">See </w:t>
      </w:r>
      <w:r>
        <w:t>47 C.F.R. § 73.1216.</w:t>
      </w:r>
    </w:p>
  </w:footnote>
  <w:footnote w:id="64">
    <w:p w14:paraId="7EE41C53" w14:textId="77777777" w:rsidR="003069F6" w:rsidRPr="006D55E4" w:rsidRDefault="003069F6" w:rsidP="00622A1C">
      <w:pPr>
        <w:pStyle w:val="FootnoteText"/>
      </w:pPr>
      <w:r>
        <w:rPr>
          <w:rStyle w:val="FootnoteReference"/>
        </w:rPr>
        <w:footnoteRef/>
      </w:r>
      <w:r>
        <w:t xml:space="preserve"> </w:t>
      </w:r>
      <w:r>
        <w:rPr>
          <w:i/>
        </w:rPr>
        <w:t>Id</w:t>
      </w:r>
      <w:r>
        <w:t>.</w:t>
      </w:r>
    </w:p>
  </w:footnote>
  <w:footnote w:id="65">
    <w:p w14:paraId="510F9729" w14:textId="44B0C12B" w:rsidR="00082913" w:rsidRPr="00082913" w:rsidRDefault="00082913">
      <w:pPr>
        <w:pStyle w:val="FootnoteText"/>
      </w:pPr>
      <w:r>
        <w:rPr>
          <w:rStyle w:val="FootnoteReference"/>
        </w:rPr>
        <w:footnoteRef/>
      </w:r>
      <w:r>
        <w:t xml:space="preserve"> We note that these broader obligations, which are codified in the text of Section 73.1216, will continue to exist under our revised rule.</w:t>
      </w:r>
    </w:p>
  </w:footnote>
  <w:footnote w:id="66">
    <w:p w14:paraId="493E3CE5" w14:textId="77777777" w:rsidR="003069F6" w:rsidRDefault="003069F6" w:rsidP="00734C80">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sidRPr="003A7A94">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67">
    <w:p w14:paraId="73B2E7BE" w14:textId="77777777" w:rsidR="003069F6" w:rsidRDefault="003069F6" w:rsidP="00FB7694">
      <w:pPr>
        <w:pStyle w:val="FootnoteText"/>
      </w:pPr>
      <w:r w:rsidRPr="006345CE">
        <w:rPr>
          <w:rStyle w:val="FootnoteReference"/>
        </w:rPr>
        <w:footnoteRef/>
      </w:r>
      <w:r w:rsidRPr="006345CE">
        <w:t xml:space="preserve"> </w:t>
      </w:r>
      <w:r w:rsidRPr="00344285">
        <w:t>The Paperwork Reduction Act of 1995 (PRA), Pub. L. No. 104-13, 109 Stat</w:t>
      </w:r>
      <w:r>
        <w:t>.</w:t>
      </w:r>
      <w:r w:rsidRPr="00344285">
        <w:t xml:space="preserve"> 163 (1995) (codified in Chapter 35 of title 44 U.S.C.).</w:t>
      </w:r>
    </w:p>
  </w:footnote>
  <w:footnote w:id="68">
    <w:p w14:paraId="317159F6" w14:textId="77777777" w:rsidR="003069F6" w:rsidRDefault="003069F6" w:rsidP="00401229">
      <w:pPr>
        <w:pStyle w:val="FootnoteText"/>
      </w:pPr>
      <w:r>
        <w:rPr>
          <w:rStyle w:val="FootnoteReference"/>
        </w:rPr>
        <w:footnoteRef/>
      </w:r>
      <w:r>
        <w:t xml:space="preserve"> </w:t>
      </w:r>
      <w:r w:rsidRPr="00344285">
        <w:t>The Small Business Paperwork Relief Act of 2002 (SBPRA), Pub. L. No. 107-198, 116 Stat</w:t>
      </w:r>
      <w:r>
        <w:t>.</w:t>
      </w:r>
      <w:r w:rsidRPr="00344285">
        <w:t xml:space="preserve"> 729 (2002) (codified in Chapter 35 of ti</w:t>
      </w:r>
      <w:r>
        <w:t>tle 44 U.S.C.).</w:t>
      </w:r>
      <w:r w:rsidRPr="00344285">
        <w:t xml:space="preserve"> </w:t>
      </w:r>
      <w:r>
        <w:t xml:space="preserve"> </w:t>
      </w:r>
      <w:r>
        <w:rPr>
          <w:i/>
        </w:rPr>
        <w:t>S</w:t>
      </w:r>
      <w:r w:rsidRPr="006E324E">
        <w:rPr>
          <w:i/>
        </w:rPr>
        <w:t>ee</w:t>
      </w:r>
      <w:r w:rsidRPr="00344285">
        <w:t xml:space="preserve"> 44 U.S.C. </w:t>
      </w:r>
      <w:r>
        <w:t xml:space="preserve">§ </w:t>
      </w:r>
      <w:r w:rsidRPr="00344285">
        <w:t>3506(c)(4).</w:t>
      </w:r>
    </w:p>
  </w:footnote>
  <w:footnote w:id="69">
    <w:p w14:paraId="6495089C" w14:textId="77777777" w:rsidR="003069F6" w:rsidRDefault="003069F6" w:rsidP="00C1581E">
      <w:pPr>
        <w:pStyle w:val="FootnoteText"/>
        <w:rPr>
          <w:highlight w:val="yellow"/>
        </w:rPr>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70">
    <w:p w14:paraId="44782522" w14:textId="77777777" w:rsidR="003069F6" w:rsidRDefault="003069F6">
      <w:pPr>
        <w:pStyle w:val="FootnoteText"/>
      </w:pPr>
      <w:r>
        <w:rPr>
          <w:rStyle w:val="FootnoteReference"/>
        </w:rPr>
        <w:footnoteRef/>
      </w:r>
      <w:r>
        <w:t xml:space="preserve"> </w:t>
      </w:r>
      <w:r>
        <w:rPr>
          <w:i/>
        </w:rPr>
        <w:t xml:space="preserve">See </w:t>
      </w:r>
      <w:r>
        <w:rPr>
          <w:spacing w:val="-2"/>
        </w:rPr>
        <w:t>5 U.S.C. § 604.</w:t>
      </w:r>
    </w:p>
  </w:footnote>
  <w:footnote w:id="71">
    <w:p w14:paraId="503568BC" w14:textId="77777777" w:rsidR="003069F6" w:rsidRPr="006369A7" w:rsidRDefault="003069F6" w:rsidP="000508CA">
      <w:pPr>
        <w:pStyle w:val="FootnoteText"/>
        <w:rPr>
          <w:i/>
        </w:rPr>
      </w:pPr>
      <w:r>
        <w:rPr>
          <w:rStyle w:val="FootnoteReference"/>
        </w:rPr>
        <w:footnoteRef/>
      </w:r>
      <w:r>
        <w:t xml:space="preserve"> 47 C.F.R. § 73.1216</w:t>
      </w:r>
      <w:r>
        <w:rPr>
          <w:i/>
        </w:rPr>
        <w:t>.</w:t>
      </w:r>
    </w:p>
  </w:footnote>
  <w:footnote w:id="72">
    <w:p w14:paraId="2BFFD6E7" w14:textId="77777777" w:rsidR="003069F6" w:rsidRPr="00C21A8D" w:rsidRDefault="003069F6" w:rsidP="000508CA">
      <w:pPr>
        <w:pStyle w:val="FootnoteText"/>
        <w:rPr>
          <w:b/>
        </w:rPr>
      </w:pPr>
      <w:r>
        <w:rPr>
          <w:rStyle w:val="FootnoteReference"/>
        </w:rPr>
        <w:footnoteRef/>
      </w:r>
      <w:r>
        <w:t xml:space="preserve"> </w:t>
      </w:r>
      <w:r>
        <w:rPr>
          <w:i/>
        </w:rPr>
        <w:t xml:space="preserve">See </w:t>
      </w:r>
      <w:r>
        <w:t>Petition for Rulemaking filed by Entercom Communications Corp.</w:t>
      </w:r>
      <w:r>
        <w:rPr>
          <w:szCs w:val="22"/>
        </w:rPr>
        <w:t xml:space="preserve">, CGB Docket No. RM-11684 (filed Jan. 20, 2012).  </w:t>
      </w:r>
    </w:p>
  </w:footnote>
  <w:footnote w:id="73">
    <w:p w14:paraId="10E43742" w14:textId="77777777" w:rsidR="003069F6" w:rsidRDefault="003069F6" w:rsidP="00F20F7B">
      <w:pPr>
        <w:pStyle w:val="FootnoteText"/>
        <w:rPr>
          <w:highlight w:val="yellow"/>
        </w:rPr>
      </w:pPr>
      <w:r>
        <w:rPr>
          <w:rStyle w:val="FootnoteReference"/>
        </w:rPr>
        <w:footnoteRef/>
      </w:r>
      <w:r>
        <w:t xml:space="preserve"> 5 U.S.C. § 603(b)(3).</w:t>
      </w:r>
    </w:p>
  </w:footnote>
  <w:footnote w:id="74">
    <w:p w14:paraId="1E28A290" w14:textId="77777777" w:rsidR="003069F6" w:rsidRDefault="003069F6" w:rsidP="00F20F7B">
      <w:pPr>
        <w:pStyle w:val="FootnoteText"/>
      </w:pPr>
      <w:r>
        <w:rPr>
          <w:rStyle w:val="FootnoteReference"/>
        </w:rPr>
        <w:footnoteRef/>
      </w:r>
      <w:r>
        <w:t xml:space="preserve"> 5 U.S.C. § 601(6).</w:t>
      </w:r>
    </w:p>
  </w:footnote>
  <w:footnote w:id="75">
    <w:p w14:paraId="17F14203" w14:textId="77777777" w:rsidR="003069F6" w:rsidRDefault="003069F6" w:rsidP="00F20F7B">
      <w:pPr>
        <w:pStyle w:val="FootnoteText"/>
        <w:rPr>
          <w:highlight w:val="yellow"/>
        </w:rPr>
      </w:pPr>
      <w:r>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6">
    <w:p w14:paraId="1D7E1C72" w14:textId="77777777" w:rsidR="003069F6" w:rsidRDefault="003069F6" w:rsidP="00F20F7B">
      <w:pPr>
        <w:pStyle w:val="FootnoteText"/>
        <w:rPr>
          <w:highlight w:val="yellow"/>
        </w:rPr>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77">
    <w:p w14:paraId="0A161377" w14:textId="25A2CFB6" w:rsidR="003069F6" w:rsidRPr="00C813F4" w:rsidRDefault="003069F6" w:rsidP="005420B1">
      <w:pPr>
        <w:pStyle w:val="FootnoteText"/>
      </w:pPr>
      <w:r w:rsidRPr="00C813F4">
        <w:rPr>
          <w:rStyle w:val="FootnoteReference"/>
        </w:rPr>
        <w:footnoteRef/>
      </w:r>
      <w:r w:rsidRPr="00C813F4">
        <w:t xml:space="preserve"> U.S. Census Bureau, 2012 NAICS Definitions, “515120 Television Broadcasting,” at </w:t>
      </w:r>
      <w:hyperlink r:id="rId2" w:history="1">
        <w:r w:rsidRPr="00C813F4">
          <w:rPr>
            <w:rStyle w:val="Hyperlink"/>
          </w:rPr>
          <w:t>http://www.census.gov./cgi-bin/sssd/naics/naicsrch</w:t>
        </w:r>
      </w:hyperlink>
      <w:r w:rsidRPr="00C813F4">
        <w:t>.</w:t>
      </w:r>
    </w:p>
  </w:footnote>
  <w:footnote w:id="78">
    <w:p w14:paraId="0BF56BBD" w14:textId="77777777" w:rsidR="003069F6" w:rsidRPr="00C813F4" w:rsidRDefault="003069F6" w:rsidP="005420B1">
      <w:pPr>
        <w:pStyle w:val="FootnoteText"/>
      </w:pPr>
      <w:r w:rsidRPr="00C813F4">
        <w:rPr>
          <w:rStyle w:val="FootnoteReference"/>
        </w:rPr>
        <w:footnoteRef/>
      </w:r>
      <w:r w:rsidRPr="00C813F4">
        <w:t xml:space="preserve"> 13 C.F.R. § 121.201; 2012 NAICS code 515120.</w:t>
      </w:r>
    </w:p>
  </w:footnote>
  <w:footnote w:id="79">
    <w:p w14:paraId="6132EB47" w14:textId="6929C7B2" w:rsidR="003069F6" w:rsidRPr="006B1E34" w:rsidRDefault="003069F6">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3" w:history="1">
        <w:r w:rsidRPr="00B248D7">
          <w:rPr>
            <w:rStyle w:val="Hyperlink"/>
          </w:rPr>
          <w:t>http://factfinder2.census.gov/faces/tableservices/jsf/pages/productview.xhtml?pid=ECN_2007_US_51SSSZ4&amp;prodType=table</w:t>
        </w:r>
      </w:hyperlink>
      <w:r>
        <w:t xml:space="preserve">. </w:t>
      </w:r>
    </w:p>
  </w:footnote>
  <w:footnote w:id="80">
    <w:p w14:paraId="7978F6C7" w14:textId="0BA6D9AC" w:rsidR="003069F6" w:rsidRDefault="003069F6" w:rsidP="005420B1">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4" w:history="1">
        <w:r w:rsidRPr="00620E39">
          <w:rPr>
            <w:rStyle w:val="Hyperlink"/>
          </w:rPr>
          <w:t>https://apps.fcc.gov/edocs_public/attachmatch/DOC-328096A1.pdf</w:t>
        </w:r>
      </w:hyperlink>
      <w:r>
        <w:t>.</w:t>
      </w:r>
    </w:p>
  </w:footnote>
  <w:footnote w:id="81">
    <w:p w14:paraId="30A03764" w14:textId="77777777" w:rsidR="003069F6" w:rsidRDefault="003069F6" w:rsidP="005420B1">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82">
    <w:p w14:paraId="0D79BDFD" w14:textId="77777777" w:rsidR="003069F6" w:rsidRDefault="003069F6" w:rsidP="00333F64">
      <w:pPr>
        <w:pStyle w:val="FootnoteText"/>
      </w:pPr>
      <w:r>
        <w:rPr>
          <w:rStyle w:val="FootnoteReference"/>
        </w:rPr>
        <w:footnoteRef/>
      </w:r>
      <w:r>
        <w:t xml:space="preserve"> </w:t>
      </w:r>
      <w:r>
        <w:rPr>
          <w:i/>
        </w:rPr>
        <w:t>See generally</w:t>
      </w:r>
      <w:r>
        <w:t xml:space="preserve"> 5 U.S.C. §§ 601(4), (6).</w:t>
      </w:r>
    </w:p>
  </w:footnote>
  <w:footnote w:id="83">
    <w:p w14:paraId="127A5167" w14:textId="77777777" w:rsidR="003069F6" w:rsidRPr="00AD538C" w:rsidRDefault="003069F6" w:rsidP="004967EA">
      <w:pPr>
        <w:pStyle w:val="FootnoteText"/>
      </w:pPr>
      <w:r w:rsidRPr="00AD538C">
        <w:rPr>
          <w:rStyle w:val="FootnoteReference"/>
        </w:rPr>
        <w:footnoteRef/>
      </w:r>
      <w:r w:rsidRPr="00AD538C">
        <w:t xml:space="preserve"> 13 C.F.R. § 121.201; NAICS code 515120.</w:t>
      </w:r>
    </w:p>
  </w:footnote>
  <w:footnote w:id="84">
    <w:p w14:paraId="7991A29F" w14:textId="77777777" w:rsidR="003069F6" w:rsidRDefault="003069F6" w:rsidP="0015566B">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85">
    <w:p w14:paraId="6318B588" w14:textId="77777777" w:rsidR="003069F6" w:rsidRDefault="003069F6" w:rsidP="005C3C4C">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 xml:space="preserve">. </w:t>
      </w:r>
    </w:p>
  </w:footnote>
  <w:footnote w:id="86">
    <w:p w14:paraId="45F90157" w14:textId="77777777" w:rsidR="003069F6" w:rsidRPr="00C813F4" w:rsidRDefault="003069F6" w:rsidP="00DC41D1">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87">
    <w:p w14:paraId="7CB545C3" w14:textId="44CF0711" w:rsidR="003069F6" w:rsidRPr="00AD538C" w:rsidRDefault="003069F6" w:rsidP="00DC41D1">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5"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88">
    <w:p w14:paraId="51423DE7" w14:textId="77777777" w:rsidR="003069F6" w:rsidRPr="00AD538C" w:rsidRDefault="003069F6" w:rsidP="00DC41D1">
      <w:pPr>
        <w:pStyle w:val="FootnoteText"/>
      </w:pPr>
      <w:r w:rsidRPr="00AD538C">
        <w:rPr>
          <w:rStyle w:val="FootnoteReference"/>
        </w:rPr>
        <w:footnoteRef/>
      </w:r>
      <w:r w:rsidRPr="00AD538C">
        <w:t xml:space="preserve"> 13 C.F.R. § 121.201; NAICS code </w:t>
      </w:r>
      <w:r w:rsidRPr="00AD538C">
        <w:rPr>
          <w:bCs/>
        </w:rPr>
        <w:t>5151</w:t>
      </w:r>
      <w:r>
        <w:rPr>
          <w:bCs/>
        </w:rPr>
        <w:t>1</w:t>
      </w:r>
      <w:r w:rsidRPr="00AD538C">
        <w:rPr>
          <w:bCs/>
        </w:rPr>
        <w:t>2</w:t>
      </w:r>
      <w:r w:rsidRPr="00AD538C">
        <w:t>.</w:t>
      </w:r>
    </w:p>
  </w:footnote>
  <w:footnote w:id="89">
    <w:p w14:paraId="754DAEB1" w14:textId="77777777" w:rsidR="003069F6" w:rsidRPr="00550DD9" w:rsidRDefault="003069F6" w:rsidP="00DC41D1">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2007</w:t>
      </w:r>
      <w:r>
        <w:t xml:space="preserve"> (515112), </w:t>
      </w:r>
      <w:r w:rsidRPr="008A5B9F">
        <w:t>http://factfinder2.census.gov/faces/tableservices/jsf/pages/productview.xhtml?pid=ECN_2007_US_51SSSZ4&amp;prodType=table</w:t>
      </w:r>
      <w:r>
        <w:t>.</w:t>
      </w:r>
    </w:p>
  </w:footnote>
  <w:footnote w:id="90">
    <w:p w14:paraId="4033AC18" w14:textId="77777777" w:rsidR="003069F6" w:rsidRPr="00550DD9" w:rsidRDefault="003069F6" w:rsidP="00D327C7">
      <w:pPr>
        <w:pStyle w:val="FootnoteText"/>
      </w:pPr>
      <w:r w:rsidRPr="00550DD9">
        <w:rPr>
          <w:rStyle w:val="FootnoteReference"/>
        </w:rPr>
        <w:footnoteRef/>
      </w:r>
      <w:r w:rsidRPr="00550DD9">
        <w:t xml:space="preserve"> </w:t>
      </w:r>
      <w:r w:rsidRPr="00550DD9">
        <w:rPr>
          <w:i/>
        </w:rPr>
        <w:t>Id</w:t>
      </w:r>
      <w:r w:rsidRPr="00550DD9">
        <w:t>.</w:t>
      </w:r>
    </w:p>
  </w:footnote>
  <w:footnote w:id="91">
    <w:p w14:paraId="195DEEDC" w14:textId="73CCDE8A" w:rsidR="003069F6" w:rsidRDefault="003069F6" w:rsidP="00D327C7">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6" w:history="1">
        <w:r w:rsidRPr="00620E39">
          <w:rPr>
            <w:rStyle w:val="Hyperlink"/>
          </w:rPr>
          <w:t>https://apps.fcc.gov/edocs_public/attachmatch/DOC-328096A1.pdf</w:t>
        </w:r>
      </w:hyperlink>
      <w:r>
        <w:t xml:space="preserve">.  This document only indicates the total number of AM stations as 4,721.  The breakdown between licensed AM commercial and noncommercial stations was obtained from Staff review of the </w:t>
      </w:r>
      <w:r w:rsidRPr="00D54438">
        <w:t>Consolidated Database System (CDBS)</w:t>
      </w:r>
      <w:r>
        <w:t xml:space="preserve">.  </w:t>
      </w:r>
      <w:r w:rsidRPr="00D54438">
        <w:rPr>
          <w:i/>
        </w:rPr>
        <w:t>See</w:t>
      </w:r>
      <w:r>
        <w:t xml:space="preserve"> </w:t>
      </w:r>
      <w:hyperlink r:id="rId7" w:history="1">
        <w:r w:rsidRPr="00620E39">
          <w:rPr>
            <w:rStyle w:val="Hyperlink"/>
          </w:rPr>
          <w:t>http://licensing.fcc.gov/prod/cdbs/pubacc/prod/cdbs_pa.htm</w:t>
        </w:r>
      </w:hyperlink>
      <w:r>
        <w:t xml:space="preserve">. </w:t>
      </w:r>
    </w:p>
  </w:footnote>
  <w:footnote w:id="92">
    <w:p w14:paraId="43A1351B" w14:textId="77777777" w:rsidR="003069F6" w:rsidRDefault="003069F6" w:rsidP="00D327C7">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93">
    <w:p w14:paraId="1A7F15B7" w14:textId="77777777" w:rsidR="003069F6" w:rsidRDefault="003069F6" w:rsidP="00D327C7">
      <w:pPr>
        <w:pStyle w:val="FootnoteText"/>
      </w:pPr>
      <w:r>
        <w:rPr>
          <w:rStyle w:val="FootnoteReference"/>
        </w:rPr>
        <w:footnoteRef/>
      </w:r>
      <w:r>
        <w:t xml:space="preserve"> </w:t>
      </w:r>
      <w:r>
        <w:rPr>
          <w:i/>
        </w:rPr>
        <w:t>See generally</w:t>
      </w:r>
      <w:r>
        <w:t xml:space="preserve"> 5 U.S.C. §§ 601(4), (6).</w:t>
      </w:r>
    </w:p>
  </w:footnote>
  <w:footnote w:id="94">
    <w:p w14:paraId="1870DD35" w14:textId="77777777" w:rsidR="003069F6" w:rsidRDefault="003069F6" w:rsidP="004577EF">
      <w:pPr>
        <w:pStyle w:val="FootnoteText"/>
        <w:spacing w:before="120"/>
        <w:jc w:val="both"/>
      </w:pPr>
      <w:r>
        <w:rPr>
          <w:rStyle w:val="FootnoteReference"/>
          <w:color w:val="000000"/>
        </w:rPr>
        <w:footnoteRef/>
      </w:r>
      <w:r>
        <w:rPr>
          <w:i/>
          <w:color w:val="000000"/>
        </w:rPr>
        <w:t xml:space="preserve"> See</w:t>
      </w:r>
      <w:r>
        <w:rPr>
          <w:color w:val="000000"/>
        </w:rPr>
        <w:t xml:space="preserve"> 13 C.F.R. § 121.201, NAICS Code 515112. </w:t>
      </w:r>
    </w:p>
  </w:footnote>
  <w:footnote w:id="95">
    <w:p w14:paraId="3CE2F7EC" w14:textId="77777777" w:rsidR="003069F6" w:rsidRDefault="003069F6" w:rsidP="00716307">
      <w:pPr>
        <w:pStyle w:val="FootnoteText"/>
        <w:spacing w:before="120"/>
      </w:pPr>
      <w:r>
        <w:rPr>
          <w:rStyle w:val="FootnoteReference"/>
          <w:color w:val="000000"/>
        </w:rPr>
        <w:footnoteRef/>
      </w:r>
      <w:r>
        <w:rPr>
          <w:i/>
          <w:color w:val="000000"/>
        </w:rPr>
        <w:t xml:space="preserve"> See</w:t>
      </w:r>
      <w:r>
        <w:rPr>
          <w:color w:val="000000"/>
        </w:rPr>
        <w:t xml:space="preserve"> </w:t>
      </w:r>
      <w:r>
        <w:rPr>
          <w:i/>
          <w:color w:val="000000"/>
        </w:rPr>
        <w:t>News Release</w:t>
      </w:r>
      <w:r>
        <w:rPr>
          <w:color w:val="000000"/>
        </w:rPr>
        <w:t>, “Broadcast Station Totals as of June 30, 2012” (rel. Jul. 19, 2012) (http://fjallfoss.fcc.gov/edocs_public/attachmatch/DOC-</w:t>
      </w:r>
      <w:r>
        <w:t>304594A1</w:t>
      </w:r>
      <w:r>
        <w:rPr>
          <w:color w:val="000000"/>
        </w:rPr>
        <w:t>315231A1.pdf).</w:t>
      </w:r>
    </w:p>
  </w:footnote>
  <w:footnote w:id="96">
    <w:p w14:paraId="6A4DDF04" w14:textId="77777777" w:rsidR="003069F6" w:rsidRPr="00C813F4" w:rsidRDefault="003069F6" w:rsidP="00892C8A">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97">
    <w:p w14:paraId="487184D4" w14:textId="77777777" w:rsidR="003069F6" w:rsidRDefault="003069F6" w:rsidP="00EA33AB">
      <w:pPr>
        <w:pStyle w:val="FootnoteText"/>
        <w:rPr>
          <w:highlight w:val="yellow"/>
        </w:rPr>
      </w:pPr>
      <w:r>
        <w:rPr>
          <w:rStyle w:val="FootnoteReference"/>
        </w:rPr>
        <w:footnoteRef/>
      </w:r>
      <w:r>
        <w:t xml:space="preserve"> 5 U.S.C. § 603(c)(1)-(c)(4).</w:t>
      </w:r>
    </w:p>
  </w:footnote>
  <w:footnote w:id="98">
    <w:p w14:paraId="3D14C96F" w14:textId="77777777" w:rsidR="00912727" w:rsidRDefault="00912727" w:rsidP="00912727">
      <w:pPr>
        <w:pStyle w:val="FootnoteText"/>
      </w:pPr>
      <w:r>
        <w:rPr>
          <w:rStyle w:val="FootnoteReference"/>
        </w:rPr>
        <w:footnoteRef/>
      </w:r>
      <w:r>
        <w:t xml:space="preserve"> 47 C.F.R. § 73.1216.</w:t>
      </w:r>
    </w:p>
  </w:footnote>
  <w:footnote w:id="99">
    <w:p w14:paraId="7327F7FA" w14:textId="77777777" w:rsidR="00912727" w:rsidRPr="00E62BAC" w:rsidRDefault="00912727" w:rsidP="00912727">
      <w:pPr>
        <w:pStyle w:val="FootnoteText"/>
      </w:pPr>
      <w:r>
        <w:rPr>
          <w:rStyle w:val="FootnoteReference"/>
        </w:rPr>
        <w:footnoteRef/>
      </w:r>
      <w:r>
        <w:t xml:space="preserve"> </w:t>
      </w:r>
      <w:r w:rsidRPr="00E62BAC">
        <w:t>Petition for Rulemaking filed by Entercom Communications Corp., CGB Docket No. RM-11684 (filed Jan. 20,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35A9" w14:textId="77777777" w:rsidR="002B4937" w:rsidRDefault="002B4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D6D8" w14:textId="4BABAE56" w:rsidR="003069F6" w:rsidRDefault="003069F6" w:rsidP="00476C13">
    <w:pPr>
      <w:pStyle w:val="Header"/>
    </w:pPr>
    <w:r>
      <w:tab/>
      <w:t>Federa</w:t>
    </w:r>
    <w:r w:rsidR="00476C13">
      <w:t>l Communications Commission</w:t>
    </w:r>
    <w:r w:rsidR="00476C13">
      <w:tab/>
      <w:t>FCC 15-118</w:t>
    </w:r>
  </w:p>
  <w:p w14:paraId="5856C860" w14:textId="77777777" w:rsidR="003069F6" w:rsidRDefault="003069F6">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0A7E19A3" wp14:editId="22AA2F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E4C44"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E1D2" w14:textId="1BB4C089" w:rsidR="003069F6" w:rsidRPr="00476C13" w:rsidRDefault="003069F6" w:rsidP="00476C13">
    <w:pPr>
      <w:pStyle w:val="Header"/>
    </w:pPr>
    <w:r w:rsidRPr="00476C13">
      <w:rPr>
        <w:noProof/>
      </w:rPr>
      <mc:AlternateContent>
        <mc:Choice Requires="wps">
          <w:drawing>
            <wp:anchor distT="0" distB="0" distL="114300" distR="114300" simplePos="0" relativeHeight="251658240" behindDoc="1" locked="0" layoutInCell="0" allowOverlap="1" wp14:anchorId="75FD42EE" wp14:editId="0FFD884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917A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76C13">
      <w:tab/>
      <w:t>Federal Communications Commission</w:t>
    </w:r>
    <w:r w:rsidRPr="00476C13">
      <w:tab/>
    </w:r>
    <w:r w:rsidRPr="00476C13">
      <w:rPr>
        <w:spacing w:val="-2"/>
      </w:rPr>
      <w:t xml:space="preserve">FCC </w:t>
    </w:r>
    <w:r w:rsidR="00476C13" w:rsidRPr="00476C13">
      <w:rPr>
        <w:spacing w:val="-2"/>
      </w:rPr>
      <w:t>15-118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340B17"/>
    <w:multiLevelType w:val="hybridMultilevel"/>
    <w:tmpl w:val="244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6"/>
  </w:num>
  <w:num w:numId="5">
    <w:abstractNumId w:val="1"/>
  </w:num>
  <w:num w:numId="6">
    <w:abstractNumId w:val="4"/>
  </w:num>
  <w:num w:numId="7">
    <w:abstractNumId w:val="2"/>
  </w:num>
  <w:num w:numId="8">
    <w:abstractNumId w:val="0"/>
  </w:num>
  <w:num w:numId="9">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B"/>
    <w:rsid w:val="00001D04"/>
    <w:rsid w:val="00005948"/>
    <w:rsid w:val="00006D2B"/>
    <w:rsid w:val="00012C67"/>
    <w:rsid w:val="00012F02"/>
    <w:rsid w:val="00014594"/>
    <w:rsid w:val="000150A2"/>
    <w:rsid w:val="0001576A"/>
    <w:rsid w:val="00016172"/>
    <w:rsid w:val="000177B4"/>
    <w:rsid w:val="00020F8D"/>
    <w:rsid w:val="00022184"/>
    <w:rsid w:val="00026BC0"/>
    <w:rsid w:val="0002759B"/>
    <w:rsid w:val="000308D0"/>
    <w:rsid w:val="00030EE5"/>
    <w:rsid w:val="000319D9"/>
    <w:rsid w:val="000323D8"/>
    <w:rsid w:val="00033288"/>
    <w:rsid w:val="000348BB"/>
    <w:rsid w:val="00036039"/>
    <w:rsid w:val="00037F90"/>
    <w:rsid w:val="00040480"/>
    <w:rsid w:val="00040D80"/>
    <w:rsid w:val="00042D48"/>
    <w:rsid w:val="000431FF"/>
    <w:rsid w:val="000439E7"/>
    <w:rsid w:val="000458C2"/>
    <w:rsid w:val="00046577"/>
    <w:rsid w:val="0005017F"/>
    <w:rsid w:val="000508CA"/>
    <w:rsid w:val="0005280A"/>
    <w:rsid w:val="00052B7A"/>
    <w:rsid w:val="00052D21"/>
    <w:rsid w:val="0005309C"/>
    <w:rsid w:val="0005356D"/>
    <w:rsid w:val="00055389"/>
    <w:rsid w:val="00061B3F"/>
    <w:rsid w:val="0006460B"/>
    <w:rsid w:val="000655A9"/>
    <w:rsid w:val="00066A36"/>
    <w:rsid w:val="00066E57"/>
    <w:rsid w:val="00066F7E"/>
    <w:rsid w:val="00067DC9"/>
    <w:rsid w:val="000715DF"/>
    <w:rsid w:val="00073037"/>
    <w:rsid w:val="000737DA"/>
    <w:rsid w:val="00080820"/>
    <w:rsid w:val="00081642"/>
    <w:rsid w:val="00082913"/>
    <w:rsid w:val="000830A1"/>
    <w:rsid w:val="0008403D"/>
    <w:rsid w:val="00086544"/>
    <w:rsid w:val="000875BF"/>
    <w:rsid w:val="00092BB1"/>
    <w:rsid w:val="000930C1"/>
    <w:rsid w:val="00093E9F"/>
    <w:rsid w:val="00094EB3"/>
    <w:rsid w:val="00095796"/>
    <w:rsid w:val="00095B8C"/>
    <w:rsid w:val="00096D8C"/>
    <w:rsid w:val="000A1AB0"/>
    <w:rsid w:val="000A27B0"/>
    <w:rsid w:val="000A35E7"/>
    <w:rsid w:val="000A5464"/>
    <w:rsid w:val="000B17A1"/>
    <w:rsid w:val="000B6D15"/>
    <w:rsid w:val="000C0460"/>
    <w:rsid w:val="000C0B65"/>
    <w:rsid w:val="000C0CEE"/>
    <w:rsid w:val="000C11FE"/>
    <w:rsid w:val="000C2816"/>
    <w:rsid w:val="000C2B6A"/>
    <w:rsid w:val="000C371B"/>
    <w:rsid w:val="000C3BB8"/>
    <w:rsid w:val="000C4C17"/>
    <w:rsid w:val="000C68FA"/>
    <w:rsid w:val="000C6FA5"/>
    <w:rsid w:val="000D02CA"/>
    <w:rsid w:val="000D07F4"/>
    <w:rsid w:val="000D1675"/>
    <w:rsid w:val="000D2EC0"/>
    <w:rsid w:val="000D38E5"/>
    <w:rsid w:val="000D60D4"/>
    <w:rsid w:val="000D60D7"/>
    <w:rsid w:val="000D63D4"/>
    <w:rsid w:val="000D703E"/>
    <w:rsid w:val="000E05FE"/>
    <w:rsid w:val="000E078A"/>
    <w:rsid w:val="000E0C05"/>
    <w:rsid w:val="000E11CB"/>
    <w:rsid w:val="000E3839"/>
    <w:rsid w:val="000E3AB5"/>
    <w:rsid w:val="000E3D42"/>
    <w:rsid w:val="000E4444"/>
    <w:rsid w:val="000F1461"/>
    <w:rsid w:val="000F3621"/>
    <w:rsid w:val="000F43AB"/>
    <w:rsid w:val="000F5076"/>
    <w:rsid w:val="000F5704"/>
    <w:rsid w:val="000F7648"/>
    <w:rsid w:val="000F7F0D"/>
    <w:rsid w:val="00100313"/>
    <w:rsid w:val="00100BAE"/>
    <w:rsid w:val="00100E22"/>
    <w:rsid w:val="00106D3B"/>
    <w:rsid w:val="00111F56"/>
    <w:rsid w:val="001129A6"/>
    <w:rsid w:val="00115072"/>
    <w:rsid w:val="0011533A"/>
    <w:rsid w:val="00116B4F"/>
    <w:rsid w:val="00120769"/>
    <w:rsid w:val="00122BA1"/>
    <w:rsid w:val="00122BD5"/>
    <w:rsid w:val="001236DA"/>
    <w:rsid w:val="00123E36"/>
    <w:rsid w:val="00124FAB"/>
    <w:rsid w:val="00126C7B"/>
    <w:rsid w:val="00131E4B"/>
    <w:rsid w:val="00132FE1"/>
    <w:rsid w:val="00133F79"/>
    <w:rsid w:val="00134D27"/>
    <w:rsid w:val="00135C47"/>
    <w:rsid w:val="00136925"/>
    <w:rsid w:val="00136AEA"/>
    <w:rsid w:val="0014039E"/>
    <w:rsid w:val="00142D72"/>
    <w:rsid w:val="00143184"/>
    <w:rsid w:val="00143B45"/>
    <w:rsid w:val="00144345"/>
    <w:rsid w:val="00146944"/>
    <w:rsid w:val="00146F4B"/>
    <w:rsid w:val="00147B71"/>
    <w:rsid w:val="00151353"/>
    <w:rsid w:val="00153F50"/>
    <w:rsid w:val="001543CA"/>
    <w:rsid w:val="0015566B"/>
    <w:rsid w:val="00156F02"/>
    <w:rsid w:val="001620F4"/>
    <w:rsid w:val="00162FD1"/>
    <w:rsid w:val="00167962"/>
    <w:rsid w:val="00170278"/>
    <w:rsid w:val="00170450"/>
    <w:rsid w:val="00173CDD"/>
    <w:rsid w:val="00174CDA"/>
    <w:rsid w:val="0017587D"/>
    <w:rsid w:val="00177804"/>
    <w:rsid w:val="00180ECB"/>
    <w:rsid w:val="00182230"/>
    <w:rsid w:val="001822FD"/>
    <w:rsid w:val="00182CAD"/>
    <w:rsid w:val="00185C1A"/>
    <w:rsid w:val="00187EB1"/>
    <w:rsid w:val="00190088"/>
    <w:rsid w:val="0019192D"/>
    <w:rsid w:val="00191D40"/>
    <w:rsid w:val="001943B2"/>
    <w:rsid w:val="00194A66"/>
    <w:rsid w:val="001955C2"/>
    <w:rsid w:val="00196FED"/>
    <w:rsid w:val="001A1891"/>
    <w:rsid w:val="001A1DDE"/>
    <w:rsid w:val="001A332A"/>
    <w:rsid w:val="001A74BF"/>
    <w:rsid w:val="001B00D9"/>
    <w:rsid w:val="001B052D"/>
    <w:rsid w:val="001B1E28"/>
    <w:rsid w:val="001B3299"/>
    <w:rsid w:val="001B3A02"/>
    <w:rsid w:val="001B3CDF"/>
    <w:rsid w:val="001B4B95"/>
    <w:rsid w:val="001B6FC4"/>
    <w:rsid w:val="001C05E2"/>
    <w:rsid w:val="001C0859"/>
    <w:rsid w:val="001C12F8"/>
    <w:rsid w:val="001C192A"/>
    <w:rsid w:val="001C1ED2"/>
    <w:rsid w:val="001C4872"/>
    <w:rsid w:val="001D09BA"/>
    <w:rsid w:val="001D1010"/>
    <w:rsid w:val="001D1894"/>
    <w:rsid w:val="001D1CA2"/>
    <w:rsid w:val="001D364C"/>
    <w:rsid w:val="001D3FA4"/>
    <w:rsid w:val="001D5FEC"/>
    <w:rsid w:val="001D60BA"/>
    <w:rsid w:val="001D65C3"/>
    <w:rsid w:val="001D6BCF"/>
    <w:rsid w:val="001D7211"/>
    <w:rsid w:val="001E01CA"/>
    <w:rsid w:val="001E034E"/>
    <w:rsid w:val="001E167E"/>
    <w:rsid w:val="001E2F06"/>
    <w:rsid w:val="001E393C"/>
    <w:rsid w:val="001E6153"/>
    <w:rsid w:val="001E6ABC"/>
    <w:rsid w:val="001E7BF9"/>
    <w:rsid w:val="0020120E"/>
    <w:rsid w:val="002013CF"/>
    <w:rsid w:val="00202CB0"/>
    <w:rsid w:val="002039BB"/>
    <w:rsid w:val="00204CA3"/>
    <w:rsid w:val="00204DA3"/>
    <w:rsid w:val="0020586D"/>
    <w:rsid w:val="00207AE4"/>
    <w:rsid w:val="0021135C"/>
    <w:rsid w:val="0021391D"/>
    <w:rsid w:val="00213F67"/>
    <w:rsid w:val="002144AB"/>
    <w:rsid w:val="00215277"/>
    <w:rsid w:val="002166CC"/>
    <w:rsid w:val="00216850"/>
    <w:rsid w:val="00216B1D"/>
    <w:rsid w:val="00222805"/>
    <w:rsid w:val="0022593D"/>
    <w:rsid w:val="00226DF6"/>
    <w:rsid w:val="00227E62"/>
    <w:rsid w:val="00230E1C"/>
    <w:rsid w:val="0023268B"/>
    <w:rsid w:val="0023299C"/>
    <w:rsid w:val="00235761"/>
    <w:rsid w:val="00240751"/>
    <w:rsid w:val="00241603"/>
    <w:rsid w:val="00245235"/>
    <w:rsid w:val="002464C9"/>
    <w:rsid w:val="00250758"/>
    <w:rsid w:val="00251BFE"/>
    <w:rsid w:val="0025213C"/>
    <w:rsid w:val="002526E8"/>
    <w:rsid w:val="002529CB"/>
    <w:rsid w:val="002538DE"/>
    <w:rsid w:val="0026045F"/>
    <w:rsid w:val="00261E5C"/>
    <w:rsid w:val="00265661"/>
    <w:rsid w:val="00266741"/>
    <w:rsid w:val="00270B08"/>
    <w:rsid w:val="00270B0F"/>
    <w:rsid w:val="002719ED"/>
    <w:rsid w:val="0027431C"/>
    <w:rsid w:val="0027449E"/>
    <w:rsid w:val="00274B66"/>
    <w:rsid w:val="00275CF5"/>
    <w:rsid w:val="00275F35"/>
    <w:rsid w:val="00280E36"/>
    <w:rsid w:val="00282CA6"/>
    <w:rsid w:val="0028301F"/>
    <w:rsid w:val="00284068"/>
    <w:rsid w:val="00284171"/>
    <w:rsid w:val="00284776"/>
    <w:rsid w:val="0028483D"/>
    <w:rsid w:val="00285017"/>
    <w:rsid w:val="00292F9A"/>
    <w:rsid w:val="00293044"/>
    <w:rsid w:val="00295BD2"/>
    <w:rsid w:val="002A2D2E"/>
    <w:rsid w:val="002A5E91"/>
    <w:rsid w:val="002A67ED"/>
    <w:rsid w:val="002A73A9"/>
    <w:rsid w:val="002A7D12"/>
    <w:rsid w:val="002A7FD9"/>
    <w:rsid w:val="002B1585"/>
    <w:rsid w:val="002B2B84"/>
    <w:rsid w:val="002B2D97"/>
    <w:rsid w:val="002B37CC"/>
    <w:rsid w:val="002B4937"/>
    <w:rsid w:val="002B54B7"/>
    <w:rsid w:val="002B56CA"/>
    <w:rsid w:val="002B6122"/>
    <w:rsid w:val="002B623D"/>
    <w:rsid w:val="002B6EAB"/>
    <w:rsid w:val="002B7625"/>
    <w:rsid w:val="002C00E8"/>
    <w:rsid w:val="002C1F82"/>
    <w:rsid w:val="002C35C9"/>
    <w:rsid w:val="002C4BFB"/>
    <w:rsid w:val="002C6225"/>
    <w:rsid w:val="002C6452"/>
    <w:rsid w:val="002D0302"/>
    <w:rsid w:val="002D14FD"/>
    <w:rsid w:val="002D2188"/>
    <w:rsid w:val="002D53BF"/>
    <w:rsid w:val="002D6FF4"/>
    <w:rsid w:val="002D7593"/>
    <w:rsid w:val="002D7C28"/>
    <w:rsid w:val="002E19C8"/>
    <w:rsid w:val="002E4572"/>
    <w:rsid w:val="002F0502"/>
    <w:rsid w:val="002F141C"/>
    <w:rsid w:val="002F40A0"/>
    <w:rsid w:val="002F7659"/>
    <w:rsid w:val="002F7A25"/>
    <w:rsid w:val="00301EAD"/>
    <w:rsid w:val="0030658C"/>
    <w:rsid w:val="003069F6"/>
    <w:rsid w:val="00306C16"/>
    <w:rsid w:val="003074D9"/>
    <w:rsid w:val="003107DE"/>
    <w:rsid w:val="00310939"/>
    <w:rsid w:val="0031747D"/>
    <w:rsid w:val="00321A98"/>
    <w:rsid w:val="0032567F"/>
    <w:rsid w:val="00332301"/>
    <w:rsid w:val="00333808"/>
    <w:rsid w:val="00333F64"/>
    <w:rsid w:val="003346CC"/>
    <w:rsid w:val="00340695"/>
    <w:rsid w:val="00343749"/>
    <w:rsid w:val="00344439"/>
    <w:rsid w:val="00344E95"/>
    <w:rsid w:val="0034611E"/>
    <w:rsid w:val="003466A7"/>
    <w:rsid w:val="00347DD5"/>
    <w:rsid w:val="00350566"/>
    <w:rsid w:val="00351728"/>
    <w:rsid w:val="003537EE"/>
    <w:rsid w:val="00353D47"/>
    <w:rsid w:val="003547B2"/>
    <w:rsid w:val="00355A08"/>
    <w:rsid w:val="0035630E"/>
    <w:rsid w:val="00357F47"/>
    <w:rsid w:val="003641B2"/>
    <w:rsid w:val="00365026"/>
    <w:rsid w:val="003657A9"/>
    <w:rsid w:val="00365D51"/>
    <w:rsid w:val="003660ED"/>
    <w:rsid w:val="003673AF"/>
    <w:rsid w:val="003728A6"/>
    <w:rsid w:val="00374722"/>
    <w:rsid w:val="003752F8"/>
    <w:rsid w:val="00380E9D"/>
    <w:rsid w:val="00381D19"/>
    <w:rsid w:val="003831DA"/>
    <w:rsid w:val="003849CF"/>
    <w:rsid w:val="00384F50"/>
    <w:rsid w:val="003857DC"/>
    <w:rsid w:val="00386816"/>
    <w:rsid w:val="003873E7"/>
    <w:rsid w:val="00393181"/>
    <w:rsid w:val="003931DC"/>
    <w:rsid w:val="003A1B8F"/>
    <w:rsid w:val="003A4B5F"/>
    <w:rsid w:val="003A6B6B"/>
    <w:rsid w:val="003A7C6E"/>
    <w:rsid w:val="003B0550"/>
    <w:rsid w:val="003B1390"/>
    <w:rsid w:val="003B15B5"/>
    <w:rsid w:val="003B2CFE"/>
    <w:rsid w:val="003B3CB4"/>
    <w:rsid w:val="003B3FFD"/>
    <w:rsid w:val="003B47E6"/>
    <w:rsid w:val="003B4D97"/>
    <w:rsid w:val="003B694F"/>
    <w:rsid w:val="003C0CD7"/>
    <w:rsid w:val="003C19D3"/>
    <w:rsid w:val="003C56B1"/>
    <w:rsid w:val="003C5F1B"/>
    <w:rsid w:val="003C7D8B"/>
    <w:rsid w:val="003D20A3"/>
    <w:rsid w:val="003D4F7B"/>
    <w:rsid w:val="003D5DF2"/>
    <w:rsid w:val="003D60B7"/>
    <w:rsid w:val="003D6526"/>
    <w:rsid w:val="003D6661"/>
    <w:rsid w:val="003D7189"/>
    <w:rsid w:val="003E0312"/>
    <w:rsid w:val="003E0C5E"/>
    <w:rsid w:val="003E1307"/>
    <w:rsid w:val="003E1609"/>
    <w:rsid w:val="003E2BA1"/>
    <w:rsid w:val="003E3440"/>
    <w:rsid w:val="003E35B1"/>
    <w:rsid w:val="003E4724"/>
    <w:rsid w:val="003E5196"/>
    <w:rsid w:val="003E67AE"/>
    <w:rsid w:val="003E766D"/>
    <w:rsid w:val="003F1664"/>
    <w:rsid w:val="003F171C"/>
    <w:rsid w:val="003F3B01"/>
    <w:rsid w:val="003F3C2B"/>
    <w:rsid w:val="003F42D9"/>
    <w:rsid w:val="003F452F"/>
    <w:rsid w:val="00400DAB"/>
    <w:rsid w:val="004011B0"/>
    <w:rsid w:val="00401229"/>
    <w:rsid w:val="004020C6"/>
    <w:rsid w:val="004049E1"/>
    <w:rsid w:val="00404A06"/>
    <w:rsid w:val="00406EAA"/>
    <w:rsid w:val="00412FC5"/>
    <w:rsid w:val="00415918"/>
    <w:rsid w:val="004179DD"/>
    <w:rsid w:val="00417F49"/>
    <w:rsid w:val="00422276"/>
    <w:rsid w:val="004242F1"/>
    <w:rsid w:val="00430164"/>
    <w:rsid w:val="0043060E"/>
    <w:rsid w:val="0043077F"/>
    <w:rsid w:val="00430FE8"/>
    <w:rsid w:val="00431AC2"/>
    <w:rsid w:val="00435404"/>
    <w:rsid w:val="004363AD"/>
    <w:rsid w:val="00437E8C"/>
    <w:rsid w:val="004408FE"/>
    <w:rsid w:val="00441B76"/>
    <w:rsid w:val="00441C13"/>
    <w:rsid w:val="004428BD"/>
    <w:rsid w:val="0044542C"/>
    <w:rsid w:val="00445A00"/>
    <w:rsid w:val="004469A9"/>
    <w:rsid w:val="00446C3A"/>
    <w:rsid w:val="00447D34"/>
    <w:rsid w:val="00451B0F"/>
    <w:rsid w:val="00453C22"/>
    <w:rsid w:val="004575DB"/>
    <w:rsid w:val="004577EF"/>
    <w:rsid w:val="004619AD"/>
    <w:rsid w:val="00461E64"/>
    <w:rsid w:val="004669F8"/>
    <w:rsid w:val="0047056F"/>
    <w:rsid w:val="00472E88"/>
    <w:rsid w:val="00476C13"/>
    <w:rsid w:val="0047743F"/>
    <w:rsid w:val="00480A29"/>
    <w:rsid w:val="00482084"/>
    <w:rsid w:val="0048318C"/>
    <w:rsid w:val="00483920"/>
    <w:rsid w:val="00483F9B"/>
    <w:rsid w:val="004860AC"/>
    <w:rsid w:val="00486A9C"/>
    <w:rsid w:val="00491E86"/>
    <w:rsid w:val="00492663"/>
    <w:rsid w:val="00493382"/>
    <w:rsid w:val="004967EA"/>
    <w:rsid w:val="00497713"/>
    <w:rsid w:val="004A0659"/>
    <w:rsid w:val="004A16B6"/>
    <w:rsid w:val="004A57EF"/>
    <w:rsid w:val="004A599A"/>
    <w:rsid w:val="004A6449"/>
    <w:rsid w:val="004B00E6"/>
    <w:rsid w:val="004B235A"/>
    <w:rsid w:val="004B2A50"/>
    <w:rsid w:val="004B3603"/>
    <w:rsid w:val="004B6AA2"/>
    <w:rsid w:val="004B741B"/>
    <w:rsid w:val="004C0722"/>
    <w:rsid w:val="004C114A"/>
    <w:rsid w:val="004C1FB2"/>
    <w:rsid w:val="004C27C3"/>
    <w:rsid w:val="004C2EE3"/>
    <w:rsid w:val="004C3AD7"/>
    <w:rsid w:val="004C5888"/>
    <w:rsid w:val="004C5EDB"/>
    <w:rsid w:val="004C6400"/>
    <w:rsid w:val="004C6E19"/>
    <w:rsid w:val="004D0044"/>
    <w:rsid w:val="004D2B4B"/>
    <w:rsid w:val="004D4555"/>
    <w:rsid w:val="004D57C0"/>
    <w:rsid w:val="004D67CC"/>
    <w:rsid w:val="004D73C5"/>
    <w:rsid w:val="004D7964"/>
    <w:rsid w:val="004D7C79"/>
    <w:rsid w:val="004E00CF"/>
    <w:rsid w:val="004E2B1E"/>
    <w:rsid w:val="004E4A1D"/>
    <w:rsid w:val="004E4A22"/>
    <w:rsid w:val="004E5347"/>
    <w:rsid w:val="004E5401"/>
    <w:rsid w:val="004F017C"/>
    <w:rsid w:val="004F1420"/>
    <w:rsid w:val="004F348D"/>
    <w:rsid w:val="004F4E3A"/>
    <w:rsid w:val="004F5130"/>
    <w:rsid w:val="004F5156"/>
    <w:rsid w:val="004F5ADF"/>
    <w:rsid w:val="0050017A"/>
    <w:rsid w:val="005017DD"/>
    <w:rsid w:val="005029A6"/>
    <w:rsid w:val="0050386F"/>
    <w:rsid w:val="00504CCA"/>
    <w:rsid w:val="00506A6F"/>
    <w:rsid w:val="00511968"/>
    <w:rsid w:val="005125A4"/>
    <w:rsid w:val="00513881"/>
    <w:rsid w:val="00513E00"/>
    <w:rsid w:val="00514D38"/>
    <w:rsid w:val="00516ECD"/>
    <w:rsid w:val="00520DCA"/>
    <w:rsid w:val="00523A7C"/>
    <w:rsid w:val="00524ADF"/>
    <w:rsid w:val="005258B8"/>
    <w:rsid w:val="00526A13"/>
    <w:rsid w:val="005275FF"/>
    <w:rsid w:val="005334DB"/>
    <w:rsid w:val="005374D7"/>
    <w:rsid w:val="00540D1C"/>
    <w:rsid w:val="00541C3A"/>
    <w:rsid w:val="005420B1"/>
    <w:rsid w:val="00543BE8"/>
    <w:rsid w:val="005476E5"/>
    <w:rsid w:val="00550815"/>
    <w:rsid w:val="0055523B"/>
    <w:rsid w:val="0055523C"/>
    <w:rsid w:val="0055614C"/>
    <w:rsid w:val="005569FA"/>
    <w:rsid w:val="005607C0"/>
    <w:rsid w:val="0056117F"/>
    <w:rsid w:val="0056152D"/>
    <w:rsid w:val="00563BF5"/>
    <w:rsid w:val="00563E59"/>
    <w:rsid w:val="00565A78"/>
    <w:rsid w:val="00571157"/>
    <w:rsid w:val="005748E7"/>
    <w:rsid w:val="005756D3"/>
    <w:rsid w:val="00576D18"/>
    <w:rsid w:val="00577B52"/>
    <w:rsid w:val="00577C22"/>
    <w:rsid w:val="00580CA7"/>
    <w:rsid w:val="00581166"/>
    <w:rsid w:val="00581F6A"/>
    <w:rsid w:val="00583FCD"/>
    <w:rsid w:val="00584E83"/>
    <w:rsid w:val="00585CC0"/>
    <w:rsid w:val="0058650E"/>
    <w:rsid w:val="00586A0F"/>
    <w:rsid w:val="00586DB5"/>
    <w:rsid w:val="00586E13"/>
    <w:rsid w:val="00590BD5"/>
    <w:rsid w:val="0059154D"/>
    <w:rsid w:val="0059477C"/>
    <w:rsid w:val="00594E67"/>
    <w:rsid w:val="00595434"/>
    <w:rsid w:val="0059678D"/>
    <w:rsid w:val="00596A5A"/>
    <w:rsid w:val="0059789B"/>
    <w:rsid w:val="005A0B0E"/>
    <w:rsid w:val="005A0E79"/>
    <w:rsid w:val="005A1520"/>
    <w:rsid w:val="005A3DA1"/>
    <w:rsid w:val="005A6872"/>
    <w:rsid w:val="005A7C0E"/>
    <w:rsid w:val="005B0B81"/>
    <w:rsid w:val="005B152A"/>
    <w:rsid w:val="005B1B75"/>
    <w:rsid w:val="005B1D48"/>
    <w:rsid w:val="005B2499"/>
    <w:rsid w:val="005B32DB"/>
    <w:rsid w:val="005B34A2"/>
    <w:rsid w:val="005B3992"/>
    <w:rsid w:val="005B6931"/>
    <w:rsid w:val="005C06B2"/>
    <w:rsid w:val="005C3C4C"/>
    <w:rsid w:val="005D7561"/>
    <w:rsid w:val="005E14C2"/>
    <w:rsid w:val="005E1BB9"/>
    <w:rsid w:val="005E3CBB"/>
    <w:rsid w:val="005E48D4"/>
    <w:rsid w:val="005E5D48"/>
    <w:rsid w:val="005E6FB6"/>
    <w:rsid w:val="005F1325"/>
    <w:rsid w:val="005F20E0"/>
    <w:rsid w:val="005F216E"/>
    <w:rsid w:val="005F4D18"/>
    <w:rsid w:val="005F7095"/>
    <w:rsid w:val="006023CA"/>
    <w:rsid w:val="00602649"/>
    <w:rsid w:val="006045B7"/>
    <w:rsid w:val="00604AB2"/>
    <w:rsid w:val="00605058"/>
    <w:rsid w:val="00605952"/>
    <w:rsid w:val="0060666F"/>
    <w:rsid w:val="006074A3"/>
    <w:rsid w:val="00607BA5"/>
    <w:rsid w:val="00610736"/>
    <w:rsid w:val="0061180A"/>
    <w:rsid w:val="00612831"/>
    <w:rsid w:val="00612BDA"/>
    <w:rsid w:val="00612DE4"/>
    <w:rsid w:val="00612F92"/>
    <w:rsid w:val="00615486"/>
    <w:rsid w:val="006161D3"/>
    <w:rsid w:val="0061659F"/>
    <w:rsid w:val="006172EF"/>
    <w:rsid w:val="006176F7"/>
    <w:rsid w:val="00620A8C"/>
    <w:rsid w:val="00621B0C"/>
    <w:rsid w:val="00621DDE"/>
    <w:rsid w:val="006223C2"/>
    <w:rsid w:val="00622A1C"/>
    <w:rsid w:val="00625CAF"/>
    <w:rsid w:val="00626E58"/>
    <w:rsid w:val="00626EB6"/>
    <w:rsid w:val="00627578"/>
    <w:rsid w:val="00627A2F"/>
    <w:rsid w:val="00631229"/>
    <w:rsid w:val="0063360A"/>
    <w:rsid w:val="0063539B"/>
    <w:rsid w:val="006370AE"/>
    <w:rsid w:val="006400B0"/>
    <w:rsid w:val="00641453"/>
    <w:rsid w:val="0064312A"/>
    <w:rsid w:val="00643ADE"/>
    <w:rsid w:val="00643EF2"/>
    <w:rsid w:val="00644049"/>
    <w:rsid w:val="0065157F"/>
    <w:rsid w:val="00652687"/>
    <w:rsid w:val="006547B0"/>
    <w:rsid w:val="00654E38"/>
    <w:rsid w:val="00655D03"/>
    <w:rsid w:val="00655FA9"/>
    <w:rsid w:val="00656AAA"/>
    <w:rsid w:val="006601EA"/>
    <w:rsid w:val="00662D05"/>
    <w:rsid w:val="00662EDF"/>
    <w:rsid w:val="00663090"/>
    <w:rsid w:val="0066318D"/>
    <w:rsid w:val="0066336C"/>
    <w:rsid w:val="006637C7"/>
    <w:rsid w:val="00663BF1"/>
    <w:rsid w:val="006719D9"/>
    <w:rsid w:val="00672095"/>
    <w:rsid w:val="006736D8"/>
    <w:rsid w:val="00677468"/>
    <w:rsid w:val="006775A8"/>
    <w:rsid w:val="00682276"/>
    <w:rsid w:val="00683388"/>
    <w:rsid w:val="00683F84"/>
    <w:rsid w:val="00684018"/>
    <w:rsid w:val="00684C0A"/>
    <w:rsid w:val="00691B3B"/>
    <w:rsid w:val="00693749"/>
    <w:rsid w:val="006A0EC6"/>
    <w:rsid w:val="006A2138"/>
    <w:rsid w:val="006A5122"/>
    <w:rsid w:val="006A5520"/>
    <w:rsid w:val="006A5BCD"/>
    <w:rsid w:val="006A6040"/>
    <w:rsid w:val="006A6A81"/>
    <w:rsid w:val="006A70C1"/>
    <w:rsid w:val="006B13C8"/>
    <w:rsid w:val="006B1775"/>
    <w:rsid w:val="006B1C28"/>
    <w:rsid w:val="006B1DCA"/>
    <w:rsid w:val="006B1E34"/>
    <w:rsid w:val="006B3D1D"/>
    <w:rsid w:val="006B5969"/>
    <w:rsid w:val="006B7341"/>
    <w:rsid w:val="006C02E4"/>
    <w:rsid w:val="006C3E89"/>
    <w:rsid w:val="006C4F05"/>
    <w:rsid w:val="006C4FE6"/>
    <w:rsid w:val="006C5416"/>
    <w:rsid w:val="006C59AE"/>
    <w:rsid w:val="006C6ED8"/>
    <w:rsid w:val="006C7099"/>
    <w:rsid w:val="006D0F13"/>
    <w:rsid w:val="006D3FE4"/>
    <w:rsid w:val="006D55E4"/>
    <w:rsid w:val="006D7331"/>
    <w:rsid w:val="006D752C"/>
    <w:rsid w:val="006E5552"/>
    <w:rsid w:val="006E7735"/>
    <w:rsid w:val="006F2437"/>
    <w:rsid w:val="006F3854"/>
    <w:rsid w:val="006F3BB9"/>
    <w:rsid w:val="006F46AB"/>
    <w:rsid w:val="006F4AD4"/>
    <w:rsid w:val="006F7393"/>
    <w:rsid w:val="007021C8"/>
    <w:rsid w:val="0070224F"/>
    <w:rsid w:val="00702BF4"/>
    <w:rsid w:val="00702FC3"/>
    <w:rsid w:val="007033DD"/>
    <w:rsid w:val="00703E75"/>
    <w:rsid w:val="007041A2"/>
    <w:rsid w:val="007115F7"/>
    <w:rsid w:val="00711FB7"/>
    <w:rsid w:val="00712082"/>
    <w:rsid w:val="00716118"/>
    <w:rsid w:val="00716307"/>
    <w:rsid w:val="00717804"/>
    <w:rsid w:val="007214B6"/>
    <w:rsid w:val="007224AB"/>
    <w:rsid w:val="007265F1"/>
    <w:rsid w:val="00726A0A"/>
    <w:rsid w:val="00730518"/>
    <w:rsid w:val="007305BD"/>
    <w:rsid w:val="00730E54"/>
    <w:rsid w:val="0073136C"/>
    <w:rsid w:val="007336E2"/>
    <w:rsid w:val="00734C80"/>
    <w:rsid w:val="0074160F"/>
    <w:rsid w:val="00741FDF"/>
    <w:rsid w:val="00743CC9"/>
    <w:rsid w:val="00750663"/>
    <w:rsid w:val="007507DC"/>
    <w:rsid w:val="00754539"/>
    <w:rsid w:val="00754C22"/>
    <w:rsid w:val="00760394"/>
    <w:rsid w:val="007612C4"/>
    <w:rsid w:val="00763BFD"/>
    <w:rsid w:val="00763C6C"/>
    <w:rsid w:val="0076420C"/>
    <w:rsid w:val="00764E96"/>
    <w:rsid w:val="007653C9"/>
    <w:rsid w:val="00765586"/>
    <w:rsid w:val="00766D39"/>
    <w:rsid w:val="00770D5D"/>
    <w:rsid w:val="00771213"/>
    <w:rsid w:val="00771706"/>
    <w:rsid w:val="00772DD5"/>
    <w:rsid w:val="00773327"/>
    <w:rsid w:val="00775367"/>
    <w:rsid w:val="007764CE"/>
    <w:rsid w:val="007766D7"/>
    <w:rsid w:val="00777C0D"/>
    <w:rsid w:val="0078080F"/>
    <w:rsid w:val="007811BF"/>
    <w:rsid w:val="00781F90"/>
    <w:rsid w:val="007826D9"/>
    <w:rsid w:val="00783D1E"/>
    <w:rsid w:val="00783EE9"/>
    <w:rsid w:val="00785689"/>
    <w:rsid w:val="00790B6E"/>
    <w:rsid w:val="007933D4"/>
    <w:rsid w:val="00793DBB"/>
    <w:rsid w:val="0079754B"/>
    <w:rsid w:val="007A106D"/>
    <w:rsid w:val="007A1E6D"/>
    <w:rsid w:val="007A3103"/>
    <w:rsid w:val="007A460C"/>
    <w:rsid w:val="007A6689"/>
    <w:rsid w:val="007A6F15"/>
    <w:rsid w:val="007A7ED3"/>
    <w:rsid w:val="007B0EB2"/>
    <w:rsid w:val="007B6720"/>
    <w:rsid w:val="007C31CF"/>
    <w:rsid w:val="007C3A61"/>
    <w:rsid w:val="007C3B81"/>
    <w:rsid w:val="007C4C89"/>
    <w:rsid w:val="007D07AA"/>
    <w:rsid w:val="007D1F77"/>
    <w:rsid w:val="007D54CB"/>
    <w:rsid w:val="007D6FB6"/>
    <w:rsid w:val="007D71E9"/>
    <w:rsid w:val="007D7415"/>
    <w:rsid w:val="007D7EDF"/>
    <w:rsid w:val="007E1377"/>
    <w:rsid w:val="007E15A1"/>
    <w:rsid w:val="007E21A4"/>
    <w:rsid w:val="007E4A1B"/>
    <w:rsid w:val="007E52FB"/>
    <w:rsid w:val="007E6467"/>
    <w:rsid w:val="007F128A"/>
    <w:rsid w:val="007F23A7"/>
    <w:rsid w:val="007F2A75"/>
    <w:rsid w:val="007F5AB3"/>
    <w:rsid w:val="007F5B65"/>
    <w:rsid w:val="008062C6"/>
    <w:rsid w:val="00810B6F"/>
    <w:rsid w:val="0081155C"/>
    <w:rsid w:val="00811ED8"/>
    <w:rsid w:val="00812E1B"/>
    <w:rsid w:val="00813079"/>
    <w:rsid w:val="00814A03"/>
    <w:rsid w:val="0081755B"/>
    <w:rsid w:val="008179E6"/>
    <w:rsid w:val="008200E0"/>
    <w:rsid w:val="0082014C"/>
    <w:rsid w:val="00822CE0"/>
    <w:rsid w:val="008235BF"/>
    <w:rsid w:val="00823E66"/>
    <w:rsid w:val="00825923"/>
    <w:rsid w:val="008264FC"/>
    <w:rsid w:val="00827741"/>
    <w:rsid w:val="008278C5"/>
    <w:rsid w:val="0083121A"/>
    <w:rsid w:val="008334C5"/>
    <w:rsid w:val="00834B3F"/>
    <w:rsid w:val="00835B25"/>
    <w:rsid w:val="00835EE2"/>
    <w:rsid w:val="008360B9"/>
    <w:rsid w:val="00836EB7"/>
    <w:rsid w:val="0084095D"/>
    <w:rsid w:val="00841AB1"/>
    <w:rsid w:val="00841D5C"/>
    <w:rsid w:val="00847A00"/>
    <w:rsid w:val="00847F43"/>
    <w:rsid w:val="0085072F"/>
    <w:rsid w:val="00852F45"/>
    <w:rsid w:val="0085366F"/>
    <w:rsid w:val="00853EDF"/>
    <w:rsid w:val="00856ACF"/>
    <w:rsid w:val="00857E4D"/>
    <w:rsid w:val="00862581"/>
    <w:rsid w:val="008649DF"/>
    <w:rsid w:val="00866764"/>
    <w:rsid w:val="008679F5"/>
    <w:rsid w:val="0087655F"/>
    <w:rsid w:val="008769AE"/>
    <w:rsid w:val="00877207"/>
    <w:rsid w:val="00880EF3"/>
    <w:rsid w:val="008811F1"/>
    <w:rsid w:val="00882F93"/>
    <w:rsid w:val="0088481B"/>
    <w:rsid w:val="008857C8"/>
    <w:rsid w:val="00890AF3"/>
    <w:rsid w:val="00892C8A"/>
    <w:rsid w:val="0089452A"/>
    <w:rsid w:val="0089534F"/>
    <w:rsid w:val="008A2803"/>
    <w:rsid w:val="008A2996"/>
    <w:rsid w:val="008A3833"/>
    <w:rsid w:val="008A5B9F"/>
    <w:rsid w:val="008A7136"/>
    <w:rsid w:val="008B0231"/>
    <w:rsid w:val="008B2AC5"/>
    <w:rsid w:val="008B3310"/>
    <w:rsid w:val="008B3612"/>
    <w:rsid w:val="008B3722"/>
    <w:rsid w:val="008B4249"/>
    <w:rsid w:val="008B4C30"/>
    <w:rsid w:val="008B7694"/>
    <w:rsid w:val="008C4354"/>
    <w:rsid w:val="008C68F1"/>
    <w:rsid w:val="008C7F78"/>
    <w:rsid w:val="008D14A6"/>
    <w:rsid w:val="008D26E7"/>
    <w:rsid w:val="008D28C6"/>
    <w:rsid w:val="008D2F0D"/>
    <w:rsid w:val="008D5018"/>
    <w:rsid w:val="008E0ABD"/>
    <w:rsid w:val="008E1953"/>
    <w:rsid w:val="008E3028"/>
    <w:rsid w:val="008E6146"/>
    <w:rsid w:val="008E6201"/>
    <w:rsid w:val="008E628F"/>
    <w:rsid w:val="008E6E0E"/>
    <w:rsid w:val="008F234F"/>
    <w:rsid w:val="008F2968"/>
    <w:rsid w:val="008F6AA1"/>
    <w:rsid w:val="008F6C67"/>
    <w:rsid w:val="008F7EE9"/>
    <w:rsid w:val="009017F4"/>
    <w:rsid w:val="00903BFD"/>
    <w:rsid w:val="00904317"/>
    <w:rsid w:val="00905D3B"/>
    <w:rsid w:val="00907462"/>
    <w:rsid w:val="00911B21"/>
    <w:rsid w:val="00912727"/>
    <w:rsid w:val="00914242"/>
    <w:rsid w:val="0091570A"/>
    <w:rsid w:val="0091642F"/>
    <w:rsid w:val="0091715E"/>
    <w:rsid w:val="00921803"/>
    <w:rsid w:val="009229C9"/>
    <w:rsid w:val="00923B98"/>
    <w:rsid w:val="00925539"/>
    <w:rsid w:val="009255F8"/>
    <w:rsid w:val="00926503"/>
    <w:rsid w:val="0093070A"/>
    <w:rsid w:val="009309B8"/>
    <w:rsid w:val="009315C4"/>
    <w:rsid w:val="009316D6"/>
    <w:rsid w:val="009324D3"/>
    <w:rsid w:val="00934929"/>
    <w:rsid w:val="009369C0"/>
    <w:rsid w:val="00937527"/>
    <w:rsid w:val="00937547"/>
    <w:rsid w:val="0094120C"/>
    <w:rsid w:val="00943DB5"/>
    <w:rsid w:val="009460E2"/>
    <w:rsid w:val="009468A2"/>
    <w:rsid w:val="00947346"/>
    <w:rsid w:val="0095099F"/>
    <w:rsid w:val="00951E5A"/>
    <w:rsid w:val="009628E4"/>
    <w:rsid w:val="00964B73"/>
    <w:rsid w:val="009673D4"/>
    <w:rsid w:val="00967E3E"/>
    <w:rsid w:val="009703B8"/>
    <w:rsid w:val="009726D8"/>
    <w:rsid w:val="0097276C"/>
    <w:rsid w:val="009751FB"/>
    <w:rsid w:val="0097547B"/>
    <w:rsid w:val="00975C0B"/>
    <w:rsid w:val="009819D5"/>
    <w:rsid w:val="009839CA"/>
    <w:rsid w:val="009846ED"/>
    <w:rsid w:val="00984D84"/>
    <w:rsid w:val="00985EB7"/>
    <w:rsid w:val="00986E1B"/>
    <w:rsid w:val="0099077B"/>
    <w:rsid w:val="00990EFC"/>
    <w:rsid w:val="009915BD"/>
    <w:rsid w:val="00992967"/>
    <w:rsid w:val="00994BEE"/>
    <w:rsid w:val="00995806"/>
    <w:rsid w:val="00997C4E"/>
    <w:rsid w:val="009A052E"/>
    <w:rsid w:val="009A05CD"/>
    <w:rsid w:val="009A06BA"/>
    <w:rsid w:val="009A1CD3"/>
    <w:rsid w:val="009A2B63"/>
    <w:rsid w:val="009A5FA8"/>
    <w:rsid w:val="009B07BB"/>
    <w:rsid w:val="009B180A"/>
    <w:rsid w:val="009B1A4A"/>
    <w:rsid w:val="009B39A4"/>
    <w:rsid w:val="009B7628"/>
    <w:rsid w:val="009B7779"/>
    <w:rsid w:val="009C1B2C"/>
    <w:rsid w:val="009C2022"/>
    <w:rsid w:val="009C4506"/>
    <w:rsid w:val="009C4E52"/>
    <w:rsid w:val="009D0B87"/>
    <w:rsid w:val="009D2FA1"/>
    <w:rsid w:val="009E0EEB"/>
    <w:rsid w:val="009F0A7D"/>
    <w:rsid w:val="009F344D"/>
    <w:rsid w:val="009F5ECD"/>
    <w:rsid w:val="009F76DB"/>
    <w:rsid w:val="00A0022F"/>
    <w:rsid w:val="00A006DD"/>
    <w:rsid w:val="00A00713"/>
    <w:rsid w:val="00A03412"/>
    <w:rsid w:val="00A04301"/>
    <w:rsid w:val="00A0473B"/>
    <w:rsid w:val="00A04B27"/>
    <w:rsid w:val="00A04C9C"/>
    <w:rsid w:val="00A06342"/>
    <w:rsid w:val="00A13766"/>
    <w:rsid w:val="00A151DD"/>
    <w:rsid w:val="00A15894"/>
    <w:rsid w:val="00A16590"/>
    <w:rsid w:val="00A16EE2"/>
    <w:rsid w:val="00A202E5"/>
    <w:rsid w:val="00A22B34"/>
    <w:rsid w:val="00A22D17"/>
    <w:rsid w:val="00A27076"/>
    <w:rsid w:val="00A303CF"/>
    <w:rsid w:val="00A31889"/>
    <w:rsid w:val="00A329D7"/>
    <w:rsid w:val="00A32C3B"/>
    <w:rsid w:val="00A33BF8"/>
    <w:rsid w:val="00A342B8"/>
    <w:rsid w:val="00A34321"/>
    <w:rsid w:val="00A34771"/>
    <w:rsid w:val="00A37490"/>
    <w:rsid w:val="00A37D2F"/>
    <w:rsid w:val="00A37E10"/>
    <w:rsid w:val="00A43424"/>
    <w:rsid w:val="00A4387E"/>
    <w:rsid w:val="00A44019"/>
    <w:rsid w:val="00A45F4F"/>
    <w:rsid w:val="00A473E5"/>
    <w:rsid w:val="00A502D5"/>
    <w:rsid w:val="00A527F6"/>
    <w:rsid w:val="00A53293"/>
    <w:rsid w:val="00A53A83"/>
    <w:rsid w:val="00A54396"/>
    <w:rsid w:val="00A550E6"/>
    <w:rsid w:val="00A600A9"/>
    <w:rsid w:val="00A62BDE"/>
    <w:rsid w:val="00A63103"/>
    <w:rsid w:val="00A646F3"/>
    <w:rsid w:val="00A64AB1"/>
    <w:rsid w:val="00A65823"/>
    <w:rsid w:val="00A66734"/>
    <w:rsid w:val="00A70D97"/>
    <w:rsid w:val="00A7172B"/>
    <w:rsid w:val="00A733FF"/>
    <w:rsid w:val="00A751FD"/>
    <w:rsid w:val="00A801F3"/>
    <w:rsid w:val="00A8386D"/>
    <w:rsid w:val="00A83871"/>
    <w:rsid w:val="00A83AE9"/>
    <w:rsid w:val="00A83FAA"/>
    <w:rsid w:val="00A845F5"/>
    <w:rsid w:val="00A85F0D"/>
    <w:rsid w:val="00A86A38"/>
    <w:rsid w:val="00A87AAF"/>
    <w:rsid w:val="00A87BD9"/>
    <w:rsid w:val="00A915B4"/>
    <w:rsid w:val="00A916E6"/>
    <w:rsid w:val="00A91F80"/>
    <w:rsid w:val="00A944D6"/>
    <w:rsid w:val="00A94D66"/>
    <w:rsid w:val="00AA2CC2"/>
    <w:rsid w:val="00AA2FDB"/>
    <w:rsid w:val="00AA55B7"/>
    <w:rsid w:val="00AA5B9E"/>
    <w:rsid w:val="00AB2300"/>
    <w:rsid w:val="00AB2407"/>
    <w:rsid w:val="00AB33E8"/>
    <w:rsid w:val="00AB4799"/>
    <w:rsid w:val="00AB53DF"/>
    <w:rsid w:val="00AB74B1"/>
    <w:rsid w:val="00AC040D"/>
    <w:rsid w:val="00AC16F1"/>
    <w:rsid w:val="00AC1B25"/>
    <w:rsid w:val="00AC1D09"/>
    <w:rsid w:val="00AC38FA"/>
    <w:rsid w:val="00AC5585"/>
    <w:rsid w:val="00AC6AD6"/>
    <w:rsid w:val="00AC6AED"/>
    <w:rsid w:val="00AC6F02"/>
    <w:rsid w:val="00AD0C84"/>
    <w:rsid w:val="00AD2983"/>
    <w:rsid w:val="00AD4666"/>
    <w:rsid w:val="00AD4B65"/>
    <w:rsid w:val="00AD6C0D"/>
    <w:rsid w:val="00AD709D"/>
    <w:rsid w:val="00AE002B"/>
    <w:rsid w:val="00AE3243"/>
    <w:rsid w:val="00AE55B4"/>
    <w:rsid w:val="00AF0DB5"/>
    <w:rsid w:val="00AF2E69"/>
    <w:rsid w:val="00AF34A4"/>
    <w:rsid w:val="00AF3EB0"/>
    <w:rsid w:val="00AF4C6C"/>
    <w:rsid w:val="00AF5DE1"/>
    <w:rsid w:val="00B004C4"/>
    <w:rsid w:val="00B00B6C"/>
    <w:rsid w:val="00B01F8C"/>
    <w:rsid w:val="00B030C5"/>
    <w:rsid w:val="00B03B64"/>
    <w:rsid w:val="00B04D42"/>
    <w:rsid w:val="00B06D09"/>
    <w:rsid w:val="00B07E5C"/>
    <w:rsid w:val="00B101EB"/>
    <w:rsid w:val="00B10A58"/>
    <w:rsid w:val="00B10AAA"/>
    <w:rsid w:val="00B130B9"/>
    <w:rsid w:val="00B13CEC"/>
    <w:rsid w:val="00B142EF"/>
    <w:rsid w:val="00B147B7"/>
    <w:rsid w:val="00B214E3"/>
    <w:rsid w:val="00B2292B"/>
    <w:rsid w:val="00B25F63"/>
    <w:rsid w:val="00B266A3"/>
    <w:rsid w:val="00B26A7E"/>
    <w:rsid w:val="00B26F28"/>
    <w:rsid w:val="00B2789F"/>
    <w:rsid w:val="00B27AF2"/>
    <w:rsid w:val="00B27FFA"/>
    <w:rsid w:val="00B33F76"/>
    <w:rsid w:val="00B34715"/>
    <w:rsid w:val="00B3489C"/>
    <w:rsid w:val="00B35D50"/>
    <w:rsid w:val="00B447FE"/>
    <w:rsid w:val="00B45BDE"/>
    <w:rsid w:val="00B45CCE"/>
    <w:rsid w:val="00B5130B"/>
    <w:rsid w:val="00B5369C"/>
    <w:rsid w:val="00B5387D"/>
    <w:rsid w:val="00B563F2"/>
    <w:rsid w:val="00B60144"/>
    <w:rsid w:val="00B605BB"/>
    <w:rsid w:val="00B605DA"/>
    <w:rsid w:val="00B63376"/>
    <w:rsid w:val="00B633AB"/>
    <w:rsid w:val="00B65318"/>
    <w:rsid w:val="00B6610C"/>
    <w:rsid w:val="00B67B56"/>
    <w:rsid w:val="00B7060C"/>
    <w:rsid w:val="00B70ABA"/>
    <w:rsid w:val="00B71E4C"/>
    <w:rsid w:val="00B7311C"/>
    <w:rsid w:val="00B766D2"/>
    <w:rsid w:val="00B803A4"/>
    <w:rsid w:val="00B811F7"/>
    <w:rsid w:val="00B82E61"/>
    <w:rsid w:val="00B82E9E"/>
    <w:rsid w:val="00B83BF7"/>
    <w:rsid w:val="00B846AB"/>
    <w:rsid w:val="00B91C29"/>
    <w:rsid w:val="00B931E2"/>
    <w:rsid w:val="00B9395D"/>
    <w:rsid w:val="00B97A48"/>
    <w:rsid w:val="00BA056C"/>
    <w:rsid w:val="00BA367E"/>
    <w:rsid w:val="00BA505B"/>
    <w:rsid w:val="00BA5DC6"/>
    <w:rsid w:val="00BA6196"/>
    <w:rsid w:val="00BA63B3"/>
    <w:rsid w:val="00BA6A6B"/>
    <w:rsid w:val="00BB028E"/>
    <w:rsid w:val="00BB7F95"/>
    <w:rsid w:val="00BC07CE"/>
    <w:rsid w:val="00BC3B37"/>
    <w:rsid w:val="00BC6A72"/>
    <w:rsid w:val="00BC6D8C"/>
    <w:rsid w:val="00BD41AC"/>
    <w:rsid w:val="00BD4335"/>
    <w:rsid w:val="00BD5779"/>
    <w:rsid w:val="00BD5D35"/>
    <w:rsid w:val="00BD5ECB"/>
    <w:rsid w:val="00BD7691"/>
    <w:rsid w:val="00BE060D"/>
    <w:rsid w:val="00BE08AB"/>
    <w:rsid w:val="00BE2508"/>
    <w:rsid w:val="00BE2F2B"/>
    <w:rsid w:val="00BE5288"/>
    <w:rsid w:val="00BE6BF4"/>
    <w:rsid w:val="00BF0973"/>
    <w:rsid w:val="00BF48BF"/>
    <w:rsid w:val="00BF5082"/>
    <w:rsid w:val="00BF5E7E"/>
    <w:rsid w:val="00BF6752"/>
    <w:rsid w:val="00BF7F32"/>
    <w:rsid w:val="00C00118"/>
    <w:rsid w:val="00C0051D"/>
    <w:rsid w:val="00C037C3"/>
    <w:rsid w:val="00C039B4"/>
    <w:rsid w:val="00C0478E"/>
    <w:rsid w:val="00C07948"/>
    <w:rsid w:val="00C106F5"/>
    <w:rsid w:val="00C12F54"/>
    <w:rsid w:val="00C1581E"/>
    <w:rsid w:val="00C16F67"/>
    <w:rsid w:val="00C17A3C"/>
    <w:rsid w:val="00C2169E"/>
    <w:rsid w:val="00C21A8D"/>
    <w:rsid w:val="00C22022"/>
    <w:rsid w:val="00C225A9"/>
    <w:rsid w:val="00C22FC8"/>
    <w:rsid w:val="00C23913"/>
    <w:rsid w:val="00C26513"/>
    <w:rsid w:val="00C26601"/>
    <w:rsid w:val="00C309CD"/>
    <w:rsid w:val="00C32A18"/>
    <w:rsid w:val="00C331C5"/>
    <w:rsid w:val="00C34006"/>
    <w:rsid w:val="00C34278"/>
    <w:rsid w:val="00C37506"/>
    <w:rsid w:val="00C426B1"/>
    <w:rsid w:val="00C42B0C"/>
    <w:rsid w:val="00C4442B"/>
    <w:rsid w:val="00C512D5"/>
    <w:rsid w:val="00C5148C"/>
    <w:rsid w:val="00C51E9F"/>
    <w:rsid w:val="00C525A3"/>
    <w:rsid w:val="00C5260F"/>
    <w:rsid w:val="00C56189"/>
    <w:rsid w:val="00C563E6"/>
    <w:rsid w:val="00C62329"/>
    <w:rsid w:val="00C6282D"/>
    <w:rsid w:val="00C6299F"/>
    <w:rsid w:val="00C63C4A"/>
    <w:rsid w:val="00C647EE"/>
    <w:rsid w:val="00C660F6"/>
    <w:rsid w:val="00C66160"/>
    <w:rsid w:val="00C66C76"/>
    <w:rsid w:val="00C71AF3"/>
    <w:rsid w:val="00C721AC"/>
    <w:rsid w:val="00C72260"/>
    <w:rsid w:val="00C72281"/>
    <w:rsid w:val="00C734E3"/>
    <w:rsid w:val="00C73848"/>
    <w:rsid w:val="00C7443F"/>
    <w:rsid w:val="00C74FC9"/>
    <w:rsid w:val="00C76059"/>
    <w:rsid w:val="00C76AE2"/>
    <w:rsid w:val="00C77254"/>
    <w:rsid w:val="00C8633F"/>
    <w:rsid w:val="00C869A8"/>
    <w:rsid w:val="00C904E3"/>
    <w:rsid w:val="00C90D6A"/>
    <w:rsid w:val="00C910AA"/>
    <w:rsid w:val="00C92754"/>
    <w:rsid w:val="00C9396F"/>
    <w:rsid w:val="00C944FC"/>
    <w:rsid w:val="00C94DEB"/>
    <w:rsid w:val="00C950C5"/>
    <w:rsid w:val="00CA247E"/>
    <w:rsid w:val="00CA2B7E"/>
    <w:rsid w:val="00CA442B"/>
    <w:rsid w:val="00CA73EF"/>
    <w:rsid w:val="00CA773B"/>
    <w:rsid w:val="00CB0224"/>
    <w:rsid w:val="00CB229E"/>
    <w:rsid w:val="00CB3505"/>
    <w:rsid w:val="00CB4E30"/>
    <w:rsid w:val="00CB54F8"/>
    <w:rsid w:val="00CB5AF4"/>
    <w:rsid w:val="00CB5C56"/>
    <w:rsid w:val="00CB6B36"/>
    <w:rsid w:val="00CC01F9"/>
    <w:rsid w:val="00CC0333"/>
    <w:rsid w:val="00CC1CFD"/>
    <w:rsid w:val="00CC24AB"/>
    <w:rsid w:val="00CC2A00"/>
    <w:rsid w:val="00CC2F72"/>
    <w:rsid w:val="00CC3882"/>
    <w:rsid w:val="00CC72B6"/>
    <w:rsid w:val="00CD1F8F"/>
    <w:rsid w:val="00CD4692"/>
    <w:rsid w:val="00CD5358"/>
    <w:rsid w:val="00CD6974"/>
    <w:rsid w:val="00CD7DFD"/>
    <w:rsid w:val="00CE3733"/>
    <w:rsid w:val="00CE6E26"/>
    <w:rsid w:val="00CF01EF"/>
    <w:rsid w:val="00CF0B66"/>
    <w:rsid w:val="00CF11C9"/>
    <w:rsid w:val="00CF1C40"/>
    <w:rsid w:val="00D0218D"/>
    <w:rsid w:val="00D0256A"/>
    <w:rsid w:val="00D02A26"/>
    <w:rsid w:val="00D04FDE"/>
    <w:rsid w:val="00D05218"/>
    <w:rsid w:val="00D068EF"/>
    <w:rsid w:val="00D10606"/>
    <w:rsid w:val="00D1239A"/>
    <w:rsid w:val="00D152DB"/>
    <w:rsid w:val="00D1674D"/>
    <w:rsid w:val="00D17425"/>
    <w:rsid w:val="00D17796"/>
    <w:rsid w:val="00D20C2D"/>
    <w:rsid w:val="00D20E56"/>
    <w:rsid w:val="00D22DBC"/>
    <w:rsid w:val="00D25694"/>
    <w:rsid w:val="00D25FB5"/>
    <w:rsid w:val="00D26C02"/>
    <w:rsid w:val="00D2717B"/>
    <w:rsid w:val="00D322A6"/>
    <w:rsid w:val="00D327C7"/>
    <w:rsid w:val="00D32E1D"/>
    <w:rsid w:val="00D36A14"/>
    <w:rsid w:val="00D406A6"/>
    <w:rsid w:val="00D40A69"/>
    <w:rsid w:val="00D40C11"/>
    <w:rsid w:val="00D41808"/>
    <w:rsid w:val="00D44223"/>
    <w:rsid w:val="00D46BA5"/>
    <w:rsid w:val="00D46E45"/>
    <w:rsid w:val="00D47996"/>
    <w:rsid w:val="00D537A7"/>
    <w:rsid w:val="00D55048"/>
    <w:rsid w:val="00D56708"/>
    <w:rsid w:val="00D567D3"/>
    <w:rsid w:val="00D60BB0"/>
    <w:rsid w:val="00D62441"/>
    <w:rsid w:val="00D63375"/>
    <w:rsid w:val="00D64466"/>
    <w:rsid w:val="00D64594"/>
    <w:rsid w:val="00D653BD"/>
    <w:rsid w:val="00D66933"/>
    <w:rsid w:val="00D75237"/>
    <w:rsid w:val="00D7574F"/>
    <w:rsid w:val="00D76D11"/>
    <w:rsid w:val="00D803D2"/>
    <w:rsid w:val="00D80409"/>
    <w:rsid w:val="00D83723"/>
    <w:rsid w:val="00D8587F"/>
    <w:rsid w:val="00D86A2B"/>
    <w:rsid w:val="00D92422"/>
    <w:rsid w:val="00D93205"/>
    <w:rsid w:val="00D93B62"/>
    <w:rsid w:val="00DA0146"/>
    <w:rsid w:val="00DA09BD"/>
    <w:rsid w:val="00DA1C30"/>
    <w:rsid w:val="00DA2529"/>
    <w:rsid w:val="00DA282B"/>
    <w:rsid w:val="00DA339C"/>
    <w:rsid w:val="00DA34D2"/>
    <w:rsid w:val="00DA7E42"/>
    <w:rsid w:val="00DB130A"/>
    <w:rsid w:val="00DB2EBB"/>
    <w:rsid w:val="00DB5636"/>
    <w:rsid w:val="00DB5D5B"/>
    <w:rsid w:val="00DB5E3C"/>
    <w:rsid w:val="00DB6BBB"/>
    <w:rsid w:val="00DC1078"/>
    <w:rsid w:val="00DC10A1"/>
    <w:rsid w:val="00DC1660"/>
    <w:rsid w:val="00DC1C1A"/>
    <w:rsid w:val="00DC2944"/>
    <w:rsid w:val="00DC332B"/>
    <w:rsid w:val="00DC39AC"/>
    <w:rsid w:val="00DC3A4E"/>
    <w:rsid w:val="00DC41D1"/>
    <w:rsid w:val="00DC632C"/>
    <w:rsid w:val="00DC655F"/>
    <w:rsid w:val="00DC7923"/>
    <w:rsid w:val="00DD0B59"/>
    <w:rsid w:val="00DD232E"/>
    <w:rsid w:val="00DD561F"/>
    <w:rsid w:val="00DD5785"/>
    <w:rsid w:val="00DD5B7A"/>
    <w:rsid w:val="00DD5BAA"/>
    <w:rsid w:val="00DD6AE2"/>
    <w:rsid w:val="00DD7E46"/>
    <w:rsid w:val="00DD7EBD"/>
    <w:rsid w:val="00DE19D0"/>
    <w:rsid w:val="00DE24B0"/>
    <w:rsid w:val="00DE3EBC"/>
    <w:rsid w:val="00DE4124"/>
    <w:rsid w:val="00DE57E7"/>
    <w:rsid w:val="00DE64AD"/>
    <w:rsid w:val="00DE7ADE"/>
    <w:rsid w:val="00DF12CB"/>
    <w:rsid w:val="00DF1356"/>
    <w:rsid w:val="00DF2951"/>
    <w:rsid w:val="00DF3DFA"/>
    <w:rsid w:val="00DF4F16"/>
    <w:rsid w:val="00DF5C39"/>
    <w:rsid w:val="00DF5C67"/>
    <w:rsid w:val="00DF62B6"/>
    <w:rsid w:val="00DF652F"/>
    <w:rsid w:val="00DF6824"/>
    <w:rsid w:val="00DF7F8B"/>
    <w:rsid w:val="00E00950"/>
    <w:rsid w:val="00E01AE1"/>
    <w:rsid w:val="00E028A7"/>
    <w:rsid w:val="00E0359E"/>
    <w:rsid w:val="00E07225"/>
    <w:rsid w:val="00E16EA5"/>
    <w:rsid w:val="00E17712"/>
    <w:rsid w:val="00E23ED9"/>
    <w:rsid w:val="00E24AFA"/>
    <w:rsid w:val="00E25CF9"/>
    <w:rsid w:val="00E26131"/>
    <w:rsid w:val="00E26B19"/>
    <w:rsid w:val="00E26E59"/>
    <w:rsid w:val="00E26F52"/>
    <w:rsid w:val="00E27F1C"/>
    <w:rsid w:val="00E326C6"/>
    <w:rsid w:val="00E340A2"/>
    <w:rsid w:val="00E34370"/>
    <w:rsid w:val="00E34BA4"/>
    <w:rsid w:val="00E352E3"/>
    <w:rsid w:val="00E35CF7"/>
    <w:rsid w:val="00E36542"/>
    <w:rsid w:val="00E43206"/>
    <w:rsid w:val="00E46B9E"/>
    <w:rsid w:val="00E46BD0"/>
    <w:rsid w:val="00E50128"/>
    <w:rsid w:val="00E5152D"/>
    <w:rsid w:val="00E52F70"/>
    <w:rsid w:val="00E5409F"/>
    <w:rsid w:val="00E554CC"/>
    <w:rsid w:val="00E57A5D"/>
    <w:rsid w:val="00E614CA"/>
    <w:rsid w:val="00E62C8D"/>
    <w:rsid w:val="00E64F7E"/>
    <w:rsid w:val="00E706D8"/>
    <w:rsid w:val="00E73888"/>
    <w:rsid w:val="00E7513A"/>
    <w:rsid w:val="00E7755A"/>
    <w:rsid w:val="00E827F2"/>
    <w:rsid w:val="00E83760"/>
    <w:rsid w:val="00E8425E"/>
    <w:rsid w:val="00E873F1"/>
    <w:rsid w:val="00E87672"/>
    <w:rsid w:val="00E91EAD"/>
    <w:rsid w:val="00E9243E"/>
    <w:rsid w:val="00E92824"/>
    <w:rsid w:val="00E9323B"/>
    <w:rsid w:val="00E94F8B"/>
    <w:rsid w:val="00E953CD"/>
    <w:rsid w:val="00E965B4"/>
    <w:rsid w:val="00EA33AB"/>
    <w:rsid w:val="00EA52CC"/>
    <w:rsid w:val="00EA6FF8"/>
    <w:rsid w:val="00EA745B"/>
    <w:rsid w:val="00EB0723"/>
    <w:rsid w:val="00EB57A6"/>
    <w:rsid w:val="00EC2A38"/>
    <w:rsid w:val="00EC3F25"/>
    <w:rsid w:val="00EC418C"/>
    <w:rsid w:val="00EC4CA4"/>
    <w:rsid w:val="00ED2A8A"/>
    <w:rsid w:val="00ED6B31"/>
    <w:rsid w:val="00EE6488"/>
    <w:rsid w:val="00EE6E9A"/>
    <w:rsid w:val="00EF27B8"/>
    <w:rsid w:val="00EF5D6C"/>
    <w:rsid w:val="00EF662B"/>
    <w:rsid w:val="00EF7B4F"/>
    <w:rsid w:val="00F01E40"/>
    <w:rsid w:val="00F021FA"/>
    <w:rsid w:val="00F02888"/>
    <w:rsid w:val="00F0342A"/>
    <w:rsid w:val="00F03ED6"/>
    <w:rsid w:val="00F05BFE"/>
    <w:rsid w:val="00F05D98"/>
    <w:rsid w:val="00F06906"/>
    <w:rsid w:val="00F100D5"/>
    <w:rsid w:val="00F1597F"/>
    <w:rsid w:val="00F17873"/>
    <w:rsid w:val="00F20F7B"/>
    <w:rsid w:val="00F257BD"/>
    <w:rsid w:val="00F26EB5"/>
    <w:rsid w:val="00F27200"/>
    <w:rsid w:val="00F303C6"/>
    <w:rsid w:val="00F30F0D"/>
    <w:rsid w:val="00F3591B"/>
    <w:rsid w:val="00F37BF2"/>
    <w:rsid w:val="00F40B05"/>
    <w:rsid w:val="00F41E22"/>
    <w:rsid w:val="00F43A9A"/>
    <w:rsid w:val="00F44F6A"/>
    <w:rsid w:val="00F46190"/>
    <w:rsid w:val="00F4621F"/>
    <w:rsid w:val="00F466FB"/>
    <w:rsid w:val="00F52098"/>
    <w:rsid w:val="00F52A99"/>
    <w:rsid w:val="00F52FC7"/>
    <w:rsid w:val="00F5304A"/>
    <w:rsid w:val="00F5309C"/>
    <w:rsid w:val="00F53994"/>
    <w:rsid w:val="00F53D7A"/>
    <w:rsid w:val="00F62DFF"/>
    <w:rsid w:val="00F62E97"/>
    <w:rsid w:val="00F63144"/>
    <w:rsid w:val="00F637CC"/>
    <w:rsid w:val="00F64209"/>
    <w:rsid w:val="00F64565"/>
    <w:rsid w:val="00F70136"/>
    <w:rsid w:val="00F71F23"/>
    <w:rsid w:val="00F73FEF"/>
    <w:rsid w:val="00F76457"/>
    <w:rsid w:val="00F76FFA"/>
    <w:rsid w:val="00F77970"/>
    <w:rsid w:val="00F82E55"/>
    <w:rsid w:val="00F83489"/>
    <w:rsid w:val="00F836D3"/>
    <w:rsid w:val="00F83EA1"/>
    <w:rsid w:val="00F8440F"/>
    <w:rsid w:val="00F84958"/>
    <w:rsid w:val="00F86C07"/>
    <w:rsid w:val="00F90B5A"/>
    <w:rsid w:val="00F91A77"/>
    <w:rsid w:val="00F93BF5"/>
    <w:rsid w:val="00F940E1"/>
    <w:rsid w:val="00F95751"/>
    <w:rsid w:val="00F96797"/>
    <w:rsid w:val="00F9700D"/>
    <w:rsid w:val="00FA205A"/>
    <w:rsid w:val="00FA2858"/>
    <w:rsid w:val="00FA2A9E"/>
    <w:rsid w:val="00FA3852"/>
    <w:rsid w:val="00FA3CAF"/>
    <w:rsid w:val="00FA3D8C"/>
    <w:rsid w:val="00FA3F76"/>
    <w:rsid w:val="00FA76ED"/>
    <w:rsid w:val="00FA7DA5"/>
    <w:rsid w:val="00FB0C77"/>
    <w:rsid w:val="00FB2CDC"/>
    <w:rsid w:val="00FB4B9E"/>
    <w:rsid w:val="00FB7694"/>
    <w:rsid w:val="00FC1D81"/>
    <w:rsid w:val="00FC3141"/>
    <w:rsid w:val="00FC5D80"/>
    <w:rsid w:val="00FC7B6B"/>
    <w:rsid w:val="00FD091C"/>
    <w:rsid w:val="00FD1A16"/>
    <w:rsid w:val="00FD5A46"/>
    <w:rsid w:val="00FD632A"/>
    <w:rsid w:val="00FD755E"/>
    <w:rsid w:val="00FE4307"/>
    <w:rsid w:val="00FE52D2"/>
    <w:rsid w:val="00FE5D2B"/>
    <w:rsid w:val="00FE77D3"/>
    <w:rsid w:val="00FF0A4D"/>
    <w:rsid w:val="00FF1E82"/>
    <w:rsid w:val="00FF24E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874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F1"/>
    <w:pPr>
      <w:widowControl w:val="0"/>
    </w:pPr>
    <w:rPr>
      <w:snapToGrid w:val="0"/>
      <w:kern w:val="28"/>
      <w:sz w:val="22"/>
    </w:rPr>
  </w:style>
  <w:style w:type="paragraph" w:styleId="Heading1">
    <w:name w:val="heading 1"/>
    <w:basedOn w:val="Normal"/>
    <w:next w:val="ParaNum"/>
    <w:qFormat/>
    <w:rsid w:val="00AC16F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16F1"/>
    <w:pPr>
      <w:keepNext/>
      <w:numPr>
        <w:ilvl w:val="1"/>
        <w:numId w:val="2"/>
      </w:numPr>
      <w:spacing w:after="120"/>
      <w:outlineLvl w:val="1"/>
    </w:pPr>
    <w:rPr>
      <w:b/>
    </w:rPr>
  </w:style>
  <w:style w:type="paragraph" w:styleId="Heading3">
    <w:name w:val="heading 3"/>
    <w:basedOn w:val="Normal"/>
    <w:next w:val="ParaNum"/>
    <w:qFormat/>
    <w:rsid w:val="00AC16F1"/>
    <w:pPr>
      <w:keepNext/>
      <w:numPr>
        <w:ilvl w:val="2"/>
        <w:numId w:val="2"/>
      </w:numPr>
      <w:tabs>
        <w:tab w:val="left" w:pos="2160"/>
      </w:tabs>
      <w:spacing w:after="120"/>
      <w:outlineLvl w:val="2"/>
    </w:pPr>
    <w:rPr>
      <w:b/>
    </w:rPr>
  </w:style>
  <w:style w:type="paragraph" w:styleId="Heading4">
    <w:name w:val="heading 4"/>
    <w:basedOn w:val="Normal"/>
    <w:next w:val="ParaNum"/>
    <w:qFormat/>
    <w:rsid w:val="00AC16F1"/>
    <w:pPr>
      <w:keepNext/>
      <w:numPr>
        <w:ilvl w:val="3"/>
        <w:numId w:val="2"/>
      </w:numPr>
      <w:tabs>
        <w:tab w:val="left" w:pos="2880"/>
      </w:tabs>
      <w:spacing w:after="120"/>
      <w:outlineLvl w:val="3"/>
    </w:pPr>
    <w:rPr>
      <w:b/>
    </w:rPr>
  </w:style>
  <w:style w:type="paragraph" w:styleId="Heading5">
    <w:name w:val="heading 5"/>
    <w:basedOn w:val="Normal"/>
    <w:next w:val="ParaNum"/>
    <w:qFormat/>
    <w:rsid w:val="00AC16F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AC16F1"/>
    <w:pPr>
      <w:numPr>
        <w:ilvl w:val="5"/>
        <w:numId w:val="2"/>
      </w:numPr>
      <w:tabs>
        <w:tab w:val="left" w:pos="4320"/>
      </w:tabs>
      <w:spacing w:after="120"/>
      <w:outlineLvl w:val="5"/>
    </w:pPr>
    <w:rPr>
      <w:b/>
    </w:rPr>
  </w:style>
  <w:style w:type="paragraph" w:styleId="Heading7">
    <w:name w:val="heading 7"/>
    <w:basedOn w:val="Normal"/>
    <w:next w:val="ParaNum"/>
    <w:qFormat/>
    <w:rsid w:val="00AC16F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C16F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C16F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6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6F1"/>
  </w:style>
  <w:style w:type="paragraph" w:customStyle="1" w:styleId="ParaNum">
    <w:name w:val="ParaNum"/>
    <w:basedOn w:val="Normal"/>
    <w:link w:val="ParaNumChar"/>
    <w:rsid w:val="00AC16F1"/>
    <w:pPr>
      <w:numPr>
        <w:numId w:val="1"/>
      </w:numPr>
      <w:tabs>
        <w:tab w:val="clear" w:pos="1080"/>
        <w:tab w:val="num" w:pos="1440"/>
      </w:tabs>
      <w:spacing w:after="120"/>
    </w:pPr>
  </w:style>
  <w:style w:type="paragraph" w:styleId="EndnoteText">
    <w:name w:val="endnote text"/>
    <w:basedOn w:val="Normal"/>
    <w:semiHidden/>
    <w:rsid w:val="00AC16F1"/>
    <w:rPr>
      <w:sz w:val="20"/>
    </w:rPr>
  </w:style>
  <w:style w:type="character" w:styleId="EndnoteReference">
    <w:name w:val="endnote reference"/>
    <w:semiHidden/>
    <w:rsid w:val="00AC16F1"/>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ootnote Text Char"/>
    <w:link w:val="FootnoteTextChar1"/>
    <w:rsid w:val="00AC16F1"/>
    <w:pPr>
      <w:spacing w:after="120"/>
    </w:pPr>
  </w:style>
  <w:style w:type="character" w:styleId="FootnoteReference">
    <w:name w:val="footnote reference"/>
    <w:aliases w:val="Style 12,(NECG) Footnote Reference,Appel note de bas de p,Style 124,o,fr,Style 3,Style 13,FR,Style 17,Style 6,Footnote Reference/,Style 4,Style 7"/>
    <w:rsid w:val="00AC16F1"/>
    <w:rPr>
      <w:rFonts w:ascii="Times New Roman" w:hAnsi="Times New Roman"/>
      <w:dstrike w:val="0"/>
      <w:color w:val="auto"/>
      <w:sz w:val="20"/>
      <w:vertAlign w:val="superscript"/>
    </w:rPr>
  </w:style>
  <w:style w:type="paragraph" w:styleId="TOC1">
    <w:name w:val="toc 1"/>
    <w:basedOn w:val="Normal"/>
    <w:next w:val="Normal"/>
    <w:rsid w:val="00AC16F1"/>
    <w:pPr>
      <w:tabs>
        <w:tab w:val="left" w:pos="360"/>
        <w:tab w:val="right" w:leader="dot" w:pos="9360"/>
      </w:tabs>
      <w:suppressAutoHyphens/>
      <w:ind w:left="360" w:right="720" w:hanging="360"/>
    </w:pPr>
    <w:rPr>
      <w:caps/>
      <w:noProof/>
    </w:rPr>
  </w:style>
  <w:style w:type="paragraph" w:styleId="TOC2">
    <w:name w:val="toc 2"/>
    <w:basedOn w:val="Normal"/>
    <w:next w:val="Normal"/>
    <w:rsid w:val="00AC16F1"/>
    <w:pPr>
      <w:tabs>
        <w:tab w:val="left" w:pos="720"/>
        <w:tab w:val="right" w:leader="dot" w:pos="9360"/>
      </w:tabs>
      <w:suppressAutoHyphens/>
      <w:ind w:left="720" w:right="720" w:hanging="360"/>
    </w:pPr>
    <w:rPr>
      <w:noProof/>
    </w:rPr>
  </w:style>
  <w:style w:type="paragraph" w:styleId="TOC3">
    <w:name w:val="toc 3"/>
    <w:basedOn w:val="Normal"/>
    <w:next w:val="Normal"/>
    <w:semiHidden/>
    <w:rsid w:val="00AC16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16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6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6F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6F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6F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6F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6F1"/>
    <w:pPr>
      <w:tabs>
        <w:tab w:val="right" w:pos="9360"/>
      </w:tabs>
      <w:suppressAutoHyphens/>
    </w:pPr>
  </w:style>
  <w:style w:type="character" w:customStyle="1" w:styleId="EquationCaption">
    <w:name w:val="_Equation Caption"/>
    <w:rsid w:val="00AC16F1"/>
  </w:style>
  <w:style w:type="paragraph" w:styleId="Header">
    <w:name w:val="header"/>
    <w:basedOn w:val="Normal"/>
    <w:autoRedefine/>
    <w:rsid w:val="00AC16F1"/>
    <w:pPr>
      <w:tabs>
        <w:tab w:val="center" w:pos="4680"/>
        <w:tab w:val="right" w:pos="9360"/>
      </w:tabs>
    </w:pPr>
    <w:rPr>
      <w:b/>
    </w:rPr>
  </w:style>
  <w:style w:type="paragraph" w:styleId="Footer">
    <w:name w:val="footer"/>
    <w:basedOn w:val="Normal"/>
    <w:rsid w:val="00AC16F1"/>
    <w:pPr>
      <w:tabs>
        <w:tab w:val="center" w:pos="4320"/>
        <w:tab w:val="right" w:pos="8640"/>
      </w:tabs>
    </w:pPr>
  </w:style>
  <w:style w:type="character" w:styleId="PageNumber">
    <w:name w:val="page number"/>
    <w:basedOn w:val="DefaultParagraphFont"/>
    <w:rsid w:val="00AC16F1"/>
  </w:style>
  <w:style w:type="paragraph" w:styleId="BlockText">
    <w:name w:val="Block Text"/>
    <w:basedOn w:val="Normal"/>
    <w:rsid w:val="00AC16F1"/>
    <w:pPr>
      <w:spacing w:after="240"/>
      <w:ind w:left="1440" w:right="1440"/>
    </w:pPr>
  </w:style>
  <w:style w:type="paragraph" w:customStyle="1" w:styleId="Paratitle">
    <w:name w:val="Para title"/>
    <w:basedOn w:val="Normal"/>
    <w:rsid w:val="00AC16F1"/>
    <w:pPr>
      <w:tabs>
        <w:tab w:val="center" w:pos="9270"/>
      </w:tabs>
      <w:spacing w:after="240"/>
    </w:pPr>
    <w:rPr>
      <w:spacing w:val="-2"/>
    </w:rPr>
  </w:style>
  <w:style w:type="paragraph" w:customStyle="1" w:styleId="Bullet">
    <w:name w:val="Bullet"/>
    <w:basedOn w:val="Normal"/>
    <w:rsid w:val="00AC16F1"/>
    <w:pPr>
      <w:tabs>
        <w:tab w:val="left" w:pos="2160"/>
      </w:tabs>
      <w:spacing w:after="220"/>
      <w:ind w:left="2160" w:hanging="720"/>
    </w:pPr>
  </w:style>
  <w:style w:type="paragraph" w:customStyle="1" w:styleId="TableFormat">
    <w:name w:val="TableFormat"/>
    <w:basedOn w:val="Bullet"/>
    <w:rsid w:val="00AC16F1"/>
    <w:pPr>
      <w:tabs>
        <w:tab w:val="clear" w:pos="2160"/>
        <w:tab w:val="left" w:pos="5040"/>
      </w:tabs>
      <w:ind w:left="5040" w:hanging="3600"/>
    </w:pPr>
  </w:style>
  <w:style w:type="paragraph" w:customStyle="1" w:styleId="TOCTitle">
    <w:name w:val="TOC Title"/>
    <w:basedOn w:val="Normal"/>
    <w:rsid w:val="00AC16F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6F1"/>
    <w:pPr>
      <w:jc w:val="center"/>
    </w:pPr>
    <w:rPr>
      <w:rFonts w:ascii="Times New Roman Bold" w:hAnsi="Times New Roman Bold"/>
      <w:b/>
      <w:bCs/>
      <w:caps/>
      <w:szCs w:val="22"/>
    </w:rPr>
  </w:style>
  <w:style w:type="character" w:styleId="Hyperlink">
    <w:name w:val="Hyperlink"/>
    <w:rsid w:val="00AC16F1"/>
    <w:rPr>
      <w:color w:val="0000FF"/>
      <w:u w:val="single"/>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3C7D8B"/>
  </w:style>
  <w:style w:type="character" w:customStyle="1" w:styleId="ParaNumChar">
    <w:name w:val="ParaNum Char"/>
    <w:link w:val="ParaNum"/>
    <w:rsid w:val="003C7D8B"/>
    <w:rPr>
      <w:snapToGrid w:val="0"/>
      <w:kern w:val="28"/>
      <w:sz w:val="22"/>
    </w:rPr>
  </w:style>
  <w:style w:type="paragraph" w:styleId="BalloonText">
    <w:name w:val="Balloon Text"/>
    <w:basedOn w:val="Normal"/>
    <w:link w:val="BalloonTextChar"/>
    <w:rsid w:val="00A13766"/>
    <w:rPr>
      <w:rFonts w:ascii="Tahoma" w:hAnsi="Tahoma" w:cs="Tahoma"/>
      <w:sz w:val="16"/>
      <w:szCs w:val="16"/>
    </w:rPr>
  </w:style>
  <w:style w:type="character" w:customStyle="1" w:styleId="BalloonTextChar">
    <w:name w:val="Balloon Text Char"/>
    <w:basedOn w:val="DefaultParagraphFont"/>
    <w:link w:val="BalloonText"/>
    <w:rsid w:val="00A13766"/>
    <w:rPr>
      <w:rFonts w:ascii="Tahoma" w:hAnsi="Tahoma" w:cs="Tahoma"/>
      <w:snapToGrid w:val="0"/>
      <w:kern w:val="28"/>
      <w:sz w:val="16"/>
      <w:szCs w:val="16"/>
    </w:rPr>
  </w:style>
  <w:style w:type="paragraph" w:styleId="Revision">
    <w:name w:val="Revision"/>
    <w:hidden/>
    <w:uiPriority w:val="99"/>
    <w:semiHidden/>
    <w:rsid w:val="00115072"/>
    <w:rPr>
      <w:snapToGrid w:val="0"/>
      <w:kern w:val="28"/>
      <w:sz w:val="22"/>
    </w:rPr>
  </w:style>
  <w:style w:type="character" w:styleId="CommentReference">
    <w:name w:val="annotation reference"/>
    <w:basedOn w:val="DefaultParagraphFont"/>
    <w:rsid w:val="00770D5D"/>
    <w:rPr>
      <w:sz w:val="16"/>
      <w:szCs w:val="16"/>
    </w:rPr>
  </w:style>
  <w:style w:type="paragraph" w:styleId="CommentText">
    <w:name w:val="annotation text"/>
    <w:basedOn w:val="Normal"/>
    <w:link w:val="CommentTextChar"/>
    <w:uiPriority w:val="99"/>
    <w:rsid w:val="00770D5D"/>
    <w:rPr>
      <w:sz w:val="20"/>
    </w:rPr>
  </w:style>
  <w:style w:type="character" w:customStyle="1" w:styleId="CommentTextChar">
    <w:name w:val="Comment Text Char"/>
    <w:basedOn w:val="DefaultParagraphFont"/>
    <w:link w:val="CommentText"/>
    <w:uiPriority w:val="99"/>
    <w:rsid w:val="00770D5D"/>
    <w:rPr>
      <w:snapToGrid w:val="0"/>
      <w:kern w:val="28"/>
    </w:rPr>
  </w:style>
  <w:style w:type="paragraph" w:styleId="CommentSubject">
    <w:name w:val="annotation subject"/>
    <w:basedOn w:val="CommentText"/>
    <w:next w:val="CommentText"/>
    <w:link w:val="CommentSubjectChar"/>
    <w:rsid w:val="00770D5D"/>
    <w:rPr>
      <w:b/>
      <w:bCs/>
    </w:rPr>
  </w:style>
  <w:style w:type="character" w:customStyle="1" w:styleId="CommentSubjectChar">
    <w:name w:val="Comment Subject Char"/>
    <w:basedOn w:val="CommentTextChar"/>
    <w:link w:val="CommentSubject"/>
    <w:rsid w:val="00770D5D"/>
    <w:rPr>
      <w:b/>
      <w:bCs/>
      <w:snapToGrid w:val="0"/>
      <w:kern w:val="28"/>
    </w:rPr>
  </w:style>
  <w:style w:type="paragraph" w:styleId="ListParagraph">
    <w:name w:val="List Paragraph"/>
    <w:basedOn w:val="Normal"/>
    <w:uiPriority w:val="34"/>
    <w:qFormat/>
    <w:rsid w:val="006045B7"/>
    <w:pPr>
      <w:ind w:left="720"/>
      <w:contextualSpacing/>
    </w:pPr>
  </w:style>
  <w:style w:type="character" w:customStyle="1" w:styleId="FootnoteTextChar2CharCharChar">
    <w:name w:val="Footnote Text Char2 Char Char Char"/>
    <w:aliases w:val="Footnote Text Char Char1 Char Char Char,Footnote Text Char2 Char Char Char Char Char,Footnote Text Char1 Char Char Char Char Char Char,f Char"/>
    <w:rsid w:val="006B1C28"/>
  </w:style>
  <w:style w:type="character" w:styleId="Emphasis">
    <w:name w:val="Emphasis"/>
    <w:basedOn w:val="DefaultParagraphFont"/>
    <w:qFormat/>
    <w:rsid w:val="00C77254"/>
    <w:rPr>
      <w:i/>
      <w:iCs/>
    </w:rPr>
  </w:style>
  <w:style w:type="character" w:customStyle="1" w:styleId="apple-converted-space">
    <w:name w:val="apple-converted-space"/>
    <w:basedOn w:val="DefaultParagraphFont"/>
    <w:rsid w:val="00EB0723"/>
  </w:style>
  <w:style w:type="character" w:customStyle="1" w:styleId="ParaNumChar1">
    <w:name w:val="ParaNum Char1"/>
    <w:locked/>
    <w:rsid w:val="00734C8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F1"/>
    <w:pPr>
      <w:widowControl w:val="0"/>
    </w:pPr>
    <w:rPr>
      <w:snapToGrid w:val="0"/>
      <w:kern w:val="28"/>
      <w:sz w:val="22"/>
    </w:rPr>
  </w:style>
  <w:style w:type="paragraph" w:styleId="Heading1">
    <w:name w:val="heading 1"/>
    <w:basedOn w:val="Normal"/>
    <w:next w:val="ParaNum"/>
    <w:qFormat/>
    <w:rsid w:val="00AC16F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16F1"/>
    <w:pPr>
      <w:keepNext/>
      <w:numPr>
        <w:ilvl w:val="1"/>
        <w:numId w:val="2"/>
      </w:numPr>
      <w:spacing w:after="120"/>
      <w:outlineLvl w:val="1"/>
    </w:pPr>
    <w:rPr>
      <w:b/>
    </w:rPr>
  </w:style>
  <w:style w:type="paragraph" w:styleId="Heading3">
    <w:name w:val="heading 3"/>
    <w:basedOn w:val="Normal"/>
    <w:next w:val="ParaNum"/>
    <w:qFormat/>
    <w:rsid w:val="00AC16F1"/>
    <w:pPr>
      <w:keepNext/>
      <w:numPr>
        <w:ilvl w:val="2"/>
        <w:numId w:val="2"/>
      </w:numPr>
      <w:tabs>
        <w:tab w:val="left" w:pos="2160"/>
      </w:tabs>
      <w:spacing w:after="120"/>
      <w:outlineLvl w:val="2"/>
    </w:pPr>
    <w:rPr>
      <w:b/>
    </w:rPr>
  </w:style>
  <w:style w:type="paragraph" w:styleId="Heading4">
    <w:name w:val="heading 4"/>
    <w:basedOn w:val="Normal"/>
    <w:next w:val="ParaNum"/>
    <w:qFormat/>
    <w:rsid w:val="00AC16F1"/>
    <w:pPr>
      <w:keepNext/>
      <w:numPr>
        <w:ilvl w:val="3"/>
        <w:numId w:val="2"/>
      </w:numPr>
      <w:tabs>
        <w:tab w:val="left" w:pos="2880"/>
      </w:tabs>
      <w:spacing w:after="120"/>
      <w:outlineLvl w:val="3"/>
    </w:pPr>
    <w:rPr>
      <w:b/>
    </w:rPr>
  </w:style>
  <w:style w:type="paragraph" w:styleId="Heading5">
    <w:name w:val="heading 5"/>
    <w:basedOn w:val="Normal"/>
    <w:next w:val="ParaNum"/>
    <w:qFormat/>
    <w:rsid w:val="00AC16F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AC16F1"/>
    <w:pPr>
      <w:numPr>
        <w:ilvl w:val="5"/>
        <w:numId w:val="2"/>
      </w:numPr>
      <w:tabs>
        <w:tab w:val="left" w:pos="4320"/>
      </w:tabs>
      <w:spacing w:after="120"/>
      <w:outlineLvl w:val="5"/>
    </w:pPr>
    <w:rPr>
      <w:b/>
    </w:rPr>
  </w:style>
  <w:style w:type="paragraph" w:styleId="Heading7">
    <w:name w:val="heading 7"/>
    <w:basedOn w:val="Normal"/>
    <w:next w:val="ParaNum"/>
    <w:qFormat/>
    <w:rsid w:val="00AC16F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C16F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C16F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6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6F1"/>
  </w:style>
  <w:style w:type="paragraph" w:customStyle="1" w:styleId="ParaNum">
    <w:name w:val="ParaNum"/>
    <w:basedOn w:val="Normal"/>
    <w:link w:val="ParaNumChar"/>
    <w:rsid w:val="00AC16F1"/>
    <w:pPr>
      <w:numPr>
        <w:numId w:val="1"/>
      </w:numPr>
      <w:tabs>
        <w:tab w:val="clear" w:pos="1080"/>
        <w:tab w:val="num" w:pos="1440"/>
      </w:tabs>
      <w:spacing w:after="120"/>
    </w:pPr>
  </w:style>
  <w:style w:type="paragraph" w:styleId="EndnoteText">
    <w:name w:val="endnote text"/>
    <w:basedOn w:val="Normal"/>
    <w:semiHidden/>
    <w:rsid w:val="00AC16F1"/>
    <w:rPr>
      <w:sz w:val="20"/>
    </w:rPr>
  </w:style>
  <w:style w:type="character" w:styleId="EndnoteReference">
    <w:name w:val="endnote reference"/>
    <w:semiHidden/>
    <w:rsid w:val="00AC16F1"/>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ootnote Text Char"/>
    <w:link w:val="FootnoteTextChar1"/>
    <w:rsid w:val="00AC16F1"/>
    <w:pPr>
      <w:spacing w:after="120"/>
    </w:pPr>
  </w:style>
  <w:style w:type="character" w:styleId="FootnoteReference">
    <w:name w:val="footnote reference"/>
    <w:aliases w:val="Style 12,(NECG) Footnote Reference,Appel note de bas de p,Style 124,o,fr,Style 3,Style 13,FR,Style 17,Style 6,Footnote Reference/,Style 4,Style 7"/>
    <w:rsid w:val="00AC16F1"/>
    <w:rPr>
      <w:rFonts w:ascii="Times New Roman" w:hAnsi="Times New Roman"/>
      <w:dstrike w:val="0"/>
      <w:color w:val="auto"/>
      <w:sz w:val="20"/>
      <w:vertAlign w:val="superscript"/>
    </w:rPr>
  </w:style>
  <w:style w:type="paragraph" w:styleId="TOC1">
    <w:name w:val="toc 1"/>
    <w:basedOn w:val="Normal"/>
    <w:next w:val="Normal"/>
    <w:rsid w:val="00AC16F1"/>
    <w:pPr>
      <w:tabs>
        <w:tab w:val="left" w:pos="360"/>
        <w:tab w:val="right" w:leader="dot" w:pos="9360"/>
      </w:tabs>
      <w:suppressAutoHyphens/>
      <w:ind w:left="360" w:right="720" w:hanging="360"/>
    </w:pPr>
    <w:rPr>
      <w:caps/>
      <w:noProof/>
    </w:rPr>
  </w:style>
  <w:style w:type="paragraph" w:styleId="TOC2">
    <w:name w:val="toc 2"/>
    <w:basedOn w:val="Normal"/>
    <w:next w:val="Normal"/>
    <w:rsid w:val="00AC16F1"/>
    <w:pPr>
      <w:tabs>
        <w:tab w:val="left" w:pos="720"/>
        <w:tab w:val="right" w:leader="dot" w:pos="9360"/>
      </w:tabs>
      <w:suppressAutoHyphens/>
      <w:ind w:left="720" w:right="720" w:hanging="360"/>
    </w:pPr>
    <w:rPr>
      <w:noProof/>
    </w:rPr>
  </w:style>
  <w:style w:type="paragraph" w:styleId="TOC3">
    <w:name w:val="toc 3"/>
    <w:basedOn w:val="Normal"/>
    <w:next w:val="Normal"/>
    <w:semiHidden/>
    <w:rsid w:val="00AC16F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16F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6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6F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6F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6F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6F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6F1"/>
    <w:pPr>
      <w:tabs>
        <w:tab w:val="right" w:pos="9360"/>
      </w:tabs>
      <w:suppressAutoHyphens/>
    </w:pPr>
  </w:style>
  <w:style w:type="character" w:customStyle="1" w:styleId="EquationCaption">
    <w:name w:val="_Equation Caption"/>
    <w:rsid w:val="00AC16F1"/>
  </w:style>
  <w:style w:type="paragraph" w:styleId="Header">
    <w:name w:val="header"/>
    <w:basedOn w:val="Normal"/>
    <w:autoRedefine/>
    <w:rsid w:val="00AC16F1"/>
    <w:pPr>
      <w:tabs>
        <w:tab w:val="center" w:pos="4680"/>
        <w:tab w:val="right" w:pos="9360"/>
      </w:tabs>
    </w:pPr>
    <w:rPr>
      <w:b/>
    </w:rPr>
  </w:style>
  <w:style w:type="paragraph" w:styleId="Footer">
    <w:name w:val="footer"/>
    <w:basedOn w:val="Normal"/>
    <w:rsid w:val="00AC16F1"/>
    <w:pPr>
      <w:tabs>
        <w:tab w:val="center" w:pos="4320"/>
        <w:tab w:val="right" w:pos="8640"/>
      </w:tabs>
    </w:pPr>
  </w:style>
  <w:style w:type="character" w:styleId="PageNumber">
    <w:name w:val="page number"/>
    <w:basedOn w:val="DefaultParagraphFont"/>
    <w:rsid w:val="00AC16F1"/>
  </w:style>
  <w:style w:type="paragraph" w:styleId="BlockText">
    <w:name w:val="Block Text"/>
    <w:basedOn w:val="Normal"/>
    <w:rsid w:val="00AC16F1"/>
    <w:pPr>
      <w:spacing w:after="240"/>
      <w:ind w:left="1440" w:right="1440"/>
    </w:pPr>
  </w:style>
  <w:style w:type="paragraph" w:customStyle="1" w:styleId="Paratitle">
    <w:name w:val="Para title"/>
    <w:basedOn w:val="Normal"/>
    <w:rsid w:val="00AC16F1"/>
    <w:pPr>
      <w:tabs>
        <w:tab w:val="center" w:pos="9270"/>
      </w:tabs>
      <w:spacing w:after="240"/>
    </w:pPr>
    <w:rPr>
      <w:spacing w:val="-2"/>
    </w:rPr>
  </w:style>
  <w:style w:type="paragraph" w:customStyle="1" w:styleId="Bullet">
    <w:name w:val="Bullet"/>
    <w:basedOn w:val="Normal"/>
    <w:rsid w:val="00AC16F1"/>
    <w:pPr>
      <w:tabs>
        <w:tab w:val="left" w:pos="2160"/>
      </w:tabs>
      <w:spacing w:after="220"/>
      <w:ind w:left="2160" w:hanging="720"/>
    </w:pPr>
  </w:style>
  <w:style w:type="paragraph" w:customStyle="1" w:styleId="TableFormat">
    <w:name w:val="TableFormat"/>
    <w:basedOn w:val="Bullet"/>
    <w:rsid w:val="00AC16F1"/>
    <w:pPr>
      <w:tabs>
        <w:tab w:val="clear" w:pos="2160"/>
        <w:tab w:val="left" w:pos="5040"/>
      </w:tabs>
      <w:ind w:left="5040" w:hanging="3600"/>
    </w:pPr>
  </w:style>
  <w:style w:type="paragraph" w:customStyle="1" w:styleId="TOCTitle">
    <w:name w:val="TOC Title"/>
    <w:basedOn w:val="Normal"/>
    <w:rsid w:val="00AC16F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6F1"/>
    <w:pPr>
      <w:jc w:val="center"/>
    </w:pPr>
    <w:rPr>
      <w:rFonts w:ascii="Times New Roman Bold" w:hAnsi="Times New Roman Bold"/>
      <w:b/>
      <w:bCs/>
      <w:caps/>
      <w:szCs w:val="22"/>
    </w:rPr>
  </w:style>
  <w:style w:type="character" w:styleId="Hyperlink">
    <w:name w:val="Hyperlink"/>
    <w:rsid w:val="00AC16F1"/>
    <w:rPr>
      <w:color w:val="0000FF"/>
      <w:u w:val="single"/>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3C7D8B"/>
  </w:style>
  <w:style w:type="character" w:customStyle="1" w:styleId="ParaNumChar">
    <w:name w:val="ParaNum Char"/>
    <w:link w:val="ParaNum"/>
    <w:rsid w:val="003C7D8B"/>
    <w:rPr>
      <w:snapToGrid w:val="0"/>
      <w:kern w:val="28"/>
      <w:sz w:val="22"/>
    </w:rPr>
  </w:style>
  <w:style w:type="paragraph" w:styleId="BalloonText">
    <w:name w:val="Balloon Text"/>
    <w:basedOn w:val="Normal"/>
    <w:link w:val="BalloonTextChar"/>
    <w:rsid w:val="00A13766"/>
    <w:rPr>
      <w:rFonts w:ascii="Tahoma" w:hAnsi="Tahoma" w:cs="Tahoma"/>
      <w:sz w:val="16"/>
      <w:szCs w:val="16"/>
    </w:rPr>
  </w:style>
  <w:style w:type="character" w:customStyle="1" w:styleId="BalloonTextChar">
    <w:name w:val="Balloon Text Char"/>
    <w:basedOn w:val="DefaultParagraphFont"/>
    <w:link w:val="BalloonText"/>
    <w:rsid w:val="00A13766"/>
    <w:rPr>
      <w:rFonts w:ascii="Tahoma" w:hAnsi="Tahoma" w:cs="Tahoma"/>
      <w:snapToGrid w:val="0"/>
      <w:kern w:val="28"/>
      <w:sz w:val="16"/>
      <w:szCs w:val="16"/>
    </w:rPr>
  </w:style>
  <w:style w:type="paragraph" w:styleId="Revision">
    <w:name w:val="Revision"/>
    <w:hidden/>
    <w:uiPriority w:val="99"/>
    <w:semiHidden/>
    <w:rsid w:val="00115072"/>
    <w:rPr>
      <w:snapToGrid w:val="0"/>
      <w:kern w:val="28"/>
      <w:sz w:val="22"/>
    </w:rPr>
  </w:style>
  <w:style w:type="character" w:styleId="CommentReference">
    <w:name w:val="annotation reference"/>
    <w:basedOn w:val="DefaultParagraphFont"/>
    <w:rsid w:val="00770D5D"/>
    <w:rPr>
      <w:sz w:val="16"/>
      <w:szCs w:val="16"/>
    </w:rPr>
  </w:style>
  <w:style w:type="paragraph" w:styleId="CommentText">
    <w:name w:val="annotation text"/>
    <w:basedOn w:val="Normal"/>
    <w:link w:val="CommentTextChar"/>
    <w:uiPriority w:val="99"/>
    <w:rsid w:val="00770D5D"/>
    <w:rPr>
      <w:sz w:val="20"/>
    </w:rPr>
  </w:style>
  <w:style w:type="character" w:customStyle="1" w:styleId="CommentTextChar">
    <w:name w:val="Comment Text Char"/>
    <w:basedOn w:val="DefaultParagraphFont"/>
    <w:link w:val="CommentText"/>
    <w:uiPriority w:val="99"/>
    <w:rsid w:val="00770D5D"/>
    <w:rPr>
      <w:snapToGrid w:val="0"/>
      <w:kern w:val="28"/>
    </w:rPr>
  </w:style>
  <w:style w:type="paragraph" w:styleId="CommentSubject">
    <w:name w:val="annotation subject"/>
    <w:basedOn w:val="CommentText"/>
    <w:next w:val="CommentText"/>
    <w:link w:val="CommentSubjectChar"/>
    <w:rsid w:val="00770D5D"/>
    <w:rPr>
      <w:b/>
      <w:bCs/>
    </w:rPr>
  </w:style>
  <w:style w:type="character" w:customStyle="1" w:styleId="CommentSubjectChar">
    <w:name w:val="Comment Subject Char"/>
    <w:basedOn w:val="CommentTextChar"/>
    <w:link w:val="CommentSubject"/>
    <w:rsid w:val="00770D5D"/>
    <w:rPr>
      <w:b/>
      <w:bCs/>
      <w:snapToGrid w:val="0"/>
      <w:kern w:val="28"/>
    </w:rPr>
  </w:style>
  <w:style w:type="paragraph" w:styleId="ListParagraph">
    <w:name w:val="List Paragraph"/>
    <w:basedOn w:val="Normal"/>
    <w:uiPriority w:val="34"/>
    <w:qFormat/>
    <w:rsid w:val="006045B7"/>
    <w:pPr>
      <w:ind w:left="720"/>
      <w:contextualSpacing/>
    </w:pPr>
  </w:style>
  <w:style w:type="character" w:customStyle="1" w:styleId="FootnoteTextChar2CharCharChar">
    <w:name w:val="Footnote Text Char2 Char Char Char"/>
    <w:aliases w:val="Footnote Text Char Char1 Char Char Char,Footnote Text Char2 Char Char Char Char Char,Footnote Text Char1 Char Char Char Char Char Char,f Char"/>
    <w:rsid w:val="006B1C28"/>
  </w:style>
  <w:style w:type="character" w:styleId="Emphasis">
    <w:name w:val="Emphasis"/>
    <w:basedOn w:val="DefaultParagraphFont"/>
    <w:qFormat/>
    <w:rsid w:val="00C77254"/>
    <w:rPr>
      <w:i/>
      <w:iCs/>
    </w:rPr>
  </w:style>
  <w:style w:type="character" w:customStyle="1" w:styleId="apple-converted-space">
    <w:name w:val="apple-converted-space"/>
    <w:basedOn w:val="DefaultParagraphFont"/>
    <w:rsid w:val="00EB0723"/>
  </w:style>
  <w:style w:type="character" w:customStyle="1" w:styleId="ParaNumChar1">
    <w:name w:val="ParaNum Char1"/>
    <w:locked/>
    <w:rsid w:val="00734C8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124">
      <w:bodyDiv w:val="1"/>
      <w:marLeft w:val="0"/>
      <w:marRight w:val="0"/>
      <w:marTop w:val="0"/>
      <w:marBottom w:val="0"/>
      <w:divBdr>
        <w:top w:val="none" w:sz="0" w:space="0" w:color="auto"/>
        <w:left w:val="none" w:sz="0" w:space="0" w:color="auto"/>
        <w:bottom w:val="none" w:sz="0" w:space="0" w:color="auto"/>
        <w:right w:val="none" w:sz="0" w:space="0" w:color="auto"/>
      </w:divBdr>
    </w:div>
    <w:div w:id="125129279">
      <w:bodyDiv w:val="1"/>
      <w:marLeft w:val="0"/>
      <w:marRight w:val="0"/>
      <w:marTop w:val="0"/>
      <w:marBottom w:val="0"/>
      <w:divBdr>
        <w:top w:val="none" w:sz="0" w:space="0" w:color="auto"/>
        <w:left w:val="none" w:sz="0" w:space="0" w:color="auto"/>
        <w:bottom w:val="none" w:sz="0" w:space="0" w:color="auto"/>
        <w:right w:val="none" w:sz="0" w:space="0" w:color="auto"/>
      </w:divBdr>
      <w:divsChild>
        <w:div w:id="135992919">
          <w:marLeft w:val="0"/>
          <w:marRight w:val="0"/>
          <w:marTop w:val="0"/>
          <w:marBottom w:val="0"/>
          <w:divBdr>
            <w:top w:val="none" w:sz="0" w:space="0" w:color="auto"/>
            <w:left w:val="none" w:sz="0" w:space="0" w:color="auto"/>
            <w:bottom w:val="none" w:sz="0" w:space="0" w:color="auto"/>
            <w:right w:val="none" w:sz="0" w:space="0" w:color="auto"/>
          </w:divBdr>
          <w:divsChild>
            <w:div w:id="829711177">
              <w:marLeft w:val="0"/>
              <w:marRight w:val="0"/>
              <w:marTop w:val="0"/>
              <w:marBottom w:val="0"/>
              <w:divBdr>
                <w:top w:val="none" w:sz="0" w:space="0" w:color="auto"/>
                <w:left w:val="none" w:sz="0" w:space="0" w:color="auto"/>
                <w:bottom w:val="none" w:sz="0" w:space="0" w:color="auto"/>
                <w:right w:val="none" w:sz="0" w:space="0" w:color="auto"/>
              </w:divBdr>
              <w:divsChild>
                <w:div w:id="1841315118">
                  <w:marLeft w:val="0"/>
                  <w:marRight w:val="0"/>
                  <w:marTop w:val="0"/>
                  <w:marBottom w:val="0"/>
                  <w:divBdr>
                    <w:top w:val="none" w:sz="0" w:space="0" w:color="auto"/>
                    <w:left w:val="none" w:sz="0" w:space="0" w:color="auto"/>
                    <w:bottom w:val="none" w:sz="0" w:space="0" w:color="auto"/>
                    <w:right w:val="none" w:sz="0" w:space="0" w:color="auto"/>
                  </w:divBdr>
                  <w:divsChild>
                    <w:div w:id="2019040124">
                      <w:marLeft w:val="0"/>
                      <w:marRight w:val="0"/>
                      <w:marTop w:val="0"/>
                      <w:marBottom w:val="0"/>
                      <w:divBdr>
                        <w:top w:val="none" w:sz="0" w:space="0" w:color="auto"/>
                        <w:left w:val="none" w:sz="0" w:space="0" w:color="auto"/>
                        <w:bottom w:val="none" w:sz="0" w:space="0" w:color="auto"/>
                        <w:right w:val="none" w:sz="0" w:space="0" w:color="auto"/>
                      </w:divBdr>
                      <w:divsChild>
                        <w:div w:id="1669672986">
                          <w:marLeft w:val="0"/>
                          <w:marRight w:val="0"/>
                          <w:marTop w:val="0"/>
                          <w:marBottom w:val="0"/>
                          <w:divBdr>
                            <w:top w:val="none" w:sz="0" w:space="0" w:color="auto"/>
                            <w:left w:val="none" w:sz="0" w:space="0" w:color="auto"/>
                            <w:bottom w:val="none" w:sz="0" w:space="0" w:color="auto"/>
                            <w:right w:val="none" w:sz="0" w:space="0" w:color="auto"/>
                          </w:divBdr>
                          <w:divsChild>
                            <w:div w:id="2057511511">
                              <w:marLeft w:val="0"/>
                              <w:marRight w:val="0"/>
                              <w:marTop w:val="0"/>
                              <w:marBottom w:val="0"/>
                              <w:divBdr>
                                <w:top w:val="none" w:sz="0" w:space="0" w:color="auto"/>
                                <w:left w:val="none" w:sz="0" w:space="0" w:color="auto"/>
                                <w:bottom w:val="none" w:sz="0" w:space="0" w:color="auto"/>
                                <w:right w:val="none" w:sz="0" w:space="0" w:color="auto"/>
                              </w:divBdr>
                              <w:divsChild>
                                <w:div w:id="2688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7942">
      <w:bodyDiv w:val="1"/>
      <w:marLeft w:val="0"/>
      <w:marRight w:val="0"/>
      <w:marTop w:val="0"/>
      <w:marBottom w:val="0"/>
      <w:divBdr>
        <w:top w:val="none" w:sz="0" w:space="0" w:color="auto"/>
        <w:left w:val="none" w:sz="0" w:space="0" w:color="auto"/>
        <w:bottom w:val="none" w:sz="0" w:space="0" w:color="auto"/>
        <w:right w:val="none" w:sz="0" w:space="0" w:color="auto"/>
      </w:divBdr>
    </w:div>
    <w:div w:id="519050975">
      <w:bodyDiv w:val="1"/>
      <w:marLeft w:val="0"/>
      <w:marRight w:val="0"/>
      <w:marTop w:val="0"/>
      <w:marBottom w:val="0"/>
      <w:divBdr>
        <w:top w:val="none" w:sz="0" w:space="0" w:color="auto"/>
        <w:left w:val="none" w:sz="0" w:space="0" w:color="auto"/>
        <w:bottom w:val="none" w:sz="0" w:space="0" w:color="auto"/>
        <w:right w:val="none" w:sz="0" w:space="0" w:color="auto"/>
      </w:divBdr>
    </w:div>
    <w:div w:id="543442628">
      <w:bodyDiv w:val="1"/>
      <w:marLeft w:val="0"/>
      <w:marRight w:val="0"/>
      <w:marTop w:val="0"/>
      <w:marBottom w:val="0"/>
      <w:divBdr>
        <w:top w:val="none" w:sz="0" w:space="0" w:color="auto"/>
        <w:left w:val="none" w:sz="0" w:space="0" w:color="auto"/>
        <w:bottom w:val="none" w:sz="0" w:space="0" w:color="auto"/>
        <w:right w:val="none" w:sz="0" w:space="0" w:color="auto"/>
      </w:divBdr>
    </w:div>
    <w:div w:id="722095500">
      <w:bodyDiv w:val="1"/>
      <w:marLeft w:val="0"/>
      <w:marRight w:val="0"/>
      <w:marTop w:val="0"/>
      <w:marBottom w:val="0"/>
      <w:divBdr>
        <w:top w:val="none" w:sz="0" w:space="0" w:color="auto"/>
        <w:left w:val="none" w:sz="0" w:space="0" w:color="auto"/>
        <w:bottom w:val="none" w:sz="0" w:space="0" w:color="auto"/>
        <w:right w:val="none" w:sz="0" w:space="0" w:color="auto"/>
      </w:divBdr>
    </w:div>
    <w:div w:id="962468111">
      <w:bodyDiv w:val="1"/>
      <w:marLeft w:val="0"/>
      <w:marRight w:val="0"/>
      <w:marTop w:val="0"/>
      <w:marBottom w:val="0"/>
      <w:divBdr>
        <w:top w:val="none" w:sz="0" w:space="0" w:color="auto"/>
        <w:left w:val="none" w:sz="0" w:space="0" w:color="auto"/>
        <w:bottom w:val="none" w:sz="0" w:space="0" w:color="auto"/>
        <w:right w:val="none" w:sz="0" w:space="0" w:color="auto"/>
      </w:divBdr>
    </w:div>
    <w:div w:id="963192999">
      <w:bodyDiv w:val="1"/>
      <w:marLeft w:val="0"/>
      <w:marRight w:val="0"/>
      <w:marTop w:val="0"/>
      <w:marBottom w:val="0"/>
      <w:divBdr>
        <w:top w:val="none" w:sz="0" w:space="0" w:color="auto"/>
        <w:left w:val="none" w:sz="0" w:space="0" w:color="auto"/>
        <w:bottom w:val="none" w:sz="0" w:space="0" w:color="auto"/>
        <w:right w:val="none" w:sz="0" w:space="0" w:color="auto"/>
      </w:divBdr>
    </w:div>
    <w:div w:id="1755273819">
      <w:bodyDiv w:val="1"/>
      <w:marLeft w:val="30"/>
      <w:marRight w:val="30"/>
      <w:marTop w:val="30"/>
      <w:marBottom w:val="30"/>
      <w:divBdr>
        <w:top w:val="none" w:sz="0" w:space="0" w:color="auto"/>
        <w:left w:val="none" w:sz="0" w:space="0" w:color="auto"/>
        <w:bottom w:val="none" w:sz="0" w:space="0" w:color="auto"/>
        <w:right w:val="none" w:sz="0" w:space="0" w:color="auto"/>
      </w:divBdr>
      <w:divsChild>
        <w:div w:id="25061820">
          <w:marLeft w:val="0"/>
          <w:marRight w:val="0"/>
          <w:marTop w:val="0"/>
          <w:marBottom w:val="0"/>
          <w:divBdr>
            <w:top w:val="none" w:sz="0" w:space="0" w:color="auto"/>
            <w:left w:val="none" w:sz="0" w:space="0" w:color="auto"/>
            <w:bottom w:val="none" w:sz="0" w:space="0" w:color="auto"/>
            <w:right w:val="none" w:sz="0" w:space="0" w:color="auto"/>
          </w:divBdr>
          <w:divsChild>
            <w:div w:id="1938898985">
              <w:marLeft w:val="45"/>
              <w:marRight w:val="45"/>
              <w:marTop w:val="45"/>
              <w:marBottom w:val="45"/>
              <w:divBdr>
                <w:top w:val="none" w:sz="0" w:space="0" w:color="auto"/>
                <w:left w:val="none" w:sz="0" w:space="0" w:color="auto"/>
                <w:bottom w:val="none" w:sz="0" w:space="0" w:color="auto"/>
                <w:right w:val="none" w:sz="0" w:space="0" w:color="auto"/>
              </w:divBdr>
              <w:divsChild>
                <w:div w:id="492530131">
                  <w:marLeft w:val="0"/>
                  <w:marRight w:val="0"/>
                  <w:marTop w:val="0"/>
                  <w:marBottom w:val="0"/>
                  <w:divBdr>
                    <w:top w:val="none" w:sz="0" w:space="0" w:color="auto"/>
                    <w:left w:val="none" w:sz="0" w:space="0" w:color="auto"/>
                    <w:bottom w:val="none" w:sz="0" w:space="0" w:color="auto"/>
                    <w:right w:val="none" w:sz="0" w:space="0" w:color="auto"/>
                  </w:divBdr>
                  <w:divsChild>
                    <w:div w:id="1813905792">
                      <w:marLeft w:val="0"/>
                      <w:marRight w:val="0"/>
                      <w:marTop w:val="0"/>
                      <w:marBottom w:val="0"/>
                      <w:divBdr>
                        <w:top w:val="none" w:sz="0" w:space="0" w:color="auto"/>
                        <w:left w:val="none" w:sz="0" w:space="0" w:color="auto"/>
                        <w:bottom w:val="none" w:sz="0" w:space="0" w:color="auto"/>
                        <w:right w:val="none" w:sz="0" w:space="0" w:color="auto"/>
                      </w:divBdr>
                      <w:divsChild>
                        <w:div w:id="4060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979">
      <w:bodyDiv w:val="1"/>
      <w:marLeft w:val="0"/>
      <w:marRight w:val="0"/>
      <w:marTop w:val="0"/>
      <w:marBottom w:val="0"/>
      <w:divBdr>
        <w:top w:val="none" w:sz="0" w:space="0" w:color="auto"/>
        <w:left w:val="none" w:sz="0" w:space="0" w:color="auto"/>
        <w:bottom w:val="none" w:sz="0" w:space="0" w:color="auto"/>
        <w:right w:val="none" w:sz="0" w:space="0" w:color="auto"/>
      </w:divBdr>
      <w:divsChild>
        <w:div w:id="733236179">
          <w:marLeft w:val="0"/>
          <w:marRight w:val="0"/>
          <w:marTop w:val="0"/>
          <w:marBottom w:val="0"/>
          <w:divBdr>
            <w:top w:val="none" w:sz="0" w:space="0" w:color="auto"/>
            <w:left w:val="none" w:sz="0" w:space="0" w:color="auto"/>
            <w:bottom w:val="none" w:sz="0" w:space="0" w:color="auto"/>
            <w:right w:val="none" w:sz="0" w:space="0" w:color="auto"/>
          </w:divBdr>
          <w:divsChild>
            <w:div w:id="2142844753">
              <w:marLeft w:val="0"/>
              <w:marRight w:val="0"/>
              <w:marTop w:val="0"/>
              <w:marBottom w:val="0"/>
              <w:divBdr>
                <w:top w:val="none" w:sz="0" w:space="0" w:color="auto"/>
                <w:left w:val="none" w:sz="0" w:space="0" w:color="auto"/>
                <w:bottom w:val="none" w:sz="0" w:space="0" w:color="auto"/>
                <w:right w:val="none" w:sz="0" w:space="0" w:color="auto"/>
              </w:divBdr>
              <w:divsChild>
                <w:div w:id="20482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lynn.Rem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2.census.gov/faces/tableservices/jsf/pages/productview.xhtml?pid=ECN_2007_US_51SSSZ4&amp;prodType=table" TargetMode="External"/><Relationship Id="rId7" Type="http://schemas.openxmlformats.org/officeDocument/2006/relationships/hyperlink" Target="http://licensing.fcc.gov/prod/cdbs/pubacc/prod/cdbs_pa.htm" TargetMode="External"/><Relationship Id="rId2" Type="http://schemas.openxmlformats.org/officeDocument/2006/relationships/hyperlink" Target="http://www.census.gov./cgi-bin/sssd/naics/naicsrch" TargetMode="External"/><Relationship Id="rId1" Type="http://schemas.openxmlformats.org/officeDocument/2006/relationships/hyperlink" Target="https://www.fcc.gov/asr/localnotice" TargetMode="External"/><Relationship Id="rId6" Type="http://schemas.openxmlformats.org/officeDocument/2006/relationships/hyperlink" Target="https://apps.fcc.gov/edocs_public/attachmatch/DOC-328096A1.pdf" TargetMode="External"/><Relationship Id="rId5" Type="http://schemas.openxmlformats.org/officeDocument/2006/relationships/hyperlink" Target="http://www.census.gov/cgi-bin/sssd/naics/naicsrch" TargetMode="External"/><Relationship Id="rId4" Type="http://schemas.openxmlformats.org/officeDocument/2006/relationships/hyperlink" Target="https://apps.fcc.gov/edocs_public/attachmatch/DOC-328096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8763</Words>
  <Characters>47840</Characters>
  <Application>Microsoft Office Word</Application>
  <DocSecurity>0</DocSecurity>
  <Lines>718</Lines>
  <Paragraphs>173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2015-09-17T18:58:00Z</dcterms:created>
  <dcterms:modified xsi:type="dcterms:W3CDTF">2015-09-17T18:58:00Z</dcterms:modified>
  <cp:category> </cp:category>
  <cp:contentStatus> </cp:contentStatus>
</cp:coreProperties>
</file>