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3657E"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29199EE4" w14:textId="77777777" w:rsidR="00921803" w:rsidRDefault="00921803" w:rsidP="00921803">
      <w:pPr>
        <w:pStyle w:val="StyleBoldCentered"/>
      </w:pPr>
      <w:r>
        <w:t>F</w:t>
      </w:r>
      <w:r>
        <w:rPr>
          <w:caps w:val="0"/>
        </w:rPr>
        <w:t>ederal Communications Commission</w:t>
      </w:r>
    </w:p>
    <w:p w14:paraId="56F15E14" w14:textId="77777777" w:rsidR="004C2EE3" w:rsidRDefault="00810B6F" w:rsidP="00096D8C">
      <w:pPr>
        <w:pStyle w:val="StyleBoldCentered"/>
      </w:pPr>
      <w:r>
        <w:rPr>
          <w:caps w:val="0"/>
        </w:rPr>
        <w:t>Washington, D.C. 20554</w:t>
      </w:r>
    </w:p>
    <w:p w14:paraId="63810E81" w14:textId="77777777" w:rsidR="004C2EE3" w:rsidRDefault="004C2EE3" w:rsidP="0070224F"/>
    <w:tbl>
      <w:tblPr>
        <w:tblW w:w="9576" w:type="dxa"/>
        <w:tblInd w:w="-90" w:type="dxa"/>
        <w:tblLayout w:type="fixed"/>
        <w:tblLook w:val="0000" w:firstRow="0" w:lastRow="0" w:firstColumn="0" w:lastColumn="0" w:noHBand="0" w:noVBand="0"/>
      </w:tblPr>
      <w:tblGrid>
        <w:gridCol w:w="4698"/>
        <w:gridCol w:w="630"/>
        <w:gridCol w:w="4248"/>
      </w:tblGrid>
      <w:tr w:rsidR="004C2EE3" w14:paraId="7E97F194" w14:textId="77777777" w:rsidTr="00E619B5">
        <w:tc>
          <w:tcPr>
            <w:tcW w:w="4698" w:type="dxa"/>
          </w:tcPr>
          <w:p w14:paraId="691646DF" w14:textId="2E5B33B6" w:rsidR="004C2EE3" w:rsidRDefault="004C2EE3">
            <w:pPr>
              <w:tabs>
                <w:tab w:val="center" w:pos="4680"/>
              </w:tabs>
              <w:suppressAutoHyphens/>
              <w:rPr>
                <w:spacing w:val="-2"/>
              </w:rPr>
            </w:pPr>
            <w:r>
              <w:rPr>
                <w:spacing w:val="-2"/>
              </w:rPr>
              <w:t xml:space="preserve">In </w:t>
            </w:r>
            <w:r w:rsidR="00E619B5">
              <w:rPr>
                <w:spacing w:val="-2"/>
              </w:rPr>
              <w:t>the Matter of</w:t>
            </w:r>
          </w:p>
          <w:p w14:paraId="16A9DB51" w14:textId="77777777" w:rsidR="004C2EE3" w:rsidRDefault="004C2EE3">
            <w:pPr>
              <w:tabs>
                <w:tab w:val="center" w:pos="4680"/>
              </w:tabs>
              <w:suppressAutoHyphens/>
              <w:rPr>
                <w:spacing w:val="-2"/>
              </w:rPr>
            </w:pPr>
          </w:p>
          <w:p w14:paraId="0D4F6109" w14:textId="77777777" w:rsidR="004B084D" w:rsidRDefault="00520649" w:rsidP="007115F7">
            <w:pPr>
              <w:tabs>
                <w:tab w:val="center" w:pos="4680"/>
              </w:tabs>
              <w:suppressAutoHyphens/>
              <w:rPr>
                <w:spacing w:val="-2"/>
              </w:rPr>
            </w:pPr>
            <w:r>
              <w:rPr>
                <w:spacing w:val="-2"/>
              </w:rPr>
              <w:t xml:space="preserve">Radio Training Network </w:t>
            </w:r>
          </w:p>
          <w:p w14:paraId="394A48FF" w14:textId="77777777" w:rsidR="004B084D" w:rsidRDefault="00520649" w:rsidP="007115F7">
            <w:pPr>
              <w:tabs>
                <w:tab w:val="center" w:pos="4680"/>
              </w:tabs>
              <w:suppressAutoHyphens/>
              <w:rPr>
                <w:spacing w:val="-2"/>
              </w:rPr>
            </w:pPr>
            <w:r>
              <w:rPr>
                <w:spacing w:val="-2"/>
              </w:rPr>
              <w:t xml:space="preserve">for a New Noncommercial FM Station </w:t>
            </w:r>
          </w:p>
          <w:p w14:paraId="71DF3759" w14:textId="77777777" w:rsidR="004C2EE3" w:rsidRPr="007115F7" w:rsidRDefault="00520649" w:rsidP="007115F7">
            <w:pPr>
              <w:tabs>
                <w:tab w:val="center" w:pos="4680"/>
              </w:tabs>
              <w:suppressAutoHyphens/>
              <w:rPr>
                <w:spacing w:val="-2"/>
              </w:rPr>
            </w:pPr>
            <w:r>
              <w:rPr>
                <w:spacing w:val="-2"/>
              </w:rPr>
              <w:t>at Dillon, South Carolina</w:t>
            </w:r>
          </w:p>
        </w:tc>
        <w:tc>
          <w:tcPr>
            <w:tcW w:w="630" w:type="dxa"/>
          </w:tcPr>
          <w:p w14:paraId="1B5B53EF" w14:textId="77777777" w:rsidR="004C2EE3" w:rsidRDefault="004C2EE3">
            <w:pPr>
              <w:tabs>
                <w:tab w:val="center" w:pos="4680"/>
              </w:tabs>
              <w:suppressAutoHyphens/>
              <w:rPr>
                <w:b/>
                <w:spacing w:val="-2"/>
              </w:rPr>
            </w:pPr>
            <w:r>
              <w:rPr>
                <w:b/>
                <w:spacing w:val="-2"/>
              </w:rPr>
              <w:t>)</w:t>
            </w:r>
          </w:p>
          <w:p w14:paraId="19AFC261" w14:textId="77777777" w:rsidR="004C2EE3" w:rsidRDefault="004C2EE3">
            <w:pPr>
              <w:tabs>
                <w:tab w:val="center" w:pos="4680"/>
              </w:tabs>
              <w:suppressAutoHyphens/>
              <w:rPr>
                <w:b/>
                <w:spacing w:val="-2"/>
              </w:rPr>
            </w:pPr>
            <w:r>
              <w:rPr>
                <w:b/>
                <w:spacing w:val="-2"/>
              </w:rPr>
              <w:t>)</w:t>
            </w:r>
          </w:p>
          <w:p w14:paraId="06C0D2D1" w14:textId="77777777" w:rsidR="004C2EE3" w:rsidRDefault="004C2EE3">
            <w:pPr>
              <w:tabs>
                <w:tab w:val="center" w:pos="4680"/>
              </w:tabs>
              <w:suppressAutoHyphens/>
              <w:rPr>
                <w:b/>
                <w:spacing w:val="-2"/>
              </w:rPr>
            </w:pPr>
            <w:r>
              <w:rPr>
                <w:b/>
                <w:spacing w:val="-2"/>
              </w:rPr>
              <w:t>)</w:t>
            </w:r>
          </w:p>
          <w:p w14:paraId="2E644BA8" w14:textId="77777777" w:rsidR="004C2EE3" w:rsidRDefault="004C2EE3">
            <w:pPr>
              <w:tabs>
                <w:tab w:val="center" w:pos="4680"/>
              </w:tabs>
              <w:suppressAutoHyphens/>
              <w:rPr>
                <w:b/>
                <w:spacing w:val="-2"/>
              </w:rPr>
            </w:pPr>
            <w:r>
              <w:rPr>
                <w:b/>
                <w:spacing w:val="-2"/>
              </w:rPr>
              <w:t>)</w:t>
            </w:r>
          </w:p>
          <w:p w14:paraId="58B73A8E" w14:textId="77777777" w:rsidR="004C2EE3" w:rsidRPr="00755EA4" w:rsidRDefault="004C2EE3">
            <w:pPr>
              <w:tabs>
                <w:tab w:val="center" w:pos="4680"/>
              </w:tabs>
              <w:suppressAutoHyphens/>
              <w:rPr>
                <w:b/>
                <w:spacing w:val="-2"/>
              </w:rPr>
            </w:pPr>
            <w:r>
              <w:rPr>
                <w:b/>
                <w:spacing w:val="-2"/>
              </w:rPr>
              <w:t>)</w:t>
            </w:r>
          </w:p>
        </w:tc>
        <w:tc>
          <w:tcPr>
            <w:tcW w:w="4248" w:type="dxa"/>
          </w:tcPr>
          <w:p w14:paraId="084E4137" w14:textId="77777777" w:rsidR="004C2EE3" w:rsidRDefault="004C2EE3">
            <w:pPr>
              <w:tabs>
                <w:tab w:val="center" w:pos="4680"/>
              </w:tabs>
              <w:suppressAutoHyphens/>
              <w:rPr>
                <w:spacing w:val="-2"/>
              </w:rPr>
            </w:pPr>
          </w:p>
          <w:p w14:paraId="3D289679" w14:textId="77777777" w:rsidR="004C2EE3" w:rsidRDefault="004C2EE3">
            <w:pPr>
              <w:pStyle w:val="TOAHeading"/>
              <w:tabs>
                <w:tab w:val="clear" w:pos="9360"/>
                <w:tab w:val="center" w:pos="4680"/>
              </w:tabs>
              <w:rPr>
                <w:spacing w:val="-2"/>
              </w:rPr>
            </w:pPr>
          </w:p>
          <w:p w14:paraId="59218256" w14:textId="77777777" w:rsidR="004C2EE3" w:rsidRDefault="00520649">
            <w:pPr>
              <w:tabs>
                <w:tab w:val="center" w:pos="4680"/>
              </w:tabs>
              <w:suppressAutoHyphens/>
              <w:rPr>
                <w:spacing w:val="-2"/>
              </w:rPr>
            </w:pPr>
            <w:r>
              <w:rPr>
                <w:spacing w:val="-2"/>
              </w:rPr>
              <w:t>File No. BNPED-20071022AFU</w:t>
            </w:r>
          </w:p>
          <w:p w14:paraId="75920A09" w14:textId="77777777" w:rsidR="00520649" w:rsidRDefault="00520649">
            <w:pPr>
              <w:tabs>
                <w:tab w:val="center" w:pos="4680"/>
              </w:tabs>
              <w:suppressAutoHyphens/>
              <w:rPr>
                <w:spacing w:val="-2"/>
              </w:rPr>
            </w:pPr>
            <w:r>
              <w:rPr>
                <w:spacing w:val="-2"/>
              </w:rPr>
              <w:t>Facility ID No. 176380</w:t>
            </w:r>
          </w:p>
        </w:tc>
      </w:tr>
    </w:tbl>
    <w:p w14:paraId="261BB3C7" w14:textId="77777777" w:rsidR="004C2EE3" w:rsidRDefault="004C2EE3" w:rsidP="0070224F"/>
    <w:p w14:paraId="0FCC9A42" w14:textId="77777777" w:rsidR="00841AB1" w:rsidRDefault="00520649" w:rsidP="00F021FA">
      <w:pPr>
        <w:pStyle w:val="StyleBoldCentered"/>
      </w:pPr>
      <w:r>
        <w:t>memorandum opinion and order</w:t>
      </w:r>
    </w:p>
    <w:p w14:paraId="37469BF6" w14:textId="77777777" w:rsidR="004C2EE3" w:rsidRDefault="004C2EE3">
      <w:pPr>
        <w:tabs>
          <w:tab w:val="left" w:pos="-720"/>
        </w:tabs>
        <w:suppressAutoHyphens/>
        <w:spacing w:line="227" w:lineRule="auto"/>
        <w:rPr>
          <w:spacing w:val="-2"/>
        </w:rPr>
      </w:pPr>
    </w:p>
    <w:p w14:paraId="072D47F3" w14:textId="47E71A69" w:rsidR="004C2EE3" w:rsidRDefault="004C2EE3" w:rsidP="00133F79">
      <w:pPr>
        <w:tabs>
          <w:tab w:val="left" w:pos="720"/>
          <w:tab w:val="right" w:pos="9360"/>
        </w:tabs>
        <w:suppressAutoHyphens/>
        <w:spacing w:line="227" w:lineRule="auto"/>
        <w:rPr>
          <w:spacing w:val="-2"/>
        </w:rPr>
      </w:pPr>
      <w:r>
        <w:rPr>
          <w:b/>
          <w:spacing w:val="-2"/>
        </w:rPr>
        <w:t xml:space="preserve">Adopted:  </w:t>
      </w:r>
      <w:r w:rsidR="00601469">
        <w:rPr>
          <w:b/>
          <w:spacing w:val="-2"/>
        </w:rPr>
        <w:t>September 16,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01469">
        <w:rPr>
          <w:b/>
          <w:spacing w:val="-2"/>
        </w:rPr>
        <w:t>September 17, 2015</w:t>
      </w:r>
    </w:p>
    <w:p w14:paraId="6F2DECF2" w14:textId="77777777" w:rsidR="00822CE0" w:rsidRDefault="00822CE0"/>
    <w:p w14:paraId="4FE7FE8B" w14:textId="77777777" w:rsidR="004C2EE3" w:rsidRDefault="004C2EE3">
      <w:pPr>
        <w:rPr>
          <w:spacing w:val="-2"/>
        </w:rPr>
      </w:pPr>
      <w:r>
        <w:t xml:space="preserve">By </w:t>
      </w:r>
      <w:r w:rsidR="004E4A22">
        <w:t>the</w:t>
      </w:r>
      <w:r w:rsidR="002A2D2E">
        <w:t xml:space="preserve"> </w:t>
      </w:r>
      <w:r w:rsidR="00520649">
        <w:rPr>
          <w:spacing w:val="-2"/>
        </w:rPr>
        <w:t>Commission</w:t>
      </w:r>
      <w:r>
        <w:rPr>
          <w:spacing w:val="-2"/>
        </w:rPr>
        <w:t>:</w:t>
      </w:r>
    </w:p>
    <w:p w14:paraId="7BB3DA76" w14:textId="77777777" w:rsidR="00412FC5" w:rsidRDefault="00412FC5" w:rsidP="00412FC5"/>
    <w:p w14:paraId="3DD0EBB6" w14:textId="77777777" w:rsidR="00871C2B" w:rsidRPr="00871C2B" w:rsidRDefault="00B57453" w:rsidP="00BE7E90">
      <w:pPr>
        <w:pStyle w:val="ParaNum"/>
      </w:pPr>
      <w:r>
        <w:t xml:space="preserve">We have before us a Joint Application for Review (“AFR”) </w:t>
      </w:r>
      <w:r w:rsidR="00BD1B49">
        <w:t>filed on July 13, 2011</w:t>
      </w:r>
      <w:r>
        <w:t>.</w:t>
      </w:r>
      <w:r w:rsidR="00652EA9">
        <w:rPr>
          <w:rStyle w:val="FootnoteReference"/>
        </w:rPr>
        <w:footnoteReference w:id="2"/>
      </w:r>
      <w:r>
        <w:t xml:space="preserve">  </w:t>
      </w:r>
      <w:r w:rsidR="00871C2B">
        <w:t xml:space="preserve">The AFR </w:t>
      </w:r>
      <w:r w:rsidR="00613C8E">
        <w:t>challenges</w:t>
      </w:r>
      <w:r w:rsidR="00755EA4">
        <w:t xml:space="preserve"> the Media Bureau’s </w:t>
      </w:r>
      <w:r w:rsidR="008A5A3D">
        <w:t xml:space="preserve">(“Bureau”) </w:t>
      </w:r>
      <w:r w:rsidR="00871C2B">
        <w:t xml:space="preserve">grant of </w:t>
      </w:r>
      <w:r w:rsidR="00871C2B">
        <w:rPr>
          <w:szCs w:val="22"/>
        </w:rPr>
        <w:t xml:space="preserve">an application </w:t>
      </w:r>
      <w:r w:rsidR="005F0C8F">
        <w:rPr>
          <w:szCs w:val="22"/>
        </w:rPr>
        <w:t xml:space="preserve">(“Application”) </w:t>
      </w:r>
      <w:r w:rsidR="00871C2B">
        <w:rPr>
          <w:szCs w:val="22"/>
        </w:rPr>
        <w:t>filed by Radio Training Network, Inc. (“RTN”) for a new noncommercial educational (“NCE”) FM station at Di</w:t>
      </w:r>
      <w:r w:rsidR="005F0C8F">
        <w:rPr>
          <w:szCs w:val="22"/>
        </w:rPr>
        <w:t>llon, South Carolina</w:t>
      </w:r>
      <w:r w:rsidR="00E23AEC">
        <w:rPr>
          <w:szCs w:val="22"/>
        </w:rPr>
        <w:t>.</w:t>
      </w:r>
      <w:r w:rsidR="00CC64DF">
        <w:rPr>
          <w:rStyle w:val="FootnoteReference"/>
          <w:szCs w:val="22"/>
        </w:rPr>
        <w:footnoteReference w:id="3"/>
      </w:r>
      <w:r w:rsidR="00E23AEC">
        <w:rPr>
          <w:szCs w:val="22"/>
        </w:rPr>
        <w:t xml:space="preserve">  </w:t>
      </w:r>
      <w:r w:rsidR="002B2EDB">
        <w:rPr>
          <w:szCs w:val="22"/>
        </w:rPr>
        <w:t>The AFR</w:t>
      </w:r>
      <w:r w:rsidR="00E23AEC">
        <w:rPr>
          <w:szCs w:val="22"/>
        </w:rPr>
        <w:t xml:space="preserve"> also </w:t>
      </w:r>
      <w:r w:rsidR="00755EA4">
        <w:rPr>
          <w:szCs w:val="22"/>
        </w:rPr>
        <w:t>seeks review of the Bureau’s</w:t>
      </w:r>
      <w:r w:rsidR="002B2EDB">
        <w:rPr>
          <w:szCs w:val="22"/>
        </w:rPr>
        <w:t xml:space="preserve"> </w:t>
      </w:r>
      <w:r w:rsidR="004B61A0">
        <w:rPr>
          <w:szCs w:val="22"/>
        </w:rPr>
        <w:t>determination that certain applicants</w:t>
      </w:r>
      <w:r w:rsidR="00871C2B">
        <w:rPr>
          <w:szCs w:val="22"/>
        </w:rPr>
        <w:t xml:space="preserve"> </w:t>
      </w:r>
      <w:r w:rsidR="00190B5A">
        <w:rPr>
          <w:szCs w:val="22"/>
        </w:rPr>
        <w:t xml:space="preserve">whose </w:t>
      </w:r>
      <w:r w:rsidR="004B61A0">
        <w:rPr>
          <w:szCs w:val="22"/>
        </w:rPr>
        <w:t xml:space="preserve">applications were </w:t>
      </w:r>
      <w:r w:rsidR="005F0C8F">
        <w:rPr>
          <w:szCs w:val="22"/>
        </w:rPr>
        <w:t xml:space="preserve">included in the same group of </w:t>
      </w:r>
      <w:r w:rsidR="004B61A0">
        <w:rPr>
          <w:szCs w:val="22"/>
        </w:rPr>
        <w:t>mutually exclusive</w:t>
      </w:r>
      <w:r w:rsidR="005F0C8F">
        <w:rPr>
          <w:szCs w:val="22"/>
        </w:rPr>
        <w:t xml:space="preserve"> applications as</w:t>
      </w:r>
      <w:r w:rsidR="00871C2B">
        <w:rPr>
          <w:szCs w:val="22"/>
        </w:rPr>
        <w:t xml:space="preserve"> the Application</w:t>
      </w:r>
      <w:r w:rsidR="004B61A0">
        <w:rPr>
          <w:szCs w:val="22"/>
        </w:rPr>
        <w:t xml:space="preserve"> </w:t>
      </w:r>
      <w:r w:rsidR="005F0C8F">
        <w:rPr>
          <w:szCs w:val="22"/>
        </w:rPr>
        <w:t>lacked standing to</w:t>
      </w:r>
      <w:r w:rsidR="004B61A0">
        <w:rPr>
          <w:szCs w:val="22"/>
        </w:rPr>
        <w:t xml:space="preserve"> challenge the dismissal of the applications of other applicants whose applications also were </w:t>
      </w:r>
      <w:r w:rsidR="005F0C8F">
        <w:rPr>
          <w:szCs w:val="22"/>
        </w:rPr>
        <w:t>included in that group</w:t>
      </w:r>
      <w:r w:rsidR="00871C2B">
        <w:rPr>
          <w:szCs w:val="22"/>
        </w:rPr>
        <w:t>.</w:t>
      </w:r>
      <w:r w:rsidR="00CC64DF">
        <w:rPr>
          <w:rStyle w:val="FootnoteReference"/>
          <w:szCs w:val="22"/>
        </w:rPr>
        <w:footnoteReference w:id="4"/>
      </w:r>
      <w:r w:rsidR="00871C2B">
        <w:rPr>
          <w:szCs w:val="22"/>
        </w:rPr>
        <w:t xml:space="preserve">  </w:t>
      </w:r>
    </w:p>
    <w:p w14:paraId="12EF6EED" w14:textId="77777777" w:rsidR="00A15D16" w:rsidRPr="008324FC" w:rsidRDefault="00A15D16" w:rsidP="00A15D16">
      <w:pPr>
        <w:pStyle w:val="ParaNum"/>
        <w:rPr>
          <w:szCs w:val="22"/>
        </w:rPr>
      </w:pPr>
      <w:r>
        <w:t xml:space="preserve">The AFR seeks review of </w:t>
      </w:r>
      <w:r w:rsidR="00DC587C">
        <w:t xml:space="preserve">a </w:t>
      </w:r>
      <w:r>
        <w:t>Bureau</w:t>
      </w:r>
      <w:r w:rsidR="00DC587C">
        <w:t xml:space="preserve"> decision affirming its earlier</w:t>
      </w:r>
      <w:r>
        <w:t xml:space="preserve"> grant of the Application.</w:t>
      </w:r>
      <w:r w:rsidR="00DC587C">
        <w:rPr>
          <w:rStyle w:val="FootnoteReference"/>
        </w:rPr>
        <w:footnoteReference w:id="5"/>
      </w:r>
      <w:r>
        <w:t xml:space="preserve">  It specifically takes issue with the Bureau’s conclusion that the Application, as amended, satisfied the requirements of Section 73.525 of the Commission’s rules (“Rules</w:t>
      </w:r>
      <w:r w:rsidR="00A97419">
        <w:t>”</w:t>
      </w:r>
      <w:r>
        <w:t>)</w:t>
      </w:r>
      <w:r w:rsidR="00E546EF">
        <w:t xml:space="preserve"> with respect to WECT(TV)</w:t>
      </w:r>
      <w:r>
        <w:t>.</w:t>
      </w:r>
      <w:r w:rsidR="001B7CB5">
        <w:rPr>
          <w:rStyle w:val="FootnoteReference"/>
        </w:rPr>
        <w:footnoteReference w:id="6"/>
      </w:r>
      <w:r>
        <w:t xml:space="preserve">  After carefully reviewing the entire record, we </w:t>
      </w:r>
      <w:r w:rsidR="00F50F1F">
        <w:t xml:space="preserve">affirm the Bureau’s </w:t>
      </w:r>
      <w:r w:rsidR="00DD0FF2">
        <w:t>decision</w:t>
      </w:r>
      <w:r>
        <w:t xml:space="preserve">.  </w:t>
      </w:r>
      <w:r w:rsidR="00F50F1F">
        <w:t>At the time the Application was filed</w:t>
      </w:r>
      <w:r>
        <w:t xml:space="preserve">, NCE FM applicants were required to either protect nearby Channel 6 television stations or submit a consent letter from each affected television station.  </w:t>
      </w:r>
      <w:r w:rsidR="00F50F1F">
        <w:t>On October 27, 2009</w:t>
      </w:r>
      <w:r>
        <w:t xml:space="preserve">, a new processing policy became effective under which NCE applicants were no longer required to submit Channel 6 consent letters with respect to affected </w:t>
      </w:r>
      <w:r w:rsidR="00BA262A">
        <w:t xml:space="preserve">TV </w:t>
      </w:r>
      <w:r>
        <w:t xml:space="preserve">stations that had ceased analog operations.  </w:t>
      </w:r>
      <w:r w:rsidR="0048414D">
        <w:t xml:space="preserve">This policy was implemented by public notices released in April and October of 2009, which established a </w:t>
      </w:r>
      <w:r w:rsidR="0048414D">
        <w:lastRenderedPageBreak/>
        <w:t>clear, fair and transparent process for licensees and applicants to take advantage of the cessation</w:t>
      </w:r>
      <w:r w:rsidR="00535933">
        <w:t xml:space="preserve"> of Channel 6 analog operations.</w:t>
      </w:r>
      <w:r w:rsidR="00535933" w:rsidRPr="00A81C34">
        <w:rPr>
          <w:vertAlign w:val="superscript"/>
        </w:rPr>
        <w:footnoteReference w:id="7"/>
      </w:r>
      <w:r w:rsidR="0048414D">
        <w:t xml:space="preserve">  After October 27, 2009, with </w:t>
      </w:r>
      <w:r w:rsidR="00E546EF">
        <w:t>WECT(TV)</w:t>
      </w:r>
      <w:r w:rsidR="0048414D">
        <w:t>’s cessation of analog operations</w:t>
      </w:r>
      <w:r w:rsidR="00E546EF">
        <w:t xml:space="preserve"> on Channel 6</w:t>
      </w:r>
      <w:r w:rsidR="0048414D">
        <w:t>,</w:t>
      </w:r>
      <w:r w:rsidR="00E546EF">
        <w:rPr>
          <w:rStyle w:val="FootnoteReference"/>
        </w:rPr>
        <w:footnoteReference w:id="8"/>
      </w:r>
      <w:r w:rsidR="0048414D">
        <w:t xml:space="preserve"> </w:t>
      </w:r>
      <w:r w:rsidR="00E546EF">
        <w:t>its</w:t>
      </w:r>
      <w:r w:rsidR="0048414D">
        <w:t xml:space="preserve"> concurrence was no longer required.  The Bureau reasonably declined to </w:t>
      </w:r>
      <w:r w:rsidRPr="008324FC">
        <w:rPr>
          <w:szCs w:val="22"/>
        </w:rPr>
        <w:t xml:space="preserve">take adverse action based solely on </w:t>
      </w:r>
      <w:r w:rsidR="0048414D">
        <w:rPr>
          <w:szCs w:val="22"/>
        </w:rPr>
        <w:t>the</w:t>
      </w:r>
      <w:r w:rsidR="0048414D" w:rsidRPr="008324FC">
        <w:rPr>
          <w:szCs w:val="22"/>
        </w:rPr>
        <w:t xml:space="preserve"> </w:t>
      </w:r>
      <w:r w:rsidR="0048414D">
        <w:rPr>
          <w:szCs w:val="22"/>
        </w:rPr>
        <w:t>A</w:t>
      </w:r>
      <w:r w:rsidRPr="008324FC">
        <w:rPr>
          <w:szCs w:val="22"/>
        </w:rPr>
        <w:t xml:space="preserve">pplication’s </w:t>
      </w:r>
      <w:r w:rsidR="0048414D">
        <w:rPr>
          <w:szCs w:val="22"/>
        </w:rPr>
        <w:t xml:space="preserve">earlier acceptability, </w:t>
      </w:r>
      <w:r w:rsidRPr="008324FC">
        <w:rPr>
          <w:szCs w:val="22"/>
        </w:rPr>
        <w:t>when subsequent events</w:t>
      </w:r>
      <w:r w:rsidR="0048414D">
        <w:rPr>
          <w:szCs w:val="22"/>
        </w:rPr>
        <w:t xml:space="preserve"> – </w:t>
      </w:r>
      <w:r w:rsidR="0048414D">
        <w:rPr>
          <w:i/>
          <w:szCs w:val="22"/>
        </w:rPr>
        <w:t>i.e.</w:t>
      </w:r>
      <w:r w:rsidR="0048414D">
        <w:rPr>
          <w:szCs w:val="22"/>
        </w:rPr>
        <w:t xml:space="preserve">, a change in applicable law and </w:t>
      </w:r>
      <w:r w:rsidR="00E546EF">
        <w:rPr>
          <w:szCs w:val="22"/>
        </w:rPr>
        <w:t>WECT(TV)</w:t>
      </w:r>
      <w:r w:rsidR="0048414D">
        <w:rPr>
          <w:szCs w:val="22"/>
        </w:rPr>
        <w:t xml:space="preserve">’s termination of analog operations on Channel 6 – </w:t>
      </w:r>
      <w:r w:rsidRPr="008324FC">
        <w:rPr>
          <w:szCs w:val="22"/>
        </w:rPr>
        <w:t>result</w:t>
      </w:r>
      <w:r w:rsidR="0048414D">
        <w:rPr>
          <w:szCs w:val="22"/>
        </w:rPr>
        <w:t>ed</w:t>
      </w:r>
      <w:r w:rsidRPr="008324FC">
        <w:rPr>
          <w:szCs w:val="22"/>
        </w:rPr>
        <w:t xml:space="preserve"> in a fully acceptable application</w:t>
      </w:r>
      <w:r w:rsidR="0048414D">
        <w:rPr>
          <w:szCs w:val="22"/>
        </w:rPr>
        <w:t xml:space="preserve"> at the time of processing</w:t>
      </w:r>
      <w:r w:rsidRPr="008324FC">
        <w:rPr>
          <w:szCs w:val="22"/>
        </w:rPr>
        <w:t>.</w:t>
      </w:r>
      <w:r w:rsidRPr="00526CCC">
        <w:rPr>
          <w:rStyle w:val="FootnoteReference"/>
          <w:szCs w:val="22"/>
        </w:rPr>
        <w:footnoteReference w:id="9"/>
      </w:r>
      <w:r w:rsidRPr="008324FC">
        <w:rPr>
          <w:szCs w:val="22"/>
        </w:rPr>
        <w:t xml:space="preserve">  </w:t>
      </w:r>
      <w:r w:rsidRPr="008324FC">
        <w:t xml:space="preserve">   </w:t>
      </w:r>
    </w:p>
    <w:p w14:paraId="63464026" w14:textId="0FE93704" w:rsidR="00543E66" w:rsidRDefault="00AE40B2" w:rsidP="00CF6063">
      <w:pPr>
        <w:pStyle w:val="ParaNum"/>
      </w:pPr>
      <w:r>
        <w:t>The AFR also asserts that the Bureau erred in determining that an applicant in a group of mutually exclusive applications lacks standing to challenge the dismissal of the application of another applicant in that group unless it has been given the express authority to do so.</w:t>
      </w:r>
      <w:r>
        <w:rPr>
          <w:rStyle w:val="FootnoteReference"/>
        </w:rPr>
        <w:footnoteReference w:id="10"/>
      </w:r>
      <w:r>
        <w:t xml:space="preserve">  </w:t>
      </w:r>
      <w:r w:rsidR="00543E66">
        <w:t xml:space="preserve">We agree </w:t>
      </w:r>
      <w:r w:rsidR="000C1DDC">
        <w:t xml:space="preserve">with the Bureau’s determination </w:t>
      </w:r>
      <w:r w:rsidR="008827F7">
        <w:t xml:space="preserve">that here, the applicants lacked standing to seek reconsideration of the dismissals of the </w:t>
      </w:r>
      <w:r w:rsidR="00B278E4">
        <w:t>other dismissed</w:t>
      </w:r>
      <w:r w:rsidR="008827F7">
        <w:t xml:space="preserve"> applicants, </w:t>
      </w:r>
      <w:r w:rsidR="000C1DDC">
        <w:t xml:space="preserve">but </w:t>
      </w:r>
      <w:r w:rsidR="008827F7">
        <w:t xml:space="preserve">further </w:t>
      </w:r>
      <w:r w:rsidR="000C1DDC">
        <w:t xml:space="preserve">note </w:t>
      </w:r>
      <w:r w:rsidR="00543E66">
        <w:t xml:space="preserve">that the Bureau incorrectly </w:t>
      </w:r>
      <w:r w:rsidR="00FC74FF">
        <w:t xml:space="preserve">stated </w:t>
      </w:r>
      <w:r w:rsidR="00543E66">
        <w:t>that an applicant in a group of mutually exclusive applications</w:t>
      </w:r>
      <w:r w:rsidR="009068A5">
        <w:t xml:space="preserve"> “can authorize another applicant to challenge the dismissal of its application on its behalf</w:t>
      </w:r>
      <w:r w:rsidR="007C3655">
        <w:t>.”</w:t>
      </w:r>
      <w:r w:rsidR="007C3655">
        <w:rPr>
          <w:rStyle w:val="FootnoteReference"/>
        </w:rPr>
        <w:footnoteReference w:id="11"/>
      </w:r>
      <w:r w:rsidR="00502600">
        <w:t xml:space="preserve"> </w:t>
      </w:r>
      <w:r>
        <w:t xml:space="preserve"> </w:t>
      </w:r>
      <w:r w:rsidR="00FC74FF">
        <w:t xml:space="preserve">Standing is not conferred in this manner. Rather, </w:t>
      </w:r>
      <w:r w:rsidR="00543E66">
        <w:t xml:space="preserve">for an applicant </w:t>
      </w:r>
      <w:r w:rsidR="00502600">
        <w:t xml:space="preserve">in a mutually exclusive group of applications </w:t>
      </w:r>
      <w:r w:rsidR="00543E66">
        <w:t xml:space="preserve">to challenge the dismissal of the application of another applicant in </w:t>
      </w:r>
      <w:r w:rsidR="00502600">
        <w:t>that group</w:t>
      </w:r>
      <w:r w:rsidR="00543E66">
        <w:t xml:space="preserve">, it would </w:t>
      </w:r>
      <w:r w:rsidR="00B40ADD">
        <w:t xml:space="preserve">need to demonstrate </w:t>
      </w:r>
      <w:r>
        <w:t xml:space="preserve">third party standing.  </w:t>
      </w:r>
    </w:p>
    <w:p w14:paraId="578897A2" w14:textId="3527E5D0" w:rsidR="00AE40B2" w:rsidRDefault="00AE40B2" w:rsidP="00934730">
      <w:pPr>
        <w:pStyle w:val="ParaNum"/>
        <w:widowControl/>
      </w:pPr>
      <w:r>
        <w:t xml:space="preserve">Both the Commission and the courts generally disfavor third party standing because it contravenes the basic prudential principle that a party generally </w:t>
      </w:r>
      <w:r w:rsidR="007668A1">
        <w:t>“</w:t>
      </w:r>
      <w:r>
        <w:t>must assert his own legal rights and interests</w:t>
      </w:r>
      <w:r w:rsidR="007668A1">
        <w:t>,</w:t>
      </w:r>
      <w:r>
        <w:t xml:space="preserve"> and cannot rest </w:t>
      </w:r>
      <w:r w:rsidR="00EC6495">
        <w:t xml:space="preserve">a </w:t>
      </w:r>
      <w:r>
        <w:t>claim to relief on the legal rights or interests of third parties.”</w:t>
      </w:r>
      <w:r>
        <w:rPr>
          <w:rStyle w:val="FootnoteReference"/>
        </w:rPr>
        <w:footnoteReference w:id="12"/>
      </w:r>
      <w:r>
        <w:t xml:space="preserve">  We acknowledge that in certain limited circumstances the courts have permitted the assertion of third party standing.</w:t>
      </w:r>
      <w:r>
        <w:rPr>
          <w:rStyle w:val="FootnoteReference"/>
        </w:rPr>
        <w:footnoteReference w:id="13"/>
      </w:r>
      <w:r>
        <w:t xml:space="preserve">  </w:t>
      </w:r>
      <w:r w:rsidR="00D53887">
        <w:t>Specifically, the courts have allowed a party to assert the rights of t</w:t>
      </w:r>
      <w:r w:rsidR="00D53887" w:rsidRPr="00F837A7">
        <w:t xml:space="preserve">hird </w:t>
      </w:r>
      <w:r w:rsidR="00D53887">
        <w:t>parties</w:t>
      </w:r>
      <w:r w:rsidR="00D53887" w:rsidRPr="00F837A7">
        <w:t xml:space="preserve"> </w:t>
      </w:r>
      <w:r w:rsidR="00D53887">
        <w:t xml:space="preserve">where (1) the party itself has suffered an injury in fact, thus giving it a sufficiently concrete interest in the outcome of the issue in dispute; (2) the party has a close relation to the third party or parties; </w:t>
      </w:r>
      <w:r w:rsidR="00D53887" w:rsidRPr="00F505E6">
        <w:rPr>
          <w:i/>
        </w:rPr>
        <w:t>and</w:t>
      </w:r>
      <w:r w:rsidR="00D53887">
        <w:t xml:space="preserve"> (3) there exists some hindrance to the ability of the third party or parties to protect their own interests.</w:t>
      </w:r>
      <w:r w:rsidR="00D53887">
        <w:rPr>
          <w:rStyle w:val="FootnoteReference"/>
        </w:rPr>
        <w:footnoteReference w:id="14"/>
      </w:r>
      <w:r w:rsidR="00D53887">
        <w:t xml:space="preserve">  </w:t>
      </w:r>
      <w:r w:rsidR="008827F7">
        <w:t>This test has not been satisfied here</w:t>
      </w:r>
      <w:r w:rsidR="008947B3">
        <w:t xml:space="preserve"> because</w:t>
      </w:r>
      <w:r>
        <w:t xml:space="preserve"> </w:t>
      </w:r>
      <w:r w:rsidR="008947B3">
        <w:t>n</w:t>
      </w:r>
      <w:r>
        <w:t>othing has hindered th</w:t>
      </w:r>
      <w:r w:rsidR="004C27ED">
        <w:t xml:space="preserve">e other dismissed applicants </w:t>
      </w:r>
      <w:r>
        <w:t>from challenging the Bureau’s dismissal of their applications.</w:t>
      </w:r>
      <w:r w:rsidR="007C6653">
        <w:rPr>
          <w:rStyle w:val="FootnoteReference"/>
        </w:rPr>
        <w:footnoteReference w:id="15"/>
      </w:r>
      <w:r>
        <w:t xml:space="preserve">  </w:t>
      </w:r>
      <w:r w:rsidR="00746588">
        <w:t xml:space="preserve">The </w:t>
      </w:r>
      <w:r w:rsidR="00974DCF">
        <w:t>dismissed applicants have simply taken no action</w:t>
      </w:r>
      <w:r w:rsidR="00746588">
        <w:t xml:space="preserve"> and</w:t>
      </w:r>
      <w:r w:rsidR="00974DCF">
        <w:t xml:space="preserve"> demonstrated</w:t>
      </w:r>
      <w:r w:rsidR="00746588">
        <w:t xml:space="preserve"> no</w:t>
      </w:r>
      <w:r w:rsidR="00974DCF">
        <w:t xml:space="preserve"> desire to resurrect their applications.</w:t>
      </w:r>
      <w:r w:rsidR="004C27ED">
        <w:rPr>
          <w:rStyle w:val="FootnoteReference"/>
        </w:rPr>
        <w:footnoteReference w:id="16"/>
      </w:r>
      <w:r>
        <w:t xml:space="preserve">  </w:t>
      </w:r>
    </w:p>
    <w:p w14:paraId="2E2E12FF" w14:textId="77777777" w:rsidR="009F4391" w:rsidRDefault="00A46D77" w:rsidP="00753C17">
      <w:pPr>
        <w:pStyle w:val="ParaNum"/>
        <w:widowControl/>
      </w:pPr>
      <w:r w:rsidRPr="00A46D77">
        <w:rPr>
          <w:szCs w:val="22"/>
        </w:rPr>
        <w:lastRenderedPageBreak/>
        <w:t>ACCORDINGLY, IT IS ORDERED that, pursuant to Section 5(c)(5) of the Communications Act of 1934, as amended,</w:t>
      </w:r>
      <w:r w:rsidRPr="00EC5899">
        <w:rPr>
          <w:rStyle w:val="FootnoteReference"/>
          <w:szCs w:val="22"/>
        </w:rPr>
        <w:footnoteReference w:id="17"/>
      </w:r>
      <w:r w:rsidRPr="00A46D77">
        <w:rPr>
          <w:szCs w:val="22"/>
        </w:rPr>
        <w:t xml:space="preserve"> and Section</w:t>
      </w:r>
      <w:r>
        <w:rPr>
          <w:szCs w:val="22"/>
        </w:rPr>
        <w:t>s</w:t>
      </w:r>
      <w:r w:rsidR="004C27ED">
        <w:rPr>
          <w:szCs w:val="22"/>
        </w:rPr>
        <w:t xml:space="preserve"> 1.115(g</w:t>
      </w:r>
      <w:r w:rsidRPr="00A46D77">
        <w:rPr>
          <w:szCs w:val="22"/>
        </w:rPr>
        <w:t>)</w:t>
      </w:r>
      <w:r>
        <w:rPr>
          <w:szCs w:val="22"/>
        </w:rPr>
        <w:t xml:space="preserve"> </w:t>
      </w:r>
      <w:r w:rsidRPr="00A46D77">
        <w:rPr>
          <w:szCs w:val="22"/>
        </w:rPr>
        <w:t>of the Commission’s Rules,</w:t>
      </w:r>
      <w:r w:rsidRPr="00EC5899">
        <w:rPr>
          <w:rStyle w:val="FootnoteReference"/>
          <w:szCs w:val="22"/>
        </w:rPr>
        <w:footnoteReference w:id="18"/>
      </w:r>
      <w:r w:rsidRPr="00A46D77">
        <w:rPr>
          <w:szCs w:val="22"/>
        </w:rPr>
        <w:t xml:space="preserve"> the Application for Review IS</w:t>
      </w:r>
      <w:r w:rsidR="006F719F">
        <w:rPr>
          <w:szCs w:val="22"/>
        </w:rPr>
        <w:t xml:space="preserve"> GRANTED IN PART and otherwise IS </w:t>
      </w:r>
      <w:r>
        <w:t>DENIED</w:t>
      </w:r>
      <w:r w:rsidRPr="00A46D77">
        <w:rPr>
          <w:szCs w:val="22"/>
        </w:rPr>
        <w:t xml:space="preserve">.  </w:t>
      </w:r>
    </w:p>
    <w:p w14:paraId="405A7BD8" w14:textId="77777777" w:rsidR="006B30AE" w:rsidRDefault="006B30AE" w:rsidP="0017296B">
      <w:r>
        <w:tab/>
      </w:r>
      <w:r>
        <w:tab/>
      </w:r>
      <w:r>
        <w:tab/>
      </w:r>
      <w:r>
        <w:tab/>
      </w:r>
      <w:r>
        <w:tab/>
      </w:r>
      <w:r>
        <w:tab/>
        <w:t>FEDERAL COMMUNICATIONS COMMISSION</w:t>
      </w:r>
    </w:p>
    <w:p w14:paraId="6A4DDD1E" w14:textId="77777777" w:rsidR="006B30AE" w:rsidRDefault="006B30AE" w:rsidP="0017296B"/>
    <w:p w14:paraId="4828A4F6" w14:textId="77777777" w:rsidR="006B30AE" w:rsidRDefault="006B30AE" w:rsidP="0017296B"/>
    <w:p w14:paraId="5A4D3BC5" w14:textId="77777777" w:rsidR="006B30AE" w:rsidRDefault="006B30AE" w:rsidP="0017296B"/>
    <w:p w14:paraId="5FFADC91" w14:textId="77777777" w:rsidR="006B30AE" w:rsidRDefault="006B30AE" w:rsidP="0017296B"/>
    <w:p w14:paraId="35EC8503" w14:textId="77777777" w:rsidR="006B30AE" w:rsidRDefault="006B30AE" w:rsidP="0017296B">
      <w:r>
        <w:tab/>
      </w:r>
      <w:r>
        <w:tab/>
      </w:r>
      <w:r>
        <w:tab/>
      </w:r>
      <w:r>
        <w:tab/>
      </w:r>
      <w:r>
        <w:tab/>
      </w:r>
      <w:r>
        <w:tab/>
        <w:t>Marlene H. Dortch</w:t>
      </w:r>
    </w:p>
    <w:p w14:paraId="1663B9F5" w14:textId="57521A0A" w:rsidR="00A46D77" w:rsidRPr="009F4391" w:rsidRDefault="000669E0" w:rsidP="006B30AE">
      <w:r>
        <w:tab/>
      </w:r>
      <w:r>
        <w:tab/>
      </w:r>
      <w:r>
        <w:tab/>
      </w:r>
      <w:r>
        <w:tab/>
      </w:r>
      <w:r>
        <w:tab/>
      </w:r>
      <w:r>
        <w:tab/>
        <w:t>Secretary</w:t>
      </w:r>
      <w:r w:rsidR="00A46D77">
        <w:tab/>
      </w:r>
      <w:r w:rsidR="00A46D77">
        <w:tab/>
      </w:r>
      <w:r w:rsidR="00A46D77">
        <w:tab/>
      </w:r>
      <w:r w:rsidR="00A46D77">
        <w:tab/>
      </w:r>
    </w:p>
    <w:sectPr w:rsidR="00A46D77" w:rsidRPr="009F4391"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7D91C" w14:textId="77777777" w:rsidR="00AA330F" w:rsidRDefault="00AA330F">
      <w:pPr>
        <w:spacing w:line="20" w:lineRule="exact"/>
      </w:pPr>
    </w:p>
  </w:endnote>
  <w:endnote w:type="continuationSeparator" w:id="0">
    <w:p w14:paraId="18D8EAF2" w14:textId="77777777" w:rsidR="00AA330F" w:rsidRDefault="00AA330F">
      <w:r>
        <w:t xml:space="preserve"> </w:t>
      </w:r>
    </w:p>
  </w:endnote>
  <w:endnote w:type="continuationNotice" w:id="1">
    <w:p w14:paraId="012ABA44" w14:textId="77777777" w:rsidR="00AA330F" w:rsidRDefault="00AA330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AE8D2"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3C32951C"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B371C"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890E93">
      <w:rPr>
        <w:noProof/>
      </w:rPr>
      <w:t>3</w:t>
    </w:r>
    <w:r>
      <w:fldChar w:fldCharType="end"/>
    </w:r>
  </w:p>
  <w:p w14:paraId="43CE08CF"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E6E01"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85E75" w14:textId="77777777" w:rsidR="00AA330F" w:rsidRDefault="00AA330F">
      <w:r>
        <w:separator/>
      </w:r>
    </w:p>
  </w:footnote>
  <w:footnote w:type="continuationSeparator" w:id="0">
    <w:p w14:paraId="54DD742C" w14:textId="77777777" w:rsidR="00AA330F" w:rsidRDefault="00AA330F" w:rsidP="00C721AC">
      <w:pPr>
        <w:spacing w:before="120"/>
        <w:rPr>
          <w:sz w:val="20"/>
        </w:rPr>
      </w:pPr>
      <w:r>
        <w:rPr>
          <w:sz w:val="20"/>
        </w:rPr>
        <w:t xml:space="preserve">(Continued from previous page)  </w:t>
      </w:r>
      <w:r>
        <w:rPr>
          <w:sz w:val="20"/>
        </w:rPr>
        <w:separator/>
      </w:r>
    </w:p>
  </w:footnote>
  <w:footnote w:type="continuationNotice" w:id="1">
    <w:p w14:paraId="0488C329" w14:textId="77777777" w:rsidR="00AA330F" w:rsidRDefault="00AA330F" w:rsidP="00C721AC">
      <w:pPr>
        <w:jc w:val="right"/>
        <w:rPr>
          <w:sz w:val="20"/>
        </w:rPr>
      </w:pPr>
      <w:r>
        <w:rPr>
          <w:sz w:val="20"/>
        </w:rPr>
        <w:t>(continued….)</w:t>
      </w:r>
    </w:p>
  </w:footnote>
  <w:footnote w:id="2">
    <w:p w14:paraId="7D383F23" w14:textId="77777777" w:rsidR="00652EA9" w:rsidRPr="004B084D" w:rsidRDefault="00652EA9" w:rsidP="00652EA9">
      <w:pPr>
        <w:pStyle w:val="FootnoteText"/>
        <w:rPr>
          <w:b/>
        </w:rPr>
      </w:pPr>
      <w:r>
        <w:rPr>
          <w:rStyle w:val="FootnoteReference"/>
        </w:rPr>
        <w:footnoteRef/>
      </w:r>
      <w:r>
        <w:t xml:space="preserve">  Radio Training Network, Inc. filed an Opposition to Joint Application for Review (“Opposition”) on August 1, 2011.  </w:t>
      </w:r>
    </w:p>
  </w:footnote>
  <w:footnote w:id="3">
    <w:p w14:paraId="71DB1C5F" w14:textId="77777777" w:rsidR="00CC64DF" w:rsidRDefault="00CC64DF">
      <w:pPr>
        <w:pStyle w:val="FootnoteText"/>
      </w:pPr>
      <w:r>
        <w:rPr>
          <w:rStyle w:val="FootnoteReference"/>
        </w:rPr>
        <w:footnoteRef/>
      </w:r>
      <w:r>
        <w:t xml:space="preserve"> Six </w:t>
      </w:r>
      <w:r w:rsidR="00613C8E">
        <w:t xml:space="preserve">applicants whose applications were included in the same group of mutually exclusive applications as the Application </w:t>
      </w:r>
      <w:r>
        <w:t>challenge this grant.</w:t>
      </w:r>
      <w:r w:rsidR="00613C8E">
        <w:t xml:space="preserve">  These applicants are Columbus Club of Florence, Cultural Renewal Radio UA, Down East Communications, Pathway Christian Academy, Inc., Calvary Chapel Myrtle Beach, and Spirit Broadcasting Group, Inc.</w:t>
      </w:r>
    </w:p>
  </w:footnote>
  <w:footnote w:id="4">
    <w:p w14:paraId="7DDC4FAF" w14:textId="1C21F665" w:rsidR="00CC64DF" w:rsidRDefault="00CC64DF">
      <w:pPr>
        <w:pStyle w:val="FootnoteText"/>
      </w:pPr>
      <w:r>
        <w:rPr>
          <w:rStyle w:val="FootnoteReference"/>
        </w:rPr>
        <w:footnoteRef/>
      </w:r>
      <w:r>
        <w:t xml:space="preserve"> In addition to the six </w:t>
      </w:r>
      <w:r w:rsidR="00613C8E">
        <w:t>applicants</w:t>
      </w:r>
      <w:r>
        <w:t xml:space="preserve"> challenging grant of the Application, RTN and another 18 </w:t>
      </w:r>
      <w:r w:rsidR="00613C8E">
        <w:t xml:space="preserve">applicants from the same group of mutually exclusive applications </w:t>
      </w:r>
      <w:r>
        <w:t xml:space="preserve">challenge this finding.  The other parties are </w:t>
      </w:r>
      <w:r w:rsidRPr="00F3147B">
        <w:t>Airwaves for Jesus, Inc., Bible Broadcasting Network, Inc., Calvary Broadcasting, Inc., Church Planters of America, Clean Air Broadcasting Corporation, Coastal Carolina University, Friends of Hometown Radio, Florence-Darlington Technical College, Highland Baptist Church , Nassuna Broadcasting, Inc., Network of Glory, Inc., Richburg Educational Broadcasters, Inc., Solid Foundation Broadcasting Corporation, God’s Final Call &amp; Warning, Asheboro Seventh Day Adventist Church, Florence First Seventh-Day Adventist Church, Centro Christiano de Vida Eterna, and Voices for Justice, Inc.</w:t>
      </w:r>
    </w:p>
  </w:footnote>
  <w:footnote w:id="5">
    <w:p w14:paraId="07E9F16D" w14:textId="77777777" w:rsidR="00DC587C" w:rsidRPr="00D21DC9" w:rsidRDefault="00DC587C">
      <w:pPr>
        <w:pStyle w:val="FootnoteText"/>
      </w:pPr>
      <w:r>
        <w:rPr>
          <w:rStyle w:val="FootnoteReference"/>
        </w:rPr>
        <w:footnoteRef/>
      </w:r>
      <w:r>
        <w:t xml:space="preserve"> </w:t>
      </w:r>
      <w:r w:rsidR="00D21DC9">
        <w:rPr>
          <w:i/>
        </w:rPr>
        <w:t>Letter from Peter H. Doyle, Chief, Audio Division, Media Bureau, to Stuart W. Nolan, Jr., Esq. et al</w:t>
      </w:r>
      <w:r w:rsidR="00D21DC9">
        <w:t>. (dated June 13, 2011).</w:t>
      </w:r>
    </w:p>
  </w:footnote>
  <w:footnote w:id="6">
    <w:p w14:paraId="34DF9806" w14:textId="77777777" w:rsidR="001B7CB5" w:rsidRPr="00E27566" w:rsidRDefault="001B7CB5">
      <w:pPr>
        <w:pStyle w:val="FootnoteText"/>
        <w:rPr>
          <w:i/>
        </w:rPr>
      </w:pPr>
      <w:r>
        <w:rPr>
          <w:rStyle w:val="FootnoteReference"/>
        </w:rPr>
        <w:footnoteRef/>
      </w:r>
      <w:r>
        <w:t xml:space="preserve"> AFR at 5-8.</w:t>
      </w:r>
      <w:r w:rsidR="00E27566">
        <w:t xml:space="preserve">  </w:t>
      </w:r>
      <w:r w:rsidR="00E27566">
        <w:rPr>
          <w:i/>
        </w:rPr>
        <w:t xml:space="preserve">See also </w:t>
      </w:r>
      <w:r w:rsidR="00E27566" w:rsidRPr="005C35AC">
        <w:t>47 C.F.R. § 73.525 (requiring that applications for new or modified NCE station</w:t>
      </w:r>
      <w:r w:rsidR="00E27566">
        <w:t>s</w:t>
      </w:r>
      <w:r w:rsidR="00E27566" w:rsidRPr="005C35AC">
        <w:t xml:space="preserve"> in the FM reserved band protect nearby television Channel 6 broadcast stations).</w:t>
      </w:r>
    </w:p>
  </w:footnote>
  <w:footnote w:id="7">
    <w:p w14:paraId="00D7E537" w14:textId="77777777" w:rsidR="00535933" w:rsidRPr="00116687" w:rsidRDefault="00535933" w:rsidP="00535933">
      <w:pPr>
        <w:pStyle w:val="FootnoteText"/>
      </w:pPr>
      <w:r>
        <w:rPr>
          <w:rStyle w:val="FootnoteReference"/>
        </w:rPr>
        <w:footnoteRef/>
      </w:r>
      <w:r>
        <w:t xml:space="preserve"> </w:t>
      </w:r>
      <w:r w:rsidRPr="009A4FC2">
        <w:rPr>
          <w:i/>
        </w:rPr>
        <w:t>See Media Bureau Establishes October 27, 2009, Initial Filing Date for Acceptance of Certain Noncommercial Educational FM Station Minor Change Applications</w:t>
      </w:r>
      <w:r w:rsidRPr="009A4FC2">
        <w:t xml:space="preserve">, Public Notice, </w:t>
      </w:r>
      <w:r w:rsidRPr="00BA262A">
        <w:t xml:space="preserve">24 FCC Rcd 12598 (MB 2009); </w:t>
      </w:r>
      <w:r w:rsidRPr="00DE5D0E">
        <w:rPr>
          <w:i/>
          <w:iCs/>
          <w:snapToGrid w:val="0"/>
          <w:kern w:val="28"/>
        </w:rPr>
        <w:t xml:space="preserve">Media Bureau Provides Guidance to NCE FM </w:t>
      </w:r>
      <w:r w:rsidR="007668A1">
        <w:rPr>
          <w:i/>
          <w:iCs/>
          <w:snapToGrid w:val="0"/>
          <w:kern w:val="28"/>
        </w:rPr>
        <w:t>S</w:t>
      </w:r>
      <w:r w:rsidRPr="00DE5D0E">
        <w:rPr>
          <w:i/>
          <w:iCs/>
          <w:snapToGrid w:val="0"/>
          <w:kern w:val="28"/>
        </w:rPr>
        <w:t>tations Regarding Television Channel 6 Protection Requirements,</w:t>
      </w:r>
      <w:r w:rsidRPr="00DE5D0E">
        <w:rPr>
          <w:snapToGrid w:val="0"/>
          <w:kern w:val="28"/>
        </w:rPr>
        <w:t xml:space="preserve"> Public Notice, 24 FCC Rcd 3916 (MB 2009).</w:t>
      </w:r>
    </w:p>
  </w:footnote>
  <w:footnote w:id="8">
    <w:p w14:paraId="758129F2" w14:textId="77777777" w:rsidR="00E546EF" w:rsidRDefault="00E546EF">
      <w:pPr>
        <w:pStyle w:val="FootnoteText"/>
      </w:pPr>
      <w:r>
        <w:rPr>
          <w:rStyle w:val="FootnoteReference"/>
        </w:rPr>
        <w:footnoteRef/>
      </w:r>
      <w:r>
        <w:t xml:space="preserve"> WECT(TV) terminated its analog operations on September 30, 2008.  </w:t>
      </w:r>
      <w:r>
        <w:rPr>
          <w:i/>
        </w:rPr>
        <w:t xml:space="preserve">See </w:t>
      </w:r>
      <w:r>
        <w:t xml:space="preserve">File No. BDTUCT-20080718AOC.  </w:t>
      </w:r>
    </w:p>
  </w:footnote>
  <w:footnote w:id="9">
    <w:p w14:paraId="7733273E" w14:textId="77777777" w:rsidR="00A15D16" w:rsidRPr="002A660B" w:rsidRDefault="00A15D16" w:rsidP="00A15D16">
      <w:pPr>
        <w:pStyle w:val="FootnoteText"/>
        <w:rPr>
          <w:b/>
        </w:rPr>
      </w:pPr>
      <w:r w:rsidRPr="002A660B">
        <w:rPr>
          <w:rStyle w:val="FootnoteReference"/>
        </w:rPr>
        <w:footnoteRef/>
      </w:r>
      <w:r w:rsidRPr="002A660B">
        <w:t xml:space="preserve"> </w:t>
      </w:r>
      <w:r w:rsidRPr="002A660B">
        <w:rPr>
          <w:i/>
        </w:rPr>
        <w:t xml:space="preserve">See </w:t>
      </w:r>
      <w:r>
        <w:rPr>
          <w:i/>
        </w:rPr>
        <w:t xml:space="preserve">HarryCo, Inc. </w:t>
      </w:r>
      <w:r w:rsidR="007668A1">
        <w:rPr>
          <w:i/>
        </w:rPr>
        <w:t>&amp; S. Entm’t</w:t>
      </w:r>
      <w:r>
        <w:rPr>
          <w:i/>
        </w:rPr>
        <w:t>, Inc.</w:t>
      </w:r>
      <w:r w:rsidRPr="002A660B">
        <w:t xml:space="preserve">, </w:t>
      </w:r>
      <w:r>
        <w:t xml:space="preserve">Memorandum Opinion and Order and Notice of Apparent Liability, </w:t>
      </w:r>
      <w:r w:rsidRPr="002A660B">
        <w:t>18 FCC Rcd 23411</w:t>
      </w:r>
      <w:r>
        <w:t>, 23423</w:t>
      </w:r>
      <w:r w:rsidRPr="002A660B">
        <w:t xml:space="preserve"> </w:t>
      </w:r>
      <w:r>
        <w:t xml:space="preserve">¶ 26 </w:t>
      </w:r>
      <w:r w:rsidRPr="002A660B">
        <w:t>(2003)</w:t>
      </w:r>
      <w:r w:rsidR="007668A1">
        <w:t>;</w:t>
      </w:r>
      <w:r>
        <w:t xml:space="preserve">  </w:t>
      </w:r>
      <w:r w:rsidR="007668A1">
        <w:rPr>
          <w:i/>
        </w:rPr>
        <w:t>s</w:t>
      </w:r>
      <w:r>
        <w:rPr>
          <w:i/>
        </w:rPr>
        <w:t>ee also</w:t>
      </w:r>
      <w:r>
        <w:t xml:space="preserve"> </w:t>
      </w:r>
      <w:r>
        <w:rPr>
          <w:i/>
        </w:rPr>
        <w:t>BVM Helping Hands</w:t>
      </w:r>
      <w:r>
        <w:t xml:space="preserve">, Memorandum Opinion and Order, </w:t>
      </w:r>
      <w:r w:rsidR="006D6290">
        <w:t>29</w:t>
      </w:r>
      <w:r w:rsidR="0038018A">
        <w:t xml:space="preserve"> FCC Rcd 6464, 6464 ¶ 4</w:t>
      </w:r>
      <w:r w:rsidR="007668A1">
        <w:t>,</w:t>
      </w:r>
      <w:r w:rsidR="0038018A">
        <w:t xml:space="preserve">  n.14</w:t>
      </w:r>
      <w:r>
        <w:t xml:space="preserve"> (</w:t>
      </w:r>
      <w:r w:rsidR="0038018A">
        <w:t>2014</w:t>
      </w:r>
      <w:r>
        <w:t>).</w:t>
      </w:r>
      <w:r w:rsidRPr="002A660B">
        <w:t xml:space="preserve">  </w:t>
      </w:r>
      <w:r w:rsidRPr="002A660B">
        <w:rPr>
          <w:b/>
        </w:rPr>
        <w:t xml:space="preserve">  </w:t>
      </w:r>
    </w:p>
  </w:footnote>
  <w:footnote w:id="10">
    <w:p w14:paraId="00756459" w14:textId="77777777" w:rsidR="00AE40B2" w:rsidRDefault="00AE40B2" w:rsidP="00AE40B2">
      <w:pPr>
        <w:pStyle w:val="FootnoteText"/>
      </w:pPr>
      <w:r>
        <w:rPr>
          <w:rStyle w:val="FootnoteReference"/>
        </w:rPr>
        <w:footnoteRef/>
      </w:r>
      <w:r>
        <w:t xml:space="preserve"> AFR at 8-9.</w:t>
      </w:r>
    </w:p>
  </w:footnote>
  <w:footnote w:id="11">
    <w:p w14:paraId="378FAA91" w14:textId="56A8386C" w:rsidR="007C3655" w:rsidRDefault="007C3655">
      <w:pPr>
        <w:pStyle w:val="FootnoteText"/>
      </w:pPr>
      <w:r>
        <w:rPr>
          <w:rStyle w:val="FootnoteReference"/>
        </w:rPr>
        <w:footnoteRef/>
      </w:r>
      <w:r>
        <w:t xml:space="preserve"> </w:t>
      </w:r>
      <w:r>
        <w:rPr>
          <w:i/>
        </w:rPr>
        <w:t>See Letter from Peter H. Doyle, Chief, Audio Division, Media Bureau, to Stuart W. Nolan, Jr., Esq. et al</w:t>
      </w:r>
      <w:r>
        <w:t>. (dated June 13, 2011) n.27.</w:t>
      </w:r>
    </w:p>
  </w:footnote>
  <w:footnote w:id="12">
    <w:p w14:paraId="71F13726" w14:textId="77777777" w:rsidR="00AE40B2" w:rsidRPr="008910A4" w:rsidRDefault="00AE40B2" w:rsidP="00AE40B2">
      <w:pPr>
        <w:pStyle w:val="FootnoteText"/>
      </w:pPr>
      <w:r>
        <w:rPr>
          <w:rStyle w:val="FootnoteReference"/>
        </w:rPr>
        <w:footnoteRef/>
      </w:r>
      <w:r>
        <w:t xml:space="preserve"> </w:t>
      </w:r>
      <w:r>
        <w:rPr>
          <w:i/>
        </w:rPr>
        <w:t>Powers v. Ohio</w:t>
      </w:r>
      <w:r>
        <w:t>, 499 U.S. 400, 410 (1991) (citations omitted).</w:t>
      </w:r>
      <w:r w:rsidR="007C6653">
        <w:t xml:space="preserve">  </w:t>
      </w:r>
      <w:r w:rsidR="007C6653">
        <w:rPr>
          <w:i/>
        </w:rPr>
        <w:t xml:space="preserve">See also Instapage Network Ltd.’s Informal Request for Retroactive Bidding Credits, </w:t>
      </w:r>
      <w:r w:rsidR="007C6653">
        <w:t>Order on Reconsideration, 19 FCC Rcd 20356, 20369 ¶ 10 (WTB 2004) (recognizing that third party standing has been generally disfavored by the Commission).</w:t>
      </w:r>
      <w:r>
        <w:t xml:space="preserve">  </w:t>
      </w:r>
    </w:p>
  </w:footnote>
  <w:footnote w:id="13">
    <w:p w14:paraId="4DDD9E95" w14:textId="7CE8DEAF" w:rsidR="00AE40B2" w:rsidRDefault="00AE40B2" w:rsidP="00AE40B2">
      <w:pPr>
        <w:pStyle w:val="FootnoteText"/>
      </w:pPr>
      <w:r>
        <w:rPr>
          <w:rStyle w:val="FootnoteReference"/>
        </w:rPr>
        <w:footnoteRef/>
      </w:r>
      <w:r>
        <w:t xml:space="preserve"> </w:t>
      </w:r>
      <w:r w:rsidR="008947B3">
        <w:rPr>
          <w:i/>
        </w:rPr>
        <w:t xml:space="preserve">Powers, </w:t>
      </w:r>
      <w:r w:rsidR="008947B3">
        <w:t>499 U.S.</w:t>
      </w:r>
      <w:r w:rsidR="0049298E">
        <w:rPr>
          <w:i/>
        </w:rPr>
        <w:t xml:space="preserve"> </w:t>
      </w:r>
      <w:r w:rsidR="0049298E">
        <w:t>at 410-11</w:t>
      </w:r>
      <w:r>
        <w:rPr>
          <w:i/>
        </w:rPr>
        <w:t xml:space="preserve">.  </w:t>
      </w:r>
    </w:p>
  </w:footnote>
  <w:footnote w:id="14">
    <w:p w14:paraId="41B6EE24" w14:textId="5CA77EC3" w:rsidR="00D53887" w:rsidRDefault="00D53887">
      <w:pPr>
        <w:pStyle w:val="FootnoteText"/>
      </w:pPr>
      <w:r>
        <w:rPr>
          <w:rStyle w:val="FootnoteReference"/>
        </w:rPr>
        <w:footnoteRef/>
      </w:r>
      <w:r>
        <w:t xml:space="preserve"> </w:t>
      </w:r>
      <w:r>
        <w:rPr>
          <w:i/>
        </w:rPr>
        <w:t xml:space="preserve">Id. </w:t>
      </w:r>
      <w:r w:rsidRPr="002421E3">
        <w:t>at 411</w:t>
      </w:r>
      <w:r>
        <w:rPr>
          <w:i/>
        </w:rPr>
        <w:t xml:space="preserve"> </w:t>
      </w:r>
      <w:r>
        <w:t>(citations omitted).</w:t>
      </w:r>
    </w:p>
  </w:footnote>
  <w:footnote w:id="15">
    <w:p w14:paraId="542B8D4C" w14:textId="68E2E0C0" w:rsidR="007C6653" w:rsidRPr="007C6653" w:rsidRDefault="007C6653">
      <w:pPr>
        <w:pStyle w:val="FootnoteText"/>
      </w:pPr>
      <w:r>
        <w:rPr>
          <w:rStyle w:val="FootnoteReference"/>
        </w:rPr>
        <w:footnoteRef/>
      </w:r>
      <w:r>
        <w:t xml:space="preserve"> </w:t>
      </w:r>
      <w:r>
        <w:rPr>
          <w:i/>
        </w:rPr>
        <w:t>See, e.g.</w:t>
      </w:r>
      <w:r w:rsidRPr="00894B56">
        <w:t>,</w:t>
      </w:r>
      <w:r>
        <w:rPr>
          <w:i/>
        </w:rPr>
        <w:t xml:space="preserve"> </w:t>
      </w:r>
      <w:r w:rsidR="00FC6BF2">
        <w:rPr>
          <w:i/>
        </w:rPr>
        <w:t>King v. Governor of the State of New Jersey,</w:t>
      </w:r>
      <w:r w:rsidR="00FC6BF2">
        <w:t xml:space="preserve"> 767 F.3d 216, 244 (</w:t>
      </w:r>
      <w:r w:rsidR="000451AD">
        <w:t>3d</w:t>
      </w:r>
      <w:r w:rsidR="00FC6BF2">
        <w:t xml:space="preserve"> Cir. 2014)( plaintiffs lacked standing to pursue claims on behalf of their minor clients where they failed to establish that their clients were “hindered” in their ability to bring suit themselves); </w:t>
      </w:r>
      <w:r>
        <w:rPr>
          <w:i/>
        </w:rPr>
        <w:t>Instapage</w:t>
      </w:r>
      <w:r>
        <w:t>, 19 FCC Rcd at 20356 (to assert third party standing, petitioner must demonstrate the existence of some hindrance to the absent party’s ability to protect its own interest  in the matter</w:t>
      </w:r>
      <w:r w:rsidR="00B6405B">
        <w:t>,</w:t>
      </w:r>
      <w:r w:rsidR="003E680C">
        <w:t xml:space="preserve"> and </w:t>
      </w:r>
      <w:r w:rsidR="00B6405B">
        <w:t xml:space="preserve">third party standing is not appropriate </w:t>
      </w:r>
      <w:r w:rsidR="003E680C">
        <w:t>where nothing has prevented the absent party from pursuing the particular claim at issue)</w:t>
      </w:r>
      <w:r w:rsidR="00B6405B">
        <w:t>.</w:t>
      </w:r>
      <w:r w:rsidR="006D014C">
        <w:t xml:space="preserve">  Because we find that the third factor necessary to assert third party standing is not present here, we need not reach Dismissal Opponents’ arguments regarding the injury caused to them by the dismissal of applications not their own.  </w:t>
      </w:r>
      <w:r w:rsidR="006D014C">
        <w:rPr>
          <w:i/>
        </w:rPr>
        <w:t xml:space="preserve">See </w:t>
      </w:r>
      <w:r w:rsidR="006D014C">
        <w:t>AFR at 9.</w:t>
      </w:r>
    </w:p>
  </w:footnote>
  <w:footnote w:id="16">
    <w:p w14:paraId="25D87C72" w14:textId="4E5F13DF" w:rsidR="004C27ED" w:rsidRDefault="004C27ED">
      <w:pPr>
        <w:pStyle w:val="FootnoteText"/>
      </w:pPr>
      <w:r>
        <w:rPr>
          <w:rStyle w:val="FootnoteReference"/>
        </w:rPr>
        <w:footnoteRef/>
      </w:r>
      <w:r>
        <w:t xml:space="preserve"> We note that we have considered the concern expressed in the AFR that disallowing standing in this case and others like it could undermine our ability to achieve the objectives of Section 307(b) of the Act.  </w:t>
      </w:r>
      <w:r w:rsidR="00B40ADD">
        <w:t xml:space="preserve">AFR at 10.  </w:t>
      </w:r>
      <w:r w:rsidR="006D014C">
        <w:t xml:space="preserve">We disagree that the Section 307(b) directive to the Commission to “provide a fair, efficient, and equitable distribution of radio service” to the States requires us to ignore the basic prudential principle that a party must assert its own legal rights and interests.  The purposes of Section 307(b) are served here by the award of the license to RTN. </w:t>
      </w:r>
      <w:r w:rsidR="008947B3">
        <w:t xml:space="preserve"> </w:t>
      </w:r>
      <w:r w:rsidR="00DD2E3B">
        <w:t xml:space="preserve">  </w:t>
      </w:r>
      <w:r w:rsidR="00BA262A">
        <w:t xml:space="preserve"> </w:t>
      </w:r>
      <w:r w:rsidR="006C7585">
        <w:t xml:space="preserve">  </w:t>
      </w:r>
      <w:r>
        <w:t xml:space="preserve">  </w:t>
      </w:r>
    </w:p>
  </w:footnote>
  <w:footnote w:id="17">
    <w:p w14:paraId="7D2AE11A" w14:textId="77777777" w:rsidR="00A46D77" w:rsidRPr="00EC5899" w:rsidRDefault="00A46D77" w:rsidP="00A46D77">
      <w:pPr>
        <w:pStyle w:val="FootnoteText"/>
        <w:spacing w:after="200"/>
      </w:pPr>
      <w:r w:rsidRPr="00EC5899">
        <w:rPr>
          <w:rStyle w:val="FootnoteReference"/>
        </w:rPr>
        <w:footnoteRef/>
      </w:r>
      <w:r w:rsidRPr="00EC5899">
        <w:t xml:space="preserve"> 47 U.S.C. § 155(c)(5).</w:t>
      </w:r>
    </w:p>
  </w:footnote>
  <w:footnote w:id="18">
    <w:p w14:paraId="710A8B6B" w14:textId="77777777" w:rsidR="00A46D77" w:rsidRPr="00EC5899" w:rsidRDefault="00A46D77" w:rsidP="00A46D77">
      <w:pPr>
        <w:pStyle w:val="FootnoteText"/>
        <w:spacing w:after="200"/>
      </w:pPr>
      <w:r w:rsidRPr="00EC5899">
        <w:rPr>
          <w:rStyle w:val="FootnoteReference"/>
        </w:rPr>
        <w:footnoteRef/>
      </w:r>
      <w:r w:rsidRPr="00EC5899">
        <w:t xml:space="preserve"> 47 C.F.R. § 1.115(</w:t>
      </w:r>
      <w:r w:rsidR="004C27ED">
        <w:t>g</w:t>
      </w:r>
      <w:r w:rsidRPr="00EC589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3E234" w14:textId="77777777" w:rsidR="004501A6" w:rsidRDefault="004501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012A5" w14:textId="20045144" w:rsidR="00D25FB5" w:rsidRDefault="00D25FB5" w:rsidP="00810B6F">
    <w:pPr>
      <w:pStyle w:val="Header"/>
      <w:rPr>
        <w:b w:val="0"/>
      </w:rPr>
    </w:pPr>
    <w:r>
      <w:tab/>
      <w:t>Federal Communications Commission</w:t>
    </w:r>
    <w:r>
      <w:tab/>
    </w:r>
    <w:r w:rsidR="004B084D">
      <w:t>FCC 1</w:t>
    </w:r>
    <w:r w:rsidR="00BE56BD">
      <w:t>5</w:t>
    </w:r>
    <w:r w:rsidR="004B084D">
      <w:t>-</w:t>
    </w:r>
    <w:r w:rsidR="008C360D">
      <w:t>120</w:t>
    </w:r>
  </w:p>
  <w:p w14:paraId="3C8820DA" w14:textId="77777777" w:rsidR="00D25FB5" w:rsidRDefault="00FE2E04">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03F8E3CF" wp14:editId="7E484075">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0684CC"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C329B" w14:textId="08931154" w:rsidR="00D25FB5" w:rsidRDefault="00FE2E04"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34DDB48D" wp14:editId="38645C5D">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6FF9B7"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520649">
      <w:rPr>
        <w:spacing w:val="-2"/>
      </w:rPr>
      <w:t>FCC 1</w:t>
    </w:r>
    <w:r w:rsidR="00BE56BD">
      <w:rPr>
        <w:spacing w:val="-2"/>
      </w:rPr>
      <w:t>5</w:t>
    </w:r>
    <w:r w:rsidR="00520649">
      <w:rPr>
        <w:spacing w:val="-2"/>
      </w:rPr>
      <w:t>-</w:t>
    </w:r>
    <w:r w:rsidR="00601469">
      <w:rPr>
        <w:spacing w:val="-2"/>
      </w:rPr>
      <w:t>120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FAD"/>
    <w:multiLevelType w:val="hybridMultilevel"/>
    <w:tmpl w:val="919C89FA"/>
    <w:lvl w:ilvl="0" w:tplc="316A3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AD3542C"/>
    <w:multiLevelType w:val="hybridMultilevel"/>
    <w:tmpl w:val="C67C1FD4"/>
    <w:lvl w:ilvl="0" w:tplc="0F52394C">
      <w:start w:val="1"/>
      <w:numFmt w:val="decimal"/>
      <w:lvlText w:val="%1."/>
      <w:lvlJc w:val="left"/>
      <w:pPr>
        <w:tabs>
          <w:tab w:val="num" w:pos="1152"/>
        </w:tabs>
        <w:ind w:left="0" w:firstLine="576"/>
      </w:pPr>
      <w:rPr>
        <w:rFonts w:hint="default"/>
        <w:b w:val="0"/>
        <w:i w:val="0"/>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7"/>
  </w:num>
  <w:num w:numId="5">
    <w:abstractNumId w:val="3"/>
  </w:num>
  <w:num w:numId="6">
    <w:abstractNumId w:val="1"/>
  </w:num>
  <w:num w:numId="7">
    <w:abstractNumId w:val="5"/>
  </w:num>
  <w:num w:numId="8">
    <w:abstractNumId w:val="8"/>
  </w:num>
  <w:num w:numId="9">
    <w:abstractNumId w:val="6"/>
  </w:num>
  <w:num w:numId="10">
    <w:abstractNumId w:val="8"/>
  </w:num>
  <w:num w:numId="11">
    <w:abstractNumId w:val="8"/>
    <w:lvlOverride w:ilvl="0">
      <w:startOverride w:val="1"/>
    </w:lvlOverride>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04"/>
    <w:rsid w:val="0000153E"/>
    <w:rsid w:val="00001907"/>
    <w:rsid w:val="00017943"/>
    <w:rsid w:val="000179A6"/>
    <w:rsid w:val="00025AEB"/>
    <w:rsid w:val="00036039"/>
    <w:rsid w:val="00037F90"/>
    <w:rsid w:val="000411C5"/>
    <w:rsid w:val="00041FB4"/>
    <w:rsid w:val="000451AD"/>
    <w:rsid w:val="00045FB1"/>
    <w:rsid w:val="00046DF8"/>
    <w:rsid w:val="000657F6"/>
    <w:rsid w:val="000669E0"/>
    <w:rsid w:val="000814E0"/>
    <w:rsid w:val="0008368B"/>
    <w:rsid w:val="000843B4"/>
    <w:rsid w:val="000875BF"/>
    <w:rsid w:val="00091A75"/>
    <w:rsid w:val="00096D8C"/>
    <w:rsid w:val="000C0B65"/>
    <w:rsid w:val="000C1DDC"/>
    <w:rsid w:val="000C7769"/>
    <w:rsid w:val="000D24E5"/>
    <w:rsid w:val="000D3B51"/>
    <w:rsid w:val="000E05FE"/>
    <w:rsid w:val="000E3D42"/>
    <w:rsid w:val="000E3E56"/>
    <w:rsid w:val="000E63A3"/>
    <w:rsid w:val="001106CE"/>
    <w:rsid w:val="0012068F"/>
    <w:rsid w:val="00122BD5"/>
    <w:rsid w:val="00123727"/>
    <w:rsid w:val="00133F79"/>
    <w:rsid w:val="00134D70"/>
    <w:rsid w:val="00150EC2"/>
    <w:rsid w:val="001559C6"/>
    <w:rsid w:val="00176453"/>
    <w:rsid w:val="00185412"/>
    <w:rsid w:val="00186128"/>
    <w:rsid w:val="00190B5A"/>
    <w:rsid w:val="00190E06"/>
    <w:rsid w:val="00194A66"/>
    <w:rsid w:val="001A2CFD"/>
    <w:rsid w:val="001A4977"/>
    <w:rsid w:val="001B0629"/>
    <w:rsid w:val="001B1E4D"/>
    <w:rsid w:val="001B7CB5"/>
    <w:rsid w:val="001C7D1A"/>
    <w:rsid w:val="001D6BCF"/>
    <w:rsid w:val="001D6FAF"/>
    <w:rsid w:val="001E01CA"/>
    <w:rsid w:val="001E1F1A"/>
    <w:rsid w:val="001E6D02"/>
    <w:rsid w:val="0021184D"/>
    <w:rsid w:val="00211B74"/>
    <w:rsid w:val="00222526"/>
    <w:rsid w:val="00224F67"/>
    <w:rsid w:val="00225FDA"/>
    <w:rsid w:val="00237B28"/>
    <w:rsid w:val="002421E3"/>
    <w:rsid w:val="0024517E"/>
    <w:rsid w:val="002550BF"/>
    <w:rsid w:val="002733C0"/>
    <w:rsid w:val="00275CF5"/>
    <w:rsid w:val="0028301F"/>
    <w:rsid w:val="00284551"/>
    <w:rsid w:val="00285017"/>
    <w:rsid w:val="002A2D2E"/>
    <w:rsid w:val="002A6949"/>
    <w:rsid w:val="002A7142"/>
    <w:rsid w:val="002B2EDB"/>
    <w:rsid w:val="002B6126"/>
    <w:rsid w:val="002B62C6"/>
    <w:rsid w:val="002C00E8"/>
    <w:rsid w:val="002D59F5"/>
    <w:rsid w:val="002E1E04"/>
    <w:rsid w:val="002F2AD7"/>
    <w:rsid w:val="002F5FDC"/>
    <w:rsid w:val="00300453"/>
    <w:rsid w:val="0031557C"/>
    <w:rsid w:val="00324221"/>
    <w:rsid w:val="00343749"/>
    <w:rsid w:val="0034608D"/>
    <w:rsid w:val="00365F02"/>
    <w:rsid w:val="003660ED"/>
    <w:rsid w:val="0038018A"/>
    <w:rsid w:val="00380F17"/>
    <w:rsid w:val="003956EF"/>
    <w:rsid w:val="003B0550"/>
    <w:rsid w:val="003B694F"/>
    <w:rsid w:val="003C7CEF"/>
    <w:rsid w:val="003D0065"/>
    <w:rsid w:val="003E2E91"/>
    <w:rsid w:val="003E58BA"/>
    <w:rsid w:val="003E680C"/>
    <w:rsid w:val="003F171C"/>
    <w:rsid w:val="00400CC3"/>
    <w:rsid w:val="00412FC5"/>
    <w:rsid w:val="00412FD1"/>
    <w:rsid w:val="00413F78"/>
    <w:rsid w:val="00417531"/>
    <w:rsid w:val="00421485"/>
    <w:rsid w:val="00422276"/>
    <w:rsid w:val="0042296E"/>
    <w:rsid w:val="004242F1"/>
    <w:rsid w:val="0043157A"/>
    <w:rsid w:val="00431C00"/>
    <w:rsid w:val="004441B1"/>
    <w:rsid w:val="00445A00"/>
    <w:rsid w:val="00446136"/>
    <w:rsid w:val="004501A6"/>
    <w:rsid w:val="00451B0F"/>
    <w:rsid w:val="00453585"/>
    <w:rsid w:val="0045792E"/>
    <w:rsid w:val="004817B7"/>
    <w:rsid w:val="0048414D"/>
    <w:rsid w:val="0049298E"/>
    <w:rsid w:val="004A55BD"/>
    <w:rsid w:val="004B084D"/>
    <w:rsid w:val="004B3B58"/>
    <w:rsid w:val="004B3DDB"/>
    <w:rsid w:val="004B61A0"/>
    <w:rsid w:val="004C2444"/>
    <w:rsid w:val="004C27ED"/>
    <w:rsid w:val="004C2EE3"/>
    <w:rsid w:val="004E33F9"/>
    <w:rsid w:val="004E34AC"/>
    <w:rsid w:val="004E4A22"/>
    <w:rsid w:val="00502600"/>
    <w:rsid w:val="0050468F"/>
    <w:rsid w:val="005112BA"/>
    <w:rsid w:val="00511968"/>
    <w:rsid w:val="005166EC"/>
    <w:rsid w:val="00520649"/>
    <w:rsid w:val="00530DB0"/>
    <w:rsid w:val="00532E93"/>
    <w:rsid w:val="00535933"/>
    <w:rsid w:val="00543DA5"/>
    <w:rsid w:val="00543E66"/>
    <w:rsid w:val="00546A00"/>
    <w:rsid w:val="00553C1D"/>
    <w:rsid w:val="0055614C"/>
    <w:rsid w:val="005801D4"/>
    <w:rsid w:val="005846B1"/>
    <w:rsid w:val="005D1EB2"/>
    <w:rsid w:val="005D384D"/>
    <w:rsid w:val="005E0F23"/>
    <w:rsid w:val="005E14C2"/>
    <w:rsid w:val="005F0C8F"/>
    <w:rsid w:val="005F1AF3"/>
    <w:rsid w:val="005F5E3C"/>
    <w:rsid w:val="00601469"/>
    <w:rsid w:val="00607BA5"/>
    <w:rsid w:val="0061180A"/>
    <w:rsid w:val="00613BAB"/>
    <w:rsid w:val="00613C8E"/>
    <w:rsid w:val="00621049"/>
    <w:rsid w:val="00626EB6"/>
    <w:rsid w:val="00630B91"/>
    <w:rsid w:val="00652EA9"/>
    <w:rsid w:val="00655D03"/>
    <w:rsid w:val="00667914"/>
    <w:rsid w:val="0067000F"/>
    <w:rsid w:val="00676C68"/>
    <w:rsid w:val="00683388"/>
    <w:rsid w:val="00683F84"/>
    <w:rsid w:val="00697ED0"/>
    <w:rsid w:val="006A09EF"/>
    <w:rsid w:val="006A6A81"/>
    <w:rsid w:val="006A7809"/>
    <w:rsid w:val="006B30AE"/>
    <w:rsid w:val="006C7585"/>
    <w:rsid w:val="006D014C"/>
    <w:rsid w:val="006D6290"/>
    <w:rsid w:val="006D7788"/>
    <w:rsid w:val="006F719F"/>
    <w:rsid w:val="006F7393"/>
    <w:rsid w:val="00701600"/>
    <w:rsid w:val="0070224F"/>
    <w:rsid w:val="00703CC1"/>
    <w:rsid w:val="007115F7"/>
    <w:rsid w:val="00712F74"/>
    <w:rsid w:val="00722EAF"/>
    <w:rsid w:val="00746588"/>
    <w:rsid w:val="00753C17"/>
    <w:rsid w:val="00755EA4"/>
    <w:rsid w:val="00760116"/>
    <w:rsid w:val="007668A1"/>
    <w:rsid w:val="00785689"/>
    <w:rsid w:val="00790840"/>
    <w:rsid w:val="00796ACB"/>
    <w:rsid w:val="0079754B"/>
    <w:rsid w:val="007A1E6D"/>
    <w:rsid w:val="007B0279"/>
    <w:rsid w:val="007B0EB2"/>
    <w:rsid w:val="007B7B23"/>
    <w:rsid w:val="007C3655"/>
    <w:rsid w:val="007C6653"/>
    <w:rsid w:val="007D31B6"/>
    <w:rsid w:val="007E6884"/>
    <w:rsid w:val="007F171C"/>
    <w:rsid w:val="00810B6F"/>
    <w:rsid w:val="00814350"/>
    <w:rsid w:val="00822CE0"/>
    <w:rsid w:val="00824424"/>
    <w:rsid w:val="00832067"/>
    <w:rsid w:val="008324FC"/>
    <w:rsid w:val="00841AB1"/>
    <w:rsid w:val="00871C2B"/>
    <w:rsid w:val="00874CFC"/>
    <w:rsid w:val="00880771"/>
    <w:rsid w:val="00882092"/>
    <w:rsid w:val="008827F7"/>
    <w:rsid w:val="00890E93"/>
    <w:rsid w:val="008910A4"/>
    <w:rsid w:val="008947B3"/>
    <w:rsid w:val="00894B56"/>
    <w:rsid w:val="0089503D"/>
    <w:rsid w:val="008A5A3D"/>
    <w:rsid w:val="008A7F4E"/>
    <w:rsid w:val="008B288E"/>
    <w:rsid w:val="008C025C"/>
    <w:rsid w:val="008C2266"/>
    <w:rsid w:val="008C360D"/>
    <w:rsid w:val="008C68F1"/>
    <w:rsid w:val="008D4E97"/>
    <w:rsid w:val="008E25A6"/>
    <w:rsid w:val="008F33F4"/>
    <w:rsid w:val="009068A5"/>
    <w:rsid w:val="00913FB2"/>
    <w:rsid w:val="00921803"/>
    <w:rsid w:val="00926503"/>
    <w:rsid w:val="00934730"/>
    <w:rsid w:val="00951436"/>
    <w:rsid w:val="00961A7E"/>
    <w:rsid w:val="00961F93"/>
    <w:rsid w:val="009649BA"/>
    <w:rsid w:val="00965455"/>
    <w:rsid w:val="00965C37"/>
    <w:rsid w:val="00966BC8"/>
    <w:rsid w:val="00971A11"/>
    <w:rsid w:val="009726D8"/>
    <w:rsid w:val="0097327D"/>
    <w:rsid w:val="00974DCF"/>
    <w:rsid w:val="009A2FC4"/>
    <w:rsid w:val="009A4FC2"/>
    <w:rsid w:val="009B169D"/>
    <w:rsid w:val="009B365C"/>
    <w:rsid w:val="009B71A1"/>
    <w:rsid w:val="009C10C8"/>
    <w:rsid w:val="009C10F0"/>
    <w:rsid w:val="009D5B9B"/>
    <w:rsid w:val="009E03C6"/>
    <w:rsid w:val="009E04D8"/>
    <w:rsid w:val="009E61E0"/>
    <w:rsid w:val="009F4391"/>
    <w:rsid w:val="009F76DB"/>
    <w:rsid w:val="00A039BB"/>
    <w:rsid w:val="00A04209"/>
    <w:rsid w:val="00A0463C"/>
    <w:rsid w:val="00A15116"/>
    <w:rsid w:val="00A15D16"/>
    <w:rsid w:val="00A2417C"/>
    <w:rsid w:val="00A32C3B"/>
    <w:rsid w:val="00A35555"/>
    <w:rsid w:val="00A45F4F"/>
    <w:rsid w:val="00A46D77"/>
    <w:rsid w:val="00A600A9"/>
    <w:rsid w:val="00A6060D"/>
    <w:rsid w:val="00A81598"/>
    <w:rsid w:val="00A96AE3"/>
    <w:rsid w:val="00A97419"/>
    <w:rsid w:val="00AA330F"/>
    <w:rsid w:val="00AA55B7"/>
    <w:rsid w:val="00AA5B44"/>
    <w:rsid w:val="00AA5B9E"/>
    <w:rsid w:val="00AA78BE"/>
    <w:rsid w:val="00AB2407"/>
    <w:rsid w:val="00AB53DF"/>
    <w:rsid w:val="00AB72D7"/>
    <w:rsid w:val="00AB7525"/>
    <w:rsid w:val="00AC492A"/>
    <w:rsid w:val="00AD00B4"/>
    <w:rsid w:val="00AD0166"/>
    <w:rsid w:val="00AE40B2"/>
    <w:rsid w:val="00AF5F9B"/>
    <w:rsid w:val="00B07E5C"/>
    <w:rsid w:val="00B10803"/>
    <w:rsid w:val="00B124DA"/>
    <w:rsid w:val="00B126E9"/>
    <w:rsid w:val="00B255E6"/>
    <w:rsid w:val="00B278E4"/>
    <w:rsid w:val="00B31761"/>
    <w:rsid w:val="00B344D2"/>
    <w:rsid w:val="00B40ADD"/>
    <w:rsid w:val="00B57453"/>
    <w:rsid w:val="00B574BE"/>
    <w:rsid w:val="00B6405B"/>
    <w:rsid w:val="00B65505"/>
    <w:rsid w:val="00B65EE5"/>
    <w:rsid w:val="00B71798"/>
    <w:rsid w:val="00B73A39"/>
    <w:rsid w:val="00B775C8"/>
    <w:rsid w:val="00B811F7"/>
    <w:rsid w:val="00B81EB2"/>
    <w:rsid w:val="00B87CE5"/>
    <w:rsid w:val="00BA262A"/>
    <w:rsid w:val="00BA576A"/>
    <w:rsid w:val="00BA5DC6"/>
    <w:rsid w:val="00BA6196"/>
    <w:rsid w:val="00BA728E"/>
    <w:rsid w:val="00BB0091"/>
    <w:rsid w:val="00BC12D4"/>
    <w:rsid w:val="00BC6D8C"/>
    <w:rsid w:val="00BD1B49"/>
    <w:rsid w:val="00BD4D2C"/>
    <w:rsid w:val="00BD70DB"/>
    <w:rsid w:val="00BE56BD"/>
    <w:rsid w:val="00BE6B72"/>
    <w:rsid w:val="00BE7079"/>
    <w:rsid w:val="00BE7E90"/>
    <w:rsid w:val="00C01D96"/>
    <w:rsid w:val="00C17A49"/>
    <w:rsid w:val="00C26370"/>
    <w:rsid w:val="00C34006"/>
    <w:rsid w:val="00C426B1"/>
    <w:rsid w:val="00C573C6"/>
    <w:rsid w:val="00C66160"/>
    <w:rsid w:val="00C67BBA"/>
    <w:rsid w:val="00C721AC"/>
    <w:rsid w:val="00C745ED"/>
    <w:rsid w:val="00C8017E"/>
    <w:rsid w:val="00C90D6A"/>
    <w:rsid w:val="00C91746"/>
    <w:rsid w:val="00CA247E"/>
    <w:rsid w:val="00CB33CC"/>
    <w:rsid w:val="00CB4FDB"/>
    <w:rsid w:val="00CC3AB6"/>
    <w:rsid w:val="00CC64DF"/>
    <w:rsid w:val="00CC72B6"/>
    <w:rsid w:val="00CD0F18"/>
    <w:rsid w:val="00CE6582"/>
    <w:rsid w:val="00CF73C3"/>
    <w:rsid w:val="00D01A2D"/>
    <w:rsid w:val="00D0218D"/>
    <w:rsid w:val="00D06F6F"/>
    <w:rsid w:val="00D12A2B"/>
    <w:rsid w:val="00D12C60"/>
    <w:rsid w:val="00D21DC9"/>
    <w:rsid w:val="00D24EDF"/>
    <w:rsid w:val="00D25FB5"/>
    <w:rsid w:val="00D302E0"/>
    <w:rsid w:val="00D31A74"/>
    <w:rsid w:val="00D44223"/>
    <w:rsid w:val="00D51CE6"/>
    <w:rsid w:val="00D53887"/>
    <w:rsid w:val="00D6401E"/>
    <w:rsid w:val="00D721EE"/>
    <w:rsid w:val="00D80AD3"/>
    <w:rsid w:val="00D821CA"/>
    <w:rsid w:val="00D84DE6"/>
    <w:rsid w:val="00DA2529"/>
    <w:rsid w:val="00DB130A"/>
    <w:rsid w:val="00DB1A54"/>
    <w:rsid w:val="00DB2EBB"/>
    <w:rsid w:val="00DB3848"/>
    <w:rsid w:val="00DC01A3"/>
    <w:rsid w:val="00DC10A1"/>
    <w:rsid w:val="00DC45D2"/>
    <w:rsid w:val="00DC52E3"/>
    <w:rsid w:val="00DC587C"/>
    <w:rsid w:val="00DC655F"/>
    <w:rsid w:val="00DD0B59"/>
    <w:rsid w:val="00DD0FF2"/>
    <w:rsid w:val="00DD2633"/>
    <w:rsid w:val="00DD2E3B"/>
    <w:rsid w:val="00DD7EBD"/>
    <w:rsid w:val="00DE5D0E"/>
    <w:rsid w:val="00DE77C1"/>
    <w:rsid w:val="00DE7DB0"/>
    <w:rsid w:val="00DF62B6"/>
    <w:rsid w:val="00E07225"/>
    <w:rsid w:val="00E21F00"/>
    <w:rsid w:val="00E22703"/>
    <w:rsid w:val="00E23AEC"/>
    <w:rsid w:val="00E27566"/>
    <w:rsid w:val="00E31DCE"/>
    <w:rsid w:val="00E4389F"/>
    <w:rsid w:val="00E5409F"/>
    <w:rsid w:val="00E546EF"/>
    <w:rsid w:val="00E619B5"/>
    <w:rsid w:val="00E62D71"/>
    <w:rsid w:val="00E659B1"/>
    <w:rsid w:val="00E67242"/>
    <w:rsid w:val="00EB2B7C"/>
    <w:rsid w:val="00EB6863"/>
    <w:rsid w:val="00EC3117"/>
    <w:rsid w:val="00EC45B9"/>
    <w:rsid w:val="00EC6495"/>
    <w:rsid w:val="00ED661D"/>
    <w:rsid w:val="00ED78D3"/>
    <w:rsid w:val="00ED7B1D"/>
    <w:rsid w:val="00EE016C"/>
    <w:rsid w:val="00EE6488"/>
    <w:rsid w:val="00EE6555"/>
    <w:rsid w:val="00F021FA"/>
    <w:rsid w:val="00F1181F"/>
    <w:rsid w:val="00F1743A"/>
    <w:rsid w:val="00F3147B"/>
    <w:rsid w:val="00F31C0E"/>
    <w:rsid w:val="00F31D31"/>
    <w:rsid w:val="00F323F7"/>
    <w:rsid w:val="00F329DC"/>
    <w:rsid w:val="00F3496C"/>
    <w:rsid w:val="00F40556"/>
    <w:rsid w:val="00F47BA0"/>
    <w:rsid w:val="00F505E6"/>
    <w:rsid w:val="00F50F1F"/>
    <w:rsid w:val="00F62E97"/>
    <w:rsid w:val="00F64209"/>
    <w:rsid w:val="00F64BC2"/>
    <w:rsid w:val="00F755E4"/>
    <w:rsid w:val="00F837A7"/>
    <w:rsid w:val="00F85DD7"/>
    <w:rsid w:val="00F91063"/>
    <w:rsid w:val="00F93BF5"/>
    <w:rsid w:val="00F956FC"/>
    <w:rsid w:val="00F97392"/>
    <w:rsid w:val="00FA4E95"/>
    <w:rsid w:val="00FA536A"/>
    <w:rsid w:val="00FC44AD"/>
    <w:rsid w:val="00FC6100"/>
    <w:rsid w:val="00FC6BF2"/>
    <w:rsid w:val="00FC74FF"/>
    <w:rsid w:val="00FC7B9D"/>
    <w:rsid w:val="00FE2E04"/>
    <w:rsid w:val="00FE3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EA6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E93"/>
    <w:pPr>
      <w:widowControl w:val="0"/>
    </w:pPr>
    <w:rPr>
      <w:snapToGrid w:val="0"/>
      <w:kern w:val="28"/>
      <w:sz w:val="22"/>
    </w:rPr>
  </w:style>
  <w:style w:type="paragraph" w:styleId="Heading1">
    <w:name w:val="heading 1"/>
    <w:basedOn w:val="Normal"/>
    <w:next w:val="ParaNum"/>
    <w:qFormat/>
    <w:rsid w:val="00890E9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90E93"/>
    <w:pPr>
      <w:keepNext/>
      <w:numPr>
        <w:ilvl w:val="1"/>
        <w:numId w:val="3"/>
      </w:numPr>
      <w:spacing w:after="120"/>
      <w:outlineLvl w:val="1"/>
    </w:pPr>
    <w:rPr>
      <w:b/>
    </w:rPr>
  </w:style>
  <w:style w:type="paragraph" w:styleId="Heading3">
    <w:name w:val="heading 3"/>
    <w:basedOn w:val="Normal"/>
    <w:next w:val="ParaNum"/>
    <w:qFormat/>
    <w:rsid w:val="00890E93"/>
    <w:pPr>
      <w:keepNext/>
      <w:numPr>
        <w:ilvl w:val="2"/>
        <w:numId w:val="3"/>
      </w:numPr>
      <w:tabs>
        <w:tab w:val="left" w:pos="2160"/>
      </w:tabs>
      <w:spacing w:after="120"/>
      <w:outlineLvl w:val="2"/>
    </w:pPr>
    <w:rPr>
      <w:b/>
    </w:rPr>
  </w:style>
  <w:style w:type="paragraph" w:styleId="Heading4">
    <w:name w:val="heading 4"/>
    <w:basedOn w:val="Normal"/>
    <w:next w:val="ParaNum"/>
    <w:qFormat/>
    <w:rsid w:val="00890E93"/>
    <w:pPr>
      <w:keepNext/>
      <w:numPr>
        <w:ilvl w:val="3"/>
        <w:numId w:val="3"/>
      </w:numPr>
      <w:tabs>
        <w:tab w:val="left" w:pos="2880"/>
      </w:tabs>
      <w:spacing w:after="120"/>
      <w:outlineLvl w:val="3"/>
    </w:pPr>
    <w:rPr>
      <w:b/>
    </w:rPr>
  </w:style>
  <w:style w:type="paragraph" w:styleId="Heading5">
    <w:name w:val="heading 5"/>
    <w:basedOn w:val="Normal"/>
    <w:next w:val="ParaNum"/>
    <w:qFormat/>
    <w:rsid w:val="00890E9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90E93"/>
    <w:pPr>
      <w:numPr>
        <w:ilvl w:val="5"/>
        <w:numId w:val="3"/>
      </w:numPr>
      <w:tabs>
        <w:tab w:val="left" w:pos="4320"/>
      </w:tabs>
      <w:spacing w:after="120"/>
      <w:outlineLvl w:val="5"/>
    </w:pPr>
    <w:rPr>
      <w:b/>
    </w:rPr>
  </w:style>
  <w:style w:type="paragraph" w:styleId="Heading7">
    <w:name w:val="heading 7"/>
    <w:basedOn w:val="Normal"/>
    <w:next w:val="ParaNum"/>
    <w:qFormat/>
    <w:rsid w:val="00890E9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90E9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90E9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90E9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0E93"/>
  </w:style>
  <w:style w:type="paragraph" w:customStyle="1" w:styleId="ParaNum">
    <w:name w:val="ParaNum"/>
    <w:basedOn w:val="Normal"/>
    <w:link w:val="ParaNumChar"/>
    <w:rsid w:val="00890E93"/>
    <w:pPr>
      <w:numPr>
        <w:numId w:val="2"/>
      </w:numPr>
      <w:tabs>
        <w:tab w:val="clear" w:pos="1080"/>
        <w:tab w:val="num" w:pos="1440"/>
      </w:tabs>
      <w:spacing w:after="120"/>
    </w:pPr>
  </w:style>
  <w:style w:type="paragraph" w:styleId="EndnoteText">
    <w:name w:val="endnote text"/>
    <w:basedOn w:val="Normal"/>
    <w:semiHidden/>
    <w:rsid w:val="00890E93"/>
    <w:rPr>
      <w:sz w:val="20"/>
    </w:rPr>
  </w:style>
  <w:style w:type="character" w:styleId="EndnoteReference">
    <w:name w:val="endnote reference"/>
    <w:semiHidden/>
    <w:rsid w:val="00890E93"/>
    <w:rPr>
      <w:vertAlign w:val="superscript"/>
    </w:rPr>
  </w:style>
  <w:style w:type="paragraph" w:styleId="FootnoteText">
    <w:name w:val="footnote text"/>
    <w:aliases w:val="rrfootnote,Footnote Text Char1,Footnote Text Char Char,rrfootnote Char Char,Footnote Text Char1 Char Char,Footnote Text Char Char Char Char,rrfootnote Char Char Char Char,rrfootnote Char1 Char Char,Footnote Text Char2 Char,Footnote Text Ch"/>
    <w:link w:val="FootnoteTextChar"/>
    <w:rsid w:val="00890E93"/>
    <w:pPr>
      <w:spacing w:after="120"/>
    </w:pPr>
  </w:style>
  <w:style w:type="character" w:styleId="FootnoteReference">
    <w:name w:val="footnote reference"/>
    <w:aliases w:val="Style 12,(NECG) Footnote Reference,Appel note de bas de p,Style 124,o,fr,Style 3,Style 13"/>
    <w:rsid w:val="00890E93"/>
    <w:rPr>
      <w:rFonts w:ascii="Times New Roman" w:hAnsi="Times New Roman"/>
      <w:dstrike w:val="0"/>
      <w:color w:val="auto"/>
      <w:sz w:val="20"/>
      <w:vertAlign w:val="superscript"/>
    </w:rPr>
  </w:style>
  <w:style w:type="paragraph" w:styleId="TOC1">
    <w:name w:val="toc 1"/>
    <w:basedOn w:val="Normal"/>
    <w:next w:val="Normal"/>
    <w:semiHidden/>
    <w:rsid w:val="00890E9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90E93"/>
    <w:pPr>
      <w:tabs>
        <w:tab w:val="left" w:pos="720"/>
        <w:tab w:val="right" w:leader="dot" w:pos="9360"/>
      </w:tabs>
      <w:suppressAutoHyphens/>
      <w:ind w:left="720" w:right="720" w:hanging="360"/>
    </w:pPr>
    <w:rPr>
      <w:noProof/>
    </w:rPr>
  </w:style>
  <w:style w:type="paragraph" w:styleId="TOC3">
    <w:name w:val="toc 3"/>
    <w:basedOn w:val="Normal"/>
    <w:next w:val="Normal"/>
    <w:semiHidden/>
    <w:rsid w:val="00890E9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90E9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90E9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90E9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90E9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90E9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90E9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90E93"/>
    <w:pPr>
      <w:tabs>
        <w:tab w:val="right" w:pos="9360"/>
      </w:tabs>
      <w:suppressAutoHyphens/>
    </w:pPr>
  </w:style>
  <w:style w:type="character" w:customStyle="1" w:styleId="EquationCaption">
    <w:name w:val="_Equation Caption"/>
    <w:rsid w:val="00890E93"/>
  </w:style>
  <w:style w:type="paragraph" w:styleId="Header">
    <w:name w:val="header"/>
    <w:basedOn w:val="Normal"/>
    <w:autoRedefine/>
    <w:rsid w:val="00890E93"/>
    <w:pPr>
      <w:tabs>
        <w:tab w:val="center" w:pos="4680"/>
        <w:tab w:val="right" w:pos="9360"/>
      </w:tabs>
    </w:pPr>
    <w:rPr>
      <w:b/>
    </w:rPr>
  </w:style>
  <w:style w:type="paragraph" w:styleId="Footer">
    <w:name w:val="footer"/>
    <w:basedOn w:val="Normal"/>
    <w:rsid w:val="00890E93"/>
    <w:pPr>
      <w:tabs>
        <w:tab w:val="center" w:pos="4320"/>
        <w:tab w:val="right" w:pos="8640"/>
      </w:tabs>
    </w:pPr>
  </w:style>
  <w:style w:type="character" w:styleId="PageNumber">
    <w:name w:val="page number"/>
    <w:basedOn w:val="DefaultParagraphFont"/>
    <w:rsid w:val="00890E93"/>
  </w:style>
  <w:style w:type="paragraph" w:styleId="BlockText">
    <w:name w:val="Block Text"/>
    <w:basedOn w:val="Normal"/>
    <w:rsid w:val="00890E93"/>
    <w:pPr>
      <w:spacing w:after="240"/>
      <w:ind w:left="1440" w:right="1440"/>
    </w:pPr>
  </w:style>
  <w:style w:type="paragraph" w:customStyle="1" w:styleId="Paratitle">
    <w:name w:val="Para title"/>
    <w:basedOn w:val="Normal"/>
    <w:rsid w:val="00890E93"/>
    <w:pPr>
      <w:tabs>
        <w:tab w:val="center" w:pos="9270"/>
      </w:tabs>
      <w:spacing w:after="240"/>
    </w:pPr>
    <w:rPr>
      <w:spacing w:val="-2"/>
    </w:rPr>
  </w:style>
  <w:style w:type="paragraph" w:customStyle="1" w:styleId="Bullet">
    <w:name w:val="Bullet"/>
    <w:basedOn w:val="Normal"/>
    <w:rsid w:val="00890E93"/>
    <w:pPr>
      <w:tabs>
        <w:tab w:val="left" w:pos="2160"/>
      </w:tabs>
      <w:spacing w:after="220"/>
      <w:ind w:left="2160" w:hanging="720"/>
    </w:pPr>
  </w:style>
  <w:style w:type="paragraph" w:customStyle="1" w:styleId="TableFormat">
    <w:name w:val="TableFormat"/>
    <w:basedOn w:val="Bullet"/>
    <w:rsid w:val="00890E93"/>
    <w:pPr>
      <w:tabs>
        <w:tab w:val="clear" w:pos="2160"/>
        <w:tab w:val="left" w:pos="5040"/>
      </w:tabs>
      <w:ind w:left="5040" w:hanging="3600"/>
    </w:pPr>
  </w:style>
  <w:style w:type="paragraph" w:customStyle="1" w:styleId="TOCTitle">
    <w:name w:val="TOC Title"/>
    <w:basedOn w:val="Normal"/>
    <w:rsid w:val="00890E9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90E93"/>
    <w:pPr>
      <w:jc w:val="center"/>
    </w:pPr>
    <w:rPr>
      <w:rFonts w:ascii="Times New Roman Bold" w:hAnsi="Times New Roman Bold"/>
      <w:b/>
      <w:bCs/>
      <w:caps/>
      <w:szCs w:val="22"/>
    </w:rPr>
  </w:style>
  <w:style w:type="character" w:styleId="Hyperlink">
    <w:name w:val="Hyperlink"/>
    <w:rsid w:val="00890E93"/>
    <w:rPr>
      <w:color w:val="0000FF"/>
      <w:u w:val="single"/>
    </w:rPr>
  </w:style>
  <w:style w:type="character" w:customStyle="1" w:styleId="FootnoteTextChar">
    <w:name w:val="Footnote Text Char"/>
    <w:aliases w:val="rrfootnote Char,Footnote Text Char1 Char,Footnote Text Char Char Char,rrfootnote Char Char Char,Footnote Text Char1 Char Char Char,Footnote Text Char Char Char Char Char,rrfootnote Char Char Char Char Char,Footnote Text Ch Char"/>
    <w:basedOn w:val="DefaultParagraphFont"/>
    <w:link w:val="FootnoteText"/>
    <w:rsid w:val="00871C2B"/>
  </w:style>
  <w:style w:type="character" w:customStyle="1" w:styleId="FootnoteTextChar3CharChar">
    <w:name w:val="Footnote Text Char3 Char Char"/>
    <w:aliases w:val="Footnote Text Char2 Char Char Char,Footnote Text Char1 Char Char Char Char,Footnote Text Char7 Char Char Char Char Char,Footnote Text Char4 Char1 Char Char Char Char Char"/>
    <w:rsid w:val="00025AEB"/>
  </w:style>
  <w:style w:type="character" w:customStyle="1" w:styleId="ParaNumChar">
    <w:name w:val="ParaNum Char"/>
    <w:link w:val="ParaNum"/>
    <w:rsid w:val="00025AEB"/>
    <w:rPr>
      <w:snapToGrid w:val="0"/>
      <w:kern w:val="28"/>
      <w:sz w:val="22"/>
    </w:rPr>
  </w:style>
  <w:style w:type="character" w:customStyle="1" w:styleId="term1">
    <w:name w:val="term1"/>
    <w:basedOn w:val="DefaultParagraphFont"/>
    <w:rsid w:val="00025AEB"/>
    <w:rPr>
      <w:b/>
      <w:bCs/>
    </w:rPr>
  </w:style>
  <w:style w:type="character" w:styleId="CommentReference">
    <w:name w:val="annotation reference"/>
    <w:basedOn w:val="DefaultParagraphFont"/>
    <w:rsid w:val="00EC45B9"/>
    <w:rPr>
      <w:sz w:val="16"/>
      <w:szCs w:val="16"/>
    </w:rPr>
  </w:style>
  <w:style w:type="paragraph" w:styleId="CommentText">
    <w:name w:val="annotation text"/>
    <w:basedOn w:val="Normal"/>
    <w:link w:val="CommentTextChar"/>
    <w:rsid w:val="004B084D"/>
    <w:rPr>
      <w:sz w:val="20"/>
    </w:rPr>
  </w:style>
  <w:style w:type="character" w:customStyle="1" w:styleId="CommentTextChar">
    <w:name w:val="Comment Text Char"/>
    <w:basedOn w:val="DefaultParagraphFont"/>
    <w:link w:val="CommentText"/>
    <w:rsid w:val="004B084D"/>
    <w:rPr>
      <w:snapToGrid w:val="0"/>
      <w:kern w:val="28"/>
    </w:rPr>
  </w:style>
  <w:style w:type="paragraph" w:styleId="CommentSubject">
    <w:name w:val="annotation subject"/>
    <w:basedOn w:val="CommentText"/>
    <w:next w:val="CommentText"/>
    <w:link w:val="CommentSubjectChar"/>
    <w:rsid w:val="004B084D"/>
    <w:rPr>
      <w:b/>
      <w:bCs/>
    </w:rPr>
  </w:style>
  <w:style w:type="character" w:customStyle="1" w:styleId="CommentSubjectChar">
    <w:name w:val="Comment Subject Char"/>
    <w:basedOn w:val="CommentTextChar"/>
    <w:link w:val="CommentSubject"/>
    <w:rsid w:val="004B084D"/>
    <w:rPr>
      <w:b/>
      <w:bCs/>
      <w:snapToGrid w:val="0"/>
      <w:kern w:val="28"/>
    </w:rPr>
  </w:style>
  <w:style w:type="paragraph" w:styleId="BalloonText">
    <w:name w:val="Balloon Text"/>
    <w:basedOn w:val="Normal"/>
    <w:link w:val="BalloonTextChar"/>
    <w:rsid w:val="004B084D"/>
    <w:rPr>
      <w:rFonts w:ascii="Tahoma" w:hAnsi="Tahoma" w:cs="Tahoma"/>
      <w:sz w:val="16"/>
      <w:szCs w:val="16"/>
    </w:rPr>
  </w:style>
  <w:style w:type="character" w:customStyle="1" w:styleId="BalloonTextChar">
    <w:name w:val="Balloon Text Char"/>
    <w:basedOn w:val="DefaultParagraphFont"/>
    <w:link w:val="BalloonText"/>
    <w:rsid w:val="004B084D"/>
    <w:rPr>
      <w:rFonts w:ascii="Tahoma" w:hAnsi="Tahoma" w:cs="Tahoma"/>
      <w:snapToGrid w:val="0"/>
      <w:kern w:val="28"/>
      <w:sz w:val="16"/>
      <w:szCs w:val="16"/>
    </w:rPr>
  </w:style>
  <w:style w:type="paragraph" w:styleId="Revision">
    <w:name w:val="Revision"/>
    <w:hidden/>
    <w:uiPriority w:val="99"/>
    <w:semiHidden/>
    <w:rsid w:val="00532E93"/>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E93"/>
    <w:pPr>
      <w:widowControl w:val="0"/>
    </w:pPr>
    <w:rPr>
      <w:snapToGrid w:val="0"/>
      <w:kern w:val="28"/>
      <w:sz w:val="22"/>
    </w:rPr>
  </w:style>
  <w:style w:type="paragraph" w:styleId="Heading1">
    <w:name w:val="heading 1"/>
    <w:basedOn w:val="Normal"/>
    <w:next w:val="ParaNum"/>
    <w:qFormat/>
    <w:rsid w:val="00890E9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90E93"/>
    <w:pPr>
      <w:keepNext/>
      <w:numPr>
        <w:ilvl w:val="1"/>
        <w:numId w:val="3"/>
      </w:numPr>
      <w:spacing w:after="120"/>
      <w:outlineLvl w:val="1"/>
    </w:pPr>
    <w:rPr>
      <w:b/>
    </w:rPr>
  </w:style>
  <w:style w:type="paragraph" w:styleId="Heading3">
    <w:name w:val="heading 3"/>
    <w:basedOn w:val="Normal"/>
    <w:next w:val="ParaNum"/>
    <w:qFormat/>
    <w:rsid w:val="00890E93"/>
    <w:pPr>
      <w:keepNext/>
      <w:numPr>
        <w:ilvl w:val="2"/>
        <w:numId w:val="3"/>
      </w:numPr>
      <w:tabs>
        <w:tab w:val="left" w:pos="2160"/>
      </w:tabs>
      <w:spacing w:after="120"/>
      <w:outlineLvl w:val="2"/>
    </w:pPr>
    <w:rPr>
      <w:b/>
    </w:rPr>
  </w:style>
  <w:style w:type="paragraph" w:styleId="Heading4">
    <w:name w:val="heading 4"/>
    <w:basedOn w:val="Normal"/>
    <w:next w:val="ParaNum"/>
    <w:qFormat/>
    <w:rsid w:val="00890E93"/>
    <w:pPr>
      <w:keepNext/>
      <w:numPr>
        <w:ilvl w:val="3"/>
        <w:numId w:val="3"/>
      </w:numPr>
      <w:tabs>
        <w:tab w:val="left" w:pos="2880"/>
      </w:tabs>
      <w:spacing w:after="120"/>
      <w:outlineLvl w:val="3"/>
    </w:pPr>
    <w:rPr>
      <w:b/>
    </w:rPr>
  </w:style>
  <w:style w:type="paragraph" w:styleId="Heading5">
    <w:name w:val="heading 5"/>
    <w:basedOn w:val="Normal"/>
    <w:next w:val="ParaNum"/>
    <w:qFormat/>
    <w:rsid w:val="00890E9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90E93"/>
    <w:pPr>
      <w:numPr>
        <w:ilvl w:val="5"/>
        <w:numId w:val="3"/>
      </w:numPr>
      <w:tabs>
        <w:tab w:val="left" w:pos="4320"/>
      </w:tabs>
      <w:spacing w:after="120"/>
      <w:outlineLvl w:val="5"/>
    </w:pPr>
    <w:rPr>
      <w:b/>
    </w:rPr>
  </w:style>
  <w:style w:type="paragraph" w:styleId="Heading7">
    <w:name w:val="heading 7"/>
    <w:basedOn w:val="Normal"/>
    <w:next w:val="ParaNum"/>
    <w:qFormat/>
    <w:rsid w:val="00890E9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90E9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90E9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90E9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0E93"/>
  </w:style>
  <w:style w:type="paragraph" w:customStyle="1" w:styleId="ParaNum">
    <w:name w:val="ParaNum"/>
    <w:basedOn w:val="Normal"/>
    <w:link w:val="ParaNumChar"/>
    <w:rsid w:val="00890E93"/>
    <w:pPr>
      <w:numPr>
        <w:numId w:val="2"/>
      </w:numPr>
      <w:tabs>
        <w:tab w:val="clear" w:pos="1080"/>
        <w:tab w:val="num" w:pos="1440"/>
      </w:tabs>
      <w:spacing w:after="120"/>
    </w:pPr>
  </w:style>
  <w:style w:type="paragraph" w:styleId="EndnoteText">
    <w:name w:val="endnote text"/>
    <w:basedOn w:val="Normal"/>
    <w:semiHidden/>
    <w:rsid w:val="00890E93"/>
    <w:rPr>
      <w:sz w:val="20"/>
    </w:rPr>
  </w:style>
  <w:style w:type="character" w:styleId="EndnoteReference">
    <w:name w:val="endnote reference"/>
    <w:semiHidden/>
    <w:rsid w:val="00890E93"/>
    <w:rPr>
      <w:vertAlign w:val="superscript"/>
    </w:rPr>
  </w:style>
  <w:style w:type="paragraph" w:styleId="FootnoteText">
    <w:name w:val="footnote text"/>
    <w:aliases w:val="rrfootnote,Footnote Text Char1,Footnote Text Char Char,rrfootnote Char Char,Footnote Text Char1 Char Char,Footnote Text Char Char Char Char,rrfootnote Char Char Char Char,rrfootnote Char1 Char Char,Footnote Text Char2 Char,Footnote Text Ch"/>
    <w:link w:val="FootnoteTextChar"/>
    <w:rsid w:val="00890E93"/>
    <w:pPr>
      <w:spacing w:after="120"/>
    </w:pPr>
  </w:style>
  <w:style w:type="character" w:styleId="FootnoteReference">
    <w:name w:val="footnote reference"/>
    <w:aliases w:val="Style 12,(NECG) Footnote Reference,Appel note de bas de p,Style 124,o,fr,Style 3,Style 13"/>
    <w:rsid w:val="00890E93"/>
    <w:rPr>
      <w:rFonts w:ascii="Times New Roman" w:hAnsi="Times New Roman"/>
      <w:dstrike w:val="0"/>
      <w:color w:val="auto"/>
      <w:sz w:val="20"/>
      <w:vertAlign w:val="superscript"/>
    </w:rPr>
  </w:style>
  <w:style w:type="paragraph" w:styleId="TOC1">
    <w:name w:val="toc 1"/>
    <w:basedOn w:val="Normal"/>
    <w:next w:val="Normal"/>
    <w:semiHidden/>
    <w:rsid w:val="00890E9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90E93"/>
    <w:pPr>
      <w:tabs>
        <w:tab w:val="left" w:pos="720"/>
        <w:tab w:val="right" w:leader="dot" w:pos="9360"/>
      </w:tabs>
      <w:suppressAutoHyphens/>
      <w:ind w:left="720" w:right="720" w:hanging="360"/>
    </w:pPr>
    <w:rPr>
      <w:noProof/>
    </w:rPr>
  </w:style>
  <w:style w:type="paragraph" w:styleId="TOC3">
    <w:name w:val="toc 3"/>
    <w:basedOn w:val="Normal"/>
    <w:next w:val="Normal"/>
    <w:semiHidden/>
    <w:rsid w:val="00890E9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90E9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90E9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90E9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90E9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90E9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90E9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90E93"/>
    <w:pPr>
      <w:tabs>
        <w:tab w:val="right" w:pos="9360"/>
      </w:tabs>
      <w:suppressAutoHyphens/>
    </w:pPr>
  </w:style>
  <w:style w:type="character" w:customStyle="1" w:styleId="EquationCaption">
    <w:name w:val="_Equation Caption"/>
    <w:rsid w:val="00890E93"/>
  </w:style>
  <w:style w:type="paragraph" w:styleId="Header">
    <w:name w:val="header"/>
    <w:basedOn w:val="Normal"/>
    <w:autoRedefine/>
    <w:rsid w:val="00890E93"/>
    <w:pPr>
      <w:tabs>
        <w:tab w:val="center" w:pos="4680"/>
        <w:tab w:val="right" w:pos="9360"/>
      </w:tabs>
    </w:pPr>
    <w:rPr>
      <w:b/>
    </w:rPr>
  </w:style>
  <w:style w:type="paragraph" w:styleId="Footer">
    <w:name w:val="footer"/>
    <w:basedOn w:val="Normal"/>
    <w:rsid w:val="00890E93"/>
    <w:pPr>
      <w:tabs>
        <w:tab w:val="center" w:pos="4320"/>
        <w:tab w:val="right" w:pos="8640"/>
      </w:tabs>
    </w:pPr>
  </w:style>
  <w:style w:type="character" w:styleId="PageNumber">
    <w:name w:val="page number"/>
    <w:basedOn w:val="DefaultParagraphFont"/>
    <w:rsid w:val="00890E93"/>
  </w:style>
  <w:style w:type="paragraph" w:styleId="BlockText">
    <w:name w:val="Block Text"/>
    <w:basedOn w:val="Normal"/>
    <w:rsid w:val="00890E93"/>
    <w:pPr>
      <w:spacing w:after="240"/>
      <w:ind w:left="1440" w:right="1440"/>
    </w:pPr>
  </w:style>
  <w:style w:type="paragraph" w:customStyle="1" w:styleId="Paratitle">
    <w:name w:val="Para title"/>
    <w:basedOn w:val="Normal"/>
    <w:rsid w:val="00890E93"/>
    <w:pPr>
      <w:tabs>
        <w:tab w:val="center" w:pos="9270"/>
      </w:tabs>
      <w:spacing w:after="240"/>
    </w:pPr>
    <w:rPr>
      <w:spacing w:val="-2"/>
    </w:rPr>
  </w:style>
  <w:style w:type="paragraph" w:customStyle="1" w:styleId="Bullet">
    <w:name w:val="Bullet"/>
    <w:basedOn w:val="Normal"/>
    <w:rsid w:val="00890E93"/>
    <w:pPr>
      <w:tabs>
        <w:tab w:val="left" w:pos="2160"/>
      </w:tabs>
      <w:spacing w:after="220"/>
      <w:ind w:left="2160" w:hanging="720"/>
    </w:pPr>
  </w:style>
  <w:style w:type="paragraph" w:customStyle="1" w:styleId="TableFormat">
    <w:name w:val="TableFormat"/>
    <w:basedOn w:val="Bullet"/>
    <w:rsid w:val="00890E93"/>
    <w:pPr>
      <w:tabs>
        <w:tab w:val="clear" w:pos="2160"/>
        <w:tab w:val="left" w:pos="5040"/>
      </w:tabs>
      <w:ind w:left="5040" w:hanging="3600"/>
    </w:pPr>
  </w:style>
  <w:style w:type="paragraph" w:customStyle="1" w:styleId="TOCTitle">
    <w:name w:val="TOC Title"/>
    <w:basedOn w:val="Normal"/>
    <w:rsid w:val="00890E9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90E93"/>
    <w:pPr>
      <w:jc w:val="center"/>
    </w:pPr>
    <w:rPr>
      <w:rFonts w:ascii="Times New Roman Bold" w:hAnsi="Times New Roman Bold"/>
      <w:b/>
      <w:bCs/>
      <w:caps/>
      <w:szCs w:val="22"/>
    </w:rPr>
  </w:style>
  <w:style w:type="character" w:styleId="Hyperlink">
    <w:name w:val="Hyperlink"/>
    <w:rsid w:val="00890E93"/>
    <w:rPr>
      <w:color w:val="0000FF"/>
      <w:u w:val="single"/>
    </w:rPr>
  </w:style>
  <w:style w:type="character" w:customStyle="1" w:styleId="FootnoteTextChar">
    <w:name w:val="Footnote Text Char"/>
    <w:aliases w:val="rrfootnote Char,Footnote Text Char1 Char,Footnote Text Char Char Char,rrfootnote Char Char Char,Footnote Text Char1 Char Char Char,Footnote Text Char Char Char Char Char,rrfootnote Char Char Char Char Char,Footnote Text Ch Char"/>
    <w:basedOn w:val="DefaultParagraphFont"/>
    <w:link w:val="FootnoteText"/>
    <w:rsid w:val="00871C2B"/>
  </w:style>
  <w:style w:type="character" w:customStyle="1" w:styleId="FootnoteTextChar3CharChar">
    <w:name w:val="Footnote Text Char3 Char Char"/>
    <w:aliases w:val="Footnote Text Char2 Char Char Char,Footnote Text Char1 Char Char Char Char,Footnote Text Char7 Char Char Char Char Char,Footnote Text Char4 Char1 Char Char Char Char Char"/>
    <w:rsid w:val="00025AEB"/>
  </w:style>
  <w:style w:type="character" w:customStyle="1" w:styleId="ParaNumChar">
    <w:name w:val="ParaNum Char"/>
    <w:link w:val="ParaNum"/>
    <w:rsid w:val="00025AEB"/>
    <w:rPr>
      <w:snapToGrid w:val="0"/>
      <w:kern w:val="28"/>
      <w:sz w:val="22"/>
    </w:rPr>
  </w:style>
  <w:style w:type="character" w:customStyle="1" w:styleId="term1">
    <w:name w:val="term1"/>
    <w:basedOn w:val="DefaultParagraphFont"/>
    <w:rsid w:val="00025AEB"/>
    <w:rPr>
      <w:b/>
      <w:bCs/>
    </w:rPr>
  </w:style>
  <w:style w:type="character" w:styleId="CommentReference">
    <w:name w:val="annotation reference"/>
    <w:basedOn w:val="DefaultParagraphFont"/>
    <w:rsid w:val="00EC45B9"/>
    <w:rPr>
      <w:sz w:val="16"/>
      <w:szCs w:val="16"/>
    </w:rPr>
  </w:style>
  <w:style w:type="paragraph" w:styleId="CommentText">
    <w:name w:val="annotation text"/>
    <w:basedOn w:val="Normal"/>
    <w:link w:val="CommentTextChar"/>
    <w:rsid w:val="004B084D"/>
    <w:rPr>
      <w:sz w:val="20"/>
    </w:rPr>
  </w:style>
  <w:style w:type="character" w:customStyle="1" w:styleId="CommentTextChar">
    <w:name w:val="Comment Text Char"/>
    <w:basedOn w:val="DefaultParagraphFont"/>
    <w:link w:val="CommentText"/>
    <w:rsid w:val="004B084D"/>
    <w:rPr>
      <w:snapToGrid w:val="0"/>
      <w:kern w:val="28"/>
    </w:rPr>
  </w:style>
  <w:style w:type="paragraph" w:styleId="CommentSubject">
    <w:name w:val="annotation subject"/>
    <w:basedOn w:val="CommentText"/>
    <w:next w:val="CommentText"/>
    <w:link w:val="CommentSubjectChar"/>
    <w:rsid w:val="004B084D"/>
    <w:rPr>
      <w:b/>
      <w:bCs/>
    </w:rPr>
  </w:style>
  <w:style w:type="character" w:customStyle="1" w:styleId="CommentSubjectChar">
    <w:name w:val="Comment Subject Char"/>
    <w:basedOn w:val="CommentTextChar"/>
    <w:link w:val="CommentSubject"/>
    <w:rsid w:val="004B084D"/>
    <w:rPr>
      <w:b/>
      <w:bCs/>
      <w:snapToGrid w:val="0"/>
      <w:kern w:val="28"/>
    </w:rPr>
  </w:style>
  <w:style w:type="paragraph" w:styleId="BalloonText">
    <w:name w:val="Balloon Text"/>
    <w:basedOn w:val="Normal"/>
    <w:link w:val="BalloonTextChar"/>
    <w:rsid w:val="004B084D"/>
    <w:rPr>
      <w:rFonts w:ascii="Tahoma" w:hAnsi="Tahoma" w:cs="Tahoma"/>
      <w:sz w:val="16"/>
      <w:szCs w:val="16"/>
    </w:rPr>
  </w:style>
  <w:style w:type="character" w:customStyle="1" w:styleId="BalloonTextChar">
    <w:name w:val="Balloon Text Char"/>
    <w:basedOn w:val="DefaultParagraphFont"/>
    <w:link w:val="BalloonText"/>
    <w:rsid w:val="004B084D"/>
    <w:rPr>
      <w:rFonts w:ascii="Tahoma" w:hAnsi="Tahoma" w:cs="Tahoma"/>
      <w:snapToGrid w:val="0"/>
      <w:kern w:val="28"/>
      <w:sz w:val="16"/>
      <w:szCs w:val="16"/>
    </w:rPr>
  </w:style>
  <w:style w:type="paragraph" w:styleId="Revision">
    <w:name w:val="Revision"/>
    <w:hidden/>
    <w:uiPriority w:val="99"/>
    <w:semiHidden/>
    <w:rsid w:val="00532E9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727</Words>
  <Characters>3970</Characters>
  <Application>Microsoft Office Word</Application>
  <DocSecurity>0</DocSecurity>
  <Lines>77</Lines>
  <Paragraphs>25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4728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2015-06-25T19:20:00Z</cp:lastPrinted>
  <dcterms:created xsi:type="dcterms:W3CDTF">2015-09-17T14:50:00Z</dcterms:created>
  <dcterms:modified xsi:type="dcterms:W3CDTF">2015-09-17T14:50:00Z</dcterms:modified>
  <cp:category> </cp:category>
  <cp:contentStatus> </cp:contentStatus>
</cp:coreProperties>
</file>