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2443D1" w:rsidRDefault="004C2EE3" w:rsidP="00E21D49">
      <w:pPr>
        <w:jc w:val="center"/>
        <w:rPr>
          <w:b/>
          <w:szCs w:val="22"/>
        </w:rPr>
      </w:pPr>
      <w:bookmarkStart w:id="0" w:name="_GoBack"/>
      <w:bookmarkEnd w:id="0"/>
      <w:r w:rsidRPr="002443D1">
        <w:rPr>
          <w:b/>
          <w:szCs w:val="22"/>
        </w:rPr>
        <w:t>Before the</w:t>
      </w:r>
    </w:p>
    <w:p w:rsidR="00921803" w:rsidRPr="002443D1" w:rsidRDefault="00921803" w:rsidP="00E21D49">
      <w:pPr>
        <w:pStyle w:val="StyleBoldCentered"/>
        <w:widowControl/>
        <w:rPr>
          <w:rFonts w:ascii="Times New Roman" w:hAnsi="Times New Roman"/>
        </w:rPr>
      </w:pPr>
      <w:r w:rsidRPr="002443D1">
        <w:rPr>
          <w:rFonts w:ascii="Times New Roman" w:hAnsi="Times New Roman"/>
        </w:rPr>
        <w:t>F</w:t>
      </w:r>
      <w:r w:rsidRPr="002443D1">
        <w:rPr>
          <w:rFonts w:ascii="Times New Roman" w:hAnsi="Times New Roman"/>
          <w:caps w:val="0"/>
        </w:rPr>
        <w:t>ederal Communications Commission</w:t>
      </w:r>
    </w:p>
    <w:p w:rsidR="004C2EE3" w:rsidRPr="002443D1" w:rsidRDefault="00810B6F" w:rsidP="00E21D49">
      <w:pPr>
        <w:pStyle w:val="StyleBoldCentered"/>
        <w:widowControl/>
        <w:rPr>
          <w:rFonts w:ascii="Times New Roman" w:hAnsi="Times New Roman"/>
        </w:rPr>
      </w:pPr>
      <w:r w:rsidRPr="002443D1">
        <w:rPr>
          <w:rFonts w:ascii="Times New Roman" w:hAnsi="Times New Roman"/>
          <w:caps w:val="0"/>
        </w:rPr>
        <w:t>Washington, D.C. 20554</w:t>
      </w:r>
    </w:p>
    <w:p w:rsidR="004C2EE3" w:rsidRPr="002443D1" w:rsidRDefault="004C2EE3" w:rsidP="00E21D49">
      <w:pPr>
        <w:rPr>
          <w:szCs w:val="22"/>
        </w:rPr>
      </w:pPr>
    </w:p>
    <w:tbl>
      <w:tblPr>
        <w:tblW w:w="0" w:type="auto"/>
        <w:tblLayout w:type="fixed"/>
        <w:tblLook w:val="0000" w:firstRow="0" w:lastRow="0" w:firstColumn="0" w:lastColumn="0" w:noHBand="0" w:noVBand="0"/>
      </w:tblPr>
      <w:tblGrid>
        <w:gridCol w:w="4698"/>
        <w:gridCol w:w="630"/>
        <w:gridCol w:w="4248"/>
      </w:tblGrid>
      <w:tr w:rsidR="00E66A17" w:rsidRPr="002443D1">
        <w:tc>
          <w:tcPr>
            <w:tcW w:w="4698" w:type="dxa"/>
          </w:tcPr>
          <w:p w:rsidR="000309D9" w:rsidRDefault="00B06127" w:rsidP="00B06127">
            <w:pPr>
              <w:ind w:right="-18"/>
              <w:rPr>
                <w:szCs w:val="22"/>
              </w:rPr>
            </w:pPr>
            <w:r w:rsidRPr="00B06127">
              <w:rPr>
                <w:szCs w:val="22"/>
              </w:rPr>
              <w:t>In the Matter of</w:t>
            </w:r>
            <w:r w:rsidR="00D83CF1">
              <w:rPr>
                <w:szCs w:val="22"/>
              </w:rPr>
              <w:t xml:space="preserve"> </w:t>
            </w:r>
          </w:p>
          <w:p w:rsidR="000309D9" w:rsidRDefault="000309D9" w:rsidP="00B06127">
            <w:pPr>
              <w:ind w:right="-18"/>
              <w:rPr>
                <w:szCs w:val="22"/>
              </w:rPr>
            </w:pPr>
          </w:p>
          <w:p w:rsidR="00B06127" w:rsidRPr="00B06127" w:rsidRDefault="00D83CF1" w:rsidP="00B06127">
            <w:pPr>
              <w:ind w:right="-18"/>
              <w:rPr>
                <w:szCs w:val="22"/>
              </w:rPr>
            </w:pPr>
            <w:r>
              <w:rPr>
                <w:szCs w:val="22"/>
              </w:rPr>
              <w:t>LP</w:t>
            </w:r>
            <w:r w:rsidR="008B3AF9">
              <w:rPr>
                <w:szCs w:val="22"/>
              </w:rPr>
              <w:t>F</w:t>
            </w:r>
            <w:r>
              <w:rPr>
                <w:szCs w:val="22"/>
              </w:rPr>
              <w:t>M MX Group 198</w:t>
            </w:r>
          </w:p>
          <w:p w:rsidR="00B06127" w:rsidRPr="00B06127" w:rsidRDefault="00B06127" w:rsidP="00B06127">
            <w:pPr>
              <w:ind w:right="-18"/>
              <w:rPr>
                <w:szCs w:val="22"/>
              </w:rPr>
            </w:pPr>
          </w:p>
          <w:p w:rsidR="00B06127" w:rsidRPr="00B06127" w:rsidRDefault="00B06127" w:rsidP="00B06127">
            <w:pPr>
              <w:ind w:right="-18"/>
              <w:rPr>
                <w:szCs w:val="22"/>
              </w:rPr>
            </w:pPr>
            <w:r>
              <w:rPr>
                <w:szCs w:val="22"/>
              </w:rPr>
              <w:t>Center for Emerging Media, Inc.</w:t>
            </w:r>
          </w:p>
          <w:p w:rsidR="00B06127" w:rsidRPr="00B06127" w:rsidRDefault="00B06127" w:rsidP="00B06127">
            <w:pPr>
              <w:ind w:right="-18"/>
              <w:rPr>
                <w:b/>
                <w:szCs w:val="22"/>
              </w:rPr>
            </w:pPr>
          </w:p>
          <w:p w:rsidR="00B06127" w:rsidRPr="00B06127" w:rsidRDefault="00B06127" w:rsidP="00B06127">
            <w:pPr>
              <w:ind w:right="-18"/>
              <w:rPr>
                <w:szCs w:val="22"/>
              </w:rPr>
            </w:pPr>
            <w:r w:rsidRPr="00B06127">
              <w:rPr>
                <w:szCs w:val="22"/>
              </w:rPr>
              <w:t xml:space="preserve">Application for a Construction Permit for a New LPFM Station at </w:t>
            </w:r>
            <w:r>
              <w:rPr>
                <w:szCs w:val="22"/>
              </w:rPr>
              <w:t>Baltimore, Maryland</w:t>
            </w:r>
            <w:r w:rsidR="002118CA">
              <w:rPr>
                <w:szCs w:val="22"/>
              </w:rPr>
              <w:t>,</w:t>
            </w:r>
            <w:r w:rsidRPr="00B06127">
              <w:rPr>
                <w:szCs w:val="22"/>
              </w:rPr>
              <w:t xml:space="preserve"> </w:t>
            </w:r>
          </w:p>
          <w:p w:rsidR="00B06127" w:rsidRPr="00B06127" w:rsidRDefault="00B06127" w:rsidP="00B06127">
            <w:pPr>
              <w:ind w:right="-18"/>
              <w:rPr>
                <w:szCs w:val="22"/>
              </w:rPr>
            </w:pPr>
          </w:p>
          <w:p w:rsidR="00B06127" w:rsidRPr="00B06127" w:rsidRDefault="00B06127" w:rsidP="00B06127">
            <w:pPr>
              <w:ind w:right="-18"/>
              <w:rPr>
                <w:szCs w:val="22"/>
              </w:rPr>
            </w:pPr>
            <w:r w:rsidRPr="00B06127">
              <w:rPr>
                <w:szCs w:val="22"/>
              </w:rPr>
              <w:t>Loyola University Maryland</w:t>
            </w:r>
          </w:p>
          <w:p w:rsidR="00B06127" w:rsidRPr="00B06127" w:rsidRDefault="00B06127" w:rsidP="00B06127">
            <w:pPr>
              <w:ind w:right="-18"/>
              <w:rPr>
                <w:szCs w:val="22"/>
              </w:rPr>
            </w:pPr>
          </w:p>
          <w:p w:rsidR="00B06127" w:rsidRPr="00B06127" w:rsidRDefault="00B06127" w:rsidP="00B06127">
            <w:pPr>
              <w:ind w:right="-18"/>
              <w:rPr>
                <w:szCs w:val="22"/>
              </w:rPr>
            </w:pPr>
            <w:r w:rsidRPr="00B06127">
              <w:rPr>
                <w:szCs w:val="22"/>
              </w:rPr>
              <w:t xml:space="preserve">Application for a Construction Permit for a New LPFM Station at </w:t>
            </w:r>
            <w:r>
              <w:rPr>
                <w:szCs w:val="22"/>
              </w:rPr>
              <w:t>Baltimore, Maryland</w:t>
            </w:r>
            <w:r w:rsidR="002118CA">
              <w:rPr>
                <w:szCs w:val="22"/>
              </w:rPr>
              <w:t>,</w:t>
            </w:r>
          </w:p>
          <w:p w:rsidR="00B06127" w:rsidRPr="00B06127" w:rsidRDefault="00B06127" w:rsidP="00B06127">
            <w:pPr>
              <w:ind w:right="-18"/>
              <w:rPr>
                <w:szCs w:val="22"/>
              </w:rPr>
            </w:pPr>
          </w:p>
          <w:p w:rsidR="00B06127" w:rsidRPr="00B06127" w:rsidRDefault="00B06127" w:rsidP="00B06127">
            <w:pPr>
              <w:ind w:right="-18"/>
              <w:rPr>
                <w:szCs w:val="22"/>
              </w:rPr>
            </w:pPr>
            <w:r w:rsidRPr="00B06127">
              <w:rPr>
                <w:szCs w:val="22"/>
              </w:rPr>
              <w:t>The Benedictine Society of Baltimore</w:t>
            </w:r>
            <w:r w:rsidR="00F43745">
              <w:rPr>
                <w:szCs w:val="22"/>
              </w:rPr>
              <w:t xml:space="preserve"> City</w:t>
            </w:r>
          </w:p>
          <w:p w:rsidR="00B06127" w:rsidRPr="00B06127" w:rsidRDefault="00B06127" w:rsidP="00B06127">
            <w:pPr>
              <w:ind w:right="-18"/>
              <w:rPr>
                <w:szCs w:val="22"/>
              </w:rPr>
            </w:pPr>
          </w:p>
          <w:p w:rsidR="00B06127" w:rsidRPr="00B06127" w:rsidRDefault="00B06127" w:rsidP="00B06127">
            <w:pPr>
              <w:ind w:right="-18"/>
              <w:rPr>
                <w:szCs w:val="22"/>
              </w:rPr>
            </w:pPr>
            <w:r w:rsidRPr="00B06127">
              <w:rPr>
                <w:szCs w:val="22"/>
              </w:rPr>
              <w:t xml:space="preserve">Application for a Construction Permit for a New LPFM Station at </w:t>
            </w:r>
            <w:r>
              <w:rPr>
                <w:szCs w:val="22"/>
              </w:rPr>
              <w:t>Baltimore, Maryland</w:t>
            </w:r>
            <w:r w:rsidR="002118CA">
              <w:rPr>
                <w:szCs w:val="22"/>
              </w:rPr>
              <w:t>,</w:t>
            </w:r>
          </w:p>
          <w:p w:rsidR="00B06127" w:rsidRPr="00B06127" w:rsidRDefault="00B06127" w:rsidP="00B06127">
            <w:pPr>
              <w:ind w:right="-18"/>
              <w:rPr>
                <w:szCs w:val="22"/>
              </w:rPr>
            </w:pPr>
          </w:p>
          <w:p w:rsidR="00B06127" w:rsidRPr="00B06127" w:rsidRDefault="00B06127" w:rsidP="00B06127">
            <w:pPr>
              <w:ind w:right="-18"/>
              <w:rPr>
                <w:szCs w:val="22"/>
              </w:rPr>
            </w:pPr>
            <w:r w:rsidRPr="00B06127">
              <w:rPr>
                <w:szCs w:val="22"/>
              </w:rPr>
              <w:t>The United Workers Association</w:t>
            </w:r>
          </w:p>
          <w:p w:rsidR="00B06127" w:rsidRPr="00B06127" w:rsidRDefault="00B06127" w:rsidP="00B06127">
            <w:pPr>
              <w:ind w:right="-18"/>
              <w:rPr>
                <w:szCs w:val="22"/>
              </w:rPr>
            </w:pPr>
          </w:p>
          <w:p w:rsidR="00B06127" w:rsidRPr="00B06127" w:rsidRDefault="00B06127" w:rsidP="00B06127">
            <w:pPr>
              <w:ind w:right="-18"/>
              <w:rPr>
                <w:szCs w:val="22"/>
              </w:rPr>
            </w:pPr>
            <w:r w:rsidRPr="00B06127">
              <w:rPr>
                <w:szCs w:val="22"/>
              </w:rPr>
              <w:t xml:space="preserve">Application for a Construction Permit for a New LPFM Station at </w:t>
            </w:r>
            <w:r>
              <w:rPr>
                <w:szCs w:val="22"/>
              </w:rPr>
              <w:t>Baltimore, Maryland</w:t>
            </w:r>
            <w:r w:rsidR="002118CA">
              <w:rPr>
                <w:szCs w:val="22"/>
              </w:rPr>
              <w:t>,</w:t>
            </w:r>
          </w:p>
          <w:p w:rsidR="00B06127" w:rsidRPr="00B06127" w:rsidRDefault="00B06127" w:rsidP="00B06127">
            <w:pPr>
              <w:ind w:right="-18"/>
              <w:rPr>
                <w:szCs w:val="22"/>
              </w:rPr>
            </w:pPr>
          </w:p>
          <w:p w:rsidR="00B06127" w:rsidRPr="00B06127" w:rsidRDefault="00B06127" w:rsidP="00B06127">
            <w:pPr>
              <w:ind w:right="-18"/>
              <w:rPr>
                <w:szCs w:val="22"/>
              </w:rPr>
            </w:pPr>
            <w:r w:rsidRPr="00B06127">
              <w:rPr>
                <w:szCs w:val="22"/>
              </w:rPr>
              <w:t>Johns Hopkins University</w:t>
            </w:r>
          </w:p>
          <w:p w:rsidR="00B06127" w:rsidRPr="00B06127" w:rsidRDefault="00B06127" w:rsidP="00B06127">
            <w:pPr>
              <w:ind w:right="-18"/>
              <w:rPr>
                <w:szCs w:val="22"/>
              </w:rPr>
            </w:pPr>
          </w:p>
          <w:p w:rsidR="00B06127" w:rsidRPr="00B06127" w:rsidRDefault="00B06127" w:rsidP="00B06127">
            <w:pPr>
              <w:ind w:right="-18"/>
              <w:rPr>
                <w:szCs w:val="22"/>
              </w:rPr>
            </w:pPr>
            <w:r w:rsidRPr="00B06127">
              <w:rPr>
                <w:szCs w:val="22"/>
              </w:rPr>
              <w:t xml:space="preserve">Application for a Construction Permit for a New LPFM Station at </w:t>
            </w:r>
            <w:r>
              <w:rPr>
                <w:szCs w:val="22"/>
              </w:rPr>
              <w:t>East Baltimore, Maryland</w:t>
            </w:r>
          </w:p>
        </w:tc>
        <w:tc>
          <w:tcPr>
            <w:tcW w:w="630" w:type="dxa"/>
          </w:tcPr>
          <w:p w:rsidR="00E66A17" w:rsidRPr="002443D1" w:rsidRDefault="00E66A17" w:rsidP="00E21D49">
            <w:pPr>
              <w:rPr>
                <w:b/>
                <w:szCs w:val="22"/>
              </w:rPr>
            </w:pPr>
            <w:r w:rsidRPr="002443D1">
              <w:rPr>
                <w:b/>
                <w:szCs w:val="22"/>
              </w:rPr>
              <w:t>)</w:t>
            </w:r>
          </w:p>
          <w:p w:rsidR="00E66A17" w:rsidRPr="002443D1" w:rsidRDefault="00E66A17" w:rsidP="00E21D49">
            <w:pPr>
              <w:rPr>
                <w:b/>
                <w:szCs w:val="22"/>
              </w:rPr>
            </w:pPr>
            <w:r w:rsidRPr="002443D1">
              <w:rPr>
                <w:b/>
                <w:szCs w:val="22"/>
              </w:rPr>
              <w:t>)</w:t>
            </w:r>
          </w:p>
          <w:p w:rsidR="00E66A17" w:rsidRPr="002443D1" w:rsidRDefault="00E66A17" w:rsidP="00E21D49">
            <w:pPr>
              <w:rPr>
                <w:b/>
                <w:szCs w:val="22"/>
              </w:rPr>
            </w:pPr>
            <w:r w:rsidRPr="002443D1">
              <w:rPr>
                <w:b/>
                <w:szCs w:val="22"/>
              </w:rPr>
              <w:t>)</w:t>
            </w:r>
          </w:p>
          <w:p w:rsidR="00E66A17" w:rsidRPr="002443D1" w:rsidRDefault="00E66A17" w:rsidP="00E21D49">
            <w:pPr>
              <w:rPr>
                <w:b/>
                <w:szCs w:val="22"/>
              </w:rPr>
            </w:pPr>
            <w:r w:rsidRPr="002443D1">
              <w:rPr>
                <w:b/>
                <w:szCs w:val="22"/>
              </w:rPr>
              <w:t>)</w:t>
            </w:r>
          </w:p>
          <w:p w:rsidR="00E66A17" w:rsidRPr="002443D1" w:rsidRDefault="00E66A17" w:rsidP="00E21D49">
            <w:pPr>
              <w:rPr>
                <w:b/>
                <w:szCs w:val="22"/>
              </w:rPr>
            </w:pPr>
            <w:r w:rsidRPr="002443D1">
              <w:rPr>
                <w:b/>
                <w:szCs w:val="22"/>
              </w:rPr>
              <w:t>)</w:t>
            </w:r>
          </w:p>
          <w:p w:rsidR="00E66A17" w:rsidRDefault="00E66A17" w:rsidP="00B06127">
            <w:pPr>
              <w:rPr>
                <w:b/>
                <w:szCs w:val="22"/>
              </w:rPr>
            </w:pPr>
            <w:r w:rsidRPr="002443D1">
              <w:rPr>
                <w:b/>
                <w:szCs w:val="22"/>
              </w:rPr>
              <w:t>)</w:t>
            </w:r>
          </w:p>
          <w:p w:rsidR="00B06127" w:rsidRDefault="00B06127" w:rsidP="00B06127">
            <w:pPr>
              <w:rPr>
                <w:b/>
                <w:szCs w:val="22"/>
              </w:rPr>
            </w:pPr>
            <w:r>
              <w:rPr>
                <w:b/>
                <w:szCs w:val="22"/>
              </w:rPr>
              <w:t>)</w:t>
            </w:r>
          </w:p>
          <w:p w:rsidR="00B06127" w:rsidRDefault="00B06127" w:rsidP="00B06127">
            <w:pPr>
              <w:rPr>
                <w:b/>
                <w:szCs w:val="22"/>
              </w:rPr>
            </w:pPr>
            <w:r>
              <w:rPr>
                <w:b/>
                <w:szCs w:val="22"/>
              </w:rPr>
              <w:t>)</w:t>
            </w:r>
          </w:p>
          <w:p w:rsidR="00B06127" w:rsidRDefault="00B06127" w:rsidP="00B06127">
            <w:pPr>
              <w:rPr>
                <w:b/>
                <w:szCs w:val="22"/>
              </w:rPr>
            </w:pPr>
            <w:r>
              <w:rPr>
                <w:b/>
                <w:szCs w:val="22"/>
              </w:rPr>
              <w:t>)</w:t>
            </w:r>
          </w:p>
          <w:p w:rsidR="00B06127" w:rsidRDefault="00B06127" w:rsidP="00B06127">
            <w:pPr>
              <w:rPr>
                <w:b/>
                <w:szCs w:val="22"/>
              </w:rPr>
            </w:pPr>
            <w:r>
              <w:rPr>
                <w:b/>
                <w:szCs w:val="22"/>
              </w:rPr>
              <w:t>)</w:t>
            </w:r>
          </w:p>
          <w:p w:rsidR="00B06127" w:rsidRDefault="00B06127" w:rsidP="00B06127">
            <w:pPr>
              <w:rPr>
                <w:b/>
                <w:szCs w:val="22"/>
              </w:rPr>
            </w:pPr>
            <w:r>
              <w:rPr>
                <w:b/>
                <w:szCs w:val="22"/>
              </w:rPr>
              <w:t>)</w:t>
            </w:r>
          </w:p>
          <w:p w:rsidR="00B06127" w:rsidRDefault="00B06127" w:rsidP="00B06127">
            <w:pPr>
              <w:rPr>
                <w:b/>
                <w:szCs w:val="22"/>
              </w:rPr>
            </w:pPr>
            <w:r>
              <w:rPr>
                <w:b/>
                <w:szCs w:val="22"/>
              </w:rPr>
              <w:t>)</w:t>
            </w:r>
          </w:p>
          <w:p w:rsidR="00B06127" w:rsidRDefault="00B06127" w:rsidP="00B06127">
            <w:pPr>
              <w:rPr>
                <w:b/>
                <w:szCs w:val="22"/>
              </w:rPr>
            </w:pPr>
            <w:r>
              <w:rPr>
                <w:b/>
                <w:szCs w:val="22"/>
              </w:rPr>
              <w:t>)</w:t>
            </w:r>
          </w:p>
          <w:p w:rsidR="00B06127" w:rsidRDefault="00B06127" w:rsidP="00B06127">
            <w:pPr>
              <w:rPr>
                <w:b/>
                <w:szCs w:val="22"/>
              </w:rPr>
            </w:pPr>
            <w:r>
              <w:rPr>
                <w:b/>
                <w:szCs w:val="22"/>
              </w:rPr>
              <w:t>)</w:t>
            </w:r>
          </w:p>
          <w:p w:rsidR="00B06127" w:rsidRDefault="00B06127" w:rsidP="00B06127">
            <w:pPr>
              <w:rPr>
                <w:b/>
                <w:szCs w:val="22"/>
              </w:rPr>
            </w:pPr>
            <w:r>
              <w:rPr>
                <w:b/>
                <w:szCs w:val="22"/>
              </w:rPr>
              <w:t>)</w:t>
            </w:r>
          </w:p>
          <w:p w:rsidR="00B06127" w:rsidRDefault="00B06127" w:rsidP="00B06127">
            <w:pPr>
              <w:rPr>
                <w:b/>
                <w:szCs w:val="22"/>
              </w:rPr>
            </w:pPr>
            <w:r>
              <w:rPr>
                <w:b/>
                <w:szCs w:val="22"/>
              </w:rPr>
              <w:t>)</w:t>
            </w:r>
          </w:p>
          <w:p w:rsidR="00B06127" w:rsidRDefault="00B06127" w:rsidP="00B06127">
            <w:pPr>
              <w:rPr>
                <w:b/>
                <w:szCs w:val="22"/>
              </w:rPr>
            </w:pPr>
            <w:r>
              <w:rPr>
                <w:b/>
                <w:szCs w:val="22"/>
              </w:rPr>
              <w:t>)</w:t>
            </w:r>
          </w:p>
          <w:p w:rsidR="00B06127" w:rsidRDefault="00B06127" w:rsidP="00B06127">
            <w:pPr>
              <w:rPr>
                <w:b/>
                <w:szCs w:val="22"/>
              </w:rPr>
            </w:pPr>
            <w:r>
              <w:rPr>
                <w:b/>
                <w:szCs w:val="22"/>
              </w:rPr>
              <w:t>)</w:t>
            </w:r>
          </w:p>
          <w:p w:rsidR="00B06127" w:rsidRDefault="00B06127" w:rsidP="00B06127">
            <w:pPr>
              <w:rPr>
                <w:b/>
                <w:szCs w:val="22"/>
              </w:rPr>
            </w:pPr>
            <w:r>
              <w:rPr>
                <w:b/>
                <w:szCs w:val="22"/>
              </w:rPr>
              <w:t>)</w:t>
            </w:r>
          </w:p>
          <w:p w:rsidR="00B06127" w:rsidRDefault="00B06127" w:rsidP="00B06127">
            <w:pPr>
              <w:rPr>
                <w:b/>
                <w:szCs w:val="22"/>
              </w:rPr>
            </w:pPr>
            <w:r>
              <w:rPr>
                <w:b/>
                <w:szCs w:val="22"/>
              </w:rPr>
              <w:t>)</w:t>
            </w:r>
          </w:p>
          <w:p w:rsidR="00B06127" w:rsidRDefault="00B06127" w:rsidP="00B06127">
            <w:pPr>
              <w:rPr>
                <w:b/>
                <w:szCs w:val="22"/>
              </w:rPr>
            </w:pPr>
            <w:r>
              <w:rPr>
                <w:b/>
                <w:szCs w:val="22"/>
              </w:rPr>
              <w:t>)</w:t>
            </w:r>
          </w:p>
          <w:p w:rsidR="00B06127" w:rsidRDefault="00B06127" w:rsidP="00B06127">
            <w:pPr>
              <w:rPr>
                <w:b/>
                <w:szCs w:val="22"/>
              </w:rPr>
            </w:pPr>
            <w:r>
              <w:rPr>
                <w:b/>
                <w:szCs w:val="22"/>
              </w:rPr>
              <w:t>)</w:t>
            </w:r>
          </w:p>
          <w:p w:rsidR="00B06127" w:rsidRDefault="00B06127" w:rsidP="00B06127">
            <w:pPr>
              <w:rPr>
                <w:b/>
                <w:szCs w:val="22"/>
              </w:rPr>
            </w:pPr>
            <w:r>
              <w:rPr>
                <w:b/>
                <w:szCs w:val="22"/>
              </w:rPr>
              <w:t>)</w:t>
            </w:r>
          </w:p>
          <w:p w:rsidR="00B06127" w:rsidRDefault="00B06127" w:rsidP="00B06127">
            <w:pPr>
              <w:rPr>
                <w:b/>
                <w:szCs w:val="22"/>
              </w:rPr>
            </w:pPr>
            <w:r>
              <w:rPr>
                <w:b/>
                <w:szCs w:val="22"/>
              </w:rPr>
              <w:t>)</w:t>
            </w:r>
          </w:p>
          <w:p w:rsidR="00B06127" w:rsidRDefault="00B06127" w:rsidP="00B06127">
            <w:pPr>
              <w:rPr>
                <w:b/>
                <w:szCs w:val="22"/>
              </w:rPr>
            </w:pPr>
            <w:r>
              <w:rPr>
                <w:b/>
                <w:szCs w:val="22"/>
              </w:rPr>
              <w:t>)</w:t>
            </w:r>
          </w:p>
          <w:p w:rsidR="00B06127" w:rsidRDefault="00B06127" w:rsidP="00B06127">
            <w:pPr>
              <w:rPr>
                <w:b/>
                <w:szCs w:val="22"/>
              </w:rPr>
            </w:pPr>
            <w:r>
              <w:rPr>
                <w:b/>
                <w:szCs w:val="22"/>
              </w:rPr>
              <w:t>)</w:t>
            </w:r>
          </w:p>
          <w:p w:rsidR="000309D9" w:rsidRDefault="000309D9" w:rsidP="00B06127">
            <w:pPr>
              <w:rPr>
                <w:b/>
                <w:szCs w:val="22"/>
              </w:rPr>
            </w:pPr>
            <w:r>
              <w:rPr>
                <w:b/>
                <w:szCs w:val="22"/>
              </w:rPr>
              <w:t>)</w:t>
            </w:r>
          </w:p>
          <w:p w:rsidR="000309D9" w:rsidRPr="002443D1" w:rsidRDefault="000309D9" w:rsidP="00B06127">
            <w:pPr>
              <w:rPr>
                <w:b/>
                <w:szCs w:val="22"/>
              </w:rPr>
            </w:pPr>
            <w:r>
              <w:rPr>
                <w:b/>
                <w:szCs w:val="22"/>
              </w:rPr>
              <w:t>)</w:t>
            </w:r>
          </w:p>
        </w:tc>
        <w:tc>
          <w:tcPr>
            <w:tcW w:w="4248" w:type="dxa"/>
          </w:tcPr>
          <w:p w:rsidR="00E66A17" w:rsidRPr="002443D1" w:rsidRDefault="00E66A17" w:rsidP="00E21D49">
            <w:pPr>
              <w:rPr>
                <w:szCs w:val="22"/>
              </w:rPr>
            </w:pPr>
          </w:p>
          <w:p w:rsidR="00E66A17" w:rsidRPr="002443D1" w:rsidRDefault="00E66A17" w:rsidP="00E21D49">
            <w:pPr>
              <w:rPr>
                <w:szCs w:val="22"/>
              </w:rPr>
            </w:pPr>
          </w:p>
          <w:p w:rsidR="00E66A17" w:rsidRDefault="00E66A17" w:rsidP="00E21D49">
            <w:pPr>
              <w:rPr>
                <w:szCs w:val="22"/>
              </w:rPr>
            </w:pPr>
          </w:p>
          <w:p w:rsidR="000309D9" w:rsidRDefault="000309D9" w:rsidP="00E21D49">
            <w:pPr>
              <w:rPr>
                <w:szCs w:val="22"/>
              </w:rPr>
            </w:pPr>
          </w:p>
          <w:p w:rsidR="000309D9" w:rsidRPr="002443D1" w:rsidRDefault="000309D9" w:rsidP="00E21D49">
            <w:pPr>
              <w:rPr>
                <w:szCs w:val="22"/>
              </w:rPr>
            </w:pPr>
          </w:p>
          <w:p w:rsidR="00A13CA2" w:rsidRPr="002443D1" w:rsidRDefault="00A13CA2" w:rsidP="00E21D49">
            <w:pPr>
              <w:rPr>
                <w:szCs w:val="22"/>
              </w:rPr>
            </w:pPr>
          </w:p>
          <w:p w:rsidR="00627DE9" w:rsidRPr="002443D1" w:rsidRDefault="00627DE9" w:rsidP="00E21D49">
            <w:pPr>
              <w:rPr>
                <w:szCs w:val="22"/>
              </w:rPr>
            </w:pPr>
            <w:r w:rsidRPr="002443D1">
              <w:rPr>
                <w:szCs w:val="22"/>
              </w:rPr>
              <w:t xml:space="preserve">File No. </w:t>
            </w:r>
            <w:r w:rsidR="00792287" w:rsidRPr="002443D1">
              <w:rPr>
                <w:szCs w:val="22"/>
              </w:rPr>
              <w:t>BNPL-</w:t>
            </w:r>
            <w:r w:rsidR="00DD3DE2" w:rsidRPr="002443D1">
              <w:rPr>
                <w:szCs w:val="22"/>
              </w:rPr>
              <w:t>20131</w:t>
            </w:r>
            <w:r w:rsidR="00B06127">
              <w:rPr>
                <w:szCs w:val="22"/>
              </w:rPr>
              <w:t>11</w:t>
            </w:r>
            <w:r w:rsidR="006039C6">
              <w:rPr>
                <w:szCs w:val="22"/>
              </w:rPr>
              <w:t>2BMA</w:t>
            </w:r>
          </w:p>
          <w:p w:rsidR="00E66A17" w:rsidRDefault="00E66A17" w:rsidP="00B06127">
            <w:pPr>
              <w:rPr>
                <w:szCs w:val="22"/>
              </w:rPr>
            </w:pPr>
            <w:r w:rsidRPr="002443D1">
              <w:rPr>
                <w:szCs w:val="22"/>
              </w:rPr>
              <w:t xml:space="preserve">Facility ID No. </w:t>
            </w:r>
            <w:r w:rsidR="005A7B5E">
              <w:rPr>
                <w:szCs w:val="22"/>
              </w:rPr>
              <w:t>194219</w:t>
            </w:r>
          </w:p>
          <w:p w:rsidR="00B06127" w:rsidRDefault="00B06127" w:rsidP="00B06127">
            <w:pPr>
              <w:rPr>
                <w:szCs w:val="22"/>
              </w:rPr>
            </w:pPr>
          </w:p>
          <w:p w:rsidR="00B06127" w:rsidRDefault="00B06127" w:rsidP="00B06127">
            <w:pPr>
              <w:rPr>
                <w:szCs w:val="22"/>
              </w:rPr>
            </w:pPr>
          </w:p>
          <w:p w:rsidR="00B06127" w:rsidRDefault="00B06127" w:rsidP="00B06127">
            <w:pPr>
              <w:rPr>
                <w:szCs w:val="22"/>
              </w:rPr>
            </w:pPr>
          </w:p>
          <w:p w:rsidR="00B06127" w:rsidRPr="002443D1" w:rsidRDefault="006039C6" w:rsidP="00B06127">
            <w:pPr>
              <w:rPr>
                <w:szCs w:val="22"/>
              </w:rPr>
            </w:pPr>
            <w:r>
              <w:rPr>
                <w:szCs w:val="22"/>
              </w:rPr>
              <w:t>File No. BNPL-20131115ANS</w:t>
            </w:r>
          </w:p>
          <w:p w:rsidR="00B06127" w:rsidRDefault="00B06127" w:rsidP="00B06127">
            <w:pPr>
              <w:rPr>
                <w:szCs w:val="22"/>
              </w:rPr>
            </w:pPr>
            <w:r w:rsidRPr="002443D1">
              <w:rPr>
                <w:szCs w:val="22"/>
              </w:rPr>
              <w:t>Facility ID No.</w:t>
            </w:r>
            <w:r w:rsidR="00F43745">
              <w:rPr>
                <w:szCs w:val="22"/>
              </w:rPr>
              <w:t xml:space="preserve"> 196835</w:t>
            </w:r>
            <w:r w:rsidR="005A7B5E">
              <w:rPr>
                <w:szCs w:val="22"/>
              </w:rPr>
              <w:t xml:space="preserve"> </w:t>
            </w:r>
          </w:p>
          <w:p w:rsidR="00B06127" w:rsidRDefault="00B06127" w:rsidP="00B06127">
            <w:pPr>
              <w:rPr>
                <w:szCs w:val="22"/>
              </w:rPr>
            </w:pPr>
          </w:p>
          <w:p w:rsidR="00B06127" w:rsidRDefault="00B06127" w:rsidP="00B06127">
            <w:pPr>
              <w:rPr>
                <w:szCs w:val="22"/>
              </w:rPr>
            </w:pPr>
          </w:p>
          <w:p w:rsidR="00B06127" w:rsidRDefault="00B06127" w:rsidP="00B06127">
            <w:pPr>
              <w:rPr>
                <w:szCs w:val="22"/>
              </w:rPr>
            </w:pPr>
          </w:p>
          <w:p w:rsidR="00B06127" w:rsidRPr="002443D1" w:rsidRDefault="00B06127" w:rsidP="00B06127">
            <w:pPr>
              <w:rPr>
                <w:szCs w:val="22"/>
              </w:rPr>
            </w:pPr>
            <w:r w:rsidRPr="002443D1">
              <w:rPr>
                <w:szCs w:val="22"/>
              </w:rPr>
              <w:t>File No. BNPL-2013</w:t>
            </w:r>
            <w:r w:rsidR="006039C6">
              <w:rPr>
                <w:szCs w:val="22"/>
              </w:rPr>
              <w:t>1114ADS</w:t>
            </w:r>
          </w:p>
          <w:p w:rsidR="00B06127" w:rsidRDefault="00B06127" w:rsidP="00B06127">
            <w:pPr>
              <w:rPr>
                <w:szCs w:val="22"/>
              </w:rPr>
            </w:pPr>
            <w:r w:rsidRPr="002443D1">
              <w:rPr>
                <w:szCs w:val="22"/>
              </w:rPr>
              <w:t>Facility ID No.</w:t>
            </w:r>
            <w:r w:rsidR="005A7B5E">
              <w:rPr>
                <w:szCs w:val="22"/>
              </w:rPr>
              <w:t xml:space="preserve"> 192734</w:t>
            </w:r>
          </w:p>
          <w:p w:rsidR="00B06127" w:rsidRDefault="00B06127" w:rsidP="00B06127">
            <w:pPr>
              <w:rPr>
                <w:szCs w:val="22"/>
              </w:rPr>
            </w:pPr>
          </w:p>
          <w:p w:rsidR="00B06127" w:rsidRDefault="00B06127" w:rsidP="00B06127">
            <w:pPr>
              <w:rPr>
                <w:szCs w:val="22"/>
              </w:rPr>
            </w:pPr>
          </w:p>
          <w:p w:rsidR="00B06127" w:rsidRDefault="00B06127" w:rsidP="00B06127">
            <w:pPr>
              <w:rPr>
                <w:szCs w:val="22"/>
              </w:rPr>
            </w:pPr>
          </w:p>
          <w:p w:rsidR="00B06127" w:rsidRPr="002443D1" w:rsidRDefault="00B06127" w:rsidP="00B06127">
            <w:pPr>
              <w:rPr>
                <w:szCs w:val="22"/>
              </w:rPr>
            </w:pPr>
            <w:r w:rsidRPr="002443D1">
              <w:rPr>
                <w:szCs w:val="22"/>
              </w:rPr>
              <w:t>File No. BNPL-20131</w:t>
            </w:r>
            <w:r>
              <w:rPr>
                <w:szCs w:val="22"/>
              </w:rPr>
              <w:t>11</w:t>
            </w:r>
            <w:r w:rsidR="006039C6">
              <w:rPr>
                <w:szCs w:val="22"/>
              </w:rPr>
              <w:t>4BEV</w:t>
            </w:r>
          </w:p>
          <w:p w:rsidR="00B06127" w:rsidRDefault="00B06127" w:rsidP="00B06127">
            <w:pPr>
              <w:rPr>
                <w:szCs w:val="22"/>
              </w:rPr>
            </w:pPr>
            <w:r w:rsidRPr="002443D1">
              <w:rPr>
                <w:szCs w:val="22"/>
              </w:rPr>
              <w:t>Facility ID No.</w:t>
            </w:r>
            <w:r w:rsidR="005A7B5E">
              <w:rPr>
                <w:szCs w:val="22"/>
              </w:rPr>
              <w:t xml:space="preserve"> 196682</w:t>
            </w:r>
          </w:p>
          <w:p w:rsidR="00B06127" w:rsidRDefault="00B06127" w:rsidP="00B06127">
            <w:pPr>
              <w:rPr>
                <w:szCs w:val="22"/>
              </w:rPr>
            </w:pPr>
          </w:p>
          <w:p w:rsidR="00B06127" w:rsidRDefault="00B06127" w:rsidP="00B06127">
            <w:pPr>
              <w:rPr>
                <w:szCs w:val="22"/>
              </w:rPr>
            </w:pPr>
          </w:p>
          <w:p w:rsidR="00B06127" w:rsidRDefault="00B06127" w:rsidP="00B06127">
            <w:pPr>
              <w:rPr>
                <w:szCs w:val="22"/>
              </w:rPr>
            </w:pPr>
          </w:p>
          <w:p w:rsidR="00B06127" w:rsidRPr="002443D1" w:rsidRDefault="00B06127" w:rsidP="00B06127">
            <w:pPr>
              <w:rPr>
                <w:szCs w:val="22"/>
              </w:rPr>
            </w:pPr>
            <w:r w:rsidRPr="002443D1">
              <w:rPr>
                <w:szCs w:val="22"/>
              </w:rPr>
              <w:t>File No. BNPL-20131</w:t>
            </w:r>
            <w:r>
              <w:rPr>
                <w:szCs w:val="22"/>
              </w:rPr>
              <w:t>11</w:t>
            </w:r>
            <w:r w:rsidR="006039C6">
              <w:rPr>
                <w:szCs w:val="22"/>
              </w:rPr>
              <w:t>5ANR</w:t>
            </w:r>
          </w:p>
          <w:p w:rsidR="00B06127" w:rsidRPr="002443D1" w:rsidRDefault="00B06127" w:rsidP="00B06127">
            <w:pPr>
              <w:rPr>
                <w:szCs w:val="22"/>
              </w:rPr>
            </w:pPr>
            <w:r w:rsidRPr="002443D1">
              <w:rPr>
                <w:szCs w:val="22"/>
              </w:rPr>
              <w:t>Facility ID No</w:t>
            </w:r>
            <w:r w:rsidR="00F35042">
              <w:rPr>
                <w:szCs w:val="22"/>
              </w:rPr>
              <w:t>.</w:t>
            </w:r>
            <w:r w:rsidR="005A7B5E">
              <w:rPr>
                <w:szCs w:val="22"/>
              </w:rPr>
              <w:t xml:space="preserve"> 196810</w:t>
            </w:r>
          </w:p>
        </w:tc>
      </w:tr>
    </w:tbl>
    <w:p w:rsidR="00AD1DFF" w:rsidRDefault="00AD1DFF" w:rsidP="00E21D49">
      <w:pPr>
        <w:pStyle w:val="StyleBoldCentered"/>
        <w:widowControl/>
      </w:pPr>
    </w:p>
    <w:p w:rsidR="00841AB1" w:rsidRDefault="00E66A17" w:rsidP="00E21D49">
      <w:pPr>
        <w:pStyle w:val="StyleBoldCentered"/>
        <w:widowControl/>
      </w:pPr>
      <w:r>
        <w:t>MEMORANDUM OPINION AND ORDER</w:t>
      </w:r>
    </w:p>
    <w:p w:rsidR="004C2EE3" w:rsidRDefault="004C2EE3" w:rsidP="00E21D49">
      <w:pPr>
        <w:tabs>
          <w:tab w:val="left" w:pos="-720"/>
        </w:tabs>
        <w:suppressAutoHyphens/>
        <w:spacing w:line="227" w:lineRule="auto"/>
        <w:rPr>
          <w:spacing w:val="-2"/>
        </w:rPr>
      </w:pPr>
    </w:p>
    <w:p w:rsidR="000309D9" w:rsidRPr="003422B8" w:rsidRDefault="000309D9" w:rsidP="000309D9">
      <w:pPr>
        <w:tabs>
          <w:tab w:val="left" w:pos="720"/>
          <w:tab w:val="right" w:pos="9360"/>
        </w:tabs>
        <w:suppressAutoHyphens/>
        <w:spacing w:line="227" w:lineRule="auto"/>
        <w:rPr>
          <w:spacing w:val="-2"/>
        </w:rPr>
      </w:pPr>
      <w:r w:rsidRPr="003422B8">
        <w:rPr>
          <w:b/>
          <w:spacing w:val="-2"/>
        </w:rPr>
        <w:t xml:space="preserve">Adopted:  </w:t>
      </w:r>
      <w:r w:rsidR="00FD22CD">
        <w:rPr>
          <w:b/>
          <w:spacing w:val="-2"/>
        </w:rPr>
        <w:t>September 16, 2015</w:t>
      </w:r>
      <w:r w:rsidRPr="003422B8">
        <w:rPr>
          <w:b/>
          <w:spacing w:val="-2"/>
        </w:rPr>
        <w:tab/>
        <w:t xml:space="preserve">Released:  </w:t>
      </w:r>
      <w:r w:rsidR="00FD22CD">
        <w:rPr>
          <w:b/>
          <w:spacing w:val="-2"/>
        </w:rPr>
        <w:t>September 16, 2015</w:t>
      </w:r>
    </w:p>
    <w:p w:rsidR="000309D9" w:rsidRDefault="000309D9" w:rsidP="00E21D49">
      <w:pPr>
        <w:rPr>
          <w:szCs w:val="22"/>
        </w:rPr>
      </w:pPr>
    </w:p>
    <w:p w:rsidR="004C2EE3" w:rsidRPr="002443D1" w:rsidRDefault="004C2EE3" w:rsidP="00E21D49">
      <w:pPr>
        <w:rPr>
          <w:spacing w:val="-2"/>
          <w:szCs w:val="22"/>
        </w:rPr>
      </w:pPr>
      <w:r w:rsidRPr="002443D1">
        <w:rPr>
          <w:szCs w:val="22"/>
        </w:rPr>
        <w:t xml:space="preserve">By </w:t>
      </w:r>
      <w:r w:rsidR="004E4A22" w:rsidRPr="002443D1">
        <w:rPr>
          <w:szCs w:val="22"/>
        </w:rPr>
        <w:t>the</w:t>
      </w:r>
      <w:r w:rsidR="002A2D2E" w:rsidRPr="002443D1">
        <w:rPr>
          <w:szCs w:val="22"/>
        </w:rPr>
        <w:t xml:space="preserve"> </w:t>
      </w:r>
      <w:r w:rsidR="00E66A17" w:rsidRPr="002443D1">
        <w:rPr>
          <w:spacing w:val="-2"/>
          <w:szCs w:val="22"/>
        </w:rPr>
        <w:t>Commission</w:t>
      </w:r>
      <w:r w:rsidRPr="002443D1">
        <w:rPr>
          <w:spacing w:val="-2"/>
          <w:szCs w:val="22"/>
        </w:rPr>
        <w:t>:</w:t>
      </w:r>
    </w:p>
    <w:p w:rsidR="00412FC5" w:rsidRPr="002443D1" w:rsidRDefault="00412FC5" w:rsidP="00E21D49">
      <w:pPr>
        <w:rPr>
          <w:szCs w:val="22"/>
        </w:rPr>
      </w:pPr>
    </w:p>
    <w:p w:rsidR="00786210" w:rsidRDefault="00E66A17" w:rsidP="0058411F">
      <w:pPr>
        <w:pStyle w:val="ParaNum"/>
        <w:widowControl/>
        <w:rPr>
          <w:szCs w:val="22"/>
        </w:rPr>
      </w:pPr>
      <w:r w:rsidRPr="0023398A">
        <w:rPr>
          <w:szCs w:val="22"/>
        </w:rPr>
        <w:t xml:space="preserve">The Commission has before it </w:t>
      </w:r>
      <w:r w:rsidR="00985566">
        <w:rPr>
          <w:szCs w:val="22"/>
        </w:rPr>
        <w:t>the captioned mutually-</w:t>
      </w:r>
      <w:r w:rsidR="006039C6" w:rsidRPr="0023398A">
        <w:rPr>
          <w:szCs w:val="22"/>
        </w:rPr>
        <w:t xml:space="preserve">exclusive </w:t>
      </w:r>
      <w:r w:rsidR="00312CB5">
        <w:rPr>
          <w:szCs w:val="22"/>
        </w:rPr>
        <w:t xml:space="preserve">(“MX”) </w:t>
      </w:r>
      <w:r w:rsidR="006039C6" w:rsidRPr="0023398A">
        <w:rPr>
          <w:szCs w:val="22"/>
        </w:rPr>
        <w:t xml:space="preserve">applications of Center for Emerging Media, Inc. (“CEM”), </w:t>
      </w:r>
      <w:r w:rsidR="00915A62">
        <w:rPr>
          <w:szCs w:val="22"/>
        </w:rPr>
        <w:t>The Benedicti</w:t>
      </w:r>
      <w:r w:rsidR="005A7B5E">
        <w:rPr>
          <w:szCs w:val="22"/>
        </w:rPr>
        <w:t>ne Society of Baltimore</w:t>
      </w:r>
      <w:r w:rsidR="004A6A5D">
        <w:rPr>
          <w:szCs w:val="22"/>
        </w:rPr>
        <w:t xml:space="preserve"> City</w:t>
      </w:r>
      <w:r w:rsidR="005A7B5E">
        <w:rPr>
          <w:szCs w:val="22"/>
        </w:rPr>
        <w:t xml:space="preserve"> (“BSB”), </w:t>
      </w:r>
      <w:r w:rsidR="006039C6" w:rsidRPr="0023398A">
        <w:rPr>
          <w:szCs w:val="22"/>
        </w:rPr>
        <w:t>Loyola University Maryland (“Loyola”),</w:t>
      </w:r>
      <w:r w:rsidR="00786210">
        <w:rPr>
          <w:szCs w:val="22"/>
        </w:rPr>
        <w:t xml:space="preserve"> The United Workers Association (“UWA”), </w:t>
      </w:r>
      <w:r w:rsidR="005A7B5E">
        <w:rPr>
          <w:szCs w:val="22"/>
        </w:rPr>
        <w:t xml:space="preserve">and </w:t>
      </w:r>
      <w:r w:rsidR="00786210">
        <w:rPr>
          <w:szCs w:val="22"/>
        </w:rPr>
        <w:t xml:space="preserve">Johns Hopkins University (“JHU”) </w:t>
      </w:r>
      <w:r w:rsidR="00150573">
        <w:rPr>
          <w:szCs w:val="22"/>
        </w:rPr>
        <w:t xml:space="preserve">(“CEM Application,” </w:t>
      </w:r>
      <w:r w:rsidR="005A7B5E">
        <w:rPr>
          <w:szCs w:val="22"/>
        </w:rPr>
        <w:t xml:space="preserve">“BSB Application,” </w:t>
      </w:r>
      <w:r w:rsidR="00150573">
        <w:rPr>
          <w:szCs w:val="22"/>
        </w:rPr>
        <w:t xml:space="preserve">“Loyola Application,” “UWA Application,” </w:t>
      </w:r>
      <w:r w:rsidR="005A7B5E">
        <w:rPr>
          <w:szCs w:val="22"/>
        </w:rPr>
        <w:t xml:space="preserve">and </w:t>
      </w:r>
      <w:r w:rsidR="00150573">
        <w:rPr>
          <w:szCs w:val="22"/>
        </w:rPr>
        <w:t>“JHU Application,” respectively)</w:t>
      </w:r>
      <w:r w:rsidR="00786210">
        <w:rPr>
          <w:szCs w:val="22"/>
        </w:rPr>
        <w:t>.</w:t>
      </w:r>
      <w:r w:rsidR="00AF2714" w:rsidRPr="0023398A">
        <w:rPr>
          <w:szCs w:val="22"/>
        </w:rPr>
        <w:t xml:space="preserve"> </w:t>
      </w:r>
      <w:r w:rsidR="00786210">
        <w:rPr>
          <w:szCs w:val="22"/>
        </w:rPr>
        <w:t xml:space="preserve"> </w:t>
      </w:r>
      <w:r w:rsidR="00AF2714" w:rsidRPr="0023398A">
        <w:rPr>
          <w:szCs w:val="22"/>
        </w:rPr>
        <w:t>The</w:t>
      </w:r>
      <w:r w:rsidR="00150573">
        <w:rPr>
          <w:szCs w:val="22"/>
        </w:rPr>
        <w:t>se</w:t>
      </w:r>
      <w:r w:rsidR="00AF2714" w:rsidRPr="0023398A">
        <w:rPr>
          <w:szCs w:val="22"/>
        </w:rPr>
        <w:t xml:space="preserve"> applications </w:t>
      </w:r>
      <w:r w:rsidR="00150573">
        <w:rPr>
          <w:szCs w:val="22"/>
        </w:rPr>
        <w:t xml:space="preserve">and the applications </w:t>
      </w:r>
      <w:r w:rsidR="000B6DB7">
        <w:rPr>
          <w:szCs w:val="22"/>
        </w:rPr>
        <w:t xml:space="preserve">for new LPFM stations </w:t>
      </w:r>
      <w:r w:rsidR="00150573">
        <w:rPr>
          <w:szCs w:val="22"/>
        </w:rPr>
        <w:t xml:space="preserve">filed by </w:t>
      </w:r>
      <w:r w:rsidR="005A7B5E">
        <w:t>St. Joseph’s</w:t>
      </w:r>
      <w:r w:rsidR="00FF21B8">
        <w:t>,</w:t>
      </w:r>
      <w:r w:rsidR="005A7B5E">
        <w:t xml:space="preserve"> Sykesville</w:t>
      </w:r>
      <w:r w:rsidR="00FF21B8">
        <w:t>,</w:t>
      </w:r>
      <w:r w:rsidR="005A7B5E">
        <w:t xml:space="preserve"> Roman Catholic Congregation, Inc</w:t>
      </w:r>
      <w:r w:rsidR="009C5E1F">
        <w:t>.</w:t>
      </w:r>
      <w:r w:rsidR="005A7B5E">
        <w:t xml:space="preserve"> (“St. Joseph</w:t>
      </w:r>
      <w:r w:rsidR="00144D28">
        <w:t>’s</w:t>
      </w:r>
      <w:r w:rsidR="00150573">
        <w:t>”)</w:t>
      </w:r>
      <w:r w:rsidR="00F55C13">
        <w:t>, Eldersburg, M</w:t>
      </w:r>
      <w:r w:rsidR="00144D28">
        <w:t>aryland</w:t>
      </w:r>
      <w:r w:rsidR="00F55C13">
        <w:t>,</w:t>
      </w:r>
      <w:r w:rsidR="00150573">
        <w:t xml:space="preserve"> and Radiant Foundation Corporation</w:t>
      </w:r>
      <w:r w:rsidR="00890581">
        <w:t xml:space="preserve"> (“RFC”)</w:t>
      </w:r>
      <w:r w:rsidR="00F55C13">
        <w:t xml:space="preserve">, Ellicott City, </w:t>
      </w:r>
      <w:r w:rsidR="00144D28">
        <w:t>Maryland</w:t>
      </w:r>
      <w:r w:rsidR="00150573">
        <w:rPr>
          <w:rStyle w:val="FootnoteReference"/>
        </w:rPr>
        <w:footnoteReference w:id="2"/>
      </w:r>
      <w:r w:rsidR="00150573">
        <w:rPr>
          <w:szCs w:val="22"/>
        </w:rPr>
        <w:t xml:space="preserve"> </w:t>
      </w:r>
      <w:r w:rsidR="00AF2714" w:rsidRPr="0023398A">
        <w:rPr>
          <w:szCs w:val="22"/>
        </w:rPr>
        <w:t xml:space="preserve">were filed in the 2013 LPFM filing window and identified by the Media Bureau as LPFM </w:t>
      </w:r>
      <w:r w:rsidR="008534B8">
        <w:rPr>
          <w:szCs w:val="22"/>
        </w:rPr>
        <w:t xml:space="preserve">MX </w:t>
      </w:r>
      <w:r w:rsidR="00AF2714" w:rsidRPr="0023398A">
        <w:rPr>
          <w:szCs w:val="22"/>
        </w:rPr>
        <w:t>Group 198.</w:t>
      </w:r>
      <w:r w:rsidR="00AF2714">
        <w:rPr>
          <w:rStyle w:val="FootnoteReference"/>
          <w:szCs w:val="22"/>
        </w:rPr>
        <w:footnoteReference w:id="3"/>
      </w:r>
      <w:r w:rsidR="00AF2714" w:rsidRPr="0023398A">
        <w:rPr>
          <w:szCs w:val="22"/>
        </w:rPr>
        <w:t xml:space="preserve">  </w:t>
      </w:r>
    </w:p>
    <w:p w:rsidR="006039C6" w:rsidRPr="008534B8" w:rsidRDefault="00AF2714" w:rsidP="0058411F">
      <w:pPr>
        <w:pStyle w:val="ParaNum"/>
        <w:widowControl/>
        <w:rPr>
          <w:szCs w:val="22"/>
        </w:rPr>
      </w:pPr>
      <w:r w:rsidRPr="008534B8">
        <w:rPr>
          <w:szCs w:val="22"/>
        </w:rPr>
        <w:lastRenderedPageBreak/>
        <w:t xml:space="preserve">On September 5, 2014, the Commission </w:t>
      </w:r>
      <w:r w:rsidR="008534B8" w:rsidRPr="008534B8">
        <w:rPr>
          <w:szCs w:val="22"/>
        </w:rPr>
        <w:t xml:space="preserve">issued a Public Notice in which it </w:t>
      </w:r>
      <w:r w:rsidRPr="008534B8">
        <w:rPr>
          <w:szCs w:val="22"/>
        </w:rPr>
        <w:t>conducted a point-system analysis</w:t>
      </w:r>
      <w:r w:rsidR="008534B8" w:rsidRPr="008534B8">
        <w:rPr>
          <w:szCs w:val="22"/>
        </w:rPr>
        <w:t xml:space="preserve"> of 111 mutually exclusive LPFM groups.</w:t>
      </w:r>
      <w:r w:rsidR="008534B8" w:rsidRPr="008534B8">
        <w:rPr>
          <w:rStyle w:val="FootnoteReference"/>
          <w:szCs w:val="22"/>
        </w:rPr>
        <w:t xml:space="preserve"> </w:t>
      </w:r>
      <w:r w:rsidR="008534B8">
        <w:rPr>
          <w:rStyle w:val="FootnoteReference"/>
          <w:szCs w:val="22"/>
        </w:rPr>
        <w:footnoteReference w:id="4"/>
      </w:r>
      <w:r w:rsidR="008534B8" w:rsidRPr="008534B8">
        <w:rPr>
          <w:szCs w:val="22"/>
        </w:rPr>
        <w:t xml:space="preserve">  </w:t>
      </w:r>
      <w:r w:rsidR="00F55C13">
        <w:rPr>
          <w:szCs w:val="22"/>
        </w:rPr>
        <w:t>With regard to LPFM MX Group 198, t</w:t>
      </w:r>
      <w:r w:rsidR="008534B8" w:rsidRPr="008534B8">
        <w:rPr>
          <w:szCs w:val="22"/>
        </w:rPr>
        <w:t xml:space="preserve">he </w:t>
      </w:r>
      <w:r w:rsidR="008534B8" w:rsidRPr="008534B8">
        <w:rPr>
          <w:i/>
          <w:szCs w:val="22"/>
        </w:rPr>
        <w:t xml:space="preserve">September Public Notice </w:t>
      </w:r>
      <w:r w:rsidR="008534B8" w:rsidRPr="008534B8">
        <w:rPr>
          <w:szCs w:val="22"/>
        </w:rPr>
        <w:t xml:space="preserve">determined that </w:t>
      </w:r>
      <w:r w:rsidR="00F35042" w:rsidRPr="008534B8">
        <w:rPr>
          <w:szCs w:val="22"/>
        </w:rPr>
        <w:t>the applications of</w:t>
      </w:r>
      <w:r w:rsidR="0058411F" w:rsidRPr="008534B8">
        <w:rPr>
          <w:szCs w:val="22"/>
        </w:rPr>
        <w:t xml:space="preserve"> CEM, B</w:t>
      </w:r>
      <w:r w:rsidR="008534B8" w:rsidRPr="008534B8">
        <w:rPr>
          <w:szCs w:val="22"/>
        </w:rPr>
        <w:t xml:space="preserve">SB, UWA, JHU, and St. Joseph’s were </w:t>
      </w:r>
      <w:r w:rsidR="00144D28">
        <w:rPr>
          <w:szCs w:val="22"/>
        </w:rPr>
        <w:t xml:space="preserve">each </w:t>
      </w:r>
      <w:r w:rsidR="008534B8" w:rsidRPr="008534B8">
        <w:rPr>
          <w:szCs w:val="22"/>
        </w:rPr>
        <w:t>entitled to a</w:t>
      </w:r>
      <w:r w:rsidR="0058411F" w:rsidRPr="008534B8">
        <w:rPr>
          <w:szCs w:val="22"/>
        </w:rPr>
        <w:t xml:space="preserve"> total of five </w:t>
      </w:r>
      <w:r w:rsidR="00211BCF">
        <w:rPr>
          <w:szCs w:val="22"/>
        </w:rPr>
        <w:t xml:space="preserve">comparative </w:t>
      </w:r>
      <w:r w:rsidR="0058411F" w:rsidRPr="008534B8">
        <w:rPr>
          <w:szCs w:val="22"/>
        </w:rPr>
        <w:t>points</w:t>
      </w:r>
      <w:r w:rsidR="00211BCF">
        <w:rPr>
          <w:szCs w:val="22"/>
        </w:rPr>
        <w:t xml:space="preserve"> awarded pursuant to Section 73.872 of the Rules</w:t>
      </w:r>
      <w:r w:rsidR="008534B8" w:rsidRPr="008534B8">
        <w:rPr>
          <w:szCs w:val="22"/>
        </w:rPr>
        <w:t>,</w:t>
      </w:r>
      <w:r w:rsidR="00211BCF">
        <w:rPr>
          <w:rStyle w:val="FootnoteReference"/>
          <w:szCs w:val="22"/>
        </w:rPr>
        <w:footnoteReference w:id="5"/>
      </w:r>
      <w:r w:rsidR="008534B8" w:rsidRPr="008534B8">
        <w:rPr>
          <w:szCs w:val="22"/>
        </w:rPr>
        <w:t xml:space="preserve"> while</w:t>
      </w:r>
      <w:r w:rsidR="00F35042" w:rsidRPr="008534B8">
        <w:rPr>
          <w:szCs w:val="22"/>
        </w:rPr>
        <w:t xml:space="preserve"> the applications of Loyola and RFC </w:t>
      </w:r>
      <w:r w:rsidR="008534B8" w:rsidRPr="008534B8">
        <w:rPr>
          <w:szCs w:val="22"/>
        </w:rPr>
        <w:t xml:space="preserve">were </w:t>
      </w:r>
      <w:r w:rsidR="00144D28">
        <w:rPr>
          <w:szCs w:val="22"/>
        </w:rPr>
        <w:t xml:space="preserve">each </w:t>
      </w:r>
      <w:r w:rsidR="008534B8" w:rsidRPr="008534B8">
        <w:rPr>
          <w:szCs w:val="22"/>
        </w:rPr>
        <w:t xml:space="preserve">entitled to </w:t>
      </w:r>
      <w:r w:rsidR="00F35042" w:rsidRPr="008534B8">
        <w:rPr>
          <w:szCs w:val="22"/>
        </w:rPr>
        <w:t>four points</w:t>
      </w:r>
      <w:r w:rsidR="0058411F" w:rsidRPr="008534B8">
        <w:rPr>
          <w:szCs w:val="22"/>
        </w:rPr>
        <w:t>.</w:t>
      </w:r>
      <w:r w:rsidR="008534B8">
        <w:rPr>
          <w:rStyle w:val="FootnoteReference"/>
          <w:szCs w:val="22"/>
        </w:rPr>
        <w:footnoteReference w:id="6"/>
      </w:r>
      <w:r w:rsidR="0058411F" w:rsidRPr="008534B8">
        <w:rPr>
          <w:szCs w:val="22"/>
        </w:rPr>
        <w:t xml:space="preserve">  The Commission thus identified </w:t>
      </w:r>
      <w:r w:rsidRPr="008534B8">
        <w:rPr>
          <w:szCs w:val="22"/>
        </w:rPr>
        <w:t xml:space="preserve">the applications of CEM, BSB, UWA, JHU, and St. Joseph’s as tentative selectees of LPFM Group 198 on a time-share basis.  The </w:t>
      </w:r>
      <w:r w:rsidRPr="008534B8">
        <w:rPr>
          <w:i/>
          <w:szCs w:val="22"/>
        </w:rPr>
        <w:t xml:space="preserve">September Public Notice </w:t>
      </w:r>
      <w:r w:rsidRPr="008534B8">
        <w:rPr>
          <w:szCs w:val="22"/>
        </w:rPr>
        <w:t xml:space="preserve">began a 30-day period for filing petitions to deny those applications, and began 90-day periods in which </w:t>
      </w:r>
      <w:r w:rsidR="000B6DB7">
        <w:rPr>
          <w:szCs w:val="22"/>
        </w:rPr>
        <w:t xml:space="preserve">MX </w:t>
      </w:r>
      <w:r w:rsidRPr="008534B8">
        <w:rPr>
          <w:szCs w:val="22"/>
        </w:rPr>
        <w:t xml:space="preserve">applicants could file major amendments to resolve their mutual exclusivities or </w:t>
      </w:r>
      <w:r w:rsidR="00144D28">
        <w:rPr>
          <w:szCs w:val="22"/>
        </w:rPr>
        <w:t xml:space="preserve">those named as tentative selectees could </w:t>
      </w:r>
      <w:r w:rsidRPr="008534B8">
        <w:rPr>
          <w:szCs w:val="22"/>
        </w:rPr>
        <w:t>file point-aggregation time-share agreements.</w:t>
      </w:r>
      <w:r w:rsidR="0023398A" w:rsidRPr="008534B8">
        <w:rPr>
          <w:szCs w:val="22"/>
        </w:rPr>
        <w:t xml:space="preserve">  </w:t>
      </w:r>
      <w:r w:rsidR="008534B8" w:rsidRPr="008534B8">
        <w:rPr>
          <w:szCs w:val="22"/>
        </w:rPr>
        <w:t xml:space="preserve">Loyola timely filed a Petition to Deny (“Petition”) in which it argues that the Commission erred in: 1) not awarding the Loyola Application a point under the diversity of ownership criterion; and 2) awarding the JHU Application a point under </w:t>
      </w:r>
      <w:r w:rsidR="006F0BB0">
        <w:rPr>
          <w:szCs w:val="22"/>
        </w:rPr>
        <w:t>that</w:t>
      </w:r>
      <w:r w:rsidR="008534B8" w:rsidRPr="008534B8">
        <w:rPr>
          <w:szCs w:val="22"/>
        </w:rPr>
        <w:t xml:space="preserve"> criterion.</w:t>
      </w:r>
      <w:r w:rsidR="008534B8">
        <w:rPr>
          <w:rStyle w:val="FootnoteReference"/>
          <w:szCs w:val="22"/>
        </w:rPr>
        <w:footnoteReference w:id="7"/>
      </w:r>
      <w:r w:rsidR="008534B8" w:rsidRPr="008534B8">
        <w:rPr>
          <w:szCs w:val="22"/>
        </w:rPr>
        <w:t xml:space="preserve">  </w:t>
      </w:r>
      <w:r w:rsidR="00A73DDB">
        <w:rPr>
          <w:szCs w:val="22"/>
        </w:rPr>
        <w:t>Subsequently, BSB</w:t>
      </w:r>
      <w:r w:rsidR="0023398A" w:rsidRPr="008534B8">
        <w:rPr>
          <w:szCs w:val="22"/>
        </w:rPr>
        <w:t>, St. Joseph</w:t>
      </w:r>
      <w:r w:rsidR="00144D28">
        <w:rPr>
          <w:szCs w:val="22"/>
        </w:rPr>
        <w:t>’s</w:t>
      </w:r>
      <w:r w:rsidR="0023398A" w:rsidRPr="008534B8">
        <w:rPr>
          <w:szCs w:val="22"/>
        </w:rPr>
        <w:t xml:space="preserve">, and JHU </w:t>
      </w:r>
      <w:r w:rsidR="00D16805">
        <w:rPr>
          <w:szCs w:val="22"/>
        </w:rPr>
        <w:t xml:space="preserve">amended their respective applications to </w:t>
      </w:r>
      <w:r w:rsidR="0023398A" w:rsidRPr="008534B8">
        <w:rPr>
          <w:szCs w:val="22"/>
        </w:rPr>
        <w:t xml:space="preserve">file a time-share agreement in which they aggregated their points </w:t>
      </w:r>
      <w:r w:rsidR="00F55C13">
        <w:rPr>
          <w:szCs w:val="22"/>
        </w:rPr>
        <w:t xml:space="preserve">awarded them in the </w:t>
      </w:r>
      <w:r w:rsidR="00F55C13" w:rsidRPr="006C740F">
        <w:rPr>
          <w:i/>
          <w:szCs w:val="22"/>
        </w:rPr>
        <w:t>September Public Notice</w:t>
      </w:r>
      <w:r w:rsidR="00F55C13">
        <w:rPr>
          <w:szCs w:val="22"/>
        </w:rPr>
        <w:t xml:space="preserve"> </w:t>
      </w:r>
      <w:r w:rsidR="0023398A" w:rsidRPr="008534B8">
        <w:rPr>
          <w:szCs w:val="22"/>
        </w:rPr>
        <w:t>for a total of 15 points.</w:t>
      </w:r>
      <w:r w:rsidR="009303E9">
        <w:rPr>
          <w:rStyle w:val="FootnoteReference"/>
          <w:szCs w:val="22"/>
        </w:rPr>
        <w:footnoteReference w:id="8"/>
      </w:r>
      <w:r w:rsidR="0023398A" w:rsidRPr="008534B8">
        <w:rPr>
          <w:szCs w:val="22"/>
        </w:rPr>
        <w:t xml:space="preserve"> </w:t>
      </w:r>
    </w:p>
    <w:p w:rsidR="00867221" w:rsidRPr="00867221" w:rsidRDefault="001103E9" w:rsidP="00BF5586">
      <w:pPr>
        <w:pStyle w:val="ParaNum"/>
        <w:widowControl/>
        <w:rPr>
          <w:rFonts w:ascii="Verdana" w:hAnsi="Verdana"/>
          <w:color w:val="000000"/>
          <w:sz w:val="19"/>
          <w:szCs w:val="19"/>
          <w:shd w:val="clear" w:color="auto" w:fill="FFFFFF"/>
        </w:rPr>
      </w:pPr>
      <w:r>
        <w:rPr>
          <w:i/>
          <w:szCs w:val="22"/>
        </w:rPr>
        <w:t>Loyola</w:t>
      </w:r>
      <w:r w:rsidR="000E1EB4">
        <w:rPr>
          <w:i/>
          <w:szCs w:val="22"/>
        </w:rPr>
        <w:t xml:space="preserve"> Application.</w:t>
      </w:r>
      <w:r w:rsidR="000E1EB4">
        <w:rPr>
          <w:szCs w:val="22"/>
        </w:rPr>
        <w:t xml:space="preserve">  </w:t>
      </w:r>
      <w:r w:rsidR="00867221">
        <w:rPr>
          <w:szCs w:val="22"/>
        </w:rPr>
        <w:t xml:space="preserve">The </w:t>
      </w:r>
      <w:r w:rsidR="007467B8">
        <w:rPr>
          <w:szCs w:val="22"/>
        </w:rPr>
        <w:t>Loyola</w:t>
      </w:r>
      <w:r w:rsidR="00867221">
        <w:rPr>
          <w:szCs w:val="22"/>
        </w:rPr>
        <w:t xml:space="preserve"> </w:t>
      </w:r>
      <w:r w:rsidR="007467B8">
        <w:rPr>
          <w:szCs w:val="22"/>
        </w:rPr>
        <w:t>Application</w:t>
      </w:r>
      <w:r w:rsidR="00867221">
        <w:rPr>
          <w:szCs w:val="22"/>
        </w:rPr>
        <w:t xml:space="preserve"> stated that a mem</w:t>
      </w:r>
      <w:r w:rsidR="00D83CF1">
        <w:rPr>
          <w:szCs w:val="22"/>
        </w:rPr>
        <w:t>ber of Loyola’s Board of Trustees</w:t>
      </w:r>
      <w:r w:rsidR="00867221">
        <w:rPr>
          <w:szCs w:val="22"/>
        </w:rPr>
        <w:t xml:space="preserve">, </w:t>
      </w:r>
      <w:r w:rsidR="00881F67">
        <w:rPr>
          <w:szCs w:val="22"/>
        </w:rPr>
        <w:t xml:space="preserve">Rosemary Juras, holds attributable interests in Station WQLL(AM), </w:t>
      </w:r>
      <w:r w:rsidR="00D83CF1">
        <w:rPr>
          <w:szCs w:val="22"/>
        </w:rPr>
        <w:t>Pikesville</w:t>
      </w:r>
      <w:r w:rsidR="00881F67">
        <w:rPr>
          <w:szCs w:val="22"/>
        </w:rPr>
        <w:t>, Maryland, and WCBM(AM), Baltimore</w:t>
      </w:r>
      <w:r w:rsidR="00F55C13">
        <w:rPr>
          <w:szCs w:val="22"/>
        </w:rPr>
        <w:t>,</w:t>
      </w:r>
      <w:r w:rsidR="00881F67">
        <w:rPr>
          <w:szCs w:val="22"/>
        </w:rPr>
        <w:t xml:space="preserve"> Maryland.</w:t>
      </w:r>
      <w:r w:rsidR="00881F67">
        <w:rPr>
          <w:rStyle w:val="FootnoteReference"/>
          <w:szCs w:val="22"/>
        </w:rPr>
        <w:footnoteReference w:id="9"/>
      </w:r>
      <w:r w:rsidR="00FA13A4">
        <w:rPr>
          <w:szCs w:val="22"/>
        </w:rPr>
        <w:t xml:space="preserve">  Loyola stated that, pursuant to Section 73.858(a) of the Commission’s Rules (“Rules”),</w:t>
      </w:r>
      <w:r w:rsidR="00C10EF6">
        <w:rPr>
          <w:rStyle w:val="FootnoteReference"/>
          <w:szCs w:val="22"/>
        </w:rPr>
        <w:footnoteReference w:id="10"/>
      </w:r>
      <w:r w:rsidR="00FA13A4">
        <w:rPr>
          <w:szCs w:val="22"/>
        </w:rPr>
        <w:t xml:space="preserve"> Juras would recuse herself from any decision involving Loyola’s proposed LPFM station.</w:t>
      </w:r>
      <w:r w:rsidR="00FA13A4">
        <w:rPr>
          <w:rStyle w:val="FootnoteReference"/>
          <w:szCs w:val="22"/>
        </w:rPr>
        <w:footnoteReference w:id="11"/>
      </w:r>
      <w:r w:rsidR="007467B8">
        <w:rPr>
          <w:szCs w:val="22"/>
        </w:rPr>
        <w:t xml:space="preserve">  Loyola further ce</w:t>
      </w:r>
      <w:r w:rsidR="00F35042">
        <w:rPr>
          <w:szCs w:val="22"/>
        </w:rPr>
        <w:t>rtified that it was eligible t</w:t>
      </w:r>
      <w:r w:rsidR="007467B8">
        <w:rPr>
          <w:szCs w:val="22"/>
        </w:rPr>
        <w:t>o</w:t>
      </w:r>
      <w:r w:rsidR="00F35042">
        <w:rPr>
          <w:szCs w:val="22"/>
        </w:rPr>
        <w:t xml:space="preserve"> </w:t>
      </w:r>
      <w:r w:rsidR="007467B8">
        <w:rPr>
          <w:szCs w:val="22"/>
        </w:rPr>
        <w:t xml:space="preserve">receive a point under the </w:t>
      </w:r>
      <w:r w:rsidR="007467B8">
        <w:rPr>
          <w:szCs w:val="22"/>
        </w:rPr>
        <w:lastRenderedPageBreak/>
        <w:t>diversity of ownership criterion.</w:t>
      </w:r>
      <w:r w:rsidR="007467B8">
        <w:rPr>
          <w:rStyle w:val="FootnoteReference"/>
          <w:szCs w:val="22"/>
        </w:rPr>
        <w:footnoteReference w:id="12"/>
      </w:r>
      <w:r w:rsidR="00F35042">
        <w:rPr>
          <w:szCs w:val="22"/>
        </w:rPr>
        <w:t xml:space="preserve">  </w:t>
      </w:r>
      <w:r w:rsidR="00F55C13">
        <w:rPr>
          <w:szCs w:val="22"/>
        </w:rPr>
        <w:t xml:space="preserve">In the </w:t>
      </w:r>
      <w:r w:rsidR="00F55C13" w:rsidRPr="004957D6">
        <w:rPr>
          <w:i/>
          <w:szCs w:val="22"/>
        </w:rPr>
        <w:t xml:space="preserve">September Public </w:t>
      </w:r>
      <w:r w:rsidR="00D72840">
        <w:rPr>
          <w:i/>
          <w:szCs w:val="22"/>
        </w:rPr>
        <w:t>Notice</w:t>
      </w:r>
      <w:r w:rsidR="00F55C13">
        <w:rPr>
          <w:szCs w:val="22"/>
        </w:rPr>
        <w:t>, t</w:t>
      </w:r>
      <w:r w:rsidR="00F35042" w:rsidRPr="0023398A">
        <w:rPr>
          <w:szCs w:val="22"/>
        </w:rPr>
        <w:t>he Co</w:t>
      </w:r>
      <w:r w:rsidR="00F35042">
        <w:rPr>
          <w:szCs w:val="22"/>
        </w:rPr>
        <w:t xml:space="preserve">mmission </w:t>
      </w:r>
      <w:r w:rsidR="008534B8">
        <w:rPr>
          <w:szCs w:val="22"/>
        </w:rPr>
        <w:t xml:space="preserve">explained that </w:t>
      </w:r>
      <w:r w:rsidR="00F35042">
        <w:rPr>
          <w:szCs w:val="22"/>
        </w:rPr>
        <w:t>Loyola</w:t>
      </w:r>
      <w:r w:rsidR="008534B8">
        <w:rPr>
          <w:szCs w:val="22"/>
        </w:rPr>
        <w:t xml:space="preserve"> was not entitled to</w:t>
      </w:r>
      <w:r w:rsidR="00F35042">
        <w:rPr>
          <w:szCs w:val="22"/>
        </w:rPr>
        <w:t xml:space="preserve"> this point</w:t>
      </w:r>
      <w:r w:rsidR="008534B8">
        <w:rPr>
          <w:szCs w:val="22"/>
        </w:rPr>
        <w:t xml:space="preserve"> because </w:t>
      </w:r>
      <w:r w:rsidR="005F3E0A">
        <w:rPr>
          <w:szCs w:val="22"/>
        </w:rPr>
        <w:t xml:space="preserve">although </w:t>
      </w:r>
      <w:r w:rsidR="006B2EEA">
        <w:rPr>
          <w:szCs w:val="22"/>
        </w:rPr>
        <w:t>Juras</w:t>
      </w:r>
      <w:r w:rsidR="005F3E0A">
        <w:rPr>
          <w:szCs w:val="22"/>
        </w:rPr>
        <w:t>’</w:t>
      </w:r>
      <w:r w:rsidR="00D83CF1">
        <w:rPr>
          <w:szCs w:val="22"/>
        </w:rPr>
        <w:t xml:space="preserve"> </w:t>
      </w:r>
      <w:r w:rsidR="005F3E0A">
        <w:rPr>
          <w:szCs w:val="22"/>
        </w:rPr>
        <w:t>attributable</w:t>
      </w:r>
      <w:r w:rsidR="006B2EEA">
        <w:rPr>
          <w:szCs w:val="22"/>
        </w:rPr>
        <w:t xml:space="preserve"> interest</w:t>
      </w:r>
      <w:r w:rsidR="00D72840">
        <w:rPr>
          <w:szCs w:val="22"/>
        </w:rPr>
        <w:t>s</w:t>
      </w:r>
      <w:r w:rsidR="005F3E0A">
        <w:rPr>
          <w:szCs w:val="22"/>
        </w:rPr>
        <w:t xml:space="preserve"> in WQLL(AM) and WCBM(AM) did not render it ineligible to hold an LPFM license</w:t>
      </w:r>
      <w:r w:rsidR="00211BCF">
        <w:rPr>
          <w:szCs w:val="22"/>
        </w:rPr>
        <w:t xml:space="preserve"> due to the recusal exception to the ownership attribution rules</w:t>
      </w:r>
      <w:r w:rsidR="005F3E0A">
        <w:rPr>
          <w:szCs w:val="22"/>
        </w:rPr>
        <w:t xml:space="preserve">, </w:t>
      </w:r>
      <w:r w:rsidR="00D72840">
        <w:rPr>
          <w:szCs w:val="22"/>
        </w:rPr>
        <w:t xml:space="preserve">they </w:t>
      </w:r>
      <w:r w:rsidR="005F7E78">
        <w:rPr>
          <w:szCs w:val="22"/>
        </w:rPr>
        <w:t xml:space="preserve">did </w:t>
      </w:r>
      <w:r w:rsidR="005F3E0A">
        <w:rPr>
          <w:szCs w:val="22"/>
        </w:rPr>
        <w:t xml:space="preserve">preclude the Loyola Application </w:t>
      </w:r>
      <w:r w:rsidR="00F55C13">
        <w:rPr>
          <w:szCs w:val="22"/>
        </w:rPr>
        <w:t xml:space="preserve">from </w:t>
      </w:r>
      <w:r w:rsidR="005F3E0A">
        <w:rPr>
          <w:szCs w:val="22"/>
        </w:rPr>
        <w:t>receiving a point under the diversity of ownership criterion</w:t>
      </w:r>
      <w:r w:rsidR="00F35042" w:rsidRPr="0023398A">
        <w:rPr>
          <w:szCs w:val="22"/>
        </w:rPr>
        <w:t>.</w:t>
      </w:r>
      <w:r w:rsidR="00F35042">
        <w:rPr>
          <w:rStyle w:val="FootnoteReference"/>
          <w:szCs w:val="22"/>
        </w:rPr>
        <w:footnoteReference w:id="13"/>
      </w:r>
      <w:r w:rsidR="00F35042" w:rsidRPr="0023398A">
        <w:rPr>
          <w:szCs w:val="22"/>
        </w:rPr>
        <w:t xml:space="preserve">  </w:t>
      </w:r>
    </w:p>
    <w:p w:rsidR="008C1831" w:rsidRPr="008C1831" w:rsidRDefault="00F35042" w:rsidP="00BF5586">
      <w:pPr>
        <w:pStyle w:val="ParaNum"/>
        <w:widowControl/>
        <w:rPr>
          <w:rFonts w:ascii="Verdana" w:hAnsi="Verdana"/>
          <w:color w:val="000000"/>
          <w:sz w:val="19"/>
          <w:szCs w:val="19"/>
          <w:shd w:val="clear" w:color="auto" w:fill="FFFFFF"/>
        </w:rPr>
      </w:pPr>
      <w:r w:rsidRPr="00521FC9">
        <w:rPr>
          <w:szCs w:val="22"/>
        </w:rPr>
        <w:t>In the Petition, Loyola argues</w:t>
      </w:r>
      <w:r w:rsidR="00521FC9" w:rsidRPr="00521FC9">
        <w:rPr>
          <w:szCs w:val="22"/>
        </w:rPr>
        <w:t xml:space="preserve"> that Juras’ interest</w:t>
      </w:r>
      <w:r w:rsidR="00D72840">
        <w:rPr>
          <w:szCs w:val="22"/>
        </w:rPr>
        <w:t>s</w:t>
      </w:r>
      <w:r w:rsidR="00521FC9" w:rsidRPr="00521FC9">
        <w:rPr>
          <w:szCs w:val="22"/>
        </w:rPr>
        <w:t xml:space="preserve"> in WQLL(AM) and WCBM(AM) should not</w:t>
      </w:r>
      <w:r w:rsidR="002118CA">
        <w:rPr>
          <w:szCs w:val="22"/>
        </w:rPr>
        <w:t xml:space="preserve"> be</w:t>
      </w:r>
      <w:r w:rsidR="00521FC9" w:rsidRPr="00521FC9">
        <w:rPr>
          <w:szCs w:val="22"/>
        </w:rPr>
        <w:t xml:space="preserve"> attributable to Loyola for the purposes of the diversity of ownership point.</w:t>
      </w:r>
      <w:r w:rsidR="00521FC9">
        <w:rPr>
          <w:szCs w:val="22"/>
        </w:rPr>
        <w:t xml:space="preserve">  Lo</w:t>
      </w:r>
      <w:r w:rsidR="00521FC9" w:rsidRPr="00521FC9">
        <w:rPr>
          <w:szCs w:val="22"/>
        </w:rPr>
        <w:t>y</w:t>
      </w:r>
      <w:r w:rsidR="00521FC9">
        <w:rPr>
          <w:szCs w:val="22"/>
        </w:rPr>
        <w:t>ol</w:t>
      </w:r>
      <w:r w:rsidR="00521FC9" w:rsidRPr="00521FC9">
        <w:rPr>
          <w:szCs w:val="22"/>
        </w:rPr>
        <w:t>a states that Section</w:t>
      </w:r>
      <w:r w:rsidRPr="00521FC9">
        <w:rPr>
          <w:szCs w:val="22"/>
        </w:rPr>
        <w:t xml:space="preserve"> 73.858(a</w:t>
      </w:r>
      <w:r w:rsidR="009B4A50" w:rsidRPr="00521FC9">
        <w:rPr>
          <w:szCs w:val="22"/>
        </w:rPr>
        <w:t xml:space="preserve">) </w:t>
      </w:r>
      <w:r w:rsidR="00F55C13">
        <w:rPr>
          <w:rStyle w:val="FootnoteReference"/>
          <w:szCs w:val="22"/>
        </w:rPr>
        <w:t xml:space="preserve"> </w:t>
      </w:r>
      <w:r w:rsidR="00521FC9">
        <w:rPr>
          <w:szCs w:val="22"/>
        </w:rPr>
        <w:t>makes such interests non-attributable,</w:t>
      </w:r>
      <w:r w:rsidRPr="00521FC9">
        <w:rPr>
          <w:szCs w:val="22"/>
        </w:rPr>
        <w:t xml:space="preserve"> and </w:t>
      </w:r>
      <w:r w:rsidR="00521FC9">
        <w:rPr>
          <w:szCs w:val="22"/>
        </w:rPr>
        <w:t xml:space="preserve">that </w:t>
      </w:r>
      <w:r w:rsidRPr="00521FC9">
        <w:rPr>
          <w:szCs w:val="22"/>
        </w:rPr>
        <w:t>the Instruction</w:t>
      </w:r>
      <w:r w:rsidR="00521FC9" w:rsidRPr="00521FC9">
        <w:rPr>
          <w:szCs w:val="22"/>
        </w:rPr>
        <w:t>s</w:t>
      </w:r>
      <w:r w:rsidRPr="00521FC9">
        <w:rPr>
          <w:szCs w:val="22"/>
        </w:rPr>
        <w:t xml:space="preserve"> to </w:t>
      </w:r>
      <w:r w:rsidR="00737EAC" w:rsidRPr="00521FC9">
        <w:rPr>
          <w:szCs w:val="22"/>
        </w:rPr>
        <w:t xml:space="preserve">FCC Form 318 </w:t>
      </w:r>
      <w:r w:rsidR="00AD2F47" w:rsidRPr="00521FC9">
        <w:rPr>
          <w:szCs w:val="22"/>
        </w:rPr>
        <w:t xml:space="preserve">(“Instructions”) </w:t>
      </w:r>
      <w:r w:rsidR="00F43908">
        <w:rPr>
          <w:szCs w:val="22"/>
        </w:rPr>
        <w:t xml:space="preserve">notes </w:t>
      </w:r>
      <w:r w:rsidR="00737EAC" w:rsidRPr="00521FC9">
        <w:rPr>
          <w:szCs w:val="22"/>
        </w:rPr>
        <w:t>that</w:t>
      </w:r>
      <w:r w:rsidR="00DE39C7" w:rsidRPr="00521FC9">
        <w:rPr>
          <w:szCs w:val="22"/>
        </w:rPr>
        <w:t xml:space="preserve"> applicants that provide a recusal statement pursuant to Section 73.858(a) will “</w:t>
      </w:r>
      <w:r w:rsidR="00DE39C7">
        <w:t>not have those interests attributed to them for purposes of an LPFM station application.”</w:t>
      </w:r>
      <w:r w:rsidR="00DE39C7">
        <w:rPr>
          <w:rStyle w:val="FootnoteReference"/>
        </w:rPr>
        <w:footnoteReference w:id="14"/>
      </w:r>
      <w:r w:rsidR="00DE39C7">
        <w:t xml:space="preserve">  </w:t>
      </w:r>
      <w:r w:rsidR="001302BD">
        <w:t>Loyola argues that</w:t>
      </w:r>
      <w:r w:rsidR="00985566">
        <w:t xml:space="preserve"> it</w:t>
      </w:r>
      <w:r w:rsidR="001302BD">
        <w:t xml:space="preserve"> is contradictory to “simultaneously treat a recusal commitment as both effective and ineffective in negating an otherwise attributable interest.”</w:t>
      </w:r>
      <w:r w:rsidR="001302BD">
        <w:rPr>
          <w:rStyle w:val="FootnoteReference"/>
        </w:rPr>
        <w:footnoteReference w:id="15"/>
      </w:r>
      <w:r w:rsidR="001302BD">
        <w:t xml:space="preserve">  Loyola further argues that the mutually exclusive group public notices were the first time that the Commission indicated that Section 73.858(a) applicants would not be entitled to this point.</w:t>
      </w:r>
      <w:r w:rsidR="001302BD">
        <w:rPr>
          <w:rStyle w:val="FootnoteReference"/>
        </w:rPr>
        <w:footnoteReference w:id="16"/>
      </w:r>
      <w:r w:rsidR="001302BD">
        <w:t xml:space="preserve">  </w:t>
      </w:r>
      <w:r w:rsidR="00521FC9" w:rsidRPr="00521FC9">
        <w:rPr>
          <w:szCs w:val="22"/>
        </w:rPr>
        <w:t>A</w:t>
      </w:r>
      <w:r w:rsidR="001302BD">
        <w:rPr>
          <w:szCs w:val="22"/>
        </w:rPr>
        <w:t xml:space="preserve">ccordingly, Loyola states it </w:t>
      </w:r>
      <w:r w:rsidR="00521FC9" w:rsidRPr="00521FC9">
        <w:rPr>
          <w:szCs w:val="22"/>
        </w:rPr>
        <w:t xml:space="preserve">was entitled to a point under the diversity of ownership criterion under Section 73.872(b)(5). </w:t>
      </w:r>
    </w:p>
    <w:p w:rsidR="00B21541" w:rsidRPr="00B21541" w:rsidRDefault="008C1831" w:rsidP="00B21541">
      <w:pPr>
        <w:pStyle w:val="ParaNum"/>
        <w:widowControl/>
        <w:rPr>
          <w:snapToGrid/>
          <w:shd w:val="clear" w:color="auto" w:fill="FFFFFF"/>
        </w:rPr>
      </w:pPr>
      <w:r w:rsidRPr="008C1831">
        <w:rPr>
          <w:szCs w:val="22"/>
        </w:rPr>
        <w:t xml:space="preserve">We </w:t>
      </w:r>
      <w:r>
        <w:rPr>
          <w:szCs w:val="22"/>
        </w:rPr>
        <w:t xml:space="preserve">find that </w:t>
      </w:r>
      <w:r w:rsidRPr="008C1831">
        <w:rPr>
          <w:szCs w:val="22"/>
        </w:rPr>
        <w:t xml:space="preserve">the Commission </w:t>
      </w:r>
      <w:r>
        <w:rPr>
          <w:szCs w:val="22"/>
        </w:rPr>
        <w:t>correctly denied Loyola</w:t>
      </w:r>
      <w:r w:rsidRPr="008C1831">
        <w:rPr>
          <w:szCs w:val="22"/>
        </w:rPr>
        <w:t xml:space="preserve"> a </w:t>
      </w:r>
      <w:r>
        <w:rPr>
          <w:szCs w:val="22"/>
        </w:rPr>
        <w:t xml:space="preserve">diversity of ownership </w:t>
      </w:r>
      <w:r w:rsidRPr="008C1831">
        <w:rPr>
          <w:szCs w:val="22"/>
        </w:rPr>
        <w:t xml:space="preserve">point. Section 73.858(a) </w:t>
      </w:r>
      <w:r w:rsidR="00F55C13">
        <w:rPr>
          <w:szCs w:val="22"/>
        </w:rPr>
        <w:t xml:space="preserve">expressly </w:t>
      </w:r>
      <w:r w:rsidRPr="008C1831">
        <w:rPr>
          <w:szCs w:val="22"/>
        </w:rPr>
        <w:t xml:space="preserve">provides for </w:t>
      </w:r>
      <w:r w:rsidR="0078711B">
        <w:rPr>
          <w:szCs w:val="22"/>
        </w:rPr>
        <w:t xml:space="preserve">an </w:t>
      </w:r>
      <w:r w:rsidR="00211BCF">
        <w:rPr>
          <w:szCs w:val="22"/>
        </w:rPr>
        <w:t xml:space="preserve">attribution </w:t>
      </w:r>
      <w:r w:rsidRPr="008C1831">
        <w:rPr>
          <w:szCs w:val="22"/>
        </w:rPr>
        <w:t xml:space="preserve">exception </w:t>
      </w:r>
      <w:r w:rsidR="00D72840">
        <w:rPr>
          <w:szCs w:val="22"/>
        </w:rPr>
        <w:t xml:space="preserve">only </w:t>
      </w:r>
      <w:r w:rsidRPr="008C1831">
        <w:rPr>
          <w:szCs w:val="22"/>
        </w:rPr>
        <w:t xml:space="preserve">to the Commission’s ownership limits </w:t>
      </w:r>
      <w:r w:rsidR="00F55C13">
        <w:rPr>
          <w:szCs w:val="22"/>
        </w:rPr>
        <w:t xml:space="preserve">(Section 73.855) </w:t>
      </w:r>
      <w:r w:rsidRPr="008C1831">
        <w:rPr>
          <w:szCs w:val="22"/>
        </w:rPr>
        <w:t xml:space="preserve">and cross-ownership </w:t>
      </w:r>
      <w:r w:rsidR="00F55C13">
        <w:rPr>
          <w:szCs w:val="22"/>
        </w:rPr>
        <w:t xml:space="preserve">(Section 73.860) </w:t>
      </w:r>
      <w:r w:rsidR="00312CB5">
        <w:rPr>
          <w:szCs w:val="22"/>
        </w:rPr>
        <w:t xml:space="preserve">applicant eligibility </w:t>
      </w:r>
      <w:r w:rsidRPr="008C1831">
        <w:rPr>
          <w:szCs w:val="22"/>
        </w:rPr>
        <w:t>restrictions</w:t>
      </w:r>
      <w:r w:rsidR="00BF65B4">
        <w:rPr>
          <w:szCs w:val="22"/>
        </w:rPr>
        <w:t xml:space="preserve">, and does not </w:t>
      </w:r>
      <w:r w:rsidR="003614B2">
        <w:rPr>
          <w:szCs w:val="22"/>
        </w:rPr>
        <w:t xml:space="preserve">provide </w:t>
      </w:r>
      <w:r w:rsidR="00BF65B4">
        <w:rPr>
          <w:szCs w:val="22"/>
        </w:rPr>
        <w:t xml:space="preserve">that the Commission </w:t>
      </w:r>
      <w:r w:rsidR="003614B2">
        <w:rPr>
          <w:szCs w:val="22"/>
        </w:rPr>
        <w:t xml:space="preserve">will </w:t>
      </w:r>
      <w:r w:rsidR="00BF65B4">
        <w:rPr>
          <w:szCs w:val="22"/>
        </w:rPr>
        <w:t>disregard an applicant’s attributable interests for other purposes</w:t>
      </w:r>
      <w:r w:rsidRPr="008C1831">
        <w:rPr>
          <w:szCs w:val="22"/>
        </w:rPr>
        <w:t>.</w:t>
      </w:r>
      <w:r>
        <w:rPr>
          <w:rStyle w:val="FootnoteReference"/>
          <w:szCs w:val="22"/>
        </w:rPr>
        <w:footnoteReference w:id="17"/>
      </w:r>
      <w:r w:rsidR="00F779DF">
        <w:rPr>
          <w:szCs w:val="22"/>
        </w:rPr>
        <w:t xml:space="preserve"> </w:t>
      </w:r>
      <w:r w:rsidRPr="008C1831">
        <w:rPr>
          <w:szCs w:val="22"/>
        </w:rPr>
        <w:t xml:space="preserve"> Thus</w:t>
      </w:r>
      <w:r w:rsidR="00890581">
        <w:rPr>
          <w:szCs w:val="22"/>
        </w:rPr>
        <w:t>,</w:t>
      </w:r>
      <w:r w:rsidRPr="008C1831">
        <w:rPr>
          <w:szCs w:val="22"/>
        </w:rPr>
        <w:t xml:space="preserve"> </w:t>
      </w:r>
      <w:r w:rsidR="000C7CB8">
        <w:rPr>
          <w:szCs w:val="22"/>
        </w:rPr>
        <w:t>Section 73.858(a)</w:t>
      </w:r>
      <w:r w:rsidRPr="008C1831">
        <w:rPr>
          <w:szCs w:val="22"/>
        </w:rPr>
        <w:t xml:space="preserve"> does not </w:t>
      </w:r>
      <w:r w:rsidR="003614B2">
        <w:rPr>
          <w:szCs w:val="22"/>
        </w:rPr>
        <w:t>apply the</w:t>
      </w:r>
      <w:r w:rsidR="00B21541">
        <w:rPr>
          <w:szCs w:val="22"/>
        </w:rPr>
        <w:t xml:space="preserve"> exception to the Commission’s attribution rules </w:t>
      </w:r>
      <w:r w:rsidR="003614B2">
        <w:rPr>
          <w:szCs w:val="22"/>
        </w:rPr>
        <w:t>to</w:t>
      </w:r>
      <w:r w:rsidRPr="008C1831">
        <w:rPr>
          <w:szCs w:val="22"/>
        </w:rPr>
        <w:t xml:space="preserve"> </w:t>
      </w:r>
      <w:r w:rsidR="00D72840">
        <w:rPr>
          <w:szCs w:val="22"/>
        </w:rPr>
        <w:t xml:space="preserve">the </w:t>
      </w:r>
      <w:r w:rsidR="00312CB5">
        <w:rPr>
          <w:szCs w:val="22"/>
        </w:rPr>
        <w:t xml:space="preserve">LPFM selection </w:t>
      </w:r>
      <w:r w:rsidR="00D72840">
        <w:rPr>
          <w:szCs w:val="22"/>
        </w:rPr>
        <w:t xml:space="preserve">point criteria awarded under </w:t>
      </w:r>
      <w:r w:rsidRPr="008C1831">
        <w:rPr>
          <w:szCs w:val="22"/>
        </w:rPr>
        <w:t>Section 73.872</w:t>
      </w:r>
      <w:r w:rsidR="00312CB5">
        <w:rPr>
          <w:szCs w:val="22"/>
        </w:rPr>
        <w:t xml:space="preserve">, including that for diversity of ownership under </w:t>
      </w:r>
      <w:r w:rsidR="00211BCF">
        <w:rPr>
          <w:szCs w:val="22"/>
        </w:rPr>
        <w:t xml:space="preserve">Section </w:t>
      </w:r>
      <w:r w:rsidR="00312CB5">
        <w:rPr>
          <w:szCs w:val="22"/>
        </w:rPr>
        <w:t>73.872</w:t>
      </w:r>
      <w:r w:rsidRPr="008C1831">
        <w:rPr>
          <w:szCs w:val="22"/>
        </w:rPr>
        <w:t>(b)(5).</w:t>
      </w:r>
      <w:r w:rsidR="00890581">
        <w:rPr>
          <w:szCs w:val="22"/>
        </w:rPr>
        <w:t xml:space="preserve">  The Commission made this same distinction with regard to Section 73.858(b) which </w:t>
      </w:r>
      <w:r w:rsidR="00E40FCC">
        <w:rPr>
          <w:szCs w:val="22"/>
        </w:rPr>
        <w:t xml:space="preserve">in certain circumstances makes non-attributable to a local chapter of a national organization the </w:t>
      </w:r>
      <w:r w:rsidR="00E40FCC">
        <w:rPr>
          <w:szCs w:val="22"/>
        </w:rPr>
        <w:lastRenderedPageBreak/>
        <w:t>attributable interests of the national organization.  In carving out this o</w:t>
      </w:r>
      <w:r w:rsidR="00890581">
        <w:rPr>
          <w:szCs w:val="22"/>
        </w:rPr>
        <w:t xml:space="preserve">wnership </w:t>
      </w:r>
      <w:r w:rsidR="00890581">
        <w:rPr>
          <w:i/>
          <w:szCs w:val="22"/>
        </w:rPr>
        <w:t xml:space="preserve">eligibility </w:t>
      </w:r>
      <w:r w:rsidR="00890581">
        <w:rPr>
          <w:szCs w:val="22"/>
        </w:rPr>
        <w:t>exception</w:t>
      </w:r>
      <w:r w:rsidR="00E40FCC">
        <w:rPr>
          <w:szCs w:val="22"/>
        </w:rPr>
        <w:t>, it</w:t>
      </w:r>
      <w:r w:rsidR="00890581">
        <w:rPr>
          <w:szCs w:val="22"/>
        </w:rPr>
        <w:t xml:space="preserve"> noted that </w:t>
      </w:r>
      <w:r w:rsidR="00E40FCC">
        <w:rPr>
          <w:szCs w:val="22"/>
        </w:rPr>
        <w:t>such local chapters would not be entitled to a diversity of ownership point.</w:t>
      </w:r>
      <w:r w:rsidR="00F21E4E">
        <w:rPr>
          <w:rStyle w:val="FootnoteReference"/>
          <w:szCs w:val="22"/>
          <w:shd w:val="clear" w:color="auto" w:fill="FFFFFF"/>
        </w:rPr>
        <w:footnoteReference w:id="18"/>
      </w:r>
      <w:r w:rsidRPr="008C1831">
        <w:rPr>
          <w:szCs w:val="22"/>
        </w:rPr>
        <w:t xml:space="preserve">  </w:t>
      </w:r>
    </w:p>
    <w:p w:rsidR="008C1831" w:rsidRPr="00F21E4E" w:rsidRDefault="00B21541" w:rsidP="00F21E4E">
      <w:pPr>
        <w:pStyle w:val="ParaNum"/>
        <w:widowControl/>
        <w:rPr>
          <w:snapToGrid/>
          <w:shd w:val="clear" w:color="auto" w:fill="FFFFFF"/>
        </w:rPr>
      </w:pPr>
      <w:r>
        <w:rPr>
          <w:color w:val="000000"/>
          <w:szCs w:val="22"/>
          <w:shd w:val="clear" w:color="auto" w:fill="FFFFFF"/>
        </w:rPr>
        <w:t>We also disagree with Loyola’s s</w:t>
      </w:r>
      <w:r w:rsidR="00CB09C3">
        <w:rPr>
          <w:color w:val="000000"/>
          <w:szCs w:val="22"/>
          <w:shd w:val="clear" w:color="auto" w:fill="FFFFFF"/>
        </w:rPr>
        <w:t>trained</w:t>
      </w:r>
      <w:r>
        <w:rPr>
          <w:color w:val="000000"/>
          <w:szCs w:val="22"/>
          <w:shd w:val="clear" w:color="auto" w:fill="FFFFFF"/>
        </w:rPr>
        <w:t xml:space="preserve"> reading of the Instructions.  The text Loyola cites instructs applicants how to complete Section II, Question 3 and Question 5 of FCC Form 318, </w:t>
      </w:r>
      <w:r w:rsidR="0065286C">
        <w:rPr>
          <w:color w:val="000000"/>
          <w:szCs w:val="22"/>
          <w:shd w:val="clear" w:color="auto" w:fill="FFFFFF"/>
        </w:rPr>
        <w:t xml:space="preserve">questions </w:t>
      </w:r>
      <w:r>
        <w:rPr>
          <w:color w:val="000000"/>
          <w:szCs w:val="22"/>
          <w:shd w:val="clear" w:color="auto" w:fill="FFFFFF"/>
        </w:rPr>
        <w:t xml:space="preserve">which </w:t>
      </w:r>
      <w:r w:rsidR="0065286C">
        <w:rPr>
          <w:color w:val="000000"/>
          <w:szCs w:val="22"/>
          <w:shd w:val="clear" w:color="auto" w:fill="FFFFFF"/>
        </w:rPr>
        <w:t xml:space="preserve">are designed to identify </w:t>
      </w:r>
      <w:r>
        <w:rPr>
          <w:color w:val="000000"/>
          <w:szCs w:val="22"/>
          <w:shd w:val="clear" w:color="auto" w:fill="FFFFFF"/>
        </w:rPr>
        <w:t xml:space="preserve">the parties to the application and </w:t>
      </w:r>
      <w:r w:rsidR="00211BCF">
        <w:rPr>
          <w:color w:val="000000"/>
          <w:szCs w:val="22"/>
          <w:shd w:val="clear" w:color="auto" w:fill="FFFFFF"/>
        </w:rPr>
        <w:t xml:space="preserve">to establish </w:t>
      </w:r>
      <w:r>
        <w:rPr>
          <w:color w:val="000000"/>
          <w:szCs w:val="22"/>
          <w:shd w:val="clear" w:color="auto" w:fill="FFFFFF"/>
        </w:rPr>
        <w:t xml:space="preserve">their </w:t>
      </w:r>
      <w:r w:rsidR="00AE6CE9" w:rsidRPr="00D9144C">
        <w:rPr>
          <w:i/>
          <w:color w:val="000000"/>
          <w:szCs w:val="22"/>
          <w:shd w:val="clear" w:color="auto" w:fill="FFFFFF"/>
        </w:rPr>
        <w:t>basic qualifications</w:t>
      </w:r>
      <w:r w:rsidR="00211BCF">
        <w:rPr>
          <w:i/>
          <w:color w:val="000000"/>
          <w:szCs w:val="22"/>
          <w:shd w:val="clear" w:color="auto" w:fill="FFFFFF"/>
        </w:rPr>
        <w:t xml:space="preserve"> </w:t>
      </w:r>
      <w:r w:rsidR="00211BCF">
        <w:rPr>
          <w:color w:val="000000"/>
          <w:szCs w:val="22"/>
          <w:shd w:val="clear" w:color="auto" w:fill="FFFFFF"/>
        </w:rPr>
        <w:t>under the Commission’s ownership rules</w:t>
      </w:r>
      <w:r>
        <w:rPr>
          <w:color w:val="000000"/>
          <w:szCs w:val="22"/>
          <w:shd w:val="clear" w:color="auto" w:fill="FFFFFF"/>
        </w:rPr>
        <w:t>.</w:t>
      </w:r>
      <w:r w:rsidR="00AE6CE9">
        <w:rPr>
          <w:rStyle w:val="FootnoteReference"/>
          <w:szCs w:val="22"/>
          <w:shd w:val="clear" w:color="auto" w:fill="FFFFFF"/>
        </w:rPr>
        <w:footnoteReference w:id="19"/>
      </w:r>
      <w:r>
        <w:rPr>
          <w:color w:val="000000"/>
          <w:szCs w:val="22"/>
          <w:shd w:val="clear" w:color="auto" w:fill="FFFFFF"/>
        </w:rPr>
        <w:t xml:space="preserve">  The Instructions </w:t>
      </w:r>
      <w:r w:rsidR="00A403D8">
        <w:rPr>
          <w:color w:val="000000"/>
          <w:szCs w:val="22"/>
          <w:shd w:val="clear" w:color="auto" w:fill="FFFFFF"/>
        </w:rPr>
        <w:t>do not</w:t>
      </w:r>
      <w:r>
        <w:rPr>
          <w:color w:val="000000"/>
          <w:szCs w:val="22"/>
          <w:shd w:val="clear" w:color="auto" w:fill="FFFFFF"/>
        </w:rPr>
        <w:t xml:space="preserve"> state that applicants that are eligible to apply for an LPFM construction permit pursuant to Section 73.858 will be entitled to a point for diversity of ownership</w:t>
      </w:r>
      <w:r w:rsidR="00AE6CE9">
        <w:rPr>
          <w:color w:val="000000"/>
          <w:szCs w:val="22"/>
          <w:shd w:val="clear" w:color="auto" w:fill="FFFFFF"/>
        </w:rPr>
        <w:t xml:space="preserve"> for comparative purposes</w:t>
      </w:r>
      <w:r>
        <w:rPr>
          <w:color w:val="000000"/>
          <w:szCs w:val="22"/>
          <w:shd w:val="clear" w:color="auto" w:fill="FFFFFF"/>
        </w:rPr>
        <w:t xml:space="preserve">.  </w:t>
      </w:r>
      <w:r w:rsidR="00A27141">
        <w:rPr>
          <w:color w:val="000000"/>
          <w:szCs w:val="22"/>
          <w:shd w:val="clear" w:color="auto" w:fill="FFFFFF"/>
        </w:rPr>
        <w:t xml:space="preserve">Loyola’s </w:t>
      </w:r>
      <w:r>
        <w:rPr>
          <w:color w:val="000000"/>
          <w:szCs w:val="22"/>
          <w:shd w:val="clear" w:color="auto" w:fill="FFFFFF"/>
        </w:rPr>
        <w:t xml:space="preserve">interpretation of the Instructions is </w:t>
      </w:r>
      <w:r w:rsidR="00211BCF">
        <w:rPr>
          <w:color w:val="000000"/>
          <w:szCs w:val="22"/>
          <w:shd w:val="clear" w:color="auto" w:fill="FFFFFF"/>
        </w:rPr>
        <w:t>not only inconsistent with the limited scope of the recusal exception to the attribution rules established by Section 73.858(a), it is also</w:t>
      </w:r>
      <w:r w:rsidR="00D9144C">
        <w:rPr>
          <w:color w:val="000000"/>
          <w:szCs w:val="22"/>
          <w:shd w:val="clear" w:color="auto" w:fill="FFFFFF"/>
        </w:rPr>
        <w:t xml:space="preserve"> </w:t>
      </w:r>
      <w:r>
        <w:rPr>
          <w:color w:val="000000"/>
          <w:szCs w:val="22"/>
          <w:shd w:val="clear" w:color="auto" w:fill="FFFFFF"/>
        </w:rPr>
        <w:t>unreasonable</w:t>
      </w:r>
      <w:r w:rsidR="00AE6CE9">
        <w:rPr>
          <w:color w:val="000000"/>
          <w:szCs w:val="22"/>
          <w:shd w:val="clear" w:color="auto" w:fill="FFFFFF"/>
        </w:rPr>
        <w:t>,</w:t>
      </w:r>
      <w:r w:rsidR="00256042">
        <w:rPr>
          <w:color w:val="000000"/>
          <w:szCs w:val="22"/>
          <w:shd w:val="clear" w:color="auto" w:fill="FFFFFF"/>
        </w:rPr>
        <w:t xml:space="preserve"> </w:t>
      </w:r>
      <w:r>
        <w:rPr>
          <w:color w:val="000000"/>
          <w:szCs w:val="22"/>
          <w:shd w:val="clear" w:color="auto" w:fill="FFFFFF"/>
        </w:rPr>
        <w:t xml:space="preserve">as </w:t>
      </w:r>
      <w:r w:rsidR="00A403D8">
        <w:rPr>
          <w:color w:val="000000"/>
          <w:szCs w:val="22"/>
          <w:shd w:val="clear" w:color="auto" w:fill="FFFFFF"/>
        </w:rPr>
        <w:t xml:space="preserve">it </w:t>
      </w:r>
      <w:r>
        <w:rPr>
          <w:color w:val="000000"/>
          <w:szCs w:val="22"/>
          <w:shd w:val="clear" w:color="auto" w:fill="FFFFFF"/>
        </w:rPr>
        <w:t xml:space="preserve">would </w:t>
      </w:r>
      <w:r w:rsidR="00256042">
        <w:rPr>
          <w:color w:val="000000"/>
          <w:szCs w:val="22"/>
          <w:shd w:val="clear" w:color="auto" w:fill="FFFFFF"/>
        </w:rPr>
        <w:t xml:space="preserve">permit applicants with attributable broadcast interests to be </w:t>
      </w:r>
      <w:r>
        <w:rPr>
          <w:color w:val="000000"/>
          <w:szCs w:val="22"/>
          <w:shd w:val="clear" w:color="auto" w:fill="FFFFFF"/>
        </w:rPr>
        <w:t xml:space="preserve">awarded a point for diversity of ownership, thus undermining the Commission’s goal in establishing the new entrant point in the </w:t>
      </w:r>
      <w:r>
        <w:rPr>
          <w:i/>
          <w:color w:val="000000"/>
          <w:szCs w:val="22"/>
          <w:shd w:val="clear" w:color="auto" w:fill="FFFFFF"/>
        </w:rPr>
        <w:t xml:space="preserve">Sixth Report and </w:t>
      </w:r>
      <w:r w:rsidRPr="00D9144C">
        <w:rPr>
          <w:color w:val="000000"/>
          <w:szCs w:val="22"/>
          <w:shd w:val="clear" w:color="auto" w:fill="FFFFFF"/>
        </w:rPr>
        <w:t>Order</w:t>
      </w:r>
      <w:r w:rsidR="00A400A3" w:rsidRPr="00D9144C">
        <w:rPr>
          <w:color w:val="000000"/>
          <w:szCs w:val="22"/>
          <w:shd w:val="clear" w:color="auto" w:fill="FFFFFF"/>
        </w:rPr>
        <w:t xml:space="preserve"> </w:t>
      </w:r>
      <w:r w:rsidR="00A400A3">
        <w:rPr>
          <w:color w:val="000000"/>
          <w:szCs w:val="22"/>
          <w:shd w:val="clear" w:color="auto" w:fill="FFFFFF"/>
        </w:rPr>
        <w:t>of</w:t>
      </w:r>
      <w:r w:rsidR="00A400A3" w:rsidRPr="00A400A3">
        <w:rPr>
          <w:color w:val="000000"/>
          <w:szCs w:val="22"/>
          <w:shd w:val="clear" w:color="auto" w:fill="FFFFFF"/>
        </w:rPr>
        <w:t xml:space="preserve"> encouraging</w:t>
      </w:r>
      <w:r w:rsidR="00A400A3" w:rsidRPr="00D9144C">
        <w:rPr>
          <w:color w:val="000000"/>
          <w:szCs w:val="22"/>
          <w:shd w:val="clear" w:color="auto" w:fill="FFFFFF"/>
        </w:rPr>
        <w:t xml:space="preserve"> new entrants to broadcasting</w:t>
      </w:r>
      <w:r w:rsidR="00A400A3">
        <w:rPr>
          <w:color w:val="000000"/>
          <w:szCs w:val="22"/>
          <w:shd w:val="clear" w:color="auto" w:fill="FFFFFF"/>
        </w:rPr>
        <w:t xml:space="preserve">, thus </w:t>
      </w:r>
      <w:r w:rsidR="00A400A3" w:rsidRPr="00D9144C">
        <w:rPr>
          <w:color w:val="000000"/>
          <w:szCs w:val="22"/>
          <w:shd w:val="clear" w:color="auto" w:fill="FFFFFF"/>
        </w:rPr>
        <w:t>foster</w:t>
      </w:r>
      <w:r w:rsidR="00A400A3">
        <w:rPr>
          <w:color w:val="000000"/>
          <w:szCs w:val="22"/>
          <w:shd w:val="clear" w:color="auto" w:fill="FFFFFF"/>
        </w:rPr>
        <w:t>ing</w:t>
      </w:r>
      <w:r w:rsidR="00A400A3" w:rsidRPr="00D9144C">
        <w:rPr>
          <w:color w:val="000000"/>
          <w:szCs w:val="22"/>
          <w:shd w:val="clear" w:color="auto" w:fill="FFFFFF"/>
        </w:rPr>
        <w:t xml:space="preserve"> diversity</w:t>
      </w:r>
      <w:r w:rsidRPr="00A400A3">
        <w:rPr>
          <w:color w:val="000000"/>
          <w:szCs w:val="22"/>
          <w:shd w:val="clear" w:color="auto" w:fill="FFFFFF"/>
        </w:rPr>
        <w:t>.</w:t>
      </w:r>
      <w:r w:rsidR="008C1831" w:rsidRPr="006D6EEB">
        <w:rPr>
          <w:rStyle w:val="FootnoteReference"/>
          <w:sz w:val="22"/>
          <w:szCs w:val="22"/>
          <w:shd w:val="clear" w:color="auto" w:fill="FFFFFF"/>
        </w:rPr>
        <w:footnoteReference w:id="20"/>
      </w:r>
      <w:r w:rsidR="008C1831" w:rsidRPr="00F21E4E">
        <w:rPr>
          <w:color w:val="000000"/>
          <w:szCs w:val="22"/>
          <w:shd w:val="clear" w:color="auto" w:fill="FFFFFF"/>
        </w:rPr>
        <w:t xml:space="preserve">  </w:t>
      </w:r>
      <w:r w:rsidR="00FE4E12" w:rsidRPr="00F21E4E">
        <w:rPr>
          <w:color w:val="000000"/>
          <w:szCs w:val="22"/>
          <w:shd w:val="clear" w:color="auto" w:fill="FFFFFF"/>
        </w:rPr>
        <w:t xml:space="preserve">Because there is no </w:t>
      </w:r>
      <w:r w:rsidR="003614B2">
        <w:rPr>
          <w:color w:val="000000"/>
          <w:szCs w:val="22"/>
          <w:shd w:val="clear" w:color="auto" w:fill="FFFFFF"/>
        </w:rPr>
        <w:t>conflict</w:t>
      </w:r>
      <w:r w:rsidR="003614B2" w:rsidRPr="00F21E4E">
        <w:rPr>
          <w:color w:val="000000"/>
          <w:szCs w:val="22"/>
          <w:shd w:val="clear" w:color="auto" w:fill="FFFFFF"/>
        </w:rPr>
        <w:t xml:space="preserve"> </w:t>
      </w:r>
      <w:r w:rsidR="00FE4E12" w:rsidRPr="00F21E4E">
        <w:rPr>
          <w:color w:val="000000"/>
          <w:szCs w:val="22"/>
          <w:shd w:val="clear" w:color="auto" w:fill="FFFFFF"/>
        </w:rPr>
        <w:t xml:space="preserve">between Section 73.858(a) and the Instructions, </w:t>
      </w:r>
      <w:r w:rsidR="00F21E4E">
        <w:rPr>
          <w:color w:val="000000"/>
          <w:szCs w:val="22"/>
          <w:shd w:val="clear" w:color="auto" w:fill="FFFFFF"/>
        </w:rPr>
        <w:t xml:space="preserve">and Loyola’s interpretation of the Instructions contradicts the </w:t>
      </w:r>
      <w:r w:rsidR="003614B2">
        <w:rPr>
          <w:color w:val="000000"/>
          <w:szCs w:val="22"/>
          <w:shd w:val="clear" w:color="auto" w:fill="FFFFFF"/>
        </w:rPr>
        <w:t xml:space="preserve">language of Section 73.858 and </w:t>
      </w:r>
      <w:r w:rsidR="00F21E4E">
        <w:rPr>
          <w:color w:val="000000"/>
          <w:szCs w:val="22"/>
          <w:shd w:val="clear" w:color="auto" w:fill="FFFFFF"/>
        </w:rPr>
        <w:t xml:space="preserve">Commission’s stated purpose in awarding a comparative point to new entrants, </w:t>
      </w:r>
      <w:r w:rsidR="00FE4E12" w:rsidRPr="00F21E4E">
        <w:rPr>
          <w:color w:val="000000"/>
          <w:szCs w:val="22"/>
          <w:shd w:val="clear" w:color="auto" w:fill="FFFFFF"/>
        </w:rPr>
        <w:t>we</w:t>
      </w:r>
      <w:r w:rsidR="00EE6120" w:rsidRPr="00F21E4E">
        <w:rPr>
          <w:color w:val="000000"/>
          <w:szCs w:val="22"/>
          <w:shd w:val="clear" w:color="auto" w:fill="FFFFFF"/>
        </w:rPr>
        <w:t xml:space="preserve"> reject Loyola’s </w:t>
      </w:r>
      <w:r w:rsidR="00CB09C3">
        <w:rPr>
          <w:color w:val="000000"/>
          <w:szCs w:val="22"/>
          <w:shd w:val="clear" w:color="auto" w:fill="FFFFFF"/>
        </w:rPr>
        <w:t>argument</w:t>
      </w:r>
      <w:r w:rsidR="00EE6120" w:rsidRPr="00F21E4E">
        <w:rPr>
          <w:color w:val="000000"/>
          <w:szCs w:val="22"/>
          <w:shd w:val="clear" w:color="auto" w:fill="FFFFFF"/>
        </w:rPr>
        <w:t>.</w:t>
      </w:r>
      <w:r w:rsidR="00F74278">
        <w:rPr>
          <w:rStyle w:val="FootnoteReference"/>
          <w:szCs w:val="22"/>
          <w:shd w:val="clear" w:color="auto" w:fill="FFFFFF"/>
        </w:rPr>
        <w:footnoteReference w:id="21"/>
      </w:r>
      <w:r w:rsidR="00CF1A38" w:rsidRPr="00F21E4E">
        <w:rPr>
          <w:color w:val="000000"/>
          <w:szCs w:val="22"/>
          <w:shd w:val="clear" w:color="auto" w:fill="FFFFFF"/>
        </w:rPr>
        <w:t xml:space="preserve"> </w:t>
      </w:r>
      <w:r w:rsidR="00553484" w:rsidRPr="00F21E4E">
        <w:rPr>
          <w:color w:val="000000"/>
          <w:szCs w:val="22"/>
          <w:shd w:val="clear" w:color="auto" w:fill="FFFFFF"/>
        </w:rPr>
        <w:t xml:space="preserve">  </w:t>
      </w:r>
      <w:r w:rsidR="001014B9" w:rsidRPr="00F21E4E">
        <w:rPr>
          <w:color w:val="000000"/>
          <w:szCs w:val="22"/>
          <w:shd w:val="clear" w:color="auto" w:fill="FFFFFF"/>
        </w:rPr>
        <w:t xml:space="preserve"> </w:t>
      </w:r>
      <w:r w:rsidR="0024002B" w:rsidRPr="00F21E4E">
        <w:rPr>
          <w:color w:val="000000"/>
          <w:szCs w:val="22"/>
          <w:shd w:val="clear" w:color="auto" w:fill="FFFFFF"/>
        </w:rPr>
        <w:t xml:space="preserve"> </w:t>
      </w:r>
    </w:p>
    <w:p w:rsidR="000878A9" w:rsidRPr="008C1831" w:rsidRDefault="002F5A1F" w:rsidP="00A62D13">
      <w:pPr>
        <w:pStyle w:val="ParaNum"/>
        <w:widowControl/>
        <w:rPr>
          <w:snapToGrid/>
          <w:shd w:val="clear" w:color="auto" w:fill="FFFFFF"/>
        </w:rPr>
      </w:pPr>
      <w:r w:rsidRPr="008C1831">
        <w:rPr>
          <w:i/>
          <w:snapToGrid/>
          <w:shd w:val="clear" w:color="auto" w:fill="FFFFFF"/>
        </w:rPr>
        <w:t>JHU Application</w:t>
      </w:r>
      <w:r w:rsidRPr="008C1831">
        <w:rPr>
          <w:snapToGrid/>
          <w:shd w:val="clear" w:color="auto" w:fill="FFFFFF"/>
        </w:rPr>
        <w:t xml:space="preserve">.  </w:t>
      </w:r>
      <w:r w:rsidR="00AE0EE5" w:rsidRPr="008C1831">
        <w:rPr>
          <w:snapToGrid/>
          <w:shd w:val="clear" w:color="auto" w:fill="FFFFFF"/>
        </w:rPr>
        <w:t>T</w:t>
      </w:r>
      <w:r w:rsidR="00CE25BA" w:rsidRPr="008C1831">
        <w:rPr>
          <w:snapToGrid/>
          <w:shd w:val="clear" w:color="auto" w:fill="FFFFFF"/>
        </w:rPr>
        <w:t>he JHU Application, as originally filed,</w:t>
      </w:r>
      <w:r w:rsidR="006B2EEA" w:rsidRPr="008C1831">
        <w:rPr>
          <w:snapToGrid/>
          <w:shd w:val="clear" w:color="auto" w:fill="FFFFFF"/>
        </w:rPr>
        <w:t xml:space="preserve"> did not claim a point under the diversity of ownership</w:t>
      </w:r>
      <w:r w:rsidR="00CE25BA" w:rsidRPr="008C1831">
        <w:rPr>
          <w:snapToGrid/>
          <w:shd w:val="clear" w:color="auto" w:fill="FFFFFF"/>
        </w:rPr>
        <w:t xml:space="preserve"> criterion, but rather first claimed the point in an amend</w:t>
      </w:r>
      <w:r w:rsidR="006B2EEA" w:rsidRPr="008C1831">
        <w:rPr>
          <w:snapToGrid/>
          <w:shd w:val="clear" w:color="auto" w:fill="FFFFFF"/>
        </w:rPr>
        <w:t>ment filed on February 14, 2014</w:t>
      </w:r>
      <w:r w:rsidR="00A10EE8" w:rsidRPr="008C1831">
        <w:rPr>
          <w:snapToGrid/>
          <w:shd w:val="clear" w:color="auto" w:fill="FFFFFF"/>
        </w:rPr>
        <w:t xml:space="preserve"> (“Amendment”), after the </w:t>
      </w:r>
      <w:r w:rsidR="00A400A3">
        <w:rPr>
          <w:snapToGrid/>
          <w:shd w:val="clear" w:color="auto" w:fill="FFFFFF"/>
        </w:rPr>
        <w:t xml:space="preserve">November 15, 2013 </w:t>
      </w:r>
      <w:r w:rsidR="00A10EE8" w:rsidRPr="008C1831">
        <w:rPr>
          <w:snapToGrid/>
          <w:shd w:val="clear" w:color="auto" w:fill="FFFFFF"/>
        </w:rPr>
        <w:t>close of the filing window</w:t>
      </w:r>
      <w:r w:rsidR="000878A9" w:rsidRPr="008C1831">
        <w:rPr>
          <w:snapToGrid/>
          <w:shd w:val="clear" w:color="auto" w:fill="FFFFFF"/>
        </w:rPr>
        <w:t>.</w:t>
      </w:r>
      <w:r w:rsidR="00CE25BA">
        <w:rPr>
          <w:rStyle w:val="FootnoteReference"/>
          <w:snapToGrid/>
          <w:shd w:val="clear" w:color="auto" w:fill="FFFFFF"/>
        </w:rPr>
        <w:footnoteReference w:id="22"/>
      </w:r>
      <w:r w:rsidR="000878A9" w:rsidRPr="008C1831">
        <w:rPr>
          <w:snapToGrid/>
          <w:shd w:val="clear" w:color="auto" w:fill="FFFFFF"/>
        </w:rPr>
        <w:t xml:space="preserve">  </w:t>
      </w:r>
      <w:r w:rsidR="005367C8" w:rsidRPr="008C1831">
        <w:rPr>
          <w:snapToGrid/>
          <w:shd w:val="clear" w:color="auto" w:fill="FFFFFF"/>
        </w:rPr>
        <w:t>Loyola</w:t>
      </w:r>
      <w:r w:rsidR="00CE25BA" w:rsidRPr="008C1831">
        <w:rPr>
          <w:snapToGrid/>
          <w:shd w:val="clear" w:color="auto" w:fill="FFFFFF"/>
        </w:rPr>
        <w:t xml:space="preserve"> argues that bo</w:t>
      </w:r>
      <w:r w:rsidR="00DE39C7" w:rsidRPr="008C1831">
        <w:rPr>
          <w:snapToGrid/>
          <w:shd w:val="clear" w:color="auto" w:fill="FFFFFF"/>
        </w:rPr>
        <w:t>th the Rules and the Instructions</w:t>
      </w:r>
      <w:r w:rsidR="007C3276" w:rsidRPr="008C1831">
        <w:rPr>
          <w:snapToGrid/>
          <w:shd w:val="clear" w:color="auto" w:fill="FFFFFF"/>
        </w:rPr>
        <w:t xml:space="preserve"> </w:t>
      </w:r>
      <w:r w:rsidR="00CE25BA" w:rsidRPr="008C1831">
        <w:rPr>
          <w:snapToGrid/>
          <w:shd w:val="clear" w:color="auto" w:fill="FFFFFF"/>
        </w:rPr>
        <w:t>prohibit such an amendment</w:t>
      </w:r>
      <w:r w:rsidR="006B2EEA" w:rsidRPr="008C1831">
        <w:rPr>
          <w:snapToGrid/>
          <w:shd w:val="clear" w:color="auto" w:fill="FFFFFF"/>
        </w:rPr>
        <w:t xml:space="preserve"> and JHU should have thus been denied a point under this criterion</w:t>
      </w:r>
      <w:r w:rsidR="00CE25BA" w:rsidRPr="008C1831">
        <w:rPr>
          <w:snapToGrid/>
          <w:shd w:val="clear" w:color="auto" w:fill="FFFFFF"/>
        </w:rPr>
        <w:t>.</w:t>
      </w:r>
      <w:r w:rsidR="00CE25BA">
        <w:rPr>
          <w:rStyle w:val="FootnoteReference"/>
          <w:snapToGrid/>
          <w:shd w:val="clear" w:color="auto" w:fill="FFFFFF"/>
        </w:rPr>
        <w:footnoteReference w:id="23"/>
      </w:r>
      <w:r w:rsidR="00CE25BA" w:rsidRPr="008C1831">
        <w:rPr>
          <w:snapToGrid/>
          <w:shd w:val="clear" w:color="auto" w:fill="FFFFFF"/>
        </w:rPr>
        <w:t xml:space="preserve">  </w:t>
      </w:r>
      <w:r w:rsidR="006B2EEA" w:rsidRPr="008C1831">
        <w:rPr>
          <w:snapToGrid/>
          <w:shd w:val="clear" w:color="auto" w:fill="FFFFFF"/>
        </w:rPr>
        <w:t xml:space="preserve">Accordingly, </w:t>
      </w:r>
      <w:r w:rsidR="00CE25BA" w:rsidRPr="008C1831">
        <w:rPr>
          <w:snapToGrid/>
          <w:shd w:val="clear" w:color="auto" w:fill="FFFFFF"/>
        </w:rPr>
        <w:t>Loyola argues that JHU should not have been a tentative selectee of LPFM MX Group 198.</w:t>
      </w:r>
    </w:p>
    <w:p w:rsidR="00867221" w:rsidRDefault="00924C0B" w:rsidP="0021761D">
      <w:pPr>
        <w:pStyle w:val="ParaNum"/>
        <w:widowControl/>
        <w:rPr>
          <w:snapToGrid/>
          <w:shd w:val="clear" w:color="auto" w:fill="FFFFFF"/>
        </w:rPr>
      </w:pPr>
      <w:r>
        <w:rPr>
          <w:snapToGrid/>
          <w:shd w:val="clear" w:color="auto" w:fill="FFFFFF"/>
        </w:rPr>
        <w:t xml:space="preserve">We </w:t>
      </w:r>
      <w:r w:rsidR="00FC050C">
        <w:rPr>
          <w:snapToGrid/>
          <w:shd w:val="clear" w:color="auto" w:fill="FFFFFF"/>
        </w:rPr>
        <w:t>agree</w:t>
      </w:r>
      <w:r>
        <w:rPr>
          <w:snapToGrid/>
          <w:shd w:val="clear" w:color="auto" w:fill="FFFFFF"/>
        </w:rPr>
        <w:t xml:space="preserve"> that the </w:t>
      </w:r>
      <w:r>
        <w:rPr>
          <w:i/>
          <w:snapToGrid/>
          <w:shd w:val="clear" w:color="auto" w:fill="FFFFFF"/>
        </w:rPr>
        <w:t>September Public Notice</w:t>
      </w:r>
      <w:r>
        <w:rPr>
          <w:snapToGrid/>
          <w:shd w:val="clear" w:color="auto" w:fill="FFFFFF"/>
        </w:rPr>
        <w:t xml:space="preserve"> erred in awarding JHU a point under the diversity of ownership criterion.  </w:t>
      </w:r>
      <w:r w:rsidR="00A400A3">
        <w:rPr>
          <w:snapToGrid/>
          <w:shd w:val="clear" w:color="auto" w:fill="FFFFFF"/>
        </w:rPr>
        <w:t>As Loyola notes, t</w:t>
      </w:r>
      <w:r>
        <w:rPr>
          <w:snapToGrid/>
          <w:shd w:val="clear" w:color="auto" w:fill="FFFFFF"/>
        </w:rPr>
        <w:t>he Rules and the Instruction</w:t>
      </w:r>
      <w:r w:rsidR="00FC050C">
        <w:rPr>
          <w:snapToGrid/>
          <w:shd w:val="clear" w:color="auto" w:fill="FFFFFF"/>
        </w:rPr>
        <w:t>s</w:t>
      </w:r>
      <w:r>
        <w:rPr>
          <w:snapToGrid/>
          <w:shd w:val="clear" w:color="auto" w:fill="FFFFFF"/>
        </w:rPr>
        <w:t xml:space="preserve"> </w:t>
      </w:r>
      <w:r w:rsidR="0058411F">
        <w:rPr>
          <w:snapToGrid/>
          <w:shd w:val="clear" w:color="auto" w:fill="FFFFFF"/>
        </w:rPr>
        <w:t>clearly</w:t>
      </w:r>
      <w:r>
        <w:rPr>
          <w:snapToGrid/>
          <w:shd w:val="clear" w:color="auto" w:fill="FFFFFF"/>
        </w:rPr>
        <w:t xml:space="preserve"> state that post-</w:t>
      </w:r>
      <w:r w:rsidR="0058411F">
        <w:rPr>
          <w:snapToGrid/>
          <w:shd w:val="clear" w:color="auto" w:fill="FFFFFF"/>
        </w:rPr>
        <w:t>window</w:t>
      </w:r>
      <w:r>
        <w:rPr>
          <w:snapToGrid/>
          <w:shd w:val="clear" w:color="auto" w:fill="FFFFFF"/>
        </w:rPr>
        <w:t xml:space="preserve"> amendments will not be accepted</w:t>
      </w:r>
      <w:r w:rsidR="006B2EEA">
        <w:rPr>
          <w:snapToGrid/>
          <w:shd w:val="clear" w:color="auto" w:fill="FFFFFF"/>
        </w:rPr>
        <w:t xml:space="preserve"> if they result in additional points being claimed</w:t>
      </w:r>
      <w:r>
        <w:rPr>
          <w:snapToGrid/>
          <w:shd w:val="clear" w:color="auto" w:fill="FFFFFF"/>
        </w:rPr>
        <w:t>.</w:t>
      </w:r>
      <w:r w:rsidR="00CE25BA">
        <w:rPr>
          <w:rStyle w:val="FootnoteReference"/>
          <w:snapToGrid/>
          <w:shd w:val="clear" w:color="auto" w:fill="FFFFFF"/>
        </w:rPr>
        <w:footnoteReference w:id="24"/>
      </w:r>
      <w:r>
        <w:rPr>
          <w:snapToGrid/>
          <w:shd w:val="clear" w:color="auto" w:fill="FFFFFF"/>
        </w:rPr>
        <w:t xml:space="preserve">  Accordingl</w:t>
      </w:r>
      <w:r w:rsidR="00804F45">
        <w:rPr>
          <w:snapToGrid/>
          <w:shd w:val="clear" w:color="auto" w:fill="FFFFFF"/>
        </w:rPr>
        <w:t>y, we deduct this</w:t>
      </w:r>
      <w:r w:rsidR="00CE25BA">
        <w:rPr>
          <w:snapToGrid/>
          <w:shd w:val="clear" w:color="auto" w:fill="FFFFFF"/>
        </w:rPr>
        <w:t xml:space="preserve"> point from the JHU Application’s total</w:t>
      </w:r>
      <w:r>
        <w:rPr>
          <w:snapToGrid/>
          <w:shd w:val="clear" w:color="auto" w:fill="FFFFFF"/>
        </w:rPr>
        <w:t xml:space="preserve">, leaving it with four points.  </w:t>
      </w:r>
    </w:p>
    <w:p w:rsidR="00924C0B" w:rsidRDefault="00867221" w:rsidP="00892496">
      <w:pPr>
        <w:pStyle w:val="ParaNum"/>
        <w:widowControl/>
        <w:rPr>
          <w:snapToGrid/>
          <w:shd w:val="clear" w:color="auto" w:fill="FFFFFF"/>
        </w:rPr>
      </w:pPr>
      <w:r>
        <w:rPr>
          <w:snapToGrid/>
          <w:shd w:val="clear" w:color="auto" w:fill="FFFFFF"/>
        </w:rPr>
        <w:lastRenderedPageBreak/>
        <w:t>As a result of deducting on</w:t>
      </w:r>
      <w:r w:rsidR="004C47D8">
        <w:rPr>
          <w:snapToGrid/>
          <w:shd w:val="clear" w:color="auto" w:fill="FFFFFF"/>
        </w:rPr>
        <w:t>e</w:t>
      </w:r>
      <w:r>
        <w:rPr>
          <w:snapToGrid/>
          <w:shd w:val="clear" w:color="auto" w:fill="FFFFFF"/>
        </w:rPr>
        <w:t xml:space="preserve"> point from JHU, t</w:t>
      </w:r>
      <w:r w:rsidR="00CE25BA">
        <w:rPr>
          <w:snapToGrid/>
          <w:shd w:val="clear" w:color="auto" w:fill="FFFFFF"/>
        </w:rPr>
        <w:t xml:space="preserve">he applications of </w:t>
      </w:r>
      <w:r w:rsidR="00A73DDB">
        <w:rPr>
          <w:snapToGrid/>
          <w:shd w:val="clear" w:color="auto" w:fill="FFFFFF"/>
        </w:rPr>
        <w:t>CEM, BSB</w:t>
      </w:r>
      <w:r w:rsidR="00924C0B">
        <w:rPr>
          <w:snapToGrid/>
          <w:shd w:val="clear" w:color="auto" w:fill="FFFFFF"/>
        </w:rPr>
        <w:t xml:space="preserve">, </w:t>
      </w:r>
      <w:r w:rsidR="007168B3">
        <w:rPr>
          <w:snapToGrid/>
          <w:shd w:val="clear" w:color="auto" w:fill="FFFFFF"/>
        </w:rPr>
        <w:t>and UWA</w:t>
      </w:r>
      <w:r w:rsidR="00924C0B">
        <w:rPr>
          <w:snapToGrid/>
          <w:shd w:val="clear" w:color="auto" w:fill="FFFFFF"/>
        </w:rPr>
        <w:t xml:space="preserve"> </w:t>
      </w:r>
      <w:r>
        <w:rPr>
          <w:snapToGrid/>
          <w:shd w:val="clear" w:color="auto" w:fill="FFFFFF"/>
        </w:rPr>
        <w:t>are</w:t>
      </w:r>
      <w:r w:rsidR="00924C0B">
        <w:rPr>
          <w:snapToGrid/>
          <w:shd w:val="clear" w:color="auto" w:fill="FFFFFF"/>
        </w:rPr>
        <w:t xml:space="preserve"> tied with five points each</w:t>
      </w:r>
      <w:r w:rsidR="00073EBE">
        <w:rPr>
          <w:snapToGrid/>
          <w:shd w:val="clear" w:color="auto" w:fill="FFFFFF"/>
        </w:rPr>
        <w:t xml:space="preserve">, and these applications are </w:t>
      </w:r>
      <w:r w:rsidR="0058411F">
        <w:rPr>
          <w:snapToGrid/>
          <w:shd w:val="clear" w:color="auto" w:fill="FFFFFF"/>
        </w:rPr>
        <w:t>the new tentative selectees of LPFM MX Group 198.</w:t>
      </w:r>
      <w:r>
        <w:rPr>
          <w:snapToGrid/>
          <w:shd w:val="clear" w:color="auto" w:fill="FFFFFF"/>
        </w:rPr>
        <w:t xml:space="preserve">  </w:t>
      </w:r>
      <w:r w:rsidR="00073EBE">
        <w:rPr>
          <w:color w:val="000000"/>
          <w:szCs w:val="22"/>
          <w:shd w:val="clear" w:color="auto" w:fill="FFFFFF"/>
        </w:rPr>
        <w:t xml:space="preserve">We </w:t>
      </w:r>
      <w:r w:rsidR="00073EBE">
        <w:rPr>
          <w:snapToGrid/>
          <w:shd w:val="clear" w:color="auto" w:fill="FFFFFF"/>
        </w:rPr>
        <w:t>reject the Agreement</w:t>
      </w:r>
      <w:r>
        <w:rPr>
          <w:snapToGrid/>
          <w:shd w:val="clear" w:color="auto" w:fill="FFFFFF"/>
        </w:rPr>
        <w:t xml:space="preserve"> because the </w:t>
      </w:r>
      <w:r w:rsidR="007168B3">
        <w:rPr>
          <w:snapToGrid/>
          <w:shd w:val="clear" w:color="auto" w:fill="FFFFFF"/>
        </w:rPr>
        <w:t>St. Joseph</w:t>
      </w:r>
      <w:r w:rsidR="0034675F">
        <w:rPr>
          <w:snapToGrid/>
          <w:shd w:val="clear" w:color="auto" w:fill="FFFFFF"/>
        </w:rPr>
        <w:t>’s</w:t>
      </w:r>
      <w:r>
        <w:rPr>
          <w:snapToGrid/>
          <w:shd w:val="clear" w:color="auto" w:fill="FFFFFF"/>
        </w:rPr>
        <w:t xml:space="preserve"> Application has been granted as a singleton and</w:t>
      </w:r>
      <w:r w:rsidR="00A400A3">
        <w:rPr>
          <w:snapToGrid/>
          <w:shd w:val="clear" w:color="auto" w:fill="FFFFFF"/>
        </w:rPr>
        <w:t>, with this deduction,</w:t>
      </w:r>
      <w:r>
        <w:rPr>
          <w:snapToGrid/>
          <w:shd w:val="clear" w:color="auto" w:fill="FFFFFF"/>
        </w:rPr>
        <w:t xml:space="preserve"> the JHU Application is </w:t>
      </w:r>
      <w:r w:rsidR="00073EBE">
        <w:rPr>
          <w:snapToGrid/>
          <w:shd w:val="clear" w:color="auto" w:fill="FFFFFF"/>
        </w:rPr>
        <w:t xml:space="preserve">now </w:t>
      </w:r>
      <w:r>
        <w:rPr>
          <w:snapToGrid/>
          <w:shd w:val="clear" w:color="auto" w:fill="FFFFFF"/>
        </w:rPr>
        <w:t>a non-tentative selectee.</w:t>
      </w:r>
      <w:r w:rsidR="007168B3">
        <w:rPr>
          <w:snapToGrid/>
          <w:shd w:val="clear" w:color="auto" w:fill="FFFFFF"/>
        </w:rPr>
        <w:t xml:space="preserve">  </w:t>
      </w:r>
      <w:r w:rsidR="00073EBE">
        <w:rPr>
          <w:snapToGrid/>
          <w:shd w:val="clear" w:color="auto" w:fill="FFFFFF"/>
        </w:rPr>
        <w:t>Finally, w</w:t>
      </w:r>
      <w:r w:rsidR="007168B3">
        <w:rPr>
          <w:snapToGrid/>
          <w:shd w:val="clear" w:color="auto" w:fill="FFFFFF"/>
        </w:rPr>
        <w:t xml:space="preserve">e will </w:t>
      </w:r>
      <w:r w:rsidR="00A73DDB">
        <w:rPr>
          <w:snapToGrid/>
          <w:shd w:val="clear" w:color="auto" w:fill="FFFFFF"/>
        </w:rPr>
        <w:t>afford CEM, BSB</w:t>
      </w:r>
      <w:r w:rsidR="007168B3">
        <w:rPr>
          <w:snapToGrid/>
          <w:shd w:val="clear" w:color="auto" w:fill="FFFFFF"/>
        </w:rPr>
        <w:t>, and UWA</w:t>
      </w:r>
      <w:r w:rsidR="00BD7B7C">
        <w:rPr>
          <w:snapToGrid/>
          <w:shd w:val="clear" w:color="auto" w:fill="FFFFFF"/>
        </w:rPr>
        <w:t xml:space="preserve"> 90</w:t>
      </w:r>
      <w:r w:rsidR="0065286C">
        <w:rPr>
          <w:snapToGrid/>
          <w:shd w:val="clear" w:color="auto" w:fill="FFFFFF"/>
        </w:rPr>
        <w:t xml:space="preserve"> </w:t>
      </w:r>
      <w:r w:rsidR="007168B3">
        <w:rPr>
          <w:snapToGrid/>
          <w:shd w:val="clear" w:color="auto" w:fill="FFFFFF"/>
        </w:rPr>
        <w:t xml:space="preserve">days </w:t>
      </w:r>
      <w:r w:rsidR="006B2EEA">
        <w:rPr>
          <w:snapToGrid/>
          <w:shd w:val="clear" w:color="auto" w:fill="FFFFFF"/>
        </w:rPr>
        <w:t xml:space="preserve">from the issuance of this order </w:t>
      </w:r>
      <w:r w:rsidR="00BD7B7C">
        <w:rPr>
          <w:snapToGrid/>
          <w:shd w:val="clear" w:color="auto" w:fill="FFFFFF"/>
        </w:rPr>
        <w:t>in which they can</w:t>
      </w:r>
      <w:r w:rsidR="003715ED">
        <w:rPr>
          <w:snapToGrid/>
          <w:shd w:val="clear" w:color="auto" w:fill="FFFFFF"/>
        </w:rPr>
        <w:t xml:space="preserve"> </w:t>
      </w:r>
      <w:r w:rsidR="00BD7B7C">
        <w:rPr>
          <w:snapToGrid/>
          <w:shd w:val="clear" w:color="auto" w:fill="FFFFFF"/>
        </w:rPr>
        <w:t>submit point-aggregation time-share agreements.</w:t>
      </w:r>
      <w:r w:rsidR="006B2EEA">
        <w:rPr>
          <w:rStyle w:val="FootnoteReference"/>
          <w:snapToGrid/>
          <w:shd w:val="clear" w:color="auto" w:fill="FFFFFF"/>
        </w:rPr>
        <w:footnoteReference w:id="25"/>
      </w:r>
      <w:r w:rsidR="0086735C">
        <w:rPr>
          <w:snapToGrid/>
          <w:shd w:val="clear" w:color="auto" w:fill="FFFFFF"/>
        </w:rPr>
        <w:t xml:space="preserve">  </w:t>
      </w:r>
    </w:p>
    <w:p w:rsidR="00F37C3D" w:rsidRDefault="00F37C3D" w:rsidP="00F37C3D">
      <w:pPr>
        <w:pStyle w:val="ParaNum"/>
      </w:pPr>
      <w:r w:rsidRPr="004B0378">
        <w:t xml:space="preserve">Accordingly, IT IS ORDERED </w:t>
      </w:r>
      <w:r w:rsidR="00BD1FC8" w:rsidRPr="004B0378">
        <w:t xml:space="preserve">that </w:t>
      </w:r>
      <w:r w:rsidR="00BD1FC8" w:rsidRPr="00F37C3D">
        <w:rPr>
          <w:szCs w:val="22"/>
        </w:rPr>
        <w:t xml:space="preserve">the Petition to Deny filed on October 3, 2015, by Loyola University </w:t>
      </w:r>
      <w:r w:rsidR="00704B13">
        <w:rPr>
          <w:szCs w:val="22"/>
        </w:rPr>
        <w:t xml:space="preserve">Maryland </w:t>
      </w:r>
      <w:r w:rsidR="00BD1FC8" w:rsidRPr="00F37C3D">
        <w:rPr>
          <w:szCs w:val="22"/>
        </w:rPr>
        <w:t xml:space="preserve">IS </w:t>
      </w:r>
      <w:r w:rsidR="006B54F4">
        <w:rPr>
          <w:szCs w:val="22"/>
        </w:rPr>
        <w:t>DENIED in part and IS GRANTED in all other respects</w:t>
      </w:r>
      <w:r w:rsidR="00A400A3">
        <w:rPr>
          <w:szCs w:val="22"/>
        </w:rPr>
        <w:t>, as noted herein</w:t>
      </w:r>
      <w:r w:rsidR="00BD1FC8" w:rsidRPr="004B0378">
        <w:t>.</w:t>
      </w:r>
      <w:r w:rsidR="00BD1FC8">
        <w:t xml:space="preserve">  </w:t>
      </w:r>
      <w:r w:rsidRPr="004B0378">
        <w:t>IT IS FURTHER ORDERED</w:t>
      </w:r>
      <w:r w:rsidR="00BD1FC8" w:rsidRPr="00BD1FC8">
        <w:t xml:space="preserve"> </w:t>
      </w:r>
      <w:r w:rsidR="00BD1FC8" w:rsidRPr="004B0378">
        <w:t xml:space="preserve">that the tentative selection of </w:t>
      </w:r>
      <w:r w:rsidR="00BD1FC8">
        <w:t>the application of Johns Hopkins University</w:t>
      </w:r>
      <w:r w:rsidR="00BD1FC8" w:rsidRPr="004B0378">
        <w:t xml:space="preserve"> </w:t>
      </w:r>
      <w:r w:rsidR="00BD1FC8">
        <w:t xml:space="preserve">(File No. BNPL-20131115ANR) </w:t>
      </w:r>
      <w:r w:rsidR="00BD1FC8" w:rsidRPr="004B0378">
        <w:t xml:space="preserve">for a construction permit for a new </w:t>
      </w:r>
      <w:r w:rsidR="00BD1FC8">
        <w:t>LPFM</w:t>
      </w:r>
      <w:r w:rsidR="00BD1FC8" w:rsidRPr="004B0378">
        <w:t xml:space="preserve"> station in </w:t>
      </w:r>
      <w:r w:rsidR="00BD1FC8">
        <w:t>Baltimore, Maryland</w:t>
      </w:r>
      <w:r w:rsidR="00BD1FC8" w:rsidRPr="004B0378">
        <w:t>, IS RESCINDED.</w:t>
      </w:r>
      <w:r w:rsidRPr="004B0378">
        <w:t xml:space="preserve"> </w:t>
      </w:r>
      <w:r w:rsidR="00BD1FC8">
        <w:t xml:space="preserve"> </w:t>
      </w:r>
      <w:r w:rsidR="00D9144C">
        <w:t xml:space="preserve">IT IS FURTHER ORDERED that the “Low Power FM Time-Share Agreement” between </w:t>
      </w:r>
      <w:r w:rsidR="00D9144C">
        <w:rPr>
          <w:szCs w:val="22"/>
        </w:rPr>
        <w:t>The Benedictine Society of Baltimore City</w:t>
      </w:r>
      <w:r w:rsidR="00D9144C">
        <w:t>, St. Joseph’s, Sykesville, Roman Catholic Congregation, Inc.</w:t>
      </w:r>
      <w:r w:rsidR="004957D6">
        <w:t>,</w:t>
      </w:r>
      <w:r w:rsidR="00D9144C">
        <w:t xml:space="preserve"> and </w:t>
      </w:r>
      <w:r w:rsidR="00D9144C">
        <w:rPr>
          <w:szCs w:val="22"/>
        </w:rPr>
        <w:t xml:space="preserve">Johns Hopkins University IS REJECTED. </w:t>
      </w:r>
      <w:r w:rsidR="00D9144C">
        <w:t xml:space="preserve"> </w:t>
      </w:r>
      <w:r w:rsidRPr="004B0378">
        <w:t xml:space="preserve">IT IS FURTHER ORDERED that </w:t>
      </w:r>
      <w:r>
        <w:t>Center for Emerging Media, Inc., The Benedictine Society of Baltimore City, and The United Workers Association ARE</w:t>
      </w:r>
      <w:r w:rsidRPr="004B0378">
        <w:t xml:space="preserve"> TENTATIVELY SELECTED to be awarded a construction permit for a new </w:t>
      </w:r>
      <w:r>
        <w:t>LPFM</w:t>
      </w:r>
      <w:r w:rsidRPr="004B0378">
        <w:t xml:space="preserve"> station</w:t>
      </w:r>
      <w:r w:rsidR="00AA544B">
        <w:t xml:space="preserve">.  </w:t>
      </w:r>
      <w:r w:rsidRPr="004B0378">
        <w:t xml:space="preserve">If, after the </w:t>
      </w:r>
      <w:r w:rsidR="00BD1FC8">
        <w:t xml:space="preserve">time-share </w:t>
      </w:r>
      <w:r w:rsidRPr="004B0378">
        <w:t>period has run, there is no substantial and material question concerning the grantability of the tentative selectees</w:t>
      </w:r>
      <w:r w:rsidR="00BD1FC8">
        <w:t>’</w:t>
      </w:r>
      <w:r w:rsidRPr="004B0378">
        <w:t xml:space="preserve"> application, we direct the staff, by public notice, TO DISMISS the mutually exclusive applications of </w:t>
      </w:r>
      <w:r>
        <w:t>Johns Hopkins University</w:t>
      </w:r>
      <w:r w:rsidR="00AA544B">
        <w:t xml:space="preserve"> and Loyola University Maryland</w:t>
      </w:r>
      <w:r>
        <w:t xml:space="preserve"> </w:t>
      </w:r>
      <w:r w:rsidRPr="004B0378">
        <w:t>and TO GRANT the application</w:t>
      </w:r>
      <w:r>
        <w:t>s</w:t>
      </w:r>
      <w:r w:rsidRPr="004B0378">
        <w:t xml:space="preserve"> of </w:t>
      </w:r>
      <w:r w:rsidR="00BD1FC8">
        <w:t>Center for Emerging Media, Inc., The Benedictine Society of Baltimore City, and The United Workers Association</w:t>
      </w:r>
      <w:r w:rsidRPr="004B0378">
        <w:t xml:space="preserve"> </w:t>
      </w:r>
      <w:r>
        <w:t xml:space="preserve">on a time-share basis. </w:t>
      </w:r>
    </w:p>
    <w:p w:rsidR="000D1FAE" w:rsidRDefault="000D1FAE" w:rsidP="00A62D13">
      <w:r>
        <w:tab/>
      </w:r>
      <w:r>
        <w:tab/>
      </w:r>
      <w:r>
        <w:tab/>
      </w:r>
      <w:r>
        <w:tab/>
      </w:r>
      <w:r>
        <w:tab/>
      </w:r>
      <w:r>
        <w:tab/>
        <w:t>FEDERAL COMMUNICATIONS COMMISSION</w:t>
      </w:r>
    </w:p>
    <w:p w:rsidR="000D1FAE" w:rsidRDefault="000D1FAE" w:rsidP="00A62D13"/>
    <w:p w:rsidR="000D1FAE" w:rsidRDefault="000D1FAE" w:rsidP="00A62D13"/>
    <w:p w:rsidR="000D1FAE" w:rsidRDefault="000D1FAE" w:rsidP="00A62D13"/>
    <w:p w:rsidR="000D1FAE" w:rsidRDefault="000D1FAE" w:rsidP="00A62D13"/>
    <w:p w:rsidR="000D1FAE" w:rsidRDefault="000D1FAE" w:rsidP="00A62D13">
      <w:r>
        <w:tab/>
      </w:r>
      <w:r>
        <w:tab/>
      </w:r>
      <w:r>
        <w:tab/>
      </w:r>
      <w:r>
        <w:tab/>
      </w:r>
      <w:r>
        <w:tab/>
      </w:r>
      <w:r>
        <w:tab/>
        <w:t>Marlene H. Dortch</w:t>
      </w:r>
    </w:p>
    <w:p w:rsidR="000D1FAE" w:rsidRDefault="000D1FAE" w:rsidP="00A62D13">
      <w:r>
        <w:tab/>
      </w:r>
      <w:r>
        <w:tab/>
      </w:r>
      <w:r>
        <w:tab/>
      </w:r>
      <w:r>
        <w:tab/>
      </w:r>
      <w:r>
        <w:tab/>
      </w:r>
      <w:r>
        <w:tab/>
        <w:t>Secretary</w:t>
      </w:r>
    </w:p>
    <w:sectPr w:rsidR="000D1FAE"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13" w:rsidRDefault="00A62D13">
      <w:pPr>
        <w:spacing w:line="20" w:lineRule="exact"/>
      </w:pPr>
    </w:p>
  </w:endnote>
  <w:endnote w:type="continuationSeparator" w:id="0">
    <w:p w:rsidR="00A62D13" w:rsidRDefault="00A62D13">
      <w:r>
        <w:t xml:space="preserve"> </w:t>
      </w:r>
    </w:p>
  </w:endnote>
  <w:endnote w:type="continuationNotice" w:id="1">
    <w:p w:rsidR="00A62D13" w:rsidRDefault="00A62D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71" w:rsidRDefault="00B36471" w:rsidP="0055614C">
    <w:pPr>
      <w:pStyle w:val="Footer"/>
      <w:framePr w:wrap="around" w:vAnchor="text" w:hAnchor="margin" w:xAlign="center" w:y="1"/>
    </w:pPr>
    <w:r>
      <w:fldChar w:fldCharType="begin"/>
    </w:r>
    <w:r>
      <w:instrText xml:space="preserve">PAGE  </w:instrText>
    </w:r>
    <w:r>
      <w:fldChar w:fldCharType="end"/>
    </w:r>
  </w:p>
  <w:p w:rsidR="00B36471" w:rsidRDefault="00B36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71" w:rsidRDefault="00B36471" w:rsidP="0055614C">
    <w:pPr>
      <w:pStyle w:val="Footer"/>
      <w:framePr w:wrap="around" w:vAnchor="text" w:hAnchor="margin" w:xAlign="center" w:y="1"/>
    </w:pPr>
    <w:r>
      <w:fldChar w:fldCharType="begin"/>
    </w:r>
    <w:r>
      <w:instrText xml:space="preserve">PAGE  </w:instrText>
    </w:r>
    <w:r>
      <w:fldChar w:fldCharType="separate"/>
    </w:r>
    <w:r w:rsidR="00014DC9">
      <w:rPr>
        <w:noProof/>
      </w:rPr>
      <w:t>5</w:t>
    </w:r>
    <w:r>
      <w:fldChar w:fldCharType="end"/>
    </w:r>
  </w:p>
  <w:p w:rsidR="00B36471" w:rsidRDefault="00B36471">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71" w:rsidRDefault="00B3647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13" w:rsidRDefault="00A62D13">
      <w:r>
        <w:separator/>
      </w:r>
    </w:p>
  </w:footnote>
  <w:footnote w:type="continuationSeparator" w:id="0">
    <w:p w:rsidR="00A62D13" w:rsidRDefault="00A62D13" w:rsidP="00C721AC">
      <w:pPr>
        <w:spacing w:before="120"/>
      </w:pPr>
      <w:r>
        <w:t xml:space="preserve">(Continued from previous page)  </w:t>
      </w:r>
      <w:r>
        <w:separator/>
      </w:r>
    </w:p>
  </w:footnote>
  <w:footnote w:type="continuationNotice" w:id="1">
    <w:p w:rsidR="00A62D13" w:rsidRDefault="00A62D13" w:rsidP="00C721AC">
      <w:pPr>
        <w:jc w:val="right"/>
      </w:pPr>
      <w:r>
        <w:t>(continued….)</w:t>
      </w:r>
    </w:p>
  </w:footnote>
  <w:footnote w:id="2">
    <w:p w:rsidR="00B36471" w:rsidRPr="002118CA" w:rsidRDefault="00B36471">
      <w:pPr>
        <w:pStyle w:val="FootnoteText"/>
      </w:pPr>
      <w:r w:rsidRPr="002118CA">
        <w:rPr>
          <w:rStyle w:val="FootnoteReference"/>
        </w:rPr>
        <w:footnoteRef/>
      </w:r>
      <w:r w:rsidRPr="002118CA">
        <w:t xml:space="preserve"> File No</w:t>
      </w:r>
      <w:r w:rsidR="002118CA">
        <w:t>s</w:t>
      </w:r>
      <w:r w:rsidRPr="002118CA">
        <w:t xml:space="preserve">. </w:t>
      </w:r>
      <w:r w:rsidR="002118CA" w:rsidRPr="002118CA">
        <w:t>BNPL-2013111</w:t>
      </w:r>
      <w:r w:rsidR="002118CA">
        <w:t>5AIE (“St. Joseph</w:t>
      </w:r>
      <w:r w:rsidR="000B6DB7">
        <w:t>’s</w:t>
      </w:r>
      <w:r w:rsidR="002118CA">
        <w:t xml:space="preserve"> Application”) and </w:t>
      </w:r>
      <w:r w:rsidRPr="002118CA">
        <w:t>BNPL-20131113BTK (“RFC Application”).</w:t>
      </w:r>
    </w:p>
  </w:footnote>
  <w:footnote w:id="3">
    <w:p w:rsidR="00B36471" w:rsidRPr="002118CA" w:rsidRDefault="00B36471" w:rsidP="00AF2714">
      <w:pPr>
        <w:pStyle w:val="FootnoteText"/>
      </w:pPr>
      <w:r w:rsidRPr="002118CA">
        <w:rPr>
          <w:rStyle w:val="FootnoteReference"/>
        </w:rPr>
        <w:footnoteRef/>
      </w:r>
      <w:r w:rsidRPr="002118CA">
        <w:t xml:space="preserve"> </w:t>
      </w:r>
      <w:r w:rsidRPr="002118CA">
        <w:rPr>
          <w:i/>
        </w:rPr>
        <w:t>See Media Bureau Identifies Mutually Exclusive Applications Filed in the LPFM Window and Announces 60-Day Settlement Period; CDBS Is Now Accepting Form 318 Amendments</w:t>
      </w:r>
      <w:r w:rsidRPr="002118CA">
        <w:t xml:space="preserve">, Public Notice, 28 FCC Rcd 16713 (MB 2013).  </w:t>
      </w:r>
    </w:p>
  </w:footnote>
  <w:footnote w:id="4">
    <w:p w:rsidR="00B36471" w:rsidRPr="002118CA" w:rsidRDefault="00B36471" w:rsidP="008534B8">
      <w:pPr>
        <w:pStyle w:val="FootnoteText"/>
      </w:pPr>
      <w:r w:rsidRPr="002118CA">
        <w:rPr>
          <w:rStyle w:val="FootnoteReference"/>
        </w:rPr>
        <w:footnoteRef/>
      </w:r>
      <w:r w:rsidRPr="002118CA">
        <w:t xml:space="preserve"> </w:t>
      </w:r>
      <w:r w:rsidRPr="002118CA">
        <w:rPr>
          <w:i/>
        </w:rPr>
        <w:t>Commission Identifies Tentative Selectees in 111 Groups of Mutually Exclusive Applications Filed in the LPFM Window; Announces a 30-Day Petition to Deny Period and a 90-Day Period to File Voluntary Time-Share Proposals and Major Change Amendments</w:t>
      </w:r>
      <w:r w:rsidRPr="002118CA">
        <w:t>, Public Notice, 29 FCC Rcd 10847 (2014) (“</w:t>
      </w:r>
      <w:r w:rsidRPr="002118CA">
        <w:rPr>
          <w:i/>
        </w:rPr>
        <w:t>September Public Notice</w:t>
      </w:r>
      <w:r w:rsidRPr="002118CA">
        <w:t xml:space="preserve">”).  </w:t>
      </w:r>
    </w:p>
  </w:footnote>
  <w:footnote w:id="5">
    <w:p w:rsidR="00211BCF" w:rsidRDefault="00211BCF">
      <w:pPr>
        <w:pStyle w:val="FootnoteText"/>
      </w:pPr>
      <w:r>
        <w:rPr>
          <w:rStyle w:val="FootnoteReference"/>
        </w:rPr>
        <w:footnoteRef/>
      </w:r>
      <w:r>
        <w:t xml:space="preserve"> 47 C.F.R. </w:t>
      </w:r>
      <w:r w:rsidRPr="002118CA">
        <w:t>§</w:t>
      </w:r>
      <w:r>
        <w:t xml:space="preserve"> 73.872.</w:t>
      </w:r>
    </w:p>
  </w:footnote>
  <w:footnote w:id="6">
    <w:p w:rsidR="00B36471" w:rsidRPr="002118CA" w:rsidRDefault="00B36471">
      <w:pPr>
        <w:pStyle w:val="FootnoteText"/>
      </w:pPr>
      <w:r w:rsidRPr="002118CA">
        <w:rPr>
          <w:rStyle w:val="FootnoteReference"/>
        </w:rPr>
        <w:footnoteRef/>
      </w:r>
      <w:r w:rsidRPr="002118CA">
        <w:t xml:space="preserve"> These </w:t>
      </w:r>
      <w:r w:rsidR="00554804" w:rsidRPr="002118CA">
        <w:t>applications</w:t>
      </w:r>
      <w:r w:rsidRPr="002118CA">
        <w:t xml:space="preserve"> each received a point under </w:t>
      </w:r>
      <w:r w:rsidR="00F55C13">
        <w:t xml:space="preserve">each of </w:t>
      </w:r>
      <w:r w:rsidRPr="002118CA">
        <w:t xml:space="preserve">the following </w:t>
      </w:r>
      <w:r w:rsidR="00F55C13">
        <w:t>four</w:t>
      </w:r>
      <w:r w:rsidR="00F55C13" w:rsidRPr="002118CA">
        <w:t xml:space="preserve"> </w:t>
      </w:r>
      <w:r w:rsidRPr="002118CA">
        <w:t xml:space="preserve">criteria: </w:t>
      </w:r>
      <w:r w:rsidRPr="002118CA">
        <w:rPr>
          <w:shd w:val="clear" w:color="auto" w:fill="FFFFFF"/>
        </w:rPr>
        <w:t xml:space="preserve">1) established community presence of at least two years; 2) commitment to originate local programming; 3) commitment to maintain a main studio; and 4) commitment to originate local programming and to maintain a main studio.  The CEM Application, the BSB Application, the UWA Application, and the JHU Application also </w:t>
      </w:r>
      <w:r w:rsidR="00F55C13">
        <w:rPr>
          <w:shd w:val="clear" w:color="auto" w:fill="FFFFFF"/>
        </w:rPr>
        <w:t xml:space="preserve">each </w:t>
      </w:r>
      <w:r w:rsidRPr="002118CA">
        <w:rPr>
          <w:shd w:val="clear" w:color="auto" w:fill="FFFFFF"/>
        </w:rPr>
        <w:t>received a point under the diversity of ownership (new entrant) criterion.</w:t>
      </w:r>
      <w:r w:rsidR="00A73DDB" w:rsidRPr="002118CA">
        <w:rPr>
          <w:shd w:val="clear" w:color="auto" w:fill="FFFFFF"/>
        </w:rPr>
        <w:t xml:space="preserve">  </w:t>
      </w:r>
      <w:r w:rsidR="00A73DDB" w:rsidRPr="002118CA">
        <w:rPr>
          <w:i/>
          <w:shd w:val="clear" w:color="auto" w:fill="FFFFFF"/>
        </w:rPr>
        <w:t>Id</w:t>
      </w:r>
      <w:r w:rsidR="00A73DDB" w:rsidRPr="002118CA">
        <w:rPr>
          <w:shd w:val="clear" w:color="auto" w:fill="FFFFFF"/>
        </w:rPr>
        <w:t>. at Attachment A.</w:t>
      </w:r>
    </w:p>
  </w:footnote>
  <w:footnote w:id="7">
    <w:p w:rsidR="00B36471" w:rsidRPr="002118CA" w:rsidRDefault="00B36471" w:rsidP="008534B8">
      <w:pPr>
        <w:pStyle w:val="FootnoteText"/>
      </w:pPr>
      <w:r w:rsidRPr="002118CA">
        <w:rPr>
          <w:rStyle w:val="FootnoteReference"/>
        </w:rPr>
        <w:footnoteRef/>
      </w:r>
      <w:r w:rsidRPr="002118CA">
        <w:t xml:space="preserve"> Loyola filed the Petition on October 3, 2014, against the five tentative selectee applications: the CEM Application, the BSB Application, the UWA Application, the JHU Application</w:t>
      </w:r>
      <w:r w:rsidR="00312CB5">
        <w:t>,</w:t>
      </w:r>
      <w:r w:rsidR="007044B1">
        <w:t xml:space="preserve"> </w:t>
      </w:r>
      <w:r w:rsidR="00312CB5">
        <w:t>and the St. Joseph’s Application</w:t>
      </w:r>
      <w:r w:rsidRPr="002118CA">
        <w:t>.  CEM, UWA, and JH</w:t>
      </w:r>
      <w:r w:rsidR="00A73DDB" w:rsidRPr="002118CA">
        <w:t>U did not file oppositions.  BSB</w:t>
      </w:r>
      <w:r w:rsidRPr="002118CA">
        <w:t xml:space="preserve"> and St. Joseph</w:t>
      </w:r>
      <w:r w:rsidR="00312CB5">
        <w:t>’s</w:t>
      </w:r>
      <w:r w:rsidRPr="002118CA">
        <w:t xml:space="preserve"> filed an Opposition on October 16, 2014, in which they argue that the Petition was improperly field against their respective applications because it does not raise any allegations against them.  Opposition at 2-3.  </w:t>
      </w:r>
      <w:r w:rsidR="00F55C13">
        <w:t>We disagree</w:t>
      </w:r>
      <w:r w:rsidR="00312CB5">
        <w:t>.</w:t>
      </w:r>
      <w:r w:rsidR="00F55C13">
        <w:t xml:space="preserve"> </w:t>
      </w:r>
      <w:r w:rsidR="004957D6">
        <w:t xml:space="preserve"> </w:t>
      </w:r>
      <w:r w:rsidRPr="002118CA">
        <w:t xml:space="preserve">The </w:t>
      </w:r>
      <w:r w:rsidRPr="002118CA">
        <w:rPr>
          <w:i/>
        </w:rPr>
        <w:t>September Public Notice</w:t>
      </w:r>
      <w:r w:rsidRPr="002118CA">
        <w:t xml:space="preserve"> stated that “[a]</w:t>
      </w:r>
      <w:r w:rsidRPr="002118CA">
        <w:rPr>
          <w:shd w:val="clear" w:color="auto" w:fill="FFFFFF"/>
        </w:rPr>
        <w:t xml:space="preserve">ny argument that a tentatively selected application should not be granted must be raised in such a petition [to deny], even if the objection relates only indirectly to the tentative selectee's comparative points.  For example, an applicant that concedes that the tentative selectee is qualified for the points received but believes its own proposal should have received a greater number of points than the tentative selectee's must make its argument in a petition to deny.”  </w:t>
      </w:r>
      <w:r w:rsidRPr="002118CA">
        <w:rPr>
          <w:i/>
          <w:shd w:val="clear" w:color="auto" w:fill="FFFFFF"/>
        </w:rPr>
        <w:t>September Public Notice</w:t>
      </w:r>
      <w:r w:rsidRPr="002118CA">
        <w:rPr>
          <w:shd w:val="clear" w:color="auto" w:fill="FFFFFF"/>
        </w:rPr>
        <w:t xml:space="preserve">, 29 FCC Rcd at 10851.  The Petition was thus properly filed against </w:t>
      </w:r>
      <w:r w:rsidR="00985566">
        <w:rPr>
          <w:shd w:val="clear" w:color="auto" w:fill="FFFFFF"/>
        </w:rPr>
        <w:t xml:space="preserve">the </w:t>
      </w:r>
      <w:r w:rsidRPr="002118CA">
        <w:rPr>
          <w:shd w:val="clear" w:color="auto" w:fill="FFFFFF"/>
        </w:rPr>
        <w:t>BS</w:t>
      </w:r>
      <w:r w:rsidR="00A73DDB" w:rsidRPr="002118CA">
        <w:rPr>
          <w:shd w:val="clear" w:color="auto" w:fill="FFFFFF"/>
        </w:rPr>
        <w:t>B</w:t>
      </w:r>
      <w:r w:rsidRPr="002118CA">
        <w:rPr>
          <w:shd w:val="clear" w:color="auto" w:fill="FFFFFF"/>
        </w:rPr>
        <w:t xml:space="preserve"> Application and the St. Joseph</w:t>
      </w:r>
      <w:r w:rsidR="00312CB5">
        <w:rPr>
          <w:shd w:val="clear" w:color="auto" w:fill="FFFFFF"/>
        </w:rPr>
        <w:t>’s</w:t>
      </w:r>
      <w:r w:rsidRPr="002118CA">
        <w:rPr>
          <w:shd w:val="clear" w:color="auto" w:fill="FFFFFF"/>
        </w:rPr>
        <w:t xml:space="preserve"> Application.  </w:t>
      </w:r>
      <w:r w:rsidRPr="002118CA">
        <w:t>The Opposition also states that BS</w:t>
      </w:r>
      <w:r w:rsidR="00A73DDB" w:rsidRPr="002118CA">
        <w:t>B</w:t>
      </w:r>
      <w:r w:rsidRPr="002118CA">
        <w:t xml:space="preserve"> and St. Joseph</w:t>
      </w:r>
      <w:r w:rsidR="00312CB5">
        <w:t>’s</w:t>
      </w:r>
      <w:r w:rsidRPr="002118CA">
        <w:t xml:space="preserve"> take no position with regard to the Petition’s merits against the JHU Application.  Opposition</w:t>
      </w:r>
      <w:r w:rsidRPr="002118CA">
        <w:rPr>
          <w:i/>
        </w:rPr>
        <w:t xml:space="preserve"> </w:t>
      </w:r>
      <w:r w:rsidRPr="002118CA">
        <w:t>at 3.</w:t>
      </w:r>
    </w:p>
  </w:footnote>
  <w:footnote w:id="8">
    <w:p w:rsidR="00B36471" w:rsidRPr="002118CA" w:rsidRDefault="00B36471">
      <w:pPr>
        <w:pStyle w:val="FootnoteText"/>
      </w:pPr>
      <w:r w:rsidRPr="002118CA">
        <w:rPr>
          <w:rStyle w:val="FootnoteReference"/>
        </w:rPr>
        <w:footnoteRef/>
      </w:r>
      <w:r w:rsidRPr="002118CA">
        <w:t xml:space="preserve"> </w:t>
      </w:r>
      <w:r w:rsidR="00144D28">
        <w:t xml:space="preserve">See </w:t>
      </w:r>
      <w:r w:rsidR="00D16805">
        <w:t>“Low Power FM Time-Share Agreement” between BSB, St. Joseph’s and JHU dated as of December 4, 2014 (“Agreement”).</w:t>
      </w:r>
      <w:r w:rsidR="00144D28">
        <w:t xml:space="preserve"> </w:t>
      </w:r>
      <w:r w:rsidR="007044B1">
        <w:t xml:space="preserve"> </w:t>
      </w:r>
      <w:r w:rsidRPr="002118CA">
        <w:t xml:space="preserve">The </w:t>
      </w:r>
      <w:r w:rsidRPr="002118CA">
        <w:rPr>
          <w:i/>
        </w:rPr>
        <w:t>September Public Notice</w:t>
      </w:r>
      <w:r w:rsidRPr="002118CA">
        <w:t xml:space="preserve"> explained that tentative selectees may file time-share agreements to aggregate their points and break ties.  </w:t>
      </w:r>
      <w:r w:rsidRPr="002118CA">
        <w:rPr>
          <w:i/>
        </w:rPr>
        <w:t>See September Public Notice</w:t>
      </w:r>
      <w:r w:rsidRPr="002118CA">
        <w:t xml:space="preserve">, 29 FCC Rcd at 10850.  </w:t>
      </w:r>
      <w:r w:rsidRPr="002118CA">
        <w:rPr>
          <w:i/>
        </w:rPr>
        <w:t xml:space="preserve">See also </w:t>
      </w:r>
      <w:r w:rsidRPr="002118CA">
        <w:t>47 C.F.R. § 73.872(c).  On April 30, 2015, the Bureau dismissed the RFC Application</w:t>
      </w:r>
      <w:r w:rsidR="00890581">
        <w:t xml:space="preserve"> after it concluded that RFC was not eligible to hold an LPFM license</w:t>
      </w:r>
      <w:r w:rsidRPr="002118CA">
        <w:t xml:space="preserve">.  </w:t>
      </w:r>
      <w:r w:rsidRPr="002118CA">
        <w:rPr>
          <w:i/>
        </w:rPr>
        <w:t>See Broadcast Actions</w:t>
      </w:r>
      <w:r w:rsidRPr="002118CA">
        <w:t>, Public Notice, Report No. 48482 (MB May 5, 2015).  This resulted in the St. Joseph</w:t>
      </w:r>
      <w:r w:rsidR="00D16805">
        <w:t>’s</w:t>
      </w:r>
      <w:r w:rsidRPr="002118CA">
        <w:t xml:space="preserve"> Application becoming a singleton.  The Bureau granted the St. Joseph</w:t>
      </w:r>
      <w:r w:rsidR="00D16805">
        <w:t>’s</w:t>
      </w:r>
      <w:r w:rsidRPr="002118CA">
        <w:t xml:space="preserve"> Application on June </w:t>
      </w:r>
      <w:r w:rsidR="00092E5C" w:rsidRPr="002118CA">
        <w:t>12</w:t>
      </w:r>
      <w:r w:rsidRPr="002118CA">
        <w:t xml:space="preserve">, 2015.  </w:t>
      </w:r>
      <w:r w:rsidRPr="002118CA">
        <w:rPr>
          <w:i/>
        </w:rPr>
        <w:t>See Broadcast Actions</w:t>
      </w:r>
      <w:r w:rsidRPr="002118CA">
        <w:t xml:space="preserve">, Public Notice, Report No. </w:t>
      </w:r>
      <w:r w:rsidR="00092E5C" w:rsidRPr="002118CA">
        <w:t>48512</w:t>
      </w:r>
      <w:r w:rsidRPr="002118CA">
        <w:t xml:space="preserve"> (MB June </w:t>
      </w:r>
      <w:r w:rsidR="00092E5C" w:rsidRPr="002118CA">
        <w:t>17</w:t>
      </w:r>
      <w:r w:rsidRPr="002118CA">
        <w:t>, 2015).</w:t>
      </w:r>
    </w:p>
  </w:footnote>
  <w:footnote w:id="9">
    <w:p w:rsidR="00B36471" w:rsidRPr="002118CA" w:rsidRDefault="00B36471">
      <w:pPr>
        <w:pStyle w:val="FootnoteText"/>
      </w:pPr>
      <w:r w:rsidRPr="002118CA">
        <w:rPr>
          <w:rStyle w:val="FootnoteReference"/>
        </w:rPr>
        <w:footnoteRef/>
      </w:r>
      <w:r w:rsidRPr="002118CA">
        <w:t xml:space="preserve"> Loyola Application at Sec</w:t>
      </w:r>
      <w:r w:rsidR="00BF2BE0" w:rsidRPr="002118CA">
        <w:t>tion II, Question 3</w:t>
      </w:r>
      <w:r w:rsidR="00CB6034" w:rsidRPr="002118CA">
        <w:t xml:space="preserve">.b. </w:t>
      </w:r>
      <w:r w:rsidR="00D9144C">
        <w:t xml:space="preserve">and Exhibit 3. </w:t>
      </w:r>
    </w:p>
  </w:footnote>
  <w:footnote w:id="10">
    <w:p w:rsidR="00B36471" w:rsidRPr="002118CA" w:rsidRDefault="00B36471">
      <w:pPr>
        <w:pStyle w:val="FootnoteText"/>
      </w:pPr>
      <w:r w:rsidRPr="002118CA">
        <w:rPr>
          <w:rStyle w:val="FootnoteReference"/>
        </w:rPr>
        <w:footnoteRef/>
      </w:r>
      <w:r w:rsidRPr="002118CA">
        <w:t xml:space="preserve"> 47 C.F.R. § 73.</w:t>
      </w:r>
      <w:r w:rsidR="000F4F57">
        <w:t>8</w:t>
      </w:r>
      <w:r w:rsidRPr="002118CA">
        <w:t>58(a).</w:t>
      </w:r>
    </w:p>
  </w:footnote>
  <w:footnote w:id="11">
    <w:p w:rsidR="00B36471" w:rsidRPr="002118CA" w:rsidRDefault="00B36471">
      <w:pPr>
        <w:pStyle w:val="FootnoteText"/>
      </w:pPr>
      <w:r w:rsidRPr="002118CA">
        <w:rPr>
          <w:rStyle w:val="FootnoteReference"/>
        </w:rPr>
        <w:footnoteRef/>
      </w:r>
      <w:r w:rsidRPr="002118CA">
        <w:t xml:space="preserve"> </w:t>
      </w:r>
      <w:r w:rsidR="00554804" w:rsidRPr="002118CA">
        <w:t>Loyola Application at Exhibit 3.</w:t>
      </w:r>
    </w:p>
  </w:footnote>
  <w:footnote w:id="12">
    <w:p w:rsidR="00B36471" w:rsidRPr="002118CA" w:rsidRDefault="00B36471">
      <w:pPr>
        <w:pStyle w:val="FootnoteText"/>
      </w:pPr>
      <w:r w:rsidRPr="002118CA">
        <w:rPr>
          <w:rStyle w:val="FootnoteReference"/>
        </w:rPr>
        <w:footnoteRef/>
      </w:r>
      <w:r w:rsidRPr="002118CA">
        <w:t xml:space="preserve"> Loyola Application</w:t>
      </w:r>
      <w:r w:rsidRPr="002118CA">
        <w:rPr>
          <w:i/>
        </w:rPr>
        <w:t xml:space="preserve"> </w:t>
      </w:r>
      <w:r w:rsidRPr="002118CA">
        <w:t xml:space="preserve">at Section IV, Question 5.  </w:t>
      </w:r>
      <w:r w:rsidRPr="002118CA">
        <w:rPr>
          <w:i/>
        </w:rPr>
        <w:t>See also</w:t>
      </w:r>
      <w:r w:rsidRPr="002118CA">
        <w:t xml:space="preserve"> 47 C.F.R. § 73.872(b)(5) (“An </w:t>
      </w:r>
      <w:r w:rsidR="00312CB5">
        <w:t>applicant</w:t>
      </w:r>
      <w:r w:rsidR="00312CB5" w:rsidRPr="002118CA">
        <w:t xml:space="preserve"> </w:t>
      </w:r>
      <w:r w:rsidRPr="002118CA">
        <w:t>must hold no attributable interests in any other broadcast station.”).</w:t>
      </w:r>
      <w:r w:rsidR="000F4F57">
        <w:t xml:space="preserve">  Subsection (b)(5) also is called the “new entrant” criterion.</w:t>
      </w:r>
    </w:p>
  </w:footnote>
  <w:footnote w:id="13">
    <w:p w:rsidR="00B36471" w:rsidRPr="002118CA" w:rsidRDefault="00B36471" w:rsidP="00F35042">
      <w:pPr>
        <w:pStyle w:val="FootnoteText"/>
      </w:pPr>
      <w:r w:rsidRPr="002118CA">
        <w:rPr>
          <w:rStyle w:val="FootnoteReference"/>
        </w:rPr>
        <w:footnoteRef/>
      </w:r>
      <w:r w:rsidRPr="002118CA">
        <w:t xml:space="preserve"> </w:t>
      </w:r>
      <w:r w:rsidRPr="002118CA">
        <w:rPr>
          <w:i/>
        </w:rPr>
        <w:t>September Public Notice</w:t>
      </w:r>
      <w:r w:rsidRPr="002118CA">
        <w:t xml:space="preserve"> at 10850, n.22 (</w:t>
      </w:r>
      <w:r w:rsidRPr="002118CA">
        <w:rPr>
          <w:shd w:val="clear" w:color="auto" w:fill="FFFFFF"/>
        </w:rPr>
        <w:t xml:space="preserve">“[Loyola] is eligible for a LPFM station because its Board Member with an attributable interest in WQLL(AM) and WCBM(AM) pledges to recuse herself on voting on any matters affecting the proposed LPFM station.  The Board Member's broadcast interests, however, are attributable to the applicant for purposes of the new entrant point criterion.  </w:t>
      </w:r>
      <w:r w:rsidR="00AE6CE9">
        <w:rPr>
          <w:shd w:val="clear" w:color="auto" w:fill="FFFFFF"/>
        </w:rPr>
        <w:t>[Loyola]</w:t>
      </w:r>
      <w:r w:rsidRPr="002118CA">
        <w:rPr>
          <w:shd w:val="clear" w:color="auto" w:fill="FFFFFF"/>
        </w:rPr>
        <w:t xml:space="preserve">, therefore, does not qualify for a new entrant point.”).  </w:t>
      </w:r>
      <w:r w:rsidRPr="002118CA">
        <w:rPr>
          <w:i/>
          <w:shd w:val="clear" w:color="auto" w:fill="FFFFFF"/>
        </w:rPr>
        <w:t>See also</w:t>
      </w:r>
      <w:r w:rsidRPr="002118CA">
        <w:rPr>
          <w:shd w:val="clear" w:color="auto" w:fill="FFFFFF"/>
        </w:rPr>
        <w:t xml:space="preserve"> </w:t>
      </w:r>
      <w:r w:rsidRPr="002118CA">
        <w:rPr>
          <w:i/>
          <w:shd w:val="clear" w:color="auto" w:fill="FFFFFF"/>
        </w:rPr>
        <w:t xml:space="preserve">id. </w:t>
      </w:r>
      <w:r w:rsidRPr="002118CA">
        <w:rPr>
          <w:shd w:val="clear" w:color="auto" w:fill="FFFFFF"/>
        </w:rPr>
        <w:t xml:space="preserve">at 10848, n.13 (“Similarly, although a director of an LPFM applicant may hold otherwise attributable interests in a broadcast licensee or media entity without making the LPFM applicant ineligible for a license, provided that the director recuses himself/herself from any matters affecting the LPFM station (47 C.F.R. § 73.858(a)), the director's broadcast interests are still considered attributable to the LPFM applicant for the purpose of the </w:t>
      </w:r>
      <w:r w:rsidR="00211BCF">
        <w:rPr>
          <w:shd w:val="clear" w:color="auto" w:fill="FFFFFF"/>
        </w:rPr>
        <w:t>‘</w:t>
      </w:r>
      <w:r w:rsidRPr="002118CA">
        <w:rPr>
          <w:shd w:val="clear" w:color="auto" w:fill="FFFFFF"/>
        </w:rPr>
        <w:t>new entrant</w:t>
      </w:r>
      <w:r w:rsidR="00211BCF">
        <w:rPr>
          <w:shd w:val="clear" w:color="auto" w:fill="FFFFFF"/>
        </w:rPr>
        <w:t>’</w:t>
      </w:r>
      <w:r w:rsidRPr="002118CA">
        <w:rPr>
          <w:shd w:val="clear" w:color="auto" w:fill="FFFFFF"/>
        </w:rPr>
        <w:t xml:space="preserve"> point.”).</w:t>
      </w:r>
    </w:p>
  </w:footnote>
  <w:footnote w:id="14">
    <w:p w:rsidR="00DE39C7" w:rsidRPr="002118CA" w:rsidRDefault="00DE39C7">
      <w:pPr>
        <w:pStyle w:val="FootnoteText"/>
      </w:pPr>
      <w:r w:rsidRPr="002118CA">
        <w:rPr>
          <w:rStyle w:val="FootnoteReference"/>
        </w:rPr>
        <w:footnoteRef/>
      </w:r>
      <w:r w:rsidRPr="002118CA">
        <w:t xml:space="preserve"> Petition at 2-3, </w:t>
      </w:r>
      <w:r w:rsidRPr="002118CA">
        <w:rPr>
          <w:i/>
        </w:rPr>
        <w:t>citing</w:t>
      </w:r>
      <w:r w:rsidRPr="002118CA">
        <w:t xml:space="preserve"> Instructions</w:t>
      </w:r>
      <w:r w:rsidR="000F64DB" w:rsidRPr="002118CA">
        <w:t xml:space="preserve"> at 5, Section II.C.</w:t>
      </w:r>
    </w:p>
  </w:footnote>
  <w:footnote w:id="15">
    <w:p w:rsidR="001302BD" w:rsidRPr="002118CA" w:rsidRDefault="001302BD">
      <w:pPr>
        <w:pStyle w:val="FootnoteText"/>
      </w:pPr>
      <w:r w:rsidRPr="002118CA">
        <w:rPr>
          <w:rStyle w:val="FootnoteReference"/>
        </w:rPr>
        <w:footnoteRef/>
      </w:r>
      <w:r w:rsidRPr="002118CA">
        <w:t xml:space="preserve"> Petit</w:t>
      </w:r>
      <w:r w:rsidR="00232651" w:rsidRPr="002118CA">
        <w:t>i</w:t>
      </w:r>
      <w:r w:rsidRPr="002118CA">
        <w:t>on at 3.</w:t>
      </w:r>
    </w:p>
  </w:footnote>
  <w:footnote w:id="16">
    <w:p w:rsidR="001302BD" w:rsidRPr="002118CA" w:rsidRDefault="001302BD" w:rsidP="001302BD">
      <w:pPr>
        <w:pStyle w:val="FootnoteText"/>
      </w:pPr>
      <w:r w:rsidRPr="002118CA">
        <w:rPr>
          <w:rStyle w:val="FootnoteReference"/>
        </w:rPr>
        <w:footnoteRef/>
      </w:r>
      <w:r w:rsidRPr="002118CA">
        <w:t xml:space="preserve"> </w:t>
      </w:r>
      <w:r w:rsidR="00421359" w:rsidRPr="002118CA">
        <w:rPr>
          <w:i/>
        </w:rPr>
        <w:t>Id.</w:t>
      </w:r>
      <w:r w:rsidRPr="002118CA">
        <w:t xml:space="preserve"> at 4, </w:t>
      </w:r>
      <w:r w:rsidRPr="002118CA">
        <w:rPr>
          <w:i/>
        </w:rPr>
        <w:t>citing Commission Identifies Tentative Selectees in 79 Groups of Mutually Exclusive Application Filed in the LPFM Window; Announces a 30-Day Petition to Deny Period and a 90-Day Period to File Voluntary Time-Share Proposals and Major Change Amendments</w:t>
      </w:r>
      <w:r w:rsidRPr="002118CA">
        <w:t>, Public Notice, 29 FCC Rcd 12686 (2014).</w:t>
      </w:r>
    </w:p>
  </w:footnote>
  <w:footnote w:id="17">
    <w:p w:rsidR="008C1831" w:rsidRPr="002118CA" w:rsidRDefault="008C1831" w:rsidP="008C1831">
      <w:pPr>
        <w:pStyle w:val="FootnoteText"/>
      </w:pPr>
      <w:r w:rsidRPr="002118CA">
        <w:rPr>
          <w:rStyle w:val="FootnoteReference"/>
        </w:rPr>
        <w:footnoteRef/>
      </w:r>
      <w:r w:rsidR="00EE6120" w:rsidRPr="002118CA">
        <w:t xml:space="preserve"> 47 C.F.R. § 73.8</w:t>
      </w:r>
      <w:r w:rsidRPr="002118CA">
        <w:t xml:space="preserve">58(a) (“Ownership and other interests in LPFM station permittees and licensees will be attributed to their holder and deemed cognizable </w:t>
      </w:r>
      <w:r w:rsidRPr="002118CA">
        <w:rPr>
          <w:i/>
        </w:rPr>
        <w:t>for the purposes of §§ 73.855</w:t>
      </w:r>
      <w:r w:rsidRPr="002118CA">
        <w:t xml:space="preserve"> [Ownership limits] </w:t>
      </w:r>
      <w:r w:rsidRPr="002118CA">
        <w:rPr>
          <w:i/>
        </w:rPr>
        <w:t>and 73.860</w:t>
      </w:r>
      <w:r w:rsidRPr="002118CA">
        <w:t xml:space="preserve"> [Cross-ownership], in accordance with the provisions of § 73.</w:t>
      </w:r>
      <w:r w:rsidR="00985566">
        <w:t>35</w:t>
      </w:r>
      <w:r w:rsidRPr="002118CA">
        <w:t>55, subject to the following exceptions: “[a] director of an entity that holds an LPFM license will not have such [ownership] interest treated as attributable if such director also holds an attributable interest in a broadcast license or other media entity but recuses himself of herself from any matters affecting the LPFM station.”) (emphasis added).</w:t>
      </w:r>
      <w:r w:rsidR="00BF65B4" w:rsidRPr="002118CA">
        <w:rPr>
          <w:i/>
        </w:rPr>
        <w:t xml:space="preserve">  See also Caribbean Festival Association, Inc</w:t>
      </w:r>
      <w:r w:rsidR="00BF65B4" w:rsidRPr="002118CA">
        <w:t xml:space="preserve">., Letter, 22 FCC Rcd 19238 (MB 2007) (rejecting argument that LPFM board member’s recusal under Section 73.858(a) cured violation of 47 U.S.C. § 310(b)(3) because Section 73.858(a) </w:t>
      </w:r>
      <w:r w:rsidR="00BF65B4" w:rsidRPr="002118CA">
        <w:rPr>
          <w:rStyle w:val="apple-converted-space"/>
          <w:shd w:val="clear" w:color="auto" w:fill="FFFFFF"/>
        </w:rPr>
        <w:t>“</w:t>
      </w:r>
      <w:r w:rsidR="00BF65B4" w:rsidRPr="002118CA">
        <w:rPr>
          <w:shd w:val="clear" w:color="auto" w:fill="FFFFFF"/>
        </w:rPr>
        <w:t>by its terms, merely provides a mechanism to permit an LPFM applicant or licensee to insulate certain positional interests for the purpose of satisfying LPFM ownership restrictions”).</w:t>
      </w:r>
    </w:p>
  </w:footnote>
  <w:footnote w:id="18">
    <w:p w:rsidR="00F21E4E" w:rsidRPr="002118CA" w:rsidRDefault="00F21E4E" w:rsidP="00F21E4E">
      <w:pPr>
        <w:pStyle w:val="FootnoteText"/>
      </w:pPr>
      <w:r w:rsidRPr="002118CA">
        <w:rPr>
          <w:rStyle w:val="FootnoteReference"/>
        </w:rPr>
        <w:footnoteRef/>
      </w:r>
      <w:r w:rsidRPr="002118CA">
        <w:t xml:space="preserve"> </w:t>
      </w:r>
      <w:r w:rsidR="00890581">
        <w:rPr>
          <w:i/>
        </w:rPr>
        <w:t xml:space="preserve">See </w:t>
      </w:r>
      <w:r w:rsidR="00890581" w:rsidRPr="002118CA">
        <w:rPr>
          <w:i/>
        </w:rPr>
        <w:t xml:space="preserve">Creation of a Low Power Radio Service, </w:t>
      </w:r>
      <w:r w:rsidR="00890581" w:rsidRPr="002118CA">
        <w:t>Fifth Order on Reconsideration and Sixth Report and Order, 27 FCC Rcd 15402, 154</w:t>
      </w:r>
      <w:r w:rsidR="00890581">
        <w:t xml:space="preserve">59 </w:t>
      </w:r>
      <w:r w:rsidR="00890581" w:rsidRPr="002118CA">
        <w:t xml:space="preserve"> ¶ </w:t>
      </w:r>
      <w:r w:rsidR="00890581">
        <w:t xml:space="preserve">160 </w:t>
      </w:r>
      <w:r w:rsidR="00890581" w:rsidRPr="002118CA">
        <w:t>(“</w:t>
      </w:r>
      <w:r w:rsidR="00890581" w:rsidRPr="002118CA">
        <w:rPr>
          <w:i/>
        </w:rPr>
        <w:t>Sixth Report and Order</w:t>
      </w:r>
      <w:r w:rsidR="00890581" w:rsidRPr="002118CA">
        <w:t xml:space="preserve">”) </w:t>
      </w:r>
      <w:r w:rsidR="00E40FCC">
        <w:t xml:space="preserve">(broadcast interest of parent organization will be considered attributable for diversity purposes).  </w:t>
      </w:r>
    </w:p>
  </w:footnote>
  <w:footnote w:id="19">
    <w:p w:rsidR="00AE6CE9" w:rsidRDefault="00AE6CE9">
      <w:pPr>
        <w:pStyle w:val="FootnoteText"/>
      </w:pPr>
      <w:r>
        <w:rPr>
          <w:rStyle w:val="FootnoteReference"/>
        </w:rPr>
        <w:footnoteRef/>
      </w:r>
      <w:r>
        <w:t xml:space="preserve"> </w:t>
      </w:r>
      <w:r w:rsidR="00E902EF">
        <w:t>The i</w:t>
      </w:r>
      <w:r>
        <w:t xml:space="preserve">nstructions cited by Loyola involve Section </w:t>
      </w:r>
      <w:r w:rsidR="00E902EF">
        <w:t>II of Form 318, whereas the com</w:t>
      </w:r>
      <w:r>
        <w:t>p</w:t>
      </w:r>
      <w:r w:rsidR="00E902EF">
        <w:t>ara</w:t>
      </w:r>
      <w:r>
        <w:t xml:space="preserve">tive point factors are </w:t>
      </w:r>
      <w:r w:rsidR="00E902EF">
        <w:t>addressed in Section I</w:t>
      </w:r>
      <w:r w:rsidR="00152B09">
        <w:t>I</w:t>
      </w:r>
      <w:r w:rsidR="00E902EF">
        <w:t>I of the form and i</w:t>
      </w:r>
      <w:r>
        <w:t>nstructions.  I</w:t>
      </w:r>
      <w:r w:rsidR="00E902EF">
        <w:t>n</w:t>
      </w:r>
      <w:r>
        <w:t xml:space="preserve"> addition, the ins</w:t>
      </w:r>
      <w:r w:rsidR="00E902EF">
        <w:t>tr</w:t>
      </w:r>
      <w:r>
        <w:t xml:space="preserve">uctions noted by Loyola </w:t>
      </w:r>
      <w:r w:rsidR="00E902EF">
        <w:t xml:space="preserve">cite to Section 73.858(a) of the Rules, which explicitly refers to rules involving basic qualifications (Section 73.855 and 73.860), and not comparative </w:t>
      </w:r>
      <w:r w:rsidR="0034675F">
        <w:t xml:space="preserve">points </w:t>
      </w:r>
      <w:r w:rsidR="00D9144C">
        <w:t>awarded under</w:t>
      </w:r>
      <w:r w:rsidR="00E902EF">
        <w:t xml:space="preserve"> Section 73.872.</w:t>
      </w:r>
    </w:p>
  </w:footnote>
  <w:footnote w:id="20">
    <w:p w:rsidR="008C1831" w:rsidRPr="002118CA" w:rsidRDefault="008C1831" w:rsidP="008C1831">
      <w:pPr>
        <w:pStyle w:val="FootnoteText"/>
      </w:pPr>
      <w:r w:rsidRPr="002118CA">
        <w:rPr>
          <w:rStyle w:val="FootnoteReference"/>
        </w:rPr>
        <w:footnoteRef/>
      </w:r>
      <w:r w:rsidRPr="002118CA">
        <w:t xml:space="preserve"> </w:t>
      </w:r>
      <w:r w:rsidR="00E40FCC">
        <w:rPr>
          <w:i/>
        </w:rPr>
        <w:t xml:space="preserve">Sixth Report and </w:t>
      </w:r>
      <w:r w:rsidR="00E40FCC" w:rsidRPr="006C3FB0">
        <w:rPr>
          <w:i/>
        </w:rPr>
        <w:t>Order</w:t>
      </w:r>
      <w:r w:rsidR="006C3FB0">
        <w:t>,</w:t>
      </w:r>
      <w:r w:rsidR="00E40FCC">
        <w:t xml:space="preserve"> </w:t>
      </w:r>
      <w:r w:rsidRPr="00E40FCC">
        <w:t>27</w:t>
      </w:r>
      <w:r w:rsidRPr="002118CA">
        <w:t xml:space="preserve"> FCC Rcd </w:t>
      </w:r>
      <w:r w:rsidR="00E40FCC">
        <w:t xml:space="preserve">at </w:t>
      </w:r>
      <w:r w:rsidRPr="002118CA">
        <w:t>15473 ¶ 191</w:t>
      </w:r>
      <w:r w:rsidR="00F21E4E" w:rsidRPr="002118CA">
        <w:t>(“</w:t>
      </w:r>
      <w:r w:rsidR="00F21E4E" w:rsidRPr="002118CA">
        <w:rPr>
          <w:shd w:val="clear" w:color="auto" w:fill="FFFFFF"/>
        </w:rPr>
        <w:t>we also believe that our selection process should encourage new entrants to broadcasting and foster a diverse range of community voices . . . we will award one point to an applicant that can certify that it has no attributable interest in any other broadcast station.”).</w:t>
      </w:r>
    </w:p>
  </w:footnote>
  <w:footnote w:id="21">
    <w:p w:rsidR="00F74278" w:rsidRDefault="00F74278">
      <w:pPr>
        <w:pStyle w:val="FootnoteText"/>
      </w:pPr>
      <w:r>
        <w:rPr>
          <w:rStyle w:val="FootnoteReference"/>
        </w:rPr>
        <w:footnoteRef/>
      </w:r>
      <w:r>
        <w:t xml:space="preserve"> Loyola acknowledges the limited effect of Ms. Juras’ recusal in its application, noting that it is making the commitme</w:t>
      </w:r>
      <w:r w:rsidR="005A2450">
        <w:t>nt “</w:t>
      </w:r>
      <w:r>
        <w:t>in order to satisfy the cross-ownership restrictions set forth in Section 73.860 of the Commission’</w:t>
      </w:r>
      <w:r w:rsidR="005A2450">
        <w:t>s Rules.”</w:t>
      </w:r>
      <w:r w:rsidR="00D9144C">
        <w:t xml:space="preserve"> </w:t>
      </w:r>
      <w:r w:rsidR="005A2450">
        <w:t xml:space="preserve"> Loyola Application, Exhibit 3.</w:t>
      </w:r>
    </w:p>
  </w:footnote>
  <w:footnote w:id="22">
    <w:p w:rsidR="00B36471" w:rsidRPr="002118CA" w:rsidRDefault="00B36471">
      <w:pPr>
        <w:pStyle w:val="FootnoteText"/>
        <w:rPr>
          <w:i/>
        </w:rPr>
      </w:pPr>
      <w:r w:rsidRPr="002118CA">
        <w:rPr>
          <w:rStyle w:val="FootnoteReference"/>
        </w:rPr>
        <w:footnoteRef/>
      </w:r>
      <w:r w:rsidRPr="002118CA">
        <w:t xml:space="preserve"> </w:t>
      </w:r>
      <w:r w:rsidRPr="002118CA">
        <w:rPr>
          <w:i/>
        </w:rPr>
        <w:t xml:space="preserve">See </w:t>
      </w:r>
      <w:r w:rsidRPr="002118CA">
        <w:t xml:space="preserve">JHU Application at Section III, Question 5; Amendment at Section III, Question 5.  </w:t>
      </w:r>
    </w:p>
  </w:footnote>
  <w:footnote w:id="23">
    <w:p w:rsidR="00B36471" w:rsidRPr="002118CA" w:rsidRDefault="00B36471">
      <w:pPr>
        <w:pStyle w:val="FootnoteText"/>
      </w:pPr>
      <w:r w:rsidRPr="002118CA">
        <w:rPr>
          <w:rStyle w:val="FootnoteReference"/>
        </w:rPr>
        <w:footnoteRef/>
      </w:r>
      <w:r w:rsidRPr="002118CA">
        <w:t xml:space="preserve"> Petition at 4, </w:t>
      </w:r>
      <w:r w:rsidRPr="002118CA">
        <w:rPr>
          <w:i/>
        </w:rPr>
        <w:t xml:space="preserve">citing </w:t>
      </w:r>
      <w:r w:rsidRPr="002118CA">
        <w:t>47 C.F.R. § 73.871(b) and Instructions at 8, Section III</w:t>
      </w:r>
      <w:r w:rsidR="000F64DB" w:rsidRPr="002118CA">
        <w:t>.</w:t>
      </w:r>
      <w:r w:rsidRPr="002118CA">
        <w:t xml:space="preserve">A. </w:t>
      </w:r>
    </w:p>
  </w:footnote>
  <w:footnote w:id="24">
    <w:p w:rsidR="00B36471" w:rsidRPr="002118CA" w:rsidRDefault="00B36471">
      <w:pPr>
        <w:pStyle w:val="FootnoteText"/>
      </w:pPr>
      <w:r w:rsidRPr="002118CA">
        <w:rPr>
          <w:rStyle w:val="FootnoteReference"/>
        </w:rPr>
        <w:footnoteRef/>
      </w:r>
      <w:r w:rsidRPr="002118CA">
        <w:t xml:space="preserve"> 47 C.F.R. § 73.871(b) (“</w:t>
      </w:r>
      <w:r w:rsidRPr="002118CA">
        <w:rPr>
          <w:shd w:val="clear" w:color="auto" w:fill="FFFFFF"/>
        </w:rPr>
        <w:t>Amendments that would improve the comparative position of new and major change applications will not be accepted after the close of the pertinent filing window.</w:t>
      </w:r>
      <w:r w:rsidRPr="002118CA">
        <w:t>”); Instructions at 8, Section IIIA (“Applicants may not enhance their comparative position after the close of the filing window during which they filed their applications.”).</w:t>
      </w:r>
      <w:r w:rsidR="00C070FE" w:rsidRPr="002118CA">
        <w:t xml:space="preserve">  </w:t>
      </w:r>
      <w:r w:rsidR="00C070FE" w:rsidRPr="002118CA">
        <w:rPr>
          <w:i/>
        </w:rPr>
        <w:t>See also</w:t>
      </w:r>
      <w:r w:rsidR="00C070FE" w:rsidRPr="002118CA">
        <w:t xml:space="preserve"> </w:t>
      </w:r>
      <w:r w:rsidR="00C070FE" w:rsidRPr="002118CA">
        <w:rPr>
          <w:i/>
        </w:rPr>
        <w:t>Media Bureau Announces Availability of the Revised FCC Form 318 and the Filing Procedures for October 15 – October 29, 2013 Low Power FM Filing Window</w:t>
      </w:r>
      <w:r w:rsidR="00C070FE" w:rsidRPr="002118CA">
        <w:t>, Public Notice, 28 FCC Rcd 8854, 8857</w:t>
      </w:r>
      <w:r w:rsidR="004B4AD3" w:rsidRPr="002118CA">
        <w:t xml:space="preserve"> (MB 2013) (“</w:t>
      </w:r>
      <w:r w:rsidR="004B4AD3" w:rsidRPr="002118CA">
        <w:rPr>
          <w:shd w:val="clear" w:color="auto" w:fill="FFFFFF"/>
        </w:rPr>
        <w:t>The comparative qualifications of applicants,</w:t>
      </w:r>
      <w:r w:rsidR="004B4AD3" w:rsidRPr="002118CA">
        <w:rPr>
          <w:rStyle w:val="apple-converted-space"/>
          <w:shd w:val="clear" w:color="auto" w:fill="FFFFFF"/>
        </w:rPr>
        <w:t> </w:t>
      </w:r>
      <w:r w:rsidR="004B4AD3" w:rsidRPr="002118CA">
        <w:rPr>
          <w:i/>
          <w:iCs/>
          <w:shd w:val="clear" w:color="auto" w:fill="FFFFFF"/>
        </w:rPr>
        <w:t>i.e.</w:t>
      </w:r>
      <w:r w:rsidR="004B4AD3" w:rsidRPr="002118CA">
        <w:rPr>
          <w:shd w:val="clear" w:color="auto" w:fill="FFFFFF"/>
        </w:rPr>
        <w:t xml:space="preserve">, maximum possible points awarded pursuant to Section 73.872, are established as of the close of the filing window. </w:t>
      </w:r>
      <w:r w:rsidR="00B319B5" w:rsidRPr="002118CA">
        <w:rPr>
          <w:shd w:val="clear" w:color="auto" w:fill="FFFFFF"/>
        </w:rPr>
        <w:t xml:space="preserve"> </w:t>
      </w:r>
      <w:r w:rsidR="004B4AD3" w:rsidRPr="002118CA">
        <w:rPr>
          <w:shd w:val="clear" w:color="auto" w:fill="FFFFFF"/>
        </w:rPr>
        <w:t>While new and major change applications may be amended without limitation during the filing window,</w:t>
      </w:r>
      <w:bookmarkStart w:id="1" w:name="FN[FN18]"/>
      <w:bookmarkEnd w:id="1"/>
      <w:r w:rsidR="004B4AD3" w:rsidRPr="002118CA">
        <w:rPr>
          <w:shd w:val="clear" w:color="auto" w:fill="FFFFFF"/>
          <w:vertAlign w:val="superscript"/>
        </w:rPr>
        <w:t xml:space="preserve"> </w:t>
      </w:r>
      <w:r w:rsidR="004B4AD3" w:rsidRPr="002118CA">
        <w:rPr>
          <w:shd w:val="clear" w:color="auto" w:fill="FFFFFF"/>
        </w:rPr>
        <w:t>amendments that would improve the comparative position of these new and major change applications will not be accepted after the close of the filing window</w:t>
      </w:r>
      <w:bookmarkStart w:id="2" w:name="FN[FN19]"/>
      <w:bookmarkEnd w:id="2"/>
      <w:r w:rsidR="004B4AD3" w:rsidRPr="002118CA">
        <w:rPr>
          <w:shd w:val="clear" w:color="auto" w:fill="FFFFFF"/>
        </w:rPr>
        <w:t>.”).</w:t>
      </w:r>
    </w:p>
  </w:footnote>
  <w:footnote w:id="25">
    <w:p w:rsidR="00B36471" w:rsidRPr="002118CA" w:rsidRDefault="00B36471">
      <w:pPr>
        <w:pStyle w:val="FootnoteText"/>
      </w:pPr>
      <w:r w:rsidRPr="002118CA">
        <w:rPr>
          <w:rStyle w:val="FootnoteReference"/>
        </w:rPr>
        <w:footnoteRef/>
      </w:r>
      <w:r w:rsidRPr="002118CA">
        <w:t xml:space="preserve"> </w:t>
      </w:r>
      <w:r w:rsidRPr="002118CA">
        <w:rPr>
          <w:i/>
        </w:rPr>
        <w:t xml:space="preserve">See </w:t>
      </w:r>
      <w:r w:rsidRPr="002118CA">
        <w:t xml:space="preserve">47 C.F.R. § 73.872(c).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69" w:rsidRDefault="00A56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71" w:rsidRDefault="00B36471" w:rsidP="00810B6F">
    <w:pPr>
      <w:pStyle w:val="Header"/>
      <w:rPr>
        <w:b w:val="0"/>
      </w:rPr>
    </w:pPr>
    <w:r>
      <w:tab/>
      <w:t>Federal Communications Commission</w:t>
    </w:r>
    <w:r>
      <w:tab/>
      <w:t>FCC 15-</w:t>
    </w:r>
    <w:r w:rsidR="00FD22CD">
      <w:t>123</w:t>
    </w:r>
  </w:p>
  <w:p w:rsidR="00B36471" w:rsidRDefault="009A02E5">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81714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71" w:rsidRDefault="009A02E5"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EC53D2"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B36471">
      <w:tab/>
      <w:t>Federal Communications Commission</w:t>
    </w:r>
    <w:r w:rsidR="00B36471">
      <w:tab/>
    </w:r>
    <w:r w:rsidR="00B36471">
      <w:rPr>
        <w:spacing w:val="-2"/>
      </w:rPr>
      <w:t>FCC 15-</w:t>
    </w:r>
    <w:r w:rsidR="00FD22CD">
      <w:rPr>
        <w:spacing w:val="-2"/>
      </w:rPr>
      <w:t>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904"/>
    <w:rsid w:val="00002B53"/>
    <w:rsid w:val="00007AA9"/>
    <w:rsid w:val="00014CF4"/>
    <w:rsid w:val="00014DC9"/>
    <w:rsid w:val="00015E43"/>
    <w:rsid w:val="00020A77"/>
    <w:rsid w:val="0002344D"/>
    <w:rsid w:val="00025535"/>
    <w:rsid w:val="000309D9"/>
    <w:rsid w:val="00035E98"/>
    <w:rsid w:val="00036039"/>
    <w:rsid w:val="00037F90"/>
    <w:rsid w:val="00041DD6"/>
    <w:rsid w:val="00041F00"/>
    <w:rsid w:val="00050C33"/>
    <w:rsid w:val="00052307"/>
    <w:rsid w:val="00060A53"/>
    <w:rsid w:val="00061834"/>
    <w:rsid w:val="000633EE"/>
    <w:rsid w:val="0007347D"/>
    <w:rsid w:val="00073EBE"/>
    <w:rsid w:val="00085599"/>
    <w:rsid w:val="000875BF"/>
    <w:rsid w:val="000878A9"/>
    <w:rsid w:val="000913F5"/>
    <w:rsid w:val="00092E5C"/>
    <w:rsid w:val="00096D8C"/>
    <w:rsid w:val="000A536E"/>
    <w:rsid w:val="000B1DD5"/>
    <w:rsid w:val="000B5284"/>
    <w:rsid w:val="000B570F"/>
    <w:rsid w:val="000B6DB7"/>
    <w:rsid w:val="000C0B65"/>
    <w:rsid w:val="000C7B27"/>
    <w:rsid w:val="000C7CB8"/>
    <w:rsid w:val="000D1B29"/>
    <w:rsid w:val="000D1FAE"/>
    <w:rsid w:val="000E05FE"/>
    <w:rsid w:val="000E0A7C"/>
    <w:rsid w:val="000E1EB4"/>
    <w:rsid w:val="000E3D42"/>
    <w:rsid w:val="000F087B"/>
    <w:rsid w:val="000F2926"/>
    <w:rsid w:val="000F4F57"/>
    <w:rsid w:val="000F64DB"/>
    <w:rsid w:val="000F792A"/>
    <w:rsid w:val="001014B9"/>
    <w:rsid w:val="00101CE0"/>
    <w:rsid w:val="001037C9"/>
    <w:rsid w:val="00105D13"/>
    <w:rsid w:val="00106A2F"/>
    <w:rsid w:val="001103E9"/>
    <w:rsid w:val="001112BE"/>
    <w:rsid w:val="00112A51"/>
    <w:rsid w:val="0011325A"/>
    <w:rsid w:val="00122925"/>
    <w:rsid w:val="00122BD5"/>
    <w:rsid w:val="00124115"/>
    <w:rsid w:val="00126D3C"/>
    <w:rsid w:val="001302BD"/>
    <w:rsid w:val="00133F79"/>
    <w:rsid w:val="00135C6E"/>
    <w:rsid w:val="0013739A"/>
    <w:rsid w:val="00137A75"/>
    <w:rsid w:val="00144D28"/>
    <w:rsid w:val="00150573"/>
    <w:rsid w:val="00152B09"/>
    <w:rsid w:val="00153928"/>
    <w:rsid w:val="0015742E"/>
    <w:rsid w:val="00161DC2"/>
    <w:rsid w:val="0016703D"/>
    <w:rsid w:val="00170DAB"/>
    <w:rsid w:val="0017154F"/>
    <w:rsid w:val="001856CD"/>
    <w:rsid w:val="0018580D"/>
    <w:rsid w:val="001860D8"/>
    <w:rsid w:val="0019132A"/>
    <w:rsid w:val="001949F2"/>
    <w:rsid w:val="00194A66"/>
    <w:rsid w:val="001A156C"/>
    <w:rsid w:val="001A34C8"/>
    <w:rsid w:val="001A3DD3"/>
    <w:rsid w:val="001B6FB8"/>
    <w:rsid w:val="001C0A21"/>
    <w:rsid w:val="001C1906"/>
    <w:rsid w:val="001D1539"/>
    <w:rsid w:val="001D2302"/>
    <w:rsid w:val="001D5E77"/>
    <w:rsid w:val="001D60EF"/>
    <w:rsid w:val="001D6BCF"/>
    <w:rsid w:val="001D6F66"/>
    <w:rsid w:val="001D7234"/>
    <w:rsid w:val="001E01CA"/>
    <w:rsid w:val="001E4F8D"/>
    <w:rsid w:val="001E57F0"/>
    <w:rsid w:val="001E7E90"/>
    <w:rsid w:val="001F471D"/>
    <w:rsid w:val="001F4889"/>
    <w:rsid w:val="001F61E1"/>
    <w:rsid w:val="001F6C78"/>
    <w:rsid w:val="002006F5"/>
    <w:rsid w:val="0020726B"/>
    <w:rsid w:val="002118CA"/>
    <w:rsid w:val="00211BCF"/>
    <w:rsid w:val="002158AB"/>
    <w:rsid w:val="0021617E"/>
    <w:rsid w:val="0021761D"/>
    <w:rsid w:val="00224768"/>
    <w:rsid w:val="002261A4"/>
    <w:rsid w:val="002262CE"/>
    <w:rsid w:val="0022785D"/>
    <w:rsid w:val="0023203E"/>
    <w:rsid w:val="00232651"/>
    <w:rsid w:val="0023398A"/>
    <w:rsid w:val="00234010"/>
    <w:rsid w:val="00237ABC"/>
    <w:rsid w:val="0024002B"/>
    <w:rsid w:val="00243BF4"/>
    <w:rsid w:val="002443D1"/>
    <w:rsid w:val="00252E16"/>
    <w:rsid w:val="002534D7"/>
    <w:rsid w:val="00255FFF"/>
    <w:rsid w:val="00256042"/>
    <w:rsid w:val="002679A2"/>
    <w:rsid w:val="0027548F"/>
    <w:rsid w:val="00275CF5"/>
    <w:rsid w:val="00276775"/>
    <w:rsid w:val="00277901"/>
    <w:rsid w:val="0028301F"/>
    <w:rsid w:val="00285017"/>
    <w:rsid w:val="00286E87"/>
    <w:rsid w:val="00292D1F"/>
    <w:rsid w:val="00293A62"/>
    <w:rsid w:val="00294204"/>
    <w:rsid w:val="00296A04"/>
    <w:rsid w:val="00296F10"/>
    <w:rsid w:val="002A09FF"/>
    <w:rsid w:val="002A2D2E"/>
    <w:rsid w:val="002A7619"/>
    <w:rsid w:val="002B2C5F"/>
    <w:rsid w:val="002B4898"/>
    <w:rsid w:val="002B7443"/>
    <w:rsid w:val="002B7FC6"/>
    <w:rsid w:val="002C00E8"/>
    <w:rsid w:val="002C0C6B"/>
    <w:rsid w:val="002C360E"/>
    <w:rsid w:val="002D4606"/>
    <w:rsid w:val="002E5828"/>
    <w:rsid w:val="002F0FB0"/>
    <w:rsid w:val="002F3759"/>
    <w:rsid w:val="002F44EC"/>
    <w:rsid w:val="002F5A1F"/>
    <w:rsid w:val="002F5D21"/>
    <w:rsid w:val="00303244"/>
    <w:rsid w:val="003034E7"/>
    <w:rsid w:val="00310FF7"/>
    <w:rsid w:val="003118EF"/>
    <w:rsid w:val="00312CB5"/>
    <w:rsid w:val="0031390A"/>
    <w:rsid w:val="00313F05"/>
    <w:rsid w:val="0031751C"/>
    <w:rsid w:val="0032036A"/>
    <w:rsid w:val="00331DF6"/>
    <w:rsid w:val="0033380E"/>
    <w:rsid w:val="0033772A"/>
    <w:rsid w:val="00343749"/>
    <w:rsid w:val="0034675F"/>
    <w:rsid w:val="00351760"/>
    <w:rsid w:val="0035295B"/>
    <w:rsid w:val="00360054"/>
    <w:rsid w:val="003614B2"/>
    <w:rsid w:val="003660ED"/>
    <w:rsid w:val="003715ED"/>
    <w:rsid w:val="00371E4D"/>
    <w:rsid w:val="0037747E"/>
    <w:rsid w:val="00387346"/>
    <w:rsid w:val="00390B82"/>
    <w:rsid w:val="00391657"/>
    <w:rsid w:val="00392367"/>
    <w:rsid w:val="00395531"/>
    <w:rsid w:val="003A04BF"/>
    <w:rsid w:val="003A271B"/>
    <w:rsid w:val="003A28F0"/>
    <w:rsid w:val="003A293C"/>
    <w:rsid w:val="003B0373"/>
    <w:rsid w:val="003B0550"/>
    <w:rsid w:val="003B0957"/>
    <w:rsid w:val="003B3213"/>
    <w:rsid w:val="003B4C56"/>
    <w:rsid w:val="003B4EBF"/>
    <w:rsid w:val="003B694F"/>
    <w:rsid w:val="003C385B"/>
    <w:rsid w:val="003C69C9"/>
    <w:rsid w:val="003C7443"/>
    <w:rsid w:val="003D2024"/>
    <w:rsid w:val="003E260E"/>
    <w:rsid w:val="003F0F04"/>
    <w:rsid w:val="003F137E"/>
    <w:rsid w:val="003F171C"/>
    <w:rsid w:val="003F4D1D"/>
    <w:rsid w:val="003F7CDA"/>
    <w:rsid w:val="00402552"/>
    <w:rsid w:val="00412FC5"/>
    <w:rsid w:val="00414505"/>
    <w:rsid w:val="00421359"/>
    <w:rsid w:val="00422276"/>
    <w:rsid w:val="004242F1"/>
    <w:rsid w:val="004304B5"/>
    <w:rsid w:val="0043453B"/>
    <w:rsid w:val="00435A0C"/>
    <w:rsid w:val="00445A00"/>
    <w:rsid w:val="00451B0F"/>
    <w:rsid w:val="00460CCA"/>
    <w:rsid w:val="0046538B"/>
    <w:rsid w:val="004814A6"/>
    <w:rsid w:val="00490081"/>
    <w:rsid w:val="0049288B"/>
    <w:rsid w:val="004957D6"/>
    <w:rsid w:val="0049659A"/>
    <w:rsid w:val="004A3ACE"/>
    <w:rsid w:val="004A6A5D"/>
    <w:rsid w:val="004B1BFC"/>
    <w:rsid w:val="004B38A1"/>
    <w:rsid w:val="004B4AD3"/>
    <w:rsid w:val="004B5F41"/>
    <w:rsid w:val="004B5FE1"/>
    <w:rsid w:val="004C2EE3"/>
    <w:rsid w:val="004C47D8"/>
    <w:rsid w:val="004C7B99"/>
    <w:rsid w:val="004E4A22"/>
    <w:rsid w:val="004F276C"/>
    <w:rsid w:val="004F480E"/>
    <w:rsid w:val="00511968"/>
    <w:rsid w:val="00521FC9"/>
    <w:rsid w:val="00523ED5"/>
    <w:rsid w:val="005315B3"/>
    <w:rsid w:val="00535EE6"/>
    <w:rsid w:val="005367C8"/>
    <w:rsid w:val="00537503"/>
    <w:rsid w:val="00537ECA"/>
    <w:rsid w:val="005458BC"/>
    <w:rsid w:val="00550CDF"/>
    <w:rsid w:val="005518BA"/>
    <w:rsid w:val="00553484"/>
    <w:rsid w:val="005544A5"/>
    <w:rsid w:val="00554804"/>
    <w:rsid w:val="0055614C"/>
    <w:rsid w:val="005609CF"/>
    <w:rsid w:val="00561452"/>
    <w:rsid w:val="00566535"/>
    <w:rsid w:val="00567A12"/>
    <w:rsid w:val="005775FC"/>
    <w:rsid w:val="005805B8"/>
    <w:rsid w:val="00580ABE"/>
    <w:rsid w:val="0058411F"/>
    <w:rsid w:val="0058538F"/>
    <w:rsid w:val="005916A0"/>
    <w:rsid w:val="00592DF6"/>
    <w:rsid w:val="00596F40"/>
    <w:rsid w:val="005A18AC"/>
    <w:rsid w:val="005A20C2"/>
    <w:rsid w:val="005A2450"/>
    <w:rsid w:val="005A3974"/>
    <w:rsid w:val="005A78A4"/>
    <w:rsid w:val="005A7B5E"/>
    <w:rsid w:val="005A7C68"/>
    <w:rsid w:val="005B5615"/>
    <w:rsid w:val="005B7770"/>
    <w:rsid w:val="005C0C0E"/>
    <w:rsid w:val="005C699F"/>
    <w:rsid w:val="005E14C2"/>
    <w:rsid w:val="005E3FAC"/>
    <w:rsid w:val="005E4103"/>
    <w:rsid w:val="005E4A6F"/>
    <w:rsid w:val="005E6396"/>
    <w:rsid w:val="005F35D9"/>
    <w:rsid w:val="005F3E0A"/>
    <w:rsid w:val="005F4E1B"/>
    <w:rsid w:val="005F59A7"/>
    <w:rsid w:val="005F7E78"/>
    <w:rsid w:val="00600860"/>
    <w:rsid w:val="006039C6"/>
    <w:rsid w:val="00604241"/>
    <w:rsid w:val="00605A2C"/>
    <w:rsid w:val="00606F6C"/>
    <w:rsid w:val="00607304"/>
    <w:rsid w:val="00607BA5"/>
    <w:rsid w:val="006105FA"/>
    <w:rsid w:val="0061180A"/>
    <w:rsid w:val="00612E9A"/>
    <w:rsid w:val="00616EC5"/>
    <w:rsid w:val="00626EB6"/>
    <w:rsid w:val="00627DE9"/>
    <w:rsid w:val="006316CA"/>
    <w:rsid w:val="00632015"/>
    <w:rsid w:val="00635CE9"/>
    <w:rsid w:val="006464C2"/>
    <w:rsid w:val="00650E85"/>
    <w:rsid w:val="0065286C"/>
    <w:rsid w:val="006529E2"/>
    <w:rsid w:val="00653650"/>
    <w:rsid w:val="00655D03"/>
    <w:rsid w:val="006666B0"/>
    <w:rsid w:val="0067193A"/>
    <w:rsid w:val="006746AA"/>
    <w:rsid w:val="0068240E"/>
    <w:rsid w:val="00682E27"/>
    <w:rsid w:val="00683388"/>
    <w:rsid w:val="00683F84"/>
    <w:rsid w:val="00695731"/>
    <w:rsid w:val="006A3FBD"/>
    <w:rsid w:val="006A6A81"/>
    <w:rsid w:val="006B2EEA"/>
    <w:rsid w:val="006B49BD"/>
    <w:rsid w:val="006B4A4C"/>
    <w:rsid w:val="006B54F4"/>
    <w:rsid w:val="006C2530"/>
    <w:rsid w:val="006C38CF"/>
    <w:rsid w:val="006C3FB0"/>
    <w:rsid w:val="006C5460"/>
    <w:rsid w:val="006C56C2"/>
    <w:rsid w:val="006C740F"/>
    <w:rsid w:val="006D10A3"/>
    <w:rsid w:val="006D5700"/>
    <w:rsid w:val="006D58CA"/>
    <w:rsid w:val="006D6439"/>
    <w:rsid w:val="006E329C"/>
    <w:rsid w:val="006E4F37"/>
    <w:rsid w:val="006F0BB0"/>
    <w:rsid w:val="006F3417"/>
    <w:rsid w:val="006F35D2"/>
    <w:rsid w:val="006F5BAB"/>
    <w:rsid w:val="006F5CD8"/>
    <w:rsid w:val="006F7393"/>
    <w:rsid w:val="0070224F"/>
    <w:rsid w:val="00702ACE"/>
    <w:rsid w:val="00702BE1"/>
    <w:rsid w:val="007044B1"/>
    <w:rsid w:val="00704B13"/>
    <w:rsid w:val="007115F7"/>
    <w:rsid w:val="0071332F"/>
    <w:rsid w:val="007147B5"/>
    <w:rsid w:val="007168B3"/>
    <w:rsid w:val="007171F6"/>
    <w:rsid w:val="00723292"/>
    <w:rsid w:val="00726BE0"/>
    <w:rsid w:val="00734E43"/>
    <w:rsid w:val="00737EAC"/>
    <w:rsid w:val="007467B8"/>
    <w:rsid w:val="00754D43"/>
    <w:rsid w:val="00756417"/>
    <w:rsid w:val="007567EC"/>
    <w:rsid w:val="00760949"/>
    <w:rsid w:val="007807BA"/>
    <w:rsid w:val="00783EF7"/>
    <w:rsid w:val="00785689"/>
    <w:rsid w:val="00785CD1"/>
    <w:rsid w:val="00786210"/>
    <w:rsid w:val="0078711B"/>
    <w:rsid w:val="00792287"/>
    <w:rsid w:val="00795C28"/>
    <w:rsid w:val="0079754B"/>
    <w:rsid w:val="007A1E6D"/>
    <w:rsid w:val="007B0EB2"/>
    <w:rsid w:val="007B35C9"/>
    <w:rsid w:val="007B7A68"/>
    <w:rsid w:val="007C0574"/>
    <w:rsid w:val="007C3276"/>
    <w:rsid w:val="007D433B"/>
    <w:rsid w:val="007E186F"/>
    <w:rsid w:val="007F4B30"/>
    <w:rsid w:val="007F64C1"/>
    <w:rsid w:val="00803506"/>
    <w:rsid w:val="00804F45"/>
    <w:rsid w:val="0080791A"/>
    <w:rsid w:val="00810B6F"/>
    <w:rsid w:val="008121A6"/>
    <w:rsid w:val="00815531"/>
    <w:rsid w:val="00822CE0"/>
    <w:rsid w:val="008307C5"/>
    <w:rsid w:val="00830F22"/>
    <w:rsid w:val="00837CEA"/>
    <w:rsid w:val="00841AB1"/>
    <w:rsid w:val="0084279E"/>
    <w:rsid w:val="0084529A"/>
    <w:rsid w:val="00851857"/>
    <w:rsid w:val="008534B8"/>
    <w:rsid w:val="00867221"/>
    <w:rsid w:val="0086735C"/>
    <w:rsid w:val="0087270A"/>
    <w:rsid w:val="008738F5"/>
    <w:rsid w:val="0087493E"/>
    <w:rsid w:val="00881F67"/>
    <w:rsid w:val="00883697"/>
    <w:rsid w:val="00885637"/>
    <w:rsid w:val="0088566E"/>
    <w:rsid w:val="008866CC"/>
    <w:rsid w:val="00890581"/>
    <w:rsid w:val="00892496"/>
    <w:rsid w:val="008A27C6"/>
    <w:rsid w:val="008A5574"/>
    <w:rsid w:val="008B3AF9"/>
    <w:rsid w:val="008B4AA4"/>
    <w:rsid w:val="008C0E65"/>
    <w:rsid w:val="008C1831"/>
    <w:rsid w:val="008C1866"/>
    <w:rsid w:val="008C20CC"/>
    <w:rsid w:val="008C68F1"/>
    <w:rsid w:val="008D3C95"/>
    <w:rsid w:val="008D4811"/>
    <w:rsid w:val="008E00BE"/>
    <w:rsid w:val="008E3A7C"/>
    <w:rsid w:val="008E406A"/>
    <w:rsid w:val="008E5FD5"/>
    <w:rsid w:val="008F3C4A"/>
    <w:rsid w:val="008F3DB3"/>
    <w:rsid w:val="008F529E"/>
    <w:rsid w:val="0090562F"/>
    <w:rsid w:val="00907233"/>
    <w:rsid w:val="009106B2"/>
    <w:rsid w:val="00911527"/>
    <w:rsid w:val="00912FDD"/>
    <w:rsid w:val="00915A62"/>
    <w:rsid w:val="00920606"/>
    <w:rsid w:val="00921803"/>
    <w:rsid w:val="00924C0B"/>
    <w:rsid w:val="00926503"/>
    <w:rsid w:val="00927443"/>
    <w:rsid w:val="009303E9"/>
    <w:rsid w:val="0094442B"/>
    <w:rsid w:val="00946EE4"/>
    <w:rsid w:val="00946FB4"/>
    <w:rsid w:val="009509EF"/>
    <w:rsid w:val="00961945"/>
    <w:rsid w:val="00962DE2"/>
    <w:rsid w:val="009726D8"/>
    <w:rsid w:val="00976EE8"/>
    <w:rsid w:val="00977D00"/>
    <w:rsid w:val="00985566"/>
    <w:rsid w:val="009865BE"/>
    <w:rsid w:val="009877EA"/>
    <w:rsid w:val="009A02E5"/>
    <w:rsid w:val="009A3F84"/>
    <w:rsid w:val="009B11F1"/>
    <w:rsid w:val="009B4A50"/>
    <w:rsid w:val="009C02AD"/>
    <w:rsid w:val="009C5523"/>
    <w:rsid w:val="009C5E1F"/>
    <w:rsid w:val="009E52DC"/>
    <w:rsid w:val="009E71BE"/>
    <w:rsid w:val="009F43BC"/>
    <w:rsid w:val="009F76DB"/>
    <w:rsid w:val="009F7B9A"/>
    <w:rsid w:val="00A10779"/>
    <w:rsid w:val="00A10EE8"/>
    <w:rsid w:val="00A116CC"/>
    <w:rsid w:val="00A13CA2"/>
    <w:rsid w:val="00A1529F"/>
    <w:rsid w:val="00A27141"/>
    <w:rsid w:val="00A32C3B"/>
    <w:rsid w:val="00A400A3"/>
    <w:rsid w:val="00A403D8"/>
    <w:rsid w:val="00A41CCA"/>
    <w:rsid w:val="00A45F4F"/>
    <w:rsid w:val="00A5171B"/>
    <w:rsid w:val="00A544DB"/>
    <w:rsid w:val="00A56C69"/>
    <w:rsid w:val="00A600A9"/>
    <w:rsid w:val="00A607A9"/>
    <w:rsid w:val="00A62D13"/>
    <w:rsid w:val="00A67ED7"/>
    <w:rsid w:val="00A71B74"/>
    <w:rsid w:val="00A73DDB"/>
    <w:rsid w:val="00A75276"/>
    <w:rsid w:val="00A75E78"/>
    <w:rsid w:val="00A82CCC"/>
    <w:rsid w:val="00A876DD"/>
    <w:rsid w:val="00A93280"/>
    <w:rsid w:val="00A95AC4"/>
    <w:rsid w:val="00AA544B"/>
    <w:rsid w:val="00AA55B7"/>
    <w:rsid w:val="00AA5B9E"/>
    <w:rsid w:val="00AB2407"/>
    <w:rsid w:val="00AB2722"/>
    <w:rsid w:val="00AB53DF"/>
    <w:rsid w:val="00AB621F"/>
    <w:rsid w:val="00AC0868"/>
    <w:rsid w:val="00AC394F"/>
    <w:rsid w:val="00AC656C"/>
    <w:rsid w:val="00AC6DDE"/>
    <w:rsid w:val="00AD1DFF"/>
    <w:rsid w:val="00AD1F01"/>
    <w:rsid w:val="00AD2F47"/>
    <w:rsid w:val="00AD495B"/>
    <w:rsid w:val="00AD66EA"/>
    <w:rsid w:val="00AE08B3"/>
    <w:rsid w:val="00AE0EE5"/>
    <w:rsid w:val="00AE0FC5"/>
    <w:rsid w:val="00AE2DC0"/>
    <w:rsid w:val="00AE64C3"/>
    <w:rsid w:val="00AE6CE9"/>
    <w:rsid w:val="00AF2714"/>
    <w:rsid w:val="00AF3B7E"/>
    <w:rsid w:val="00AF70A9"/>
    <w:rsid w:val="00AF7BA5"/>
    <w:rsid w:val="00B00DEA"/>
    <w:rsid w:val="00B014C6"/>
    <w:rsid w:val="00B03B44"/>
    <w:rsid w:val="00B04B79"/>
    <w:rsid w:val="00B06127"/>
    <w:rsid w:val="00B07E5C"/>
    <w:rsid w:val="00B10C5B"/>
    <w:rsid w:val="00B117D6"/>
    <w:rsid w:val="00B12573"/>
    <w:rsid w:val="00B14AC3"/>
    <w:rsid w:val="00B17F87"/>
    <w:rsid w:val="00B21541"/>
    <w:rsid w:val="00B224FE"/>
    <w:rsid w:val="00B23231"/>
    <w:rsid w:val="00B30808"/>
    <w:rsid w:val="00B319B5"/>
    <w:rsid w:val="00B35CCB"/>
    <w:rsid w:val="00B36471"/>
    <w:rsid w:val="00B56471"/>
    <w:rsid w:val="00B6122B"/>
    <w:rsid w:val="00B66E77"/>
    <w:rsid w:val="00B71A7E"/>
    <w:rsid w:val="00B7728F"/>
    <w:rsid w:val="00B77C0F"/>
    <w:rsid w:val="00B811F7"/>
    <w:rsid w:val="00B86770"/>
    <w:rsid w:val="00B94371"/>
    <w:rsid w:val="00B96AD6"/>
    <w:rsid w:val="00B96AFB"/>
    <w:rsid w:val="00B97E6C"/>
    <w:rsid w:val="00BA5844"/>
    <w:rsid w:val="00BA5DC6"/>
    <w:rsid w:val="00BA6196"/>
    <w:rsid w:val="00BA661A"/>
    <w:rsid w:val="00BB01DB"/>
    <w:rsid w:val="00BB0977"/>
    <w:rsid w:val="00BC6D8C"/>
    <w:rsid w:val="00BD1EF8"/>
    <w:rsid w:val="00BD1FC8"/>
    <w:rsid w:val="00BD26F4"/>
    <w:rsid w:val="00BD4808"/>
    <w:rsid w:val="00BD7B7C"/>
    <w:rsid w:val="00BF2BD6"/>
    <w:rsid w:val="00BF2BE0"/>
    <w:rsid w:val="00BF4A9F"/>
    <w:rsid w:val="00BF4C3F"/>
    <w:rsid w:val="00BF51BD"/>
    <w:rsid w:val="00BF5586"/>
    <w:rsid w:val="00BF65B4"/>
    <w:rsid w:val="00BF7702"/>
    <w:rsid w:val="00C033FD"/>
    <w:rsid w:val="00C03C26"/>
    <w:rsid w:val="00C04C91"/>
    <w:rsid w:val="00C070FE"/>
    <w:rsid w:val="00C10EF6"/>
    <w:rsid w:val="00C17250"/>
    <w:rsid w:val="00C172A1"/>
    <w:rsid w:val="00C21F57"/>
    <w:rsid w:val="00C276B6"/>
    <w:rsid w:val="00C320E1"/>
    <w:rsid w:val="00C34006"/>
    <w:rsid w:val="00C361F0"/>
    <w:rsid w:val="00C403FB"/>
    <w:rsid w:val="00C4147D"/>
    <w:rsid w:val="00C426B1"/>
    <w:rsid w:val="00C431C7"/>
    <w:rsid w:val="00C45B92"/>
    <w:rsid w:val="00C45EE1"/>
    <w:rsid w:val="00C54986"/>
    <w:rsid w:val="00C57194"/>
    <w:rsid w:val="00C640AA"/>
    <w:rsid w:val="00C66160"/>
    <w:rsid w:val="00C721AC"/>
    <w:rsid w:val="00C73651"/>
    <w:rsid w:val="00C80A7E"/>
    <w:rsid w:val="00C8132F"/>
    <w:rsid w:val="00C90D6A"/>
    <w:rsid w:val="00CA247E"/>
    <w:rsid w:val="00CA5513"/>
    <w:rsid w:val="00CA608F"/>
    <w:rsid w:val="00CA7341"/>
    <w:rsid w:val="00CA7C29"/>
    <w:rsid w:val="00CB09C3"/>
    <w:rsid w:val="00CB6034"/>
    <w:rsid w:val="00CB61C5"/>
    <w:rsid w:val="00CC622B"/>
    <w:rsid w:val="00CC72B6"/>
    <w:rsid w:val="00CC77B3"/>
    <w:rsid w:val="00CE25BA"/>
    <w:rsid w:val="00CE467E"/>
    <w:rsid w:val="00CE5E78"/>
    <w:rsid w:val="00CF0D91"/>
    <w:rsid w:val="00CF1A38"/>
    <w:rsid w:val="00D01A98"/>
    <w:rsid w:val="00D0218D"/>
    <w:rsid w:val="00D03AD7"/>
    <w:rsid w:val="00D13C99"/>
    <w:rsid w:val="00D14616"/>
    <w:rsid w:val="00D16805"/>
    <w:rsid w:val="00D20539"/>
    <w:rsid w:val="00D243ED"/>
    <w:rsid w:val="00D2551A"/>
    <w:rsid w:val="00D25FB5"/>
    <w:rsid w:val="00D35DED"/>
    <w:rsid w:val="00D405B5"/>
    <w:rsid w:val="00D421D2"/>
    <w:rsid w:val="00D44223"/>
    <w:rsid w:val="00D45600"/>
    <w:rsid w:val="00D4629A"/>
    <w:rsid w:val="00D56E80"/>
    <w:rsid w:val="00D639AF"/>
    <w:rsid w:val="00D72840"/>
    <w:rsid w:val="00D729EB"/>
    <w:rsid w:val="00D80517"/>
    <w:rsid w:val="00D83CF1"/>
    <w:rsid w:val="00D87D98"/>
    <w:rsid w:val="00D9144C"/>
    <w:rsid w:val="00DA0D3F"/>
    <w:rsid w:val="00DA2140"/>
    <w:rsid w:val="00DA2529"/>
    <w:rsid w:val="00DA26E8"/>
    <w:rsid w:val="00DA6C98"/>
    <w:rsid w:val="00DB130A"/>
    <w:rsid w:val="00DB2EBB"/>
    <w:rsid w:val="00DB4070"/>
    <w:rsid w:val="00DC0E91"/>
    <w:rsid w:val="00DC10A1"/>
    <w:rsid w:val="00DC39AF"/>
    <w:rsid w:val="00DC655F"/>
    <w:rsid w:val="00DD05CE"/>
    <w:rsid w:val="00DD0B59"/>
    <w:rsid w:val="00DD3DE2"/>
    <w:rsid w:val="00DD7EBD"/>
    <w:rsid w:val="00DE25E9"/>
    <w:rsid w:val="00DE3828"/>
    <w:rsid w:val="00DE39C7"/>
    <w:rsid w:val="00DE3D81"/>
    <w:rsid w:val="00DE5706"/>
    <w:rsid w:val="00DE7652"/>
    <w:rsid w:val="00DF1E9F"/>
    <w:rsid w:val="00DF62B6"/>
    <w:rsid w:val="00E03701"/>
    <w:rsid w:val="00E04ECE"/>
    <w:rsid w:val="00E07225"/>
    <w:rsid w:val="00E122EB"/>
    <w:rsid w:val="00E12561"/>
    <w:rsid w:val="00E153D4"/>
    <w:rsid w:val="00E16DDA"/>
    <w:rsid w:val="00E17E46"/>
    <w:rsid w:val="00E21D49"/>
    <w:rsid w:val="00E22BC6"/>
    <w:rsid w:val="00E23B37"/>
    <w:rsid w:val="00E25FD2"/>
    <w:rsid w:val="00E36467"/>
    <w:rsid w:val="00E40C6F"/>
    <w:rsid w:val="00E40FCC"/>
    <w:rsid w:val="00E51741"/>
    <w:rsid w:val="00E5409F"/>
    <w:rsid w:val="00E574A3"/>
    <w:rsid w:val="00E66A17"/>
    <w:rsid w:val="00E74EF3"/>
    <w:rsid w:val="00E80AA5"/>
    <w:rsid w:val="00E80E06"/>
    <w:rsid w:val="00E902EF"/>
    <w:rsid w:val="00E94FFB"/>
    <w:rsid w:val="00EA1272"/>
    <w:rsid w:val="00EA229C"/>
    <w:rsid w:val="00EA43E1"/>
    <w:rsid w:val="00EB4159"/>
    <w:rsid w:val="00EB5E29"/>
    <w:rsid w:val="00EC4C84"/>
    <w:rsid w:val="00ED0347"/>
    <w:rsid w:val="00ED7710"/>
    <w:rsid w:val="00EE0482"/>
    <w:rsid w:val="00EE3626"/>
    <w:rsid w:val="00EE6120"/>
    <w:rsid w:val="00EE6488"/>
    <w:rsid w:val="00EE6ABE"/>
    <w:rsid w:val="00EE776C"/>
    <w:rsid w:val="00EF1FC0"/>
    <w:rsid w:val="00EF1FCB"/>
    <w:rsid w:val="00F0086A"/>
    <w:rsid w:val="00F021FA"/>
    <w:rsid w:val="00F111C8"/>
    <w:rsid w:val="00F20DDD"/>
    <w:rsid w:val="00F21E4E"/>
    <w:rsid w:val="00F270BE"/>
    <w:rsid w:val="00F35042"/>
    <w:rsid w:val="00F37C3D"/>
    <w:rsid w:val="00F4088A"/>
    <w:rsid w:val="00F43745"/>
    <w:rsid w:val="00F43908"/>
    <w:rsid w:val="00F450F2"/>
    <w:rsid w:val="00F456B4"/>
    <w:rsid w:val="00F45A84"/>
    <w:rsid w:val="00F4659A"/>
    <w:rsid w:val="00F55C13"/>
    <w:rsid w:val="00F57184"/>
    <w:rsid w:val="00F57C7C"/>
    <w:rsid w:val="00F62E97"/>
    <w:rsid w:val="00F64209"/>
    <w:rsid w:val="00F66611"/>
    <w:rsid w:val="00F67BC4"/>
    <w:rsid w:val="00F67E13"/>
    <w:rsid w:val="00F70BAE"/>
    <w:rsid w:val="00F74278"/>
    <w:rsid w:val="00F74A5E"/>
    <w:rsid w:val="00F77987"/>
    <w:rsid w:val="00F779DF"/>
    <w:rsid w:val="00F77F4F"/>
    <w:rsid w:val="00F84455"/>
    <w:rsid w:val="00F93BF5"/>
    <w:rsid w:val="00FA053F"/>
    <w:rsid w:val="00FA0B28"/>
    <w:rsid w:val="00FA13A4"/>
    <w:rsid w:val="00FA43A3"/>
    <w:rsid w:val="00FB3478"/>
    <w:rsid w:val="00FB4CB2"/>
    <w:rsid w:val="00FC050C"/>
    <w:rsid w:val="00FC18FF"/>
    <w:rsid w:val="00FD22CD"/>
    <w:rsid w:val="00FD33D2"/>
    <w:rsid w:val="00FD61B6"/>
    <w:rsid w:val="00FE0D0E"/>
    <w:rsid w:val="00FE4E12"/>
    <w:rsid w:val="00FE6CCB"/>
    <w:rsid w:val="00FF0312"/>
    <w:rsid w:val="00FF21B8"/>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C9"/>
    <w:pPr>
      <w:widowControl w:val="0"/>
    </w:pPr>
    <w:rPr>
      <w:snapToGrid w:val="0"/>
      <w:kern w:val="28"/>
      <w:sz w:val="22"/>
    </w:rPr>
  </w:style>
  <w:style w:type="paragraph" w:styleId="Heading1">
    <w:name w:val="heading 1"/>
    <w:basedOn w:val="Normal"/>
    <w:next w:val="ParaNum"/>
    <w:qFormat/>
    <w:rsid w:val="00014D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14DC9"/>
    <w:pPr>
      <w:keepNext/>
      <w:numPr>
        <w:ilvl w:val="1"/>
        <w:numId w:val="3"/>
      </w:numPr>
      <w:spacing w:after="120"/>
      <w:outlineLvl w:val="1"/>
    </w:pPr>
    <w:rPr>
      <w:b/>
    </w:rPr>
  </w:style>
  <w:style w:type="paragraph" w:styleId="Heading3">
    <w:name w:val="heading 3"/>
    <w:basedOn w:val="Normal"/>
    <w:next w:val="ParaNum"/>
    <w:qFormat/>
    <w:rsid w:val="00014DC9"/>
    <w:pPr>
      <w:keepNext/>
      <w:numPr>
        <w:ilvl w:val="2"/>
        <w:numId w:val="3"/>
      </w:numPr>
      <w:tabs>
        <w:tab w:val="left" w:pos="2160"/>
      </w:tabs>
      <w:spacing w:after="120"/>
      <w:outlineLvl w:val="2"/>
    </w:pPr>
    <w:rPr>
      <w:b/>
    </w:rPr>
  </w:style>
  <w:style w:type="paragraph" w:styleId="Heading4">
    <w:name w:val="heading 4"/>
    <w:basedOn w:val="Normal"/>
    <w:next w:val="ParaNum"/>
    <w:qFormat/>
    <w:rsid w:val="00014DC9"/>
    <w:pPr>
      <w:keepNext/>
      <w:numPr>
        <w:ilvl w:val="3"/>
        <w:numId w:val="3"/>
      </w:numPr>
      <w:tabs>
        <w:tab w:val="left" w:pos="2880"/>
      </w:tabs>
      <w:spacing w:after="120"/>
      <w:outlineLvl w:val="3"/>
    </w:pPr>
    <w:rPr>
      <w:b/>
    </w:rPr>
  </w:style>
  <w:style w:type="paragraph" w:styleId="Heading5">
    <w:name w:val="heading 5"/>
    <w:basedOn w:val="Normal"/>
    <w:next w:val="ParaNum"/>
    <w:qFormat/>
    <w:rsid w:val="00014DC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14DC9"/>
    <w:pPr>
      <w:numPr>
        <w:ilvl w:val="5"/>
        <w:numId w:val="3"/>
      </w:numPr>
      <w:tabs>
        <w:tab w:val="left" w:pos="4320"/>
      </w:tabs>
      <w:spacing w:after="120"/>
      <w:outlineLvl w:val="5"/>
    </w:pPr>
    <w:rPr>
      <w:b/>
    </w:rPr>
  </w:style>
  <w:style w:type="paragraph" w:styleId="Heading7">
    <w:name w:val="heading 7"/>
    <w:basedOn w:val="Normal"/>
    <w:next w:val="ParaNum"/>
    <w:qFormat/>
    <w:rsid w:val="00014DC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14DC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14D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14D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4DC9"/>
  </w:style>
  <w:style w:type="paragraph" w:customStyle="1" w:styleId="ParaNum">
    <w:name w:val="ParaNum"/>
    <w:basedOn w:val="Normal"/>
    <w:link w:val="ParaNumChar"/>
    <w:rsid w:val="00014DC9"/>
    <w:pPr>
      <w:numPr>
        <w:numId w:val="2"/>
      </w:numPr>
      <w:tabs>
        <w:tab w:val="clear" w:pos="1080"/>
        <w:tab w:val="num" w:pos="1440"/>
      </w:tabs>
      <w:spacing w:after="120"/>
    </w:pPr>
  </w:style>
  <w:style w:type="paragraph" w:styleId="EndnoteText">
    <w:name w:val="endnote text"/>
    <w:basedOn w:val="Normal"/>
    <w:semiHidden/>
    <w:rsid w:val="00014DC9"/>
    <w:rPr>
      <w:sz w:val="20"/>
    </w:rPr>
  </w:style>
  <w:style w:type="character" w:styleId="EndnoteReference">
    <w:name w:val="endnote reference"/>
    <w:semiHidden/>
    <w:rsid w:val="00014DC9"/>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014DC9"/>
    <w:pPr>
      <w:spacing w:after="120"/>
    </w:pPr>
  </w:style>
  <w:style w:type="character" w:styleId="FootnoteReference">
    <w:name w:val="footnote reference"/>
    <w:aliases w:val="Style 12,(NECG) Footnote Reference,Appel note de bas de p,Style 124,o,fr,Style 3,Style 13,Style 17,FR,Style 4,Footnote Reference/,Style 6"/>
    <w:rsid w:val="00014DC9"/>
    <w:rPr>
      <w:rFonts w:ascii="Times New Roman" w:hAnsi="Times New Roman"/>
      <w:dstrike w:val="0"/>
      <w:color w:val="auto"/>
      <w:sz w:val="20"/>
      <w:vertAlign w:val="superscript"/>
    </w:rPr>
  </w:style>
  <w:style w:type="paragraph" w:styleId="TOC1">
    <w:name w:val="toc 1"/>
    <w:basedOn w:val="Normal"/>
    <w:next w:val="Normal"/>
    <w:semiHidden/>
    <w:rsid w:val="00014D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14DC9"/>
    <w:pPr>
      <w:tabs>
        <w:tab w:val="left" w:pos="720"/>
        <w:tab w:val="right" w:leader="dot" w:pos="9360"/>
      </w:tabs>
      <w:suppressAutoHyphens/>
      <w:ind w:left="720" w:right="720" w:hanging="360"/>
    </w:pPr>
    <w:rPr>
      <w:noProof/>
    </w:rPr>
  </w:style>
  <w:style w:type="paragraph" w:styleId="TOC3">
    <w:name w:val="toc 3"/>
    <w:basedOn w:val="Normal"/>
    <w:next w:val="Normal"/>
    <w:semiHidden/>
    <w:rsid w:val="00014D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14D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14D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14D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14D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14D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14D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14DC9"/>
    <w:pPr>
      <w:tabs>
        <w:tab w:val="right" w:pos="9360"/>
      </w:tabs>
      <w:suppressAutoHyphens/>
    </w:pPr>
  </w:style>
  <w:style w:type="character" w:customStyle="1" w:styleId="EquationCaption">
    <w:name w:val="_Equation Caption"/>
    <w:rsid w:val="00014DC9"/>
  </w:style>
  <w:style w:type="paragraph" w:styleId="Header">
    <w:name w:val="header"/>
    <w:basedOn w:val="Normal"/>
    <w:autoRedefine/>
    <w:rsid w:val="00014DC9"/>
    <w:pPr>
      <w:tabs>
        <w:tab w:val="center" w:pos="4680"/>
        <w:tab w:val="right" w:pos="9360"/>
      </w:tabs>
    </w:pPr>
    <w:rPr>
      <w:b/>
    </w:rPr>
  </w:style>
  <w:style w:type="paragraph" w:styleId="Footer">
    <w:name w:val="footer"/>
    <w:basedOn w:val="Normal"/>
    <w:rsid w:val="00014DC9"/>
    <w:pPr>
      <w:tabs>
        <w:tab w:val="center" w:pos="4320"/>
        <w:tab w:val="right" w:pos="8640"/>
      </w:tabs>
    </w:pPr>
  </w:style>
  <w:style w:type="character" w:styleId="PageNumber">
    <w:name w:val="page number"/>
    <w:basedOn w:val="DefaultParagraphFont"/>
    <w:rsid w:val="00014DC9"/>
  </w:style>
  <w:style w:type="paragraph" w:styleId="BlockText">
    <w:name w:val="Block Text"/>
    <w:basedOn w:val="Normal"/>
    <w:rsid w:val="00014DC9"/>
    <w:pPr>
      <w:spacing w:after="240"/>
      <w:ind w:left="1440" w:right="1440"/>
    </w:pPr>
  </w:style>
  <w:style w:type="paragraph" w:customStyle="1" w:styleId="Paratitle">
    <w:name w:val="Para title"/>
    <w:basedOn w:val="Normal"/>
    <w:rsid w:val="00014DC9"/>
    <w:pPr>
      <w:tabs>
        <w:tab w:val="center" w:pos="9270"/>
      </w:tabs>
      <w:spacing w:after="240"/>
    </w:pPr>
    <w:rPr>
      <w:spacing w:val="-2"/>
    </w:rPr>
  </w:style>
  <w:style w:type="paragraph" w:customStyle="1" w:styleId="Bullet">
    <w:name w:val="Bullet"/>
    <w:basedOn w:val="Normal"/>
    <w:rsid w:val="00014DC9"/>
    <w:pPr>
      <w:tabs>
        <w:tab w:val="left" w:pos="2160"/>
      </w:tabs>
      <w:spacing w:after="220"/>
      <w:ind w:left="2160" w:hanging="720"/>
    </w:pPr>
  </w:style>
  <w:style w:type="paragraph" w:customStyle="1" w:styleId="TableFormat">
    <w:name w:val="TableFormat"/>
    <w:basedOn w:val="Bullet"/>
    <w:rsid w:val="00014DC9"/>
    <w:pPr>
      <w:tabs>
        <w:tab w:val="clear" w:pos="2160"/>
        <w:tab w:val="left" w:pos="5040"/>
      </w:tabs>
      <w:ind w:left="5040" w:hanging="3600"/>
    </w:pPr>
  </w:style>
  <w:style w:type="paragraph" w:customStyle="1" w:styleId="TOCTitle">
    <w:name w:val="TOC Title"/>
    <w:basedOn w:val="Normal"/>
    <w:rsid w:val="00014D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14DC9"/>
    <w:pPr>
      <w:jc w:val="center"/>
    </w:pPr>
    <w:rPr>
      <w:rFonts w:ascii="Times New Roman Bold" w:hAnsi="Times New Roman Bold"/>
      <w:b/>
      <w:bCs/>
      <w:caps/>
      <w:szCs w:val="22"/>
    </w:rPr>
  </w:style>
  <w:style w:type="character" w:styleId="Hyperlink">
    <w:name w:val="Hyperlink"/>
    <w:rsid w:val="00014DC9"/>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paragraph" w:styleId="BalloonText">
    <w:name w:val="Balloon Text"/>
    <w:basedOn w:val="Normal"/>
    <w:link w:val="BalloonTextChar"/>
    <w:rsid w:val="002B7FC6"/>
    <w:rPr>
      <w:rFonts w:ascii="Tahoma" w:hAnsi="Tahoma" w:cs="Tahoma"/>
      <w:snapToGrid/>
      <w:sz w:val="16"/>
      <w:szCs w:val="16"/>
    </w:rPr>
  </w:style>
  <w:style w:type="character" w:customStyle="1" w:styleId="BalloonTextChar">
    <w:name w:val="Balloon Text Char"/>
    <w:link w:val="BalloonText"/>
    <w:rsid w:val="002B7FC6"/>
    <w:rPr>
      <w:rFonts w:ascii="Tahoma" w:hAnsi="Tahoma" w:cs="Tahoma"/>
      <w:snapToGrid w:val="0"/>
      <w:kern w:val="28"/>
      <w:sz w:val="16"/>
      <w:szCs w:val="16"/>
    </w:rPr>
  </w:style>
  <w:style w:type="character" w:styleId="CommentReference">
    <w:name w:val="annotation reference"/>
    <w:rsid w:val="008F3C4A"/>
    <w:rPr>
      <w:sz w:val="16"/>
      <w:szCs w:val="16"/>
    </w:rPr>
  </w:style>
  <w:style w:type="paragraph" w:styleId="CommentText">
    <w:name w:val="annotation text"/>
    <w:basedOn w:val="Normal"/>
    <w:link w:val="CommentTextChar"/>
    <w:rsid w:val="008F3C4A"/>
    <w:rPr>
      <w:snapToGrid/>
    </w:rPr>
  </w:style>
  <w:style w:type="character" w:customStyle="1" w:styleId="CommentTextChar">
    <w:name w:val="Comment Text Char"/>
    <w:link w:val="CommentText"/>
    <w:rsid w:val="008F3C4A"/>
    <w:rPr>
      <w:snapToGrid w:val="0"/>
      <w:kern w:val="28"/>
    </w:rPr>
  </w:style>
  <w:style w:type="paragraph" w:styleId="CommentSubject">
    <w:name w:val="annotation subject"/>
    <w:basedOn w:val="CommentText"/>
    <w:next w:val="CommentText"/>
    <w:link w:val="CommentSubjectChar"/>
    <w:rsid w:val="008F3C4A"/>
    <w:rPr>
      <w:b/>
      <w:bCs/>
    </w:rPr>
  </w:style>
  <w:style w:type="character" w:customStyle="1" w:styleId="CommentSubjectChar">
    <w:name w:val="Comment Subject Char"/>
    <w:link w:val="CommentSubject"/>
    <w:rsid w:val="008F3C4A"/>
    <w:rPr>
      <w:b/>
      <w:bCs/>
      <w:snapToGrid w:val="0"/>
      <w:kern w:val="28"/>
    </w:rPr>
  </w:style>
  <w:style w:type="paragraph" w:styleId="ListParagraph">
    <w:name w:val="List Paragraph"/>
    <w:basedOn w:val="Normal"/>
    <w:uiPriority w:val="34"/>
    <w:qFormat/>
    <w:rsid w:val="005315B3"/>
    <w:pPr>
      <w:ind w:left="720"/>
      <w:contextualSpacing/>
    </w:pPr>
    <w:rPr>
      <w:snapToGrid/>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w:basedOn w:val="DefaultParagraphFont"/>
    <w:rsid w:val="005F4E1B"/>
  </w:style>
  <w:style w:type="character" w:styleId="Emphasis">
    <w:name w:val="Emphasis"/>
    <w:qFormat/>
    <w:rsid w:val="00783EF7"/>
    <w:rPr>
      <w:i/>
      <w:iCs/>
    </w:rPr>
  </w:style>
  <w:style w:type="character" w:customStyle="1" w:styleId="apple-converted-space">
    <w:name w:val="apple-converted-space"/>
    <w:basedOn w:val="DefaultParagraphFont"/>
    <w:rsid w:val="008A5574"/>
  </w:style>
  <w:style w:type="character" w:customStyle="1" w:styleId="rrfootnoteChar2">
    <w:name w:val="rrfootnote Char2"/>
    <w:aliases w:val="Footnote Text Char1 Char2,Footnote Text Char Char Char2,rrfootnote Char Char Char2,Footnote Text Char1 Char Char Char2,Footnote Text Char Char Char Char Char2,rrfootnote Char Char Char Char Char2,Footnote Text Ch Char"/>
    <w:rsid w:val="00395531"/>
    <w:rPr>
      <w:lang w:val="en-US" w:eastAsia="en-US" w:bidi="ar-SA"/>
    </w:rPr>
  </w:style>
  <w:style w:type="character" w:customStyle="1" w:styleId="FootnoteTextChar3">
    <w:name w:val="Footnote Text Char3"/>
    <w:aliases w:val="Footnote Text Char1 Char1,Footnote Text Char7 Char Char1,Footnote Text Char4 Char1 Char Char1,Footnote Text Char Char Char4 Char Char1,Footnote Text Char7 Char Char Char Char Char1,Footnote Text Char4 Char1 Char Char Char Char Char1"/>
    <w:locked/>
    <w:rsid w:val="00A75276"/>
    <w:rPr>
      <w:lang w:val="en-US" w:eastAsia="en-US" w:bidi="ar-SA"/>
    </w:rPr>
  </w:style>
  <w:style w:type="character" w:customStyle="1" w:styleId="cosearchterm">
    <w:name w:val="co_searchterm"/>
    <w:basedOn w:val="DefaultParagraphFont"/>
    <w:rsid w:val="00FE6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C9"/>
    <w:pPr>
      <w:widowControl w:val="0"/>
    </w:pPr>
    <w:rPr>
      <w:snapToGrid w:val="0"/>
      <w:kern w:val="28"/>
      <w:sz w:val="22"/>
    </w:rPr>
  </w:style>
  <w:style w:type="paragraph" w:styleId="Heading1">
    <w:name w:val="heading 1"/>
    <w:basedOn w:val="Normal"/>
    <w:next w:val="ParaNum"/>
    <w:qFormat/>
    <w:rsid w:val="00014D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14DC9"/>
    <w:pPr>
      <w:keepNext/>
      <w:numPr>
        <w:ilvl w:val="1"/>
        <w:numId w:val="3"/>
      </w:numPr>
      <w:spacing w:after="120"/>
      <w:outlineLvl w:val="1"/>
    </w:pPr>
    <w:rPr>
      <w:b/>
    </w:rPr>
  </w:style>
  <w:style w:type="paragraph" w:styleId="Heading3">
    <w:name w:val="heading 3"/>
    <w:basedOn w:val="Normal"/>
    <w:next w:val="ParaNum"/>
    <w:qFormat/>
    <w:rsid w:val="00014DC9"/>
    <w:pPr>
      <w:keepNext/>
      <w:numPr>
        <w:ilvl w:val="2"/>
        <w:numId w:val="3"/>
      </w:numPr>
      <w:tabs>
        <w:tab w:val="left" w:pos="2160"/>
      </w:tabs>
      <w:spacing w:after="120"/>
      <w:outlineLvl w:val="2"/>
    </w:pPr>
    <w:rPr>
      <w:b/>
    </w:rPr>
  </w:style>
  <w:style w:type="paragraph" w:styleId="Heading4">
    <w:name w:val="heading 4"/>
    <w:basedOn w:val="Normal"/>
    <w:next w:val="ParaNum"/>
    <w:qFormat/>
    <w:rsid w:val="00014DC9"/>
    <w:pPr>
      <w:keepNext/>
      <w:numPr>
        <w:ilvl w:val="3"/>
        <w:numId w:val="3"/>
      </w:numPr>
      <w:tabs>
        <w:tab w:val="left" w:pos="2880"/>
      </w:tabs>
      <w:spacing w:after="120"/>
      <w:outlineLvl w:val="3"/>
    </w:pPr>
    <w:rPr>
      <w:b/>
    </w:rPr>
  </w:style>
  <w:style w:type="paragraph" w:styleId="Heading5">
    <w:name w:val="heading 5"/>
    <w:basedOn w:val="Normal"/>
    <w:next w:val="ParaNum"/>
    <w:qFormat/>
    <w:rsid w:val="00014DC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14DC9"/>
    <w:pPr>
      <w:numPr>
        <w:ilvl w:val="5"/>
        <w:numId w:val="3"/>
      </w:numPr>
      <w:tabs>
        <w:tab w:val="left" w:pos="4320"/>
      </w:tabs>
      <w:spacing w:after="120"/>
      <w:outlineLvl w:val="5"/>
    </w:pPr>
    <w:rPr>
      <w:b/>
    </w:rPr>
  </w:style>
  <w:style w:type="paragraph" w:styleId="Heading7">
    <w:name w:val="heading 7"/>
    <w:basedOn w:val="Normal"/>
    <w:next w:val="ParaNum"/>
    <w:qFormat/>
    <w:rsid w:val="00014DC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14DC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14D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14D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4DC9"/>
  </w:style>
  <w:style w:type="paragraph" w:customStyle="1" w:styleId="ParaNum">
    <w:name w:val="ParaNum"/>
    <w:basedOn w:val="Normal"/>
    <w:link w:val="ParaNumChar"/>
    <w:rsid w:val="00014DC9"/>
    <w:pPr>
      <w:numPr>
        <w:numId w:val="2"/>
      </w:numPr>
      <w:tabs>
        <w:tab w:val="clear" w:pos="1080"/>
        <w:tab w:val="num" w:pos="1440"/>
      </w:tabs>
      <w:spacing w:after="120"/>
    </w:pPr>
  </w:style>
  <w:style w:type="paragraph" w:styleId="EndnoteText">
    <w:name w:val="endnote text"/>
    <w:basedOn w:val="Normal"/>
    <w:semiHidden/>
    <w:rsid w:val="00014DC9"/>
    <w:rPr>
      <w:sz w:val="20"/>
    </w:rPr>
  </w:style>
  <w:style w:type="character" w:styleId="EndnoteReference">
    <w:name w:val="endnote reference"/>
    <w:semiHidden/>
    <w:rsid w:val="00014DC9"/>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014DC9"/>
    <w:pPr>
      <w:spacing w:after="120"/>
    </w:pPr>
  </w:style>
  <w:style w:type="character" w:styleId="FootnoteReference">
    <w:name w:val="footnote reference"/>
    <w:aliases w:val="Style 12,(NECG) Footnote Reference,Appel note de bas de p,Style 124,o,fr,Style 3,Style 13,Style 17,FR,Style 4,Footnote Reference/,Style 6"/>
    <w:rsid w:val="00014DC9"/>
    <w:rPr>
      <w:rFonts w:ascii="Times New Roman" w:hAnsi="Times New Roman"/>
      <w:dstrike w:val="0"/>
      <w:color w:val="auto"/>
      <w:sz w:val="20"/>
      <w:vertAlign w:val="superscript"/>
    </w:rPr>
  </w:style>
  <w:style w:type="paragraph" w:styleId="TOC1">
    <w:name w:val="toc 1"/>
    <w:basedOn w:val="Normal"/>
    <w:next w:val="Normal"/>
    <w:semiHidden/>
    <w:rsid w:val="00014D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14DC9"/>
    <w:pPr>
      <w:tabs>
        <w:tab w:val="left" w:pos="720"/>
        <w:tab w:val="right" w:leader="dot" w:pos="9360"/>
      </w:tabs>
      <w:suppressAutoHyphens/>
      <w:ind w:left="720" w:right="720" w:hanging="360"/>
    </w:pPr>
    <w:rPr>
      <w:noProof/>
    </w:rPr>
  </w:style>
  <w:style w:type="paragraph" w:styleId="TOC3">
    <w:name w:val="toc 3"/>
    <w:basedOn w:val="Normal"/>
    <w:next w:val="Normal"/>
    <w:semiHidden/>
    <w:rsid w:val="00014D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14D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14D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14D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14D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14D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14D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14DC9"/>
    <w:pPr>
      <w:tabs>
        <w:tab w:val="right" w:pos="9360"/>
      </w:tabs>
      <w:suppressAutoHyphens/>
    </w:pPr>
  </w:style>
  <w:style w:type="character" w:customStyle="1" w:styleId="EquationCaption">
    <w:name w:val="_Equation Caption"/>
    <w:rsid w:val="00014DC9"/>
  </w:style>
  <w:style w:type="paragraph" w:styleId="Header">
    <w:name w:val="header"/>
    <w:basedOn w:val="Normal"/>
    <w:autoRedefine/>
    <w:rsid w:val="00014DC9"/>
    <w:pPr>
      <w:tabs>
        <w:tab w:val="center" w:pos="4680"/>
        <w:tab w:val="right" w:pos="9360"/>
      </w:tabs>
    </w:pPr>
    <w:rPr>
      <w:b/>
    </w:rPr>
  </w:style>
  <w:style w:type="paragraph" w:styleId="Footer">
    <w:name w:val="footer"/>
    <w:basedOn w:val="Normal"/>
    <w:rsid w:val="00014DC9"/>
    <w:pPr>
      <w:tabs>
        <w:tab w:val="center" w:pos="4320"/>
        <w:tab w:val="right" w:pos="8640"/>
      </w:tabs>
    </w:pPr>
  </w:style>
  <w:style w:type="character" w:styleId="PageNumber">
    <w:name w:val="page number"/>
    <w:basedOn w:val="DefaultParagraphFont"/>
    <w:rsid w:val="00014DC9"/>
  </w:style>
  <w:style w:type="paragraph" w:styleId="BlockText">
    <w:name w:val="Block Text"/>
    <w:basedOn w:val="Normal"/>
    <w:rsid w:val="00014DC9"/>
    <w:pPr>
      <w:spacing w:after="240"/>
      <w:ind w:left="1440" w:right="1440"/>
    </w:pPr>
  </w:style>
  <w:style w:type="paragraph" w:customStyle="1" w:styleId="Paratitle">
    <w:name w:val="Para title"/>
    <w:basedOn w:val="Normal"/>
    <w:rsid w:val="00014DC9"/>
    <w:pPr>
      <w:tabs>
        <w:tab w:val="center" w:pos="9270"/>
      </w:tabs>
      <w:spacing w:after="240"/>
    </w:pPr>
    <w:rPr>
      <w:spacing w:val="-2"/>
    </w:rPr>
  </w:style>
  <w:style w:type="paragraph" w:customStyle="1" w:styleId="Bullet">
    <w:name w:val="Bullet"/>
    <w:basedOn w:val="Normal"/>
    <w:rsid w:val="00014DC9"/>
    <w:pPr>
      <w:tabs>
        <w:tab w:val="left" w:pos="2160"/>
      </w:tabs>
      <w:spacing w:after="220"/>
      <w:ind w:left="2160" w:hanging="720"/>
    </w:pPr>
  </w:style>
  <w:style w:type="paragraph" w:customStyle="1" w:styleId="TableFormat">
    <w:name w:val="TableFormat"/>
    <w:basedOn w:val="Bullet"/>
    <w:rsid w:val="00014DC9"/>
    <w:pPr>
      <w:tabs>
        <w:tab w:val="clear" w:pos="2160"/>
        <w:tab w:val="left" w:pos="5040"/>
      </w:tabs>
      <w:ind w:left="5040" w:hanging="3600"/>
    </w:pPr>
  </w:style>
  <w:style w:type="paragraph" w:customStyle="1" w:styleId="TOCTitle">
    <w:name w:val="TOC Title"/>
    <w:basedOn w:val="Normal"/>
    <w:rsid w:val="00014D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14DC9"/>
    <w:pPr>
      <w:jc w:val="center"/>
    </w:pPr>
    <w:rPr>
      <w:rFonts w:ascii="Times New Roman Bold" w:hAnsi="Times New Roman Bold"/>
      <w:b/>
      <w:bCs/>
      <w:caps/>
      <w:szCs w:val="22"/>
    </w:rPr>
  </w:style>
  <w:style w:type="character" w:styleId="Hyperlink">
    <w:name w:val="Hyperlink"/>
    <w:rsid w:val="00014DC9"/>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paragraph" w:styleId="BalloonText">
    <w:name w:val="Balloon Text"/>
    <w:basedOn w:val="Normal"/>
    <w:link w:val="BalloonTextChar"/>
    <w:rsid w:val="002B7FC6"/>
    <w:rPr>
      <w:rFonts w:ascii="Tahoma" w:hAnsi="Tahoma" w:cs="Tahoma"/>
      <w:snapToGrid/>
      <w:sz w:val="16"/>
      <w:szCs w:val="16"/>
    </w:rPr>
  </w:style>
  <w:style w:type="character" w:customStyle="1" w:styleId="BalloonTextChar">
    <w:name w:val="Balloon Text Char"/>
    <w:link w:val="BalloonText"/>
    <w:rsid w:val="002B7FC6"/>
    <w:rPr>
      <w:rFonts w:ascii="Tahoma" w:hAnsi="Tahoma" w:cs="Tahoma"/>
      <w:snapToGrid w:val="0"/>
      <w:kern w:val="28"/>
      <w:sz w:val="16"/>
      <w:szCs w:val="16"/>
    </w:rPr>
  </w:style>
  <w:style w:type="character" w:styleId="CommentReference">
    <w:name w:val="annotation reference"/>
    <w:rsid w:val="008F3C4A"/>
    <w:rPr>
      <w:sz w:val="16"/>
      <w:szCs w:val="16"/>
    </w:rPr>
  </w:style>
  <w:style w:type="paragraph" w:styleId="CommentText">
    <w:name w:val="annotation text"/>
    <w:basedOn w:val="Normal"/>
    <w:link w:val="CommentTextChar"/>
    <w:rsid w:val="008F3C4A"/>
    <w:rPr>
      <w:snapToGrid/>
    </w:rPr>
  </w:style>
  <w:style w:type="character" w:customStyle="1" w:styleId="CommentTextChar">
    <w:name w:val="Comment Text Char"/>
    <w:link w:val="CommentText"/>
    <w:rsid w:val="008F3C4A"/>
    <w:rPr>
      <w:snapToGrid w:val="0"/>
      <w:kern w:val="28"/>
    </w:rPr>
  </w:style>
  <w:style w:type="paragraph" w:styleId="CommentSubject">
    <w:name w:val="annotation subject"/>
    <w:basedOn w:val="CommentText"/>
    <w:next w:val="CommentText"/>
    <w:link w:val="CommentSubjectChar"/>
    <w:rsid w:val="008F3C4A"/>
    <w:rPr>
      <w:b/>
      <w:bCs/>
    </w:rPr>
  </w:style>
  <w:style w:type="character" w:customStyle="1" w:styleId="CommentSubjectChar">
    <w:name w:val="Comment Subject Char"/>
    <w:link w:val="CommentSubject"/>
    <w:rsid w:val="008F3C4A"/>
    <w:rPr>
      <w:b/>
      <w:bCs/>
      <w:snapToGrid w:val="0"/>
      <w:kern w:val="28"/>
    </w:rPr>
  </w:style>
  <w:style w:type="paragraph" w:styleId="ListParagraph">
    <w:name w:val="List Paragraph"/>
    <w:basedOn w:val="Normal"/>
    <w:uiPriority w:val="34"/>
    <w:qFormat/>
    <w:rsid w:val="005315B3"/>
    <w:pPr>
      <w:ind w:left="720"/>
      <w:contextualSpacing/>
    </w:pPr>
    <w:rPr>
      <w:snapToGrid/>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w:basedOn w:val="DefaultParagraphFont"/>
    <w:rsid w:val="005F4E1B"/>
  </w:style>
  <w:style w:type="character" w:styleId="Emphasis">
    <w:name w:val="Emphasis"/>
    <w:qFormat/>
    <w:rsid w:val="00783EF7"/>
    <w:rPr>
      <w:i/>
      <w:iCs/>
    </w:rPr>
  </w:style>
  <w:style w:type="character" w:customStyle="1" w:styleId="apple-converted-space">
    <w:name w:val="apple-converted-space"/>
    <w:basedOn w:val="DefaultParagraphFont"/>
    <w:rsid w:val="008A5574"/>
  </w:style>
  <w:style w:type="character" w:customStyle="1" w:styleId="rrfootnoteChar2">
    <w:name w:val="rrfootnote Char2"/>
    <w:aliases w:val="Footnote Text Char1 Char2,Footnote Text Char Char Char2,rrfootnote Char Char Char2,Footnote Text Char1 Char Char Char2,Footnote Text Char Char Char Char Char2,rrfootnote Char Char Char Char Char2,Footnote Text Ch Char"/>
    <w:rsid w:val="00395531"/>
    <w:rPr>
      <w:lang w:val="en-US" w:eastAsia="en-US" w:bidi="ar-SA"/>
    </w:rPr>
  </w:style>
  <w:style w:type="character" w:customStyle="1" w:styleId="FootnoteTextChar3">
    <w:name w:val="Footnote Text Char3"/>
    <w:aliases w:val="Footnote Text Char1 Char1,Footnote Text Char7 Char Char1,Footnote Text Char4 Char1 Char Char1,Footnote Text Char Char Char4 Char Char1,Footnote Text Char7 Char Char Char Char Char1,Footnote Text Char4 Char1 Char Char Char Char Char1"/>
    <w:locked/>
    <w:rsid w:val="00A75276"/>
    <w:rPr>
      <w:lang w:val="en-US" w:eastAsia="en-US" w:bidi="ar-SA"/>
    </w:rPr>
  </w:style>
  <w:style w:type="character" w:customStyle="1" w:styleId="cosearchterm">
    <w:name w:val="co_searchterm"/>
    <w:basedOn w:val="DefaultParagraphFont"/>
    <w:rsid w:val="00FE6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5</Pages>
  <Words>1557</Words>
  <Characters>8710</Characters>
  <Application>Microsoft Office Word</Application>
  <DocSecurity>0</DocSecurity>
  <Lines>198</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2015-09-16T19:22:00Z</dcterms:created>
  <dcterms:modified xsi:type="dcterms:W3CDTF">2015-09-16T19:22:00Z</dcterms:modified>
  <cp:category> </cp:category>
  <cp:contentStatus> </cp:contentStatus>
</cp:coreProperties>
</file>