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E271"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DF6F64C" w14:textId="77777777" w:rsidR="00921803" w:rsidRDefault="00921803" w:rsidP="00921803">
      <w:pPr>
        <w:pStyle w:val="StyleBoldCentered"/>
      </w:pPr>
      <w:r>
        <w:t>F</w:t>
      </w:r>
      <w:r>
        <w:rPr>
          <w:caps w:val="0"/>
        </w:rPr>
        <w:t>ederal Communications Commission</w:t>
      </w:r>
    </w:p>
    <w:p w14:paraId="76539500" w14:textId="77777777" w:rsidR="004C2EE3" w:rsidRDefault="00810B6F" w:rsidP="00096D8C">
      <w:pPr>
        <w:pStyle w:val="StyleBoldCentered"/>
      </w:pPr>
      <w:r>
        <w:rPr>
          <w:caps w:val="0"/>
        </w:rPr>
        <w:t>Washington, D.C. 20554</w:t>
      </w:r>
    </w:p>
    <w:p w14:paraId="7F882791" w14:textId="77777777" w:rsidR="004C2EE3" w:rsidRDefault="004C2EE3" w:rsidP="0070224F"/>
    <w:p w14:paraId="2562EE9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0B71C48" w14:textId="77777777">
        <w:tc>
          <w:tcPr>
            <w:tcW w:w="4698" w:type="dxa"/>
          </w:tcPr>
          <w:p w14:paraId="5F672B7B" w14:textId="77777777" w:rsidR="004C2EE3" w:rsidRDefault="004C2EE3">
            <w:pPr>
              <w:tabs>
                <w:tab w:val="center" w:pos="4680"/>
              </w:tabs>
              <w:suppressAutoHyphens/>
              <w:rPr>
                <w:spacing w:val="-2"/>
              </w:rPr>
            </w:pPr>
            <w:r>
              <w:rPr>
                <w:spacing w:val="-2"/>
              </w:rPr>
              <w:t>In the Matter of</w:t>
            </w:r>
          </w:p>
          <w:p w14:paraId="13FC02B9" w14:textId="77777777" w:rsidR="004C2EE3" w:rsidRDefault="004C2EE3">
            <w:pPr>
              <w:tabs>
                <w:tab w:val="center" w:pos="4680"/>
              </w:tabs>
              <w:suppressAutoHyphens/>
              <w:rPr>
                <w:spacing w:val="-2"/>
              </w:rPr>
            </w:pPr>
          </w:p>
          <w:p w14:paraId="46014268" w14:textId="77777777" w:rsidR="004C2EE3" w:rsidRDefault="00A36F08" w:rsidP="007115F7">
            <w:pPr>
              <w:tabs>
                <w:tab w:val="center" w:pos="4680"/>
              </w:tabs>
              <w:suppressAutoHyphens/>
              <w:rPr>
                <w:spacing w:val="-2"/>
              </w:rPr>
            </w:pPr>
            <w:r>
              <w:rPr>
                <w:spacing w:val="-2"/>
              </w:rPr>
              <w:t>TEXAS GRACE COMMUNICATIONS</w:t>
            </w:r>
          </w:p>
          <w:p w14:paraId="395D6965" w14:textId="77777777" w:rsidR="00A36F08" w:rsidRDefault="00A36F08" w:rsidP="007115F7">
            <w:pPr>
              <w:tabs>
                <w:tab w:val="center" w:pos="4680"/>
              </w:tabs>
              <w:suppressAutoHyphens/>
              <w:rPr>
                <w:spacing w:val="-2"/>
              </w:rPr>
            </w:pPr>
          </w:p>
          <w:p w14:paraId="4FA12AD2" w14:textId="77777777" w:rsidR="00A36F08" w:rsidRPr="007115F7" w:rsidRDefault="00A36F08" w:rsidP="007115F7">
            <w:pPr>
              <w:tabs>
                <w:tab w:val="center" w:pos="4680"/>
              </w:tabs>
              <w:suppressAutoHyphens/>
              <w:rPr>
                <w:spacing w:val="-2"/>
              </w:rPr>
            </w:pPr>
            <w:r>
              <w:rPr>
                <w:spacing w:val="-2"/>
              </w:rPr>
              <w:t>Request to Toll the Period to Construct Unbuilt Station DKRZB(FM), Archer City, Texas</w:t>
            </w:r>
          </w:p>
        </w:tc>
        <w:tc>
          <w:tcPr>
            <w:tcW w:w="630" w:type="dxa"/>
          </w:tcPr>
          <w:p w14:paraId="74F4A00A" w14:textId="77777777" w:rsidR="004C2EE3" w:rsidRDefault="004C2EE3">
            <w:pPr>
              <w:tabs>
                <w:tab w:val="center" w:pos="4680"/>
              </w:tabs>
              <w:suppressAutoHyphens/>
              <w:rPr>
                <w:b/>
                <w:spacing w:val="-2"/>
              </w:rPr>
            </w:pPr>
            <w:r>
              <w:rPr>
                <w:b/>
                <w:spacing w:val="-2"/>
              </w:rPr>
              <w:t>)</w:t>
            </w:r>
          </w:p>
          <w:p w14:paraId="67AC9318" w14:textId="77777777" w:rsidR="004C2EE3" w:rsidRDefault="004C2EE3">
            <w:pPr>
              <w:tabs>
                <w:tab w:val="center" w:pos="4680"/>
              </w:tabs>
              <w:suppressAutoHyphens/>
              <w:rPr>
                <w:b/>
                <w:spacing w:val="-2"/>
              </w:rPr>
            </w:pPr>
            <w:r>
              <w:rPr>
                <w:b/>
                <w:spacing w:val="-2"/>
              </w:rPr>
              <w:t>)</w:t>
            </w:r>
          </w:p>
          <w:p w14:paraId="6293FC79" w14:textId="77777777" w:rsidR="004C2EE3" w:rsidRDefault="004C2EE3">
            <w:pPr>
              <w:tabs>
                <w:tab w:val="center" w:pos="4680"/>
              </w:tabs>
              <w:suppressAutoHyphens/>
              <w:rPr>
                <w:b/>
                <w:spacing w:val="-2"/>
              </w:rPr>
            </w:pPr>
            <w:r>
              <w:rPr>
                <w:b/>
                <w:spacing w:val="-2"/>
              </w:rPr>
              <w:t>)</w:t>
            </w:r>
          </w:p>
          <w:p w14:paraId="6249985A" w14:textId="77777777" w:rsidR="004C2EE3" w:rsidRDefault="004C2EE3">
            <w:pPr>
              <w:tabs>
                <w:tab w:val="center" w:pos="4680"/>
              </w:tabs>
              <w:suppressAutoHyphens/>
              <w:rPr>
                <w:b/>
                <w:spacing w:val="-2"/>
              </w:rPr>
            </w:pPr>
            <w:r>
              <w:rPr>
                <w:b/>
                <w:spacing w:val="-2"/>
              </w:rPr>
              <w:t>)</w:t>
            </w:r>
          </w:p>
          <w:p w14:paraId="3C66B233" w14:textId="77777777" w:rsidR="004C2EE3" w:rsidRDefault="004C2EE3">
            <w:pPr>
              <w:tabs>
                <w:tab w:val="center" w:pos="4680"/>
              </w:tabs>
              <w:suppressAutoHyphens/>
              <w:rPr>
                <w:b/>
                <w:spacing w:val="-2"/>
              </w:rPr>
            </w:pPr>
            <w:r>
              <w:rPr>
                <w:b/>
                <w:spacing w:val="-2"/>
              </w:rPr>
              <w:t>)</w:t>
            </w:r>
          </w:p>
          <w:p w14:paraId="4ACF31E2" w14:textId="77777777" w:rsidR="004C2EE3" w:rsidRDefault="004C2EE3">
            <w:pPr>
              <w:tabs>
                <w:tab w:val="center" w:pos="4680"/>
              </w:tabs>
              <w:suppressAutoHyphens/>
              <w:rPr>
                <w:b/>
                <w:spacing w:val="-2"/>
              </w:rPr>
            </w:pPr>
            <w:r>
              <w:rPr>
                <w:b/>
                <w:spacing w:val="-2"/>
              </w:rPr>
              <w:t>)</w:t>
            </w:r>
          </w:p>
          <w:p w14:paraId="09B97F66" w14:textId="77777777" w:rsidR="004C2EE3" w:rsidRDefault="004C2EE3">
            <w:pPr>
              <w:tabs>
                <w:tab w:val="center" w:pos="4680"/>
              </w:tabs>
              <w:suppressAutoHyphens/>
              <w:rPr>
                <w:spacing w:val="-2"/>
              </w:rPr>
            </w:pPr>
            <w:r>
              <w:rPr>
                <w:b/>
                <w:spacing w:val="-2"/>
              </w:rPr>
              <w:t>)</w:t>
            </w:r>
          </w:p>
        </w:tc>
        <w:tc>
          <w:tcPr>
            <w:tcW w:w="4248" w:type="dxa"/>
          </w:tcPr>
          <w:p w14:paraId="2C592CCB" w14:textId="77777777" w:rsidR="004C2EE3" w:rsidRDefault="004C2EE3">
            <w:pPr>
              <w:tabs>
                <w:tab w:val="center" w:pos="4680"/>
              </w:tabs>
              <w:suppressAutoHyphens/>
              <w:rPr>
                <w:spacing w:val="-2"/>
              </w:rPr>
            </w:pPr>
          </w:p>
          <w:p w14:paraId="74183F2F" w14:textId="77777777" w:rsidR="004C2EE3" w:rsidRDefault="004C2EE3">
            <w:pPr>
              <w:pStyle w:val="TOAHeading"/>
              <w:tabs>
                <w:tab w:val="clear" w:pos="9360"/>
                <w:tab w:val="center" w:pos="4680"/>
              </w:tabs>
              <w:rPr>
                <w:spacing w:val="-2"/>
              </w:rPr>
            </w:pPr>
          </w:p>
          <w:p w14:paraId="613CED4D" w14:textId="77777777" w:rsidR="004C2EE3" w:rsidRDefault="00A36F08">
            <w:pPr>
              <w:tabs>
                <w:tab w:val="center" w:pos="4680"/>
              </w:tabs>
              <w:suppressAutoHyphens/>
              <w:rPr>
                <w:spacing w:val="-2"/>
              </w:rPr>
            </w:pPr>
            <w:r>
              <w:rPr>
                <w:spacing w:val="-2"/>
              </w:rPr>
              <w:t>File No. BPH-19960201MB</w:t>
            </w:r>
          </w:p>
          <w:p w14:paraId="79688D4B" w14:textId="77777777" w:rsidR="00A36F08" w:rsidRDefault="00A36F08">
            <w:pPr>
              <w:tabs>
                <w:tab w:val="center" w:pos="4680"/>
              </w:tabs>
              <w:suppressAutoHyphens/>
              <w:rPr>
                <w:spacing w:val="-2"/>
              </w:rPr>
            </w:pPr>
            <w:r>
              <w:rPr>
                <w:spacing w:val="-2"/>
              </w:rPr>
              <w:t>as modified by File No. BMPH-19990217IB</w:t>
            </w:r>
          </w:p>
          <w:p w14:paraId="3B016CC9" w14:textId="77777777" w:rsidR="00A36F08" w:rsidRDefault="00A36F08">
            <w:pPr>
              <w:tabs>
                <w:tab w:val="center" w:pos="4680"/>
              </w:tabs>
              <w:suppressAutoHyphens/>
              <w:rPr>
                <w:spacing w:val="-2"/>
              </w:rPr>
            </w:pPr>
            <w:r>
              <w:rPr>
                <w:spacing w:val="-2"/>
              </w:rPr>
              <w:t>Facility ID No. 79024</w:t>
            </w:r>
          </w:p>
        </w:tc>
      </w:tr>
    </w:tbl>
    <w:p w14:paraId="4BC4D803" w14:textId="77777777" w:rsidR="004C2EE3" w:rsidRDefault="004C2EE3" w:rsidP="0070224F"/>
    <w:p w14:paraId="599FCD78" w14:textId="77777777" w:rsidR="00841AB1" w:rsidRDefault="00DF5824" w:rsidP="00F021FA">
      <w:pPr>
        <w:pStyle w:val="StyleBoldCentered"/>
      </w:pPr>
      <w:r>
        <w:t>MEMORANDUM OPINION AND ORDER</w:t>
      </w:r>
    </w:p>
    <w:p w14:paraId="629A6163" w14:textId="77777777" w:rsidR="004C2EE3" w:rsidRDefault="004C2EE3">
      <w:pPr>
        <w:tabs>
          <w:tab w:val="left" w:pos="-720"/>
        </w:tabs>
        <w:suppressAutoHyphens/>
        <w:spacing w:line="227" w:lineRule="auto"/>
        <w:rPr>
          <w:spacing w:val="-2"/>
        </w:rPr>
      </w:pPr>
    </w:p>
    <w:p w14:paraId="57970947" w14:textId="62800870" w:rsidR="004C2EE3" w:rsidRDefault="004C2EE3" w:rsidP="00133F79">
      <w:pPr>
        <w:tabs>
          <w:tab w:val="left" w:pos="720"/>
          <w:tab w:val="right" w:pos="9360"/>
        </w:tabs>
        <w:suppressAutoHyphens/>
        <w:spacing w:line="227" w:lineRule="auto"/>
        <w:rPr>
          <w:spacing w:val="-2"/>
        </w:rPr>
      </w:pPr>
      <w:r>
        <w:rPr>
          <w:b/>
          <w:spacing w:val="-2"/>
        </w:rPr>
        <w:t xml:space="preserve">Adopted:  </w:t>
      </w:r>
      <w:r w:rsidR="00DB3589">
        <w:rPr>
          <w:b/>
          <w:spacing w:val="-2"/>
        </w:rPr>
        <w:t>September 1</w:t>
      </w:r>
      <w:r w:rsidR="001F2F36">
        <w:rPr>
          <w:b/>
          <w:spacing w:val="-2"/>
        </w:rPr>
        <w:t>6</w:t>
      </w:r>
      <w:r w:rsidR="00DB3589">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3589">
        <w:rPr>
          <w:b/>
          <w:spacing w:val="-2"/>
        </w:rPr>
        <w:t>September 1</w:t>
      </w:r>
      <w:r w:rsidR="001F2F36">
        <w:rPr>
          <w:b/>
          <w:spacing w:val="-2"/>
        </w:rPr>
        <w:t>6</w:t>
      </w:r>
      <w:r w:rsidR="00DB3589">
        <w:rPr>
          <w:b/>
          <w:spacing w:val="-2"/>
        </w:rPr>
        <w:t>, 2015</w:t>
      </w:r>
    </w:p>
    <w:p w14:paraId="584BBB5D" w14:textId="77777777" w:rsidR="00822CE0" w:rsidRDefault="00822CE0"/>
    <w:p w14:paraId="6C5FBF11" w14:textId="77777777" w:rsidR="004C2EE3" w:rsidRDefault="004C2EE3">
      <w:pPr>
        <w:rPr>
          <w:spacing w:val="-2"/>
        </w:rPr>
      </w:pPr>
      <w:r>
        <w:t xml:space="preserve">By </w:t>
      </w:r>
      <w:r w:rsidR="004E4A22">
        <w:t>the</w:t>
      </w:r>
      <w:r w:rsidR="002A2D2E">
        <w:t xml:space="preserve"> </w:t>
      </w:r>
      <w:r w:rsidR="00A65E44">
        <w:rPr>
          <w:spacing w:val="-2"/>
        </w:rPr>
        <w:t>Commission</w:t>
      </w:r>
      <w:r>
        <w:rPr>
          <w:spacing w:val="-2"/>
        </w:rPr>
        <w:t>:</w:t>
      </w:r>
    </w:p>
    <w:p w14:paraId="3031D8AD" w14:textId="77777777" w:rsidR="00822CE0" w:rsidRDefault="00822CE0">
      <w:pPr>
        <w:rPr>
          <w:spacing w:val="-2"/>
        </w:rPr>
      </w:pPr>
    </w:p>
    <w:p w14:paraId="03CBC82B" w14:textId="77777777" w:rsidR="002C00E8" w:rsidRDefault="00DF5824" w:rsidP="002C00E8">
      <w:pPr>
        <w:pStyle w:val="Heading1"/>
      </w:pPr>
      <w:r>
        <w:t>INTRODUCTION AND BACKGROUND</w:t>
      </w:r>
    </w:p>
    <w:p w14:paraId="3BCAC30F" w14:textId="735AD7AC" w:rsidR="00DF5824" w:rsidRDefault="00DF5824" w:rsidP="000F65D3">
      <w:pPr>
        <w:pStyle w:val="ParaNum"/>
        <w:widowControl/>
      </w:pPr>
      <w:r>
        <w:t xml:space="preserve">Before us is </w:t>
      </w:r>
      <w:r w:rsidR="000F65D3">
        <w:t xml:space="preserve">an application for review, filed October 27, 2014, by </w:t>
      </w:r>
      <w:r>
        <w:t>Texas Grace Communications (“Texas Grace”)</w:t>
      </w:r>
      <w:r w:rsidR="000F65D3">
        <w:t>.</w:t>
      </w:r>
      <w:r w:rsidR="000F65D3">
        <w:rPr>
          <w:rStyle w:val="FootnoteReference"/>
        </w:rPr>
        <w:footnoteReference w:id="2"/>
      </w:r>
      <w:r w:rsidR="000F65D3">
        <w:t xml:space="preserve">  Texas Grace</w:t>
      </w:r>
      <w:r>
        <w:t xml:space="preserve"> seeks review of a staff decision letter of the Audio Div</w:t>
      </w:r>
      <w:r w:rsidR="00FF663B">
        <w:t>ision, Media Bureau (“Bureau”),</w:t>
      </w:r>
      <w:r w:rsidR="001B1594">
        <w:rPr>
          <w:rStyle w:val="FootnoteReference"/>
        </w:rPr>
        <w:footnoteReference w:id="3"/>
      </w:r>
      <w:r w:rsidR="00FF663B">
        <w:t xml:space="preserve"> denying Texas Grace’s “Motion to Accept Pleading Out of Time,” </w:t>
      </w:r>
      <w:r w:rsidR="00A65E44">
        <w:t xml:space="preserve">(“Motion”) </w:t>
      </w:r>
      <w:r w:rsidR="00FF663B">
        <w:t xml:space="preserve">in which it requested that the Bureau accept its </w:t>
      </w:r>
      <w:r w:rsidR="00A65E44">
        <w:t>Request despite being filed after the statutory 30-day filing period for Petitions for Reconsideration had elapsed.</w:t>
      </w:r>
      <w:r w:rsidR="00730B98">
        <w:rPr>
          <w:rStyle w:val="FootnoteReference"/>
        </w:rPr>
        <w:footnoteReference w:id="4"/>
      </w:r>
      <w:r w:rsidR="00A65E44">
        <w:t xml:space="preserve">  Texas Grace </w:t>
      </w:r>
      <w:r w:rsidR="008B1041">
        <w:t xml:space="preserve">maintains that it </w:t>
      </w:r>
      <w:r w:rsidR="00A65E44">
        <w:t>was unable timely to file its Motion and Request due to its courier service’s inability to file the document by the September 2, 2014, deadline date, and Texas Grace’s principal’s inability to file the document electronically</w:t>
      </w:r>
      <w:r w:rsidR="008E4D71">
        <w:t xml:space="preserve">, in part because staff were not available </w:t>
      </w:r>
      <w:r w:rsidR="008B1041">
        <w:t xml:space="preserve">late </w:t>
      </w:r>
      <w:r w:rsidR="008E4D71">
        <w:t>on the filing deadline date to assist him with electronic filing</w:t>
      </w:r>
      <w:r w:rsidR="00A65E44">
        <w:t>.</w:t>
      </w:r>
      <w:r w:rsidR="00CD4C79">
        <w:rPr>
          <w:rStyle w:val="FootnoteReference"/>
        </w:rPr>
        <w:footnoteReference w:id="5"/>
      </w:r>
    </w:p>
    <w:p w14:paraId="6CA9F213" w14:textId="77777777" w:rsidR="00A65E44" w:rsidRDefault="009E3D0F" w:rsidP="0011621A">
      <w:pPr>
        <w:pStyle w:val="ParaNum"/>
        <w:widowControl/>
      </w:pPr>
      <w:r>
        <w:lastRenderedPageBreak/>
        <w:t xml:space="preserve">The </w:t>
      </w:r>
      <w:r w:rsidR="00A13014">
        <w:t>D</w:t>
      </w:r>
      <w:r>
        <w:t>KRZB</w:t>
      </w:r>
      <w:r w:rsidR="00D67D02">
        <w:t>(FM)</w:t>
      </w:r>
      <w:r>
        <w:t xml:space="preserve"> </w:t>
      </w:r>
      <w:r w:rsidR="00BA7726">
        <w:t>Permit</w:t>
      </w:r>
      <w:r>
        <w:t xml:space="preserve"> was originally granted </w:t>
      </w:r>
      <w:r w:rsidR="008B1041">
        <w:t>more than</w:t>
      </w:r>
      <w:r>
        <w:t xml:space="preserve"> 18 years ago, in October 1996, and </w:t>
      </w:r>
      <w:r w:rsidR="00CD4C79">
        <w:t xml:space="preserve">Texas Grace </w:t>
      </w:r>
      <w:r>
        <w:t xml:space="preserve">was given the then-standard 18-month construction period.  </w:t>
      </w:r>
      <w:r w:rsidR="00230B72">
        <w:t xml:space="preserve">The Request that Texas Grace seeks to file is the latest in a series of pleadings dating back to </w:t>
      </w:r>
      <w:r>
        <w:t xml:space="preserve">March 5, 1999, when Texas Grace first sought tolling of </w:t>
      </w:r>
      <w:r w:rsidR="001B1594">
        <w:t xml:space="preserve">the </w:t>
      </w:r>
      <w:r w:rsidR="001A3EF5">
        <w:t xml:space="preserve">construction period for the </w:t>
      </w:r>
      <w:r w:rsidR="001B1594">
        <w:t>Permit</w:t>
      </w:r>
      <w:r>
        <w:t>.</w:t>
      </w:r>
      <w:r w:rsidR="001A3EF5">
        <w:rPr>
          <w:rStyle w:val="FootnoteReference"/>
        </w:rPr>
        <w:footnoteReference w:id="6"/>
      </w:r>
      <w:r>
        <w:t xml:space="preserve">  Although the Commission </w:t>
      </w:r>
      <w:r w:rsidR="00CD4C79">
        <w:t xml:space="preserve">subsequently </w:t>
      </w:r>
      <w:r>
        <w:t>held that Texas Grace was not entitled to tolling</w:t>
      </w:r>
      <w:r w:rsidR="00CD4C79">
        <w:t xml:space="preserve"> at that time</w:t>
      </w:r>
      <w:r>
        <w:t xml:space="preserve">, it nonetheless granted Texas Grace a full </w:t>
      </w:r>
      <w:r w:rsidR="008B1041">
        <w:t xml:space="preserve">additional </w:t>
      </w:r>
      <w:r>
        <w:t>three-year construction period in its October 26, 2001, Memorandum Opinion and Order.</w:t>
      </w:r>
      <w:r>
        <w:rPr>
          <w:rStyle w:val="FootnoteReference"/>
        </w:rPr>
        <w:footnoteReference w:id="7"/>
      </w:r>
      <w:r>
        <w:t xml:space="preserve">  </w:t>
      </w:r>
      <w:r w:rsidR="007C025A">
        <w:t>That construction period, after</w:t>
      </w:r>
      <w:r w:rsidR="00F276EB">
        <w:t xml:space="preserve"> further</w:t>
      </w:r>
      <w:r w:rsidR="007C025A">
        <w:t xml:space="preserve"> tolling, </w:t>
      </w:r>
      <w:r w:rsidR="00CD4C79">
        <w:t>ended</w:t>
      </w:r>
      <w:r w:rsidR="007C025A">
        <w:t xml:space="preserve"> on April 9, 2010, and the Permit expired on that date.</w:t>
      </w:r>
      <w:r w:rsidR="00E20E89">
        <w:rPr>
          <w:rStyle w:val="FootnoteReference"/>
        </w:rPr>
        <w:footnoteReference w:id="8"/>
      </w:r>
      <w:r w:rsidR="007C025A">
        <w:t xml:space="preserve">  </w:t>
      </w:r>
      <w:r w:rsidR="00A13014">
        <w:t xml:space="preserve">The full history of Texas Grace’s Permit </w:t>
      </w:r>
      <w:r w:rsidR="00795CC2">
        <w:t>is set forth</w:t>
      </w:r>
      <w:r w:rsidR="00A13014">
        <w:t xml:space="preserve"> in </w:t>
      </w:r>
      <w:r w:rsidR="00A13014" w:rsidRPr="00FC6101">
        <w:rPr>
          <w:i/>
        </w:rPr>
        <w:t>Texas Grace I</w:t>
      </w:r>
      <w:r w:rsidR="00A13014">
        <w:t>, the Commission’s March 1, 2005, Memorandum Opinion and Order,</w:t>
      </w:r>
      <w:r w:rsidR="005342E7">
        <w:rPr>
          <w:rStyle w:val="FootnoteReference"/>
        </w:rPr>
        <w:footnoteReference w:id="9"/>
      </w:r>
      <w:r w:rsidR="00A13014">
        <w:t xml:space="preserve"> and </w:t>
      </w:r>
      <w:r w:rsidR="00D942D1" w:rsidRPr="00D942D1">
        <w:rPr>
          <w:i/>
        </w:rPr>
        <w:t>Texas Grace III</w:t>
      </w:r>
      <w:r w:rsidR="00A13014">
        <w:t>, as well as various Bureau decisions.  Briefly, Texas Grace’s ongoing contention is that it is entitled to an uninterrupted three-year period in which to construct its station.  Thus, despite the fact that Texas Grace has had</w:t>
      </w:r>
      <w:r w:rsidR="00274792">
        <w:t xml:space="preserve"> a total of</w:t>
      </w:r>
      <w:r w:rsidR="00A13014">
        <w:t xml:space="preserve"> </w:t>
      </w:r>
      <w:r w:rsidR="00D67D02">
        <w:t xml:space="preserve">over </w:t>
      </w:r>
      <w:r w:rsidR="00A13014">
        <w:t xml:space="preserve">44 </w:t>
      </w:r>
      <w:r w:rsidR="00274792">
        <w:t xml:space="preserve">“unencumbered” </w:t>
      </w:r>
      <w:r w:rsidR="00A13014">
        <w:t>months in which to construct,</w:t>
      </w:r>
      <w:r w:rsidR="00D67D02">
        <w:rPr>
          <w:rStyle w:val="FootnoteReference"/>
        </w:rPr>
        <w:footnoteReference w:id="10"/>
      </w:r>
      <w:r w:rsidR="00A13014">
        <w:t xml:space="preserve"> Texas Grace continues to insist that its construction period should be reset </w:t>
      </w:r>
      <w:r w:rsidR="004B3A82">
        <w:t xml:space="preserve">for an additional new three-year term </w:t>
      </w:r>
      <w:r w:rsidR="00A13014">
        <w:t xml:space="preserve">each time a tolling event occurs.  Moreover, in the AFR, Texas Grace attributes its failure to construct DKRZB within those 44 months to a variety of causes, including but not limited to allegations of </w:t>
      </w:r>
      <w:r w:rsidR="00140A6A">
        <w:t xml:space="preserve">“agency </w:t>
      </w:r>
      <w:r w:rsidR="00A13014">
        <w:t>misconduct</w:t>
      </w:r>
      <w:r w:rsidR="00140A6A">
        <w:t>”</w:t>
      </w:r>
      <w:r w:rsidR="00A13014">
        <w:t xml:space="preserve"> </w:t>
      </w:r>
      <w:r w:rsidR="00140A6A">
        <w:t>by</w:t>
      </w:r>
      <w:r w:rsidR="00A13014">
        <w:t xml:space="preserve"> current Commission staff and alleged favoritism shown to former Commission staff.</w:t>
      </w:r>
      <w:r w:rsidR="00D67D02">
        <w:rPr>
          <w:rStyle w:val="FootnoteReference"/>
        </w:rPr>
        <w:footnoteReference w:id="11"/>
      </w:r>
    </w:p>
    <w:p w14:paraId="4EB8B970" w14:textId="77777777" w:rsidR="00A13014" w:rsidRDefault="00A13014" w:rsidP="0011621A">
      <w:pPr>
        <w:pStyle w:val="Heading1"/>
        <w:widowControl/>
      </w:pPr>
      <w:r>
        <w:t>DISCUSSION</w:t>
      </w:r>
    </w:p>
    <w:p w14:paraId="1FAEE551" w14:textId="77777777" w:rsidR="00A13014" w:rsidRPr="00FB0C33" w:rsidRDefault="00A13014" w:rsidP="0011621A">
      <w:pPr>
        <w:pStyle w:val="ParaNum"/>
        <w:widowControl/>
      </w:pPr>
      <w:r>
        <w:t xml:space="preserve">Despite the many allegations raised in the </w:t>
      </w:r>
      <w:r w:rsidR="00A72F5D">
        <w:t>AFR and exhibits thereto – most of which are irrelevant to the issue of untimely filing –</w:t>
      </w:r>
      <w:r>
        <w:t xml:space="preserve"> we limit our review to the propriety of the Bureau’s denial of Texas Grace’s Motion</w:t>
      </w:r>
      <w:r w:rsidR="00CD4C79">
        <w:t xml:space="preserve"> and refusal to accept the </w:t>
      </w:r>
      <w:r w:rsidR="002B6192">
        <w:t xml:space="preserve">untimely </w:t>
      </w:r>
      <w:r w:rsidR="00CD4C79">
        <w:t>Request</w:t>
      </w:r>
      <w:r>
        <w:t xml:space="preserve">.  Having reviewed the record and the </w:t>
      </w:r>
      <w:r w:rsidR="00730B98" w:rsidRPr="00871D64">
        <w:rPr>
          <w:i/>
        </w:rPr>
        <w:t>Staff Decision</w:t>
      </w:r>
      <w:r w:rsidR="00730B98">
        <w:t xml:space="preserve">, we </w:t>
      </w:r>
      <w:r w:rsidR="00730B98" w:rsidRPr="00730B98">
        <w:rPr>
          <w:snapToGrid/>
          <w:kern w:val="0"/>
          <w:szCs w:val="22"/>
        </w:rPr>
        <w:t>conclude that the Bureau properly decided the matters</w:t>
      </w:r>
      <w:r w:rsidR="00730B98">
        <w:rPr>
          <w:snapToGrid/>
          <w:kern w:val="0"/>
          <w:szCs w:val="22"/>
        </w:rPr>
        <w:t xml:space="preserve"> </w:t>
      </w:r>
      <w:r w:rsidR="00730B98" w:rsidRPr="00730B98">
        <w:rPr>
          <w:snapToGrid/>
          <w:kern w:val="0"/>
          <w:szCs w:val="22"/>
        </w:rPr>
        <w:t xml:space="preserve">raised below, and uphold the </w:t>
      </w:r>
      <w:r w:rsidR="00730B98">
        <w:rPr>
          <w:i/>
          <w:iCs/>
          <w:snapToGrid/>
          <w:kern w:val="0"/>
          <w:szCs w:val="22"/>
        </w:rPr>
        <w:t>Staff Decision</w:t>
      </w:r>
      <w:r w:rsidR="00730B98" w:rsidRPr="00730B98">
        <w:rPr>
          <w:i/>
          <w:iCs/>
          <w:snapToGrid/>
          <w:kern w:val="0"/>
          <w:szCs w:val="22"/>
        </w:rPr>
        <w:t xml:space="preserve"> </w:t>
      </w:r>
      <w:r w:rsidR="00730B98" w:rsidRPr="00730B98">
        <w:rPr>
          <w:snapToGrid/>
          <w:kern w:val="0"/>
          <w:szCs w:val="22"/>
        </w:rPr>
        <w:t>for the reasons stated therein.</w:t>
      </w:r>
      <w:r w:rsidR="00730B98">
        <w:rPr>
          <w:snapToGrid/>
          <w:kern w:val="0"/>
          <w:szCs w:val="22"/>
        </w:rPr>
        <w:t xml:space="preserve">  As the Bureau noted, the Commission generally lacks the authority to waive the statutory 30-day period in which to file a petition for reconsideration,</w:t>
      </w:r>
      <w:r w:rsidR="00FE5A4A">
        <w:rPr>
          <w:rStyle w:val="FootnoteReference"/>
          <w:snapToGrid/>
          <w:kern w:val="0"/>
          <w:szCs w:val="22"/>
        </w:rPr>
        <w:footnoteReference w:id="12"/>
      </w:r>
      <w:r w:rsidR="00730B98">
        <w:rPr>
          <w:snapToGrid/>
          <w:kern w:val="0"/>
          <w:szCs w:val="22"/>
        </w:rPr>
        <w:t xml:space="preserve"> absent </w:t>
      </w:r>
      <w:r w:rsidR="00AF5A3A">
        <w:rPr>
          <w:snapToGrid/>
          <w:kern w:val="0"/>
          <w:szCs w:val="22"/>
        </w:rPr>
        <w:t>extremely unusual</w:t>
      </w:r>
      <w:r w:rsidR="00730B98">
        <w:rPr>
          <w:snapToGrid/>
          <w:kern w:val="0"/>
          <w:szCs w:val="22"/>
        </w:rPr>
        <w:t xml:space="preserve"> circumstances.</w:t>
      </w:r>
      <w:r w:rsidR="00730B98">
        <w:rPr>
          <w:rStyle w:val="FootnoteReference"/>
          <w:snapToGrid/>
          <w:kern w:val="0"/>
          <w:szCs w:val="22"/>
        </w:rPr>
        <w:footnoteReference w:id="13"/>
      </w:r>
      <w:r w:rsidR="00730B98">
        <w:rPr>
          <w:snapToGrid/>
          <w:kern w:val="0"/>
          <w:szCs w:val="22"/>
        </w:rPr>
        <w:t xml:space="preserve">  The failure of a courier service timely to deliver pleadings is not </w:t>
      </w:r>
      <w:r w:rsidR="00730B98">
        <w:rPr>
          <w:snapToGrid/>
          <w:kern w:val="0"/>
          <w:szCs w:val="22"/>
        </w:rPr>
        <w:lastRenderedPageBreak/>
        <w:t xml:space="preserve">considered to constitute </w:t>
      </w:r>
      <w:r w:rsidR="00AF5A3A">
        <w:rPr>
          <w:snapToGrid/>
          <w:kern w:val="0"/>
          <w:szCs w:val="22"/>
        </w:rPr>
        <w:t>such extremely unusual</w:t>
      </w:r>
      <w:r w:rsidR="00730B98">
        <w:rPr>
          <w:snapToGrid/>
          <w:kern w:val="0"/>
          <w:szCs w:val="22"/>
        </w:rPr>
        <w:t xml:space="preserve"> circumstances</w:t>
      </w:r>
      <w:r w:rsidR="00A72F5D">
        <w:rPr>
          <w:snapToGrid/>
          <w:kern w:val="0"/>
          <w:szCs w:val="22"/>
        </w:rPr>
        <w:t xml:space="preserve">, nor is the unavailability of staff to </w:t>
      </w:r>
      <w:r w:rsidR="000F65D3">
        <w:rPr>
          <w:snapToGrid/>
          <w:kern w:val="0"/>
          <w:szCs w:val="22"/>
        </w:rPr>
        <w:t>assist</w:t>
      </w:r>
      <w:r w:rsidR="00A72F5D">
        <w:rPr>
          <w:snapToGrid/>
          <w:kern w:val="0"/>
          <w:szCs w:val="22"/>
        </w:rPr>
        <w:t xml:space="preserve"> Texas Grace </w:t>
      </w:r>
      <w:r w:rsidR="000F65D3">
        <w:rPr>
          <w:snapToGrid/>
          <w:kern w:val="0"/>
          <w:szCs w:val="22"/>
        </w:rPr>
        <w:t>with</w:t>
      </w:r>
      <w:r w:rsidR="00A72F5D">
        <w:rPr>
          <w:snapToGrid/>
          <w:kern w:val="0"/>
          <w:szCs w:val="22"/>
        </w:rPr>
        <w:t xml:space="preserve"> the electronic filing process </w:t>
      </w:r>
      <w:r w:rsidR="00290A0A">
        <w:rPr>
          <w:snapToGrid/>
          <w:kern w:val="0"/>
          <w:szCs w:val="22"/>
        </w:rPr>
        <w:t xml:space="preserve">at the last </w:t>
      </w:r>
      <w:r w:rsidR="00A72F5D">
        <w:rPr>
          <w:snapToGrid/>
          <w:kern w:val="0"/>
          <w:szCs w:val="22"/>
        </w:rPr>
        <w:t>minute</w:t>
      </w:r>
      <w:r w:rsidR="001A3EF5">
        <w:rPr>
          <w:snapToGrid/>
          <w:kern w:val="0"/>
          <w:szCs w:val="22"/>
        </w:rPr>
        <w:t xml:space="preserve"> before a relevant filing deadline</w:t>
      </w:r>
      <w:r w:rsidR="00730B98">
        <w:rPr>
          <w:snapToGrid/>
          <w:kern w:val="0"/>
          <w:szCs w:val="22"/>
        </w:rPr>
        <w:t>.</w:t>
      </w:r>
      <w:r w:rsidR="00871D64">
        <w:rPr>
          <w:rStyle w:val="FootnoteReference"/>
          <w:snapToGrid/>
          <w:kern w:val="0"/>
          <w:szCs w:val="22"/>
        </w:rPr>
        <w:footnoteReference w:id="14"/>
      </w:r>
    </w:p>
    <w:p w14:paraId="13A00FEC" w14:textId="2E894F06" w:rsidR="00FB0C33" w:rsidRPr="0090243D" w:rsidRDefault="00A915FF" w:rsidP="0011621A">
      <w:pPr>
        <w:pStyle w:val="ParaNum"/>
        <w:widowControl/>
        <w:rPr>
          <w:szCs w:val="22"/>
        </w:rPr>
      </w:pPr>
      <w:r w:rsidRPr="00CF6653">
        <w:rPr>
          <w:snapToGrid/>
          <w:kern w:val="0"/>
          <w:szCs w:val="22"/>
        </w:rPr>
        <w:t xml:space="preserve">We observe that this </w:t>
      </w:r>
      <w:r w:rsidRPr="00CF6653">
        <w:rPr>
          <w:i/>
          <w:snapToGrid/>
          <w:kern w:val="0"/>
          <w:szCs w:val="22"/>
        </w:rPr>
        <w:t>Memorandum Opinion and Order</w:t>
      </w:r>
      <w:r w:rsidRPr="00CF6653">
        <w:rPr>
          <w:snapToGrid/>
          <w:kern w:val="0"/>
          <w:szCs w:val="22"/>
        </w:rPr>
        <w:t xml:space="preserve"> is the fourth in which the Commission has been asked to consider, or allow the filing of, Texas Grace’s requests to extend the construction period for DKRZB(FM), in addition to no fewer than seven staff decisions.</w:t>
      </w:r>
      <w:r w:rsidR="00A3699C">
        <w:rPr>
          <w:rStyle w:val="FootnoteReference"/>
          <w:snapToGrid/>
          <w:kern w:val="0"/>
          <w:szCs w:val="22"/>
        </w:rPr>
        <w:footnoteReference w:id="15"/>
      </w:r>
      <w:r w:rsidRPr="00CF6653">
        <w:rPr>
          <w:snapToGrid/>
          <w:kern w:val="0"/>
          <w:szCs w:val="22"/>
        </w:rPr>
        <w:t xml:space="preserve">  </w:t>
      </w:r>
      <w:r>
        <w:rPr>
          <w:snapToGrid/>
          <w:kern w:val="0"/>
          <w:szCs w:val="22"/>
        </w:rPr>
        <w:t>O</w:t>
      </w:r>
      <w:r w:rsidRPr="00CF6653">
        <w:rPr>
          <w:snapToGrid/>
          <w:kern w:val="0"/>
          <w:szCs w:val="22"/>
        </w:rPr>
        <w:t>ver the past 18 years the Commission and its staff have thoroughly considered, and found lacking in merit, Texas Grace’s contentions that it is entitled to additional time to construct DKRZB(FM), including its claim that “agency misconduct” is the cause of its failure to construct.</w:t>
      </w:r>
      <w:r>
        <w:rPr>
          <w:rStyle w:val="FootnoteReference"/>
          <w:snapToGrid/>
          <w:kern w:val="0"/>
          <w:szCs w:val="22"/>
        </w:rPr>
        <w:footnoteReference w:id="16"/>
      </w:r>
      <w:r w:rsidRPr="00CF6653">
        <w:rPr>
          <w:snapToGrid/>
          <w:kern w:val="0"/>
          <w:szCs w:val="22"/>
        </w:rPr>
        <w:t xml:space="preserve">  We therefore plan to consume no additional limited staff resources considering arguments to extend this authorization, </w:t>
      </w:r>
      <w:r w:rsidRPr="00CF6653">
        <w:rPr>
          <w:color w:val="000000"/>
          <w:szCs w:val="22"/>
        </w:rPr>
        <w:t>and we hereby direct the staff to dismiss summarily</w:t>
      </w:r>
      <w:r>
        <w:rPr>
          <w:color w:val="000000"/>
          <w:szCs w:val="22"/>
        </w:rPr>
        <w:t xml:space="preserve">, citing this </w:t>
      </w:r>
      <w:r w:rsidRPr="00CC5245">
        <w:rPr>
          <w:i/>
          <w:color w:val="000000"/>
          <w:szCs w:val="22"/>
        </w:rPr>
        <w:t>Memorandum Opinion and Order</w:t>
      </w:r>
      <w:r>
        <w:rPr>
          <w:color w:val="000000"/>
          <w:szCs w:val="22"/>
        </w:rPr>
        <w:t>,</w:t>
      </w:r>
      <w:r w:rsidRPr="00CF6653">
        <w:rPr>
          <w:color w:val="000000"/>
          <w:szCs w:val="22"/>
        </w:rPr>
        <w:t xml:space="preserve"> any subsequent pleadings filed by Texas Grace, its principal, or related parties with respect to </w:t>
      </w:r>
      <w:r>
        <w:rPr>
          <w:color w:val="000000"/>
          <w:szCs w:val="22"/>
        </w:rPr>
        <w:t>an extension of the construction period for Station</w:t>
      </w:r>
      <w:r w:rsidR="00CC5245">
        <w:rPr>
          <w:color w:val="000000"/>
          <w:szCs w:val="22"/>
        </w:rPr>
        <w:t xml:space="preserve"> </w:t>
      </w:r>
      <w:r w:rsidRPr="00CF6653">
        <w:rPr>
          <w:color w:val="000000"/>
          <w:szCs w:val="22"/>
        </w:rPr>
        <w:t>DKRZB(FM).</w:t>
      </w:r>
      <w:r w:rsidR="00A27C86">
        <w:rPr>
          <w:rStyle w:val="FootnoteReference"/>
          <w:szCs w:val="22"/>
        </w:rPr>
        <w:footnoteReference w:id="17"/>
      </w:r>
    </w:p>
    <w:p w14:paraId="7E8F8CC0" w14:textId="77777777" w:rsidR="0090243D" w:rsidRDefault="0090243D" w:rsidP="0011621A">
      <w:pPr>
        <w:pStyle w:val="Heading1"/>
        <w:widowControl/>
      </w:pPr>
      <w:r>
        <w:t>ORDERING CLAUSE</w:t>
      </w:r>
    </w:p>
    <w:p w14:paraId="64178E8B" w14:textId="77777777" w:rsidR="0090243D" w:rsidRDefault="00A915FF" w:rsidP="0011621A">
      <w:pPr>
        <w:pStyle w:val="ParaNum"/>
        <w:widowControl/>
      </w:pPr>
      <w:r>
        <w:t>For the foregoing reasons</w:t>
      </w:r>
      <w:r w:rsidR="0090243D">
        <w:t>, the AFR filed by Texas Grace Communications IS DENIED.</w:t>
      </w:r>
    </w:p>
    <w:p w14:paraId="117D808D" w14:textId="77777777" w:rsidR="007A1F45" w:rsidRDefault="007A1F45" w:rsidP="0017296B">
      <w:r>
        <w:tab/>
      </w:r>
      <w:r>
        <w:tab/>
      </w:r>
      <w:r>
        <w:tab/>
      </w:r>
      <w:r>
        <w:tab/>
      </w:r>
      <w:r>
        <w:tab/>
      </w:r>
      <w:r>
        <w:tab/>
        <w:t>FEDERAL COMMUNICATIONS COMMISSION</w:t>
      </w:r>
    </w:p>
    <w:p w14:paraId="16B96137" w14:textId="77777777" w:rsidR="007A1F45" w:rsidRDefault="007A1F45" w:rsidP="0017296B"/>
    <w:p w14:paraId="60D3331A" w14:textId="77777777" w:rsidR="007A1F45" w:rsidRDefault="007A1F45" w:rsidP="0017296B"/>
    <w:p w14:paraId="215C4829" w14:textId="77777777" w:rsidR="007A1F45" w:rsidRDefault="007A1F45" w:rsidP="0017296B"/>
    <w:p w14:paraId="6C490CF5" w14:textId="77777777" w:rsidR="007A1F45" w:rsidRDefault="007A1F45" w:rsidP="0017296B"/>
    <w:p w14:paraId="4982F875" w14:textId="77777777" w:rsidR="007A1F45" w:rsidRDefault="007A1F45" w:rsidP="0017296B">
      <w:r>
        <w:tab/>
      </w:r>
      <w:r>
        <w:tab/>
      </w:r>
      <w:r>
        <w:tab/>
      </w:r>
      <w:r>
        <w:tab/>
      </w:r>
      <w:r>
        <w:tab/>
      </w:r>
      <w:r>
        <w:tab/>
        <w:t>Marlene H. Dortch</w:t>
      </w:r>
    </w:p>
    <w:p w14:paraId="40827818" w14:textId="77777777" w:rsidR="007A1F45" w:rsidRDefault="007A1F45" w:rsidP="0017296B">
      <w:r>
        <w:tab/>
      </w:r>
      <w:r>
        <w:tab/>
      </w:r>
      <w:r>
        <w:tab/>
      </w:r>
      <w:r>
        <w:tab/>
      </w:r>
      <w:r>
        <w:tab/>
      </w:r>
      <w:r>
        <w:tab/>
        <w:t>Secretary</w:t>
      </w:r>
    </w:p>
    <w:sectPr w:rsidR="007A1F4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ACD2" w14:textId="77777777" w:rsidR="00660CA0" w:rsidRDefault="00660CA0">
      <w:pPr>
        <w:spacing w:line="20" w:lineRule="exact"/>
      </w:pPr>
    </w:p>
  </w:endnote>
  <w:endnote w:type="continuationSeparator" w:id="0">
    <w:p w14:paraId="619ADE00" w14:textId="77777777" w:rsidR="00660CA0" w:rsidRDefault="00660CA0">
      <w:r>
        <w:t xml:space="preserve"> </w:t>
      </w:r>
    </w:p>
  </w:endnote>
  <w:endnote w:type="continuationNotice" w:id="1">
    <w:p w14:paraId="728C0144" w14:textId="77777777" w:rsidR="00660CA0" w:rsidRDefault="00660C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D9A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41BEAD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8C1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B69AD">
      <w:rPr>
        <w:noProof/>
      </w:rPr>
      <w:t>2</w:t>
    </w:r>
    <w:r>
      <w:fldChar w:fldCharType="end"/>
    </w:r>
  </w:p>
  <w:p w14:paraId="5EEA678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205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911E" w14:textId="77777777" w:rsidR="00660CA0" w:rsidRDefault="00660CA0">
      <w:r>
        <w:separator/>
      </w:r>
    </w:p>
  </w:footnote>
  <w:footnote w:type="continuationSeparator" w:id="0">
    <w:p w14:paraId="3A1A33B6" w14:textId="77777777" w:rsidR="00660CA0" w:rsidRDefault="00660CA0" w:rsidP="00C721AC">
      <w:pPr>
        <w:spacing w:before="120"/>
        <w:rPr>
          <w:sz w:val="20"/>
        </w:rPr>
      </w:pPr>
      <w:r>
        <w:rPr>
          <w:sz w:val="20"/>
        </w:rPr>
        <w:t xml:space="preserve">(Continued from previous page)  </w:t>
      </w:r>
      <w:r>
        <w:rPr>
          <w:sz w:val="20"/>
        </w:rPr>
        <w:separator/>
      </w:r>
    </w:p>
  </w:footnote>
  <w:footnote w:type="continuationNotice" w:id="1">
    <w:p w14:paraId="6E4A912F" w14:textId="77777777" w:rsidR="00660CA0" w:rsidRDefault="00660CA0" w:rsidP="00C721AC">
      <w:pPr>
        <w:jc w:val="right"/>
        <w:rPr>
          <w:sz w:val="20"/>
        </w:rPr>
      </w:pPr>
      <w:r>
        <w:rPr>
          <w:sz w:val="20"/>
        </w:rPr>
        <w:t>(continued….)</w:t>
      </w:r>
    </w:p>
  </w:footnote>
  <w:footnote w:id="2">
    <w:p w14:paraId="5BE7E1D1" w14:textId="77777777" w:rsidR="000F65D3" w:rsidRDefault="000F65D3" w:rsidP="000F65D3">
      <w:pPr>
        <w:pStyle w:val="FootnoteText"/>
      </w:pPr>
      <w:r>
        <w:rPr>
          <w:rStyle w:val="FootnoteReference"/>
        </w:rPr>
        <w:footnoteRef/>
      </w:r>
      <w:r>
        <w:t xml:space="preserve"> The full title of the </w:t>
      </w:r>
      <w:r w:rsidR="00552864">
        <w:t>a</w:t>
      </w:r>
      <w:r>
        <w:t xml:space="preserve">pplication for </w:t>
      </w:r>
      <w:r w:rsidR="00552864">
        <w:t>r</w:t>
      </w:r>
      <w:r>
        <w:t xml:space="preserve">eview appears as, “Request for Acceptance of Pleading Entitled ‘Request for Reconsideration, and Reinstatement of Texas Grace Communications’ 97.5 KRZB-FM Archer City, TX Construction Permit and Station/Spectrum Rights,’ With Open Addressing of FCC Misconduct Cited in Appeal, Including Division Chief’s Failure to Provide the Protected, Full-Term/3-Year Construction Permit Promised by FCC Order 01-317, While Helping the Conflicting Interests of Former FCC Officials Seeking to Expand Another Station on KRZB-FM’s Frequency.”  Because this pleading was addressed to, </w:t>
      </w:r>
      <w:r w:rsidRPr="00730B98">
        <w:rPr>
          <w:i/>
        </w:rPr>
        <w:t>inter alia</w:t>
      </w:r>
      <w:r>
        <w:t xml:space="preserve">, the Chairman and Commissioners, we treat it as an </w:t>
      </w:r>
      <w:r w:rsidR="00552864">
        <w:t>a</w:t>
      </w:r>
      <w:r>
        <w:t xml:space="preserve">pplication for </w:t>
      </w:r>
      <w:r w:rsidR="00552864">
        <w:t>r</w:t>
      </w:r>
      <w:r>
        <w:t>eview (“AFR”).  In the underlying</w:t>
      </w:r>
      <w:r w:rsidR="001A3B4E">
        <w:t xml:space="preserve"> untimely</w:t>
      </w:r>
      <w:r>
        <w:t xml:space="preserve"> “Request for Reconsideration, and Reinstatement of Texas Grace Communications’ 97.5 KRZB-FM Archer City, TX Construction Per</w:t>
      </w:r>
      <w:r w:rsidR="00552864">
        <w:t>mit and Station/Spectrum Rights</w:t>
      </w:r>
      <w:r>
        <w:t xml:space="preserve">” (“Request”), Texas Grace sought reconsideration of our decision in </w:t>
      </w:r>
      <w:r w:rsidRPr="00FA5C26">
        <w:rPr>
          <w:i/>
        </w:rPr>
        <w:t>Texas Grace Communications</w:t>
      </w:r>
      <w:r>
        <w:t>, Memorandum Opinion and Order, 29 FCC Rcd 9733, 9734 (2014) (“</w:t>
      </w:r>
      <w:r w:rsidRPr="00FA5C26">
        <w:rPr>
          <w:i/>
        </w:rPr>
        <w:t>Texas Grace III</w:t>
      </w:r>
      <w:r>
        <w:t>”), in which we denied Texas Grace’s application for review of two Media Bureau decisions denying requests for further construction time on the construction permit for station DKRZB(FM), Archer City, Texas (“Permit”).</w:t>
      </w:r>
    </w:p>
  </w:footnote>
  <w:footnote w:id="3">
    <w:p w14:paraId="69CF00F7" w14:textId="77777777" w:rsidR="001B1594" w:rsidRDefault="001B1594">
      <w:pPr>
        <w:pStyle w:val="FootnoteText"/>
      </w:pPr>
      <w:r>
        <w:rPr>
          <w:rStyle w:val="FootnoteReference"/>
        </w:rPr>
        <w:footnoteRef/>
      </w:r>
      <w:r>
        <w:t xml:space="preserve"> </w:t>
      </w:r>
      <w:r w:rsidRPr="001B1594">
        <w:rPr>
          <w:i/>
        </w:rPr>
        <w:t>Mr. Dave Garey</w:t>
      </w:r>
      <w:r>
        <w:t>, Letter, Ref. No. 1800B3-ATS (MB Sept. 25, 2014) (“</w:t>
      </w:r>
      <w:r w:rsidRPr="00730B98">
        <w:rPr>
          <w:i/>
        </w:rPr>
        <w:t>Staff Decision</w:t>
      </w:r>
      <w:r>
        <w:t>”).</w:t>
      </w:r>
    </w:p>
  </w:footnote>
  <w:footnote w:id="4">
    <w:p w14:paraId="4564EF1A" w14:textId="77777777" w:rsidR="00730B98" w:rsidRDefault="00730B98">
      <w:pPr>
        <w:pStyle w:val="FootnoteText"/>
      </w:pPr>
      <w:r>
        <w:rPr>
          <w:rStyle w:val="FootnoteReference"/>
        </w:rPr>
        <w:footnoteRef/>
      </w:r>
      <w:r>
        <w:t xml:space="preserve"> </w:t>
      </w:r>
      <w:r w:rsidR="001B1594">
        <w:t>47 U.S.C. § 405(a)</w:t>
      </w:r>
      <w:r w:rsidR="00EB3D49">
        <w:t>; 47 C.F.R. §</w:t>
      </w:r>
      <w:r w:rsidR="00F421CB">
        <w:t>§</w:t>
      </w:r>
      <w:r w:rsidR="00EB3D49">
        <w:t xml:space="preserve"> 1.104(b)</w:t>
      </w:r>
      <w:r w:rsidR="00F421CB">
        <w:t>, 1.106(f)</w:t>
      </w:r>
      <w:r w:rsidR="001B1594">
        <w:t>.</w:t>
      </w:r>
    </w:p>
  </w:footnote>
  <w:footnote w:id="5">
    <w:p w14:paraId="4C359D73" w14:textId="77777777" w:rsidR="00CD4C79" w:rsidRDefault="00CD4C79">
      <w:pPr>
        <w:pStyle w:val="FootnoteText"/>
      </w:pPr>
      <w:r>
        <w:rPr>
          <w:rStyle w:val="FootnoteReference"/>
        </w:rPr>
        <w:footnoteRef/>
      </w:r>
      <w:r>
        <w:t xml:space="preserve"> AFR at 2-4.</w:t>
      </w:r>
      <w:r w:rsidR="00EA6DE7">
        <w:t xml:space="preserve">  We reject Texas Grace’s contention that, because it was able to send a copy of its Request to the Commission’</w:t>
      </w:r>
      <w:r w:rsidR="00777AAD">
        <w:t xml:space="preserve">s Inspector General by electronic </w:t>
      </w:r>
      <w:r w:rsidR="00EA6DE7">
        <w:t xml:space="preserve">mail, this should “serve to justify treating [Texas] Grace’s Request for Reconsideration as timely filed.”  AFR at 4.  </w:t>
      </w:r>
      <w:r w:rsidR="00777AAD">
        <w:t xml:space="preserve">Pleadings may only be filed by hand or mail delivery to the Office of the Secretary as specified in 47 C.F.R. § 0.401(a), or otherwise as set forth in Public Notices.  </w:t>
      </w:r>
      <w:r w:rsidR="00777AAD" w:rsidRPr="00777AAD">
        <w:rPr>
          <w:i/>
        </w:rPr>
        <w:t>See Media Bureau Expands CDBS Features to Permit the Electronic Filing of Pleadings</w:t>
      </w:r>
      <w:r w:rsidR="00777AAD">
        <w:t>, Public Notice, 27 FCC Rcd 7579 (MB 2012) (containing instructions for filing certain Media Bureau pleadings, including petitions for reconsideration).  Filing of pleadings by electronic mail to Commission staff is not permitted.</w:t>
      </w:r>
    </w:p>
  </w:footnote>
  <w:footnote w:id="6">
    <w:p w14:paraId="3FE618EC" w14:textId="77777777" w:rsidR="001A3EF5" w:rsidRDefault="001A3EF5">
      <w:pPr>
        <w:pStyle w:val="FootnoteText"/>
      </w:pPr>
      <w:r>
        <w:rPr>
          <w:rStyle w:val="FootnoteReference"/>
        </w:rPr>
        <w:footnoteRef/>
      </w:r>
      <w:r>
        <w:t xml:space="preserve"> 47 C.F.R. § 73.3598(b) – (d) (the period of construction for an original construction permit shall toll when construction is prevented by certain enumerated causes not under the permittee’s control; permittee must notify the Commission of the commencement and cessation of tolling events).</w:t>
      </w:r>
    </w:p>
  </w:footnote>
  <w:footnote w:id="7">
    <w:p w14:paraId="7956EEE5" w14:textId="77777777" w:rsidR="009E3D0F" w:rsidRDefault="009E3D0F">
      <w:pPr>
        <w:pStyle w:val="FootnoteText"/>
      </w:pPr>
      <w:r>
        <w:rPr>
          <w:rStyle w:val="FootnoteReference"/>
        </w:rPr>
        <w:footnoteRef/>
      </w:r>
      <w:r>
        <w:t xml:space="preserve"> </w:t>
      </w:r>
      <w:r w:rsidRPr="009E3D0F">
        <w:rPr>
          <w:i/>
        </w:rPr>
        <w:t>Texas Grace Communications</w:t>
      </w:r>
      <w:r>
        <w:t>, Memorandum Opinion and Order, 16 FCC Rcd 19167 (2001) (“</w:t>
      </w:r>
      <w:r w:rsidRPr="009E3D0F">
        <w:rPr>
          <w:i/>
        </w:rPr>
        <w:t>Texas Grace I</w:t>
      </w:r>
      <w:r>
        <w:t xml:space="preserve">”) (denying tolling as requested under 47 C.F.R. § 73.3598(b), but waiving 47 C.F.R. § 73.3598(a) on </w:t>
      </w:r>
      <w:r w:rsidR="001B1594">
        <w:t>Commission’s</w:t>
      </w:r>
      <w:r>
        <w:t xml:space="preserve"> own motion to grant Texas Grace an additional 36 months to construct).</w:t>
      </w:r>
    </w:p>
  </w:footnote>
  <w:footnote w:id="8">
    <w:p w14:paraId="1717CD3E" w14:textId="77777777" w:rsidR="00E20E89" w:rsidRDefault="00E20E89">
      <w:pPr>
        <w:pStyle w:val="FootnoteText"/>
      </w:pPr>
      <w:r>
        <w:rPr>
          <w:rStyle w:val="FootnoteReference"/>
        </w:rPr>
        <w:footnoteRef/>
      </w:r>
      <w:r>
        <w:t xml:space="preserve"> </w:t>
      </w:r>
      <w:r w:rsidRPr="00E20E89">
        <w:rPr>
          <w:i/>
        </w:rPr>
        <w:t>Dave Garey, Proprietor, Texas Grace Communications</w:t>
      </w:r>
      <w:r>
        <w:t>, Letter, Ref. No. 1800B3-IB (MB Dec. 19, 2008).</w:t>
      </w:r>
      <w:r w:rsidR="00651622">
        <w:t xml:space="preserve">  </w:t>
      </w:r>
      <w:r w:rsidR="00651622" w:rsidRPr="00651622">
        <w:rPr>
          <w:i/>
        </w:rPr>
        <w:t>See also</w:t>
      </w:r>
      <w:r w:rsidR="00651622">
        <w:t xml:space="preserve"> </w:t>
      </w:r>
      <w:r w:rsidR="00651622" w:rsidRPr="00FA5C26">
        <w:rPr>
          <w:i/>
        </w:rPr>
        <w:t xml:space="preserve">Texas Grace </w:t>
      </w:r>
      <w:r w:rsidR="009B2BD0">
        <w:rPr>
          <w:i/>
        </w:rPr>
        <w:t>III</w:t>
      </w:r>
      <w:r w:rsidR="00651622">
        <w:t xml:space="preserve">, 29 FCC Rcd </w:t>
      </w:r>
      <w:r w:rsidR="009B2BD0">
        <w:t>at</w:t>
      </w:r>
      <w:r w:rsidR="00E22221">
        <w:t xml:space="preserve"> 9734</w:t>
      </w:r>
      <w:r w:rsidR="00651622">
        <w:t xml:space="preserve"> (finding that “Texas Grace has failed </w:t>
      </w:r>
      <w:r w:rsidR="009B2BD0">
        <w:t>to timely construct its station,</w:t>
      </w:r>
      <w:r w:rsidR="00651622">
        <w:t>”</w:t>
      </w:r>
      <w:r w:rsidR="009B2BD0">
        <w:t xml:space="preserve"> and agreeing with the Bureau that it was not entitled to additional time to do so</w:t>
      </w:r>
      <w:r w:rsidR="00651622">
        <w:t>).</w:t>
      </w:r>
    </w:p>
  </w:footnote>
  <w:footnote w:id="9">
    <w:p w14:paraId="0729755B" w14:textId="77777777" w:rsidR="005342E7" w:rsidRDefault="005342E7">
      <w:pPr>
        <w:pStyle w:val="FootnoteText"/>
      </w:pPr>
      <w:r>
        <w:rPr>
          <w:rStyle w:val="FootnoteReference"/>
        </w:rPr>
        <w:footnoteRef/>
      </w:r>
      <w:r>
        <w:t xml:space="preserve"> </w:t>
      </w:r>
      <w:r w:rsidRPr="00FA5C26">
        <w:rPr>
          <w:i/>
        </w:rPr>
        <w:t>Texas Grace Communications</w:t>
      </w:r>
      <w:r>
        <w:t>, Memorandum Opinion and Order, 20 FCC Rcd 4820 (2005) (“</w:t>
      </w:r>
      <w:r w:rsidRPr="00FA5C26">
        <w:rPr>
          <w:i/>
        </w:rPr>
        <w:t>Texas Grace II</w:t>
      </w:r>
      <w:r>
        <w:t>”)</w:t>
      </w:r>
      <w:r w:rsidR="00FA5C26">
        <w:t xml:space="preserve"> (dismissing as untimely applications for review and petition for reconsideration of orders denying further tolling of the Permit).</w:t>
      </w:r>
    </w:p>
  </w:footnote>
  <w:footnote w:id="10">
    <w:p w14:paraId="5C87CF84" w14:textId="77777777" w:rsidR="00D67D02" w:rsidRDefault="00D67D02">
      <w:pPr>
        <w:pStyle w:val="FootnoteText"/>
      </w:pPr>
      <w:r>
        <w:rPr>
          <w:rStyle w:val="FootnoteReference"/>
        </w:rPr>
        <w:footnoteRef/>
      </w:r>
      <w:r>
        <w:t xml:space="preserve"> </w:t>
      </w:r>
      <w:r w:rsidRPr="00D67D02">
        <w:rPr>
          <w:i/>
        </w:rPr>
        <w:t>Id</w:t>
      </w:r>
      <w:r>
        <w:t xml:space="preserve">. at 9733 n.3 (noting that Texas Grace received approximately 44 unencumbered months of construction time since the release of </w:t>
      </w:r>
      <w:r w:rsidRPr="00D67D02">
        <w:rPr>
          <w:i/>
        </w:rPr>
        <w:t>Texas Grace I</w:t>
      </w:r>
      <w:r>
        <w:t xml:space="preserve"> – that is, over and above the original 18-month construction period – albeit in three segments of 19 month</w:t>
      </w:r>
      <w:r w:rsidR="007D3B22">
        <w:t>s</w:t>
      </w:r>
      <w:r>
        <w:t xml:space="preserve">, 5-1/2 months, and 19-1/2 months each).  We </w:t>
      </w:r>
      <w:r w:rsidR="007D3B22">
        <w:t>summarily</w:t>
      </w:r>
      <w:r>
        <w:t xml:space="preserve"> rejected Texas Grace’s ongoing contention that its construction period must consist of 36 consecutive months.  </w:t>
      </w:r>
      <w:r w:rsidRPr="00D67D02">
        <w:rPr>
          <w:i/>
        </w:rPr>
        <w:t>Id</w:t>
      </w:r>
      <w:r>
        <w:t>. at 9734.</w:t>
      </w:r>
    </w:p>
  </w:footnote>
  <w:footnote w:id="11">
    <w:p w14:paraId="6130E247" w14:textId="77777777" w:rsidR="00D67D02" w:rsidRDefault="00D67D02">
      <w:pPr>
        <w:pStyle w:val="FootnoteText"/>
      </w:pPr>
      <w:r>
        <w:rPr>
          <w:rStyle w:val="FootnoteReference"/>
        </w:rPr>
        <w:footnoteRef/>
      </w:r>
      <w:r>
        <w:t xml:space="preserve"> </w:t>
      </w:r>
      <w:r w:rsidRPr="00140A6A">
        <w:rPr>
          <w:i/>
        </w:rPr>
        <w:t>See</w:t>
      </w:r>
      <w:r>
        <w:t xml:space="preserve">, </w:t>
      </w:r>
      <w:r w:rsidRPr="00140A6A">
        <w:rPr>
          <w:i/>
        </w:rPr>
        <w:t>e.g.</w:t>
      </w:r>
      <w:r>
        <w:t xml:space="preserve">, AFR at </w:t>
      </w:r>
      <w:r w:rsidR="00140A6A">
        <w:t>6-9.</w:t>
      </w:r>
    </w:p>
  </w:footnote>
  <w:footnote w:id="12">
    <w:p w14:paraId="2B65AA24" w14:textId="77777777" w:rsidR="00FE5A4A" w:rsidRDefault="00FE5A4A">
      <w:pPr>
        <w:pStyle w:val="FootnoteText"/>
      </w:pPr>
      <w:r>
        <w:rPr>
          <w:rStyle w:val="FootnoteReference"/>
        </w:rPr>
        <w:footnoteRef/>
      </w:r>
      <w:r>
        <w:t xml:space="preserve"> Section 405(a) of the Communications Act of 1934, as amended, requires that a “petition for reconsideration must be filed within thirty days from the date upon which public notice is given of the order, decision, report or action of the Commission . . . ” for which reconsideration is sought.  47 U.S.C. §405(a). </w:t>
      </w:r>
      <w:r w:rsidRPr="00595358">
        <w:rPr>
          <w:i/>
        </w:rPr>
        <w:t>See also</w:t>
      </w:r>
      <w:r>
        <w:t xml:space="preserve"> 47 C.F.R. § 1.106(f).</w:t>
      </w:r>
    </w:p>
  </w:footnote>
  <w:footnote w:id="13">
    <w:p w14:paraId="763CF394" w14:textId="77777777" w:rsidR="00730B98" w:rsidRPr="00BD696C" w:rsidRDefault="00730B98" w:rsidP="00BD696C">
      <w:pPr>
        <w:pStyle w:val="FootnoteText"/>
      </w:pPr>
      <w:r>
        <w:rPr>
          <w:rStyle w:val="FootnoteReference"/>
        </w:rPr>
        <w:footnoteRef/>
      </w:r>
      <w:r>
        <w:t xml:space="preserve"> </w:t>
      </w:r>
      <w:r w:rsidRPr="00AF5A3A">
        <w:rPr>
          <w:i/>
        </w:rPr>
        <w:t>See NetworkIP</w:t>
      </w:r>
      <w:r w:rsidR="00C64AE7" w:rsidRPr="00AF5A3A">
        <w:rPr>
          <w:i/>
        </w:rPr>
        <w:t>, LLC v. FCC</w:t>
      </w:r>
      <w:r w:rsidR="00C64AE7" w:rsidRPr="00AF5A3A">
        <w:t xml:space="preserve">, 548 F.3d 116, 127 (D.C. Cir. </w:t>
      </w:r>
      <w:r w:rsidR="00AF5A3A" w:rsidRPr="00AF5A3A">
        <w:t xml:space="preserve">2008) </w:t>
      </w:r>
      <w:r w:rsidR="005B7C12">
        <w:t>(“</w:t>
      </w:r>
      <w:r w:rsidR="005B7C12" w:rsidRPr="005B7C12">
        <w:rPr>
          <w:i/>
        </w:rPr>
        <w:t>NetworkIP</w:t>
      </w:r>
      <w:r w:rsidR="005B7C12">
        <w:t xml:space="preserve">”) </w:t>
      </w:r>
      <w:r w:rsidR="00AF5A3A" w:rsidRPr="00AF5A3A">
        <w:t>(</w:t>
      </w:r>
      <w:r w:rsidR="00AF5A3A">
        <w:t xml:space="preserve">attorney’s failure to include proper filing fees </w:t>
      </w:r>
      <w:r w:rsidR="00E931C6">
        <w:t>was</w:t>
      </w:r>
      <w:r w:rsidR="00AF5A3A">
        <w:t xml:space="preserve"> not sufficiently unusual circumstance to justify Commission’s allowing late-filed complaint</w:t>
      </w:r>
      <w:r w:rsidR="00AF5A3A" w:rsidRPr="00AF5A3A">
        <w:t xml:space="preserve">); </w:t>
      </w:r>
      <w:r w:rsidR="00AF5A3A" w:rsidRPr="00AF5A3A">
        <w:rPr>
          <w:i/>
          <w:iCs/>
        </w:rPr>
        <w:t>Virgin Islands</w:t>
      </w:r>
      <w:r w:rsidR="00AF5A3A">
        <w:rPr>
          <w:i/>
          <w:iCs/>
        </w:rPr>
        <w:t xml:space="preserve"> </w:t>
      </w:r>
      <w:r w:rsidR="00AF5A3A" w:rsidRPr="00AF5A3A">
        <w:rPr>
          <w:i/>
        </w:rPr>
        <w:t>Telephone Corporation v. FCC</w:t>
      </w:r>
      <w:r w:rsidR="00AF5A3A" w:rsidRPr="00AF5A3A">
        <w:t xml:space="preserve">, 989 F.2d 1231, 1237 (D.C. Cir. 1993) (upholding the Commission's refusal </w:t>
      </w:r>
      <w:r w:rsidR="00AF5A3A" w:rsidRPr="00BD696C">
        <w:t>to</w:t>
      </w:r>
      <w:r w:rsidR="00BD696C" w:rsidRPr="00BD696C">
        <w:t xml:space="preserve"> </w:t>
      </w:r>
      <w:r w:rsidR="00AF5A3A" w:rsidRPr="00BD696C">
        <w:t xml:space="preserve">entertain a petition for reconsideration where the petition had been filed one day late, and intra-law firm miscommunications did not constitute extenuating circumstances excusing the petitioner from filing within the prescribed time limits); </w:t>
      </w:r>
      <w:r w:rsidR="00AF5A3A" w:rsidRPr="00BD696C">
        <w:rPr>
          <w:i/>
          <w:iCs/>
        </w:rPr>
        <w:t xml:space="preserve">Reuters Limited v. FCC, </w:t>
      </w:r>
      <w:r w:rsidR="00AF5A3A" w:rsidRPr="00BD696C">
        <w:t>781 F.2d 946, 951-52 (D.C. Cir. 1986) (</w:t>
      </w:r>
      <w:r w:rsidR="00406F89" w:rsidRPr="00BD696C">
        <w:t>Commission could not rescind lawfully granted licenses when grant was challenged by petition for reconsideration filed two days after statutory 30-day deadline</w:t>
      </w:r>
      <w:r w:rsidR="00AF5A3A" w:rsidRPr="00BD696C">
        <w:t xml:space="preserve">). </w:t>
      </w:r>
      <w:r w:rsidR="00AF5A3A" w:rsidRPr="00BD696C">
        <w:rPr>
          <w:i/>
        </w:rPr>
        <w:t>See also</w:t>
      </w:r>
      <w:r w:rsidR="00AF5A3A" w:rsidRPr="00BD696C">
        <w:t xml:space="preserve"> </w:t>
      </w:r>
      <w:r w:rsidR="00871D64" w:rsidRPr="00BD696C">
        <w:rPr>
          <w:i/>
        </w:rPr>
        <w:t xml:space="preserve">FCC Overrules </w:t>
      </w:r>
      <w:r w:rsidR="00871D64" w:rsidRPr="00BD696C">
        <w:t xml:space="preserve">Caldwell Television Associates, Ltd., </w:t>
      </w:r>
      <w:r w:rsidR="00C64AE7" w:rsidRPr="00BD696C">
        <w:t>Public Notice, FCC 85-534, 58 R.R. 2d 1706 (rel. Oct. 4, 1984)</w:t>
      </w:r>
      <w:r w:rsidR="00871D64" w:rsidRPr="00BD696C">
        <w:t xml:space="preserve"> (“</w:t>
      </w:r>
      <w:r w:rsidR="00871D64" w:rsidRPr="00BD696C">
        <w:rPr>
          <w:i/>
        </w:rPr>
        <w:t>Caldwell</w:t>
      </w:r>
      <w:r w:rsidR="00871D64" w:rsidRPr="00BD696C">
        <w:t>”)</w:t>
      </w:r>
      <w:r w:rsidR="00C64AE7" w:rsidRPr="00BD696C">
        <w:t>, in which the Commission clarified that waivers of filing deadlines will only be granted under unusual or compelling circumstances.  “The Commission will no longer consider as unusual or compelling, however, requests for waiver based upon claims that copying machines, delivery services or even, in most cases, inclement weather or illness, was responsible for the tardy filing.  Although these circumstances may be unexpected, they are reasonably foreseeable and therefore applicants should allow enough time to meet cutoff deadlines to account for such unanticipated delays.”  58 R.R. 2d at 1707.</w:t>
      </w:r>
    </w:p>
  </w:footnote>
  <w:footnote w:id="14">
    <w:p w14:paraId="1B596011" w14:textId="77777777" w:rsidR="00871D64" w:rsidRPr="00BD696C" w:rsidRDefault="00871D64">
      <w:pPr>
        <w:pStyle w:val="FootnoteText"/>
      </w:pPr>
      <w:r w:rsidRPr="00BD696C">
        <w:rPr>
          <w:rStyle w:val="FootnoteReference"/>
        </w:rPr>
        <w:footnoteRef/>
      </w:r>
      <w:r w:rsidRPr="00BD696C">
        <w:t xml:space="preserve"> </w:t>
      </w:r>
      <w:r w:rsidRPr="00BD696C">
        <w:rPr>
          <w:i/>
        </w:rPr>
        <w:t>Caldwell</w:t>
      </w:r>
      <w:r w:rsidRPr="00BD696C">
        <w:t xml:space="preserve">, </w:t>
      </w:r>
      <w:r w:rsidRPr="00BD696C">
        <w:rPr>
          <w:i/>
        </w:rPr>
        <w:t>id</w:t>
      </w:r>
      <w:r w:rsidRPr="00BD696C">
        <w:t>.</w:t>
      </w:r>
      <w:r w:rsidR="00CD4C79" w:rsidRPr="00BD696C">
        <w:t xml:space="preserve">  </w:t>
      </w:r>
      <w:r w:rsidR="00CD4C79" w:rsidRPr="00BD696C">
        <w:rPr>
          <w:i/>
        </w:rPr>
        <w:t>See also NetworkIP</w:t>
      </w:r>
      <w:r w:rsidR="00CD4C79" w:rsidRPr="00BD696C">
        <w:t xml:space="preserve">, </w:t>
      </w:r>
      <w:r w:rsidR="00CD4C79" w:rsidRPr="00BD696C">
        <w:rPr>
          <w:i/>
        </w:rPr>
        <w:t>supra</w:t>
      </w:r>
      <w:r w:rsidR="00CD4C79" w:rsidRPr="00BD696C">
        <w:t xml:space="preserve"> note 1</w:t>
      </w:r>
      <w:r w:rsidR="00BA5556" w:rsidRPr="00BD696C">
        <w:t>0</w:t>
      </w:r>
      <w:r w:rsidR="00CD4C79" w:rsidRPr="00BD696C">
        <w:t xml:space="preserve">, </w:t>
      </w:r>
      <w:r w:rsidR="00290A0A" w:rsidRPr="00BD696C">
        <w:t>548 F.3d at 127 (“[P]rocrastination plus the universal tendency for things to go wrong (Murphy’s Law) – at the worst possible moment (Finagle’s Corollary) – is not a ‘special circumstance.’”).</w:t>
      </w:r>
    </w:p>
  </w:footnote>
  <w:footnote w:id="15">
    <w:p w14:paraId="3EDCE98E" w14:textId="6A58C4DD" w:rsidR="00A3699C" w:rsidRDefault="00A3699C">
      <w:pPr>
        <w:pStyle w:val="FootnoteText"/>
      </w:pPr>
      <w:r>
        <w:rPr>
          <w:rStyle w:val="FootnoteReference"/>
        </w:rPr>
        <w:footnoteRef/>
      </w:r>
      <w:r>
        <w:t xml:space="preserve"> </w:t>
      </w:r>
      <w:r w:rsidRPr="00A3699C">
        <w:rPr>
          <w:i/>
        </w:rPr>
        <w:t>See Texas Grace I</w:t>
      </w:r>
      <w:r>
        <w:t xml:space="preserve">, </w:t>
      </w:r>
      <w:r w:rsidRPr="00A3699C">
        <w:rPr>
          <w:i/>
        </w:rPr>
        <w:t>supra</w:t>
      </w:r>
      <w:r>
        <w:t xml:space="preserve"> note 6; </w:t>
      </w:r>
      <w:r w:rsidRPr="00A3699C">
        <w:rPr>
          <w:i/>
        </w:rPr>
        <w:t>Texas Grace II</w:t>
      </w:r>
      <w:r>
        <w:t xml:space="preserve">, </w:t>
      </w:r>
      <w:r w:rsidRPr="00A3699C">
        <w:rPr>
          <w:i/>
        </w:rPr>
        <w:t>supra</w:t>
      </w:r>
      <w:r>
        <w:t xml:space="preserve"> note 8; and </w:t>
      </w:r>
      <w:r w:rsidRPr="00A3699C">
        <w:rPr>
          <w:i/>
        </w:rPr>
        <w:t>Texas Grace III</w:t>
      </w:r>
      <w:r>
        <w:t xml:space="preserve">, </w:t>
      </w:r>
      <w:r w:rsidRPr="00A3699C">
        <w:rPr>
          <w:i/>
        </w:rPr>
        <w:t>supra</w:t>
      </w:r>
      <w:r>
        <w:t xml:space="preserve"> note 1.  </w:t>
      </w:r>
      <w:r w:rsidRPr="00D05734">
        <w:rPr>
          <w:i/>
        </w:rPr>
        <w:t>See also</w:t>
      </w:r>
      <w:r>
        <w:t xml:space="preserve"> </w:t>
      </w:r>
      <w:r w:rsidRPr="00E20E89">
        <w:rPr>
          <w:i/>
        </w:rPr>
        <w:t>Dave Garey, Texas Grace Communications</w:t>
      </w:r>
      <w:r>
        <w:t xml:space="preserve">, Letter, Ref. No. 1800B3-GDG (MMB Oct. 20, 2000); </w:t>
      </w:r>
      <w:r w:rsidRPr="00E20E89">
        <w:rPr>
          <w:i/>
        </w:rPr>
        <w:t>Texas Grace Communications</w:t>
      </w:r>
      <w:r>
        <w:t>, Letter, Ref. No. 1800B3-</w:t>
      </w:r>
      <w:r w:rsidR="00275B4A">
        <w:t>GDG</w:t>
      </w:r>
      <w:r>
        <w:t xml:space="preserve"> (</w:t>
      </w:r>
      <w:r w:rsidR="00275B4A">
        <w:t>M</w:t>
      </w:r>
      <w:r>
        <w:t xml:space="preserve">MB Dec. 14, 2000); </w:t>
      </w:r>
      <w:r w:rsidRPr="00E20E89">
        <w:rPr>
          <w:i/>
        </w:rPr>
        <w:t>Texas Grace Communications</w:t>
      </w:r>
      <w:r>
        <w:t xml:space="preserve">, Letter, Ref. No. 1800B3-GDG (MB Jan. 29, 2004); </w:t>
      </w:r>
      <w:r w:rsidRPr="00E20E89">
        <w:rPr>
          <w:i/>
        </w:rPr>
        <w:t>Texas Grace Communications</w:t>
      </w:r>
      <w:r>
        <w:t xml:space="preserve">, Letter, Ref. No. 1800B-IB (MB </w:t>
      </w:r>
      <w:r w:rsidR="00026592">
        <w:t>Jan. 29, 2004</w:t>
      </w:r>
      <w:r>
        <w:t>)</w:t>
      </w:r>
      <w:r w:rsidR="00026592">
        <w:t xml:space="preserve">; </w:t>
      </w:r>
      <w:r w:rsidR="006D6F32" w:rsidRPr="00E20E89">
        <w:rPr>
          <w:i/>
        </w:rPr>
        <w:t>Dave Garey, Proprietor, Texas Grace Communications</w:t>
      </w:r>
      <w:r w:rsidR="006D6F32">
        <w:t xml:space="preserve">, Letter, Ref. No. 1800B3-IB (MB Feb. 5, 2007); </w:t>
      </w:r>
      <w:r w:rsidR="00D05734" w:rsidRPr="00D05734">
        <w:rPr>
          <w:i/>
        </w:rPr>
        <w:t>Mr.</w:t>
      </w:r>
      <w:r w:rsidR="00D05734">
        <w:t xml:space="preserve"> </w:t>
      </w:r>
      <w:r w:rsidR="006D6F32" w:rsidRPr="00E20E89">
        <w:rPr>
          <w:i/>
        </w:rPr>
        <w:t>Dave Garey, Proprietor, Texas Grace Communications</w:t>
      </w:r>
      <w:r w:rsidR="006D6F32">
        <w:t xml:space="preserve">, Letter, Ref. No. 1800B3-MJW (MB Dec. 23, 2008); </w:t>
      </w:r>
      <w:r w:rsidR="006D6F32" w:rsidRPr="006D6F32">
        <w:rPr>
          <w:i/>
        </w:rPr>
        <w:t>Staff Decision</w:t>
      </w:r>
      <w:r w:rsidR="006D6F32">
        <w:t xml:space="preserve">, </w:t>
      </w:r>
      <w:r w:rsidR="006D6F32" w:rsidRPr="006D6F32">
        <w:rPr>
          <w:i/>
        </w:rPr>
        <w:t>supra</w:t>
      </w:r>
      <w:r w:rsidR="006D6F32">
        <w:t xml:space="preserve"> note 2.</w:t>
      </w:r>
    </w:p>
  </w:footnote>
  <w:footnote w:id="16">
    <w:p w14:paraId="4EC723D9" w14:textId="6E9F9D69" w:rsidR="00A915FF" w:rsidRPr="00595358" w:rsidRDefault="00A915FF" w:rsidP="00A915FF">
      <w:pPr>
        <w:pStyle w:val="FootnoteText"/>
        <w:rPr>
          <w:i/>
        </w:rPr>
      </w:pPr>
      <w:r>
        <w:rPr>
          <w:rStyle w:val="FootnoteReference"/>
        </w:rPr>
        <w:footnoteRef/>
      </w:r>
      <w:r>
        <w:t xml:space="preserve"> </w:t>
      </w:r>
      <w:r w:rsidRPr="00595358">
        <w:rPr>
          <w:i/>
        </w:rPr>
        <w:t>See Texas Grace III, supra</w:t>
      </w:r>
      <w:r w:rsidR="00CC5245">
        <w:t xml:space="preserve"> note 1</w:t>
      </w:r>
      <w:r w:rsidRPr="00595358">
        <w:rPr>
          <w:i/>
        </w:rPr>
        <w:t>.</w:t>
      </w:r>
    </w:p>
  </w:footnote>
  <w:footnote w:id="17">
    <w:p w14:paraId="75F1CD4E" w14:textId="77777777" w:rsidR="00A27C86" w:rsidRDefault="00A27C86" w:rsidP="00A27C86">
      <w:pPr>
        <w:pStyle w:val="FootnoteText"/>
      </w:pPr>
      <w:r>
        <w:rPr>
          <w:rStyle w:val="FootnoteReference"/>
        </w:rPr>
        <w:footnoteRef/>
      </w:r>
      <w:r>
        <w:t xml:space="preserve"> </w:t>
      </w:r>
      <w:r w:rsidRPr="001C371B">
        <w:rPr>
          <w:i/>
        </w:rPr>
        <w:t>See</w:t>
      </w:r>
      <w:r>
        <w:t xml:space="preserve">, </w:t>
      </w:r>
      <w:r w:rsidRPr="001C371B">
        <w:rPr>
          <w:i/>
        </w:rPr>
        <w:t>e.g</w:t>
      </w:r>
      <w:r>
        <w:t xml:space="preserve">., </w:t>
      </w:r>
      <w:r w:rsidRPr="001C371B">
        <w:rPr>
          <w:i/>
        </w:rPr>
        <w:t>Warren C. Havens</w:t>
      </w:r>
      <w:r>
        <w:t xml:space="preserve">, Order on Reconsideration, 25 FCC Rcd 511, 513 n.22 (2010); </w:t>
      </w:r>
      <w:r w:rsidRPr="001C371B">
        <w:rPr>
          <w:i/>
        </w:rPr>
        <w:t>Central Mobile Radio Phone Service, Inc.</w:t>
      </w:r>
      <w:r>
        <w:t>, Memorandum Opinion and Order, FCC 86-88, 1986 WL 292748, para. 3 (rel. Mar. 4,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767D" w14:textId="77777777" w:rsidR="00292970" w:rsidRDefault="00292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1C72" w14:textId="3F1DFE02" w:rsidR="00D25FB5" w:rsidRDefault="00D25FB5" w:rsidP="00810B6F">
    <w:pPr>
      <w:pStyle w:val="Header"/>
      <w:rPr>
        <w:b w:val="0"/>
      </w:rPr>
    </w:pPr>
    <w:r>
      <w:tab/>
      <w:t>Federal Communications Commission</w:t>
    </w:r>
    <w:r>
      <w:tab/>
    </w:r>
    <w:r w:rsidR="001B035C">
      <w:t>FCC 15-</w:t>
    </w:r>
    <w:r w:rsidR="001F2F36">
      <w:t>124</w:t>
    </w:r>
  </w:p>
  <w:p w14:paraId="58912059" w14:textId="77777777" w:rsidR="00D25FB5" w:rsidRDefault="00A36F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34AAF88" wp14:editId="233CBF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45BCD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92D57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8BBE" w14:textId="434C659B" w:rsidR="00D25FB5" w:rsidRDefault="00A36F08" w:rsidP="00810B6F">
    <w:pPr>
      <w:pStyle w:val="Header"/>
      <w:rPr>
        <w:b w:val="0"/>
      </w:rPr>
    </w:pPr>
    <w:r>
      <w:rPr>
        <w:noProof/>
      </w:rPr>
      <mc:AlternateContent>
        <mc:Choice Requires="wps">
          <w:drawing>
            <wp:anchor distT="0" distB="0" distL="114300" distR="114300" simplePos="0" relativeHeight="251658240" behindDoc="1" locked="0" layoutInCell="0" allowOverlap="1" wp14:anchorId="6C7992CF" wp14:editId="0F02078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C36B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B035C">
      <w:rPr>
        <w:spacing w:val="-2"/>
      </w:rPr>
      <w:t>FCC 15-</w:t>
    </w:r>
    <w:r w:rsidR="001F2F36">
      <w:rPr>
        <w:spacing w:val="-2"/>
      </w:rPr>
      <w:t>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08"/>
    <w:rsid w:val="00013F2B"/>
    <w:rsid w:val="00021D6C"/>
    <w:rsid w:val="00026592"/>
    <w:rsid w:val="000340BF"/>
    <w:rsid w:val="000342CC"/>
    <w:rsid w:val="00036039"/>
    <w:rsid w:val="00037F90"/>
    <w:rsid w:val="00050361"/>
    <w:rsid w:val="000875BF"/>
    <w:rsid w:val="00096D8C"/>
    <w:rsid w:val="000B7CC3"/>
    <w:rsid w:val="000C0B65"/>
    <w:rsid w:val="000E05FE"/>
    <w:rsid w:val="000E3D42"/>
    <w:rsid w:val="000F5DA4"/>
    <w:rsid w:val="000F65D3"/>
    <w:rsid w:val="0011621A"/>
    <w:rsid w:val="00122BD5"/>
    <w:rsid w:val="00133F79"/>
    <w:rsid w:val="00140A6A"/>
    <w:rsid w:val="00153A15"/>
    <w:rsid w:val="00194A66"/>
    <w:rsid w:val="001A3B4E"/>
    <w:rsid w:val="001A3EF5"/>
    <w:rsid w:val="001B035C"/>
    <w:rsid w:val="001B1594"/>
    <w:rsid w:val="001C371B"/>
    <w:rsid w:val="001D6BCF"/>
    <w:rsid w:val="001E01CA"/>
    <w:rsid w:val="001E521D"/>
    <w:rsid w:val="001F2F36"/>
    <w:rsid w:val="00230B72"/>
    <w:rsid w:val="00274792"/>
    <w:rsid w:val="00275B4A"/>
    <w:rsid w:val="00275CF5"/>
    <w:rsid w:val="0028301F"/>
    <w:rsid w:val="00285017"/>
    <w:rsid w:val="00290A0A"/>
    <w:rsid w:val="00292970"/>
    <w:rsid w:val="002A2D2E"/>
    <w:rsid w:val="002B6192"/>
    <w:rsid w:val="002C00E8"/>
    <w:rsid w:val="002E1FC4"/>
    <w:rsid w:val="003353F1"/>
    <w:rsid w:val="00343749"/>
    <w:rsid w:val="003660ED"/>
    <w:rsid w:val="0036611A"/>
    <w:rsid w:val="00371D04"/>
    <w:rsid w:val="00396BD3"/>
    <w:rsid w:val="003B0550"/>
    <w:rsid w:val="003B694F"/>
    <w:rsid w:val="003D161B"/>
    <w:rsid w:val="003F0FC8"/>
    <w:rsid w:val="003F171C"/>
    <w:rsid w:val="00403901"/>
    <w:rsid w:val="00406F89"/>
    <w:rsid w:val="00412FC5"/>
    <w:rsid w:val="00422276"/>
    <w:rsid w:val="004242F1"/>
    <w:rsid w:val="00445A00"/>
    <w:rsid w:val="00451B0F"/>
    <w:rsid w:val="00455B3C"/>
    <w:rsid w:val="0048188C"/>
    <w:rsid w:val="004B01C0"/>
    <w:rsid w:val="004B3A82"/>
    <w:rsid w:val="004C1779"/>
    <w:rsid w:val="004C2EE3"/>
    <w:rsid w:val="004E4A22"/>
    <w:rsid w:val="0050292D"/>
    <w:rsid w:val="00511968"/>
    <w:rsid w:val="00532685"/>
    <w:rsid w:val="005342E7"/>
    <w:rsid w:val="00552864"/>
    <w:rsid w:val="0055614C"/>
    <w:rsid w:val="005834CD"/>
    <w:rsid w:val="00587AA6"/>
    <w:rsid w:val="005B6A87"/>
    <w:rsid w:val="005B7C12"/>
    <w:rsid w:val="005C3097"/>
    <w:rsid w:val="005E14C2"/>
    <w:rsid w:val="00607BA5"/>
    <w:rsid w:val="0061180A"/>
    <w:rsid w:val="00626EB6"/>
    <w:rsid w:val="00651622"/>
    <w:rsid w:val="00655D03"/>
    <w:rsid w:val="00660CA0"/>
    <w:rsid w:val="00675C54"/>
    <w:rsid w:val="00676158"/>
    <w:rsid w:val="00683388"/>
    <w:rsid w:val="00683F84"/>
    <w:rsid w:val="006A6A81"/>
    <w:rsid w:val="006C5A58"/>
    <w:rsid w:val="006D6F32"/>
    <w:rsid w:val="006F6FD7"/>
    <w:rsid w:val="006F7393"/>
    <w:rsid w:val="0070224F"/>
    <w:rsid w:val="007115F7"/>
    <w:rsid w:val="00716D5B"/>
    <w:rsid w:val="00730B98"/>
    <w:rsid w:val="00777AAD"/>
    <w:rsid w:val="00785689"/>
    <w:rsid w:val="00795CC2"/>
    <w:rsid w:val="0079754B"/>
    <w:rsid w:val="007A1E6D"/>
    <w:rsid w:val="007A1F45"/>
    <w:rsid w:val="007B0EB2"/>
    <w:rsid w:val="007C025A"/>
    <w:rsid w:val="007D3B22"/>
    <w:rsid w:val="00810B6F"/>
    <w:rsid w:val="00822CE0"/>
    <w:rsid w:val="00826CE0"/>
    <w:rsid w:val="00841AB1"/>
    <w:rsid w:val="00871D64"/>
    <w:rsid w:val="008B1041"/>
    <w:rsid w:val="008C68F1"/>
    <w:rsid w:val="008E4D71"/>
    <w:rsid w:val="0090243D"/>
    <w:rsid w:val="00921803"/>
    <w:rsid w:val="00926503"/>
    <w:rsid w:val="009726D8"/>
    <w:rsid w:val="009B2BD0"/>
    <w:rsid w:val="009E3D0F"/>
    <w:rsid w:val="009F76DB"/>
    <w:rsid w:val="00A13014"/>
    <w:rsid w:val="00A27C86"/>
    <w:rsid w:val="00A32C3B"/>
    <w:rsid w:val="00A3699C"/>
    <w:rsid w:val="00A36F08"/>
    <w:rsid w:val="00A45F4F"/>
    <w:rsid w:val="00A600A9"/>
    <w:rsid w:val="00A65E44"/>
    <w:rsid w:val="00A72F5D"/>
    <w:rsid w:val="00A915FF"/>
    <w:rsid w:val="00AA55B7"/>
    <w:rsid w:val="00AA5B9E"/>
    <w:rsid w:val="00AA5FC8"/>
    <w:rsid w:val="00AB0B67"/>
    <w:rsid w:val="00AB2407"/>
    <w:rsid w:val="00AB53DF"/>
    <w:rsid w:val="00AB6235"/>
    <w:rsid w:val="00AC18AD"/>
    <w:rsid w:val="00AD1D8F"/>
    <w:rsid w:val="00AF5A3A"/>
    <w:rsid w:val="00B07E5C"/>
    <w:rsid w:val="00B36BAA"/>
    <w:rsid w:val="00B559C2"/>
    <w:rsid w:val="00B811F7"/>
    <w:rsid w:val="00BA5556"/>
    <w:rsid w:val="00BA5DC6"/>
    <w:rsid w:val="00BA6196"/>
    <w:rsid w:val="00BA7726"/>
    <w:rsid w:val="00BC6D8C"/>
    <w:rsid w:val="00BD696C"/>
    <w:rsid w:val="00C34006"/>
    <w:rsid w:val="00C426B1"/>
    <w:rsid w:val="00C64AE7"/>
    <w:rsid w:val="00C66160"/>
    <w:rsid w:val="00C721AC"/>
    <w:rsid w:val="00C90D6A"/>
    <w:rsid w:val="00CA247E"/>
    <w:rsid w:val="00CC5245"/>
    <w:rsid w:val="00CC72B6"/>
    <w:rsid w:val="00CD4C79"/>
    <w:rsid w:val="00CD67EB"/>
    <w:rsid w:val="00D0218D"/>
    <w:rsid w:val="00D05734"/>
    <w:rsid w:val="00D25FB5"/>
    <w:rsid w:val="00D379A4"/>
    <w:rsid w:val="00D44223"/>
    <w:rsid w:val="00D67D02"/>
    <w:rsid w:val="00D942D1"/>
    <w:rsid w:val="00DA1686"/>
    <w:rsid w:val="00DA2529"/>
    <w:rsid w:val="00DA33B8"/>
    <w:rsid w:val="00DB130A"/>
    <w:rsid w:val="00DB2EBB"/>
    <w:rsid w:val="00DB3589"/>
    <w:rsid w:val="00DC10A1"/>
    <w:rsid w:val="00DC655F"/>
    <w:rsid w:val="00DD0B59"/>
    <w:rsid w:val="00DD7EBD"/>
    <w:rsid w:val="00DF5824"/>
    <w:rsid w:val="00DF62B6"/>
    <w:rsid w:val="00E07225"/>
    <w:rsid w:val="00E20E89"/>
    <w:rsid w:val="00E22221"/>
    <w:rsid w:val="00E2720E"/>
    <w:rsid w:val="00E5409F"/>
    <w:rsid w:val="00E931C6"/>
    <w:rsid w:val="00EA6DE7"/>
    <w:rsid w:val="00EB3D49"/>
    <w:rsid w:val="00EB69AD"/>
    <w:rsid w:val="00EE6488"/>
    <w:rsid w:val="00F021FA"/>
    <w:rsid w:val="00F276EB"/>
    <w:rsid w:val="00F421CB"/>
    <w:rsid w:val="00F62E97"/>
    <w:rsid w:val="00F64209"/>
    <w:rsid w:val="00F93BF5"/>
    <w:rsid w:val="00FA5C26"/>
    <w:rsid w:val="00FB0C33"/>
    <w:rsid w:val="00FB68BF"/>
    <w:rsid w:val="00FC6101"/>
    <w:rsid w:val="00FE5A4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7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9AD"/>
    <w:pPr>
      <w:widowControl w:val="0"/>
    </w:pPr>
    <w:rPr>
      <w:snapToGrid w:val="0"/>
      <w:kern w:val="28"/>
      <w:sz w:val="22"/>
    </w:rPr>
  </w:style>
  <w:style w:type="paragraph" w:styleId="Heading1">
    <w:name w:val="heading 1"/>
    <w:basedOn w:val="Normal"/>
    <w:next w:val="ParaNum"/>
    <w:link w:val="Heading1Char"/>
    <w:qFormat/>
    <w:rsid w:val="00EB69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69AD"/>
    <w:pPr>
      <w:keepNext/>
      <w:numPr>
        <w:ilvl w:val="1"/>
        <w:numId w:val="3"/>
      </w:numPr>
      <w:spacing w:after="120"/>
      <w:outlineLvl w:val="1"/>
    </w:pPr>
    <w:rPr>
      <w:b/>
    </w:rPr>
  </w:style>
  <w:style w:type="paragraph" w:styleId="Heading3">
    <w:name w:val="heading 3"/>
    <w:basedOn w:val="Normal"/>
    <w:next w:val="ParaNum"/>
    <w:qFormat/>
    <w:rsid w:val="00EB69AD"/>
    <w:pPr>
      <w:keepNext/>
      <w:numPr>
        <w:ilvl w:val="2"/>
        <w:numId w:val="3"/>
      </w:numPr>
      <w:tabs>
        <w:tab w:val="left" w:pos="2160"/>
      </w:tabs>
      <w:spacing w:after="120"/>
      <w:outlineLvl w:val="2"/>
    </w:pPr>
    <w:rPr>
      <w:b/>
    </w:rPr>
  </w:style>
  <w:style w:type="paragraph" w:styleId="Heading4">
    <w:name w:val="heading 4"/>
    <w:basedOn w:val="Normal"/>
    <w:next w:val="ParaNum"/>
    <w:qFormat/>
    <w:rsid w:val="00EB69AD"/>
    <w:pPr>
      <w:keepNext/>
      <w:numPr>
        <w:ilvl w:val="3"/>
        <w:numId w:val="3"/>
      </w:numPr>
      <w:tabs>
        <w:tab w:val="left" w:pos="2880"/>
      </w:tabs>
      <w:spacing w:after="120"/>
      <w:outlineLvl w:val="3"/>
    </w:pPr>
    <w:rPr>
      <w:b/>
    </w:rPr>
  </w:style>
  <w:style w:type="paragraph" w:styleId="Heading5">
    <w:name w:val="heading 5"/>
    <w:basedOn w:val="Normal"/>
    <w:next w:val="ParaNum"/>
    <w:qFormat/>
    <w:rsid w:val="00EB69A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69AD"/>
    <w:pPr>
      <w:numPr>
        <w:ilvl w:val="5"/>
        <w:numId w:val="3"/>
      </w:numPr>
      <w:tabs>
        <w:tab w:val="left" w:pos="4320"/>
      </w:tabs>
      <w:spacing w:after="120"/>
      <w:outlineLvl w:val="5"/>
    </w:pPr>
    <w:rPr>
      <w:b/>
    </w:rPr>
  </w:style>
  <w:style w:type="paragraph" w:styleId="Heading7">
    <w:name w:val="heading 7"/>
    <w:basedOn w:val="Normal"/>
    <w:next w:val="ParaNum"/>
    <w:qFormat/>
    <w:rsid w:val="00EB69A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69A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69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6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9AD"/>
  </w:style>
  <w:style w:type="paragraph" w:customStyle="1" w:styleId="ParaNum">
    <w:name w:val="ParaNum"/>
    <w:basedOn w:val="Normal"/>
    <w:rsid w:val="00EB69AD"/>
    <w:pPr>
      <w:numPr>
        <w:numId w:val="2"/>
      </w:numPr>
      <w:tabs>
        <w:tab w:val="clear" w:pos="1080"/>
        <w:tab w:val="num" w:pos="1440"/>
      </w:tabs>
      <w:spacing w:after="120"/>
    </w:pPr>
  </w:style>
  <w:style w:type="paragraph" w:styleId="EndnoteText">
    <w:name w:val="endnote text"/>
    <w:basedOn w:val="Normal"/>
    <w:semiHidden/>
    <w:rsid w:val="00EB69AD"/>
    <w:rPr>
      <w:sz w:val="20"/>
    </w:rPr>
  </w:style>
  <w:style w:type="character" w:styleId="EndnoteReference">
    <w:name w:val="endnote reference"/>
    <w:semiHidden/>
    <w:rsid w:val="00EB69AD"/>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EB69AD"/>
    <w:pPr>
      <w:spacing w:after="120"/>
    </w:pPr>
  </w:style>
  <w:style w:type="character" w:styleId="FootnoteReference">
    <w:name w:val="footnote reference"/>
    <w:rsid w:val="00EB69AD"/>
    <w:rPr>
      <w:rFonts w:ascii="Times New Roman" w:hAnsi="Times New Roman"/>
      <w:dstrike w:val="0"/>
      <w:color w:val="auto"/>
      <w:sz w:val="20"/>
      <w:vertAlign w:val="superscript"/>
    </w:rPr>
  </w:style>
  <w:style w:type="paragraph" w:styleId="TOC1">
    <w:name w:val="toc 1"/>
    <w:basedOn w:val="Normal"/>
    <w:next w:val="Normal"/>
    <w:semiHidden/>
    <w:rsid w:val="00EB69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69AD"/>
    <w:pPr>
      <w:tabs>
        <w:tab w:val="left" w:pos="720"/>
        <w:tab w:val="right" w:leader="dot" w:pos="9360"/>
      </w:tabs>
      <w:suppressAutoHyphens/>
      <w:ind w:left="720" w:right="720" w:hanging="360"/>
    </w:pPr>
    <w:rPr>
      <w:noProof/>
    </w:rPr>
  </w:style>
  <w:style w:type="paragraph" w:styleId="TOC3">
    <w:name w:val="toc 3"/>
    <w:basedOn w:val="Normal"/>
    <w:next w:val="Normal"/>
    <w:semiHidden/>
    <w:rsid w:val="00EB69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69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69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69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69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69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69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69AD"/>
    <w:pPr>
      <w:tabs>
        <w:tab w:val="right" w:pos="9360"/>
      </w:tabs>
      <w:suppressAutoHyphens/>
    </w:pPr>
  </w:style>
  <w:style w:type="character" w:customStyle="1" w:styleId="EquationCaption">
    <w:name w:val="_Equation Caption"/>
    <w:rsid w:val="00EB69AD"/>
  </w:style>
  <w:style w:type="paragraph" w:styleId="Header">
    <w:name w:val="header"/>
    <w:basedOn w:val="Normal"/>
    <w:autoRedefine/>
    <w:rsid w:val="00EB69AD"/>
    <w:pPr>
      <w:tabs>
        <w:tab w:val="center" w:pos="4680"/>
        <w:tab w:val="right" w:pos="9360"/>
      </w:tabs>
    </w:pPr>
    <w:rPr>
      <w:b/>
    </w:rPr>
  </w:style>
  <w:style w:type="paragraph" w:styleId="Footer">
    <w:name w:val="footer"/>
    <w:basedOn w:val="Normal"/>
    <w:rsid w:val="00EB69AD"/>
    <w:pPr>
      <w:tabs>
        <w:tab w:val="center" w:pos="4320"/>
        <w:tab w:val="right" w:pos="8640"/>
      </w:tabs>
    </w:pPr>
  </w:style>
  <w:style w:type="character" w:styleId="PageNumber">
    <w:name w:val="page number"/>
    <w:basedOn w:val="DefaultParagraphFont"/>
    <w:rsid w:val="00EB69AD"/>
  </w:style>
  <w:style w:type="paragraph" w:styleId="BlockText">
    <w:name w:val="Block Text"/>
    <w:basedOn w:val="Normal"/>
    <w:rsid w:val="00EB69AD"/>
    <w:pPr>
      <w:spacing w:after="240"/>
      <w:ind w:left="1440" w:right="1440"/>
    </w:pPr>
  </w:style>
  <w:style w:type="paragraph" w:customStyle="1" w:styleId="Paratitle">
    <w:name w:val="Para title"/>
    <w:basedOn w:val="Normal"/>
    <w:rsid w:val="00EB69AD"/>
    <w:pPr>
      <w:tabs>
        <w:tab w:val="center" w:pos="9270"/>
      </w:tabs>
      <w:spacing w:after="240"/>
    </w:pPr>
    <w:rPr>
      <w:spacing w:val="-2"/>
    </w:rPr>
  </w:style>
  <w:style w:type="paragraph" w:customStyle="1" w:styleId="Bullet">
    <w:name w:val="Bullet"/>
    <w:basedOn w:val="Normal"/>
    <w:rsid w:val="00EB69AD"/>
    <w:pPr>
      <w:tabs>
        <w:tab w:val="left" w:pos="2160"/>
      </w:tabs>
      <w:spacing w:after="220"/>
      <w:ind w:left="2160" w:hanging="720"/>
    </w:pPr>
  </w:style>
  <w:style w:type="paragraph" w:customStyle="1" w:styleId="TableFormat">
    <w:name w:val="TableFormat"/>
    <w:basedOn w:val="Bullet"/>
    <w:rsid w:val="00EB69AD"/>
    <w:pPr>
      <w:tabs>
        <w:tab w:val="clear" w:pos="2160"/>
        <w:tab w:val="left" w:pos="5040"/>
      </w:tabs>
      <w:ind w:left="5040" w:hanging="3600"/>
    </w:pPr>
  </w:style>
  <w:style w:type="paragraph" w:customStyle="1" w:styleId="TOCTitle">
    <w:name w:val="TOC Title"/>
    <w:basedOn w:val="Normal"/>
    <w:rsid w:val="00EB69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69AD"/>
    <w:pPr>
      <w:jc w:val="center"/>
    </w:pPr>
    <w:rPr>
      <w:rFonts w:ascii="Times New Roman Bold" w:hAnsi="Times New Roman Bold"/>
      <w:b/>
      <w:bCs/>
      <w:caps/>
      <w:szCs w:val="22"/>
    </w:rPr>
  </w:style>
  <w:style w:type="character" w:styleId="Hyperlink">
    <w:name w:val="Hyperlink"/>
    <w:rsid w:val="00EB69AD"/>
    <w:rPr>
      <w:color w:val="0000FF"/>
      <w:u w:val="single"/>
    </w:rPr>
  </w:style>
  <w:style w:type="character" w:customStyle="1" w:styleId="Heading1Char">
    <w:name w:val="Heading 1 Char"/>
    <w:basedOn w:val="DefaultParagraphFont"/>
    <w:link w:val="Heading1"/>
    <w:rsid w:val="001C371B"/>
    <w:rPr>
      <w:rFonts w:ascii="Times New Roman Bold" w:hAnsi="Times New Roman Bold"/>
      <w:b/>
      <w:caps/>
      <w:snapToGrid w:val="0"/>
      <w:kern w:val="28"/>
      <w:sz w:val="22"/>
    </w:rPr>
  </w:style>
  <w:style w:type="character" w:styleId="CommentReference">
    <w:name w:val="annotation reference"/>
    <w:basedOn w:val="DefaultParagraphFont"/>
    <w:rsid w:val="00A915FF"/>
    <w:rPr>
      <w:sz w:val="16"/>
      <w:szCs w:val="16"/>
    </w:rPr>
  </w:style>
  <w:style w:type="paragraph" w:styleId="CommentText">
    <w:name w:val="annotation text"/>
    <w:basedOn w:val="Normal"/>
    <w:link w:val="CommentTextChar"/>
    <w:rsid w:val="00A915FF"/>
    <w:rPr>
      <w:sz w:val="20"/>
    </w:rPr>
  </w:style>
  <w:style w:type="character" w:customStyle="1" w:styleId="CommentTextChar">
    <w:name w:val="Comment Text Char"/>
    <w:basedOn w:val="DefaultParagraphFont"/>
    <w:link w:val="CommentText"/>
    <w:rsid w:val="00A915FF"/>
    <w:rPr>
      <w:snapToGrid w:val="0"/>
      <w:kern w:val="28"/>
    </w:rPr>
  </w:style>
  <w:style w:type="paragraph" w:styleId="BalloonText">
    <w:name w:val="Balloon Text"/>
    <w:basedOn w:val="Normal"/>
    <w:link w:val="BalloonTextChar"/>
    <w:rsid w:val="00A915FF"/>
    <w:rPr>
      <w:rFonts w:ascii="Segoe UI" w:hAnsi="Segoe UI" w:cs="Segoe UI"/>
      <w:sz w:val="18"/>
      <w:szCs w:val="18"/>
    </w:rPr>
  </w:style>
  <w:style w:type="character" w:customStyle="1" w:styleId="BalloonTextChar">
    <w:name w:val="Balloon Text Char"/>
    <w:basedOn w:val="DefaultParagraphFont"/>
    <w:link w:val="BalloonText"/>
    <w:rsid w:val="00A915FF"/>
    <w:rPr>
      <w:rFonts w:ascii="Segoe UI" w:hAnsi="Segoe UI" w:cs="Segoe UI"/>
      <w:snapToGrid w:val="0"/>
      <w:kern w:val="28"/>
      <w:sz w:val="18"/>
      <w:szCs w:val="18"/>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0B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9AD"/>
    <w:pPr>
      <w:widowControl w:val="0"/>
    </w:pPr>
    <w:rPr>
      <w:snapToGrid w:val="0"/>
      <w:kern w:val="28"/>
      <w:sz w:val="22"/>
    </w:rPr>
  </w:style>
  <w:style w:type="paragraph" w:styleId="Heading1">
    <w:name w:val="heading 1"/>
    <w:basedOn w:val="Normal"/>
    <w:next w:val="ParaNum"/>
    <w:link w:val="Heading1Char"/>
    <w:qFormat/>
    <w:rsid w:val="00EB69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69AD"/>
    <w:pPr>
      <w:keepNext/>
      <w:numPr>
        <w:ilvl w:val="1"/>
        <w:numId w:val="3"/>
      </w:numPr>
      <w:spacing w:after="120"/>
      <w:outlineLvl w:val="1"/>
    </w:pPr>
    <w:rPr>
      <w:b/>
    </w:rPr>
  </w:style>
  <w:style w:type="paragraph" w:styleId="Heading3">
    <w:name w:val="heading 3"/>
    <w:basedOn w:val="Normal"/>
    <w:next w:val="ParaNum"/>
    <w:qFormat/>
    <w:rsid w:val="00EB69AD"/>
    <w:pPr>
      <w:keepNext/>
      <w:numPr>
        <w:ilvl w:val="2"/>
        <w:numId w:val="3"/>
      </w:numPr>
      <w:tabs>
        <w:tab w:val="left" w:pos="2160"/>
      </w:tabs>
      <w:spacing w:after="120"/>
      <w:outlineLvl w:val="2"/>
    </w:pPr>
    <w:rPr>
      <w:b/>
    </w:rPr>
  </w:style>
  <w:style w:type="paragraph" w:styleId="Heading4">
    <w:name w:val="heading 4"/>
    <w:basedOn w:val="Normal"/>
    <w:next w:val="ParaNum"/>
    <w:qFormat/>
    <w:rsid w:val="00EB69AD"/>
    <w:pPr>
      <w:keepNext/>
      <w:numPr>
        <w:ilvl w:val="3"/>
        <w:numId w:val="3"/>
      </w:numPr>
      <w:tabs>
        <w:tab w:val="left" w:pos="2880"/>
      </w:tabs>
      <w:spacing w:after="120"/>
      <w:outlineLvl w:val="3"/>
    </w:pPr>
    <w:rPr>
      <w:b/>
    </w:rPr>
  </w:style>
  <w:style w:type="paragraph" w:styleId="Heading5">
    <w:name w:val="heading 5"/>
    <w:basedOn w:val="Normal"/>
    <w:next w:val="ParaNum"/>
    <w:qFormat/>
    <w:rsid w:val="00EB69A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69AD"/>
    <w:pPr>
      <w:numPr>
        <w:ilvl w:val="5"/>
        <w:numId w:val="3"/>
      </w:numPr>
      <w:tabs>
        <w:tab w:val="left" w:pos="4320"/>
      </w:tabs>
      <w:spacing w:after="120"/>
      <w:outlineLvl w:val="5"/>
    </w:pPr>
    <w:rPr>
      <w:b/>
    </w:rPr>
  </w:style>
  <w:style w:type="paragraph" w:styleId="Heading7">
    <w:name w:val="heading 7"/>
    <w:basedOn w:val="Normal"/>
    <w:next w:val="ParaNum"/>
    <w:qFormat/>
    <w:rsid w:val="00EB69A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69A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69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6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69AD"/>
  </w:style>
  <w:style w:type="paragraph" w:customStyle="1" w:styleId="ParaNum">
    <w:name w:val="ParaNum"/>
    <w:basedOn w:val="Normal"/>
    <w:rsid w:val="00EB69AD"/>
    <w:pPr>
      <w:numPr>
        <w:numId w:val="2"/>
      </w:numPr>
      <w:tabs>
        <w:tab w:val="clear" w:pos="1080"/>
        <w:tab w:val="num" w:pos="1440"/>
      </w:tabs>
      <w:spacing w:after="120"/>
    </w:pPr>
  </w:style>
  <w:style w:type="paragraph" w:styleId="EndnoteText">
    <w:name w:val="endnote text"/>
    <w:basedOn w:val="Normal"/>
    <w:semiHidden/>
    <w:rsid w:val="00EB69AD"/>
    <w:rPr>
      <w:sz w:val="20"/>
    </w:rPr>
  </w:style>
  <w:style w:type="character" w:styleId="EndnoteReference">
    <w:name w:val="endnote reference"/>
    <w:semiHidden/>
    <w:rsid w:val="00EB69AD"/>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EB69AD"/>
    <w:pPr>
      <w:spacing w:after="120"/>
    </w:pPr>
  </w:style>
  <w:style w:type="character" w:styleId="FootnoteReference">
    <w:name w:val="footnote reference"/>
    <w:rsid w:val="00EB69AD"/>
    <w:rPr>
      <w:rFonts w:ascii="Times New Roman" w:hAnsi="Times New Roman"/>
      <w:dstrike w:val="0"/>
      <w:color w:val="auto"/>
      <w:sz w:val="20"/>
      <w:vertAlign w:val="superscript"/>
    </w:rPr>
  </w:style>
  <w:style w:type="paragraph" w:styleId="TOC1">
    <w:name w:val="toc 1"/>
    <w:basedOn w:val="Normal"/>
    <w:next w:val="Normal"/>
    <w:semiHidden/>
    <w:rsid w:val="00EB69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69AD"/>
    <w:pPr>
      <w:tabs>
        <w:tab w:val="left" w:pos="720"/>
        <w:tab w:val="right" w:leader="dot" w:pos="9360"/>
      </w:tabs>
      <w:suppressAutoHyphens/>
      <w:ind w:left="720" w:right="720" w:hanging="360"/>
    </w:pPr>
    <w:rPr>
      <w:noProof/>
    </w:rPr>
  </w:style>
  <w:style w:type="paragraph" w:styleId="TOC3">
    <w:name w:val="toc 3"/>
    <w:basedOn w:val="Normal"/>
    <w:next w:val="Normal"/>
    <w:semiHidden/>
    <w:rsid w:val="00EB69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69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69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69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69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69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69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69AD"/>
    <w:pPr>
      <w:tabs>
        <w:tab w:val="right" w:pos="9360"/>
      </w:tabs>
      <w:suppressAutoHyphens/>
    </w:pPr>
  </w:style>
  <w:style w:type="character" w:customStyle="1" w:styleId="EquationCaption">
    <w:name w:val="_Equation Caption"/>
    <w:rsid w:val="00EB69AD"/>
  </w:style>
  <w:style w:type="paragraph" w:styleId="Header">
    <w:name w:val="header"/>
    <w:basedOn w:val="Normal"/>
    <w:autoRedefine/>
    <w:rsid w:val="00EB69AD"/>
    <w:pPr>
      <w:tabs>
        <w:tab w:val="center" w:pos="4680"/>
        <w:tab w:val="right" w:pos="9360"/>
      </w:tabs>
    </w:pPr>
    <w:rPr>
      <w:b/>
    </w:rPr>
  </w:style>
  <w:style w:type="paragraph" w:styleId="Footer">
    <w:name w:val="footer"/>
    <w:basedOn w:val="Normal"/>
    <w:rsid w:val="00EB69AD"/>
    <w:pPr>
      <w:tabs>
        <w:tab w:val="center" w:pos="4320"/>
        <w:tab w:val="right" w:pos="8640"/>
      </w:tabs>
    </w:pPr>
  </w:style>
  <w:style w:type="character" w:styleId="PageNumber">
    <w:name w:val="page number"/>
    <w:basedOn w:val="DefaultParagraphFont"/>
    <w:rsid w:val="00EB69AD"/>
  </w:style>
  <w:style w:type="paragraph" w:styleId="BlockText">
    <w:name w:val="Block Text"/>
    <w:basedOn w:val="Normal"/>
    <w:rsid w:val="00EB69AD"/>
    <w:pPr>
      <w:spacing w:after="240"/>
      <w:ind w:left="1440" w:right="1440"/>
    </w:pPr>
  </w:style>
  <w:style w:type="paragraph" w:customStyle="1" w:styleId="Paratitle">
    <w:name w:val="Para title"/>
    <w:basedOn w:val="Normal"/>
    <w:rsid w:val="00EB69AD"/>
    <w:pPr>
      <w:tabs>
        <w:tab w:val="center" w:pos="9270"/>
      </w:tabs>
      <w:spacing w:after="240"/>
    </w:pPr>
    <w:rPr>
      <w:spacing w:val="-2"/>
    </w:rPr>
  </w:style>
  <w:style w:type="paragraph" w:customStyle="1" w:styleId="Bullet">
    <w:name w:val="Bullet"/>
    <w:basedOn w:val="Normal"/>
    <w:rsid w:val="00EB69AD"/>
    <w:pPr>
      <w:tabs>
        <w:tab w:val="left" w:pos="2160"/>
      </w:tabs>
      <w:spacing w:after="220"/>
      <w:ind w:left="2160" w:hanging="720"/>
    </w:pPr>
  </w:style>
  <w:style w:type="paragraph" w:customStyle="1" w:styleId="TableFormat">
    <w:name w:val="TableFormat"/>
    <w:basedOn w:val="Bullet"/>
    <w:rsid w:val="00EB69AD"/>
    <w:pPr>
      <w:tabs>
        <w:tab w:val="clear" w:pos="2160"/>
        <w:tab w:val="left" w:pos="5040"/>
      </w:tabs>
      <w:ind w:left="5040" w:hanging="3600"/>
    </w:pPr>
  </w:style>
  <w:style w:type="paragraph" w:customStyle="1" w:styleId="TOCTitle">
    <w:name w:val="TOC Title"/>
    <w:basedOn w:val="Normal"/>
    <w:rsid w:val="00EB69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69AD"/>
    <w:pPr>
      <w:jc w:val="center"/>
    </w:pPr>
    <w:rPr>
      <w:rFonts w:ascii="Times New Roman Bold" w:hAnsi="Times New Roman Bold"/>
      <w:b/>
      <w:bCs/>
      <w:caps/>
      <w:szCs w:val="22"/>
    </w:rPr>
  </w:style>
  <w:style w:type="character" w:styleId="Hyperlink">
    <w:name w:val="Hyperlink"/>
    <w:rsid w:val="00EB69AD"/>
    <w:rPr>
      <w:color w:val="0000FF"/>
      <w:u w:val="single"/>
    </w:rPr>
  </w:style>
  <w:style w:type="character" w:customStyle="1" w:styleId="Heading1Char">
    <w:name w:val="Heading 1 Char"/>
    <w:basedOn w:val="DefaultParagraphFont"/>
    <w:link w:val="Heading1"/>
    <w:rsid w:val="001C371B"/>
    <w:rPr>
      <w:rFonts w:ascii="Times New Roman Bold" w:hAnsi="Times New Roman Bold"/>
      <w:b/>
      <w:caps/>
      <w:snapToGrid w:val="0"/>
      <w:kern w:val="28"/>
      <w:sz w:val="22"/>
    </w:rPr>
  </w:style>
  <w:style w:type="character" w:styleId="CommentReference">
    <w:name w:val="annotation reference"/>
    <w:basedOn w:val="DefaultParagraphFont"/>
    <w:rsid w:val="00A915FF"/>
    <w:rPr>
      <w:sz w:val="16"/>
      <w:szCs w:val="16"/>
    </w:rPr>
  </w:style>
  <w:style w:type="paragraph" w:styleId="CommentText">
    <w:name w:val="annotation text"/>
    <w:basedOn w:val="Normal"/>
    <w:link w:val="CommentTextChar"/>
    <w:rsid w:val="00A915FF"/>
    <w:rPr>
      <w:sz w:val="20"/>
    </w:rPr>
  </w:style>
  <w:style w:type="character" w:customStyle="1" w:styleId="CommentTextChar">
    <w:name w:val="Comment Text Char"/>
    <w:basedOn w:val="DefaultParagraphFont"/>
    <w:link w:val="CommentText"/>
    <w:rsid w:val="00A915FF"/>
    <w:rPr>
      <w:snapToGrid w:val="0"/>
      <w:kern w:val="28"/>
    </w:rPr>
  </w:style>
  <w:style w:type="paragraph" w:styleId="BalloonText">
    <w:name w:val="Balloon Text"/>
    <w:basedOn w:val="Normal"/>
    <w:link w:val="BalloonTextChar"/>
    <w:rsid w:val="00A915FF"/>
    <w:rPr>
      <w:rFonts w:ascii="Segoe UI" w:hAnsi="Segoe UI" w:cs="Segoe UI"/>
      <w:sz w:val="18"/>
      <w:szCs w:val="18"/>
    </w:rPr>
  </w:style>
  <w:style w:type="character" w:customStyle="1" w:styleId="BalloonTextChar">
    <w:name w:val="Balloon Text Char"/>
    <w:basedOn w:val="DefaultParagraphFont"/>
    <w:link w:val="BalloonText"/>
    <w:rsid w:val="00A915FF"/>
    <w:rPr>
      <w:rFonts w:ascii="Segoe UI" w:hAnsi="Segoe UI" w:cs="Segoe UI"/>
      <w:snapToGrid w:val="0"/>
      <w:kern w:val="28"/>
      <w:sz w:val="18"/>
      <w:szCs w:val="18"/>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0B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767</Words>
  <Characters>4096</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2015-08-06T15:36:00Z</cp:lastPrinted>
  <dcterms:created xsi:type="dcterms:W3CDTF">2015-09-16T19:49:00Z</dcterms:created>
  <dcterms:modified xsi:type="dcterms:W3CDTF">2015-09-16T19:49:00Z</dcterms:modified>
  <cp:category> </cp:category>
  <cp:contentStatus> </cp:contentStatus>
</cp:coreProperties>
</file>