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C368F2">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C368F2">
      <w:pPr>
        <w:pStyle w:val="StyleBoldCentered"/>
        <w:widowControl/>
      </w:pPr>
      <w:r>
        <w:t>F</w:t>
      </w:r>
      <w:r>
        <w:rPr>
          <w:caps w:val="0"/>
        </w:rPr>
        <w:t>ederal Communications Commission</w:t>
      </w:r>
    </w:p>
    <w:p w:rsidR="004C2EE3" w:rsidRDefault="00810B6F" w:rsidP="00C368F2">
      <w:pPr>
        <w:pStyle w:val="StyleBoldCentered"/>
        <w:widowControl/>
      </w:pPr>
      <w:r>
        <w:rPr>
          <w:caps w:val="0"/>
        </w:rPr>
        <w:t>Washington, D.C. 20554</w:t>
      </w:r>
    </w:p>
    <w:p w:rsidR="004C2EE3" w:rsidRDefault="004C2EE3" w:rsidP="00C368F2">
      <w:pPr>
        <w:widowControl/>
      </w:pPr>
    </w:p>
    <w:tbl>
      <w:tblPr>
        <w:tblW w:w="9096" w:type="dxa"/>
        <w:tblLayout w:type="fixed"/>
        <w:tblLook w:val="0000" w:firstRow="0" w:lastRow="0" w:firstColumn="0" w:lastColumn="0" w:noHBand="0" w:noVBand="0"/>
      </w:tblPr>
      <w:tblGrid>
        <w:gridCol w:w="4462"/>
        <w:gridCol w:w="599"/>
        <w:gridCol w:w="4035"/>
      </w:tblGrid>
      <w:tr w:rsidR="00617423" w:rsidTr="00F86384">
        <w:trPr>
          <w:trHeight w:val="1455"/>
        </w:trPr>
        <w:tc>
          <w:tcPr>
            <w:tcW w:w="4462" w:type="dxa"/>
          </w:tcPr>
          <w:p w:rsidR="00617423" w:rsidRDefault="00617423" w:rsidP="00C368F2">
            <w:pPr>
              <w:widowControl/>
              <w:tabs>
                <w:tab w:val="center" w:pos="4680"/>
              </w:tabs>
              <w:suppressAutoHyphens/>
              <w:rPr>
                <w:spacing w:val="-2"/>
              </w:rPr>
            </w:pPr>
            <w:r>
              <w:rPr>
                <w:spacing w:val="-2"/>
              </w:rPr>
              <w:t>In the Matter of</w:t>
            </w:r>
          </w:p>
          <w:p w:rsidR="00617423" w:rsidRDefault="00617423" w:rsidP="00C368F2">
            <w:pPr>
              <w:widowControl/>
              <w:tabs>
                <w:tab w:val="center" w:pos="4680"/>
              </w:tabs>
              <w:suppressAutoHyphens/>
              <w:rPr>
                <w:spacing w:val="-2"/>
              </w:rPr>
            </w:pPr>
          </w:p>
          <w:p w:rsidR="00617423" w:rsidRPr="007115F7" w:rsidRDefault="00EB37E3" w:rsidP="00F102CE">
            <w:pPr>
              <w:widowControl/>
              <w:tabs>
                <w:tab w:val="center" w:pos="4680"/>
              </w:tabs>
              <w:suppressAutoHyphens/>
              <w:rPr>
                <w:spacing w:val="-2"/>
              </w:rPr>
            </w:pPr>
            <w:r>
              <w:rPr>
                <w:spacing w:val="-2"/>
              </w:rPr>
              <w:t xml:space="preserve">Modernizing </w:t>
            </w:r>
            <w:r w:rsidR="00C368F2" w:rsidRPr="00080E04">
              <w:rPr>
                <w:spacing w:val="-2"/>
              </w:rPr>
              <w:t>Common Carrier Rules</w:t>
            </w:r>
          </w:p>
        </w:tc>
        <w:tc>
          <w:tcPr>
            <w:tcW w:w="599" w:type="dxa"/>
          </w:tcPr>
          <w:p w:rsidR="00617423" w:rsidRDefault="00617423" w:rsidP="00C368F2">
            <w:pPr>
              <w:widowControl/>
              <w:tabs>
                <w:tab w:val="center" w:pos="4680"/>
              </w:tabs>
              <w:suppressAutoHyphens/>
              <w:rPr>
                <w:b/>
                <w:spacing w:val="-2"/>
              </w:rPr>
            </w:pPr>
            <w:r>
              <w:rPr>
                <w:b/>
                <w:spacing w:val="-2"/>
              </w:rPr>
              <w:t>)</w:t>
            </w:r>
          </w:p>
          <w:p w:rsidR="00617423" w:rsidRDefault="00617423" w:rsidP="00C368F2">
            <w:pPr>
              <w:widowControl/>
              <w:tabs>
                <w:tab w:val="center" w:pos="4680"/>
              </w:tabs>
              <w:suppressAutoHyphens/>
              <w:rPr>
                <w:b/>
                <w:spacing w:val="-2"/>
              </w:rPr>
            </w:pPr>
            <w:r>
              <w:rPr>
                <w:b/>
                <w:spacing w:val="-2"/>
              </w:rPr>
              <w:t>)</w:t>
            </w:r>
          </w:p>
          <w:p w:rsidR="00617423" w:rsidRDefault="00617423" w:rsidP="00C368F2">
            <w:pPr>
              <w:widowControl/>
              <w:tabs>
                <w:tab w:val="center" w:pos="4680"/>
              </w:tabs>
              <w:suppressAutoHyphens/>
              <w:rPr>
                <w:b/>
                <w:spacing w:val="-2"/>
              </w:rPr>
            </w:pPr>
            <w:r>
              <w:rPr>
                <w:b/>
                <w:spacing w:val="-2"/>
              </w:rPr>
              <w:t>)</w:t>
            </w:r>
          </w:p>
          <w:p w:rsidR="00617423" w:rsidRPr="00BE6737" w:rsidRDefault="00656C83" w:rsidP="00590EE7">
            <w:pPr>
              <w:widowControl/>
              <w:tabs>
                <w:tab w:val="center" w:pos="4680"/>
              </w:tabs>
              <w:suppressAutoHyphens/>
              <w:rPr>
                <w:b/>
                <w:spacing w:val="-2"/>
              </w:rPr>
            </w:pPr>
            <w:r>
              <w:rPr>
                <w:b/>
                <w:spacing w:val="-2"/>
              </w:rPr>
              <w:t>)</w:t>
            </w:r>
          </w:p>
        </w:tc>
        <w:tc>
          <w:tcPr>
            <w:tcW w:w="4035" w:type="dxa"/>
          </w:tcPr>
          <w:p w:rsidR="00617423" w:rsidRDefault="00617423" w:rsidP="00C368F2">
            <w:pPr>
              <w:widowControl/>
              <w:tabs>
                <w:tab w:val="center" w:pos="4680"/>
              </w:tabs>
              <w:suppressAutoHyphens/>
              <w:rPr>
                <w:spacing w:val="-2"/>
              </w:rPr>
            </w:pPr>
          </w:p>
          <w:p w:rsidR="00617423" w:rsidRDefault="00617423" w:rsidP="00C368F2">
            <w:pPr>
              <w:pStyle w:val="TOAHeading"/>
              <w:widowControl/>
              <w:tabs>
                <w:tab w:val="clear" w:pos="9360"/>
                <w:tab w:val="center" w:pos="4680"/>
              </w:tabs>
              <w:rPr>
                <w:spacing w:val="-2"/>
              </w:rPr>
            </w:pPr>
          </w:p>
          <w:p w:rsidR="00617423" w:rsidRDefault="00C368F2" w:rsidP="00C368F2">
            <w:pPr>
              <w:widowControl/>
              <w:tabs>
                <w:tab w:val="center" w:pos="4680"/>
              </w:tabs>
              <w:suppressAutoHyphens/>
              <w:rPr>
                <w:spacing w:val="-2"/>
              </w:rPr>
            </w:pPr>
            <w:r>
              <w:rPr>
                <w:spacing w:val="-2"/>
              </w:rPr>
              <w:t>WC Docket No. 1</w:t>
            </w:r>
            <w:r w:rsidR="006C5DB3">
              <w:rPr>
                <w:spacing w:val="-2"/>
              </w:rPr>
              <w:t>5-33</w:t>
            </w:r>
          </w:p>
          <w:p w:rsidR="00617423" w:rsidRDefault="00617423" w:rsidP="00C368F2">
            <w:pPr>
              <w:widowControl/>
              <w:tabs>
                <w:tab w:val="center" w:pos="4680"/>
              </w:tabs>
              <w:suppressAutoHyphens/>
              <w:rPr>
                <w:spacing w:val="-2"/>
              </w:rPr>
            </w:pPr>
          </w:p>
          <w:p w:rsidR="00617423" w:rsidRDefault="00617423" w:rsidP="00C368F2">
            <w:pPr>
              <w:widowControl/>
              <w:tabs>
                <w:tab w:val="center" w:pos="4680"/>
              </w:tabs>
              <w:suppressAutoHyphens/>
              <w:rPr>
                <w:spacing w:val="-2"/>
              </w:rPr>
            </w:pPr>
          </w:p>
        </w:tc>
      </w:tr>
    </w:tbl>
    <w:p w:rsidR="00841AB1" w:rsidRDefault="00393A64" w:rsidP="00C368F2">
      <w:pPr>
        <w:pStyle w:val="StyleBoldCentered"/>
        <w:widowControl/>
      </w:pPr>
      <w:r>
        <w:t>NOTICE OF PROPOSED RULEMAKING</w:t>
      </w:r>
    </w:p>
    <w:p w:rsidR="004C2EE3" w:rsidRDefault="004C2EE3" w:rsidP="00C368F2">
      <w:pPr>
        <w:widowControl/>
        <w:tabs>
          <w:tab w:val="left" w:pos="-720"/>
        </w:tabs>
        <w:suppressAutoHyphens/>
        <w:spacing w:line="227" w:lineRule="auto"/>
        <w:rPr>
          <w:spacing w:val="-2"/>
        </w:rPr>
      </w:pPr>
    </w:p>
    <w:p w:rsidR="004C2EE3" w:rsidRDefault="004C2EE3" w:rsidP="00C368F2">
      <w:pPr>
        <w:widowControl/>
        <w:tabs>
          <w:tab w:val="left" w:pos="720"/>
          <w:tab w:val="right" w:pos="9360"/>
        </w:tabs>
        <w:suppressAutoHyphens/>
        <w:spacing w:line="227" w:lineRule="auto"/>
        <w:rPr>
          <w:spacing w:val="-2"/>
        </w:rPr>
      </w:pPr>
      <w:r>
        <w:rPr>
          <w:b/>
          <w:spacing w:val="-2"/>
        </w:rPr>
        <w:t xml:space="preserve">Adopted:  </w:t>
      </w:r>
      <w:r w:rsidR="00B031DD">
        <w:rPr>
          <w:b/>
          <w:spacing w:val="-2"/>
        </w:rPr>
        <w:t>February 2,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C5DB3">
        <w:rPr>
          <w:b/>
          <w:spacing w:val="-2"/>
        </w:rPr>
        <w:t>February 6, 2015</w:t>
      </w:r>
    </w:p>
    <w:p w:rsidR="00822CE0" w:rsidRDefault="00822CE0" w:rsidP="00C368F2">
      <w:pPr>
        <w:widowControl/>
      </w:pPr>
    </w:p>
    <w:p w:rsidR="00393A64" w:rsidRPr="002F1F72" w:rsidRDefault="00393A64" w:rsidP="00C368F2">
      <w:pPr>
        <w:widowControl/>
        <w:rPr>
          <w:b/>
        </w:rPr>
      </w:pPr>
      <w:r w:rsidRPr="009001A6">
        <w:rPr>
          <w:b/>
        </w:rPr>
        <w:t xml:space="preserve">Comments Due: </w:t>
      </w:r>
      <w:r w:rsidRPr="002F1F72">
        <w:rPr>
          <w:b/>
        </w:rPr>
        <w:t>(30 days after date of publication in the Federal Register)</w:t>
      </w:r>
    </w:p>
    <w:p w:rsidR="00393A64" w:rsidRDefault="00393A64" w:rsidP="00C368F2">
      <w:pPr>
        <w:widowControl/>
      </w:pPr>
      <w:r w:rsidRPr="009001A6">
        <w:rPr>
          <w:b/>
        </w:rPr>
        <w:t>Repl</w:t>
      </w:r>
      <w:r w:rsidR="00656C83">
        <w:rPr>
          <w:b/>
        </w:rPr>
        <w:t>y Comments</w:t>
      </w:r>
      <w:r w:rsidRPr="009001A6">
        <w:rPr>
          <w:b/>
        </w:rPr>
        <w:t xml:space="preserve"> Due:</w:t>
      </w:r>
      <w:r>
        <w:t xml:space="preserve"> </w:t>
      </w:r>
      <w:r w:rsidRPr="002F1F72">
        <w:rPr>
          <w:b/>
        </w:rPr>
        <w:t>(</w:t>
      </w:r>
      <w:r w:rsidR="00BA4608">
        <w:rPr>
          <w:b/>
        </w:rPr>
        <w:t>45</w:t>
      </w:r>
      <w:r w:rsidRPr="002F1F72">
        <w:rPr>
          <w:b/>
        </w:rPr>
        <w:t xml:space="preserve"> days after date of publication in the Federal Register)</w:t>
      </w:r>
      <w:r>
        <w:t xml:space="preserve"> </w:t>
      </w:r>
    </w:p>
    <w:p w:rsidR="00393A64" w:rsidRDefault="00393A64" w:rsidP="00C368F2">
      <w:pPr>
        <w:widowControl/>
      </w:pPr>
    </w:p>
    <w:p w:rsidR="004C2EE3" w:rsidRDefault="004C2EE3" w:rsidP="00C368F2">
      <w:pPr>
        <w:widowControl/>
        <w:rPr>
          <w:spacing w:val="-2"/>
        </w:rPr>
      </w:pPr>
      <w:r>
        <w:t xml:space="preserve">By </w:t>
      </w:r>
      <w:r w:rsidR="004E4A22">
        <w:t>the</w:t>
      </w:r>
      <w:r w:rsidR="002A2D2E">
        <w:t xml:space="preserve"> </w:t>
      </w:r>
      <w:r w:rsidR="00393A64">
        <w:rPr>
          <w:spacing w:val="-2"/>
        </w:rPr>
        <w:t>Commission</w:t>
      </w:r>
      <w:r>
        <w:rPr>
          <w:spacing w:val="-2"/>
        </w:rPr>
        <w:t>:</w:t>
      </w:r>
    </w:p>
    <w:p w:rsidR="00412FC5" w:rsidRDefault="00412FC5" w:rsidP="00C368F2">
      <w:pPr>
        <w:widowControl/>
      </w:pPr>
    </w:p>
    <w:p w:rsidR="002C00E8" w:rsidRDefault="00393A64" w:rsidP="004C365E">
      <w:pPr>
        <w:pStyle w:val="Heading1"/>
        <w:keepNext w:val="0"/>
        <w:widowControl/>
      </w:pPr>
      <w:r>
        <w:t>Introduction</w:t>
      </w:r>
    </w:p>
    <w:p w:rsidR="00393A64" w:rsidRDefault="00393A64" w:rsidP="00C368F2">
      <w:pPr>
        <w:pStyle w:val="ParaNum"/>
        <w:widowControl/>
      </w:pPr>
      <w:r w:rsidRPr="002A57BF">
        <w:t xml:space="preserve">This Notice of Proposed Rulemaking (Notice) </w:t>
      </w:r>
      <w:r>
        <w:t xml:space="preserve">seeks </w:t>
      </w:r>
      <w:r w:rsidRPr="002A57BF">
        <w:t xml:space="preserve">to </w:t>
      </w:r>
      <w:r>
        <w:t>update our rules to better reflect current requirements and technology by</w:t>
      </w:r>
      <w:r w:rsidRPr="002A57BF">
        <w:t xml:space="preserve"> remov</w:t>
      </w:r>
      <w:r>
        <w:t>ing</w:t>
      </w:r>
      <w:r w:rsidRPr="002A57BF">
        <w:t xml:space="preserve"> outmoded regulations from the Code of Fe</w:t>
      </w:r>
      <w:r>
        <w:t>deral</w:t>
      </w:r>
      <w:r w:rsidRPr="009175F7">
        <w:rPr>
          <w:lang w:val="x-none"/>
        </w:rPr>
        <w:t xml:space="preserve"> Regulations</w:t>
      </w:r>
      <w:r>
        <w:t xml:space="preserve"> (C.F.R.)</w:t>
      </w:r>
      <w:r w:rsidRPr="009175F7">
        <w:rPr>
          <w:lang w:val="x-none"/>
        </w:rPr>
        <w:t>.</w:t>
      </w:r>
      <w:r w:rsidRPr="00472AA0">
        <w:rPr>
          <w:lang w:val="x-none"/>
        </w:rPr>
        <w:t xml:space="preserve">  The Notice </w:t>
      </w:r>
      <w:r>
        <w:t>prop</w:t>
      </w:r>
      <w:r w:rsidR="00823CDC">
        <w:t>oses to update the C.F.R.</w:t>
      </w:r>
      <w:r w:rsidR="005A33A0">
        <w:t xml:space="preserve"> </w:t>
      </w:r>
      <w:r w:rsidR="00823CDC">
        <w:t>by (1) </w:t>
      </w:r>
      <w:r>
        <w:t>eliminating certain rules from which the Commission has forborn, and (2)</w:t>
      </w:r>
      <w:r w:rsidR="00823CDC">
        <w:t> </w:t>
      </w:r>
      <w:r>
        <w:t>eliminating references to telegraph service in certain rules.</w:t>
      </w:r>
    </w:p>
    <w:p w:rsidR="00393A64" w:rsidRDefault="00823CDC" w:rsidP="005C3F6A">
      <w:pPr>
        <w:pStyle w:val="ParaNum"/>
        <w:widowControl/>
      </w:pPr>
      <w:r>
        <w:t xml:space="preserve">The Notice </w:t>
      </w:r>
      <w:r w:rsidRPr="00472AA0">
        <w:rPr>
          <w:lang w:val="x-none"/>
        </w:rPr>
        <w:t>follows two orders</w:t>
      </w:r>
      <w:r>
        <w:t xml:space="preserve"> adopted</w:t>
      </w:r>
      <w:r w:rsidRPr="009175F7">
        <w:rPr>
          <w:lang w:val="x-none"/>
        </w:rPr>
        <w:t xml:space="preserve"> in 2013 that granted forbearance from </w:t>
      </w:r>
      <w:r w:rsidRPr="002A57BF">
        <w:t xml:space="preserve">126 </w:t>
      </w:r>
      <w:r w:rsidRPr="009175F7">
        <w:rPr>
          <w:lang w:val="x-none"/>
        </w:rPr>
        <w:t>legacy wireline regulations</w:t>
      </w:r>
      <w:r>
        <w:t>,</w:t>
      </w:r>
      <w:r>
        <w:rPr>
          <w:rStyle w:val="FootnoteReference"/>
        </w:rPr>
        <w:footnoteReference w:id="2"/>
      </w:r>
      <w:r>
        <w:t xml:space="preserve"> </w:t>
      </w:r>
      <w:r w:rsidRPr="002A57BF">
        <w:t xml:space="preserve">and the </w:t>
      </w:r>
      <w:r w:rsidRPr="009175F7">
        <w:rPr>
          <w:i/>
        </w:rPr>
        <w:t>Process Reform Report,</w:t>
      </w:r>
      <w:r w:rsidRPr="002A57BF">
        <w:t xml:space="preserve"> </w:t>
      </w:r>
      <w:r w:rsidRPr="00C3045C">
        <w:t xml:space="preserve">a </w:t>
      </w:r>
      <w:r>
        <w:t>Commission st</w:t>
      </w:r>
      <w:r w:rsidRPr="00C3045C">
        <w:t xml:space="preserve">aff </w:t>
      </w:r>
      <w:r>
        <w:t>r</w:t>
      </w:r>
      <w:r w:rsidRPr="00C3045C">
        <w:t xml:space="preserve">eport </w:t>
      </w:r>
      <w:r>
        <w:t xml:space="preserve">that </w:t>
      </w:r>
      <w:r w:rsidRPr="002A57BF">
        <w:t>suggested</w:t>
      </w:r>
      <w:r w:rsidRPr="009175F7">
        <w:rPr>
          <w:i/>
        </w:rPr>
        <w:t xml:space="preserve"> </w:t>
      </w:r>
      <w:r w:rsidRPr="002A57BF">
        <w:t>eliminating or streamlining wireline rules that are unnecessary as a result of marketplace or technology changes</w:t>
      </w:r>
      <w:r>
        <w:t>.</w:t>
      </w:r>
      <w:r>
        <w:rPr>
          <w:rStyle w:val="FootnoteReference"/>
        </w:rPr>
        <w:footnoteReference w:id="3"/>
      </w:r>
    </w:p>
    <w:p w:rsidR="00312F84" w:rsidRDefault="00764C41" w:rsidP="005C3F6A">
      <w:pPr>
        <w:pStyle w:val="ParaNum"/>
        <w:widowControl/>
      </w:pPr>
      <w:r>
        <w:t>We propose to eliminate several rules from which the Commission has granted unconditional forbearance for all carriers.  These are</w:t>
      </w:r>
      <w:r w:rsidR="00E6179A">
        <w:t xml:space="preserve">: </w:t>
      </w:r>
      <w:r>
        <w:t xml:space="preserve"> (1) </w:t>
      </w:r>
      <w:r w:rsidRPr="002A57BF">
        <w:t>section 64.804(c)-(g)</w:t>
      </w:r>
      <w:r>
        <w:t>, which govern</w:t>
      </w:r>
      <w:r w:rsidR="00656C83">
        <w:t>s</w:t>
      </w:r>
      <w:r>
        <w:t xml:space="preserve"> </w:t>
      </w:r>
      <w:r w:rsidRPr="002A57BF">
        <w:t xml:space="preserve">a carrier’s recordkeeping and other obligations when it extends to federal candidates unsecured credit for </w:t>
      </w:r>
      <w:r>
        <w:t>c</w:t>
      </w:r>
      <w:r w:rsidRPr="002A57BF">
        <w:t>ommunications ser</w:t>
      </w:r>
      <w:r>
        <w:t>vice;</w:t>
      </w:r>
      <w:r>
        <w:rPr>
          <w:rStyle w:val="FootnoteReference"/>
        </w:rPr>
        <w:footnoteReference w:id="4"/>
      </w:r>
      <w:r>
        <w:t xml:space="preserve"> (2) sections 42.4, 42.5, and 42.7, which require </w:t>
      </w:r>
      <w:r w:rsidRPr="009175F7">
        <w:rPr>
          <w:color w:val="000000"/>
          <w:szCs w:val="22"/>
        </w:rPr>
        <w:t>carrier</w:t>
      </w:r>
      <w:r w:rsidRPr="00472AA0">
        <w:rPr>
          <w:color w:val="000000"/>
          <w:szCs w:val="22"/>
        </w:rPr>
        <w:t>s to preserve certain records</w:t>
      </w:r>
      <w:r>
        <w:rPr>
          <w:color w:val="000000"/>
          <w:szCs w:val="22"/>
        </w:rPr>
        <w:t>;</w:t>
      </w:r>
      <w:r>
        <w:rPr>
          <w:rStyle w:val="FootnoteReference"/>
          <w:szCs w:val="22"/>
        </w:rPr>
        <w:footnoteReference w:id="5"/>
      </w:r>
      <w:r>
        <w:rPr>
          <w:color w:val="000000"/>
          <w:szCs w:val="22"/>
        </w:rPr>
        <w:t xml:space="preserve"> (3)</w:t>
      </w:r>
      <w:r>
        <w:t xml:space="preserve"> section 64.301, which requires carriers to provide communications service to foreign </w:t>
      </w:r>
      <w:r>
        <w:lastRenderedPageBreak/>
        <w:t>governments for international communications;</w:t>
      </w:r>
      <w:r>
        <w:rPr>
          <w:rStyle w:val="FootnoteReference"/>
        </w:rPr>
        <w:footnoteReference w:id="6"/>
      </w:r>
      <w:r>
        <w:t xml:space="preserve"> (4) section 64.501</w:t>
      </w:r>
      <w:r w:rsidR="00E6179A">
        <w:t>,</w:t>
      </w:r>
      <w:r>
        <w:t xml:space="preserve"> governing telephone companies’ obligations when recording telephone conversations;</w:t>
      </w:r>
      <w:r>
        <w:rPr>
          <w:rStyle w:val="FootnoteReference"/>
        </w:rPr>
        <w:footnoteReference w:id="7"/>
      </w:r>
      <w:r>
        <w:t xml:space="preserve"> (5) section 64.5001</w:t>
      </w:r>
      <w:r w:rsidRPr="001E4262">
        <w:t>(a)</w:t>
      </w:r>
      <w:r>
        <w:t>-</w:t>
      </w:r>
      <w:r w:rsidRPr="001E4262">
        <w:t xml:space="preserve">(c)(2), </w:t>
      </w:r>
      <w:r>
        <w:t xml:space="preserve">and </w:t>
      </w:r>
      <w:r w:rsidRPr="001E4262">
        <w:t>(c)(4)</w:t>
      </w:r>
      <w:r>
        <w:t>, which impose</w:t>
      </w:r>
      <w:r w:rsidR="000C6F3A">
        <w:t>s</w:t>
      </w:r>
      <w:r>
        <w:t xml:space="preserve"> certain reporting and certification requirements for prepaid calling card providers;</w:t>
      </w:r>
      <w:r>
        <w:rPr>
          <w:rStyle w:val="FootnoteReference"/>
        </w:rPr>
        <w:footnoteReference w:id="8"/>
      </w:r>
      <w:r>
        <w:t xml:space="preserve"> and (6) s</w:t>
      </w:r>
      <w:r w:rsidRPr="00044275">
        <w:t>ection 64.1</w:t>
      </w:r>
      <w:r w:rsidR="00E6179A">
        <w:t>,</w:t>
      </w:r>
      <w:r w:rsidRPr="00044275">
        <w:t xml:space="preserve"> </w:t>
      </w:r>
      <w:r>
        <w:t xml:space="preserve">governing </w:t>
      </w:r>
      <w:r w:rsidRPr="00044275">
        <w:t xml:space="preserve">traffic damage claims </w:t>
      </w:r>
      <w:r>
        <w:t>for carriers engaged in radio-telegraph, wire-telegraph, or ocean-cable service.</w:t>
      </w:r>
      <w:r>
        <w:rPr>
          <w:rStyle w:val="FootnoteReference"/>
        </w:rPr>
        <w:footnoteReference w:id="9"/>
      </w:r>
    </w:p>
    <w:p w:rsidR="002B2A8A" w:rsidRDefault="00AC7F53" w:rsidP="002B2A8A">
      <w:pPr>
        <w:pStyle w:val="ParaNum"/>
        <w:widowControl/>
      </w:pPr>
      <w:r>
        <w:t xml:space="preserve">We also propose to remove </w:t>
      </w:r>
      <w:r w:rsidRPr="002A57BF">
        <w:t>references to “telegraph” fro</w:t>
      </w:r>
      <w:r>
        <w:t>m</w:t>
      </w:r>
      <w:r w:rsidRPr="00677593">
        <w:t xml:space="preserve"> </w:t>
      </w:r>
      <w:r>
        <w:t>certain sections of the Commission’s rules</w:t>
      </w:r>
      <w:r w:rsidRPr="002A57BF">
        <w:t>.</w:t>
      </w:r>
      <w:r>
        <w:t xml:space="preserve">  This proposal is consistent with Recommendation 5.38 of the </w:t>
      </w:r>
      <w:r w:rsidRPr="002B2A8A">
        <w:rPr>
          <w:i/>
        </w:rPr>
        <w:t>Process Reform Report.</w:t>
      </w:r>
      <w:r w:rsidRPr="002B2A8A">
        <w:rPr>
          <w:szCs w:val="22"/>
        </w:rPr>
        <w:t xml:space="preserve"> </w:t>
      </w:r>
      <w:r w:rsidR="00E6179A" w:rsidRPr="002B2A8A">
        <w:rPr>
          <w:szCs w:val="22"/>
        </w:rPr>
        <w:t xml:space="preserve"> </w:t>
      </w:r>
      <w:r w:rsidRPr="002B2A8A">
        <w:rPr>
          <w:szCs w:val="22"/>
        </w:rPr>
        <w:t>Specifically, we propose to remove “telegraph” from</w:t>
      </w:r>
      <w:r w:rsidR="00E6179A" w:rsidRPr="002B2A8A">
        <w:rPr>
          <w:szCs w:val="22"/>
        </w:rPr>
        <w:t>:  (1) </w:t>
      </w:r>
      <w:r w:rsidRPr="002B2A8A">
        <w:rPr>
          <w:szCs w:val="22"/>
        </w:rPr>
        <w:t xml:space="preserve">section </w:t>
      </w:r>
      <w:r w:rsidR="00E6179A">
        <w:t>36.126 (separations); (2) </w:t>
      </w:r>
      <w:r>
        <w:t>section 54.706(a)(13) (universal service contributions); and (3)</w:t>
      </w:r>
      <w:r w:rsidR="00E6179A">
        <w:t> </w:t>
      </w:r>
      <w:r>
        <w:t xml:space="preserve">sections </w:t>
      </w:r>
      <w:r w:rsidRPr="002778E5">
        <w:t xml:space="preserve">63.60(c), 63.61, </w:t>
      </w:r>
      <w:r>
        <w:t xml:space="preserve">63.62, </w:t>
      </w:r>
      <w:r w:rsidRPr="002B2A8A">
        <w:rPr>
          <w:szCs w:val="22"/>
        </w:rPr>
        <w:t xml:space="preserve">63.65(a)(4), </w:t>
      </w:r>
      <w:r>
        <w:t xml:space="preserve">63.500(g), 63.501(g), and </w:t>
      </w:r>
      <w:r w:rsidRPr="002778E5">
        <w:t>63.504(k)</w:t>
      </w:r>
      <w:r>
        <w:t xml:space="preserve"> (discontinuance).</w:t>
      </w:r>
      <w:r>
        <w:rPr>
          <w:rStyle w:val="FootnoteReference"/>
        </w:rPr>
        <w:footnoteReference w:id="10"/>
      </w:r>
      <w:r>
        <w:t xml:space="preserve">  </w:t>
      </w:r>
    </w:p>
    <w:p w:rsidR="00AC7F53" w:rsidRDefault="00AC7F53" w:rsidP="00941B5D">
      <w:pPr>
        <w:pStyle w:val="ParaNum"/>
      </w:pPr>
      <w:r w:rsidRPr="002A57BF">
        <w:t xml:space="preserve">We </w:t>
      </w:r>
      <w:r w:rsidR="00E077F0">
        <w:t xml:space="preserve">seek comment on </w:t>
      </w:r>
      <w:r w:rsidRPr="002A57BF">
        <w:t>the</w:t>
      </w:r>
      <w:r w:rsidR="00941B5D">
        <w:t>se</w:t>
      </w:r>
      <w:r w:rsidRPr="002A57BF">
        <w:t xml:space="preserve"> proposed modifications</w:t>
      </w:r>
      <w:r w:rsidR="000071A7">
        <w:t xml:space="preserve">.  </w:t>
      </w:r>
      <w:r w:rsidR="000071A7" w:rsidRPr="003B3734">
        <w:t xml:space="preserve">And for each of the </w:t>
      </w:r>
      <w:r w:rsidR="00B26B85" w:rsidRPr="003B3734">
        <w:t>rules</w:t>
      </w:r>
      <w:r w:rsidR="000071A7" w:rsidRPr="003B3734">
        <w:t xml:space="preserve"> addressed in this Notice, we seek comment on whether there are other steps the Commission should or must take, along with elimination of the</w:t>
      </w:r>
      <w:r w:rsidR="00B26B85" w:rsidRPr="003B3734">
        <w:t xml:space="preserve"> rule or the</w:t>
      </w:r>
      <w:r w:rsidR="000071A7" w:rsidRPr="003B3734">
        <w:t xml:space="preserve"> term “telegraph” from the C.F.R., in order to </w:t>
      </w:r>
      <w:r w:rsidR="00941B5D" w:rsidRPr="00941B5D">
        <w:t>ensure that any telegraph service provider is not subject to unnecessary regulatory obligations</w:t>
      </w:r>
      <w:r w:rsidR="000071A7" w:rsidRPr="003B3734">
        <w:t>.</w:t>
      </w:r>
      <w:r w:rsidR="00E077F0" w:rsidRPr="003B3734">
        <w:t xml:space="preserve">  </w:t>
      </w:r>
      <w:r w:rsidR="006A6C03">
        <w:t>With t</w:t>
      </w:r>
      <w:r w:rsidR="002B2A8A">
        <w:t>his Notice</w:t>
      </w:r>
      <w:r w:rsidR="006A6C03">
        <w:t>, we</w:t>
      </w:r>
      <w:r w:rsidR="002B2A8A">
        <w:t xml:space="preserve"> </w:t>
      </w:r>
      <w:r w:rsidRPr="002A57BF">
        <w:t>w</w:t>
      </w:r>
      <w:r w:rsidR="00B031DD">
        <w:t>ould</w:t>
      </w:r>
      <w:r w:rsidRPr="002A57BF">
        <w:t xml:space="preserve"> </w:t>
      </w:r>
      <w:r>
        <w:t xml:space="preserve">clarify regulatory </w:t>
      </w:r>
      <w:r w:rsidRPr="002A57BF">
        <w:t xml:space="preserve">requirements, </w:t>
      </w:r>
      <w:r>
        <w:t>and</w:t>
      </w:r>
      <w:r w:rsidRPr="002A57BF">
        <w:t xml:space="preserve"> modernize our rules to better reflect the state of the current telecommunications market</w:t>
      </w:r>
      <w:r>
        <w:t>.</w:t>
      </w:r>
    </w:p>
    <w:p w:rsidR="00AC7F53" w:rsidRDefault="00D96621" w:rsidP="004C365E">
      <w:pPr>
        <w:pStyle w:val="Heading1"/>
        <w:keepNext w:val="0"/>
        <w:widowControl/>
      </w:pPr>
      <w:r>
        <w:t>Discussion</w:t>
      </w:r>
    </w:p>
    <w:p w:rsidR="00D96621" w:rsidRDefault="008E7E67" w:rsidP="004C365E">
      <w:pPr>
        <w:pStyle w:val="Heading2"/>
      </w:pPr>
      <w:r>
        <w:t xml:space="preserve">Deleting </w:t>
      </w:r>
      <w:r w:rsidR="00D96621">
        <w:t xml:space="preserve">Rules </w:t>
      </w:r>
      <w:r>
        <w:t xml:space="preserve">From Which the </w:t>
      </w:r>
      <w:r w:rsidR="00D96621">
        <w:t xml:space="preserve">Commission Granted Forbearance in the </w:t>
      </w:r>
      <w:r w:rsidR="00D96621" w:rsidRPr="00074FA4">
        <w:rPr>
          <w:i/>
        </w:rPr>
        <w:t>USTelecom</w:t>
      </w:r>
      <w:r w:rsidR="00595E70">
        <w:rPr>
          <w:i/>
        </w:rPr>
        <w:t xml:space="preserve"> </w:t>
      </w:r>
      <w:r w:rsidR="00D96621" w:rsidRPr="007A0C21">
        <w:rPr>
          <w:i/>
        </w:rPr>
        <w:t>Orders</w:t>
      </w:r>
    </w:p>
    <w:p w:rsidR="00D96621" w:rsidRDefault="00D96621" w:rsidP="001C3738">
      <w:pPr>
        <w:pStyle w:val="ParaNum"/>
      </w:pPr>
      <w:r>
        <w:t>In 2012, USTelecom requested forbearance from an array of legacy regulations.</w:t>
      </w:r>
      <w:r>
        <w:rPr>
          <w:rStyle w:val="FootnoteReference"/>
        </w:rPr>
        <w:footnoteReference w:id="11"/>
      </w:r>
      <w:r>
        <w:t xml:space="preserve">  In 2013, the Commission granted forbearance from many, but not all, of those rules.</w:t>
      </w:r>
      <w:r>
        <w:rPr>
          <w:rStyle w:val="FootnoteReference"/>
        </w:rPr>
        <w:footnoteReference w:id="12"/>
      </w:r>
      <w:r>
        <w:t xml:space="preserve">  The rationale for those decisions is set forth in the </w:t>
      </w:r>
      <w:r w:rsidR="008676BC">
        <w:rPr>
          <w:i/>
        </w:rPr>
        <w:t>USTelecom Orders</w:t>
      </w:r>
      <w:r>
        <w:t>, and we are not seeking to reopen the decisions therein.  In many instances, the Commission granted unconditional forbearance from a requirement, but the forbearance order</w:t>
      </w:r>
      <w:r w:rsidR="00C04E88">
        <w:t>s</w:t>
      </w:r>
      <w:r>
        <w:t xml:space="preserve"> did not alter the text of the codified rule or remove the rule from the C.F.R.  Thus, the rules appear in the C.F.R. even though the Commission has stated that it will forbear from applying </w:t>
      </w:r>
      <w:r w:rsidR="008676BC">
        <w:t>such</w:t>
      </w:r>
      <w:r>
        <w:t xml:space="preserve"> rules.  Absent additional research, a carrier or a consumer might believe the regulation</w:t>
      </w:r>
      <w:r w:rsidR="008676BC">
        <w:t>s</w:t>
      </w:r>
      <w:r>
        <w:t xml:space="preserve"> to be in </w:t>
      </w:r>
      <w:r w:rsidR="002264C3">
        <w:t>force</w:t>
      </w:r>
      <w:r>
        <w:t xml:space="preserve">.  We </w:t>
      </w:r>
      <w:r w:rsidR="003C308F">
        <w:t xml:space="preserve">thus </w:t>
      </w:r>
      <w:r>
        <w:t>believe that deleting from the C.F.R. the rules</w:t>
      </w:r>
      <w:r w:rsidR="004D4E9C">
        <w:t xml:space="preserve"> identified below</w:t>
      </w:r>
      <w:r w:rsidR="008676BC">
        <w:t>,</w:t>
      </w:r>
      <w:r>
        <w:t xml:space="preserve"> for which the Commission granted unconditional forbearance</w:t>
      </w:r>
      <w:r w:rsidR="008676BC">
        <w:t>,</w:t>
      </w:r>
      <w:r>
        <w:t xml:space="preserve"> will clarify carriers’ regulatory obligations and make the C.F.R. more accurate</w:t>
      </w:r>
      <w:r w:rsidR="004D4E9C">
        <w:t>ly reflect the Commission’s intended approach as to those rules</w:t>
      </w:r>
      <w:r>
        <w:t xml:space="preserve">.  We therefore propose to eliminate from the C.F.R. </w:t>
      </w:r>
      <w:r w:rsidR="00A53A34">
        <w:t>the rules</w:t>
      </w:r>
      <w:r w:rsidR="00E034DD">
        <w:t xml:space="preserve"> listed below</w:t>
      </w:r>
      <w:r w:rsidR="00A53A34">
        <w:t xml:space="preserve"> </w:t>
      </w:r>
      <w:r>
        <w:t xml:space="preserve">from which the Commission forbore in the </w:t>
      </w:r>
      <w:r w:rsidRPr="00D96621">
        <w:rPr>
          <w:i/>
        </w:rPr>
        <w:t>USTelecom Orders</w:t>
      </w:r>
      <w:r w:rsidR="00225603">
        <w:t>.</w:t>
      </w:r>
    </w:p>
    <w:p w:rsidR="00D96621" w:rsidRDefault="00D96621" w:rsidP="005C3F6A">
      <w:pPr>
        <w:pStyle w:val="ParaNum"/>
        <w:widowControl/>
      </w:pPr>
      <w:r w:rsidRPr="00BE730E">
        <w:rPr>
          <w:i/>
        </w:rPr>
        <w:t>S</w:t>
      </w:r>
      <w:r w:rsidRPr="00BE730E">
        <w:rPr>
          <w:i/>
          <w:szCs w:val="22"/>
        </w:rPr>
        <w:t>ections 42.4, 42.5, and 42.7</w:t>
      </w:r>
      <w:r>
        <w:rPr>
          <w:szCs w:val="22"/>
        </w:rPr>
        <w:t xml:space="preserve">.  </w:t>
      </w:r>
      <w:r w:rsidRPr="00C927E3">
        <w:rPr>
          <w:szCs w:val="22"/>
        </w:rPr>
        <w:t>Section 42.4</w:t>
      </w:r>
      <w:r w:rsidRPr="00690C9F">
        <w:rPr>
          <w:szCs w:val="22"/>
        </w:rPr>
        <w:t xml:space="preserve"> requires each carrier to maintain </w:t>
      </w:r>
      <w:r w:rsidRPr="00D25FBD">
        <w:t>at its o</w:t>
      </w:r>
      <w:r>
        <w:t xml:space="preserve">perating company headquarters a physical copy of its </w:t>
      </w:r>
      <w:r w:rsidRPr="00D25FBD">
        <w:t>master index of records</w:t>
      </w:r>
      <w:r>
        <w:t>.</w:t>
      </w:r>
      <w:r>
        <w:rPr>
          <w:rStyle w:val="FootnoteReference"/>
        </w:rPr>
        <w:footnoteReference w:id="13"/>
      </w:r>
      <w:r>
        <w:t xml:space="preserve">  Section </w:t>
      </w:r>
      <w:r w:rsidRPr="00C927E3">
        <w:rPr>
          <w:szCs w:val="22"/>
        </w:rPr>
        <w:t xml:space="preserve">42.5 </w:t>
      </w:r>
      <w:r>
        <w:t xml:space="preserve">governs </w:t>
      </w:r>
      <w:r>
        <w:lastRenderedPageBreak/>
        <w:t>the preparation and preservation of the original records.</w:t>
      </w:r>
      <w:r>
        <w:rPr>
          <w:rStyle w:val="FootnoteReference"/>
        </w:rPr>
        <w:footnoteReference w:id="14"/>
      </w:r>
      <w:r>
        <w:t xml:space="preserve">  Section 42.7 governs how long a carrier must retain the master index of records </w:t>
      </w:r>
      <w:r w:rsidRPr="00D25FBD">
        <w:t>and when records must be added</w:t>
      </w:r>
      <w:r>
        <w:t>.</w:t>
      </w:r>
      <w:r>
        <w:rPr>
          <w:rStyle w:val="FootnoteReference"/>
        </w:rPr>
        <w:footnoteReference w:id="15"/>
      </w:r>
      <w:r>
        <w:t xml:space="preserve">  </w:t>
      </w:r>
    </w:p>
    <w:p w:rsidR="00E6179A" w:rsidRDefault="00E6179A" w:rsidP="005C3F6A">
      <w:pPr>
        <w:pStyle w:val="ParaNum"/>
        <w:widowControl/>
      </w:pPr>
      <w:r w:rsidRPr="00BE730E">
        <w:rPr>
          <w:i/>
        </w:rPr>
        <w:t>Section 64.1</w:t>
      </w:r>
      <w:r>
        <w:t xml:space="preserve">.  This section </w:t>
      </w:r>
      <w:r w:rsidRPr="002A57BF">
        <w:t xml:space="preserve">covers traffic damage claims </w:t>
      </w:r>
      <w:r>
        <w:t>for carriers engaged in radio-telegraph, wire-telegraph, or ocean-cable service.</w:t>
      </w:r>
      <w:r>
        <w:rPr>
          <w:rStyle w:val="FootnoteReference"/>
        </w:rPr>
        <w:footnoteReference w:id="16"/>
      </w:r>
    </w:p>
    <w:p w:rsidR="00D96621" w:rsidRDefault="00D96621" w:rsidP="004C365E">
      <w:pPr>
        <w:pStyle w:val="ParaNum"/>
        <w:widowControl/>
      </w:pPr>
      <w:r w:rsidRPr="00BE730E">
        <w:rPr>
          <w:i/>
        </w:rPr>
        <w:t>Section 64.301</w:t>
      </w:r>
      <w:r w:rsidR="00BE730E">
        <w:t>.  This section</w:t>
      </w:r>
      <w:r>
        <w:t xml:space="preserve"> r</w:t>
      </w:r>
      <w:r w:rsidRPr="00A52ABF">
        <w:t>equires that common carriers furnish communications services to a foreign government “upon reasonable demand” and deny communications services to a foreign government, upon order of the Commission, when such government “fails or refuses” to provide communications services to the U.S. government</w:t>
      </w:r>
      <w:r>
        <w:t>.</w:t>
      </w:r>
      <w:r>
        <w:rPr>
          <w:rStyle w:val="FootnoteReference"/>
        </w:rPr>
        <w:footnoteReference w:id="17"/>
      </w:r>
    </w:p>
    <w:p w:rsidR="00D96621" w:rsidRPr="00E6179A" w:rsidRDefault="00BE730E" w:rsidP="004C365E">
      <w:pPr>
        <w:pStyle w:val="ParaNum"/>
        <w:widowControl/>
      </w:pPr>
      <w:r w:rsidRPr="00BE730E">
        <w:rPr>
          <w:i/>
        </w:rPr>
        <w:t>Section 64.501</w:t>
      </w:r>
      <w:r>
        <w:t xml:space="preserve">. </w:t>
      </w:r>
      <w:r w:rsidR="002A5F93">
        <w:t xml:space="preserve"> S</w:t>
      </w:r>
      <w:r w:rsidR="002A5F93" w:rsidRPr="00E03CC9">
        <w:t>ection 64.501 is the present-day iteration of rules firs</w:t>
      </w:r>
      <w:r w:rsidR="002A5F93">
        <w:t>t promulgated in 1947 governing telephone companies’ obligations when recording telephone conversations</w:t>
      </w:r>
      <w:r w:rsidR="0068737C">
        <w:t xml:space="preserve"> and </w:t>
      </w:r>
      <w:r w:rsidR="00D96621">
        <w:t xml:space="preserve">precludes a telephone company from recording any telephone conversation with </w:t>
      </w:r>
      <w:r w:rsidR="00D96621" w:rsidRPr="001539A7">
        <w:rPr>
          <w:szCs w:val="22"/>
        </w:rPr>
        <w:t>members of the public unless the recording is preceded by “verbal or written consent of</w:t>
      </w:r>
      <w:r w:rsidR="00D96621" w:rsidRPr="00D96621">
        <w:rPr>
          <w:szCs w:val="22"/>
        </w:rPr>
        <w:t xml:space="preserve"> </w:t>
      </w:r>
      <w:r w:rsidR="00D96621" w:rsidRPr="001539A7">
        <w:rPr>
          <w:szCs w:val="22"/>
        </w:rPr>
        <w:t>all parties to the telephone conversation</w:t>
      </w:r>
      <w:r w:rsidR="00D96621">
        <w:rPr>
          <w:szCs w:val="22"/>
        </w:rPr>
        <w:t>,</w:t>
      </w:r>
      <w:r w:rsidR="00D96621" w:rsidRPr="001539A7">
        <w:rPr>
          <w:szCs w:val="22"/>
        </w:rPr>
        <w:t>”</w:t>
      </w:r>
      <w:r w:rsidR="00D96621">
        <w:rPr>
          <w:szCs w:val="22"/>
        </w:rPr>
        <w:t xml:space="preserve"> “preceded by verbal notification,” or “accompanied by an automatic tone warning device.”</w:t>
      </w:r>
      <w:r w:rsidR="00D96621">
        <w:rPr>
          <w:rStyle w:val="FootnoteReference"/>
          <w:szCs w:val="22"/>
        </w:rPr>
        <w:footnoteReference w:id="18"/>
      </w:r>
      <w:r w:rsidR="002A5F93">
        <w:rPr>
          <w:szCs w:val="22"/>
        </w:rPr>
        <w:t xml:space="preserve">  </w:t>
      </w:r>
      <w:r w:rsidR="002A5F93">
        <w:t>In</w:t>
      </w:r>
      <w:r w:rsidR="002A5F93" w:rsidRPr="00E03CC9">
        <w:t xml:space="preserve"> the </w:t>
      </w:r>
      <w:r w:rsidR="002A5F93" w:rsidRPr="001539A7">
        <w:rPr>
          <w:i/>
        </w:rPr>
        <w:t>USTelecom Forbearance Long Order</w:t>
      </w:r>
      <w:r w:rsidR="002A5F93" w:rsidRPr="00E03CC9">
        <w:t xml:space="preserve">, the Commission concluded that </w:t>
      </w:r>
      <w:r w:rsidR="002A5F93">
        <w:t xml:space="preserve">unconditional </w:t>
      </w:r>
      <w:r w:rsidR="002A5F93" w:rsidRPr="00E03CC9">
        <w:t xml:space="preserve">forbearance </w:t>
      </w:r>
      <w:r w:rsidR="002A5F93">
        <w:t xml:space="preserve">for all carriers </w:t>
      </w:r>
      <w:r w:rsidR="002A5F93" w:rsidRPr="00E03CC9">
        <w:t xml:space="preserve">was warranted </w:t>
      </w:r>
      <w:r w:rsidR="002A5F93">
        <w:t>stating that “</w:t>
      </w:r>
      <w:r w:rsidR="002A5F93" w:rsidRPr="00240B1C">
        <w:t>since we initiated the rule more than 60 years ago, the Federal Wiretap Act, as well as State laws, have addressed the same issue in a more comprehensive fashion.</w:t>
      </w:r>
      <w:r w:rsidR="002A5F93">
        <w:t>”</w:t>
      </w:r>
      <w:r w:rsidR="002A5F93">
        <w:rPr>
          <w:rStyle w:val="FootnoteReference"/>
        </w:rPr>
        <w:footnoteReference w:id="19"/>
      </w:r>
    </w:p>
    <w:p w:rsidR="00E6179A" w:rsidRPr="00D96621" w:rsidRDefault="00E6179A" w:rsidP="00B81CE8">
      <w:pPr>
        <w:pStyle w:val="ParaNum"/>
      </w:pPr>
      <w:r w:rsidRPr="00BE730E">
        <w:rPr>
          <w:rFonts w:eastAsia="Calibri"/>
          <w:i/>
          <w:szCs w:val="22"/>
        </w:rPr>
        <w:t>Sections 64.804(c)-(g)</w:t>
      </w:r>
      <w:r>
        <w:rPr>
          <w:rFonts w:eastAsia="Calibri"/>
          <w:szCs w:val="22"/>
        </w:rPr>
        <w:t>.</w:t>
      </w:r>
      <w:r>
        <w:rPr>
          <w:rStyle w:val="FootnoteReference"/>
          <w:rFonts w:eastAsia="Calibri"/>
          <w:szCs w:val="22"/>
        </w:rPr>
        <w:footnoteReference w:id="20"/>
      </w:r>
      <w:r>
        <w:rPr>
          <w:rFonts w:eastAsia="Calibri"/>
          <w:szCs w:val="22"/>
        </w:rPr>
        <w:t xml:space="preserve">  </w:t>
      </w:r>
      <w:r w:rsidRPr="002A57BF">
        <w:t>These provisions require carriers to (1)</w:t>
      </w:r>
      <w:r>
        <w:t> </w:t>
      </w:r>
      <w:r w:rsidRPr="002A57BF">
        <w:t>obtain a signed application from the candida</w:t>
      </w:r>
      <w:r>
        <w:t>te</w:t>
      </w:r>
      <w:r w:rsidR="00F908AD">
        <w:t xml:space="preserve"> </w:t>
      </w:r>
      <w:r w:rsidR="00B81CE8">
        <w:t xml:space="preserve">for Federal office </w:t>
      </w:r>
      <w:r w:rsidR="00B81CE8" w:rsidRPr="00B81CE8">
        <w:t xml:space="preserve">or </w:t>
      </w:r>
      <w:r w:rsidR="00B81CE8">
        <w:t xml:space="preserve">a </w:t>
      </w:r>
      <w:r w:rsidR="00B81CE8" w:rsidRPr="00B81CE8">
        <w:t>person on behalf of such candidate</w:t>
      </w:r>
      <w:r>
        <w:t xml:space="preserve"> before extending credit; (2) </w:t>
      </w:r>
      <w:r w:rsidRPr="002A57BF">
        <w:t>serve written notice to the</w:t>
      </w:r>
      <w:r>
        <w:t xml:space="preserve"> candidate for non-payment; (3) </w:t>
      </w:r>
      <w:r w:rsidRPr="002A57BF">
        <w:t xml:space="preserve">take appropriate action at law to </w:t>
      </w:r>
      <w:r>
        <w:t>collect any unpaid balance; (4) </w:t>
      </w:r>
      <w:r w:rsidRPr="002A57BF">
        <w:t xml:space="preserve">maintain </w:t>
      </w:r>
      <w:r w:rsidR="00F908AD">
        <w:t xml:space="preserve">certain associated </w:t>
      </w:r>
      <w:r w:rsidRPr="002A57BF">
        <w:t>records; and (5)</w:t>
      </w:r>
      <w:r>
        <w:t> </w:t>
      </w:r>
      <w:r w:rsidRPr="002A57BF">
        <w:t>carriers with revenues in excess of $1 million must file an annual report with the Commission</w:t>
      </w:r>
      <w:r>
        <w:t>.</w:t>
      </w:r>
      <w:r>
        <w:rPr>
          <w:rStyle w:val="FootnoteReference"/>
        </w:rPr>
        <w:footnoteReference w:id="21"/>
      </w:r>
    </w:p>
    <w:p w:rsidR="00D96621" w:rsidRDefault="00D80125" w:rsidP="004C365E">
      <w:pPr>
        <w:pStyle w:val="ParaNum"/>
        <w:widowControl/>
      </w:pPr>
      <w:r w:rsidRPr="00BE730E">
        <w:rPr>
          <w:i/>
        </w:rPr>
        <w:t>Sections 64.5001(a)-(c)(2), and (c)(4)</w:t>
      </w:r>
      <w:r>
        <w:t>.</w:t>
      </w:r>
      <w:r>
        <w:rPr>
          <w:rStyle w:val="FootnoteReference"/>
        </w:rPr>
        <w:footnoteReference w:id="22"/>
      </w:r>
      <w:r>
        <w:t xml:space="preserve">  Section 64.5001 establishes reporting and certification requirements for prepaid calling card providers.</w:t>
      </w:r>
      <w:r>
        <w:rPr>
          <w:rStyle w:val="FootnoteReference"/>
        </w:rPr>
        <w:footnoteReference w:id="23"/>
      </w:r>
      <w:r>
        <w:t xml:space="preserve">  </w:t>
      </w:r>
      <w:r w:rsidRPr="00A0584C">
        <w:t>Sections 64.5001(a) and (b) require prepaid calling card providers to report to their transport providers specific information, including percentage of interstate usage (PIU) factors and call volumes for which these factors were calculated</w:t>
      </w:r>
      <w:r>
        <w:t>.</w:t>
      </w:r>
      <w:r>
        <w:rPr>
          <w:rStyle w:val="FootnoteReference"/>
        </w:rPr>
        <w:footnoteReference w:id="24"/>
      </w:r>
      <w:r>
        <w:t xml:space="preserve">  </w:t>
      </w:r>
      <w:r w:rsidRPr="00A0584C">
        <w:t>Section 64.5001(c) re</w:t>
      </w:r>
      <w:r>
        <w:t xml:space="preserve">quires the </w:t>
      </w:r>
      <w:r w:rsidRPr="00A0584C">
        <w:t xml:space="preserve">prepaid calling card provider </w:t>
      </w:r>
      <w:r>
        <w:t>to submit a</w:t>
      </w:r>
      <w:r w:rsidRPr="00A0584C">
        <w:t xml:space="preserve"> quarterly certification </w:t>
      </w:r>
      <w:r>
        <w:t>statement signed by an officer of the company to the Commission with the following information</w:t>
      </w:r>
      <w:r w:rsidRPr="00A0584C">
        <w:t>:  (1) the percentage of intrastate, interstate, and international calling card minutes for the reporting period; (2) the percentage of total prepaid calling card revenue attributable to interstate and international calls for the reporting period; (3) </w:t>
      </w:r>
      <w:r>
        <w:t xml:space="preserve">it </w:t>
      </w:r>
      <w:r w:rsidRPr="00A0584C">
        <w:t>is making the required Universal Service Fund contribution</w:t>
      </w:r>
      <w:r>
        <w:t xml:space="preserve"> based on the reported information</w:t>
      </w:r>
      <w:r w:rsidRPr="00A0584C">
        <w:t xml:space="preserve">; </w:t>
      </w:r>
      <w:r>
        <w:t xml:space="preserve">and </w:t>
      </w:r>
      <w:r w:rsidRPr="00A0584C">
        <w:t>(4) </w:t>
      </w:r>
      <w:r>
        <w:t>has complied with the reporting requirements in 64.5001(a).</w:t>
      </w:r>
      <w:r>
        <w:rPr>
          <w:rStyle w:val="FootnoteReference"/>
        </w:rPr>
        <w:footnoteReference w:id="25"/>
      </w:r>
    </w:p>
    <w:p w:rsidR="00D80125" w:rsidRDefault="00D80125" w:rsidP="004C365E">
      <w:pPr>
        <w:pStyle w:val="Heading2"/>
      </w:pPr>
      <w:r>
        <w:t>Delet</w:t>
      </w:r>
      <w:r w:rsidR="008E7E67">
        <w:t>ing</w:t>
      </w:r>
      <w:r>
        <w:t xml:space="preserve"> </w:t>
      </w:r>
      <w:r w:rsidRPr="00C84FD5">
        <w:t>Other Rules Relating to Telegraph Service</w:t>
      </w:r>
    </w:p>
    <w:p w:rsidR="00D80125" w:rsidRDefault="00D80125" w:rsidP="00380153">
      <w:pPr>
        <w:pStyle w:val="ParaNum"/>
        <w:widowControl/>
      </w:pPr>
      <w:r>
        <w:t>In t</w:t>
      </w:r>
      <w:r w:rsidRPr="002A57BF">
        <w:t xml:space="preserve">he </w:t>
      </w:r>
      <w:r w:rsidRPr="00380153">
        <w:rPr>
          <w:i/>
        </w:rPr>
        <w:t xml:space="preserve">Process Reform Report, </w:t>
      </w:r>
      <w:r>
        <w:t>Commission staff</w:t>
      </w:r>
      <w:r w:rsidRPr="002A57BF">
        <w:t xml:space="preserve"> suggested deleting</w:t>
      </w:r>
      <w:r w:rsidRPr="00380153">
        <w:rPr>
          <w:rFonts w:eastAsia="MS Mincho"/>
        </w:rPr>
        <w:t xml:space="preserve"> references to telegraph service </w:t>
      </w:r>
      <w:r w:rsidRPr="00850246">
        <w:t>from</w:t>
      </w:r>
      <w:r w:rsidRPr="00380153">
        <w:rPr>
          <w:rFonts w:eastAsia="MS Mincho"/>
        </w:rPr>
        <w:t xml:space="preserve"> several wireline rules.</w:t>
      </w:r>
      <w:r>
        <w:rPr>
          <w:rStyle w:val="FootnoteReference"/>
          <w:rFonts w:eastAsia="MS Mincho"/>
          <w:szCs w:val="22"/>
        </w:rPr>
        <w:footnoteReference w:id="26"/>
      </w:r>
      <w:r w:rsidRPr="00380153">
        <w:rPr>
          <w:rFonts w:eastAsia="MS Mincho"/>
        </w:rPr>
        <w:t xml:space="preserve">  </w:t>
      </w:r>
      <w:r w:rsidRPr="00351C3B">
        <w:t xml:space="preserve">The </w:t>
      </w:r>
      <w:r w:rsidRPr="00380153">
        <w:rPr>
          <w:i/>
          <w:lang w:eastAsia="x-none"/>
        </w:rPr>
        <w:t xml:space="preserve">Process Reform </w:t>
      </w:r>
      <w:r w:rsidRPr="00380153">
        <w:rPr>
          <w:i/>
        </w:rPr>
        <w:t xml:space="preserve">Report </w:t>
      </w:r>
      <w:r w:rsidRPr="00351C3B">
        <w:t>recommended that the Wireline Competition Bureau</w:t>
      </w:r>
      <w:r>
        <w:t xml:space="preserve"> delete section 64.1 and delete the word  “telegraph” from the Commission’s separations, universal service contributions, and discontinuance rules.</w:t>
      </w:r>
      <w:r>
        <w:rPr>
          <w:rStyle w:val="FootnoteReference"/>
        </w:rPr>
        <w:footnoteReference w:id="27"/>
      </w:r>
      <w:r>
        <w:t xml:space="preserve">  </w:t>
      </w:r>
      <w:r w:rsidRPr="00351C3B">
        <w:t>We agree that the references to telegraph appear out of date, and propose to delete the word “telegraph” from the rules</w:t>
      </w:r>
      <w:r>
        <w:t xml:space="preserve">, as proposed in </w:t>
      </w:r>
      <w:r w:rsidR="001521E7">
        <w:t xml:space="preserve">the </w:t>
      </w:r>
      <w:r>
        <w:t>Appendix, below.</w:t>
      </w:r>
      <w:r>
        <w:rPr>
          <w:rStyle w:val="FootnoteReference"/>
          <w:szCs w:val="22"/>
        </w:rPr>
        <w:footnoteReference w:id="28"/>
      </w:r>
      <w:r>
        <w:t xml:space="preserve">  We seek comment on this proposal.</w:t>
      </w:r>
      <w:r w:rsidR="00380153">
        <w:t xml:space="preserve">  </w:t>
      </w:r>
    </w:p>
    <w:p w:rsidR="00D80125" w:rsidRDefault="00D80125" w:rsidP="005C3F6A">
      <w:pPr>
        <w:pStyle w:val="ParaNum"/>
        <w:widowControl/>
      </w:pPr>
      <w:r w:rsidRPr="009E2EDB">
        <w:t>In</w:t>
      </w:r>
      <w:r w:rsidRPr="000C6761">
        <w:rPr>
          <w:szCs w:val="22"/>
        </w:rPr>
        <w:t xml:space="preserve"> light of the evolution </w:t>
      </w:r>
      <w:r w:rsidR="008E7E67">
        <w:rPr>
          <w:szCs w:val="22"/>
        </w:rPr>
        <w:t>of</w:t>
      </w:r>
      <w:r w:rsidRPr="000C6761">
        <w:rPr>
          <w:szCs w:val="22"/>
        </w:rPr>
        <w:t xml:space="preserve"> technology</w:t>
      </w:r>
      <w:r w:rsidR="008E7E67">
        <w:rPr>
          <w:szCs w:val="22"/>
        </w:rPr>
        <w:t xml:space="preserve"> away from the use of telegraphs</w:t>
      </w:r>
      <w:r w:rsidRPr="000C6761">
        <w:rPr>
          <w:szCs w:val="22"/>
        </w:rPr>
        <w:t xml:space="preserve">, </w:t>
      </w:r>
      <w:r>
        <w:rPr>
          <w:szCs w:val="22"/>
        </w:rPr>
        <w:t xml:space="preserve">we believe that the references to telegraph service in the following rules are no longer necessary, and should be deleted.  Continuing to include telegraph service in these rules appears unnecessary, and potentially confusing.  </w:t>
      </w:r>
      <w:r w:rsidRPr="00FE2AF2">
        <w:rPr>
          <w:rFonts w:eastAsia="Calibri"/>
          <w:szCs w:val="24"/>
        </w:rPr>
        <w:t xml:space="preserve">We seek comment on </w:t>
      </w:r>
      <w:r w:rsidRPr="002A57BF">
        <w:t>whether there are any providers offering telegraph service today</w:t>
      </w:r>
      <w:r>
        <w:t xml:space="preserve"> at all, and if so, whether such service offerings warrant retaining the term “telegraph” in the rules identified below</w:t>
      </w:r>
      <w:r w:rsidRPr="002A57BF">
        <w:t xml:space="preserve">. </w:t>
      </w:r>
      <w:r>
        <w:t xml:space="preserve"> </w:t>
      </w:r>
      <w:r w:rsidRPr="002A57BF">
        <w:t>W</w:t>
      </w:r>
      <w:r>
        <w:t xml:space="preserve">ould there be any practical impact </w:t>
      </w:r>
      <w:r w:rsidRPr="002A57BF">
        <w:t xml:space="preserve">if the Commission were to delete “telegraph” from </w:t>
      </w:r>
      <w:r>
        <w:t>these</w:t>
      </w:r>
      <w:r w:rsidRPr="002A57BF">
        <w:t xml:space="preserve"> rules?</w:t>
      </w:r>
      <w:r w:rsidR="00597A8A" w:rsidRPr="00B94934">
        <w:t xml:space="preserve"> </w:t>
      </w:r>
    </w:p>
    <w:p w:rsidR="00D80125" w:rsidRDefault="002F213A" w:rsidP="006A113D">
      <w:pPr>
        <w:pStyle w:val="ParaNum"/>
      </w:pPr>
      <w:r w:rsidRPr="00351C3B">
        <w:rPr>
          <w:rFonts w:eastAsia="Calibri"/>
          <w:i/>
        </w:rPr>
        <w:t>Section 36.126 of the Separations Rules</w:t>
      </w:r>
      <w:r>
        <w:rPr>
          <w:rFonts w:eastAsia="Calibri"/>
        </w:rPr>
        <w:t xml:space="preserve">.  </w:t>
      </w:r>
      <w:r w:rsidRPr="00BE4DDC">
        <w:t>Jurisdictional separations is the process by</w:t>
      </w:r>
      <w:r>
        <w:t xml:space="preserve"> </w:t>
      </w:r>
      <w:r w:rsidRPr="00BE4DDC">
        <w:t xml:space="preserve">which incumbent </w:t>
      </w:r>
      <w:r w:rsidR="00C21D32">
        <w:t>local exchange carriers (</w:t>
      </w:r>
      <w:r w:rsidRPr="00BE4DDC">
        <w:t>LECs</w:t>
      </w:r>
      <w:r w:rsidR="00C21D32">
        <w:t>)</w:t>
      </w:r>
      <w:r w:rsidRPr="00BE4DDC">
        <w:t xml:space="preserve"> apportion regulated costs between intrastate and interstate jurisdictions</w:t>
      </w:r>
      <w:r>
        <w:t>.</w:t>
      </w:r>
      <w:r>
        <w:rPr>
          <w:rStyle w:val="FootnoteReference"/>
        </w:rPr>
        <w:footnoteReference w:id="29"/>
      </w:r>
      <w:r>
        <w:t xml:space="preserve">  </w:t>
      </w:r>
      <w:r w:rsidRPr="002A57BF">
        <w:t xml:space="preserve">As part of this process, section 36.126 identifies </w:t>
      </w:r>
      <w:r w:rsidRPr="00913189">
        <w:rPr>
          <w:szCs w:val="22"/>
        </w:rPr>
        <w:t>equipment</w:t>
      </w:r>
      <w:r w:rsidRPr="002A57BF">
        <w:t xml:space="preserve"> that is considered “Circuit equipment—Category 4</w:t>
      </w:r>
      <w:r>
        <w:t>.”</w:t>
      </w:r>
      <w:r>
        <w:rPr>
          <w:rStyle w:val="FootnoteReference"/>
        </w:rPr>
        <w:footnoteReference w:id="30"/>
      </w:r>
      <w:r>
        <w:t xml:space="preserve">  </w:t>
      </w:r>
      <w:r w:rsidRPr="002A57BF">
        <w:t xml:space="preserve">Section 36.126 </w:t>
      </w:r>
      <w:r>
        <w:t xml:space="preserve">lists </w:t>
      </w:r>
      <w:r w:rsidRPr="002A57BF">
        <w:t>“telegraph,” “telegraph system terminals,” “telegraph carrier terminals,” “telegraph private line serv</w:t>
      </w:r>
      <w:r>
        <w:t>ices,” and “telegraph repeaters</w:t>
      </w:r>
      <w:r w:rsidRPr="002A57BF">
        <w:t>”</w:t>
      </w:r>
      <w:r>
        <w:t xml:space="preserve"> as examples of such equipment.</w:t>
      </w:r>
      <w:r>
        <w:rPr>
          <w:rStyle w:val="FootnoteReference"/>
        </w:rPr>
        <w:footnoteReference w:id="31"/>
      </w:r>
      <w:r>
        <w:t xml:space="preserve">  </w:t>
      </w:r>
      <w:r w:rsidRPr="002A57BF">
        <w:t>We propose to delete the</w:t>
      </w:r>
      <w:r>
        <w:t>se</w:t>
      </w:r>
      <w:r w:rsidRPr="002A57BF">
        <w:t xml:space="preserve"> </w:t>
      </w:r>
      <w:r>
        <w:t xml:space="preserve">terms throughout section </w:t>
      </w:r>
      <w:r w:rsidRPr="002A57BF">
        <w:t>36.126</w:t>
      </w:r>
      <w:r w:rsidR="00541EB0">
        <w:t xml:space="preserve">. </w:t>
      </w:r>
      <w:r w:rsidR="006A113D">
        <w:t xml:space="preserve"> </w:t>
      </w:r>
      <w:r w:rsidR="006A411A">
        <w:t xml:space="preserve">Would deletion have any practical impact?  </w:t>
      </w:r>
      <w:r w:rsidR="00891238" w:rsidRPr="00D94448">
        <w:t xml:space="preserve">As noted in the </w:t>
      </w:r>
      <w:r w:rsidR="00891238" w:rsidRPr="009B0BEE">
        <w:rPr>
          <w:i/>
        </w:rPr>
        <w:t>Process Reform Report</w:t>
      </w:r>
      <w:r w:rsidR="00891238" w:rsidRPr="00D94448">
        <w:t>, we anticipate sharing th</w:t>
      </w:r>
      <w:r w:rsidR="00891238">
        <w:t xml:space="preserve">is Notice </w:t>
      </w:r>
      <w:r w:rsidR="00891238" w:rsidRPr="00D94448">
        <w:t>with the</w:t>
      </w:r>
      <w:r w:rsidR="00386BFC">
        <w:t xml:space="preserve"> Federal-State</w:t>
      </w:r>
      <w:r w:rsidR="00891238" w:rsidRPr="00D94448">
        <w:t xml:space="preserve"> Joint Board on Separations.</w:t>
      </w:r>
      <w:r w:rsidR="00891238">
        <w:rPr>
          <w:rStyle w:val="FootnoteReference"/>
        </w:rPr>
        <w:footnoteReference w:id="32"/>
      </w:r>
      <w:r w:rsidR="00891238">
        <w:t xml:space="preserve"> </w:t>
      </w:r>
      <w:r w:rsidR="00891238" w:rsidRPr="00D94448">
        <w:t xml:space="preserve"> </w:t>
      </w:r>
    </w:p>
    <w:p w:rsidR="002F213A" w:rsidRPr="00E1187C" w:rsidRDefault="002F213A" w:rsidP="0078183A">
      <w:pPr>
        <w:pStyle w:val="ParaNum"/>
        <w:widowControl/>
      </w:pPr>
      <w:r w:rsidRPr="0078183A">
        <w:rPr>
          <w:rFonts w:eastAsia="Calibri"/>
          <w:i/>
        </w:rPr>
        <w:t>Section 54.706(a)(13) of the Universal Service Rules</w:t>
      </w:r>
      <w:r w:rsidRPr="0078183A">
        <w:rPr>
          <w:rFonts w:eastAsia="Calibri"/>
        </w:rPr>
        <w:t xml:space="preserve">.  </w:t>
      </w:r>
      <w:r>
        <w:t>Section 54.706(a)</w:t>
      </w:r>
      <w:r w:rsidRPr="002A57BF">
        <w:t xml:space="preserve"> requir</w:t>
      </w:r>
      <w:r>
        <w:t>es providers of interstate telecommunications</w:t>
      </w:r>
      <w:r w:rsidRPr="002A57BF">
        <w:t xml:space="preserve"> services to contribute to the universal service fund if they provide more than a </w:t>
      </w:r>
      <w:r w:rsidRPr="0078183A">
        <w:rPr>
          <w:i/>
        </w:rPr>
        <w:t>de minimis</w:t>
      </w:r>
      <w:r w:rsidRPr="002A57BF">
        <w:t xml:space="preserve"> amount of such service</w:t>
      </w:r>
      <w:r>
        <w:t>, and subparagraph (a)(13)</w:t>
      </w:r>
      <w:r w:rsidRPr="0078183A">
        <w:rPr>
          <w:rFonts w:eastAsia="Calibri"/>
          <w:szCs w:val="24"/>
        </w:rPr>
        <w:t xml:space="preserve"> lists telegraph as an</w:t>
      </w:r>
      <w:r w:rsidR="0078183A">
        <w:rPr>
          <w:rFonts w:eastAsia="Calibri"/>
          <w:szCs w:val="24"/>
        </w:rPr>
        <w:t xml:space="preserve"> illustrative</w:t>
      </w:r>
      <w:r w:rsidRPr="0078183A">
        <w:rPr>
          <w:rFonts w:eastAsia="Calibri"/>
          <w:szCs w:val="24"/>
        </w:rPr>
        <w:t xml:space="preserve"> example of interstate telecommunications</w:t>
      </w:r>
      <w:r w:rsidR="00E1187C" w:rsidRPr="0078183A">
        <w:rPr>
          <w:rFonts w:eastAsia="Calibri"/>
          <w:szCs w:val="24"/>
        </w:rPr>
        <w:t>.</w:t>
      </w:r>
      <w:r w:rsidR="00E1187C">
        <w:rPr>
          <w:rStyle w:val="FootnoteReference"/>
          <w:rFonts w:eastAsia="Calibri"/>
          <w:szCs w:val="24"/>
        </w:rPr>
        <w:footnoteReference w:id="33"/>
      </w:r>
      <w:r w:rsidR="00E1187C" w:rsidRPr="0078183A">
        <w:rPr>
          <w:rFonts w:eastAsia="Calibri"/>
          <w:szCs w:val="24"/>
        </w:rPr>
        <w:t xml:space="preserve">  We propose to delete the term “telegraph” from section 54.706(a)(13)</w:t>
      </w:r>
      <w:r w:rsidR="00C03FD5" w:rsidRPr="0078183A">
        <w:rPr>
          <w:rFonts w:eastAsia="Calibri"/>
          <w:szCs w:val="24"/>
        </w:rPr>
        <w:t>, and seek comment on this proposal</w:t>
      </w:r>
      <w:r w:rsidR="00E1187C" w:rsidRPr="0078183A">
        <w:rPr>
          <w:rFonts w:eastAsia="Calibri"/>
          <w:szCs w:val="24"/>
        </w:rPr>
        <w:t xml:space="preserve">.  </w:t>
      </w:r>
      <w:r w:rsidR="0078183A" w:rsidRPr="0078183A">
        <w:rPr>
          <w:rFonts w:eastAsia="Calibri"/>
          <w:szCs w:val="24"/>
        </w:rPr>
        <w:t>No entities filing FCC Form 499 indicate that they are providing telegraph service, and we are not aware of any interstate telegraph providers today.</w:t>
      </w:r>
      <w:r w:rsidR="0029675C">
        <w:rPr>
          <w:rStyle w:val="FootnoteReference"/>
          <w:rFonts w:eastAsia="Calibri"/>
          <w:szCs w:val="24"/>
        </w:rPr>
        <w:footnoteReference w:id="34"/>
      </w:r>
      <w:r w:rsidR="0029675C">
        <w:rPr>
          <w:rFonts w:eastAsia="Calibri"/>
          <w:szCs w:val="24"/>
        </w:rPr>
        <w:t xml:space="preserve">  </w:t>
      </w:r>
      <w:r w:rsidR="0078183A" w:rsidRPr="0078183A">
        <w:rPr>
          <w:rFonts w:eastAsia="Calibri"/>
          <w:szCs w:val="24"/>
        </w:rPr>
        <w:t xml:space="preserve">If telegraph providers with more than a </w:t>
      </w:r>
      <w:r w:rsidR="0078183A" w:rsidRPr="00B031DD">
        <w:rPr>
          <w:rFonts w:eastAsia="Calibri"/>
          <w:i/>
          <w:szCs w:val="24"/>
        </w:rPr>
        <w:t>de minimis</w:t>
      </w:r>
      <w:r w:rsidR="0078183A" w:rsidRPr="0078183A">
        <w:rPr>
          <w:rFonts w:eastAsia="Calibri"/>
          <w:szCs w:val="24"/>
        </w:rPr>
        <w:t xml:space="preserve"> amount of service existed, they still would be required to contribute to the universal service fund, but this proposed rule change would update the rule to be in line with today’s marketplace.  </w:t>
      </w:r>
    </w:p>
    <w:p w:rsidR="00E1187C" w:rsidRPr="00E1187C" w:rsidRDefault="00E1187C" w:rsidP="0015231C">
      <w:pPr>
        <w:pStyle w:val="ParaNum"/>
        <w:widowControl/>
      </w:pPr>
      <w:r w:rsidRPr="00351C3B">
        <w:rPr>
          <w:rFonts w:eastAsia="Calibri"/>
          <w:i/>
        </w:rPr>
        <w:t>Portions of Part 63 of the Discontinuance, Reduction, Outage and Impairment Rules</w:t>
      </w:r>
      <w:r>
        <w:rPr>
          <w:rFonts w:eastAsia="Calibri"/>
        </w:rPr>
        <w:t>.</w:t>
      </w:r>
      <w:r w:rsidRPr="002A57BF">
        <w:t xml:space="preserve"> Section 214(a) of the </w:t>
      </w:r>
      <w:r w:rsidR="00114986">
        <w:t xml:space="preserve">Communications </w:t>
      </w:r>
      <w:r w:rsidRPr="002A57BF">
        <w:t>Act</w:t>
      </w:r>
      <w:r w:rsidR="00114986">
        <w:t xml:space="preserve"> of 1934, as amended</w:t>
      </w:r>
      <w:r w:rsidR="00793297">
        <w:t xml:space="preserve"> </w:t>
      </w:r>
      <w:r w:rsidRPr="002A57BF">
        <w:t>states in part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w:t>
      </w:r>
      <w:r>
        <w:t>.”</w:t>
      </w:r>
      <w:r>
        <w:rPr>
          <w:rStyle w:val="FootnoteReference"/>
          <w:szCs w:val="24"/>
        </w:rPr>
        <w:footnoteReference w:id="35"/>
      </w:r>
      <w:r>
        <w:t xml:space="preserve">  Today, c</w:t>
      </w:r>
      <w:r w:rsidRPr="002A57BF">
        <w:t xml:space="preserve">arriers providing telegraph service </w:t>
      </w:r>
      <w:r>
        <w:t>must</w:t>
      </w:r>
      <w:r w:rsidRPr="002A57BF">
        <w:t xml:space="preserve"> </w:t>
      </w:r>
      <w:r>
        <w:t xml:space="preserve">comply with </w:t>
      </w:r>
      <w:r w:rsidRPr="002A57BF">
        <w:t xml:space="preserve">the Commission’s </w:t>
      </w:r>
      <w:r>
        <w:t xml:space="preserve">Part 63 </w:t>
      </w:r>
      <w:r w:rsidRPr="002A57BF">
        <w:t>rules</w:t>
      </w:r>
      <w:r>
        <w:t>, which were adopted pursuant to section 214(a).  W</w:t>
      </w:r>
      <w:r w:rsidRPr="002A57BF">
        <w:t>e propose to delete references</w:t>
      </w:r>
      <w:r>
        <w:t xml:space="preserve"> to “telegraph” as proposed in </w:t>
      </w:r>
      <w:r w:rsidR="001521E7">
        <w:t xml:space="preserve">the </w:t>
      </w:r>
      <w:r>
        <w:t>Appendix below</w:t>
      </w:r>
      <w:r w:rsidR="00541EB0">
        <w:t>.</w:t>
      </w:r>
      <w:r>
        <w:rPr>
          <w:rStyle w:val="FootnoteReference"/>
          <w:szCs w:val="24"/>
        </w:rPr>
        <w:footnoteReference w:id="36"/>
      </w:r>
      <w:r w:rsidR="00C03FD5">
        <w:t xml:space="preserve"> </w:t>
      </w:r>
      <w:r w:rsidR="00541EB0">
        <w:t xml:space="preserve"> </w:t>
      </w:r>
      <w:r w:rsidR="00BE1F27">
        <w:t>T</w:t>
      </w:r>
      <w:r w:rsidR="00BE1F27" w:rsidRPr="006A6C03">
        <w:t xml:space="preserve">o the extent that any entities are still providing telegraph service, </w:t>
      </w:r>
      <w:r w:rsidR="00BE1F27">
        <w:t>we</w:t>
      </w:r>
      <w:r w:rsidR="00BE1F27" w:rsidRPr="006A6C03">
        <w:t xml:space="preserve"> intend to exempt telegraph service from all exit regulation </w:t>
      </w:r>
      <w:r w:rsidR="00BE1F27">
        <w:t xml:space="preserve">by exercising our forbearance authority </w:t>
      </w:r>
      <w:r w:rsidR="00BE1F27" w:rsidRPr="006A6C03">
        <w:t xml:space="preserve">and </w:t>
      </w:r>
      <w:r w:rsidR="00BE1F27">
        <w:t xml:space="preserve">we </w:t>
      </w:r>
      <w:r w:rsidR="00BE1F27" w:rsidRPr="006A6C03">
        <w:t xml:space="preserve">seek comment on whether </w:t>
      </w:r>
      <w:r w:rsidR="00BE1F27">
        <w:t>we</w:t>
      </w:r>
      <w:r w:rsidR="00BE1F27" w:rsidRPr="006A6C03">
        <w:t xml:space="preserve"> should do so</w:t>
      </w:r>
      <w:r w:rsidR="00BE1F27">
        <w:rPr>
          <w:rFonts w:eastAsia="Calibri"/>
        </w:rPr>
        <w:t>.</w:t>
      </w:r>
      <w:r w:rsidR="00286ABF">
        <w:rPr>
          <w:rStyle w:val="FootnoteReference"/>
          <w:rFonts w:eastAsia="Calibri"/>
        </w:rPr>
        <w:footnoteReference w:id="37"/>
      </w:r>
      <w:r w:rsidR="00BE1F27">
        <w:rPr>
          <w:rFonts w:eastAsia="Calibri"/>
        </w:rPr>
        <w:t xml:space="preserve">  </w:t>
      </w:r>
      <w:r w:rsidR="00541EB0">
        <w:rPr>
          <w:rFonts w:eastAsia="Calibri"/>
        </w:rPr>
        <w:t>W</w:t>
      </w:r>
      <w:r w:rsidR="00C03FD5">
        <w:t>e seek comment on this proposal.</w:t>
      </w:r>
    </w:p>
    <w:p w:rsidR="00E1187C" w:rsidRDefault="00E1187C" w:rsidP="004C365E">
      <w:pPr>
        <w:pStyle w:val="Heading1"/>
        <w:keepNext w:val="0"/>
        <w:widowControl/>
      </w:pPr>
      <w:bookmarkStart w:id="1" w:name="_Toc365278225"/>
      <w:bookmarkStart w:id="2" w:name="_Toc365646713"/>
      <w:bookmarkStart w:id="3" w:name="_Toc366834145"/>
      <w:bookmarkStart w:id="4" w:name="_Toc366834173"/>
      <w:bookmarkStart w:id="5" w:name="_Toc366877969"/>
      <w:bookmarkStart w:id="6" w:name="_Toc367190241"/>
      <w:bookmarkStart w:id="7" w:name="_Toc370408117"/>
      <w:bookmarkStart w:id="8" w:name="_Toc370739918"/>
      <w:bookmarkStart w:id="9" w:name="_Toc370927377"/>
      <w:bookmarkStart w:id="10" w:name="_Toc371003716"/>
      <w:bookmarkStart w:id="11" w:name="_Toc385330878"/>
      <w:bookmarkStart w:id="12" w:name="_Toc385500430"/>
      <w:bookmarkStart w:id="13" w:name="_Toc386089554"/>
      <w:bookmarkStart w:id="14" w:name="_Toc386094655"/>
      <w:bookmarkStart w:id="15" w:name="_Toc387908062"/>
      <w:bookmarkStart w:id="16" w:name="_Toc387910979"/>
      <w:r>
        <w:t>Procedural Matters</w:t>
      </w:r>
    </w:p>
    <w:p w:rsidR="00E1187C" w:rsidRPr="002A57BF" w:rsidRDefault="00E1187C" w:rsidP="004C365E">
      <w:pPr>
        <w:pStyle w:val="Heading2"/>
      </w:pPr>
      <w:bookmarkStart w:id="17" w:name="_Toc386545061"/>
      <w:bookmarkStart w:id="18" w:name="_Toc386712801"/>
      <w:bookmarkStart w:id="19" w:name="_Toc386718147"/>
      <w:bookmarkStart w:id="20" w:name="_Toc386719080"/>
      <w:bookmarkStart w:id="21" w:name="_Toc387323144"/>
      <w:bookmarkStart w:id="22" w:name="_Toc387323723"/>
      <w:bookmarkStart w:id="23" w:name="_Toc387323785"/>
      <w:bookmarkStart w:id="24" w:name="_Toc387323857"/>
      <w:bookmarkStart w:id="25" w:name="_Toc387645430"/>
      <w:bookmarkStart w:id="26" w:name="_Toc387645674"/>
      <w:bookmarkStart w:id="27" w:name="_Toc387645981"/>
      <w:bookmarkStart w:id="28" w:name="_Toc387646125"/>
      <w:bookmarkStart w:id="29" w:name="_Toc387745064"/>
      <w:bookmarkStart w:id="30" w:name="_Toc387922705"/>
      <w:bookmarkStart w:id="31" w:name="_Toc387922862"/>
      <w:bookmarkStart w:id="32" w:name="_Toc387923003"/>
      <w:bookmarkStart w:id="33" w:name="_Toc387923323"/>
      <w:bookmarkStart w:id="34" w:name="_Toc387923754"/>
      <w:bookmarkStart w:id="35" w:name="_Toc387924473"/>
      <w:bookmarkStart w:id="36" w:name="_Toc388526899"/>
      <w:bookmarkStart w:id="37" w:name="_Toc389026275"/>
      <w:bookmarkStart w:id="38" w:name="_Toc391479542"/>
      <w:bookmarkStart w:id="39" w:name="_Toc391561447"/>
      <w:bookmarkStart w:id="40" w:name="_Toc391562808"/>
      <w:bookmarkStart w:id="41" w:name="_Toc391642493"/>
      <w:bookmarkStart w:id="42" w:name="_Toc394323251"/>
      <w:bookmarkStart w:id="43" w:name="_Toc394323546"/>
      <w:bookmarkStart w:id="44" w:name="_Toc394323640"/>
      <w:bookmarkStart w:id="45" w:name="_Toc394642415"/>
      <w:r w:rsidRPr="00D24967">
        <w:rPr>
          <w:i/>
        </w:rPr>
        <w:t>Ex Parte</w:t>
      </w:r>
      <w:r w:rsidRPr="002A57BF">
        <w:t xml:space="preserve"> Rules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A57BF">
        <w:t xml:space="preserve"> </w:t>
      </w:r>
    </w:p>
    <w:p w:rsidR="00E1187C" w:rsidRPr="002A57BF" w:rsidRDefault="00E1187C" w:rsidP="00C368F2">
      <w:pPr>
        <w:pStyle w:val="ParaNum"/>
        <w:widowControl/>
        <w:rPr>
          <w:szCs w:val="22"/>
        </w:rPr>
      </w:pPr>
      <w:r w:rsidRPr="002A57BF">
        <w:rPr>
          <w:szCs w:val="22"/>
        </w:rPr>
        <w:t xml:space="preserve">This proceeding shall be treated as a “permit-but-disclose” proceeding in accordance with the Commission’s </w:t>
      </w:r>
      <w:r w:rsidRPr="002A57BF">
        <w:rPr>
          <w:i/>
          <w:iCs/>
          <w:szCs w:val="22"/>
        </w:rPr>
        <w:t xml:space="preserve">ex parte </w:t>
      </w:r>
      <w:r w:rsidRPr="002A57BF">
        <w:rPr>
          <w:szCs w:val="22"/>
        </w:rPr>
        <w:t>rules.</w:t>
      </w:r>
      <w:r w:rsidRPr="002A57BF">
        <w:rPr>
          <w:rStyle w:val="FootnoteReference"/>
          <w:szCs w:val="22"/>
        </w:rPr>
        <w:footnoteReference w:id="38"/>
      </w:r>
      <w:r w:rsidRPr="002A57BF">
        <w:rPr>
          <w:szCs w:val="22"/>
        </w:rPr>
        <w:t xml:space="preserve">  Persons making </w:t>
      </w:r>
      <w:r w:rsidRPr="002A57BF">
        <w:rPr>
          <w:i/>
          <w:szCs w:val="22"/>
        </w:rPr>
        <w:t xml:space="preserve">ex parte </w:t>
      </w:r>
      <w:r w:rsidRPr="002A57B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A57BF">
        <w:rPr>
          <w:i/>
          <w:iCs/>
          <w:szCs w:val="22"/>
        </w:rPr>
        <w:t xml:space="preserve">ex parte </w:t>
      </w:r>
      <w:r w:rsidRPr="002A57BF">
        <w:rPr>
          <w:szCs w:val="22"/>
        </w:rPr>
        <w:t xml:space="preserve">presentations are reminded that memoranda summarizing the presentation must (1) list all persons attending or otherwise participating in the meeting at which the </w:t>
      </w:r>
      <w:r w:rsidRPr="002A57BF">
        <w:rPr>
          <w:i/>
          <w:iCs/>
          <w:szCs w:val="22"/>
        </w:rPr>
        <w:t xml:space="preserve">ex parte </w:t>
      </w:r>
      <w:r w:rsidRPr="002A57B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A57BF">
        <w:rPr>
          <w:i/>
          <w:iCs/>
          <w:szCs w:val="22"/>
        </w:rPr>
        <w:t xml:space="preserve">ex parte </w:t>
      </w:r>
      <w:r w:rsidRPr="002A57BF">
        <w:rPr>
          <w:szCs w:val="22"/>
        </w:rPr>
        <w:t xml:space="preserve">meetings are deemed to be written </w:t>
      </w:r>
      <w:r w:rsidRPr="002A57BF">
        <w:rPr>
          <w:i/>
          <w:iCs/>
          <w:szCs w:val="22"/>
        </w:rPr>
        <w:t>ex parte</w:t>
      </w:r>
      <w:r w:rsidRPr="002A57BF">
        <w:rPr>
          <w:szCs w:val="22"/>
        </w:rPr>
        <w:t xml:space="preserve"> presentations and must be filed consistent with rule 1.1206(b).  In proceedings governed by rule 1.49(f) or for which the Commission has made available a method of electronic filing, written </w:t>
      </w:r>
      <w:r w:rsidRPr="002A57BF">
        <w:rPr>
          <w:i/>
          <w:iCs/>
          <w:szCs w:val="22"/>
        </w:rPr>
        <w:t xml:space="preserve">ex parte </w:t>
      </w:r>
      <w:r w:rsidRPr="002A57BF">
        <w:rPr>
          <w:szCs w:val="22"/>
        </w:rPr>
        <w:t xml:space="preserve">presentations and memoranda summarizing oral </w:t>
      </w:r>
      <w:r w:rsidRPr="002A57BF">
        <w:rPr>
          <w:i/>
          <w:iCs/>
          <w:szCs w:val="22"/>
        </w:rPr>
        <w:t xml:space="preserve">ex parte </w:t>
      </w:r>
      <w:r w:rsidRPr="002A57BF">
        <w:rPr>
          <w:szCs w:val="22"/>
        </w:rPr>
        <w:t>presentations, and all attachments thereto, must be filed through the electronic comment filing system available for that proceeding, and must be filed in their native format (</w:t>
      </w:r>
      <w:r w:rsidRPr="002A57BF">
        <w:rPr>
          <w:i/>
          <w:iCs/>
          <w:szCs w:val="22"/>
        </w:rPr>
        <w:t>e.g.</w:t>
      </w:r>
      <w:r w:rsidRPr="002A57BF">
        <w:rPr>
          <w:szCs w:val="22"/>
        </w:rPr>
        <w:t xml:space="preserve">, .doc, .xml, .ppt, searchable .pdf).  Participants in this proceeding should familiarize themselves with the Commission’s </w:t>
      </w:r>
      <w:r w:rsidRPr="002A57BF">
        <w:rPr>
          <w:i/>
          <w:iCs/>
          <w:szCs w:val="22"/>
        </w:rPr>
        <w:t xml:space="preserve">ex parte </w:t>
      </w:r>
      <w:r w:rsidRPr="002A57BF">
        <w:rPr>
          <w:szCs w:val="22"/>
        </w:rPr>
        <w:t>rules.</w:t>
      </w:r>
    </w:p>
    <w:p w:rsidR="00E1187C" w:rsidRPr="002A57BF" w:rsidRDefault="00E1187C" w:rsidP="004C365E">
      <w:pPr>
        <w:pStyle w:val="Heading2"/>
      </w:pPr>
      <w:bookmarkStart w:id="46" w:name="_Toc386545062"/>
      <w:bookmarkStart w:id="47" w:name="_Toc386712802"/>
      <w:bookmarkStart w:id="48" w:name="_Toc386718148"/>
      <w:bookmarkStart w:id="49" w:name="_Toc386719081"/>
      <w:bookmarkStart w:id="50" w:name="_Toc387323145"/>
      <w:bookmarkStart w:id="51" w:name="_Toc387323724"/>
      <w:bookmarkStart w:id="52" w:name="_Toc387323786"/>
      <w:bookmarkStart w:id="53" w:name="_Toc387323858"/>
      <w:bookmarkStart w:id="54" w:name="_Toc387645431"/>
      <w:bookmarkStart w:id="55" w:name="_Toc387645675"/>
      <w:bookmarkStart w:id="56" w:name="_Toc387645982"/>
      <w:bookmarkStart w:id="57" w:name="_Toc387646126"/>
      <w:bookmarkStart w:id="58" w:name="_Toc387745065"/>
      <w:bookmarkStart w:id="59" w:name="_Toc387922706"/>
      <w:bookmarkStart w:id="60" w:name="_Toc387922863"/>
      <w:bookmarkStart w:id="61" w:name="_Toc387923004"/>
      <w:bookmarkStart w:id="62" w:name="_Toc387923324"/>
      <w:bookmarkStart w:id="63" w:name="_Toc387923755"/>
      <w:bookmarkStart w:id="64" w:name="_Toc387924474"/>
      <w:bookmarkStart w:id="65" w:name="_Toc388526900"/>
      <w:bookmarkStart w:id="66" w:name="_Toc389026276"/>
      <w:bookmarkStart w:id="67" w:name="_Toc391479543"/>
      <w:bookmarkStart w:id="68" w:name="_Toc391561448"/>
      <w:bookmarkStart w:id="69" w:name="_Toc391562809"/>
      <w:bookmarkStart w:id="70" w:name="_Toc391642494"/>
      <w:bookmarkStart w:id="71" w:name="_Toc394323252"/>
      <w:bookmarkStart w:id="72" w:name="_Toc394323547"/>
      <w:bookmarkStart w:id="73" w:name="_Toc394323641"/>
      <w:bookmarkStart w:id="74" w:name="_Toc394642416"/>
      <w:r w:rsidRPr="002A57BF">
        <w:t>Comment Filing Procedures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1187C" w:rsidRPr="002A57BF" w:rsidRDefault="00E1187C" w:rsidP="00C368F2">
      <w:pPr>
        <w:pStyle w:val="ParaNum"/>
        <w:widowControl/>
        <w:rPr>
          <w:szCs w:val="22"/>
        </w:rPr>
      </w:pPr>
      <w:r w:rsidRPr="002A57BF">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A57BF">
        <w:rPr>
          <w:i/>
          <w:szCs w:val="22"/>
        </w:rPr>
        <w:t>See Electronic Filing of Documents in Rulemaking Proceedings</w:t>
      </w:r>
      <w:r w:rsidRPr="002A57BF">
        <w:rPr>
          <w:szCs w:val="22"/>
        </w:rPr>
        <w:t>, 63 Fed. Reg. 24121 (1998).</w:t>
      </w:r>
    </w:p>
    <w:p w:rsidR="00E1187C" w:rsidRPr="002A57BF" w:rsidRDefault="00E1187C" w:rsidP="005C3F6A">
      <w:pPr>
        <w:widowControl/>
        <w:numPr>
          <w:ilvl w:val="0"/>
          <w:numId w:val="9"/>
        </w:numPr>
        <w:rPr>
          <w:szCs w:val="22"/>
        </w:rPr>
      </w:pPr>
      <w:r w:rsidRPr="002A57BF">
        <w:rPr>
          <w:szCs w:val="22"/>
        </w:rPr>
        <w:t xml:space="preserve">Electronic Filers:  Comments may be filed electronically using the Internet by accessing the ECFS:  http://fjallfoss.fcc.gov/ecfs2/.  </w:t>
      </w:r>
    </w:p>
    <w:p w:rsidR="00E1187C" w:rsidRPr="002A57BF" w:rsidRDefault="00E1187C" w:rsidP="005C3F6A">
      <w:pPr>
        <w:widowControl/>
        <w:rPr>
          <w:szCs w:val="22"/>
        </w:rPr>
      </w:pPr>
    </w:p>
    <w:p w:rsidR="00E1187C" w:rsidRPr="002A57BF" w:rsidRDefault="00E1187C" w:rsidP="004C365E">
      <w:pPr>
        <w:widowControl/>
        <w:numPr>
          <w:ilvl w:val="0"/>
          <w:numId w:val="7"/>
        </w:numPr>
        <w:rPr>
          <w:szCs w:val="22"/>
        </w:rPr>
      </w:pPr>
      <w:r w:rsidRPr="002A57BF">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E1187C" w:rsidRPr="002A57BF" w:rsidRDefault="00E1187C" w:rsidP="004C365E">
      <w:pPr>
        <w:widowControl/>
        <w:rPr>
          <w:szCs w:val="22"/>
        </w:rPr>
      </w:pPr>
    </w:p>
    <w:p w:rsidR="00E1187C" w:rsidRPr="002A57BF" w:rsidRDefault="00E1187C" w:rsidP="004C365E">
      <w:pPr>
        <w:widowControl/>
        <w:numPr>
          <w:ilvl w:val="0"/>
          <w:numId w:val="8"/>
        </w:numPr>
        <w:rPr>
          <w:szCs w:val="22"/>
        </w:rPr>
      </w:pPr>
      <w:r w:rsidRPr="002A57BF">
        <w:rPr>
          <w:szCs w:val="22"/>
        </w:rPr>
        <w:t>All hand-delivered or messenger-delivered paper filings for the Commission’s Secretary must be delivered to FCC Headquarters at 445 12</w:t>
      </w:r>
      <w:r w:rsidRPr="002A57BF">
        <w:rPr>
          <w:szCs w:val="22"/>
          <w:vertAlign w:val="superscript"/>
        </w:rPr>
        <w:t>th</w:t>
      </w:r>
      <w:r w:rsidRPr="002A57BF">
        <w:rPr>
          <w:szCs w:val="22"/>
        </w:rPr>
        <w:t xml:space="preserve"> St., SW, Room TW-A325, Washington, DC 20554.  The filing hours are 8:00 a.m. to 7:00 p.m.  All hand deliveries must be held together with rubber bands or fasteners.  Any envelopes and boxes must be disposed of </w:t>
      </w:r>
      <w:r w:rsidRPr="002A57BF">
        <w:rPr>
          <w:i/>
          <w:szCs w:val="22"/>
        </w:rPr>
        <w:t>before</w:t>
      </w:r>
      <w:r w:rsidRPr="002A57BF">
        <w:rPr>
          <w:szCs w:val="22"/>
        </w:rPr>
        <w:t xml:space="preserve"> entering the building.  </w:t>
      </w:r>
    </w:p>
    <w:p w:rsidR="00E1187C" w:rsidRPr="002A57BF" w:rsidRDefault="00E1187C" w:rsidP="004C365E">
      <w:pPr>
        <w:widowControl/>
        <w:tabs>
          <w:tab w:val="left" w:pos="6942"/>
        </w:tabs>
        <w:ind w:left="1080"/>
        <w:rPr>
          <w:szCs w:val="22"/>
        </w:rPr>
      </w:pPr>
      <w:r w:rsidRPr="002A57BF">
        <w:rPr>
          <w:szCs w:val="22"/>
        </w:rPr>
        <w:tab/>
      </w:r>
    </w:p>
    <w:p w:rsidR="00E1187C" w:rsidRPr="002A57BF" w:rsidRDefault="00E1187C" w:rsidP="004C365E">
      <w:pPr>
        <w:widowControl/>
        <w:numPr>
          <w:ilvl w:val="0"/>
          <w:numId w:val="8"/>
        </w:numPr>
        <w:rPr>
          <w:szCs w:val="22"/>
        </w:rPr>
      </w:pPr>
      <w:r w:rsidRPr="002A57BF">
        <w:rPr>
          <w:szCs w:val="22"/>
        </w:rPr>
        <w:t>Commercial overnight mail (other than U.S. Postal Service Express Mail and Priority Mail) must be sent to 9300 East Hampton Drive, Capitol Heights, MD 20743.</w:t>
      </w:r>
    </w:p>
    <w:p w:rsidR="00E1187C" w:rsidRPr="002A57BF" w:rsidRDefault="00E1187C" w:rsidP="004C365E">
      <w:pPr>
        <w:widowControl/>
        <w:rPr>
          <w:szCs w:val="22"/>
        </w:rPr>
      </w:pPr>
    </w:p>
    <w:p w:rsidR="00E1187C" w:rsidRPr="002A57BF" w:rsidRDefault="00E1187C" w:rsidP="004C365E">
      <w:pPr>
        <w:widowControl/>
        <w:numPr>
          <w:ilvl w:val="0"/>
          <w:numId w:val="8"/>
        </w:numPr>
        <w:rPr>
          <w:szCs w:val="22"/>
        </w:rPr>
      </w:pPr>
      <w:r w:rsidRPr="002A57BF">
        <w:rPr>
          <w:szCs w:val="22"/>
        </w:rPr>
        <w:t>U.S. Postal Service first-class, Express, and Priority mail must be addressed to 445 12</w:t>
      </w:r>
      <w:r w:rsidRPr="002A57BF">
        <w:rPr>
          <w:szCs w:val="22"/>
          <w:vertAlign w:val="superscript"/>
        </w:rPr>
        <w:t>th</w:t>
      </w:r>
      <w:r w:rsidRPr="002A57BF">
        <w:rPr>
          <w:szCs w:val="22"/>
        </w:rPr>
        <w:t xml:space="preserve"> Street, SW, Washington DC  20554.</w:t>
      </w:r>
    </w:p>
    <w:p w:rsidR="00E1187C" w:rsidRPr="002A57BF" w:rsidRDefault="00E1187C" w:rsidP="004C365E">
      <w:pPr>
        <w:widowControl/>
      </w:pPr>
    </w:p>
    <w:p w:rsidR="00E1187C" w:rsidRPr="002A57BF" w:rsidRDefault="00E1187C" w:rsidP="004C365E">
      <w:pPr>
        <w:pStyle w:val="Heading2"/>
      </w:pPr>
      <w:bookmarkStart w:id="75" w:name="_Toc386545063"/>
      <w:bookmarkStart w:id="76" w:name="_Toc386712803"/>
      <w:bookmarkStart w:id="77" w:name="_Toc386718149"/>
      <w:bookmarkStart w:id="78" w:name="_Toc386719082"/>
      <w:bookmarkStart w:id="79" w:name="_Toc387323146"/>
      <w:bookmarkStart w:id="80" w:name="_Toc387323725"/>
      <w:bookmarkStart w:id="81" w:name="_Toc387323787"/>
      <w:bookmarkStart w:id="82" w:name="_Toc387323859"/>
      <w:bookmarkStart w:id="83" w:name="_Toc387645432"/>
      <w:bookmarkStart w:id="84" w:name="_Toc387645676"/>
      <w:bookmarkStart w:id="85" w:name="_Toc387645983"/>
      <w:bookmarkStart w:id="86" w:name="_Toc387646127"/>
      <w:bookmarkStart w:id="87" w:name="_Toc387745066"/>
      <w:bookmarkStart w:id="88" w:name="_Toc387922707"/>
      <w:bookmarkStart w:id="89" w:name="_Toc387922864"/>
      <w:bookmarkStart w:id="90" w:name="_Toc387923005"/>
      <w:bookmarkStart w:id="91" w:name="_Toc387923325"/>
      <w:bookmarkStart w:id="92" w:name="_Toc387923756"/>
      <w:bookmarkStart w:id="93" w:name="_Toc387924475"/>
      <w:bookmarkStart w:id="94" w:name="_Toc388526901"/>
      <w:bookmarkStart w:id="95" w:name="_Toc389026277"/>
      <w:bookmarkStart w:id="96" w:name="_Toc391479544"/>
      <w:bookmarkStart w:id="97" w:name="_Toc391561449"/>
      <w:bookmarkStart w:id="98" w:name="_Toc391562810"/>
      <w:bookmarkStart w:id="99" w:name="_Toc391642495"/>
      <w:bookmarkStart w:id="100" w:name="_Toc394323253"/>
      <w:bookmarkStart w:id="101" w:name="_Toc394323548"/>
      <w:bookmarkStart w:id="102" w:name="_Toc394323642"/>
      <w:bookmarkStart w:id="103" w:name="_Toc394642417"/>
      <w:r w:rsidRPr="002A57BF">
        <w:t>Accessible Formats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E1187C" w:rsidRDefault="00C30D56" w:rsidP="00C368F2">
      <w:pPr>
        <w:pStyle w:val="ParaNum"/>
        <w:widowControl/>
      </w:pPr>
      <w:r>
        <w:t xml:space="preserve"> </w:t>
      </w:r>
      <w:r w:rsidR="0035496E">
        <w:t xml:space="preserve"> </w:t>
      </w:r>
      <w:r w:rsidR="00E1187C" w:rsidRPr="002A57BF">
        <w:t>To request materials in accessible formats for people with disabilities (braille, large print, electronic files, audio format), send an email to fcc504@fcc.gov or call the Consumer &amp; Governmental Affairs Bureau at 202-418-0530 (voice), 202-418-0432 (tty).</w:t>
      </w:r>
    </w:p>
    <w:p w:rsidR="004429E5" w:rsidRDefault="004429E5" w:rsidP="004C365E">
      <w:pPr>
        <w:pStyle w:val="Heading2"/>
      </w:pPr>
      <w:r>
        <w:t>Initial Regulatory Flexibility Certification</w:t>
      </w:r>
    </w:p>
    <w:p w:rsidR="004429E5" w:rsidRDefault="004429E5" w:rsidP="00C368F2">
      <w:pPr>
        <w:pStyle w:val="ParaNum"/>
        <w:widowControl/>
      </w:pPr>
      <w:r w:rsidRPr="00F72087">
        <w:t>The Regulatory Flexibility Act of 1980, as amended (RFA),</w:t>
      </w:r>
      <w:r>
        <w:rPr>
          <w:rStyle w:val="FootnoteReference"/>
        </w:rPr>
        <w:footnoteReference w:id="39"/>
      </w:r>
      <w:r w:rsidRPr="00F72087">
        <w:rPr>
          <w:vertAlign w:val="superscript"/>
        </w:rPr>
        <w:t xml:space="preserve"> </w:t>
      </w:r>
      <w:r w:rsidRPr="00F72087">
        <w:t xml:space="preserve">requires that </w:t>
      </w:r>
      <w:r>
        <w:t xml:space="preserve">agencies prepare </w:t>
      </w:r>
      <w:r w:rsidRPr="00F72087">
        <w:t xml:space="preserve">a regulatory flexibility analysis for </w:t>
      </w:r>
      <w:r w:rsidRPr="00A31E42">
        <w:t>notice-and-comment</w:t>
      </w:r>
      <w:r w:rsidRPr="00F72087">
        <w:t xml:space="preserve"> rulemaking proceedings, unless the agency certifies that “the rule will not have a significant economic impact on a substantial number of small entities.”</w:t>
      </w:r>
      <w:r w:rsidRPr="00AC58AC">
        <w:rPr>
          <w:rStyle w:val="FootnoteReference"/>
          <w:color w:val="000000"/>
        </w:rPr>
        <w:footnoteReference w:id="40"/>
      </w:r>
      <w:r w:rsidRPr="00F72087">
        <w:t xml:space="preserve">  The RFA generally defines “small entity” as having the same meaning as the terms “small business,” “small organization,” and “small governmental jurisdiction.”</w:t>
      </w:r>
      <w:r w:rsidRPr="00AC58AC">
        <w:rPr>
          <w:rStyle w:val="FootnoteReference"/>
          <w:color w:val="000000"/>
        </w:rPr>
        <w:footnoteReference w:id="41"/>
      </w:r>
      <w:r w:rsidRPr="00F72087">
        <w:t xml:space="preserve">  In addition, the term “small business” has the same meaning as the term “small business concern” under the Small Business Act.</w:t>
      </w:r>
      <w:r w:rsidRPr="00AC58AC">
        <w:rPr>
          <w:rStyle w:val="FootnoteReference"/>
          <w:color w:val="000000"/>
        </w:rPr>
        <w:footnoteReference w:id="42"/>
      </w:r>
      <w:r w:rsidRPr="00F72087">
        <w:t xml:space="preserve"> </w:t>
      </w:r>
      <w:r>
        <w:t xml:space="preserve"> </w:t>
      </w:r>
      <w:r w:rsidRPr="00F72087">
        <w:t>A small business concern is one which:  (1)</w:t>
      </w:r>
      <w:r>
        <w:t xml:space="preserve"> </w:t>
      </w:r>
      <w:r w:rsidRPr="00F72087">
        <w:t>is independently owned and operated; (2)</w:t>
      </w:r>
      <w:r>
        <w:t xml:space="preserve"> </w:t>
      </w:r>
      <w:r w:rsidRPr="00F72087">
        <w:t>is not dominant in its field of operation; and (3)</w:t>
      </w:r>
      <w:r>
        <w:t xml:space="preserve"> </w:t>
      </w:r>
      <w:r w:rsidRPr="00F72087">
        <w:t>satisfies any additional criteria established by the Small Business Administration (SBA).</w:t>
      </w:r>
      <w:r w:rsidRPr="00AC58AC">
        <w:rPr>
          <w:rStyle w:val="FootnoteReference"/>
          <w:color w:val="000000"/>
        </w:rPr>
        <w:footnoteReference w:id="43"/>
      </w:r>
    </w:p>
    <w:p w:rsidR="004429E5" w:rsidRPr="00423478" w:rsidRDefault="004429E5" w:rsidP="005C3F6A">
      <w:pPr>
        <w:pStyle w:val="ParaNum"/>
        <w:widowControl/>
        <w:rPr>
          <w:sz w:val="20"/>
        </w:rPr>
      </w:pPr>
      <w:r w:rsidRPr="001B7BE0">
        <w:rPr>
          <w:lang w:val="x-none"/>
        </w:rPr>
        <w:t xml:space="preserve">In the Notice, the Commission seeks to </w:t>
      </w:r>
      <w:r>
        <w:t>update the C.F.R. by (1) eliminating certain rules from which the Commission has forborn, and (2) eliminating references to telegraph service in certain rules.  Specifically, the Commission proposes to eliminate several rules from which the Commission has granted unconditional forbearance for all carriers.  These are</w:t>
      </w:r>
      <w:r w:rsidR="00315BCF">
        <w:t xml:space="preserve">:  </w:t>
      </w:r>
      <w:r>
        <w:t xml:space="preserve">(1) </w:t>
      </w:r>
      <w:r w:rsidRPr="002A57BF">
        <w:t>sections 64.804(c)-(g)</w:t>
      </w:r>
      <w:r>
        <w:t xml:space="preserve">, which govern </w:t>
      </w:r>
      <w:r w:rsidRPr="002A57BF">
        <w:t xml:space="preserve">a carrier’s recordkeeping and other obligations when it extends to federal candidates unsecured credit for </w:t>
      </w:r>
      <w:r>
        <w:t>c</w:t>
      </w:r>
      <w:r w:rsidRPr="002A57BF">
        <w:t>ommunications ser</w:t>
      </w:r>
      <w:r>
        <w:t>vice</w:t>
      </w:r>
      <w:r w:rsidRPr="00423478">
        <w:t>;</w:t>
      </w:r>
      <w:r>
        <w:t xml:space="preserve"> (2) sections 42.4, 42.5, and 42.7, which require </w:t>
      </w:r>
      <w:r w:rsidRPr="001B7BE0">
        <w:rPr>
          <w:color w:val="000000"/>
          <w:szCs w:val="22"/>
        </w:rPr>
        <w:t>carriers to preserve certain records; (3)</w:t>
      </w:r>
      <w:r>
        <w:t xml:space="preserve"> section 64.301, which requires carriers to provide communications service to foreign governments for international communications; (4) section 64.501 governing telephone companies’ obligations when recording telephone conversations; (5) sections 64.5001</w:t>
      </w:r>
      <w:r w:rsidRPr="001E4262">
        <w:t>(a)</w:t>
      </w:r>
      <w:r>
        <w:t>-</w:t>
      </w:r>
      <w:r w:rsidRPr="001E4262">
        <w:t xml:space="preserve">(c)(2), </w:t>
      </w:r>
      <w:r>
        <w:t xml:space="preserve">and </w:t>
      </w:r>
      <w:r w:rsidRPr="001E4262">
        <w:t>(c)(4)</w:t>
      </w:r>
      <w:r>
        <w:t>, which impose certain reporting and certification requirements for prepaid calling card providers; and (6) s</w:t>
      </w:r>
      <w:r w:rsidRPr="00044275">
        <w:t xml:space="preserve">ection 64.1 </w:t>
      </w:r>
      <w:r>
        <w:t xml:space="preserve">governing </w:t>
      </w:r>
      <w:r w:rsidRPr="00044275">
        <w:t xml:space="preserve">traffic damage claims </w:t>
      </w:r>
      <w:r>
        <w:t>for carriers engaged in radio-telegraph, wire-telegraph, or ocean-cable service</w:t>
      </w:r>
      <w:r w:rsidRPr="00044275">
        <w:t>.</w:t>
      </w:r>
      <w:r>
        <w:rPr>
          <w:rStyle w:val="FootnoteReference"/>
        </w:rPr>
        <w:footnoteReference w:id="44"/>
      </w:r>
      <w:r>
        <w:t xml:space="preserve">  The Notice also seeks to remove </w:t>
      </w:r>
      <w:r w:rsidRPr="002A57BF">
        <w:t>references to “telegraph” fro</w:t>
      </w:r>
      <w:r>
        <w:t>m</w:t>
      </w:r>
      <w:r w:rsidRPr="00677593">
        <w:t xml:space="preserve"> </w:t>
      </w:r>
      <w:r>
        <w:t xml:space="preserve">certain sections of the Commission’s rules, consistent with Recommendation 5.38 of the </w:t>
      </w:r>
      <w:r w:rsidRPr="001B7BE0">
        <w:rPr>
          <w:i/>
        </w:rPr>
        <w:t>Process Reform Report.</w:t>
      </w:r>
      <w:r w:rsidR="004105E1">
        <w:rPr>
          <w:szCs w:val="22"/>
        </w:rPr>
        <w:t xml:space="preserve">  </w:t>
      </w:r>
      <w:r w:rsidRPr="001B7BE0">
        <w:rPr>
          <w:szCs w:val="22"/>
        </w:rPr>
        <w:t xml:space="preserve">Specifically, we propose to remove “telegraph” from (1) section </w:t>
      </w:r>
      <w:r>
        <w:t xml:space="preserve">36.126 (separations); (2) section 54.706(a)(13) (universal service contributions); and (3) sections </w:t>
      </w:r>
      <w:r w:rsidRPr="002778E5">
        <w:t xml:space="preserve">63.60(c), 63.61, </w:t>
      </w:r>
      <w:r>
        <w:t xml:space="preserve">63.62, </w:t>
      </w:r>
      <w:r w:rsidRPr="001B7BE0">
        <w:rPr>
          <w:szCs w:val="22"/>
        </w:rPr>
        <w:t xml:space="preserve">63.65(a)(4), </w:t>
      </w:r>
      <w:r>
        <w:t xml:space="preserve">63.500(g), 63.501(g), and </w:t>
      </w:r>
      <w:r w:rsidRPr="002778E5">
        <w:t>63.504(k)</w:t>
      </w:r>
      <w:r>
        <w:t xml:space="preserve"> (discontinuance)</w:t>
      </w:r>
      <w:r w:rsidRPr="002778E5">
        <w:t>.</w:t>
      </w:r>
      <w:r>
        <w:rPr>
          <w:rStyle w:val="FootnoteReference"/>
        </w:rPr>
        <w:footnoteReference w:id="45"/>
      </w:r>
      <w:r>
        <w:t xml:space="preserve"> </w:t>
      </w:r>
    </w:p>
    <w:p w:rsidR="004429E5" w:rsidRPr="0091418D" w:rsidRDefault="004429E5" w:rsidP="005C3F6A">
      <w:pPr>
        <w:pStyle w:val="ParaNum"/>
        <w:widowControl/>
        <w:rPr>
          <w:sz w:val="20"/>
        </w:rPr>
      </w:pPr>
      <w:r>
        <w:t xml:space="preserve">The </w:t>
      </w:r>
      <w:r w:rsidRPr="00127DDF">
        <w:t>rule changes proposed in the</w:t>
      </w:r>
      <w:r>
        <w:t xml:space="preserve"> Notice</w:t>
      </w:r>
      <w:r w:rsidRPr="00127DDF">
        <w:t>, if adopted by the Com</w:t>
      </w:r>
      <w:r>
        <w:t xml:space="preserve">mission, would remove </w:t>
      </w:r>
      <w:r w:rsidRPr="00127DDF">
        <w:t>requirements governing reporting, recordkeeping, and other compliance obligations.</w:t>
      </w:r>
      <w:r>
        <w:t xml:space="preserve">  All providers, including those deemed to be small entities under the SBA’s standard wil</w:t>
      </w:r>
      <w:r w:rsidRPr="00F629AE">
        <w:t xml:space="preserve">l </w:t>
      </w:r>
      <w:r>
        <w:t xml:space="preserve">have </w:t>
      </w:r>
      <w:r w:rsidRPr="00F629AE">
        <w:t>reduce</w:t>
      </w:r>
      <w:r>
        <w:t>d</w:t>
      </w:r>
      <w:r w:rsidRPr="00F629AE">
        <w:t xml:space="preserve"> costs and burdens</w:t>
      </w:r>
      <w:r>
        <w:t xml:space="preserve"> and would benefit by being relieved from compliance with these rules.  Carriers are no longer required to comply with rules from which the Commission granted unconditional forbearance.  Therefore, removing these </w:t>
      </w:r>
      <w:r w:rsidR="00BA4608">
        <w:t>rules is not likely to have any economic impact on carriers</w:t>
      </w:r>
      <w:r>
        <w:t>.</w:t>
      </w:r>
      <w:r>
        <w:rPr>
          <w:rStyle w:val="FootnoteReference"/>
        </w:rPr>
        <w:footnoteReference w:id="46"/>
      </w:r>
      <w:r>
        <w:t xml:space="preserve">  While the Notice also seeks to remove “telegraph” </w:t>
      </w:r>
      <w:r w:rsidRPr="001A3997">
        <w:t xml:space="preserve">from </w:t>
      </w:r>
      <w:r>
        <w:t>several rule provision</w:t>
      </w:r>
      <w:r w:rsidR="0079618A">
        <w:t>s</w:t>
      </w:r>
      <w:r>
        <w:t xml:space="preserve"> not currently subject to forbearance, the number of telegraph service providers today is likely very small.  As such, we do not believe the proposals in the Notice would impact a substantial number of small entities.  </w:t>
      </w:r>
      <w:r w:rsidRPr="001A3997">
        <w:t xml:space="preserve">  </w:t>
      </w:r>
      <w:r>
        <w:t xml:space="preserve"> </w:t>
      </w:r>
      <w:r w:rsidDel="00110D77">
        <w:t xml:space="preserve"> </w:t>
      </w:r>
    </w:p>
    <w:p w:rsidR="004429E5" w:rsidRDefault="004429E5" w:rsidP="004C365E">
      <w:pPr>
        <w:pStyle w:val="ParaNum"/>
        <w:widowControl/>
      </w:pPr>
      <w:r w:rsidRPr="00AE4A79">
        <w:t xml:space="preserve">The Commission therefore certifies, pursuant to the RFA, that the proposals in this </w:t>
      </w:r>
      <w:r>
        <w:t>Notice</w:t>
      </w:r>
      <w:r w:rsidRPr="00AE4A79">
        <w:t>, if adopted, will not have a significant economic impact on a substantial number of small entities.  If commenters believe that the proposals discussed in th</w:t>
      </w:r>
      <w:r>
        <w:t>is</w:t>
      </w:r>
      <w:r w:rsidRPr="00AE4A79">
        <w:t xml:space="preserve"> </w:t>
      </w:r>
      <w:r>
        <w:t xml:space="preserve">Notice </w:t>
      </w:r>
      <w:r w:rsidRPr="00AE4A79">
        <w:t>require additional RFA analysis, they should include a discussion of these issues in their comments and additionally label them as RFA comments.  The Commission will send a copy of th</w:t>
      </w:r>
      <w:r>
        <w:t>is</w:t>
      </w:r>
      <w:r w:rsidRPr="00AE4A79">
        <w:t xml:space="preserve"> </w:t>
      </w:r>
      <w:r>
        <w:t>Notice</w:t>
      </w:r>
      <w:r w:rsidRPr="00AE4A79">
        <w:t>, including a copy of this initial</w:t>
      </w:r>
      <w:r>
        <w:t xml:space="preserve"> regulatory flexibility </w:t>
      </w:r>
      <w:r w:rsidRPr="00AE4A79">
        <w:t>certification, to the Chief Counsel for Advocacy of the SBA.</w:t>
      </w:r>
      <w:r>
        <w:rPr>
          <w:rStyle w:val="FootnoteReference"/>
        </w:rPr>
        <w:footnoteReference w:id="47"/>
      </w:r>
      <w:r w:rsidRPr="00AE4A79">
        <w:t xml:space="preserve">  In addition, a copy of th</w:t>
      </w:r>
      <w:r>
        <w:t>is</w:t>
      </w:r>
      <w:r w:rsidRPr="00AE4A79">
        <w:t xml:space="preserve"> </w:t>
      </w:r>
      <w:r>
        <w:t>Notice of Proposed Rulemaking</w:t>
      </w:r>
      <w:r w:rsidRPr="00AE4A79">
        <w:t xml:space="preserve"> and this initial certification will be published in the Federal Register.</w:t>
      </w:r>
      <w:r w:rsidRPr="00AE4A79">
        <w:rPr>
          <w:vertAlign w:val="superscript"/>
        </w:rPr>
        <w:footnoteReference w:id="48"/>
      </w:r>
      <w:r w:rsidRPr="00AE4A79">
        <w:t xml:space="preserve">  </w:t>
      </w:r>
    </w:p>
    <w:p w:rsidR="00E1187C" w:rsidRPr="00F629AE" w:rsidRDefault="00E1187C" w:rsidP="004C365E">
      <w:pPr>
        <w:pStyle w:val="Heading2"/>
      </w:pPr>
      <w:r w:rsidRPr="00F629AE">
        <w:t>Initial Paperwork Reduction Act of 1995 Analysis</w:t>
      </w:r>
    </w:p>
    <w:p w:rsidR="00710FF0" w:rsidRPr="00E1187C" w:rsidRDefault="00710FF0" w:rsidP="00710FF0">
      <w:pPr>
        <w:pStyle w:val="ParaNum"/>
      </w:pPr>
      <w:r w:rsidRPr="00C2686E">
        <w:t>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E1187C" w:rsidRDefault="00E1187C" w:rsidP="004C365E">
      <w:pPr>
        <w:pStyle w:val="Heading2"/>
      </w:pPr>
      <w:r>
        <w:t>Contact Person</w:t>
      </w:r>
    </w:p>
    <w:p w:rsidR="00E1187C" w:rsidRPr="00E1187C" w:rsidRDefault="00E1187C" w:rsidP="00C368F2">
      <w:pPr>
        <w:pStyle w:val="ParaNum"/>
        <w:widowControl/>
      </w:pPr>
      <w:r w:rsidRPr="002A57BF">
        <w:rPr>
          <w:szCs w:val="22"/>
        </w:rPr>
        <w:t xml:space="preserve">For further information about this proceeding, please contact </w:t>
      </w:r>
      <w:r>
        <w:t>Alex Johns</w:t>
      </w:r>
      <w:r w:rsidRPr="002A57BF">
        <w:t xml:space="preserve">, FCC Wireline Competition Bureau, </w:t>
      </w:r>
      <w:r>
        <w:t xml:space="preserve">Competition Policy Division, </w:t>
      </w:r>
      <w:r w:rsidRPr="002A57BF">
        <w:t>Room 5-C</w:t>
      </w:r>
      <w:r>
        <w:t>317</w:t>
      </w:r>
      <w:r w:rsidRPr="002A57BF">
        <w:t>, 445 12th Street, S.W., Washington, D.C. 20554, (202) 418-15</w:t>
      </w:r>
      <w:r>
        <w:t>8</w:t>
      </w:r>
      <w:r w:rsidRPr="002A57BF">
        <w:t xml:space="preserve">0, </w:t>
      </w:r>
      <w:r>
        <w:t>alexis.johns</w:t>
      </w:r>
      <w:r w:rsidRPr="002A57BF">
        <w:t>@fcc.gov</w:t>
      </w:r>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E1187C" w:rsidRDefault="00E1187C" w:rsidP="005C3F6A">
      <w:pPr>
        <w:pStyle w:val="Heading1"/>
        <w:keepNext w:val="0"/>
        <w:widowControl/>
      </w:pPr>
      <w:r>
        <w:t>Ordering Clause</w:t>
      </w:r>
      <w:r w:rsidR="00C368F2">
        <w:t>S</w:t>
      </w:r>
    </w:p>
    <w:p w:rsidR="00541EB0" w:rsidRDefault="00E1187C" w:rsidP="0038610A">
      <w:pPr>
        <w:pStyle w:val="ParaNum"/>
        <w:rPr>
          <w:szCs w:val="22"/>
        </w:rPr>
      </w:pPr>
      <w:r w:rsidRPr="002A57BF">
        <w:rPr>
          <w:szCs w:val="22"/>
        </w:rPr>
        <w:t>Accordingly, IT IS ORDERED, pursuant to sections</w:t>
      </w:r>
      <w:r w:rsidR="00DC2F00">
        <w:rPr>
          <w:szCs w:val="22"/>
        </w:rPr>
        <w:t xml:space="preserve"> </w:t>
      </w:r>
      <w:r w:rsidR="0011626C" w:rsidRPr="0011626C">
        <w:t xml:space="preserve">1, 2(a), 4(i), 4(j), 5, 10-11,  201-205, 214, 218-221, 225-228, 254, 303, 308, 403, 410, </w:t>
      </w:r>
      <w:r w:rsidR="006C22C5">
        <w:t xml:space="preserve">and </w:t>
      </w:r>
      <w:r w:rsidR="0011626C" w:rsidRPr="0011626C">
        <w:t>651</w:t>
      </w:r>
      <w:r w:rsidR="006C22C5">
        <w:t xml:space="preserve"> </w:t>
      </w:r>
      <w:r w:rsidR="0011626C" w:rsidRPr="0011626C">
        <w:t>of the Communications Act</w:t>
      </w:r>
      <w:r w:rsidR="008676BC">
        <w:t xml:space="preserve"> of 1934</w:t>
      </w:r>
      <w:r w:rsidR="0011626C" w:rsidRPr="0011626C">
        <w:t xml:space="preserve">, as amended, </w:t>
      </w:r>
      <w:r w:rsidR="006C22C5">
        <w:t xml:space="preserve">and section 706 of the Telecommunications Act of 1996, as amended, </w:t>
      </w:r>
      <w:r w:rsidR="0011626C" w:rsidRPr="0011626C">
        <w:t>47 U.S.C §§ 151, 152(a), 154(i), 154(j), 155, 160-161, 201-205, 214, 218-22</w:t>
      </w:r>
      <w:r w:rsidR="006C22C5">
        <w:t>1</w:t>
      </w:r>
      <w:r w:rsidR="0011626C" w:rsidRPr="0011626C">
        <w:t>, 225-228, 254, 303, 308, 403, 410, 571, 1302, and section 401 of the Federal Election Campaign Act of 1971</w:t>
      </w:r>
      <w:r w:rsidR="0038610A">
        <w:t>,</w:t>
      </w:r>
      <w:r w:rsidR="0038610A" w:rsidRPr="0038610A">
        <w:t xml:space="preserve"> </w:t>
      </w:r>
      <w:r w:rsidR="0038610A">
        <w:t>as amended</w:t>
      </w:r>
      <w:r w:rsidR="006E0DF3">
        <w:t>,</w:t>
      </w:r>
      <w:r w:rsidR="0038610A">
        <w:t xml:space="preserve"> </w:t>
      </w:r>
      <w:r w:rsidR="0038610A" w:rsidRPr="0038610A">
        <w:t xml:space="preserve">52 U.S.C. </w:t>
      </w:r>
      <w:r w:rsidR="006E0DF3">
        <w:t xml:space="preserve">§ </w:t>
      </w:r>
      <w:r w:rsidR="0038610A" w:rsidRPr="0038610A">
        <w:t>301</w:t>
      </w:r>
      <w:r w:rsidR="006E0DF3">
        <w:t>41, that this Notice of Proposed Rulemaking IS ADOPTED.</w:t>
      </w:r>
      <w:r w:rsidR="0038610A">
        <w:t xml:space="preserve"> </w:t>
      </w:r>
    </w:p>
    <w:p w:rsidR="005C3F6A" w:rsidRPr="00FE7186" w:rsidRDefault="005C3F6A" w:rsidP="005C3F6A">
      <w:pPr>
        <w:pStyle w:val="ParaNum"/>
        <w:keepNext/>
        <w:keepLines/>
        <w:widowControl/>
        <w:rPr>
          <w:szCs w:val="22"/>
        </w:rPr>
      </w:pPr>
      <w:r w:rsidRPr="00FE7186">
        <w:rPr>
          <w:szCs w:val="22"/>
        </w:rPr>
        <w:t xml:space="preserve">IT IS FURTHER ORDERED that the Commission’s Consumer and Governmental Affairs Bureau, Reference Information Center, SHALL SEND a copy of this Notice of Proposed Rulemaking, including the Initial Regulatory Flexibility </w:t>
      </w:r>
      <w:r w:rsidR="00913189">
        <w:rPr>
          <w:szCs w:val="22"/>
        </w:rPr>
        <w:t>Certification</w:t>
      </w:r>
      <w:r w:rsidRPr="00FE7186">
        <w:rPr>
          <w:szCs w:val="22"/>
        </w:rPr>
        <w:t xml:space="preserve">, to the Chief Counsel for Advocacy of the Small Business Administration.  </w:t>
      </w:r>
    </w:p>
    <w:p w:rsidR="00913189" w:rsidRDefault="00E1187C" w:rsidP="005C3F6A">
      <w:pPr>
        <w:widowControl/>
      </w:pPr>
      <w:r w:rsidRPr="002A57BF">
        <w:tab/>
      </w:r>
      <w:r w:rsidRPr="002A57BF">
        <w:tab/>
      </w:r>
      <w:r w:rsidRPr="002A57BF">
        <w:tab/>
      </w:r>
      <w:r w:rsidRPr="002A57BF">
        <w:tab/>
      </w:r>
      <w:r w:rsidRPr="002A57BF">
        <w:tab/>
      </w:r>
    </w:p>
    <w:p w:rsidR="00E1187C" w:rsidRPr="002A57BF" w:rsidRDefault="00913189" w:rsidP="005C3F6A">
      <w:pPr>
        <w:widowControl/>
      </w:pPr>
      <w:r>
        <w:tab/>
      </w:r>
      <w:r>
        <w:tab/>
      </w:r>
      <w:r>
        <w:tab/>
      </w:r>
      <w:r>
        <w:tab/>
      </w:r>
      <w:r>
        <w:tab/>
      </w:r>
      <w:r w:rsidR="00E1187C" w:rsidRPr="002A57BF">
        <w:tab/>
        <w:t>FEDERAL COMMUNICATIONS COMMISSION</w:t>
      </w:r>
    </w:p>
    <w:p w:rsidR="00E1187C" w:rsidRPr="002A57BF" w:rsidRDefault="00E1187C" w:rsidP="004C365E">
      <w:pPr>
        <w:widowControl/>
      </w:pPr>
    </w:p>
    <w:p w:rsidR="00E1187C" w:rsidRPr="002A57BF" w:rsidRDefault="00E1187C" w:rsidP="004C365E">
      <w:pPr>
        <w:widowControl/>
      </w:pPr>
    </w:p>
    <w:p w:rsidR="00E1187C" w:rsidRPr="002A57BF" w:rsidRDefault="00E1187C" w:rsidP="004C365E">
      <w:pPr>
        <w:widowControl/>
      </w:pPr>
    </w:p>
    <w:p w:rsidR="00E1187C" w:rsidRPr="002A57BF" w:rsidRDefault="00E1187C" w:rsidP="004C365E">
      <w:pPr>
        <w:widowControl/>
      </w:pPr>
    </w:p>
    <w:p w:rsidR="00E1187C" w:rsidRPr="002A57BF" w:rsidRDefault="00E1187C" w:rsidP="004C365E">
      <w:pPr>
        <w:widowControl/>
      </w:pPr>
      <w:r w:rsidRPr="002A57BF">
        <w:tab/>
      </w:r>
      <w:r w:rsidRPr="002A57BF">
        <w:tab/>
      </w:r>
      <w:r w:rsidRPr="002A57BF">
        <w:tab/>
      </w:r>
      <w:r w:rsidRPr="002A57BF">
        <w:tab/>
      </w:r>
      <w:r w:rsidRPr="002A57BF">
        <w:tab/>
      </w:r>
      <w:r w:rsidRPr="002A57BF">
        <w:tab/>
        <w:t>Marlene H. Dortch</w:t>
      </w:r>
    </w:p>
    <w:p w:rsidR="00E1187C" w:rsidRDefault="00E1187C" w:rsidP="004C365E">
      <w:pPr>
        <w:widowControl/>
      </w:pPr>
      <w:r w:rsidRPr="002A57BF">
        <w:tab/>
      </w:r>
      <w:r w:rsidRPr="002A57BF">
        <w:tab/>
      </w:r>
      <w:r w:rsidRPr="002A57BF">
        <w:tab/>
      </w:r>
      <w:r w:rsidRPr="002A57BF">
        <w:tab/>
      </w:r>
      <w:r w:rsidRPr="002A57BF">
        <w:tab/>
      </w:r>
      <w:r w:rsidRPr="002A57BF">
        <w:tab/>
        <w:t>Secretary</w:t>
      </w:r>
    </w:p>
    <w:p w:rsidR="006C5DB3" w:rsidRDefault="006C5DB3" w:rsidP="00D8508D">
      <w:pPr>
        <w:widowControl/>
        <w:jc w:val="center"/>
        <w:sectPr w:rsidR="006C5DB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E1187C" w:rsidRPr="00C7680C" w:rsidRDefault="00E1187C" w:rsidP="00D8508D">
      <w:pPr>
        <w:widowControl/>
        <w:jc w:val="center"/>
        <w:rPr>
          <w:b/>
        </w:rPr>
      </w:pPr>
      <w:r w:rsidRPr="00C7680C">
        <w:rPr>
          <w:b/>
        </w:rPr>
        <w:t>APPENDIX</w:t>
      </w:r>
    </w:p>
    <w:p w:rsidR="00E1187C" w:rsidRPr="00C7680C" w:rsidRDefault="00E1187C" w:rsidP="004C365E">
      <w:pPr>
        <w:widowControl/>
        <w:jc w:val="center"/>
        <w:rPr>
          <w:b/>
        </w:rPr>
      </w:pPr>
    </w:p>
    <w:p w:rsidR="00E1187C" w:rsidRDefault="00E1187C" w:rsidP="004C365E">
      <w:pPr>
        <w:widowControl/>
        <w:jc w:val="center"/>
      </w:pPr>
      <w:r w:rsidRPr="00C7680C">
        <w:rPr>
          <w:b/>
        </w:rPr>
        <w:t>Proposed Rule Amendments</w:t>
      </w:r>
    </w:p>
    <w:p w:rsidR="007E79EC" w:rsidRDefault="007E79EC" w:rsidP="004C365E">
      <w:pPr>
        <w:widowControl/>
        <w:jc w:val="center"/>
        <w:outlineLvl w:val="3"/>
        <w:rPr>
          <w:b/>
          <w:bCs/>
        </w:rPr>
      </w:pPr>
    </w:p>
    <w:p w:rsidR="007E79EC" w:rsidRDefault="007E79EC" w:rsidP="004C365E">
      <w:pPr>
        <w:widowControl/>
        <w:outlineLvl w:val="3"/>
        <w:rPr>
          <w:rFonts w:cs="Arial"/>
        </w:rPr>
      </w:pPr>
      <w:r>
        <w:rPr>
          <w:rFonts w:cs="Arial"/>
        </w:rPr>
        <w:t xml:space="preserve">Part 36 </w:t>
      </w:r>
      <w:r>
        <w:rPr>
          <w:spacing w:val="-2"/>
        </w:rPr>
        <w:t>—</w:t>
      </w:r>
      <w:r>
        <w:rPr>
          <w:rFonts w:cs="Arial"/>
        </w:rPr>
        <w:t xml:space="preserve"> JURISDICTIONAL SEPARATIONS PROCEDURES; STANDARD PROCEDURES FOR SEPARATING TELECOMMUNICATIONS PROPERTY COSTS, REVENUES, EXPENSES, TAXES AND RESERVES FOR TELECOMMUNICATIONS COMPANIES</w:t>
      </w:r>
    </w:p>
    <w:p w:rsidR="007E79EC" w:rsidRDefault="007E79EC" w:rsidP="004C365E">
      <w:pPr>
        <w:widowControl/>
        <w:outlineLvl w:val="3"/>
        <w:rPr>
          <w:bCs/>
        </w:rPr>
      </w:pPr>
    </w:p>
    <w:p w:rsidR="007E79EC" w:rsidRDefault="007E79EC" w:rsidP="004C365E">
      <w:pPr>
        <w:widowControl/>
        <w:outlineLvl w:val="3"/>
        <w:rPr>
          <w:bCs/>
        </w:rPr>
      </w:pPr>
      <w:r>
        <w:rPr>
          <w:bCs/>
        </w:rPr>
        <w:t>Part 36 of Title 47 of the Code of Federal Regulations is amended as follows:</w:t>
      </w:r>
    </w:p>
    <w:p w:rsidR="007E79EC" w:rsidRDefault="007E79EC" w:rsidP="004C365E">
      <w:pPr>
        <w:widowControl/>
        <w:outlineLvl w:val="3"/>
        <w:rPr>
          <w:rFonts w:cs="Arial"/>
        </w:rPr>
      </w:pPr>
    </w:p>
    <w:p w:rsidR="007E79EC" w:rsidRPr="00754AD3" w:rsidRDefault="007E79EC" w:rsidP="004C365E">
      <w:pPr>
        <w:widowControl/>
        <w:numPr>
          <w:ilvl w:val="0"/>
          <w:numId w:val="37"/>
        </w:numPr>
        <w:outlineLvl w:val="3"/>
        <w:rPr>
          <w:sz w:val="24"/>
          <w:szCs w:val="24"/>
        </w:rPr>
      </w:pPr>
      <w:r w:rsidRPr="00754AD3">
        <w:rPr>
          <w:color w:val="000000"/>
        </w:rPr>
        <w:t>Amend Section 36.126 to read as follows:</w:t>
      </w:r>
    </w:p>
    <w:p w:rsidR="007E79EC" w:rsidRDefault="007E79EC" w:rsidP="004C365E">
      <w:pPr>
        <w:widowControl/>
        <w:outlineLvl w:val="3"/>
        <w:rPr>
          <w:szCs w:val="24"/>
        </w:rPr>
      </w:pPr>
    </w:p>
    <w:p w:rsidR="007E79EC" w:rsidRDefault="007C3983" w:rsidP="004C365E">
      <w:pPr>
        <w:widowControl/>
        <w:outlineLvl w:val="3"/>
        <w:rPr>
          <w:szCs w:val="24"/>
        </w:rPr>
      </w:pPr>
      <w:r>
        <w:rPr>
          <w:szCs w:val="24"/>
        </w:rPr>
        <w:t>§ </w:t>
      </w:r>
      <w:r w:rsidR="007E79EC">
        <w:rPr>
          <w:szCs w:val="24"/>
        </w:rPr>
        <w:t>36.126 Circuit Equipment</w:t>
      </w:r>
      <w:r w:rsidR="007E79EC" w:rsidRPr="00AF61B1">
        <w:rPr>
          <w:szCs w:val="24"/>
        </w:rPr>
        <w:t xml:space="preserve"> </w:t>
      </w:r>
      <w:r w:rsidR="007E79EC">
        <w:rPr>
          <w:szCs w:val="24"/>
        </w:rPr>
        <w:t>– Category 4</w:t>
      </w:r>
    </w:p>
    <w:p w:rsidR="005A3237" w:rsidRDefault="005A3237" w:rsidP="004C365E">
      <w:pPr>
        <w:widowControl/>
        <w:outlineLvl w:val="3"/>
        <w:rPr>
          <w:color w:val="000000"/>
          <w:szCs w:val="22"/>
        </w:rPr>
      </w:pPr>
    </w:p>
    <w:p w:rsidR="007E79EC" w:rsidRPr="00754AD3" w:rsidRDefault="007E79EC" w:rsidP="004C365E">
      <w:pPr>
        <w:widowControl/>
        <w:outlineLvl w:val="3"/>
        <w:rPr>
          <w:szCs w:val="24"/>
        </w:rPr>
      </w:pPr>
      <w:r w:rsidRPr="00754AD3">
        <w:rPr>
          <w:color w:val="000000"/>
          <w:szCs w:val="22"/>
        </w:rPr>
        <w:t>(a) For the purpose of this section, the term “Circuit Equipment” encompasses the Radio Systems and Circuit Equipment contained in Accounts 2230 through 2232 respectively. It includes central office equipment, other than switching equipment and automatic message recording equipment, which is used to derive communications transmission channels or which is used for the amplification, modulation, regeneration, testing, balancing or control of signals transmitted over communications transmission channels. Examples of circuit equipment in general use include:</w:t>
      </w:r>
    </w:p>
    <w:p w:rsidR="007E79EC" w:rsidRDefault="007E79EC" w:rsidP="004C365E">
      <w:pPr>
        <w:widowControl/>
        <w:rPr>
          <w:color w:val="000000"/>
          <w:szCs w:val="22"/>
        </w:rPr>
      </w:pPr>
      <w:bookmarkStart w:id="104" w:name="IDABBBCA043F511E0B2C484FD2F1B6B50"/>
      <w:bookmarkStart w:id="105" w:name="IDAB9E7E243F511E0B2C484FD2F1B6B50"/>
      <w:bookmarkStart w:id="106" w:name="SP;7b9b000044381"/>
      <w:bookmarkEnd w:id="104"/>
      <w:bookmarkEnd w:id="105"/>
      <w:bookmarkEnd w:id="106"/>
    </w:p>
    <w:p w:rsidR="005A3237" w:rsidRDefault="007E79EC" w:rsidP="004C365E">
      <w:pPr>
        <w:widowControl/>
        <w:rPr>
          <w:color w:val="000000"/>
          <w:szCs w:val="22"/>
        </w:rPr>
      </w:pPr>
      <w:r w:rsidRPr="00754AD3">
        <w:rPr>
          <w:color w:val="000000"/>
          <w:szCs w:val="22"/>
        </w:rPr>
        <w:t xml:space="preserve">(1) Carrier telephone </w:t>
      </w:r>
      <w:bookmarkStart w:id="107" w:name="SR;394"/>
      <w:bookmarkStart w:id="108" w:name="SearchTerm"/>
      <w:bookmarkEnd w:id="107"/>
      <w:r w:rsidRPr="00754AD3">
        <w:rPr>
          <w:color w:val="000000"/>
          <w:szCs w:val="22"/>
        </w:rPr>
        <w:t>system terminals.</w:t>
      </w:r>
    </w:p>
    <w:p w:rsidR="005A3237" w:rsidRDefault="005A3237" w:rsidP="004C365E">
      <w:pPr>
        <w:widowControl/>
        <w:rPr>
          <w:color w:val="000000"/>
          <w:szCs w:val="22"/>
        </w:rPr>
      </w:pPr>
      <w:bookmarkStart w:id="109" w:name="IDABC0AC043F511E0B2C484FD2F1B6B50"/>
      <w:bookmarkStart w:id="110" w:name="IDAB9E7E343F511E0B2C484FD2F1B6B50"/>
      <w:bookmarkStart w:id="111" w:name="SP;d86d0000be040"/>
      <w:bookmarkEnd w:id="109"/>
      <w:bookmarkEnd w:id="110"/>
      <w:bookmarkEnd w:id="111"/>
    </w:p>
    <w:p w:rsidR="007E79EC" w:rsidRPr="00754AD3" w:rsidRDefault="007E79EC" w:rsidP="004C365E">
      <w:pPr>
        <w:widowControl/>
        <w:rPr>
          <w:szCs w:val="22"/>
        </w:rPr>
      </w:pPr>
      <w:r w:rsidRPr="00754AD3">
        <w:rPr>
          <w:color w:val="000000"/>
          <w:szCs w:val="22"/>
        </w:rPr>
        <w:t xml:space="preserve">(2) Telephone </w:t>
      </w:r>
      <w:bookmarkStart w:id="112" w:name="SR;401"/>
      <w:bookmarkEnd w:id="112"/>
      <w:r w:rsidRPr="00754AD3">
        <w:rPr>
          <w:color w:val="000000"/>
          <w:szCs w:val="22"/>
        </w:rPr>
        <w:t>repeaters, termination sets, impedance compensators, pulse link repeaters, echo suppressors and other intermediate transmission amplification and balancing equipment except that included in switchboards.</w:t>
      </w:r>
    </w:p>
    <w:p w:rsidR="007E79EC" w:rsidRDefault="007E79EC" w:rsidP="004C365E">
      <w:pPr>
        <w:widowControl/>
        <w:rPr>
          <w:szCs w:val="22"/>
        </w:rPr>
      </w:pPr>
      <w:bookmarkStart w:id="113" w:name="IDABC31D043F511E0B2C484FD2F1B6B50"/>
      <w:bookmarkStart w:id="114" w:name="IDAB9E7E443F511E0B2C484FD2F1B6B50"/>
      <w:bookmarkStart w:id="115" w:name="SP;28cc0000ccca6"/>
      <w:bookmarkStart w:id="116" w:name="IDABC58E043F511E0B2C484FD2F1B6B50"/>
      <w:bookmarkStart w:id="117" w:name="IDAB9E7E543F511E0B2C484FD2F1B6B50"/>
      <w:bookmarkStart w:id="118" w:name="SP;d40e000072291"/>
      <w:bookmarkStart w:id="119" w:name="IDABC7FF043F511E0B2C484FD2F1B6B50"/>
      <w:bookmarkStart w:id="120" w:name="IDAB9E7E643F511E0B2C484FD2F1B6B50"/>
      <w:bookmarkStart w:id="121" w:name="SP;488b0000d05e2"/>
      <w:bookmarkStart w:id="122" w:name="IDABCA70043F511E0B2C484FD2F1B6B50"/>
      <w:bookmarkStart w:id="123" w:name="IDAB9E7E743F511E0B2C484FD2F1B6B50"/>
      <w:bookmarkStart w:id="124" w:name="SP;1496000051ed7"/>
      <w:bookmarkStart w:id="125" w:name="IDABCCE1043F511E0B2C484FD2F1B6B50"/>
      <w:bookmarkStart w:id="126" w:name="IDAB9E7E843F511E0B2C484FD2F1B6B50"/>
      <w:bookmarkStart w:id="127" w:name="SP;36f10000408d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7E79EC" w:rsidRDefault="007E79EC" w:rsidP="004C365E">
      <w:pPr>
        <w:widowControl/>
        <w:rPr>
          <w:szCs w:val="22"/>
        </w:rPr>
      </w:pPr>
      <w:r>
        <w:rPr>
          <w:szCs w:val="22"/>
        </w:rPr>
        <w:t>*</w:t>
      </w:r>
      <w:r w:rsidR="00D77D28">
        <w:rPr>
          <w:szCs w:val="22"/>
        </w:rPr>
        <w:t xml:space="preserve"> </w:t>
      </w:r>
      <w:r>
        <w:rPr>
          <w:szCs w:val="22"/>
        </w:rPr>
        <w:t>*</w:t>
      </w:r>
      <w:r w:rsidR="00D77D28">
        <w:rPr>
          <w:szCs w:val="22"/>
        </w:rPr>
        <w:t xml:space="preserve"> </w:t>
      </w:r>
      <w:r>
        <w:rPr>
          <w:szCs w:val="22"/>
        </w:rPr>
        <w:t>*</w:t>
      </w:r>
      <w:r w:rsidR="00D77D28">
        <w:rPr>
          <w:szCs w:val="22"/>
        </w:rPr>
        <w:t xml:space="preserve"> </w:t>
      </w:r>
      <w:r>
        <w:rPr>
          <w:szCs w:val="22"/>
        </w:rPr>
        <w:t>*</w:t>
      </w:r>
      <w:r w:rsidR="00D77D28">
        <w:rPr>
          <w:szCs w:val="22"/>
        </w:rPr>
        <w:t xml:space="preserve"> *</w:t>
      </w:r>
    </w:p>
    <w:p w:rsidR="007E79EC" w:rsidRDefault="007E79EC" w:rsidP="004C365E">
      <w:pPr>
        <w:widowControl/>
        <w:rPr>
          <w:color w:val="000000"/>
          <w:szCs w:val="22"/>
        </w:rPr>
      </w:pPr>
      <w:bookmarkStart w:id="128" w:name="IDABCF52043F511E0B2C484FD2F1B6B50"/>
      <w:bookmarkStart w:id="129" w:name="IDAB9E7E943F511E0B2C484FD2F1B6B50"/>
      <w:bookmarkStart w:id="130" w:name="SP;5b89000035844"/>
      <w:bookmarkEnd w:id="128"/>
      <w:bookmarkEnd w:id="129"/>
      <w:bookmarkEnd w:id="130"/>
    </w:p>
    <w:p w:rsidR="005A3237" w:rsidRDefault="007E79EC" w:rsidP="004C365E">
      <w:pPr>
        <w:widowControl/>
        <w:rPr>
          <w:color w:val="000000"/>
          <w:szCs w:val="22"/>
        </w:rPr>
      </w:pPr>
      <w:r w:rsidRPr="00754AD3">
        <w:rPr>
          <w:color w:val="000000"/>
          <w:szCs w:val="22"/>
        </w:rPr>
        <w:t>(8) Testboards, test desks, repair desks and patch bays, including those provided for test and control, and for</w:t>
      </w:r>
      <w:r w:rsidRPr="00754AD3">
        <w:rPr>
          <w:rStyle w:val="apple-converted-space"/>
          <w:color w:val="000000"/>
          <w:szCs w:val="22"/>
        </w:rPr>
        <w:t> </w:t>
      </w:r>
      <w:bookmarkStart w:id="131" w:name="SR;495"/>
      <w:bookmarkEnd w:id="131"/>
      <w:r w:rsidRPr="00754AD3">
        <w:rPr>
          <w:color w:val="000000"/>
          <w:szCs w:val="22"/>
        </w:rPr>
        <w:t>transmission testing.</w:t>
      </w:r>
    </w:p>
    <w:p w:rsidR="003120F9" w:rsidRDefault="003120F9" w:rsidP="004C365E">
      <w:pPr>
        <w:widowControl/>
        <w:rPr>
          <w:szCs w:val="22"/>
        </w:rPr>
      </w:pPr>
      <w:bookmarkStart w:id="132" w:name="IDABD1C3043F511E0B2C484FD2F1B6B50"/>
      <w:bookmarkStart w:id="133" w:name="IDAB9E7EA43F511E0B2C484FD2F1B6B50"/>
      <w:bookmarkStart w:id="134" w:name="SP;a83b000018c76"/>
      <w:bookmarkEnd w:id="132"/>
      <w:bookmarkEnd w:id="133"/>
      <w:bookmarkEnd w:id="134"/>
    </w:p>
    <w:p w:rsidR="00D77D28" w:rsidRDefault="002F3CA4" w:rsidP="004C365E">
      <w:pPr>
        <w:widowControl/>
        <w:rPr>
          <w:szCs w:val="22"/>
        </w:rPr>
      </w:pPr>
      <w:bookmarkStart w:id="135" w:name="IDABD6A5043F511E0B2C484FD2F1B6B50"/>
      <w:bookmarkStart w:id="136" w:name="IDAB9E7EB43F511E0B2C484FD2F1B6B50"/>
      <w:bookmarkStart w:id="137" w:name="SP;3fed000053a85"/>
      <w:bookmarkStart w:id="138" w:name="IDABD916043F511E0B2C484FD2F1B6B50"/>
      <w:bookmarkStart w:id="139" w:name="IDAB9E7EC43F511E0B2C484FD2F1B6B50"/>
      <w:bookmarkStart w:id="140" w:name="SP;04ad0000f01d0"/>
      <w:bookmarkStart w:id="141" w:name="IDABDB87043F511E0B2C484FD2F1B6B50"/>
      <w:bookmarkStart w:id="142" w:name="IDAB9E7ED43F511E0B2C484FD2F1B6B50"/>
      <w:bookmarkStart w:id="143" w:name="SP;b98700005acf6"/>
      <w:bookmarkStart w:id="144" w:name="IDABDDF8043F511E0B2C484FD2F1B6B50"/>
      <w:bookmarkStart w:id="145" w:name="IDAB9E7EE43F511E0B2C484FD2F1B6B50"/>
      <w:bookmarkStart w:id="146" w:name="SP;7d38000030ae5"/>
      <w:bookmarkStart w:id="147" w:name="IDABE2DA043F511E0B2C484FD2F1B6B50"/>
      <w:bookmarkStart w:id="148" w:name="IDAB9E7EF43F511E0B2C484FD2F1B6B50"/>
      <w:bookmarkStart w:id="149" w:name="SP;c0ae00006c482"/>
      <w:bookmarkStart w:id="150" w:name="IDABE54B043F511E0B2C484FD2F1B6B50"/>
      <w:bookmarkStart w:id="151" w:name="IDAB9E7F043F511E0B2C484FD2F1B6B50"/>
      <w:bookmarkStart w:id="152" w:name="SP;c42a000095be5"/>
      <w:bookmarkStart w:id="153" w:name="IDABE7BC043F511E0B2C484FD2F1B6B50"/>
      <w:bookmarkStart w:id="154" w:name="IDAB9E7F143F511E0B2C484FD2F1B6B50"/>
      <w:bookmarkStart w:id="155" w:name="SP;cbc000006a271"/>
      <w:bookmarkStart w:id="156" w:name="IDABEA2D043F511E0B2C484FD2F1B6B50"/>
      <w:bookmarkStart w:id="157" w:name="IDABA0EF043F511E0B2C484FD2F1B6B50"/>
      <w:bookmarkStart w:id="158" w:name="SP;be5e0000f9361"/>
      <w:bookmarkStart w:id="159" w:name="IDABEC9E043F511E0B2C484FD2F1B6B50"/>
      <w:bookmarkStart w:id="160" w:name="IDABA0EF143F511E0B2C484FD2F1B6B50"/>
      <w:bookmarkStart w:id="161" w:name="SP;d801000002763"/>
      <w:bookmarkStart w:id="162" w:name="IDABEF0F043F511E0B2C484FD2F1B6B50"/>
      <w:bookmarkStart w:id="163" w:name="IDABA0EF243F511E0B2C484FD2F1B6B5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szCs w:val="22"/>
        </w:rPr>
        <w:t>(b)</w:t>
      </w:r>
      <w:r w:rsidR="00D77D28">
        <w:rPr>
          <w:szCs w:val="22"/>
        </w:rPr>
        <w:t xml:space="preserve"> * * *</w:t>
      </w:r>
    </w:p>
    <w:p w:rsidR="003120F9" w:rsidRDefault="003120F9" w:rsidP="004C365E">
      <w:pPr>
        <w:widowControl/>
        <w:rPr>
          <w:szCs w:val="22"/>
        </w:rPr>
      </w:pPr>
    </w:p>
    <w:p w:rsidR="007E79EC" w:rsidRPr="00754AD3" w:rsidRDefault="007E79EC" w:rsidP="004C365E">
      <w:pPr>
        <w:widowControl/>
        <w:rPr>
          <w:szCs w:val="22"/>
        </w:rPr>
      </w:pPr>
      <w:r w:rsidRPr="00754AD3">
        <w:rPr>
          <w:color w:val="000000"/>
          <w:szCs w:val="22"/>
        </w:rPr>
        <w:t>(4) In addition, for the purpose of identifying and separating property associated with special services, circuit equipment included in Categories 4.12 (other than wideband equipment) 4.13 and 4.23 is identified as either basic circuit equipment, i.e., equipment that performs functions necessary to provide and operate channels suitable for voice transmission (telephone grade channels), or special circuit equipment, i.e., equipment that is peculiar to special service circuits.</w:t>
      </w:r>
      <w:r w:rsidR="00A83A1C">
        <w:rPr>
          <w:color w:val="000000"/>
          <w:szCs w:val="22"/>
        </w:rPr>
        <w:t xml:space="preserve"> </w:t>
      </w:r>
      <w:r w:rsidRPr="00754AD3">
        <w:rPr>
          <w:color w:val="000000"/>
          <w:szCs w:val="22"/>
        </w:rPr>
        <w:t xml:space="preserve"> Carrier telephone terminals and carrier telephone repeaters are examples of basic circuit equipment i</w:t>
      </w:r>
      <w:r w:rsidR="002950EA">
        <w:rPr>
          <w:color w:val="000000"/>
          <w:szCs w:val="22"/>
        </w:rPr>
        <w:t>n</w:t>
      </w:r>
      <w:r w:rsidRPr="00754AD3">
        <w:rPr>
          <w:color w:val="000000"/>
          <w:szCs w:val="22"/>
        </w:rPr>
        <w:t xml:space="preserve"> general use, while audio program transmission amplifiers, bridges, monitoring devices and volume indicators</w:t>
      </w:r>
      <w:bookmarkStart w:id="164" w:name="SR;723"/>
      <w:bookmarkStart w:id="165" w:name="SR;727"/>
      <w:bookmarkEnd w:id="164"/>
      <w:bookmarkEnd w:id="165"/>
      <w:r w:rsidRPr="00754AD3">
        <w:rPr>
          <w:color w:val="000000"/>
          <w:szCs w:val="22"/>
        </w:rPr>
        <w:t xml:space="preserve"> are examples of special circuit equipment in general use</w:t>
      </w:r>
      <w:r w:rsidR="002F3CA4">
        <w:rPr>
          <w:color w:val="000000"/>
          <w:szCs w:val="22"/>
        </w:rPr>
        <w:t>. * * *</w:t>
      </w:r>
    </w:p>
    <w:p w:rsidR="005A3237" w:rsidRDefault="005A3237" w:rsidP="004C365E">
      <w:pPr>
        <w:widowControl/>
        <w:rPr>
          <w:szCs w:val="22"/>
        </w:rPr>
      </w:pPr>
      <w:bookmarkStart w:id="166" w:name="I8A5775E48A7111E0B5A5F73FA5AD1CCD"/>
      <w:bookmarkStart w:id="167" w:name="I8A5775CF8A7111E0B5A5F73FA5AD1CCD"/>
      <w:bookmarkStart w:id="168" w:name="SP;277b00009cfc7"/>
      <w:bookmarkStart w:id="169" w:name="I4145B2F2FDC811E3A617C4FCAECD5AB8"/>
      <w:bookmarkStart w:id="170" w:name="I4145B2E5FDC811E3A617C4FCAECD5AB8"/>
      <w:bookmarkStart w:id="171" w:name="SP;61d20000b6d76"/>
      <w:bookmarkStart w:id="172" w:name="IDABF662043F511E0B2C484FD2F1B6B50"/>
      <w:bookmarkStart w:id="173" w:name="IDABA0EF443F511E0B2C484FD2F1B6B50"/>
      <w:bookmarkStart w:id="174" w:name="SP;4b24000003ba5"/>
      <w:bookmarkStart w:id="175" w:name="IDABF8D3043F511E0B2C484FD2F1B6B50"/>
      <w:bookmarkStart w:id="176" w:name="IDABA0EF543F511E0B2C484FD2F1B6B50"/>
      <w:bookmarkStart w:id="177" w:name="SP;10c0000001331"/>
      <w:bookmarkStart w:id="178" w:name="IDABFB44043F511E0B2C484FD2F1B6B50"/>
      <w:bookmarkStart w:id="179" w:name="IDABA0EF643F511E0B2C484FD2F1B6B50"/>
      <w:bookmarkStart w:id="180" w:name="SP;fcf30000ea9c4"/>
      <w:bookmarkStart w:id="181" w:name="IDABFDB5043F511E0B2C484FD2F1B6B50"/>
      <w:bookmarkStart w:id="182" w:name="IDABA0EF743F511E0B2C484FD2F1B6B50"/>
      <w:bookmarkStart w:id="183" w:name="SP;b1b5000051ac5"/>
      <w:bookmarkStart w:id="184" w:name="I4145B2CEFDC811E3A617C4FCAECD5AB8"/>
      <w:bookmarkStart w:id="185" w:name="I4145B2C1FDC811E3A617C4FCAECD5AB8"/>
      <w:bookmarkStart w:id="186" w:name="SP;0c120000563a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5A3237" w:rsidRDefault="00D77D28" w:rsidP="004C365E">
      <w:pPr>
        <w:widowControl/>
        <w:rPr>
          <w:szCs w:val="22"/>
        </w:rPr>
      </w:pPr>
      <w:r>
        <w:rPr>
          <w:szCs w:val="22"/>
        </w:rPr>
        <w:t>* * * * *</w:t>
      </w:r>
    </w:p>
    <w:p w:rsidR="002F3CA4" w:rsidRDefault="002F3CA4" w:rsidP="004C365E">
      <w:pPr>
        <w:widowControl/>
        <w:rPr>
          <w:szCs w:val="22"/>
        </w:rPr>
      </w:pPr>
    </w:p>
    <w:p w:rsidR="007E79EC" w:rsidRDefault="002F3CA4" w:rsidP="004C365E">
      <w:pPr>
        <w:widowControl/>
        <w:rPr>
          <w:szCs w:val="22"/>
        </w:rPr>
      </w:pPr>
      <w:r>
        <w:rPr>
          <w:color w:val="000000"/>
          <w:szCs w:val="22"/>
        </w:rPr>
        <w:t>(d</w:t>
      </w:r>
      <w:r w:rsidR="007E79EC" w:rsidRPr="00754AD3">
        <w:rPr>
          <w:color w:val="000000"/>
          <w:szCs w:val="22"/>
        </w:rPr>
        <w:t xml:space="preserve">) </w:t>
      </w:r>
      <w:r>
        <w:rPr>
          <w:szCs w:val="22"/>
        </w:rPr>
        <w:t>* * *</w:t>
      </w:r>
      <w:bookmarkStart w:id="187" w:name="IDAC0779043F511E0B2C484FD2F1B6B50"/>
      <w:bookmarkStart w:id="188" w:name="IDABA0EFA43F511E0B2C484FD2F1B6B50"/>
      <w:bookmarkStart w:id="189" w:name="SP;e07e0000a9f57"/>
      <w:bookmarkEnd w:id="187"/>
      <w:bookmarkEnd w:id="188"/>
      <w:bookmarkEnd w:id="189"/>
    </w:p>
    <w:p w:rsidR="007E79EC" w:rsidRDefault="007E79EC" w:rsidP="004C365E">
      <w:pPr>
        <w:widowControl/>
        <w:rPr>
          <w:szCs w:val="22"/>
        </w:rPr>
      </w:pPr>
    </w:p>
    <w:p w:rsidR="007E79EC" w:rsidRDefault="007E79EC" w:rsidP="00C368F2">
      <w:pPr>
        <w:widowControl/>
        <w:rPr>
          <w:color w:val="000000"/>
          <w:szCs w:val="22"/>
        </w:rPr>
      </w:pPr>
      <w:r w:rsidRPr="00754AD3">
        <w:rPr>
          <w:color w:val="000000"/>
          <w:szCs w:val="22"/>
        </w:rPr>
        <w:t>(1) Interexchange Circuit Equipment Furnished to Anot</w:t>
      </w:r>
      <w:r w:rsidR="00B165D2">
        <w:rPr>
          <w:color w:val="000000"/>
          <w:szCs w:val="22"/>
        </w:rPr>
        <w:t xml:space="preserve">her Company for Interstate Use – </w:t>
      </w:r>
      <w:r w:rsidRPr="00754AD3">
        <w:rPr>
          <w:color w:val="000000"/>
          <w:szCs w:val="22"/>
        </w:rPr>
        <w:t>Category 4.21</w:t>
      </w:r>
      <w:r w:rsidR="00B165D2">
        <w:rPr>
          <w:color w:val="000000"/>
          <w:szCs w:val="22"/>
        </w:rPr>
        <w:t xml:space="preserve"> – </w:t>
      </w:r>
      <w:r w:rsidRPr="00754AD3">
        <w:rPr>
          <w:color w:val="000000"/>
          <w:szCs w:val="22"/>
        </w:rPr>
        <w:t>This category comprises that circuit equipment provided for the use of another company as an integral part of its interexchange circuit facilities used wholly for interstate services. This category includes such circuit equipment as telephone carrier terminals</w:t>
      </w:r>
      <w:bookmarkStart w:id="190" w:name="SR;1294"/>
      <w:bookmarkEnd w:id="190"/>
      <w:r>
        <w:rPr>
          <w:color w:val="000000"/>
          <w:szCs w:val="22"/>
        </w:rPr>
        <w:t xml:space="preserve"> </w:t>
      </w:r>
      <w:r w:rsidRPr="00754AD3">
        <w:rPr>
          <w:color w:val="000000"/>
          <w:szCs w:val="22"/>
        </w:rPr>
        <w:t xml:space="preserve">and microwave systems used wholly for interstate services. </w:t>
      </w:r>
      <w:r>
        <w:rPr>
          <w:color w:val="000000"/>
          <w:szCs w:val="22"/>
        </w:rPr>
        <w:t xml:space="preserve"> </w:t>
      </w:r>
      <w:r w:rsidRPr="00754AD3">
        <w:rPr>
          <w:color w:val="000000"/>
          <w:szCs w:val="22"/>
        </w:rPr>
        <w:t>The total cost of the circuit equipment in this category for the study area is assigned to the interstate operation.</w:t>
      </w:r>
    </w:p>
    <w:p w:rsidR="007E79EC" w:rsidRPr="00754AD3" w:rsidRDefault="007E79EC" w:rsidP="005C3F6A">
      <w:pPr>
        <w:widowControl/>
        <w:rPr>
          <w:szCs w:val="22"/>
        </w:rPr>
      </w:pPr>
    </w:p>
    <w:p w:rsidR="00D77D28" w:rsidRDefault="00D77D28" w:rsidP="005C3F6A">
      <w:pPr>
        <w:widowControl/>
        <w:rPr>
          <w:szCs w:val="22"/>
        </w:rPr>
      </w:pPr>
      <w:bookmarkStart w:id="191" w:name="IDAC09EA043F511E0B2C484FD2F1B6B50"/>
      <w:bookmarkStart w:id="192" w:name="IDABA0EFB43F511E0B2C484FD2F1B6B50"/>
      <w:bookmarkStart w:id="193" w:name="SP;4be3000003be5"/>
      <w:bookmarkStart w:id="194" w:name="IDAC0ECC043F511E0B2C484FD2F1B6B50"/>
      <w:bookmarkStart w:id="195" w:name="IDABA0EFC43F511E0B2C484FD2F1B6B50"/>
      <w:bookmarkStart w:id="196" w:name="SP;17df000040924"/>
      <w:bookmarkStart w:id="197" w:name="IDAC113D043F511E0B2C484FD2F1B6B50"/>
      <w:bookmarkStart w:id="198" w:name="IDABA0EFD43F511E0B2C484FD2F1B6B50"/>
      <w:bookmarkStart w:id="199" w:name="SP;7fdd00001ca15"/>
      <w:bookmarkEnd w:id="191"/>
      <w:bookmarkEnd w:id="192"/>
      <w:bookmarkEnd w:id="193"/>
      <w:bookmarkEnd w:id="194"/>
      <w:bookmarkEnd w:id="195"/>
      <w:bookmarkEnd w:id="196"/>
      <w:bookmarkEnd w:id="197"/>
      <w:bookmarkEnd w:id="198"/>
      <w:bookmarkEnd w:id="199"/>
      <w:r>
        <w:rPr>
          <w:szCs w:val="22"/>
        </w:rPr>
        <w:t>* * * * *</w:t>
      </w:r>
    </w:p>
    <w:p w:rsidR="007C3983" w:rsidRDefault="007C3983" w:rsidP="004C365E">
      <w:pPr>
        <w:widowControl/>
        <w:rPr>
          <w:color w:val="000000"/>
          <w:szCs w:val="22"/>
        </w:rPr>
      </w:pPr>
    </w:p>
    <w:p w:rsidR="002F3CA4" w:rsidRDefault="007E79EC" w:rsidP="004C365E">
      <w:pPr>
        <w:widowControl/>
        <w:rPr>
          <w:szCs w:val="22"/>
        </w:rPr>
      </w:pPr>
      <w:r w:rsidRPr="00754AD3">
        <w:rPr>
          <w:color w:val="000000"/>
          <w:szCs w:val="22"/>
        </w:rPr>
        <w:t xml:space="preserve">(e) </w:t>
      </w:r>
      <w:r w:rsidR="002F3CA4">
        <w:rPr>
          <w:szCs w:val="22"/>
        </w:rPr>
        <w:t>* * *</w:t>
      </w:r>
    </w:p>
    <w:p w:rsidR="005A3237" w:rsidRDefault="005A3237" w:rsidP="004C365E">
      <w:pPr>
        <w:widowControl/>
        <w:rPr>
          <w:color w:val="000000"/>
          <w:szCs w:val="22"/>
        </w:rPr>
      </w:pPr>
      <w:bookmarkStart w:id="200" w:name="IDAC13AE043F511E0B2C484FD2F1B6B50"/>
      <w:bookmarkStart w:id="201" w:name="IDABA0EFE43F511E0B2C484FD2F1B6B50"/>
      <w:bookmarkStart w:id="202" w:name="SP;06a60000dfdc6"/>
      <w:bookmarkEnd w:id="200"/>
      <w:bookmarkEnd w:id="201"/>
      <w:bookmarkEnd w:id="202"/>
    </w:p>
    <w:p w:rsidR="007E79EC" w:rsidRDefault="007E79EC" w:rsidP="004C365E">
      <w:pPr>
        <w:widowControl/>
        <w:rPr>
          <w:color w:val="000000"/>
          <w:szCs w:val="22"/>
        </w:rPr>
      </w:pPr>
      <w:r w:rsidRPr="00754AD3">
        <w:rPr>
          <w:color w:val="000000"/>
          <w:szCs w:val="22"/>
        </w:rPr>
        <w:t xml:space="preserve">(1) Interexchange Circuit Equipment Furnished to Another Company for </w:t>
      </w:r>
      <w:r w:rsidR="00B165D2">
        <w:rPr>
          <w:color w:val="000000"/>
          <w:szCs w:val="22"/>
        </w:rPr>
        <w:t xml:space="preserve">Interstate Use </w:t>
      </w:r>
      <w:r w:rsidRPr="00754AD3">
        <w:rPr>
          <w:color w:val="000000"/>
          <w:szCs w:val="22"/>
        </w:rPr>
        <w:t>Category</w:t>
      </w:r>
      <w:r w:rsidR="00B165D2">
        <w:rPr>
          <w:color w:val="000000"/>
          <w:szCs w:val="22"/>
        </w:rPr>
        <w:t xml:space="preserve"> – </w:t>
      </w:r>
      <w:r w:rsidRPr="00754AD3">
        <w:rPr>
          <w:color w:val="000000"/>
          <w:szCs w:val="22"/>
        </w:rPr>
        <w:t>4.21</w:t>
      </w:r>
      <w:r w:rsidR="00B165D2">
        <w:rPr>
          <w:color w:val="000000"/>
          <w:szCs w:val="22"/>
        </w:rPr>
        <w:t xml:space="preserve"> – </w:t>
      </w:r>
      <w:r w:rsidRPr="00754AD3">
        <w:rPr>
          <w:color w:val="000000"/>
          <w:szCs w:val="22"/>
        </w:rPr>
        <w:t>This category comprises that circuit equipment provided for the use of another company as an integral part of its interexchange circuit facilities used wholly for interstate services. This category includes such circuit equipment as telephone carrier terminals</w:t>
      </w:r>
      <w:bookmarkStart w:id="203" w:name="SR;1611"/>
      <w:bookmarkEnd w:id="203"/>
      <w:r w:rsidRPr="00754AD3">
        <w:rPr>
          <w:color w:val="000000"/>
          <w:szCs w:val="22"/>
        </w:rPr>
        <w:t xml:space="preserve"> and microwave systems used wholly for interstate services. </w:t>
      </w:r>
      <w:r>
        <w:rPr>
          <w:color w:val="000000"/>
          <w:szCs w:val="22"/>
        </w:rPr>
        <w:t xml:space="preserve"> </w:t>
      </w:r>
      <w:r w:rsidRPr="00754AD3">
        <w:rPr>
          <w:color w:val="000000"/>
          <w:szCs w:val="22"/>
        </w:rPr>
        <w:t>The total cost of the circuit equipment in this category for the study area is assigned to the interstate operatio</w:t>
      </w:r>
      <w:r>
        <w:rPr>
          <w:color w:val="000000"/>
          <w:szCs w:val="22"/>
        </w:rPr>
        <w:t>n.</w:t>
      </w:r>
      <w:bookmarkStart w:id="204" w:name="IDAC1890043F511E0B2C484FD2F1B6B50"/>
      <w:bookmarkStart w:id="205" w:name="IDABA360043F511E0B2C484FD2F1B6B50"/>
      <w:bookmarkStart w:id="206" w:name="SP;1184000067914"/>
      <w:bookmarkStart w:id="207" w:name="IDAC1B01043F511E0B2C484FD2F1B6B50"/>
      <w:bookmarkStart w:id="208" w:name="IDABA360143F511E0B2C484FD2F1B6B50"/>
      <w:bookmarkEnd w:id="204"/>
      <w:bookmarkEnd w:id="205"/>
      <w:bookmarkEnd w:id="206"/>
      <w:bookmarkEnd w:id="207"/>
      <w:bookmarkEnd w:id="208"/>
    </w:p>
    <w:p w:rsidR="007E79EC" w:rsidRDefault="007E79EC" w:rsidP="004C365E">
      <w:pPr>
        <w:widowControl/>
        <w:rPr>
          <w:color w:val="000000"/>
          <w:szCs w:val="22"/>
        </w:rPr>
      </w:pPr>
    </w:p>
    <w:p w:rsidR="00D77D28" w:rsidRDefault="00D77D28" w:rsidP="004C365E">
      <w:pPr>
        <w:widowControl/>
        <w:rPr>
          <w:szCs w:val="22"/>
        </w:rPr>
      </w:pPr>
      <w:bookmarkStart w:id="209" w:name="SP;4b250000f9dd6"/>
      <w:bookmarkEnd w:id="209"/>
      <w:r>
        <w:rPr>
          <w:szCs w:val="22"/>
        </w:rPr>
        <w:t>* * * * *</w:t>
      </w:r>
    </w:p>
    <w:p w:rsidR="007E79EC" w:rsidRDefault="007E79EC" w:rsidP="004C365E">
      <w:pPr>
        <w:widowControl/>
        <w:rPr>
          <w:color w:val="000000"/>
          <w:szCs w:val="22"/>
        </w:rPr>
      </w:pPr>
    </w:p>
    <w:p w:rsidR="00D77D28" w:rsidRDefault="007E79EC" w:rsidP="004C365E">
      <w:pPr>
        <w:widowControl/>
        <w:rPr>
          <w:szCs w:val="22"/>
        </w:rPr>
      </w:pPr>
      <w:r w:rsidRPr="00754AD3">
        <w:rPr>
          <w:color w:val="000000"/>
          <w:szCs w:val="22"/>
        </w:rPr>
        <w:t xml:space="preserve">(3) </w:t>
      </w:r>
      <w:r w:rsidR="002F3CA4">
        <w:rPr>
          <w:color w:val="000000"/>
          <w:szCs w:val="22"/>
        </w:rPr>
        <w:t xml:space="preserve">* * </w:t>
      </w:r>
      <w:r w:rsidR="00D77D28">
        <w:rPr>
          <w:szCs w:val="22"/>
        </w:rPr>
        <w:t>*</w:t>
      </w:r>
    </w:p>
    <w:p w:rsidR="005A3237" w:rsidRDefault="005A3237" w:rsidP="004C365E">
      <w:pPr>
        <w:widowControl/>
        <w:rPr>
          <w:szCs w:val="22"/>
        </w:rPr>
      </w:pPr>
    </w:p>
    <w:p w:rsidR="007E79EC" w:rsidRPr="00754AD3" w:rsidRDefault="007E79EC" w:rsidP="004C365E">
      <w:pPr>
        <w:widowControl/>
        <w:rPr>
          <w:szCs w:val="22"/>
        </w:rPr>
      </w:pPr>
      <w:r w:rsidRPr="00754AD3">
        <w:rPr>
          <w:color w:val="000000"/>
          <w:szCs w:val="22"/>
        </w:rPr>
        <w:t>(iii) The cost of special circuit equipment is segregated among</w:t>
      </w:r>
      <w:r w:rsidRPr="00754AD3">
        <w:rPr>
          <w:rStyle w:val="apple-converted-space"/>
          <w:color w:val="000000"/>
          <w:szCs w:val="22"/>
        </w:rPr>
        <w:t> </w:t>
      </w:r>
      <w:bookmarkStart w:id="210" w:name="SR;1928"/>
      <w:bookmarkEnd w:id="210"/>
      <w:r w:rsidRPr="00754AD3">
        <w:rPr>
          <w:color w:val="000000"/>
          <w:szCs w:val="22"/>
        </w:rPr>
        <w:t>private line services based on an analysis of the use of the equipment and in accordance with §</w:t>
      </w:r>
      <w:r>
        <w:rPr>
          <w:color w:val="000000"/>
          <w:szCs w:val="22"/>
        </w:rPr>
        <w:t> </w:t>
      </w:r>
      <w:r w:rsidRPr="00754AD3">
        <w:rPr>
          <w:color w:val="000000"/>
          <w:szCs w:val="22"/>
        </w:rPr>
        <w:t>36.126(b)(4). The special circuit equipment cost assigned to</w:t>
      </w:r>
      <w:r w:rsidRPr="00754AD3">
        <w:rPr>
          <w:rStyle w:val="apple-converted-space"/>
          <w:color w:val="000000"/>
          <w:szCs w:val="22"/>
        </w:rPr>
        <w:t> </w:t>
      </w:r>
      <w:bookmarkStart w:id="211" w:name="SR;1965"/>
      <w:bookmarkEnd w:id="108"/>
      <w:bookmarkEnd w:id="211"/>
      <w:r w:rsidRPr="00754AD3">
        <w:rPr>
          <w:color w:val="000000"/>
          <w:szCs w:val="22"/>
        </w:rPr>
        <w:t>private line services is directly assigned to the appropriate operations.</w:t>
      </w:r>
    </w:p>
    <w:p w:rsidR="007E79EC" w:rsidRDefault="007E79EC" w:rsidP="004C365E">
      <w:pPr>
        <w:widowControl/>
        <w:rPr>
          <w:color w:val="000000"/>
          <w:szCs w:val="22"/>
        </w:rPr>
      </w:pPr>
      <w:bookmarkStart w:id="212" w:name="I4145B299FDC811E3A617C4FCAECD5AB8"/>
      <w:bookmarkStart w:id="213" w:name="I4145B28CFDC811E3A617C4FCAECD5AB8"/>
      <w:bookmarkStart w:id="214" w:name="SP;22700000861f0"/>
      <w:bookmarkStart w:id="215" w:name="IDAC29A7043F511E0B2C484FD2F1B6B50"/>
      <w:bookmarkStart w:id="216" w:name="IDABA360643F511E0B2C484FD2F1B6B50"/>
      <w:bookmarkStart w:id="217" w:name="SP;ae0d0000c5150"/>
      <w:bookmarkStart w:id="218" w:name="IDAC2C18043F511E0B2C484FD2F1B6B50"/>
      <w:bookmarkStart w:id="219" w:name="IDABA360743F511E0B2C484FD2F1B6B50"/>
      <w:bookmarkStart w:id="220" w:name="SP;9daf00009de57"/>
      <w:bookmarkStart w:id="221" w:name="IDAC2E89043F511E0B2C484FD2F1B6B50"/>
      <w:bookmarkStart w:id="222" w:name="IDABA360843F511E0B2C484FD2F1B6B50"/>
      <w:bookmarkStart w:id="223" w:name="SP;e60e0000e1291"/>
      <w:bookmarkStart w:id="224" w:name="IDAC30FA043F511E0B2C484FD2F1B6B50"/>
      <w:bookmarkStart w:id="225" w:name="IDABA360943F511E0B2C484FD2F1B6B50"/>
      <w:bookmarkStart w:id="226" w:name="SP;246f0000b8733"/>
      <w:bookmarkStart w:id="227" w:name="I4145B276FDC811E3A617C4FCAECD5AB8"/>
      <w:bookmarkStart w:id="228" w:name="I4145B269FDC811E3A617C4FCAECD5AB8"/>
      <w:bookmarkStart w:id="229" w:name="SP;ac4e0000281c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D77D28" w:rsidRDefault="00D77D28" w:rsidP="004C365E">
      <w:pPr>
        <w:widowControl/>
        <w:rPr>
          <w:szCs w:val="22"/>
        </w:rPr>
      </w:pPr>
      <w:r>
        <w:rPr>
          <w:szCs w:val="22"/>
        </w:rPr>
        <w:t>* * * * *</w:t>
      </w:r>
    </w:p>
    <w:p w:rsidR="007E79EC" w:rsidRDefault="007E79EC" w:rsidP="004C365E">
      <w:pPr>
        <w:widowControl/>
        <w:rPr>
          <w:color w:val="000000"/>
          <w:szCs w:val="22"/>
        </w:rPr>
      </w:pPr>
    </w:p>
    <w:p w:rsidR="007C3983" w:rsidRDefault="007C3983" w:rsidP="004C365E">
      <w:pPr>
        <w:widowControl/>
        <w:outlineLvl w:val="3"/>
        <w:rPr>
          <w:rFonts w:cs="Arial"/>
        </w:rPr>
      </w:pPr>
    </w:p>
    <w:p w:rsidR="007C3983" w:rsidRDefault="007C3983" w:rsidP="004C365E">
      <w:pPr>
        <w:widowControl/>
        <w:outlineLvl w:val="3"/>
        <w:rPr>
          <w:rFonts w:cs="Arial"/>
        </w:rPr>
      </w:pPr>
      <w:r>
        <w:rPr>
          <w:rFonts w:cs="Arial"/>
        </w:rPr>
        <w:t xml:space="preserve">Part 42 </w:t>
      </w:r>
      <w:r>
        <w:rPr>
          <w:spacing w:val="-2"/>
        </w:rPr>
        <w:t>—</w:t>
      </w:r>
      <w:r>
        <w:rPr>
          <w:rFonts w:cs="Arial"/>
        </w:rPr>
        <w:t xml:space="preserve"> PRESERVATION OF RECORDS OF COMMUNICATION COMMON CARRIERS</w:t>
      </w:r>
    </w:p>
    <w:p w:rsidR="005A3237" w:rsidRPr="00754AD3" w:rsidRDefault="005A3237" w:rsidP="00C368F2">
      <w:pPr>
        <w:widowControl/>
        <w:rPr>
          <w:color w:val="000000"/>
          <w:szCs w:val="22"/>
        </w:rPr>
      </w:pPr>
    </w:p>
    <w:p w:rsidR="007E79EC" w:rsidRDefault="007E79EC" w:rsidP="005C3F6A">
      <w:pPr>
        <w:widowControl/>
        <w:outlineLvl w:val="3"/>
        <w:rPr>
          <w:bCs/>
        </w:rPr>
      </w:pPr>
      <w:r>
        <w:rPr>
          <w:bCs/>
        </w:rPr>
        <w:t>Part 42 of Title 47 of the Code of Federal Regulations is amended as follows:</w:t>
      </w:r>
    </w:p>
    <w:p w:rsidR="007E79EC" w:rsidRDefault="007E79EC" w:rsidP="005C3F6A">
      <w:pPr>
        <w:widowControl/>
        <w:outlineLvl w:val="3"/>
        <w:rPr>
          <w:rFonts w:cs="Arial"/>
        </w:rPr>
      </w:pPr>
    </w:p>
    <w:p w:rsidR="007E79EC" w:rsidRPr="00AF61B1" w:rsidRDefault="005A3237" w:rsidP="004C365E">
      <w:pPr>
        <w:widowControl/>
        <w:numPr>
          <w:ilvl w:val="0"/>
          <w:numId w:val="37"/>
        </w:numPr>
        <w:outlineLvl w:val="3"/>
        <w:rPr>
          <w:szCs w:val="24"/>
        </w:rPr>
      </w:pPr>
      <w:r>
        <w:rPr>
          <w:szCs w:val="24"/>
        </w:rPr>
        <w:t>§ </w:t>
      </w:r>
      <w:r w:rsidR="007E79EC">
        <w:rPr>
          <w:szCs w:val="24"/>
        </w:rPr>
        <w:t>42</w:t>
      </w:r>
      <w:r w:rsidR="007E79EC" w:rsidRPr="00AF61B1">
        <w:rPr>
          <w:szCs w:val="24"/>
        </w:rPr>
        <w:t>.</w:t>
      </w:r>
      <w:r w:rsidR="007E79EC">
        <w:rPr>
          <w:szCs w:val="24"/>
        </w:rPr>
        <w:t>4</w:t>
      </w:r>
      <w:r w:rsidR="007E79EC" w:rsidRPr="00AF61B1">
        <w:rPr>
          <w:szCs w:val="24"/>
        </w:rPr>
        <w:t xml:space="preserve"> </w:t>
      </w:r>
      <w:r w:rsidR="007E79EC" w:rsidRPr="00AF61B1">
        <w:rPr>
          <w:b/>
          <w:szCs w:val="24"/>
        </w:rPr>
        <w:t>[Removed]</w:t>
      </w:r>
    </w:p>
    <w:p w:rsidR="007E79EC" w:rsidRDefault="007E79EC" w:rsidP="004C365E">
      <w:pPr>
        <w:widowControl/>
        <w:outlineLvl w:val="3"/>
        <w:rPr>
          <w:szCs w:val="24"/>
        </w:rPr>
      </w:pPr>
    </w:p>
    <w:p w:rsidR="007E79EC" w:rsidRDefault="005A3237" w:rsidP="004C365E">
      <w:pPr>
        <w:widowControl/>
        <w:outlineLvl w:val="3"/>
        <w:rPr>
          <w:szCs w:val="24"/>
        </w:rPr>
      </w:pPr>
      <w:r>
        <w:rPr>
          <w:szCs w:val="24"/>
        </w:rPr>
        <w:t>Remove § </w:t>
      </w:r>
      <w:r w:rsidR="007E79EC">
        <w:rPr>
          <w:szCs w:val="24"/>
        </w:rPr>
        <w:t>42.4.</w:t>
      </w:r>
    </w:p>
    <w:p w:rsidR="007E79EC" w:rsidRDefault="007E79EC" w:rsidP="004C365E">
      <w:pPr>
        <w:widowControl/>
        <w:outlineLvl w:val="3"/>
        <w:rPr>
          <w:szCs w:val="24"/>
        </w:rPr>
      </w:pPr>
    </w:p>
    <w:p w:rsidR="007E79EC" w:rsidRPr="00AF61B1" w:rsidRDefault="005A3237" w:rsidP="004C365E">
      <w:pPr>
        <w:widowControl/>
        <w:numPr>
          <w:ilvl w:val="0"/>
          <w:numId w:val="37"/>
        </w:numPr>
        <w:outlineLvl w:val="3"/>
        <w:rPr>
          <w:szCs w:val="24"/>
        </w:rPr>
      </w:pPr>
      <w:r>
        <w:rPr>
          <w:szCs w:val="24"/>
        </w:rPr>
        <w:t>§ </w:t>
      </w:r>
      <w:r w:rsidR="007E79EC">
        <w:rPr>
          <w:szCs w:val="24"/>
        </w:rPr>
        <w:t>42</w:t>
      </w:r>
      <w:r w:rsidR="007E79EC" w:rsidRPr="00AF61B1">
        <w:rPr>
          <w:szCs w:val="24"/>
        </w:rPr>
        <w:t>.</w:t>
      </w:r>
      <w:r w:rsidR="007E79EC">
        <w:rPr>
          <w:szCs w:val="24"/>
        </w:rPr>
        <w:t>5</w:t>
      </w:r>
      <w:r w:rsidR="007E79EC" w:rsidRPr="00AF61B1">
        <w:rPr>
          <w:szCs w:val="24"/>
        </w:rPr>
        <w:t xml:space="preserve"> </w:t>
      </w:r>
      <w:r w:rsidR="007E79EC" w:rsidRPr="00AF61B1">
        <w:rPr>
          <w:b/>
          <w:szCs w:val="24"/>
        </w:rPr>
        <w:t>[Removed]</w:t>
      </w:r>
    </w:p>
    <w:p w:rsidR="007E79EC" w:rsidRDefault="007E79EC" w:rsidP="004C365E">
      <w:pPr>
        <w:widowControl/>
        <w:outlineLvl w:val="3"/>
        <w:rPr>
          <w:szCs w:val="24"/>
        </w:rPr>
      </w:pPr>
    </w:p>
    <w:p w:rsidR="007E79EC" w:rsidRDefault="005A3237" w:rsidP="004C365E">
      <w:pPr>
        <w:widowControl/>
        <w:outlineLvl w:val="3"/>
        <w:rPr>
          <w:szCs w:val="24"/>
        </w:rPr>
      </w:pPr>
      <w:r>
        <w:rPr>
          <w:szCs w:val="24"/>
        </w:rPr>
        <w:t>Remove § </w:t>
      </w:r>
      <w:r w:rsidR="007E79EC">
        <w:rPr>
          <w:szCs w:val="24"/>
        </w:rPr>
        <w:t>42.5.</w:t>
      </w:r>
    </w:p>
    <w:p w:rsidR="007E79EC" w:rsidRPr="00331557" w:rsidRDefault="007E79EC" w:rsidP="004C365E">
      <w:pPr>
        <w:widowControl/>
        <w:outlineLvl w:val="3"/>
        <w:rPr>
          <w:szCs w:val="24"/>
        </w:rPr>
      </w:pPr>
    </w:p>
    <w:p w:rsidR="007E79EC" w:rsidRPr="00AF61B1" w:rsidRDefault="005A3237" w:rsidP="004C365E">
      <w:pPr>
        <w:widowControl/>
        <w:numPr>
          <w:ilvl w:val="0"/>
          <w:numId w:val="37"/>
        </w:numPr>
        <w:outlineLvl w:val="3"/>
        <w:rPr>
          <w:szCs w:val="24"/>
        </w:rPr>
      </w:pPr>
      <w:r>
        <w:rPr>
          <w:szCs w:val="24"/>
        </w:rPr>
        <w:t>§ </w:t>
      </w:r>
      <w:r w:rsidR="007E79EC">
        <w:rPr>
          <w:szCs w:val="24"/>
        </w:rPr>
        <w:t>42</w:t>
      </w:r>
      <w:r w:rsidR="007E79EC" w:rsidRPr="00AF61B1">
        <w:rPr>
          <w:szCs w:val="24"/>
        </w:rPr>
        <w:t>.</w:t>
      </w:r>
      <w:r w:rsidR="007E79EC">
        <w:rPr>
          <w:szCs w:val="24"/>
        </w:rPr>
        <w:t>7</w:t>
      </w:r>
      <w:r w:rsidR="007E79EC" w:rsidRPr="00AF61B1">
        <w:rPr>
          <w:szCs w:val="24"/>
        </w:rPr>
        <w:t xml:space="preserve"> </w:t>
      </w:r>
      <w:r w:rsidR="007E79EC" w:rsidRPr="00AF61B1">
        <w:rPr>
          <w:b/>
          <w:szCs w:val="24"/>
        </w:rPr>
        <w:t>[Removed]</w:t>
      </w:r>
    </w:p>
    <w:p w:rsidR="007E79EC" w:rsidRDefault="007E79EC" w:rsidP="004C365E">
      <w:pPr>
        <w:widowControl/>
        <w:outlineLvl w:val="3"/>
        <w:rPr>
          <w:szCs w:val="24"/>
        </w:rPr>
      </w:pPr>
    </w:p>
    <w:p w:rsidR="007E79EC" w:rsidRPr="00331557" w:rsidRDefault="005A3237" w:rsidP="00C368F2">
      <w:pPr>
        <w:widowControl/>
        <w:outlineLvl w:val="3"/>
        <w:rPr>
          <w:szCs w:val="24"/>
        </w:rPr>
      </w:pPr>
      <w:r>
        <w:rPr>
          <w:szCs w:val="24"/>
        </w:rPr>
        <w:t>Remove § </w:t>
      </w:r>
      <w:r w:rsidR="007E79EC">
        <w:rPr>
          <w:szCs w:val="24"/>
        </w:rPr>
        <w:t>42.7.</w:t>
      </w:r>
    </w:p>
    <w:p w:rsidR="007E79EC" w:rsidRPr="00331557" w:rsidRDefault="007E79EC" w:rsidP="005C3F6A">
      <w:pPr>
        <w:widowControl/>
        <w:outlineLvl w:val="3"/>
        <w:rPr>
          <w:szCs w:val="24"/>
        </w:rPr>
      </w:pPr>
    </w:p>
    <w:p w:rsidR="007E79EC" w:rsidRPr="00AF61B1" w:rsidRDefault="007E79EC" w:rsidP="005C3F6A">
      <w:pPr>
        <w:widowControl/>
        <w:outlineLvl w:val="3"/>
        <w:rPr>
          <w:szCs w:val="24"/>
        </w:rPr>
      </w:pPr>
    </w:p>
    <w:p w:rsidR="007E79EC" w:rsidRDefault="007E79EC" w:rsidP="004C365E">
      <w:pPr>
        <w:widowControl/>
        <w:outlineLvl w:val="3"/>
        <w:rPr>
          <w:rFonts w:cs="Arial"/>
        </w:rPr>
      </w:pPr>
      <w:r>
        <w:rPr>
          <w:rFonts w:cs="Arial"/>
        </w:rPr>
        <w:t xml:space="preserve">Part 54 </w:t>
      </w:r>
      <w:r>
        <w:rPr>
          <w:spacing w:val="-2"/>
        </w:rPr>
        <w:t>—</w:t>
      </w:r>
      <w:r>
        <w:rPr>
          <w:rFonts w:cs="Arial"/>
        </w:rPr>
        <w:t xml:space="preserve"> UNIVERSAL SERVICE</w:t>
      </w:r>
    </w:p>
    <w:p w:rsidR="007E79EC" w:rsidRDefault="007E79EC" w:rsidP="00C368F2">
      <w:pPr>
        <w:widowControl/>
        <w:outlineLvl w:val="3"/>
        <w:rPr>
          <w:bCs/>
        </w:rPr>
      </w:pPr>
    </w:p>
    <w:p w:rsidR="007E79EC" w:rsidRDefault="007E79EC" w:rsidP="005C3F6A">
      <w:pPr>
        <w:widowControl/>
        <w:outlineLvl w:val="3"/>
        <w:rPr>
          <w:bCs/>
        </w:rPr>
      </w:pPr>
      <w:r>
        <w:rPr>
          <w:bCs/>
        </w:rPr>
        <w:t>Part 54 of Title 47 of the Code of Federal Regulations is amended as follows:</w:t>
      </w:r>
    </w:p>
    <w:p w:rsidR="007E79EC" w:rsidRDefault="007E79EC" w:rsidP="005C3F6A">
      <w:pPr>
        <w:widowControl/>
        <w:outlineLvl w:val="3"/>
        <w:rPr>
          <w:rFonts w:cs="Arial"/>
        </w:rPr>
      </w:pPr>
    </w:p>
    <w:p w:rsidR="007E79EC" w:rsidRPr="00AF61B1" w:rsidRDefault="005A3237" w:rsidP="004C365E">
      <w:pPr>
        <w:widowControl/>
        <w:numPr>
          <w:ilvl w:val="0"/>
          <w:numId w:val="37"/>
        </w:numPr>
        <w:outlineLvl w:val="3"/>
        <w:rPr>
          <w:szCs w:val="24"/>
        </w:rPr>
      </w:pPr>
      <w:r>
        <w:rPr>
          <w:szCs w:val="24"/>
        </w:rPr>
        <w:t>§ </w:t>
      </w:r>
      <w:r w:rsidR="007E79EC">
        <w:t>54.706</w:t>
      </w:r>
      <w:r w:rsidR="007E79EC">
        <w:rPr>
          <w:szCs w:val="24"/>
        </w:rPr>
        <w:t xml:space="preserve"> </w:t>
      </w:r>
      <w:r w:rsidR="007E79EC" w:rsidRPr="00E83356">
        <w:rPr>
          <w:b/>
          <w:szCs w:val="24"/>
        </w:rPr>
        <w:t>[Amended]</w:t>
      </w:r>
    </w:p>
    <w:p w:rsidR="007E79EC" w:rsidRDefault="007E79EC" w:rsidP="004C365E">
      <w:pPr>
        <w:widowControl/>
        <w:outlineLvl w:val="3"/>
        <w:rPr>
          <w:szCs w:val="24"/>
        </w:rPr>
      </w:pPr>
    </w:p>
    <w:p w:rsidR="007E79EC" w:rsidRPr="00156AEE" w:rsidRDefault="005A3237" w:rsidP="004C365E">
      <w:pPr>
        <w:widowControl/>
        <w:outlineLvl w:val="3"/>
        <w:rPr>
          <w:sz w:val="24"/>
          <w:szCs w:val="24"/>
        </w:rPr>
      </w:pPr>
      <w:r>
        <w:rPr>
          <w:szCs w:val="24"/>
        </w:rPr>
        <w:t>In § </w:t>
      </w:r>
      <w:r w:rsidR="007E79EC">
        <w:t>54.706,</w:t>
      </w:r>
      <w:r w:rsidR="007E79EC">
        <w:rPr>
          <w:szCs w:val="24"/>
        </w:rPr>
        <w:t xml:space="preserve"> remove and reserve paragraph (a)(13).</w:t>
      </w:r>
    </w:p>
    <w:p w:rsidR="005A3237" w:rsidRDefault="005A3237" w:rsidP="004C365E">
      <w:pPr>
        <w:widowControl/>
        <w:outlineLvl w:val="3"/>
        <w:rPr>
          <w:rFonts w:cs="Arial"/>
        </w:rPr>
      </w:pPr>
      <w:bookmarkStart w:id="230" w:name="I25740B2043F711E09EEDCA291AA36945"/>
      <w:bookmarkStart w:id="231" w:name="I2572AB9243F711E09EEDCA291AA36945"/>
      <w:bookmarkStart w:id="232" w:name="I2574323043F711E09EEDCA291AA36945"/>
      <w:bookmarkStart w:id="233" w:name="I2572AB9343F711E09EEDCA291AA36945"/>
      <w:bookmarkStart w:id="234" w:name="I2574805043F711E09EEDCA291AA36945"/>
      <w:bookmarkStart w:id="235" w:name="I2572AB9443F711E09EEDCA291AA36945"/>
      <w:bookmarkStart w:id="236" w:name="I2574A76043F711E09EEDCA291AA36945"/>
      <w:bookmarkStart w:id="237" w:name="I2572AB9543F711E09EEDCA291AA36945"/>
      <w:bookmarkStart w:id="238" w:name="I2574CE7043F711E09EEDCA291AA36945"/>
      <w:bookmarkStart w:id="239" w:name="I2572AB9643F711E09EEDCA291AA36945"/>
      <w:bookmarkStart w:id="240" w:name="I2574F58043F711E09EEDCA291AA36945"/>
      <w:bookmarkStart w:id="241" w:name="I2572D2A043F711E09EEDCA291AA36945"/>
      <w:bookmarkStart w:id="242" w:name="I25751C9043F711E09EEDCA291AA36945"/>
      <w:bookmarkStart w:id="243" w:name="I2572D2A143F711E09EEDCA291AA36945"/>
      <w:bookmarkStart w:id="244" w:name="I257543A043F711E09EEDCA291AA36945"/>
      <w:bookmarkStart w:id="245" w:name="I2572D2A243F711E09EEDCA291AA36945"/>
      <w:bookmarkStart w:id="246" w:name="I25756AB043F711E09EEDCA291AA36945"/>
      <w:bookmarkStart w:id="247" w:name="I2572D2A343F711E09EEDCA291AA36945"/>
      <w:bookmarkStart w:id="248" w:name="SP;732f0000e3572"/>
      <w:bookmarkStart w:id="249" w:name="I257591C043F711E09EEDCA291AA36945"/>
      <w:bookmarkStart w:id="250" w:name="I2572D2A443F711E09EEDCA291AA36945"/>
      <w:bookmarkStart w:id="251" w:name="SP;fdce000026d86"/>
      <w:bookmarkStart w:id="252" w:name="I2575B8D043F711E09EEDCA291AA36945"/>
      <w:bookmarkStart w:id="253" w:name="I2572D2A543F711E09EEDCA291AA36945"/>
      <w:bookmarkStart w:id="254" w:name="SP;1d77000020cc6"/>
      <w:bookmarkStart w:id="255" w:name="I2575DFE043F711E09EEDCA291AA36945"/>
      <w:bookmarkStart w:id="256" w:name="I2572D2A643F711E09EEDCA291AA36945"/>
      <w:bookmarkStart w:id="257" w:name="SP;3bfd0000d0fd7"/>
      <w:bookmarkStart w:id="258" w:name="I25762E0043F711E09EEDCA291AA36945"/>
      <w:bookmarkStart w:id="259" w:name="I2572D2A743F711E09EEDCA291AA36945"/>
      <w:bookmarkStart w:id="260" w:name="SP;976400001d241"/>
      <w:bookmarkStart w:id="261" w:name="I2576551043F711E09EEDCA291AA36945"/>
      <w:bookmarkStart w:id="262" w:name="I2572D2A843F711E09EEDCA291AA36945"/>
      <w:bookmarkStart w:id="263" w:name="SP;e4fa0000ffa55"/>
      <w:bookmarkStart w:id="264" w:name="I25767C2043F711E09EEDCA291AA36945"/>
      <w:bookmarkStart w:id="265" w:name="I2572D2A943F711E09EEDCA291AA36945"/>
      <w:bookmarkStart w:id="266" w:name="SP;3d8b000000090"/>
      <w:bookmarkStart w:id="267" w:name="I2576A33043F711E09EEDCA291AA36945"/>
      <w:bookmarkStart w:id="268" w:name="I2572D2AA43F711E09EEDCA291AA36945"/>
      <w:bookmarkStart w:id="269" w:name="SP;5adc000001723"/>
      <w:bookmarkStart w:id="270" w:name="I2576CA4043F711E09EEDCA291AA36945"/>
      <w:bookmarkStart w:id="271" w:name="I2572D2AB43F711E09EEDCA291AA36945"/>
      <w:bookmarkStart w:id="272" w:name="SP;a8a700001b733"/>
      <w:bookmarkStart w:id="273" w:name="I2576F15043F711E09EEDCA291AA36945"/>
      <w:bookmarkStart w:id="274" w:name="I2572D2AC43F711E09EEDCA291AA36945"/>
      <w:bookmarkStart w:id="275" w:name="SP;c812000032010"/>
      <w:bookmarkStart w:id="276" w:name="I2577186043F711E09EEDCA291AA36945"/>
      <w:bookmarkStart w:id="277" w:name="I2572F9B043F711E09EEDCA291AA36945"/>
      <w:bookmarkStart w:id="278" w:name="SP;a60800004f1c0"/>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5A3237" w:rsidRDefault="005A3237" w:rsidP="004C365E">
      <w:pPr>
        <w:widowControl/>
        <w:outlineLvl w:val="3"/>
        <w:rPr>
          <w:rFonts w:cs="Arial"/>
        </w:rPr>
      </w:pPr>
    </w:p>
    <w:p w:rsidR="007E79EC" w:rsidRDefault="007E79EC" w:rsidP="004C365E">
      <w:pPr>
        <w:widowControl/>
        <w:outlineLvl w:val="3"/>
        <w:rPr>
          <w:rFonts w:cs="Arial"/>
        </w:rPr>
      </w:pPr>
      <w:r>
        <w:rPr>
          <w:rFonts w:cs="Arial"/>
        </w:rPr>
        <w:t xml:space="preserve">Part 63 </w:t>
      </w:r>
      <w:r>
        <w:rPr>
          <w:spacing w:val="-2"/>
        </w:rPr>
        <w:t>—</w:t>
      </w:r>
      <w:r>
        <w:rPr>
          <w:rFonts w:cs="Arial"/>
        </w:rPr>
        <w:t xml:space="preserve"> EXTENSION OF LINES, NEW LINES, AND DISCONTINUANCE, REDUCTION, OUTAGE AND IMPAIRMENT OF SERVICE BY COMMON CARRIERS; AND GRANTS OF RECOGNIZED PR</w:t>
      </w:r>
      <w:r w:rsidR="003D0BEF">
        <w:rPr>
          <w:rFonts w:cs="Arial"/>
        </w:rPr>
        <w:t>I</w:t>
      </w:r>
      <w:r>
        <w:rPr>
          <w:rFonts w:cs="Arial"/>
        </w:rPr>
        <w:t>VATE OPERATING AGENCY STATUS</w:t>
      </w:r>
    </w:p>
    <w:p w:rsidR="007E79EC" w:rsidRDefault="007E79EC" w:rsidP="004C365E">
      <w:pPr>
        <w:widowControl/>
        <w:outlineLvl w:val="3"/>
        <w:rPr>
          <w:bCs/>
        </w:rPr>
      </w:pPr>
    </w:p>
    <w:p w:rsidR="007E79EC" w:rsidRDefault="007E79EC" w:rsidP="004C365E">
      <w:pPr>
        <w:widowControl/>
        <w:outlineLvl w:val="3"/>
        <w:rPr>
          <w:bCs/>
        </w:rPr>
      </w:pPr>
      <w:r>
        <w:rPr>
          <w:bCs/>
        </w:rPr>
        <w:t>Part 63 of Title 47 of the Code of Federal Regulations is amended as follows:</w:t>
      </w:r>
    </w:p>
    <w:p w:rsidR="007E79EC" w:rsidRDefault="007E79EC" w:rsidP="004C365E">
      <w:pPr>
        <w:widowControl/>
        <w:outlineLvl w:val="3"/>
        <w:rPr>
          <w:bCs/>
        </w:rPr>
      </w:pPr>
    </w:p>
    <w:p w:rsidR="007E79EC" w:rsidRDefault="007E79EC" w:rsidP="004C365E">
      <w:pPr>
        <w:widowControl/>
        <w:numPr>
          <w:ilvl w:val="0"/>
          <w:numId w:val="37"/>
        </w:numPr>
        <w:outlineLvl w:val="3"/>
        <w:rPr>
          <w:sz w:val="24"/>
          <w:szCs w:val="24"/>
        </w:rPr>
      </w:pPr>
      <w:r w:rsidRPr="00C51C39">
        <w:rPr>
          <w:color w:val="000000"/>
        </w:rPr>
        <w:t xml:space="preserve">Amend Section </w:t>
      </w:r>
      <w:r>
        <w:t>63.60(c)</w:t>
      </w:r>
      <w:r w:rsidRPr="00D94448">
        <w:t xml:space="preserve"> </w:t>
      </w:r>
      <w:r>
        <w:t>to read as follows:</w:t>
      </w:r>
    </w:p>
    <w:p w:rsidR="007E79EC" w:rsidRDefault="007E79EC" w:rsidP="004C365E">
      <w:pPr>
        <w:widowControl/>
        <w:outlineLvl w:val="3"/>
        <w:rPr>
          <w:sz w:val="24"/>
          <w:szCs w:val="24"/>
        </w:rPr>
      </w:pPr>
    </w:p>
    <w:p w:rsidR="007E79EC" w:rsidRPr="00754AD3" w:rsidRDefault="007C3983" w:rsidP="004C365E">
      <w:pPr>
        <w:widowControl/>
      </w:pPr>
      <w:r w:rsidRPr="007C3983">
        <w:rPr>
          <w:szCs w:val="24"/>
        </w:rPr>
        <w:t>§ </w:t>
      </w:r>
      <w:r w:rsidR="007E79EC" w:rsidRPr="00754AD3">
        <w:t>63.60 Definitions.</w:t>
      </w:r>
    </w:p>
    <w:p w:rsidR="007E79EC" w:rsidRDefault="007E79EC" w:rsidP="004C365E">
      <w:pPr>
        <w:widowControl/>
        <w:outlineLvl w:val="3"/>
      </w:pPr>
    </w:p>
    <w:p w:rsidR="007E79EC" w:rsidRPr="00754AD3" w:rsidRDefault="007E79EC" w:rsidP="004C365E">
      <w:pPr>
        <w:widowControl/>
      </w:pPr>
      <w:bookmarkStart w:id="279" w:name="I5173DB92297411E4894AABDB93720085"/>
      <w:bookmarkEnd w:id="279"/>
      <w:r w:rsidRPr="00754AD3">
        <w:t>For the purposes of this part, the following definitions shall apply:</w:t>
      </w:r>
    </w:p>
    <w:p w:rsidR="007E79EC" w:rsidRPr="00754AD3" w:rsidRDefault="007E79EC" w:rsidP="004C365E">
      <w:pPr>
        <w:widowControl/>
      </w:pPr>
    </w:p>
    <w:p w:rsidR="00D77D28" w:rsidRDefault="00D77D28" w:rsidP="004C365E">
      <w:pPr>
        <w:widowControl/>
        <w:rPr>
          <w:szCs w:val="22"/>
        </w:rPr>
      </w:pPr>
      <w:bookmarkStart w:id="280" w:name="IC3D627D043F711E083E0CD9471F91F0D"/>
      <w:bookmarkStart w:id="281" w:name="IC3D5648243F711E083E0CD9471F91F0D"/>
      <w:bookmarkStart w:id="282" w:name="SP;8b3b0000958a4"/>
      <w:bookmarkStart w:id="283" w:name="IC3D64EE043F711E083E0CD9471F91F0D"/>
      <w:bookmarkStart w:id="284" w:name="IC3D5648343F711E083E0CD9471F91F0D"/>
      <w:bookmarkStart w:id="285" w:name="IC3D675F043F711E083E0CD9471F91F0D"/>
      <w:bookmarkStart w:id="286" w:name="IC3D5648443F711E083E0CD9471F91F0D"/>
      <w:bookmarkStart w:id="287" w:name="IC3D6C41043F711E083E0CD9471F91F0D"/>
      <w:bookmarkStart w:id="288" w:name="IC3D5648543F711E083E0CD9471F91F0D"/>
      <w:bookmarkStart w:id="289" w:name="IC3D6EB2043F711E083E0CD9471F91F0D"/>
      <w:bookmarkStart w:id="290" w:name="IC3D5648643F711E083E0CD9471F91F0D"/>
      <w:bookmarkStart w:id="291" w:name="IC3D7123043F711E083E0CD9471F91F0D"/>
      <w:bookmarkStart w:id="292" w:name="IC3D5648743F711E083E0CD9471F91F0D"/>
      <w:bookmarkStart w:id="293" w:name="IC3D7394043F711E083E0CD9471F91F0D"/>
      <w:bookmarkStart w:id="294" w:name="IC3D5648843F711E083E0CD9471F91F0D"/>
      <w:bookmarkStart w:id="295" w:name="IC3D7605043F711E083E0CD9471F91F0D"/>
      <w:bookmarkStart w:id="296" w:name="IC3D58B9043F711E083E0CD9471F91F0D"/>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szCs w:val="22"/>
        </w:rPr>
        <w:t>* * * * *</w:t>
      </w:r>
    </w:p>
    <w:p w:rsidR="007E79EC" w:rsidRPr="00754AD3" w:rsidRDefault="007E79EC" w:rsidP="004C365E">
      <w:pPr>
        <w:widowControl/>
      </w:pPr>
    </w:p>
    <w:p w:rsidR="007E79EC" w:rsidRDefault="007E79EC" w:rsidP="004C365E">
      <w:pPr>
        <w:widowControl/>
      </w:pPr>
      <w:r w:rsidRPr="00754AD3">
        <w:t xml:space="preserve">(c) Emergency discontinuance, reduction, or impairment of service means any discontinuance, reduction, or impairment of the service of a carrier occasioned by conditions beyond the control of such carrier where the original service is not restored or comparable service is not established within a reasonable time. </w:t>
      </w:r>
      <w:r w:rsidR="00A207F6">
        <w:t xml:space="preserve"> </w:t>
      </w:r>
      <w:r w:rsidRPr="00754AD3">
        <w:t>For the purpose of this part, a reasonable time shall be deemed to be a period not in excess of the following:</w:t>
      </w:r>
      <w:r>
        <w:t xml:space="preserve"> </w:t>
      </w:r>
      <w:r w:rsidRPr="00754AD3">
        <w:t xml:space="preserve"> 10 days in the case of public coast stations; and 60 days in all other cases;</w:t>
      </w:r>
      <w:r w:rsidR="00D77D28">
        <w:t xml:space="preserve"> </w:t>
      </w:r>
    </w:p>
    <w:p w:rsidR="00D77D28" w:rsidRDefault="00D77D28" w:rsidP="004C365E">
      <w:pPr>
        <w:widowControl/>
        <w:rPr>
          <w:szCs w:val="22"/>
        </w:rPr>
      </w:pPr>
    </w:p>
    <w:p w:rsidR="00D77D28" w:rsidRDefault="00D77D28" w:rsidP="004C365E">
      <w:pPr>
        <w:widowControl/>
        <w:rPr>
          <w:szCs w:val="22"/>
        </w:rPr>
      </w:pPr>
      <w:r>
        <w:rPr>
          <w:szCs w:val="22"/>
        </w:rPr>
        <w:t>* * * * *</w:t>
      </w:r>
    </w:p>
    <w:p w:rsidR="007E79EC" w:rsidRDefault="007E79EC" w:rsidP="004C365E">
      <w:pPr>
        <w:widowControl/>
        <w:outlineLvl w:val="3"/>
        <w:rPr>
          <w:sz w:val="24"/>
          <w:szCs w:val="24"/>
        </w:rPr>
      </w:pPr>
    </w:p>
    <w:p w:rsidR="007E79EC" w:rsidRPr="00754AD3" w:rsidRDefault="007E79EC" w:rsidP="004C365E">
      <w:pPr>
        <w:widowControl/>
        <w:numPr>
          <w:ilvl w:val="0"/>
          <w:numId w:val="37"/>
        </w:numPr>
        <w:outlineLvl w:val="3"/>
        <w:rPr>
          <w:sz w:val="24"/>
          <w:szCs w:val="24"/>
        </w:rPr>
      </w:pPr>
      <w:r w:rsidRPr="00C51C39">
        <w:rPr>
          <w:color w:val="000000"/>
        </w:rPr>
        <w:t xml:space="preserve">Amend Section </w:t>
      </w:r>
      <w:r>
        <w:t>63.61</w:t>
      </w:r>
      <w:r w:rsidRPr="00D94448">
        <w:t xml:space="preserve"> </w:t>
      </w:r>
      <w:r>
        <w:t>to read as follows:</w:t>
      </w:r>
    </w:p>
    <w:p w:rsidR="007E79EC" w:rsidRPr="00072961" w:rsidRDefault="007E79EC" w:rsidP="004C365E">
      <w:pPr>
        <w:widowControl/>
      </w:pPr>
    </w:p>
    <w:p w:rsidR="007E79EC" w:rsidRPr="00754AD3" w:rsidRDefault="00750A21" w:rsidP="004C365E">
      <w:pPr>
        <w:widowControl/>
      </w:pPr>
      <w:r>
        <w:rPr>
          <w:szCs w:val="24"/>
        </w:rPr>
        <w:t>§ </w:t>
      </w:r>
      <w:r w:rsidR="007E79EC" w:rsidRPr="00072961">
        <w:t>63.61</w:t>
      </w:r>
      <w:r w:rsidR="007E79EC">
        <w:t xml:space="preserve"> </w:t>
      </w:r>
      <w:r w:rsidR="007E79EC" w:rsidRPr="00754AD3">
        <w:t>Applicability.</w:t>
      </w:r>
    </w:p>
    <w:p w:rsidR="007C3983" w:rsidRDefault="007C3983" w:rsidP="004C365E">
      <w:pPr>
        <w:widowControl/>
      </w:pPr>
      <w:bookmarkStart w:id="297" w:name="I68FD8321297311E4894AABDB93720085"/>
      <w:bookmarkEnd w:id="297"/>
    </w:p>
    <w:p w:rsidR="007E79EC" w:rsidRDefault="007E79EC" w:rsidP="004C365E">
      <w:pPr>
        <w:widowControl/>
      </w:pPr>
      <w:r w:rsidRPr="00754AD3">
        <w:t xml:space="preserve">Any carrier subject to the provisions of section 214 of the Communications Act of 1934, as amended, proposing to discontinue, reduce or impair interstate or foreign telephone </w:t>
      </w:r>
      <w:r w:rsidR="003D0BEF">
        <w:t xml:space="preserve">service </w:t>
      </w:r>
      <w:r>
        <w:t>to</w:t>
      </w:r>
      <w:r w:rsidRPr="00754AD3">
        <w:t xml:space="preserve"> a community, or a part of a community, shall request authority therefor by formal application or informal request as specified in the pertinent sections of this part:</w:t>
      </w:r>
    </w:p>
    <w:p w:rsidR="007E79EC" w:rsidRPr="00754AD3" w:rsidRDefault="007E79EC" w:rsidP="004C365E">
      <w:pPr>
        <w:widowControl/>
      </w:pPr>
    </w:p>
    <w:p w:rsidR="00D77D28" w:rsidRDefault="00D77D28" w:rsidP="004C365E">
      <w:pPr>
        <w:widowControl/>
        <w:rPr>
          <w:szCs w:val="22"/>
        </w:rPr>
      </w:pPr>
      <w:bookmarkStart w:id="298" w:name="ICB7C9F0043F711E092CBADAD0A1577F5"/>
      <w:bookmarkStart w:id="299" w:name="ICB7BB4A243F711E092CBADAD0A1577F5"/>
      <w:bookmarkStart w:id="300" w:name="ICB7CED2043F711E092CBADAD0A1577F5"/>
      <w:bookmarkStart w:id="301" w:name="ICB7BB4A343F711E092CBADAD0A1577F5"/>
      <w:bookmarkStart w:id="302" w:name="ICB7D3B4043F711E092CBADAD0A1577F5"/>
      <w:bookmarkStart w:id="303" w:name="ICB7BDBB043F711E092CBADAD0A1577F5"/>
      <w:bookmarkStart w:id="304" w:name="ICB7D896043F711E092CBADAD0A1577F5"/>
      <w:bookmarkStart w:id="305" w:name="ICB7BDBB143F711E092CBADAD0A1577F5"/>
      <w:bookmarkEnd w:id="298"/>
      <w:bookmarkEnd w:id="299"/>
      <w:bookmarkEnd w:id="300"/>
      <w:bookmarkEnd w:id="301"/>
      <w:bookmarkEnd w:id="302"/>
      <w:bookmarkEnd w:id="303"/>
      <w:bookmarkEnd w:id="304"/>
      <w:bookmarkEnd w:id="305"/>
      <w:r>
        <w:rPr>
          <w:szCs w:val="22"/>
        </w:rPr>
        <w:t>* * * * *</w:t>
      </w:r>
    </w:p>
    <w:p w:rsidR="007E79EC" w:rsidRDefault="007E79EC" w:rsidP="004C365E">
      <w:pPr>
        <w:widowControl/>
        <w:outlineLvl w:val="3"/>
        <w:rPr>
          <w:sz w:val="24"/>
          <w:szCs w:val="24"/>
        </w:rPr>
      </w:pPr>
    </w:p>
    <w:p w:rsidR="007E79EC" w:rsidRPr="00754AD3" w:rsidRDefault="007E79EC" w:rsidP="004C365E">
      <w:pPr>
        <w:widowControl/>
        <w:numPr>
          <w:ilvl w:val="0"/>
          <w:numId w:val="37"/>
        </w:numPr>
        <w:outlineLvl w:val="3"/>
        <w:rPr>
          <w:sz w:val="24"/>
          <w:szCs w:val="24"/>
        </w:rPr>
      </w:pPr>
      <w:r w:rsidRPr="00C51C39">
        <w:rPr>
          <w:color w:val="000000"/>
        </w:rPr>
        <w:t xml:space="preserve">Amend </w:t>
      </w:r>
      <w:r>
        <w:rPr>
          <w:color w:val="000000"/>
        </w:rPr>
        <w:t xml:space="preserve">the heading of </w:t>
      </w:r>
      <w:r w:rsidRPr="00C51C39">
        <w:rPr>
          <w:color w:val="000000"/>
        </w:rPr>
        <w:t xml:space="preserve">Section </w:t>
      </w:r>
      <w:r>
        <w:t>63.62</w:t>
      </w:r>
      <w:r w:rsidRPr="00D94448">
        <w:t xml:space="preserve"> </w:t>
      </w:r>
      <w:r>
        <w:t>to read as follows:</w:t>
      </w:r>
    </w:p>
    <w:p w:rsidR="007E79EC" w:rsidRDefault="007E79EC" w:rsidP="004C365E">
      <w:pPr>
        <w:pStyle w:val="ListParagraph"/>
        <w:widowControl/>
        <w:ind w:left="0"/>
        <w:outlineLvl w:val="3"/>
        <w:rPr>
          <w:szCs w:val="24"/>
        </w:rPr>
      </w:pPr>
    </w:p>
    <w:p w:rsidR="007E79EC" w:rsidRPr="007C3983" w:rsidRDefault="007C3983" w:rsidP="004C365E">
      <w:pPr>
        <w:widowControl/>
        <w:tabs>
          <w:tab w:val="left" w:pos="0"/>
        </w:tabs>
        <w:outlineLvl w:val="3"/>
      </w:pPr>
      <w:r w:rsidRPr="007C3983">
        <w:rPr>
          <w:szCs w:val="24"/>
        </w:rPr>
        <w:t>§ </w:t>
      </w:r>
      <w:r w:rsidR="007E79EC" w:rsidRPr="007C3983">
        <w:t>63.62  Type of discontinuance, reduction, or impairment of telephone service requiring formal application.</w:t>
      </w:r>
    </w:p>
    <w:p w:rsidR="007C3983" w:rsidRDefault="007C3983" w:rsidP="004C365E">
      <w:pPr>
        <w:widowControl/>
        <w:outlineLvl w:val="3"/>
        <w:rPr>
          <w:sz w:val="24"/>
          <w:szCs w:val="24"/>
        </w:rPr>
      </w:pPr>
    </w:p>
    <w:p w:rsidR="007E79EC" w:rsidRPr="00AF61B1" w:rsidRDefault="007E79EC" w:rsidP="004C365E">
      <w:pPr>
        <w:widowControl/>
        <w:numPr>
          <w:ilvl w:val="0"/>
          <w:numId w:val="37"/>
        </w:numPr>
        <w:outlineLvl w:val="3"/>
        <w:rPr>
          <w:szCs w:val="24"/>
        </w:rPr>
      </w:pPr>
      <w:r w:rsidRPr="00AF61B1">
        <w:rPr>
          <w:szCs w:val="24"/>
        </w:rPr>
        <w:t xml:space="preserve">§ </w:t>
      </w:r>
      <w:r>
        <w:rPr>
          <w:szCs w:val="24"/>
        </w:rPr>
        <w:t>63.65</w:t>
      </w:r>
      <w:r w:rsidRPr="00AF61B1">
        <w:rPr>
          <w:szCs w:val="24"/>
        </w:rPr>
        <w:t xml:space="preserve"> </w:t>
      </w:r>
      <w:r w:rsidRPr="00E83356">
        <w:rPr>
          <w:b/>
          <w:szCs w:val="24"/>
        </w:rPr>
        <w:t>[Amended]</w:t>
      </w:r>
    </w:p>
    <w:p w:rsidR="007E79EC" w:rsidRDefault="007E79EC" w:rsidP="004C365E">
      <w:pPr>
        <w:widowControl/>
        <w:outlineLvl w:val="3"/>
        <w:rPr>
          <w:szCs w:val="24"/>
        </w:rPr>
      </w:pPr>
    </w:p>
    <w:p w:rsidR="007E79EC" w:rsidRPr="00156AEE" w:rsidRDefault="007C3983" w:rsidP="004C365E">
      <w:pPr>
        <w:widowControl/>
        <w:outlineLvl w:val="3"/>
        <w:rPr>
          <w:szCs w:val="24"/>
        </w:rPr>
      </w:pPr>
      <w:r>
        <w:rPr>
          <w:szCs w:val="24"/>
        </w:rPr>
        <w:t>In § </w:t>
      </w:r>
      <w:r w:rsidR="007E79EC">
        <w:rPr>
          <w:szCs w:val="24"/>
        </w:rPr>
        <w:t>63.65, remove and reserve paragraph (a)(4).</w:t>
      </w:r>
    </w:p>
    <w:p w:rsidR="007E79EC" w:rsidRDefault="007E79EC" w:rsidP="004C365E">
      <w:pPr>
        <w:widowControl/>
        <w:outlineLvl w:val="3"/>
        <w:rPr>
          <w:sz w:val="24"/>
          <w:szCs w:val="24"/>
        </w:rPr>
      </w:pPr>
    </w:p>
    <w:p w:rsidR="007E79EC" w:rsidRPr="00754AD3" w:rsidRDefault="007E79EC" w:rsidP="004C365E">
      <w:pPr>
        <w:widowControl/>
        <w:numPr>
          <w:ilvl w:val="0"/>
          <w:numId w:val="37"/>
        </w:numPr>
        <w:outlineLvl w:val="3"/>
        <w:rPr>
          <w:sz w:val="24"/>
          <w:szCs w:val="24"/>
        </w:rPr>
      </w:pPr>
      <w:r w:rsidRPr="00C51C39">
        <w:rPr>
          <w:color w:val="000000"/>
        </w:rPr>
        <w:t xml:space="preserve">Amend Section </w:t>
      </w:r>
      <w:r>
        <w:t>63.500(g)</w:t>
      </w:r>
      <w:r w:rsidRPr="00D94448">
        <w:t xml:space="preserve"> </w:t>
      </w:r>
      <w:r>
        <w:t>to read as follows:</w:t>
      </w:r>
    </w:p>
    <w:p w:rsidR="007E79EC" w:rsidRDefault="007E79EC" w:rsidP="004C365E">
      <w:pPr>
        <w:pStyle w:val="ListParagraph"/>
        <w:widowControl/>
        <w:ind w:left="0"/>
        <w:outlineLvl w:val="3"/>
        <w:rPr>
          <w:szCs w:val="24"/>
        </w:rPr>
      </w:pPr>
    </w:p>
    <w:p w:rsidR="007E79EC" w:rsidRPr="00754AD3" w:rsidRDefault="00750A21" w:rsidP="004C365E">
      <w:pPr>
        <w:pStyle w:val="ListParagraph"/>
        <w:widowControl/>
        <w:ind w:left="0"/>
        <w:outlineLvl w:val="3"/>
      </w:pPr>
      <w:r>
        <w:rPr>
          <w:szCs w:val="24"/>
        </w:rPr>
        <w:t>§ </w:t>
      </w:r>
      <w:r w:rsidR="007E79EC" w:rsidRPr="00D94448">
        <w:t>63.500</w:t>
      </w:r>
      <w:r w:rsidR="007E79EC" w:rsidRPr="00754AD3">
        <w:t xml:space="preserve"> Contents of applications to dismantle or remove a trunk line.</w:t>
      </w:r>
    </w:p>
    <w:p w:rsidR="007E79EC" w:rsidRPr="00754AD3" w:rsidRDefault="007E79EC" w:rsidP="004C365E">
      <w:pPr>
        <w:widowControl/>
      </w:pPr>
      <w:bookmarkStart w:id="306" w:name="I9794BD11297411E4894AABDB93720085"/>
      <w:bookmarkEnd w:id="306"/>
    </w:p>
    <w:p w:rsidR="007E79EC" w:rsidRPr="00754AD3" w:rsidRDefault="007E79EC" w:rsidP="004C365E">
      <w:pPr>
        <w:widowControl/>
      </w:pPr>
      <w:r w:rsidRPr="00754AD3">
        <w:t>The application shall contain:</w:t>
      </w:r>
    </w:p>
    <w:p w:rsidR="007E79EC" w:rsidRPr="00754AD3" w:rsidRDefault="007E79EC" w:rsidP="004C365E">
      <w:pPr>
        <w:widowControl/>
      </w:pPr>
    </w:p>
    <w:p w:rsidR="00D77D28" w:rsidRDefault="00D77D28" w:rsidP="004C365E">
      <w:pPr>
        <w:widowControl/>
        <w:rPr>
          <w:szCs w:val="22"/>
        </w:rPr>
      </w:pPr>
      <w:bookmarkStart w:id="307" w:name="ID86A8EC043F711E0BD55882394839CA2"/>
      <w:bookmarkStart w:id="308" w:name="ID869A46243F711E0BD55882394839CA2"/>
      <w:bookmarkStart w:id="309" w:name="ID86ADCE043F711E0BD55882394839CA2"/>
      <w:bookmarkStart w:id="310" w:name="ID869A46343F711E0BD55882394839CA2"/>
      <w:bookmarkStart w:id="311" w:name="ID86B03F043F711E0BD55882394839CA2"/>
      <w:bookmarkStart w:id="312" w:name="ID869A46443F711E0BD55882394839CA2"/>
      <w:bookmarkStart w:id="313" w:name="ID86B2B0043F711E0BD55882394839CA2"/>
      <w:bookmarkStart w:id="314" w:name="ID869A46543F711E0BD55882394839CA2"/>
      <w:bookmarkStart w:id="315" w:name="ID86B521043F711E0BD55882394839CA2"/>
      <w:bookmarkStart w:id="316" w:name="ID869A46643F711E0BD55882394839CA2"/>
      <w:bookmarkStart w:id="317" w:name="ID86B792043F711E0BD55882394839CA2"/>
      <w:bookmarkStart w:id="318" w:name="ID869A46743F711E0BD55882394839CA2"/>
      <w:bookmarkEnd w:id="307"/>
      <w:bookmarkEnd w:id="308"/>
      <w:bookmarkEnd w:id="309"/>
      <w:bookmarkEnd w:id="310"/>
      <w:bookmarkEnd w:id="311"/>
      <w:bookmarkEnd w:id="312"/>
      <w:bookmarkEnd w:id="313"/>
      <w:bookmarkEnd w:id="314"/>
      <w:bookmarkEnd w:id="315"/>
      <w:bookmarkEnd w:id="316"/>
      <w:bookmarkEnd w:id="317"/>
      <w:bookmarkEnd w:id="318"/>
      <w:r>
        <w:rPr>
          <w:szCs w:val="22"/>
        </w:rPr>
        <w:t>* * * * *</w:t>
      </w:r>
    </w:p>
    <w:p w:rsidR="007C3983" w:rsidRPr="00754AD3" w:rsidRDefault="007C3983" w:rsidP="004C365E">
      <w:pPr>
        <w:widowControl/>
      </w:pPr>
    </w:p>
    <w:p w:rsidR="007E79EC" w:rsidRDefault="007E79EC" w:rsidP="004C365E">
      <w:pPr>
        <w:widowControl/>
      </w:pPr>
      <w:bookmarkStart w:id="319" w:name="SP;16f4000091d86"/>
      <w:bookmarkEnd w:id="319"/>
      <w:r w:rsidRPr="00754AD3">
        <w:t>(g) Name of any other carrier or carriers providing telephone service to the community;</w:t>
      </w:r>
    </w:p>
    <w:p w:rsidR="003120F9" w:rsidRDefault="003120F9" w:rsidP="004C365E">
      <w:pPr>
        <w:widowControl/>
      </w:pPr>
    </w:p>
    <w:p w:rsidR="003120F9" w:rsidRDefault="003120F9" w:rsidP="004C365E">
      <w:pPr>
        <w:widowControl/>
        <w:rPr>
          <w:szCs w:val="22"/>
        </w:rPr>
      </w:pPr>
      <w:r>
        <w:rPr>
          <w:szCs w:val="22"/>
        </w:rPr>
        <w:t>* * * * *</w:t>
      </w:r>
    </w:p>
    <w:p w:rsidR="007E79EC" w:rsidRDefault="007E79EC" w:rsidP="004C365E">
      <w:pPr>
        <w:widowControl/>
        <w:outlineLvl w:val="3"/>
        <w:rPr>
          <w:sz w:val="24"/>
          <w:szCs w:val="24"/>
        </w:rPr>
      </w:pPr>
    </w:p>
    <w:p w:rsidR="007E79EC" w:rsidRPr="00754AD3" w:rsidRDefault="007E79EC" w:rsidP="004C365E">
      <w:pPr>
        <w:widowControl/>
        <w:numPr>
          <w:ilvl w:val="0"/>
          <w:numId w:val="37"/>
        </w:numPr>
        <w:outlineLvl w:val="3"/>
        <w:rPr>
          <w:sz w:val="24"/>
          <w:szCs w:val="24"/>
        </w:rPr>
      </w:pPr>
      <w:r w:rsidRPr="00C51C39">
        <w:rPr>
          <w:color w:val="000000"/>
        </w:rPr>
        <w:t xml:space="preserve">Amend Section </w:t>
      </w:r>
      <w:r>
        <w:t>63.501(g)</w:t>
      </w:r>
      <w:r w:rsidRPr="00D94448">
        <w:t xml:space="preserve"> </w:t>
      </w:r>
      <w:r>
        <w:t>to read as follows:</w:t>
      </w:r>
    </w:p>
    <w:p w:rsidR="007E79EC" w:rsidRDefault="007E79EC" w:rsidP="004C365E">
      <w:pPr>
        <w:widowControl/>
        <w:outlineLvl w:val="3"/>
        <w:rPr>
          <w:sz w:val="24"/>
          <w:szCs w:val="24"/>
        </w:rPr>
      </w:pPr>
    </w:p>
    <w:p w:rsidR="007E79EC" w:rsidRPr="00754AD3" w:rsidRDefault="007C3983" w:rsidP="004C365E">
      <w:pPr>
        <w:widowControl/>
        <w:outlineLvl w:val="3"/>
      </w:pPr>
      <w:r w:rsidRPr="007C3983">
        <w:rPr>
          <w:szCs w:val="24"/>
        </w:rPr>
        <w:t>§ </w:t>
      </w:r>
      <w:r w:rsidR="007E79EC">
        <w:t xml:space="preserve">63.501 </w:t>
      </w:r>
      <w:r w:rsidR="007E79EC" w:rsidRPr="00754AD3">
        <w:t>Contents of applications to sever physical connection or to terminate or suspend interchange of traffic with another carrier.</w:t>
      </w:r>
    </w:p>
    <w:p w:rsidR="007E79EC" w:rsidRPr="00754AD3" w:rsidRDefault="007E79EC" w:rsidP="004C365E">
      <w:pPr>
        <w:widowControl/>
      </w:pPr>
      <w:bookmarkStart w:id="320" w:name="I66800001297311E4894AABDB93720085"/>
      <w:bookmarkEnd w:id="320"/>
    </w:p>
    <w:p w:rsidR="007E79EC" w:rsidRPr="00754AD3" w:rsidRDefault="007E79EC" w:rsidP="004C365E">
      <w:pPr>
        <w:widowControl/>
      </w:pPr>
      <w:r w:rsidRPr="00754AD3">
        <w:t>The application shall contain:</w:t>
      </w:r>
    </w:p>
    <w:p w:rsidR="007E79EC" w:rsidRPr="00754AD3" w:rsidRDefault="007E79EC" w:rsidP="004C365E">
      <w:pPr>
        <w:widowControl/>
      </w:pPr>
    </w:p>
    <w:p w:rsidR="00D77D28" w:rsidRDefault="00D77D28" w:rsidP="004C365E">
      <w:pPr>
        <w:widowControl/>
        <w:rPr>
          <w:szCs w:val="22"/>
        </w:rPr>
      </w:pPr>
      <w:bookmarkStart w:id="321" w:name="ID877600043F711E09EEDCA291AA36945"/>
      <w:bookmarkStart w:id="322" w:name="ID87675A243F711E09EEDCA291AA36945"/>
      <w:bookmarkStart w:id="323" w:name="ID877871043F711E09EEDCA291AA36945"/>
      <w:bookmarkStart w:id="324" w:name="ID87675A343F711E09EEDCA291AA36945"/>
      <w:bookmarkStart w:id="325" w:name="ID877AE2043F711E09EEDCA291AA36945"/>
      <w:bookmarkStart w:id="326" w:name="ID87675A443F711E09EEDCA291AA36945"/>
      <w:bookmarkStart w:id="327" w:name="ID877D53043F711E09EEDCA291AA36945"/>
      <w:bookmarkStart w:id="328" w:name="ID87675A543F711E09EEDCA291AA36945"/>
      <w:bookmarkStart w:id="329" w:name="ID878235043F711E09EEDCA291AA36945"/>
      <w:bookmarkStart w:id="330" w:name="ID87675A643F711E09EEDCA291AA36945"/>
      <w:bookmarkStart w:id="331" w:name="ID8784A6043F711E09EEDCA291AA36945"/>
      <w:bookmarkStart w:id="332" w:name="ID87675A743F711E09EEDCA291AA36945"/>
      <w:bookmarkStart w:id="333" w:name="ID878717043F711E09EEDCA291AA36945"/>
      <w:bookmarkStart w:id="334" w:name="ID87675A843F711E09EEDCA291AA36945"/>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szCs w:val="22"/>
        </w:rPr>
        <w:t>* * * * *</w:t>
      </w:r>
    </w:p>
    <w:p w:rsidR="007E79EC" w:rsidRPr="00754AD3" w:rsidRDefault="007E79EC" w:rsidP="004C365E">
      <w:pPr>
        <w:widowControl/>
      </w:pPr>
    </w:p>
    <w:p w:rsidR="007E79EC" w:rsidRDefault="007E79EC" w:rsidP="004C365E">
      <w:pPr>
        <w:widowControl/>
      </w:pPr>
      <w:r w:rsidRPr="00754AD3">
        <w:t>(g) Name of any other carrier or carriers providing telephone service to the community;</w:t>
      </w:r>
    </w:p>
    <w:p w:rsidR="00CC76B5" w:rsidRDefault="00CC76B5" w:rsidP="004C365E">
      <w:pPr>
        <w:widowControl/>
      </w:pPr>
    </w:p>
    <w:p w:rsidR="00CC76B5" w:rsidRDefault="00CC76B5" w:rsidP="004C365E">
      <w:pPr>
        <w:widowControl/>
        <w:rPr>
          <w:szCs w:val="22"/>
        </w:rPr>
      </w:pPr>
      <w:r>
        <w:rPr>
          <w:szCs w:val="22"/>
        </w:rPr>
        <w:t>* * * * *</w:t>
      </w:r>
    </w:p>
    <w:p w:rsidR="007E79EC" w:rsidRDefault="007E79EC" w:rsidP="004C365E">
      <w:pPr>
        <w:widowControl/>
        <w:outlineLvl w:val="3"/>
        <w:rPr>
          <w:bCs/>
        </w:rPr>
      </w:pPr>
    </w:p>
    <w:p w:rsidR="007E79EC" w:rsidRPr="00754AD3" w:rsidRDefault="007E79EC" w:rsidP="004C365E">
      <w:pPr>
        <w:widowControl/>
        <w:numPr>
          <w:ilvl w:val="0"/>
          <w:numId w:val="37"/>
        </w:numPr>
        <w:outlineLvl w:val="3"/>
        <w:rPr>
          <w:sz w:val="24"/>
          <w:szCs w:val="24"/>
        </w:rPr>
      </w:pPr>
      <w:r w:rsidRPr="00C51C39">
        <w:rPr>
          <w:color w:val="000000"/>
        </w:rPr>
        <w:t xml:space="preserve">Amend Section </w:t>
      </w:r>
      <w:r>
        <w:t>63.504(k)</w:t>
      </w:r>
      <w:r w:rsidRPr="00D94448">
        <w:t xml:space="preserve"> </w:t>
      </w:r>
      <w:r>
        <w:t>to read as follows:</w:t>
      </w:r>
    </w:p>
    <w:p w:rsidR="007C3983" w:rsidRDefault="007C3983" w:rsidP="004C365E">
      <w:pPr>
        <w:widowControl/>
        <w:outlineLvl w:val="3"/>
        <w:rPr>
          <w:sz w:val="24"/>
          <w:szCs w:val="24"/>
        </w:rPr>
      </w:pPr>
    </w:p>
    <w:p w:rsidR="007E79EC" w:rsidRPr="00754AD3" w:rsidRDefault="007C3983" w:rsidP="004C365E">
      <w:pPr>
        <w:widowControl/>
        <w:outlineLvl w:val="3"/>
      </w:pPr>
      <w:r w:rsidRPr="007C3983">
        <w:rPr>
          <w:szCs w:val="24"/>
        </w:rPr>
        <w:t>§ </w:t>
      </w:r>
      <w:r w:rsidR="007E79EC" w:rsidRPr="00D94448">
        <w:t>63.504</w:t>
      </w:r>
      <w:r w:rsidR="007E79EC">
        <w:t xml:space="preserve"> </w:t>
      </w:r>
      <w:r w:rsidR="007E79EC" w:rsidRPr="00754AD3">
        <w:t>Contents of applications to close a public toll station where no other such toll station of the applicant in the community will continue service and where telephone toll service is not otherwise available to the public through a telephone exchange connected with the toll lines of a carrier.</w:t>
      </w:r>
    </w:p>
    <w:p w:rsidR="007C3983" w:rsidRDefault="007C3983" w:rsidP="004C365E">
      <w:pPr>
        <w:widowControl/>
      </w:pPr>
      <w:bookmarkStart w:id="335" w:name="I2DA5CAB1297511E4894AABDB93720085"/>
      <w:bookmarkEnd w:id="335"/>
    </w:p>
    <w:p w:rsidR="007E79EC" w:rsidRPr="00754AD3" w:rsidRDefault="007E79EC" w:rsidP="004C365E">
      <w:pPr>
        <w:widowControl/>
      </w:pPr>
      <w:r w:rsidRPr="00754AD3">
        <w:t>The application shall contain:</w:t>
      </w:r>
    </w:p>
    <w:p w:rsidR="007E79EC" w:rsidRPr="00754AD3" w:rsidRDefault="007E79EC" w:rsidP="004C365E">
      <w:pPr>
        <w:widowControl/>
      </w:pPr>
    </w:p>
    <w:p w:rsidR="00D77D28" w:rsidRDefault="00D77D28" w:rsidP="004C365E">
      <w:pPr>
        <w:widowControl/>
        <w:rPr>
          <w:szCs w:val="22"/>
        </w:rPr>
      </w:pPr>
      <w:bookmarkStart w:id="336" w:name="ID89DFAD043F711E0BD55882394839CA2"/>
      <w:bookmarkStart w:id="337" w:name="ID89D378043F711E0BD55882394839CA2"/>
      <w:bookmarkStart w:id="338" w:name="ID89E21E043F711E0BD55882394839CA2"/>
      <w:bookmarkStart w:id="339" w:name="ID89D378143F711E0BD55882394839CA2"/>
      <w:bookmarkStart w:id="340" w:name="ID89E48F043F711E0BD55882394839CA2"/>
      <w:bookmarkStart w:id="341" w:name="ID89D378243F711E0BD55882394839CA2"/>
      <w:bookmarkStart w:id="342" w:name="ID89E700043F711E0BD55882394839CA2"/>
      <w:bookmarkStart w:id="343" w:name="ID89D378343F711E0BD55882394839CA2"/>
      <w:bookmarkStart w:id="344" w:name="ID89E971043F711E0BD55882394839CA2"/>
      <w:bookmarkStart w:id="345" w:name="ID89D378443F711E0BD55882394839CA2"/>
      <w:bookmarkStart w:id="346" w:name="ID89EE53043F711E0BD55882394839CA2"/>
      <w:bookmarkStart w:id="347" w:name="ID89D378543F711E0BD55882394839CA2"/>
      <w:bookmarkStart w:id="348" w:name="ID89F0C4043F711E0BD55882394839CA2"/>
      <w:bookmarkStart w:id="349" w:name="ID89D378643F711E0BD55882394839CA2"/>
      <w:bookmarkStart w:id="350" w:name="ID89F335043F711E0BD55882394839CA2"/>
      <w:bookmarkStart w:id="351" w:name="ID89D378743F711E0BD55882394839CA2"/>
      <w:bookmarkStart w:id="352" w:name="SP;f383000077b35"/>
      <w:bookmarkStart w:id="353" w:name="ID89F5A6043F711E0BD55882394839CA2"/>
      <w:bookmarkStart w:id="354" w:name="ID89D378843F711E0BD55882394839CA2"/>
      <w:bookmarkStart w:id="355" w:name="SP;17a3000024864"/>
      <w:bookmarkStart w:id="356" w:name="ID89F817043F711E0BD55882394839CA2"/>
      <w:bookmarkStart w:id="357" w:name="ID89D378943F711E0BD55882394839CA2"/>
      <w:bookmarkStart w:id="358" w:name="SP;267600008f864"/>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szCs w:val="22"/>
        </w:rPr>
        <w:t>* * * * *</w:t>
      </w:r>
    </w:p>
    <w:p w:rsidR="007C3983" w:rsidRPr="00754AD3" w:rsidRDefault="007C3983" w:rsidP="004C365E">
      <w:pPr>
        <w:widowControl/>
      </w:pPr>
    </w:p>
    <w:p w:rsidR="007E79EC" w:rsidRPr="00754AD3" w:rsidRDefault="007E79EC" w:rsidP="004C365E">
      <w:pPr>
        <w:widowControl/>
      </w:pPr>
      <w:bookmarkStart w:id="359" w:name="SP;340a00009b6f3"/>
      <w:bookmarkEnd w:id="359"/>
      <w:r w:rsidRPr="00754AD3">
        <w:t xml:space="preserve">(k) Description of the service involved, including a statement of the number of toll telephone </w:t>
      </w:r>
      <w:r w:rsidR="003D0BEF">
        <w:t xml:space="preserve">messages </w:t>
      </w:r>
      <w:r w:rsidRPr="00754AD3">
        <w:t>sent-paid and received-collect, and the revenues from such traffic, in connection with the service proposed to be discontinued for each of the past 6 months; and, if the volume of such traffic handled in the area has decreased during recent years, the reasons therefor.</w:t>
      </w:r>
    </w:p>
    <w:p w:rsidR="003120F9" w:rsidRDefault="003120F9" w:rsidP="004C365E">
      <w:pPr>
        <w:widowControl/>
        <w:rPr>
          <w:szCs w:val="22"/>
        </w:rPr>
      </w:pPr>
    </w:p>
    <w:p w:rsidR="003120F9" w:rsidRDefault="003120F9" w:rsidP="004C365E">
      <w:pPr>
        <w:widowControl/>
        <w:rPr>
          <w:szCs w:val="22"/>
        </w:rPr>
      </w:pPr>
      <w:r>
        <w:rPr>
          <w:szCs w:val="22"/>
        </w:rPr>
        <w:t>* * * * *</w:t>
      </w:r>
    </w:p>
    <w:p w:rsidR="007E79EC" w:rsidRDefault="007E79EC" w:rsidP="004C365E">
      <w:pPr>
        <w:widowControl/>
        <w:outlineLvl w:val="3"/>
        <w:rPr>
          <w:bCs/>
        </w:rPr>
      </w:pPr>
    </w:p>
    <w:p w:rsidR="00CC76B5" w:rsidRDefault="00CC76B5" w:rsidP="004C365E">
      <w:pPr>
        <w:widowControl/>
        <w:outlineLvl w:val="3"/>
        <w:rPr>
          <w:rFonts w:cs="Arial"/>
        </w:rPr>
      </w:pPr>
    </w:p>
    <w:p w:rsidR="007E79EC" w:rsidRDefault="007E79EC" w:rsidP="004C365E">
      <w:pPr>
        <w:widowControl/>
        <w:outlineLvl w:val="3"/>
        <w:rPr>
          <w:rFonts w:cs="Arial"/>
        </w:rPr>
      </w:pPr>
      <w:r>
        <w:rPr>
          <w:rFonts w:cs="Arial"/>
        </w:rPr>
        <w:t xml:space="preserve">Part 64 </w:t>
      </w:r>
      <w:r>
        <w:rPr>
          <w:spacing w:val="-2"/>
        </w:rPr>
        <w:t>—</w:t>
      </w:r>
      <w:r>
        <w:rPr>
          <w:rFonts w:cs="Arial"/>
        </w:rPr>
        <w:t xml:space="preserve"> MISCELLANEOUS RULES RELATING TO COMMON CARRIERS</w:t>
      </w:r>
    </w:p>
    <w:p w:rsidR="007E79EC" w:rsidRDefault="007E79EC" w:rsidP="004C365E">
      <w:pPr>
        <w:widowControl/>
        <w:outlineLvl w:val="3"/>
        <w:rPr>
          <w:bCs/>
        </w:rPr>
      </w:pPr>
    </w:p>
    <w:p w:rsidR="007E79EC" w:rsidRDefault="007E79EC" w:rsidP="004C365E">
      <w:pPr>
        <w:widowControl/>
        <w:outlineLvl w:val="3"/>
        <w:rPr>
          <w:bCs/>
        </w:rPr>
      </w:pPr>
      <w:r>
        <w:rPr>
          <w:bCs/>
        </w:rPr>
        <w:t>Part 64 of Title 47 of the Code of Federal Regulations is amended as follows:</w:t>
      </w:r>
    </w:p>
    <w:p w:rsidR="007E79EC" w:rsidRDefault="007E79EC" w:rsidP="004C365E">
      <w:pPr>
        <w:widowControl/>
        <w:outlineLvl w:val="3"/>
        <w:rPr>
          <w:szCs w:val="24"/>
        </w:rPr>
      </w:pPr>
    </w:p>
    <w:p w:rsidR="003C201F" w:rsidRPr="003C201F" w:rsidRDefault="003C201F" w:rsidP="003C201F">
      <w:pPr>
        <w:widowControl/>
        <w:numPr>
          <w:ilvl w:val="0"/>
          <w:numId w:val="37"/>
        </w:numPr>
        <w:outlineLvl w:val="3"/>
        <w:rPr>
          <w:szCs w:val="24"/>
        </w:rPr>
      </w:pPr>
      <w:r w:rsidRPr="003C201F">
        <w:rPr>
          <w:szCs w:val="24"/>
        </w:rPr>
        <w:t xml:space="preserve">Remove and reserve subpart </w:t>
      </w:r>
      <w:r>
        <w:rPr>
          <w:szCs w:val="24"/>
        </w:rPr>
        <w:t>A</w:t>
      </w:r>
      <w:r w:rsidRPr="003C201F">
        <w:rPr>
          <w:szCs w:val="24"/>
        </w:rPr>
        <w:t>, consisting of section 64.1.</w:t>
      </w:r>
    </w:p>
    <w:p w:rsidR="003C201F" w:rsidRDefault="003C201F" w:rsidP="00B031DD">
      <w:pPr>
        <w:widowControl/>
        <w:outlineLvl w:val="3"/>
        <w:rPr>
          <w:szCs w:val="24"/>
        </w:rPr>
      </w:pPr>
    </w:p>
    <w:p w:rsidR="003C201F" w:rsidRDefault="003C201F" w:rsidP="00B031DD">
      <w:pPr>
        <w:widowControl/>
        <w:outlineLvl w:val="3"/>
        <w:rPr>
          <w:szCs w:val="24"/>
        </w:rPr>
      </w:pPr>
      <w:r w:rsidRPr="003C201F">
        <w:rPr>
          <w:szCs w:val="24"/>
        </w:rPr>
        <w:t xml:space="preserve">Subpart </w:t>
      </w:r>
      <w:r>
        <w:rPr>
          <w:szCs w:val="24"/>
        </w:rPr>
        <w:t>A</w:t>
      </w:r>
      <w:r w:rsidRPr="003C201F">
        <w:rPr>
          <w:szCs w:val="24"/>
        </w:rPr>
        <w:t xml:space="preserve"> — Removed and Reserved.</w:t>
      </w:r>
    </w:p>
    <w:p w:rsidR="003C201F" w:rsidRPr="003C201F" w:rsidRDefault="003C201F" w:rsidP="00B031DD">
      <w:pPr>
        <w:widowControl/>
        <w:outlineLvl w:val="3"/>
        <w:rPr>
          <w:szCs w:val="24"/>
        </w:rPr>
      </w:pPr>
    </w:p>
    <w:p w:rsidR="007E79EC" w:rsidRPr="00AF61B1" w:rsidRDefault="007C3983" w:rsidP="00B031DD">
      <w:pPr>
        <w:widowControl/>
        <w:outlineLvl w:val="3"/>
        <w:rPr>
          <w:szCs w:val="24"/>
        </w:rPr>
      </w:pPr>
      <w:r>
        <w:rPr>
          <w:szCs w:val="24"/>
        </w:rPr>
        <w:t>§ </w:t>
      </w:r>
      <w:r w:rsidR="007E79EC">
        <w:rPr>
          <w:szCs w:val="24"/>
        </w:rPr>
        <w:t>64</w:t>
      </w:r>
      <w:r w:rsidR="007E79EC" w:rsidRPr="00AF61B1">
        <w:rPr>
          <w:szCs w:val="24"/>
        </w:rPr>
        <w:t>.</w:t>
      </w:r>
      <w:r w:rsidR="007E79EC">
        <w:rPr>
          <w:szCs w:val="24"/>
        </w:rPr>
        <w:t>1</w:t>
      </w:r>
      <w:r w:rsidR="007E79EC" w:rsidRPr="00AF61B1">
        <w:rPr>
          <w:szCs w:val="24"/>
        </w:rPr>
        <w:t xml:space="preserve"> </w:t>
      </w:r>
      <w:r w:rsidR="007E79EC" w:rsidRPr="00AF61B1">
        <w:rPr>
          <w:b/>
          <w:szCs w:val="24"/>
        </w:rPr>
        <w:t>[Removed]</w:t>
      </w:r>
    </w:p>
    <w:p w:rsidR="007E79EC" w:rsidRDefault="007E79EC" w:rsidP="004C365E">
      <w:pPr>
        <w:widowControl/>
        <w:outlineLvl w:val="3"/>
        <w:rPr>
          <w:szCs w:val="24"/>
        </w:rPr>
      </w:pPr>
    </w:p>
    <w:p w:rsidR="007E79EC" w:rsidRDefault="007E79EC" w:rsidP="004C365E">
      <w:pPr>
        <w:widowControl/>
        <w:outlineLvl w:val="3"/>
        <w:rPr>
          <w:szCs w:val="24"/>
        </w:rPr>
      </w:pPr>
      <w:r>
        <w:rPr>
          <w:szCs w:val="24"/>
        </w:rPr>
        <w:t>Remove § 64.1.</w:t>
      </w:r>
    </w:p>
    <w:p w:rsidR="007C3983" w:rsidRDefault="007C3983" w:rsidP="004C365E">
      <w:pPr>
        <w:widowControl/>
        <w:outlineLvl w:val="3"/>
        <w:rPr>
          <w:szCs w:val="24"/>
        </w:rPr>
      </w:pPr>
    </w:p>
    <w:p w:rsidR="003C201F" w:rsidRPr="003C201F" w:rsidRDefault="003C201F" w:rsidP="003C201F">
      <w:pPr>
        <w:widowControl/>
        <w:numPr>
          <w:ilvl w:val="0"/>
          <w:numId w:val="37"/>
        </w:numPr>
        <w:outlineLvl w:val="3"/>
        <w:rPr>
          <w:szCs w:val="24"/>
        </w:rPr>
      </w:pPr>
      <w:r w:rsidRPr="003C201F">
        <w:rPr>
          <w:szCs w:val="24"/>
        </w:rPr>
        <w:t xml:space="preserve">Remove and reserve subpart </w:t>
      </w:r>
      <w:r>
        <w:rPr>
          <w:szCs w:val="24"/>
        </w:rPr>
        <w:t>C</w:t>
      </w:r>
      <w:r w:rsidRPr="003C201F">
        <w:rPr>
          <w:szCs w:val="24"/>
        </w:rPr>
        <w:t>, consisting of section 64.</w:t>
      </w:r>
      <w:r>
        <w:rPr>
          <w:szCs w:val="24"/>
        </w:rPr>
        <w:t>301</w:t>
      </w:r>
      <w:r w:rsidRPr="003C201F">
        <w:rPr>
          <w:szCs w:val="24"/>
        </w:rPr>
        <w:t>.</w:t>
      </w:r>
    </w:p>
    <w:p w:rsidR="003C201F" w:rsidRDefault="003C201F" w:rsidP="003C201F">
      <w:pPr>
        <w:widowControl/>
        <w:outlineLvl w:val="3"/>
        <w:rPr>
          <w:szCs w:val="24"/>
        </w:rPr>
      </w:pPr>
    </w:p>
    <w:p w:rsidR="003C201F" w:rsidRDefault="003C201F" w:rsidP="00B031DD">
      <w:pPr>
        <w:widowControl/>
        <w:outlineLvl w:val="3"/>
        <w:rPr>
          <w:szCs w:val="24"/>
        </w:rPr>
      </w:pPr>
      <w:r w:rsidRPr="003C201F">
        <w:rPr>
          <w:szCs w:val="24"/>
        </w:rPr>
        <w:t xml:space="preserve">Subpart </w:t>
      </w:r>
      <w:r>
        <w:rPr>
          <w:szCs w:val="24"/>
        </w:rPr>
        <w:t>C</w:t>
      </w:r>
      <w:r w:rsidRPr="003C201F">
        <w:rPr>
          <w:szCs w:val="24"/>
        </w:rPr>
        <w:t xml:space="preserve"> — Removed and Reserved</w:t>
      </w:r>
      <w:r w:rsidRPr="00AF61B1" w:rsidDel="003C201F">
        <w:rPr>
          <w:szCs w:val="24"/>
        </w:rPr>
        <w:t xml:space="preserve"> </w:t>
      </w:r>
    </w:p>
    <w:p w:rsidR="003C201F" w:rsidRDefault="003C201F" w:rsidP="00B031DD">
      <w:pPr>
        <w:widowControl/>
        <w:outlineLvl w:val="3"/>
        <w:rPr>
          <w:szCs w:val="24"/>
        </w:rPr>
      </w:pPr>
    </w:p>
    <w:p w:rsidR="007E79EC" w:rsidRPr="00AF61B1" w:rsidRDefault="007E79EC" w:rsidP="00B031DD">
      <w:pPr>
        <w:widowControl/>
        <w:outlineLvl w:val="3"/>
        <w:rPr>
          <w:szCs w:val="24"/>
        </w:rPr>
      </w:pPr>
      <w:r w:rsidRPr="00AF61B1">
        <w:rPr>
          <w:szCs w:val="24"/>
        </w:rPr>
        <w:t xml:space="preserve">§ </w:t>
      </w:r>
      <w:r>
        <w:rPr>
          <w:szCs w:val="24"/>
        </w:rPr>
        <w:t>64</w:t>
      </w:r>
      <w:r w:rsidRPr="00AF61B1">
        <w:rPr>
          <w:szCs w:val="24"/>
        </w:rPr>
        <w:t>.</w:t>
      </w:r>
      <w:r>
        <w:rPr>
          <w:szCs w:val="24"/>
        </w:rPr>
        <w:t>301</w:t>
      </w:r>
      <w:r w:rsidRPr="00AF61B1">
        <w:rPr>
          <w:szCs w:val="24"/>
        </w:rPr>
        <w:t xml:space="preserve"> </w:t>
      </w:r>
      <w:r w:rsidRPr="00AF61B1">
        <w:rPr>
          <w:b/>
          <w:szCs w:val="24"/>
        </w:rPr>
        <w:t>[Removed]</w:t>
      </w:r>
    </w:p>
    <w:p w:rsidR="007E79EC" w:rsidRDefault="007E79EC" w:rsidP="004C365E">
      <w:pPr>
        <w:widowControl/>
        <w:outlineLvl w:val="3"/>
        <w:rPr>
          <w:szCs w:val="24"/>
        </w:rPr>
      </w:pPr>
    </w:p>
    <w:p w:rsidR="007E79EC" w:rsidRPr="00331557" w:rsidRDefault="007E79EC" w:rsidP="00C368F2">
      <w:pPr>
        <w:widowControl/>
        <w:outlineLvl w:val="3"/>
        <w:rPr>
          <w:szCs w:val="24"/>
        </w:rPr>
      </w:pPr>
      <w:r>
        <w:rPr>
          <w:szCs w:val="24"/>
        </w:rPr>
        <w:t>Remove § 64.301.</w:t>
      </w:r>
    </w:p>
    <w:p w:rsidR="007E79EC" w:rsidRDefault="007E79EC" w:rsidP="005C3F6A">
      <w:pPr>
        <w:widowControl/>
        <w:outlineLvl w:val="3"/>
        <w:rPr>
          <w:szCs w:val="24"/>
        </w:rPr>
      </w:pPr>
    </w:p>
    <w:p w:rsidR="00E84763" w:rsidRPr="00E84763" w:rsidRDefault="00E84763" w:rsidP="00E84763">
      <w:pPr>
        <w:widowControl/>
        <w:numPr>
          <w:ilvl w:val="0"/>
          <w:numId w:val="37"/>
        </w:numPr>
        <w:outlineLvl w:val="3"/>
        <w:rPr>
          <w:szCs w:val="24"/>
        </w:rPr>
      </w:pPr>
      <w:r w:rsidRPr="00E84763">
        <w:rPr>
          <w:szCs w:val="24"/>
        </w:rPr>
        <w:t xml:space="preserve">Remove and reserve subpart </w:t>
      </w:r>
      <w:r>
        <w:rPr>
          <w:szCs w:val="24"/>
        </w:rPr>
        <w:t>E</w:t>
      </w:r>
      <w:r w:rsidRPr="00E84763">
        <w:rPr>
          <w:szCs w:val="24"/>
        </w:rPr>
        <w:t>, consisting of section 64.</w:t>
      </w:r>
      <w:r>
        <w:rPr>
          <w:szCs w:val="24"/>
        </w:rPr>
        <w:t>5</w:t>
      </w:r>
      <w:r w:rsidRPr="00E84763">
        <w:rPr>
          <w:szCs w:val="24"/>
        </w:rPr>
        <w:t>01.</w:t>
      </w:r>
    </w:p>
    <w:p w:rsidR="00E84763" w:rsidRPr="00E84763" w:rsidRDefault="00E84763" w:rsidP="00B031DD">
      <w:pPr>
        <w:widowControl/>
        <w:outlineLvl w:val="3"/>
        <w:rPr>
          <w:szCs w:val="24"/>
        </w:rPr>
      </w:pPr>
    </w:p>
    <w:p w:rsidR="00E84763" w:rsidRPr="00E84763" w:rsidRDefault="00E84763" w:rsidP="00B031DD">
      <w:pPr>
        <w:widowControl/>
        <w:outlineLvl w:val="3"/>
        <w:rPr>
          <w:szCs w:val="24"/>
        </w:rPr>
      </w:pPr>
      <w:r w:rsidRPr="00E84763">
        <w:rPr>
          <w:szCs w:val="24"/>
        </w:rPr>
        <w:t xml:space="preserve">Subpart </w:t>
      </w:r>
      <w:r>
        <w:rPr>
          <w:szCs w:val="24"/>
        </w:rPr>
        <w:t>E</w:t>
      </w:r>
      <w:r w:rsidRPr="00E84763">
        <w:rPr>
          <w:szCs w:val="24"/>
        </w:rPr>
        <w:t xml:space="preserve"> — Removed and Reserved </w:t>
      </w:r>
    </w:p>
    <w:p w:rsidR="00E84763" w:rsidRDefault="00E84763" w:rsidP="00B031DD">
      <w:pPr>
        <w:widowControl/>
        <w:outlineLvl w:val="3"/>
        <w:rPr>
          <w:szCs w:val="24"/>
        </w:rPr>
      </w:pPr>
    </w:p>
    <w:p w:rsidR="007E79EC" w:rsidRPr="00AF61B1" w:rsidRDefault="007E79EC" w:rsidP="00B031DD">
      <w:pPr>
        <w:widowControl/>
        <w:outlineLvl w:val="3"/>
        <w:rPr>
          <w:szCs w:val="24"/>
        </w:rPr>
      </w:pPr>
      <w:r w:rsidRPr="00AF61B1">
        <w:rPr>
          <w:szCs w:val="24"/>
        </w:rPr>
        <w:t xml:space="preserve">§ </w:t>
      </w:r>
      <w:r>
        <w:rPr>
          <w:szCs w:val="24"/>
        </w:rPr>
        <w:t>64</w:t>
      </w:r>
      <w:r w:rsidRPr="00AF61B1">
        <w:rPr>
          <w:szCs w:val="24"/>
        </w:rPr>
        <w:t>.</w:t>
      </w:r>
      <w:r>
        <w:rPr>
          <w:szCs w:val="24"/>
        </w:rPr>
        <w:t>501</w:t>
      </w:r>
      <w:r w:rsidRPr="00AF61B1">
        <w:rPr>
          <w:szCs w:val="24"/>
        </w:rPr>
        <w:t xml:space="preserve"> </w:t>
      </w:r>
      <w:r w:rsidRPr="00AF61B1">
        <w:rPr>
          <w:b/>
          <w:szCs w:val="24"/>
        </w:rPr>
        <w:t>[Removed]</w:t>
      </w:r>
    </w:p>
    <w:p w:rsidR="007E79EC" w:rsidRDefault="007E79EC" w:rsidP="00C368F2">
      <w:pPr>
        <w:widowControl/>
        <w:outlineLvl w:val="3"/>
        <w:rPr>
          <w:szCs w:val="24"/>
        </w:rPr>
      </w:pPr>
    </w:p>
    <w:p w:rsidR="007E79EC" w:rsidRPr="00331557" w:rsidRDefault="007E79EC" w:rsidP="005C3F6A">
      <w:pPr>
        <w:widowControl/>
        <w:outlineLvl w:val="3"/>
        <w:rPr>
          <w:szCs w:val="24"/>
        </w:rPr>
      </w:pPr>
      <w:r>
        <w:rPr>
          <w:szCs w:val="24"/>
        </w:rPr>
        <w:t>Remove § 64.501.</w:t>
      </w:r>
    </w:p>
    <w:p w:rsidR="007E79EC" w:rsidRDefault="007E79EC" w:rsidP="005C3F6A">
      <w:pPr>
        <w:pStyle w:val="ParaNum"/>
        <w:widowControl/>
        <w:numPr>
          <w:ilvl w:val="0"/>
          <w:numId w:val="0"/>
        </w:numPr>
        <w:spacing w:after="0"/>
      </w:pPr>
    </w:p>
    <w:p w:rsidR="007E79EC" w:rsidRPr="00AF61B1" w:rsidRDefault="007E79EC" w:rsidP="004C365E">
      <w:pPr>
        <w:keepNext/>
        <w:widowControl/>
        <w:numPr>
          <w:ilvl w:val="0"/>
          <w:numId w:val="37"/>
        </w:numPr>
        <w:outlineLvl w:val="3"/>
        <w:rPr>
          <w:szCs w:val="24"/>
        </w:rPr>
      </w:pPr>
      <w:r w:rsidRPr="00AF61B1">
        <w:rPr>
          <w:szCs w:val="24"/>
        </w:rPr>
        <w:t xml:space="preserve">§ </w:t>
      </w:r>
      <w:r>
        <w:rPr>
          <w:szCs w:val="24"/>
        </w:rPr>
        <w:t>64</w:t>
      </w:r>
      <w:r w:rsidRPr="00AF61B1">
        <w:rPr>
          <w:szCs w:val="24"/>
        </w:rPr>
        <w:t>.</w:t>
      </w:r>
      <w:r>
        <w:rPr>
          <w:szCs w:val="24"/>
        </w:rPr>
        <w:t>804</w:t>
      </w:r>
      <w:r w:rsidRPr="00AF61B1">
        <w:rPr>
          <w:szCs w:val="24"/>
        </w:rPr>
        <w:t xml:space="preserve"> </w:t>
      </w:r>
      <w:r w:rsidRPr="00E83356">
        <w:rPr>
          <w:b/>
          <w:szCs w:val="24"/>
        </w:rPr>
        <w:t>[Amended]</w:t>
      </w:r>
    </w:p>
    <w:p w:rsidR="007E79EC" w:rsidRDefault="007E79EC" w:rsidP="00C368F2">
      <w:pPr>
        <w:widowControl/>
        <w:outlineLvl w:val="3"/>
        <w:rPr>
          <w:szCs w:val="24"/>
        </w:rPr>
      </w:pPr>
    </w:p>
    <w:p w:rsidR="007E79EC" w:rsidRDefault="007E79EC" w:rsidP="005C3F6A">
      <w:pPr>
        <w:widowControl/>
        <w:outlineLvl w:val="3"/>
        <w:rPr>
          <w:szCs w:val="24"/>
        </w:rPr>
      </w:pPr>
      <w:r>
        <w:rPr>
          <w:szCs w:val="24"/>
        </w:rPr>
        <w:t>In § 64.804, remove and reserve paragraphs (c)-(g).</w:t>
      </w:r>
    </w:p>
    <w:p w:rsidR="007E79EC" w:rsidRDefault="007E79EC" w:rsidP="005C3F6A">
      <w:pPr>
        <w:widowControl/>
        <w:outlineLvl w:val="3"/>
        <w:rPr>
          <w:szCs w:val="24"/>
        </w:rPr>
      </w:pPr>
    </w:p>
    <w:p w:rsidR="007E79EC" w:rsidRPr="00AF61B1" w:rsidRDefault="007E79EC" w:rsidP="004C365E">
      <w:pPr>
        <w:widowControl/>
        <w:numPr>
          <w:ilvl w:val="0"/>
          <w:numId w:val="37"/>
        </w:numPr>
        <w:outlineLvl w:val="3"/>
        <w:rPr>
          <w:szCs w:val="24"/>
        </w:rPr>
      </w:pPr>
      <w:r w:rsidRPr="00AF61B1">
        <w:rPr>
          <w:szCs w:val="24"/>
        </w:rPr>
        <w:t xml:space="preserve">§ </w:t>
      </w:r>
      <w:r>
        <w:rPr>
          <w:szCs w:val="24"/>
        </w:rPr>
        <w:t>64</w:t>
      </w:r>
      <w:r w:rsidRPr="00AF61B1">
        <w:rPr>
          <w:szCs w:val="24"/>
        </w:rPr>
        <w:t>.</w:t>
      </w:r>
      <w:r>
        <w:rPr>
          <w:szCs w:val="24"/>
        </w:rPr>
        <w:t>5001</w:t>
      </w:r>
      <w:r w:rsidRPr="00AF61B1">
        <w:rPr>
          <w:szCs w:val="24"/>
        </w:rPr>
        <w:t xml:space="preserve"> </w:t>
      </w:r>
      <w:r>
        <w:rPr>
          <w:b/>
          <w:szCs w:val="24"/>
        </w:rPr>
        <w:t>[Amend</w:t>
      </w:r>
      <w:r w:rsidRPr="00AF61B1">
        <w:rPr>
          <w:b/>
          <w:szCs w:val="24"/>
        </w:rPr>
        <w:t>ed]</w:t>
      </w:r>
    </w:p>
    <w:p w:rsidR="007E79EC" w:rsidRDefault="007E79EC" w:rsidP="004C365E">
      <w:pPr>
        <w:widowControl/>
        <w:outlineLvl w:val="3"/>
        <w:rPr>
          <w:szCs w:val="24"/>
        </w:rPr>
      </w:pPr>
    </w:p>
    <w:p w:rsidR="007E79EC" w:rsidRDefault="007E79EC" w:rsidP="004C365E">
      <w:pPr>
        <w:widowControl/>
        <w:outlineLvl w:val="3"/>
        <w:rPr>
          <w:szCs w:val="24"/>
        </w:rPr>
      </w:pPr>
      <w:r>
        <w:rPr>
          <w:szCs w:val="24"/>
        </w:rPr>
        <w:t>In § 64.</w:t>
      </w:r>
      <w:r w:rsidR="00D433D0">
        <w:rPr>
          <w:szCs w:val="24"/>
        </w:rPr>
        <w:t>5001</w:t>
      </w:r>
      <w:r>
        <w:rPr>
          <w:szCs w:val="24"/>
        </w:rPr>
        <w:t xml:space="preserve">, remove paragraphs (a), (b), </w:t>
      </w:r>
      <w:r w:rsidR="00CE3C83">
        <w:rPr>
          <w:szCs w:val="24"/>
        </w:rPr>
        <w:t xml:space="preserve">and </w:t>
      </w:r>
      <w:r>
        <w:rPr>
          <w:szCs w:val="24"/>
        </w:rPr>
        <w:t>(c).</w:t>
      </w:r>
    </w:p>
    <w:p w:rsidR="00D433D0" w:rsidRDefault="00D433D0" w:rsidP="004C365E">
      <w:pPr>
        <w:widowControl/>
        <w:outlineLvl w:val="3"/>
        <w:rPr>
          <w:szCs w:val="24"/>
        </w:rPr>
      </w:pPr>
    </w:p>
    <w:p w:rsidR="00B55275" w:rsidRPr="00754AD3" w:rsidRDefault="00B55275" w:rsidP="00B55275">
      <w:pPr>
        <w:widowControl/>
        <w:numPr>
          <w:ilvl w:val="0"/>
          <w:numId w:val="37"/>
        </w:numPr>
        <w:outlineLvl w:val="3"/>
        <w:rPr>
          <w:sz w:val="24"/>
          <w:szCs w:val="24"/>
        </w:rPr>
      </w:pPr>
      <w:r w:rsidRPr="00C51C39">
        <w:rPr>
          <w:color w:val="000000"/>
        </w:rPr>
        <w:t xml:space="preserve">Amend Section </w:t>
      </w:r>
      <w:r>
        <w:t>64.5001</w:t>
      </w:r>
      <w:r w:rsidRPr="00D94448">
        <w:t xml:space="preserve"> </w:t>
      </w:r>
      <w:r>
        <w:t>to read as follows:</w:t>
      </w:r>
    </w:p>
    <w:p w:rsidR="00B55275" w:rsidRDefault="00B55275" w:rsidP="00B55275">
      <w:pPr>
        <w:widowControl/>
        <w:outlineLvl w:val="3"/>
        <w:rPr>
          <w:sz w:val="24"/>
          <w:szCs w:val="24"/>
        </w:rPr>
      </w:pPr>
    </w:p>
    <w:p w:rsidR="004E54FC" w:rsidRDefault="00555329" w:rsidP="00866667">
      <w:pPr>
        <w:widowControl/>
        <w:outlineLvl w:val="3"/>
      </w:pPr>
      <w:r w:rsidRPr="007C3983">
        <w:rPr>
          <w:szCs w:val="24"/>
        </w:rPr>
        <w:t>§</w:t>
      </w:r>
      <w:r>
        <w:rPr>
          <w:szCs w:val="24"/>
        </w:rPr>
        <w:t xml:space="preserve"> 64.5001</w:t>
      </w:r>
      <w:r w:rsidR="00A207F6">
        <w:rPr>
          <w:szCs w:val="24"/>
        </w:rPr>
        <w:t xml:space="preserve"> </w:t>
      </w:r>
      <w:r w:rsidR="004E54FC">
        <w:t>Reporting and certification requirements.</w:t>
      </w:r>
    </w:p>
    <w:p w:rsidR="004E54FC" w:rsidRDefault="004E54FC" w:rsidP="00866667">
      <w:pPr>
        <w:widowControl/>
        <w:outlineLvl w:val="3"/>
      </w:pPr>
    </w:p>
    <w:p w:rsidR="00866667" w:rsidRDefault="00E80E8C" w:rsidP="00E80E8C">
      <w:pPr>
        <w:widowControl/>
        <w:outlineLvl w:val="3"/>
      </w:pPr>
      <w:r w:rsidRPr="00E80E8C">
        <w:t xml:space="preserve">On a quarterly basis, every prepaid calling card provider must submit to the Commission a certification, signed by an officer of the company under penalty of perjury, stating that it is making the required Universal Service Fund contribution based on the reported information.  This provision shall not apply to any prepaid calling card provider that has timely filed every FCC Form 499-A and 499-Q due during the preceding two-year period.  </w:t>
      </w:r>
    </w:p>
    <w:p w:rsidR="00D433D0" w:rsidRPr="00072961" w:rsidRDefault="00866667" w:rsidP="00D433D0">
      <w:pPr>
        <w:widowControl/>
      </w:pPr>
      <w:r w:rsidRPr="00866667" w:rsidDel="00866667">
        <w:rPr>
          <w:szCs w:val="24"/>
        </w:rPr>
        <w:t xml:space="preserve"> </w:t>
      </w:r>
    </w:p>
    <w:p w:rsidR="00A83A1C" w:rsidRDefault="00A83A1C" w:rsidP="00A83A1C">
      <w:pPr>
        <w:widowControl/>
        <w:rPr>
          <w:szCs w:val="22"/>
        </w:rPr>
      </w:pPr>
      <w:bookmarkStart w:id="360" w:name="a"/>
      <w:bookmarkStart w:id="361" w:name="b"/>
      <w:bookmarkStart w:id="362" w:name="c"/>
      <w:bookmarkStart w:id="363" w:name="c_1"/>
      <w:bookmarkStart w:id="364" w:name="c_2"/>
      <w:bookmarkStart w:id="365" w:name="c_3"/>
      <w:bookmarkStart w:id="366" w:name="c_4"/>
      <w:bookmarkEnd w:id="360"/>
      <w:bookmarkEnd w:id="361"/>
      <w:bookmarkEnd w:id="362"/>
      <w:bookmarkEnd w:id="363"/>
      <w:bookmarkEnd w:id="364"/>
      <w:bookmarkEnd w:id="365"/>
      <w:bookmarkEnd w:id="366"/>
      <w:r>
        <w:rPr>
          <w:szCs w:val="22"/>
        </w:rPr>
        <w:t>* * * * *</w:t>
      </w:r>
    </w:p>
    <w:p w:rsidR="00C7680C" w:rsidRPr="00C7680C" w:rsidRDefault="00C7680C" w:rsidP="004C365E">
      <w:pPr>
        <w:widowControl/>
      </w:pPr>
    </w:p>
    <w:sectPr w:rsidR="00C7680C" w:rsidRPr="00C7680C" w:rsidSect="006C5DB3">
      <w:footerReference w:type="first" r:id="rId14"/>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8B" w:rsidRDefault="000E118B">
      <w:pPr>
        <w:spacing w:line="20" w:lineRule="exact"/>
      </w:pPr>
    </w:p>
  </w:endnote>
  <w:endnote w:type="continuationSeparator" w:id="0">
    <w:p w:rsidR="000E118B" w:rsidRDefault="000E118B">
      <w:r>
        <w:t xml:space="preserve"> </w:t>
      </w:r>
    </w:p>
  </w:endnote>
  <w:endnote w:type="continuationNotice" w:id="1">
    <w:p w:rsidR="000E118B" w:rsidRDefault="000E11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5088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48973"/>
      <w:docPartObj>
        <w:docPartGallery w:val="Page Numbers (Bottom of Page)"/>
        <w:docPartUnique/>
      </w:docPartObj>
    </w:sdtPr>
    <w:sdtEndPr>
      <w:rPr>
        <w:noProof/>
      </w:rPr>
    </w:sdtEndPr>
    <w:sdtContent>
      <w:p w:rsidR="006C5DB3" w:rsidRDefault="006C5DB3">
        <w:pPr>
          <w:pStyle w:val="Footer"/>
          <w:jc w:val="center"/>
        </w:pPr>
        <w:r>
          <w:fldChar w:fldCharType="begin"/>
        </w:r>
        <w:r>
          <w:instrText xml:space="preserve"> PAGE   \* MERGEFORMAT </w:instrText>
        </w:r>
        <w:r>
          <w:fldChar w:fldCharType="separate"/>
        </w:r>
        <w:r w:rsidR="00EE6D67">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8B" w:rsidRDefault="000E118B">
      <w:r>
        <w:separator/>
      </w:r>
    </w:p>
  </w:footnote>
  <w:footnote w:type="continuationSeparator" w:id="0">
    <w:p w:rsidR="000E118B" w:rsidRDefault="000E118B" w:rsidP="00C721AC">
      <w:pPr>
        <w:spacing w:before="120"/>
        <w:rPr>
          <w:sz w:val="20"/>
        </w:rPr>
      </w:pPr>
      <w:r>
        <w:rPr>
          <w:sz w:val="20"/>
        </w:rPr>
        <w:t xml:space="preserve">(Continued from previous page)  </w:t>
      </w:r>
      <w:r>
        <w:rPr>
          <w:sz w:val="20"/>
        </w:rPr>
        <w:separator/>
      </w:r>
    </w:p>
  </w:footnote>
  <w:footnote w:type="continuationNotice" w:id="1">
    <w:p w:rsidR="000E118B" w:rsidRDefault="000E118B" w:rsidP="00C721AC">
      <w:pPr>
        <w:jc w:val="right"/>
        <w:rPr>
          <w:sz w:val="20"/>
        </w:rPr>
      </w:pPr>
      <w:r>
        <w:rPr>
          <w:sz w:val="20"/>
        </w:rPr>
        <w:t>(continued….)</w:t>
      </w:r>
    </w:p>
  </w:footnote>
  <w:footnote w:id="2">
    <w:p w:rsidR="00823CDC" w:rsidRDefault="00823CDC">
      <w:pPr>
        <w:pStyle w:val="FootnoteText"/>
      </w:pPr>
      <w:r>
        <w:rPr>
          <w:rStyle w:val="FootnoteReference"/>
        </w:rPr>
        <w:footnoteRef/>
      </w:r>
      <w:r>
        <w:t xml:space="preserve"> </w:t>
      </w:r>
      <w:r w:rsidRPr="00D94448">
        <w:rPr>
          <w:i/>
        </w:rPr>
        <w:t>Petition of USTelecom for Forbearance Pursuant to 47 U.S.C. § 160(c) from Enforcement of Certain Legacy Telecommunications Regulations</w:t>
      </w:r>
      <w:r w:rsidRPr="00D94448">
        <w:t>, WC Docket No. 12-61, Order, 28 FCC Rcd 2605 (2013) (</w:t>
      </w:r>
      <w:r w:rsidRPr="00D94448">
        <w:rPr>
          <w:i/>
        </w:rPr>
        <w:t>USTelecom Forbearance Short Order</w:t>
      </w:r>
      <w:r w:rsidRPr="00D94448">
        <w:t>);</w:t>
      </w:r>
      <w:r w:rsidRPr="00D94448">
        <w:rPr>
          <w:i/>
        </w:rPr>
        <w:t xml:space="preserve"> Petition of USTelecom for Forbearance Pursuant to 47 U.S.C. § 160(c) from Enforcement of Certain Legacy Telecommunications Regulations</w:t>
      </w:r>
      <w:r w:rsidR="00BE65C7">
        <w:rPr>
          <w:i/>
        </w:rPr>
        <w:t xml:space="preserve"> et al.</w:t>
      </w:r>
      <w:r w:rsidRPr="00D94448">
        <w:t>, WC Docket No. 12-61</w:t>
      </w:r>
      <w:r w:rsidR="00BE65C7">
        <w:t xml:space="preserve"> et al.</w:t>
      </w:r>
      <w:r w:rsidRPr="00D94448">
        <w:t>, Memorandum Opinion and Order</w:t>
      </w:r>
      <w:r w:rsidR="001D39DA">
        <w:t xml:space="preserve"> and Report and Order and Further Notice of Proposed Rulemaking and Second Further Notice of Proposed Rulemaking</w:t>
      </w:r>
      <w:r w:rsidRPr="00D94448">
        <w:t>, 28 FCC Rcd 7627 (2013) (</w:t>
      </w:r>
      <w:r w:rsidRPr="00D94448">
        <w:rPr>
          <w:i/>
        </w:rPr>
        <w:t>USTelecom Forbearance Long Order</w:t>
      </w:r>
      <w:r w:rsidRPr="00D94448">
        <w:t>)</w:t>
      </w:r>
      <w:r>
        <w:t xml:space="preserve"> (together, </w:t>
      </w:r>
      <w:r w:rsidRPr="00850246">
        <w:rPr>
          <w:i/>
        </w:rPr>
        <w:t>USTelecom Orders</w:t>
      </w:r>
      <w:r>
        <w:t>)</w:t>
      </w:r>
      <w:r w:rsidRPr="00D94448">
        <w:t xml:space="preserve">, </w:t>
      </w:r>
      <w:r w:rsidR="001D6A14" w:rsidRPr="007F3D88">
        <w:rPr>
          <w:i/>
        </w:rPr>
        <w:t>aff’d</w:t>
      </w:r>
      <w:r w:rsidR="001D6A14">
        <w:t xml:space="preserve"> </w:t>
      </w:r>
      <w:r w:rsidR="00656C83">
        <w:rPr>
          <w:i/>
        </w:rPr>
        <w:t xml:space="preserve">sub nom. </w:t>
      </w:r>
      <w:r w:rsidRPr="00D94448">
        <w:rPr>
          <w:i/>
          <w:iCs/>
        </w:rPr>
        <w:t>Verizon and AT&amp;T, Inc. v. FCC</w:t>
      </w:r>
      <w:r w:rsidRPr="00D94448">
        <w:t xml:space="preserve">, </w:t>
      </w:r>
      <w:r w:rsidR="007F3D88" w:rsidRPr="007F3D88">
        <w:rPr>
          <w:bCs/>
          <w:color w:val="000000"/>
        </w:rPr>
        <w:t>770 F.3d 961</w:t>
      </w:r>
      <w:r w:rsidRPr="007F3D88">
        <w:t xml:space="preserve"> </w:t>
      </w:r>
      <w:r w:rsidRPr="00D94448">
        <w:t>(D.C. Cir. 201</w:t>
      </w:r>
      <w:r w:rsidR="001D6A14">
        <w:t>4</w:t>
      </w:r>
      <w:r w:rsidRPr="00D94448">
        <w:t>)</w:t>
      </w:r>
      <w:r>
        <w:t>.</w:t>
      </w:r>
      <w:r w:rsidR="001D6A14">
        <w:t xml:space="preserve">  </w:t>
      </w:r>
    </w:p>
  </w:footnote>
  <w:footnote w:id="3">
    <w:p w:rsidR="00823CDC" w:rsidRPr="00823CDC" w:rsidRDefault="00823CDC">
      <w:pPr>
        <w:pStyle w:val="FootnoteText"/>
      </w:pPr>
      <w:r>
        <w:rPr>
          <w:rStyle w:val="FootnoteReference"/>
        </w:rPr>
        <w:footnoteRef/>
      </w:r>
      <w:r>
        <w:t xml:space="preserve"> In this Notice, we propose to address Recommendations 5.37 and 5.38 </w:t>
      </w:r>
      <w:r w:rsidR="000C6F3A">
        <w:t>of</w:t>
      </w:r>
      <w:r>
        <w:t xml:space="preserve"> the </w:t>
      </w:r>
      <w:r w:rsidRPr="00850246">
        <w:rPr>
          <w:i/>
        </w:rPr>
        <w:t>Process Reform Report</w:t>
      </w:r>
      <w:r>
        <w:t xml:space="preserve">.  </w:t>
      </w:r>
      <w:r w:rsidR="000C6F3A">
        <w:rPr>
          <w:i/>
        </w:rPr>
        <w:t>FCC Seeks Public Comment on Report on Process Reform</w:t>
      </w:r>
      <w:r w:rsidR="000C6F3A">
        <w:t>,</w:t>
      </w:r>
      <w:r w:rsidRPr="00D94448">
        <w:t xml:space="preserve"> GN Docket No. 14-25, </w:t>
      </w:r>
      <w:r w:rsidR="005011E5">
        <w:t xml:space="preserve">Public Notice, </w:t>
      </w:r>
      <w:r w:rsidRPr="00D94448">
        <w:t>29 FCC Rcd 1338, 1415-17</w:t>
      </w:r>
      <w:r w:rsidR="000C6F3A">
        <w:t xml:space="preserve">, Attach., </w:t>
      </w:r>
      <w:r w:rsidR="000C6F3A" w:rsidRPr="00D94448">
        <w:rPr>
          <w:i/>
        </w:rPr>
        <w:t xml:space="preserve">Report on FCC </w:t>
      </w:r>
      <w:r w:rsidR="000C6F3A" w:rsidRPr="00D94448">
        <w:rPr>
          <w:bCs/>
          <w:i/>
        </w:rPr>
        <w:t>Process</w:t>
      </w:r>
      <w:r w:rsidR="000C6F3A" w:rsidRPr="00D94448">
        <w:rPr>
          <w:i/>
        </w:rPr>
        <w:t xml:space="preserve"> </w:t>
      </w:r>
      <w:r w:rsidR="000C6F3A" w:rsidRPr="00D94448">
        <w:rPr>
          <w:bCs/>
          <w:i/>
        </w:rPr>
        <w:t>Reform</w:t>
      </w:r>
      <w:r w:rsidRPr="00D94448">
        <w:t xml:space="preserve"> </w:t>
      </w:r>
      <w:r w:rsidR="000C6F3A" w:rsidRPr="00D94448">
        <w:t>(</w:t>
      </w:r>
      <w:r w:rsidR="000C6F3A" w:rsidRPr="00D94448">
        <w:rPr>
          <w:bCs/>
          <w:i/>
        </w:rPr>
        <w:t>Process</w:t>
      </w:r>
      <w:r w:rsidR="000C6F3A" w:rsidRPr="00D94448">
        <w:rPr>
          <w:i/>
        </w:rPr>
        <w:t xml:space="preserve"> </w:t>
      </w:r>
      <w:r w:rsidR="000C6F3A" w:rsidRPr="00D94448">
        <w:rPr>
          <w:bCs/>
          <w:i/>
        </w:rPr>
        <w:t>Reform</w:t>
      </w:r>
      <w:r w:rsidR="000C6F3A" w:rsidRPr="00D94448">
        <w:rPr>
          <w:i/>
        </w:rPr>
        <w:t xml:space="preserve"> Report</w:t>
      </w:r>
      <w:r w:rsidR="000C6F3A">
        <w:t>)</w:t>
      </w:r>
      <w:r w:rsidR="000C6F3A" w:rsidRPr="00D94448">
        <w:t xml:space="preserve"> </w:t>
      </w:r>
      <w:r w:rsidRPr="00D94448">
        <w:t>(2014)</w:t>
      </w:r>
      <w:r>
        <w:t>.</w:t>
      </w:r>
    </w:p>
  </w:footnote>
  <w:footnote w:id="4">
    <w:p w:rsidR="00764C41" w:rsidRDefault="00764C41">
      <w:pPr>
        <w:pStyle w:val="FootnoteText"/>
      </w:pPr>
      <w:r>
        <w:rPr>
          <w:rStyle w:val="FootnoteReference"/>
        </w:rPr>
        <w:footnoteRef/>
      </w:r>
      <w:r>
        <w:t xml:space="preserve"> </w:t>
      </w:r>
      <w:r w:rsidR="00AC7F53">
        <w:t>47 C.F.R. § </w:t>
      </w:r>
      <w:r w:rsidR="00AC7F53" w:rsidRPr="00D94448">
        <w:t>64.804(</w:t>
      </w:r>
      <w:r w:rsidR="00AC7F53">
        <w:t>c</w:t>
      </w:r>
      <w:r w:rsidR="00AC7F53" w:rsidRPr="00D94448">
        <w:t>)-(g)</w:t>
      </w:r>
      <w:r w:rsidR="00AC7F53">
        <w:t>;</w:t>
      </w:r>
      <w:r w:rsidR="00AC7F53" w:rsidRPr="00D94448">
        <w:t xml:space="preserve"> </w:t>
      </w:r>
      <w:r w:rsidR="000C6F3A">
        <w:rPr>
          <w:i/>
        </w:rPr>
        <w:t xml:space="preserve">see </w:t>
      </w:r>
      <w:r w:rsidR="00AC7F53" w:rsidRPr="00D94448">
        <w:rPr>
          <w:i/>
        </w:rPr>
        <w:t>USTelecom Forbearance Short Order</w:t>
      </w:r>
      <w:r w:rsidR="00AC7F53" w:rsidRPr="00D94448">
        <w:t>, 28 FCC Rcd at 26</w:t>
      </w:r>
      <w:r w:rsidR="00AC7F53">
        <w:t>10-11</w:t>
      </w:r>
      <w:r w:rsidR="00AC7F53" w:rsidRPr="00D94448">
        <w:t>, para</w:t>
      </w:r>
      <w:r w:rsidR="00AC7F53">
        <w:t>s</w:t>
      </w:r>
      <w:r w:rsidR="00AC7F53" w:rsidRPr="00D94448">
        <w:t xml:space="preserve">. </w:t>
      </w:r>
      <w:r w:rsidR="00AC7F53">
        <w:t>10-1</w:t>
      </w:r>
      <w:r w:rsidR="00DD41E9">
        <w:t>3</w:t>
      </w:r>
      <w:r w:rsidR="00AC7F53">
        <w:t>;</w:t>
      </w:r>
      <w:r w:rsidR="00AC7F53" w:rsidRPr="00D94448">
        <w:t xml:space="preserve"> </w:t>
      </w:r>
      <w:r w:rsidR="00AC7F53" w:rsidRPr="00D94448">
        <w:rPr>
          <w:i/>
        </w:rPr>
        <w:t>USTelecom Forbearance Long Order</w:t>
      </w:r>
      <w:r w:rsidR="00AC7F53">
        <w:t>, 28 FCC Rcd at 7702-03</w:t>
      </w:r>
      <w:r w:rsidR="00AC7F53" w:rsidRPr="00D94448">
        <w:t>, para</w:t>
      </w:r>
      <w:r w:rsidR="00AC7F53">
        <w:t>s</w:t>
      </w:r>
      <w:r w:rsidR="00AC7F53" w:rsidRPr="00D94448">
        <w:t xml:space="preserve">. </w:t>
      </w:r>
      <w:r w:rsidR="00AC7F53">
        <w:t>167-70.  This proposal is also</w:t>
      </w:r>
      <w:r w:rsidR="00AC7F53" w:rsidRPr="00E80743">
        <w:t xml:space="preserve"> </w:t>
      </w:r>
      <w:r w:rsidR="00AC7F53">
        <w:t xml:space="preserve">consistent with Recommendation 5.37 in the </w:t>
      </w:r>
      <w:r w:rsidR="00AC7F53" w:rsidRPr="009175F7">
        <w:rPr>
          <w:i/>
        </w:rPr>
        <w:t>Process Reform Report</w:t>
      </w:r>
      <w:r w:rsidR="00AC7F53">
        <w:rPr>
          <w:i/>
        </w:rPr>
        <w:t xml:space="preserve">. </w:t>
      </w:r>
      <w:r w:rsidR="00AC7F53">
        <w:t xml:space="preserve"> </w:t>
      </w:r>
      <w:r w:rsidR="00AC7F53" w:rsidRPr="00D94448">
        <w:rPr>
          <w:bCs/>
          <w:i/>
        </w:rPr>
        <w:t>Process</w:t>
      </w:r>
      <w:r w:rsidR="00AC7F53" w:rsidRPr="00D94448">
        <w:rPr>
          <w:i/>
        </w:rPr>
        <w:t xml:space="preserve"> </w:t>
      </w:r>
      <w:r w:rsidR="00AC7F53" w:rsidRPr="00D94448">
        <w:rPr>
          <w:bCs/>
          <w:i/>
        </w:rPr>
        <w:t>Reform</w:t>
      </w:r>
      <w:r w:rsidR="00AC7F53" w:rsidRPr="00D94448">
        <w:rPr>
          <w:i/>
        </w:rPr>
        <w:t xml:space="preserve"> Report</w:t>
      </w:r>
      <w:r w:rsidR="00AC7F53" w:rsidRPr="00D94448">
        <w:t>, 29 FCC Rcd at</w:t>
      </w:r>
      <w:r w:rsidR="00AC7F53">
        <w:t xml:space="preserve"> 1415</w:t>
      </w:r>
      <w:r w:rsidR="00494BEC">
        <w:t>-16</w:t>
      </w:r>
      <w:r w:rsidR="00AC7F53">
        <w:t>.</w:t>
      </w:r>
    </w:p>
  </w:footnote>
  <w:footnote w:id="5">
    <w:p w:rsidR="00764C41" w:rsidRDefault="00764C41">
      <w:pPr>
        <w:pStyle w:val="FootnoteText"/>
      </w:pPr>
      <w:r>
        <w:rPr>
          <w:rStyle w:val="FootnoteReference"/>
        </w:rPr>
        <w:footnoteRef/>
      </w:r>
      <w:r>
        <w:t xml:space="preserve"> </w:t>
      </w:r>
      <w:r w:rsidR="00AC7F53">
        <w:t>47 C.F.R. §§ 42.4, 42.5, and 42.7;</w:t>
      </w:r>
      <w:r w:rsidR="00AC7F53" w:rsidRPr="00D94448">
        <w:t xml:space="preserve"> </w:t>
      </w:r>
      <w:r w:rsidR="000C6F3A">
        <w:rPr>
          <w:i/>
        </w:rPr>
        <w:t xml:space="preserve">see </w:t>
      </w:r>
      <w:r w:rsidR="00AC7F53" w:rsidRPr="00D94448">
        <w:rPr>
          <w:i/>
        </w:rPr>
        <w:t>USTelecom Forbearance Long Order</w:t>
      </w:r>
      <w:r w:rsidR="00AC7F53">
        <w:t>, 28 FCC Rcd at 7671-74</w:t>
      </w:r>
      <w:r w:rsidR="00AC7F53" w:rsidRPr="00D94448">
        <w:t>, para</w:t>
      </w:r>
      <w:r w:rsidR="00AC7F53">
        <w:t>s</w:t>
      </w:r>
      <w:r w:rsidR="00AC7F53" w:rsidRPr="00D94448">
        <w:t xml:space="preserve">. </w:t>
      </w:r>
      <w:r w:rsidR="00AC7F53">
        <w:t>93-100.</w:t>
      </w:r>
    </w:p>
  </w:footnote>
  <w:footnote w:id="6">
    <w:p w:rsidR="00764C41" w:rsidRDefault="00764C41">
      <w:pPr>
        <w:pStyle w:val="FootnoteText"/>
      </w:pPr>
      <w:r>
        <w:rPr>
          <w:rStyle w:val="FootnoteReference"/>
        </w:rPr>
        <w:footnoteRef/>
      </w:r>
      <w:r>
        <w:t xml:space="preserve"> </w:t>
      </w:r>
      <w:r w:rsidR="00AC7F53">
        <w:t>47 C.F.R. § </w:t>
      </w:r>
      <w:r w:rsidR="00AC7F53" w:rsidRPr="00D94448">
        <w:t>64.</w:t>
      </w:r>
      <w:r w:rsidR="00AC7F53">
        <w:t>301;</w:t>
      </w:r>
      <w:r w:rsidR="00AC7F53" w:rsidRPr="00D94448">
        <w:t xml:space="preserve"> </w:t>
      </w:r>
      <w:r w:rsidR="000C6F3A">
        <w:rPr>
          <w:i/>
        </w:rPr>
        <w:t xml:space="preserve">see </w:t>
      </w:r>
      <w:r w:rsidR="00AC7F53" w:rsidRPr="00D94448">
        <w:rPr>
          <w:i/>
        </w:rPr>
        <w:t xml:space="preserve">USTelecom </w:t>
      </w:r>
      <w:r w:rsidR="00AC7F53">
        <w:rPr>
          <w:i/>
        </w:rPr>
        <w:t xml:space="preserve">Forbearance Short </w:t>
      </w:r>
      <w:r w:rsidR="00AC7F53" w:rsidRPr="00D94448">
        <w:rPr>
          <w:i/>
        </w:rPr>
        <w:t>Order</w:t>
      </w:r>
      <w:r w:rsidR="00AC7F53">
        <w:t>, 28 FCC Rcd at 2611-12</w:t>
      </w:r>
      <w:r w:rsidR="00AC7F53" w:rsidRPr="00D94448">
        <w:t>, para</w:t>
      </w:r>
      <w:r w:rsidR="00AC7F53">
        <w:t>s</w:t>
      </w:r>
      <w:r w:rsidR="00AC7F53" w:rsidRPr="00D94448">
        <w:t xml:space="preserve">. </w:t>
      </w:r>
      <w:r w:rsidR="00AC7F53">
        <w:t>13-16.</w:t>
      </w:r>
    </w:p>
  </w:footnote>
  <w:footnote w:id="7">
    <w:p w:rsidR="00764C41" w:rsidRDefault="00764C41">
      <w:pPr>
        <w:pStyle w:val="FootnoteText"/>
      </w:pPr>
      <w:r>
        <w:rPr>
          <w:rStyle w:val="FootnoteReference"/>
        </w:rPr>
        <w:footnoteRef/>
      </w:r>
      <w:r>
        <w:t xml:space="preserve"> </w:t>
      </w:r>
      <w:r w:rsidR="00AC7F53">
        <w:t>47 C.F.R. § </w:t>
      </w:r>
      <w:r w:rsidR="00AC7F53" w:rsidRPr="00D94448">
        <w:t>64.</w:t>
      </w:r>
      <w:r w:rsidR="00AC7F53">
        <w:t>501;</w:t>
      </w:r>
      <w:r w:rsidR="00AC7F53" w:rsidRPr="00D94448">
        <w:t xml:space="preserve"> </w:t>
      </w:r>
      <w:r w:rsidR="000C6F3A">
        <w:rPr>
          <w:i/>
        </w:rPr>
        <w:t xml:space="preserve">see </w:t>
      </w:r>
      <w:r w:rsidR="00AC7F53" w:rsidRPr="00D94448">
        <w:rPr>
          <w:i/>
        </w:rPr>
        <w:t>USTelecom Forbearance Long Order</w:t>
      </w:r>
      <w:r w:rsidR="00AC7F53">
        <w:t>, 28 FCC Rcd at 7703-05</w:t>
      </w:r>
      <w:r w:rsidR="00AC7F53" w:rsidRPr="00D94448">
        <w:t>, para</w:t>
      </w:r>
      <w:r w:rsidR="00AC7F53">
        <w:t>s</w:t>
      </w:r>
      <w:r w:rsidR="00AC7F53" w:rsidRPr="00D94448">
        <w:t xml:space="preserve">. </w:t>
      </w:r>
      <w:r w:rsidR="00AC7F53">
        <w:t>171-75.</w:t>
      </w:r>
    </w:p>
  </w:footnote>
  <w:footnote w:id="8">
    <w:p w:rsidR="00764C41" w:rsidRDefault="00764C41">
      <w:pPr>
        <w:pStyle w:val="FootnoteText"/>
      </w:pPr>
      <w:r>
        <w:rPr>
          <w:rStyle w:val="FootnoteReference"/>
        </w:rPr>
        <w:footnoteRef/>
      </w:r>
      <w:r>
        <w:t xml:space="preserve"> </w:t>
      </w:r>
      <w:r w:rsidR="00AC7F53" w:rsidRPr="00C24F29">
        <w:t xml:space="preserve">47 C.F.R. § 64.5001(a), (b), (c)(1), (c)(2), </w:t>
      </w:r>
      <w:r w:rsidR="00AC7F53">
        <w:t xml:space="preserve">and </w:t>
      </w:r>
      <w:r w:rsidR="00AC7F53" w:rsidRPr="00C24F29">
        <w:t>(c)(4)</w:t>
      </w:r>
      <w:r w:rsidR="00AC7F53">
        <w:t xml:space="preserve">; </w:t>
      </w:r>
      <w:r w:rsidR="000C6F3A">
        <w:rPr>
          <w:i/>
        </w:rPr>
        <w:t xml:space="preserve">see </w:t>
      </w:r>
      <w:r w:rsidR="00AC7F53" w:rsidRPr="00D94448">
        <w:rPr>
          <w:i/>
        </w:rPr>
        <w:t>USTelecom Forbearance Long Order</w:t>
      </w:r>
      <w:r w:rsidR="00AC7F53">
        <w:t>, 28 FCC Rcd at 7705-09</w:t>
      </w:r>
      <w:r w:rsidR="00AC7F53" w:rsidRPr="00D94448">
        <w:t>, para</w:t>
      </w:r>
      <w:r w:rsidR="00AC7F53">
        <w:t>s</w:t>
      </w:r>
      <w:r w:rsidR="00AC7F53" w:rsidRPr="00D94448">
        <w:t xml:space="preserve">. </w:t>
      </w:r>
      <w:r w:rsidR="00AC7F53">
        <w:t>176-87.</w:t>
      </w:r>
    </w:p>
  </w:footnote>
  <w:footnote w:id="9">
    <w:p w:rsidR="00764C41" w:rsidRDefault="00764C41">
      <w:pPr>
        <w:pStyle w:val="FootnoteText"/>
      </w:pPr>
      <w:r>
        <w:rPr>
          <w:rStyle w:val="FootnoteReference"/>
        </w:rPr>
        <w:footnoteRef/>
      </w:r>
      <w:r>
        <w:t xml:space="preserve"> </w:t>
      </w:r>
      <w:r w:rsidR="00AC7F53">
        <w:t>47 C.F.R. § </w:t>
      </w:r>
      <w:r w:rsidR="00AC7F53" w:rsidRPr="00D94448">
        <w:t>64.</w:t>
      </w:r>
      <w:r w:rsidR="00AC7F53">
        <w:t>1;</w:t>
      </w:r>
      <w:r w:rsidR="00AC7F53" w:rsidRPr="00D94448">
        <w:t xml:space="preserve"> </w:t>
      </w:r>
      <w:r w:rsidR="000C6F3A">
        <w:rPr>
          <w:i/>
        </w:rPr>
        <w:t xml:space="preserve">see </w:t>
      </w:r>
      <w:r w:rsidR="00AC7F53">
        <w:rPr>
          <w:i/>
        </w:rPr>
        <w:t xml:space="preserve">USTelecom Forbearance Short </w:t>
      </w:r>
      <w:r w:rsidR="00AC7F53" w:rsidRPr="00D94448">
        <w:rPr>
          <w:i/>
        </w:rPr>
        <w:t>Order</w:t>
      </w:r>
      <w:r w:rsidR="00AC7F53">
        <w:t>, 28 FCC Rcd at 2609</w:t>
      </w:r>
      <w:r w:rsidR="00DD41E9">
        <w:t>-10</w:t>
      </w:r>
      <w:r w:rsidR="00AC7F53" w:rsidRPr="00D94448">
        <w:t>, para</w:t>
      </w:r>
      <w:r w:rsidR="005A46E5">
        <w:t>s</w:t>
      </w:r>
      <w:r w:rsidR="00AC7F53" w:rsidRPr="00D94448">
        <w:t xml:space="preserve">. </w:t>
      </w:r>
      <w:r w:rsidR="00AC7F53">
        <w:t xml:space="preserve">8-9.  This proposal is also consistent with Recommendation 5.38 in the </w:t>
      </w:r>
      <w:r w:rsidR="00AC7F53" w:rsidRPr="009175F7">
        <w:rPr>
          <w:i/>
        </w:rPr>
        <w:t>Proc</w:t>
      </w:r>
      <w:r w:rsidR="00AC7F53" w:rsidRPr="00472AA0">
        <w:rPr>
          <w:i/>
        </w:rPr>
        <w:t>ess Reform Report</w:t>
      </w:r>
      <w:r w:rsidR="00AC7F53">
        <w:rPr>
          <w:i/>
        </w:rPr>
        <w:t xml:space="preserve">. </w:t>
      </w:r>
      <w:r w:rsidR="00AC7F53" w:rsidRPr="00D94448">
        <w:rPr>
          <w:i/>
        </w:rPr>
        <w:t xml:space="preserve"> </w:t>
      </w:r>
      <w:r w:rsidR="00AC7F53" w:rsidRPr="00D94448">
        <w:rPr>
          <w:bCs/>
          <w:i/>
        </w:rPr>
        <w:t>Process</w:t>
      </w:r>
      <w:r w:rsidR="00AC7F53" w:rsidRPr="00D94448">
        <w:rPr>
          <w:i/>
        </w:rPr>
        <w:t xml:space="preserve"> </w:t>
      </w:r>
      <w:r w:rsidR="00AC7F53" w:rsidRPr="00D94448">
        <w:rPr>
          <w:bCs/>
          <w:i/>
        </w:rPr>
        <w:t>Reform</w:t>
      </w:r>
      <w:r w:rsidR="00AC7F53" w:rsidRPr="00D94448">
        <w:rPr>
          <w:i/>
        </w:rPr>
        <w:t xml:space="preserve"> Report</w:t>
      </w:r>
      <w:r w:rsidR="00AC7F53" w:rsidRPr="00D94448">
        <w:t>, 29 FCC Rcd at</w:t>
      </w:r>
      <w:r w:rsidR="00AC7F53">
        <w:t xml:space="preserve"> 141</w:t>
      </w:r>
      <w:r w:rsidR="002D1C13">
        <w:t>6-17</w:t>
      </w:r>
      <w:r w:rsidR="00AC7F53">
        <w:t>.</w:t>
      </w:r>
    </w:p>
  </w:footnote>
  <w:footnote w:id="10">
    <w:p w:rsidR="00AC7F53" w:rsidRDefault="00AC7F53">
      <w:pPr>
        <w:pStyle w:val="FootnoteText"/>
      </w:pPr>
      <w:r>
        <w:rPr>
          <w:rStyle w:val="FootnoteReference"/>
        </w:rPr>
        <w:footnoteRef/>
      </w:r>
      <w:r>
        <w:t xml:space="preserve"> </w:t>
      </w:r>
      <w:r>
        <w:rPr>
          <w:i/>
        </w:rPr>
        <w:t xml:space="preserve">See </w:t>
      </w:r>
      <w:r>
        <w:t xml:space="preserve">47 C.F.R. </w:t>
      </w:r>
      <w:r w:rsidRPr="00C24F29">
        <w:t>§</w:t>
      </w:r>
      <w:r>
        <w:t xml:space="preserve">§ 36.126, 54.706(a)(13), </w:t>
      </w:r>
      <w:r w:rsidRPr="002778E5">
        <w:t xml:space="preserve">63.60(c), 63.61, </w:t>
      </w:r>
      <w:r>
        <w:t xml:space="preserve">63.62, </w:t>
      </w:r>
      <w:r w:rsidRPr="002778E5">
        <w:rPr>
          <w:szCs w:val="22"/>
        </w:rPr>
        <w:t xml:space="preserve">63.65(a)(4), </w:t>
      </w:r>
      <w:r>
        <w:t xml:space="preserve">63.500(g), 63.501(g), and </w:t>
      </w:r>
      <w:r w:rsidRPr="002778E5">
        <w:t>63.504(k</w:t>
      </w:r>
      <w:r>
        <w:t>).</w:t>
      </w:r>
    </w:p>
  </w:footnote>
  <w:footnote w:id="11">
    <w:p w:rsidR="00D96621" w:rsidRDefault="00D96621">
      <w:pPr>
        <w:pStyle w:val="FootnoteText"/>
      </w:pPr>
      <w:r>
        <w:rPr>
          <w:rStyle w:val="FootnoteReference"/>
        </w:rPr>
        <w:footnoteRef/>
      </w:r>
      <w:r>
        <w:t xml:space="preserve"> </w:t>
      </w:r>
      <w:r w:rsidR="00042B0A" w:rsidRPr="00042B0A">
        <w:rPr>
          <w:i/>
        </w:rPr>
        <w:t>See</w:t>
      </w:r>
      <w:r w:rsidR="00042B0A">
        <w:t xml:space="preserve"> </w:t>
      </w:r>
      <w:r w:rsidR="00042B0A" w:rsidRPr="00250C05">
        <w:t>Petition of USTelecom for Forbearance Pursuant to 47 U.S.C. § 160(c) from Enforcement of Certain Legacy Telecommunications Regulations</w:t>
      </w:r>
      <w:r w:rsidR="00042B0A" w:rsidRPr="00D94448">
        <w:t>, WC Docket No. 12-61</w:t>
      </w:r>
      <w:r w:rsidR="00042B0A">
        <w:t xml:space="preserve"> (filed Feb. 16, 2012)</w:t>
      </w:r>
      <w:r>
        <w:t>.</w:t>
      </w:r>
    </w:p>
  </w:footnote>
  <w:footnote w:id="12">
    <w:p w:rsidR="00D96621" w:rsidRDefault="00D96621">
      <w:pPr>
        <w:pStyle w:val="FootnoteText"/>
      </w:pPr>
      <w:r>
        <w:rPr>
          <w:rStyle w:val="FootnoteReference"/>
        </w:rPr>
        <w:footnoteRef/>
      </w:r>
      <w:r>
        <w:t xml:space="preserve"> </w:t>
      </w:r>
      <w:r w:rsidR="00042B0A" w:rsidRPr="000A74C4">
        <w:rPr>
          <w:i/>
        </w:rPr>
        <w:t>See generally USTelecom Orders</w:t>
      </w:r>
      <w:r w:rsidR="00042B0A">
        <w:t>.</w:t>
      </w:r>
    </w:p>
  </w:footnote>
  <w:footnote w:id="13">
    <w:p w:rsidR="00D96621" w:rsidRDefault="00D96621">
      <w:pPr>
        <w:pStyle w:val="FootnoteText"/>
      </w:pPr>
      <w:r>
        <w:rPr>
          <w:rStyle w:val="FootnoteReference"/>
        </w:rPr>
        <w:footnoteRef/>
      </w:r>
      <w:r>
        <w:t xml:space="preserve"> </w:t>
      </w:r>
      <w:r w:rsidR="008676BC">
        <w:t>47 C.F.R.</w:t>
      </w:r>
      <w:r w:rsidR="00042B0A">
        <w:t xml:space="preserve"> </w:t>
      </w:r>
      <w:r w:rsidR="00042B0A" w:rsidRPr="00C24F29">
        <w:t>§</w:t>
      </w:r>
      <w:r w:rsidR="00042B0A">
        <w:t> 42.4.</w:t>
      </w:r>
    </w:p>
  </w:footnote>
  <w:footnote w:id="14">
    <w:p w:rsidR="00D96621" w:rsidRDefault="00D96621">
      <w:pPr>
        <w:pStyle w:val="FootnoteText"/>
      </w:pPr>
      <w:r>
        <w:rPr>
          <w:rStyle w:val="FootnoteReference"/>
        </w:rPr>
        <w:footnoteRef/>
      </w:r>
      <w:r>
        <w:t xml:space="preserve"> </w:t>
      </w:r>
      <w:r w:rsidR="008676BC">
        <w:t xml:space="preserve">47 C.F.R. </w:t>
      </w:r>
      <w:r w:rsidR="00042B0A" w:rsidRPr="00C24F29">
        <w:t>§</w:t>
      </w:r>
      <w:r w:rsidR="00042B0A">
        <w:t> 42.5.</w:t>
      </w:r>
    </w:p>
  </w:footnote>
  <w:footnote w:id="15">
    <w:p w:rsidR="00D96621" w:rsidRDefault="00D96621">
      <w:pPr>
        <w:pStyle w:val="FootnoteText"/>
      </w:pPr>
      <w:r>
        <w:rPr>
          <w:rStyle w:val="FootnoteReference"/>
        </w:rPr>
        <w:footnoteRef/>
      </w:r>
      <w:r>
        <w:t xml:space="preserve"> </w:t>
      </w:r>
      <w:r w:rsidR="008676BC">
        <w:t xml:space="preserve">47 C.F.R. </w:t>
      </w:r>
      <w:r w:rsidR="00042B0A" w:rsidRPr="00C24F29">
        <w:t>§</w:t>
      </w:r>
      <w:r w:rsidR="00E6179A">
        <w:t> </w:t>
      </w:r>
      <w:r w:rsidR="00042B0A">
        <w:t>42.7.</w:t>
      </w:r>
    </w:p>
  </w:footnote>
  <w:footnote w:id="16">
    <w:p w:rsidR="00E6179A" w:rsidRDefault="00E6179A" w:rsidP="00E6179A">
      <w:pPr>
        <w:pStyle w:val="FootnoteText"/>
      </w:pPr>
      <w:r>
        <w:rPr>
          <w:rStyle w:val="FootnoteReference"/>
        </w:rPr>
        <w:footnoteRef/>
      </w:r>
      <w:r>
        <w:t xml:space="preserve"> </w:t>
      </w:r>
      <w:r w:rsidR="008676BC">
        <w:t xml:space="preserve">47 C.F.R. </w:t>
      </w:r>
      <w:r w:rsidRPr="00C24F29">
        <w:t>§ 64.</w:t>
      </w:r>
      <w:r>
        <w:t>1</w:t>
      </w:r>
      <w:r w:rsidR="00F169F0">
        <w:t xml:space="preserve">.  </w:t>
      </w:r>
      <w:r w:rsidRPr="000C6761">
        <w:rPr>
          <w:szCs w:val="22"/>
        </w:rPr>
        <w:t xml:space="preserve">The </w:t>
      </w:r>
      <w:r w:rsidRPr="000C6761">
        <w:rPr>
          <w:i/>
          <w:szCs w:val="22"/>
          <w:lang w:eastAsia="x-none"/>
        </w:rPr>
        <w:t xml:space="preserve">Process Reform </w:t>
      </w:r>
      <w:r w:rsidRPr="000C6761">
        <w:rPr>
          <w:i/>
          <w:szCs w:val="22"/>
        </w:rPr>
        <w:t xml:space="preserve">Report </w:t>
      </w:r>
      <w:r>
        <w:rPr>
          <w:szCs w:val="22"/>
        </w:rPr>
        <w:t>also recommended that the Wireline Competition Bureau</w:t>
      </w:r>
      <w:r>
        <w:t xml:space="preserve"> delete section 64.1</w:t>
      </w:r>
      <w:r w:rsidRPr="00151710">
        <w:rPr>
          <w:color w:val="000000"/>
        </w:rPr>
        <w:t>.</w:t>
      </w:r>
      <w:r>
        <w:rPr>
          <w:color w:val="000000"/>
        </w:rPr>
        <w:t xml:space="preserve">  </w:t>
      </w:r>
      <w:r w:rsidRPr="00D94448">
        <w:rPr>
          <w:bCs/>
          <w:i/>
        </w:rPr>
        <w:t>Process</w:t>
      </w:r>
      <w:r w:rsidRPr="00D94448">
        <w:rPr>
          <w:i/>
        </w:rPr>
        <w:t xml:space="preserve"> </w:t>
      </w:r>
      <w:r w:rsidRPr="00D94448">
        <w:rPr>
          <w:bCs/>
          <w:i/>
        </w:rPr>
        <w:t>Reform</w:t>
      </w:r>
      <w:r w:rsidRPr="00D94448">
        <w:rPr>
          <w:i/>
        </w:rPr>
        <w:t xml:space="preserve"> Report</w:t>
      </w:r>
      <w:r w:rsidRPr="00D94448">
        <w:t>, 29 FCC Rcd</w:t>
      </w:r>
      <w:r>
        <w:t xml:space="preserve"> at 141</w:t>
      </w:r>
      <w:r w:rsidR="002D1C13">
        <w:t>6-17</w:t>
      </w:r>
      <w:r>
        <w:t xml:space="preserve"> (Recommendation 5.3</w:t>
      </w:r>
      <w:r w:rsidR="002D1C13">
        <w:t>8</w:t>
      </w:r>
      <w:r>
        <w:t>).</w:t>
      </w:r>
    </w:p>
  </w:footnote>
  <w:footnote w:id="17">
    <w:p w:rsidR="00D96621" w:rsidRPr="00042B0A" w:rsidRDefault="00D96621">
      <w:pPr>
        <w:pStyle w:val="FootnoteText"/>
      </w:pPr>
      <w:r>
        <w:rPr>
          <w:rStyle w:val="FootnoteReference"/>
        </w:rPr>
        <w:footnoteRef/>
      </w:r>
      <w:r>
        <w:t xml:space="preserve"> </w:t>
      </w:r>
      <w:r w:rsidR="00E6179A">
        <w:t xml:space="preserve">47 C.F.R. </w:t>
      </w:r>
      <w:r w:rsidR="00042B0A" w:rsidRPr="00C24F29">
        <w:t>§</w:t>
      </w:r>
      <w:r w:rsidR="00E6179A">
        <w:t> </w:t>
      </w:r>
      <w:r w:rsidR="00042B0A" w:rsidRPr="00042B0A">
        <w:t>64.301</w:t>
      </w:r>
      <w:r w:rsidR="0044227F">
        <w:t xml:space="preserve">.  </w:t>
      </w:r>
    </w:p>
  </w:footnote>
  <w:footnote w:id="18">
    <w:p w:rsidR="00D96621" w:rsidRDefault="00D96621">
      <w:pPr>
        <w:pStyle w:val="FootnoteText"/>
      </w:pPr>
      <w:r>
        <w:rPr>
          <w:rStyle w:val="FootnoteReference"/>
        </w:rPr>
        <w:footnoteRef/>
      </w:r>
      <w:r>
        <w:t xml:space="preserve"> </w:t>
      </w:r>
      <w:r w:rsidR="008676BC">
        <w:t xml:space="preserve">47 C.F.R. </w:t>
      </w:r>
      <w:r w:rsidR="00D80125" w:rsidRPr="00C24F29">
        <w:t>§ 64.501</w:t>
      </w:r>
      <w:r w:rsidR="00D80125">
        <w:t>(a), (b), and (c)</w:t>
      </w:r>
      <w:r w:rsidR="0068737C">
        <w:t>;</w:t>
      </w:r>
      <w:r w:rsidR="0068737C" w:rsidRPr="0068737C">
        <w:rPr>
          <w:i/>
        </w:rPr>
        <w:t xml:space="preserve"> </w:t>
      </w:r>
      <w:r w:rsidR="0068737C" w:rsidRPr="00C24F29">
        <w:rPr>
          <w:i/>
        </w:rPr>
        <w:t xml:space="preserve">USTelecom </w:t>
      </w:r>
      <w:r w:rsidR="0068737C">
        <w:rPr>
          <w:i/>
        </w:rPr>
        <w:t xml:space="preserve">Forbearance </w:t>
      </w:r>
      <w:r w:rsidR="0068737C" w:rsidRPr="00C24F29">
        <w:rPr>
          <w:i/>
        </w:rPr>
        <w:t>Long Order</w:t>
      </w:r>
      <w:r w:rsidR="0068737C" w:rsidRPr="00C24F29">
        <w:t>, 28 FCC Rcd at</w:t>
      </w:r>
      <w:r w:rsidR="0068737C">
        <w:t xml:space="preserve"> 7704</w:t>
      </w:r>
      <w:r w:rsidR="0068737C" w:rsidRPr="00C24F29">
        <w:t>, para</w:t>
      </w:r>
      <w:r w:rsidR="0068737C">
        <w:t>.</w:t>
      </w:r>
      <w:r w:rsidR="0068737C" w:rsidRPr="00C24F29">
        <w:t xml:space="preserve"> 17</w:t>
      </w:r>
      <w:r w:rsidR="00A635AE">
        <w:t>2</w:t>
      </w:r>
      <w:r w:rsidR="0068737C" w:rsidRPr="00C24F29">
        <w:t>.</w:t>
      </w:r>
      <w:r w:rsidR="00030804">
        <w:t xml:space="preserve">  </w:t>
      </w:r>
    </w:p>
  </w:footnote>
  <w:footnote w:id="19">
    <w:p w:rsidR="002A5F93" w:rsidRDefault="002A5F93" w:rsidP="002A5F93">
      <w:pPr>
        <w:pStyle w:val="FootnoteText"/>
      </w:pPr>
      <w:r>
        <w:rPr>
          <w:rStyle w:val="FootnoteReference"/>
        </w:rPr>
        <w:footnoteRef/>
      </w:r>
      <w:r>
        <w:t xml:space="preserve"> </w:t>
      </w:r>
      <w:r w:rsidRPr="00C24F29">
        <w:rPr>
          <w:i/>
        </w:rPr>
        <w:t xml:space="preserve">USTelecom </w:t>
      </w:r>
      <w:r>
        <w:rPr>
          <w:i/>
        </w:rPr>
        <w:t xml:space="preserve">Forbearance </w:t>
      </w:r>
      <w:r w:rsidRPr="00C24F29">
        <w:rPr>
          <w:i/>
        </w:rPr>
        <w:t>Long Order</w:t>
      </w:r>
      <w:r w:rsidRPr="00C24F29">
        <w:t>, 28 FCC Rcd at</w:t>
      </w:r>
      <w:r>
        <w:t xml:space="preserve"> 7704</w:t>
      </w:r>
      <w:r w:rsidRPr="00C24F29">
        <w:t>, para</w:t>
      </w:r>
      <w:r>
        <w:t>.</w:t>
      </w:r>
      <w:r w:rsidRPr="00C24F29">
        <w:t xml:space="preserve"> 174.</w:t>
      </w:r>
    </w:p>
  </w:footnote>
  <w:footnote w:id="20">
    <w:p w:rsidR="00E6179A" w:rsidRPr="00D75D95" w:rsidRDefault="00E6179A" w:rsidP="00E6179A">
      <w:pPr>
        <w:pStyle w:val="FootnoteText"/>
      </w:pPr>
      <w:r>
        <w:rPr>
          <w:rStyle w:val="FootnoteReference"/>
        </w:rPr>
        <w:footnoteRef/>
      </w:r>
      <w:r>
        <w:t xml:space="preserve"> 47 C.F.R. </w:t>
      </w:r>
      <w:r w:rsidRPr="00C24F29">
        <w:t>§ </w:t>
      </w:r>
      <w:r w:rsidRPr="00042B0A">
        <w:rPr>
          <w:rFonts w:eastAsia="Calibri"/>
          <w:szCs w:val="22"/>
        </w:rPr>
        <w:t>64.804(c)-(g).</w:t>
      </w:r>
      <w:r w:rsidR="00285E69">
        <w:rPr>
          <w:rFonts w:eastAsia="Calibri"/>
          <w:szCs w:val="22"/>
        </w:rPr>
        <w:t xml:space="preserve">  </w:t>
      </w:r>
    </w:p>
  </w:footnote>
  <w:footnote w:id="21">
    <w:p w:rsidR="00E6179A" w:rsidRDefault="00E6179A" w:rsidP="00E6179A">
      <w:pPr>
        <w:pStyle w:val="FootnoteText"/>
      </w:pPr>
      <w:r>
        <w:rPr>
          <w:rStyle w:val="FootnoteReference"/>
        </w:rPr>
        <w:footnoteRef/>
      </w:r>
      <w:r w:rsidR="000076B6">
        <w:rPr>
          <w:rFonts w:eastAsia="Calibri"/>
          <w:szCs w:val="22"/>
        </w:rPr>
        <w:t xml:space="preserve"> </w:t>
      </w:r>
      <w:r w:rsidR="000076B6" w:rsidRPr="000076B6">
        <w:rPr>
          <w:rFonts w:eastAsia="Calibri"/>
          <w:i/>
          <w:szCs w:val="22"/>
        </w:rPr>
        <w:t>Id</w:t>
      </w:r>
      <w:r>
        <w:t>.</w:t>
      </w:r>
    </w:p>
  </w:footnote>
  <w:footnote w:id="22">
    <w:p w:rsidR="00D80125" w:rsidRDefault="00D80125">
      <w:pPr>
        <w:pStyle w:val="FootnoteText"/>
      </w:pPr>
      <w:r>
        <w:rPr>
          <w:rStyle w:val="FootnoteReference"/>
        </w:rPr>
        <w:footnoteRef/>
      </w:r>
      <w:r>
        <w:t xml:space="preserve"> We do not propose to delete section 64.5001(c)(3) because the Commission did not grant unconditional forbearance.  Rather, it granted forbearance “only to those prepaid calling card providers that have a two-year track record of timely filing required annual and quarterly Telecommunications Reporting Worksheets (FCC Forms 499-A and 499-Q) [and] [o]nce a prepaid calling card provider has established that track record, it need not comply further with section 64.5001(c)(3).”  </w:t>
      </w:r>
      <w:r w:rsidRPr="00C24F29">
        <w:rPr>
          <w:i/>
        </w:rPr>
        <w:t xml:space="preserve">USTelecom </w:t>
      </w:r>
      <w:r>
        <w:rPr>
          <w:i/>
        </w:rPr>
        <w:t xml:space="preserve">Forbearance </w:t>
      </w:r>
      <w:r w:rsidRPr="00C24F29">
        <w:rPr>
          <w:i/>
        </w:rPr>
        <w:t>Long Order</w:t>
      </w:r>
      <w:r w:rsidRPr="00C24F29">
        <w:t>, 28 FCC Rcd at</w:t>
      </w:r>
      <w:r>
        <w:t xml:space="preserve"> 770</w:t>
      </w:r>
      <w:r w:rsidR="00D730EB">
        <w:t>6</w:t>
      </w:r>
      <w:r w:rsidRPr="00C24F29">
        <w:t>, para. 17</w:t>
      </w:r>
      <w:r w:rsidR="00D730EB">
        <w:t>8</w:t>
      </w:r>
      <w:r w:rsidR="000076B6">
        <w:t xml:space="preserve">.  </w:t>
      </w:r>
    </w:p>
  </w:footnote>
  <w:footnote w:id="23">
    <w:p w:rsidR="00D80125" w:rsidRDefault="00D80125">
      <w:pPr>
        <w:pStyle w:val="FootnoteText"/>
      </w:pPr>
      <w:r>
        <w:rPr>
          <w:rStyle w:val="FootnoteReference"/>
        </w:rPr>
        <w:footnoteRef/>
      </w:r>
      <w:r>
        <w:t xml:space="preserve"> </w:t>
      </w:r>
      <w:r w:rsidR="00C25E7C" w:rsidRPr="00C17BFB">
        <w:rPr>
          <w:i/>
        </w:rPr>
        <w:t>Id</w:t>
      </w:r>
      <w:r w:rsidR="00C25E7C">
        <w:t xml:space="preserve">. </w:t>
      </w:r>
      <w:r w:rsidRPr="00C24F29">
        <w:t>at</w:t>
      </w:r>
      <w:r>
        <w:t xml:space="preserve"> 7705</w:t>
      </w:r>
      <w:r w:rsidRPr="00C24F29">
        <w:t>, para. 17</w:t>
      </w:r>
      <w:r>
        <w:t>6.</w:t>
      </w:r>
    </w:p>
  </w:footnote>
  <w:footnote w:id="24">
    <w:p w:rsidR="00D80125" w:rsidRDefault="00D80125">
      <w:pPr>
        <w:pStyle w:val="FootnoteText"/>
      </w:pPr>
      <w:r>
        <w:rPr>
          <w:rStyle w:val="FootnoteReference"/>
        </w:rPr>
        <w:footnoteRef/>
      </w:r>
      <w:r>
        <w:t xml:space="preserve"> </w:t>
      </w:r>
      <w:r w:rsidRPr="00165453">
        <w:t>47 C.F.R. § 64.5001(a), (b)</w:t>
      </w:r>
      <w:r>
        <w:t>.</w:t>
      </w:r>
    </w:p>
  </w:footnote>
  <w:footnote w:id="25">
    <w:p w:rsidR="00D80125" w:rsidRDefault="00D80125">
      <w:pPr>
        <w:pStyle w:val="FootnoteText"/>
      </w:pPr>
      <w:r>
        <w:rPr>
          <w:rStyle w:val="FootnoteReference"/>
        </w:rPr>
        <w:footnoteRef/>
      </w:r>
      <w:r>
        <w:t xml:space="preserve"> </w:t>
      </w:r>
      <w:r w:rsidRPr="00165453">
        <w:rPr>
          <w:i/>
        </w:rPr>
        <w:t>Id</w:t>
      </w:r>
      <w:r w:rsidR="00907460">
        <w:t>. at</w:t>
      </w:r>
      <w:r w:rsidRPr="00165453">
        <w:rPr>
          <w:i/>
        </w:rPr>
        <w:t xml:space="preserve"> </w:t>
      </w:r>
      <w:r w:rsidRPr="00165453">
        <w:t>§ 64.5001(c)</w:t>
      </w:r>
      <w:r w:rsidR="0068737C">
        <w:t>;</w:t>
      </w:r>
      <w:r w:rsidR="0068737C" w:rsidRPr="0068737C">
        <w:rPr>
          <w:i/>
        </w:rPr>
        <w:t xml:space="preserve"> </w:t>
      </w:r>
      <w:r w:rsidR="0068737C" w:rsidRPr="00C24F29">
        <w:rPr>
          <w:i/>
        </w:rPr>
        <w:t xml:space="preserve">USTelecom </w:t>
      </w:r>
      <w:r w:rsidR="0068737C">
        <w:rPr>
          <w:i/>
        </w:rPr>
        <w:t xml:space="preserve">Forbearance </w:t>
      </w:r>
      <w:r w:rsidR="0068737C" w:rsidRPr="00C24F29">
        <w:rPr>
          <w:i/>
        </w:rPr>
        <w:t>Long Order</w:t>
      </w:r>
      <w:r w:rsidR="0068737C" w:rsidRPr="00C24F29">
        <w:t>, 28 FCC Rcd at</w:t>
      </w:r>
      <w:r w:rsidR="0068737C">
        <w:t xml:space="preserve"> 770</w:t>
      </w:r>
      <w:r w:rsidR="00D84161">
        <w:t>6</w:t>
      </w:r>
      <w:r w:rsidR="0068737C" w:rsidRPr="00C24F29">
        <w:t>, para</w:t>
      </w:r>
      <w:r w:rsidR="008265A7">
        <w:t>s</w:t>
      </w:r>
      <w:r w:rsidR="0068737C" w:rsidRPr="00C24F29">
        <w:t>. 1</w:t>
      </w:r>
      <w:r w:rsidR="0068737C">
        <w:t>80 (</w:t>
      </w:r>
      <w:r w:rsidR="00D74F84">
        <w:t>“</w:t>
      </w:r>
      <w:r w:rsidR="00D74F84" w:rsidRPr="00D74F84">
        <w:t>With respect to the first and second prongs of our forbearance analysis, we find that the requirements in rule 64.5001 related to reporting and certifying prepaid calling card traffic for the purpose of distinguishing minutes of use between interstate and intrastate jurisdictions are no longer necessary to ensure just and reasonable rates or to prevent unreasonable or unjust discrimination.</w:t>
      </w:r>
      <w:r w:rsidR="00D74F84">
        <w:t xml:space="preserve">  </w:t>
      </w:r>
      <w:r w:rsidR="00D74F84" w:rsidRPr="00D74F84">
        <w:t>As USTelecom explains, and no commenter disputes, “[c]arriers have established business practices for exchanging required data” in the absence of these requirements</w:t>
      </w:r>
      <w:r>
        <w:t>.</w:t>
      </w:r>
      <w:r w:rsidR="00D74F84">
        <w:t>”)</w:t>
      </w:r>
      <w:r w:rsidR="008265A7">
        <w:t xml:space="preserve">; </w:t>
      </w:r>
      <w:r w:rsidR="008265A7" w:rsidRPr="00B86810">
        <w:rPr>
          <w:i/>
        </w:rPr>
        <w:t>id</w:t>
      </w:r>
      <w:r w:rsidR="008265A7">
        <w:t>. at 181 (“</w:t>
      </w:r>
      <w:r w:rsidR="008265A7" w:rsidRPr="008265A7">
        <w:t>For the same reasons, under the second prong of our analysis, we find that these provisions are not necessary to protect consumers, and note recent consumer protection efforts by the Commission involving the prepaid calling card industry</w:t>
      </w:r>
      <w:r w:rsidR="00D74F84">
        <w:t>.</w:t>
      </w:r>
      <w:r w:rsidR="008265A7">
        <w:t xml:space="preserve">”).  </w:t>
      </w:r>
      <w:r w:rsidR="00D74F84">
        <w:t xml:space="preserve">  </w:t>
      </w:r>
    </w:p>
  </w:footnote>
  <w:footnote w:id="26">
    <w:p w:rsidR="00D80125" w:rsidRPr="00FB53BF" w:rsidRDefault="00D80125">
      <w:pPr>
        <w:pStyle w:val="FootnoteText"/>
        <w:rPr>
          <w:szCs w:val="22"/>
        </w:rPr>
      </w:pPr>
      <w:r>
        <w:rPr>
          <w:rStyle w:val="FootnoteReference"/>
        </w:rPr>
        <w:footnoteRef/>
      </w:r>
      <w:r>
        <w:t xml:space="preserve"> </w:t>
      </w:r>
      <w:r w:rsidR="00FB53BF" w:rsidRPr="00FB53BF">
        <w:rPr>
          <w:i/>
          <w:szCs w:val="22"/>
        </w:rPr>
        <w:t>Process Reform Report</w:t>
      </w:r>
      <w:r w:rsidR="00FB53BF" w:rsidRPr="00FB53BF">
        <w:rPr>
          <w:szCs w:val="22"/>
        </w:rPr>
        <w:t>, 29 FCC Rcd at 141</w:t>
      </w:r>
      <w:r w:rsidR="00FB53BF">
        <w:rPr>
          <w:szCs w:val="22"/>
        </w:rPr>
        <w:t>6-17</w:t>
      </w:r>
      <w:r w:rsidR="00FB53BF" w:rsidRPr="00FB53BF">
        <w:rPr>
          <w:szCs w:val="22"/>
        </w:rPr>
        <w:t>.</w:t>
      </w:r>
    </w:p>
  </w:footnote>
  <w:footnote w:id="27">
    <w:p w:rsidR="00D80125" w:rsidRDefault="00D80125">
      <w:pPr>
        <w:pStyle w:val="FootnoteText"/>
      </w:pPr>
      <w:r>
        <w:rPr>
          <w:rStyle w:val="FootnoteReference"/>
        </w:rPr>
        <w:footnoteRef/>
      </w:r>
      <w:r>
        <w:t xml:space="preserve"> </w:t>
      </w:r>
      <w:r w:rsidR="00FB53BF" w:rsidRPr="00FB53BF">
        <w:rPr>
          <w:i/>
        </w:rPr>
        <w:t>Id</w:t>
      </w:r>
      <w:r w:rsidR="00FB53BF">
        <w:t>. at 1417.</w:t>
      </w:r>
    </w:p>
  </w:footnote>
  <w:footnote w:id="28">
    <w:p w:rsidR="00D80125" w:rsidRDefault="00D80125">
      <w:pPr>
        <w:pStyle w:val="FootnoteText"/>
      </w:pPr>
      <w:r>
        <w:rPr>
          <w:rStyle w:val="FootnoteReference"/>
        </w:rPr>
        <w:footnoteRef/>
      </w:r>
      <w:r>
        <w:t xml:space="preserve"> </w:t>
      </w:r>
      <w:r w:rsidR="00FB53BF">
        <w:t>As noted above, we propose to delete from the C</w:t>
      </w:r>
      <w:r w:rsidR="00461CF2">
        <w:t>.</w:t>
      </w:r>
      <w:r w:rsidR="00FB53BF">
        <w:t>F</w:t>
      </w:r>
      <w:r w:rsidR="00461CF2">
        <w:t>.</w:t>
      </w:r>
      <w:r w:rsidR="00FB53BF">
        <w:t>R</w:t>
      </w:r>
      <w:r w:rsidR="00461CF2">
        <w:t>.</w:t>
      </w:r>
      <w:r w:rsidR="00FB53BF">
        <w:t xml:space="preserve"> section 64.1 in its entirety.</w:t>
      </w:r>
    </w:p>
  </w:footnote>
  <w:footnote w:id="29">
    <w:p w:rsidR="002F213A" w:rsidRDefault="002F213A">
      <w:pPr>
        <w:pStyle w:val="FootnoteText"/>
      </w:pPr>
      <w:r>
        <w:rPr>
          <w:rStyle w:val="FootnoteReference"/>
        </w:rPr>
        <w:footnoteRef/>
      </w:r>
      <w:r>
        <w:t xml:space="preserve"> </w:t>
      </w:r>
      <w:r w:rsidR="001309F4" w:rsidRPr="003A0913">
        <w:rPr>
          <w:i/>
          <w:color w:val="000000"/>
        </w:rPr>
        <w:t>See</w:t>
      </w:r>
      <w:r w:rsidR="001309F4">
        <w:rPr>
          <w:color w:val="000000"/>
        </w:rPr>
        <w:t xml:space="preserve">, </w:t>
      </w:r>
      <w:r w:rsidR="001309F4" w:rsidRPr="003A0913">
        <w:rPr>
          <w:i/>
          <w:color w:val="000000"/>
        </w:rPr>
        <w:t>e</w:t>
      </w:r>
      <w:r w:rsidR="001309F4">
        <w:rPr>
          <w:color w:val="000000"/>
        </w:rPr>
        <w:t>.</w:t>
      </w:r>
      <w:r w:rsidR="001309F4" w:rsidRPr="003A0913">
        <w:rPr>
          <w:i/>
          <w:color w:val="000000"/>
        </w:rPr>
        <w:t>g</w:t>
      </w:r>
      <w:r w:rsidR="001309F4">
        <w:rPr>
          <w:color w:val="000000"/>
        </w:rPr>
        <w:t xml:space="preserve">., </w:t>
      </w:r>
      <w:r w:rsidR="001309F4" w:rsidRPr="003A0913">
        <w:rPr>
          <w:i/>
          <w:color w:val="000000"/>
        </w:rPr>
        <w:t>Jurisdictional Separations and Referral to the Federal-State Joint Board</w:t>
      </w:r>
      <w:r w:rsidR="001309F4">
        <w:rPr>
          <w:color w:val="000000"/>
        </w:rPr>
        <w:t xml:space="preserve">, CC Docket No. 80-286, Further Notice of Proposed Rulemaking, 29 FCC Rcd 3340, 3340, para. 3 (2014).  </w:t>
      </w:r>
      <w:r w:rsidR="001309F4">
        <w:t>Incumbent LECs assign regulated costs to various categories of plant and expenses, and the costs in each category are apportioned between the intrastate and interstate jurisdictions.</w:t>
      </w:r>
      <w:r w:rsidR="007169C6">
        <w:t xml:space="preserve">  </w:t>
      </w:r>
      <w:r w:rsidR="007169C6" w:rsidRPr="00C84085">
        <w:rPr>
          <w:i/>
        </w:rPr>
        <w:t>Id</w:t>
      </w:r>
      <w:r w:rsidR="007169C6">
        <w:t>. at 3340, para. 4.</w:t>
      </w:r>
    </w:p>
  </w:footnote>
  <w:footnote w:id="30">
    <w:p w:rsidR="002F213A" w:rsidRPr="00967CFE" w:rsidRDefault="002F213A">
      <w:pPr>
        <w:pStyle w:val="FootnoteText"/>
      </w:pPr>
      <w:r>
        <w:rPr>
          <w:rStyle w:val="FootnoteReference"/>
        </w:rPr>
        <w:footnoteRef/>
      </w:r>
      <w:r>
        <w:t xml:space="preserve"> </w:t>
      </w:r>
      <w:r w:rsidR="001309F4" w:rsidRPr="00D94448">
        <w:t>47 C.F.R. § 36.126</w:t>
      </w:r>
      <w:r w:rsidR="006A6C03">
        <w:t xml:space="preserve">.  </w:t>
      </w:r>
    </w:p>
  </w:footnote>
  <w:footnote w:id="31">
    <w:p w:rsidR="002F213A" w:rsidRDefault="002F213A">
      <w:pPr>
        <w:pStyle w:val="FootnoteText"/>
      </w:pPr>
      <w:r>
        <w:rPr>
          <w:rStyle w:val="FootnoteReference"/>
        </w:rPr>
        <w:footnoteRef/>
      </w:r>
      <w:r>
        <w:t xml:space="preserve"> </w:t>
      </w:r>
      <w:r w:rsidR="001309F4" w:rsidRPr="001309F4">
        <w:rPr>
          <w:i/>
        </w:rPr>
        <w:t>Id</w:t>
      </w:r>
      <w:r w:rsidR="001309F4">
        <w:t>.</w:t>
      </w:r>
    </w:p>
  </w:footnote>
  <w:footnote w:id="32">
    <w:p w:rsidR="00891238" w:rsidRDefault="00891238" w:rsidP="00891238">
      <w:pPr>
        <w:pStyle w:val="FootnoteText"/>
      </w:pPr>
      <w:r>
        <w:rPr>
          <w:rStyle w:val="FootnoteReference"/>
        </w:rPr>
        <w:footnoteRef/>
      </w:r>
      <w:r>
        <w:rPr>
          <w:i/>
        </w:rPr>
        <w:t xml:space="preserve"> </w:t>
      </w:r>
      <w:r w:rsidRPr="00D94448">
        <w:rPr>
          <w:bCs/>
          <w:i/>
        </w:rPr>
        <w:t>Process</w:t>
      </w:r>
      <w:r w:rsidRPr="00D94448">
        <w:rPr>
          <w:i/>
        </w:rPr>
        <w:t xml:space="preserve"> </w:t>
      </w:r>
      <w:r w:rsidRPr="00D94448">
        <w:rPr>
          <w:bCs/>
          <w:i/>
        </w:rPr>
        <w:t>Reform</w:t>
      </w:r>
      <w:r w:rsidRPr="00D94448">
        <w:rPr>
          <w:i/>
        </w:rPr>
        <w:t xml:space="preserve"> Report</w:t>
      </w:r>
      <w:r>
        <w:t>, 29 FCC Rcd at 1416.</w:t>
      </w:r>
      <w:r w:rsidR="006A411A">
        <w:t xml:space="preserve">  We note that there is a pending referral to the</w:t>
      </w:r>
      <w:r w:rsidR="00386BFC">
        <w:t xml:space="preserve"> Federal-State</w:t>
      </w:r>
      <w:r w:rsidR="006A411A">
        <w:t xml:space="preserve"> </w:t>
      </w:r>
      <w:r w:rsidR="00386BFC">
        <w:t xml:space="preserve">Joint Board on separations that welcomed input on “whether, how, and when the Commission’s jurisdictional separations rules should be modified.”  </w:t>
      </w:r>
      <w:r w:rsidR="00386BFC">
        <w:rPr>
          <w:i/>
        </w:rPr>
        <w:t>Jurisdictional Separations Reform and Referral to the Federal-State Joint Board</w:t>
      </w:r>
      <w:r w:rsidR="00386BFC">
        <w:t xml:space="preserve">, CC Docket No. 80-286, Report and Order, 24 FCC Rcd </w:t>
      </w:r>
      <w:r w:rsidR="006A113D">
        <w:t>6162, 6167, para. 15 (2009).</w:t>
      </w:r>
      <w:r w:rsidR="00386BFC">
        <w:t xml:space="preserve"> </w:t>
      </w:r>
      <w:r w:rsidR="006A113D">
        <w:t xml:space="preserve"> </w:t>
      </w:r>
      <w:r w:rsidR="00386BFC">
        <w:t>Thus, we need not specifically refer this discrete matter.</w:t>
      </w:r>
    </w:p>
  </w:footnote>
  <w:footnote w:id="33">
    <w:p w:rsidR="00E1187C" w:rsidRDefault="00E1187C">
      <w:pPr>
        <w:pStyle w:val="FootnoteText"/>
      </w:pPr>
      <w:r>
        <w:rPr>
          <w:rStyle w:val="FootnoteReference"/>
        </w:rPr>
        <w:footnoteRef/>
      </w:r>
      <w:r>
        <w:t xml:space="preserve"> </w:t>
      </w:r>
      <w:r w:rsidR="001309F4" w:rsidRPr="00D94448">
        <w:t>47 C.F.R. § 54.706(a)(13)</w:t>
      </w:r>
      <w:r w:rsidR="006A6C03">
        <w:t xml:space="preserve">.  </w:t>
      </w:r>
    </w:p>
  </w:footnote>
  <w:footnote w:id="34">
    <w:p w:rsidR="0029675C" w:rsidRDefault="0029675C">
      <w:pPr>
        <w:pStyle w:val="FootnoteText"/>
      </w:pPr>
      <w:r>
        <w:rPr>
          <w:rStyle w:val="FootnoteReference"/>
        </w:rPr>
        <w:footnoteRef/>
      </w:r>
      <w:r>
        <w:t xml:space="preserve"> </w:t>
      </w:r>
      <w:r w:rsidRPr="00B031DD">
        <w:rPr>
          <w:i/>
        </w:rPr>
        <w:t>De minimis</w:t>
      </w:r>
      <w:r w:rsidRPr="0029675C">
        <w:t xml:space="preserve"> providers are required to register and file FCC Form 499 even if they do not contribute</w:t>
      </w:r>
      <w:r>
        <w:t xml:space="preserve">.  </w:t>
      </w:r>
    </w:p>
  </w:footnote>
  <w:footnote w:id="35">
    <w:p w:rsidR="00E1187C" w:rsidRDefault="00E1187C">
      <w:pPr>
        <w:pStyle w:val="FootnoteText"/>
      </w:pPr>
      <w:r>
        <w:rPr>
          <w:rStyle w:val="FootnoteReference"/>
        </w:rPr>
        <w:footnoteRef/>
      </w:r>
      <w:r>
        <w:t xml:space="preserve"> </w:t>
      </w:r>
      <w:r w:rsidR="001309F4" w:rsidRPr="002778E5">
        <w:rPr>
          <w:spacing w:val="-3"/>
        </w:rPr>
        <w:t>47 U.S.C. § 214(a).</w:t>
      </w:r>
    </w:p>
  </w:footnote>
  <w:footnote w:id="36">
    <w:p w:rsidR="00E1187C" w:rsidRDefault="00E1187C">
      <w:pPr>
        <w:pStyle w:val="FootnoteText"/>
      </w:pPr>
      <w:r>
        <w:rPr>
          <w:rStyle w:val="FootnoteReference"/>
        </w:rPr>
        <w:footnoteRef/>
      </w:r>
      <w:r>
        <w:t xml:space="preserve"> </w:t>
      </w:r>
      <w:r w:rsidR="00A62653">
        <w:rPr>
          <w:i/>
        </w:rPr>
        <w:t>P</w:t>
      </w:r>
      <w:r w:rsidR="00A62653" w:rsidRPr="002778E5">
        <w:rPr>
          <w:i/>
        </w:rPr>
        <w:t>rocess Reform Report</w:t>
      </w:r>
      <w:r w:rsidR="00A62653" w:rsidRPr="002778E5">
        <w:t>, 29 FCC Rcd at 1416-17</w:t>
      </w:r>
      <w:r w:rsidR="0047570B">
        <w:t xml:space="preserve"> (</w:t>
      </w:r>
      <w:r w:rsidR="00A62653" w:rsidRPr="002778E5">
        <w:t>Recommendation 5.38</w:t>
      </w:r>
      <w:r w:rsidR="0047570B">
        <w:t>)</w:t>
      </w:r>
      <w:r w:rsidR="00A62653" w:rsidRPr="002778E5">
        <w:t xml:space="preserve">.  The relevant provisions are 47 C.F.R. </w:t>
      </w:r>
      <w:r w:rsidR="00A62653" w:rsidRPr="002778E5">
        <w:rPr>
          <w:szCs w:val="22"/>
        </w:rPr>
        <w:t>§</w:t>
      </w:r>
      <w:r w:rsidR="00A62653" w:rsidRPr="002778E5">
        <w:t xml:space="preserve">§ 63.60(c), 63.61, </w:t>
      </w:r>
      <w:r w:rsidR="00A62653">
        <w:t xml:space="preserve">63.62, </w:t>
      </w:r>
      <w:r w:rsidR="00A62653" w:rsidRPr="002778E5">
        <w:rPr>
          <w:szCs w:val="22"/>
        </w:rPr>
        <w:t xml:space="preserve">63.65(a)(4), </w:t>
      </w:r>
      <w:r w:rsidR="00A62653" w:rsidRPr="002778E5">
        <w:t>63.500(g), 63.501(g), and 63.504(k).</w:t>
      </w:r>
      <w:r w:rsidR="00A27ACE">
        <w:t xml:space="preserve">  </w:t>
      </w:r>
    </w:p>
  </w:footnote>
  <w:footnote w:id="37">
    <w:p w:rsidR="00286ABF" w:rsidRDefault="00286ABF">
      <w:pPr>
        <w:pStyle w:val="FootnoteText"/>
      </w:pPr>
      <w:r>
        <w:rPr>
          <w:rStyle w:val="FootnoteReference"/>
        </w:rPr>
        <w:footnoteRef/>
      </w:r>
      <w:r>
        <w:t xml:space="preserve"> </w:t>
      </w:r>
      <w:r w:rsidRPr="00286ABF">
        <w:t>47 U.S.C. § 214(a).</w:t>
      </w:r>
    </w:p>
  </w:footnote>
  <w:footnote w:id="38">
    <w:p w:rsidR="00E1187C" w:rsidRPr="00D94448" w:rsidRDefault="00E1187C" w:rsidP="00E1187C">
      <w:pPr>
        <w:pStyle w:val="FootnoteText"/>
        <w:rPr>
          <w:i/>
        </w:rPr>
      </w:pPr>
      <w:r w:rsidRPr="00D94448">
        <w:rPr>
          <w:rStyle w:val="FootnoteReference"/>
        </w:rPr>
        <w:footnoteRef/>
      </w:r>
      <w:r>
        <w:t xml:space="preserve"> 47 C.F.R. § </w:t>
      </w:r>
      <w:r w:rsidRPr="00D94448">
        <w:t xml:space="preserve">1.1200 </w:t>
      </w:r>
      <w:r w:rsidRPr="00D94448">
        <w:rPr>
          <w:i/>
        </w:rPr>
        <w:t>et seq.</w:t>
      </w:r>
    </w:p>
  </w:footnote>
  <w:footnote w:id="39">
    <w:p w:rsidR="004429E5" w:rsidRPr="0091418D" w:rsidRDefault="004429E5" w:rsidP="004429E5">
      <w:pPr>
        <w:pStyle w:val="FootnoteText"/>
      </w:pPr>
      <w:r w:rsidRPr="0091418D">
        <w:rPr>
          <w:rStyle w:val="FootnoteReference"/>
        </w:rPr>
        <w:footnoteRef/>
      </w:r>
      <w:r w:rsidRPr="0091418D">
        <w:t xml:space="preserve"> </w:t>
      </w:r>
      <w:r w:rsidRPr="0091418D">
        <w:rPr>
          <w:i/>
        </w:rPr>
        <w:t>See</w:t>
      </w:r>
      <w:r w:rsidRPr="0091418D">
        <w:t xml:space="preserve"> 5 U.S.C. § 601 </w:t>
      </w:r>
      <w:r w:rsidRPr="0091418D">
        <w:rPr>
          <w:i/>
        </w:rPr>
        <w:t>et seq</w:t>
      </w:r>
      <w:r w:rsidRPr="0091418D">
        <w:t xml:space="preserve">.   The RFA has been amended by the Contract With America Advancement Act of 1996, </w:t>
      </w:r>
      <w:r>
        <w:t>Pub. L. No. 104-121, 110 Stat. 847 (1996)</w:t>
      </w:r>
      <w:r w:rsidRPr="0091418D">
        <w:t xml:space="preserve"> (CWAAA). Title II of the CWAAA is the Small Business Regulatory Enforcement Fairness Act of 1996 (SBREFA).</w:t>
      </w:r>
    </w:p>
  </w:footnote>
  <w:footnote w:id="40">
    <w:p w:rsidR="004429E5" w:rsidRDefault="004429E5" w:rsidP="004429E5">
      <w:pPr>
        <w:pStyle w:val="FootnoteText"/>
      </w:pPr>
      <w:r w:rsidRPr="00165453">
        <w:rPr>
          <w:rStyle w:val="FootnoteReference"/>
        </w:rPr>
        <w:footnoteRef/>
      </w:r>
      <w:r w:rsidRPr="00165453">
        <w:t xml:space="preserve"> 5 U.S.C. § 605(b).</w:t>
      </w:r>
    </w:p>
  </w:footnote>
  <w:footnote w:id="41">
    <w:p w:rsidR="004429E5" w:rsidRDefault="004429E5" w:rsidP="004429E5">
      <w:pPr>
        <w:pStyle w:val="FootnoteText"/>
      </w:pPr>
      <w:r w:rsidRPr="00165453">
        <w:rPr>
          <w:rStyle w:val="FootnoteReference"/>
        </w:rPr>
        <w:footnoteRef/>
      </w:r>
      <w:r w:rsidRPr="00165453">
        <w:t xml:space="preserve"> </w:t>
      </w:r>
      <w:r w:rsidR="00BE65C7" w:rsidRPr="00165453">
        <w:t xml:space="preserve">5 U.S.C. </w:t>
      </w:r>
      <w:hyperlink r:id="rId1" w:history="1">
        <w:r w:rsidRPr="00165453">
          <w:rPr>
            <w:color w:val="000000"/>
          </w:rPr>
          <w:t xml:space="preserve"> § 601(6)</w:t>
        </w:r>
      </w:hyperlink>
      <w:r w:rsidRPr="00165453">
        <w:rPr>
          <w:color w:val="000000"/>
        </w:rPr>
        <w:t>.</w:t>
      </w:r>
    </w:p>
  </w:footnote>
  <w:footnote w:id="42">
    <w:p w:rsidR="004429E5" w:rsidRDefault="004429E5" w:rsidP="004429E5">
      <w:pPr>
        <w:pStyle w:val="FootnoteText"/>
      </w:pPr>
      <w:r w:rsidRPr="00165453">
        <w:rPr>
          <w:rStyle w:val="FootnoteReference"/>
        </w:rPr>
        <w:footnoteRef/>
      </w:r>
      <w:r w:rsidRPr="00165453">
        <w:t xml:space="preserve"> </w:t>
      </w:r>
      <w:r w:rsidR="00BE65C7" w:rsidRPr="00165453">
        <w:t xml:space="preserve">5 U.S.C. </w:t>
      </w:r>
      <w:r w:rsidRPr="00165453">
        <w:rPr>
          <w:color w:val="000000"/>
        </w:rPr>
        <w:t>§ 601(3)</w:t>
      </w:r>
      <w:r w:rsidRPr="00165453">
        <w:t xml:space="preserve"> (incorporating by reference the definition of </w:t>
      </w:r>
      <w:r>
        <w:t>“</w:t>
      </w:r>
      <w:r w:rsidRPr="00165453">
        <w:t>small business concern</w:t>
      </w:r>
      <w:r>
        <w:t>”</w:t>
      </w:r>
      <w:r w:rsidRPr="00165453">
        <w:t xml:space="preserve"> in Small Business Act, </w:t>
      </w:r>
      <w:r w:rsidRPr="00165453">
        <w:rPr>
          <w:color w:val="000000"/>
        </w:rPr>
        <w:t>15</w:t>
      </w:r>
      <w:r>
        <w:rPr>
          <w:color w:val="000000"/>
        </w:rPr>
        <w:t> </w:t>
      </w:r>
      <w:r w:rsidRPr="00165453">
        <w:rPr>
          <w:color w:val="000000"/>
        </w:rPr>
        <w:t>U.S.C. § 632).</w:t>
      </w:r>
      <w:r w:rsidRPr="00165453">
        <w:t xml:space="preserve">  Pursuant to </w:t>
      </w:r>
      <w:r w:rsidRPr="00165453">
        <w:rPr>
          <w:color w:val="000000"/>
        </w:rPr>
        <w:t>5 U.S.C. § 601(3),</w:t>
      </w:r>
      <w:r w:rsidRPr="00165453">
        <w:t xml:space="preserve"> the statutory definition of a small business applies </w:t>
      </w:r>
      <w:r>
        <w:t>“</w:t>
      </w:r>
      <w:r w:rsidRPr="00165453">
        <w:t xml:space="preserve">unless an agency, after consultation with the Office of Advocacy of the Small Business Administration </w:t>
      </w:r>
      <w:r>
        <w:t xml:space="preserve">(SBA) </w:t>
      </w:r>
      <w:r w:rsidRPr="00165453">
        <w:t>and after opportunity for public comment, establishes one or more definitions of such term which are appropriate to the activities of the agency and publishes such definition(s) in the Federal Register.</w:t>
      </w:r>
    </w:p>
  </w:footnote>
  <w:footnote w:id="43">
    <w:p w:rsidR="004429E5" w:rsidRPr="00E42C5A" w:rsidRDefault="004429E5" w:rsidP="004429E5">
      <w:pPr>
        <w:pStyle w:val="FootnoteText"/>
      </w:pPr>
      <w:r w:rsidRPr="00165453">
        <w:rPr>
          <w:rStyle w:val="FootnoteReference"/>
        </w:rPr>
        <w:footnoteRef/>
      </w:r>
      <w:r w:rsidRPr="00165453">
        <w:t xml:space="preserve"> Small Business Act, </w:t>
      </w:r>
      <w:hyperlink r:id="rId2" w:history="1">
        <w:r w:rsidRPr="00165453">
          <w:rPr>
            <w:color w:val="000000"/>
          </w:rPr>
          <w:t>15 U.S.C. § 632</w:t>
        </w:r>
      </w:hyperlink>
      <w:r w:rsidRPr="00165453">
        <w:rPr>
          <w:color w:val="000000"/>
        </w:rPr>
        <w:t>.</w:t>
      </w:r>
    </w:p>
  </w:footnote>
  <w:footnote w:id="44">
    <w:p w:rsidR="004429E5" w:rsidRPr="00016C96" w:rsidRDefault="004429E5" w:rsidP="004429E5">
      <w:pPr>
        <w:pStyle w:val="FootnoteText"/>
      </w:pPr>
      <w:r>
        <w:rPr>
          <w:rStyle w:val="FootnoteReference"/>
        </w:rPr>
        <w:footnoteRef/>
      </w:r>
      <w:r>
        <w:t xml:space="preserve"> </w:t>
      </w:r>
      <w:r>
        <w:rPr>
          <w:i/>
        </w:rPr>
        <w:t xml:space="preserve">See supra </w:t>
      </w:r>
      <w:r>
        <w:t>para. 3.</w:t>
      </w:r>
    </w:p>
  </w:footnote>
  <w:footnote w:id="45">
    <w:p w:rsidR="004429E5" w:rsidRPr="00016C96" w:rsidRDefault="004429E5" w:rsidP="004429E5">
      <w:pPr>
        <w:pStyle w:val="FootnoteText"/>
      </w:pPr>
      <w:r>
        <w:rPr>
          <w:rStyle w:val="FootnoteReference"/>
        </w:rPr>
        <w:footnoteRef/>
      </w:r>
      <w:r>
        <w:t xml:space="preserve"> </w:t>
      </w:r>
      <w:r>
        <w:rPr>
          <w:i/>
        </w:rPr>
        <w:t xml:space="preserve">See supra </w:t>
      </w:r>
      <w:r>
        <w:t>para. 4.</w:t>
      </w:r>
    </w:p>
  </w:footnote>
  <w:footnote w:id="46">
    <w:p w:rsidR="004429E5" w:rsidRDefault="004429E5" w:rsidP="004429E5">
      <w:pPr>
        <w:pStyle w:val="FootnoteText"/>
      </w:pPr>
      <w:r>
        <w:rPr>
          <w:rStyle w:val="FootnoteReference"/>
        </w:rPr>
        <w:footnoteRef/>
      </w:r>
      <w:r>
        <w:t xml:space="preserve"> 47 C.F.R. </w:t>
      </w:r>
      <w:r w:rsidRPr="00C24F29">
        <w:t>§</w:t>
      </w:r>
      <w:r>
        <w:t xml:space="preserve">§ </w:t>
      </w:r>
      <w:r w:rsidRPr="002A57BF">
        <w:t>64.804(c)-(g)</w:t>
      </w:r>
      <w:r w:rsidR="00B7695C">
        <w:t>,</w:t>
      </w:r>
      <w:r>
        <w:t xml:space="preserve"> 42.4, 42.5, 42.7</w:t>
      </w:r>
      <w:r w:rsidR="00B7695C">
        <w:t>,</w:t>
      </w:r>
      <w:r>
        <w:t xml:space="preserve"> 64.301</w:t>
      </w:r>
      <w:r w:rsidR="00B7695C">
        <w:t>,</w:t>
      </w:r>
      <w:r>
        <w:t xml:space="preserve"> 64.501</w:t>
      </w:r>
      <w:r w:rsidR="00B7695C">
        <w:t>,</w:t>
      </w:r>
      <w:r>
        <w:t xml:space="preserve"> 64.5001</w:t>
      </w:r>
      <w:r w:rsidRPr="001E4262">
        <w:t>(a)</w:t>
      </w:r>
      <w:r>
        <w:t>-</w:t>
      </w:r>
      <w:r w:rsidRPr="001E4262">
        <w:t>(c)(2), (c)(4)</w:t>
      </w:r>
      <w:r w:rsidR="00B7695C">
        <w:t>,</w:t>
      </w:r>
      <w:r>
        <w:t xml:space="preserve"> </w:t>
      </w:r>
      <w:r w:rsidRPr="00044275">
        <w:t>64.1</w:t>
      </w:r>
      <w:r w:rsidR="00C633E4">
        <w:t>.</w:t>
      </w:r>
    </w:p>
  </w:footnote>
  <w:footnote w:id="47">
    <w:p w:rsidR="004429E5" w:rsidRDefault="004429E5" w:rsidP="004429E5">
      <w:pPr>
        <w:pStyle w:val="FootnoteText"/>
      </w:pPr>
      <w:r>
        <w:rPr>
          <w:rStyle w:val="FootnoteReference"/>
        </w:rPr>
        <w:footnoteRef/>
      </w:r>
      <w:r>
        <w:t xml:space="preserve"> </w:t>
      </w:r>
      <w:r>
        <w:rPr>
          <w:i/>
        </w:rPr>
        <w:t>See</w:t>
      </w:r>
      <w:r>
        <w:t xml:space="preserve"> 5 U.S.C. § 605(b).</w:t>
      </w:r>
    </w:p>
  </w:footnote>
  <w:footnote w:id="48">
    <w:p w:rsidR="004429E5" w:rsidRDefault="004429E5" w:rsidP="004429E5">
      <w:pPr>
        <w:pStyle w:val="FootnoteText"/>
      </w:pPr>
      <w:r>
        <w:rPr>
          <w:rStyle w:val="FootnoteReference"/>
        </w:rPr>
        <w:footnoteRef/>
      </w:r>
      <w:r>
        <w:t xml:space="preserve"> </w:t>
      </w:r>
      <w:r w:rsidRPr="00DF54ED">
        <w:rPr>
          <w:i/>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E" w:rsidRDefault="00F25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0C" w:rsidRDefault="00C7680C" w:rsidP="00C7680C">
    <w:pPr>
      <w:pStyle w:val="Header"/>
      <w:rPr>
        <w:spacing w:val="-2"/>
      </w:rPr>
    </w:pPr>
    <w:r>
      <w:rPr>
        <w:noProof/>
        <w:snapToGrid/>
      </w:rPr>
      <mc:AlternateContent>
        <mc:Choice Requires="wps">
          <w:drawing>
            <wp:anchor distT="0" distB="0" distL="114300" distR="114300" simplePos="0" relativeHeight="251660288" behindDoc="1" locked="0" layoutInCell="0" allowOverlap="1" wp14:anchorId="117C53B9" wp14:editId="69A48AC4">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w:t>
    </w:r>
    <w:r w:rsidR="00B031DD">
      <w:rPr>
        <w:spacing w:val="-2"/>
      </w:rPr>
      <w:t xml:space="preserve"> 15-13</w:t>
    </w:r>
  </w:p>
  <w:p w:rsidR="00D25FB5" w:rsidRDefault="00393A6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86C61A2" wp14:editId="20EA7B4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93A64" w:rsidP="006C5DB3">
    <w:pPr>
      <w:pStyle w:val="Header"/>
      <w:tabs>
        <w:tab w:val="left" w:pos="2160"/>
      </w:tabs>
      <w:rPr>
        <w:spacing w:val="-2"/>
      </w:rPr>
    </w:pPr>
    <w:r>
      <w:rPr>
        <w:noProof/>
        <w:snapToGrid/>
      </w:rPr>
      <mc:AlternateContent>
        <mc:Choice Requires="wps">
          <w:drawing>
            <wp:anchor distT="0" distB="0" distL="114300" distR="114300" simplePos="0" relativeHeight="251658240" behindDoc="1" locked="0" layoutInCell="0" allowOverlap="1" wp14:anchorId="016C932A" wp14:editId="3D56752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r>
    <w:r w:rsidR="006C5DB3">
      <w:tab/>
    </w:r>
    <w:r w:rsidR="00D25FB5">
      <w:t>Federal Communications Commission</w:t>
    </w:r>
    <w:r w:rsidR="00D25FB5">
      <w:tab/>
    </w:r>
    <w:r>
      <w:rPr>
        <w:spacing w:val="-2"/>
      </w:rPr>
      <w:t>FCC</w:t>
    </w:r>
    <w:r w:rsidR="00B031DD">
      <w:rPr>
        <w:spacing w:val="-2"/>
      </w:rPr>
      <w:t xml:space="preserve"> 15-13</w:t>
    </w:r>
  </w:p>
  <w:p w:rsidR="00393A64" w:rsidRDefault="00393A64"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6D30FA"/>
    <w:multiLevelType w:val="hybridMultilevel"/>
    <w:tmpl w:val="2C261670"/>
    <w:lvl w:ilvl="0" w:tplc="D43A678E">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2C04B0"/>
    <w:multiLevelType w:val="hybridMultilevel"/>
    <w:tmpl w:val="03D8EEEC"/>
    <w:lvl w:ilvl="0" w:tplc="5C3A8928">
      <w:start w:val="1"/>
      <w:numFmt w:val="decimal"/>
      <w:pStyle w:val="paraben1"/>
      <w:lvlText w:val="%1."/>
      <w:lvlJc w:val="left"/>
      <w:pPr>
        <w:tabs>
          <w:tab w:val="num" w:pos="1080"/>
        </w:tabs>
        <w:ind w:left="0" w:firstLine="720"/>
      </w:pPr>
      <w:rPr>
        <w:rFonts w:ascii="Times New Roman" w:hAnsi="Times New Roman" w:cs="Times New Roman" w:hint="default"/>
        <w:b w:val="0"/>
      </w:rPr>
    </w:lvl>
    <w:lvl w:ilvl="1" w:tplc="FFFFFFFF">
      <w:start w:val="1"/>
      <w:numFmt w:val="lowerLetter"/>
      <w:lvlText w:val="%2."/>
      <w:lvlJc w:val="left"/>
      <w:pPr>
        <w:tabs>
          <w:tab w:val="num" w:pos="634"/>
        </w:tabs>
        <w:ind w:left="634" w:hanging="360"/>
      </w:pPr>
    </w:lvl>
    <w:lvl w:ilvl="2" w:tplc="FFFFFFFF">
      <w:start w:val="1"/>
      <w:numFmt w:val="lowerRoman"/>
      <w:lvlText w:val="%3."/>
      <w:lvlJc w:val="right"/>
      <w:pPr>
        <w:tabs>
          <w:tab w:val="num" w:pos="1354"/>
        </w:tabs>
        <w:ind w:left="1354" w:hanging="180"/>
      </w:pPr>
    </w:lvl>
    <w:lvl w:ilvl="3" w:tplc="FFFFFFFF">
      <w:start w:val="1"/>
      <w:numFmt w:val="decimal"/>
      <w:lvlText w:val="%4."/>
      <w:lvlJc w:val="left"/>
      <w:pPr>
        <w:tabs>
          <w:tab w:val="num" w:pos="2074"/>
        </w:tabs>
        <w:ind w:left="2074" w:hanging="360"/>
      </w:pPr>
    </w:lvl>
    <w:lvl w:ilvl="4" w:tplc="FFFFFFFF">
      <w:start w:val="1"/>
      <w:numFmt w:val="lowerLetter"/>
      <w:lvlText w:val="%5."/>
      <w:lvlJc w:val="left"/>
      <w:pPr>
        <w:tabs>
          <w:tab w:val="num" w:pos="2794"/>
        </w:tabs>
        <w:ind w:left="2794" w:hanging="360"/>
      </w:pPr>
    </w:lvl>
    <w:lvl w:ilvl="5" w:tplc="FFFFFFFF">
      <w:start w:val="1"/>
      <w:numFmt w:val="lowerRoman"/>
      <w:lvlText w:val="%6."/>
      <w:lvlJc w:val="right"/>
      <w:pPr>
        <w:tabs>
          <w:tab w:val="num" w:pos="3514"/>
        </w:tabs>
        <w:ind w:left="3514" w:hanging="180"/>
      </w:pPr>
    </w:lvl>
    <w:lvl w:ilvl="6" w:tplc="FFFFFFFF">
      <w:start w:val="1"/>
      <w:numFmt w:val="decimal"/>
      <w:lvlText w:val="%7."/>
      <w:lvlJc w:val="left"/>
      <w:pPr>
        <w:tabs>
          <w:tab w:val="num" w:pos="4234"/>
        </w:tabs>
        <w:ind w:left="4234" w:hanging="360"/>
      </w:pPr>
    </w:lvl>
    <w:lvl w:ilvl="7" w:tplc="FFFFFFFF">
      <w:start w:val="1"/>
      <w:numFmt w:val="lowerLetter"/>
      <w:lvlText w:val="%8."/>
      <w:lvlJc w:val="left"/>
      <w:pPr>
        <w:tabs>
          <w:tab w:val="num" w:pos="4954"/>
        </w:tabs>
        <w:ind w:left="4954" w:hanging="360"/>
      </w:pPr>
    </w:lvl>
    <w:lvl w:ilvl="8" w:tplc="FFFFFFFF">
      <w:start w:val="1"/>
      <w:numFmt w:val="lowerRoman"/>
      <w:lvlText w:val="%9."/>
      <w:lvlJc w:val="right"/>
      <w:pPr>
        <w:tabs>
          <w:tab w:val="num" w:pos="5674"/>
        </w:tabs>
        <w:ind w:left="5674"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9"/>
  </w:num>
  <w:num w:numId="3">
    <w:abstractNumId w:val="6"/>
  </w:num>
  <w:num w:numId="4">
    <w:abstractNumId w:val="8"/>
  </w:num>
  <w:num w:numId="5">
    <w:abstractNumId w:val="5"/>
  </w:num>
  <w:num w:numId="6">
    <w:abstractNumId w:val="2"/>
  </w:num>
  <w:num w:numId="7">
    <w:abstractNumId w:val="0"/>
  </w:num>
  <w:num w:numId="8">
    <w:abstractNumId w:val="10"/>
  </w:num>
  <w:num w:numId="9">
    <w:abstractNumId w:val="7"/>
  </w:num>
  <w:num w:numId="10">
    <w:abstractNumId w:val="9"/>
    <w:lvlOverride w:ilvl="0">
      <w:startOverride w:val="1"/>
    </w:lvlOverride>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1"/>
  </w:num>
  <w:num w:numId="38">
    <w:abstractNumId w:val="9"/>
  </w:num>
  <w:num w:numId="39">
    <w:abstractNumId w:val="9"/>
  </w:num>
  <w:num w:numId="40">
    <w:abstractNumId w:val="9"/>
  </w:num>
  <w:num w:numId="41">
    <w:abstractNumId w:val="9"/>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64"/>
    <w:rsid w:val="000071A7"/>
    <w:rsid w:val="000076B6"/>
    <w:rsid w:val="0001016E"/>
    <w:rsid w:val="00026F5E"/>
    <w:rsid w:val="00030804"/>
    <w:rsid w:val="00036039"/>
    <w:rsid w:val="00037F90"/>
    <w:rsid w:val="00042B0A"/>
    <w:rsid w:val="00064240"/>
    <w:rsid w:val="00080E04"/>
    <w:rsid w:val="00081AC9"/>
    <w:rsid w:val="000875BF"/>
    <w:rsid w:val="000945BE"/>
    <w:rsid w:val="00095EB1"/>
    <w:rsid w:val="00096CF1"/>
    <w:rsid w:val="00096D8C"/>
    <w:rsid w:val="000A6C73"/>
    <w:rsid w:val="000A74C4"/>
    <w:rsid w:val="000B141A"/>
    <w:rsid w:val="000C0B65"/>
    <w:rsid w:val="000C4A21"/>
    <w:rsid w:val="000C5ADE"/>
    <w:rsid w:val="000C6F3A"/>
    <w:rsid w:val="000C75F1"/>
    <w:rsid w:val="000E05FE"/>
    <w:rsid w:val="000E118B"/>
    <w:rsid w:val="000E3D42"/>
    <w:rsid w:val="000F27D3"/>
    <w:rsid w:val="00111DDB"/>
    <w:rsid w:val="00114986"/>
    <w:rsid w:val="0011626C"/>
    <w:rsid w:val="00116F0F"/>
    <w:rsid w:val="00122BD5"/>
    <w:rsid w:val="00123414"/>
    <w:rsid w:val="001309F4"/>
    <w:rsid w:val="00131BC1"/>
    <w:rsid w:val="00132489"/>
    <w:rsid w:val="00133F79"/>
    <w:rsid w:val="001521E7"/>
    <w:rsid w:val="0015231C"/>
    <w:rsid w:val="00173B5B"/>
    <w:rsid w:val="00194A66"/>
    <w:rsid w:val="001A3C4B"/>
    <w:rsid w:val="001B0C6C"/>
    <w:rsid w:val="001B3298"/>
    <w:rsid w:val="001C2F1D"/>
    <w:rsid w:val="001C3738"/>
    <w:rsid w:val="001D0651"/>
    <w:rsid w:val="001D39DA"/>
    <w:rsid w:val="001D5125"/>
    <w:rsid w:val="001D6A14"/>
    <w:rsid w:val="001D6BCF"/>
    <w:rsid w:val="001D7412"/>
    <w:rsid w:val="001E01CA"/>
    <w:rsid w:val="00225603"/>
    <w:rsid w:val="002264C3"/>
    <w:rsid w:val="00230140"/>
    <w:rsid w:val="00232973"/>
    <w:rsid w:val="00242735"/>
    <w:rsid w:val="00245A44"/>
    <w:rsid w:val="0024676C"/>
    <w:rsid w:val="00257AE4"/>
    <w:rsid w:val="002728CF"/>
    <w:rsid w:val="00275CF5"/>
    <w:rsid w:val="0028301F"/>
    <w:rsid w:val="00285017"/>
    <w:rsid w:val="00285E69"/>
    <w:rsid w:val="00286ABF"/>
    <w:rsid w:val="002950EA"/>
    <w:rsid w:val="0029675C"/>
    <w:rsid w:val="002A2D2E"/>
    <w:rsid w:val="002A5F93"/>
    <w:rsid w:val="002B2A8A"/>
    <w:rsid w:val="002C00E8"/>
    <w:rsid w:val="002C3996"/>
    <w:rsid w:val="002D1C13"/>
    <w:rsid w:val="002E594F"/>
    <w:rsid w:val="002E6E19"/>
    <w:rsid w:val="002F213A"/>
    <w:rsid w:val="002F3CA4"/>
    <w:rsid w:val="0030386C"/>
    <w:rsid w:val="003120F9"/>
    <w:rsid w:val="00312F84"/>
    <w:rsid w:val="00315BCF"/>
    <w:rsid w:val="00321649"/>
    <w:rsid w:val="00322AC8"/>
    <w:rsid w:val="003375D3"/>
    <w:rsid w:val="00343749"/>
    <w:rsid w:val="00343EA9"/>
    <w:rsid w:val="00350299"/>
    <w:rsid w:val="0035496E"/>
    <w:rsid w:val="00360EAB"/>
    <w:rsid w:val="003660ED"/>
    <w:rsid w:val="00366B3F"/>
    <w:rsid w:val="00373D6F"/>
    <w:rsid w:val="003742E1"/>
    <w:rsid w:val="00380153"/>
    <w:rsid w:val="0038273B"/>
    <w:rsid w:val="0038610A"/>
    <w:rsid w:val="00386BFC"/>
    <w:rsid w:val="00387574"/>
    <w:rsid w:val="003936DE"/>
    <w:rsid w:val="00393A64"/>
    <w:rsid w:val="003A41D1"/>
    <w:rsid w:val="003B0550"/>
    <w:rsid w:val="003B3734"/>
    <w:rsid w:val="003B4BB8"/>
    <w:rsid w:val="003B694F"/>
    <w:rsid w:val="003B7509"/>
    <w:rsid w:val="003B7A6B"/>
    <w:rsid w:val="003C070D"/>
    <w:rsid w:val="003C201F"/>
    <w:rsid w:val="003C308F"/>
    <w:rsid w:val="003D0BEF"/>
    <w:rsid w:val="003E52D6"/>
    <w:rsid w:val="003F171C"/>
    <w:rsid w:val="003F7745"/>
    <w:rsid w:val="004105E1"/>
    <w:rsid w:val="00412FC5"/>
    <w:rsid w:val="0041346B"/>
    <w:rsid w:val="00422276"/>
    <w:rsid w:val="004242F1"/>
    <w:rsid w:val="00425D68"/>
    <w:rsid w:val="0044227F"/>
    <w:rsid w:val="004429E5"/>
    <w:rsid w:val="00445A00"/>
    <w:rsid w:val="00451B0F"/>
    <w:rsid w:val="0045785D"/>
    <w:rsid w:val="00461CF2"/>
    <w:rsid w:val="0047570B"/>
    <w:rsid w:val="0048404E"/>
    <w:rsid w:val="00484377"/>
    <w:rsid w:val="00486352"/>
    <w:rsid w:val="00487FC7"/>
    <w:rsid w:val="004906C7"/>
    <w:rsid w:val="00491A6E"/>
    <w:rsid w:val="00494BEC"/>
    <w:rsid w:val="004B0793"/>
    <w:rsid w:val="004C2EE3"/>
    <w:rsid w:val="004C365E"/>
    <w:rsid w:val="004C7DB3"/>
    <w:rsid w:val="004D445E"/>
    <w:rsid w:val="004D4E9C"/>
    <w:rsid w:val="004D53BF"/>
    <w:rsid w:val="004D577B"/>
    <w:rsid w:val="004E4A22"/>
    <w:rsid w:val="004E54FC"/>
    <w:rsid w:val="004F7EE8"/>
    <w:rsid w:val="005011E5"/>
    <w:rsid w:val="00511968"/>
    <w:rsid w:val="0053384D"/>
    <w:rsid w:val="00541EB0"/>
    <w:rsid w:val="0055506B"/>
    <w:rsid w:val="00555329"/>
    <w:rsid w:val="0055614C"/>
    <w:rsid w:val="00556CFF"/>
    <w:rsid w:val="00560B60"/>
    <w:rsid w:val="00565DCC"/>
    <w:rsid w:val="0056717E"/>
    <w:rsid w:val="00570AD1"/>
    <w:rsid w:val="005717A0"/>
    <w:rsid w:val="005745A8"/>
    <w:rsid w:val="005802ED"/>
    <w:rsid w:val="00583E0D"/>
    <w:rsid w:val="00585479"/>
    <w:rsid w:val="00590EE7"/>
    <w:rsid w:val="00595E70"/>
    <w:rsid w:val="00597A8A"/>
    <w:rsid w:val="005A051E"/>
    <w:rsid w:val="005A3237"/>
    <w:rsid w:val="005A33A0"/>
    <w:rsid w:val="005A46E5"/>
    <w:rsid w:val="005A631A"/>
    <w:rsid w:val="005B2789"/>
    <w:rsid w:val="005C3F6A"/>
    <w:rsid w:val="005C6057"/>
    <w:rsid w:val="005C6A1A"/>
    <w:rsid w:val="005D74EF"/>
    <w:rsid w:val="005E056C"/>
    <w:rsid w:val="005E0E91"/>
    <w:rsid w:val="005E14C2"/>
    <w:rsid w:val="005E2EC6"/>
    <w:rsid w:val="005F18F3"/>
    <w:rsid w:val="00601DF0"/>
    <w:rsid w:val="00607BA5"/>
    <w:rsid w:val="00611490"/>
    <w:rsid w:val="0061180A"/>
    <w:rsid w:val="00617423"/>
    <w:rsid w:val="006225BC"/>
    <w:rsid w:val="006257D4"/>
    <w:rsid w:val="00626EB6"/>
    <w:rsid w:val="00641403"/>
    <w:rsid w:val="00645C16"/>
    <w:rsid w:val="00646B82"/>
    <w:rsid w:val="00655D03"/>
    <w:rsid w:val="00656C83"/>
    <w:rsid w:val="0067371A"/>
    <w:rsid w:val="00683388"/>
    <w:rsid w:val="00683F84"/>
    <w:rsid w:val="0068737C"/>
    <w:rsid w:val="00694FE1"/>
    <w:rsid w:val="006A033F"/>
    <w:rsid w:val="006A113D"/>
    <w:rsid w:val="006A411A"/>
    <w:rsid w:val="006A6A81"/>
    <w:rsid w:val="006A6C03"/>
    <w:rsid w:val="006C22C5"/>
    <w:rsid w:val="006C372E"/>
    <w:rsid w:val="006C5DB3"/>
    <w:rsid w:val="006E0DF3"/>
    <w:rsid w:val="006F7393"/>
    <w:rsid w:val="0070224F"/>
    <w:rsid w:val="007043B6"/>
    <w:rsid w:val="00704425"/>
    <w:rsid w:val="00710FF0"/>
    <w:rsid w:val="007115F7"/>
    <w:rsid w:val="007169C6"/>
    <w:rsid w:val="007223CE"/>
    <w:rsid w:val="00724E6D"/>
    <w:rsid w:val="00731F01"/>
    <w:rsid w:val="00744472"/>
    <w:rsid w:val="00750A21"/>
    <w:rsid w:val="0075730F"/>
    <w:rsid w:val="00764C41"/>
    <w:rsid w:val="0077153A"/>
    <w:rsid w:val="00772A9B"/>
    <w:rsid w:val="0078183A"/>
    <w:rsid w:val="00785689"/>
    <w:rsid w:val="00793297"/>
    <w:rsid w:val="0079618A"/>
    <w:rsid w:val="0079754B"/>
    <w:rsid w:val="007A1E6D"/>
    <w:rsid w:val="007B0EB2"/>
    <w:rsid w:val="007C283E"/>
    <w:rsid w:val="007C3983"/>
    <w:rsid w:val="007C5ED3"/>
    <w:rsid w:val="007E1FCA"/>
    <w:rsid w:val="007E4AB7"/>
    <w:rsid w:val="007E79EC"/>
    <w:rsid w:val="007F2B2D"/>
    <w:rsid w:val="007F3D88"/>
    <w:rsid w:val="008003E2"/>
    <w:rsid w:val="00802B13"/>
    <w:rsid w:val="00810B6F"/>
    <w:rsid w:val="00811A9E"/>
    <w:rsid w:val="00813BAD"/>
    <w:rsid w:val="00822CE0"/>
    <w:rsid w:val="00823CDC"/>
    <w:rsid w:val="008265A7"/>
    <w:rsid w:val="00827713"/>
    <w:rsid w:val="008334F7"/>
    <w:rsid w:val="00841AB1"/>
    <w:rsid w:val="008578B1"/>
    <w:rsid w:val="008611B0"/>
    <w:rsid w:val="0086398E"/>
    <w:rsid w:val="00866667"/>
    <w:rsid w:val="008676BC"/>
    <w:rsid w:val="00872224"/>
    <w:rsid w:val="00877549"/>
    <w:rsid w:val="0088391D"/>
    <w:rsid w:val="008877FD"/>
    <w:rsid w:val="00890933"/>
    <w:rsid w:val="00891238"/>
    <w:rsid w:val="008A03BE"/>
    <w:rsid w:val="008A1E3E"/>
    <w:rsid w:val="008B515F"/>
    <w:rsid w:val="008C1757"/>
    <w:rsid w:val="008C68F1"/>
    <w:rsid w:val="008E7E67"/>
    <w:rsid w:val="008F447A"/>
    <w:rsid w:val="00905904"/>
    <w:rsid w:val="00907460"/>
    <w:rsid w:val="00913189"/>
    <w:rsid w:val="00921803"/>
    <w:rsid w:val="00926503"/>
    <w:rsid w:val="009373C9"/>
    <w:rsid w:val="00941B5D"/>
    <w:rsid w:val="00950889"/>
    <w:rsid w:val="00953BD1"/>
    <w:rsid w:val="00967CFE"/>
    <w:rsid w:val="009726D8"/>
    <w:rsid w:val="00975A18"/>
    <w:rsid w:val="009A2498"/>
    <w:rsid w:val="009A27BB"/>
    <w:rsid w:val="009A4FBB"/>
    <w:rsid w:val="009A7930"/>
    <w:rsid w:val="009B5C97"/>
    <w:rsid w:val="009C1566"/>
    <w:rsid w:val="009C71D6"/>
    <w:rsid w:val="009F2B42"/>
    <w:rsid w:val="009F76DB"/>
    <w:rsid w:val="00A121F3"/>
    <w:rsid w:val="00A207F6"/>
    <w:rsid w:val="00A27ACE"/>
    <w:rsid w:val="00A313D3"/>
    <w:rsid w:val="00A32C3B"/>
    <w:rsid w:val="00A45F4F"/>
    <w:rsid w:val="00A53A34"/>
    <w:rsid w:val="00A57903"/>
    <w:rsid w:val="00A600A9"/>
    <w:rsid w:val="00A62653"/>
    <w:rsid w:val="00A635AE"/>
    <w:rsid w:val="00A71B32"/>
    <w:rsid w:val="00A736EF"/>
    <w:rsid w:val="00A83A1C"/>
    <w:rsid w:val="00A979D1"/>
    <w:rsid w:val="00AA55B7"/>
    <w:rsid w:val="00AA5B9E"/>
    <w:rsid w:val="00AB2407"/>
    <w:rsid w:val="00AB29A4"/>
    <w:rsid w:val="00AB53DF"/>
    <w:rsid w:val="00AB718B"/>
    <w:rsid w:val="00AC2942"/>
    <w:rsid w:val="00AC7F53"/>
    <w:rsid w:val="00AF7F62"/>
    <w:rsid w:val="00B031DD"/>
    <w:rsid w:val="00B03A79"/>
    <w:rsid w:val="00B07E5C"/>
    <w:rsid w:val="00B165D2"/>
    <w:rsid w:val="00B20198"/>
    <w:rsid w:val="00B26B85"/>
    <w:rsid w:val="00B33ECA"/>
    <w:rsid w:val="00B40F0C"/>
    <w:rsid w:val="00B55275"/>
    <w:rsid w:val="00B57096"/>
    <w:rsid w:val="00B67896"/>
    <w:rsid w:val="00B7695C"/>
    <w:rsid w:val="00B811F7"/>
    <w:rsid w:val="00B81CE8"/>
    <w:rsid w:val="00B86810"/>
    <w:rsid w:val="00B87142"/>
    <w:rsid w:val="00B947B5"/>
    <w:rsid w:val="00B94934"/>
    <w:rsid w:val="00BA4608"/>
    <w:rsid w:val="00BA5DC6"/>
    <w:rsid w:val="00BA6196"/>
    <w:rsid w:val="00BC072C"/>
    <w:rsid w:val="00BC1D06"/>
    <w:rsid w:val="00BC6D8C"/>
    <w:rsid w:val="00BD2B8C"/>
    <w:rsid w:val="00BD6FFB"/>
    <w:rsid w:val="00BE094A"/>
    <w:rsid w:val="00BE1F27"/>
    <w:rsid w:val="00BE65C7"/>
    <w:rsid w:val="00BE730E"/>
    <w:rsid w:val="00C00DB2"/>
    <w:rsid w:val="00C03FD5"/>
    <w:rsid w:val="00C04E88"/>
    <w:rsid w:val="00C17BFB"/>
    <w:rsid w:val="00C21D32"/>
    <w:rsid w:val="00C23E76"/>
    <w:rsid w:val="00C2447C"/>
    <w:rsid w:val="00C25E7C"/>
    <w:rsid w:val="00C30D56"/>
    <w:rsid w:val="00C34006"/>
    <w:rsid w:val="00C368F2"/>
    <w:rsid w:val="00C40741"/>
    <w:rsid w:val="00C426B1"/>
    <w:rsid w:val="00C435C5"/>
    <w:rsid w:val="00C464E5"/>
    <w:rsid w:val="00C633E4"/>
    <w:rsid w:val="00C66160"/>
    <w:rsid w:val="00C721AC"/>
    <w:rsid w:val="00C7680C"/>
    <w:rsid w:val="00C81825"/>
    <w:rsid w:val="00C84085"/>
    <w:rsid w:val="00C90D6A"/>
    <w:rsid w:val="00CA247E"/>
    <w:rsid w:val="00CC1138"/>
    <w:rsid w:val="00CC2F1F"/>
    <w:rsid w:val="00CC4636"/>
    <w:rsid w:val="00CC72B6"/>
    <w:rsid w:val="00CC76B5"/>
    <w:rsid w:val="00CE3C83"/>
    <w:rsid w:val="00CE5CA5"/>
    <w:rsid w:val="00CF39E8"/>
    <w:rsid w:val="00D0218D"/>
    <w:rsid w:val="00D24967"/>
    <w:rsid w:val="00D25FB5"/>
    <w:rsid w:val="00D433D0"/>
    <w:rsid w:val="00D44223"/>
    <w:rsid w:val="00D52D98"/>
    <w:rsid w:val="00D61814"/>
    <w:rsid w:val="00D637AE"/>
    <w:rsid w:val="00D730EB"/>
    <w:rsid w:val="00D73C6B"/>
    <w:rsid w:val="00D74F84"/>
    <w:rsid w:val="00D75D95"/>
    <w:rsid w:val="00D77D28"/>
    <w:rsid w:val="00D80125"/>
    <w:rsid w:val="00D807C0"/>
    <w:rsid w:val="00D84161"/>
    <w:rsid w:val="00D8490F"/>
    <w:rsid w:val="00D8508D"/>
    <w:rsid w:val="00D94A06"/>
    <w:rsid w:val="00D96621"/>
    <w:rsid w:val="00DA2529"/>
    <w:rsid w:val="00DB130A"/>
    <w:rsid w:val="00DB2EBB"/>
    <w:rsid w:val="00DC0CEE"/>
    <w:rsid w:val="00DC10A1"/>
    <w:rsid w:val="00DC2F00"/>
    <w:rsid w:val="00DC655F"/>
    <w:rsid w:val="00DD0B59"/>
    <w:rsid w:val="00DD3BEC"/>
    <w:rsid w:val="00DD41E9"/>
    <w:rsid w:val="00DD7EBD"/>
    <w:rsid w:val="00DE2CEC"/>
    <w:rsid w:val="00DE3A93"/>
    <w:rsid w:val="00DF453E"/>
    <w:rsid w:val="00DF62B6"/>
    <w:rsid w:val="00DF788C"/>
    <w:rsid w:val="00E034DD"/>
    <w:rsid w:val="00E07225"/>
    <w:rsid w:val="00E077F0"/>
    <w:rsid w:val="00E11809"/>
    <w:rsid w:val="00E1187C"/>
    <w:rsid w:val="00E20349"/>
    <w:rsid w:val="00E37BD4"/>
    <w:rsid w:val="00E5409F"/>
    <w:rsid w:val="00E561A9"/>
    <w:rsid w:val="00E6179A"/>
    <w:rsid w:val="00E62F93"/>
    <w:rsid w:val="00E70220"/>
    <w:rsid w:val="00E80E8C"/>
    <w:rsid w:val="00E82696"/>
    <w:rsid w:val="00E84763"/>
    <w:rsid w:val="00EB37E3"/>
    <w:rsid w:val="00EB37EE"/>
    <w:rsid w:val="00ED2D1A"/>
    <w:rsid w:val="00EE6488"/>
    <w:rsid w:val="00EE6D67"/>
    <w:rsid w:val="00F016A2"/>
    <w:rsid w:val="00F021FA"/>
    <w:rsid w:val="00F102CE"/>
    <w:rsid w:val="00F169F0"/>
    <w:rsid w:val="00F2515E"/>
    <w:rsid w:val="00F42566"/>
    <w:rsid w:val="00F45D59"/>
    <w:rsid w:val="00F62E97"/>
    <w:rsid w:val="00F64209"/>
    <w:rsid w:val="00F85490"/>
    <w:rsid w:val="00F86384"/>
    <w:rsid w:val="00F908AD"/>
    <w:rsid w:val="00F93BF5"/>
    <w:rsid w:val="00FA1A23"/>
    <w:rsid w:val="00FA470C"/>
    <w:rsid w:val="00FA54B9"/>
    <w:rsid w:val="00FB53BF"/>
    <w:rsid w:val="00FC0BA2"/>
    <w:rsid w:val="00FD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889"/>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9508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1,Heading 2 Char Char1"/>
    <w:basedOn w:val="Normal"/>
    <w:next w:val="ParaNum"/>
    <w:link w:val="Heading2Char"/>
    <w:autoRedefine/>
    <w:qFormat/>
    <w:rsid w:val="00950889"/>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qFormat/>
    <w:rsid w:val="00950889"/>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950889"/>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950889"/>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95088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508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0889"/>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9508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08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889"/>
  </w:style>
  <w:style w:type="paragraph" w:customStyle="1" w:styleId="ParaNum">
    <w:name w:val="ParaNum"/>
    <w:basedOn w:val="Normal"/>
    <w:link w:val="ParaNumChar2"/>
    <w:rsid w:val="00950889"/>
    <w:pPr>
      <w:numPr>
        <w:numId w:val="2"/>
      </w:numPr>
      <w:tabs>
        <w:tab w:val="clear" w:pos="1080"/>
        <w:tab w:val="num" w:pos="1440"/>
      </w:tabs>
      <w:spacing w:after="120"/>
    </w:pPr>
  </w:style>
  <w:style w:type="paragraph" w:styleId="EndnoteText">
    <w:name w:val="endnote text"/>
    <w:basedOn w:val="Normal"/>
    <w:semiHidden/>
    <w:rsid w:val="00950889"/>
    <w:rPr>
      <w:sz w:val="20"/>
    </w:rPr>
  </w:style>
  <w:style w:type="character" w:styleId="EndnoteReference">
    <w:name w:val="endnote reference"/>
    <w:semiHidden/>
    <w:rsid w:val="00950889"/>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n"/>
    <w:link w:val="FootnoteTextChar3"/>
    <w:rsid w:val="00950889"/>
    <w:pPr>
      <w:spacing w:after="120"/>
    </w:pPr>
  </w:style>
  <w:style w:type="character" w:styleId="FootnoteReference">
    <w:name w:val="footnote reference"/>
    <w:aliases w:val="Appel note de bas de p,Style 12,(NECG) Footnote Reference,Style 124,o,fr,Style 3,Style 13,FR,Style 6,Style 17,Footnote Reference/,Style 7,Style 4"/>
    <w:rsid w:val="00950889"/>
    <w:rPr>
      <w:rFonts w:ascii="Times New Roman" w:hAnsi="Times New Roman"/>
      <w:dstrike w:val="0"/>
      <w:color w:val="auto"/>
      <w:sz w:val="20"/>
      <w:vertAlign w:val="superscript"/>
    </w:rPr>
  </w:style>
  <w:style w:type="paragraph" w:styleId="TOC1">
    <w:name w:val="toc 1"/>
    <w:basedOn w:val="Normal"/>
    <w:next w:val="Normal"/>
    <w:semiHidden/>
    <w:rsid w:val="009508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50889"/>
    <w:pPr>
      <w:tabs>
        <w:tab w:val="left" w:pos="720"/>
        <w:tab w:val="right" w:leader="dot" w:pos="9360"/>
      </w:tabs>
      <w:suppressAutoHyphens/>
      <w:ind w:left="720" w:right="720" w:hanging="360"/>
    </w:pPr>
    <w:rPr>
      <w:noProof/>
    </w:rPr>
  </w:style>
  <w:style w:type="paragraph" w:styleId="TOC3">
    <w:name w:val="toc 3"/>
    <w:basedOn w:val="Normal"/>
    <w:next w:val="Normal"/>
    <w:semiHidden/>
    <w:rsid w:val="009508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508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08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08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08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08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08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0889"/>
    <w:pPr>
      <w:tabs>
        <w:tab w:val="right" w:pos="9360"/>
      </w:tabs>
      <w:suppressAutoHyphens/>
    </w:pPr>
  </w:style>
  <w:style w:type="character" w:customStyle="1" w:styleId="EquationCaption">
    <w:name w:val="_Equation Caption"/>
    <w:rsid w:val="00950889"/>
  </w:style>
  <w:style w:type="paragraph" w:styleId="Header">
    <w:name w:val="header"/>
    <w:basedOn w:val="Normal"/>
    <w:autoRedefine/>
    <w:rsid w:val="00950889"/>
    <w:pPr>
      <w:tabs>
        <w:tab w:val="center" w:pos="4680"/>
        <w:tab w:val="right" w:pos="9360"/>
      </w:tabs>
    </w:pPr>
    <w:rPr>
      <w:b/>
    </w:rPr>
  </w:style>
  <w:style w:type="paragraph" w:styleId="Footer">
    <w:name w:val="footer"/>
    <w:basedOn w:val="Normal"/>
    <w:link w:val="FooterChar"/>
    <w:rsid w:val="00950889"/>
    <w:pPr>
      <w:tabs>
        <w:tab w:val="center" w:pos="4320"/>
        <w:tab w:val="right" w:pos="8640"/>
      </w:tabs>
    </w:pPr>
  </w:style>
  <w:style w:type="character" w:styleId="PageNumber">
    <w:name w:val="page number"/>
    <w:basedOn w:val="DefaultParagraphFont"/>
    <w:rsid w:val="00950889"/>
  </w:style>
  <w:style w:type="paragraph" w:styleId="BlockText">
    <w:name w:val="Block Text"/>
    <w:basedOn w:val="Normal"/>
    <w:rsid w:val="00950889"/>
    <w:pPr>
      <w:spacing w:after="240"/>
      <w:ind w:left="1440" w:right="1440"/>
    </w:pPr>
  </w:style>
  <w:style w:type="paragraph" w:customStyle="1" w:styleId="Paratitle">
    <w:name w:val="Para title"/>
    <w:basedOn w:val="Normal"/>
    <w:rsid w:val="00950889"/>
    <w:pPr>
      <w:tabs>
        <w:tab w:val="center" w:pos="9270"/>
      </w:tabs>
      <w:spacing w:after="240"/>
    </w:pPr>
    <w:rPr>
      <w:spacing w:val="-2"/>
    </w:rPr>
  </w:style>
  <w:style w:type="paragraph" w:customStyle="1" w:styleId="Bullet">
    <w:name w:val="Bullet"/>
    <w:basedOn w:val="Normal"/>
    <w:rsid w:val="00950889"/>
    <w:pPr>
      <w:tabs>
        <w:tab w:val="left" w:pos="2160"/>
      </w:tabs>
      <w:spacing w:after="220"/>
      <w:ind w:left="2160" w:hanging="720"/>
    </w:pPr>
  </w:style>
  <w:style w:type="paragraph" w:customStyle="1" w:styleId="TableFormat">
    <w:name w:val="TableFormat"/>
    <w:basedOn w:val="Bullet"/>
    <w:rsid w:val="00950889"/>
    <w:pPr>
      <w:tabs>
        <w:tab w:val="clear" w:pos="2160"/>
        <w:tab w:val="left" w:pos="5040"/>
      </w:tabs>
      <w:ind w:left="5040" w:hanging="3600"/>
    </w:pPr>
  </w:style>
  <w:style w:type="paragraph" w:customStyle="1" w:styleId="TOCTitle">
    <w:name w:val="TOC Title"/>
    <w:basedOn w:val="Normal"/>
    <w:rsid w:val="009508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0889"/>
    <w:pPr>
      <w:jc w:val="center"/>
    </w:pPr>
    <w:rPr>
      <w:rFonts w:ascii="Times New Roman Bold" w:hAnsi="Times New Roman Bold"/>
      <w:b/>
      <w:bCs/>
      <w:caps/>
      <w:szCs w:val="22"/>
    </w:rPr>
  </w:style>
  <w:style w:type="character" w:styleId="Hyperlink">
    <w:name w:val="Hyperlink"/>
    <w:rsid w:val="00950889"/>
    <w:rPr>
      <w:color w:val="0000FF"/>
      <w:u w:val="single"/>
    </w:rPr>
  </w:style>
  <w:style w:type="character" w:customStyle="1" w:styleId="ParaNumChar2">
    <w:name w:val="ParaNum Char2"/>
    <w:link w:val="ParaNum"/>
    <w:rsid w:val="00E1187C"/>
    <w:rPr>
      <w:snapToGrid w:val="0"/>
      <w:kern w:val="28"/>
      <w:sz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rsid w:val="00E1187C"/>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1187C"/>
    <w:rPr>
      <w:rFonts w:ascii="Times New Roman Bold" w:hAnsi="Times New Roman Bold"/>
      <w:b/>
      <w:caps/>
      <w:snapToGrid w:val="0"/>
      <w:kern w:val="28"/>
      <w:sz w:val="22"/>
    </w:rPr>
  </w:style>
  <w:style w:type="paragraph" w:styleId="ListParagraph">
    <w:name w:val="List Paragraph"/>
    <w:basedOn w:val="Normal"/>
    <w:uiPriority w:val="34"/>
    <w:qFormat/>
    <w:rsid w:val="007E79EC"/>
    <w:pPr>
      <w:ind w:left="720"/>
      <w:contextualSpacing/>
    </w:pPr>
  </w:style>
  <w:style w:type="character" w:customStyle="1" w:styleId="apple-converted-space">
    <w:name w:val="apple-converted-space"/>
    <w:basedOn w:val="DefaultParagraphFont"/>
    <w:rsid w:val="007E79EC"/>
  </w:style>
  <w:style w:type="character" w:customStyle="1" w:styleId="searchterm">
    <w:name w:val="searchterm"/>
    <w:basedOn w:val="DefaultParagraphFont"/>
    <w:rsid w:val="007E79EC"/>
  </w:style>
  <w:style w:type="paragraph" w:styleId="BalloonText">
    <w:name w:val="Balloon Text"/>
    <w:basedOn w:val="Normal"/>
    <w:link w:val="BalloonTextChar"/>
    <w:rsid w:val="00B165D2"/>
    <w:rPr>
      <w:rFonts w:ascii="Tahoma" w:hAnsi="Tahoma" w:cs="Tahoma"/>
      <w:sz w:val="16"/>
      <w:szCs w:val="16"/>
    </w:rPr>
  </w:style>
  <w:style w:type="character" w:customStyle="1" w:styleId="BalloonTextChar">
    <w:name w:val="Balloon Text Char"/>
    <w:basedOn w:val="DefaultParagraphFont"/>
    <w:link w:val="BalloonText"/>
    <w:rsid w:val="00B165D2"/>
    <w:rPr>
      <w:rFonts w:ascii="Tahoma" w:hAnsi="Tahoma" w:cs="Tahoma"/>
      <w:snapToGrid w:val="0"/>
      <w:kern w:val="28"/>
      <w:sz w:val="16"/>
      <w:szCs w:val="16"/>
    </w:rPr>
  </w:style>
  <w:style w:type="character" w:styleId="CommentReference">
    <w:name w:val="annotation reference"/>
    <w:basedOn w:val="DefaultParagraphFont"/>
    <w:rsid w:val="005C6057"/>
    <w:rPr>
      <w:sz w:val="16"/>
      <w:szCs w:val="16"/>
    </w:rPr>
  </w:style>
  <w:style w:type="paragraph" w:styleId="CommentText">
    <w:name w:val="annotation text"/>
    <w:basedOn w:val="Normal"/>
    <w:link w:val="CommentTextChar"/>
    <w:rsid w:val="005C6057"/>
    <w:rPr>
      <w:sz w:val="20"/>
    </w:rPr>
  </w:style>
  <w:style w:type="character" w:customStyle="1" w:styleId="CommentTextChar">
    <w:name w:val="Comment Text Char"/>
    <w:basedOn w:val="DefaultParagraphFont"/>
    <w:link w:val="CommentText"/>
    <w:rsid w:val="005C6057"/>
    <w:rPr>
      <w:snapToGrid w:val="0"/>
      <w:kern w:val="28"/>
    </w:rPr>
  </w:style>
  <w:style w:type="paragraph" w:styleId="CommentSubject">
    <w:name w:val="annotation subject"/>
    <w:basedOn w:val="CommentText"/>
    <w:next w:val="CommentText"/>
    <w:link w:val="CommentSubjectChar"/>
    <w:rsid w:val="005C6057"/>
    <w:rPr>
      <w:b/>
      <w:bCs/>
    </w:rPr>
  </w:style>
  <w:style w:type="character" w:customStyle="1" w:styleId="CommentSubjectChar">
    <w:name w:val="Comment Subject Char"/>
    <w:basedOn w:val="CommentTextChar"/>
    <w:link w:val="CommentSubject"/>
    <w:rsid w:val="005C6057"/>
    <w:rPr>
      <w:b/>
      <w:bCs/>
      <w:snapToGrid w:val="0"/>
      <w:kern w:val="28"/>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4C365E"/>
    <w:rPr>
      <w:b/>
      <w:snapToGrid w:val="0"/>
      <w:kern w:val="28"/>
      <w:sz w:val="22"/>
    </w:rPr>
  </w:style>
  <w:style w:type="character" w:customStyle="1" w:styleId="ParaNumChar">
    <w:name w:val="ParaNum Char"/>
    <w:locked/>
    <w:rsid w:val="005C3F6A"/>
    <w:rPr>
      <w:snapToGrid w:val="0"/>
      <w:kern w:val="28"/>
      <w:sz w:val="22"/>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2,fn Char"/>
    <w:rsid w:val="00AF7F62"/>
  </w:style>
  <w:style w:type="paragraph" w:customStyle="1" w:styleId="paraben1">
    <w:name w:val="paraben1"/>
    <w:basedOn w:val="Normal"/>
    <w:rsid w:val="00AF7F62"/>
    <w:pPr>
      <w:numPr>
        <w:numId w:val="42"/>
      </w:numPr>
      <w:spacing w:after="220"/>
      <w:jc w:val="both"/>
    </w:pPr>
  </w:style>
  <w:style w:type="paragraph" w:styleId="Revision">
    <w:name w:val="Revision"/>
    <w:hidden/>
    <w:uiPriority w:val="99"/>
    <w:semiHidden/>
    <w:rsid w:val="00AF7F62"/>
    <w:rPr>
      <w:snapToGrid w:val="0"/>
      <w:kern w:val="28"/>
      <w:sz w:val="22"/>
    </w:rPr>
  </w:style>
  <w:style w:type="character" w:customStyle="1" w:styleId="FooterChar">
    <w:name w:val="Footer Char"/>
    <w:basedOn w:val="DefaultParagraphFont"/>
    <w:link w:val="Footer"/>
    <w:rsid w:val="006C5DB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889"/>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9508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1,Heading 2 Char Char1"/>
    <w:basedOn w:val="Normal"/>
    <w:next w:val="ParaNum"/>
    <w:link w:val="Heading2Char"/>
    <w:autoRedefine/>
    <w:qFormat/>
    <w:rsid w:val="00950889"/>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qFormat/>
    <w:rsid w:val="00950889"/>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950889"/>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950889"/>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95088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508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0889"/>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9508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08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889"/>
  </w:style>
  <w:style w:type="paragraph" w:customStyle="1" w:styleId="ParaNum">
    <w:name w:val="ParaNum"/>
    <w:basedOn w:val="Normal"/>
    <w:link w:val="ParaNumChar2"/>
    <w:rsid w:val="00950889"/>
    <w:pPr>
      <w:numPr>
        <w:numId w:val="2"/>
      </w:numPr>
      <w:tabs>
        <w:tab w:val="clear" w:pos="1080"/>
        <w:tab w:val="num" w:pos="1440"/>
      </w:tabs>
      <w:spacing w:after="120"/>
    </w:pPr>
  </w:style>
  <w:style w:type="paragraph" w:styleId="EndnoteText">
    <w:name w:val="endnote text"/>
    <w:basedOn w:val="Normal"/>
    <w:semiHidden/>
    <w:rsid w:val="00950889"/>
    <w:rPr>
      <w:sz w:val="20"/>
    </w:rPr>
  </w:style>
  <w:style w:type="character" w:styleId="EndnoteReference">
    <w:name w:val="endnote reference"/>
    <w:semiHidden/>
    <w:rsid w:val="00950889"/>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n"/>
    <w:link w:val="FootnoteTextChar3"/>
    <w:rsid w:val="00950889"/>
    <w:pPr>
      <w:spacing w:after="120"/>
    </w:pPr>
  </w:style>
  <w:style w:type="character" w:styleId="FootnoteReference">
    <w:name w:val="footnote reference"/>
    <w:aliases w:val="Appel note de bas de p,Style 12,(NECG) Footnote Reference,Style 124,o,fr,Style 3,Style 13,FR,Style 6,Style 17,Footnote Reference/,Style 7,Style 4"/>
    <w:rsid w:val="00950889"/>
    <w:rPr>
      <w:rFonts w:ascii="Times New Roman" w:hAnsi="Times New Roman"/>
      <w:dstrike w:val="0"/>
      <w:color w:val="auto"/>
      <w:sz w:val="20"/>
      <w:vertAlign w:val="superscript"/>
    </w:rPr>
  </w:style>
  <w:style w:type="paragraph" w:styleId="TOC1">
    <w:name w:val="toc 1"/>
    <w:basedOn w:val="Normal"/>
    <w:next w:val="Normal"/>
    <w:semiHidden/>
    <w:rsid w:val="009508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50889"/>
    <w:pPr>
      <w:tabs>
        <w:tab w:val="left" w:pos="720"/>
        <w:tab w:val="right" w:leader="dot" w:pos="9360"/>
      </w:tabs>
      <w:suppressAutoHyphens/>
      <w:ind w:left="720" w:right="720" w:hanging="360"/>
    </w:pPr>
    <w:rPr>
      <w:noProof/>
    </w:rPr>
  </w:style>
  <w:style w:type="paragraph" w:styleId="TOC3">
    <w:name w:val="toc 3"/>
    <w:basedOn w:val="Normal"/>
    <w:next w:val="Normal"/>
    <w:semiHidden/>
    <w:rsid w:val="009508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508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08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08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08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08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08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0889"/>
    <w:pPr>
      <w:tabs>
        <w:tab w:val="right" w:pos="9360"/>
      </w:tabs>
      <w:suppressAutoHyphens/>
    </w:pPr>
  </w:style>
  <w:style w:type="character" w:customStyle="1" w:styleId="EquationCaption">
    <w:name w:val="_Equation Caption"/>
    <w:rsid w:val="00950889"/>
  </w:style>
  <w:style w:type="paragraph" w:styleId="Header">
    <w:name w:val="header"/>
    <w:basedOn w:val="Normal"/>
    <w:autoRedefine/>
    <w:rsid w:val="00950889"/>
    <w:pPr>
      <w:tabs>
        <w:tab w:val="center" w:pos="4680"/>
        <w:tab w:val="right" w:pos="9360"/>
      </w:tabs>
    </w:pPr>
    <w:rPr>
      <w:b/>
    </w:rPr>
  </w:style>
  <w:style w:type="paragraph" w:styleId="Footer">
    <w:name w:val="footer"/>
    <w:basedOn w:val="Normal"/>
    <w:link w:val="FooterChar"/>
    <w:rsid w:val="00950889"/>
    <w:pPr>
      <w:tabs>
        <w:tab w:val="center" w:pos="4320"/>
        <w:tab w:val="right" w:pos="8640"/>
      </w:tabs>
    </w:pPr>
  </w:style>
  <w:style w:type="character" w:styleId="PageNumber">
    <w:name w:val="page number"/>
    <w:basedOn w:val="DefaultParagraphFont"/>
    <w:rsid w:val="00950889"/>
  </w:style>
  <w:style w:type="paragraph" w:styleId="BlockText">
    <w:name w:val="Block Text"/>
    <w:basedOn w:val="Normal"/>
    <w:rsid w:val="00950889"/>
    <w:pPr>
      <w:spacing w:after="240"/>
      <w:ind w:left="1440" w:right="1440"/>
    </w:pPr>
  </w:style>
  <w:style w:type="paragraph" w:customStyle="1" w:styleId="Paratitle">
    <w:name w:val="Para title"/>
    <w:basedOn w:val="Normal"/>
    <w:rsid w:val="00950889"/>
    <w:pPr>
      <w:tabs>
        <w:tab w:val="center" w:pos="9270"/>
      </w:tabs>
      <w:spacing w:after="240"/>
    </w:pPr>
    <w:rPr>
      <w:spacing w:val="-2"/>
    </w:rPr>
  </w:style>
  <w:style w:type="paragraph" w:customStyle="1" w:styleId="Bullet">
    <w:name w:val="Bullet"/>
    <w:basedOn w:val="Normal"/>
    <w:rsid w:val="00950889"/>
    <w:pPr>
      <w:tabs>
        <w:tab w:val="left" w:pos="2160"/>
      </w:tabs>
      <w:spacing w:after="220"/>
      <w:ind w:left="2160" w:hanging="720"/>
    </w:pPr>
  </w:style>
  <w:style w:type="paragraph" w:customStyle="1" w:styleId="TableFormat">
    <w:name w:val="TableFormat"/>
    <w:basedOn w:val="Bullet"/>
    <w:rsid w:val="00950889"/>
    <w:pPr>
      <w:tabs>
        <w:tab w:val="clear" w:pos="2160"/>
        <w:tab w:val="left" w:pos="5040"/>
      </w:tabs>
      <w:ind w:left="5040" w:hanging="3600"/>
    </w:pPr>
  </w:style>
  <w:style w:type="paragraph" w:customStyle="1" w:styleId="TOCTitle">
    <w:name w:val="TOC Title"/>
    <w:basedOn w:val="Normal"/>
    <w:rsid w:val="009508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0889"/>
    <w:pPr>
      <w:jc w:val="center"/>
    </w:pPr>
    <w:rPr>
      <w:rFonts w:ascii="Times New Roman Bold" w:hAnsi="Times New Roman Bold"/>
      <w:b/>
      <w:bCs/>
      <w:caps/>
      <w:szCs w:val="22"/>
    </w:rPr>
  </w:style>
  <w:style w:type="character" w:styleId="Hyperlink">
    <w:name w:val="Hyperlink"/>
    <w:rsid w:val="00950889"/>
    <w:rPr>
      <w:color w:val="0000FF"/>
      <w:u w:val="single"/>
    </w:rPr>
  </w:style>
  <w:style w:type="character" w:customStyle="1" w:styleId="ParaNumChar2">
    <w:name w:val="ParaNum Char2"/>
    <w:link w:val="ParaNum"/>
    <w:rsid w:val="00E1187C"/>
    <w:rPr>
      <w:snapToGrid w:val="0"/>
      <w:kern w:val="28"/>
      <w:sz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rsid w:val="00E1187C"/>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1187C"/>
    <w:rPr>
      <w:rFonts w:ascii="Times New Roman Bold" w:hAnsi="Times New Roman Bold"/>
      <w:b/>
      <w:caps/>
      <w:snapToGrid w:val="0"/>
      <w:kern w:val="28"/>
      <w:sz w:val="22"/>
    </w:rPr>
  </w:style>
  <w:style w:type="paragraph" w:styleId="ListParagraph">
    <w:name w:val="List Paragraph"/>
    <w:basedOn w:val="Normal"/>
    <w:uiPriority w:val="34"/>
    <w:qFormat/>
    <w:rsid w:val="007E79EC"/>
    <w:pPr>
      <w:ind w:left="720"/>
      <w:contextualSpacing/>
    </w:pPr>
  </w:style>
  <w:style w:type="character" w:customStyle="1" w:styleId="apple-converted-space">
    <w:name w:val="apple-converted-space"/>
    <w:basedOn w:val="DefaultParagraphFont"/>
    <w:rsid w:val="007E79EC"/>
  </w:style>
  <w:style w:type="character" w:customStyle="1" w:styleId="searchterm">
    <w:name w:val="searchterm"/>
    <w:basedOn w:val="DefaultParagraphFont"/>
    <w:rsid w:val="007E79EC"/>
  </w:style>
  <w:style w:type="paragraph" w:styleId="BalloonText">
    <w:name w:val="Balloon Text"/>
    <w:basedOn w:val="Normal"/>
    <w:link w:val="BalloonTextChar"/>
    <w:rsid w:val="00B165D2"/>
    <w:rPr>
      <w:rFonts w:ascii="Tahoma" w:hAnsi="Tahoma" w:cs="Tahoma"/>
      <w:sz w:val="16"/>
      <w:szCs w:val="16"/>
    </w:rPr>
  </w:style>
  <w:style w:type="character" w:customStyle="1" w:styleId="BalloonTextChar">
    <w:name w:val="Balloon Text Char"/>
    <w:basedOn w:val="DefaultParagraphFont"/>
    <w:link w:val="BalloonText"/>
    <w:rsid w:val="00B165D2"/>
    <w:rPr>
      <w:rFonts w:ascii="Tahoma" w:hAnsi="Tahoma" w:cs="Tahoma"/>
      <w:snapToGrid w:val="0"/>
      <w:kern w:val="28"/>
      <w:sz w:val="16"/>
      <w:szCs w:val="16"/>
    </w:rPr>
  </w:style>
  <w:style w:type="character" w:styleId="CommentReference">
    <w:name w:val="annotation reference"/>
    <w:basedOn w:val="DefaultParagraphFont"/>
    <w:rsid w:val="005C6057"/>
    <w:rPr>
      <w:sz w:val="16"/>
      <w:szCs w:val="16"/>
    </w:rPr>
  </w:style>
  <w:style w:type="paragraph" w:styleId="CommentText">
    <w:name w:val="annotation text"/>
    <w:basedOn w:val="Normal"/>
    <w:link w:val="CommentTextChar"/>
    <w:rsid w:val="005C6057"/>
    <w:rPr>
      <w:sz w:val="20"/>
    </w:rPr>
  </w:style>
  <w:style w:type="character" w:customStyle="1" w:styleId="CommentTextChar">
    <w:name w:val="Comment Text Char"/>
    <w:basedOn w:val="DefaultParagraphFont"/>
    <w:link w:val="CommentText"/>
    <w:rsid w:val="005C6057"/>
    <w:rPr>
      <w:snapToGrid w:val="0"/>
      <w:kern w:val="28"/>
    </w:rPr>
  </w:style>
  <w:style w:type="paragraph" w:styleId="CommentSubject">
    <w:name w:val="annotation subject"/>
    <w:basedOn w:val="CommentText"/>
    <w:next w:val="CommentText"/>
    <w:link w:val="CommentSubjectChar"/>
    <w:rsid w:val="005C6057"/>
    <w:rPr>
      <w:b/>
      <w:bCs/>
    </w:rPr>
  </w:style>
  <w:style w:type="character" w:customStyle="1" w:styleId="CommentSubjectChar">
    <w:name w:val="Comment Subject Char"/>
    <w:basedOn w:val="CommentTextChar"/>
    <w:link w:val="CommentSubject"/>
    <w:rsid w:val="005C6057"/>
    <w:rPr>
      <w:b/>
      <w:bCs/>
      <w:snapToGrid w:val="0"/>
      <w:kern w:val="28"/>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4C365E"/>
    <w:rPr>
      <w:b/>
      <w:snapToGrid w:val="0"/>
      <w:kern w:val="28"/>
      <w:sz w:val="22"/>
    </w:rPr>
  </w:style>
  <w:style w:type="character" w:customStyle="1" w:styleId="ParaNumChar">
    <w:name w:val="ParaNum Char"/>
    <w:locked/>
    <w:rsid w:val="005C3F6A"/>
    <w:rPr>
      <w:snapToGrid w:val="0"/>
      <w:kern w:val="28"/>
      <w:sz w:val="22"/>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2,fn Char"/>
    <w:rsid w:val="00AF7F62"/>
  </w:style>
  <w:style w:type="paragraph" w:customStyle="1" w:styleId="paraben1">
    <w:name w:val="paraben1"/>
    <w:basedOn w:val="Normal"/>
    <w:rsid w:val="00AF7F62"/>
    <w:pPr>
      <w:numPr>
        <w:numId w:val="42"/>
      </w:numPr>
      <w:spacing w:after="220"/>
      <w:jc w:val="both"/>
    </w:pPr>
  </w:style>
  <w:style w:type="paragraph" w:styleId="Revision">
    <w:name w:val="Revision"/>
    <w:hidden/>
    <w:uiPriority w:val="99"/>
    <w:semiHidden/>
    <w:rsid w:val="00AF7F62"/>
    <w:rPr>
      <w:snapToGrid w:val="0"/>
      <w:kern w:val="28"/>
      <w:sz w:val="22"/>
    </w:rPr>
  </w:style>
  <w:style w:type="character" w:customStyle="1" w:styleId="FooterChar">
    <w:name w:val="Footer Char"/>
    <w:basedOn w:val="DefaultParagraphFont"/>
    <w:link w:val="Footer"/>
    <w:rsid w:val="006C5DB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627">
      <w:bodyDiv w:val="1"/>
      <w:marLeft w:val="0"/>
      <w:marRight w:val="0"/>
      <w:marTop w:val="0"/>
      <w:marBottom w:val="0"/>
      <w:divBdr>
        <w:top w:val="none" w:sz="0" w:space="0" w:color="auto"/>
        <w:left w:val="none" w:sz="0" w:space="0" w:color="auto"/>
        <w:bottom w:val="none" w:sz="0" w:space="0" w:color="auto"/>
        <w:right w:val="none" w:sz="0" w:space="0" w:color="auto"/>
      </w:divBdr>
    </w:div>
    <w:div w:id="398867527">
      <w:bodyDiv w:val="1"/>
      <w:marLeft w:val="0"/>
      <w:marRight w:val="0"/>
      <w:marTop w:val="0"/>
      <w:marBottom w:val="0"/>
      <w:divBdr>
        <w:top w:val="none" w:sz="0" w:space="0" w:color="auto"/>
        <w:left w:val="none" w:sz="0" w:space="0" w:color="auto"/>
        <w:bottom w:val="none" w:sz="0" w:space="0" w:color="auto"/>
        <w:right w:val="none" w:sz="0" w:space="0" w:color="auto"/>
      </w:divBdr>
      <w:divsChild>
        <w:div w:id="1817259978">
          <w:marLeft w:val="0"/>
          <w:marRight w:val="0"/>
          <w:marTop w:val="0"/>
          <w:marBottom w:val="0"/>
          <w:divBdr>
            <w:top w:val="none" w:sz="0" w:space="0" w:color="auto"/>
            <w:left w:val="none" w:sz="0" w:space="0" w:color="auto"/>
            <w:bottom w:val="none" w:sz="0" w:space="0" w:color="auto"/>
            <w:right w:val="none" w:sz="0" w:space="0" w:color="auto"/>
          </w:divBdr>
        </w:div>
        <w:div w:id="1951087907">
          <w:marLeft w:val="0"/>
          <w:marRight w:val="0"/>
          <w:marTop w:val="0"/>
          <w:marBottom w:val="0"/>
          <w:divBdr>
            <w:top w:val="none" w:sz="0" w:space="0" w:color="auto"/>
            <w:left w:val="none" w:sz="0" w:space="0" w:color="auto"/>
            <w:bottom w:val="none" w:sz="0" w:space="0" w:color="auto"/>
            <w:right w:val="none" w:sz="0" w:space="0" w:color="auto"/>
          </w:divBdr>
        </w:div>
        <w:div w:id="31421841">
          <w:marLeft w:val="0"/>
          <w:marRight w:val="0"/>
          <w:marTop w:val="0"/>
          <w:marBottom w:val="0"/>
          <w:divBdr>
            <w:top w:val="none" w:sz="0" w:space="0" w:color="auto"/>
            <w:left w:val="none" w:sz="0" w:space="0" w:color="auto"/>
            <w:bottom w:val="none" w:sz="0" w:space="0" w:color="auto"/>
            <w:right w:val="none" w:sz="0" w:space="0" w:color="auto"/>
          </w:divBdr>
        </w:div>
        <w:div w:id="1798143129">
          <w:marLeft w:val="0"/>
          <w:marRight w:val="0"/>
          <w:marTop w:val="0"/>
          <w:marBottom w:val="0"/>
          <w:divBdr>
            <w:top w:val="none" w:sz="0" w:space="0" w:color="auto"/>
            <w:left w:val="none" w:sz="0" w:space="0" w:color="auto"/>
            <w:bottom w:val="none" w:sz="0" w:space="0" w:color="auto"/>
            <w:right w:val="none" w:sz="0" w:space="0" w:color="auto"/>
          </w:divBdr>
        </w:div>
        <w:div w:id="538512181">
          <w:marLeft w:val="0"/>
          <w:marRight w:val="0"/>
          <w:marTop w:val="0"/>
          <w:marBottom w:val="0"/>
          <w:divBdr>
            <w:top w:val="none" w:sz="0" w:space="0" w:color="auto"/>
            <w:left w:val="none" w:sz="0" w:space="0" w:color="auto"/>
            <w:bottom w:val="none" w:sz="0" w:space="0" w:color="auto"/>
            <w:right w:val="none" w:sz="0" w:space="0" w:color="auto"/>
          </w:divBdr>
        </w:div>
        <w:div w:id="220989188">
          <w:marLeft w:val="0"/>
          <w:marRight w:val="0"/>
          <w:marTop w:val="0"/>
          <w:marBottom w:val="0"/>
          <w:divBdr>
            <w:top w:val="none" w:sz="0" w:space="0" w:color="auto"/>
            <w:left w:val="none" w:sz="0" w:space="0" w:color="auto"/>
            <w:bottom w:val="none" w:sz="0" w:space="0" w:color="auto"/>
            <w:right w:val="none" w:sz="0" w:space="0" w:color="auto"/>
          </w:divBdr>
        </w:div>
        <w:div w:id="742458812">
          <w:marLeft w:val="0"/>
          <w:marRight w:val="0"/>
          <w:marTop w:val="0"/>
          <w:marBottom w:val="0"/>
          <w:divBdr>
            <w:top w:val="none" w:sz="0" w:space="0" w:color="auto"/>
            <w:left w:val="none" w:sz="0" w:space="0" w:color="auto"/>
            <w:bottom w:val="none" w:sz="0" w:space="0" w:color="auto"/>
            <w:right w:val="none" w:sz="0" w:space="0" w:color="auto"/>
          </w:divBdr>
        </w:div>
      </w:divsChild>
    </w:div>
    <w:div w:id="604461276">
      <w:bodyDiv w:val="1"/>
      <w:marLeft w:val="0"/>
      <w:marRight w:val="0"/>
      <w:marTop w:val="0"/>
      <w:marBottom w:val="0"/>
      <w:divBdr>
        <w:top w:val="none" w:sz="0" w:space="0" w:color="auto"/>
        <w:left w:val="none" w:sz="0" w:space="0" w:color="auto"/>
        <w:bottom w:val="none" w:sz="0" w:space="0" w:color="auto"/>
        <w:right w:val="none" w:sz="0" w:space="0" w:color="auto"/>
      </w:divBdr>
      <w:divsChild>
        <w:div w:id="603853335">
          <w:marLeft w:val="0"/>
          <w:marRight w:val="0"/>
          <w:marTop w:val="0"/>
          <w:marBottom w:val="0"/>
          <w:divBdr>
            <w:top w:val="none" w:sz="0" w:space="0" w:color="auto"/>
            <w:left w:val="none" w:sz="0" w:space="0" w:color="auto"/>
            <w:bottom w:val="none" w:sz="0" w:space="0" w:color="auto"/>
            <w:right w:val="none" w:sz="0" w:space="0" w:color="auto"/>
          </w:divBdr>
        </w:div>
        <w:div w:id="405960414">
          <w:marLeft w:val="0"/>
          <w:marRight w:val="0"/>
          <w:marTop w:val="0"/>
          <w:marBottom w:val="0"/>
          <w:divBdr>
            <w:top w:val="none" w:sz="0" w:space="0" w:color="auto"/>
            <w:left w:val="none" w:sz="0" w:space="0" w:color="auto"/>
            <w:bottom w:val="none" w:sz="0" w:space="0" w:color="auto"/>
            <w:right w:val="none" w:sz="0" w:space="0" w:color="auto"/>
          </w:divBdr>
        </w:div>
        <w:div w:id="1207448303">
          <w:marLeft w:val="0"/>
          <w:marRight w:val="0"/>
          <w:marTop w:val="0"/>
          <w:marBottom w:val="0"/>
          <w:divBdr>
            <w:top w:val="none" w:sz="0" w:space="0" w:color="auto"/>
            <w:left w:val="none" w:sz="0" w:space="0" w:color="auto"/>
            <w:bottom w:val="none" w:sz="0" w:space="0" w:color="auto"/>
            <w:right w:val="none" w:sz="0" w:space="0" w:color="auto"/>
          </w:divBdr>
        </w:div>
        <w:div w:id="467554410">
          <w:marLeft w:val="0"/>
          <w:marRight w:val="0"/>
          <w:marTop w:val="0"/>
          <w:marBottom w:val="0"/>
          <w:divBdr>
            <w:top w:val="none" w:sz="0" w:space="0" w:color="auto"/>
            <w:left w:val="none" w:sz="0" w:space="0" w:color="auto"/>
            <w:bottom w:val="none" w:sz="0" w:space="0" w:color="auto"/>
            <w:right w:val="none" w:sz="0" w:space="0" w:color="auto"/>
          </w:divBdr>
        </w:div>
        <w:div w:id="416756490">
          <w:marLeft w:val="0"/>
          <w:marRight w:val="0"/>
          <w:marTop w:val="0"/>
          <w:marBottom w:val="0"/>
          <w:divBdr>
            <w:top w:val="none" w:sz="0" w:space="0" w:color="auto"/>
            <w:left w:val="none" w:sz="0" w:space="0" w:color="auto"/>
            <w:bottom w:val="none" w:sz="0" w:space="0" w:color="auto"/>
            <w:right w:val="none" w:sz="0" w:space="0" w:color="auto"/>
          </w:divBdr>
        </w:div>
        <w:div w:id="416513817">
          <w:marLeft w:val="0"/>
          <w:marRight w:val="0"/>
          <w:marTop w:val="0"/>
          <w:marBottom w:val="0"/>
          <w:divBdr>
            <w:top w:val="none" w:sz="0" w:space="0" w:color="auto"/>
            <w:left w:val="none" w:sz="0" w:space="0" w:color="auto"/>
            <w:bottom w:val="none" w:sz="0" w:space="0" w:color="auto"/>
            <w:right w:val="none" w:sz="0" w:space="0" w:color="auto"/>
          </w:divBdr>
        </w:div>
        <w:div w:id="558444745">
          <w:marLeft w:val="0"/>
          <w:marRight w:val="0"/>
          <w:marTop w:val="0"/>
          <w:marBottom w:val="0"/>
          <w:divBdr>
            <w:top w:val="none" w:sz="0" w:space="0" w:color="auto"/>
            <w:left w:val="none" w:sz="0" w:space="0" w:color="auto"/>
            <w:bottom w:val="none" w:sz="0" w:space="0" w:color="auto"/>
            <w:right w:val="none" w:sz="0" w:space="0" w:color="auto"/>
          </w:divBdr>
        </w:div>
      </w:divsChild>
    </w:div>
    <w:div w:id="1819690845">
      <w:bodyDiv w:val="1"/>
      <w:marLeft w:val="0"/>
      <w:marRight w:val="0"/>
      <w:marTop w:val="0"/>
      <w:marBottom w:val="0"/>
      <w:divBdr>
        <w:top w:val="none" w:sz="0" w:space="0" w:color="auto"/>
        <w:left w:val="none" w:sz="0" w:space="0" w:color="auto"/>
        <w:bottom w:val="none" w:sz="0" w:space="0" w:color="auto"/>
        <w:right w:val="none" w:sz="0" w:space="0" w:color="auto"/>
      </w:divBdr>
      <w:divsChild>
        <w:div w:id="712265404">
          <w:marLeft w:val="0"/>
          <w:marRight w:val="0"/>
          <w:marTop w:val="0"/>
          <w:marBottom w:val="0"/>
          <w:divBdr>
            <w:top w:val="none" w:sz="0" w:space="0" w:color="auto"/>
            <w:left w:val="none" w:sz="0" w:space="0" w:color="auto"/>
            <w:bottom w:val="none" w:sz="0" w:space="0" w:color="auto"/>
            <w:right w:val="none" w:sz="0" w:space="0" w:color="auto"/>
          </w:divBdr>
        </w:div>
        <w:div w:id="536937289">
          <w:marLeft w:val="0"/>
          <w:marRight w:val="0"/>
          <w:marTop w:val="0"/>
          <w:marBottom w:val="0"/>
          <w:divBdr>
            <w:top w:val="none" w:sz="0" w:space="0" w:color="auto"/>
            <w:left w:val="none" w:sz="0" w:space="0" w:color="auto"/>
            <w:bottom w:val="none" w:sz="0" w:space="0" w:color="auto"/>
            <w:right w:val="none" w:sz="0" w:space="0" w:color="auto"/>
          </w:divBdr>
        </w:div>
        <w:div w:id="362561987">
          <w:marLeft w:val="0"/>
          <w:marRight w:val="0"/>
          <w:marTop w:val="0"/>
          <w:marBottom w:val="0"/>
          <w:divBdr>
            <w:top w:val="none" w:sz="0" w:space="0" w:color="auto"/>
            <w:left w:val="none" w:sz="0" w:space="0" w:color="auto"/>
            <w:bottom w:val="none" w:sz="0" w:space="0" w:color="auto"/>
            <w:right w:val="none" w:sz="0" w:space="0" w:color="auto"/>
          </w:divBdr>
        </w:div>
        <w:div w:id="1764498585">
          <w:marLeft w:val="0"/>
          <w:marRight w:val="0"/>
          <w:marTop w:val="0"/>
          <w:marBottom w:val="0"/>
          <w:divBdr>
            <w:top w:val="none" w:sz="0" w:space="0" w:color="auto"/>
            <w:left w:val="none" w:sz="0" w:space="0" w:color="auto"/>
            <w:bottom w:val="none" w:sz="0" w:space="0" w:color="auto"/>
            <w:right w:val="none" w:sz="0" w:space="0" w:color="auto"/>
          </w:divBdr>
        </w:div>
        <w:div w:id="541938368">
          <w:marLeft w:val="0"/>
          <w:marRight w:val="0"/>
          <w:marTop w:val="0"/>
          <w:marBottom w:val="0"/>
          <w:divBdr>
            <w:top w:val="none" w:sz="0" w:space="0" w:color="auto"/>
            <w:left w:val="none" w:sz="0" w:space="0" w:color="auto"/>
            <w:bottom w:val="none" w:sz="0" w:space="0" w:color="auto"/>
            <w:right w:val="none" w:sz="0" w:space="0" w:color="auto"/>
          </w:divBdr>
        </w:div>
        <w:div w:id="670375271">
          <w:marLeft w:val="0"/>
          <w:marRight w:val="0"/>
          <w:marTop w:val="0"/>
          <w:marBottom w:val="0"/>
          <w:divBdr>
            <w:top w:val="none" w:sz="0" w:space="0" w:color="auto"/>
            <w:left w:val="none" w:sz="0" w:space="0" w:color="auto"/>
            <w:bottom w:val="none" w:sz="0" w:space="0" w:color="auto"/>
            <w:right w:val="none" w:sz="0" w:space="0" w:color="auto"/>
          </w:divBdr>
        </w:div>
        <w:div w:id="41636726">
          <w:marLeft w:val="0"/>
          <w:marRight w:val="0"/>
          <w:marTop w:val="0"/>
          <w:marBottom w:val="0"/>
          <w:divBdr>
            <w:top w:val="none" w:sz="0" w:space="0" w:color="auto"/>
            <w:left w:val="none" w:sz="0" w:space="0" w:color="auto"/>
            <w:bottom w:val="none" w:sz="0" w:space="0" w:color="auto"/>
            <w:right w:val="none" w:sz="0" w:space="0" w:color="auto"/>
          </w:divBdr>
        </w:div>
      </w:divsChild>
    </w:div>
    <w:div w:id="21409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12&amp;db=1000546&amp;docname=15USCAS632&amp;rp=%2ffind%2fdefault.wl&amp;findtype=L&amp;ordoc=2028476505&amp;tc=-1&amp;vr=2.0&amp;fn=_top&amp;sv=Split&amp;tf=-1&amp;pbc=E4AD9927&amp;rs=WLW12.07" TargetMode="External"/><Relationship Id="rId1" Type="http://schemas.openxmlformats.org/officeDocument/2006/relationships/hyperlink" Target="http://web2.westlaw.com/find/default.wl?mt=12&amp;db=1000546&amp;docname=5USCAS601&amp;rp=%2ffind%2fdefault.wl&amp;findtype=L&amp;ordoc=2028476505&amp;tc=-1&amp;vr=2.0&amp;fn=_top&amp;sv=Split&amp;tf=-1&amp;referencepositiontype=T&amp;pbc=E4AD9927&amp;referenceposition=SP%3b1e9a0000fd6a3&amp;rs=WLW1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4340</Words>
  <Characters>24459</Characters>
  <Application>Microsoft Office Word</Application>
  <DocSecurity>0</DocSecurity>
  <Lines>501</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2015-01-28T19:28:00Z</cp:lastPrinted>
  <dcterms:created xsi:type="dcterms:W3CDTF">2015-04-08T16:30:00Z</dcterms:created>
  <dcterms:modified xsi:type="dcterms:W3CDTF">2015-04-08T16:30:00Z</dcterms:modified>
  <cp:category> </cp:category>
  <cp:contentStatus> </cp:contentStatus>
</cp:coreProperties>
</file>