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A56" w:rsidRPr="00C00A56" w:rsidRDefault="00C00A56" w:rsidP="00C00A56">
      <w:pPr>
        <w:widowControl w:val="0"/>
        <w:spacing w:after="0"/>
        <w:jc w:val="center"/>
        <w:rPr>
          <w:rFonts w:eastAsia="Times New Roman" w:cs="Times New Roman"/>
          <w:b/>
          <w:caps/>
          <w:snapToGrid w:val="0"/>
          <w:kern w:val="28"/>
        </w:rPr>
      </w:pPr>
      <w:bookmarkStart w:id="0" w:name="_GoBack"/>
      <w:bookmarkEnd w:id="0"/>
      <w:r w:rsidRPr="00C00A56">
        <w:rPr>
          <w:rFonts w:eastAsia="Times New Roman" w:cs="Times New Roman"/>
          <w:b/>
          <w:caps/>
          <w:snapToGrid w:val="0"/>
          <w:kern w:val="28"/>
          <w:szCs w:val="20"/>
        </w:rPr>
        <w:t xml:space="preserve">DISSENTING </w:t>
      </w:r>
      <w:r w:rsidRPr="00C00A56">
        <w:rPr>
          <w:rFonts w:eastAsia="Times New Roman" w:cs="Times New Roman"/>
          <w:b/>
          <w:caps/>
          <w:snapToGrid w:val="0"/>
          <w:kern w:val="28"/>
        </w:rPr>
        <w:t xml:space="preserve">Statement of </w:t>
      </w:r>
    </w:p>
    <w:p w:rsidR="00C00A56" w:rsidRDefault="00C00A56" w:rsidP="00771CCA">
      <w:pPr>
        <w:widowControl w:val="0"/>
        <w:spacing w:after="0"/>
        <w:jc w:val="center"/>
        <w:rPr>
          <w:rFonts w:eastAsia="Times New Roman" w:cs="Times New Roman"/>
          <w:b/>
          <w:bCs/>
          <w:caps/>
          <w:snapToGrid w:val="0"/>
          <w:kern w:val="28"/>
        </w:rPr>
      </w:pPr>
      <w:r w:rsidRPr="00C00A56">
        <w:rPr>
          <w:rFonts w:eastAsia="Times New Roman" w:cs="Times New Roman"/>
          <w:b/>
          <w:bCs/>
          <w:caps/>
          <w:snapToGrid w:val="0"/>
          <w:kern w:val="28"/>
        </w:rPr>
        <w:t>COMMISSIONER AJIT PAI</w:t>
      </w:r>
    </w:p>
    <w:p w:rsidR="00C00A56" w:rsidRPr="00C00A56" w:rsidRDefault="00C00A56" w:rsidP="00771CCA">
      <w:pPr>
        <w:widowControl w:val="0"/>
        <w:spacing w:after="0"/>
        <w:rPr>
          <w:rFonts w:eastAsia="Times New Roman" w:cs="Times New Roman"/>
          <w:caps/>
          <w:snapToGrid w:val="0"/>
          <w:kern w:val="28"/>
        </w:rPr>
      </w:pPr>
    </w:p>
    <w:p w:rsidR="00EE235B" w:rsidRDefault="00EE235B" w:rsidP="00771CCA">
      <w:pPr>
        <w:suppressAutoHyphens/>
        <w:spacing w:after="0"/>
        <w:rPr>
          <w:rFonts w:cs="Times New Roman"/>
          <w:spacing w:val="-2"/>
        </w:rPr>
      </w:pPr>
      <w:r>
        <w:rPr>
          <w:rFonts w:cs="Times New Roman"/>
          <w:color w:val="000000" w:themeColor="text1"/>
          <w:spacing w:val="-2"/>
        </w:rPr>
        <w:t>Re:</w:t>
      </w:r>
      <w:r>
        <w:rPr>
          <w:rFonts w:cs="Times New Roman"/>
          <w:color w:val="000000" w:themeColor="text1"/>
          <w:spacing w:val="-2"/>
        </w:rPr>
        <w:tab/>
      </w:r>
      <w:r w:rsidRPr="00311761">
        <w:rPr>
          <w:rFonts w:cs="Times New Roman"/>
          <w:i/>
          <w:spacing w:val="-2"/>
        </w:rPr>
        <w:t>M.C. Dean, Inc.</w:t>
      </w:r>
      <w:r>
        <w:rPr>
          <w:rFonts w:cs="Times New Roman"/>
          <w:spacing w:val="-2"/>
        </w:rPr>
        <w:t xml:space="preserve">, File No. </w:t>
      </w:r>
      <w:r w:rsidRPr="000A475C">
        <w:rPr>
          <w:rFonts w:cs="Times New Roman"/>
          <w:spacing w:val="-2"/>
        </w:rPr>
        <w:t>EB-SED-15-00018428</w:t>
      </w:r>
      <w:r>
        <w:rPr>
          <w:rFonts w:cs="Times New Roman"/>
          <w:spacing w:val="-2"/>
        </w:rPr>
        <w:t>.</w:t>
      </w:r>
    </w:p>
    <w:p w:rsidR="00771CCA" w:rsidRDefault="00771CCA" w:rsidP="00771CCA">
      <w:pPr>
        <w:suppressAutoHyphens/>
        <w:spacing w:after="0"/>
        <w:rPr>
          <w:rFonts w:cs="Times New Roman"/>
        </w:rPr>
      </w:pPr>
    </w:p>
    <w:p w:rsidR="00771CCA" w:rsidRPr="004F1223" w:rsidRDefault="00771CCA" w:rsidP="00771CCA">
      <w:pPr>
        <w:suppressAutoHyphens/>
        <w:spacing w:after="0"/>
        <w:rPr>
          <w:rFonts w:cs="Times New Roman"/>
        </w:rPr>
      </w:pPr>
    </w:p>
    <w:p w:rsidR="00EE235B" w:rsidRDefault="00EE235B" w:rsidP="00EE235B">
      <w:pPr>
        <w:ind w:firstLine="720"/>
        <w:rPr>
          <w:rFonts w:cs="Times New Roman"/>
        </w:rPr>
      </w:pPr>
      <w:r>
        <w:rPr>
          <w:rFonts w:cs="Times New Roman"/>
        </w:rPr>
        <w:t xml:space="preserve">Before the FCC can enforce rules, rules must exist.  That’s why I believe that the FCC should adopt rules that limit Wi-Fi blocking.  Wi-Fi blocking occurs when a person uses an unlicensed Part 15 device to intentionally disrupt the operation of another unlicensed Part 15 device, such as a mobile hotspot that a consumer sets up to connect a Wi-Fi-enabled device to the Internet via his or her smartphone.  I also believe that those rules should make clear that no person has </w:t>
      </w:r>
      <w:r>
        <w:rPr>
          <w:rFonts w:cs="Times New Roman"/>
          <w:i/>
        </w:rPr>
        <w:t>carte blanche</w:t>
      </w:r>
      <w:r>
        <w:rPr>
          <w:rFonts w:cs="Times New Roman"/>
        </w:rPr>
        <w:t xml:space="preserve"> to intentionally disrupt another person’s Wi-Fi connection.</w:t>
      </w:r>
    </w:p>
    <w:p w:rsidR="00EE235B" w:rsidRDefault="00EE235B" w:rsidP="00EE235B">
      <w:pPr>
        <w:ind w:firstLine="720"/>
        <w:rPr>
          <w:rFonts w:cs="Times New Roman"/>
        </w:rPr>
      </w:pPr>
      <w:r>
        <w:rPr>
          <w:rFonts w:cs="Times New Roman"/>
        </w:rPr>
        <w:t>Over a year ago, parties petitioned the FCC to enact such regulations.</w:t>
      </w:r>
      <w:r>
        <w:rPr>
          <w:rStyle w:val="FootnoteReference"/>
          <w:rFonts w:cs="Times New Roman"/>
        </w:rPr>
        <w:footnoteReference w:id="1"/>
      </w:r>
      <w:r>
        <w:rPr>
          <w:rFonts w:cs="Times New Roman"/>
        </w:rPr>
        <w:t xml:space="preserve">  They asked the FCC to establish clear rules of the road through an industry-wide rulemaking.  As one might expect, commenters responding to the petition offered very different takes on what any such rules should look like.  </w:t>
      </w:r>
      <w:r w:rsidRPr="00AC6179">
        <w:rPr>
          <w:rFonts w:cs="Times New Roman"/>
        </w:rPr>
        <w:t xml:space="preserve">Some argued that Wi-Fi blocking should not be allowed under </w:t>
      </w:r>
      <w:r>
        <w:rPr>
          <w:rFonts w:cs="Times New Roman"/>
        </w:rPr>
        <w:t xml:space="preserve">any </w:t>
      </w:r>
      <w:r w:rsidRPr="00AC6179">
        <w:rPr>
          <w:rFonts w:cs="Times New Roman"/>
        </w:rPr>
        <w:t>circumstance.</w:t>
      </w:r>
      <w:r>
        <w:rPr>
          <w:rStyle w:val="FootnoteReference"/>
          <w:rFonts w:cs="Times New Roman"/>
        </w:rPr>
        <w:footnoteReference w:id="2"/>
      </w:r>
      <w:r w:rsidRPr="00AC6179">
        <w:t xml:space="preserve"> </w:t>
      </w:r>
      <w:r>
        <w:t xml:space="preserve"> </w:t>
      </w:r>
      <w:r w:rsidRPr="00AC6179">
        <w:rPr>
          <w:rFonts w:cs="Times New Roman"/>
        </w:rPr>
        <w:t>Others argued that deauthentication is part of the IEEE 802.11 standard and should be permitted when necessary to ensure network security, such as to shut down access</w:t>
      </w:r>
      <w:r>
        <w:rPr>
          <w:rFonts w:cs="Times New Roman"/>
        </w:rPr>
        <w:t>-</w:t>
      </w:r>
      <w:r w:rsidRPr="00AC6179">
        <w:rPr>
          <w:rFonts w:cs="Times New Roman"/>
        </w:rPr>
        <w:t>point spoofing or other cyberattacks.</w:t>
      </w:r>
      <w:r>
        <w:rPr>
          <w:rStyle w:val="FootnoteReference"/>
          <w:rFonts w:cs="Times New Roman"/>
        </w:rPr>
        <w:footnoteReference w:id="3"/>
      </w:r>
      <w:r>
        <w:rPr>
          <w:rFonts w:cs="Times New Roman"/>
        </w:rPr>
        <w:t xml:space="preserve">  Regardless, a broad cross section of groups agreed that the FCC should provide guidance.</w:t>
      </w:r>
      <w:r>
        <w:rPr>
          <w:rStyle w:val="FootnoteReference"/>
          <w:rFonts w:cs="Times New Roman"/>
        </w:rPr>
        <w:footnoteReference w:id="4"/>
      </w:r>
      <w:r>
        <w:rPr>
          <w:rFonts w:cs="Times New Roman"/>
        </w:rPr>
        <w:t xml:space="preserve">  But instead of doing so, </w:t>
      </w:r>
      <w:r w:rsidRPr="00D21386">
        <w:rPr>
          <w:rFonts w:cs="Times New Roman"/>
        </w:rPr>
        <w:t>either in response to that petition or otherwise</w:t>
      </w:r>
      <w:r>
        <w:rPr>
          <w:rFonts w:cs="Times New Roman"/>
        </w:rPr>
        <w:t>, Commission leadership made it abundantly clear that such guidance would not be forthcoming,</w:t>
      </w:r>
      <w:r>
        <w:rPr>
          <w:rStyle w:val="FootnoteReference"/>
          <w:rFonts w:cs="Times New Roman"/>
        </w:rPr>
        <w:footnoteReference w:id="5"/>
      </w:r>
      <w:r>
        <w:rPr>
          <w:rFonts w:cs="Times New Roman"/>
        </w:rPr>
        <w:t xml:space="preserve"> and the agency ultimately dismissed the petition.</w:t>
      </w:r>
      <w:r>
        <w:rPr>
          <w:rStyle w:val="FootnoteReference"/>
          <w:rFonts w:cs="Times New Roman"/>
        </w:rPr>
        <w:footnoteReference w:id="6"/>
      </w:r>
    </w:p>
    <w:p w:rsidR="00EE235B" w:rsidRDefault="00EE235B" w:rsidP="00EE235B">
      <w:pPr>
        <w:ind w:firstLine="720"/>
        <w:rPr>
          <w:rFonts w:cs="Times New Roman"/>
        </w:rPr>
      </w:pPr>
      <w:r>
        <w:rPr>
          <w:rFonts w:cs="Times New Roman"/>
        </w:rPr>
        <w:lastRenderedPageBreak/>
        <w:t>Flash forward to today.  In this case, the Commission proposes to fine a company $</w:t>
      </w:r>
      <w:r w:rsidR="008936B9">
        <w:rPr>
          <w:rFonts w:cs="Times New Roman"/>
        </w:rPr>
        <w:t>718</w:t>
      </w:r>
      <w:r>
        <w:rPr>
          <w:rFonts w:cs="Times New Roman"/>
        </w:rPr>
        <w:t>,000 for engaging in Wi-Fi blocking.  But here’s the rub.  Because the Commission dropped the ball earlier this year, we do not have any rules that limit Wi-Fi blocking.  Indeed, the only relevant rules we have on the books preclude liability in these circumstances.</w:t>
      </w:r>
    </w:p>
    <w:p w:rsidR="00EE235B" w:rsidRDefault="00EE235B" w:rsidP="00EE235B">
      <w:pPr>
        <w:ind w:firstLine="720"/>
        <w:rPr>
          <w:rFonts w:cs="Times New Roman"/>
        </w:rPr>
      </w:pPr>
      <w:r>
        <w:rPr>
          <w:rFonts w:cs="Times New Roman"/>
        </w:rPr>
        <w:t xml:space="preserve">To be sure, the </w:t>
      </w:r>
      <w:r>
        <w:rPr>
          <w:rFonts w:cs="Times New Roman"/>
          <w:i/>
        </w:rPr>
        <w:t xml:space="preserve">Notice of Apparent Liability </w:t>
      </w:r>
      <w:r>
        <w:rPr>
          <w:rFonts w:cs="Times New Roman"/>
        </w:rPr>
        <w:t>(</w:t>
      </w:r>
      <w:r>
        <w:rPr>
          <w:rFonts w:cs="Times New Roman"/>
          <w:i/>
        </w:rPr>
        <w:t>NAL</w:t>
      </w:r>
      <w:r>
        <w:rPr>
          <w:rFonts w:cs="Times New Roman"/>
        </w:rPr>
        <w:t>) takes a contrary position.  It asserts that the Commission did not need to adopt or modify any rules because of section 333 of the Communications Act.  That section states that “[n]o person shall willfully or maliciously interfere with or cause interference to any radio communications,” and the agency argues that it has always prohibited the operator of an unlicensed Part 15 device from intentionally disrupting the operation of another unlicensed Part 15 device.</w:t>
      </w:r>
      <w:r>
        <w:rPr>
          <w:rStyle w:val="FootnoteReference"/>
          <w:rFonts w:cs="Times New Roman"/>
        </w:rPr>
        <w:footnoteReference w:id="7"/>
      </w:r>
      <w:r>
        <w:rPr>
          <w:rFonts w:cs="Times New Roman"/>
        </w:rPr>
        <w:t xml:space="preserve">  But the Commission’s attempt to apply section 333 to interference between Part 15 devices fails as a matter of law.  </w:t>
      </w:r>
    </w:p>
    <w:p w:rsidR="00EE235B" w:rsidRDefault="00EE235B" w:rsidP="00EE235B">
      <w:pPr>
        <w:ind w:firstLine="720"/>
        <w:rPr>
          <w:rFonts w:cs="Times New Roman"/>
        </w:rPr>
      </w:pPr>
      <w:r w:rsidRPr="00514F50">
        <w:rPr>
          <w:rFonts w:cs="Times New Roman"/>
          <w:i/>
        </w:rPr>
        <w:t>First</w:t>
      </w:r>
      <w:r>
        <w:rPr>
          <w:rFonts w:cs="Times New Roman"/>
        </w:rPr>
        <w:t>, by definition, a Part 15 device cannot cause harmful interference to another Part 15 device.</w:t>
      </w:r>
      <w:r>
        <w:rPr>
          <w:rStyle w:val="FootnoteReference"/>
          <w:rFonts w:cs="Times New Roman"/>
        </w:rPr>
        <w:footnoteReference w:id="8"/>
      </w:r>
      <w:r>
        <w:rPr>
          <w:rFonts w:cs="Times New Roman"/>
        </w:rPr>
        <w:t xml:space="preserve">  Under the agency’s rules, a Part 15 device can cause harmful interference to a device operating in a licensed service, such as in a cellular band, and such interference is prohibited.</w:t>
      </w:r>
      <w:r>
        <w:rPr>
          <w:rStyle w:val="FootnoteReference"/>
          <w:rFonts w:cs="Times New Roman"/>
        </w:rPr>
        <w:footnoteReference w:id="9"/>
      </w:r>
      <w:r>
        <w:rPr>
          <w:rFonts w:cs="Times New Roman"/>
        </w:rPr>
        <w:t xml:space="preserve">  But because of the shared, “commons” model that applies to all unlicensed operations, the Commission has repeatedly held that “</w:t>
      </w:r>
      <w:r w:rsidRPr="005F4A0C">
        <w:rPr>
          <w:rFonts w:cs="Times New Roman"/>
        </w:rPr>
        <w:t>interference caused to a Part 15 device by another Part 15 device does not constitute harmful interference.”</w:t>
      </w:r>
      <w:r>
        <w:rPr>
          <w:rStyle w:val="FootnoteReference"/>
          <w:rFonts w:cs="Times New Roman"/>
        </w:rPr>
        <w:footnoteReference w:id="10"/>
      </w:r>
      <w:r>
        <w:rPr>
          <w:rFonts w:cs="Times New Roman"/>
        </w:rPr>
        <w:t xml:space="preserve">  Whether that </w:t>
      </w:r>
      <w:r>
        <w:rPr>
          <w:rFonts w:cs="Times New Roman"/>
          <w:i/>
        </w:rPr>
        <w:t xml:space="preserve">should </w:t>
      </w:r>
      <w:r>
        <w:rPr>
          <w:rFonts w:cs="Times New Roman"/>
        </w:rPr>
        <w:t xml:space="preserve">be the law is a question worth exploring, as I’ve noted above.  But it </w:t>
      </w:r>
      <w:r w:rsidRPr="004A221B">
        <w:rPr>
          <w:rFonts w:cs="Times New Roman"/>
          <w:i/>
        </w:rPr>
        <w:t>is</w:t>
      </w:r>
      <w:r>
        <w:rPr>
          <w:rFonts w:cs="Times New Roman"/>
        </w:rPr>
        <w:t xml:space="preserve"> the law now.  That fact is fatal to the </w:t>
      </w:r>
      <w:r w:rsidRPr="00A72153">
        <w:rPr>
          <w:rFonts w:cs="Times New Roman"/>
          <w:i/>
        </w:rPr>
        <w:t>NAL</w:t>
      </w:r>
      <w:r>
        <w:rPr>
          <w:rFonts w:cs="Times New Roman"/>
        </w:rPr>
        <w:t>’s attempt to apply section 333 to unlicensed operations because it means that the Commission is proposing to fine a company for doing something that the FCC says carries no legal liability—namely, operating a Part 15 device in a manner that intentionally disrupts the operation of another Part 15 device.</w:t>
      </w:r>
      <w:r>
        <w:rPr>
          <w:rStyle w:val="FootnoteReference"/>
          <w:rFonts w:cs="Times New Roman"/>
        </w:rPr>
        <w:footnoteReference w:id="11"/>
      </w:r>
    </w:p>
    <w:p w:rsidR="00EE235B" w:rsidRDefault="00EE235B" w:rsidP="00EE235B">
      <w:pPr>
        <w:ind w:firstLine="720"/>
        <w:rPr>
          <w:rFonts w:cs="Times New Roman"/>
        </w:rPr>
      </w:pPr>
      <w:r w:rsidRPr="00514F50">
        <w:rPr>
          <w:rFonts w:cs="Times New Roman"/>
          <w:i/>
        </w:rPr>
        <w:t>Second</w:t>
      </w:r>
      <w:r>
        <w:rPr>
          <w:rFonts w:cs="Times New Roman"/>
        </w:rPr>
        <w:t>, and relatedly, section 333 does not apply because the FCC’s Part 15 rules provide that unlicensed devices must accept any and all interference they receive, regardless of the source of that interference.</w:t>
      </w:r>
      <w:r>
        <w:rPr>
          <w:rStyle w:val="FootnoteReference"/>
          <w:rFonts w:cs="Times New Roman"/>
        </w:rPr>
        <w:footnoteReference w:id="12"/>
      </w:r>
      <w:r>
        <w:rPr>
          <w:rFonts w:cs="Times New Roman"/>
        </w:rPr>
        <w:t xml:space="preserve">  As the Commission has determined, “[i]</w:t>
      </w:r>
      <w:r w:rsidRPr="007F4147">
        <w:rPr>
          <w:rFonts w:cs="Times New Roman"/>
        </w:rPr>
        <w:t xml:space="preserve">t does not matter who operates the unlicensed </w:t>
      </w:r>
      <w:r w:rsidRPr="007F4147">
        <w:rPr>
          <w:rFonts w:cs="Times New Roman"/>
        </w:rPr>
        <w:lastRenderedPageBreak/>
        <w:t>equipment or the purpose fo</w:t>
      </w:r>
      <w:r>
        <w:rPr>
          <w:rFonts w:cs="Times New Roman"/>
        </w:rPr>
        <w:t>r which the equipment is used—</w:t>
      </w:r>
      <w:r w:rsidRPr="007F4147">
        <w:rPr>
          <w:rFonts w:cs="Times New Roman"/>
        </w:rPr>
        <w:t>no protection against received interference is provided or available.</w:t>
      </w:r>
      <w:r>
        <w:rPr>
          <w:rFonts w:cs="Times New Roman"/>
        </w:rPr>
        <w:t>”</w:t>
      </w:r>
      <w:r>
        <w:rPr>
          <w:rStyle w:val="FootnoteReference"/>
          <w:rFonts w:cs="Times New Roman"/>
        </w:rPr>
        <w:footnoteReference w:id="13"/>
      </w:r>
      <w:r>
        <w:rPr>
          <w:rFonts w:cs="Times New Roman"/>
        </w:rPr>
        <w:t xml:space="preserve">  Thus, as Cisco has explained, “[i]</w:t>
      </w:r>
      <w:r w:rsidRPr="00556047">
        <w:rPr>
          <w:rFonts w:cs="Times New Roman"/>
        </w:rPr>
        <w:t>t simply</w:t>
      </w:r>
      <w:r>
        <w:rPr>
          <w:rFonts w:cs="Times New Roman"/>
        </w:rPr>
        <w:t xml:space="preserve"> </w:t>
      </w:r>
      <w:r w:rsidRPr="00556047">
        <w:rPr>
          <w:rFonts w:cs="Times New Roman"/>
        </w:rPr>
        <w:t xml:space="preserve">cannot be that a Part 15 device is both unprotected against interference </w:t>
      </w:r>
      <w:r>
        <w:rPr>
          <w:rFonts w:cs="Times New Roman"/>
        </w:rPr>
        <w:t>under Section 15.5(b)</w:t>
      </w:r>
      <w:r w:rsidRPr="00556047">
        <w:rPr>
          <w:rFonts w:cs="Times New Roman"/>
        </w:rPr>
        <w:t xml:space="preserve"> </w:t>
      </w:r>
      <w:r>
        <w:rPr>
          <w:rFonts w:cs="Times New Roman"/>
        </w:rPr>
        <w:t xml:space="preserve">[of the Commission’s rules] </w:t>
      </w:r>
      <w:r w:rsidRPr="00556047">
        <w:rPr>
          <w:rFonts w:cs="Times New Roman"/>
        </w:rPr>
        <w:t>but</w:t>
      </w:r>
      <w:r>
        <w:rPr>
          <w:rFonts w:cs="Times New Roman"/>
        </w:rPr>
        <w:t xml:space="preserve"> </w:t>
      </w:r>
      <w:r w:rsidRPr="00556047">
        <w:rPr>
          <w:rFonts w:cs="Times New Roman"/>
        </w:rPr>
        <w:t>protected against interference under Section 333</w:t>
      </w:r>
      <w:r>
        <w:rPr>
          <w:rFonts w:cs="Times New Roman"/>
        </w:rPr>
        <w:t>” of the Communications Act.</w:t>
      </w:r>
      <w:r>
        <w:rPr>
          <w:rStyle w:val="FootnoteReference"/>
          <w:rFonts w:cs="Times New Roman"/>
        </w:rPr>
        <w:footnoteReference w:id="14"/>
      </w:r>
    </w:p>
    <w:p w:rsidR="00EE235B" w:rsidRDefault="00EE235B" w:rsidP="00EE235B">
      <w:pPr>
        <w:ind w:firstLine="720"/>
      </w:pPr>
      <w:r>
        <w:rPr>
          <w:rFonts w:cs="Times New Roman"/>
        </w:rPr>
        <w:t xml:space="preserve">So how does the </w:t>
      </w:r>
      <w:r w:rsidRPr="00A104B2">
        <w:rPr>
          <w:rFonts w:cs="Times New Roman"/>
          <w:i/>
        </w:rPr>
        <w:t>NAL</w:t>
      </w:r>
      <w:r>
        <w:rPr>
          <w:rFonts w:cs="Times New Roman"/>
        </w:rPr>
        <w:t xml:space="preserve"> reconcile its newfound take on section 333 with these longstanding Commission rules and precedents?  It doesn’t.  It simply recites the part of section 333 that says “[n]o person shall willfully or maliciously interfere with or cause interference to any radio communications” and asserts that, </w:t>
      </w:r>
      <w:r>
        <w:rPr>
          <w:rFonts w:cs="Times New Roman"/>
          <w:i/>
        </w:rPr>
        <w:t>a fortiori</w:t>
      </w:r>
      <w:r>
        <w:rPr>
          <w:rFonts w:cs="Times New Roman"/>
        </w:rPr>
        <w:t>,</w:t>
      </w:r>
      <w:r>
        <w:rPr>
          <w:rFonts w:cs="Times New Roman"/>
          <w:i/>
        </w:rPr>
        <w:t xml:space="preserve"> </w:t>
      </w:r>
      <w:r>
        <w:rPr>
          <w:rFonts w:cs="Times New Roman"/>
        </w:rPr>
        <w:t>the provision prohibits a Part 15 device from interfering with another Part 15 device.  But what about the FCC’s decision to define harmful interference in a way that excludes Part 15 devices?  What about the agency’s decision to require Part 15 devices to accept any and all interference?  These still-binding rules and precedents are ignored entirely.</w:t>
      </w:r>
    </w:p>
    <w:p w:rsidR="00EE235B" w:rsidRDefault="00EE235B" w:rsidP="00EE235B">
      <w:pPr>
        <w:ind w:firstLine="720"/>
        <w:rPr>
          <w:rFonts w:cs="Times New Roman"/>
        </w:rPr>
      </w:pPr>
      <w:r>
        <w:rPr>
          <w:rFonts w:cs="Times New Roman"/>
        </w:rPr>
        <w:t>Moreover, attempting to apply section 333 to unlicensed operations is not just contra</w:t>
      </w:r>
      <w:r w:rsidR="0099787A">
        <w:rPr>
          <w:rFonts w:cs="Times New Roman"/>
        </w:rPr>
        <w:t>ry to law,</w:t>
      </w:r>
      <w:r>
        <w:rPr>
          <w:rFonts w:cs="Times New Roman"/>
        </w:rPr>
        <w:t xml:space="preserve"> it produces absurd and illogical results.  Think about it.  By the very nature of their shared use of spectrum, unlicensed devices routinely interfere with each other.  When someone at a coffee shop uses Wi-Fi to surf the Internet or someone else relies on a Bluetooth connection to play music over a wireless speaker, they may very well be interrupting or causing harmful interference to another unlicensed device.  Does anyone seriously believe that these routine uses of unlicensed technology violate section 333?  I would hope not.</w:t>
      </w:r>
    </w:p>
    <w:p w:rsidR="00EE235B" w:rsidRDefault="00EE235B" w:rsidP="00EE235B">
      <w:pPr>
        <w:ind w:firstLine="720"/>
        <w:rPr>
          <w:rFonts w:cs="Times New Roman"/>
        </w:rPr>
      </w:pPr>
      <w:r>
        <w:rPr>
          <w:rFonts w:cs="Times New Roman"/>
        </w:rPr>
        <w:t xml:space="preserve">Yet that is exactly the result that the </w:t>
      </w:r>
      <w:r w:rsidRPr="00E82F3D">
        <w:rPr>
          <w:rFonts w:cs="Times New Roman"/>
          <w:i/>
        </w:rPr>
        <w:t>NAL</w:t>
      </w:r>
      <w:r>
        <w:rPr>
          <w:rFonts w:cs="Times New Roman"/>
        </w:rPr>
        <w:t>’s reading of section 333 compels.  The provision prohibits any person from “willfully” interfering with covered communications.</w:t>
      </w:r>
      <w:r>
        <w:rPr>
          <w:rStyle w:val="FootnoteReference"/>
          <w:rFonts w:cs="Times New Roman"/>
        </w:rPr>
        <w:footnoteReference w:id="15"/>
      </w:r>
      <w:r>
        <w:rPr>
          <w:rFonts w:cs="Times New Roman"/>
        </w:rPr>
        <w:t xml:space="preserve">  And recall that both the Communications Act and the FCC define “willful” as the conscious decision to act, irrespective of a person’s motivation or intent to violate the law.</w:t>
      </w:r>
      <w:r>
        <w:rPr>
          <w:rStyle w:val="FootnoteReference"/>
          <w:rFonts w:cs="Times New Roman"/>
        </w:rPr>
        <w:footnoteReference w:id="16"/>
      </w:r>
      <w:r>
        <w:rPr>
          <w:rFonts w:cs="Times New Roman"/>
        </w:rPr>
        <w:t xml:space="preserve">  So if section 333 applies to unlicensed operations, then that necessarily means that every time a consumer uses Wi-Fi, Bluetooth, or any other unlicensed technology, the FCC could find that they have willfully interfered with another unlicensed device in violation of federal law and thus subject them to millions of dollars in fines.  It would make no difference that the consumer did not intend to disrupt lawful communications.  This absurd outcome illustrates why the FCC has never read section 333 as applying to interference between unlicensed devices.</w:t>
      </w:r>
    </w:p>
    <w:p w:rsidR="00EE235B" w:rsidRDefault="00EE235B" w:rsidP="00EE235B">
      <w:pPr>
        <w:ind w:firstLine="720"/>
        <w:rPr>
          <w:rFonts w:cs="Times New Roman"/>
        </w:rPr>
      </w:pPr>
      <w:r>
        <w:rPr>
          <w:rFonts w:cs="Times New Roman"/>
        </w:rPr>
        <w:t>At the very least, all of this underscores a final reason why the Commission cannot lawfully apply section 333 in this case—it has failed to comport with due process.  As explained above, I believe it is clear that Wi-Fi blocking is currently lawful under the Commission’s rules.  But even if I am wrong about that, the Commission’s case would still founder.  That is because it is certainly not clear that Wi-Fi blocking is currently unlawful under the Commission’s rules.  And a core principle of the American legal system is that the government cannot sanction you for violating the law unless it has told you what the law is.</w:t>
      </w:r>
      <w:r>
        <w:rPr>
          <w:rStyle w:val="FootnoteReference"/>
          <w:rFonts w:cs="Times New Roman"/>
        </w:rPr>
        <w:footnoteReference w:id="17"/>
      </w:r>
      <w:r>
        <w:rPr>
          <w:rFonts w:cs="Times New Roman"/>
        </w:rPr>
        <w:t xml:space="preserve">  In the regulatory context, due process is protected, in</w:t>
      </w:r>
      <w:r w:rsidRPr="00A05669">
        <w:rPr>
          <w:rFonts w:cs="Times New Roman"/>
        </w:rPr>
        <w:t xml:space="preserve"> part, through the fair warning rule.</w:t>
      </w:r>
      <w:r>
        <w:rPr>
          <w:rFonts w:cs="Times New Roman"/>
        </w:rPr>
        <w:t xml:space="preserve">  </w:t>
      </w:r>
      <w:r w:rsidRPr="0068477B">
        <w:rPr>
          <w:rFonts w:cs="Times New Roman"/>
        </w:rPr>
        <w:t>Specifically, the D.C. Circuit has stated that “[i]n the absence of notice—for example, where the</w:t>
      </w:r>
      <w:r>
        <w:rPr>
          <w:rFonts w:cs="Times New Roman"/>
        </w:rPr>
        <w:t xml:space="preserve"> </w:t>
      </w:r>
      <w:r w:rsidRPr="0068477B">
        <w:rPr>
          <w:rFonts w:cs="Times New Roman"/>
        </w:rPr>
        <w:t>regulation is not sufficiently clear to warn a party about what is expected of it—an agency may not</w:t>
      </w:r>
      <w:r>
        <w:rPr>
          <w:rFonts w:cs="Times New Roman"/>
        </w:rPr>
        <w:t xml:space="preserve"> </w:t>
      </w:r>
      <w:r w:rsidRPr="0068477B">
        <w:rPr>
          <w:rFonts w:cs="Times New Roman"/>
        </w:rPr>
        <w:t>deprive a party of property.”</w:t>
      </w:r>
      <w:r>
        <w:rPr>
          <w:rStyle w:val="FootnoteReference"/>
          <w:rFonts w:cs="Times New Roman"/>
        </w:rPr>
        <w:footnoteReference w:id="18"/>
      </w:r>
      <w:r>
        <w:rPr>
          <w:rFonts w:cs="Times New Roman"/>
        </w:rPr>
        <w:t xml:space="preserve">  </w:t>
      </w:r>
      <w:r w:rsidRPr="00D548F7">
        <w:rPr>
          <w:rFonts w:cs="Times New Roman"/>
        </w:rPr>
        <w:t>Thus, an agency cannot at once invent and enforce a legal obligation</w:t>
      </w:r>
      <w:r>
        <w:rPr>
          <w:rFonts w:cs="Times New Roman"/>
        </w:rPr>
        <w:t>.</w:t>
      </w:r>
    </w:p>
    <w:p w:rsidR="00EE235B" w:rsidRDefault="00EE235B" w:rsidP="00EE235B">
      <w:pPr>
        <w:ind w:firstLine="720"/>
        <w:rPr>
          <w:rFonts w:cs="Times New Roman"/>
        </w:rPr>
      </w:pPr>
      <w:r>
        <w:rPr>
          <w:rFonts w:cs="Times New Roman"/>
        </w:rPr>
        <w:t xml:space="preserve">Yet that is precisely what has happened here.  Prior to this </w:t>
      </w:r>
      <w:r w:rsidRPr="00E9484A">
        <w:rPr>
          <w:rFonts w:cs="Times New Roman"/>
          <w:i/>
        </w:rPr>
        <w:t>NAL</w:t>
      </w:r>
      <w:r>
        <w:rPr>
          <w:rFonts w:cs="Times New Roman"/>
        </w:rPr>
        <w:t>, the Commission never interpreted section 333 as prohibiting interference between unlicensed devices.</w:t>
      </w:r>
      <w:r>
        <w:rPr>
          <w:rStyle w:val="FootnoteReference"/>
          <w:rFonts w:cs="Times New Roman"/>
        </w:rPr>
        <w:footnoteReference w:id="19"/>
      </w:r>
      <w:r>
        <w:rPr>
          <w:rFonts w:cs="Times New Roman"/>
        </w:rPr>
        <w:t xml:space="preserve">  The 2011 and 2012 Bureau-level Enforcement Advisories to which the </w:t>
      </w:r>
      <w:r w:rsidRPr="00BF1352">
        <w:rPr>
          <w:rFonts w:cs="Times New Roman"/>
          <w:i/>
        </w:rPr>
        <w:t>NAL</w:t>
      </w:r>
      <w:r>
        <w:rPr>
          <w:rFonts w:cs="Times New Roman"/>
        </w:rPr>
        <w:t xml:space="preserve"> points certainly didn’t.</w:t>
      </w:r>
      <w:r>
        <w:rPr>
          <w:rStyle w:val="FootnoteReference"/>
          <w:rFonts w:cs="Times New Roman"/>
        </w:rPr>
        <w:footnoteReference w:id="20"/>
      </w:r>
      <w:r>
        <w:rPr>
          <w:rFonts w:cs="Times New Roman"/>
        </w:rPr>
        <w:t xml:space="preserve">  They simply reminded consumers that they cannot use jammers—which are not Part 15 devices and have no lawful application—regardless of whether those jammers interfere with a licensed service or Wi-Fi communications.  They have nothing to do with interference </w:t>
      </w:r>
      <w:r w:rsidRPr="00DA33B3">
        <w:rPr>
          <w:rFonts w:cs="Times New Roman"/>
          <w:i/>
        </w:rPr>
        <w:t>between</w:t>
      </w:r>
      <w:r>
        <w:rPr>
          <w:rFonts w:cs="Times New Roman"/>
        </w:rPr>
        <w:t xml:space="preserve"> Part 15 devices and whether such interference constitutes a violation of section 333.  Nor could they, given the full Commission’s determination that Part 15 devices cannot cause harmful interference, as discussed above.</w:t>
      </w:r>
    </w:p>
    <w:p w:rsidR="00EE235B" w:rsidRPr="001975EA" w:rsidRDefault="00EE235B" w:rsidP="00EE235B">
      <w:pPr>
        <w:ind w:firstLine="720"/>
        <w:rPr>
          <w:rFonts w:cs="Times New Roman"/>
        </w:rPr>
      </w:pPr>
      <w:r>
        <w:t xml:space="preserve">Nor is the </w:t>
      </w:r>
      <w:r>
        <w:rPr>
          <w:i/>
        </w:rPr>
        <w:t>NAL</w:t>
      </w:r>
      <w:r>
        <w:t xml:space="preserve"> right to rely on two Bureau-level consent decrees to satisfy the fair-warning rule.</w:t>
      </w:r>
      <w:r>
        <w:rPr>
          <w:rFonts w:cs="Times New Roman"/>
        </w:rPr>
        <w:t xml:space="preserve">  By their very terms, those documents state that they “do[]</w:t>
      </w:r>
      <w:r w:rsidRPr="000C7801">
        <w:rPr>
          <w:rFonts w:cs="Times New Roman"/>
        </w:rPr>
        <w:t xml:space="preserve"> not constitute either an adjudication on the merits or a factual or legal</w:t>
      </w:r>
      <w:r>
        <w:rPr>
          <w:rFonts w:cs="Times New Roman"/>
        </w:rPr>
        <w:t xml:space="preserve"> </w:t>
      </w:r>
      <w:r w:rsidRPr="000C7801">
        <w:rPr>
          <w:rFonts w:cs="Times New Roman"/>
        </w:rPr>
        <w:t>finding or determination regarding any compliance or noncompliance with the Communications Law</w:t>
      </w:r>
      <w:r>
        <w:rPr>
          <w:rFonts w:cs="Times New Roman"/>
        </w:rPr>
        <w:t>.”</w:t>
      </w:r>
      <w:r>
        <w:rPr>
          <w:rStyle w:val="FootnoteReference"/>
          <w:rFonts w:cs="Times New Roman"/>
        </w:rPr>
        <w:footnoteReference w:id="21"/>
      </w:r>
      <w:r>
        <w:rPr>
          <w:rFonts w:cs="Times New Roman"/>
        </w:rPr>
        <w:t xml:space="preserve">  </w:t>
      </w:r>
    </w:p>
    <w:p w:rsidR="00EE235B" w:rsidRDefault="00EE235B" w:rsidP="00EE235B">
      <w:pPr>
        <w:pStyle w:val="ListParagraph"/>
        <w:ind w:left="0"/>
        <w:contextualSpacing w:val="0"/>
        <w:jc w:val="center"/>
        <w:rPr>
          <w:rFonts w:cs="Times New Roman"/>
        </w:rPr>
      </w:pPr>
      <w:r>
        <w:rPr>
          <w:rFonts w:cs="Times New Roman"/>
        </w:rPr>
        <w:t>* * *</w:t>
      </w:r>
    </w:p>
    <w:p w:rsidR="00EE235B" w:rsidRDefault="00EE235B" w:rsidP="00EE235B">
      <w:pPr>
        <w:pStyle w:val="ListParagraph"/>
        <w:ind w:left="0" w:firstLine="720"/>
        <w:contextualSpacing w:val="0"/>
        <w:rPr>
          <w:rFonts w:cs="Times New Roman"/>
        </w:rPr>
      </w:pPr>
      <w:r>
        <w:rPr>
          <w:rFonts w:cs="Times New Roman"/>
        </w:rPr>
        <w:t xml:space="preserve">There is widespread agreement that we should take action to limit Wi-Fi blocking.  The disagreement is over how we should go about doing that.  I believe that we should adopt rules that clearly set forth when Wi-Fi blocking is unlawful and when, if ever, it is lawful.  And I stand ready to work with my colleagues to craft such rules and then enforce them.  But I cannot support taking enforcement action against a party that has not violated any statutory provision or Commission rule.  </w:t>
      </w:r>
    </w:p>
    <w:p w:rsidR="00EE235B" w:rsidRDefault="00EE235B" w:rsidP="00EE235B">
      <w:pPr>
        <w:pStyle w:val="ListParagraph"/>
        <w:ind w:left="0" w:firstLine="720"/>
        <w:contextualSpacing w:val="0"/>
        <w:rPr>
          <w:rFonts w:cs="Times New Roman"/>
        </w:rPr>
      </w:pPr>
      <w:r>
        <w:rPr>
          <w:rFonts w:cs="Times New Roman"/>
        </w:rPr>
        <w:t xml:space="preserve">In the end, this decision is the latest evidence that the FCC’s enforcement process has gone off the rails.  Instead of dispensing justice by applying the law to the facts, the Commission is yet again focused on issuing headline-grabbing fines.  And while I have no doubt that this </w:t>
      </w:r>
      <w:r>
        <w:rPr>
          <w:rFonts w:cs="Times New Roman"/>
          <w:i/>
        </w:rPr>
        <w:t>NAL</w:t>
      </w:r>
      <w:r>
        <w:rPr>
          <w:rFonts w:cs="Times New Roman"/>
        </w:rPr>
        <w:t xml:space="preserve"> will generate plenty of press, I cannot support this lawless item.  Therefore, I respectfully dissent.</w:t>
      </w:r>
    </w:p>
    <w:p w:rsidR="00B01954" w:rsidRDefault="00B01954"/>
    <w:sectPr w:rsidR="00B01954" w:rsidSect="00C552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0E9" w:rsidRDefault="00A840E9" w:rsidP="00EE235B">
      <w:pPr>
        <w:spacing w:after="0"/>
      </w:pPr>
      <w:r>
        <w:separator/>
      </w:r>
    </w:p>
  </w:endnote>
  <w:endnote w:type="continuationSeparator" w:id="0">
    <w:p w:rsidR="00A840E9" w:rsidRDefault="00A840E9" w:rsidP="00EE23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8FC" w:rsidRDefault="008258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rPr>
      <w:id w:val="-878468635"/>
      <w:docPartObj>
        <w:docPartGallery w:val="Page Numbers (Bottom of Page)"/>
        <w:docPartUnique/>
      </w:docPartObj>
    </w:sdtPr>
    <w:sdtEndPr>
      <w:rPr>
        <w:noProof/>
      </w:rPr>
    </w:sdtEndPr>
    <w:sdtContent>
      <w:p w:rsidR="00144149" w:rsidRPr="00401943" w:rsidRDefault="0060794E">
        <w:pPr>
          <w:pStyle w:val="Footer"/>
          <w:jc w:val="center"/>
          <w:rPr>
            <w:rFonts w:cs="Times New Roman"/>
          </w:rPr>
        </w:pPr>
        <w:r w:rsidRPr="00401943">
          <w:rPr>
            <w:rFonts w:cs="Times New Roman"/>
          </w:rPr>
          <w:fldChar w:fldCharType="begin"/>
        </w:r>
        <w:r w:rsidRPr="00401943">
          <w:rPr>
            <w:rFonts w:cs="Times New Roman"/>
          </w:rPr>
          <w:instrText xml:space="preserve"> PAGE   \* MERGEFORMAT </w:instrText>
        </w:r>
        <w:r w:rsidRPr="00401943">
          <w:rPr>
            <w:rFonts w:cs="Times New Roman"/>
          </w:rPr>
          <w:fldChar w:fldCharType="separate"/>
        </w:r>
        <w:r w:rsidR="00A90DB0">
          <w:rPr>
            <w:rFonts w:cs="Times New Roman"/>
            <w:noProof/>
          </w:rPr>
          <w:t>2</w:t>
        </w:r>
        <w:r w:rsidRPr="00401943">
          <w:rPr>
            <w:rFonts w:cs="Times New Roman"/>
            <w:noProof/>
          </w:rPr>
          <w:fldChar w:fldCharType="end"/>
        </w:r>
      </w:p>
    </w:sdtContent>
  </w:sdt>
  <w:p w:rsidR="00144149" w:rsidRPr="00401943" w:rsidRDefault="00A90DB0">
    <w:pPr>
      <w:pStyle w:val="Footer"/>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8FC" w:rsidRDefault="00825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0E9" w:rsidRDefault="00A840E9" w:rsidP="00EE235B">
      <w:pPr>
        <w:spacing w:after="0"/>
      </w:pPr>
      <w:r>
        <w:separator/>
      </w:r>
    </w:p>
  </w:footnote>
  <w:footnote w:type="continuationSeparator" w:id="0">
    <w:p w:rsidR="00A840E9" w:rsidRDefault="00A840E9" w:rsidP="00EE235B">
      <w:pPr>
        <w:spacing w:after="0"/>
      </w:pPr>
      <w:r>
        <w:continuationSeparator/>
      </w:r>
    </w:p>
  </w:footnote>
  <w:footnote w:id="1">
    <w:p w:rsidR="00EE235B" w:rsidRPr="00666581" w:rsidRDefault="00EE235B" w:rsidP="00EE235B">
      <w:pPr>
        <w:pStyle w:val="FootnoteText"/>
        <w:rPr>
          <w:rFonts w:cs="Times New Roman"/>
        </w:rPr>
      </w:pPr>
      <w:r w:rsidRPr="002D00EC">
        <w:rPr>
          <w:rStyle w:val="FootnoteReference"/>
          <w:rFonts w:cs="Times New Roman"/>
        </w:rPr>
        <w:footnoteRef/>
      </w:r>
      <w:r w:rsidRPr="00666581">
        <w:rPr>
          <w:rFonts w:cs="Times New Roman"/>
        </w:rPr>
        <w:t xml:space="preserve"> </w:t>
      </w:r>
      <w:r w:rsidRPr="00666581">
        <w:rPr>
          <w:rFonts w:cs="Times New Roman"/>
          <w:i/>
        </w:rPr>
        <w:t xml:space="preserve">See </w:t>
      </w:r>
      <w:r w:rsidRPr="00666581">
        <w:rPr>
          <w:rFonts w:cs="Times New Roman"/>
        </w:rPr>
        <w:t xml:space="preserve">Petition for Declaratory Ruling or, in the Alternative, for Rulemaking, RM-11737 (Aug. 25, 2014), </w:t>
      </w:r>
      <w:r>
        <w:rPr>
          <w:rFonts w:cs="Times New Roman"/>
          <w:i/>
        </w:rPr>
        <w:t xml:space="preserve">available at </w:t>
      </w:r>
      <w:r w:rsidRPr="00666581">
        <w:rPr>
          <w:rFonts w:cs="Times New Roman"/>
        </w:rPr>
        <w:t>http://go.usa.gov/ccjxT.</w:t>
      </w:r>
    </w:p>
  </w:footnote>
  <w:footnote w:id="2">
    <w:p w:rsidR="00EE235B" w:rsidRPr="002D00EC" w:rsidRDefault="00EE235B" w:rsidP="00EE235B">
      <w:pPr>
        <w:pStyle w:val="FootnoteText"/>
      </w:pPr>
      <w:r w:rsidRPr="002D00EC">
        <w:rPr>
          <w:rStyle w:val="FootnoteReference"/>
        </w:rPr>
        <w:footnoteRef/>
      </w:r>
      <w:r w:rsidRPr="002D00EC">
        <w:t xml:space="preserve"> </w:t>
      </w:r>
      <w:r w:rsidRPr="002D00EC">
        <w:rPr>
          <w:i/>
        </w:rPr>
        <w:t>See, e.g.</w:t>
      </w:r>
      <w:r w:rsidRPr="002D00EC">
        <w:t>, Google Opposition, RM-11737</w:t>
      </w:r>
      <w:r>
        <w:t>,</w:t>
      </w:r>
      <w:r w:rsidRPr="002D00EC">
        <w:t xml:space="preserve"> at 1 (Dec. 19, 2014) (“</w:t>
      </w:r>
      <w:r>
        <w:t>[W]</w:t>
      </w:r>
      <w:r w:rsidRPr="002D00EC">
        <w:t xml:space="preserve">hile Google recognizes the importance of leaving operators flexibility to manage </w:t>
      </w:r>
      <w:r w:rsidRPr="002D00EC">
        <w:rPr>
          <w:i/>
        </w:rPr>
        <w:t xml:space="preserve">their own </w:t>
      </w:r>
      <w:r w:rsidRPr="002D00EC">
        <w:t>networks, this does not include intentionally blocking access to other Commission-authorized networks</w:t>
      </w:r>
      <w:r>
        <w:t>.</w:t>
      </w:r>
      <w:r w:rsidRPr="002D00EC">
        <w:t xml:space="preserve">”); </w:t>
      </w:r>
      <w:r w:rsidRPr="002D00EC">
        <w:rPr>
          <w:i/>
        </w:rPr>
        <w:t xml:space="preserve">see also </w:t>
      </w:r>
      <w:r w:rsidRPr="002D00EC">
        <w:t xml:space="preserve">National Cable and Telecommunications Association Opposition, RM-11737 (Dec. 19, 2014). </w:t>
      </w:r>
    </w:p>
  </w:footnote>
  <w:footnote w:id="3">
    <w:p w:rsidR="00EE235B" w:rsidRPr="002D00EC" w:rsidRDefault="00EE235B" w:rsidP="00EE235B">
      <w:pPr>
        <w:pStyle w:val="FootnoteText"/>
      </w:pPr>
      <w:r w:rsidRPr="002D00EC">
        <w:rPr>
          <w:rStyle w:val="FootnoteReference"/>
        </w:rPr>
        <w:footnoteRef/>
      </w:r>
      <w:r w:rsidRPr="002D00EC">
        <w:t xml:space="preserve"> </w:t>
      </w:r>
      <w:r w:rsidRPr="002D00EC">
        <w:rPr>
          <w:i/>
        </w:rPr>
        <w:t>See, e.g.</w:t>
      </w:r>
      <w:r w:rsidRPr="002D00EC">
        <w:t>, USTelecom Comments, RM-11737</w:t>
      </w:r>
      <w:r>
        <w:t>,</w:t>
      </w:r>
      <w:r w:rsidRPr="002D00EC">
        <w:t xml:space="preserve"> at 2 (Dec. 22, 2014) (“[T]he Commission at the very least should clarify that a Wi-Fi operator does not violate the statute when mitigating network threats.”); </w:t>
      </w:r>
      <w:r w:rsidRPr="002D00EC">
        <w:rPr>
          <w:i/>
        </w:rPr>
        <w:t xml:space="preserve">see also </w:t>
      </w:r>
      <w:r w:rsidRPr="002D00EC">
        <w:t>Cisco Comments, RM-11737</w:t>
      </w:r>
      <w:r>
        <w:t>,</w:t>
      </w:r>
      <w:r w:rsidRPr="002D00EC">
        <w:t xml:space="preserve"> at 2 (Dec. 19, 2014) (“[A]ccess to unlicensed spectrum resources can and should be balanced against the need to protect networks, data and devices from security threats and potentially other limited network management concerns.”).</w:t>
      </w:r>
    </w:p>
  </w:footnote>
  <w:footnote w:id="4">
    <w:p w:rsidR="00EE235B" w:rsidRPr="002D00EC" w:rsidRDefault="00EE235B" w:rsidP="00EE235B">
      <w:pPr>
        <w:pStyle w:val="FootnoteText"/>
        <w:rPr>
          <w:rFonts w:cs="Times New Roman"/>
        </w:rPr>
      </w:pPr>
      <w:r w:rsidRPr="002D00EC">
        <w:rPr>
          <w:rStyle w:val="FootnoteReference"/>
          <w:rFonts w:cs="Times New Roman"/>
        </w:rPr>
        <w:footnoteRef/>
      </w:r>
      <w:r w:rsidRPr="002D00EC">
        <w:rPr>
          <w:rFonts w:cs="Times New Roman"/>
        </w:rPr>
        <w:t xml:space="preserve"> </w:t>
      </w:r>
      <w:r w:rsidRPr="002D00EC">
        <w:rPr>
          <w:rFonts w:cs="Times New Roman"/>
          <w:i/>
        </w:rPr>
        <w:t>See, e.g.</w:t>
      </w:r>
      <w:r w:rsidRPr="002D00EC">
        <w:rPr>
          <w:rFonts w:cs="Times New Roman"/>
        </w:rPr>
        <w:t>,</w:t>
      </w:r>
      <w:r>
        <w:rPr>
          <w:rFonts w:cs="Times New Roman"/>
        </w:rPr>
        <w:t xml:space="preserve"> </w:t>
      </w:r>
      <w:r w:rsidRPr="002D00EC">
        <w:t xml:space="preserve">Enterprise </w:t>
      </w:r>
      <w:r>
        <w:t xml:space="preserve">Wireless Alliance Comments, </w:t>
      </w:r>
      <w:r w:rsidRPr="002D00EC">
        <w:t>RM-11737</w:t>
      </w:r>
      <w:r>
        <w:t>, at 1–2</w:t>
      </w:r>
      <w:r w:rsidRPr="002D00EC">
        <w:t xml:space="preserve"> (“EWA urges the Commission to undertake a rulemaking and adopt rules that clarify this important issue for the benefit of Wi-Fi network operators and consumers</w:t>
      </w:r>
      <w:r>
        <w:t>.</w:t>
      </w:r>
      <w:r w:rsidRPr="002D00EC">
        <w:t xml:space="preserve">”); </w:t>
      </w:r>
      <w:r w:rsidRPr="002D00EC">
        <w:rPr>
          <w:rFonts w:cs="Times New Roman"/>
        </w:rPr>
        <w:t xml:space="preserve">Ad Hoc Telecommunications Users Committee Statement, </w:t>
      </w:r>
      <w:r w:rsidRPr="002D00EC">
        <w:t>RM-11737</w:t>
      </w:r>
      <w:r>
        <w:t>,</w:t>
      </w:r>
      <w:r w:rsidRPr="002D00EC">
        <w:rPr>
          <w:rFonts w:cs="Times New Roman"/>
        </w:rPr>
        <w:t xml:space="preserve"> at 2</w:t>
      </w:r>
      <w:r w:rsidRPr="002D00EC">
        <w:t xml:space="preserve"> (Dec. 19, 2014)</w:t>
      </w:r>
      <w:r w:rsidRPr="002D00EC">
        <w:rPr>
          <w:rFonts w:cs="Times New Roman"/>
        </w:rPr>
        <w:t xml:space="preserve"> (“Ad Hoc supports the initiation of a rulemaking in order for the Commission to develop a robust factual record on the basis of which it can then establish clear, generally applicable standards and policies.”); Letter from Harold Feld, Public Knowledge, to Marlene H. Dortch, FCC, </w:t>
      </w:r>
      <w:r w:rsidRPr="002D00EC">
        <w:t xml:space="preserve">RM-11737 </w:t>
      </w:r>
      <w:r w:rsidRPr="002D00EC">
        <w:rPr>
          <w:rFonts w:cs="Times New Roman"/>
        </w:rPr>
        <w:t>(Feb. 13, 2015) (“Where the largest hotel chains, the largest trade associations of network operators, and numerous equipment manufacturers come to different conclusions as to the applicability of Section 333, it is clear that a controversy exists requiring the Commission to issue a definitive statement of policy.”).</w:t>
      </w:r>
    </w:p>
  </w:footnote>
  <w:footnote w:id="5">
    <w:p w:rsidR="00EE235B" w:rsidRDefault="00EE235B" w:rsidP="00EE235B">
      <w:pPr>
        <w:pStyle w:val="FootnoteText"/>
      </w:pPr>
      <w:r>
        <w:rPr>
          <w:rStyle w:val="FootnoteReference"/>
        </w:rPr>
        <w:footnoteRef/>
      </w:r>
      <w:r>
        <w:t xml:space="preserve"> </w:t>
      </w:r>
      <w:r w:rsidRPr="0056497F">
        <w:rPr>
          <w:i/>
        </w:rPr>
        <w:t>See</w:t>
      </w:r>
      <w:r>
        <w:t xml:space="preserve"> </w:t>
      </w:r>
      <w:r>
        <w:rPr>
          <w:rFonts w:cs="Times New Roman"/>
        </w:rPr>
        <w:t>Remarks o</w:t>
      </w:r>
      <w:r w:rsidRPr="006574D4">
        <w:rPr>
          <w:rFonts w:cs="Times New Roman"/>
        </w:rPr>
        <w:t>f</w:t>
      </w:r>
      <w:r>
        <w:rPr>
          <w:rFonts w:cs="Times New Roman"/>
        </w:rPr>
        <w:t xml:space="preserve"> FCC C</w:t>
      </w:r>
      <w:r w:rsidRPr="006574D4">
        <w:rPr>
          <w:rFonts w:cs="Times New Roman"/>
        </w:rPr>
        <w:t>ommissioner Jessica Rosenworcel</w:t>
      </w:r>
      <w:r>
        <w:rPr>
          <w:rFonts w:cs="Times New Roman"/>
        </w:rPr>
        <w:t>, State of the Net Conference (Jan. 27, 2015)</w:t>
      </w:r>
      <w:r w:rsidRPr="006574D4">
        <w:rPr>
          <w:rFonts w:cs="Times New Roman"/>
        </w:rPr>
        <w:t xml:space="preserve"> </w:t>
      </w:r>
      <w:r>
        <w:rPr>
          <w:rFonts w:cs="Times New Roman"/>
        </w:rPr>
        <w:t>(calling on the Commission “</w:t>
      </w:r>
      <w:r w:rsidRPr="006574D4">
        <w:rPr>
          <w:rFonts w:cs="Times New Roman"/>
        </w:rPr>
        <w:t>to dismiss this petition without delay</w:t>
      </w:r>
      <w:r>
        <w:rPr>
          <w:rFonts w:cs="Times New Roman"/>
        </w:rPr>
        <w:t xml:space="preserve">”), </w:t>
      </w:r>
      <w:r w:rsidRPr="001C080F">
        <w:rPr>
          <w:rFonts w:cs="Times New Roman"/>
          <w:i/>
        </w:rPr>
        <w:t>available at</w:t>
      </w:r>
      <w:r>
        <w:rPr>
          <w:rFonts w:cs="Times New Roman"/>
        </w:rPr>
        <w:t xml:space="preserve"> </w:t>
      </w:r>
      <w:r w:rsidRPr="00B1642C">
        <w:rPr>
          <w:rFonts w:cs="Times New Roman"/>
        </w:rPr>
        <w:t>http://go.usa.gov/ca5PP</w:t>
      </w:r>
      <w:r>
        <w:rPr>
          <w:rFonts w:cs="Times New Roman"/>
        </w:rPr>
        <w:t xml:space="preserve">; </w:t>
      </w:r>
      <w:r>
        <w:rPr>
          <w:rFonts w:cs="Times New Roman"/>
          <w:i/>
        </w:rPr>
        <w:t xml:space="preserve">see also </w:t>
      </w:r>
      <w:r w:rsidRPr="006574D4">
        <w:rPr>
          <w:rFonts w:cs="Times New Roman"/>
        </w:rPr>
        <w:t>FCC Chairman Tom Whee</w:t>
      </w:r>
      <w:r>
        <w:rPr>
          <w:rFonts w:cs="Times New Roman"/>
        </w:rPr>
        <w:t>ler Statement o</w:t>
      </w:r>
      <w:r w:rsidRPr="006574D4">
        <w:rPr>
          <w:rFonts w:cs="Times New Roman"/>
        </w:rPr>
        <w:t>n</w:t>
      </w:r>
      <w:r>
        <w:rPr>
          <w:rFonts w:cs="Times New Roman"/>
        </w:rPr>
        <w:t xml:space="preserve"> </w:t>
      </w:r>
      <w:r w:rsidRPr="006574D4">
        <w:rPr>
          <w:rFonts w:cs="Times New Roman"/>
        </w:rPr>
        <w:t>Protecting Cons</w:t>
      </w:r>
      <w:r>
        <w:rPr>
          <w:rFonts w:cs="Times New Roman"/>
        </w:rPr>
        <w:t xml:space="preserve">umers from Hotel Wi-Fi Blocking (Jan. 27, 2015), </w:t>
      </w:r>
      <w:r w:rsidRPr="001C080F">
        <w:rPr>
          <w:rFonts w:cs="Times New Roman"/>
          <w:i/>
        </w:rPr>
        <w:t>available at</w:t>
      </w:r>
      <w:r>
        <w:rPr>
          <w:rFonts w:cs="Times New Roman"/>
          <w:i/>
        </w:rPr>
        <w:t xml:space="preserve"> </w:t>
      </w:r>
      <w:r w:rsidRPr="00B1642C">
        <w:rPr>
          <w:rFonts w:cs="Times New Roman"/>
        </w:rPr>
        <w:t>http://go.usa.gov/ca5mT.</w:t>
      </w:r>
    </w:p>
  </w:footnote>
  <w:footnote w:id="6">
    <w:p w:rsidR="00EE235B" w:rsidRPr="002D00EC" w:rsidRDefault="00EE235B" w:rsidP="00EE235B">
      <w:pPr>
        <w:pStyle w:val="FootnoteText"/>
        <w:rPr>
          <w:rFonts w:cs="Times New Roman"/>
        </w:rPr>
      </w:pPr>
      <w:r w:rsidRPr="002D00EC">
        <w:rPr>
          <w:rStyle w:val="FootnoteReference"/>
          <w:rFonts w:cs="Times New Roman"/>
        </w:rPr>
        <w:footnoteRef/>
      </w:r>
      <w:r w:rsidRPr="002D00EC">
        <w:rPr>
          <w:rFonts w:cs="Times New Roman"/>
        </w:rPr>
        <w:t xml:space="preserve"> </w:t>
      </w:r>
      <w:r w:rsidRPr="002D00EC">
        <w:rPr>
          <w:rFonts w:cs="Times New Roman"/>
          <w:i/>
        </w:rPr>
        <w:t>Petition of American Hotel &amp; Lodging Association, Marriott International, Inc., and Ryman Hospitality Properties for a Declaratory Ruling to Interpret 47 U.S.C. § 333 or, in the Alternative, for Rulemaking</w:t>
      </w:r>
      <w:r>
        <w:rPr>
          <w:rFonts w:cs="Times New Roman"/>
        </w:rPr>
        <w:t>,</w:t>
      </w:r>
      <w:r w:rsidRPr="002D00EC">
        <w:rPr>
          <w:rFonts w:cs="Times New Roman"/>
        </w:rPr>
        <w:t xml:space="preserve"> RM-11</w:t>
      </w:r>
      <w:r>
        <w:rPr>
          <w:rFonts w:cs="Times New Roman"/>
        </w:rPr>
        <w:t>737, Order, 30 FCC Rcd 1251 (Wireless Telecomm. Bur.</w:t>
      </w:r>
      <w:r w:rsidRPr="002D00EC">
        <w:rPr>
          <w:rFonts w:cs="Times New Roman"/>
        </w:rPr>
        <w:t xml:space="preserve"> 2015).</w:t>
      </w:r>
    </w:p>
  </w:footnote>
  <w:footnote w:id="7">
    <w:p w:rsidR="00EE235B" w:rsidRPr="002D00EC" w:rsidRDefault="00EE235B" w:rsidP="00EE235B">
      <w:pPr>
        <w:pStyle w:val="FootnoteText"/>
        <w:rPr>
          <w:rFonts w:cs="Times New Roman"/>
        </w:rPr>
      </w:pPr>
      <w:r w:rsidRPr="002D00EC">
        <w:rPr>
          <w:rStyle w:val="FootnoteReference"/>
          <w:rFonts w:cs="Times New Roman"/>
        </w:rPr>
        <w:footnoteRef/>
      </w:r>
      <w:r w:rsidRPr="002D00EC">
        <w:rPr>
          <w:rFonts w:cs="Times New Roman"/>
        </w:rPr>
        <w:t xml:space="preserve"> </w:t>
      </w:r>
      <w:r>
        <w:rPr>
          <w:rFonts w:cs="Times New Roman"/>
        </w:rPr>
        <w:t>Communications Act</w:t>
      </w:r>
      <w:r w:rsidRPr="002D00EC">
        <w:rPr>
          <w:rFonts w:cs="Times New Roman"/>
        </w:rPr>
        <w:t xml:space="preserve"> § 333.</w:t>
      </w:r>
    </w:p>
  </w:footnote>
  <w:footnote w:id="8">
    <w:p w:rsidR="00EE235B" w:rsidRPr="002D00EC" w:rsidRDefault="00EE235B" w:rsidP="00EE235B">
      <w:pPr>
        <w:pStyle w:val="FootnoteText"/>
        <w:rPr>
          <w:rFonts w:cs="Times New Roman"/>
          <w:i/>
        </w:rPr>
      </w:pPr>
      <w:r w:rsidRPr="002D00EC">
        <w:rPr>
          <w:rStyle w:val="FootnoteReference"/>
          <w:rFonts w:cs="Times New Roman"/>
        </w:rPr>
        <w:footnoteRef/>
      </w:r>
      <w:r w:rsidRPr="002D00EC">
        <w:rPr>
          <w:rFonts w:cs="Times New Roman"/>
        </w:rPr>
        <w:t xml:space="preserve"> </w:t>
      </w:r>
      <w:r w:rsidRPr="002D00EC">
        <w:rPr>
          <w:rFonts w:cs="Times New Roman"/>
          <w:i/>
        </w:rPr>
        <w:t>See, e.g.</w:t>
      </w:r>
      <w:r w:rsidRPr="002D00EC">
        <w:rPr>
          <w:rFonts w:cs="Times New Roman"/>
        </w:rPr>
        <w:t xml:space="preserve">, </w:t>
      </w:r>
      <w:r w:rsidRPr="002D00EC">
        <w:rPr>
          <w:rFonts w:cs="Times New Roman"/>
          <w:i/>
        </w:rPr>
        <w:t>Remington Arms Company, Inc. Request for a Waiver of the Part 15 Regulations</w:t>
      </w:r>
      <w:r w:rsidRPr="002D00EC">
        <w:rPr>
          <w:rFonts w:cs="Times New Roman"/>
        </w:rPr>
        <w:t xml:space="preserve">, </w:t>
      </w:r>
      <w:r w:rsidRPr="006E2839">
        <w:rPr>
          <w:rFonts w:cs="Times New Roman"/>
        </w:rPr>
        <w:t>ET Docket No. 05-183</w:t>
      </w:r>
      <w:r>
        <w:rPr>
          <w:rFonts w:cs="Times New Roman"/>
        </w:rPr>
        <w:t xml:space="preserve">, </w:t>
      </w:r>
      <w:r w:rsidRPr="002D00EC">
        <w:rPr>
          <w:rFonts w:cs="Times New Roman"/>
        </w:rPr>
        <w:t>Order, 2</w:t>
      </w:r>
      <w:r>
        <w:rPr>
          <w:rFonts w:cs="Times New Roman"/>
        </w:rPr>
        <w:t>0 FCC Rcd 18724, 18727</w:t>
      </w:r>
      <w:r w:rsidRPr="002D00EC">
        <w:rPr>
          <w:rFonts w:cs="Times New Roman"/>
        </w:rPr>
        <w:t xml:space="preserve"> n.12 (2005)</w:t>
      </w:r>
      <w:r>
        <w:rPr>
          <w:rFonts w:cs="Times New Roman"/>
        </w:rPr>
        <w:t xml:space="preserve"> (</w:t>
      </w:r>
      <w:r w:rsidRPr="002D00EC">
        <w:rPr>
          <w:rFonts w:cs="Times New Roman"/>
          <w:i/>
        </w:rPr>
        <w:t>Remington Order</w:t>
      </w:r>
      <w:r w:rsidRPr="002D00EC">
        <w:rPr>
          <w:rFonts w:cs="Times New Roman"/>
        </w:rPr>
        <w:t>) (stating that “the requirement to resolve harmful interference caused to ot</w:t>
      </w:r>
      <w:r>
        <w:rPr>
          <w:rFonts w:cs="Times New Roman"/>
        </w:rPr>
        <w:t>her users does not apply to . . </w:t>
      </w:r>
      <w:r w:rsidRPr="002D00EC">
        <w:rPr>
          <w:rFonts w:cs="Times New Roman"/>
        </w:rPr>
        <w:t>. other users of Part 15 transmission systems” because “Part 15 is not a radio service”)</w:t>
      </w:r>
      <w:r>
        <w:rPr>
          <w:rFonts w:cs="Times New Roman"/>
        </w:rPr>
        <w:t xml:space="preserve">; </w:t>
      </w:r>
      <w:r w:rsidRPr="002D00EC">
        <w:rPr>
          <w:rFonts w:cs="Times New Roman"/>
          <w:i/>
        </w:rPr>
        <w:t>Revision of Part 15 of the Commission’s Rules Regarding Ultra-Wideband Transmission Systems</w:t>
      </w:r>
      <w:r w:rsidRPr="002D00EC">
        <w:rPr>
          <w:rFonts w:cs="Times New Roman"/>
        </w:rPr>
        <w:t xml:space="preserve">, </w:t>
      </w:r>
      <w:r w:rsidRPr="00A24960">
        <w:rPr>
          <w:rFonts w:cs="Times New Roman"/>
        </w:rPr>
        <w:t>ET Docket No. 98-153</w:t>
      </w:r>
      <w:r>
        <w:rPr>
          <w:rFonts w:cs="Times New Roman"/>
        </w:rPr>
        <w:t xml:space="preserve">, </w:t>
      </w:r>
      <w:r w:rsidRPr="002D00EC">
        <w:rPr>
          <w:rFonts w:cs="Times New Roman"/>
        </w:rPr>
        <w:t>Order</w:t>
      </w:r>
      <w:r>
        <w:rPr>
          <w:rFonts w:cs="Times New Roman"/>
        </w:rPr>
        <w:t>,</w:t>
      </w:r>
      <w:r w:rsidRPr="002D00EC">
        <w:rPr>
          <w:rFonts w:cs="Times New Roman"/>
        </w:rPr>
        <w:t xml:space="preserve"> 17 FCC Rcd 13522, 13524 n.7 (</w:t>
      </w:r>
      <w:r>
        <w:rPr>
          <w:rFonts w:cs="Times New Roman"/>
        </w:rPr>
        <w:t>Office of Engineering &amp; Technology</w:t>
      </w:r>
      <w:r w:rsidRPr="002D00EC">
        <w:rPr>
          <w:rFonts w:cs="Times New Roman"/>
        </w:rPr>
        <w:t xml:space="preserve"> 2002) </w:t>
      </w:r>
      <w:r>
        <w:rPr>
          <w:rFonts w:cs="Times New Roman"/>
        </w:rPr>
        <w:t>(</w:t>
      </w:r>
      <w:r w:rsidRPr="002D00EC">
        <w:rPr>
          <w:rFonts w:cs="Times New Roman"/>
          <w:i/>
        </w:rPr>
        <w:t>Ultra-Wideband Order</w:t>
      </w:r>
      <w:r w:rsidRPr="002D00EC">
        <w:rPr>
          <w:rFonts w:cs="Times New Roman"/>
        </w:rPr>
        <w:t xml:space="preserve">) (“Harmful interference consists of interference to a radiocommunications service.  </w:t>
      </w:r>
      <w:r w:rsidRPr="002D00EC">
        <w:rPr>
          <w:rFonts w:cs="Times New Roman"/>
          <w:i/>
        </w:rPr>
        <w:t>See</w:t>
      </w:r>
      <w:r w:rsidRPr="002D00EC">
        <w:rPr>
          <w:rFonts w:cs="Times New Roman"/>
        </w:rPr>
        <w:t xml:space="preserve"> 47 C.F.R. § 15.3(m).  Part 15 devices are not part of a ‘service.’  Thus, interference caused to a Part 15 device by another Part 15 device does not cons</w:t>
      </w:r>
      <w:r>
        <w:rPr>
          <w:rFonts w:cs="Times New Roman"/>
        </w:rPr>
        <w:t>titute harmful interference.”)</w:t>
      </w:r>
      <w:r w:rsidRPr="002D00EC">
        <w:rPr>
          <w:rFonts w:cs="Times New Roman"/>
        </w:rPr>
        <w:t>.</w:t>
      </w:r>
    </w:p>
  </w:footnote>
  <w:footnote w:id="9">
    <w:p w:rsidR="00EE235B" w:rsidRPr="002D00EC" w:rsidRDefault="00EE235B" w:rsidP="00EE235B">
      <w:pPr>
        <w:pStyle w:val="FootnoteText"/>
        <w:rPr>
          <w:rFonts w:cs="Times New Roman"/>
        </w:rPr>
      </w:pPr>
      <w:r w:rsidRPr="002D00EC">
        <w:rPr>
          <w:rStyle w:val="FootnoteReference"/>
          <w:rFonts w:cs="Times New Roman"/>
        </w:rPr>
        <w:footnoteRef/>
      </w:r>
      <w:r w:rsidRPr="002D00EC">
        <w:rPr>
          <w:rFonts w:cs="Times New Roman"/>
        </w:rPr>
        <w:t xml:space="preserve"> </w:t>
      </w:r>
      <w:r w:rsidRPr="002D00EC">
        <w:rPr>
          <w:rFonts w:cs="Times New Roman"/>
          <w:i/>
        </w:rPr>
        <w:t xml:space="preserve">See </w:t>
      </w:r>
      <w:r w:rsidRPr="002D00EC">
        <w:rPr>
          <w:rFonts w:cs="Times New Roman"/>
        </w:rPr>
        <w:t xml:space="preserve">47 C.F.R. § 15.5(b); </w:t>
      </w:r>
      <w:r w:rsidRPr="002D00EC">
        <w:rPr>
          <w:rFonts w:cs="Times New Roman"/>
          <w:i/>
        </w:rPr>
        <w:t xml:space="preserve">see also </w:t>
      </w:r>
      <w:r w:rsidRPr="002D00EC">
        <w:rPr>
          <w:rFonts w:cs="Times New Roman"/>
        </w:rPr>
        <w:t>47 C.F.R. § 15.3(m).</w:t>
      </w:r>
    </w:p>
  </w:footnote>
  <w:footnote w:id="10">
    <w:p w:rsidR="00EE235B" w:rsidRPr="002D00EC" w:rsidRDefault="00EE235B" w:rsidP="00EE235B">
      <w:pPr>
        <w:pStyle w:val="FootnoteText"/>
        <w:rPr>
          <w:rFonts w:cs="Times New Roman"/>
        </w:rPr>
      </w:pPr>
      <w:r w:rsidRPr="002D00EC">
        <w:rPr>
          <w:rStyle w:val="FootnoteReference"/>
          <w:rFonts w:cs="Times New Roman"/>
        </w:rPr>
        <w:footnoteRef/>
      </w:r>
      <w:r w:rsidRPr="002D00EC">
        <w:rPr>
          <w:rFonts w:cs="Times New Roman"/>
        </w:rPr>
        <w:t xml:space="preserve"> </w:t>
      </w:r>
      <w:r w:rsidRPr="002D00EC">
        <w:rPr>
          <w:rFonts w:cs="Times New Roman"/>
          <w:i/>
        </w:rPr>
        <w:t>Remington Order</w:t>
      </w:r>
      <w:r>
        <w:rPr>
          <w:rFonts w:cs="Times New Roman"/>
        </w:rPr>
        <w:t>, 20 FCC Rcd at 18727</w:t>
      </w:r>
      <w:r w:rsidRPr="002D00EC">
        <w:rPr>
          <w:rFonts w:cs="Times New Roman"/>
        </w:rPr>
        <w:t xml:space="preserve"> n.12;</w:t>
      </w:r>
      <w:r>
        <w:rPr>
          <w:rFonts w:cs="Times New Roman"/>
        </w:rPr>
        <w:t xml:space="preserve"> </w:t>
      </w:r>
      <w:r w:rsidRPr="002D00EC">
        <w:rPr>
          <w:rFonts w:cs="Times New Roman"/>
          <w:i/>
        </w:rPr>
        <w:t>Ultra-Wideband Order</w:t>
      </w:r>
      <w:r w:rsidRPr="002D00EC">
        <w:rPr>
          <w:rFonts w:cs="Times New Roman"/>
        </w:rPr>
        <w:t xml:space="preserve">, 17 FCC Rcd at </w:t>
      </w:r>
      <w:r>
        <w:rPr>
          <w:rFonts w:cs="Times New Roman"/>
        </w:rPr>
        <w:t>13524</w:t>
      </w:r>
      <w:r w:rsidRPr="002D00EC">
        <w:rPr>
          <w:rFonts w:cs="Times New Roman"/>
        </w:rPr>
        <w:t xml:space="preserve"> n.7; </w:t>
      </w:r>
      <w:r w:rsidRPr="002D00EC">
        <w:rPr>
          <w:rFonts w:cs="Times New Roman"/>
          <w:i/>
        </w:rPr>
        <w:t>see also Allocatio</w:t>
      </w:r>
      <w:r>
        <w:rPr>
          <w:rFonts w:cs="Times New Roman"/>
          <w:i/>
        </w:rPr>
        <w:t>ns and Service Rules for the 71–76 GHz, 81–86 GHz and 92–</w:t>
      </w:r>
      <w:r w:rsidRPr="002D00EC">
        <w:rPr>
          <w:rFonts w:cs="Times New Roman"/>
          <w:i/>
        </w:rPr>
        <w:t>95 GHz Bands</w:t>
      </w:r>
      <w:r>
        <w:rPr>
          <w:rFonts w:cs="Times New Roman"/>
          <w:i/>
        </w:rPr>
        <w:t xml:space="preserve">; </w:t>
      </w:r>
      <w:r w:rsidRPr="00BF1352">
        <w:rPr>
          <w:rFonts w:cs="Times New Roman"/>
          <w:i/>
        </w:rPr>
        <w:t>Loea Communications Corporation Petition for Rulemaking</w:t>
      </w:r>
      <w:r>
        <w:rPr>
          <w:rFonts w:cs="Times New Roman"/>
        </w:rPr>
        <w:t xml:space="preserve">, </w:t>
      </w:r>
      <w:r w:rsidRPr="00BF1352">
        <w:rPr>
          <w:rFonts w:cs="Times New Roman"/>
        </w:rPr>
        <w:t>WT Docket No. 02-146</w:t>
      </w:r>
      <w:r>
        <w:rPr>
          <w:rFonts w:cs="Times New Roman"/>
        </w:rPr>
        <w:t xml:space="preserve">, </w:t>
      </w:r>
      <w:r w:rsidRPr="00BF1352">
        <w:rPr>
          <w:rFonts w:cs="Times New Roman"/>
        </w:rPr>
        <w:t xml:space="preserve">RM-10288, </w:t>
      </w:r>
      <w:r w:rsidRPr="002D00EC">
        <w:rPr>
          <w:rFonts w:cs="Times New Roman"/>
        </w:rPr>
        <w:t>Report and Or</w:t>
      </w:r>
      <w:r>
        <w:rPr>
          <w:rFonts w:cs="Times New Roman"/>
        </w:rPr>
        <w:t>der, 18 FCC Rcd 23318, 23346,</w:t>
      </w:r>
      <w:r w:rsidRPr="002D00EC">
        <w:rPr>
          <w:rFonts w:cs="Times New Roman"/>
        </w:rPr>
        <w:t xml:space="preserve"> n.185 (2003) (“The ‘commons’ model allows unlimited numbers of unlicensed users to share frequencies, with usage rights that are governed by technical standards or etiquettes but with no right to protection from interference.”).</w:t>
      </w:r>
    </w:p>
  </w:footnote>
  <w:footnote w:id="11">
    <w:p w:rsidR="00EE235B" w:rsidRDefault="00EE235B" w:rsidP="00EE235B">
      <w:pPr>
        <w:pStyle w:val="FootnoteText"/>
      </w:pPr>
      <w:r>
        <w:rPr>
          <w:rStyle w:val="FootnoteReference"/>
        </w:rPr>
        <w:footnoteRef/>
      </w:r>
      <w:r>
        <w:t xml:space="preserve"> The fact that section 333 prohibits a person from “willfully or maliciously interfer[ing],” whereas the FCC’s Part 15 rules provide that unlicensed devices are excluded from the definition of “harmful interference,” does not aid the Commission’s case.  Since there is no liability for causing harmful interference, there can be no liability for willfully or maliciously causing mere interference. </w:t>
      </w:r>
    </w:p>
  </w:footnote>
  <w:footnote w:id="12">
    <w:p w:rsidR="00EE235B" w:rsidRPr="00635DFA" w:rsidRDefault="00EE235B" w:rsidP="00EE235B">
      <w:pPr>
        <w:pStyle w:val="FootnoteText"/>
        <w:rPr>
          <w:rFonts w:cs="Times New Roman"/>
        </w:rPr>
      </w:pPr>
      <w:r w:rsidRPr="002D00EC">
        <w:rPr>
          <w:rStyle w:val="FootnoteReference"/>
          <w:rFonts w:cs="Times New Roman"/>
        </w:rPr>
        <w:footnoteRef/>
      </w:r>
      <w:r w:rsidRPr="002D00EC">
        <w:rPr>
          <w:rFonts w:cs="Times New Roman"/>
        </w:rPr>
        <w:t xml:space="preserve"> </w:t>
      </w:r>
      <w:r w:rsidRPr="002D00EC">
        <w:rPr>
          <w:rFonts w:cs="Times New Roman"/>
          <w:i/>
        </w:rPr>
        <w:t xml:space="preserve">See </w:t>
      </w:r>
      <w:r w:rsidRPr="002D00EC">
        <w:rPr>
          <w:rFonts w:cs="Times New Roman"/>
        </w:rPr>
        <w:t>47 C.F.R. § 15.5(b) (“Operation</w:t>
      </w:r>
      <w:r>
        <w:rPr>
          <w:rFonts w:cs="Times New Roman"/>
        </w:rPr>
        <w:t> </w:t>
      </w:r>
      <w:r w:rsidRPr="002D00EC">
        <w:rPr>
          <w:rFonts w:cs="Times New Roman"/>
        </w:rPr>
        <w:t>. .</w:t>
      </w:r>
      <w:r>
        <w:rPr>
          <w:rFonts w:cs="Times New Roman"/>
        </w:rPr>
        <w:t> </w:t>
      </w:r>
      <w:r w:rsidRPr="002D00EC">
        <w:rPr>
          <w:rFonts w:cs="Times New Roman"/>
        </w:rPr>
        <w:t>. is subject to the condition[]</w:t>
      </w:r>
      <w:r>
        <w:rPr>
          <w:rFonts w:cs="Times New Roman"/>
        </w:rPr>
        <w:t> </w:t>
      </w:r>
      <w:r w:rsidRPr="002D00EC">
        <w:rPr>
          <w:rFonts w:cs="Times New Roman"/>
        </w:rPr>
        <w:t>. .</w:t>
      </w:r>
      <w:r>
        <w:rPr>
          <w:rFonts w:cs="Times New Roman"/>
        </w:rPr>
        <w:t> </w:t>
      </w:r>
      <w:r w:rsidRPr="002D00EC">
        <w:rPr>
          <w:rFonts w:cs="Times New Roman"/>
        </w:rPr>
        <w:t xml:space="preserve">. that interference must be accepted[.]”); </w:t>
      </w:r>
      <w:r w:rsidRPr="002D00EC">
        <w:rPr>
          <w:rFonts w:cs="Times New Roman"/>
          <w:i/>
        </w:rPr>
        <w:t xml:space="preserve">see also Remington </w:t>
      </w:r>
      <w:r>
        <w:rPr>
          <w:rFonts w:cs="Times New Roman"/>
          <w:i/>
        </w:rPr>
        <w:t>Order</w:t>
      </w:r>
      <w:r w:rsidRPr="002D00EC">
        <w:rPr>
          <w:rFonts w:cs="Times New Roman"/>
        </w:rPr>
        <w:t>, 20 FCC Rcd at 18727, para. 10 (“</w:t>
      </w:r>
      <w:r>
        <w:rPr>
          <w:rFonts w:cs="Times New Roman"/>
        </w:rPr>
        <w:t>[A]</w:t>
      </w:r>
      <w:r w:rsidRPr="00635DFA">
        <w:rPr>
          <w:rFonts w:cs="Times New Roman"/>
        </w:rPr>
        <w:t>ll Part 15 devices, including WiFi systems, LANs, and meter reading systems, operate on a sufferance basis where the operator is required to accept any interference that is received, regardless of the source of that interference</w:t>
      </w:r>
      <w:r>
        <w:rPr>
          <w:rFonts w:cs="Times New Roman"/>
        </w:rPr>
        <w:t>.</w:t>
      </w:r>
      <w:r w:rsidRPr="00635DFA">
        <w:rPr>
          <w:rFonts w:cs="Times New Roman"/>
        </w:rPr>
        <w:t>”).</w:t>
      </w:r>
    </w:p>
  </w:footnote>
  <w:footnote w:id="13">
    <w:p w:rsidR="00EE235B" w:rsidRPr="002D00EC" w:rsidRDefault="00EE235B" w:rsidP="00EE235B">
      <w:pPr>
        <w:pStyle w:val="FootnoteText"/>
        <w:rPr>
          <w:rFonts w:cs="Times New Roman"/>
        </w:rPr>
      </w:pPr>
      <w:r w:rsidRPr="002D00EC">
        <w:rPr>
          <w:rStyle w:val="FootnoteReference"/>
          <w:rFonts w:cs="Times New Roman"/>
        </w:rPr>
        <w:footnoteRef/>
      </w:r>
      <w:r w:rsidRPr="002D00EC">
        <w:rPr>
          <w:rFonts w:cs="Times New Roman"/>
        </w:rPr>
        <w:t xml:space="preserve"> </w:t>
      </w:r>
      <w:r w:rsidRPr="002D00EC">
        <w:rPr>
          <w:rFonts w:cs="Times New Roman"/>
          <w:i/>
        </w:rPr>
        <w:t>Remington Order</w:t>
      </w:r>
      <w:r w:rsidRPr="002D00EC">
        <w:rPr>
          <w:rFonts w:cs="Times New Roman"/>
        </w:rPr>
        <w:t>, 20 FCC Rcd at 18727, para. 10.</w:t>
      </w:r>
    </w:p>
  </w:footnote>
  <w:footnote w:id="14">
    <w:p w:rsidR="00EE235B" w:rsidRPr="002D00EC" w:rsidRDefault="00EE235B" w:rsidP="00EE235B">
      <w:pPr>
        <w:pStyle w:val="FootnoteText"/>
        <w:rPr>
          <w:rFonts w:cs="Times New Roman"/>
        </w:rPr>
      </w:pPr>
      <w:r w:rsidRPr="002D00EC">
        <w:rPr>
          <w:rStyle w:val="FootnoteReference"/>
          <w:rFonts w:cs="Times New Roman"/>
        </w:rPr>
        <w:footnoteRef/>
      </w:r>
      <w:r w:rsidRPr="002D00EC">
        <w:rPr>
          <w:rFonts w:cs="Times New Roman"/>
        </w:rPr>
        <w:t xml:space="preserve"> Cisco</w:t>
      </w:r>
      <w:r>
        <w:rPr>
          <w:rFonts w:cs="Times New Roman"/>
        </w:rPr>
        <w:t xml:space="preserve"> Comments, RM-11737,</w:t>
      </w:r>
      <w:r w:rsidRPr="002D00EC">
        <w:rPr>
          <w:rFonts w:cs="Times New Roman"/>
        </w:rPr>
        <w:t xml:space="preserve"> at 18 (Dec. 19, 2014).</w:t>
      </w:r>
    </w:p>
  </w:footnote>
  <w:footnote w:id="15">
    <w:p w:rsidR="00EE235B" w:rsidRPr="002D00EC" w:rsidRDefault="00EE235B" w:rsidP="00EE235B">
      <w:pPr>
        <w:pStyle w:val="FootnoteText"/>
        <w:rPr>
          <w:rFonts w:cs="Times New Roman"/>
        </w:rPr>
      </w:pPr>
      <w:r w:rsidRPr="002D00EC">
        <w:rPr>
          <w:rStyle w:val="FootnoteReference"/>
          <w:rFonts w:cs="Times New Roman"/>
        </w:rPr>
        <w:footnoteRef/>
      </w:r>
      <w:r w:rsidRPr="002D00EC">
        <w:rPr>
          <w:rFonts w:cs="Times New Roman"/>
        </w:rPr>
        <w:t xml:space="preserve"> </w:t>
      </w:r>
      <w:r>
        <w:rPr>
          <w:rFonts w:cs="Times New Roman"/>
        </w:rPr>
        <w:t>Communications Act</w:t>
      </w:r>
      <w:r w:rsidRPr="002D00EC">
        <w:rPr>
          <w:rFonts w:cs="Times New Roman"/>
        </w:rPr>
        <w:t xml:space="preserve"> § 333.</w:t>
      </w:r>
    </w:p>
  </w:footnote>
  <w:footnote w:id="16">
    <w:p w:rsidR="00EE235B" w:rsidRPr="002D00EC" w:rsidRDefault="00EE235B" w:rsidP="00EE235B">
      <w:pPr>
        <w:pStyle w:val="FootnoteText"/>
        <w:rPr>
          <w:rFonts w:cs="Times New Roman"/>
        </w:rPr>
      </w:pPr>
      <w:r w:rsidRPr="002D00EC">
        <w:rPr>
          <w:rStyle w:val="FootnoteReference"/>
          <w:rFonts w:cs="Times New Roman"/>
        </w:rPr>
        <w:footnoteRef/>
      </w:r>
      <w:r w:rsidRPr="002D00EC">
        <w:rPr>
          <w:rFonts w:cs="Times New Roman"/>
        </w:rPr>
        <w:t xml:space="preserve"> </w:t>
      </w:r>
      <w:r w:rsidRPr="002D00EC">
        <w:rPr>
          <w:rFonts w:cs="Times New Roman"/>
          <w:i/>
        </w:rPr>
        <w:t xml:space="preserve">See </w:t>
      </w:r>
      <w:r>
        <w:rPr>
          <w:rFonts w:cs="Times New Roman"/>
        </w:rPr>
        <w:t>Communications Act</w:t>
      </w:r>
      <w:r w:rsidRPr="002D00EC">
        <w:rPr>
          <w:rFonts w:cs="Times New Roman"/>
        </w:rPr>
        <w:t xml:space="preserve"> § 312(f)(1) (“The term ‘willful’, when used with reference to the commission or omission of any act, means the conscious and deliberate commission or omission of such act, irrespective of any intent to violate any provision of this chapter or any rule or regulation of the Commission authorized by this chapter or by a treaty ratified by the United States.”); </w:t>
      </w:r>
      <w:r w:rsidRPr="002D00EC">
        <w:rPr>
          <w:rFonts w:cs="Times New Roman"/>
          <w:i/>
        </w:rPr>
        <w:t>see also Playa Del Sol Broadcasters</w:t>
      </w:r>
      <w:r>
        <w:rPr>
          <w:rFonts w:cs="Times New Roman"/>
          <w:i/>
        </w:rPr>
        <w:t xml:space="preserve">; </w:t>
      </w:r>
      <w:r w:rsidRPr="006E2839">
        <w:rPr>
          <w:rFonts w:cs="Times New Roman"/>
          <w:i/>
        </w:rPr>
        <w:t>Licensee of Station K238AK Palm Desert, California</w:t>
      </w:r>
      <w:r>
        <w:rPr>
          <w:rFonts w:cs="Times New Roman"/>
        </w:rPr>
        <w:t>, File No.</w:t>
      </w:r>
      <w:r w:rsidRPr="006E2839">
        <w:rPr>
          <w:rFonts w:cs="Times New Roman"/>
        </w:rPr>
        <w:t xml:space="preserve"> EB-08-SD-0088,</w:t>
      </w:r>
      <w:r w:rsidRPr="002D00EC">
        <w:rPr>
          <w:rFonts w:cs="Times New Roman"/>
        </w:rPr>
        <w:t xml:space="preserve"> Order o</w:t>
      </w:r>
      <w:r>
        <w:rPr>
          <w:rFonts w:cs="Times New Roman"/>
        </w:rPr>
        <w:t>n Review, 28 FCC Rcd 2666, 2667–</w:t>
      </w:r>
      <w:r w:rsidRPr="002D00EC">
        <w:rPr>
          <w:rFonts w:cs="Times New Roman"/>
        </w:rPr>
        <w:t>68</w:t>
      </w:r>
      <w:r>
        <w:rPr>
          <w:rFonts w:cs="Times New Roman"/>
        </w:rPr>
        <w:t>,</w:t>
      </w:r>
      <w:r w:rsidRPr="002D00EC">
        <w:rPr>
          <w:rFonts w:cs="Times New Roman"/>
        </w:rPr>
        <w:t xml:space="preserve"> para. 4</w:t>
      </w:r>
      <w:r w:rsidRPr="002D00EC">
        <w:rPr>
          <w:rFonts w:cs="Times New Roman"/>
          <w:i/>
        </w:rPr>
        <w:t xml:space="preserve"> </w:t>
      </w:r>
      <w:r w:rsidRPr="002D00EC">
        <w:rPr>
          <w:rFonts w:cs="Times New Roman"/>
        </w:rPr>
        <w:t xml:space="preserve">(2013) (stating that the Commission interprets the term “willful,” as it is used in </w:t>
      </w:r>
      <w:r>
        <w:rPr>
          <w:rFonts w:cs="Times New Roman"/>
        </w:rPr>
        <w:t>section</w:t>
      </w:r>
      <w:r w:rsidRPr="002D00EC">
        <w:rPr>
          <w:rFonts w:cs="Times New Roman"/>
        </w:rPr>
        <w:t xml:space="preserve"> 503</w:t>
      </w:r>
      <w:r>
        <w:rPr>
          <w:rFonts w:cs="Times New Roman"/>
        </w:rPr>
        <w:t xml:space="preserve"> of the Communications Act</w:t>
      </w:r>
      <w:r w:rsidRPr="002D00EC">
        <w:rPr>
          <w:rFonts w:cs="Times New Roman"/>
        </w:rPr>
        <w:t>, as “the ‘conscious and deliberate commission or omission of [any] act, irrespective of any intent to violate’ the law”</w:t>
      </w:r>
      <w:r>
        <w:rPr>
          <w:rFonts w:cs="Times New Roman"/>
        </w:rPr>
        <w:t xml:space="preserve"> (quoting Communications Act § </w:t>
      </w:r>
      <w:r w:rsidRPr="002D00EC">
        <w:rPr>
          <w:rFonts w:cs="Times New Roman"/>
        </w:rPr>
        <w:t>312(f)(1)).</w:t>
      </w:r>
    </w:p>
  </w:footnote>
  <w:footnote w:id="17">
    <w:p w:rsidR="00EE235B" w:rsidRPr="002D00EC" w:rsidRDefault="00EE235B" w:rsidP="00EE235B">
      <w:pPr>
        <w:pStyle w:val="FootnoteText"/>
        <w:rPr>
          <w:rFonts w:cs="Times New Roman"/>
        </w:rPr>
      </w:pPr>
      <w:r w:rsidRPr="002D00EC">
        <w:rPr>
          <w:rStyle w:val="FootnoteReference"/>
          <w:rFonts w:cs="Times New Roman"/>
        </w:rPr>
        <w:footnoteRef/>
      </w:r>
      <w:r w:rsidRPr="002D00EC">
        <w:rPr>
          <w:rFonts w:cs="Times New Roman"/>
        </w:rPr>
        <w:t xml:space="preserve"> </w:t>
      </w:r>
      <w:r w:rsidRPr="002D00EC">
        <w:rPr>
          <w:rFonts w:cs="Times New Roman"/>
          <w:i/>
        </w:rPr>
        <w:t>See, e.g.</w:t>
      </w:r>
      <w:r w:rsidRPr="002D00EC">
        <w:rPr>
          <w:rFonts w:cs="Times New Roman"/>
        </w:rPr>
        <w:t xml:space="preserve">, </w:t>
      </w:r>
      <w:r w:rsidRPr="002D00EC">
        <w:rPr>
          <w:rFonts w:cs="Times New Roman"/>
          <w:i/>
        </w:rPr>
        <w:t>Mullane v. Central Hanover Tr. Co.</w:t>
      </w:r>
      <w:r w:rsidRPr="002D00EC">
        <w:rPr>
          <w:rFonts w:cs="Times New Roman"/>
        </w:rPr>
        <w:t xml:space="preserve">, 336 U.S. 306, 313 (1950); </w:t>
      </w:r>
      <w:r w:rsidRPr="002D00EC">
        <w:rPr>
          <w:rFonts w:cs="Times New Roman"/>
          <w:i/>
        </w:rPr>
        <w:t>see also TerraCom, Inc. and YourTel America, Inc.</w:t>
      </w:r>
      <w:r w:rsidRPr="002D00EC">
        <w:rPr>
          <w:rFonts w:cs="Times New Roman"/>
        </w:rPr>
        <w:t xml:space="preserve">, </w:t>
      </w:r>
      <w:r>
        <w:rPr>
          <w:rFonts w:cs="Times New Roman"/>
        </w:rPr>
        <w:t>File No.</w:t>
      </w:r>
      <w:r w:rsidRPr="006E2839">
        <w:rPr>
          <w:rFonts w:cs="Times New Roman"/>
        </w:rPr>
        <w:t xml:space="preserve"> EB-TCD-13-00009175</w:t>
      </w:r>
      <w:r>
        <w:rPr>
          <w:rFonts w:cs="Times New Roman"/>
        </w:rPr>
        <w:t xml:space="preserve">, Notice of </w:t>
      </w:r>
      <w:r w:rsidRPr="002D00EC">
        <w:rPr>
          <w:rFonts w:cs="Times New Roman"/>
        </w:rPr>
        <w:t>Apparent Liability for Forf</w:t>
      </w:r>
      <w:r>
        <w:rPr>
          <w:rFonts w:cs="Times New Roman"/>
        </w:rPr>
        <w:t>eiture, 29 FCC Rcd 13325, 13349</w:t>
      </w:r>
      <w:r w:rsidRPr="002D00EC">
        <w:rPr>
          <w:rFonts w:cs="Times New Roman"/>
        </w:rPr>
        <w:t xml:space="preserve"> n.1 (2014) (Dissenting Statement of Commissioner Ajit Pai) (collecting authorities).</w:t>
      </w:r>
    </w:p>
  </w:footnote>
  <w:footnote w:id="18">
    <w:p w:rsidR="00EE235B" w:rsidRPr="002D00EC" w:rsidRDefault="00EE235B" w:rsidP="00EE235B">
      <w:pPr>
        <w:pStyle w:val="FootnoteText"/>
        <w:rPr>
          <w:rFonts w:cs="Times New Roman"/>
        </w:rPr>
      </w:pPr>
      <w:r w:rsidRPr="002D00EC">
        <w:rPr>
          <w:rStyle w:val="FootnoteReference"/>
          <w:rFonts w:cs="Times New Roman"/>
        </w:rPr>
        <w:footnoteRef/>
      </w:r>
      <w:r w:rsidRPr="002D00EC">
        <w:rPr>
          <w:rFonts w:cs="Times New Roman"/>
        </w:rPr>
        <w:t xml:space="preserve"> </w:t>
      </w:r>
      <w:r w:rsidRPr="002D00EC">
        <w:rPr>
          <w:rFonts w:cs="Times New Roman"/>
          <w:i/>
        </w:rPr>
        <w:t>General Electric Co. v. U.S. Environmental Protection Agency</w:t>
      </w:r>
      <w:r w:rsidRPr="002D00EC">
        <w:rPr>
          <w:rFonts w:cs="Times New Roman"/>
        </w:rPr>
        <w:t xml:space="preserve">, 53 F.3d 1324, 1328 (D.C. Cir. 1995); </w:t>
      </w:r>
      <w:r w:rsidRPr="002D00EC">
        <w:rPr>
          <w:rFonts w:cs="Times New Roman"/>
          <w:i/>
        </w:rPr>
        <w:t>see also United States v. Chrysler</w:t>
      </w:r>
      <w:r w:rsidRPr="002D00EC">
        <w:rPr>
          <w:rFonts w:cs="Times New Roman"/>
        </w:rPr>
        <w:t>, 158 F.3d 1350, 1354–55 (D.C. Cir. 1998) (discussing the “well-established rule in administrative law that the application of a rule may be successfully challenged if it does not give fair warning that the allegedly violative conduct was prohibited”).</w:t>
      </w:r>
    </w:p>
  </w:footnote>
  <w:footnote w:id="19">
    <w:p w:rsidR="00EE235B" w:rsidRPr="00C833B1" w:rsidRDefault="00EE235B" w:rsidP="00EE235B">
      <w:pPr>
        <w:pStyle w:val="FootnoteText"/>
      </w:pPr>
      <w:r>
        <w:rPr>
          <w:rStyle w:val="FootnoteReference"/>
        </w:rPr>
        <w:footnoteRef/>
      </w:r>
      <w:r>
        <w:t xml:space="preserve"> </w:t>
      </w:r>
      <w:r>
        <w:rPr>
          <w:i/>
        </w:rPr>
        <w:t>See, e.g.</w:t>
      </w:r>
      <w:r>
        <w:t xml:space="preserve">, </w:t>
      </w:r>
      <w:r w:rsidRPr="00C833B1">
        <w:rPr>
          <w:i/>
        </w:rPr>
        <w:t>R&amp;N Manufacturing, Ltd.</w:t>
      </w:r>
      <w:r>
        <w:rPr>
          <w:i/>
        </w:rPr>
        <w:t xml:space="preserve"> </w:t>
      </w:r>
      <w:r w:rsidRPr="00144149">
        <w:rPr>
          <w:i/>
        </w:rPr>
        <w:t>Houston, Texas</w:t>
      </w:r>
      <w:r>
        <w:t xml:space="preserve">, Notice of Apparent Liability for Forfeiture, </w:t>
      </w:r>
      <w:r w:rsidR="00165137" w:rsidRPr="00165137">
        <w:t xml:space="preserve">29 FCC Rcd 3332 </w:t>
      </w:r>
      <w:r>
        <w:t>(2014) (proposing fine for causing interference to cellular and PCS communications).</w:t>
      </w:r>
    </w:p>
  </w:footnote>
  <w:footnote w:id="20">
    <w:p w:rsidR="00EE235B" w:rsidRPr="004621BE" w:rsidRDefault="00EE235B" w:rsidP="00EE235B">
      <w:pPr>
        <w:pStyle w:val="FootnoteText"/>
        <w:rPr>
          <w:rFonts w:cs="Times New Roman"/>
        </w:rPr>
      </w:pPr>
      <w:r w:rsidRPr="002D00EC">
        <w:rPr>
          <w:rStyle w:val="FootnoteReference"/>
          <w:rFonts w:cs="Times New Roman"/>
        </w:rPr>
        <w:footnoteRef/>
      </w:r>
      <w:r w:rsidRPr="002D00EC">
        <w:rPr>
          <w:rFonts w:cs="Times New Roman"/>
        </w:rPr>
        <w:t xml:space="preserve"> </w:t>
      </w:r>
      <w:r w:rsidRPr="002D00EC">
        <w:rPr>
          <w:rFonts w:cs="Times New Roman"/>
          <w:i/>
        </w:rPr>
        <w:t>Cell Jammers, GPS Jammers, and Other Jamming Devices; Consumers Beware: It is Unlawful to Use “Cell Jammers” and Other Equipment that Blocks, Jams, or Interferes with Authorized Radio Communications in the U.S.</w:t>
      </w:r>
      <w:r w:rsidRPr="002D00EC">
        <w:rPr>
          <w:rFonts w:cs="Times New Roman"/>
        </w:rPr>
        <w:t>, Public Notice, 26 FCC Rcd 1329 (Enf. Bur. 2011</w:t>
      </w:r>
      <w:r w:rsidRPr="004621BE">
        <w:rPr>
          <w:rFonts w:cs="Times New Roman"/>
        </w:rPr>
        <w:t xml:space="preserve">); </w:t>
      </w:r>
      <w:r w:rsidRPr="004621BE">
        <w:rPr>
          <w:rFonts w:cs="Times New Roman"/>
          <w:i/>
        </w:rPr>
        <w:t>Cell Jammers, GPS Jammers, and Other Jamming Devices; Consumer Alert: Using or Importing Jammers is Illegal</w:t>
      </w:r>
      <w:r w:rsidRPr="004621BE">
        <w:rPr>
          <w:rFonts w:cs="Times New Roman"/>
        </w:rPr>
        <w:t>, Public Notice, 27 FCC Rcd 2309 (Enf. Bur. 2012).</w:t>
      </w:r>
    </w:p>
  </w:footnote>
  <w:footnote w:id="21">
    <w:p w:rsidR="00EE235B" w:rsidRPr="002D00EC" w:rsidRDefault="00EE235B" w:rsidP="00EE235B">
      <w:pPr>
        <w:pStyle w:val="FootnoteText"/>
        <w:rPr>
          <w:rFonts w:cs="Times New Roman"/>
        </w:rPr>
      </w:pPr>
      <w:r w:rsidRPr="002D00EC">
        <w:rPr>
          <w:rStyle w:val="FootnoteReference"/>
          <w:rFonts w:cs="Times New Roman"/>
        </w:rPr>
        <w:footnoteRef/>
      </w:r>
      <w:r w:rsidRPr="002D00EC">
        <w:rPr>
          <w:rFonts w:cs="Times New Roman"/>
        </w:rPr>
        <w:t xml:space="preserve"> </w:t>
      </w:r>
      <w:r w:rsidRPr="00794BB8">
        <w:rPr>
          <w:rFonts w:cs="Times New Roman"/>
          <w:i/>
        </w:rPr>
        <w:t>Marriott Int’l, Inc.</w:t>
      </w:r>
      <w:r>
        <w:rPr>
          <w:rFonts w:cs="Times New Roman"/>
          <w:i/>
        </w:rPr>
        <w:t>, Marriott Hotel Services, Inc.</w:t>
      </w:r>
      <w:r w:rsidRPr="00794BB8">
        <w:rPr>
          <w:rFonts w:cs="Times New Roman"/>
        </w:rPr>
        <w:t xml:space="preserve">, </w:t>
      </w:r>
      <w:r w:rsidRPr="0018086B">
        <w:rPr>
          <w:rFonts w:cs="Times New Roman"/>
        </w:rPr>
        <w:t>File No.: EB-IHD-13-00011303</w:t>
      </w:r>
      <w:r>
        <w:rPr>
          <w:rFonts w:cs="Times New Roman"/>
        </w:rPr>
        <w:t xml:space="preserve">, </w:t>
      </w:r>
      <w:r w:rsidRPr="00794BB8">
        <w:rPr>
          <w:rFonts w:cs="Times New Roman"/>
        </w:rPr>
        <w:t>Order and Consent Decree, 29 FCC Rcd 11760</w:t>
      </w:r>
      <w:r>
        <w:rPr>
          <w:rFonts w:cs="Times New Roman"/>
        </w:rPr>
        <w:t xml:space="preserve">, </w:t>
      </w:r>
      <w:r w:rsidRPr="002D00EC">
        <w:rPr>
          <w:rFonts w:cs="Times New Roman"/>
        </w:rPr>
        <w:t>11768</w:t>
      </w:r>
      <w:r w:rsidRPr="00794BB8">
        <w:rPr>
          <w:rFonts w:cs="Times New Roman"/>
        </w:rPr>
        <w:t xml:space="preserve"> (</w:t>
      </w:r>
      <w:r>
        <w:rPr>
          <w:rFonts w:cs="Times New Roman"/>
        </w:rPr>
        <w:t>Enf. Bur.</w:t>
      </w:r>
      <w:r w:rsidRPr="00794BB8">
        <w:rPr>
          <w:rFonts w:cs="Times New Roman"/>
        </w:rPr>
        <w:t xml:space="preserve"> 2014); </w:t>
      </w:r>
      <w:r w:rsidRPr="00794BB8">
        <w:rPr>
          <w:rFonts w:cs="Times New Roman"/>
          <w:i/>
        </w:rPr>
        <w:t>Smart City Holdings, LLC</w:t>
      </w:r>
      <w:r>
        <w:rPr>
          <w:rFonts w:cs="Times New Roman"/>
          <w:i/>
        </w:rPr>
        <w:t xml:space="preserve"> and its Wholly-Owned Subsidiaries, Smart City Networks, LP, and Smart City Solutions, LLC</w:t>
      </w:r>
      <w:r w:rsidRPr="00794BB8">
        <w:rPr>
          <w:rFonts w:cs="Times New Roman"/>
        </w:rPr>
        <w:t xml:space="preserve">, </w:t>
      </w:r>
      <w:r w:rsidRPr="00514F50">
        <w:rPr>
          <w:rFonts w:cs="Times New Roman"/>
        </w:rPr>
        <w:t>File No.: EB-SED-15-00018248</w:t>
      </w:r>
      <w:r>
        <w:rPr>
          <w:rFonts w:cs="Times New Roman"/>
        </w:rPr>
        <w:t xml:space="preserve">, </w:t>
      </w:r>
      <w:r w:rsidRPr="00794BB8">
        <w:rPr>
          <w:rFonts w:cs="Times New Roman"/>
        </w:rPr>
        <w:t xml:space="preserve">Order and Consent Decree, </w:t>
      </w:r>
      <w:r w:rsidRPr="002D00EC">
        <w:rPr>
          <w:rFonts w:cs="Times New Roman"/>
        </w:rPr>
        <w:t>30 FCC Rcd 8382</w:t>
      </w:r>
      <w:r>
        <w:rPr>
          <w:rFonts w:cs="Times New Roman"/>
        </w:rPr>
        <w:t>, 8390</w:t>
      </w:r>
      <w:r w:rsidRPr="002D00EC">
        <w:rPr>
          <w:rFonts w:cs="Times New Roman"/>
        </w:rPr>
        <w:t xml:space="preserve"> (</w:t>
      </w:r>
      <w:r>
        <w:rPr>
          <w:rFonts w:cs="Times New Roman"/>
        </w:rPr>
        <w:t>Enf. Bur.</w:t>
      </w:r>
      <w:r w:rsidRPr="002D00EC">
        <w:rPr>
          <w:rFonts w:cs="Times New Roman"/>
        </w:rPr>
        <w:t xml:space="preserve"> 2015).</w:t>
      </w:r>
      <w:r>
        <w:rPr>
          <w:rFonts w:cs="Times New Roman"/>
        </w:rPr>
        <w:t xml:space="preserve">  </w:t>
      </w:r>
      <w:r w:rsidRPr="002D00EC">
        <w:rPr>
          <w:rFonts w:cs="Times New Roman"/>
        </w:rPr>
        <w:t xml:space="preserve">Likewise, the </w:t>
      </w:r>
      <w:r w:rsidRPr="002D00EC">
        <w:rPr>
          <w:rFonts w:cs="Times New Roman"/>
          <w:i/>
        </w:rPr>
        <w:t>NAL</w:t>
      </w:r>
      <w:r w:rsidRPr="002D00EC">
        <w:rPr>
          <w:rFonts w:cs="Times New Roman"/>
        </w:rPr>
        <w:t xml:space="preserve">’s statement that </w:t>
      </w:r>
      <w:r w:rsidRPr="002D00EC">
        <w:rPr>
          <w:rFonts w:cs="Times New Roman"/>
          <w:i/>
        </w:rPr>
        <w:t>FTC v. Wyndham Worldwide Corp.</w:t>
      </w:r>
      <w:r w:rsidRPr="002D00EC">
        <w:rPr>
          <w:rFonts w:cs="Times New Roman"/>
        </w:rPr>
        <w:t>, 799 F.3d 236 (3d Cir. 2015)</w:t>
      </w:r>
      <w:r>
        <w:rPr>
          <w:rFonts w:cs="Times New Roman"/>
        </w:rPr>
        <w:t>,</w:t>
      </w:r>
      <w:r w:rsidRPr="002C25EA">
        <w:rPr>
          <w:rFonts w:cs="Times New Roman"/>
        </w:rPr>
        <w:t xml:space="preserve"> held that consent decrees provided </w:t>
      </w:r>
      <w:r w:rsidRPr="002D00EC">
        <w:rPr>
          <w:rFonts w:cs="Times New Roman"/>
        </w:rPr>
        <w:t xml:space="preserve">fair warning misses the mark.  </w:t>
      </w:r>
      <w:r w:rsidRPr="002D00EC">
        <w:rPr>
          <w:rFonts w:cs="Times New Roman"/>
          <w:i/>
        </w:rPr>
        <w:t xml:space="preserve">See NAL </w:t>
      </w:r>
      <w:r w:rsidRPr="002D00EC">
        <w:rPr>
          <w:rFonts w:cs="Times New Roman"/>
        </w:rPr>
        <w:t xml:space="preserve">at para. 33, n.101.  Among other things, </w:t>
      </w:r>
      <w:r w:rsidRPr="002D00EC">
        <w:rPr>
          <w:rFonts w:cs="Times New Roman"/>
          <w:i/>
        </w:rPr>
        <w:t>Wyndham</w:t>
      </w:r>
      <w:r w:rsidRPr="002D00EC">
        <w:rPr>
          <w:rFonts w:cs="Times New Roman"/>
        </w:rPr>
        <w:t xml:space="preserve"> held no such thing.  Rather, the Third Circuit stated:  “We agree with Wyndham that the consent orders, which admit no liability and which focus on prospective requirements on the defendant, were of little use to it in trying to understand the specific requirements imposed by” the applicable statute.  </w:t>
      </w:r>
      <w:r w:rsidRPr="002D00EC">
        <w:rPr>
          <w:rFonts w:cs="Times New Roman"/>
          <w:i/>
        </w:rPr>
        <w:t>Wyndham</w:t>
      </w:r>
      <w:r w:rsidRPr="002D00EC">
        <w:rPr>
          <w:rFonts w:cs="Times New Roman"/>
        </w:rPr>
        <w:t xml:space="preserve">, 799 F.3d at 257 n.22.  So too here.  In fact, the most the </w:t>
      </w:r>
      <w:r w:rsidRPr="002D00EC">
        <w:rPr>
          <w:rFonts w:cs="Times New Roman"/>
          <w:i/>
        </w:rPr>
        <w:t>NAL</w:t>
      </w:r>
      <w:r w:rsidRPr="002D00EC">
        <w:rPr>
          <w:rFonts w:cs="Times New Roman"/>
        </w:rPr>
        <w:t xml:space="preserve"> actually says about the Marrio</w:t>
      </w:r>
      <w:r>
        <w:rPr>
          <w:rFonts w:cs="Times New Roman"/>
        </w:rPr>
        <w:t>t</w:t>
      </w:r>
      <w:r w:rsidRPr="0065701C">
        <w:rPr>
          <w:rFonts w:cs="Times New Roman"/>
        </w:rPr>
        <w:t>t and Smart</w:t>
      </w:r>
      <w:r>
        <w:rPr>
          <w:rFonts w:cs="Times New Roman"/>
        </w:rPr>
        <w:t xml:space="preserve"> </w:t>
      </w:r>
      <w:r w:rsidRPr="0065701C">
        <w:rPr>
          <w:rFonts w:cs="Times New Roman"/>
        </w:rPr>
        <w:t>City consent decrees is that they show that the Commission “could</w:t>
      </w:r>
      <w:r w:rsidRPr="002D00EC">
        <w:rPr>
          <w:rFonts w:cs="Times New Roman"/>
        </w:rPr>
        <w:t xml:space="preserve"> consider” Wi-Fi blocking a violation of section 333.  </w:t>
      </w:r>
      <w:r w:rsidRPr="002D00EC">
        <w:rPr>
          <w:rFonts w:cs="Times New Roman"/>
          <w:i/>
        </w:rPr>
        <w:t xml:space="preserve">See NAL </w:t>
      </w:r>
      <w:r w:rsidRPr="002D00EC">
        <w:rPr>
          <w:rFonts w:cs="Times New Roman"/>
        </w:rPr>
        <w:t xml:space="preserve">at para. 33.  But that’s not the test.  Again, the </w:t>
      </w:r>
      <w:r w:rsidRPr="002D00EC">
        <w:rPr>
          <w:rFonts w:cs="Times New Roman"/>
          <w:i/>
        </w:rPr>
        <w:t xml:space="preserve">NAL </w:t>
      </w:r>
      <w:r w:rsidRPr="002D00EC">
        <w:rPr>
          <w:rFonts w:cs="Times New Roman"/>
        </w:rPr>
        <w:t xml:space="preserve">appears to be relying on </w:t>
      </w:r>
      <w:r w:rsidRPr="002D00EC">
        <w:rPr>
          <w:rFonts w:cs="Times New Roman"/>
          <w:i/>
        </w:rPr>
        <w:t xml:space="preserve">Wyndham </w:t>
      </w:r>
      <w:r w:rsidRPr="002D00EC">
        <w:rPr>
          <w:rFonts w:cs="Times New Roman"/>
        </w:rPr>
        <w:t xml:space="preserve">for this “could consider” language, but in doing so it ignores that </w:t>
      </w:r>
      <w:r w:rsidRPr="002D00EC">
        <w:rPr>
          <w:rFonts w:cs="Times New Roman"/>
          <w:i/>
        </w:rPr>
        <w:t xml:space="preserve">Wyndham </w:t>
      </w:r>
      <w:r w:rsidRPr="002D00EC">
        <w:rPr>
          <w:rFonts w:cs="Times New Roman"/>
        </w:rPr>
        <w:t xml:space="preserve">did not </w:t>
      </w:r>
      <w:r>
        <w:rPr>
          <w:rFonts w:cs="Times New Roman"/>
        </w:rPr>
        <w:t>involve</w:t>
      </w:r>
      <w:r w:rsidRPr="0065701C">
        <w:rPr>
          <w:rFonts w:cs="Times New Roman"/>
        </w:rPr>
        <w:t xml:space="preserve"> the fair warning rule at all.  It </w:t>
      </w:r>
      <w:r>
        <w:rPr>
          <w:rFonts w:cs="Times New Roman"/>
        </w:rPr>
        <w:t xml:space="preserve">involved </w:t>
      </w:r>
      <w:r w:rsidRPr="0065701C">
        <w:rPr>
          <w:rFonts w:cs="Times New Roman"/>
        </w:rPr>
        <w:t xml:space="preserve">a different test that applies when a court—not an agency—is called upon to interpret a statute in the first instance.  </w:t>
      </w:r>
      <w:r w:rsidRPr="0065701C">
        <w:rPr>
          <w:rFonts w:cs="Times New Roman"/>
          <w:i/>
        </w:rPr>
        <w:t>See, e.g.</w:t>
      </w:r>
      <w:r w:rsidRPr="0065701C">
        <w:rPr>
          <w:rFonts w:cs="Times New Roman"/>
        </w:rPr>
        <w:t xml:space="preserve">, </w:t>
      </w:r>
      <w:r w:rsidRPr="0065701C">
        <w:rPr>
          <w:rFonts w:cs="Times New Roman"/>
          <w:i/>
        </w:rPr>
        <w:t>Wyndham</w:t>
      </w:r>
      <w:r w:rsidRPr="0065701C">
        <w:rPr>
          <w:rFonts w:cs="Times New Roman"/>
        </w:rPr>
        <w:t>, 799 F.3d at 253</w:t>
      </w:r>
      <w:r>
        <w:rPr>
          <w:rFonts w:cs="Times New Roman"/>
        </w:rPr>
        <w:t xml:space="preserve"> </w:t>
      </w:r>
      <w:r w:rsidRPr="0065701C">
        <w:rPr>
          <w:rFonts w:cs="Times New Roman"/>
        </w:rPr>
        <w:t>(“</w:t>
      </w:r>
      <w:r>
        <w:rPr>
          <w:rFonts w:cs="Times New Roman"/>
        </w:rPr>
        <w:t>[T]</w:t>
      </w:r>
      <w:r w:rsidRPr="0065701C">
        <w:rPr>
          <w:rFonts w:cs="Times New Roman"/>
        </w:rPr>
        <w:t>his case involves ordinary judicial interpretation of a civil statute, and the ascertainable certainty standard does not apply</w:t>
      </w:r>
      <w:r>
        <w:rPr>
          <w:rFonts w:cs="Times New Roman"/>
        </w:rPr>
        <w:t>.</w:t>
      </w:r>
      <w:r w:rsidRPr="0065701C">
        <w:rPr>
          <w:rFonts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8FC" w:rsidRDefault="008258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8FC" w:rsidRDefault="008258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8FC" w:rsidRDefault="008258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35B"/>
    <w:rsid w:val="00165137"/>
    <w:rsid w:val="0060794E"/>
    <w:rsid w:val="006A0538"/>
    <w:rsid w:val="00771CCA"/>
    <w:rsid w:val="008258FC"/>
    <w:rsid w:val="008936B9"/>
    <w:rsid w:val="00991CCB"/>
    <w:rsid w:val="0099787A"/>
    <w:rsid w:val="00A840E9"/>
    <w:rsid w:val="00A90DB0"/>
    <w:rsid w:val="00B01954"/>
    <w:rsid w:val="00C00A56"/>
    <w:rsid w:val="00C552C8"/>
    <w:rsid w:val="00EE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35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35B"/>
    <w:pPr>
      <w:ind w:left="720"/>
      <w:contextualSpacing/>
    </w:pPr>
  </w:style>
  <w:style w:type="paragraph" w:styleId="FootnoteText">
    <w:name w:val="footnote text"/>
    <w:basedOn w:val="Normal"/>
    <w:link w:val="FootnoteTextChar"/>
    <w:uiPriority w:val="99"/>
    <w:unhideWhenUsed/>
    <w:rsid w:val="00EE235B"/>
    <w:rPr>
      <w:sz w:val="20"/>
      <w:szCs w:val="20"/>
    </w:rPr>
  </w:style>
  <w:style w:type="character" w:customStyle="1" w:styleId="FootnoteTextChar">
    <w:name w:val="Footnote Text Char"/>
    <w:basedOn w:val="DefaultParagraphFont"/>
    <w:link w:val="FootnoteText"/>
    <w:uiPriority w:val="99"/>
    <w:rsid w:val="00EE235B"/>
    <w:rPr>
      <w:rFonts w:ascii="Times New Roman" w:hAnsi="Times New Roman"/>
      <w:sz w:val="20"/>
      <w:szCs w:val="20"/>
    </w:rPr>
  </w:style>
  <w:style w:type="character" w:styleId="FootnoteReference">
    <w:name w:val="footnote reference"/>
    <w:basedOn w:val="DefaultParagraphFont"/>
    <w:uiPriority w:val="99"/>
    <w:semiHidden/>
    <w:unhideWhenUsed/>
    <w:rsid w:val="00EE235B"/>
    <w:rPr>
      <w:vertAlign w:val="superscript"/>
    </w:rPr>
  </w:style>
  <w:style w:type="paragraph" w:styleId="Footer">
    <w:name w:val="footer"/>
    <w:basedOn w:val="Normal"/>
    <w:link w:val="FooterChar"/>
    <w:uiPriority w:val="99"/>
    <w:unhideWhenUsed/>
    <w:rsid w:val="00EE235B"/>
    <w:pPr>
      <w:tabs>
        <w:tab w:val="center" w:pos="4680"/>
        <w:tab w:val="right" w:pos="9360"/>
      </w:tabs>
      <w:spacing w:after="0"/>
    </w:pPr>
  </w:style>
  <w:style w:type="character" w:customStyle="1" w:styleId="FooterChar">
    <w:name w:val="Footer Char"/>
    <w:basedOn w:val="DefaultParagraphFont"/>
    <w:link w:val="Footer"/>
    <w:uiPriority w:val="99"/>
    <w:rsid w:val="00EE235B"/>
    <w:rPr>
      <w:rFonts w:ascii="Times New Roman" w:hAnsi="Times New Roman"/>
    </w:rPr>
  </w:style>
  <w:style w:type="paragraph" w:styleId="Header">
    <w:name w:val="header"/>
    <w:basedOn w:val="Normal"/>
    <w:link w:val="HeaderChar"/>
    <w:uiPriority w:val="99"/>
    <w:unhideWhenUsed/>
    <w:rsid w:val="00C552C8"/>
    <w:pPr>
      <w:tabs>
        <w:tab w:val="center" w:pos="4680"/>
        <w:tab w:val="right" w:pos="9360"/>
      </w:tabs>
      <w:spacing w:after="0"/>
    </w:pPr>
  </w:style>
  <w:style w:type="character" w:customStyle="1" w:styleId="HeaderChar">
    <w:name w:val="Header Char"/>
    <w:basedOn w:val="DefaultParagraphFont"/>
    <w:link w:val="Header"/>
    <w:uiPriority w:val="99"/>
    <w:rsid w:val="00C552C8"/>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35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35B"/>
    <w:pPr>
      <w:ind w:left="720"/>
      <w:contextualSpacing/>
    </w:pPr>
  </w:style>
  <w:style w:type="paragraph" w:styleId="FootnoteText">
    <w:name w:val="footnote text"/>
    <w:basedOn w:val="Normal"/>
    <w:link w:val="FootnoteTextChar"/>
    <w:uiPriority w:val="99"/>
    <w:unhideWhenUsed/>
    <w:rsid w:val="00EE235B"/>
    <w:rPr>
      <w:sz w:val="20"/>
      <w:szCs w:val="20"/>
    </w:rPr>
  </w:style>
  <w:style w:type="character" w:customStyle="1" w:styleId="FootnoteTextChar">
    <w:name w:val="Footnote Text Char"/>
    <w:basedOn w:val="DefaultParagraphFont"/>
    <w:link w:val="FootnoteText"/>
    <w:uiPriority w:val="99"/>
    <w:rsid w:val="00EE235B"/>
    <w:rPr>
      <w:rFonts w:ascii="Times New Roman" w:hAnsi="Times New Roman"/>
      <w:sz w:val="20"/>
      <w:szCs w:val="20"/>
    </w:rPr>
  </w:style>
  <w:style w:type="character" w:styleId="FootnoteReference">
    <w:name w:val="footnote reference"/>
    <w:basedOn w:val="DefaultParagraphFont"/>
    <w:uiPriority w:val="99"/>
    <w:semiHidden/>
    <w:unhideWhenUsed/>
    <w:rsid w:val="00EE235B"/>
    <w:rPr>
      <w:vertAlign w:val="superscript"/>
    </w:rPr>
  </w:style>
  <w:style w:type="paragraph" w:styleId="Footer">
    <w:name w:val="footer"/>
    <w:basedOn w:val="Normal"/>
    <w:link w:val="FooterChar"/>
    <w:uiPriority w:val="99"/>
    <w:unhideWhenUsed/>
    <w:rsid w:val="00EE235B"/>
    <w:pPr>
      <w:tabs>
        <w:tab w:val="center" w:pos="4680"/>
        <w:tab w:val="right" w:pos="9360"/>
      </w:tabs>
      <w:spacing w:after="0"/>
    </w:pPr>
  </w:style>
  <w:style w:type="character" w:customStyle="1" w:styleId="FooterChar">
    <w:name w:val="Footer Char"/>
    <w:basedOn w:val="DefaultParagraphFont"/>
    <w:link w:val="Footer"/>
    <w:uiPriority w:val="99"/>
    <w:rsid w:val="00EE235B"/>
    <w:rPr>
      <w:rFonts w:ascii="Times New Roman" w:hAnsi="Times New Roman"/>
    </w:rPr>
  </w:style>
  <w:style w:type="paragraph" w:styleId="Header">
    <w:name w:val="header"/>
    <w:basedOn w:val="Normal"/>
    <w:link w:val="HeaderChar"/>
    <w:uiPriority w:val="99"/>
    <w:unhideWhenUsed/>
    <w:rsid w:val="00C552C8"/>
    <w:pPr>
      <w:tabs>
        <w:tab w:val="center" w:pos="4680"/>
        <w:tab w:val="right" w:pos="9360"/>
      </w:tabs>
      <w:spacing w:after="0"/>
    </w:pPr>
  </w:style>
  <w:style w:type="character" w:customStyle="1" w:styleId="HeaderChar">
    <w:name w:val="Header Char"/>
    <w:basedOn w:val="DefaultParagraphFont"/>
    <w:link w:val="Header"/>
    <w:uiPriority w:val="99"/>
    <w:rsid w:val="00C552C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1503</Words>
  <Characters>7838</Characters>
  <Application>Microsoft Office Word</Application>
  <DocSecurity>0</DocSecurity>
  <Lines>103</Lines>
  <Paragraphs>18</Paragraphs>
  <ScaleCrop>false</ScaleCrop>
  <Manager/>
  <Company/>
  <LinksUpToDate>false</LinksUpToDate>
  <CharactersWithSpaces>9381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2015-11-02T21:01:00Z</dcterms:created>
  <dcterms:modified xsi:type="dcterms:W3CDTF">2015-11-02T21:01:00Z</dcterms:modified>
  <cp:category> </cp:category>
  <cp:contentStatus> </cp:contentStatus>
</cp:coreProperties>
</file>