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69" w:rsidRPr="00526CCC" w:rsidRDefault="00F23C69" w:rsidP="00F37116">
      <w:pPr>
        <w:jc w:val="center"/>
      </w:pPr>
      <w:bookmarkStart w:id="0" w:name="_GoBack"/>
      <w:bookmarkEnd w:id="0"/>
      <w:r w:rsidRPr="00F37116">
        <w:rPr>
          <w:b/>
        </w:rPr>
        <w:t>Before</w:t>
      </w:r>
      <w:r w:rsidRPr="00526CCC">
        <w:t xml:space="preserve"> </w:t>
      </w:r>
      <w:r w:rsidRPr="00F37116">
        <w:rPr>
          <w:b/>
        </w:rPr>
        <w:t>the</w:t>
      </w:r>
    </w:p>
    <w:p w:rsidR="00F23C69" w:rsidRPr="00F37116" w:rsidRDefault="00F23C69" w:rsidP="00F37116">
      <w:pPr>
        <w:pStyle w:val="StyleBoldCentered"/>
        <w:rPr>
          <w:rFonts w:ascii="Times New Roman" w:hAnsi="Times New Roman"/>
          <w:b w:val="0"/>
          <w:caps w:val="0"/>
        </w:rPr>
      </w:pPr>
      <w:r w:rsidRPr="00F37116">
        <w:rPr>
          <w:rFonts w:ascii="Times New Roman" w:hAnsi="Times New Roman"/>
          <w:caps w:val="0"/>
        </w:rPr>
        <w:t>Federal Communications</w:t>
      </w:r>
      <w:r w:rsidRPr="00F37116">
        <w:rPr>
          <w:rFonts w:ascii="Times New Roman" w:hAnsi="Times New Roman"/>
          <w:b w:val="0"/>
          <w:caps w:val="0"/>
        </w:rPr>
        <w:t xml:space="preserve"> </w:t>
      </w:r>
      <w:r w:rsidRPr="00F37116">
        <w:rPr>
          <w:rFonts w:ascii="Times New Roman" w:hAnsi="Times New Roman"/>
          <w:caps w:val="0"/>
        </w:rPr>
        <w:t>Commission</w:t>
      </w:r>
    </w:p>
    <w:p w:rsidR="00F23C69" w:rsidRPr="00F37116" w:rsidRDefault="00F23C69" w:rsidP="00F37116">
      <w:pPr>
        <w:pStyle w:val="StyleBoldCentered"/>
        <w:rPr>
          <w:b w:val="0"/>
          <w:caps w:val="0"/>
        </w:rPr>
      </w:pPr>
      <w:r w:rsidRPr="00F37116">
        <w:rPr>
          <w:b w:val="0"/>
          <w:caps w:val="0"/>
        </w:rPr>
        <w:t>Washington, D.C. 20554</w:t>
      </w:r>
    </w:p>
    <w:p w:rsidR="00F23C69" w:rsidRDefault="00F23C69">
      <w:pPr>
        <w:tabs>
          <w:tab w:val="left" w:pos="-720"/>
        </w:tabs>
        <w:suppressAutoHyphens/>
        <w:spacing w:line="227" w:lineRule="auto"/>
        <w:rPr>
          <w:spacing w:val="-2"/>
          <w:szCs w:val="22"/>
        </w:rPr>
      </w:pPr>
    </w:p>
    <w:tbl>
      <w:tblPr>
        <w:tblW w:w="0" w:type="auto"/>
        <w:tblInd w:w="-72" w:type="dxa"/>
        <w:tblLayout w:type="fixed"/>
        <w:tblLook w:val="0000" w:firstRow="0" w:lastRow="0" w:firstColumn="0" w:lastColumn="0" w:noHBand="0" w:noVBand="0"/>
      </w:tblPr>
      <w:tblGrid>
        <w:gridCol w:w="72"/>
        <w:gridCol w:w="4698"/>
        <w:gridCol w:w="630"/>
        <w:gridCol w:w="4248"/>
      </w:tblGrid>
      <w:tr w:rsidR="00F37116" w:rsidTr="00F37116">
        <w:trPr>
          <w:gridBefore w:val="1"/>
          <w:wBefore w:w="72" w:type="dxa"/>
        </w:trPr>
        <w:tc>
          <w:tcPr>
            <w:tcW w:w="4698" w:type="dxa"/>
          </w:tcPr>
          <w:p w:rsidR="00F37116" w:rsidRDefault="00F37116" w:rsidP="003760C8">
            <w:pPr>
              <w:tabs>
                <w:tab w:val="center" w:pos="4680"/>
              </w:tabs>
              <w:suppressAutoHyphens/>
              <w:rPr>
                <w:spacing w:val="-2"/>
              </w:rPr>
            </w:pPr>
            <w:r>
              <w:rPr>
                <w:spacing w:val="-2"/>
              </w:rPr>
              <w:t>In re Application</w:t>
            </w:r>
            <w:r w:rsidR="00241BAF">
              <w:rPr>
                <w:spacing w:val="-2"/>
              </w:rPr>
              <w:t>s</w:t>
            </w:r>
            <w:r>
              <w:rPr>
                <w:spacing w:val="-2"/>
              </w:rPr>
              <w:t xml:space="preserve"> of</w:t>
            </w:r>
          </w:p>
          <w:p w:rsidR="00F37116" w:rsidRDefault="00F37116" w:rsidP="003760C8">
            <w:pPr>
              <w:tabs>
                <w:tab w:val="center" w:pos="4680"/>
              </w:tabs>
              <w:suppressAutoHyphens/>
              <w:rPr>
                <w:spacing w:val="-2"/>
              </w:rPr>
            </w:pPr>
          </w:p>
          <w:p w:rsidR="00F37116" w:rsidRDefault="00F37116" w:rsidP="003760C8">
            <w:pPr>
              <w:tabs>
                <w:tab w:val="center" w:pos="4680"/>
              </w:tabs>
              <w:suppressAutoHyphens/>
              <w:rPr>
                <w:spacing w:val="-2"/>
              </w:rPr>
            </w:pPr>
            <w:r>
              <w:rPr>
                <w:spacing w:val="-2"/>
              </w:rPr>
              <w:t>Hawaii Public Radio, Inc.</w:t>
            </w:r>
          </w:p>
          <w:p w:rsidR="00F37116" w:rsidRDefault="00F37116" w:rsidP="003760C8">
            <w:pPr>
              <w:tabs>
                <w:tab w:val="center" w:pos="4680"/>
              </w:tabs>
              <w:suppressAutoHyphens/>
              <w:rPr>
                <w:spacing w:val="-2"/>
              </w:rPr>
            </w:pPr>
            <w:r>
              <w:rPr>
                <w:spacing w:val="-2"/>
              </w:rPr>
              <w:t xml:space="preserve">for a New Noncommercial Educational </w:t>
            </w:r>
          </w:p>
          <w:p w:rsidR="00F37116" w:rsidRDefault="00F37116" w:rsidP="00F37116">
            <w:pPr>
              <w:tabs>
                <w:tab w:val="center" w:pos="4680"/>
              </w:tabs>
              <w:suppressAutoHyphens/>
              <w:rPr>
                <w:spacing w:val="-2"/>
              </w:rPr>
            </w:pPr>
            <w:r>
              <w:rPr>
                <w:spacing w:val="-2"/>
              </w:rPr>
              <w:t>FM Station at Kailua, Hawaii</w:t>
            </w:r>
          </w:p>
          <w:p w:rsidR="00526237" w:rsidRDefault="00526237" w:rsidP="00F37116">
            <w:pPr>
              <w:tabs>
                <w:tab w:val="center" w:pos="4680"/>
              </w:tabs>
              <w:suppressAutoHyphens/>
              <w:rPr>
                <w:spacing w:val="-2"/>
              </w:rPr>
            </w:pPr>
          </w:p>
          <w:p w:rsidR="00526237" w:rsidRDefault="00526237" w:rsidP="00F37116">
            <w:pPr>
              <w:tabs>
                <w:tab w:val="center" w:pos="4680"/>
              </w:tabs>
              <w:suppressAutoHyphens/>
              <w:rPr>
                <w:spacing w:val="-2"/>
              </w:rPr>
            </w:pPr>
            <w:r>
              <w:rPr>
                <w:spacing w:val="-2"/>
              </w:rPr>
              <w:t xml:space="preserve">Wren Communications, Inc. </w:t>
            </w:r>
          </w:p>
          <w:p w:rsidR="00526237" w:rsidRDefault="00526237" w:rsidP="00F37116">
            <w:pPr>
              <w:tabs>
                <w:tab w:val="center" w:pos="4680"/>
              </w:tabs>
              <w:suppressAutoHyphens/>
              <w:rPr>
                <w:spacing w:val="-2"/>
              </w:rPr>
            </w:pPr>
            <w:r>
              <w:rPr>
                <w:spacing w:val="-2"/>
              </w:rPr>
              <w:t xml:space="preserve">for a New Noncommercial Educational </w:t>
            </w:r>
          </w:p>
          <w:p w:rsidR="00526237" w:rsidRDefault="00526237" w:rsidP="00F37116">
            <w:pPr>
              <w:tabs>
                <w:tab w:val="center" w:pos="4680"/>
              </w:tabs>
              <w:suppressAutoHyphens/>
              <w:rPr>
                <w:spacing w:val="-2"/>
              </w:rPr>
            </w:pPr>
            <w:r>
              <w:rPr>
                <w:spacing w:val="-2"/>
              </w:rPr>
              <w:t>FM Station at Mountain View, Hawaii</w:t>
            </w:r>
          </w:p>
          <w:p w:rsidR="00526237" w:rsidRDefault="00526237" w:rsidP="00F37116">
            <w:pPr>
              <w:tabs>
                <w:tab w:val="center" w:pos="4680"/>
              </w:tabs>
              <w:suppressAutoHyphens/>
              <w:rPr>
                <w:spacing w:val="-2"/>
              </w:rPr>
            </w:pPr>
          </w:p>
          <w:p w:rsidR="00526237" w:rsidRDefault="00526237" w:rsidP="00F37116">
            <w:pPr>
              <w:tabs>
                <w:tab w:val="center" w:pos="4680"/>
              </w:tabs>
              <w:suppressAutoHyphens/>
              <w:rPr>
                <w:spacing w:val="-2"/>
              </w:rPr>
            </w:pPr>
            <w:r>
              <w:rPr>
                <w:spacing w:val="-2"/>
              </w:rPr>
              <w:t>Wren Communications, Inc.</w:t>
            </w:r>
          </w:p>
          <w:p w:rsidR="00526237" w:rsidRDefault="00526237" w:rsidP="00F37116">
            <w:pPr>
              <w:tabs>
                <w:tab w:val="center" w:pos="4680"/>
              </w:tabs>
              <w:suppressAutoHyphens/>
              <w:rPr>
                <w:spacing w:val="-2"/>
              </w:rPr>
            </w:pPr>
            <w:r>
              <w:rPr>
                <w:spacing w:val="-2"/>
              </w:rPr>
              <w:t>for a New Noncommercial Educational</w:t>
            </w:r>
          </w:p>
          <w:p w:rsidR="00526237" w:rsidRDefault="00526237" w:rsidP="00F37116">
            <w:pPr>
              <w:tabs>
                <w:tab w:val="center" w:pos="4680"/>
              </w:tabs>
              <w:suppressAutoHyphens/>
              <w:rPr>
                <w:spacing w:val="-2"/>
              </w:rPr>
            </w:pPr>
            <w:r>
              <w:rPr>
                <w:spacing w:val="-2"/>
              </w:rPr>
              <w:t>FM Station at Lahaina, Hawaii</w:t>
            </w:r>
          </w:p>
          <w:p w:rsidR="00526237" w:rsidRDefault="00526237" w:rsidP="00F37116">
            <w:pPr>
              <w:tabs>
                <w:tab w:val="center" w:pos="4680"/>
              </w:tabs>
              <w:suppressAutoHyphens/>
              <w:rPr>
                <w:spacing w:val="-2"/>
              </w:rPr>
            </w:pPr>
          </w:p>
          <w:p w:rsidR="00526237" w:rsidRDefault="00526237" w:rsidP="00F37116">
            <w:pPr>
              <w:tabs>
                <w:tab w:val="center" w:pos="4680"/>
              </w:tabs>
              <w:suppressAutoHyphens/>
              <w:rPr>
                <w:spacing w:val="-2"/>
              </w:rPr>
            </w:pPr>
            <w:r>
              <w:rPr>
                <w:spacing w:val="-2"/>
              </w:rPr>
              <w:t>Cedar Cove Broadcasting, Inc.</w:t>
            </w:r>
          </w:p>
          <w:p w:rsidR="00526237" w:rsidRDefault="00526237" w:rsidP="00F37116">
            <w:pPr>
              <w:tabs>
                <w:tab w:val="center" w:pos="4680"/>
              </w:tabs>
              <w:suppressAutoHyphens/>
              <w:rPr>
                <w:spacing w:val="-2"/>
              </w:rPr>
            </w:pPr>
            <w:r>
              <w:rPr>
                <w:spacing w:val="-2"/>
              </w:rPr>
              <w:t>for a New Noncommercial Educational</w:t>
            </w:r>
          </w:p>
          <w:p w:rsidR="00241BAF" w:rsidRDefault="00526237" w:rsidP="00F37116">
            <w:pPr>
              <w:tabs>
                <w:tab w:val="center" w:pos="4680"/>
              </w:tabs>
              <w:suppressAutoHyphens/>
              <w:rPr>
                <w:spacing w:val="-2"/>
              </w:rPr>
            </w:pPr>
            <w:r>
              <w:rPr>
                <w:spacing w:val="-2"/>
              </w:rPr>
              <w:t>FM Station at Kailua Kona, Hawaii</w:t>
            </w:r>
          </w:p>
          <w:p w:rsidR="00EB61FE" w:rsidRDefault="00EB61FE" w:rsidP="00F37116">
            <w:pPr>
              <w:tabs>
                <w:tab w:val="center" w:pos="4680"/>
              </w:tabs>
              <w:suppressAutoHyphens/>
              <w:rPr>
                <w:spacing w:val="-2"/>
              </w:rPr>
            </w:pPr>
          </w:p>
          <w:p w:rsidR="00EB61FE" w:rsidRDefault="00EB61FE" w:rsidP="00F37116">
            <w:pPr>
              <w:tabs>
                <w:tab w:val="center" w:pos="4680"/>
              </w:tabs>
              <w:suppressAutoHyphens/>
              <w:rPr>
                <w:spacing w:val="-2"/>
              </w:rPr>
            </w:pPr>
            <w:r>
              <w:rPr>
                <w:spacing w:val="-2"/>
              </w:rPr>
              <w:t>Kanu O Ka Aina Learning Ohana</w:t>
            </w:r>
          </w:p>
          <w:p w:rsidR="00EB61FE" w:rsidRDefault="00EB61FE" w:rsidP="00F37116">
            <w:pPr>
              <w:tabs>
                <w:tab w:val="center" w:pos="4680"/>
              </w:tabs>
              <w:suppressAutoHyphens/>
              <w:rPr>
                <w:spacing w:val="-2"/>
              </w:rPr>
            </w:pPr>
            <w:r>
              <w:rPr>
                <w:spacing w:val="-2"/>
              </w:rPr>
              <w:t>for a New Noncommercial Educational</w:t>
            </w:r>
          </w:p>
          <w:p w:rsidR="00EB61FE" w:rsidRPr="007115F7" w:rsidRDefault="00EB61FE" w:rsidP="00F37116">
            <w:pPr>
              <w:tabs>
                <w:tab w:val="center" w:pos="4680"/>
              </w:tabs>
              <w:suppressAutoHyphens/>
              <w:rPr>
                <w:spacing w:val="-2"/>
              </w:rPr>
            </w:pPr>
            <w:r>
              <w:rPr>
                <w:spacing w:val="-2"/>
              </w:rPr>
              <w:t>FM Station at Waimea, Hawaii</w:t>
            </w:r>
          </w:p>
        </w:tc>
        <w:tc>
          <w:tcPr>
            <w:tcW w:w="630" w:type="dxa"/>
          </w:tcPr>
          <w:p w:rsidR="00F37116" w:rsidRDefault="00F37116" w:rsidP="003760C8">
            <w:pPr>
              <w:tabs>
                <w:tab w:val="center" w:pos="4680"/>
              </w:tabs>
              <w:suppressAutoHyphens/>
              <w:rPr>
                <w:b/>
                <w:spacing w:val="-2"/>
              </w:rPr>
            </w:pPr>
            <w:r>
              <w:rPr>
                <w:b/>
                <w:spacing w:val="-2"/>
              </w:rPr>
              <w:t>)</w:t>
            </w:r>
          </w:p>
          <w:p w:rsidR="00F37116" w:rsidRDefault="00F37116" w:rsidP="003760C8">
            <w:pPr>
              <w:tabs>
                <w:tab w:val="center" w:pos="4680"/>
              </w:tabs>
              <w:suppressAutoHyphens/>
              <w:rPr>
                <w:b/>
                <w:spacing w:val="-2"/>
              </w:rPr>
            </w:pPr>
            <w:r>
              <w:rPr>
                <w:b/>
                <w:spacing w:val="-2"/>
              </w:rPr>
              <w:t>)</w:t>
            </w:r>
          </w:p>
          <w:p w:rsidR="00F37116" w:rsidRDefault="00F37116" w:rsidP="003760C8">
            <w:pPr>
              <w:tabs>
                <w:tab w:val="center" w:pos="4680"/>
              </w:tabs>
              <w:suppressAutoHyphens/>
              <w:rPr>
                <w:b/>
                <w:spacing w:val="-2"/>
              </w:rPr>
            </w:pPr>
            <w:r>
              <w:rPr>
                <w:b/>
                <w:spacing w:val="-2"/>
              </w:rPr>
              <w:t>)</w:t>
            </w:r>
          </w:p>
          <w:p w:rsidR="00F37116" w:rsidRDefault="00F37116" w:rsidP="003760C8">
            <w:pPr>
              <w:tabs>
                <w:tab w:val="center" w:pos="4680"/>
              </w:tabs>
              <w:suppressAutoHyphens/>
              <w:rPr>
                <w:b/>
                <w:spacing w:val="-2"/>
              </w:rPr>
            </w:pPr>
            <w:r>
              <w:rPr>
                <w:b/>
                <w:spacing w:val="-2"/>
              </w:rPr>
              <w:t>)</w:t>
            </w:r>
          </w:p>
          <w:p w:rsidR="00F37116" w:rsidRDefault="00F37116" w:rsidP="003760C8">
            <w:pPr>
              <w:tabs>
                <w:tab w:val="center" w:pos="4680"/>
              </w:tabs>
              <w:suppressAutoHyphens/>
              <w:rPr>
                <w:b/>
                <w:spacing w:val="-2"/>
              </w:rPr>
            </w:pPr>
            <w:r>
              <w:rPr>
                <w:b/>
                <w:spacing w:val="-2"/>
              </w:rPr>
              <w:t>)</w:t>
            </w:r>
          </w:p>
          <w:p w:rsidR="00241BAF" w:rsidRDefault="00241BAF" w:rsidP="003760C8">
            <w:pPr>
              <w:tabs>
                <w:tab w:val="center" w:pos="4680"/>
              </w:tabs>
              <w:suppressAutoHyphens/>
              <w:rPr>
                <w:b/>
                <w:spacing w:val="-2"/>
              </w:rPr>
            </w:pPr>
            <w:r>
              <w:rPr>
                <w:b/>
                <w:spacing w:val="-2"/>
              </w:rPr>
              <w:t>)</w:t>
            </w:r>
          </w:p>
          <w:p w:rsidR="00526237" w:rsidRDefault="00526237" w:rsidP="003760C8">
            <w:pPr>
              <w:tabs>
                <w:tab w:val="center" w:pos="4680"/>
              </w:tabs>
              <w:suppressAutoHyphens/>
              <w:rPr>
                <w:b/>
                <w:spacing w:val="-2"/>
              </w:rPr>
            </w:pPr>
            <w:r>
              <w:rPr>
                <w:b/>
                <w:spacing w:val="-2"/>
              </w:rPr>
              <w:t>)</w:t>
            </w:r>
          </w:p>
          <w:p w:rsidR="00526237" w:rsidRDefault="00526237" w:rsidP="003760C8">
            <w:pPr>
              <w:tabs>
                <w:tab w:val="center" w:pos="4680"/>
              </w:tabs>
              <w:suppressAutoHyphens/>
              <w:rPr>
                <w:b/>
                <w:spacing w:val="-2"/>
              </w:rPr>
            </w:pPr>
            <w:r>
              <w:rPr>
                <w:b/>
                <w:spacing w:val="-2"/>
              </w:rPr>
              <w:t>)</w:t>
            </w:r>
          </w:p>
          <w:p w:rsidR="00526237" w:rsidRDefault="00526237" w:rsidP="003760C8">
            <w:pPr>
              <w:tabs>
                <w:tab w:val="center" w:pos="4680"/>
              </w:tabs>
              <w:suppressAutoHyphens/>
              <w:rPr>
                <w:b/>
                <w:spacing w:val="-2"/>
              </w:rPr>
            </w:pPr>
            <w:r>
              <w:rPr>
                <w:b/>
                <w:spacing w:val="-2"/>
              </w:rPr>
              <w:t>)</w:t>
            </w:r>
          </w:p>
          <w:p w:rsidR="00526237" w:rsidRDefault="00526237" w:rsidP="003760C8">
            <w:pPr>
              <w:tabs>
                <w:tab w:val="center" w:pos="4680"/>
              </w:tabs>
              <w:suppressAutoHyphens/>
              <w:rPr>
                <w:b/>
                <w:spacing w:val="-2"/>
              </w:rPr>
            </w:pPr>
            <w:r>
              <w:rPr>
                <w:b/>
                <w:spacing w:val="-2"/>
              </w:rPr>
              <w:t>)</w:t>
            </w:r>
          </w:p>
          <w:p w:rsidR="00526237" w:rsidRDefault="00526237" w:rsidP="003760C8">
            <w:pPr>
              <w:tabs>
                <w:tab w:val="center" w:pos="4680"/>
              </w:tabs>
              <w:suppressAutoHyphens/>
              <w:rPr>
                <w:b/>
                <w:spacing w:val="-2"/>
              </w:rPr>
            </w:pPr>
            <w:r>
              <w:rPr>
                <w:b/>
                <w:spacing w:val="-2"/>
              </w:rPr>
              <w:t>)</w:t>
            </w:r>
          </w:p>
          <w:p w:rsidR="00526237" w:rsidRDefault="00526237" w:rsidP="003760C8">
            <w:pPr>
              <w:tabs>
                <w:tab w:val="center" w:pos="4680"/>
              </w:tabs>
              <w:suppressAutoHyphens/>
              <w:rPr>
                <w:b/>
                <w:spacing w:val="-2"/>
              </w:rPr>
            </w:pPr>
            <w:r>
              <w:rPr>
                <w:b/>
                <w:spacing w:val="-2"/>
              </w:rPr>
              <w:t>)</w:t>
            </w:r>
          </w:p>
          <w:p w:rsidR="00526237" w:rsidRDefault="00526237" w:rsidP="003760C8">
            <w:pPr>
              <w:tabs>
                <w:tab w:val="center" w:pos="4680"/>
              </w:tabs>
              <w:suppressAutoHyphens/>
              <w:rPr>
                <w:b/>
                <w:spacing w:val="-2"/>
              </w:rPr>
            </w:pPr>
            <w:r>
              <w:rPr>
                <w:b/>
                <w:spacing w:val="-2"/>
              </w:rPr>
              <w:t>)</w:t>
            </w:r>
          </w:p>
          <w:p w:rsidR="00526237" w:rsidRDefault="00526237" w:rsidP="003760C8">
            <w:pPr>
              <w:tabs>
                <w:tab w:val="center" w:pos="4680"/>
              </w:tabs>
              <w:suppressAutoHyphens/>
              <w:rPr>
                <w:b/>
                <w:spacing w:val="-2"/>
              </w:rPr>
            </w:pPr>
            <w:r>
              <w:rPr>
                <w:b/>
                <w:spacing w:val="-2"/>
              </w:rPr>
              <w:t>)</w:t>
            </w:r>
          </w:p>
          <w:p w:rsidR="00526237" w:rsidRDefault="00526237" w:rsidP="003760C8">
            <w:pPr>
              <w:tabs>
                <w:tab w:val="center" w:pos="4680"/>
              </w:tabs>
              <w:suppressAutoHyphens/>
              <w:rPr>
                <w:b/>
                <w:spacing w:val="-2"/>
              </w:rPr>
            </w:pPr>
            <w:r>
              <w:rPr>
                <w:b/>
                <w:spacing w:val="-2"/>
              </w:rPr>
              <w:t>)</w:t>
            </w:r>
          </w:p>
          <w:p w:rsidR="00241BAF" w:rsidRDefault="00526237" w:rsidP="00526237">
            <w:pPr>
              <w:tabs>
                <w:tab w:val="center" w:pos="4680"/>
              </w:tabs>
              <w:suppressAutoHyphens/>
              <w:rPr>
                <w:b/>
                <w:spacing w:val="-2"/>
              </w:rPr>
            </w:pPr>
            <w:r>
              <w:rPr>
                <w:b/>
                <w:spacing w:val="-2"/>
              </w:rPr>
              <w:t>)</w:t>
            </w:r>
            <w:r>
              <w:rPr>
                <w:b/>
                <w:spacing w:val="-2"/>
              </w:rPr>
              <w:br/>
              <w:t>)</w:t>
            </w:r>
          </w:p>
          <w:p w:rsidR="00EB61FE" w:rsidRDefault="00EB61FE" w:rsidP="00526237">
            <w:pPr>
              <w:tabs>
                <w:tab w:val="center" w:pos="4680"/>
              </w:tabs>
              <w:suppressAutoHyphens/>
              <w:rPr>
                <w:b/>
                <w:spacing w:val="-2"/>
              </w:rPr>
            </w:pPr>
            <w:r>
              <w:rPr>
                <w:b/>
                <w:spacing w:val="-2"/>
              </w:rPr>
              <w:t>)</w:t>
            </w:r>
          </w:p>
          <w:p w:rsidR="00EB61FE" w:rsidRDefault="00EB61FE" w:rsidP="00526237">
            <w:pPr>
              <w:tabs>
                <w:tab w:val="center" w:pos="4680"/>
              </w:tabs>
              <w:suppressAutoHyphens/>
              <w:rPr>
                <w:b/>
                <w:spacing w:val="-2"/>
              </w:rPr>
            </w:pPr>
            <w:r>
              <w:rPr>
                <w:b/>
                <w:spacing w:val="-2"/>
              </w:rPr>
              <w:t>)</w:t>
            </w:r>
          </w:p>
          <w:p w:rsidR="00EB61FE" w:rsidRDefault="00EB61FE" w:rsidP="00526237">
            <w:pPr>
              <w:tabs>
                <w:tab w:val="center" w:pos="4680"/>
              </w:tabs>
              <w:suppressAutoHyphens/>
              <w:rPr>
                <w:b/>
                <w:spacing w:val="-2"/>
              </w:rPr>
            </w:pPr>
            <w:r>
              <w:rPr>
                <w:b/>
                <w:spacing w:val="-2"/>
              </w:rPr>
              <w:t>)</w:t>
            </w:r>
          </w:p>
          <w:p w:rsidR="00EB61FE" w:rsidRPr="00755EA4" w:rsidRDefault="00EB61FE" w:rsidP="00526237">
            <w:pPr>
              <w:tabs>
                <w:tab w:val="center" w:pos="4680"/>
              </w:tabs>
              <w:suppressAutoHyphens/>
              <w:rPr>
                <w:b/>
                <w:spacing w:val="-2"/>
              </w:rPr>
            </w:pPr>
            <w:r>
              <w:rPr>
                <w:b/>
                <w:spacing w:val="-2"/>
              </w:rPr>
              <w:t>)</w:t>
            </w:r>
          </w:p>
        </w:tc>
        <w:tc>
          <w:tcPr>
            <w:tcW w:w="4248" w:type="dxa"/>
          </w:tcPr>
          <w:p w:rsidR="00F37116" w:rsidRDefault="00F37116" w:rsidP="003760C8">
            <w:pPr>
              <w:tabs>
                <w:tab w:val="center" w:pos="4680"/>
              </w:tabs>
              <w:suppressAutoHyphens/>
              <w:rPr>
                <w:spacing w:val="-2"/>
              </w:rPr>
            </w:pPr>
          </w:p>
          <w:p w:rsidR="00F37116" w:rsidRDefault="00F37116" w:rsidP="003760C8">
            <w:pPr>
              <w:pStyle w:val="TOAHeading"/>
              <w:tabs>
                <w:tab w:val="clear" w:pos="9360"/>
                <w:tab w:val="center" w:pos="4680"/>
              </w:tabs>
              <w:rPr>
                <w:spacing w:val="-2"/>
              </w:rPr>
            </w:pPr>
          </w:p>
          <w:p w:rsidR="00F37116" w:rsidRDefault="00F37116" w:rsidP="003760C8">
            <w:pPr>
              <w:tabs>
                <w:tab w:val="center" w:pos="4680"/>
              </w:tabs>
              <w:suppressAutoHyphens/>
              <w:rPr>
                <w:spacing w:val="-2"/>
              </w:rPr>
            </w:pPr>
            <w:r>
              <w:rPr>
                <w:spacing w:val="-2"/>
              </w:rPr>
              <w:t>File No. BNPED-20071018ANN</w:t>
            </w:r>
          </w:p>
          <w:p w:rsidR="00F37116" w:rsidRDefault="00F37116" w:rsidP="00F37116">
            <w:pPr>
              <w:tabs>
                <w:tab w:val="center" w:pos="4680"/>
              </w:tabs>
              <w:suppressAutoHyphens/>
              <w:rPr>
                <w:spacing w:val="-2"/>
              </w:rPr>
            </w:pPr>
            <w:r>
              <w:rPr>
                <w:spacing w:val="-2"/>
              </w:rPr>
              <w:t>Facility ID No. 173751</w:t>
            </w:r>
          </w:p>
          <w:p w:rsidR="00241BAF" w:rsidRDefault="00241BAF" w:rsidP="00F37116">
            <w:pPr>
              <w:tabs>
                <w:tab w:val="center" w:pos="4680"/>
              </w:tabs>
              <w:suppressAutoHyphens/>
              <w:rPr>
                <w:spacing w:val="-2"/>
              </w:rPr>
            </w:pPr>
          </w:p>
          <w:p w:rsidR="00526237" w:rsidRDefault="00526237" w:rsidP="00F37116">
            <w:pPr>
              <w:tabs>
                <w:tab w:val="center" w:pos="4680"/>
              </w:tabs>
              <w:suppressAutoHyphens/>
              <w:rPr>
                <w:spacing w:val="-2"/>
              </w:rPr>
            </w:pPr>
          </w:p>
          <w:p w:rsidR="00526237" w:rsidRDefault="00526237" w:rsidP="00F37116">
            <w:pPr>
              <w:tabs>
                <w:tab w:val="center" w:pos="4680"/>
              </w:tabs>
              <w:suppressAutoHyphens/>
              <w:rPr>
                <w:spacing w:val="-2"/>
              </w:rPr>
            </w:pPr>
            <w:r>
              <w:rPr>
                <w:spacing w:val="-2"/>
              </w:rPr>
              <w:t>File No. BNPED-20071022ATU</w:t>
            </w:r>
          </w:p>
          <w:p w:rsidR="00526237" w:rsidRDefault="00526237" w:rsidP="00526237">
            <w:pPr>
              <w:tabs>
                <w:tab w:val="center" w:pos="4680"/>
              </w:tabs>
              <w:suppressAutoHyphens/>
              <w:rPr>
                <w:spacing w:val="-2"/>
              </w:rPr>
            </w:pPr>
            <w:r>
              <w:rPr>
                <w:spacing w:val="-2"/>
              </w:rPr>
              <w:t xml:space="preserve">Facility ID No. </w:t>
            </w:r>
            <w:r w:rsidR="00E02751">
              <w:rPr>
                <w:spacing w:val="-2"/>
              </w:rPr>
              <w:t>176576</w:t>
            </w:r>
          </w:p>
          <w:p w:rsidR="00526237" w:rsidRDefault="00526237" w:rsidP="00F37116">
            <w:pPr>
              <w:tabs>
                <w:tab w:val="center" w:pos="4680"/>
              </w:tabs>
              <w:suppressAutoHyphens/>
              <w:rPr>
                <w:spacing w:val="-2"/>
              </w:rPr>
            </w:pPr>
          </w:p>
          <w:p w:rsidR="00526237" w:rsidRDefault="00526237" w:rsidP="00F37116">
            <w:pPr>
              <w:tabs>
                <w:tab w:val="center" w:pos="4680"/>
              </w:tabs>
              <w:suppressAutoHyphens/>
              <w:rPr>
                <w:spacing w:val="-2"/>
              </w:rPr>
            </w:pPr>
          </w:p>
          <w:p w:rsidR="00526237" w:rsidRDefault="00526237" w:rsidP="00F37116">
            <w:pPr>
              <w:tabs>
                <w:tab w:val="center" w:pos="4680"/>
              </w:tabs>
              <w:suppressAutoHyphens/>
              <w:rPr>
                <w:spacing w:val="-2"/>
              </w:rPr>
            </w:pPr>
            <w:r>
              <w:rPr>
                <w:spacing w:val="-2"/>
              </w:rPr>
              <w:t>File No. BNPED-20071022ATS</w:t>
            </w:r>
          </w:p>
          <w:p w:rsidR="00526237" w:rsidRDefault="00526237" w:rsidP="00526237">
            <w:pPr>
              <w:tabs>
                <w:tab w:val="center" w:pos="4680"/>
              </w:tabs>
              <w:suppressAutoHyphens/>
              <w:rPr>
                <w:spacing w:val="-2"/>
              </w:rPr>
            </w:pPr>
            <w:r>
              <w:rPr>
                <w:spacing w:val="-2"/>
              </w:rPr>
              <w:t xml:space="preserve">Facility ID No. </w:t>
            </w:r>
            <w:r w:rsidR="00E02751">
              <w:rPr>
                <w:spacing w:val="-2"/>
              </w:rPr>
              <w:t>176511</w:t>
            </w:r>
          </w:p>
          <w:p w:rsidR="00526237" w:rsidRDefault="00526237" w:rsidP="00F37116">
            <w:pPr>
              <w:tabs>
                <w:tab w:val="center" w:pos="4680"/>
              </w:tabs>
              <w:suppressAutoHyphens/>
              <w:rPr>
                <w:spacing w:val="-2"/>
              </w:rPr>
            </w:pPr>
          </w:p>
          <w:p w:rsidR="00526237" w:rsidRDefault="00526237" w:rsidP="00F37116">
            <w:pPr>
              <w:tabs>
                <w:tab w:val="center" w:pos="4680"/>
              </w:tabs>
              <w:suppressAutoHyphens/>
              <w:rPr>
                <w:spacing w:val="-2"/>
              </w:rPr>
            </w:pPr>
          </w:p>
          <w:p w:rsidR="00526237" w:rsidRDefault="00526237" w:rsidP="00F37116">
            <w:pPr>
              <w:tabs>
                <w:tab w:val="center" w:pos="4680"/>
              </w:tabs>
              <w:suppressAutoHyphens/>
              <w:rPr>
                <w:spacing w:val="-2"/>
              </w:rPr>
            </w:pPr>
            <w:r>
              <w:rPr>
                <w:spacing w:val="-2"/>
              </w:rPr>
              <w:t>File No. BNPED-20071018AAQ-</w:t>
            </w:r>
          </w:p>
          <w:p w:rsidR="00526237" w:rsidRDefault="00526237" w:rsidP="00526237">
            <w:pPr>
              <w:tabs>
                <w:tab w:val="center" w:pos="4680"/>
              </w:tabs>
              <w:suppressAutoHyphens/>
              <w:rPr>
                <w:spacing w:val="-2"/>
              </w:rPr>
            </w:pPr>
            <w:r>
              <w:rPr>
                <w:spacing w:val="-2"/>
              </w:rPr>
              <w:t xml:space="preserve">Facility ID No. </w:t>
            </w:r>
            <w:r w:rsidR="00DE59A8">
              <w:rPr>
                <w:spacing w:val="-2"/>
              </w:rPr>
              <w:t>175368</w:t>
            </w:r>
          </w:p>
          <w:p w:rsidR="00241BAF" w:rsidRDefault="00241BAF" w:rsidP="00F37116">
            <w:pPr>
              <w:tabs>
                <w:tab w:val="center" w:pos="4680"/>
              </w:tabs>
              <w:suppressAutoHyphens/>
              <w:rPr>
                <w:spacing w:val="-2"/>
              </w:rPr>
            </w:pPr>
          </w:p>
          <w:p w:rsidR="00EB61FE" w:rsidRDefault="00EB61FE" w:rsidP="00F37116">
            <w:pPr>
              <w:tabs>
                <w:tab w:val="center" w:pos="4680"/>
              </w:tabs>
              <w:suppressAutoHyphens/>
              <w:rPr>
                <w:spacing w:val="-2"/>
              </w:rPr>
            </w:pPr>
          </w:p>
          <w:p w:rsidR="00EB61FE" w:rsidRDefault="00EB61FE" w:rsidP="00F37116">
            <w:pPr>
              <w:tabs>
                <w:tab w:val="center" w:pos="4680"/>
              </w:tabs>
              <w:suppressAutoHyphens/>
              <w:rPr>
                <w:spacing w:val="-2"/>
              </w:rPr>
            </w:pPr>
            <w:r>
              <w:rPr>
                <w:spacing w:val="-2"/>
              </w:rPr>
              <w:t>File No. BNPED-20071022AAI</w:t>
            </w:r>
          </w:p>
          <w:p w:rsidR="00EB61FE" w:rsidRDefault="00EB61FE" w:rsidP="00F37116">
            <w:pPr>
              <w:tabs>
                <w:tab w:val="center" w:pos="4680"/>
              </w:tabs>
              <w:suppressAutoHyphens/>
              <w:rPr>
                <w:spacing w:val="-2"/>
              </w:rPr>
            </w:pPr>
            <w:r>
              <w:rPr>
                <w:spacing w:val="-2"/>
              </w:rPr>
              <w:t>Facility ID No. 176738</w:t>
            </w:r>
          </w:p>
        </w:tc>
      </w:tr>
      <w:tr w:rsidR="00F23C69" w:rsidRPr="00526CCC" w:rsidTr="00526237">
        <w:trPr>
          <w:trHeight w:val="80"/>
        </w:trPr>
        <w:tc>
          <w:tcPr>
            <w:tcW w:w="4770" w:type="dxa"/>
            <w:gridSpan w:val="2"/>
          </w:tcPr>
          <w:p w:rsidR="00F23C69" w:rsidRPr="00526CCC" w:rsidRDefault="00F23C69">
            <w:pPr>
              <w:tabs>
                <w:tab w:val="center" w:pos="4680"/>
              </w:tabs>
              <w:suppressAutoHyphens/>
              <w:rPr>
                <w:spacing w:val="-2"/>
                <w:szCs w:val="22"/>
              </w:rPr>
            </w:pPr>
          </w:p>
        </w:tc>
        <w:tc>
          <w:tcPr>
            <w:tcW w:w="630" w:type="dxa"/>
          </w:tcPr>
          <w:p w:rsidR="00F23C69" w:rsidRPr="00526CCC" w:rsidRDefault="00F23C69">
            <w:pPr>
              <w:tabs>
                <w:tab w:val="center" w:pos="4680"/>
              </w:tabs>
              <w:suppressAutoHyphens/>
              <w:rPr>
                <w:b/>
                <w:spacing w:val="-2"/>
                <w:szCs w:val="22"/>
              </w:rPr>
            </w:pPr>
          </w:p>
        </w:tc>
        <w:tc>
          <w:tcPr>
            <w:tcW w:w="4248" w:type="dxa"/>
          </w:tcPr>
          <w:p w:rsidR="00F23C69" w:rsidRPr="00526CCC" w:rsidRDefault="00F23C69">
            <w:pPr>
              <w:tabs>
                <w:tab w:val="center" w:pos="4680"/>
              </w:tabs>
              <w:suppressAutoHyphens/>
              <w:rPr>
                <w:spacing w:val="-2"/>
                <w:szCs w:val="22"/>
              </w:rPr>
            </w:pPr>
          </w:p>
        </w:tc>
      </w:tr>
    </w:tbl>
    <w:p w:rsidR="00F23C69" w:rsidRPr="00526CCC" w:rsidRDefault="00F23C69" w:rsidP="00F37116">
      <w:pPr>
        <w:pStyle w:val="StyleBoldCentered"/>
        <w:rPr>
          <w:b w:val="0"/>
          <w:kern w:val="0"/>
        </w:rPr>
      </w:pPr>
      <w:r w:rsidRPr="00526CCC">
        <w:rPr>
          <w:b w:val="0"/>
          <w:kern w:val="0"/>
        </w:rPr>
        <w:fldChar w:fldCharType="begin"/>
      </w:r>
      <w:r w:rsidRPr="00526CCC">
        <w:rPr>
          <w:b w:val="0"/>
          <w:kern w:val="0"/>
        </w:rPr>
        <w:instrText xml:space="preserve"> AUTOTEXTLIST  \* MERGEFORMAT </w:instrText>
      </w:r>
      <w:r w:rsidRPr="00526CCC">
        <w:rPr>
          <w:b w:val="0"/>
          <w:kern w:val="0"/>
        </w:rPr>
        <w:fldChar w:fldCharType="separate"/>
      </w:r>
      <w:r w:rsidRPr="00526CCC">
        <w:rPr>
          <w:b w:val="0"/>
          <w:kern w:val="0"/>
        </w:rPr>
        <w:t>MEMORANDUM OPINION AND ORDER</w:t>
      </w:r>
      <w:r w:rsidRPr="00526CCC">
        <w:rPr>
          <w:b w:val="0"/>
          <w:kern w:val="0"/>
        </w:rPr>
        <w:fldChar w:fldCharType="end"/>
      </w:r>
    </w:p>
    <w:p w:rsidR="00F23C69" w:rsidRPr="00526CCC" w:rsidRDefault="00F23C69">
      <w:pPr>
        <w:rPr>
          <w:b/>
          <w:kern w:val="0"/>
          <w:szCs w:val="22"/>
        </w:rPr>
      </w:pPr>
      <w:r w:rsidRPr="00526CCC">
        <w:rPr>
          <w:b/>
          <w:spacing w:val="-2"/>
          <w:kern w:val="0"/>
          <w:szCs w:val="22"/>
        </w:rPr>
        <w:t xml:space="preserve">                </w:t>
      </w:r>
    </w:p>
    <w:p w:rsidR="00F37116" w:rsidRDefault="00F37116" w:rsidP="00F37116">
      <w:pPr>
        <w:tabs>
          <w:tab w:val="left" w:pos="720"/>
          <w:tab w:val="right" w:pos="9360"/>
        </w:tabs>
        <w:suppressAutoHyphens/>
        <w:spacing w:line="227" w:lineRule="auto"/>
        <w:rPr>
          <w:spacing w:val="-2"/>
        </w:rPr>
      </w:pPr>
      <w:r>
        <w:rPr>
          <w:b/>
          <w:spacing w:val="-2"/>
        </w:rPr>
        <w:t xml:space="preserve">Adopted:  </w:t>
      </w:r>
      <w:r w:rsidR="005F1F4C">
        <w:rPr>
          <w:b/>
          <w:spacing w:val="-2"/>
        </w:rPr>
        <w:t>November 17, 2015</w:t>
      </w:r>
      <w:r>
        <w:rPr>
          <w:b/>
          <w:spacing w:val="-2"/>
        </w:rPr>
        <w:tab/>
        <w:t xml:space="preserve">Released:  </w:t>
      </w:r>
      <w:r w:rsidR="005F1F4C">
        <w:rPr>
          <w:b/>
          <w:spacing w:val="-2"/>
        </w:rPr>
        <w:t>November 18, 2015</w:t>
      </w:r>
    </w:p>
    <w:p w:rsidR="00F37116" w:rsidRDefault="00F37116" w:rsidP="00F37116"/>
    <w:p w:rsidR="00F23C69" w:rsidRPr="00526CCC" w:rsidRDefault="00F23C69">
      <w:pPr>
        <w:rPr>
          <w:kern w:val="0"/>
          <w:szCs w:val="22"/>
        </w:rPr>
      </w:pPr>
      <w:r w:rsidRPr="00526CCC">
        <w:rPr>
          <w:kern w:val="0"/>
          <w:szCs w:val="22"/>
        </w:rPr>
        <w:t xml:space="preserve">By the Commission: </w:t>
      </w:r>
    </w:p>
    <w:p w:rsidR="00F23C69" w:rsidRDefault="00F23C69">
      <w:pPr>
        <w:rPr>
          <w:kern w:val="0"/>
          <w:szCs w:val="22"/>
        </w:rPr>
      </w:pPr>
    </w:p>
    <w:p w:rsidR="00E65F2C" w:rsidRPr="00E65F2C" w:rsidRDefault="00CA2DE8" w:rsidP="00122783">
      <w:pPr>
        <w:pStyle w:val="ParaNum"/>
        <w:numPr>
          <w:ilvl w:val="0"/>
          <w:numId w:val="1"/>
        </w:numPr>
        <w:tabs>
          <w:tab w:val="clear" w:pos="3960"/>
          <w:tab w:val="num" w:pos="1440"/>
        </w:tabs>
        <w:ind w:left="0"/>
        <w:rPr>
          <w:color w:val="000000"/>
        </w:rPr>
      </w:pPr>
      <w:r>
        <w:t xml:space="preserve">We have before us </w:t>
      </w:r>
      <w:r w:rsidR="00F611FF">
        <w:t xml:space="preserve">Applications for Review </w:t>
      </w:r>
      <w:r w:rsidR="00A320CA">
        <w:t>filed by Wren Communications, Inc. (“Wren”)</w:t>
      </w:r>
      <w:r w:rsidR="00F62B70">
        <w:t>,</w:t>
      </w:r>
      <w:r w:rsidR="00A320CA">
        <w:t xml:space="preserve"> </w:t>
      </w:r>
      <w:r w:rsidR="00812626" w:rsidRPr="00526CCC">
        <w:t>Cedar Cove Broadcasting, Inc</w:t>
      </w:r>
      <w:r w:rsidR="00F23C69" w:rsidRPr="00526CCC">
        <w:t>.</w:t>
      </w:r>
      <w:r w:rsidR="00812626" w:rsidRPr="00526CCC">
        <w:t xml:space="preserve"> (“Cedar Cove”)</w:t>
      </w:r>
      <w:r w:rsidR="00F62B70">
        <w:t xml:space="preserve"> and Kanu O Ka Aina Learning Ohana (“Kanu”)</w:t>
      </w:r>
      <w:r w:rsidR="00812626" w:rsidRPr="00526CCC">
        <w:t>.</w:t>
      </w:r>
      <w:r w:rsidR="0013556B">
        <w:rPr>
          <w:rStyle w:val="FootnoteReference"/>
          <w:kern w:val="0"/>
          <w:szCs w:val="22"/>
        </w:rPr>
        <w:footnoteReference w:id="2"/>
      </w:r>
      <w:r w:rsidR="00F23C69" w:rsidRPr="00526CCC">
        <w:t xml:space="preserve">  </w:t>
      </w:r>
      <w:r w:rsidR="00E65F2C">
        <w:t>Wren and Cedar Cove challenge the Media Bureau’s (“Bureau”) dismissal of their applications</w:t>
      </w:r>
      <w:r w:rsidR="00A21FB7">
        <w:t xml:space="preserve"> for new noncommercial educational FM stations at Mountain View</w:t>
      </w:r>
      <w:r w:rsidR="00526237">
        <w:t xml:space="preserve"> and Lahaina,</w:t>
      </w:r>
      <w:r w:rsidR="00A21FB7">
        <w:t xml:space="preserve"> and Kailua Kona, Hawaii, respectively</w:t>
      </w:r>
      <w:r w:rsidR="00E65F2C">
        <w:t>.</w:t>
      </w:r>
      <w:r w:rsidR="00E65F2C" w:rsidRPr="00526CCC">
        <w:rPr>
          <w:rStyle w:val="FootnoteReference"/>
          <w:szCs w:val="22"/>
        </w:rPr>
        <w:footnoteReference w:id="3"/>
      </w:r>
      <w:r w:rsidR="00E65F2C">
        <w:t xml:space="preserve">  Cedar Cove also challenges the Bureau’s grant of an application (“HPR Application”) filed by Hawaii Public Radio, Inc. (“HPR”) for a new NCE FM station at Kailua, Hawaii.</w:t>
      </w:r>
      <w:r w:rsidR="00E65F2C" w:rsidRPr="00526CCC">
        <w:rPr>
          <w:rStyle w:val="FootnoteReference"/>
          <w:szCs w:val="22"/>
        </w:rPr>
        <w:footnoteReference w:id="4"/>
      </w:r>
      <w:r w:rsidR="00E65F2C">
        <w:t xml:space="preserve"> </w:t>
      </w:r>
      <w:r w:rsidR="00F62B70">
        <w:t>Finally, Kanu seeks review of the Bureau’s denial of its request for waiver of the Commission’s policy of granting only one application per group of mutually exclusive applications.</w:t>
      </w:r>
      <w:r w:rsidR="00F62B70">
        <w:rPr>
          <w:rStyle w:val="FootnoteReference"/>
        </w:rPr>
        <w:footnoteReference w:id="5"/>
      </w:r>
      <w:r w:rsidR="00E65F2C">
        <w:t xml:space="preserve"> </w:t>
      </w:r>
    </w:p>
    <w:p w:rsidR="002C3EE0" w:rsidRPr="002C3EE0" w:rsidRDefault="00E65F2C" w:rsidP="000573A8">
      <w:pPr>
        <w:pStyle w:val="ParaNum"/>
        <w:widowControl/>
        <w:numPr>
          <w:ilvl w:val="0"/>
          <w:numId w:val="1"/>
        </w:numPr>
        <w:tabs>
          <w:tab w:val="clear" w:pos="3960"/>
          <w:tab w:val="num" w:pos="1440"/>
        </w:tabs>
        <w:ind w:left="0"/>
        <w:rPr>
          <w:kern w:val="0"/>
          <w:szCs w:val="22"/>
        </w:rPr>
      </w:pPr>
      <w:r>
        <w:t>Wren, Cedar Cove</w:t>
      </w:r>
      <w:r w:rsidR="00CC7158">
        <w:t>, Kanu</w:t>
      </w:r>
      <w:r>
        <w:t xml:space="preserve"> and HPR</w:t>
      </w:r>
      <w:r w:rsidRPr="00526CCC">
        <w:t xml:space="preserve"> are </w:t>
      </w:r>
      <w:r w:rsidR="00CC7158">
        <w:t>four</w:t>
      </w:r>
      <w:r w:rsidR="00CC7158" w:rsidRPr="00526CCC">
        <w:t xml:space="preserve"> </w:t>
      </w:r>
      <w:r w:rsidRPr="00526CCC">
        <w:t xml:space="preserve">of the applicants that filed a total of 57 mutually exclusive applications for </w:t>
      </w:r>
      <w:r>
        <w:t>new</w:t>
      </w:r>
      <w:r w:rsidRPr="00526CCC">
        <w:t xml:space="preserve"> </w:t>
      </w:r>
      <w:r>
        <w:t>NCE</w:t>
      </w:r>
      <w:r w:rsidRPr="00526CCC">
        <w:t xml:space="preserve"> FM station</w:t>
      </w:r>
      <w:r w:rsidR="000A2AA9">
        <w:t>s at</w:t>
      </w:r>
      <w:r w:rsidRPr="00526CCC">
        <w:t xml:space="preserve"> different communities in Hawaii.  </w:t>
      </w:r>
      <w:r>
        <w:t xml:space="preserve">These 57 </w:t>
      </w:r>
      <w:r>
        <w:lastRenderedPageBreak/>
        <w:t>applications were designated NCE MX Group 510 (“Group 510”).</w:t>
      </w:r>
      <w:r w:rsidRPr="002C3EE0">
        <w:rPr>
          <w:rStyle w:val="FootnoteReference"/>
          <w:szCs w:val="22"/>
        </w:rPr>
        <w:t xml:space="preserve"> </w:t>
      </w:r>
      <w:r w:rsidRPr="009110EE">
        <w:rPr>
          <w:rStyle w:val="FootnoteReference"/>
          <w:szCs w:val="22"/>
        </w:rPr>
        <w:footnoteReference w:id="6"/>
      </w:r>
      <w:r>
        <w:t xml:space="preserve">  P</w:t>
      </w:r>
      <w:r w:rsidRPr="002C3EE0">
        <w:rPr>
          <w:szCs w:val="22"/>
        </w:rPr>
        <w:t>ursuant to established procedures,</w:t>
      </w:r>
      <w:r w:rsidRPr="00BA3F25">
        <w:rPr>
          <w:rStyle w:val="FootnoteReference"/>
          <w:szCs w:val="22"/>
        </w:rPr>
        <w:footnoteReference w:id="7"/>
      </w:r>
      <w:r w:rsidRPr="002C3EE0">
        <w:rPr>
          <w:szCs w:val="22"/>
        </w:rPr>
        <w:t xml:space="preserve"> the Bureau determined the HPR Application was entitled to a dispositive </w:t>
      </w:r>
      <w:r w:rsidR="000B7EDC">
        <w:rPr>
          <w:szCs w:val="22"/>
        </w:rPr>
        <w:t xml:space="preserve">fair distribution </w:t>
      </w:r>
      <w:r w:rsidRPr="002C3EE0">
        <w:rPr>
          <w:szCs w:val="22"/>
        </w:rPr>
        <w:t>preference under Section 307(b) of the Communications Act of 1934, as amended (“Act”).</w:t>
      </w:r>
      <w:r w:rsidRPr="00BA3F25">
        <w:rPr>
          <w:rStyle w:val="FootnoteReference"/>
          <w:szCs w:val="22"/>
        </w:rPr>
        <w:footnoteReference w:id="8"/>
      </w:r>
      <w:r w:rsidRPr="002C3EE0">
        <w:rPr>
          <w:szCs w:val="22"/>
        </w:rPr>
        <w:t xml:space="preserve">  T</w:t>
      </w:r>
      <w:r w:rsidRPr="00526CCC">
        <w:t>he Bureau</w:t>
      </w:r>
      <w:r w:rsidRPr="002C3EE0">
        <w:rPr>
          <w:i/>
        </w:rPr>
        <w:t xml:space="preserve"> </w:t>
      </w:r>
      <w:r>
        <w:t>designated</w:t>
      </w:r>
      <w:r w:rsidRPr="00526CCC">
        <w:t xml:space="preserve"> HPR as the tentative selectee in Group 510</w:t>
      </w:r>
      <w:r w:rsidR="002C3EE0">
        <w:t>.</w:t>
      </w:r>
      <w:r w:rsidRPr="00526CCC">
        <w:rPr>
          <w:rStyle w:val="FootnoteReference"/>
          <w:szCs w:val="22"/>
        </w:rPr>
        <w:footnoteReference w:id="9"/>
      </w:r>
      <w:r w:rsidR="002C3EE0">
        <w:t xml:space="preserve">  </w:t>
      </w:r>
      <w:r w:rsidR="00F611FF">
        <w:t>It</w:t>
      </w:r>
      <w:r w:rsidR="002C3EE0">
        <w:t xml:space="preserve"> later granted the HPR Application, after </w:t>
      </w:r>
      <w:r w:rsidR="000B7EDC">
        <w:t>rejecting</w:t>
      </w:r>
      <w:r w:rsidR="002C3EE0">
        <w:t xml:space="preserve"> as moot Cedar Cove’s argument that the HPR Application failed to comply with</w:t>
      </w:r>
      <w:r w:rsidR="002C3EE0" w:rsidRPr="00526CCC">
        <w:t xml:space="preserve"> Section 73.525 of the </w:t>
      </w:r>
      <w:r w:rsidR="002C3EE0">
        <w:t xml:space="preserve">Commission’s </w:t>
      </w:r>
      <w:r w:rsidR="002C3EE0" w:rsidRPr="00526CCC">
        <w:t>Rules</w:t>
      </w:r>
      <w:r w:rsidR="002C3EE0">
        <w:t xml:space="preserve"> (“Rules”).</w:t>
      </w:r>
      <w:r w:rsidR="002C3EE0" w:rsidRPr="00526CCC">
        <w:rPr>
          <w:rStyle w:val="FootnoteReference"/>
          <w:szCs w:val="22"/>
        </w:rPr>
        <w:footnoteReference w:id="10"/>
      </w:r>
      <w:r w:rsidR="002C3EE0">
        <w:t xml:space="preserve">  Pursuant to the Commission’s policy of granting only one application per group of mutually exclusive applications,</w:t>
      </w:r>
      <w:r w:rsidR="00F611FF">
        <w:rPr>
          <w:rStyle w:val="FootnoteReference"/>
        </w:rPr>
        <w:footnoteReference w:id="11"/>
      </w:r>
      <w:r w:rsidR="002C3EE0">
        <w:t xml:space="preserve"> the Bureau dismissed the other 56 applications in Group 510.</w:t>
      </w:r>
      <w:r w:rsidR="00B814EE">
        <w:rPr>
          <w:rStyle w:val="FootnoteReference"/>
        </w:rPr>
        <w:footnoteReference w:id="12"/>
      </w:r>
      <w:r w:rsidR="00C93FCA">
        <w:t xml:space="preserve"> </w:t>
      </w:r>
    </w:p>
    <w:p w:rsidR="000B7EDC" w:rsidRPr="00F611FF" w:rsidRDefault="00342FA0" w:rsidP="000B7EDC">
      <w:pPr>
        <w:pStyle w:val="ParaNum"/>
        <w:numPr>
          <w:ilvl w:val="0"/>
          <w:numId w:val="1"/>
        </w:numPr>
        <w:tabs>
          <w:tab w:val="clear" w:pos="3960"/>
          <w:tab w:val="num" w:pos="1440"/>
        </w:tabs>
        <w:ind w:left="0"/>
        <w:rPr>
          <w:snapToGrid/>
          <w:color w:val="010101"/>
          <w:kern w:val="0"/>
        </w:rPr>
      </w:pPr>
      <w:r>
        <w:rPr>
          <w:kern w:val="0"/>
          <w:szCs w:val="22"/>
        </w:rPr>
        <w:t>On review</w:t>
      </w:r>
      <w:r w:rsidR="002C3EE0" w:rsidRPr="006B55A2">
        <w:rPr>
          <w:kern w:val="0"/>
          <w:szCs w:val="22"/>
        </w:rPr>
        <w:t xml:space="preserve">, Cedar Cove </w:t>
      </w:r>
      <w:r w:rsidR="000B7EDC" w:rsidRPr="006B55A2">
        <w:rPr>
          <w:kern w:val="0"/>
          <w:szCs w:val="22"/>
        </w:rPr>
        <w:t xml:space="preserve">asserts that the Bureau erred </w:t>
      </w:r>
      <w:r w:rsidR="006B55A2" w:rsidRPr="006B55A2">
        <w:rPr>
          <w:kern w:val="0"/>
          <w:szCs w:val="22"/>
        </w:rPr>
        <w:t>i</w:t>
      </w:r>
      <w:r w:rsidR="000B7EDC" w:rsidRPr="00526CCC">
        <w:t xml:space="preserve">n </w:t>
      </w:r>
      <w:r w:rsidR="000B7EDC">
        <w:t xml:space="preserve">finding its Section 73.525 argument moot and </w:t>
      </w:r>
      <w:r w:rsidR="000B7EDC" w:rsidRPr="00526CCC">
        <w:t>failing to</w:t>
      </w:r>
      <w:r w:rsidR="00632203" w:rsidRPr="00632203">
        <w:t xml:space="preserve"> </w:t>
      </w:r>
      <w:r w:rsidR="00632203">
        <w:t>articulate a satisfactory explanation for its actions</w:t>
      </w:r>
      <w:r w:rsidR="000B7EDC" w:rsidRPr="00526CCC">
        <w:t>.</w:t>
      </w:r>
      <w:r w:rsidR="000B7EDC" w:rsidRPr="00526CCC">
        <w:rPr>
          <w:rStyle w:val="FootnoteReference"/>
          <w:kern w:val="0"/>
          <w:szCs w:val="22"/>
        </w:rPr>
        <w:footnoteReference w:id="13"/>
      </w:r>
      <w:r w:rsidR="00632203">
        <w:t xml:space="preserve">  Cedar Cove </w:t>
      </w:r>
      <w:r w:rsidR="00B0629D">
        <w:t>maintains</w:t>
      </w:r>
      <w:r w:rsidR="00632203">
        <w:t xml:space="preserve"> that </w:t>
      </w:r>
      <w:r w:rsidR="00CD45F9">
        <w:t xml:space="preserve">the HPR </w:t>
      </w:r>
      <w:r w:rsidR="006C40E9">
        <w:t>A</w:t>
      </w:r>
      <w:r w:rsidR="00CD45F9">
        <w:t xml:space="preserve">pplication </w:t>
      </w:r>
      <w:r w:rsidR="00984A44">
        <w:t xml:space="preserve">should have been dismissed for its failure to </w:t>
      </w:r>
      <w:r w:rsidR="00CD45F9">
        <w:t>comply with Section 73.525 TV Channel 6 requirements</w:t>
      </w:r>
      <w:r w:rsidR="002F0357">
        <w:t>.</w:t>
      </w:r>
      <w:r w:rsidR="002F0357">
        <w:rPr>
          <w:rStyle w:val="FootnoteReference"/>
        </w:rPr>
        <w:footnoteReference w:id="14"/>
      </w:r>
      <w:r w:rsidR="000B7EDC">
        <w:t xml:space="preserve">  </w:t>
      </w:r>
      <w:r w:rsidR="00DC534F">
        <w:t>The Commission previously rejected this same argument.</w:t>
      </w:r>
      <w:r w:rsidR="00DC534F">
        <w:rPr>
          <w:rStyle w:val="FootnoteReference"/>
        </w:rPr>
        <w:footnoteReference w:id="15"/>
      </w:r>
      <w:r w:rsidR="00DC534F">
        <w:t xml:space="preserve">  </w:t>
      </w:r>
      <w:r w:rsidR="000B7EDC">
        <w:t>As the Bureau noted, the affected television Channel 6 station</w:t>
      </w:r>
      <w:r w:rsidR="000B7EDC" w:rsidRPr="00526CCC">
        <w:t xml:space="preserve"> had terminated analog broadcasts on </w:t>
      </w:r>
      <w:r w:rsidR="000B7EDC">
        <w:t>that channel</w:t>
      </w:r>
      <w:r w:rsidR="008D43F9">
        <w:t xml:space="preserve"> during the pendency of HPR’s application and prior to its grant</w:t>
      </w:r>
      <w:r w:rsidR="000B7EDC" w:rsidRPr="00526CCC">
        <w:t>.</w:t>
      </w:r>
      <w:r w:rsidR="00DE60E3">
        <w:rPr>
          <w:rStyle w:val="FootnoteReference"/>
        </w:rPr>
        <w:footnoteReference w:id="16"/>
      </w:r>
      <w:r w:rsidR="000B7EDC" w:rsidRPr="00526CCC">
        <w:t xml:space="preserve">  </w:t>
      </w:r>
      <w:r w:rsidR="000B7EDC">
        <w:t xml:space="preserve">In addition, starting October 27, 2009, </w:t>
      </w:r>
      <w:r w:rsidR="00147B0D">
        <w:t xml:space="preserve">a new processing policy became effective under which </w:t>
      </w:r>
      <w:r w:rsidR="000B7EDC" w:rsidRPr="006B55A2">
        <w:rPr>
          <w:snapToGrid/>
        </w:rPr>
        <w:t xml:space="preserve">NCE FM applicants </w:t>
      </w:r>
      <w:r w:rsidR="00147B0D">
        <w:rPr>
          <w:snapToGrid/>
        </w:rPr>
        <w:t xml:space="preserve">were </w:t>
      </w:r>
      <w:r w:rsidR="000B7EDC" w:rsidRPr="006B55A2">
        <w:rPr>
          <w:snapToGrid/>
        </w:rPr>
        <w:t xml:space="preserve">no longer </w:t>
      </w:r>
      <w:r w:rsidR="00147B0D">
        <w:rPr>
          <w:snapToGrid/>
        </w:rPr>
        <w:t xml:space="preserve">required to </w:t>
      </w:r>
      <w:r w:rsidR="000B7EDC" w:rsidRPr="006B55A2">
        <w:rPr>
          <w:snapToGrid/>
        </w:rPr>
        <w:t>“demonstrate compliance</w:t>
      </w:r>
      <w:r w:rsidR="000B7EDC" w:rsidRPr="006B55A2">
        <w:rPr>
          <w:snapToGrid/>
          <w:color w:val="010101"/>
        </w:rPr>
        <w:t xml:space="preserve"> with Section 73.525 of the Commission’s Rules, with regard to an ‘affected’ TV Channel 6 station which has ceased analog transmissions and which has a new DTV channel </w:t>
      </w:r>
      <w:r w:rsidR="000B7EDC" w:rsidRPr="006B55A2">
        <w:rPr>
          <w:snapToGrid/>
          <w:color w:val="010101"/>
        </w:rPr>
        <w:lastRenderedPageBreak/>
        <w:t>assignment</w:t>
      </w:r>
      <w:r w:rsidR="000B7EDC" w:rsidRPr="006B55A2">
        <w:rPr>
          <w:color w:val="000080"/>
        </w:rPr>
        <w:t>.”</w:t>
      </w:r>
      <w:r w:rsidR="000B7EDC" w:rsidRPr="00526CCC">
        <w:rPr>
          <w:rStyle w:val="FootnoteReference"/>
          <w:szCs w:val="22"/>
        </w:rPr>
        <w:footnoteReference w:id="17"/>
      </w:r>
      <w:r w:rsidR="006C40E9">
        <w:rPr>
          <w:color w:val="000080"/>
        </w:rPr>
        <w:t xml:space="preserve">  </w:t>
      </w:r>
      <w:r w:rsidR="001B5FD8" w:rsidRPr="00816EC4">
        <w:t>Accordingly</w:t>
      </w:r>
      <w:r w:rsidR="006C40E9">
        <w:t xml:space="preserve">, even if the Application had been dismissed, HPR could have cured the defect by requesting reconsideration and reinstatement </w:t>
      </w:r>
      <w:r w:rsidR="006C40E9">
        <w:rPr>
          <w:i/>
          <w:iCs/>
        </w:rPr>
        <w:t>nunc pro tunc</w:t>
      </w:r>
      <w:r w:rsidR="006C40E9">
        <w:t xml:space="preserve"> within 30 days of dismissal.</w:t>
      </w:r>
      <w:r w:rsidR="006C40E9">
        <w:rPr>
          <w:rStyle w:val="FootnoteReference"/>
        </w:rPr>
        <w:footnoteReference w:id="18"/>
      </w:r>
      <w:r w:rsidR="007005C2">
        <w:t xml:space="preserve">  It is reasonable to decline to take adverse action based solely on an application's earlier acceptability, when subsequent events--</w:t>
      </w:r>
      <w:r w:rsidR="007005C2" w:rsidRPr="00E2378F">
        <w:rPr>
          <w:i/>
        </w:rPr>
        <w:t>i.e.</w:t>
      </w:r>
      <w:r w:rsidR="007005C2">
        <w:t>, a change in applicable law and the relevant TV Channel 6 station’s termination of analog operations on Channel 6 --resulted in a fully acceptable application at the time of processing.</w:t>
      </w:r>
      <w:r w:rsidR="007005C2">
        <w:rPr>
          <w:rStyle w:val="FootnoteReference"/>
        </w:rPr>
        <w:footnoteReference w:id="19"/>
      </w:r>
      <w:r w:rsidR="00244932">
        <w:rPr>
          <w:color w:val="000080"/>
        </w:rPr>
        <w:t xml:space="preserve">   </w:t>
      </w:r>
      <w:r w:rsidR="001B0DDF">
        <w:rPr>
          <w:color w:val="000080"/>
        </w:rPr>
        <w:t xml:space="preserve">   </w:t>
      </w:r>
      <w:r w:rsidR="008D43F9">
        <w:rPr>
          <w:color w:val="000080"/>
        </w:rPr>
        <w:t xml:space="preserve"> </w:t>
      </w:r>
      <w:r w:rsidR="00377161">
        <w:rPr>
          <w:color w:val="000080"/>
        </w:rPr>
        <w:t xml:space="preserve"> </w:t>
      </w:r>
      <w:r w:rsidR="006E5ED9">
        <w:rPr>
          <w:color w:val="000080"/>
        </w:rPr>
        <w:t xml:space="preserve">  </w:t>
      </w:r>
      <w:r w:rsidR="000B7EDC" w:rsidRPr="006B55A2">
        <w:rPr>
          <w:color w:val="000080"/>
        </w:rPr>
        <w:t xml:space="preserve">  </w:t>
      </w:r>
    </w:p>
    <w:p w:rsidR="002C3EE0" w:rsidRPr="00CB4A30" w:rsidRDefault="00342FA0" w:rsidP="004C4E63">
      <w:pPr>
        <w:pStyle w:val="ParaNum"/>
        <w:widowControl/>
        <w:numPr>
          <w:ilvl w:val="0"/>
          <w:numId w:val="1"/>
        </w:numPr>
        <w:tabs>
          <w:tab w:val="clear" w:pos="3960"/>
          <w:tab w:val="num" w:pos="1440"/>
        </w:tabs>
        <w:ind w:left="0"/>
        <w:rPr>
          <w:rStyle w:val="documentbody1"/>
          <w:rFonts w:ascii="Times New Roman" w:hAnsi="Times New Roman"/>
          <w:kern w:val="0"/>
          <w:sz w:val="22"/>
          <w:szCs w:val="22"/>
          <w:shd w:val="clear" w:color="auto" w:fill="auto"/>
        </w:rPr>
      </w:pPr>
      <w:r>
        <w:t xml:space="preserve">In addition, </w:t>
      </w:r>
      <w:r w:rsidR="002C3EE0">
        <w:t xml:space="preserve">Cedar Cove </w:t>
      </w:r>
      <w:r w:rsidR="00DE60E3">
        <w:t>and Wren both urge</w:t>
      </w:r>
      <w:r w:rsidR="002C3EE0">
        <w:t xml:space="preserve"> us to reverse </w:t>
      </w:r>
      <w:r w:rsidR="006B55A2">
        <w:t>the</w:t>
      </w:r>
      <w:r w:rsidR="00DE60E3">
        <w:t xml:space="preserve"> Commission</w:t>
      </w:r>
      <w:r w:rsidR="006B55A2">
        <w:t xml:space="preserve"> policy barring the grant of more than one application per group of mutually exclusive applications</w:t>
      </w:r>
      <w:r w:rsidR="005631E7">
        <w:t xml:space="preserve"> and to grant their applications for noncommercial educational stations as secondary grantees</w:t>
      </w:r>
      <w:r w:rsidR="002C3EE0" w:rsidRPr="002C3EE0">
        <w:rPr>
          <w:snapToGrid/>
        </w:rPr>
        <w:t>.</w:t>
      </w:r>
      <w:r w:rsidR="002C3EE0" w:rsidRPr="00526CCC">
        <w:rPr>
          <w:rStyle w:val="FootnoteReference"/>
          <w:snapToGrid/>
          <w:kern w:val="0"/>
          <w:szCs w:val="22"/>
        </w:rPr>
        <w:footnoteReference w:id="20"/>
      </w:r>
      <w:r w:rsidR="002C3EE0" w:rsidRPr="002C3EE0">
        <w:rPr>
          <w:snapToGrid/>
        </w:rPr>
        <w:t xml:space="preserve">  </w:t>
      </w:r>
      <w:r w:rsidR="005631E7">
        <w:rPr>
          <w:snapToGrid/>
        </w:rPr>
        <w:t>Specifically, they argue that failure to allow additional grants conflicts with the Commission’s mandate under Section 307(b) of the Act and is inconsistent with the Commission’s practice of allowing settlement agreements that can result in multiple grants.</w:t>
      </w:r>
      <w:r w:rsidR="005631E7">
        <w:rPr>
          <w:rStyle w:val="FootnoteReference"/>
          <w:snapToGrid/>
        </w:rPr>
        <w:footnoteReference w:id="21"/>
      </w:r>
      <w:r w:rsidR="005631E7">
        <w:rPr>
          <w:snapToGrid/>
        </w:rPr>
        <w:t xml:space="preserve">  They further argue that allowing additional grants would place only a “minor burden” on agency staff.</w:t>
      </w:r>
      <w:r w:rsidR="005631E7">
        <w:rPr>
          <w:rStyle w:val="FootnoteReference"/>
          <w:snapToGrid/>
        </w:rPr>
        <w:footnoteReference w:id="22"/>
      </w:r>
      <w:r w:rsidR="005631E7">
        <w:rPr>
          <w:snapToGrid/>
        </w:rPr>
        <w:t xml:space="preserve"> </w:t>
      </w:r>
      <w:r w:rsidR="002C3EE0" w:rsidRPr="002C3EE0">
        <w:rPr>
          <w:snapToGrid/>
        </w:rPr>
        <w:t xml:space="preserve">We </w:t>
      </w:r>
      <w:r w:rsidR="00DC534F">
        <w:rPr>
          <w:snapToGrid/>
        </w:rPr>
        <w:t xml:space="preserve">recently </w:t>
      </w:r>
      <w:r w:rsidR="005631E7">
        <w:rPr>
          <w:snapToGrid/>
        </w:rPr>
        <w:t xml:space="preserve">considered </w:t>
      </w:r>
      <w:r w:rsidR="00106AA1">
        <w:rPr>
          <w:snapToGrid/>
        </w:rPr>
        <w:t>a number of challenges to this policy</w:t>
      </w:r>
      <w:r w:rsidR="005631E7">
        <w:rPr>
          <w:snapToGrid/>
        </w:rPr>
        <w:t>, including arguments almost identical to those raised by Wren and Cedar Cove</w:t>
      </w:r>
      <w:r w:rsidR="00DC534F">
        <w:rPr>
          <w:snapToGrid/>
        </w:rPr>
        <w:t>.</w:t>
      </w:r>
      <w:r w:rsidR="00DC534F">
        <w:rPr>
          <w:rStyle w:val="FootnoteReference"/>
          <w:snapToGrid/>
        </w:rPr>
        <w:footnoteReference w:id="23"/>
      </w:r>
      <w:r w:rsidR="00DC534F">
        <w:rPr>
          <w:snapToGrid/>
        </w:rPr>
        <w:t xml:space="preserve">  </w:t>
      </w:r>
      <w:r w:rsidR="005631E7">
        <w:rPr>
          <w:snapToGrid/>
        </w:rPr>
        <w:t>For the same reasons the Commission previously rejected those arguments, we are again rejecting them here.</w:t>
      </w:r>
      <w:r w:rsidR="005631E7">
        <w:rPr>
          <w:rStyle w:val="FootnoteReference"/>
          <w:snapToGrid/>
        </w:rPr>
        <w:footnoteReference w:id="24"/>
      </w:r>
      <w:r w:rsidR="005631E7">
        <w:rPr>
          <w:snapToGrid/>
        </w:rPr>
        <w:t xml:space="preserve">  The One Grant policy was adopted pursuant to notice and comment procedures.</w:t>
      </w:r>
      <w:r w:rsidR="00816EC4">
        <w:rPr>
          <w:rStyle w:val="FootnoteReference"/>
          <w:snapToGrid/>
        </w:rPr>
        <w:footnoteReference w:id="25"/>
      </w:r>
      <w:r w:rsidR="00B20C0C">
        <w:rPr>
          <w:snapToGrid/>
        </w:rPr>
        <w:t xml:space="preserve"> </w:t>
      </w:r>
      <w:r w:rsidR="002266CF">
        <w:rPr>
          <w:snapToGrid/>
        </w:rPr>
        <w:t xml:space="preserve"> </w:t>
      </w:r>
      <w:r w:rsidR="005631E7">
        <w:rPr>
          <w:snapToGrid/>
        </w:rPr>
        <w:t xml:space="preserve">Thus, any </w:t>
      </w:r>
      <w:r w:rsidR="002C3EE0" w:rsidRPr="00526CCC">
        <w:t>suggested revisions to that policy</w:t>
      </w:r>
      <w:r w:rsidR="002C3EE0">
        <w:t xml:space="preserve"> </w:t>
      </w:r>
      <w:r w:rsidR="002C3EE0" w:rsidRPr="002C3EE0">
        <w:rPr>
          <w:rStyle w:val="documentbody1"/>
          <w:rFonts w:ascii="Times New Roman" w:hAnsi="Times New Roman"/>
          <w:color w:val="000000"/>
          <w:sz w:val="22"/>
          <w:szCs w:val="22"/>
        </w:rPr>
        <w:t xml:space="preserve">are more appropriately </w:t>
      </w:r>
      <w:r w:rsidR="005631E7">
        <w:rPr>
          <w:rStyle w:val="documentbody1"/>
          <w:rFonts w:ascii="Times New Roman" w:hAnsi="Times New Roman"/>
          <w:color w:val="000000"/>
          <w:sz w:val="22"/>
          <w:szCs w:val="22"/>
        </w:rPr>
        <w:t xml:space="preserve">considered </w:t>
      </w:r>
      <w:r w:rsidR="002C3EE0" w:rsidRPr="002C3EE0">
        <w:rPr>
          <w:rStyle w:val="documentbody1"/>
          <w:rFonts w:ascii="Times New Roman" w:hAnsi="Times New Roman"/>
          <w:color w:val="000000"/>
          <w:sz w:val="22"/>
          <w:szCs w:val="22"/>
        </w:rPr>
        <w:t>in</w:t>
      </w:r>
      <w:r w:rsidR="0057463A">
        <w:rPr>
          <w:rStyle w:val="documentbody1"/>
          <w:rFonts w:ascii="Times New Roman" w:hAnsi="Times New Roman"/>
          <w:color w:val="000000"/>
          <w:sz w:val="22"/>
          <w:szCs w:val="22"/>
        </w:rPr>
        <w:t xml:space="preserve"> the context of</w:t>
      </w:r>
      <w:r w:rsidR="002C3EE0" w:rsidRPr="002C3EE0">
        <w:rPr>
          <w:rStyle w:val="documentbody1"/>
          <w:rFonts w:ascii="Times New Roman" w:hAnsi="Times New Roman"/>
          <w:color w:val="000000"/>
          <w:sz w:val="22"/>
          <w:szCs w:val="22"/>
        </w:rPr>
        <w:t xml:space="preserve"> a </w:t>
      </w:r>
      <w:r w:rsidR="005631E7">
        <w:rPr>
          <w:rStyle w:val="documentbody1"/>
          <w:rFonts w:ascii="Times New Roman" w:hAnsi="Times New Roman"/>
          <w:color w:val="000000"/>
          <w:sz w:val="22"/>
          <w:szCs w:val="22"/>
        </w:rPr>
        <w:t xml:space="preserve">notice and comment </w:t>
      </w:r>
      <w:r w:rsidR="002C3EE0" w:rsidRPr="002C3EE0">
        <w:rPr>
          <w:rStyle w:val="documentbody1"/>
          <w:rFonts w:ascii="Times New Roman" w:hAnsi="Times New Roman"/>
          <w:color w:val="000000"/>
          <w:sz w:val="22"/>
          <w:szCs w:val="22"/>
        </w:rPr>
        <w:t>rulemaking</w:t>
      </w:r>
      <w:r w:rsidR="005631E7">
        <w:rPr>
          <w:rStyle w:val="documentbody1"/>
          <w:rFonts w:ascii="Times New Roman" w:hAnsi="Times New Roman"/>
          <w:color w:val="000000"/>
          <w:sz w:val="22"/>
          <w:szCs w:val="22"/>
        </w:rPr>
        <w:t xml:space="preserve"> proceeding</w:t>
      </w:r>
      <w:r w:rsidR="002C3EE0" w:rsidRPr="002C3EE0">
        <w:rPr>
          <w:rStyle w:val="documentbody1"/>
          <w:rFonts w:ascii="Times New Roman" w:hAnsi="Times New Roman"/>
          <w:color w:val="000000"/>
          <w:sz w:val="22"/>
          <w:szCs w:val="22"/>
        </w:rPr>
        <w:t xml:space="preserve"> rather than in a fact-specific adjudicatory proceeding such as this.</w:t>
      </w:r>
      <w:r w:rsidR="002C3EE0" w:rsidRPr="00526CCC">
        <w:rPr>
          <w:rStyle w:val="FootnoteReference"/>
          <w:color w:val="000000"/>
          <w:szCs w:val="22"/>
        </w:rPr>
        <w:footnoteReference w:id="26"/>
      </w:r>
      <w:r w:rsidR="002C3EE0" w:rsidRPr="002C3EE0">
        <w:rPr>
          <w:rStyle w:val="documentbody1"/>
          <w:rFonts w:ascii="Times New Roman" w:hAnsi="Times New Roman"/>
          <w:color w:val="000000"/>
          <w:sz w:val="22"/>
          <w:szCs w:val="22"/>
        </w:rPr>
        <w:t xml:space="preserve">  </w:t>
      </w:r>
    </w:p>
    <w:p w:rsidR="004022BF" w:rsidRPr="00626969" w:rsidRDefault="004022BF" w:rsidP="004022BF">
      <w:pPr>
        <w:pStyle w:val="ParaNum"/>
        <w:widowControl/>
        <w:numPr>
          <w:ilvl w:val="0"/>
          <w:numId w:val="1"/>
        </w:numPr>
        <w:tabs>
          <w:tab w:val="clear" w:pos="3960"/>
          <w:tab w:val="num" w:pos="1440"/>
        </w:tabs>
        <w:ind w:left="0"/>
        <w:rPr>
          <w:rStyle w:val="documentbody1"/>
          <w:rFonts w:ascii="Times New Roman" w:hAnsi="Times New Roman"/>
          <w:kern w:val="0"/>
          <w:sz w:val="22"/>
          <w:szCs w:val="22"/>
          <w:shd w:val="clear" w:color="auto" w:fill="auto"/>
        </w:rPr>
      </w:pPr>
      <w:r>
        <w:t>Finally, Kanu seeks review of the Bureau’s denial of its request for waiver of that policy.</w:t>
      </w:r>
      <w:r w:rsidR="00C73C36">
        <w:rPr>
          <w:rStyle w:val="FootnoteReference"/>
        </w:rPr>
        <w:footnoteReference w:id="27"/>
      </w:r>
      <w:r>
        <w:t xml:space="preserve">  Specifically, Kanu argues that the Bureau erred in finding that concerns about administrative efficiency weighed against grant of its waiver request and in concluding that Kanu had not demonstrated the existence of any unique circumstances which might justify grant of its request.  </w:t>
      </w:r>
      <w:r w:rsidRPr="00595BF9">
        <w:t xml:space="preserve">Upon review of </w:t>
      </w:r>
      <w:r>
        <w:t>Kanu’s arguments</w:t>
      </w:r>
      <w:r w:rsidRPr="00595BF9">
        <w:t xml:space="preserve"> and the entire record</w:t>
      </w:r>
      <w:r>
        <w:t>,</w:t>
      </w:r>
      <w:r w:rsidRPr="00595BF9">
        <w:t xml:space="preserve"> we </w:t>
      </w:r>
      <w:r>
        <w:t>conclude that Kanu has failed to demonstrate that the Bureau erred.</w:t>
      </w:r>
      <w:r w:rsidR="008061F9">
        <w:rPr>
          <w:rStyle w:val="FootnoteReference"/>
        </w:rPr>
        <w:footnoteReference w:id="28"/>
      </w:r>
      <w:r>
        <w:t xml:space="preserve">  </w:t>
      </w:r>
      <w:r w:rsidRPr="00595BF9">
        <w:t xml:space="preserve">We thus uphold the Bureau’s decision for the reasons stated in the </w:t>
      </w:r>
      <w:r w:rsidRPr="006B74E6">
        <w:rPr>
          <w:i/>
        </w:rPr>
        <w:t>Waiver Letter.</w:t>
      </w:r>
      <w:r w:rsidRPr="00E05226">
        <w:rPr>
          <w:rStyle w:val="FootnoteReference"/>
        </w:rPr>
        <w:footnoteReference w:id="29"/>
      </w:r>
    </w:p>
    <w:p w:rsidR="00122783" w:rsidRDefault="006B55A2" w:rsidP="006B74E6">
      <w:pPr>
        <w:pStyle w:val="ParaNum"/>
        <w:numPr>
          <w:ilvl w:val="0"/>
          <w:numId w:val="1"/>
        </w:numPr>
        <w:tabs>
          <w:tab w:val="clear" w:pos="3960"/>
          <w:tab w:val="num" w:pos="1440"/>
        </w:tabs>
        <w:ind w:left="0"/>
      </w:pPr>
      <w:r>
        <w:t>Ac</w:t>
      </w:r>
      <w:r w:rsidR="00F23C69" w:rsidRPr="00526CCC">
        <w:t xml:space="preserve">cordingly, </w:t>
      </w:r>
      <w:r w:rsidR="00053E83">
        <w:t>IT IS ORDERED that</w:t>
      </w:r>
      <w:r>
        <w:t xml:space="preserve">, pursuant to Section 5(c)(5) of the Communications Act of 1934, as amended, </w:t>
      </w:r>
      <w:r w:rsidR="00C73C36">
        <w:t>47 U.S.C. § 155(c)(5)</w:t>
      </w:r>
      <w:r w:rsidR="00190B6A">
        <w:t xml:space="preserve">, </w:t>
      </w:r>
      <w:r>
        <w:t xml:space="preserve">and Sections 1.115(c) </w:t>
      </w:r>
      <w:r w:rsidR="00832EE0">
        <w:t xml:space="preserve">and (g) </w:t>
      </w:r>
      <w:r>
        <w:t>of the Commission’s rules,</w:t>
      </w:r>
      <w:r w:rsidR="00190B6A">
        <w:t xml:space="preserve"> </w:t>
      </w:r>
      <w:r w:rsidR="00C73C36">
        <w:t>47 C.F.R. §§ 1.115(c) and (g)</w:t>
      </w:r>
      <w:r w:rsidR="00190B6A">
        <w:t>,</w:t>
      </w:r>
      <w:r w:rsidR="00053E83">
        <w:t xml:space="preserve"> the Application</w:t>
      </w:r>
      <w:r w:rsidR="005D43CD">
        <w:t>s</w:t>
      </w:r>
      <w:r w:rsidR="00053E83">
        <w:t xml:space="preserve"> for Review filed by Wren Communications, Inc. </w:t>
      </w:r>
      <w:r w:rsidR="005D43CD">
        <w:t xml:space="preserve">and Cedar Cove Broadcasting, Inc. </w:t>
      </w:r>
      <w:r w:rsidR="00053E83">
        <w:t xml:space="preserve">on May 14, 2010, </w:t>
      </w:r>
      <w:r w:rsidR="005D43CD">
        <w:t>ARE</w:t>
      </w:r>
      <w:r w:rsidR="00053E83">
        <w:t xml:space="preserve"> DENIED</w:t>
      </w:r>
      <w:r w:rsidR="00832EE0">
        <w:t>, and the Application for Review filed by Kanu O Ka Aina Learning Ohana on September 9, 2015, IS DISMISSED IN PART AND OTHERWISE DENIED</w:t>
      </w:r>
      <w:r w:rsidR="00053E83">
        <w:t>.</w:t>
      </w:r>
      <w:r>
        <w:t xml:space="preserve">  </w:t>
      </w:r>
      <w:r w:rsidR="00053E83">
        <w:t>IT IS FURTHER ORDERED that the Motion to Strike filed by Hawaii Public Radio, Inc. on July 6, 2010, IS DISMISSED AS MOOT.</w:t>
      </w:r>
    </w:p>
    <w:p w:rsidR="00416C35" w:rsidRDefault="00416C35" w:rsidP="00792ED9">
      <w:r>
        <w:tab/>
      </w:r>
      <w:r>
        <w:tab/>
      </w:r>
      <w:r>
        <w:tab/>
      </w:r>
      <w:r>
        <w:tab/>
      </w:r>
      <w:r>
        <w:tab/>
      </w:r>
      <w:r>
        <w:tab/>
        <w:t>FEDERAL COMMUNICATIONS COMMISSION</w:t>
      </w:r>
    </w:p>
    <w:p w:rsidR="00416C35" w:rsidRDefault="00416C35" w:rsidP="00792ED9"/>
    <w:p w:rsidR="00416C35" w:rsidRDefault="00416C35" w:rsidP="00792ED9"/>
    <w:p w:rsidR="00416C35" w:rsidRDefault="00416C35" w:rsidP="00792ED9"/>
    <w:p w:rsidR="00416C35" w:rsidRDefault="00416C35" w:rsidP="00792ED9">
      <w:r>
        <w:tab/>
      </w:r>
      <w:r>
        <w:tab/>
      </w:r>
      <w:r>
        <w:tab/>
      </w:r>
      <w:r>
        <w:tab/>
      </w:r>
      <w:r>
        <w:tab/>
      </w:r>
      <w:r>
        <w:tab/>
        <w:t>Marlene H. Dortch</w:t>
      </w:r>
    </w:p>
    <w:p w:rsidR="00526CCC" w:rsidRPr="00526CCC" w:rsidRDefault="00416C35">
      <w:pPr>
        <w:rPr>
          <w:szCs w:val="22"/>
        </w:rPr>
      </w:pPr>
      <w:r>
        <w:tab/>
      </w:r>
      <w:r>
        <w:tab/>
      </w:r>
      <w:r>
        <w:tab/>
      </w:r>
      <w:r>
        <w:tab/>
      </w:r>
      <w:r>
        <w:tab/>
      </w:r>
      <w:r>
        <w:tab/>
        <w:t>Secretary</w:t>
      </w:r>
    </w:p>
    <w:p w:rsidR="005B20CC" w:rsidRPr="00526CCC" w:rsidRDefault="005B20CC">
      <w:pPr>
        <w:rPr>
          <w:szCs w:val="22"/>
        </w:rPr>
      </w:pPr>
    </w:p>
    <w:sectPr w:rsidR="005B20CC" w:rsidRPr="00526CCC" w:rsidSect="00D02C3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E6C" w:rsidRDefault="007E1E6C">
      <w:pPr>
        <w:spacing w:line="20" w:lineRule="exact"/>
      </w:pPr>
    </w:p>
  </w:endnote>
  <w:endnote w:type="continuationSeparator" w:id="0">
    <w:p w:rsidR="007E1E6C" w:rsidRDefault="007E1E6C">
      <w:r>
        <w:t xml:space="preserve"> </w:t>
      </w:r>
    </w:p>
  </w:endnote>
  <w:endnote w:type="continuationNotice" w:id="1">
    <w:p w:rsidR="007E1E6C" w:rsidRDefault="007E1E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C5" w:rsidRDefault="009D46C5">
    <w:pPr>
      <w:pStyle w:val="Footer"/>
      <w:framePr w:wrap="around" w:vAnchor="text" w:hAnchor="margin" w:xAlign="center" w:y="1"/>
    </w:pPr>
    <w:r>
      <w:fldChar w:fldCharType="begin"/>
    </w:r>
    <w:r>
      <w:instrText xml:space="preserve">PAGE  </w:instrText>
    </w:r>
    <w:r>
      <w:fldChar w:fldCharType="end"/>
    </w:r>
  </w:p>
  <w:p w:rsidR="009D46C5" w:rsidRDefault="009D4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C5" w:rsidRDefault="009D46C5">
    <w:pPr>
      <w:pStyle w:val="Footer"/>
      <w:framePr w:wrap="around" w:vAnchor="text" w:hAnchor="margin" w:xAlign="center" w:y="1"/>
    </w:pPr>
    <w:r>
      <w:fldChar w:fldCharType="begin"/>
    </w:r>
    <w:r>
      <w:instrText xml:space="preserve">PAGE  </w:instrText>
    </w:r>
    <w:r>
      <w:fldChar w:fldCharType="separate"/>
    </w:r>
    <w:r w:rsidR="008A3105">
      <w:rPr>
        <w:noProof/>
      </w:rPr>
      <w:t>2</w:t>
    </w:r>
    <w:r>
      <w:fldChar w:fldCharType="end"/>
    </w:r>
  </w:p>
  <w:p w:rsidR="009D46C5" w:rsidRDefault="009D46C5" w:rsidP="00341E0D">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C5" w:rsidRDefault="009D46C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E6C" w:rsidRDefault="007E1E6C">
      <w:r>
        <w:separator/>
      </w:r>
    </w:p>
  </w:footnote>
  <w:footnote w:type="continuationSeparator" w:id="0">
    <w:p w:rsidR="007E1E6C" w:rsidRDefault="007E1E6C">
      <w:pPr>
        <w:rPr>
          <w:sz w:val="20"/>
        </w:rPr>
      </w:pPr>
      <w:r>
        <w:rPr>
          <w:sz w:val="20"/>
        </w:rPr>
        <w:t xml:space="preserve">(Continued from previous page)  </w:t>
      </w:r>
      <w:r>
        <w:rPr>
          <w:sz w:val="20"/>
        </w:rPr>
        <w:separator/>
      </w:r>
    </w:p>
  </w:footnote>
  <w:footnote w:type="continuationNotice" w:id="1">
    <w:p w:rsidR="007E1E6C" w:rsidRDefault="007E1E6C">
      <w:pPr>
        <w:jc w:val="right"/>
        <w:rPr>
          <w:sz w:val="20"/>
        </w:rPr>
      </w:pPr>
      <w:r>
        <w:rPr>
          <w:sz w:val="20"/>
        </w:rPr>
        <w:t>(continued….)</w:t>
      </w:r>
    </w:p>
  </w:footnote>
  <w:footnote w:id="2">
    <w:p w:rsidR="009D46C5" w:rsidRPr="002C3DF8" w:rsidRDefault="009D46C5" w:rsidP="0013556B">
      <w:pPr>
        <w:pStyle w:val="FootnoteText"/>
        <w:rPr>
          <w:b/>
        </w:rPr>
      </w:pPr>
      <w:r w:rsidRPr="006F107D">
        <w:rPr>
          <w:rStyle w:val="FootnoteReference"/>
        </w:rPr>
        <w:footnoteRef/>
      </w:r>
      <w:r w:rsidRPr="006F107D">
        <w:t xml:space="preserve"> </w:t>
      </w:r>
      <w:r>
        <w:t>HPR</w:t>
      </w:r>
      <w:r w:rsidRPr="006F107D">
        <w:t xml:space="preserve"> opposed the Cedar Cove </w:t>
      </w:r>
      <w:r>
        <w:t>AFR on May 24, 2010</w:t>
      </w:r>
      <w:r w:rsidRPr="006F107D">
        <w:t xml:space="preserve">.  </w:t>
      </w:r>
      <w:r>
        <w:t xml:space="preserve">Cedar Cove </w:t>
      </w:r>
      <w:r w:rsidR="00AB543B">
        <w:t xml:space="preserve">filed a Reply </w:t>
      </w:r>
      <w:r w:rsidR="00274A25">
        <w:t>to Opposition to Application for Review (“Reply”)</w:t>
      </w:r>
      <w:r w:rsidR="00AB543B">
        <w:t xml:space="preserve"> </w:t>
      </w:r>
      <w:r>
        <w:t xml:space="preserve">on June 9, 2010.  HPR then filed a </w:t>
      </w:r>
      <w:r w:rsidRPr="006F107D">
        <w:t>Motion to Strike</w:t>
      </w:r>
      <w:r w:rsidR="00AB543B">
        <w:t xml:space="preserve"> (“Motion”)</w:t>
      </w:r>
      <w:r w:rsidRPr="006F107D">
        <w:t xml:space="preserve"> portions of the Reply on July 6, 2010.</w:t>
      </w:r>
      <w:r>
        <w:t xml:space="preserve">  </w:t>
      </w:r>
    </w:p>
  </w:footnote>
  <w:footnote w:id="3">
    <w:p w:rsidR="009D46C5" w:rsidRPr="006F107D" w:rsidRDefault="009D46C5" w:rsidP="00E65F2C">
      <w:pPr>
        <w:pStyle w:val="FootnoteText"/>
        <w:rPr>
          <w:b/>
        </w:rPr>
      </w:pPr>
      <w:r w:rsidRPr="006F107D">
        <w:rPr>
          <w:rStyle w:val="FootnoteReference"/>
        </w:rPr>
        <w:footnoteRef/>
      </w:r>
      <w:r w:rsidRPr="006F107D">
        <w:t xml:space="preserve"> </w:t>
      </w:r>
      <w:r w:rsidRPr="00A44B95">
        <w:rPr>
          <w:i/>
        </w:rPr>
        <w:t>Broadcast Actions,</w:t>
      </w:r>
      <w:r>
        <w:t xml:space="preserve"> Public Notice,</w:t>
      </w:r>
      <w:r w:rsidRPr="006F107D">
        <w:t xml:space="preserve"> Report No. 47112 (</w:t>
      </w:r>
      <w:r>
        <w:t xml:space="preserve">MB </w:t>
      </w:r>
      <w:r w:rsidRPr="006F107D">
        <w:t xml:space="preserve">Nov. 16, 2009).  </w:t>
      </w:r>
    </w:p>
  </w:footnote>
  <w:footnote w:id="4">
    <w:p w:rsidR="009D46C5" w:rsidRPr="004858D9" w:rsidRDefault="009D46C5" w:rsidP="00E65F2C">
      <w:pPr>
        <w:pStyle w:val="FootnoteText"/>
        <w:rPr>
          <w:b/>
        </w:rPr>
      </w:pPr>
      <w:r w:rsidRPr="006F107D">
        <w:rPr>
          <w:rStyle w:val="FootnoteReference"/>
        </w:rPr>
        <w:footnoteRef/>
      </w:r>
      <w:r w:rsidRPr="006F107D">
        <w:t xml:space="preserve"> </w:t>
      </w:r>
      <w:r w:rsidRPr="006F107D">
        <w:rPr>
          <w:i/>
        </w:rPr>
        <w:t>Hawaii Public Radio, Inc.</w:t>
      </w:r>
      <w:r w:rsidRPr="006F107D">
        <w:t>, Letter, 25 FCC Rcd 3697 (MB 2010) (“</w:t>
      </w:r>
      <w:r>
        <w:rPr>
          <w:i/>
        </w:rPr>
        <w:t>Letter</w:t>
      </w:r>
      <w:r w:rsidRPr="006F107D">
        <w:rPr>
          <w:i/>
        </w:rPr>
        <w:t xml:space="preserve"> Decision</w:t>
      </w:r>
      <w:r w:rsidRPr="006F107D">
        <w:t>”).</w:t>
      </w:r>
      <w:r>
        <w:t xml:space="preserve">  </w:t>
      </w:r>
    </w:p>
  </w:footnote>
  <w:footnote w:id="5">
    <w:p w:rsidR="009D46C5" w:rsidRPr="00F62B70" w:rsidRDefault="009D46C5">
      <w:pPr>
        <w:pStyle w:val="FootnoteText"/>
      </w:pPr>
      <w:r>
        <w:rPr>
          <w:rStyle w:val="FootnoteReference"/>
        </w:rPr>
        <w:footnoteRef/>
      </w:r>
      <w:r>
        <w:t xml:space="preserve"> </w:t>
      </w:r>
      <w:r>
        <w:rPr>
          <w:i/>
        </w:rPr>
        <w:t>Kanu O Ka Aina Learning Ohana</w:t>
      </w:r>
      <w:r>
        <w:t>, Letter (MB Aug. 5, 2015) (</w:t>
      </w:r>
      <w:r>
        <w:rPr>
          <w:i/>
        </w:rPr>
        <w:t>“Waiver Decision</w:t>
      </w:r>
      <w:r>
        <w:t>”).</w:t>
      </w:r>
    </w:p>
  </w:footnote>
  <w:footnote w:id="6">
    <w:p w:rsidR="009D46C5" w:rsidRPr="005C35AC" w:rsidRDefault="009D46C5" w:rsidP="00E65F2C">
      <w:pPr>
        <w:pStyle w:val="FootnoteText"/>
      </w:pPr>
      <w:r w:rsidRPr="005C35AC">
        <w:rPr>
          <w:rStyle w:val="FootnoteReference"/>
        </w:rPr>
        <w:footnoteRef/>
      </w:r>
      <w:r w:rsidRPr="005C35AC">
        <w:t xml:space="preserve"> </w:t>
      </w:r>
      <w:r w:rsidRPr="005C35AC">
        <w:rPr>
          <w:i/>
        </w:rPr>
        <w:t>See Media Bureau Identifies Groups of Mutually Exclusive Applications Submitted in the October 2007 Filing Window for Noncommercial Educational FM Stations</w:t>
      </w:r>
      <w:r w:rsidRPr="005C35AC">
        <w:t>, Public Notice, 23 FCC Rcd 14730 (MB 2008).</w:t>
      </w:r>
    </w:p>
  </w:footnote>
  <w:footnote w:id="7">
    <w:p w:rsidR="009D46C5" w:rsidRPr="00B6441D" w:rsidRDefault="009D46C5" w:rsidP="00E65F2C">
      <w:pPr>
        <w:pStyle w:val="FootnoteText"/>
      </w:pPr>
      <w:r w:rsidRPr="00B6441D">
        <w:rPr>
          <w:rStyle w:val="FootnoteReference"/>
        </w:rPr>
        <w:footnoteRef/>
      </w:r>
      <w:r w:rsidRPr="00B6441D">
        <w:t xml:space="preserve"> </w:t>
      </w:r>
      <w:r w:rsidRPr="00B6441D">
        <w:rPr>
          <w:i/>
        </w:rPr>
        <w:t xml:space="preserve">See </w:t>
      </w:r>
      <w:r w:rsidRPr="00B6441D">
        <w:t xml:space="preserve">47 C.F.R. § 73.7002 (procedures for selecting among mutually exclusive applicants for stations proposing </w:t>
      </w:r>
      <w:r>
        <w:t>to serve different communities)</w:t>
      </w:r>
      <w:r w:rsidRPr="00B6441D">
        <w:t xml:space="preserve">.  </w:t>
      </w:r>
    </w:p>
  </w:footnote>
  <w:footnote w:id="8">
    <w:p w:rsidR="009D46C5" w:rsidRPr="00D75ECB" w:rsidRDefault="009D46C5" w:rsidP="00E65F2C">
      <w:pPr>
        <w:pStyle w:val="FootnoteText"/>
        <w:rPr>
          <w:b/>
        </w:rPr>
      </w:pPr>
      <w:r w:rsidRPr="00B6441D">
        <w:rPr>
          <w:rStyle w:val="FootnoteReference"/>
        </w:rPr>
        <w:footnoteRef/>
      </w:r>
      <w:r w:rsidRPr="00B6441D">
        <w:t xml:space="preserve"> 47 U.S.C. § 307(b).  </w:t>
      </w:r>
      <w:r>
        <w:t xml:space="preserve">  </w:t>
      </w:r>
    </w:p>
  </w:footnote>
  <w:footnote w:id="9">
    <w:p w:rsidR="009D46C5" w:rsidRPr="006F107D" w:rsidRDefault="009D46C5" w:rsidP="00E65F2C">
      <w:pPr>
        <w:pStyle w:val="FootnoteText"/>
      </w:pPr>
      <w:r w:rsidRPr="006F107D">
        <w:rPr>
          <w:rStyle w:val="FootnoteReference"/>
        </w:rPr>
        <w:footnoteRef/>
      </w:r>
      <w:r w:rsidRPr="006F107D">
        <w:t xml:space="preserve"> </w:t>
      </w:r>
      <w:r w:rsidRPr="006D7DB4">
        <w:rPr>
          <w:i/>
        </w:rPr>
        <w:t>Threshold Fair Distribution Analysis of 28 Groups of Mutually Exclusive Applications for Permits to Construct New or Modified Noncommercial Educational FM Stations Filed</w:t>
      </w:r>
      <w:r>
        <w:rPr>
          <w:i/>
        </w:rPr>
        <w:t xml:space="preserve"> </w:t>
      </w:r>
      <w:r w:rsidRPr="006D7DB4">
        <w:rPr>
          <w:i/>
        </w:rPr>
        <w:t xml:space="preserve">in October 2007 Window, </w:t>
      </w:r>
      <w:r w:rsidRPr="006D7DB4">
        <w:t xml:space="preserve">Memorandum Opinion and Order, 24 FCC Rcd 12390, </w:t>
      </w:r>
      <w:r>
        <w:t>12414-15</w:t>
      </w:r>
      <w:r w:rsidRPr="006D7DB4">
        <w:t xml:space="preserve"> </w:t>
      </w:r>
      <w:r>
        <w:t xml:space="preserve">¶¶ 34-38 </w:t>
      </w:r>
      <w:r w:rsidRPr="006D7DB4">
        <w:t>(MB 2009)</w:t>
      </w:r>
      <w:r>
        <w:t xml:space="preserve"> (“</w:t>
      </w:r>
      <w:r>
        <w:rPr>
          <w:i/>
        </w:rPr>
        <w:t>Tentative Selectee Order</w:t>
      </w:r>
      <w:r>
        <w:t>”).</w:t>
      </w:r>
      <w:r w:rsidRPr="006D7DB4">
        <w:t xml:space="preserve"> </w:t>
      </w:r>
    </w:p>
  </w:footnote>
  <w:footnote w:id="10">
    <w:p w:rsidR="009D46C5" w:rsidRPr="006F107D" w:rsidRDefault="009D46C5" w:rsidP="002C3EE0">
      <w:pPr>
        <w:pStyle w:val="FootnoteText"/>
      </w:pPr>
      <w:r w:rsidRPr="006F107D">
        <w:rPr>
          <w:rStyle w:val="FootnoteReference"/>
        </w:rPr>
        <w:footnoteRef/>
      </w:r>
      <w:r w:rsidRPr="006F107D">
        <w:t xml:space="preserve"> 47 C.F.R. § 73.525</w:t>
      </w:r>
      <w:r>
        <w:t xml:space="preserve"> </w:t>
      </w:r>
      <w:r w:rsidRPr="005C35AC">
        <w:t>(requiring that applications for a new or modified NCE station</w:t>
      </w:r>
      <w:r>
        <w:t>s</w:t>
      </w:r>
      <w:r w:rsidRPr="005C35AC">
        <w:t xml:space="preserve"> in the FM reserved band protect nearby television Channel 6 broadcast stations)</w:t>
      </w:r>
      <w:r w:rsidRPr="006F107D">
        <w:t>.</w:t>
      </w:r>
    </w:p>
  </w:footnote>
  <w:footnote w:id="11">
    <w:p w:rsidR="009D46C5" w:rsidRPr="008F5ABA" w:rsidRDefault="009D46C5">
      <w:pPr>
        <w:pStyle w:val="FootnoteText"/>
        <w:rPr>
          <w:b/>
        </w:rPr>
      </w:pPr>
      <w:r>
        <w:rPr>
          <w:rStyle w:val="FootnoteReference"/>
        </w:rPr>
        <w:footnoteRef/>
      </w:r>
      <w:r>
        <w:t xml:space="preserve"> </w:t>
      </w:r>
      <w:r>
        <w:rPr>
          <w:i/>
        </w:rPr>
        <w:t xml:space="preserve">See Reexamination of the Comparative Standards for Noncommercial Educational Applicants, </w:t>
      </w:r>
      <w:r>
        <w:t>Memorandum Opinion and Order, 16 FCC Rcd 5074, 5104-05 ¶ 90 (2001)</w:t>
      </w:r>
      <w:r>
        <w:rPr>
          <w:i/>
        </w:rPr>
        <w:t xml:space="preserve">.  See also </w:t>
      </w:r>
      <w:r w:rsidRPr="006F107D">
        <w:rPr>
          <w:i/>
        </w:rPr>
        <w:t>Comparative Consideration of 59 Groups of Mutually Exclusive Applications for Permits to Construct New or Modified Noncommercial Educational FM Stations Filed in the October 2007 Filing Window</w:t>
      </w:r>
      <w:r w:rsidRPr="006F107D">
        <w:t xml:space="preserve">, Memorandum Opinion and Order, 25 FCC Rcd 1681, 1716 </w:t>
      </w:r>
      <w:r>
        <w:t xml:space="preserve">¶ 139 </w:t>
      </w:r>
      <w:r w:rsidRPr="006F107D">
        <w:t>(2010).</w:t>
      </w:r>
      <w:r w:rsidRPr="006F107D">
        <w:rPr>
          <w:b/>
        </w:rPr>
        <w:t xml:space="preserve">  </w:t>
      </w:r>
    </w:p>
  </w:footnote>
  <w:footnote w:id="12">
    <w:p w:rsidR="00B814EE" w:rsidRPr="00B814EE" w:rsidRDefault="00B814EE">
      <w:pPr>
        <w:pStyle w:val="FootnoteText"/>
      </w:pPr>
      <w:r>
        <w:rPr>
          <w:rStyle w:val="FootnoteReference"/>
        </w:rPr>
        <w:footnoteRef/>
      </w:r>
      <w:r>
        <w:t xml:space="preserve"> </w:t>
      </w:r>
      <w:r>
        <w:rPr>
          <w:i/>
        </w:rPr>
        <w:t>Broadcast Actions</w:t>
      </w:r>
      <w:r>
        <w:t xml:space="preserve">, Public Notice, Report No. </w:t>
      </w:r>
      <w:r w:rsidR="00254567">
        <w:t>47112</w:t>
      </w:r>
      <w:r>
        <w:t xml:space="preserve"> (</w:t>
      </w:r>
      <w:r w:rsidR="00254567">
        <w:t xml:space="preserve">MB </w:t>
      </w:r>
      <w:r>
        <w:t>Nov. 16, 2009)</w:t>
      </w:r>
      <w:r w:rsidR="00254567">
        <w:t xml:space="preserve">; </w:t>
      </w:r>
      <w:r w:rsidR="00254567">
        <w:rPr>
          <w:i/>
        </w:rPr>
        <w:t>Broadcast Actions</w:t>
      </w:r>
      <w:r w:rsidR="00254567">
        <w:t>, Public Notice, Report No. 47218 (MB April 20, 2010)</w:t>
      </w:r>
      <w:r>
        <w:t>.</w:t>
      </w:r>
    </w:p>
  </w:footnote>
  <w:footnote w:id="13">
    <w:p w:rsidR="009D46C5" w:rsidRPr="006F107D" w:rsidRDefault="009D46C5" w:rsidP="000B7EDC">
      <w:pPr>
        <w:pStyle w:val="FootnoteText"/>
        <w:rPr>
          <w:b/>
        </w:rPr>
      </w:pPr>
      <w:r w:rsidRPr="006F107D">
        <w:rPr>
          <w:rStyle w:val="FootnoteReference"/>
        </w:rPr>
        <w:footnoteRef/>
      </w:r>
      <w:r w:rsidRPr="006F107D">
        <w:t xml:space="preserve"> Cedar C</w:t>
      </w:r>
      <w:r>
        <w:t>ove AFR at 3-6</w:t>
      </w:r>
      <w:r w:rsidRPr="006F107D">
        <w:t>.</w:t>
      </w:r>
      <w:r>
        <w:t xml:space="preserve">  </w:t>
      </w:r>
    </w:p>
  </w:footnote>
  <w:footnote w:id="14">
    <w:p w:rsidR="009D46C5" w:rsidRPr="002F0357" w:rsidRDefault="009D46C5">
      <w:pPr>
        <w:pStyle w:val="FootnoteText"/>
      </w:pPr>
      <w:r>
        <w:rPr>
          <w:rStyle w:val="FootnoteReference"/>
        </w:rPr>
        <w:footnoteRef/>
      </w:r>
      <w:r>
        <w:t xml:space="preserve">  Cedar Cove AFR at 2-3.</w:t>
      </w:r>
    </w:p>
  </w:footnote>
  <w:footnote w:id="15">
    <w:p w:rsidR="009D46C5" w:rsidRPr="00DC534F" w:rsidRDefault="009D46C5">
      <w:pPr>
        <w:pStyle w:val="FootnoteText"/>
      </w:pPr>
      <w:r>
        <w:rPr>
          <w:rStyle w:val="FootnoteReference"/>
        </w:rPr>
        <w:footnoteRef/>
      </w:r>
      <w:r>
        <w:t xml:space="preserve"> </w:t>
      </w:r>
      <w:r>
        <w:rPr>
          <w:i/>
        </w:rPr>
        <w:t>See BVM Helping Hands, Antioch, IL</w:t>
      </w:r>
      <w:r>
        <w:t>, Memorandum Opinion and Order, 29 FCC Rcd 6464, 6465 (2014) (rejecting argument that Bureau erred in granting application when TV6 station ceased analog transmissions after close of window but prior to grant).</w:t>
      </w:r>
    </w:p>
  </w:footnote>
  <w:footnote w:id="16">
    <w:p w:rsidR="009D46C5" w:rsidRPr="001B5FD8" w:rsidRDefault="009D46C5">
      <w:pPr>
        <w:pStyle w:val="FootnoteText"/>
        <w:rPr>
          <w:b/>
        </w:rPr>
      </w:pPr>
      <w:r>
        <w:rPr>
          <w:rStyle w:val="FootnoteReference"/>
        </w:rPr>
        <w:footnoteRef/>
      </w:r>
      <w:r>
        <w:t xml:space="preserve"> </w:t>
      </w:r>
      <w:r w:rsidRPr="00B4750B">
        <w:rPr>
          <w:i/>
        </w:rPr>
        <w:t>Letter Decision</w:t>
      </w:r>
      <w:r w:rsidRPr="00B4750B">
        <w:t>, 25 FCC Rcd 3703</w:t>
      </w:r>
      <w:r>
        <w:t xml:space="preserve"> n.29</w:t>
      </w:r>
      <w:r w:rsidRPr="00B4750B">
        <w:t>.</w:t>
      </w:r>
      <w:r w:rsidR="00C73C36">
        <w:t xml:space="preserve">  It is for this reason that we</w:t>
      </w:r>
      <w:r w:rsidR="000561CE">
        <w:t xml:space="preserve"> also</w:t>
      </w:r>
      <w:r w:rsidR="00C73C36">
        <w:t xml:space="preserve"> dismiss HPR’s Motion as moot.  The </w:t>
      </w:r>
      <w:r w:rsidR="00274A25">
        <w:t>M</w:t>
      </w:r>
      <w:r w:rsidR="00C73C36">
        <w:t>otion</w:t>
      </w:r>
      <w:r w:rsidR="00C73C36" w:rsidRPr="00C73C36">
        <w:t xml:space="preserve"> </w:t>
      </w:r>
      <w:r w:rsidR="00C73C36">
        <w:t>urges us to strike</w:t>
      </w:r>
      <w:r w:rsidR="00C73C36" w:rsidRPr="00C73C36">
        <w:t xml:space="preserve"> portions of Cedar Cove’s Reply that contain new technical data related to </w:t>
      </w:r>
      <w:r w:rsidR="00C73C36">
        <w:t>the HPR Application’s</w:t>
      </w:r>
      <w:r w:rsidR="00C73C36" w:rsidRPr="00C73C36">
        <w:t xml:space="preserve"> compliance with Section 73.525</w:t>
      </w:r>
      <w:r w:rsidR="00931EBD">
        <w:t>(d)</w:t>
      </w:r>
      <w:r w:rsidR="00C73C36" w:rsidRPr="00C73C36">
        <w:t xml:space="preserve">.  </w:t>
      </w:r>
      <w:r w:rsidR="00C73C36">
        <w:t>We reject Cedar Cove’s</w:t>
      </w:r>
      <w:r w:rsidR="00C73C36" w:rsidRPr="00C73C36">
        <w:t xml:space="preserve"> arguments </w:t>
      </w:r>
      <w:r w:rsidR="00274A25">
        <w:t xml:space="preserve">here </w:t>
      </w:r>
      <w:r w:rsidR="00C73C36">
        <w:t>without reaching the technical allegations it makes.  Thus, we do not consider</w:t>
      </w:r>
      <w:r w:rsidR="00C73C36" w:rsidRPr="00C73C36">
        <w:t xml:space="preserve"> the </w:t>
      </w:r>
      <w:r w:rsidR="001B5FD8">
        <w:t>“</w:t>
      </w:r>
      <w:r w:rsidR="00931EBD">
        <w:t>Technical Statement</w:t>
      </w:r>
      <w:r w:rsidR="001B5FD8">
        <w:t>”</w:t>
      </w:r>
      <w:r w:rsidR="00931EBD">
        <w:t xml:space="preserve"> </w:t>
      </w:r>
      <w:r w:rsidR="00C73C36" w:rsidRPr="00C73C36">
        <w:t>that Cedar Cove submitted with its Reply</w:t>
      </w:r>
      <w:r w:rsidR="00C73C36">
        <w:t xml:space="preserve"> and</w:t>
      </w:r>
      <w:r w:rsidR="0090079B">
        <w:t xml:space="preserve"> also do not</w:t>
      </w:r>
      <w:r w:rsidR="00C73C36">
        <w:t xml:space="preserve"> need to address whether that material should be </w:t>
      </w:r>
      <w:r w:rsidR="001B5FD8">
        <w:t xml:space="preserve">stricken </w:t>
      </w:r>
      <w:r w:rsidR="00C73C36">
        <w:t>from the record</w:t>
      </w:r>
      <w:r w:rsidR="00C73C36" w:rsidRPr="00C73C36">
        <w:t>.</w:t>
      </w:r>
      <w:r w:rsidR="001B5FD8">
        <w:t xml:space="preserve">  </w:t>
      </w:r>
      <w:r w:rsidR="001B5FD8">
        <w:rPr>
          <w:i/>
        </w:rPr>
        <w:t xml:space="preserve">See </w:t>
      </w:r>
      <w:r w:rsidR="001B5FD8">
        <w:t>Motion at 1 (</w:t>
      </w:r>
      <w:r w:rsidR="001B5FD8">
        <w:rPr>
          <w:i/>
        </w:rPr>
        <w:t xml:space="preserve">citing </w:t>
      </w:r>
      <w:r w:rsidR="001B5FD8">
        <w:t>Section 1.115(c) of the Commission’s rules).</w:t>
      </w:r>
    </w:p>
  </w:footnote>
  <w:footnote w:id="17">
    <w:p w:rsidR="009D46C5" w:rsidRPr="00A22022" w:rsidRDefault="009D46C5" w:rsidP="002B1052">
      <w:pPr>
        <w:pStyle w:val="FootnoteText"/>
      </w:pPr>
      <w:r w:rsidRPr="006F107D">
        <w:rPr>
          <w:rStyle w:val="FootnoteReference"/>
        </w:rPr>
        <w:footnoteRef/>
      </w:r>
      <w:r w:rsidRPr="006F107D">
        <w:t xml:space="preserve"> </w:t>
      </w:r>
      <w:r w:rsidRPr="001238CE">
        <w:rPr>
          <w:i/>
        </w:rPr>
        <w:t>Media Bureau Establishes October 27, 2009, Initial Filing Date for Acceptance of Certain Noncommercial Educational FM Station Minor Change Applications</w:t>
      </w:r>
      <w:r w:rsidRPr="001238CE">
        <w:t>, Public Notice, 24 FCC Rcd 12598 (MB 2009)</w:t>
      </w:r>
      <w:r>
        <w:t xml:space="preserve"> (“</w:t>
      </w:r>
      <w:r>
        <w:rPr>
          <w:i/>
        </w:rPr>
        <w:t>Minor Change Public Notice</w:t>
      </w:r>
      <w:r>
        <w:t>”)</w:t>
      </w:r>
      <w:r w:rsidRPr="001238CE">
        <w:t>.</w:t>
      </w:r>
      <w:r w:rsidRPr="001238CE">
        <w:rPr>
          <w:i/>
        </w:rPr>
        <w:t xml:space="preserve"> </w:t>
      </w:r>
      <w:r w:rsidRPr="001238CE">
        <w:t xml:space="preserve">  Cedar Cove acknowledges the release of </w:t>
      </w:r>
      <w:r>
        <w:t>this notice</w:t>
      </w:r>
      <w:r w:rsidRPr="001238CE">
        <w:t xml:space="preserve">.  </w:t>
      </w:r>
    </w:p>
  </w:footnote>
  <w:footnote w:id="18">
    <w:p w:rsidR="006C40E9" w:rsidRDefault="006C40E9">
      <w:pPr>
        <w:pStyle w:val="FootnoteText"/>
      </w:pPr>
      <w:r>
        <w:rPr>
          <w:rStyle w:val="FootnoteReference"/>
        </w:rPr>
        <w:footnoteRef/>
      </w:r>
      <w:r w:rsidR="00420C33">
        <w:t xml:space="preserve"> </w:t>
      </w:r>
      <w:r w:rsidR="00420C33">
        <w:rPr>
          <w:i/>
        </w:rPr>
        <w:t xml:space="preserve">Commission States Future Policy on Incomplete and Patently Defective AM and FM Construction Permit Applications, </w:t>
      </w:r>
      <w:r w:rsidR="00420C33">
        <w:t xml:space="preserve">Public Notice, 56 RR 2d 776 (1984) </w:t>
      </w:r>
      <w:r>
        <w:t xml:space="preserve">(as subsequently published in the </w:t>
      </w:r>
      <w:r w:rsidRPr="00E2378F">
        <w:t>Federal Register, 49 Fed. Reg. 47331, 47332 (Dec. 3, 1984)</w:t>
      </w:r>
      <w:r>
        <w:t>).</w:t>
      </w:r>
    </w:p>
  </w:footnote>
  <w:footnote w:id="19">
    <w:p w:rsidR="007005C2" w:rsidRPr="00D74B52" w:rsidRDefault="007005C2">
      <w:pPr>
        <w:pStyle w:val="FootnoteText"/>
      </w:pPr>
      <w:r>
        <w:rPr>
          <w:rStyle w:val="FootnoteReference"/>
        </w:rPr>
        <w:footnoteRef/>
      </w:r>
      <w:r w:rsidR="00420C33">
        <w:t xml:space="preserve"> </w:t>
      </w:r>
      <w:r w:rsidR="00420C33">
        <w:rPr>
          <w:i/>
        </w:rPr>
        <w:t xml:space="preserve">WKVE, Semora, North Carolina, </w:t>
      </w:r>
      <w:r w:rsidR="00420C33">
        <w:t>Memorandum Opinion and Order and Notice of Apparent Liability,</w:t>
      </w:r>
      <w:r w:rsidR="00420C33">
        <w:rPr>
          <w:i/>
        </w:rPr>
        <w:t xml:space="preserve"> </w:t>
      </w:r>
      <w:r w:rsidR="00420C33">
        <w:t>18 FCC Rcd 23411, 23423 (2003)</w:t>
      </w:r>
      <w:r w:rsidR="00D74B52">
        <w:t xml:space="preserve">.  We note that a number of cases cited by Cedar Cove are distinguishable on this ground.  </w:t>
      </w:r>
      <w:r w:rsidR="00D74B52">
        <w:rPr>
          <w:i/>
        </w:rPr>
        <w:t xml:space="preserve">See </w:t>
      </w:r>
      <w:r w:rsidR="00D74B52">
        <w:t xml:space="preserve">Cedar Cove AFR at 4-5 and n. 13, </w:t>
      </w:r>
      <w:r w:rsidR="00D74B52">
        <w:rPr>
          <w:i/>
        </w:rPr>
        <w:t>citing Heartland Ministries, Inc.</w:t>
      </w:r>
      <w:r w:rsidR="00D74B52">
        <w:t xml:space="preserve">, Letter, 25 FCC Rcd 3572 (MB 2010); </w:t>
      </w:r>
      <w:r w:rsidR="00D74B52">
        <w:rPr>
          <w:i/>
        </w:rPr>
        <w:t>School Board of Broward County</w:t>
      </w:r>
      <w:r w:rsidR="00D74B52">
        <w:t xml:space="preserve">, Letter, 24 FCC Rcd 5390 (MB 2009); </w:t>
      </w:r>
      <w:r w:rsidR="00D74B52">
        <w:rPr>
          <w:i/>
        </w:rPr>
        <w:t>Family Life Educational Foundation</w:t>
      </w:r>
      <w:r w:rsidR="00D74B52">
        <w:t xml:space="preserve">, Letter, 23 FCC Rcd 4779 (MB 2008); </w:t>
      </w:r>
      <w:r w:rsidR="00D74B52">
        <w:rPr>
          <w:i/>
        </w:rPr>
        <w:t>Serendipity Educational Broadcasting, Inc.</w:t>
      </w:r>
      <w:r w:rsidR="00D74B52">
        <w:t xml:space="preserve">, Letter, 23 FCC Rcd 15392 (2008).  In each of these cases, the affected TV Channel 6 stations remained on air both when the Commission dismissed the applications for violating Section 73.525 of the rules and when the </w:t>
      </w:r>
      <w:r w:rsidR="008720D9">
        <w:t>Bureau</w:t>
      </w:r>
      <w:r w:rsidR="00D74B52">
        <w:t xml:space="preserve"> considered any petitions for reconsideration of those dismissals.  </w:t>
      </w:r>
      <w:r w:rsidR="008720D9">
        <w:t>And, in three of these cases (</w:t>
      </w:r>
      <w:r w:rsidR="008720D9">
        <w:rPr>
          <w:i/>
        </w:rPr>
        <w:t>Broward County</w:t>
      </w:r>
      <w:r w:rsidR="008720D9" w:rsidRPr="0007536A">
        <w:t>,</w:t>
      </w:r>
      <w:r w:rsidR="008720D9">
        <w:rPr>
          <w:i/>
        </w:rPr>
        <w:t xml:space="preserve"> Family Life</w:t>
      </w:r>
      <w:r w:rsidR="008720D9" w:rsidRPr="0007536A">
        <w:t>,</w:t>
      </w:r>
      <w:r w:rsidR="008720D9">
        <w:rPr>
          <w:i/>
        </w:rPr>
        <w:t xml:space="preserve"> </w:t>
      </w:r>
      <w:r w:rsidR="008720D9">
        <w:t xml:space="preserve">and </w:t>
      </w:r>
      <w:r w:rsidR="00D67E7B">
        <w:rPr>
          <w:i/>
        </w:rPr>
        <w:t>Serendipity</w:t>
      </w:r>
      <w:r w:rsidR="008720D9">
        <w:t xml:space="preserve">), the new processing policy was not effective at the time the Bureau acted on the applications or any petitions for reconsideration of those applications.  </w:t>
      </w:r>
      <w:r w:rsidR="00D74B52">
        <w:t xml:space="preserve">Accordingly, these cases did not involve the combination of subsequent events present here.  </w:t>
      </w:r>
    </w:p>
  </w:footnote>
  <w:footnote w:id="20">
    <w:p w:rsidR="009D46C5" w:rsidRPr="006F107D" w:rsidRDefault="009D46C5" w:rsidP="002B1052">
      <w:pPr>
        <w:pStyle w:val="FootnoteText"/>
      </w:pPr>
      <w:r w:rsidRPr="006F107D">
        <w:rPr>
          <w:rStyle w:val="FootnoteReference"/>
        </w:rPr>
        <w:footnoteRef/>
      </w:r>
      <w:r w:rsidRPr="006F107D">
        <w:t xml:space="preserve"> Cedar Cove </w:t>
      </w:r>
      <w:r>
        <w:t>AFR</w:t>
      </w:r>
      <w:r w:rsidRPr="006F107D">
        <w:t xml:space="preserve"> at 7-8</w:t>
      </w:r>
      <w:r>
        <w:t xml:space="preserve">; </w:t>
      </w:r>
      <w:r w:rsidRPr="006F107D">
        <w:t xml:space="preserve">Wren </w:t>
      </w:r>
      <w:r>
        <w:t>AFR at 1</w:t>
      </w:r>
      <w:r w:rsidRPr="006F107D">
        <w:t xml:space="preserve">.    </w:t>
      </w:r>
    </w:p>
  </w:footnote>
  <w:footnote w:id="21">
    <w:p w:rsidR="009D46C5" w:rsidRDefault="009D46C5" w:rsidP="005631E7">
      <w:pPr>
        <w:pStyle w:val="FootnoteText"/>
      </w:pPr>
      <w:r>
        <w:rPr>
          <w:rStyle w:val="FootnoteReference"/>
        </w:rPr>
        <w:footnoteRef/>
      </w:r>
      <w:r>
        <w:t xml:space="preserve"> </w:t>
      </w:r>
      <w:r w:rsidRPr="006F107D">
        <w:t xml:space="preserve">Cedar Cove </w:t>
      </w:r>
      <w:r>
        <w:t>AFR</w:t>
      </w:r>
      <w:r w:rsidRPr="006F107D">
        <w:t xml:space="preserve"> at 7-8</w:t>
      </w:r>
      <w:r>
        <w:t xml:space="preserve">; </w:t>
      </w:r>
      <w:r w:rsidRPr="006F107D">
        <w:t xml:space="preserve">Wren </w:t>
      </w:r>
      <w:r>
        <w:t>AFR at 2-3.</w:t>
      </w:r>
    </w:p>
  </w:footnote>
  <w:footnote w:id="22">
    <w:p w:rsidR="009D46C5" w:rsidRDefault="009D46C5" w:rsidP="005631E7">
      <w:pPr>
        <w:pStyle w:val="FootnoteText"/>
      </w:pPr>
      <w:r>
        <w:rPr>
          <w:rStyle w:val="FootnoteReference"/>
        </w:rPr>
        <w:footnoteRef/>
      </w:r>
      <w:r>
        <w:t xml:space="preserve"> </w:t>
      </w:r>
      <w:r w:rsidRPr="006F107D">
        <w:t xml:space="preserve">Cedar Cove </w:t>
      </w:r>
      <w:r>
        <w:t>AFR</w:t>
      </w:r>
      <w:r w:rsidRPr="006F107D">
        <w:t xml:space="preserve"> at 8</w:t>
      </w:r>
      <w:r>
        <w:t xml:space="preserve">; </w:t>
      </w:r>
      <w:r w:rsidRPr="006F107D">
        <w:t xml:space="preserve">Wren </w:t>
      </w:r>
      <w:r>
        <w:t>AFR at 4.</w:t>
      </w:r>
    </w:p>
  </w:footnote>
  <w:footnote w:id="23">
    <w:p w:rsidR="009D46C5" w:rsidRPr="0094290D" w:rsidRDefault="009D46C5">
      <w:pPr>
        <w:pStyle w:val="FootnoteText"/>
      </w:pPr>
      <w:r>
        <w:rPr>
          <w:rStyle w:val="FootnoteReference"/>
        </w:rPr>
        <w:footnoteRef/>
      </w:r>
      <w:r>
        <w:t xml:space="preserve"> </w:t>
      </w:r>
      <w:r>
        <w:rPr>
          <w:i/>
        </w:rPr>
        <w:t xml:space="preserve">See Greene/Sumter Enterprise Community, etc., </w:t>
      </w:r>
      <w:r>
        <w:t xml:space="preserve">Memorandum Opinion and Order, FCC 15-87 (rel. Jul. 16, 2015) (“The Commission instead concluded that the One Grant Policy would be preferable as the most “administratively efficient” approach and one likely to lead to the selection of the best qualified applicants”); </w:t>
      </w:r>
      <w:r>
        <w:rPr>
          <w:i/>
        </w:rPr>
        <w:t>Radio Training Network</w:t>
      </w:r>
      <w:r>
        <w:t>, Memorandum Opinion and Order, FCC 15-</w:t>
      </w:r>
      <w:r w:rsidR="00816EC4">
        <w:t>120 (rel. Sept. 17</w:t>
      </w:r>
      <w:r>
        <w:t>, 2015).</w:t>
      </w:r>
    </w:p>
  </w:footnote>
  <w:footnote w:id="24">
    <w:p w:rsidR="009D46C5" w:rsidRDefault="009D46C5" w:rsidP="005631E7">
      <w:pPr>
        <w:pStyle w:val="FootnoteText"/>
      </w:pPr>
      <w:r>
        <w:rPr>
          <w:rStyle w:val="FootnoteReference"/>
        </w:rPr>
        <w:footnoteRef/>
      </w:r>
      <w:r>
        <w:t xml:space="preserve"> </w:t>
      </w:r>
      <w:r>
        <w:rPr>
          <w:i/>
        </w:rPr>
        <w:t>See Greene/Sumter Enterprise Community</w:t>
      </w:r>
      <w:r w:rsidR="00D67E7B">
        <w:rPr>
          <w:i/>
        </w:rPr>
        <w:t>,</w:t>
      </w:r>
      <w:r>
        <w:rPr>
          <w:i/>
        </w:rPr>
        <w:t xml:space="preserve"> </w:t>
      </w:r>
      <w:r>
        <w:t>Memorandum Opinion and Order</w:t>
      </w:r>
      <w:r w:rsidR="00D67E7B">
        <w:t>, 30</w:t>
      </w:r>
      <w:r>
        <w:t xml:space="preserve"> FCC Rcd at 7695-99.</w:t>
      </w:r>
    </w:p>
  </w:footnote>
  <w:footnote w:id="25">
    <w:p w:rsidR="00816EC4" w:rsidRDefault="00816EC4">
      <w:pPr>
        <w:pStyle w:val="FootnoteText"/>
      </w:pPr>
      <w:r>
        <w:rPr>
          <w:rStyle w:val="FootnoteReference"/>
        </w:rPr>
        <w:footnoteRef/>
      </w:r>
      <w:r>
        <w:t xml:space="preserve"> </w:t>
      </w:r>
      <w:r w:rsidRPr="00816EC4">
        <w:rPr>
          <w:i/>
        </w:rPr>
        <w:t>See, e.g., Comparative Consideration of 59 Groups of Mutually Exclusive Applications for Permits to Construct New or Modified Noncommercial Educational FM Stations Filed in the October 2007 Filing Window</w:t>
      </w:r>
      <w:r w:rsidRPr="00816EC4">
        <w:t>, Memorandum Opinion and Order, 25 FCC Rcd 1681, 1716 (2010) (</w:t>
      </w:r>
      <w:r>
        <w:t>“</w:t>
      </w:r>
      <w:r w:rsidRPr="00816EC4">
        <w:t xml:space="preserve">only one application should be granted out of each mutually exclusive group, while providing the competing applicants the opportunity to file </w:t>
      </w:r>
      <w:r>
        <w:t>again in the next filing window”</w:t>
      </w:r>
      <w:r w:rsidRPr="00816EC4">
        <w:t xml:space="preserve">). </w:t>
      </w:r>
      <w:r w:rsidRPr="00816EC4">
        <w:rPr>
          <w:i/>
        </w:rPr>
        <w:t>See also Reexamination of the Comparative Standards for Noncommercial Educational Applicants</w:t>
      </w:r>
      <w:r w:rsidRPr="00816EC4">
        <w:t xml:space="preserve">, Report and Order, 15 FCC Rcd 7386 (2000); Memorandum Opinion and Order, 16 FCC Rcd 5074, 5105 (2001); </w:t>
      </w:r>
      <w:r w:rsidRPr="00816EC4">
        <w:rPr>
          <w:i/>
        </w:rPr>
        <w:t>vacated in part on other grounds</w:t>
      </w:r>
      <w:r w:rsidRPr="00816EC4">
        <w:t xml:space="preserve">, </w:t>
      </w:r>
      <w:r w:rsidRPr="00816EC4">
        <w:rPr>
          <w:i/>
        </w:rPr>
        <w:t>NPR v. FCC</w:t>
      </w:r>
      <w:r w:rsidRPr="00816EC4">
        <w:t>, 254 F.3d 226 (D.C. Cir. 2001).</w:t>
      </w:r>
    </w:p>
  </w:footnote>
  <w:footnote w:id="26">
    <w:p w:rsidR="009D46C5" w:rsidRPr="00B07D4F" w:rsidRDefault="009D46C5" w:rsidP="002C3EE0">
      <w:pPr>
        <w:pStyle w:val="FootnoteText"/>
      </w:pPr>
      <w:r w:rsidRPr="006F107D">
        <w:rPr>
          <w:rStyle w:val="FootnoteReference"/>
        </w:rPr>
        <w:footnoteRef/>
      </w:r>
      <w:r w:rsidRPr="006F107D">
        <w:t xml:space="preserve"> </w:t>
      </w:r>
      <w:r w:rsidRPr="006F107D">
        <w:rPr>
          <w:i/>
        </w:rPr>
        <w:t>See, e.g</w:t>
      </w:r>
      <w:r w:rsidRPr="006F107D">
        <w:t xml:space="preserve">., </w:t>
      </w:r>
      <w:r w:rsidRPr="006F107D">
        <w:rPr>
          <w:i/>
        </w:rPr>
        <w:t>Community Television of Southern California v. Gottfried</w:t>
      </w:r>
      <w:r w:rsidRPr="006F107D">
        <w:t xml:space="preserve">, 459 U.S. 498, 511 (1984) (citation omitted) (“rulemaking is generally a ‘better, fairer and more effective’ method of implementing a new industry-wide policy”); </w:t>
      </w:r>
      <w:r w:rsidRPr="006F107D">
        <w:rPr>
          <w:i/>
        </w:rPr>
        <w:t>Sunburst Media L.P.</w:t>
      </w:r>
      <w:r w:rsidRPr="006F107D">
        <w:t>, Memorandum Opinion and Order, 17 FCC Rcd 1366</w:t>
      </w:r>
      <w:r>
        <w:t>, 1368 ¶ 6</w:t>
      </w:r>
      <w:r w:rsidRPr="006F107D">
        <w:t xml:space="preserve"> (2001) (stating “it has long been Commission practice to make decisions that alter fundamental components of broadly applicable regulatory schemes in the context of rule making proceedings, not adjudications”); </w:t>
      </w:r>
      <w:r w:rsidRPr="006F107D">
        <w:rPr>
          <w:i/>
          <w:iCs/>
        </w:rPr>
        <w:t xml:space="preserve">Great Empire Broadcasting, Inc., </w:t>
      </w:r>
      <w:r w:rsidRPr="006F107D">
        <w:rPr>
          <w:iCs/>
        </w:rPr>
        <w:t xml:space="preserve">Memorandum Opinion and Order, 14 FCC Rcd 11145, 11148 </w:t>
      </w:r>
      <w:r>
        <w:rPr>
          <w:iCs/>
        </w:rPr>
        <w:t xml:space="preserve">¶ 8 </w:t>
      </w:r>
      <w:r w:rsidRPr="006F107D">
        <w:rPr>
          <w:iCs/>
        </w:rPr>
        <w:t>(1999)</w:t>
      </w:r>
      <w:r w:rsidRPr="006F107D">
        <w:t xml:space="preserve"> (it is generally inappropriate to address arguments for a change in rules “where third parties, including those with substantial stakes in the outcome, have had no opportunity to participate, and in which we, as a result, have not had the benefit of a full and well-counseled record”), </w:t>
      </w:r>
      <w:r w:rsidRPr="00DD0565">
        <w:rPr>
          <w:i/>
        </w:rPr>
        <w:t>citing</w:t>
      </w:r>
      <w:r w:rsidRPr="006F107D">
        <w:t xml:space="preserve"> </w:t>
      </w:r>
      <w:r w:rsidRPr="006F107D">
        <w:rPr>
          <w:i/>
          <w:iCs/>
        </w:rPr>
        <w:t>Capital Cities/ABC, Inc.,</w:t>
      </w:r>
      <w:r w:rsidRPr="006F107D">
        <w:rPr>
          <w:iCs/>
        </w:rPr>
        <w:t xml:space="preserve"> Memorandum Opinion and Order,</w:t>
      </w:r>
      <w:r w:rsidRPr="006F107D">
        <w:rPr>
          <w:i/>
          <w:iCs/>
        </w:rPr>
        <w:t xml:space="preserve"> </w:t>
      </w:r>
      <w:r w:rsidRPr="006F107D">
        <w:rPr>
          <w:iCs/>
        </w:rPr>
        <w:t xml:space="preserve">11 FCC Rcd 5841, 5888 </w:t>
      </w:r>
      <w:r>
        <w:rPr>
          <w:iCs/>
        </w:rPr>
        <w:t xml:space="preserve">¶ 87 </w:t>
      </w:r>
      <w:r w:rsidRPr="006F107D">
        <w:rPr>
          <w:iCs/>
        </w:rPr>
        <w:t>(1996)</w:t>
      </w:r>
      <w:r w:rsidRPr="006F107D">
        <w:rPr>
          <w:i/>
          <w:iCs/>
        </w:rPr>
        <w:t xml:space="preserve">.  </w:t>
      </w:r>
      <w:r>
        <w:rPr>
          <w:iCs/>
        </w:rPr>
        <w:t>Likewise, w</w:t>
      </w:r>
      <w:r>
        <w:t xml:space="preserve">e also decline to revise our “policy for making determinations concerning misrepresentations.”  </w:t>
      </w:r>
      <w:r>
        <w:rPr>
          <w:i/>
        </w:rPr>
        <w:t xml:space="preserve">See </w:t>
      </w:r>
      <w:r>
        <w:t xml:space="preserve">Cedar Cove AFR at 8 n.26.  </w:t>
      </w:r>
    </w:p>
  </w:footnote>
  <w:footnote w:id="27">
    <w:p w:rsidR="00C73C36" w:rsidRDefault="00C73C36">
      <w:pPr>
        <w:pStyle w:val="FootnoteText"/>
      </w:pPr>
      <w:r>
        <w:rPr>
          <w:rStyle w:val="FootnoteReference"/>
        </w:rPr>
        <w:footnoteRef/>
      </w:r>
      <w:r>
        <w:t xml:space="preserve"> Kanu AFR at 1.</w:t>
      </w:r>
    </w:p>
  </w:footnote>
  <w:footnote w:id="28">
    <w:p w:rsidR="008061F9" w:rsidRDefault="008061F9">
      <w:pPr>
        <w:pStyle w:val="FootnoteText"/>
      </w:pPr>
      <w:r>
        <w:rPr>
          <w:rStyle w:val="FootnoteReference"/>
        </w:rPr>
        <w:footnoteRef/>
      </w:r>
      <w:r>
        <w:t xml:space="preserve"> </w:t>
      </w:r>
      <w:r w:rsidR="006F5268">
        <w:t xml:space="preserve">Contrary to Kanu’s argument </w:t>
      </w:r>
      <w:r w:rsidR="00FF3688">
        <w:t>regarding</w:t>
      </w:r>
      <w:r w:rsidR="006F5268">
        <w:t xml:space="preserve"> the absence of “complexities” in granting its waiver request, </w:t>
      </w:r>
      <w:r w:rsidR="006F5268">
        <w:rPr>
          <w:i/>
        </w:rPr>
        <w:t xml:space="preserve">see </w:t>
      </w:r>
      <w:r w:rsidR="006F5268">
        <w:t xml:space="preserve">Kanu </w:t>
      </w:r>
      <w:r w:rsidR="00EF02B5">
        <w:t>AFR</w:t>
      </w:r>
      <w:r w:rsidR="00FF3688">
        <w:t xml:space="preserve"> at 4</w:t>
      </w:r>
      <w:r w:rsidR="006F5268">
        <w:t xml:space="preserve">, </w:t>
      </w:r>
      <w:r w:rsidR="00FF3688">
        <w:t xml:space="preserve">we note the filing of </w:t>
      </w:r>
      <w:r>
        <w:t>Cedar Cove’s Opposition to Kanu’s Request for Waiver.</w:t>
      </w:r>
      <w:r w:rsidR="002C2D74">
        <w:t xml:space="preserve">  </w:t>
      </w:r>
      <w:r w:rsidR="002C2D74">
        <w:rPr>
          <w:i/>
        </w:rPr>
        <w:t xml:space="preserve">See </w:t>
      </w:r>
      <w:r w:rsidR="002C2D74">
        <w:t xml:space="preserve">Cedar Cove Opposition to Request for Waiver.  </w:t>
      </w:r>
      <w:r w:rsidR="00FF3688">
        <w:t xml:space="preserve">In its </w:t>
      </w:r>
      <w:r w:rsidR="00D5713A">
        <w:t>O</w:t>
      </w:r>
      <w:r w:rsidR="00FF3688">
        <w:t>pposition</w:t>
      </w:r>
      <w:r w:rsidR="002C2D74">
        <w:t xml:space="preserve">, </w:t>
      </w:r>
      <w:r w:rsidR="00FF3688">
        <w:t>Cedar Cove claims</w:t>
      </w:r>
      <w:r w:rsidR="006F5268">
        <w:t xml:space="preserve"> that its</w:t>
      </w:r>
      <w:r w:rsidR="002C2D74">
        <w:t xml:space="preserve"> application would prevail over Kanu’s in a point analysis and</w:t>
      </w:r>
      <w:r w:rsidR="00FF3688">
        <w:t xml:space="preserve"> further argues</w:t>
      </w:r>
      <w:r w:rsidR="002C2D74">
        <w:t xml:space="preserve"> that Kanu’s application is “fatally flawed and, therefore should be dismissed.”  </w:t>
      </w:r>
      <w:r w:rsidR="002C2D74">
        <w:rPr>
          <w:i/>
        </w:rPr>
        <w:t xml:space="preserve">See </w:t>
      </w:r>
      <w:r w:rsidR="002C2D74">
        <w:t>Cedar Cove Opposition to Request for Waiver at 2.</w:t>
      </w:r>
      <w:r w:rsidR="00FF3688">
        <w:t xml:space="preserve">  This dispute highlights</w:t>
      </w:r>
      <w:r w:rsidR="00EC77F9">
        <w:t xml:space="preserve"> our concern about </w:t>
      </w:r>
      <w:r w:rsidR="00D5713A">
        <w:t xml:space="preserve">administrative efficiency and </w:t>
      </w:r>
      <w:r w:rsidR="00EC77F9">
        <w:t xml:space="preserve">the potential for undue delay associated with further processing of secondary applications. </w:t>
      </w:r>
      <w:r w:rsidR="00FF3688">
        <w:t xml:space="preserve"> </w:t>
      </w:r>
      <w:r w:rsidR="002C2D74">
        <w:t xml:space="preserve">    </w:t>
      </w:r>
      <w:r>
        <w:t xml:space="preserve">  </w:t>
      </w:r>
    </w:p>
  </w:footnote>
  <w:footnote w:id="29">
    <w:p w:rsidR="009D46C5" w:rsidRDefault="009D46C5" w:rsidP="004022BF">
      <w:pPr>
        <w:pStyle w:val="FootnoteText"/>
      </w:pPr>
      <w:r>
        <w:rPr>
          <w:rStyle w:val="FootnoteReference"/>
        </w:rPr>
        <w:footnoteRef/>
      </w:r>
      <w:r>
        <w:t xml:space="preserve"> We note that Kanu seeks to introduce new information regarding the unique circumstances of applicants for NCE FM stations serving the Hawaiian Islands in its Application for Review.  </w:t>
      </w:r>
      <w:r w:rsidR="00422686">
        <w:rPr>
          <w:i/>
        </w:rPr>
        <w:t xml:space="preserve">See Kanu </w:t>
      </w:r>
      <w:r w:rsidR="00422686">
        <w:t xml:space="preserve">AFR at 4-5.  </w:t>
      </w:r>
      <w:r w:rsidRPr="006A238B">
        <w:rPr>
          <w:szCs w:val="22"/>
        </w:rPr>
        <w:t xml:space="preserve">We dismiss </w:t>
      </w:r>
      <w:r>
        <w:rPr>
          <w:szCs w:val="22"/>
        </w:rPr>
        <w:t>this</w:t>
      </w:r>
      <w:r w:rsidRPr="006A238B">
        <w:rPr>
          <w:szCs w:val="22"/>
        </w:rPr>
        <w:t xml:space="preserve"> portion of the AFR as procedurally defective.  </w:t>
      </w:r>
      <w:r w:rsidRPr="00B3605A">
        <w:t xml:space="preserve">Section 5(c)(5) of the Communications Act of 1934, as amended, </w:t>
      </w:r>
      <w:r>
        <w:t xml:space="preserve">47 U.S.C. § 155(c)(5), </w:t>
      </w:r>
      <w:r w:rsidRPr="00B3605A">
        <w:t>and Section 1.115(c) of</w:t>
      </w:r>
      <w:r>
        <w:t xml:space="preserve"> the Rules, 47 C.F.R. § 1.115(c),</w:t>
      </w:r>
      <w:r w:rsidRPr="00B3605A">
        <w:t xml:space="preserve"> bar applications for review that rely “on questions of fact or law upon which the [designated authority issuing the decision] has been afforded no opportunity to pass.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68" w:rsidRDefault="00C61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C5" w:rsidRDefault="009D46C5">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FCC 15-</w:t>
    </w:r>
    <w:r w:rsidR="005F1F4C">
      <w:rPr>
        <w:b/>
        <w:spacing w:val="-2"/>
      </w:rPr>
      <w:t>152</w:t>
    </w:r>
  </w:p>
  <w:p w:rsidR="009D46C5" w:rsidRDefault="00A6598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14:anchorId="4F351BB3" wp14:editId="43747B0B">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46C5" w:rsidRDefault="009D4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UB7AIAAD0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De1yUB7AIAAD0GAAAOAAAAAAAA&#10;AAAAAAAAAC4CAABkcnMvZTJvRG9jLnhtbFBLAQItABQABgAIAAAAIQAiPO7R1wAAAAMBAAAPAAAA&#10;AAAAAAAAAAAAAEYFAABkcnMvZG93bnJldi54bWxQSwUGAAAAAAQABADzAAAASgYAAAAA&#10;" o:allowincell="f" fillcolor="black" stroked="f" strokeweight=".05pt">
              <v:textbox>
                <w:txbxContent>
                  <w:p w:rsidR="009D46C5" w:rsidRDefault="009D46C5"/>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0D" w:rsidRDefault="00341E0D" w:rsidP="00341E0D">
    <w:pPr>
      <w:pStyle w:val="Header"/>
      <w:rPr>
        <w:b w:val="0"/>
      </w:rPr>
    </w:pPr>
    <w:r>
      <w:tab/>
      <w:t>Federal Communications Commission</w:t>
    </w:r>
    <w:r>
      <w:tab/>
    </w:r>
    <w:r w:rsidR="005F1F4C">
      <w:t>FCC 15-152</w:t>
    </w:r>
  </w:p>
  <w:p w:rsidR="00341E0D" w:rsidRDefault="00341E0D" w:rsidP="00341E0D">
    <w:pPr>
      <w:tabs>
        <w:tab w:val="left" w:pos="-720"/>
      </w:tabs>
      <w:suppressAutoHyphens/>
      <w:spacing w:line="19" w:lineRule="exact"/>
      <w:rPr>
        <w:spacing w:val="-2"/>
      </w:rPr>
    </w:pPr>
    <w:r>
      <w:rPr>
        <w:noProof/>
      </w:rPr>
      <mc:AlternateContent>
        <mc:Choice Requires="wps">
          <w:drawing>
            <wp:anchor distT="0" distB="0" distL="114300" distR="114300" simplePos="0" relativeHeight="251659776" behindDoc="1" locked="0" layoutInCell="0" allowOverlap="1" wp14:anchorId="66A126BE" wp14:editId="4F58276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EFE5F8" id="Rectangle 1" o:spid="_x0000_s1026" style="position:absolute;margin-left:0;margin-top:0;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lvlText w:val="%1."/>
      <w:lvlJc w:val="left"/>
      <w:pPr>
        <w:tabs>
          <w:tab w:val="num" w:pos="3960"/>
        </w:tabs>
        <w:ind w:left="2880" w:firstLine="720"/>
      </w:pPr>
      <w:rPr>
        <w:b w:val="0"/>
        <w:i w:val="0"/>
      </w:rPr>
    </w:lvl>
  </w:abstractNum>
  <w:abstractNum w:abstractNumId="1">
    <w:nsid w:val="065404B2"/>
    <w:multiLevelType w:val="multilevel"/>
    <w:tmpl w:val="E466A718"/>
    <w:lvl w:ilvl="0">
      <w:start w:val="6"/>
      <w:numFmt w:val="decimal"/>
      <w:lvlText w:val="%1."/>
      <w:lvlJc w:val="left"/>
      <w:pPr>
        <w:tabs>
          <w:tab w:val="num" w:pos="1512"/>
        </w:tabs>
        <w:ind w:left="0" w:firstLine="7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0196F96"/>
    <w:multiLevelType w:val="hybridMultilevel"/>
    <w:tmpl w:val="5CBAD83C"/>
    <w:lvl w:ilvl="0" w:tplc="5D922394">
      <w:start w:val="1"/>
      <w:numFmt w:val="decimal"/>
      <w:lvlText w:val="%1."/>
      <w:lvlJc w:val="left"/>
      <w:pPr>
        <w:tabs>
          <w:tab w:val="num" w:pos="1080"/>
        </w:tabs>
        <w:ind w:left="0" w:firstLine="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8F096D"/>
    <w:multiLevelType w:val="multilevel"/>
    <w:tmpl w:val="17DA8C16"/>
    <w:lvl w:ilvl="0">
      <w:start w:val="1"/>
      <w:numFmt w:val="decimal"/>
      <w:lvlText w:val="%1."/>
      <w:lvlJc w:val="left"/>
      <w:pPr>
        <w:tabs>
          <w:tab w:val="num" w:pos="1440"/>
        </w:tabs>
        <w:ind w:left="0" w:firstLine="86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AD3542C"/>
    <w:multiLevelType w:val="hybridMultilevel"/>
    <w:tmpl w:val="C67C1FD4"/>
    <w:lvl w:ilvl="0" w:tplc="0F52394C">
      <w:start w:val="1"/>
      <w:numFmt w:val="decimal"/>
      <w:lvlText w:val="%1."/>
      <w:lvlJc w:val="left"/>
      <w:pPr>
        <w:tabs>
          <w:tab w:val="num" w:pos="1152"/>
        </w:tabs>
        <w:ind w:left="0" w:firstLine="576"/>
      </w:pPr>
      <w:rPr>
        <w:rFonts w:hint="default"/>
        <w:b w:val="0"/>
        <w:i w:val="0"/>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554B33"/>
    <w:multiLevelType w:val="multilevel"/>
    <w:tmpl w:val="17DA8C16"/>
    <w:lvl w:ilvl="0">
      <w:start w:val="1"/>
      <w:numFmt w:val="decimal"/>
      <w:lvlText w:val="%1."/>
      <w:lvlJc w:val="left"/>
      <w:pPr>
        <w:tabs>
          <w:tab w:val="num" w:pos="1440"/>
        </w:tabs>
        <w:ind w:left="0" w:firstLine="86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B8328A5"/>
    <w:multiLevelType w:val="hybridMultilevel"/>
    <w:tmpl w:val="4A9245D0"/>
    <w:lvl w:ilvl="0" w:tplc="F498251E">
      <w:start w:val="3"/>
      <w:numFmt w:val="decimal"/>
      <w:lvlText w:val="%1."/>
      <w:lvlJc w:val="left"/>
      <w:pPr>
        <w:tabs>
          <w:tab w:val="num" w:pos="1656"/>
        </w:tabs>
        <w:ind w:left="1656" w:hanging="360"/>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29E41DA"/>
    <w:multiLevelType w:val="hybridMultilevel"/>
    <w:tmpl w:val="0E1CCEB6"/>
    <w:lvl w:ilvl="0" w:tplc="55202A66">
      <w:start w:val="10"/>
      <w:numFmt w:val="decimal"/>
      <w:lvlText w:val="%1."/>
      <w:lvlJc w:val="left"/>
      <w:pPr>
        <w:tabs>
          <w:tab w:val="num" w:pos="864"/>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087B2E"/>
    <w:multiLevelType w:val="multilevel"/>
    <w:tmpl w:val="9E14EA9A"/>
    <w:lvl w:ilvl="0">
      <w:start w:val="6"/>
      <w:numFmt w:val="decimal"/>
      <w:lvlText w:val="%1."/>
      <w:lvlJc w:val="left"/>
      <w:pPr>
        <w:tabs>
          <w:tab w:val="num" w:pos="1512"/>
        </w:tabs>
        <w:ind w:left="0" w:firstLine="100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0D23580"/>
    <w:multiLevelType w:val="hybridMultilevel"/>
    <w:tmpl w:val="17DA8C16"/>
    <w:lvl w:ilvl="0" w:tplc="CA06E71C">
      <w:start w:val="1"/>
      <w:numFmt w:val="decimal"/>
      <w:lvlText w:val="%1."/>
      <w:lvlJc w:val="left"/>
      <w:pPr>
        <w:tabs>
          <w:tab w:val="num" w:pos="1440"/>
        </w:tabs>
        <w:ind w:left="0" w:firstLine="864"/>
      </w:pPr>
      <w:rPr>
        <w:rFonts w:hint="default"/>
      </w:rPr>
    </w:lvl>
    <w:lvl w:ilvl="1" w:tplc="DB20D2A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1112DA"/>
    <w:multiLevelType w:val="hybridMultilevel"/>
    <w:tmpl w:val="B1A45992"/>
    <w:lvl w:ilvl="0" w:tplc="7194B178">
      <w:start w:val="9"/>
      <w:numFmt w:val="decimal"/>
      <w:lvlText w:val="%1."/>
      <w:lvlJc w:val="left"/>
      <w:pPr>
        <w:tabs>
          <w:tab w:val="num" w:pos="288"/>
        </w:tabs>
        <w:ind w:left="-216" w:firstLine="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B4E4AAC"/>
    <w:multiLevelType w:val="hybridMultilevel"/>
    <w:tmpl w:val="B5AE4AA6"/>
    <w:lvl w:ilvl="0" w:tplc="65504D2C">
      <w:start w:val="9"/>
      <w:numFmt w:val="decimal"/>
      <w:lvlText w:val="%1."/>
      <w:lvlJc w:val="left"/>
      <w:pPr>
        <w:tabs>
          <w:tab w:val="num" w:pos="864"/>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1700DF"/>
    <w:multiLevelType w:val="singleLevel"/>
    <w:tmpl w:val="3C1C8084"/>
    <w:lvl w:ilvl="0">
      <w:start w:val="1"/>
      <w:numFmt w:val="lowerLetter"/>
      <w:lvlText w:val="%1)"/>
      <w:legacy w:legacy="1" w:legacySpace="0" w:legacyIndent="317"/>
      <w:lvlJc w:val="left"/>
      <w:rPr>
        <w:rFonts w:ascii="Times New Roman" w:hAnsi="Times New Roman" w:cs="Times New Roman" w:hint="default"/>
      </w:rPr>
    </w:lvl>
  </w:abstractNum>
  <w:abstractNum w:abstractNumId="19">
    <w:nsid w:val="72AE3CD8"/>
    <w:multiLevelType w:val="multilevel"/>
    <w:tmpl w:val="B1A45992"/>
    <w:lvl w:ilvl="0">
      <w:start w:val="9"/>
      <w:numFmt w:val="decimal"/>
      <w:lvlText w:val="%1."/>
      <w:lvlJc w:val="left"/>
      <w:pPr>
        <w:tabs>
          <w:tab w:val="num" w:pos="288"/>
        </w:tabs>
        <w:ind w:left="-216" w:firstLine="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84A74A5"/>
    <w:multiLevelType w:val="hybridMultilevel"/>
    <w:tmpl w:val="11A8CE40"/>
    <w:lvl w:ilvl="0" w:tplc="F1A27BCC">
      <w:start w:val="6"/>
      <w:numFmt w:val="decimal"/>
      <w:lvlText w:val="%1."/>
      <w:lvlJc w:val="left"/>
      <w:pPr>
        <w:tabs>
          <w:tab w:val="num" w:pos="1512"/>
        </w:tabs>
        <w:ind w:left="0" w:firstLine="864"/>
      </w:pPr>
      <w:rPr>
        <w:rFonts w:hint="default"/>
      </w:rPr>
    </w:lvl>
    <w:lvl w:ilvl="1" w:tplc="23A031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21713F"/>
    <w:multiLevelType w:val="multilevel"/>
    <w:tmpl w:val="11A8CE40"/>
    <w:lvl w:ilvl="0">
      <w:start w:val="6"/>
      <w:numFmt w:val="decimal"/>
      <w:lvlText w:val="%1."/>
      <w:lvlJc w:val="left"/>
      <w:pPr>
        <w:tabs>
          <w:tab w:val="num" w:pos="1512"/>
        </w:tabs>
        <w:ind w:left="0" w:firstLine="864"/>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5"/>
  </w:num>
  <w:num w:numId="5">
    <w:abstractNumId w:val="5"/>
  </w:num>
  <w:num w:numId="6">
    <w:abstractNumId w:val="5"/>
  </w:num>
  <w:num w:numId="7">
    <w:abstractNumId w:val="5"/>
  </w:num>
  <w:num w:numId="8">
    <w:abstractNumId w:val="18"/>
  </w:num>
  <w:num w:numId="9">
    <w:abstractNumId w:val="14"/>
  </w:num>
  <w:num w:numId="10">
    <w:abstractNumId w:val="6"/>
  </w:num>
  <w:num w:numId="11">
    <w:abstractNumId w:val="20"/>
  </w:num>
  <w:num w:numId="12">
    <w:abstractNumId w:val="1"/>
  </w:num>
  <w:num w:numId="13">
    <w:abstractNumId w:val="13"/>
  </w:num>
  <w:num w:numId="14">
    <w:abstractNumId w:val="15"/>
  </w:num>
  <w:num w:numId="15">
    <w:abstractNumId w:val="19"/>
  </w:num>
  <w:num w:numId="16">
    <w:abstractNumId w:val="17"/>
  </w:num>
  <w:num w:numId="17">
    <w:abstractNumId w:val="21"/>
  </w:num>
  <w:num w:numId="18">
    <w:abstractNumId w:val="12"/>
  </w:num>
  <w:num w:numId="19">
    <w:abstractNumId w:val="7"/>
  </w:num>
  <w:num w:numId="20">
    <w:abstractNumId w:val="9"/>
  </w:num>
  <w:num w:numId="21">
    <w:abstractNumId w:val="8"/>
  </w:num>
  <w:num w:numId="22">
    <w:abstractNumId w:val="10"/>
  </w:num>
  <w:num w:numId="23">
    <w:abstractNumId w:val="16"/>
  </w:num>
  <w:num w:numId="24">
    <w:abstractNumId w:val="16"/>
  </w:num>
  <w:num w:numId="25">
    <w:abstractNumId w:val="11"/>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69"/>
    <w:rsid w:val="00005E9D"/>
    <w:rsid w:val="000121C4"/>
    <w:rsid w:val="000214CF"/>
    <w:rsid w:val="0002695B"/>
    <w:rsid w:val="00030FD0"/>
    <w:rsid w:val="00031D03"/>
    <w:rsid w:val="0003341D"/>
    <w:rsid w:val="00035A95"/>
    <w:rsid w:val="0004071F"/>
    <w:rsid w:val="00053E83"/>
    <w:rsid w:val="00055BCC"/>
    <w:rsid w:val="000561CE"/>
    <w:rsid w:val="000573A8"/>
    <w:rsid w:val="000617B5"/>
    <w:rsid w:val="00061A35"/>
    <w:rsid w:val="00062A80"/>
    <w:rsid w:val="00064626"/>
    <w:rsid w:val="000656B3"/>
    <w:rsid w:val="000657DA"/>
    <w:rsid w:val="00066B94"/>
    <w:rsid w:val="00071DB8"/>
    <w:rsid w:val="00074016"/>
    <w:rsid w:val="00074355"/>
    <w:rsid w:val="00074D44"/>
    <w:rsid w:val="0007536A"/>
    <w:rsid w:val="0007620E"/>
    <w:rsid w:val="0008414A"/>
    <w:rsid w:val="00086D8D"/>
    <w:rsid w:val="000961BD"/>
    <w:rsid w:val="000965E7"/>
    <w:rsid w:val="00096B51"/>
    <w:rsid w:val="00096C76"/>
    <w:rsid w:val="000A038F"/>
    <w:rsid w:val="000A294B"/>
    <w:rsid w:val="000A2AA9"/>
    <w:rsid w:val="000A32EC"/>
    <w:rsid w:val="000A4279"/>
    <w:rsid w:val="000A71FF"/>
    <w:rsid w:val="000A7CA1"/>
    <w:rsid w:val="000B44EE"/>
    <w:rsid w:val="000B7113"/>
    <w:rsid w:val="000B7B52"/>
    <w:rsid w:val="000B7EDC"/>
    <w:rsid w:val="000D024C"/>
    <w:rsid w:val="000E199C"/>
    <w:rsid w:val="000E62EF"/>
    <w:rsid w:val="000E6F86"/>
    <w:rsid w:val="000F2FEF"/>
    <w:rsid w:val="001051EB"/>
    <w:rsid w:val="00106AA1"/>
    <w:rsid w:val="00111349"/>
    <w:rsid w:val="00116CA2"/>
    <w:rsid w:val="00120918"/>
    <w:rsid w:val="00122783"/>
    <w:rsid w:val="001238CE"/>
    <w:rsid w:val="00130071"/>
    <w:rsid w:val="00131E60"/>
    <w:rsid w:val="00132821"/>
    <w:rsid w:val="00134092"/>
    <w:rsid w:val="001342C8"/>
    <w:rsid w:val="0013556B"/>
    <w:rsid w:val="0014562F"/>
    <w:rsid w:val="001469BC"/>
    <w:rsid w:val="00147B0D"/>
    <w:rsid w:val="001606B3"/>
    <w:rsid w:val="0016163D"/>
    <w:rsid w:val="00164AF1"/>
    <w:rsid w:val="00165DEA"/>
    <w:rsid w:val="00166861"/>
    <w:rsid w:val="00166BE5"/>
    <w:rsid w:val="00181386"/>
    <w:rsid w:val="00182C3E"/>
    <w:rsid w:val="00190B6A"/>
    <w:rsid w:val="00194BB7"/>
    <w:rsid w:val="0019685C"/>
    <w:rsid w:val="001A0102"/>
    <w:rsid w:val="001A09A4"/>
    <w:rsid w:val="001A0B4F"/>
    <w:rsid w:val="001A3906"/>
    <w:rsid w:val="001A4771"/>
    <w:rsid w:val="001B0DDF"/>
    <w:rsid w:val="001B2E0A"/>
    <w:rsid w:val="001B5FD8"/>
    <w:rsid w:val="001C0132"/>
    <w:rsid w:val="001C252F"/>
    <w:rsid w:val="001C711E"/>
    <w:rsid w:val="001C7C34"/>
    <w:rsid w:val="001D062F"/>
    <w:rsid w:val="001D7B65"/>
    <w:rsid w:val="001E3954"/>
    <w:rsid w:val="001E5636"/>
    <w:rsid w:val="001F07AF"/>
    <w:rsid w:val="00200EED"/>
    <w:rsid w:val="0020272F"/>
    <w:rsid w:val="002121C7"/>
    <w:rsid w:val="00222971"/>
    <w:rsid w:val="002248E2"/>
    <w:rsid w:val="00225CCE"/>
    <w:rsid w:val="002266CF"/>
    <w:rsid w:val="00227175"/>
    <w:rsid w:val="00233200"/>
    <w:rsid w:val="00233661"/>
    <w:rsid w:val="0023382E"/>
    <w:rsid w:val="002361C6"/>
    <w:rsid w:val="002416AE"/>
    <w:rsid w:val="00241BAF"/>
    <w:rsid w:val="00244932"/>
    <w:rsid w:val="0024641A"/>
    <w:rsid w:val="002533CB"/>
    <w:rsid w:val="00254567"/>
    <w:rsid w:val="00255914"/>
    <w:rsid w:val="00256BAC"/>
    <w:rsid w:val="0026030B"/>
    <w:rsid w:val="002644E2"/>
    <w:rsid w:val="00266A45"/>
    <w:rsid w:val="00266F42"/>
    <w:rsid w:val="0027094E"/>
    <w:rsid w:val="002733A4"/>
    <w:rsid w:val="002739BA"/>
    <w:rsid w:val="00274A25"/>
    <w:rsid w:val="0028147B"/>
    <w:rsid w:val="00282723"/>
    <w:rsid w:val="00283B00"/>
    <w:rsid w:val="00283E4A"/>
    <w:rsid w:val="00284A92"/>
    <w:rsid w:val="00290F7D"/>
    <w:rsid w:val="002A1C0C"/>
    <w:rsid w:val="002A1DDF"/>
    <w:rsid w:val="002A2C7C"/>
    <w:rsid w:val="002A3BFF"/>
    <w:rsid w:val="002A4679"/>
    <w:rsid w:val="002A660B"/>
    <w:rsid w:val="002B1052"/>
    <w:rsid w:val="002B29DE"/>
    <w:rsid w:val="002B3E01"/>
    <w:rsid w:val="002B6ABA"/>
    <w:rsid w:val="002C2780"/>
    <w:rsid w:val="002C2D74"/>
    <w:rsid w:val="002C3DF8"/>
    <w:rsid w:val="002C3EE0"/>
    <w:rsid w:val="002C47E8"/>
    <w:rsid w:val="002C53E5"/>
    <w:rsid w:val="002D1A5C"/>
    <w:rsid w:val="002D2645"/>
    <w:rsid w:val="002D2B56"/>
    <w:rsid w:val="002D70C4"/>
    <w:rsid w:val="002E0DB2"/>
    <w:rsid w:val="002E24AB"/>
    <w:rsid w:val="002E5059"/>
    <w:rsid w:val="002E7EB3"/>
    <w:rsid w:val="002F0357"/>
    <w:rsid w:val="002F76F1"/>
    <w:rsid w:val="00302EB9"/>
    <w:rsid w:val="003041C6"/>
    <w:rsid w:val="00307FBE"/>
    <w:rsid w:val="00316B4B"/>
    <w:rsid w:val="00323A72"/>
    <w:rsid w:val="00334E66"/>
    <w:rsid w:val="0033712F"/>
    <w:rsid w:val="00341E0D"/>
    <w:rsid w:val="00342FA0"/>
    <w:rsid w:val="00347EEF"/>
    <w:rsid w:val="00350127"/>
    <w:rsid w:val="003567AE"/>
    <w:rsid w:val="0035781B"/>
    <w:rsid w:val="00364EDD"/>
    <w:rsid w:val="00366D67"/>
    <w:rsid w:val="00366FDD"/>
    <w:rsid w:val="0036788C"/>
    <w:rsid w:val="003700C6"/>
    <w:rsid w:val="00371F0B"/>
    <w:rsid w:val="003724E1"/>
    <w:rsid w:val="00374BF1"/>
    <w:rsid w:val="003760C8"/>
    <w:rsid w:val="00377161"/>
    <w:rsid w:val="003777F2"/>
    <w:rsid w:val="00380DF9"/>
    <w:rsid w:val="0038424E"/>
    <w:rsid w:val="00384ECC"/>
    <w:rsid w:val="00391334"/>
    <w:rsid w:val="003A2845"/>
    <w:rsid w:val="003B17D3"/>
    <w:rsid w:val="003C2A48"/>
    <w:rsid w:val="003C3BC8"/>
    <w:rsid w:val="003D0114"/>
    <w:rsid w:val="003E3C40"/>
    <w:rsid w:val="003E4DB0"/>
    <w:rsid w:val="003E6BA4"/>
    <w:rsid w:val="003F0F8E"/>
    <w:rsid w:val="003F1D59"/>
    <w:rsid w:val="003F3580"/>
    <w:rsid w:val="003F7488"/>
    <w:rsid w:val="004013ED"/>
    <w:rsid w:val="004022BF"/>
    <w:rsid w:val="00402A30"/>
    <w:rsid w:val="004055DD"/>
    <w:rsid w:val="00416C35"/>
    <w:rsid w:val="00420C33"/>
    <w:rsid w:val="004217C0"/>
    <w:rsid w:val="00422686"/>
    <w:rsid w:val="00424592"/>
    <w:rsid w:val="004247EA"/>
    <w:rsid w:val="00436B9B"/>
    <w:rsid w:val="00442EA8"/>
    <w:rsid w:val="00444E91"/>
    <w:rsid w:val="004451CA"/>
    <w:rsid w:val="00447F7B"/>
    <w:rsid w:val="00447FBA"/>
    <w:rsid w:val="00454E5B"/>
    <w:rsid w:val="00463E5D"/>
    <w:rsid w:val="00466605"/>
    <w:rsid w:val="0047081D"/>
    <w:rsid w:val="00473E66"/>
    <w:rsid w:val="00480C47"/>
    <w:rsid w:val="004858D9"/>
    <w:rsid w:val="00486BBB"/>
    <w:rsid w:val="0049085D"/>
    <w:rsid w:val="00491717"/>
    <w:rsid w:val="004A3684"/>
    <w:rsid w:val="004A66D6"/>
    <w:rsid w:val="004A7651"/>
    <w:rsid w:val="004B67F5"/>
    <w:rsid w:val="004C2472"/>
    <w:rsid w:val="004C2F89"/>
    <w:rsid w:val="004C4E63"/>
    <w:rsid w:val="004D2864"/>
    <w:rsid w:val="004E4460"/>
    <w:rsid w:val="004E6698"/>
    <w:rsid w:val="004E767F"/>
    <w:rsid w:val="004E7910"/>
    <w:rsid w:val="004F5CB9"/>
    <w:rsid w:val="0050586E"/>
    <w:rsid w:val="005174CB"/>
    <w:rsid w:val="005204FD"/>
    <w:rsid w:val="005219E0"/>
    <w:rsid w:val="00521DED"/>
    <w:rsid w:val="0052264C"/>
    <w:rsid w:val="00524798"/>
    <w:rsid w:val="00526237"/>
    <w:rsid w:val="00526CCC"/>
    <w:rsid w:val="005303D3"/>
    <w:rsid w:val="0053745D"/>
    <w:rsid w:val="0055177D"/>
    <w:rsid w:val="005631E7"/>
    <w:rsid w:val="00563708"/>
    <w:rsid w:val="00572042"/>
    <w:rsid w:val="0057463A"/>
    <w:rsid w:val="005749D9"/>
    <w:rsid w:val="0057501F"/>
    <w:rsid w:val="005962B3"/>
    <w:rsid w:val="00596976"/>
    <w:rsid w:val="005A0362"/>
    <w:rsid w:val="005B20CC"/>
    <w:rsid w:val="005B6E4C"/>
    <w:rsid w:val="005B7B10"/>
    <w:rsid w:val="005D2D53"/>
    <w:rsid w:val="005D3AC1"/>
    <w:rsid w:val="005D43CD"/>
    <w:rsid w:val="005D4A37"/>
    <w:rsid w:val="005E1DC8"/>
    <w:rsid w:val="005F1F4C"/>
    <w:rsid w:val="005F25F7"/>
    <w:rsid w:val="00601E1A"/>
    <w:rsid w:val="0060287F"/>
    <w:rsid w:val="006048CA"/>
    <w:rsid w:val="00610A2E"/>
    <w:rsid w:val="006178FD"/>
    <w:rsid w:val="00622C2C"/>
    <w:rsid w:val="00626969"/>
    <w:rsid w:val="00632203"/>
    <w:rsid w:val="00634AF1"/>
    <w:rsid w:val="00635DCE"/>
    <w:rsid w:val="0063695D"/>
    <w:rsid w:val="0063701A"/>
    <w:rsid w:val="0063783D"/>
    <w:rsid w:val="0064231C"/>
    <w:rsid w:val="006427A0"/>
    <w:rsid w:val="00647FE7"/>
    <w:rsid w:val="00650373"/>
    <w:rsid w:val="00651641"/>
    <w:rsid w:val="00654F01"/>
    <w:rsid w:val="00655346"/>
    <w:rsid w:val="00656071"/>
    <w:rsid w:val="00671E8B"/>
    <w:rsid w:val="00687F3D"/>
    <w:rsid w:val="006910E9"/>
    <w:rsid w:val="00694807"/>
    <w:rsid w:val="00695758"/>
    <w:rsid w:val="006A2D54"/>
    <w:rsid w:val="006A444D"/>
    <w:rsid w:val="006B55A2"/>
    <w:rsid w:val="006B5664"/>
    <w:rsid w:val="006B5B11"/>
    <w:rsid w:val="006B74E6"/>
    <w:rsid w:val="006B7E26"/>
    <w:rsid w:val="006C1628"/>
    <w:rsid w:val="006C2B46"/>
    <w:rsid w:val="006C3965"/>
    <w:rsid w:val="006C40E9"/>
    <w:rsid w:val="006D5F7D"/>
    <w:rsid w:val="006D7DB4"/>
    <w:rsid w:val="006E2020"/>
    <w:rsid w:val="006E3B65"/>
    <w:rsid w:val="006E5ED9"/>
    <w:rsid w:val="006F107D"/>
    <w:rsid w:val="006F4673"/>
    <w:rsid w:val="006F5268"/>
    <w:rsid w:val="007005C2"/>
    <w:rsid w:val="00702117"/>
    <w:rsid w:val="00704476"/>
    <w:rsid w:val="00704EBB"/>
    <w:rsid w:val="00710B8C"/>
    <w:rsid w:val="007117E4"/>
    <w:rsid w:val="0071696A"/>
    <w:rsid w:val="00722B5B"/>
    <w:rsid w:val="00723B96"/>
    <w:rsid w:val="00727632"/>
    <w:rsid w:val="00730509"/>
    <w:rsid w:val="007328A2"/>
    <w:rsid w:val="00735DFD"/>
    <w:rsid w:val="00742907"/>
    <w:rsid w:val="00745C08"/>
    <w:rsid w:val="00751A55"/>
    <w:rsid w:val="0075205B"/>
    <w:rsid w:val="00752398"/>
    <w:rsid w:val="00761FD6"/>
    <w:rsid w:val="00762609"/>
    <w:rsid w:val="007626E7"/>
    <w:rsid w:val="007646F3"/>
    <w:rsid w:val="00765FD2"/>
    <w:rsid w:val="00766BD5"/>
    <w:rsid w:val="007728BF"/>
    <w:rsid w:val="007731B2"/>
    <w:rsid w:val="00775B14"/>
    <w:rsid w:val="0077718C"/>
    <w:rsid w:val="00777C8D"/>
    <w:rsid w:val="0078062F"/>
    <w:rsid w:val="00791CA3"/>
    <w:rsid w:val="007920B0"/>
    <w:rsid w:val="00792ED9"/>
    <w:rsid w:val="0079688C"/>
    <w:rsid w:val="0079754A"/>
    <w:rsid w:val="007976CA"/>
    <w:rsid w:val="007A1BBF"/>
    <w:rsid w:val="007A7746"/>
    <w:rsid w:val="007B2F91"/>
    <w:rsid w:val="007B5064"/>
    <w:rsid w:val="007C076B"/>
    <w:rsid w:val="007C4038"/>
    <w:rsid w:val="007C40E3"/>
    <w:rsid w:val="007C7866"/>
    <w:rsid w:val="007D3298"/>
    <w:rsid w:val="007D5572"/>
    <w:rsid w:val="007D595C"/>
    <w:rsid w:val="007D7349"/>
    <w:rsid w:val="007E12F1"/>
    <w:rsid w:val="007E1488"/>
    <w:rsid w:val="007E1E6C"/>
    <w:rsid w:val="007E2237"/>
    <w:rsid w:val="007F4248"/>
    <w:rsid w:val="008001C0"/>
    <w:rsid w:val="00801BB8"/>
    <w:rsid w:val="00803299"/>
    <w:rsid w:val="00804750"/>
    <w:rsid w:val="008061F9"/>
    <w:rsid w:val="00812626"/>
    <w:rsid w:val="0081322D"/>
    <w:rsid w:val="008139AD"/>
    <w:rsid w:val="00814D4C"/>
    <w:rsid w:val="00816EC4"/>
    <w:rsid w:val="00817F22"/>
    <w:rsid w:val="00826E8A"/>
    <w:rsid w:val="00826FC1"/>
    <w:rsid w:val="00830975"/>
    <w:rsid w:val="00832EE0"/>
    <w:rsid w:val="008332D0"/>
    <w:rsid w:val="00833488"/>
    <w:rsid w:val="00837D98"/>
    <w:rsid w:val="008465D0"/>
    <w:rsid w:val="008520AF"/>
    <w:rsid w:val="00857884"/>
    <w:rsid w:val="00860D21"/>
    <w:rsid w:val="00867347"/>
    <w:rsid w:val="008673D2"/>
    <w:rsid w:val="00867A75"/>
    <w:rsid w:val="00867C5C"/>
    <w:rsid w:val="00870ADC"/>
    <w:rsid w:val="008720D9"/>
    <w:rsid w:val="008772BE"/>
    <w:rsid w:val="0088080E"/>
    <w:rsid w:val="00880842"/>
    <w:rsid w:val="00887595"/>
    <w:rsid w:val="008970C5"/>
    <w:rsid w:val="008A3105"/>
    <w:rsid w:val="008A6B03"/>
    <w:rsid w:val="008B34FB"/>
    <w:rsid w:val="008B651D"/>
    <w:rsid w:val="008B6B6E"/>
    <w:rsid w:val="008C1097"/>
    <w:rsid w:val="008D1C8A"/>
    <w:rsid w:val="008D43F9"/>
    <w:rsid w:val="008D6D56"/>
    <w:rsid w:val="008E01D8"/>
    <w:rsid w:val="008E028F"/>
    <w:rsid w:val="008F49DE"/>
    <w:rsid w:val="008F5ABA"/>
    <w:rsid w:val="0090079B"/>
    <w:rsid w:val="0090610F"/>
    <w:rsid w:val="00907129"/>
    <w:rsid w:val="00917FEF"/>
    <w:rsid w:val="009208E6"/>
    <w:rsid w:val="00922A09"/>
    <w:rsid w:val="0092303C"/>
    <w:rsid w:val="009246FC"/>
    <w:rsid w:val="00931174"/>
    <w:rsid w:val="00931C1C"/>
    <w:rsid w:val="00931EBD"/>
    <w:rsid w:val="0093780A"/>
    <w:rsid w:val="00941562"/>
    <w:rsid w:val="0094290D"/>
    <w:rsid w:val="009467F3"/>
    <w:rsid w:val="00947B84"/>
    <w:rsid w:val="00953706"/>
    <w:rsid w:val="00955CBC"/>
    <w:rsid w:val="009563C6"/>
    <w:rsid w:val="0095778F"/>
    <w:rsid w:val="00957CFB"/>
    <w:rsid w:val="0096065E"/>
    <w:rsid w:val="00962865"/>
    <w:rsid w:val="009645B7"/>
    <w:rsid w:val="00966769"/>
    <w:rsid w:val="0097082D"/>
    <w:rsid w:val="00972150"/>
    <w:rsid w:val="00983011"/>
    <w:rsid w:val="00984453"/>
    <w:rsid w:val="00984A44"/>
    <w:rsid w:val="00987751"/>
    <w:rsid w:val="00996F6F"/>
    <w:rsid w:val="009A2B35"/>
    <w:rsid w:val="009A6F65"/>
    <w:rsid w:val="009B20BA"/>
    <w:rsid w:val="009B739F"/>
    <w:rsid w:val="009C06F4"/>
    <w:rsid w:val="009C2271"/>
    <w:rsid w:val="009C330C"/>
    <w:rsid w:val="009C3D22"/>
    <w:rsid w:val="009C4AEA"/>
    <w:rsid w:val="009C74C7"/>
    <w:rsid w:val="009D34A2"/>
    <w:rsid w:val="009D46C5"/>
    <w:rsid w:val="009D58D3"/>
    <w:rsid w:val="009D5B1C"/>
    <w:rsid w:val="009E147E"/>
    <w:rsid w:val="009E57BA"/>
    <w:rsid w:val="009F207D"/>
    <w:rsid w:val="009F63F6"/>
    <w:rsid w:val="00A00135"/>
    <w:rsid w:val="00A13D5B"/>
    <w:rsid w:val="00A21FB7"/>
    <w:rsid w:val="00A22022"/>
    <w:rsid w:val="00A270CD"/>
    <w:rsid w:val="00A320CA"/>
    <w:rsid w:val="00A32474"/>
    <w:rsid w:val="00A329D7"/>
    <w:rsid w:val="00A33549"/>
    <w:rsid w:val="00A342DF"/>
    <w:rsid w:val="00A34EF3"/>
    <w:rsid w:val="00A35735"/>
    <w:rsid w:val="00A372EA"/>
    <w:rsid w:val="00A41C53"/>
    <w:rsid w:val="00A4489B"/>
    <w:rsid w:val="00A44B95"/>
    <w:rsid w:val="00A44D80"/>
    <w:rsid w:val="00A475BF"/>
    <w:rsid w:val="00A60012"/>
    <w:rsid w:val="00A606D4"/>
    <w:rsid w:val="00A60BAC"/>
    <w:rsid w:val="00A61FD4"/>
    <w:rsid w:val="00A62F0B"/>
    <w:rsid w:val="00A65987"/>
    <w:rsid w:val="00A80F6D"/>
    <w:rsid w:val="00A83BC4"/>
    <w:rsid w:val="00A83C89"/>
    <w:rsid w:val="00A87A9A"/>
    <w:rsid w:val="00AA04B6"/>
    <w:rsid w:val="00AA5539"/>
    <w:rsid w:val="00AA67B3"/>
    <w:rsid w:val="00AB543B"/>
    <w:rsid w:val="00AC0207"/>
    <w:rsid w:val="00AC1F23"/>
    <w:rsid w:val="00AD0949"/>
    <w:rsid w:val="00AD4209"/>
    <w:rsid w:val="00AD47FF"/>
    <w:rsid w:val="00AE5116"/>
    <w:rsid w:val="00AE6B54"/>
    <w:rsid w:val="00AF01D8"/>
    <w:rsid w:val="00AF1F9E"/>
    <w:rsid w:val="00AF45AB"/>
    <w:rsid w:val="00AF5979"/>
    <w:rsid w:val="00B006FF"/>
    <w:rsid w:val="00B01AA8"/>
    <w:rsid w:val="00B0629D"/>
    <w:rsid w:val="00B07D4F"/>
    <w:rsid w:val="00B10C99"/>
    <w:rsid w:val="00B13220"/>
    <w:rsid w:val="00B16161"/>
    <w:rsid w:val="00B17FD9"/>
    <w:rsid w:val="00B20709"/>
    <w:rsid w:val="00B20C0C"/>
    <w:rsid w:val="00B23597"/>
    <w:rsid w:val="00B264C9"/>
    <w:rsid w:val="00B26A50"/>
    <w:rsid w:val="00B26EA8"/>
    <w:rsid w:val="00B32768"/>
    <w:rsid w:val="00B422EA"/>
    <w:rsid w:val="00B42BF3"/>
    <w:rsid w:val="00B4750B"/>
    <w:rsid w:val="00B57191"/>
    <w:rsid w:val="00B57FBA"/>
    <w:rsid w:val="00B57FDA"/>
    <w:rsid w:val="00B609F1"/>
    <w:rsid w:val="00B62DC5"/>
    <w:rsid w:val="00B7372C"/>
    <w:rsid w:val="00B740EF"/>
    <w:rsid w:val="00B778CF"/>
    <w:rsid w:val="00B814EE"/>
    <w:rsid w:val="00B86EB4"/>
    <w:rsid w:val="00B8722C"/>
    <w:rsid w:val="00B91FDE"/>
    <w:rsid w:val="00B959E0"/>
    <w:rsid w:val="00B95DA1"/>
    <w:rsid w:val="00B95E17"/>
    <w:rsid w:val="00B95EBD"/>
    <w:rsid w:val="00BB4551"/>
    <w:rsid w:val="00BC000B"/>
    <w:rsid w:val="00BC3872"/>
    <w:rsid w:val="00BC4EC5"/>
    <w:rsid w:val="00BD7EFB"/>
    <w:rsid w:val="00BF2DC9"/>
    <w:rsid w:val="00BF5183"/>
    <w:rsid w:val="00BF5A3F"/>
    <w:rsid w:val="00BF77FB"/>
    <w:rsid w:val="00C01EAA"/>
    <w:rsid w:val="00C031EA"/>
    <w:rsid w:val="00C03416"/>
    <w:rsid w:val="00C13138"/>
    <w:rsid w:val="00C152E0"/>
    <w:rsid w:val="00C1577E"/>
    <w:rsid w:val="00C200F4"/>
    <w:rsid w:val="00C2407D"/>
    <w:rsid w:val="00C2726B"/>
    <w:rsid w:val="00C30453"/>
    <w:rsid w:val="00C352B9"/>
    <w:rsid w:val="00C45AB5"/>
    <w:rsid w:val="00C465F6"/>
    <w:rsid w:val="00C46DA7"/>
    <w:rsid w:val="00C47040"/>
    <w:rsid w:val="00C507DF"/>
    <w:rsid w:val="00C554DF"/>
    <w:rsid w:val="00C56669"/>
    <w:rsid w:val="00C61868"/>
    <w:rsid w:val="00C6461F"/>
    <w:rsid w:val="00C73C36"/>
    <w:rsid w:val="00C7573C"/>
    <w:rsid w:val="00C87E9A"/>
    <w:rsid w:val="00C93FCA"/>
    <w:rsid w:val="00C94E80"/>
    <w:rsid w:val="00C96C1F"/>
    <w:rsid w:val="00C97BA6"/>
    <w:rsid w:val="00CA2DE8"/>
    <w:rsid w:val="00CB4A30"/>
    <w:rsid w:val="00CB7C3A"/>
    <w:rsid w:val="00CC2108"/>
    <w:rsid w:val="00CC2182"/>
    <w:rsid w:val="00CC6716"/>
    <w:rsid w:val="00CC7158"/>
    <w:rsid w:val="00CD01E8"/>
    <w:rsid w:val="00CD09BF"/>
    <w:rsid w:val="00CD45F9"/>
    <w:rsid w:val="00CD6D7B"/>
    <w:rsid w:val="00CE0AE5"/>
    <w:rsid w:val="00CE343B"/>
    <w:rsid w:val="00CF1790"/>
    <w:rsid w:val="00CF3336"/>
    <w:rsid w:val="00CF5B0B"/>
    <w:rsid w:val="00D007D7"/>
    <w:rsid w:val="00D0168E"/>
    <w:rsid w:val="00D0271B"/>
    <w:rsid w:val="00D02C36"/>
    <w:rsid w:val="00D0597D"/>
    <w:rsid w:val="00D07B25"/>
    <w:rsid w:val="00D13DB3"/>
    <w:rsid w:val="00D1400C"/>
    <w:rsid w:val="00D168F3"/>
    <w:rsid w:val="00D177D4"/>
    <w:rsid w:val="00D17860"/>
    <w:rsid w:val="00D22381"/>
    <w:rsid w:val="00D258AC"/>
    <w:rsid w:val="00D25DB8"/>
    <w:rsid w:val="00D327DD"/>
    <w:rsid w:val="00D34E10"/>
    <w:rsid w:val="00D37510"/>
    <w:rsid w:val="00D50925"/>
    <w:rsid w:val="00D56802"/>
    <w:rsid w:val="00D5713A"/>
    <w:rsid w:val="00D67E7B"/>
    <w:rsid w:val="00D72010"/>
    <w:rsid w:val="00D72BA7"/>
    <w:rsid w:val="00D72DCA"/>
    <w:rsid w:val="00D74B52"/>
    <w:rsid w:val="00D755AB"/>
    <w:rsid w:val="00D75ECB"/>
    <w:rsid w:val="00D820DE"/>
    <w:rsid w:val="00D862F9"/>
    <w:rsid w:val="00D905C0"/>
    <w:rsid w:val="00D93A89"/>
    <w:rsid w:val="00DA2166"/>
    <w:rsid w:val="00DA550B"/>
    <w:rsid w:val="00DA6A22"/>
    <w:rsid w:val="00DB1278"/>
    <w:rsid w:val="00DB7732"/>
    <w:rsid w:val="00DC273E"/>
    <w:rsid w:val="00DC534F"/>
    <w:rsid w:val="00DC60A1"/>
    <w:rsid w:val="00DC7F41"/>
    <w:rsid w:val="00DD0565"/>
    <w:rsid w:val="00DD0BC0"/>
    <w:rsid w:val="00DE3E34"/>
    <w:rsid w:val="00DE59A8"/>
    <w:rsid w:val="00DE5BCE"/>
    <w:rsid w:val="00DE60E3"/>
    <w:rsid w:val="00DE65B0"/>
    <w:rsid w:val="00DE7254"/>
    <w:rsid w:val="00DF5D92"/>
    <w:rsid w:val="00E005B5"/>
    <w:rsid w:val="00E0169A"/>
    <w:rsid w:val="00E0239A"/>
    <w:rsid w:val="00E02751"/>
    <w:rsid w:val="00E05226"/>
    <w:rsid w:val="00E1035D"/>
    <w:rsid w:val="00E1089A"/>
    <w:rsid w:val="00E175A6"/>
    <w:rsid w:val="00E17BA2"/>
    <w:rsid w:val="00E2378F"/>
    <w:rsid w:val="00E24744"/>
    <w:rsid w:val="00E263A0"/>
    <w:rsid w:val="00E26901"/>
    <w:rsid w:val="00E30B20"/>
    <w:rsid w:val="00E35683"/>
    <w:rsid w:val="00E37779"/>
    <w:rsid w:val="00E432BC"/>
    <w:rsid w:val="00E43B96"/>
    <w:rsid w:val="00E43CFD"/>
    <w:rsid w:val="00E46121"/>
    <w:rsid w:val="00E46F28"/>
    <w:rsid w:val="00E476F4"/>
    <w:rsid w:val="00E50F0A"/>
    <w:rsid w:val="00E51B19"/>
    <w:rsid w:val="00E54506"/>
    <w:rsid w:val="00E57841"/>
    <w:rsid w:val="00E60FAE"/>
    <w:rsid w:val="00E620F3"/>
    <w:rsid w:val="00E65F2C"/>
    <w:rsid w:val="00E7076A"/>
    <w:rsid w:val="00E72332"/>
    <w:rsid w:val="00E777EC"/>
    <w:rsid w:val="00E8162F"/>
    <w:rsid w:val="00E87352"/>
    <w:rsid w:val="00E93E0A"/>
    <w:rsid w:val="00EA0995"/>
    <w:rsid w:val="00EA18BB"/>
    <w:rsid w:val="00EA72E5"/>
    <w:rsid w:val="00EB137B"/>
    <w:rsid w:val="00EB251C"/>
    <w:rsid w:val="00EB2A4F"/>
    <w:rsid w:val="00EB59AE"/>
    <w:rsid w:val="00EB61FE"/>
    <w:rsid w:val="00EB7D09"/>
    <w:rsid w:val="00EC6CD0"/>
    <w:rsid w:val="00EC77F9"/>
    <w:rsid w:val="00ED44DD"/>
    <w:rsid w:val="00ED6EDC"/>
    <w:rsid w:val="00EE1D16"/>
    <w:rsid w:val="00EE6678"/>
    <w:rsid w:val="00EF02B5"/>
    <w:rsid w:val="00EF4EAB"/>
    <w:rsid w:val="00F00297"/>
    <w:rsid w:val="00F02335"/>
    <w:rsid w:val="00F03647"/>
    <w:rsid w:val="00F13F5C"/>
    <w:rsid w:val="00F15795"/>
    <w:rsid w:val="00F16DAE"/>
    <w:rsid w:val="00F173BB"/>
    <w:rsid w:val="00F20D73"/>
    <w:rsid w:val="00F21FEF"/>
    <w:rsid w:val="00F23C69"/>
    <w:rsid w:val="00F31385"/>
    <w:rsid w:val="00F34C34"/>
    <w:rsid w:val="00F358E8"/>
    <w:rsid w:val="00F36117"/>
    <w:rsid w:val="00F36F53"/>
    <w:rsid w:val="00F36FC5"/>
    <w:rsid w:val="00F37116"/>
    <w:rsid w:val="00F47576"/>
    <w:rsid w:val="00F52E14"/>
    <w:rsid w:val="00F54000"/>
    <w:rsid w:val="00F54F2F"/>
    <w:rsid w:val="00F611FF"/>
    <w:rsid w:val="00F62B70"/>
    <w:rsid w:val="00F62F53"/>
    <w:rsid w:val="00F65109"/>
    <w:rsid w:val="00F6675D"/>
    <w:rsid w:val="00F72F71"/>
    <w:rsid w:val="00F75D25"/>
    <w:rsid w:val="00F76746"/>
    <w:rsid w:val="00F8250E"/>
    <w:rsid w:val="00F82A5E"/>
    <w:rsid w:val="00F8306F"/>
    <w:rsid w:val="00F86CC6"/>
    <w:rsid w:val="00F8782A"/>
    <w:rsid w:val="00F87A36"/>
    <w:rsid w:val="00F915CC"/>
    <w:rsid w:val="00F929A7"/>
    <w:rsid w:val="00F94665"/>
    <w:rsid w:val="00F94F0E"/>
    <w:rsid w:val="00FA645B"/>
    <w:rsid w:val="00FA7025"/>
    <w:rsid w:val="00FB23AA"/>
    <w:rsid w:val="00FB67C7"/>
    <w:rsid w:val="00FC410F"/>
    <w:rsid w:val="00FD0DE7"/>
    <w:rsid w:val="00FD1D91"/>
    <w:rsid w:val="00FD62BA"/>
    <w:rsid w:val="00FD70CE"/>
    <w:rsid w:val="00FE1298"/>
    <w:rsid w:val="00FE24B4"/>
    <w:rsid w:val="00FF3688"/>
    <w:rsid w:val="00FF4EEC"/>
    <w:rsid w:val="00FF5DE6"/>
    <w:rsid w:val="00FF68B0"/>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05"/>
    <w:pPr>
      <w:widowControl w:val="0"/>
    </w:pPr>
    <w:rPr>
      <w:snapToGrid w:val="0"/>
      <w:kern w:val="28"/>
      <w:sz w:val="22"/>
    </w:rPr>
  </w:style>
  <w:style w:type="paragraph" w:styleId="Heading1">
    <w:name w:val="heading 1"/>
    <w:basedOn w:val="Normal"/>
    <w:next w:val="ParaNum"/>
    <w:qFormat/>
    <w:rsid w:val="008A310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A3105"/>
    <w:pPr>
      <w:keepNext/>
      <w:numPr>
        <w:ilvl w:val="1"/>
        <w:numId w:val="3"/>
      </w:numPr>
      <w:spacing w:after="120"/>
      <w:outlineLvl w:val="1"/>
    </w:pPr>
    <w:rPr>
      <w:b/>
    </w:rPr>
  </w:style>
  <w:style w:type="paragraph" w:styleId="Heading3">
    <w:name w:val="heading 3"/>
    <w:basedOn w:val="Normal"/>
    <w:next w:val="ParaNum"/>
    <w:qFormat/>
    <w:rsid w:val="008A3105"/>
    <w:pPr>
      <w:keepNext/>
      <w:numPr>
        <w:ilvl w:val="2"/>
        <w:numId w:val="3"/>
      </w:numPr>
      <w:tabs>
        <w:tab w:val="left" w:pos="2160"/>
      </w:tabs>
      <w:spacing w:after="120"/>
      <w:outlineLvl w:val="2"/>
    </w:pPr>
    <w:rPr>
      <w:b/>
    </w:rPr>
  </w:style>
  <w:style w:type="paragraph" w:styleId="Heading4">
    <w:name w:val="heading 4"/>
    <w:basedOn w:val="Normal"/>
    <w:next w:val="ParaNum"/>
    <w:qFormat/>
    <w:rsid w:val="008A3105"/>
    <w:pPr>
      <w:keepNext/>
      <w:numPr>
        <w:ilvl w:val="3"/>
        <w:numId w:val="3"/>
      </w:numPr>
      <w:tabs>
        <w:tab w:val="left" w:pos="2880"/>
      </w:tabs>
      <w:spacing w:after="120"/>
      <w:outlineLvl w:val="3"/>
    </w:pPr>
    <w:rPr>
      <w:b/>
    </w:rPr>
  </w:style>
  <w:style w:type="paragraph" w:styleId="Heading5">
    <w:name w:val="heading 5"/>
    <w:basedOn w:val="Normal"/>
    <w:next w:val="ParaNum"/>
    <w:qFormat/>
    <w:rsid w:val="008A310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A3105"/>
    <w:pPr>
      <w:numPr>
        <w:ilvl w:val="5"/>
        <w:numId w:val="3"/>
      </w:numPr>
      <w:tabs>
        <w:tab w:val="left" w:pos="4320"/>
      </w:tabs>
      <w:spacing w:after="120"/>
      <w:outlineLvl w:val="5"/>
    </w:pPr>
    <w:rPr>
      <w:b/>
    </w:rPr>
  </w:style>
  <w:style w:type="paragraph" w:styleId="Heading7">
    <w:name w:val="heading 7"/>
    <w:basedOn w:val="Normal"/>
    <w:next w:val="ParaNum"/>
    <w:qFormat/>
    <w:rsid w:val="008A310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A310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A310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A31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3105"/>
  </w:style>
  <w:style w:type="paragraph" w:customStyle="1" w:styleId="ParaNum">
    <w:name w:val="ParaNum"/>
    <w:basedOn w:val="Normal"/>
    <w:link w:val="ParaNumChar"/>
    <w:rsid w:val="008A3105"/>
    <w:pPr>
      <w:numPr>
        <w:numId w:val="23"/>
      </w:numPr>
      <w:tabs>
        <w:tab w:val="clear" w:pos="1080"/>
        <w:tab w:val="num" w:pos="1440"/>
      </w:tabs>
      <w:spacing w:after="120"/>
    </w:pPr>
  </w:style>
  <w:style w:type="paragraph" w:styleId="EndnoteText">
    <w:name w:val="endnote text"/>
    <w:basedOn w:val="Normal"/>
    <w:semiHidden/>
    <w:rsid w:val="008A3105"/>
    <w:rPr>
      <w:sz w:val="20"/>
    </w:rPr>
  </w:style>
  <w:style w:type="character" w:styleId="EndnoteReference">
    <w:name w:val="endnote reference"/>
    <w:semiHidden/>
    <w:rsid w:val="008A3105"/>
    <w:rPr>
      <w:vertAlign w:val="superscript"/>
    </w:rPr>
  </w:style>
  <w:style w:type="paragraph" w:styleId="FootnoteText">
    <w:name w:val="footnote text"/>
    <w:aliases w:val="rrfootnote,Footnote Text Char1,Footnote Text Char Char,rrfootnote Char Char,Footnote Text Char1 Char Char,Footnote Text Char Char Char Char,rrfootnote Char Char Char Char,rrfootnote Char1 Char Char,Footnote Text Char2 Char,Footnote Text Ch"/>
    <w:link w:val="FootnoteTextChar"/>
    <w:rsid w:val="008A3105"/>
    <w:pPr>
      <w:spacing w:after="120"/>
    </w:pPr>
  </w:style>
  <w:style w:type="character" w:styleId="FootnoteReference">
    <w:name w:val="footnote reference"/>
    <w:aliases w:val="Style 12,(NECG) Footnote Reference,Appel note de bas de p,Style 124,o,fr,Style 3,Style 13"/>
    <w:rsid w:val="008A3105"/>
    <w:rPr>
      <w:rFonts w:ascii="Times New Roman" w:hAnsi="Times New Roman"/>
      <w:dstrike w:val="0"/>
      <w:color w:val="auto"/>
      <w:sz w:val="20"/>
      <w:vertAlign w:val="superscript"/>
    </w:rPr>
  </w:style>
  <w:style w:type="paragraph" w:styleId="TOC1">
    <w:name w:val="toc 1"/>
    <w:basedOn w:val="Normal"/>
    <w:next w:val="Normal"/>
    <w:semiHidden/>
    <w:rsid w:val="008A310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A3105"/>
    <w:pPr>
      <w:tabs>
        <w:tab w:val="left" w:pos="720"/>
        <w:tab w:val="right" w:leader="dot" w:pos="9360"/>
      </w:tabs>
      <w:suppressAutoHyphens/>
      <w:ind w:left="720" w:right="720" w:hanging="360"/>
    </w:pPr>
    <w:rPr>
      <w:noProof/>
    </w:rPr>
  </w:style>
  <w:style w:type="paragraph" w:styleId="TOC3">
    <w:name w:val="toc 3"/>
    <w:basedOn w:val="Normal"/>
    <w:next w:val="Normal"/>
    <w:semiHidden/>
    <w:rsid w:val="008A310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A310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A310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A310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A310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A310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A310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A3105"/>
    <w:pPr>
      <w:tabs>
        <w:tab w:val="right" w:pos="9360"/>
      </w:tabs>
      <w:suppressAutoHyphens/>
    </w:pPr>
  </w:style>
  <w:style w:type="character" w:customStyle="1" w:styleId="EquationCaption">
    <w:name w:val="_Equation Caption"/>
    <w:rsid w:val="008A3105"/>
  </w:style>
  <w:style w:type="paragraph" w:styleId="Header">
    <w:name w:val="header"/>
    <w:basedOn w:val="Normal"/>
    <w:autoRedefine/>
    <w:rsid w:val="008A3105"/>
    <w:pPr>
      <w:tabs>
        <w:tab w:val="center" w:pos="4680"/>
        <w:tab w:val="right" w:pos="9360"/>
      </w:tabs>
    </w:pPr>
    <w:rPr>
      <w:b/>
    </w:rPr>
  </w:style>
  <w:style w:type="paragraph" w:styleId="Footer">
    <w:name w:val="footer"/>
    <w:basedOn w:val="Normal"/>
    <w:rsid w:val="008A3105"/>
    <w:pPr>
      <w:tabs>
        <w:tab w:val="center" w:pos="4320"/>
        <w:tab w:val="right" w:pos="8640"/>
      </w:tabs>
    </w:pPr>
  </w:style>
  <w:style w:type="character" w:styleId="PageNumber">
    <w:name w:val="page number"/>
    <w:basedOn w:val="DefaultParagraphFont"/>
    <w:rsid w:val="008A3105"/>
  </w:style>
  <w:style w:type="paragraph" w:styleId="BlockText">
    <w:name w:val="Block Text"/>
    <w:basedOn w:val="Normal"/>
    <w:rsid w:val="008A3105"/>
    <w:pPr>
      <w:spacing w:after="240"/>
      <w:ind w:left="1440" w:right="1440"/>
    </w:pPr>
  </w:style>
  <w:style w:type="paragraph" w:styleId="BodyTextIndent">
    <w:name w:val="Body Text Indent"/>
    <w:basedOn w:val="Normal"/>
    <w:pPr>
      <w:widowControl/>
      <w:ind w:firstLine="360"/>
    </w:pPr>
    <w:rPr>
      <w:snapToGrid/>
      <w:kern w:val="0"/>
      <w:sz w:val="24"/>
    </w:rPr>
  </w:style>
  <w:style w:type="paragraph" w:customStyle="1" w:styleId="Bullet">
    <w:name w:val="Bullet"/>
    <w:basedOn w:val="Normal"/>
    <w:rsid w:val="008A3105"/>
    <w:pPr>
      <w:tabs>
        <w:tab w:val="left" w:pos="2160"/>
      </w:tabs>
      <w:spacing w:after="220"/>
      <w:ind w:left="2160" w:hanging="720"/>
    </w:pPr>
  </w:style>
  <w:style w:type="paragraph" w:customStyle="1" w:styleId="TableFormat">
    <w:name w:val="TableFormat"/>
    <w:basedOn w:val="Bullet"/>
    <w:rsid w:val="008A3105"/>
    <w:pPr>
      <w:tabs>
        <w:tab w:val="clear" w:pos="2160"/>
        <w:tab w:val="left" w:pos="5040"/>
      </w:tabs>
      <w:ind w:left="5040" w:hanging="3600"/>
    </w:pPr>
  </w:style>
  <w:style w:type="paragraph" w:styleId="Title">
    <w:name w:val="Title"/>
    <w:basedOn w:val="Normal"/>
    <w:qFormat/>
    <w:pPr>
      <w:jc w:val="center"/>
    </w:pPr>
    <w:rPr>
      <w:b/>
    </w:rPr>
  </w:style>
  <w:style w:type="paragraph" w:customStyle="1" w:styleId="Style0">
    <w:name w:val="Style0"/>
    <w:rPr>
      <w:rFonts w:ascii="Arial" w:hAnsi="Arial"/>
      <w:snapToGrid w:val="0"/>
      <w:sz w:val="24"/>
    </w:rPr>
  </w:style>
  <w:style w:type="paragraph" w:styleId="BodyTextIndent2">
    <w:name w:val="Body Text Indent 2"/>
    <w:basedOn w:val="Normal"/>
    <w:pPr>
      <w:ind w:firstLine="720"/>
    </w:pPr>
    <w:rPr>
      <w:color w:val="000000"/>
      <w:sz w:val="20"/>
    </w:rPr>
  </w:style>
  <w:style w:type="paragraph" w:styleId="BodyText">
    <w:name w:val="Body Text"/>
    <w:basedOn w:val="Normal"/>
    <w:pPr>
      <w:spacing w:after="120"/>
    </w:pPr>
  </w:style>
  <w:style w:type="paragraph" w:styleId="BalloonText">
    <w:name w:val="Balloon Text"/>
    <w:basedOn w:val="Normal"/>
    <w:semiHidden/>
    <w:rPr>
      <w:rFonts w:ascii="Tahoma" w:hAnsi="Tahoma" w:cs="Courier"/>
      <w:sz w:val="16"/>
      <w:szCs w:val="16"/>
    </w:rPr>
  </w:style>
  <w:style w:type="character" w:customStyle="1" w:styleId="documentbody1">
    <w:name w:val="documentbody1"/>
    <w:rPr>
      <w:rFonts w:ascii="Verdana" w:hAnsi="Verdana" w:hint="default"/>
      <w:sz w:val="19"/>
      <w:szCs w:val="19"/>
      <w:shd w:val="clear" w:color="auto" w:fill="FFFFFF"/>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 w:type="character" w:customStyle="1" w:styleId="bestsection">
    <w:name w:val="bestsection"/>
    <w:basedOn w:val="DefaultParagraphFont"/>
  </w:style>
  <w:style w:type="character" w:customStyle="1" w:styleId="searchterm">
    <w:name w:val="searchterm"/>
    <w:basedOn w:val="DefaultParagraphFont"/>
  </w:style>
  <w:style w:type="character" w:styleId="Hyperlink">
    <w:name w:val="Hyperlink"/>
    <w:rsid w:val="008A3105"/>
    <w:rPr>
      <w:color w:val="0000FF"/>
      <w:u w:val="single"/>
    </w:rPr>
  </w:style>
  <w:style w:type="character" w:customStyle="1" w:styleId="term1">
    <w:name w:val="term1"/>
    <w:rsid w:val="00812626"/>
    <w:rPr>
      <w:b/>
      <w:bCs/>
    </w:rPr>
  </w:style>
  <w:style w:type="character" w:customStyle="1" w:styleId="FootnoteTextChar">
    <w:name w:val="Footnote Text Char"/>
    <w:aliases w:val="rrfootnote Char,Footnote Text Char1 Char,Footnote Text Char Char Char,rrfootnote Char Char Char,Footnote Text Char1 Char Char Char,Footnote Text Char Char Char Char Char,rrfootnote Char Char Char Char Char,Footnote Text Ch Char"/>
    <w:link w:val="FootnoteText"/>
    <w:rsid w:val="00804750"/>
  </w:style>
  <w:style w:type="character" w:customStyle="1" w:styleId="CharacterStyle1">
    <w:name w:val="Character Style 1"/>
    <w:rsid w:val="00FA7025"/>
    <w:rPr>
      <w:sz w:val="20"/>
    </w:rPr>
  </w:style>
  <w:style w:type="character" w:customStyle="1" w:styleId="CharacterStyle17">
    <w:name w:val="Character Style 17"/>
    <w:rsid w:val="00FA7025"/>
    <w:rPr>
      <w:sz w:val="23"/>
    </w:rPr>
  </w:style>
  <w:style w:type="character" w:styleId="CommentReference">
    <w:name w:val="annotation reference"/>
    <w:semiHidden/>
    <w:rsid w:val="00AA67B3"/>
    <w:rPr>
      <w:sz w:val="16"/>
      <w:szCs w:val="16"/>
    </w:rPr>
  </w:style>
  <w:style w:type="paragraph" w:styleId="CommentText">
    <w:name w:val="annotation text"/>
    <w:basedOn w:val="Normal"/>
    <w:semiHidden/>
    <w:rsid w:val="00AA67B3"/>
    <w:rPr>
      <w:sz w:val="20"/>
    </w:rPr>
  </w:style>
  <w:style w:type="paragraph" w:styleId="CommentSubject">
    <w:name w:val="annotation subject"/>
    <w:basedOn w:val="CommentText"/>
    <w:next w:val="CommentText"/>
    <w:semiHidden/>
    <w:rsid w:val="00AA67B3"/>
    <w:rPr>
      <w:b/>
      <w:bCs/>
    </w:rPr>
  </w:style>
  <w:style w:type="character" w:customStyle="1" w:styleId="pmterms11">
    <w:name w:val="pmterms11"/>
    <w:rsid w:val="0008414A"/>
    <w:rPr>
      <w:b/>
      <w:bCs/>
      <w:i w:val="0"/>
      <w:iCs w:val="0"/>
      <w:color w:val="000000"/>
    </w:rPr>
  </w:style>
  <w:style w:type="character" w:customStyle="1" w:styleId="pmterms21">
    <w:name w:val="pmterms21"/>
    <w:rsid w:val="00CF1790"/>
    <w:rPr>
      <w:b/>
      <w:bCs/>
      <w:i w:val="0"/>
      <w:iCs w:val="0"/>
      <w:color w:val="000000"/>
    </w:rPr>
  </w:style>
  <w:style w:type="character" w:customStyle="1" w:styleId="FootnoteTextCharChar1">
    <w:name w:val="Footnote Text Char Char1"/>
    <w:aliases w:val="Footnote Text Char1 Char Char1,Footnote Text Char1 Char Char Char Char,Footnote Text Char Char Char Char Char Char,Footnote Text Char1 Char Char Char Char Char Char"/>
    <w:rsid w:val="002416AE"/>
    <w:rPr>
      <w:lang w:val="en-US" w:eastAsia="en-US" w:bidi="ar-SA"/>
    </w:rPr>
  </w:style>
  <w:style w:type="character" w:styleId="Emphasis">
    <w:name w:val="Emphasis"/>
    <w:uiPriority w:val="20"/>
    <w:qFormat/>
    <w:rsid w:val="00966769"/>
    <w:rPr>
      <w:i/>
      <w:iCs/>
    </w:rPr>
  </w:style>
  <w:style w:type="paragraph" w:customStyle="1" w:styleId="StyleBoldCentered">
    <w:name w:val="Style Bold Centered"/>
    <w:basedOn w:val="Normal"/>
    <w:rsid w:val="008A3105"/>
    <w:pPr>
      <w:jc w:val="center"/>
    </w:pPr>
    <w:rPr>
      <w:rFonts w:ascii="Times New Roman Bold" w:hAnsi="Times New Roman Bold"/>
      <w:b/>
      <w:bCs/>
      <w:caps/>
      <w:szCs w:val="22"/>
    </w:rPr>
  </w:style>
  <w:style w:type="character" w:customStyle="1" w:styleId="ParaNumChar">
    <w:name w:val="ParaNum Char"/>
    <w:link w:val="ParaNum"/>
    <w:rsid w:val="00122783"/>
    <w:rPr>
      <w:snapToGrid w:val="0"/>
      <w:kern w:val="28"/>
      <w:sz w:val="22"/>
    </w:rPr>
  </w:style>
  <w:style w:type="character" w:customStyle="1" w:styleId="costarpage2">
    <w:name w:val="co_starpage2"/>
    <w:rsid w:val="00147B0D"/>
  </w:style>
  <w:style w:type="paragraph" w:styleId="Revision">
    <w:name w:val="Revision"/>
    <w:hidden/>
    <w:uiPriority w:val="99"/>
    <w:semiHidden/>
    <w:rsid w:val="00D67E7B"/>
    <w:rPr>
      <w:snapToGrid w:val="0"/>
      <w:kern w:val="28"/>
      <w:sz w:val="22"/>
    </w:rPr>
  </w:style>
  <w:style w:type="character" w:styleId="FollowedHyperlink">
    <w:name w:val="FollowedHyperlink"/>
    <w:rsid w:val="001B5FD8"/>
    <w:rPr>
      <w:color w:val="954F72"/>
      <w:u w:val="single"/>
    </w:rPr>
  </w:style>
  <w:style w:type="paragraph" w:customStyle="1" w:styleId="Paratitle">
    <w:name w:val="Para title"/>
    <w:basedOn w:val="Normal"/>
    <w:rsid w:val="008A3105"/>
    <w:pPr>
      <w:tabs>
        <w:tab w:val="center" w:pos="9270"/>
      </w:tabs>
      <w:spacing w:after="240"/>
    </w:pPr>
    <w:rPr>
      <w:spacing w:val="-2"/>
    </w:rPr>
  </w:style>
  <w:style w:type="paragraph" w:customStyle="1" w:styleId="TOCTitle">
    <w:name w:val="TOC Title"/>
    <w:basedOn w:val="Normal"/>
    <w:rsid w:val="008A3105"/>
    <w:pPr>
      <w:spacing w:before="240" w:after="240"/>
      <w:jc w:val="center"/>
    </w:pPr>
    <w:rPr>
      <w:rFonts w:ascii="Times New Roman Bold" w:hAnsi="Times New Roman Bold"/>
      <w:b/>
      <w:cap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05"/>
    <w:pPr>
      <w:widowControl w:val="0"/>
    </w:pPr>
    <w:rPr>
      <w:snapToGrid w:val="0"/>
      <w:kern w:val="28"/>
      <w:sz w:val="22"/>
    </w:rPr>
  </w:style>
  <w:style w:type="paragraph" w:styleId="Heading1">
    <w:name w:val="heading 1"/>
    <w:basedOn w:val="Normal"/>
    <w:next w:val="ParaNum"/>
    <w:qFormat/>
    <w:rsid w:val="008A310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A3105"/>
    <w:pPr>
      <w:keepNext/>
      <w:numPr>
        <w:ilvl w:val="1"/>
        <w:numId w:val="3"/>
      </w:numPr>
      <w:spacing w:after="120"/>
      <w:outlineLvl w:val="1"/>
    </w:pPr>
    <w:rPr>
      <w:b/>
    </w:rPr>
  </w:style>
  <w:style w:type="paragraph" w:styleId="Heading3">
    <w:name w:val="heading 3"/>
    <w:basedOn w:val="Normal"/>
    <w:next w:val="ParaNum"/>
    <w:qFormat/>
    <w:rsid w:val="008A3105"/>
    <w:pPr>
      <w:keepNext/>
      <w:numPr>
        <w:ilvl w:val="2"/>
        <w:numId w:val="3"/>
      </w:numPr>
      <w:tabs>
        <w:tab w:val="left" w:pos="2160"/>
      </w:tabs>
      <w:spacing w:after="120"/>
      <w:outlineLvl w:val="2"/>
    </w:pPr>
    <w:rPr>
      <w:b/>
    </w:rPr>
  </w:style>
  <w:style w:type="paragraph" w:styleId="Heading4">
    <w:name w:val="heading 4"/>
    <w:basedOn w:val="Normal"/>
    <w:next w:val="ParaNum"/>
    <w:qFormat/>
    <w:rsid w:val="008A3105"/>
    <w:pPr>
      <w:keepNext/>
      <w:numPr>
        <w:ilvl w:val="3"/>
        <w:numId w:val="3"/>
      </w:numPr>
      <w:tabs>
        <w:tab w:val="left" w:pos="2880"/>
      </w:tabs>
      <w:spacing w:after="120"/>
      <w:outlineLvl w:val="3"/>
    </w:pPr>
    <w:rPr>
      <w:b/>
    </w:rPr>
  </w:style>
  <w:style w:type="paragraph" w:styleId="Heading5">
    <w:name w:val="heading 5"/>
    <w:basedOn w:val="Normal"/>
    <w:next w:val="ParaNum"/>
    <w:qFormat/>
    <w:rsid w:val="008A310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A3105"/>
    <w:pPr>
      <w:numPr>
        <w:ilvl w:val="5"/>
        <w:numId w:val="3"/>
      </w:numPr>
      <w:tabs>
        <w:tab w:val="left" w:pos="4320"/>
      </w:tabs>
      <w:spacing w:after="120"/>
      <w:outlineLvl w:val="5"/>
    </w:pPr>
    <w:rPr>
      <w:b/>
    </w:rPr>
  </w:style>
  <w:style w:type="paragraph" w:styleId="Heading7">
    <w:name w:val="heading 7"/>
    <w:basedOn w:val="Normal"/>
    <w:next w:val="ParaNum"/>
    <w:qFormat/>
    <w:rsid w:val="008A310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A310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A310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A31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3105"/>
  </w:style>
  <w:style w:type="paragraph" w:customStyle="1" w:styleId="ParaNum">
    <w:name w:val="ParaNum"/>
    <w:basedOn w:val="Normal"/>
    <w:link w:val="ParaNumChar"/>
    <w:rsid w:val="008A3105"/>
    <w:pPr>
      <w:numPr>
        <w:numId w:val="23"/>
      </w:numPr>
      <w:tabs>
        <w:tab w:val="clear" w:pos="1080"/>
        <w:tab w:val="num" w:pos="1440"/>
      </w:tabs>
      <w:spacing w:after="120"/>
    </w:pPr>
  </w:style>
  <w:style w:type="paragraph" w:styleId="EndnoteText">
    <w:name w:val="endnote text"/>
    <w:basedOn w:val="Normal"/>
    <w:semiHidden/>
    <w:rsid w:val="008A3105"/>
    <w:rPr>
      <w:sz w:val="20"/>
    </w:rPr>
  </w:style>
  <w:style w:type="character" w:styleId="EndnoteReference">
    <w:name w:val="endnote reference"/>
    <w:semiHidden/>
    <w:rsid w:val="008A3105"/>
    <w:rPr>
      <w:vertAlign w:val="superscript"/>
    </w:rPr>
  </w:style>
  <w:style w:type="paragraph" w:styleId="FootnoteText">
    <w:name w:val="footnote text"/>
    <w:aliases w:val="rrfootnote,Footnote Text Char1,Footnote Text Char Char,rrfootnote Char Char,Footnote Text Char1 Char Char,Footnote Text Char Char Char Char,rrfootnote Char Char Char Char,rrfootnote Char1 Char Char,Footnote Text Char2 Char,Footnote Text Ch"/>
    <w:link w:val="FootnoteTextChar"/>
    <w:rsid w:val="008A3105"/>
    <w:pPr>
      <w:spacing w:after="120"/>
    </w:pPr>
  </w:style>
  <w:style w:type="character" w:styleId="FootnoteReference">
    <w:name w:val="footnote reference"/>
    <w:aliases w:val="Style 12,(NECG) Footnote Reference,Appel note de bas de p,Style 124,o,fr,Style 3,Style 13"/>
    <w:rsid w:val="008A3105"/>
    <w:rPr>
      <w:rFonts w:ascii="Times New Roman" w:hAnsi="Times New Roman"/>
      <w:dstrike w:val="0"/>
      <w:color w:val="auto"/>
      <w:sz w:val="20"/>
      <w:vertAlign w:val="superscript"/>
    </w:rPr>
  </w:style>
  <w:style w:type="paragraph" w:styleId="TOC1">
    <w:name w:val="toc 1"/>
    <w:basedOn w:val="Normal"/>
    <w:next w:val="Normal"/>
    <w:semiHidden/>
    <w:rsid w:val="008A310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A3105"/>
    <w:pPr>
      <w:tabs>
        <w:tab w:val="left" w:pos="720"/>
        <w:tab w:val="right" w:leader="dot" w:pos="9360"/>
      </w:tabs>
      <w:suppressAutoHyphens/>
      <w:ind w:left="720" w:right="720" w:hanging="360"/>
    </w:pPr>
    <w:rPr>
      <w:noProof/>
    </w:rPr>
  </w:style>
  <w:style w:type="paragraph" w:styleId="TOC3">
    <w:name w:val="toc 3"/>
    <w:basedOn w:val="Normal"/>
    <w:next w:val="Normal"/>
    <w:semiHidden/>
    <w:rsid w:val="008A310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A310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A310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A310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A310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A310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A310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A3105"/>
    <w:pPr>
      <w:tabs>
        <w:tab w:val="right" w:pos="9360"/>
      </w:tabs>
      <w:suppressAutoHyphens/>
    </w:pPr>
  </w:style>
  <w:style w:type="character" w:customStyle="1" w:styleId="EquationCaption">
    <w:name w:val="_Equation Caption"/>
    <w:rsid w:val="008A3105"/>
  </w:style>
  <w:style w:type="paragraph" w:styleId="Header">
    <w:name w:val="header"/>
    <w:basedOn w:val="Normal"/>
    <w:autoRedefine/>
    <w:rsid w:val="008A3105"/>
    <w:pPr>
      <w:tabs>
        <w:tab w:val="center" w:pos="4680"/>
        <w:tab w:val="right" w:pos="9360"/>
      </w:tabs>
    </w:pPr>
    <w:rPr>
      <w:b/>
    </w:rPr>
  </w:style>
  <w:style w:type="paragraph" w:styleId="Footer">
    <w:name w:val="footer"/>
    <w:basedOn w:val="Normal"/>
    <w:rsid w:val="008A3105"/>
    <w:pPr>
      <w:tabs>
        <w:tab w:val="center" w:pos="4320"/>
        <w:tab w:val="right" w:pos="8640"/>
      </w:tabs>
    </w:pPr>
  </w:style>
  <w:style w:type="character" w:styleId="PageNumber">
    <w:name w:val="page number"/>
    <w:basedOn w:val="DefaultParagraphFont"/>
    <w:rsid w:val="008A3105"/>
  </w:style>
  <w:style w:type="paragraph" w:styleId="BlockText">
    <w:name w:val="Block Text"/>
    <w:basedOn w:val="Normal"/>
    <w:rsid w:val="008A3105"/>
    <w:pPr>
      <w:spacing w:after="240"/>
      <w:ind w:left="1440" w:right="1440"/>
    </w:pPr>
  </w:style>
  <w:style w:type="paragraph" w:styleId="BodyTextIndent">
    <w:name w:val="Body Text Indent"/>
    <w:basedOn w:val="Normal"/>
    <w:pPr>
      <w:widowControl/>
      <w:ind w:firstLine="360"/>
    </w:pPr>
    <w:rPr>
      <w:snapToGrid/>
      <w:kern w:val="0"/>
      <w:sz w:val="24"/>
    </w:rPr>
  </w:style>
  <w:style w:type="paragraph" w:customStyle="1" w:styleId="Bullet">
    <w:name w:val="Bullet"/>
    <w:basedOn w:val="Normal"/>
    <w:rsid w:val="008A3105"/>
    <w:pPr>
      <w:tabs>
        <w:tab w:val="left" w:pos="2160"/>
      </w:tabs>
      <w:spacing w:after="220"/>
      <w:ind w:left="2160" w:hanging="720"/>
    </w:pPr>
  </w:style>
  <w:style w:type="paragraph" w:customStyle="1" w:styleId="TableFormat">
    <w:name w:val="TableFormat"/>
    <w:basedOn w:val="Bullet"/>
    <w:rsid w:val="008A3105"/>
    <w:pPr>
      <w:tabs>
        <w:tab w:val="clear" w:pos="2160"/>
        <w:tab w:val="left" w:pos="5040"/>
      </w:tabs>
      <w:ind w:left="5040" w:hanging="3600"/>
    </w:pPr>
  </w:style>
  <w:style w:type="paragraph" w:styleId="Title">
    <w:name w:val="Title"/>
    <w:basedOn w:val="Normal"/>
    <w:qFormat/>
    <w:pPr>
      <w:jc w:val="center"/>
    </w:pPr>
    <w:rPr>
      <w:b/>
    </w:rPr>
  </w:style>
  <w:style w:type="paragraph" w:customStyle="1" w:styleId="Style0">
    <w:name w:val="Style0"/>
    <w:rPr>
      <w:rFonts w:ascii="Arial" w:hAnsi="Arial"/>
      <w:snapToGrid w:val="0"/>
      <w:sz w:val="24"/>
    </w:rPr>
  </w:style>
  <w:style w:type="paragraph" w:styleId="BodyTextIndent2">
    <w:name w:val="Body Text Indent 2"/>
    <w:basedOn w:val="Normal"/>
    <w:pPr>
      <w:ind w:firstLine="720"/>
    </w:pPr>
    <w:rPr>
      <w:color w:val="000000"/>
      <w:sz w:val="20"/>
    </w:rPr>
  </w:style>
  <w:style w:type="paragraph" w:styleId="BodyText">
    <w:name w:val="Body Text"/>
    <w:basedOn w:val="Normal"/>
    <w:pPr>
      <w:spacing w:after="120"/>
    </w:pPr>
  </w:style>
  <w:style w:type="paragraph" w:styleId="BalloonText">
    <w:name w:val="Balloon Text"/>
    <w:basedOn w:val="Normal"/>
    <w:semiHidden/>
    <w:rPr>
      <w:rFonts w:ascii="Tahoma" w:hAnsi="Tahoma" w:cs="Courier"/>
      <w:sz w:val="16"/>
      <w:szCs w:val="16"/>
    </w:rPr>
  </w:style>
  <w:style w:type="character" w:customStyle="1" w:styleId="documentbody1">
    <w:name w:val="documentbody1"/>
    <w:rPr>
      <w:rFonts w:ascii="Verdana" w:hAnsi="Verdana" w:hint="default"/>
      <w:sz w:val="19"/>
      <w:szCs w:val="19"/>
      <w:shd w:val="clear" w:color="auto" w:fill="FFFFFF"/>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 w:type="character" w:customStyle="1" w:styleId="bestsection">
    <w:name w:val="bestsection"/>
    <w:basedOn w:val="DefaultParagraphFont"/>
  </w:style>
  <w:style w:type="character" w:customStyle="1" w:styleId="searchterm">
    <w:name w:val="searchterm"/>
    <w:basedOn w:val="DefaultParagraphFont"/>
  </w:style>
  <w:style w:type="character" w:styleId="Hyperlink">
    <w:name w:val="Hyperlink"/>
    <w:rsid w:val="008A3105"/>
    <w:rPr>
      <w:color w:val="0000FF"/>
      <w:u w:val="single"/>
    </w:rPr>
  </w:style>
  <w:style w:type="character" w:customStyle="1" w:styleId="term1">
    <w:name w:val="term1"/>
    <w:rsid w:val="00812626"/>
    <w:rPr>
      <w:b/>
      <w:bCs/>
    </w:rPr>
  </w:style>
  <w:style w:type="character" w:customStyle="1" w:styleId="FootnoteTextChar">
    <w:name w:val="Footnote Text Char"/>
    <w:aliases w:val="rrfootnote Char,Footnote Text Char1 Char,Footnote Text Char Char Char,rrfootnote Char Char Char,Footnote Text Char1 Char Char Char,Footnote Text Char Char Char Char Char,rrfootnote Char Char Char Char Char,Footnote Text Ch Char"/>
    <w:link w:val="FootnoteText"/>
    <w:rsid w:val="00804750"/>
  </w:style>
  <w:style w:type="character" w:customStyle="1" w:styleId="CharacterStyle1">
    <w:name w:val="Character Style 1"/>
    <w:rsid w:val="00FA7025"/>
    <w:rPr>
      <w:sz w:val="20"/>
    </w:rPr>
  </w:style>
  <w:style w:type="character" w:customStyle="1" w:styleId="CharacterStyle17">
    <w:name w:val="Character Style 17"/>
    <w:rsid w:val="00FA7025"/>
    <w:rPr>
      <w:sz w:val="23"/>
    </w:rPr>
  </w:style>
  <w:style w:type="character" w:styleId="CommentReference">
    <w:name w:val="annotation reference"/>
    <w:semiHidden/>
    <w:rsid w:val="00AA67B3"/>
    <w:rPr>
      <w:sz w:val="16"/>
      <w:szCs w:val="16"/>
    </w:rPr>
  </w:style>
  <w:style w:type="paragraph" w:styleId="CommentText">
    <w:name w:val="annotation text"/>
    <w:basedOn w:val="Normal"/>
    <w:semiHidden/>
    <w:rsid w:val="00AA67B3"/>
    <w:rPr>
      <w:sz w:val="20"/>
    </w:rPr>
  </w:style>
  <w:style w:type="paragraph" w:styleId="CommentSubject">
    <w:name w:val="annotation subject"/>
    <w:basedOn w:val="CommentText"/>
    <w:next w:val="CommentText"/>
    <w:semiHidden/>
    <w:rsid w:val="00AA67B3"/>
    <w:rPr>
      <w:b/>
      <w:bCs/>
    </w:rPr>
  </w:style>
  <w:style w:type="character" w:customStyle="1" w:styleId="pmterms11">
    <w:name w:val="pmterms11"/>
    <w:rsid w:val="0008414A"/>
    <w:rPr>
      <w:b/>
      <w:bCs/>
      <w:i w:val="0"/>
      <w:iCs w:val="0"/>
      <w:color w:val="000000"/>
    </w:rPr>
  </w:style>
  <w:style w:type="character" w:customStyle="1" w:styleId="pmterms21">
    <w:name w:val="pmterms21"/>
    <w:rsid w:val="00CF1790"/>
    <w:rPr>
      <w:b/>
      <w:bCs/>
      <w:i w:val="0"/>
      <w:iCs w:val="0"/>
      <w:color w:val="000000"/>
    </w:rPr>
  </w:style>
  <w:style w:type="character" w:customStyle="1" w:styleId="FootnoteTextCharChar1">
    <w:name w:val="Footnote Text Char Char1"/>
    <w:aliases w:val="Footnote Text Char1 Char Char1,Footnote Text Char1 Char Char Char Char,Footnote Text Char Char Char Char Char Char,Footnote Text Char1 Char Char Char Char Char Char"/>
    <w:rsid w:val="002416AE"/>
    <w:rPr>
      <w:lang w:val="en-US" w:eastAsia="en-US" w:bidi="ar-SA"/>
    </w:rPr>
  </w:style>
  <w:style w:type="character" w:styleId="Emphasis">
    <w:name w:val="Emphasis"/>
    <w:uiPriority w:val="20"/>
    <w:qFormat/>
    <w:rsid w:val="00966769"/>
    <w:rPr>
      <w:i/>
      <w:iCs/>
    </w:rPr>
  </w:style>
  <w:style w:type="paragraph" w:customStyle="1" w:styleId="StyleBoldCentered">
    <w:name w:val="Style Bold Centered"/>
    <w:basedOn w:val="Normal"/>
    <w:rsid w:val="008A3105"/>
    <w:pPr>
      <w:jc w:val="center"/>
    </w:pPr>
    <w:rPr>
      <w:rFonts w:ascii="Times New Roman Bold" w:hAnsi="Times New Roman Bold"/>
      <w:b/>
      <w:bCs/>
      <w:caps/>
      <w:szCs w:val="22"/>
    </w:rPr>
  </w:style>
  <w:style w:type="character" w:customStyle="1" w:styleId="ParaNumChar">
    <w:name w:val="ParaNum Char"/>
    <w:link w:val="ParaNum"/>
    <w:rsid w:val="00122783"/>
    <w:rPr>
      <w:snapToGrid w:val="0"/>
      <w:kern w:val="28"/>
      <w:sz w:val="22"/>
    </w:rPr>
  </w:style>
  <w:style w:type="character" w:customStyle="1" w:styleId="costarpage2">
    <w:name w:val="co_starpage2"/>
    <w:rsid w:val="00147B0D"/>
  </w:style>
  <w:style w:type="paragraph" w:styleId="Revision">
    <w:name w:val="Revision"/>
    <w:hidden/>
    <w:uiPriority w:val="99"/>
    <w:semiHidden/>
    <w:rsid w:val="00D67E7B"/>
    <w:rPr>
      <w:snapToGrid w:val="0"/>
      <w:kern w:val="28"/>
      <w:sz w:val="22"/>
    </w:rPr>
  </w:style>
  <w:style w:type="character" w:styleId="FollowedHyperlink">
    <w:name w:val="FollowedHyperlink"/>
    <w:rsid w:val="001B5FD8"/>
    <w:rPr>
      <w:color w:val="954F72"/>
      <w:u w:val="single"/>
    </w:rPr>
  </w:style>
  <w:style w:type="paragraph" w:customStyle="1" w:styleId="Paratitle">
    <w:name w:val="Para title"/>
    <w:basedOn w:val="Normal"/>
    <w:rsid w:val="008A3105"/>
    <w:pPr>
      <w:tabs>
        <w:tab w:val="center" w:pos="9270"/>
      </w:tabs>
      <w:spacing w:after="240"/>
    </w:pPr>
    <w:rPr>
      <w:spacing w:val="-2"/>
    </w:rPr>
  </w:style>
  <w:style w:type="paragraph" w:customStyle="1" w:styleId="TOCTitle">
    <w:name w:val="TOC Title"/>
    <w:basedOn w:val="Normal"/>
    <w:rsid w:val="008A3105"/>
    <w:pPr>
      <w:spacing w:before="240" w:after="240"/>
      <w:jc w:val="center"/>
    </w:pPr>
    <w:rPr>
      <w:rFonts w:ascii="Times New Roman Bold" w:hAnsi="Times New Roman Bold"/>
      <w:b/>
      <w:cap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9859">
      <w:bodyDiv w:val="1"/>
      <w:marLeft w:val="0"/>
      <w:marRight w:val="0"/>
      <w:marTop w:val="0"/>
      <w:marBottom w:val="0"/>
      <w:divBdr>
        <w:top w:val="none" w:sz="0" w:space="0" w:color="auto"/>
        <w:left w:val="none" w:sz="0" w:space="0" w:color="auto"/>
        <w:bottom w:val="none" w:sz="0" w:space="0" w:color="auto"/>
        <w:right w:val="none" w:sz="0" w:space="0" w:color="auto"/>
      </w:divBdr>
      <w:divsChild>
        <w:div w:id="358700659">
          <w:marLeft w:val="0"/>
          <w:marRight w:val="0"/>
          <w:marTop w:val="0"/>
          <w:marBottom w:val="0"/>
          <w:divBdr>
            <w:top w:val="none" w:sz="0" w:space="0" w:color="auto"/>
            <w:left w:val="none" w:sz="0" w:space="0" w:color="auto"/>
            <w:bottom w:val="none" w:sz="0" w:space="0" w:color="auto"/>
            <w:right w:val="none" w:sz="0" w:space="0" w:color="auto"/>
          </w:divBdr>
        </w:div>
      </w:divsChild>
    </w:div>
    <w:div w:id="663976168">
      <w:bodyDiv w:val="1"/>
      <w:marLeft w:val="0"/>
      <w:marRight w:val="0"/>
      <w:marTop w:val="0"/>
      <w:marBottom w:val="0"/>
      <w:divBdr>
        <w:top w:val="none" w:sz="0" w:space="0" w:color="auto"/>
        <w:left w:val="none" w:sz="0" w:space="0" w:color="auto"/>
        <w:bottom w:val="none" w:sz="0" w:space="0" w:color="auto"/>
        <w:right w:val="none" w:sz="0" w:space="0" w:color="auto"/>
      </w:divBdr>
      <w:divsChild>
        <w:div w:id="222176316">
          <w:marLeft w:val="0"/>
          <w:marRight w:val="0"/>
          <w:marTop w:val="0"/>
          <w:marBottom w:val="0"/>
          <w:divBdr>
            <w:top w:val="none" w:sz="0" w:space="0" w:color="auto"/>
            <w:left w:val="none" w:sz="0" w:space="0" w:color="auto"/>
            <w:bottom w:val="none" w:sz="0" w:space="0" w:color="auto"/>
            <w:right w:val="none" w:sz="0" w:space="0" w:color="auto"/>
          </w:divBdr>
          <w:divsChild>
            <w:div w:id="193740102">
              <w:marLeft w:val="0"/>
              <w:marRight w:val="0"/>
              <w:marTop w:val="0"/>
              <w:marBottom w:val="0"/>
              <w:divBdr>
                <w:top w:val="none" w:sz="0" w:space="0" w:color="auto"/>
                <w:left w:val="none" w:sz="0" w:space="0" w:color="auto"/>
                <w:bottom w:val="none" w:sz="0" w:space="0" w:color="auto"/>
                <w:right w:val="none" w:sz="0" w:space="0" w:color="auto"/>
              </w:divBdr>
            </w:div>
            <w:div w:id="686949366">
              <w:marLeft w:val="0"/>
              <w:marRight w:val="0"/>
              <w:marTop w:val="0"/>
              <w:marBottom w:val="0"/>
              <w:divBdr>
                <w:top w:val="none" w:sz="0" w:space="0" w:color="auto"/>
                <w:left w:val="none" w:sz="0" w:space="0" w:color="auto"/>
                <w:bottom w:val="none" w:sz="0" w:space="0" w:color="auto"/>
                <w:right w:val="none" w:sz="0" w:space="0" w:color="auto"/>
              </w:divBdr>
            </w:div>
            <w:div w:id="8256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8485">
      <w:bodyDiv w:val="1"/>
      <w:marLeft w:val="0"/>
      <w:marRight w:val="0"/>
      <w:marTop w:val="0"/>
      <w:marBottom w:val="0"/>
      <w:divBdr>
        <w:top w:val="none" w:sz="0" w:space="0" w:color="auto"/>
        <w:left w:val="none" w:sz="0" w:space="0" w:color="auto"/>
        <w:bottom w:val="none" w:sz="0" w:space="0" w:color="auto"/>
        <w:right w:val="none" w:sz="0" w:space="0" w:color="auto"/>
      </w:divBdr>
      <w:divsChild>
        <w:div w:id="1891071197">
          <w:marLeft w:val="0"/>
          <w:marRight w:val="0"/>
          <w:marTop w:val="0"/>
          <w:marBottom w:val="0"/>
          <w:divBdr>
            <w:top w:val="none" w:sz="0" w:space="0" w:color="auto"/>
            <w:left w:val="none" w:sz="0" w:space="0" w:color="auto"/>
            <w:bottom w:val="none" w:sz="0" w:space="0" w:color="auto"/>
            <w:right w:val="none" w:sz="0" w:space="0" w:color="auto"/>
          </w:divBdr>
          <w:divsChild>
            <w:div w:id="638727111">
              <w:marLeft w:val="0"/>
              <w:marRight w:val="0"/>
              <w:marTop w:val="0"/>
              <w:marBottom w:val="0"/>
              <w:divBdr>
                <w:top w:val="none" w:sz="0" w:space="0" w:color="auto"/>
                <w:left w:val="none" w:sz="0" w:space="0" w:color="auto"/>
                <w:bottom w:val="none" w:sz="0" w:space="0" w:color="auto"/>
                <w:right w:val="none" w:sz="0" w:space="0" w:color="auto"/>
              </w:divBdr>
            </w:div>
            <w:div w:id="1897669090">
              <w:marLeft w:val="0"/>
              <w:marRight w:val="0"/>
              <w:marTop w:val="0"/>
              <w:marBottom w:val="0"/>
              <w:divBdr>
                <w:top w:val="none" w:sz="0" w:space="0" w:color="auto"/>
                <w:left w:val="none" w:sz="0" w:space="0" w:color="auto"/>
                <w:bottom w:val="none" w:sz="0" w:space="0" w:color="auto"/>
                <w:right w:val="none" w:sz="0" w:space="0" w:color="auto"/>
              </w:divBdr>
            </w:div>
            <w:div w:id="18987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1001</Words>
  <Characters>5418</Characters>
  <Application>Microsoft Office Word</Application>
  <DocSecurity>0</DocSecurity>
  <Lines>138</Lines>
  <Paragraphs>61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2010-03-18T16:39:00Z</cp:lastPrinted>
  <dcterms:created xsi:type="dcterms:W3CDTF">2015-11-18T20:23:00Z</dcterms:created>
  <dcterms:modified xsi:type="dcterms:W3CDTF">2015-11-18T20:23:00Z</dcterms:modified>
  <cp:category> </cp:category>
  <cp:contentStatus> </cp:contentStatus>
</cp:coreProperties>
</file>