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BCAE" w14:textId="77777777" w:rsidR="004C2EE3" w:rsidRPr="00025F6D" w:rsidRDefault="004C2EE3">
      <w:pPr>
        <w:jc w:val="center"/>
        <w:rPr>
          <w:b/>
        </w:rPr>
      </w:pPr>
      <w:bookmarkStart w:id="0" w:name="_GoBack"/>
      <w:bookmarkEnd w:id="0"/>
      <w:r w:rsidRPr="00025F6D">
        <w:rPr>
          <w:b/>
        </w:rPr>
        <w:t>Before the</w:t>
      </w:r>
    </w:p>
    <w:p w14:paraId="6E0652F9" w14:textId="77777777" w:rsidR="00921803" w:rsidRPr="00025F6D" w:rsidRDefault="00921803" w:rsidP="00921803">
      <w:pPr>
        <w:pStyle w:val="StyleBoldCentered"/>
        <w:rPr>
          <w:rFonts w:ascii="Times New Roman" w:hAnsi="Times New Roman"/>
        </w:rPr>
      </w:pPr>
      <w:r w:rsidRPr="00025F6D">
        <w:rPr>
          <w:rFonts w:ascii="Times New Roman" w:hAnsi="Times New Roman"/>
        </w:rPr>
        <w:t>F</w:t>
      </w:r>
      <w:r w:rsidRPr="00025F6D">
        <w:rPr>
          <w:rFonts w:ascii="Times New Roman" w:hAnsi="Times New Roman"/>
          <w:caps w:val="0"/>
        </w:rPr>
        <w:t>ederal Communications Commission</w:t>
      </w:r>
    </w:p>
    <w:p w14:paraId="03AA0CA7" w14:textId="77777777" w:rsidR="004C2EE3" w:rsidRPr="00025F6D" w:rsidRDefault="00810B6F" w:rsidP="00096D8C">
      <w:pPr>
        <w:pStyle w:val="StyleBoldCentered"/>
        <w:rPr>
          <w:rFonts w:ascii="Times New Roman" w:hAnsi="Times New Roman"/>
        </w:rPr>
      </w:pPr>
      <w:r w:rsidRPr="00025F6D">
        <w:rPr>
          <w:rFonts w:ascii="Times New Roman" w:hAnsi="Times New Roman"/>
          <w:caps w:val="0"/>
        </w:rPr>
        <w:t>Washington, D.C. 20554</w:t>
      </w:r>
    </w:p>
    <w:p w14:paraId="2DB40F40" w14:textId="77777777" w:rsidR="004C2EE3" w:rsidRPr="00025F6D" w:rsidRDefault="004C2EE3" w:rsidP="0070224F"/>
    <w:p w14:paraId="6FB9E702" w14:textId="77777777" w:rsidR="004C2EE3" w:rsidRPr="00025F6D" w:rsidRDefault="004C2EE3" w:rsidP="0070224F"/>
    <w:tbl>
      <w:tblPr>
        <w:tblW w:w="0" w:type="auto"/>
        <w:tblLayout w:type="fixed"/>
        <w:tblLook w:val="0000" w:firstRow="0" w:lastRow="0" w:firstColumn="0" w:lastColumn="0" w:noHBand="0" w:noVBand="0"/>
      </w:tblPr>
      <w:tblGrid>
        <w:gridCol w:w="4698"/>
        <w:gridCol w:w="630"/>
        <w:gridCol w:w="4248"/>
      </w:tblGrid>
      <w:tr w:rsidR="004C2EE3" w:rsidRPr="00025F6D" w14:paraId="2056A385" w14:textId="77777777">
        <w:tc>
          <w:tcPr>
            <w:tcW w:w="4698" w:type="dxa"/>
          </w:tcPr>
          <w:p w14:paraId="49E032FC" w14:textId="77777777" w:rsidR="004C2EE3" w:rsidRPr="00025F6D" w:rsidRDefault="004C2EE3">
            <w:pPr>
              <w:tabs>
                <w:tab w:val="center" w:pos="4680"/>
              </w:tabs>
              <w:suppressAutoHyphens/>
              <w:rPr>
                <w:spacing w:val="-2"/>
              </w:rPr>
            </w:pPr>
            <w:r w:rsidRPr="00025F6D">
              <w:rPr>
                <w:spacing w:val="-2"/>
              </w:rPr>
              <w:t>In the Matter of</w:t>
            </w:r>
          </w:p>
          <w:p w14:paraId="3910BFBE" w14:textId="77777777" w:rsidR="004C2EE3" w:rsidRPr="00025F6D" w:rsidRDefault="004C2EE3">
            <w:pPr>
              <w:tabs>
                <w:tab w:val="center" w:pos="4680"/>
              </w:tabs>
              <w:suppressAutoHyphens/>
              <w:rPr>
                <w:spacing w:val="-2"/>
              </w:rPr>
            </w:pPr>
          </w:p>
          <w:p w14:paraId="5298BFD4" w14:textId="77777777" w:rsidR="00FA7D8B" w:rsidRPr="00025F6D" w:rsidRDefault="00FA7D8B" w:rsidP="00FA7D8B">
            <w:pPr>
              <w:tabs>
                <w:tab w:val="center" w:pos="4680"/>
              </w:tabs>
              <w:suppressAutoHyphens/>
              <w:rPr>
                <w:spacing w:val="-2"/>
              </w:rPr>
            </w:pPr>
            <w:r w:rsidRPr="00025F6D">
              <w:rPr>
                <w:spacing w:val="-2"/>
              </w:rPr>
              <w:t xml:space="preserve">Bellizzi Broadcasting Network, Inc. Station WEYW-LP, Key West, Florida </w:t>
            </w:r>
          </w:p>
          <w:p w14:paraId="4903FFC2" w14:textId="77777777" w:rsidR="00FA7D8B" w:rsidRPr="00025F6D" w:rsidRDefault="00FA7D8B" w:rsidP="00FA7D8B">
            <w:pPr>
              <w:tabs>
                <w:tab w:val="center" w:pos="4680"/>
              </w:tabs>
              <w:suppressAutoHyphens/>
              <w:rPr>
                <w:spacing w:val="-2"/>
              </w:rPr>
            </w:pPr>
          </w:p>
          <w:p w14:paraId="397783DA" w14:textId="77777777" w:rsidR="004C2EE3" w:rsidRPr="00025F6D" w:rsidRDefault="00FA7D8B" w:rsidP="00FA7D8B">
            <w:pPr>
              <w:tabs>
                <w:tab w:val="center" w:pos="4680"/>
              </w:tabs>
              <w:suppressAutoHyphens/>
              <w:rPr>
                <w:spacing w:val="-2"/>
              </w:rPr>
            </w:pPr>
            <w:r w:rsidRPr="00025F6D">
              <w:rPr>
                <w:spacing w:val="-2"/>
              </w:rPr>
              <w:t>Facility ID No. 130765</w:t>
            </w:r>
          </w:p>
        </w:tc>
        <w:tc>
          <w:tcPr>
            <w:tcW w:w="630" w:type="dxa"/>
          </w:tcPr>
          <w:p w14:paraId="390A1BE3" w14:textId="77777777" w:rsidR="004C2EE3" w:rsidRPr="00025F6D" w:rsidRDefault="004C2EE3">
            <w:pPr>
              <w:tabs>
                <w:tab w:val="center" w:pos="4680"/>
              </w:tabs>
              <w:suppressAutoHyphens/>
              <w:rPr>
                <w:b/>
                <w:spacing w:val="-2"/>
              </w:rPr>
            </w:pPr>
            <w:r w:rsidRPr="00025F6D">
              <w:rPr>
                <w:b/>
                <w:spacing w:val="-2"/>
              </w:rPr>
              <w:t>)</w:t>
            </w:r>
          </w:p>
          <w:p w14:paraId="53DC9733" w14:textId="77777777" w:rsidR="004C2EE3" w:rsidRPr="00025F6D" w:rsidRDefault="004C2EE3">
            <w:pPr>
              <w:tabs>
                <w:tab w:val="center" w:pos="4680"/>
              </w:tabs>
              <w:suppressAutoHyphens/>
              <w:rPr>
                <w:b/>
                <w:spacing w:val="-2"/>
              </w:rPr>
            </w:pPr>
            <w:r w:rsidRPr="00025F6D">
              <w:rPr>
                <w:b/>
                <w:spacing w:val="-2"/>
              </w:rPr>
              <w:t>)</w:t>
            </w:r>
          </w:p>
          <w:p w14:paraId="50A16129" w14:textId="77777777" w:rsidR="004C2EE3" w:rsidRPr="00025F6D" w:rsidRDefault="004C2EE3">
            <w:pPr>
              <w:tabs>
                <w:tab w:val="center" w:pos="4680"/>
              </w:tabs>
              <w:suppressAutoHyphens/>
              <w:rPr>
                <w:b/>
                <w:spacing w:val="-2"/>
              </w:rPr>
            </w:pPr>
            <w:r w:rsidRPr="00025F6D">
              <w:rPr>
                <w:b/>
                <w:spacing w:val="-2"/>
              </w:rPr>
              <w:t>)</w:t>
            </w:r>
          </w:p>
          <w:p w14:paraId="5A192F5E" w14:textId="77777777" w:rsidR="004C2EE3" w:rsidRPr="00025F6D" w:rsidRDefault="004C2EE3">
            <w:pPr>
              <w:tabs>
                <w:tab w:val="center" w:pos="4680"/>
              </w:tabs>
              <w:suppressAutoHyphens/>
              <w:rPr>
                <w:b/>
                <w:spacing w:val="-2"/>
              </w:rPr>
            </w:pPr>
            <w:r w:rsidRPr="00025F6D">
              <w:rPr>
                <w:b/>
                <w:spacing w:val="-2"/>
              </w:rPr>
              <w:t>)</w:t>
            </w:r>
          </w:p>
          <w:p w14:paraId="133B224F" w14:textId="77777777" w:rsidR="004C2EE3" w:rsidRPr="00025F6D" w:rsidRDefault="004C2EE3">
            <w:pPr>
              <w:tabs>
                <w:tab w:val="center" w:pos="4680"/>
              </w:tabs>
              <w:suppressAutoHyphens/>
              <w:rPr>
                <w:b/>
                <w:spacing w:val="-2"/>
              </w:rPr>
            </w:pPr>
            <w:r w:rsidRPr="00025F6D">
              <w:rPr>
                <w:b/>
                <w:spacing w:val="-2"/>
              </w:rPr>
              <w:t>)</w:t>
            </w:r>
          </w:p>
          <w:p w14:paraId="5E9FFF86" w14:textId="77777777" w:rsidR="004C2EE3" w:rsidRPr="00025F6D" w:rsidRDefault="004C2EE3">
            <w:pPr>
              <w:tabs>
                <w:tab w:val="center" w:pos="4680"/>
              </w:tabs>
              <w:suppressAutoHyphens/>
              <w:rPr>
                <w:b/>
                <w:spacing w:val="-2"/>
              </w:rPr>
            </w:pPr>
            <w:r w:rsidRPr="00025F6D">
              <w:rPr>
                <w:b/>
                <w:spacing w:val="-2"/>
              </w:rPr>
              <w:t>)</w:t>
            </w:r>
          </w:p>
        </w:tc>
        <w:tc>
          <w:tcPr>
            <w:tcW w:w="4248" w:type="dxa"/>
          </w:tcPr>
          <w:p w14:paraId="3B1A94D1" w14:textId="77777777" w:rsidR="004C2EE3" w:rsidRPr="00025F6D" w:rsidRDefault="004C2EE3">
            <w:pPr>
              <w:tabs>
                <w:tab w:val="center" w:pos="4680"/>
              </w:tabs>
              <w:suppressAutoHyphens/>
              <w:rPr>
                <w:spacing w:val="-2"/>
              </w:rPr>
            </w:pPr>
          </w:p>
          <w:p w14:paraId="05CBE74D" w14:textId="77777777" w:rsidR="004C2EE3" w:rsidRPr="00025F6D" w:rsidRDefault="004C2EE3">
            <w:pPr>
              <w:pStyle w:val="TOAHeading"/>
              <w:tabs>
                <w:tab w:val="clear" w:pos="9360"/>
                <w:tab w:val="center" w:pos="4680"/>
              </w:tabs>
              <w:rPr>
                <w:spacing w:val="-2"/>
              </w:rPr>
            </w:pPr>
          </w:p>
          <w:p w14:paraId="7A75327C" w14:textId="77777777" w:rsidR="00FA7D8B" w:rsidRPr="00025F6D" w:rsidRDefault="00FA7D8B" w:rsidP="00FA7D8B">
            <w:pPr>
              <w:tabs>
                <w:tab w:val="center" w:pos="4680"/>
              </w:tabs>
              <w:suppressAutoHyphens/>
              <w:rPr>
                <w:spacing w:val="-2"/>
              </w:rPr>
            </w:pPr>
            <w:r w:rsidRPr="00025F6D">
              <w:rPr>
                <w:spacing w:val="-2"/>
              </w:rPr>
              <w:t>CSR-8837-M</w:t>
            </w:r>
          </w:p>
          <w:p w14:paraId="7D1EC41E" w14:textId="77777777" w:rsidR="004C2EE3" w:rsidRPr="00025F6D" w:rsidRDefault="00FA7D8B" w:rsidP="00FA7D8B">
            <w:pPr>
              <w:tabs>
                <w:tab w:val="center" w:pos="4680"/>
              </w:tabs>
              <w:suppressAutoHyphens/>
              <w:rPr>
                <w:spacing w:val="-2"/>
              </w:rPr>
            </w:pPr>
            <w:r w:rsidRPr="00025F6D">
              <w:rPr>
                <w:spacing w:val="-2"/>
              </w:rPr>
              <w:t>MB Docket No. 13-244</w:t>
            </w:r>
          </w:p>
        </w:tc>
      </w:tr>
    </w:tbl>
    <w:p w14:paraId="36CBD918" w14:textId="77777777" w:rsidR="004C2EE3" w:rsidRPr="00025F6D" w:rsidRDefault="004C2EE3" w:rsidP="0070224F"/>
    <w:p w14:paraId="455434E7" w14:textId="77777777" w:rsidR="00841AB1" w:rsidRPr="00025F6D" w:rsidRDefault="00FA7D8B" w:rsidP="00F021FA">
      <w:pPr>
        <w:pStyle w:val="StyleBoldCentered"/>
        <w:rPr>
          <w:rFonts w:ascii="Times New Roman" w:hAnsi="Times New Roman"/>
        </w:rPr>
      </w:pPr>
      <w:r w:rsidRPr="00025F6D">
        <w:rPr>
          <w:rFonts w:ascii="Times New Roman" w:hAnsi="Times New Roman"/>
        </w:rPr>
        <w:t>memorandum opinion and order</w:t>
      </w:r>
    </w:p>
    <w:p w14:paraId="4A7E4AD3" w14:textId="77777777" w:rsidR="004C2EE3" w:rsidRPr="00025F6D" w:rsidRDefault="004C2EE3">
      <w:pPr>
        <w:tabs>
          <w:tab w:val="left" w:pos="-720"/>
        </w:tabs>
        <w:suppressAutoHyphens/>
        <w:spacing w:line="227" w:lineRule="auto"/>
        <w:rPr>
          <w:spacing w:val="-2"/>
        </w:rPr>
      </w:pPr>
    </w:p>
    <w:p w14:paraId="6A095060" w14:textId="7DDE3E7B" w:rsidR="004C2EE3" w:rsidRPr="00025F6D" w:rsidRDefault="004C2EE3" w:rsidP="00133F79">
      <w:pPr>
        <w:tabs>
          <w:tab w:val="left" w:pos="720"/>
          <w:tab w:val="right" w:pos="9360"/>
        </w:tabs>
        <w:suppressAutoHyphens/>
        <w:spacing w:line="227" w:lineRule="auto"/>
        <w:rPr>
          <w:spacing w:val="-2"/>
        </w:rPr>
      </w:pPr>
      <w:r w:rsidRPr="00025F6D">
        <w:rPr>
          <w:b/>
          <w:spacing w:val="-2"/>
        </w:rPr>
        <w:t xml:space="preserve">Adopted:  </w:t>
      </w:r>
      <w:r w:rsidR="004E03BA">
        <w:rPr>
          <w:b/>
          <w:spacing w:val="-2"/>
        </w:rPr>
        <w:t>November 18, 2015</w:t>
      </w:r>
      <w:r w:rsidRPr="00025F6D">
        <w:rPr>
          <w:b/>
          <w:spacing w:val="-2"/>
        </w:rPr>
        <w:tab/>
      </w:r>
      <w:r w:rsidR="00822CE0" w:rsidRPr="00025F6D">
        <w:rPr>
          <w:b/>
          <w:spacing w:val="-2"/>
        </w:rPr>
        <w:t>Released</w:t>
      </w:r>
      <w:r w:rsidRPr="00025F6D">
        <w:rPr>
          <w:b/>
          <w:spacing w:val="-2"/>
        </w:rPr>
        <w:t>:</w:t>
      </w:r>
      <w:r w:rsidR="00822CE0" w:rsidRPr="00025F6D">
        <w:rPr>
          <w:b/>
          <w:spacing w:val="-2"/>
        </w:rPr>
        <w:t xml:space="preserve"> </w:t>
      </w:r>
      <w:r w:rsidRPr="00025F6D">
        <w:rPr>
          <w:b/>
          <w:spacing w:val="-2"/>
        </w:rPr>
        <w:t xml:space="preserve"> </w:t>
      </w:r>
      <w:r w:rsidR="004E03BA">
        <w:rPr>
          <w:b/>
          <w:spacing w:val="-2"/>
        </w:rPr>
        <w:t>November 18, 2015</w:t>
      </w:r>
    </w:p>
    <w:p w14:paraId="025D56E9" w14:textId="77777777" w:rsidR="00822CE0" w:rsidRPr="00025F6D" w:rsidRDefault="00822CE0"/>
    <w:p w14:paraId="51DBC890" w14:textId="77777777" w:rsidR="004C2EE3" w:rsidRPr="00025F6D" w:rsidRDefault="004C2EE3">
      <w:pPr>
        <w:rPr>
          <w:spacing w:val="-2"/>
        </w:rPr>
      </w:pPr>
      <w:r w:rsidRPr="00025F6D">
        <w:t xml:space="preserve">By </w:t>
      </w:r>
      <w:r w:rsidR="004E4A22" w:rsidRPr="00025F6D">
        <w:t>the</w:t>
      </w:r>
      <w:r w:rsidR="002A2D2E" w:rsidRPr="00025F6D">
        <w:t xml:space="preserve"> </w:t>
      </w:r>
      <w:r w:rsidR="00FA7D8B" w:rsidRPr="00025F6D">
        <w:rPr>
          <w:spacing w:val="-2"/>
        </w:rPr>
        <w:t>Commission</w:t>
      </w:r>
      <w:r w:rsidRPr="00025F6D">
        <w:rPr>
          <w:spacing w:val="-2"/>
        </w:rPr>
        <w:t>:</w:t>
      </w:r>
    </w:p>
    <w:p w14:paraId="77AA24B0" w14:textId="77777777" w:rsidR="00822CE0" w:rsidRPr="00025F6D" w:rsidRDefault="00822CE0">
      <w:pPr>
        <w:rPr>
          <w:spacing w:val="-2"/>
        </w:rPr>
      </w:pPr>
    </w:p>
    <w:p w14:paraId="554E65C1" w14:textId="5081F2B0" w:rsidR="00FA7D8B" w:rsidRPr="00025F6D" w:rsidRDefault="00FA7D8B" w:rsidP="003017B6">
      <w:pPr>
        <w:pStyle w:val="ParaNum"/>
      </w:pPr>
      <w:r w:rsidRPr="00025F6D">
        <w:t>In this Memorandum Opinion and Order, we deny the Application for Review (“AFR”)</w:t>
      </w:r>
      <w:r w:rsidRPr="00025F6D">
        <w:rPr>
          <w:sz w:val="20"/>
          <w:vertAlign w:val="superscript"/>
        </w:rPr>
        <w:footnoteReference w:id="2"/>
      </w:r>
      <w:r w:rsidRPr="00025F6D">
        <w:t xml:space="preserve"> filed by Bellizzi Broadcasting Network, Inc. (“Bellizzi”), licensee of Station WEYW-LP, a low-power television station </w:t>
      </w:r>
      <w:r w:rsidR="00342F24" w:rsidRPr="00025F6D">
        <w:t>licensed to</w:t>
      </w:r>
      <w:r w:rsidRPr="00025F6D">
        <w:t xml:space="preserve"> Key West, Florida (“WEYW”).  Bellizzi seeks review of the </w:t>
      </w:r>
      <w:r w:rsidR="00640F9D" w:rsidRPr="00025F6D">
        <w:t xml:space="preserve">Media Bureau’s </w:t>
      </w:r>
      <w:r w:rsidRPr="00025F6D">
        <w:rPr>
          <w:i/>
        </w:rPr>
        <w:t xml:space="preserve">Order on Reconsideration </w:t>
      </w:r>
      <w:r w:rsidR="0040048E" w:rsidRPr="00025F6D">
        <w:t>issued on April 28, 2015</w:t>
      </w:r>
      <w:r w:rsidR="00417143" w:rsidRPr="00025F6D">
        <w:rPr>
          <w:rStyle w:val="FootnoteReference"/>
        </w:rPr>
        <w:footnoteReference w:id="3"/>
      </w:r>
      <w:r w:rsidR="00D960AC" w:rsidRPr="00025F6D">
        <w:t xml:space="preserve">, which denied Belizzi’s petition for reconsideration of the Bureau’s </w:t>
      </w:r>
      <w:r w:rsidR="00D960AC" w:rsidRPr="00025F6D">
        <w:rPr>
          <w:i/>
        </w:rPr>
        <w:t>Memorandum Opinion and Order</w:t>
      </w:r>
      <w:r w:rsidR="0040048E" w:rsidRPr="00025F6D">
        <w:t xml:space="preserve">.  The </w:t>
      </w:r>
      <w:r w:rsidR="00D960AC" w:rsidRPr="00025F6D">
        <w:rPr>
          <w:i/>
        </w:rPr>
        <w:t xml:space="preserve">Memorandum Opinion and </w:t>
      </w:r>
      <w:r w:rsidR="0040048E" w:rsidRPr="00025F6D">
        <w:rPr>
          <w:i/>
        </w:rPr>
        <w:t xml:space="preserve">Order </w:t>
      </w:r>
      <w:r w:rsidRPr="00025F6D">
        <w:t>denied Bellizzi’s must carry complaint filed against Comcast Cable Communications, LLC (“Comcast”) for its refusal to carry WEYW on its Key West, Florida cable system.</w:t>
      </w:r>
      <w:r w:rsidRPr="00025F6D">
        <w:rPr>
          <w:sz w:val="20"/>
          <w:vertAlign w:val="superscript"/>
        </w:rPr>
        <w:t xml:space="preserve"> </w:t>
      </w:r>
      <w:r w:rsidRPr="00025F6D">
        <w:rPr>
          <w:sz w:val="20"/>
          <w:vertAlign w:val="superscript"/>
        </w:rPr>
        <w:footnoteReference w:id="4"/>
      </w:r>
      <w:r w:rsidRPr="00025F6D">
        <w:t xml:space="preserve">  For the reasons discussed below, we deny the AFR</w:t>
      </w:r>
      <w:r w:rsidR="003E2F4E" w:rsidRPr="00025F6D">
        <w:t xml:space="preserve"> and affirm the Media Bureau’s </w:t>
      </w:r>
      <w:r w:rsidR="001B5501" w:rsidRPr="00025F6D">
        <w:t>decision</w:t>
      </w:r>
      <w:r w:rsidR="00C66BE1" w:rsidRPr="00025F6D">
        <w:t xml:space="preserve"> below</w:t>
      </w:r>
      <w:r w:rsidRPr="00025F6D">
        <w:t>.</w:t>
      </w:r>
    </w:p>
    <w:p w14:paraId="3BA273A8" w14:textId="77777777" w:rsidR="00342F24" w:rsidRPr="00025F6D" w:rsidRDefault="00FA7D8B" w:rsidP="003017B6">
      <w:pPr>
        <w:pStyle w:val="ParaNum"/>
      </w:pPr>
      <w:r w:rsidRPr="00025F6D">
        <w:t xml:space="preserve">In the </w:t>
      </w:r>
      <w:r w:rsidRPr="00025F6D">
        <w:rPr>
          <w:i/>
        </w:rPr>
        <w:t>Order on Reconsideration</w:t>
      </w:r>
      <w:r w:rsidRPr="00025F6D">
        <w:t>,</w:t>
      </w:r>
      <w:r w:rsidRPr="00025F6D">
        <w:rPr>
          <w:i/>
        </w:rPr>
        <w:t xml:space="preserve"> </w:t>
      </w:r>
      <w:r w:rsidRPr="00025F6D">
        <w:t xml:space="preserve">the Media Bureau found that WEYW is not a “qualified” </w:t>
      </w:r>
      <w:r w:rsidR="00EB7776" w:rsidRPr="00025F6D">
        <w:t>low-power</w:t>
      </w:r>
      <w:r w:rsidRPr="00025F6D">
        <w:t xml:space="preserve"> station because it does not meet one of </w:t>
      </w:r>
      <w:r w:rsidR="003E2F4E" w:rsidRPr="00025F6D">
        <w:t xml:space="preserve">the </w:t>
      </w:r>
      <w:r w:rsidRPr="00025F6D">
        <w:t>Communications Act’s required six criteria to be considered qualified.</w:t>
      </w:r>
      <w:r w:rsidRPr="00025F6D">
        <w:rPr>
          <w:sz w:val="20"/>
          <w:vertAlign w:val="superscript"/>
        </w:rPr>
        <w:footnoteReference w:id="5"/>
      </w:r>
      <w:r w:rsidRPr="00025F6D">
        <w:t xml:space="preserve">  Specifically, the Media Bureau </w:t>
      </w:r>
      <w:r w:rsidR="003E2F4E" w:rsidRPr="00025F6D">
        <w:t xml:space="preserve">found </w:t>
      </w:r>
      <w:r w:rsidRPr="00025F6D">
        <w:t xml:space="preserve">that Key West, Florida is </w:t>
      </w:r>
      <w:r w:rsidR="00342F24" w:rsidRPr="00025F6D">
        <w:t xml:space="preserve">also </w:t>
      </w:r>
      <w:r w:rsidRPr="00025F6D">
        <w:lastRenderedPageBreak/>
        <w:t xml:space="preserve">the city of license to two </w:t>
      </w:r>
      <w:r w:rsidR="00EB7776" w:rsidRPr="00025F6D">
        <w:t>full-power</w:t>
      </w:r>
      <w:r w:rsidRPr="00025F6D">
        <w:t xml:space="preserve"> television stations, WGEN</w:t>
      </w:r>
      <w:r w:rsidR="00F55F6F" w:rsidRPr="00025F6D">
        <w:t>-TV</w:t>
      </w:r>
      <w:r w:rsidRPr="00025F6D">
        <w:t xml:space="preserve"> and WSBS</w:t>
      </w:r>
      <w:r w:rsidR="00F55F6F" w:rsidRPr="00025F6D">
        <w:t>-TV</w:t>
      </w:r>
      <w:r w:rsidRPr="00025F6D">
        <w:t>.</w:t>
      </w:r>
      <w:r w:rsidRPr="00025F6D">
        <w:rPr>
          <w:sz w:val="20"/>
          <w:vertAlign w:val="superscript"/>
        </w:rPr>
        <w:footnoteReference w:id="6"/>
      </w:r>
      <w:r w:rsidRPr="00025F6D">
        <w:t xml:space="preserve">  Given this, the Bureau </w:t>
      </w:r>
      <w:r w:rsidR="003E2F4E" w:rsidRPr="00025F6D">
        <w:t xml:space="preserve">concluded </w:t>
      </w:r>
      <w:r w:rsidRPr="00025F6D">
        <w:t xml:space="preserve">that the requirements of </w:t>
      </w:r>
      <w:r w:rsidR="004763EC" w:rsidRPr="00025F6D">
        <w:t>S</w:t>
      </w:r>
      <w:r w:rsidRPr="00025F6D">
        <w:t xml:space="preserve">ection 534(h)(2)(F) </w:t>
      </w:r>
      <w:r w:rsidR="004763EC" w:rsidRPr="00025F6D">
        <w:t>of the</w:t>
      </w:r>
      <w:r w:rsidR="001C59C6" w:rsidRPr="00025F6D">
        <w:t xml:space="preserve"> Communications</w:t>
      </w:r>
      <w:r w:rsidR="004763EC" w:rsidRPr="00025F6D">
        <w:t xml:space="preserve"> Act </w:t>
      </w:r>
      <w:r w:rsidRPr="00025F6D">
        <w:t xml:space="preserve">were not satisfied and therefore </w:t>
      </w:r>
      <w:r w:rsidR="003E2F4E" w:rsidRPr="00025F6D">
        <w:t xml:space="preserve">held </w:t>
      </w:r>
      <w:r w:rsidRPr="00025F6D">
        <w:t xml:space="preserve">WEYW unqualified </w:t>
      </w:r>
      <w:r w:rsidR="003E2F4E" w:rsidRPr="00025F6D">
        <w:t xml:space="preserve">for </w:t>
      </w:r>
      <w:r w:rsidRPr="00025F6D">
        <w:t>mandatory carriage on Comcast’s cable system.</w:t>
      </w:r>
      <w:r w:rsidR="000835FF" w:rsidRPr="00025F6D">
        <w:rPr>
          <w:rStyle w:val="FootnoteReference"/>
        </w:rPr>
        <w:footnoteReference w:id="7"/>
      </w:r>
      <w:r w:rsidR="003E2F4E" w:rsidRPr="00025F6D">
        <w:t xml:space="preserve"> </w:t>
      </w:r>
    </w:p>
    <w:p w14:paraId="623BC600" w14:textId="73ED5285" w:rsidR="00FA7D8B" w:rsidRPr="00025F6D" w:rsidRDefault="00FA7D8B" w:rsidP="003017B6">
      <w:pPr>
        <w:pStyle w:val="ParaNum"/>
      </w:pPr>
      <w:r w:rsidRPr="00025F6D">
        <w:t xml:space="preserve">On review, </w:t>
      </w:r>
      <w:r w:rsidR="003A2725" w:rsidRPr="00025F6D">
        <w:t xml:space="preserve">Bellizzi </w:t>
      </w:r>
      <w:r w:rsidRPr="00025F6D">
        <w:t xml:space="preserve">argues that the Commission should reverse the Media Bureau’s decision denying </w:t>
      </w:r>
      <w:r w:rsidR="003A2725" w:rsidRPr="00025F6D">
        <w:t>Bellizzi</w:t>
      </w:r>
      <w:r w:rsidRPr="00025F6D">
        <w:t>’s must carry complaint.</w:t>
      </w:r>
      <w:r w:rsidRPr="00025F6D">
        <w:rPr>
          <w:sz w:val="20"/>
          <w:vertAlign w:val="superscript"/>
        </w:rPr>
        <w:footnoteReference w:id="8"/>
      </w:r>
      <w:r w:rsidRPr="00025F6D">
        <w:t xml:space="preserve">  </w:t>
      </w:r>
      <w:r w:rsidR="003A2725" w:rsidRPr="00025F6D">
        <w:t>Bellizzi</w:t>
      </w:r>
      <w:r w:rsidRPr="00025F6D">
        <w:t xml:space="preserve"> argues that despite the fact that there are two </w:t>
      </w:r>
      <w:r w:rsidR="00EB7776" w:rsidRPr="00025F6D">
        <w:t>full-power</w:t>
      </w:r>
      <w:r w:rsidRPr="00025F6D">
        <w:t xml:space="preserve"> stations licensed to its community of license, there are </w:t>
      </w:r>
      <w:r w:rsidR="004763EC" w:rsidRPr="00025F6D">
        <w:t>“</w:t>
      </w:r>
      <w:r w:rsidRPr="00025F6D">
        <w:t>extraordinary circumstances</w:t>
      </w:r>
      <w:r w:rsidR="004763EC" w:rsidRPr="00025F6D">
        <w:t>”</w:t>
      </w:r>
      <w:r w:rsidRPr="00025F6D">
        <w:t xml:space="preserve"> in the present case which should override the requirement that it meet the requirement in Section 76.55(</w:t>
      </w:r>
      <w:r w:rsidR="00200756" w:rsidRPr="00025F6D">
        <w:t>d</w:t>
      </w:r>
      <w:r w:rsidRPr="00025F6D">
        <w:t>)(6) of the Commission’s rules to be classified as a “qualified” low-power station.</w:t>
      </w:r>
      <w:r w:rsidRPr="00025F6D">
        <w:rPr>
          <w:sz w:val="20"/>
          <w:vertAlign w:val="superscript"/>
        </w:rPr>
        <w:footnoteReference w:id="9"/>
      </w:r>
      <w:r w:rsidRPr="00025F6D">
        <w:t xml:space="preserve">  </w:t>
      </w:r>
      <w:r w:rsidR="003A2725" w:rsidRPr="00025F6D">
        <w:t>Bellizzi</w:t>
      </w:r>
      <w:r w:rsidRPr="00025F6D">
        <w:t xml:space="preserve"> cites the decision in </w:t>
      </w:r>
      <w:r w:rsidRPr="00025F6D">
        <w:rPr>
          <w:i/>
        </w:rPr>
        <w:t>Gardner v. FCC</w:t>
      </w:r>
      <w:r w:rsidRPr="00025F6D">
        <w:t xml:space="preserve"> in support of its position that in spite of what seems to be clear language in the Communications Act – in this case, the factors for mandatory carriage of a qualified </w:t>
      </w:r>
      <w:r w:rsidR="00EB7776" w:rsidRPr="00025F6D">
        <w:t>low-power</w:t>
      </w:r>
      <w:r w:rsidRPr="00025F6D">
        <w:t xml:space="preserve"> television station – the Act’s language can be interpreted differently “where extraordinary circumstances indicate that justice be served.”</w:t>
      </w:r>
      <w:r w:rsidRPr="00025F6D">
        <w:rPr>
          <w:sz w:val="20"/>
          <w:vertAlign w:val="superscript"/>
        </w:rPr>
        <w:footnoteReference w:id="10"/>
      </w:r>
      <w:r w:rsidRPr="00025F6D">
        <w:t xml:space="preserve">  </w:t>
      </w:r>
      <w:r w:rsidR="003A2725" w:rsidRPr="00025F6D">
        <w:t>Bellizzi</w:t>
      </w:r>
      <w:r w:rsidRPr="00025F6D">
        <w:t xml:space="preserve"> asserts that in this case “extraordinary circumstances” exist because it provides local programming that serves the needs of Key West residents while the two full-power stations do not serve the Key West community because they provide only Spanish language programming to the predominantly non-Spanish speaking community of Key West.</w:t>
      </w:r>
      <w:r w:rsidRPr="00025F6D">
        <w:rPr>
          <w:sz w:val="20"/>
          <w:vertAlign w:val="superscript"/>
        </w:rPr>
        <w:footnoteReference w:id="11"/>
      </w:r>
      <w:r w:rsidRPr="00025F6D">
        <w:t xml:space="preserve">  Further, </w:t>
      </w:r>
      <w:r w:rsidR="003A2725" w:rsidRPr="00025F6D">
        <w:t xml:space="preserve">Bellizzi </w:t>
      </w:r>
      <w:r w:rsidRPr="00025F6D">
        <w:t xml:space="preserve">states that the two full-power stations </w:t>
      </w:r>
      <w:r w:rsidR="00C66BE1" w:rsidRPr="00025F6D">
        <w:t xml:space="preserve">maintain their main studios and broadcast </w:t>
      </w:r>
      <w:r w:rsidRPr="00025F6D">
        <w:t xml:space="preserve">from Miami-Dade County, </w:t>
      </w:r>
      <w:r w:rsidR="00B5334A" w:rsidRPr="00025F6D">
        <w:t xml:space="preserve">over </w:t>
      </w:r>
      <w:r w:rsidRPr="00025F6D">
        <w:t>120 miles from their transmitter sites in Key West.</w:t>
      </w:r>
      <w:r w:rsidRPr="00025F6D">
        <w:rPr>
          <w:sz w:val="20"/>
          <w:vertAlign w:val="superscript"/>
        </w:rPr>
        <w:footnoteReference w:id="12"/>
      </w:r>
      <w:r w:rsidRPr="00025F6D">
        <w:t xml:space="preserve">  </w:t>
      </w:r>
      <w:r w:rsidR="003A2725" w:rsidRPr="00025F6D">
        <w:t xml:space="preserve">Bellizzi </w:t>
      </w:r>
      <w:r w:rsidRPr="00025F6D">
        <w:t xml:space="preserve">argues that these facts should have led the Bureau to conclude that extraordinary circumstances were present and WEYW should be deemed a “qualified” low-power station although </w:t>
      </w:r>
      <w:r w:rsidR="005D2797">
        <w:t>it does</w:t>
      </w:r>
      <w:r w:rsidRPr="00025F6D">
        <w:t xml:space="preserve"> not meet the six requirements enumerated in our rules.</w:t>
      </w:r>
      <w:r w:rsidRPr="00025F6D">
        <w:rPr>
          <w:sz w:val="20"/>
          <w:vertAlign w:val="superscript"/>
        </w:rPr>
        <w:footnoteReference w:id="13"/>
      </w:r>
      <w:r w:rsidRPr="00025F6D">
        <w:t xml:space="preserve">  </w:t>
      </w:r>
    </w:p>
    <w:p w14:paraId="2A27E344" w14:textId="3CD1A973" w:rsidR="00FA7D8B" w:rsidRPr="00025F6D" w:rsidRDefault="00FA7D8B" w:rsidP="003017B6">
      <w:pPr>
        <w:pStyle w:val="ParaNum"/>
      </w:pPr>
      <w:r w:rsidRPr="00025F6D">
        <w:t xml:space="preserve">We affirm the Media Bureau’s holding in the </w:t>
      </w:r>
      <w:r w:rsidRPr="00025F6D">
        <w:rPr>
          <w:i/>
        </w:rPr>
        <w:t>Order on Reconsideration</w:t>
      </w:r>
      <w:r w:rsidRPr="00025F6D">
        <w:t>.  Bellizzi’s AFR raises the same arguments that it previously made in its Petition for Reconsideration of the Media Bureau’s</w:t>
      </w:r>
      <w:r w:rsidR="00640F9D" w:rsidRPr="00025F6D">
        <w:rPr>
          <w:i/>
        </w:rPr>
        <w:t xml:space="preserve"> Memorandum Opinion and Order</w:t>
      </w:r>
      <w:r w:rsidRPr="00025F6D">
        <w:t xml:space="preserve">.  Upon review of the AFR and the entire record, we conclude that Bellizzi has failed to demonstrate that the Media Bureau erred in its </w:t>
      </w:r>
      <w:r w:rsidRPr="00025F6D">
        <w:rPr>
          <w:i/>
        </w:rPr>
        <w:t>Order on Reconsideration</w:t>
      </w:r>
      <w:r w:rsidRPr="00025F6D">
        <w:t>.</w:t>
      </w:r>
      <w:r w:rsidR="001D3E69" w:rsidRPr="00025F6D">
        <w:rPr>
          <w:rStyle w:val="FootnoteReference"/>
        </w:rPr>
        <w:footnoteReference w:id="14"/>
      </w:r>
      <w:r w:rsidRPr="00025F6D">
        <w:t xml:space="preserve">  The Media Bureau noted correctly in the </w:t>
      </w:r>
      <w:r w:rsidRPr="00025F6D">
        <w:rPr>
          <w:i/>
        </w:rPr>
        <w:t>Order on Reconsideration</w:t>
      </w:r>
      <w:r w:rsidRPr="00025F6D">
        <w:t xml:space="preserve"> that WEYW is not a “qualified” low-power station and is therefore not entitled to mandatory carriage on Comcast’s cable system.</w:t>
      </w:r>
      <w:r w:rsidRPr="00025F6D">
        <w:rPr>
          <w:sz w:val="20"/>
          <w:vertAlign w:val="superscript"/>
        </w:rPr>
        <w:t xml:space="preserve"> </w:t>
      </w:r>
      <w:r w:rsidRPr="00025F6D">
        <w:rPr>
          <w:sz w:val="20"/>
          <w:vertAlign w:val="superscript"/>
        </w:rPr>
        <w:footnoteReference w:id="15"/>
      </w:r>
      <w:r w:rsidRPr="00025F6D">
        <w:t xml:space="preserve">  Even if it </w:t>
      </w:r>
      <w:r w:rsidRPr="00025F6D">
        <w:lastRenderedPageBreak/>
        <w:t>is true that the full-power stations are operating 120 miles from their transmitter sites in Key West, that is not a</w:t>
      </w:r>
      <w:r w:rsidR="006421E9" w:rsidRPr="00025F6D">
        <w:t xml:space="preserve"> recognized</w:t>
      </w:r>
      <w:r w:rsidRPr="00025F6D">
        <w:t xml:space="preserve"> basis </w:t>
      </w:r>
      <w:r w:rsidR="006421E9" w:rsidRPr="00025F6D">
        <w:t xml:space="preserve">under the statute or our rules </w:t>
      </w:r>
      <w:r w:rsidRPr="00025F6D">
        <w:t xml:space="preserve">for WEYW to be considered a “qualified” low-power station.  The </w:t>
      </w:r>
      <w:r w:rsidRPr="00025F6D">
        <w:rPr>
          <w:i/>
        </w:rPr>
        <w:t xml:space="preserve">Order on Reconsideration </w:t>
      </w:r>
      <w:r w:rsidRPr="00025F6D">
        <w:t xml:space="preserve">also correctly concluded that the nature of the programming of the </w:t>
      </w:r>
      <w:r w:rsidR="00EB7776" w:rsidRPr="00025F6D">
        <w:t>full-power</w:t>
      </w:r>
      <w:r w:rsidRPr="00025F6D">
        <w:t xml:space="preserve"> television stations licensed to the Key West, Florida is not relevant to the determination of whether WEYW is “qualified.”</w:t>
      </w:r>
      <w:r w:rsidR="000835FF" w:rsidRPr="00025F6D">
        <w:rPr>
          <w:rStyle w:val="FootnoteReference"/>
        </w:rPr>
        <w:footnoteReference w:id="16"/>
      </w:r>
      <w:r w:rsidRPr="00025F6D">
        <w:t xml:space="preserve">  As the Media Bureau properly noted, the Commission may not waive any part of the statutory definition of a qualified </w:t>
      </w:r>
      <w:r w:rsidR="00EB7776" w:rsidRPr="00025F6D">
        <w:t>low-power</w:t>
      </w:r>
      <w:r w:rsidRPr="00025F6D">
        <w:t xml:space="preserve"> television station.  We thus uphold the Media Bureau’s decision for the reasons stated in the</w:t>
      </w:r>
      <w:r w:rsidRPr="00025F6D">
        <w:rPr>
          <w:i/>
        </w:rPr>
        <w:t xml:space="preserve"> Order on Reconsideration</w:t>
      </w:r>
      <w:r w:rsidRPr="00025F6D">
        <w:t xml:space="preserve">.  </w:t>
      </w:r>
    </w:p>
    <w:p w14:paraId="42AE93AA" w14:textId="56909159" w:rsidR="007B2B2B" w:rsidRPr="00025F6D" w:rsidRDefault="00FA7D8B" w:rsidP="003017B6">
      <w:pPr>
        <w:pStyle w:val="ParaNum"/>
      </w:pPr>
      <w:r w:rsidRPr="00025F6D">
        <w:t>Accordingly, IT IS ORDERED that, pursuant to Section 5(c)(5) of the Communications Act of 1934, as amended, 47 U.S.C. §155(c)(5) and Section 1.115(g) of the Commission’s rules, 47 C.F.R. § 1.115(g), the May 5, 2015 Application for Review filed by Bellizzi Broadcasting Network, Inc., IS DENIED.</w:t>
      </w:r>
      <w:r w:rsidR="00A52059" w:rsidRPr="00025F6D">
        <w:t xml:space="preserve"> </w:t>
      </w:r>
    </w:p>
    <w:p w14:paraId="3E63C503" w14:textId="77777777" w:rsidR="008A27A8" w:rsidRPr="00025F6D" w:rsidRDefault="008A27A8" w:rsidP="003017B6">
      <w:pPr>
        <w:pStyle w:val="ParaNum"/>
      </w:pPr>
      <w:r w:rsidRPr="00025F6D">
        <w:t>IT IS FURTHER ORDERED that Bellizzi’s Motion for Extension of Time, MB Docket No. 13-244, CSR-8837-M (</w:t>
      </w:r>
      <w:r w:rsidR="008A2A8F" w:rsidRPr="00025F6D">
        <w:t>June 25, 2015</w:t>
      </w:r>
      <w:r w:rsidRPr="00025F6D">
        <w:t xml:space="preserve">) IS GRANTED.  </w:t>
      </w:r>
    </w:p>
    <w:p w14:paraId="72AAE301" w14:textId="77777777" w:rsidR="002D6CA6" w:rsidRPr="00025F6D" w:rsidRDefault="002D6CA6" w:rsidP="002D6CA6"/>
    <w:p w14:paraId="3C1C83DD" w14:textId="77777777" w:rsidR="002D6CA6" w:rsidRPr="00025F6D" w:rsidRDefault="002D6CA6" w:rsidP="0017296B">
      <w:r w:rsidRPr="00025F6D">
        <w:tab/>
      </w:r>
      <w:r w:rsidRPr="00025F6D">
        <w:tab/>
      </w:r>
      <w:r w:rsidRPr="00025F6D">
        <w:tab/>
      </w:r>
      <w:r w:rsidRPr="00025F6D">
        <w:tab/>
      </w:r>
      <w:r w:rsidRPr="00025F6D">
        <w:tab/>
      </w:r>
      <w:r w:rsidRPr="00025F6D">
        <w:tab/>
        <w:t>FEDERAL COMMUNICATIONS COMMISSION</w:t>
      </w:r>
    </w:p>
    <w:p w14:paraId="2CFB7E1E" w14:textId="77777777" w:rsidR="002D6CA6" w:rsidRPr="00025F6D" w:rsidRDefault="002D6CA6" w:rsidP="0017296B"/>
    <w:p w14:paraId="47220DA7" w14:textId="77777777" w:rsidR="002D6CA6" w:rsidRPr="00025F6D" w:rsidRDefault="002D6CA6" w:rsidP="0017296B"/>
    <w:p w14:paraId="0072A7D3" w14:textId="77777777" w:rsidR="002D6CA6" w:rsidRPr="00025F6D" w:rsidRDefault="002D6CA6" w:rsidP="0017296B"/>
    <w:p w14:paraId="499CE932" w14:textId="77777777" w:rsidR="002D6CA6" w:rsidRPr="00025F6D" w:rsidRDefault="002D6CA6" w:rsidP="0017296B"/>
    <w:p w14:paraId="23AB0F10" w14:textId="77777777" w:rsidR="002D6CA6" w:rsidRPr="00025F6D" w:rsidRDefault="002D6CA6" w:rsidP="0017296B">
      <w:r w:rsidRPr="00025F6D">
        <w:tab/>
      </w:r>
      <w:r w:rsidRPr="00025F6D">
        <w:tab/>
      </w:r>
      <w:r w:rsidRPr="00025F6D">
        <w:tab/>
      </w:r>
      <w:r w:rsidRPr="00025F6D">
        <w:tab/>
      </w:r>
      <w:r w:rsidRPr="00025F6D">
        <w:tab/>
      </w:r>
      <w:r w:rsidRPr="00025F6D">
        <w:tab/>
        <w:t>Marlene H. Dortch</w:t>
      </w:r>
    </w:p>
    <w:p w14:paraId="746DAD54" w14:textId="77777777" w:rsidR="002D6CA6" w:rsidRPr="00025F6D" w:rsidRDefault="002D6CA6" w:rsidP="0017296B">
      <w:r w:rsidRPr="00025F6D">
        <w:tab/>
      </w:r>
      <w:r w:rsidRPr="00025F6D">
        <w:tab/>
      </w:r>
      <w:r w:rsidRPr="00025F6D">
        <w:tab/>
      </w:r>
      <w:r w:rsidRPr="00025F6D">
        <w:tab/>
      </w:r>
      <w:r w:rsidRPr="00025F6D">
        <w:tab/>
      </w:r>
      <w:r w:rsidRPr="00025F6D">
        <w:tab/>
        <w:t>Secretary</w:t>
      </w:r>
    </w:p>
    <w:sectPr w:rsidR="002D6CA6" w:rsidRPr="00025F6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7AE67" w14:textId="77777777" w:rsidR="000E29E2" w:rsidRDefault="000E29E2">
      <w:pPr>
        <w:spacing w:line="20" w:lineRule="exact"/>
      </w:pPr>
    </w:p>
  </w:endnote>
  <w:endnote w:type="continuationSeparator" w:id="0">
    <w:p w14:paraId="5F8A264D" w14:textId="77777777" w:rsidR="000E29E2" w:rsidRDefault="000E29E2">
      <w:r>
        <w:t xml:space="preserve"> </w:t>
      </w:r>
    </w:p>
  </w:endnote>
  <w:endnote w:type="continuationNotice" w:id="1">
    <w:p w14:paraId="6CB8B04F" w14:textId="77777777" w:rsidR="000E29E2" w:rsidRDefault="000E29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B2FC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31435A5"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B334"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790B81">
      <w:rPr>
        <w:noProof/>
      </w:rPr>
      <w:t>2</w:t>
    </w:r>
    <w:r>
      <w:fldChar w:fldCharType="end"/>
    </w:r>
  </w:p>
  <w:p w14:paraId="17EABA32"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1D94"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FA553" w14:textId="77777777" w:rsidR="000E29E2" w:rsidRDefault="000E29E2">
      <w:r>
        <w:separator/>
      </w:r>
    </w:p>
  </w:footnote>
  <w:footnote w:type="continuationSeparator" w:id="0">
    <w:p w14:paraId="6BADFC1B" w14:textId="77777777" w:rsidR="000E29E2" w:rsidRDefault="000E29E2" w:rsidP="00C721AC">
      <w:pPr>
        <w:spacing w:before="120"/>
        <w:rPr>
          <w:sz w:val="20"/>
        </w:rPr>
      </w:pPr>
      <w:r>
        <w:rPr>
          <w:sz w:val="20"/>
        </w:rPr>
        <w:t xml:space="preserve">(Continued from previous page)  </w:t>
      </w:r>
      <w:r>
        <w:rPr>
          <w:sz w:val="20"/>
        </w:rPr>
        <w:separator/>
      </w:r>
    </w:p>
  </w:footnote>
  <w:footnote w:type="continuationNotice" w:id="1">
    <w:p w14:paraId="7A46017D" w14:textId="77777777" w:rsidR="000E29E2" w:rsidRDefault="000E29E2" w:rsidP="00C721AC">
      <w:pPr>
        <w:jc w:val="right"/>
        <w:rPr>
          <w:sz w:val="20"/>
        </w:rPr>
      </w:pPr>
      <w:r>
        <w:rPr>
          <w:sz w:val="20"/>
        </w:rPr>
        <w:t>(continued….)</w:t>
      </w:r>
    </w:p>
  </w:footnote>
  <w:footnote w:id="2">
    <w:p w14:paraId="69DFA784" w14:textId="79C0DF38" w:rsidR="00FA7D8B" w:rsidRDefault="00FA7D8B" w:rsidP="00FA7D8B">
      <w:pPr>
        <w:pStyle w:val="FootnoteText"/>
      </w:pPr>
      <w:r>
        <w:rPr>
          <w:rStyle w:val="FootnoteReference"/>
        </w:rPr>
        <w:footnoteRef/>
      </w:r>
      <w:r>
        <w:t xml:space="preserve"> Bellizzi Broadcasting Network, Inc., Application for Review, MB Docket No. 13-244, CSR-8837-M (filed May 28, 2015) (“Bellizi AFR”). Comcast filed an Opposition to Bellizzi’s Application for Review and argued that the Commission should deny Bellizzi’s AFR because the Media Bureau’s </w:t>
      </w:r>
      <w:r>
        <w:rPr>
          <w:i/>
        </w:rPr>
        <w:t>Order on Reconsideration</w:t>
      </w:r>
      <w:r>
        <w:t xml:space="preserve"> is consistent with Commission precedent and Section 614(h)(2) of the Communications Act of 1934</w:t>
      </w:r>
      <w:r w:rsidR="00342F24">
        <w:t>, as amended (the “</w:t>
      </w:r>
      <w:r w:rsidR="000775CF">
        <w:t xml:space="preserve">Communications </w:t>
      </w:r>
      <w:r w:rsidR="00342F24">
        <w:t>Act’)</w:t>
      </w:r>
      <w:r>
        <w:t>.  Comcast Cable Communications, LLC, Opposition to Application for Review, MB Docket No. 13-244, CSR-8837-M (filed June 12, 2015)</w:t>
      </w:r>
      <w:r w:rsidR="001B5501">
        <w:t xml:space="preserve">.  </w:t>
      </w:r>
      <w:r w:rsidR="005F6859">
        <w:t xml:space="preserve">Bellizzi filed a Motion for Extension of Time on </w:t>
      </w:r>
      <w:r w:rsidR="00822518">
        <w:t>June 25, 2015</w:t>
      </w:r>
      <w:r w:rsidR="005F6859">
        <w:t xml:space="preserve"> seeking an extension of time until </w:t>
      </w:r>
      <w:r w:rsidR="00635A27">
        <w:t>July 1, 2015</w:t>
      </w:r>
      <w:r w:rsidR="005F6859">
        <w:t xml:space="preserve"> to file its </w:t>
      </w:r>
      <w:r w:rsidR="00184F61">
        <w:t xml:space="preserve">Reply to Comcast’s </w:t>
      </w:r>
      <w:r w:rsidR="005F6859">
        <w:t xml:space="preserve">Opposition to Petition for Reconsideration.  </w:t>
      </w:r>
      <w:r w:rsidR="00CD41DF">
        <w:t xml:space="preserve">Because the </w:t>
      </w:r>
      <w:r w:rsidR="00921AE7">
        <w:t>E</w:t>
      </w:r>
      <w:r w:rsidR="00CD41DF">
        <w:t xml:space="preserve">xtension </w:t>
      </w:r>
      <w:r w:rsidR="00921AE7">
        <w:t>Request</w:t>
      </w:r>
      <w:r w:rsidR="00CD41DF">
        <w:t xml:space="preserve"> was </w:t>
      </w:r>
      <w:r w:rsidR="00FA0312">
        <w:t>filed</w:t>
      </w:r>
      <w:r w:rsidR="00921AE7">
        <w:t xml:space="preserve"> on June 25, 2015, the filing deadline for its Reply,</w:t>
      </w:r>
      <w:r w:rsidR="00952B14">
        <w:t xml:space="preserve"> </w:t>
      </w:r>
      <w:r w:rsidR="00822518">
        <w:t xml:space="preserve">Bellizzi </w:t>
      </w:r>
      <w:r w:rsidR="00921AE7">
        <w:t xml:space="preserve">indicated that it had </w:t>
      </w:r>
      <w:r w:rsidR="00E8295F">
        <w:t xml:space="preserve">advised </w:t>
      </w:r>
      <w:r w:rsidR="00822518">
        <w:t xml:space="preserve">Comcast of </w:t>
      </w:r>
      <w:r w:rsidR="00E8295F">
        <w:t xml:space="preserve">the filing of </w:t>
      </w:r>
      <w:r w:rsidR="00822518">
        <w:t>its</w:t>
      </w:r>
      <w:r w:rsidR="00C874D6">
        <w:t xml:space="preserve"> </w:t>
      </w:r>
      <w:r w:rsidR="00921AE7">
        <w:t>Motion</w:t>
      </w:r>
      <w:r w:rsidR="00822518">
        <w:t>.</w:t>
      </w:r>
      <w:r w:rsidR="00CD41DF">
        <w:t xml:space="preserve"> </w:t>
      </w:r>
      <w:r w:rsidR="00697DB7">
        <w:t xml:space="preserve"> </w:t>
      </w:r>
      <w:r w:rsidR="00CD41DF">
        <w:t>47 C.F.R. §1.46(</w:t>
      </w:r>
      <w:r w:rsidR="00FA0312">
        <w:t>c</w:t>
      </w:r>
      <w:r w:rsidR="00CD41DF">
        <w:t>).</w:t>
      </w:r>
      <w:r w:rsidR="00FA0312">
        <w:t xml:space="preserve"> </w:t>
      </w:r>
      <w:r w:rsidR="003A2725">
        <w:t xml:space="preserve"> </w:t>
      </w:r>
      <w:r w:rsidR="003A2725">
        <w:rPr>
          <w:i/>
        </w:rPr>
        <w:t xml:space="preserve">See also </w:t>
      </w:r>
      <w:r w:rsidR="003A2725">
        <w:t xml:space="preserve">Bellizzi Broadcasting Network, Inc., Motion for Extension of Time, MB docket No. 13-244, CSR-8837-M (filed June 25, 2015).  </w:t>
      </w:r>
      <w:r w:rsidR="00184F61">
        <w:t>Bellizzi filed its Reply to Opposition on</w:t>
      </w:r>
      <w:r w:rsidR="00635A27">
        <w:t xml:space="preserve"> June 30, 2015</w:t>
      </w:r>
      <w:r w:rsidR="00184F61">
        <w:t xml:space="preserve">.  </w:t>
      </w:r>
      <w:r w:rsidR="003D5A3E">
        <w:t xml:space="preserve">Although it is the policy of the Commission that extensions of time shall not be routinely granted, </w:t>
      </w:r>
      <w:r w:rsidR="004D4321">
        <w:t>we note that Comcast did not oppose the motion</w:t>
      </w:r>
      <w:r w:rsidR="00110531">
        <w:t xml:space="preserve"> </w:t>
      </w:r>
      <w:r w:rsidR="004D4321">
        <w:t xml:space="preserve">and, </w:t>
      </w:r>
      <w:r w:rsidR="003D5A3E">
        <w:t>in this instance</w:t>
      </w:r>
      <w:r w:rsidR="004D4321">
        <w:t>,</w:t>
      </w:r>
      <w:r w:rsidR="003D5A3E">
        <w:t xml:space="preserve"> we find that the public interest</w:t>
      </w:r>
      <w:r w:rsidR="004D4321">
        <w:t xml:space="preserve"> would be served by a more complete discussion of the matters pending before the Commission</w:t>
      </w:r>
      <w:r w:rsidR="003D5A3E">
        <w:t xml:space="preserve">.  </w:t>
      </w:r>
      <w:r w:rsidR="00E75C8C">
        <w:t xml:space="preserve">47 C.F.R. § 1.46(a).  </w:t>
      </w:r>
    </w:p>
  </w:footnote>
  <w:footnote w:id="3">
    <w:p w14:paraId="442A5CD4" w14:textId="77777777" w:rsidR="00417143" w:rsidRDefault="00417143">
      <w:pPr>
        <w:pStyle w:val="FootnoteText"/>
      </w:pPr>
      <w:r>
        <w:rPr>
          <w:rStyle w:val="FootnoteReference"/>
        </w:rPr>
        <w:footnoteRef/>
      </w:r>
      <w:r>
        <w:t xml:space="preserve"> </w:t>
      </w:r>
      <w:r>
        <w:rPr>
          <w:i/>
        </w:rPr>
        <w:t>Bellizzi Broadcasting Network, Inc. Station WEYW-LP, Key West, Florida</w:t>
      </w:r>
      <w:r>
        <w:t>, Order on Reconsideration, 30 FCC Rcd 3779 (MB 2015) (“</w:t>
      </w:r>
      <w:r w:rsidRPr="009E083E">
        <w:rPr>
          <w:i/>
        </w:rPr>
        <w:t>Order on Reconsideration</w:t>
      </w:r>
      <w:r>
        <w:t>”).</w:t>
      </w:r>
    </w:p>
  </w:footnote>
  <w:footnote w:id="4">
    <w:p w14:paraId="2837FDBE" w14:textId="04FB80B7" w:rsidR="00FA7D8B" w:rsidRPr="0040048E" w:rsidRDefault="00FA7D8B" w:rsidP="00FA7D8B">
      <w:pPr>
        <w:pStyle w:val="FootnoteText"/>
      </w:pPr>
      <w:r>
        <w:rPr>
          <w:rStyle w:val="FootnoteReference"/>
        </w:rPr>
        <w:footnoteRef/>
      </w:r>
      <w:r>
        <w:t xml:space="preserve"> </w:t>
      </w:r>
      <w:r w:rsidR="0040048E">
        <w:rPr>
          <w:i/>
        </w:rPr>
        <w:t>Bellizzi Broadcasting Network, Inc. Station WEYW-LP, Key West, Florida</w:t>
      </w:r>
      <w:r w:rsidR="0040048E">
        <w:t>, Memorandum Opinion and Order, DA 13-2402, 28 FCC Rcd 16761 (MB 2013) (“</w:t>
      </w:r>
      <w:r w:rsidR="0040048E">
        <w:rPr>
          <w:i/>
        </w:rPr>
        <w:t>Memorandum Opinion and Order</w:t>
      </w:r>
      <w:r w:rsidR="0040048E">
        <w:t>”).</w:t>
      </w:r>
    </w:p>
  </w:footnote>
  <w:footnote w:id="5">
    <w:p w14:paraId="070E3BDE" w14:textId="77777777" w:rsidR="00FA7D8B" w:rsidRDefault="00FA7D8B" w:rsidP="00FA7D8B">
      <w:pPr>
        <w:pStyle w:val="FootnoteText"/>
      </w:pPr>
      <w:r>
        <w:rPr>
          <w:rStyle w:val="FootnoteReference"/>
        </w:rPr>
        <w:footnoteRef/>
      </w:r>
      <w:r>
        <w:t xml:space="preserve"> 47 U.S.C. § 534(h)(2)(A)-(F); 47 C.F.R. § 76.55(d).  Pursuant to the Communications Act, a low-power television station that conforms to the rules established for low-power television stations in Part 74 of the Commission's rules will be considered “qualified” </w:t>
      </w:r>
      <w:r w:rsidR="003E2F4E">
        <w:t xml:space="preserve">“only </w:t>
      </w:r>
      <w:r>
        <w:t>if</w:t>
      </w:r>
      <w:r w:rsidR="003E2F4E">
        <w:t>”</w:t>
      </w:r>
      <w:r>
        <w:t xml:space="preserve">: (1) it broadcasts at least the minimum number of hours required pursuant to 47 C.F.R. Part 73; (2) it adheres to Commission requirements regarding non-entertainment programming and employment practices, and the Commission determines that the programming of the low-power television station addresses local news and informational needs that are not being adequately served by full-power television broadcast stations because of the geographic distance of such full-power stations from the low-power station's community of license; (3) it complies with interference regulations consistent with its secondary status; (4) it is located no more than 35 miles from the cable system's headend and delivers to the principal headend an over-the-air signal of good quality; (5) the community of license of the station and the franchise area of the cable system were both located outside the largest 160 Metropolitan Statistical Areas (“MSAs”) on June 30, 1990, and the population of such community of license on that date did not exceed 35,000; and (6) </w:t>
      </w:r>
      <w:r w:rsidRPr="00700C60">
        <w:rPr>
          <w:i/>
        </w:rPr>
        <w:t>there is no full-power television broadcast station licensed to any community within the county or other political subdivision (of a State) served by the cable system.</w:t>
      </w:r>
      <w:r>
        <w:t xml:space="preserve">  </w:t>
      </w:r>
      <w:r w:rsidRPr="00B754E0">
        <w:t>47 U.S.C. § 534(h)(2)</w:t>
      </w:r>
      <w:r>
        <w:t xml:space="preserve">; </w:t>
      </w:r>
      <w:r w:rsidRPr="00B754E0">
        <w:t>47 C.F.R. § 76.55(d)</w:t>
      </w:r>
      <w:r>
        <w:t xml:space="preserve"> (emphasis added).</w:t>
      </w:r>
    </w:p>
  </w:footnote>
  <w:footnote w:id="6">
    <w:p w14:paraId="481B5EF5" w14:textId="77777777" w:rsidR="00FA7D8B" w:rsidRPr="00960809" w:rsidRDefault="00FA7D8B" w:rsidP="00FA7D8B">
      <w:pPr>
        <w:pStyle w:val="FootnoteText"/>
      </w:pPr>
      <w:r>
        <w:rPr>
          <w:rStyle w:val="FootnoteReference"/>
        </w:rPr>
        <w:footnoteRef/>
      </w:r>
      <w:r>
        <w:t xml:space="preserve"> </w:t>
      </w:r>
      <w:r>
        <w:rPr>
          <w:i/>
        </w:rPr>
        <w:t>Order on Reconsideration</w:t>
      </w:r>
      <w:r>
        <w:t>, 30 FCC Rcd at 3779 ¶ 4.</w:t>
      </w:r>
    </w:p>
  </w:footnote>
  <w:footnote w:id="7">
    <w:p w14:paraId="5D16B664" w14:textId="77777777" w:rsidR="000835FF" w:rsidRPr="003F5ECE" w:rsidRDefault="000835FF">
      <w:pPr>
        <w:pStyle w:val="FootnoteText"/>
      </w:pPr>
      <w:r>
        <w:rPr>
          <w:rStyle w:val="FootnoteReference"/>
        </w:rPr>
        <w:footnoteRef/>
      </w:r>
      <w:r>
        <w:t xml:space="preserve"> </w:t>
      </w:r>
      <w:r w:rsidR="003F5ECE">
        <w:rPr>
          <w:i/>
        </w:rPr>
        <w:t>Order on Reconsideration</w:t>
      </w:r>
      <w:r w:rsidR="003F5ECE">
        <w:t>, 30 FCC Rcd at 3780 ¶ 5.</w:t>
      </w:r>
    </w:p>
  </w:footnote>
  <w:footnote w:id="8">
    <w:p w14:paraId="4B600EEB" w14:textId="77777777" w:rsidR="00FA7D8B" w:rsidRDefault="00FA7D8B" w:rsidP="00FA7D8B">
      <w:pPr>
        <w:pStyle w:val="FootnoteText"/>
      </w:pPr>
      <w:r>
        <w:rPr>
          <w:rStyle w:val="FootnoteReference"/>
        </w:rPr>
        <w:footnoteRef/>
      </w:r>
      <w:r>
        <w:t xml:space="preserve"> Bellizzi AFR at 2 (citing 47 U.S.C. § 534(c)(1) and 47 C.F.R. §76.55(d)(6)).</w:t>
      </w:r>
    </w:p>
  </w:footnote>
  <w:footnote w:id="9">
    <w:p w14:paraId="3F291920" w14:textId="77777777" w:rsidR="00FA7D8B" w:rsidRDefault="00FA7D8B" w:rsidP="00FA7D8B">
      <w:pPr>
        <w:pStyle w:val="FootnoteText"/>
      </w:pPr>
      <w:r>
        <w:rPr>
          <w:rStyle w:val="FootnoteReference"/>
        </w:rPr>
        <w:footnoteRef/>
      </w:r>
      <w:r>
        <w:t xml:space="preserve"> Bellizzi AFR at 5-7.</w:t>
      </w:r>
    </w:p>
  </w:footnote>
  <w:footnote w:id="10">
    <w:p w14:paraId="26B5AC9B" w14:textId="77777777" w:rsidR="00FA7D8B" w:rsidRPr="009A2581" w:rsidRDefault="00FA7D8B" w:rsidP="00FA7D8B">
      <w:pPr>
        <w:pStyle w:val="FootnoteText"/>
      </w:pPr>
      <w:r>
        <w:rPr>
          <w:rStyle w:val="FootnoteReference"/>
        </w:rPr>
        <w:footnoteRef/>
      </w:r>
      <w:r>
        <w:t xml:space="preserve"> </w:t>
      </w:r>
      <w:r w:rsidR="00200756">
        <w:t xml:space="preserve">Bellizzi AFR at 4 (citing </w:t>
      </w:r>
      <w:r>
        <w:rPr>
          <w:i/>
        </w:rPr>
        <w:t>Gardner v. FCC</w:t>
      </w:r>
      <w:r>
        <w:t>, 530 F.2d 1086 (D.C. Cir. 1976)</w:t>
      </w:r>
      <w:r w:rsidR="00200756">
        <w:t>)</w:t>
      </w:r>
      <w:r>
        <w:t>.</w:t>
      </w:r>
      <w:r w:rsidR="009A2581">
        <w:t xml:space="preserve">  </w:t>
      </w:r>
    </w:p>
  </w:footnote>
  <w:footnote w:id="11">
    <w:p w14:paraId="22AB70D4" w14:textId="77777777" w:rsidR="00FA7D8B" w:rsidRDefault="00FA7D8B" w:rsidP="00FA7D8B">
      <w:pPr>
        <w:pStyle w:val="FootnoteText"/>
      </w:pPr>
      <w:r>
        <w:rPr>
          <w:rStyle w:val="FootnoteReference"/>
        </w:rPr>
        <w:footnoteRef/>
      </w:r>
      <w:r>
        <w:t xml:space="preserve"> Bellizzi AFR at 6.</w:t>
      </w:r>
    </w:p>
  </w:footnote>
  <w:footnote w:id="12">
    <w:p w14:paraId="26144989" w14:textId="77777777" w:rsidR="00FA7D8B" w:rsidRDefault="00FA7D8B" w:rsidP="00FA7D8B">
      <w:pPr>
        <w:pStyle w:val="FootnoteText"/>
      </w:pPr>
      <w:r>
        <w:rPr>
          <w:rStyle w:val="FootnoteReference"/>
        </w:rPr>
        <w:footnoteRef/>
      </w:r>
      <w:r>
        <w:t xml:space="preserve"> </w:t>
      </w:r>
      <w:r w:rsidR="003A2D7E">
        <w:rPr>
          <w:i/>
        </w:rPr>
        <w:t>Order on Reconsideration</w:t>
      </w:r>
      <w:r w:rsidR="003A2D7E">
        <w:t>, 30 FCC Rcd at 3780 ¶ 4 (citing Bellizzi Broadcasting Network, Inc., Complaint, MB Docket No. 13-2</w:t>
      </w:r>
      <w:r w:rsidR="00B077D1">
        <w:t>44, CSR-8837-M (Sept. 20, 2013).</w:t>
      </w:r>
    </w:p>
  </w:footnote>
  <w:footnote w:id="13">
    <w:p w14:paraId="7355E269" w14:textId="77777777" w:rsidR="00FA7D8B" w:rsidRDefault="00FA7D8B" w:rsidP="00FA7D8B">
      <w:pPr>
        <w:pStyle w:val="FootnoteText"/>
      </w:pPr>
      <w:r>
        <w:rPr>
          <w:rStyle w:val="FootnoteReference"/>
        </w:rPr>
        <w:footnoteRef/>
      </w:r>
      <w:r>
        <w:t xml:space="preserve"> </w:t>
      </w:r>
      <w:r>
        <w:rPr>
          <w:i/>
        </w:rPr>
        <w:t xml:space="preserve">Id. </w:t>
      </w:r>
      <w:r>
        <w:t>at 3-5.</w:t>
      </w:r>
    </w:p>
  </w:footnote>
  <w:footnote w:id="14">
    <w:p w14:paraId="525E85B4" w14:textId="4338B90B" w:rsidR="001D3E69" w:rsidRDefault="001D3E69">
      <w:pPr>
        <w:pStyle w:val="FootnoteText"/>
      </w:pPr>
      <w:r>
        <w:rPr>
          <w:rStyle w:val="FootnoteReference"/>
        </w:rPr>
        <w:footnoteRef/>
      </w:r>
      <w:r>
        <w:t xml:space="preserve"> </w:t>
      </w:r>
      <w:r w:rsidRPr="00025F6D">
        <w:t>Our decision is not based upon the value of Bellizzi’s service.  Bellizzi maintains, and we have no reason to question, that it provides excellent local service to the residents of Key West, FL.</w:t>
      </w:r>
    </w:p>
  </w:footnote>
  <w:footnote w:id="15">
    <w:p w14:paraId="40DBC796" w14:textId="77777777" w:rsidR="00FA7D8B" w:rsidRPr="00303827" w:rsidRDefault="00FA7D8B" w:rsidP="00FA7D8B">
      <w:pPr>
        <w:pStyle w:val="FootnoteText"/>
      </w:pPr>
      <w:r>
        <w:rPr>
          <w:rStyle w:val="FootnoteReference"/>
        </w:rPr>
        <w:footnoteRef/>
      </w:r>
      <w:r>
        <w:t xml:space="preserve"> </w:t>
      </w:r>
      <w:r w:rsidRPr="00496A4F">
        <w:rPr>
          <w:i/>
        </w:rPr>
        <w:t>Order</w:t>
      </w:r>
      <w:r>
        <w:rPr>
          <w:i/>
        </w:rPr>
        <w:t xml:space="preserve"> on Reconsideration</w:t>
      </w:r>
      <w:r>
        <w:t>, 30 FCC Rcd at 3780 ¶ 5.</w:t>
      </w:r>
    </w:p>
  </w:footnote>
  <w:footnote w:id="16">
    <w:p w14:paraId="4A849FA1" w14:textId="77777777" w:rsidR="000835FF" w:rsidRPr="009612E2" w:rsidRDefault="000835FF">
      <w:pPr>
        <w:pStyle w:val="FootnoteText"/>
      </w:pPr>
      <w:r>
        <w:rPr>
          <w:rStyle w:val="FootnoteReference"/>
        </w:rPr>
        <w:footnoteRef/>
      </w:r>
      <w:r>
        <w:t xml:space="preserve"> </w:t>
      </w:r>
      <w:r w:rsidR="00952197">
        <w:rPr>
          <w:i/>
        </w:rPr>
        <w:t>Id.</w:t>
      </w:r>
      <w:r w:rsidR="009612E2">
        <w:rPr>
          <w:i/>
        </w:rPr>
        <w:t xml:space="preserve">  See also</w:t>
      </w:r>
      <w:r w:rsidR="009612E2">
        <w:t xml:space="preserve"> Comcast Opposition at 4 (the “Bureau correctly recognized that the comparative programming content analysis advocated by Bellizzi has no relevance under the governing statute”).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A3740" w14:textId="77777777" w:rsidR="00E26E7D" w:rsidRDefault="00E26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CD64E" w14:textId="03B61312" w:rsidR="00D25FB5" w:rsidRDefault="00D25FB5" w:rsidP="00810B6F">
    <w:pPr>
      <w:pStyle w:val="Header"/>
      <w:rPr>
        <w:b w:val="0"/>
      </w:rPr>
    </w:pPr>
    <w:r>
      <w:tab/>
      <w:t>Federal Communications Commission</w:t>
    </w:r>
    <w:r>
      <w:tab/>
    </w:r>
    <w:r w:rsidR="00FA7D8B">
      <w:t>FCC 15-</w:t>
    </w:r>
    <w:r w:rsidR="004E03BA">
      <w:t>157</w:t>
    </w:r>
  </w:p>
  <w:p w14:paraId="16F66B78" w14:textId="77777777" w:rsidR="00D25FB5" w:rsidRDefault="00CA446C">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14:anchorId="228336C7" wp14:editId="1ED935E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06FA73"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4699" w14:textId="0746CC6D" w:rsidR="00D25FB5" w:rsidRDefault="00CA446C" w:rsidP="00810B6F">
    <w:pPr>
      <w:pStyle w:val="Header"/>
      <w:rPr>
        <w:b w:val="0"/>
      </w:rPr>
    </w:pPr>
    <w:r>
      <w:rPr>
        <w:noProof/>
      </w:rPr>
      <mc:AlternateContent>
        <mc:Choice Requires="wps">
          <w:drawing>
            <wp:anchor distT="0" distB="0" distL="114300" distR="114300" simplePos="0" relativeHeight="251658240" behindDoc="1" locked="0" layoutInCell="0" allowOverlap="1" wp14:anchorId="0DF5AEF2" wp14:editId="25452D1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A7325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FA7D8B">
      <w:rPr>
        <w:spacing w:val="-2"/>
      </w:rPr>
      <w:t>FCC 15-</w:t>
    </w:r>
    <w:r w:rsidR="004E03BA">
      <w:rPr>
        <w:spacing w:val="-2"/>
      </w:rPr>
      <w:t>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8B"/>
    <w:rsid w:val="00025F6D"/>
    <w:rsid w:val="00036039"/>
    <w:rsid w:val="00037F90"/>
    <w:rsid w:val="000775CF"/>
    <w:rsid w:val="000835FF"/>
    <w:rsid w:val="000875BF"/>
    <w:rsid w:val="0009121B"/>
    <w:rsid w:val="00096D8C"/>
    <w:rsid w:val="000C0B65"/>
    <w:rsid w:val="000C1715"/>
    <w:rsid w:val="000E05FE"/>
    <w:rsid w:val="000E29E2"/>
    <w:rsid w:val="000E3D42"/>
    <w:rsid w:val="00110531"/>
    <w:rsid w:val="00122BD5"/>
    <w:rsid w:val="00130D19"/>
    <w:rsid w:val="00133F79"/>
    <w:rsid w:val="00184F61"/>
    <w:rsid w:val="00194A66"/>
    <w:rsid w:val="00197F9B"/>
    <w:rsid w:val="001A7FE8"/>
    <w:rsid w:val="001B5501"/>
    <w:rsid w:val="001C59C6"/>
    <w:rsid w:val="001D3E69"/>
    <w:rsid w:val="001D6BCF"/>
    <w:rsid w:val="001E01CA"/>
    <w:rsid w:val="00200756"/>
    <w:rsid w:val="00207E40"/>
    <w:rsid w:val="00275CF5"/>
    <w:rsid w:val="0028301F"/>
    <w:rsid w:val="00285017"/>
    <w:rsid w:val="002A2D2E"/>
    <w:rsid w:val="002A6CFE"/>
    <w:rsid w:val="002B4477"/>
    <w:rsid w:val="002C00E8"/>
    <w:rsid w:val="002D6CA6"/>
    <w:rsid w:val="003017B6"/>
    <w:rsid w:val="00326D95"/>
    <w:rsid w:val="00341ADB"/>
    <w:rsid w:val="00342F24"/>
    <w:rsid w:val="00343749"/>
    <w:rsid w:val="003660ED"/>
    <w:rsid w:val="003A2725"/>
    <w:rsid w:val="003A2D7E"/>
    <w:rsid w:val="003B0550"/>
    <w:rsid w:val="003B6936"/>
    <w:rsid w:val="003B694F"/>
    <w:rsid w:val="003D0879"/>
    <w:rsid w:val="003D12A5"/>
    <w:rsid w:val="003D5A3E"/>
    <w:rsid w:val="003E2F4E"/>
    <w:rsid w:val="003F171C"/>
    <w:rsid w:val="003F5ECE"/>
    <w:rsid w:val="0040048E"/>
    <w:rsid w:val="00412FC5"/>
    <w:rsid w:val="00417143"/>
    <w:rsid w:val="00422276"/>
    <w:rsid w:val="004242F1"/>
    <w:rsid w:val="00445A00"/>
    <w:rsid w:val="00451B0F"/>
    <w:rsid w:val="004763EC"/>
    <w:rsid w:val="004B26B5"/>
    <w:rsid w:val="004C2EE3"/>
    <w:rsid w:val="004D4321"/>
    <w:rsid w:val="004D67FA"/>
    <w:rsid w:val="004E03BA"/>
    <w:rsid w:val="004E4A22"/>
    <w:rsid w:val="00511968"/>
    <w:rsid w:val="005230F1"/>
    <w:rsid w:val="0055614C"/>
    <w:rsid w:val="00596D59"/>
    <w:rsid w:val="005D2797"/>
    <w:rsid w:val="005E14C2"/>
    <w:rsid w:val="005F6859"/>
    <w:rsid w:val="00607BA5"/>
    <w:rsid w:val="0061180A"/>
    <w:rsid w:val="00625068"/>
    <w:rsid w:val="00626EB6"/>
    <w:rsid w:val="00635A27"/>
    <w:rsid w:val="00640F9D"/>
    <w:rsid w:val="006421E9"/>
    <w:rsid w:val="00655D03"/>
    <w:rsid w:val="00683388"/>
    <w:rsid w:val="00683F84"/>
    <w:rsid w:val="00697DB7"/>
    <w:rsid w:val="006A6A81"/>
    <w:rsid w:val="006F7393"/>
    <w:rsid w:val="0070224F"/>
    <w:rsid w:val="007115F7"/>
    <w:rsid w:val="00730A54"/>
    <w:rsid w:val="00757836"/>
    <w:rsid w:val="00766701"/>
    <w:rsid w:val="00785689"/>
    <w:rsid w:val="00790B81"/>
    <w:rsid w:val="007911F0"/>
    <w:rsid w:val="00794DEA"/>
    <w:rsid w:val="00794EE4"/>
    <w:rsid w:val="0079754B"/>
    <w:rsid w:val="007A1E6D"/>
    <w:rsid w:val="007B0EB2"/>
    <w:rsid w:val="007B2B2B"/>
    <w:rsid w:val="00810B6F"/>
    <w:rsid w:val="00822518"/>
    <w:rsid w:val="00822CE0"/>
    <w:rsid w:val="00841AB1"/>
    <w:rsid w:val="00866199"/>
    <w:rsid w:val="00876F93"/>
    <w:rsid w:val="008A27A8"/>
    <w:rsid w:val="008A2A8F"/>
    <w:rsid w:val="008C68F1"/>
    <w:rsid w:val="009057E5"/>
    <w:rsid w:val="00921803"/>
    <w:rsid w:val="00921AE7"/>
    <w:rsid w:val="00926503"/>
    <w:rsid w:val="00946F4A"/>
    <w:rsid w:val="00952197"/>
    <w:rsid w:val="00952B14"/>
    <w:rsid w:val="009612E2"/>
    <w:rsid w:val="009726D8"/>
    <w:rsid w:val="009A2581"/>
    <w:rsid w:val="009F76DB"/>
    <w:rsid w:val="00A32C3B"/>
    <w:rsid w:val="00A45F4F"/>
    <w:rsid w:val="00A52059"/>
    <w:rsid w:val="00A600A9"/>
    <w:rsid w:val="00AA55B7"/>
    <w:rsid w:val="00AA5B9E"/>
    <w:rsid w:val="00AB1724"/>
    <w:rsid w:val="00AB2407"/>
    <w:rsid w:val="00AB53DF"/>
    <w:rsid w:val="00AD2C54"/>
    <w:rsid w:val="00B05590"/>
    <w:rsid w:val="00B077D1"/>
    <w:rsid w:val="00B07E5C"/>
    <w:rsid w:val="00B5334A"/>
    <w:rsid w:val="00B53FAE"/>
    <w:rsid w:val="00B811F7"/>
    <w:rsid w:val="00BA4ED1"/>
    <w:rsid w:val="00BA5DC6"/>
    <w:rsid w:val="00BA6196"/>
    <w:rsid w:val="00BB12CF"/>
    <w:rsid w:val="00BC6D8C"/>
    <w:rsid w:val="00BE3E83"/>
    <w:rsid w:val="00C34006"/>
    <w:rsid w:val="00C426B1"/>
    <w:rsid w:val="00C66160"/>
    <w:rsid w:val="00C66BE1"/>
    <w:rsid w:val="00C721AC"/>
    <w:rsid w:val="00C874D6"/>
    <w:rsid w:val="00C90D6A"/>
    <w:rsid w:val="00CA247E"/>
    <w:rsid w:val="00CA446C"/>
    <w:rsid w:val="00CC72B6"/>
    <w:rsid w:val="00CD41DF"/>
    <w:rsid w:val="00CE798D"/>
    <w:rsid w:val="00D0218D"/>
    <w:rsid w:val="00D25FB5"/>
    <w:rsid w:val="00D44223"/>
    <w:rsid w:val="00D960AC"/>
    <w:rsid w:val="00DA2529"/>
    <w:rsid w:val="00DB130A"/>
    <w:rsid w:val="00DB2EBB"/>
    <w:rsid w:val="00DB517D"/>
    <w:rsid w:val="00DC10A1"/>
    <w:rsid w:val="00DC655F"/>
    <w:rsid w:val="00DD0B59"/>
    <w:rsid w:val="00DD7EBD"/>
    <w:rsid w:val="00DE377E"/>
    <w:rsid w:val="00DE3C57"/>
    <w:rsid w:val="00DF39C4"/>
    <w:rsid w:val="00DF62B6"/>
    <w:rsid w:val="00E07225"/>
    <w:rsid w:val="00E26E7D"/>
    <w:rsid w:val="00E5409F"/>
    <w:rsid w:val="00E56298"/>
    <w:rsid w:val="00E73243"/>
    <w:rsid w:val="00E75C8C"/>
    <w:rsid w:val="00E8295F"/>
    <w:rsid w:val="00EB38ED"/>
    <w:rsid w:val="00EB7776"/>
    <w:rsid w:val="00EE6488"/>
    <w:rsid w:val="00F021FA"/>
    <w:rsid w:val="00F53547"/>
    <w:rsid w:val="00F55F6F"/>
    <w:rsid w:val="00F62E97"/>
    <w:rsid w:val="00F64209"/>
    <w:rsid w:val="00F93BF5"/>
    <w:rsid w:val="00FA0312"/>
    <w:rsid w:val="00FA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7F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81"/>
    <w:pPr>
      <w:widowControl w:val="0"/>
    </w:pPr>
    <w:rPr>
      <w:snapToGrid w:val="0"/>
      <w:kern w:val="28"/>
      <w:sz w:val="22"/>
    </w:rPr>
  </w:style>
  <w:style w:type="paragraph" w:styleId="Heading1">
    <w:name w:val="heading 1"/>
    <w:basedOn w:val="Normal"/>
    <w:next w:val="ParaNum"/>
    <w:qFormat/>
    <w:rsid w:val="00790B8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90B81"/>
    <w:pPr>
      <w:keepNext/>
      <w:numPr>
        <w:ilvl w:val="1"/>
        <w:numId w:val="3"/>
      </w:numPr>
      <w:spacing w:after="120"/>
      <w:outlineLvl w:val="1"/>
    </w:pPr>
    <w:rPr>
      <w:b/>
    </w:rPr>
  </w:style>
  <w:style w:type="paragraph" w:styleId="Heading3">
    <w:name w:val="heading 3"/>
    <w:basedOn w:val="Normal"/>
    <w:next w:val="ParaNum"/>
    <w:qFormat/>
    <w:rsid w:val="00790B81"/>
    <w:pPr>
      <w:keepNext/>
      <w:numPr>
        <w:ilvl w:val="2"/>
        <w:numId w:val="3"/>
      </w:numPr>
      <w:tabs>
        <w:tab w:val="left" w:pos="2160"/>
      </w:tabs>
      <w:spacing w:after="120"/>
      <w:outlineLvl w:val="2"/>
    </w:pPr>
    <w:rPr>
      <w:b/>
    </w:rPr>
  </w:style>
  <w:style w:type="paragraph" w:styleId="Heading4">
    <w:name w:val="heading 4"/>
    <w:basedOn w:val="Normal"/>
    <w:next w:val="ParaNum"/>
    <w:qFormat/>
    <w:rsid w:val="00790B81"/>
    <w:pPr>
      <w:keepNext/>
      <w:numPr>
        <w:ilvl w:val="3"/>
        <w:numId w:val="3"/>
      </w:numPr>
      <w:tabs>
        <w:tab w:val="left" w:pos="2880"/>
      </w:tabs>
      <w:spacing w:after="120"/>
      <w:outlineLvl w:val="3"/>
    </w:pPr>
    <w:rPr>
      <w:b/>
    </w:rPr>
  </w:style>
  <w:style w:type="paragraph" w:styleId="Heading5">
    <w:name w:val="heading 5"/>
    <w:basedOn w:val="Normal"/>
    <w:next w:val="ParaNum"/>
    <w:qFormat/>
    <w:rsid w:val="00790B8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90B81"/>
    <w:pPr>
      <w:numPr>
        <w:ilvl w:val="5"/>
        <w:numId w:val="3"/>
      </w:numPr>
      <w:tabs>
        <w:tab w:val="left" w:pos="4320"/>
      </w:tabs>
      <w:spacing w:after="120"/>
      <w:outlineLvl w:val="5"/>
    </w:pPr>
    <w:rPr>
      <w:b/>
    </w:rPr>
  </w:style>
  <w:style w:type="paragraph" w:styleId="Heading7">
    <w:name w:val="heading 7"/>
    <w:basedOn w:val="Normal"/>
    <w:next w:val="ParaNum"/>
    <w:qFormat/>
    <w:rsid w:val="00790B8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90B8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90B8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0B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0B81"/>
  </w:style>
  <w:style w:type="paragraph" w:customStyle="1" w:styleId="ParaNum">
    <w:name w:val="ParaNum"/>
    <w:basedOn w:val="Normal"/>
    <w:rsid w:val="00790B81"/>
    <w:pPr>
      <w:numPr>
        <w:numId w:val="2"/>
      </w:numPr>
      <w:tabs>
        <w:tab w:val="clear" w:pos="1080"/>
        <w:tab w:val="num" w:pos="1440"/>
      </w:tabs>
      <w:spacing w:after="120"/>
    </w:pPr>
  </w:style>
  <w:style w:type="paragraph" w:styleId="EndnoteText">
    <w:name w:val="endnote text"/>
    <w:basedOn w:val="Normal"/>
    <w:semiHidden/>
    <w:rsid w:val="00790B81"/>
    <w:rPr>
      <w:sz w:val="20"/>
    </w:rPr>
  </w:style>
  <w:style w:type="character" w:styleId="EndnoteReference">
    <w:name w:val="endnote reference"/>
    <w:semiHidden/>
    <w:rsid w:val="00790B81"/>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790B81"/>
    <w:pPr>
      <w:spacing w:after="120"/>
    </w:pPr>
  </w:style>
  <w:style w:type="character" w:styleId="FootnoteReference">
    <w:name w:val="footnote reference"/>
    <w:rsid w:val="00790B81"/>
    <w:rPr>
      <w:rFonts w:ascii="Times New Roman" w:hAnsi="Times New Roman"/>
      <w:dstrike w:val="0"/>
      <w:color w:val="auto"/>
      <w:sz w:val="20"/>
      <w:vertAlign w:val="superscript"/>
    </w:rPr>
  </w:style>
  <w:style w:type="paragraph" w:styleId="TOC1">
    <w:name w:val="toc 1"/>
    <w:basedOn w:val="Normal"/>
    <w:next w:val="Normal"/>
    <w:semiHidden/>
    <w:rsid w:val="00790B8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0B81"/>
    <w:pPr>
      <w:tabs>
        <w:tab w:val="left" w:pos="720"/>
        <w:tab w:val="right" w:leader="dot" w:pos="9360"/>
      </w:tabs>
      <w:suppressAutoHyphens/>
      <w:ind w:left="720" w:right="720" w:hanging="360"/>
    </w:pPr>
    <w:rPr>
      <w:noProof/>
    </w:rPr>
  </w:style>
  <w:style w:type="paragraph" w:styleId="TOC3">
    <w:name w:val="toc 3"/>
    <w:basedOn w:val="Normal"/>
    <w:next w:val="Normal"/>
    <w:semiHidden/>
    <w:rsid w:val="00790B8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0B8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0B8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0B8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0B8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0B8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0B8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0B81"/>
    <w:pPr>
      <w:tabs>
        <w:tab w:val="right" w:pos="9360"/>
      </w:tabs>
      <w:suppressAutoHyphens/>
    </w:pPr>
  </w:style>
  <w:style w:type="character" w:customStyle="1" w:styleId="EquationCaption">
    <w:name w:val="_Equation Caption"/>
    <w:rsid w:val="00790B81"/>
  </w:style>
  <w:style w:type="paragraph" w:styleId="Header">
    <w:name w:val="header"/>
    <w:basedOn w:val="Normal"/>
    <w:autoRedefine/>
    <w:rsid w:val="00790B81"/>
    <w:pPr>
      <w:tabs>
        <w:tab w:val="center" w:pos="4680"/>
        <w:tab w:val="right" w:pos="9360"/>
      </w:tabs>
    </w:pPr>
    <w:rPr>
      <w:b/>
    </w:rPr>
  </w:style>
  <w:style w:type="paragraph" w:styleId="Footer">
    <w:name w:val="footer"/>
    <w:basedOn w:val="Normal"/>
    <w:rsid w:val="00790B81"/>
    <w:pPr>
      <w:tabs>
        <w:tab w:val="center" w:pos="4320"/>
        <w:tab w:val="right" w:pos="8640"/>
      </w:tabs>
    </w:pPr>
  </w:style>
  <w:style w:type="character" w:styleId="PageNumber">
    <w:name w:val="page number"/>
    <w:basedOn w:val="DefaultParagraphFont"/>
    <w:rsid w:val="00790B81"/>
  </w:style>
  <w:style w:type="paragraph" w:styleId="BlockText">
    <w:name w:val="Block Text"/>
    <w:basedOn w:val="Normal"/>
    <w:rsid w:val="00790B81"/>
    <w:pPr>
      <w:spacing w:after="240"/>
      <w:ind w:left="1440" w:right="1440"/>
    </w:pPr>
  </w:style>
  <w:style w:type="paragraph" w:customStyle="1" w:styleId="Paratitle">
    <w:name w:val="Para title"/>
    <w:basedOn w:val="Normal"/>
    <w:rsid w:val="00790B81"/>
    <w:pPr>
      <w:tabs>
        <w:tab w:val="center" w:pos="9270"/>
      </w:tabs>
      <w:spacing w:after="240"/>
    </w:pPr>
    <w:rPr>
      <w:spacing w:val="-2"/>
    </w:rPr>
  </w:style>
  <w:style w:type="paragraph" w:customStyle="1" w:styleId="Bullet">
    <w:name w:val="Bullet"/>
    <w:basedOn w:val="Normal"/>
    <w:rsid w:val="00790B81"/>
    <w:pPr>
      <w:tabs>
        <w:tab w:val="left" w:pos="2160"/>
      </w:tabs>
      <w:spacing w:after="220"/>
      <w:ind w:left="2160" w:hanging="720"/>
    </w:pPr>
  </w:style>
  <w:style w:type="paragraph" w:customStyle="1" w:styleId="TableFormat">
    <w:name w:val="TableFormat"/>
    <w:basedOn w:val="Bullet"/>
    <w:rsid w:val="00790B81"/>
    <w:pPr>
      <w:tabs>
        <w:tab w:val="clear" w:pos="2160"/>
        <w:tab w:val="left" w:pos="5040"/>
      </w:tabs>
      <w:ind w:left="5040" w:hanging="3600"/>
    </w:pPr>
  </w:style>
  <w:style w:type="paragraph" w:customStyle="1" w:styleId="TOCTitle">
    <w:name w:val="TOC Title"/>
    <w:basedOn w:val="Normal"/>
    <w:rsid w:val="00790B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0B81"/>
    <w:pPr>
      <w:jc w:val="center"/>
    </w:pPr>
    <w:rPr>
      <w:rFonts w:ascii="Times New Roman Bold" w:hAnsi="Times New Roman Bold"/>
      <w:b/>
      <w:bCs/>
      <w:caps/>
      <w:szCs w:val="22"/>
    </w:rPr>
  </w:style>
  <w:style w:type="character" w:styleId="Hyperlink">
    <w:name w:val="Hyperlink"/>
    <w:rsid w:val="00790B81"/>
    <w:rPr>
      <w:color w:val="0000FF"/>
      <w:u w:val="single"/>
    </w:rPr>
  </w:style>
  <w:style w:type="character" w:customStyle="1" w:styleId="FootnoteTextChar">
    <w:name w:val="Footnote Text Char"/>
    <w:aliases w:val="Footnote Text Char3 Char Char1,Footnote Text Char2 Char Char Char1,Footnote Text Char1 Char Char Char Char1,Footnote Text Char7 Char Char Char Char Char1,Footnote Text Char4 Char1 Char Char Char Char Char1,Footnote Text Char2 Char"/>
    <w:link w:val="FootnoteText"/>
    <w:rsid w:val="00FA7D8B"/>
  </w:style>
  <w:style w:type="character" w:styleId="CommentReference">
    <w:name w:val="annotation reference"/>
    <w:basedOn w:val="DefaultParagraphFont"/>
    <w:rsid w:val="003E2F4E"/>
    <w:rPr>
      <w:sz w:val="16"/>
      <w:szCs w:val="16"/>
    </w:rPr>
  </w:style>
  <w:style w:type="paragraph" w:styleId="CommentText">
    <w:name w:val="annotation text"/>
    <w:basedOn w:val="Normal"/>
    <w:link w:val="CommentTextChar"/>
    <w:rsid w:val="003E2F4E"/>
    <w:rPr>
      <w:sz w:val="20"/>
    </w:rPr>
  </w:style>
  <w:style w:type="character" w:customStyle="1" w:styleId="CommentTextChar">
    <w:name w:val="Comment Text Char"/>
    <w:basedOn w:val="DefaultParagraphFont"/>
    <w:link w:val="CommentText"/>
    <w:rsid w:val="003E2F4E"/>
    <w:rPr>
      <w:snapToGrid w:val="0"/>
      <w:kern w:val="28"/>
    </w:rPr>
  </w:style>
  <w:style w:type="paragraph" w:styleId="CommentSubject">
    <w:name w:val="annotation subject"/>
    <w:basedOn w:val="CommentText"/>
    <w:next w:val="CommentText"/>
    <w:link w:val="CommentSubjectChar"/>
    <w:rsid w:val="003E2F4E"/>
    <w:rPr>
      <w:b/>
      <w:bCs/>
    </w:rPr>
  </w:style>
  <w:style w:type="character" w:customStyle="1" w:styleId="CommentSubjectChar">
    <w:name w:val="Comment Subject Char"/>
    <w:basedOn w:val="CommentTextChar"/>
    <w:link w:val="CommentSubject"/>
    <w:rsid w:val="003E2F4E"/>
    <w:rPr>
      <w:b/>
      <w:bCs/>
      <w:snapToGrid w:val="0"/>
      <w:kern w:val="28"/>
    </w:rPr>
  </w:style>
  <w:style w:type="paragraph" w:styleId="BalloonText">
    <w:name w:val="Balloon Text"/>
    <w:basedOn w:val="Normal"/>
    <w:link w:val="BalloonTextChar"/>
    <w:rsid w:val="003E2F4E"/>
    <w:rPr>
      <w:rFonts w:ascii="Segoe UI" w:hAnsi="Segoe UI" w:cs="Segoe UI"/>
      <w:sz w:val="18"/>
      <w:szCs w:val="18"/>
    </w:rPr>
  </w:style>
  <w:style w:type="character" w:customStyle="1" w:styleId="BalloonTextChar">
    <w:name w:val="Balloon Text Char"/>
    <w:basedOn w:val="DefaultParagraphFont"/>
    <w:link w:val="BalloonText"/>
    <w:rsid w:val="003E2F4E"/>
    <w:rPr>
      <w:rFonts w:ascii="Segoe UI" w:hAnsi="Segoe UI" w:cs="Segoe UI"/>
      <w:snapToGrid w:val="0"/>
      <w:kern w:val="28"/>
      <w:sz w:val="18"/>
      <w:szCs w:val="18"/>
    </w:rPr>
  </w:style>
  <w:style w:type="paragraph" w:styleId="ListParagraph">
    <w:name w:val="List Paragraph"/>
    <w:basedOn w:val="Normal"/>
    <w:uiPriority w:val="34"/>
    <w:qFormat/>
    <w:rsid w:val="002D6CA6"/>
    <w:pPr>
      <w:ind w:left="720"/>
      <w:contextualSpacing/>
    </w:p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rsid w:val="00791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81"/>
    <w:pPr>
      <w:widowControl w:val="0"/>
    </w:pPr>
    <w:rPr>
      <w:snapToGrid w:val="0"/>
      <w:kern w:val="28"/>
      <w:sz w:val="22"/>
    </w:rPr>
  </w:style>
  <w:style w:type="paragraph" w:styleId="Heading1">
    <w:name w:val="heading 1"/>
    <w:basedOn w:val="Normal"/>
    <w:next w:val="ParaNum"/>
    <w:qFormat/>
    <w:rsid w:val="00790B8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90B81"/>
    <w:pPr>
      <w:keepNext/>
      <w:numPr>
        <w:ilvl w:val="1"/>
        <w:numId w:val="3"/>
      </w:numPr>
      <w:spacing w:after="120"/>
      <w:outlineLvl w:val="1"/>
    </w:pPr>
    <w:rPr>
      <w:b/>
    </w:rPr>
  </w:style>
  <w:style w:type="paragraph" w:styleId="Heading3">
    <w:name w:val="heading 3"/>
    <w:basedOn w:val="Normal"/>
    <w:next w:val="ParaNum"/>
    <w:qFormat/>
    <w:rsid w:val="00790B81"/>
    <w:pPr>
      <w:keepNext/>
      <w:numPr>
        <w:ilvl w:val="2"/>
        <w:numId w:val="3"/>
      </w:numPr>
      <w:tabs>
        <w:tab w:val="left" w:pos="2160"/>
      </w:tabs>
      <w:spacing w:after="120"/>
      <w:outlineLvl w:val="2"/>
    </w:pPr>
    <w:rPr>
      <w:b/>
    </w:rPr>
  </w:style>
  <w:style w:type="paragraph" w:styleId="Heading4">
    <w:name w:val="heading 4"/>
    <w:basedOn w:val="Normal"/>
    <w:next w:val="ParaNum"/>
    <w:qFormat/>
    <w:rsid w:val="00790B81"/>
    <w:pPr>
      <w:keepNext/>
      <w:numPr>
        <w:ilvl w:val="3"/>
        <w:numId w:val="3"/>
      </w:numPr>
      <w:tabs>
        <w:tab w:val="left" w:pos="2880"/>
      </w:tabs>
      <w:spacing w:after="120"/>
      <w:outlineLvl w:val="3"/>
    </w:pPr>
    <w:rPr>
      <w:b/>
    </w:rPr>
  </w:style>
  <w:style w:type="paragraph" w:styleId="Heading5">
    <w:name w:val="heading 5"/>
    <w:basedOn w:val="Normal"/>
    <w:next w:val="ParaNum"/>
    <w:qFormat/>
    <w:rsid w:val="00790B8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90B81"/>
    <w:pPr>
      <w:numPr>
        <w:ilvl w:val="5"/>
        <w:numId w:val="3"/>
      </w:numPr>
      <w:tabs>
        <w:tab w:val="left" w:pos="4320"/>
      </w:tabs>
      <w:spacing w:after="120"/>
      <w:outlineLvl w:val="5"/>
    </w:pPr>
    <w:rPr>
      <w:b/>
    </w:rPr>
  </w:style>
  <w:style w:type="paragraph" w:styleId="Heading7">
    <w:name w:val="heading 7"/>
    <w:basedOn w:val="Normal"/>
    <w:next w:val="ParaNum"/>
    <w:qFormat/>
    <w:rsid w:val="00790B8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90B8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90B8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0B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0B81"/>
  </w:style>
  <w:style w:type="paragraph" w:customStyle="1" w:styleId="ParaNum">
    <w:name w:val="ParaNum"/>
    <w:basedOn w:val="Normal"/>
    <w:rsid w:val="00790B81"/>
    <w:pPr>
      <w:numPr>
        <w:numId w:val="2"/>
      </w:numPr>
      <w:tabs>
        <w:tab w:val="clear" w:pos="1080"/>
        <w:tab w:val="num" w:pos="1440"/>
      </w:tabs>
      <w:spacing w:after="120"/>
    </w:pPr>
  </w:style>
  <w:style w:type="paragraph" w:styleId="EndnoteText">
    <w:name w:val="endnote text"/>
    <w:basedOn w:val="Normal"/>
    <w:semiHidden/>
    <w:rsid w:val="00790B81"/>
    <w:rPr>
      <w:sz w:val="20"/>
    </w:rPr>
  </w:style>
  <w:style w:type="character" w:styleId="EndnoteReference">
    <w:name w:val="endnote reference"/>
    <w:semiHidden/>
    <w:rsid w:val="00790B81"/>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790B81"/>
    <w:pPr>
      <w:spacing w:after="120"/>
    </w:pPr>
  </w:style>
  <w:style w:type="character" w:styleId="FootnoteReference">
    <w:name w:val="footnote reference"/>
    <w:rsid w:val="00790B81"/>
    <w:rPr>
      <w:rFonts w:ascii="Times New Roman" w:hAnsi="Times New Roman"/>
      <w:dstrike w:val="0"/>
      <w:color w:val="auto"/>
      <w:sz w:val="20"/>
      <w:vertAlign w:val="superscript"/>
    </w:rPr>
  </w:style>
  <w:style w:type="paragraph" w:styleId="TOC1">
    <w:name w:val="toc 1"/>
    <w:basedOn w:val="Normal"/>
    <w:next w:val="Normal"/>
    <w:semiHidden/>
    <w:rsid w:val="00790B8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0B81"/>
    <w:pPr>
      <w:tabs>
        <w:tab w:val="left" w:pos="720"/>
        <w:tab w:val="right" w:leader="dot" w:pos="9360"/>
      </w:tabs>
      <w:suppressAutoHyphens/>
      <w:ind w:left="720" w:right="720" w:hanging="360"/>
    </w:pPr>
    <w:rPr>
      <w:noProof/>
    </w:rPr>
  </w:style>
  <w:style w:type="paragraph" w:styleId="TOC3">
    <w:name w:val="toc 3"/>
    <w:basedOn w:val="Normal"/>
    <w:next w:val="Normal"/>
    <w:semiHidden/>
    <w:rsid w:val="00790B8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0B8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0B8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0B8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0B8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0B8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0B8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0B81"/>
    <w:pPr>
      <w:tabs>
        <w:tab w:val="right" w:pos="9360"/>
      </w:tabs>
      <w:suppressAutoHyphens/>
    </w:pPr>
  </w:style>
  <w:style w:type="character" w:customStyle="1" w:styleId="EquationCaption">
    <w:name w:val="_Equation Caption"/>
    <w:rsid w:val="00790B81"/>
  </w:style>
  <w:style w:type="paragraph" w:styleId="Header">
    <w:name w:val="header"/>
    <w:basedOn w:val="Normal"/>
    <w:autoRedefine/>
    <w:rsid w:val="00790B81"/>
    <w:pPr>
      <w:tabs>
        <w:tab w:val="center" w:pos="4680"/>
        <w:tab w:val="right" w:pos="9360"/>
      </w:tabs>
    </w:pPr>
    <w:rPr>
      <w:b/>
    </w:rPr>
  </w:style>
  <w:style w:type="paragraph" w:styleId="Footer">
    <w:name w:val="footer"/>
    <w:basedOn w:val="Normal"/>
    <w:rsid w:val="00790B81"/>
    <w:pPr>
      <w:tabs>
        <w:tab w:val="center" w:pos="4320"/>
        <w:tab w:val="right" w:pos="8640"/>
      </w:tabs>
    </w:pPr>
  </w:style>
  <w:style w:type="character" w:styleId="PageNumber">
    <w:name w:val="page number"/>
    <w:basedOn w:val="DefaultParagraphFont"/>
    <w:rsid w:val="00790B81"/>
  </w:style>
  <w:style w:type="paragraph" w:styleId="BlockText">
    <w:name w:val="Block Text"/>
    <w:basedOn w:val="Normal"/>
    <w:rsid w:val="00790B81"/>
    <w:pPr>
      <w:spacing w:after="240"/>
      <w:ind w:left="1440" w:right="1440"/>
    </w:pPr>
  </w:style>
  <w:style w:type="paragraph" w:customStyle="1" w:styleId="Paratitle">
    <w:name w:val="Para title"/>
    <w:basedOn w:val="Normal"/>
    <w:rsid w:val="00790B81"/>
    <w:pPr>
      <w:tabs>
        <w:tab w:val="center" w:pos="9270"/>
      </w:tabs>
      <w:spacing w:after="240"/>
    </w:pPr>
    <w:rPr>
      <w:spacing w:val="-2"/>
    </w:rPr>
  </w:style>
  <w:style w:type="paragraph" w:customStyle="1" w:styleId="Bullet">
    <w:name w:val="Bullet"/>
    <w:basedOn w:val="Normal"/>
    <w:rsid w:val="00790B81"/>
    <w:pPr>
      <w:tabs>
        <w:tab w:val="left" w:pos="2160"/>
      </w:tabs>
      <w:spacing w:after="220"/>
      <w:ind w:left="2160" w:hanging="720"/>
    </w:pPr>
  </w:style>
  <w:style w:type="paragraph" w:customStyle="1" w:styleId="TableFormat">
    <w:name w:val="TableFormat"/>
    <w:basedOn w:val="Bullet"/>
    <w:rsid w:val="00790B81"/>
    <w:pPr>
      <w:tabs>
        <w:tab w:val="clear" w:pos="2160"/>
        <w:tab w:val="left" w:pos="5040"/>
      </w:tabs>
      <w:ind w:left="5040" w:hanging="3600"/>
    </w:pPr>
  </w:style>
  <w:style w:type="paragraph" w:customStyle="1" w:styleId="TOCTitle">
    <w:name w:val="TOC Title"/>
    <w:basedOn w:val="Normal"/>
    <w:rsid w:val="00790B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0B81"/>
    <w:pPr>
      <w:jc w:val="center"/>
    </w:pPr>
    <w:rPr>
      <w:rFonts w:ascii="Times New Roman Bold" w:hAnsi="Times New Roman Bold"/>
      <w:b/>
      <w:bCs/>
      <w:caps/>
      <w:szCs w:val="22"/>
    </w:rPr>
  </w:style>
  <w:style w:type="character" w:styleId="Hyperlink">
    <w:name w:val="Hyperlink"/>
    <w:rsid w:val="00790B81"/>
    <w:rPr>
      <w:color w:val="0000FF"/>
      <w:u w:val="single"/>
    </w:rPr>
  </w:style>
  <w:style w:type="character" w:customStyle="1" w:styleId="FootnoteTextChar">
    <w:name w:val="Footnote Text Char"/>
    <w:aliases w:val="Footnote Text Char3 Char Char1,Footnote Text Char2 Char Char Char1,Footnote Text Char1 Char Char Char Char1,Footnote Text Char7 Char Char Char Char Char1,Footnote Text Char4 Char1 Char Char Char Char Char1,Footnote Text Char2 Char"/>
    <w:link w:val="FootnoteText"/>
    <w:rsid w:val="00FA7D8B"/>
  </w:style>
  <w:style w:type="character" w:styleId="CommentReference">
    <w:name w:val="annotation reference"/>
    <w:basedOn w:val="DefaultParagraphFont"/>
    <w:rsid w:val="003E2F4E"/>
    <w:rPr>
      <w:sz w:val="16"/>
      <w:szCs w:val="16"/>
    </w:rPr>
  </w:style>
  <w:style w:type="paragraph" w:styleId="CommentText">
    <w:name w:val="annotation text"/>
    <w:basedOn w:val="Normal"/>
    <w:link w:val="CommentTextChar"/>
    <w:rsid w:val="003E2F4E"/>
    <w:rPr>
      <w:sz w:val="20"/>
    </w:rPr>
  </w:style>
  <w:style w:type="character" w:customStyle="1" w:styleId="CommentTextChar">
    <w:name w:val="Comment Text Char"/>
    <w:basedOn w:val="DefaultParagraphFont"/>
    <w:link w:val="CommentText"/>
    <w:rsid w:val="003E2F4E"/>
    <w:rPr>
      <w:snapToGrid w:val="0"/>
      <w:kern w:val="28"/>
    </w:rPr>
  </w:style>
  <w:style w:type="paragraph" w:styleId="CommentSubject">
    <w:name w:val="annotation subject"/>
    <w:basedOn w:val="CommentText"/>
    <w:next w:val="CommentText"/>
    <w:link w:val="CommentSubjectChar"/>
    <w:rsid w:val="003E2F4E"/>
    <w:rPr>
      <w:b/>
      <w:bCs/>
    </w:rPr>
  </w:style>
  <w:style w:type="character" w:customStyle="1" w:styleId="CommentSubjectChar">
    <w:name w:val="Comment Subject Char"/>
    <w:basedOn w:val="CommentTextChar"/>
    <w:link w:val="CommentSubject"/>
    <w:rsid w:val="003E2F4E"/>
    <w:rPr>
      <w:b/>
      <w:bCs/>
      <w:snapToGrid w:val="0"/>
      <w:kern w:val="28"/>
    </w:rPr>
  </w:style>
  <w:style w:type="paragraph" w:styleId="BalloonText">
    <w:name w:val="Balloon Text"/>
    <w:basedOn w:val="Normal"/>
    <w:link w:val="BalloonTextChar"/>
    <w:rsid w:val="003E2F4E"/>
    <w:rPr>
      <w:rFonts w:ascii="Segoe UI" w:hAnsi="Segoe UI" w:cs="Segoe UI"/>
      <w:sz w:val="18"/>
      <w:szCs w:val="18"/>
    </w:rPr>
  </w:style>
  <w:style w:type="character" w:customStyle="1" w:styleId="BalloonTextChar">
    <w:name w:val="Balloon Text Char"/>
    <w:basedOn w:val="DefaultParagraphFont"/>
    <w:link w:val="BalloonText"/>
    <w:rsid w:val="003E2F4E"/>
    <w:rPr>
      <w:rFonts w:ascii="Segoe UI" w:hAnsi="Segoe UI" w:cs="Segoe UI"/>
      <w:snapToGrid w:val="0"/>
      <w:kern w:val="28"/>
      <w:sz w:val="18"/>
      <w:szCs w:val="18"/>
    </w:rPr>
  </w:style>
  <w:style w:type="paragraph" w:styleId="ListParagraph">
    <w:name w:val="List Paragraph"/>
    <w:basedOn w:val="Normal"/>
    <w:uiPriority w:val="34"/>
    <w:qFormat/>
    <w:rsid w:val="002D6CA6"/>
    <w:pPr>
      <w:ind w:left="720"/>
      <w:contextualSpacing/>
    </w:p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rsid w:val="0079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773</Words>
  <Characters>4267</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5063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2015-11-18T15:41:00Z</cp:lastPrinted>
  <dcterms:created xsi:type="dcterms:W3CDTF">2015-11-18T20:28:00Z</dcterms:created>
  <dcterms:modified xsi:type="dcterms:W3CDTF">2015-11-18T20:28:00Z</dcterms:modified>
  <cp:category> </cp:category>
  <cp:contentStatus> </cp:contentStatus>
</cp:coreProperties>
</file>