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E6509"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58F6DB1E" w14:textId="77777777" w:rsidR="00921803" w:rsidRDefault="00921803" w:rsidP="00921803">
      <w:pPr>
        <w:pStyle w:val="StyleBoldCentered"/>
      </w:pPr>
      <w:r>
        <w:t>F</w:t>
      </w:r>
      <w:r>
        <w:rPr>
          <w:caps w:val="0"/>
        </w:rPr>
        <w:t>ederal Communications Commission</w:t>
      </w:r>
    </w:p>
    <w:p w14:paraId="1140E75E" w14:textId="77777777" w:rsidR="004C2EE3" w:rsidRDefault="00810B6F" w:rsidP="00096D8C">
      <w:pPr>
        <w:pStyle w:val="StyleBoldCentered"/>
      </w:pPr>
      <w:r>
        <w:rPr>
          <w:caps w:val="0"/>
        </w:rPr>
        <w:t>Washington, D.C. 20554</w:t>
      </w:r>
    </w:p>
    <w:p w14:paraId="01F8AFFC"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E66A17" w14:paraId="10071B00" w14:textId="77777777">
        <w:tc>
          <w:tcPr>
            <w:tcW w:w="4698" w:type="dxa"/>
          </w:tcPr>
          <w:p w14:paraId="3C83F7D1" w14:textId="77777777" w:rsidR="00E66A17" w:rsidRPr="00150FBA" w:rsidRDefault="00E66A17" w:rsidP="002572B6">
            <w:pPr>
              <w:ind w:right="-18"/>
              <w:rPr>
                <w:szCs w:val="22"/>
              </w:rPr>
            </w:pPr>
            <w:r w:rsidRPr="00150FBA">
              <w:rPr>
                <w:szCs w:val="22"/>
              </w:rPr>
              <w:t xml:space="preserve">In </w:t>
            </w:r>
            <w:r>
              <w:rPr>
                <w:szCs w:val="22"/>
              </w:rPr>
              <w:t>th</w:t>
            </w:r>
            <w:r w:rsidRPr="00150FBA">
              <w:rPr>
                <w:szCs w:val="22"/>
              </w:rPr>
              <w:t>e</w:t>
            </w:r>
            <w:r>
              <w:rPr>
                <w:szCs w:val="22"/>
              </w:rPr>
              <w:t xml:space="preserve"> Matter of</w:t>
            </w:r>
            <w:r w:rsidRPr="00150FBA">
              <w:rPr>
                <w:szCs w:val="22"/>
              </w:rPr>
              <w:t xml:space="preserve">  </w:t>
            </w:r>
          </w:p>
          <w:p w14:paraId="2DC6D948" w14:textId="77777777" w:rsidR="00E66A17" w:rsidRPr="00150FBA" w:rsidRDefault="00E66A17" w:rsidP="002572B6">
            <w:pPr>
              <w:ind w:right="-18"/>
              <w:rPr>
                <w:szCs w:val="22"/>
              </w:rPr>
            </w:pPr>
          </w:p>
          <w:p w14:paraId="408A6D28" w14:textId="77777777" w:rsidR="00E66A17" w:rsidRPr="001D7234" w:rsidRDefault="00824099" w:rsidP="002572B6">
            <w:pPr>
              <w:ind w:right="-18"/>
              <w:rPr>
                <w:szCs w:val="22"/>
              </w:rPr>
            </w:pPr>
            <w:r>
              <w:rPr>
                <w:szCs w:val="22"/>
              </w:rPr>
              <w:t>Cocoa Minority Educational Media Association</w:t>
            </w:r>
          </w:p>
          <w:p w14:paraId="198A74BF" w14:textId="77777777" w:rsidR="00E66A17" w:rsidRDefault="00E66A17" w:rsidP="002572B6">
            <w:pPr>
              <w:ind w:right="-18"/>
              <w:rPr>
                <w:b/>
                <w:szCs w:val="22"/>
              </w:rPr>
            </w:pPr>
          </w:p>
          <w:p w14:paraId="6FAD755C" w14:textId="77777777" w:rsidR="00E66A17" w:rsidRDefault="00E66A17" w:rsidP="002572B6">
            <w:pPr>
              <w:ind w:right="-18"/>
              <w:rPr>
                <w:szCs w:val="22"/>
              </w:rPr>
            </w:pPr>
            <w:r>
              <w:rPr>
                <w:szCs w:val="22"/>
              </w:rPr>
              <w:t xml:space="preserve">Application for a New </w:t>
            </w:r>
            <w:r w:rsidR="00627DE9">
              <w:rPr>
                <w:szCs w:val="22"/>
              </w:rPr>
              <w:t>LPFM</w:t>
            </w:r>
            <w:r>
              <w:rPr>
                <w:szCs w:val="22"/>
              </w:rPr>
              <w:t xml:space="preserve"> Station at</w:t>
            </w:r>
          </w:p>
          <w:p w14:paraId="6C7C508B" w14:textId="77777777" w:rsidR="00E66A17" w:rsidRPr="00CC727B" w:rsidRDefault="00824099" w:rsidP="002572B6">
            <w:pPr>
              <w:ind w:right="-18"/>
              <w:rPr>
                <w:szCs w:val="22"/>
              </w:rPr>
            </w:pPr>
            <w:r>
              <w:rPr>
                <w:szCs w:val="22"/>
              </w:rPr>
              <w:t>Cocoa, Florida</w:t>
            </w:r>
          </w:p>
        </w:tc>
        <w:tc>
          <w:tcPr>
            <w:tcW w:w="630" w:type="dxa"/>
          </w:tcPr>
          <w:p w14:paraId="782AC3BA" w14:textId="77777777" w:rsidR="00E66A17" w:rsidRPr="00150FBA" w:rsidRDefault="00E66A17" w:rsidP="002572B6">
            <w:pPr>
              <w:rPr>
                <w:b/>
                <w:szCs w:val="22"/>
              </w:rPr>
            </w:pPr>
            <w:r w:rsidRPr="00150FBA">
              <w:rPr>
                <w:b/>
                <w:szCs w:val="22"/>
              </w:rPr>
              <w:t>)</w:t>
            </w:r>
          </w:p>
          <w:p w14:paraId="1BA3B1AE" w14:textId="77777777" w:rsidR="00E66A17" w:rsidRPr="00150FBA" w:rsidRDefault="00E66A17" w:rsidP="002572B6">
            <w:pPr>
              <w:rPr>
                <w:b/>
                <w:szCs w:val="22"/>
              </w:rPr>
            </w:pPr>
            <w:r w:rsidRPr="00150FBA">
              <w:rPr>
                <w:b/>
                <w:szCs w:val="22"/>
              </w:rPr>
              <w:t>)</w:t>
            </w:r>
          </w:p>
          <w:p w14:paraId="71E42478" w14:textId="77777777" w:rsidR="00E66A17" w:rsidRPr="00150FBA" w:rsidRDefault="00E66A17" w:rsidP="002572B6">
            <w:pPr>
              <w:rPr>
                <w:b/>
                <w:szCs w:val="22"/>
              </w:rPr>
            </w:pPr>
            <w:r w:rsidRPr="00150FBA">
              <w:rPr>
                <w:b/>
                <w:szCs w:val="22"/>
              </w:rPr>
              <w:t>)</w:t>
            </w:r>
          </w:p>
          <w:p w14:paraId="5857FBA4" w14:textId="77777777" w:rsidR="00E66A17" w:rsidRPr="00150FBA" w:rsidRDefault="00E66A17" w:rsidP="002572B6">
            <w:pPr>
              <w:rPr>
                <w:b/>
                <w:szCs w:val="22"/>
              </w:rPr>
            </w:pPr>
            <w:r w:rsidRPr="00150FBA">
              <w:rPr>
                <w:b/>
                <w:szCs w:val="22"/>
              </w:rPr>
              <w:t>)</w:t>
            </w:r>
          </w:p>
          <w:p w14:paraId="425D99B8" w14:textId="77777777" w:rsidR="00E66A17" w:rsidRPr="00150FBA" w:rsidRDefault="00E66A17" w:rsidP="002572B6">
            <w:pPr>
              <w:rPr>
                <w:b/>
                <w:szCs w:val="22"/>
              </w:rPr>
            </w:pPr>
            <w:r w:rsidRPr="00150FBA">
              <w:rPr>
                <w:b/>
                <w:szCs w:val="22"/>
              </w:rPr>
              <w:t>)</w:t>
            </w:r>
          </w:p>
          <w:p w14:paraId="1BDF0B34" w14:textId="77777777" w:rsidR="00E66A17" w:rsidRPr="00150FBA" w:rsidRDefault="00E66A17" w:rsidP="002572B6">
            <w:pPr>
              <w:rPr>
                <w:b/>
                <w:szCs w:val="22"/>
              </w:rPr>
            </w:pPr>
            <w:r w:rsidRPr="00150FBA">
              <w:rPr>
                <w:b/>
                <w:szCs w:val="22"/>
              </w:rPr>
              <w:t xml:space="preserve">) </w:t>
            </w:r>
          </w:p>
        </w:tc>
        <w:tc>
          <w:tcPr>
            <w:tcW w:w="4248" w:type="dxa"/>
          </w:tcPr>
          <w:p w14:paraId="56BD77D2" w14:textId="77777777" w:rsidR="00E66A17" w:rsidRPr="00150FBA" w:rsidRDefault="00E66A17" w:rsidP="002572B6">
            <w:pPr>
              <w:rPr>
                <w:szCs w:val="22"/>
              </w:rPr>
            </w:pPr>
          </w:p>
          <w:p w14:paraId="3DAA9A64" w14:textId="77777777" w:rsidR="00E66A17" w:rsidRDefault="00E66A17" w:rsidP="002572B6">
            <w:pPr>
              <w:rPr>
                <w:szCs w:val="22"/>
              </w:rPr>
            </w:pPr>
          </w:p>
          <w:p w14:paraId="54F1C5C5" w14:textId="77777777" w:rsidR="00E66A17" w:rsidRDefault="00E66A17" w:rsidP="002572B6">
            <w:pPr>
              <w:rPr>
                <w:szCs w:val="22"/>
              </w:rPr>
            </w:pPr>
          </w:p>
          <w:p w14:paraId="5A3CEF6E" w14:textId="77777777" w:rsidR="00A13CA2" w:rsidRDefault="00A13CA2" w:rsidP="002572B6">
            <w:pPr>
              <w:rPr>
                <w:szCs w:val="22"/>
              </w:rPr>
            </w:pPr>
          </w:p>
          <w:p w14:paraId="6EBA3922" w14:textId="77777777" w:rsidR="00627DE9" w:rsidRPr="00150FBA" w:rsidRDefault="00627DE9" w:rsidP="00627DE9">
            <w:pPr>
              <w:rPr>
                <w:szCs w:val="22"/>
              </w:rPr>
            </w:pPr>
            <w:r w:rsidRPr="00150FBA">
              <w:rPr>
                <w:szCs w:val="22"/>
              </w:rPr>
              <w:t xml:space="preserve">File No. </w:t>
            </w:r>
            <w:r w:rsidR="00792287">
              <w:rPr>
                <w:szCs w:val="22"/>
              </w:rPr>
              <w:t>BNPL-</w:t>
            </w:r>
            <w:r w:rsidR="005F1537">
              <w:rPr>
                <w:szCs w:val="22"/>
              </w:rPr>
              <w:t>20131114BST</w:t>
            </w:r>
          </w:p>
          <w:p w14:paraId="792EB5F3" w14:textId="77777777" w:rsidR="00E66A17" w:rsidRPr="00150FBA" w:rsidRDefault="00E66A17" w:rsidP="005F1537">
            <w:pPr>
              <w:rPr>
                <w:szCs w:val="22"/>
              </w:rPr>
            </w:pPr>
            <w:r w:rsidRPr="00150FBA">
              <w:rPr>
                <w:szCs w:val="22"/>
              </w:rPr>
              <w:t xml:space="preserve">Facility ID No. </w:t>
            </w:r>
            <w:r w:rsidR="005F1537">
              <w:rPr>
                <w:szCs w:val="22"/>
              </w:rPr>
              <w:t>197241</w:t>
            </w:r>
            <w:r w:rsidRPr="00150FBA">
              <w:rPr>
                <w:szCs w:val="22"/>
              </w:rPr>
              <w:t xml:space="preserve">        </w:t>
            </w:r>
          </w:p>
        </w:tc>
      </w:tr>
    </w:tbl>
    <w:p w14:paraId="7BA37BE1" w14:textId="77777777" w:rsidR="007B35C9" w:rsidRDefault="007B35C9" w:rsidP="00F021FA">
      <w:pPr>
        <w:pStyle w:val="StyleBoldCentered"/>
      </w:pPr>
    </w:p>
    <w:p w14:paraId="49D45F5F" w14:textId="77777777" w:rsidR="00841AB1" w:rsidRDefault="00E66A17" w:rsidP="00F021FA">
      <w:pPr>
        <w:pStyle w:val="StyleBoldCentered"/>
      </w:pPr>
      <w:r>
        <w:t>MEMORANDUM OPINION AND ORDER</w:t>
      </w:r>
    </w:p>
    <w:p w14:paraId="735BAA6E" w14:textId="77777777" w:rsidR="004C2EE3" w:rsidRDefault="004C2EE3">
      <w:pPr>
        <w:tabs>
          <w:tab w:val="left" w:pos="-720"/>
        </w:tabs>
        <w:suppressAutoHyphens/>
        <w:spacing w:line="227" w:lineRule="auto"/>
        <w:rPr>
          <w:spacing w:val="-2"/>
        </w:rPr>
      </w:pPr>
    </w:p>
    <w:p w14:paraId="1EA645E2" w14:textId="1059B75C" w:rsidR="004C2EE3" w:rsidRDefault="004C2EE3" w:rsidP="00133F79">
      <w:pPr>
        <w:tabs>
          <w:tab w:val="left" w:pos="720"/>
          <w:tab w:val="right" w:pos="9360"/>
        </w:tabs>
        <w:suppressAutoHyphens/>
        <w:spacing w:line="227" w:lineRule="auto"/>
        <w:rPr>
          <w:spacing w:val="-2"/>
        </w:rPr>
      </w:pPr>
      <w:r>
        <w:rPr>
          <w:b/>
          <w:spacing w:val="-2"/>
        </w:rPr>
        <w:t xml:space="preserve">Adopted:  </w:t>
      </w:r>
      <w:r w:rsidR="00A13E00">
        <w:rPr>
          <w:b/>
          <w:spacing w:val="-2"/>
        </w:rPr>
        <w:t>December 16,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13E00">
        <w:rPr>
          <w:b/>
          <w:spacing w:val="-2"/>
        </w:rPr>
        <w:t>December 16, 2015</w:t>
      </w:r>
    </w:p>
    <w:p w14:paraId="6BD3B5C2" w14:textId="77777777" w:rsidR="00822CE0" w:rsidRDefault="00822CE0"/>
    <w:p w14:paraId="33F0B855" w14:textId="77777777" w:rsidR="004C2EE3" w:rsidRDefault="004C2EE3">
      <w:pPr>
        <w:rPr>
          <w:spacing w:val="-2"/>
        </w:rPr>
      </w:pPr>
      <w:r>
        <w:t xml:space="preserve">By </w:t>
      </w:r>
      <w:r w:rsidR="004E4A22">
        <w:t>the</w:t>
      </w:r>
      <w:r w:rsidR="002A2D2E">
        <w:t xml:space="preserve"> </w:t>
      </w:r>
      <w:r w:rsidR="00E66A17">
        <w:rPr>
          <w:spacing w:val="-2"/>
        </w:rPr>
        <w:t>Commission</w:t>
      </w:r>
      <w:r>
        <w:rPr>
          <w:spacing w:val="-2"/>
        </w:rPr>
        <w:t>:</w:t>
      </w:r>
    </w:p>
    <w:p w14:paraId="34DC5B3D" w14:textId="77777777" w:rsidR="00412FC5" w:rsidRDefault="00412FC5" w:rsidP="00412FC5"/>
    <w:p w14:paraId="04A4FC25" w14:textId="4743275D" w:rsidR="00CE7562" w:rsidRDefault="00824099" w:rsidP="00824099">
      <w:pPr>
        <w:pStyle w:val="ParaNum"/>
        <w:widowControl/>
      </w:pPr>
      <w:r w:rsidRPr="009C5BEF">
        <w:t xml:space="preserve">The Commission has before it </w:t>
      </w:r>
      <w:r>
        <w:t>an</w:t>
      </w:r>
      <w:r w:rsidRPr="009C5BEF">
        <w:t xml:space="preserve"> Application for Review (“AFR”) filed </w:t>
      </w:r>
      <w:r>
        <w:t xml:space="preserve">by </w:t>
      </w:r>
      <w:r w:rsidR="00332DD7">
        <w:t xml:space="preserve">Cocoa Minority Educational Media </w:t>
      </w:r>
      <w:r w:rsidR="00822BDE">
        <w:t>Association</w:t>
      </w:r>
      <w:r>
        <w:t xml:space="preserve"> (“</w:t>
      </w:r>
      <w:r w:rsidR="00332DD7">
        <w:t>CMEMA</w:t>
      </w:r>
      <w:r>
        <w:t xml:space="preserve">”) </w:t>
      </w:r>
      <w:r w:rsidRPr="009C5BEF">
        <w:t xml:space="preserve">on </w:t>
      </w:r>
      <w:r w:rsidR="00822BDE">
        <w:t>March 21, 2015</w:t>
      </w:r>
      <w:r w:rsidRPr="009C5BEF">
        <w:t xml:space="preserve">.  </w:t>
      </w:r>
      <w:r w:rsidR="00332DD7">
        <w:t>CMEMA</w:t>
      </w:r>
      <w:r w:rsidRPr="009C5BEF">
        <w:t xml:space="preserve"> seeks review of </w:t>
      </w:r>
      <w:r>
        <w:t xml:space="preserve">a </w:t>
      </w:r>
      <w:r w:rsidRPr="009C5BEF">
        <w:t>Media Bureau (“Bureau”) decision</w:t>
      </w:r>
      <w:r w:rsidRPr="00595BF9">
        <w:rPr>
          <w:rStyle w:val="FootnoteReference"/>
          <w:sz w:val="22"/>
          <w:szCs w:val="22"/>
        </w:rPr>
        <w:footnoteReference w:id="2"/>
      </w:r>
      <w:r w:rsidRPr="009C5BEF">
        <w:t xml:space="preserve"> </w:t>
      </w:r>
      <w:r w:rsidR="000C49FC">
        <w:t>that affirmed the</w:t>
      </w:r>
      <w:r>
        <w:t xml:space="preserve"> dismissal of </w:t>
      </w:r>
      <w:r w:rsidR="000C49FC">
        <w:t>CMEMA’</w:t>
      </w:r>
      <w:r w:rsidR="00A13E00">
        <w:t>s</w:t>
      </w:r>
      <w:r>
        <w:t xml:space="preserve"> application for a</w:t>
      </w:r>
      <w:r w:rsidR="000C49FC">
        <w:t xml:space="preserve"> construction permit for</w:t>
      </w:r>
      <w:r>
        <w:t xml:space="preserve"> new </w:t>
      </w:r>
      <w:r w:rsidR="000C49FC">
        <w:t>LPFM</w:t>
      </w:r>
      <w:r>
        <w:t xml:space="preserve"> station at </w:t>
      </w:r>
      <w:r w:rsidR="00822BDE">
        <w:t>Cocoa, Florida</w:t>
      </w:r>
      <w:r w:rsidR="004E2AC7">
        <w:t xml:space="preserve"> (“Application”)</w:t>
      </w:r>
      <w:r>
        <w:t>.</w:t>
      </w:r>
      <w:r w:rsidR="00245605">
        <w:rPr>
          <w:rStyle w:val="FootnoteReference"/>
        </w:rPr>
        <w:footnoteReference w:id="3"/>
      </w:r>
      <w:r>
        <w:t xml:space="preserve">  </w:t>
      </w:r>
    </w:p>
    <w:p w14:paraId="4869C7C5" w14:textId="45841930" w:rsidR="007360D1" w:rsidRDefault="00D233A7" w:rsidP="007360D1">
      <w:pPr>
        <w:pStyle w:val="ParaNum"/>
        <w:widowControl/>
      </w:pPr>
      <w:r>
        <w:t>U</w:t>
      </w:r>
      <w:r w:rsidRPr="00595BF9">
        <w:t xml:space="preserve">pon review of </w:t>
      </w:r>
      <w:r>
        <w:t>the AFR</w:t>
      </w:r>
      <w:r w:rsidRPr="00595BF9">
        <w:t xml:space="preserve"> and the entire record</w:t>
      </w:r>
      <w:r>
        <w:t>,</w:t>
      </w:r>
      <w:r w:rsidRPr="00595BF9">
        <w:t xml:space="preserve"> we </w:t>
      </w:r>
      <w:r>
        <w:t xml:space="preserve">conclude that CMEMA has failed to demonstrate that the Bureau erred in dismissing the Application.  The issue at hand is not whether Florida recognizes unincorporated associations, but whether CMEMA is recognized as </w:t>
      </w:r>
      <w:r w:rsidR="008A41B0">
        <w:t>an unincorporated association under the laws of any jurisdiction</w:t>
      </w:r>
      <w:r>
        <w:t>.  CMEMA – which</w:t>
      </w:r>
      <w:r w:rsidR="00466D2B">
        <w:t>, according to its Application,</w:t>
      </w:r>
      <w:r>
        <w:t xml:space="preserve"> appears to consist solely of one member, Johnny Boone – has not </w:t>
      </w:r>
      <w:r w:rsidR="008A41B0">
        <w:t xml:space="preserve">provided </w:t>
      </w:r>
      <w:r w:rsidR="00B44C78">
        <w:t>documentation showing that it is an eligible non-profit entity rather than an alter ego for Mr. Boone</w:t>
      </w:r>
      <w:r>
        <w:t>.</w:t>
      </w:r>
      <w:r w:rsidR="002E5FD6">
        <w:rPr>
          <w:rStyle w:val="FootnoteReference"/>
        </w:rPr>
        <w:footnoteReference w:id="4"/>
      </w:r>
      <w:r>
        <w:t xml:space="preserve"> </w:t>
      </w:r>
      <w:r w:rsidR="009A669A">
        <w:t xml:space="preserve"> </w:t>
      </w:r>
      <w:r w:rsidR="007360D1">
        <w:t>FCC Form 318 states:  “If the applicant is unincorporated, the [eligibility] exhibit must include the state in which it is registered or otherwise recognized and the date of such registration or recognition.”</w:t>
      </w:r>
      <w:r w:rsidR="007360D1">
        <w:rPr>
          <w:rStyle w:val="FootnoteReference"/>
        </w:rPr>
        <w:footnoteReference w:id="5"/>
      </w:r>
      <w:r w:rsidR="007360D1">
        <w:t xml:space="preserve">  CMEMA provided no such information.  Although the Bylaws submitted by CMEMA</w:t>
      </w:r>
      <w:r w:rsidR="007360D1" w:rsidRPr="007360D1">
        <w:t xml:space="preserve"> </w:t>
      </w:r>
      <w:r w:rsidR="007360D1">
        <w:t>reference a headquarters location in Cocoa, Florida,</w:t>
      </w:r>
      <w:r w:rsidR="007360D1">
        <w:rPr>
          <w:rStyle w:val="FootnoteReference"/>
        </w:rPr>
        <w:footnoteReference w:id="6"/>
      </w:r>
      <w:r w:rsidR="007360D1">
        <w:t xml:space="preserve"> CMEMA bases its claim to non-profit status </w:t>
      </w:r>
      <w:r w:rsidR="00570C82">
        <w:t>on one</w:t>
      </w:r>
      <w:r w:rsidR="0087270C">
        <w:t xml:space="preserve"> </w:t>
      </w:r>
      <w:r w:rsidR="007360D1">
        <w:t>provision of Florida law involving foreign associations (</w:t>
      </w:r>
      <w:r w:rsidR="007360D1" w:rsidRPr="00E67109">
        <w:rPr>
          <w:i/>
        </w:rPr>
        <w:t>i.e.</w:t>
      </w:r>
      <w:r w:rsidR="007360D1">
        <w:t>, associations established under the laws of a jurisdiction other than Florida)</w:t>
      </w:r>
      <w:r w:rsidR="00DA41B5">
        <w:t xml:space="preserve"> and another requiring unincorporated associations transacting business in Florida to make clear, in its name or otherwise, that it is not incorporated</w:t>
      </w:r>
      <w:r w:rsidR="007360D1">
        <w:t>.</w:t>
      </w:r>
      <w:r w:rsidR="007360D1">
        <w:rPr>
          <w:rStyle w:val="FootnoteReference"/>
        </w:rPr>
        <w:footnoteReference w:id="7"/>
      </w:r>
      <w:r w:rsidR="007360D1" w:rsidRPr="007360D1">
        <w:t xml:space="preserve"> </w:t>
      </w:r>
      <w:r w:rsidR="00C00208">
        <w:t xml:space="preserve"> </w:t>
      </w:r>
      <w:r w:rsidR="007360D1">
        <w:t xml:space="preserve">Accordingly, </w:t>
      </w:r>
      <w:r w:rsidR="00DA41B5">
        <w:t>if</w:t>
      </w:r>
      <w:r w:rsidR="00665144">
        <w:t>, by citing</w:t>
      </w:r>
      <w:r w:rsidR="0087270C">
        <w:t xml:space="preserve"> the former</w:t>
      </w:r>
      <w:r w:rsidR="00665144">
        <w:t xml:space="preserve"> statute,</w:t>
      </w:r>
      <w:r w:rsidR="00DA41B5">
        <w:t xml:space="preserve"> </w:t>
      </w:r>
      <w:r w:rsidR="007360D1">
        <w:t xml:space="preserve">CMEMA </w:t>
      </w:r>
      <w:r w:rsidR="00760F82">
        <w:t>is</w:t>
      </w:r>
      <w:r w:rsidR="007360D1">
        <w:t xml:space="preserve"> claiming to be a non-Florida unincorporated association, </w:t>
      </w:r>
      <w:r w:rsidR="00DA41B5">
        <w:t xml:space="preserve">it </w:t>
      </w:r>
      <w:r w:rsidR="007360D1">
        <w:t xml:space="preserve">never provided the information required by FCC Form </w:t>
      </w:r>
      <w:r w:rsidR="007360D1">
        <w:lastRenderedPageBreak/>
        <w:t>318 as to the jurisdiction in which CMEMA was registered or otherwise recognized as an unincorporated association</w:t>
      </w:r>
      <w:r w:rsidR="00AE47C6">
        <w:t xml:space="preserve">.  </w:t>
      </w:r>
      <w:r w:rsidR="00466D2B">
        <w:t xml:space="preserve">If it claims to be </w:t>
      </w:r>
      <w:r w:rsidR="00AE52FC">
        <w:t xml:space="preserve">a </w:t>
      </w:r>
      <w:r w:rsidR="00466D2B">
        <w:t>domestic Florida unincorporated association, it has failed to cite the Florida statute recognizing such organizations</w:t>
      </w:r>
      <w:r w:rsidR="00E63D62">
        <w:t xml:space="preserve"> </w:t>
      </w:r>
      <w:r w:rsidR="0087270C">
        <w:t>or that it was so established as of the filing of its Application</w:t>
      </w:r>
      <w:r w:rsidR="00466D2B">
        <w:t xml:space="preserve">.  </w:t>
      </w:r>
      <w:r w:rsidR="007360D1">
        <w:t>The Instructions to FCC Form 318 clearly state that an application that fails to provide the required documentation of the applicant’s status as a non-profit entity will be dismissed.</w:t>
      </w:r>
      <w:r w:rsidR="007360D1">
        <w:rPr>
          <w:rStyle w:val="FootnoteReference"/>
        </w:rPr>
        <w:footnoteReference w:id="8"/>
      </w:r>
      <w:r w:rsidR="007360D1">
        <w:t xml:space="preserve">  We find that the Application was properly dismissed for failure to provide the required information.</w:t>
      </w:r>
      <w:r w:rsidR="007360D1">
        <w:rPr>
          <w:rStyle w:val="FootnoteReference"/>
        </w:rPr>
        <w:footnoteReference w:id="9"/>
      </w:r>
    </w:p>
    <w:p w14:paraId="1D21B07A" w14:textId="4F2F4CE8" w:rsidR="00DA4E1D" w:rsidRDefault="00DA41B5" w:rsidP="00824099">
      <w:pPr>
        <w:pStyle w:val="ParaNum"/>
        <w:widowControl/>
      </w:pPr>
      <w:r>
        <w:t>As a separate and independent basis for affirming the Bureau’s dismissal of the Application, w</w:t>
      </w:r>
      <w:r w:rsidR="00D36D66">
        <w:t>e also affirm the finding in t</w:t>
      </w:r>
      <w:r w:rsidR="00DA4E1D">
        <w:t xml:space="preserve">he </w:t>
      </w:r>
      <w:r w:rsidR="00DA4E1D" w:rsidRPr="000C49FC">
        <w:rPr>
          <w:i/>
        </w:rPr>
        <w:t>Reconsideration Decision</w:t>
      </w:r>
      <w:r w:rsidR="00DA4E1D">
        <w:t xml:space="preserve"> that</w:t>
      </w:r>
      <w:r w:rsidR="00D36D66">
        <w:t xml:space="preserve"> the Application should be dismissed because </w:t>
      </w:r>
      <w:r w:rsidR="001B4F88">
        <w:t xml:space="preserve">– assuming </w:t>
      </w:r>
      <w:r w:rsidR="00D36D66">
        <w:t xml:space="preserve">CMEMA </w:t>
      </w:r>
      <w:r w:rsidR="001B4F88">
        <w:t xml:space="preserve">does consist of persons other than Boone – </w:t>
      </w:r>
      <w:r w:rsidR="00C728BF">
        <w:t xml:space="preserve">CMEMA has never disclosed the identity of any such persons or provided information required by </w:t>
      </w:r>
      <w:r w:rsidR="00DE7B9F">
        <w:t xml:space="preserve">FCC </w:t>
      </w:r>
      <w:r w:rsidR="00C728BF">
        <w:t>Form 318 concerning their qualifications to hold an interest in the requested authorization</w:t>
      </w:r>
      <w:r w:rsidR="00D36D66">
        <w:t>.</w:t>
      </w:r>
      <w:r w:rsidR="00D36D66">
        <w:rPr>
          <w:rStyle w:val="FootnoteReference"/>
        </w:rPr>
        <w:footnoteReference w:id="10"/>
      </w:r>
      <w:r w:rsidR="00D36D66">
        <w:t xml:space="preserve">  </w:t>
      </w:r>
      <w:r w:rsidR="00D36ECB">
        <w:t>Although t</w:t>
      </w:r>
      <w:r w:rsidR="00D36D66">
        <w:t>he B</w:t>
      </w:r>
      <w:r w:rsidR="00C7455B">
        <w:t xml:space="preserve">ylaws </w:t>
      </w:r>
      <w:r w:rsidR="001A495B">
        <w:t xml:space="preserve">claim that </w:t>
      </w:r>
      <w:r w:rsidR="001B4F88">
        <w:t>CMEMA</w:t>
      </w:r>
      <w:r w:rsidR="001A495B">
        <w:t xml:space="preserve"> has</w:t>
      </w:r>
      <w:r w:rsidR="0024744F">
        <w:t xml:space="preserve"> five officer positions (Chairman, President, Vice President, Secretary and Treasurer)</w:t>
      </w:r>
      <w:r w:rsidR="00B3435E">
        <w:t xml:space="preserve"> and three</w:t>
      </w:r>
      <w:r w:rsidR="0024744F">
        <w:t xml:space="preserve"> or four</w:t>
      </w:r>
      <w:r w:rsidR="00C7455B">
        <w:t xml:space="preserve"> </w:t>
      </w:r>
      <w:r w:rsidR="00B3435E">
        <w:t>board members</w:t>
      </w:r>
      <w:r w:rsidR="00D36ECB">
        <w:t>, the Application discloses only Boone, as CMEMA’s President and CEO</w:t>
      </w:r>
      <w:r w:rsidR="00DA4E1D">
        <w:t>.</w:t>
      </w:r>
      <w:r w:rsidR="00DA4E1D">
        <w:rPr>
          <w:rStyle w:val="FootnoteReference"/>
        </w:rPr>
        <w:footnoteReference w:id="11"/>
      </w:r>
      <w:r w:rsidR="00DA4E1D">
        <w:t xml:space="preserve">  </w:t>
      </w:r>
      <w:r w:rsidR="0024744F">
        <w:t xml:space="preserve">In addition, the Application </w:t>
      </w:r>
      <w:r w:rsidR="00760F82">
        <w:t xml:space="preserve">represents </w:t>
      </w:r>
      <w:r w:rsidR="0024744F">
        <w:t>that Boone has 0% voting power in CMEMA, which means the Application completely lacks information as to who allegedly controls CMEMA.</w:t>
      </w:r>
      <w:r w:rsidR="0024744F">
        <w:rPr>
          <w:rStyle w:val="FootnoteReference"/>
        </w:rPr>
        <w:footnoteReference w:id="12"/>
      </w:r>
      <w:r w:rsidR="0024744F">
        <w:t xml:space="preserve">  </w:t>
      </w:r>
      <w:r w:rsidR="00B3435E">
        <w:t xml:space="preserve">We find </w:t>
      </w:r>
      <w:r w:rsidR="00C728BF">
        <w:t>no error in the Bureau’s analysis</w:t>
      </w:r>
      <w:r w:rsidR="00B3435E">
        <w:t>.</w:t>
      </w:r>
      <w:r w:rsidR="00D04926">
        <w:rPr>
          <w:rStyle w:val="FootnoteReference"/>
        </w:rPr>
        <w:footnoteReference w:id="13"/>
      </w:r>
      <w:r w:rsidR="00B3435E">
        <w:t xml:space="preserve">  </w:t>
      </w:r>
      <w:r w:rsidR="00780935">
        <w:t>Any</w:t>
      </w:r>
      <w:r w:rsidR="008D755A">
        <w:t xml:space="preserve"> officers and board members </w:t>
      </w:r>
      <w:r w:rsidR="00780935">
        <w:t xml:space="preserve">other than Boone </w:t>
      </w:r>
      <w:r w:rsidR="008D755A">
        <w:t xml:space="preserve">– if they do exist </w:t>
      </w:r>
      <w:r w:rsidR="00B65B44">
        <w:t>–</w:t>
      </w:r>
      <w:r w:rsidR="008D755A">
        <w:t xml:space="preserve"> </w:t>
      </w:r>
      <w:r w:rsidR="00B3435E">
        <w:t xml:space="preserve">were </w:t>
      </w:r>
      <w:r w:rsidR="00C328D1">
        <w:t xml:space="preserve">not </w:t>
      </w:r>
      <w:r w:rsidR="00B3435E">
        <w:t>disclosed in the Application</w:t>
      </w:r>
      <w:r w:rsidR="001A495B">
        <w:t>,</w:t>
      </w:r>
      <w:r w:rsidR="0087270C">
        <w:rPr>
          <w:rStyle w:val="FootnoteReference"/>
        </w:rPr>
        <w:footnoteReference w:id="14"/>
      </w:r>
      <w:r w:rsidR="00E821D9">
        <w:t xml:space="preserve"> the Bylaws</w:t>
      </w:r>
      <w:r w:rsidR="001A495B">
        <w:t>, or the AFR</w:t>
      </w:r>
      <w:r w:rsidR="008B2918">
        <w:t>.</w:t>
      </w:r>
      <w:r w:rsidR="0024744F">
        <w:t xml:space="preserve">  In addition, the failure to identify </w:t>
      </w:r>
      <w:r w:rsidR="0087270C">
        <w:t xml:space="preserve">in the Application </w:t>
      </w:r>
      <w:r w:rsidR="0024744F">
        <w:t>who has voting power in CMEMA</w:t>
      </w:r>
      <w:r w:rsidR="0087270C">
        <w:t>, as called for by Section II, Question 3(a)(4),</w:t>
      </w:r>
      <w:r w:rsidR="0024744F">
        <w:t xml:space="preserve"> is </w:t>
      </w:r>
      <w:r w:rsidR="00D36ECB">
        <w:t>another</w:t>
      </w:r>
      <w:r w:rsidR="0024744F">
        <w:t xml:space="preserve"> fatal deficiency.</w:t>
      </w:r>
      <w:r w:rsidR="00F91437">
        <w:rPr>
          <w:rStyle w:val="FootnoteReference"/>
        </w:rPr>
        <w:footnoteReference w:id="15"/>
      </w:r>
      <w:r w:rsidR="00B3435E">
        <w:t xml:space="preserve">  </w:t>
      </w:r>
    </w:p>
    <w:p w14:paraId="307BFEFB" w14:textId="77777777" w:rsidR="00D233A7" w:rsidRDefault="00D233A7" w:rsidP="00D233A7">
      <w:pPr>
        <w:pStyle w:val="ParaNum"/>
        <w:widowControl/>
      </w:pPr>
      <w:r>
        <w:t>Finally, the AFR raises a new a</w:t>
      </w:r>
      <w:r w:rsidR="00C728BF">
        <w:t>rg</w:t>
      </w:r>
      <w:r>
        <w:t>ument for the first time on review.</w:t>
      </w:r>
      <w:r>
        <w:rPr>
          <w:rStyle w:val="FootnoteReference"/>
        </w:rPr>
        <w:footnoteReference w:id="16"/>
      </w:r>
      <w:r>
        <w:t xml:space="preserve">  </w:t>
      </w:r>
      <w:r w:rsidRPr="00CC27E2">
        <w:t xml:space="preserve">Section 5(c)(5) of the </w:t>
      </w:r>
      <w:r>
        <w:t xml:space="preserve">Communications </w:t>
      </w:r>
      <w:r w:rsidRPr="00CC27E2">
        <w:t>Act</w:t>
      </w:r>
      <w:r>
        <w:t xml:space="preserve"> of 1934, as amended,</w:t>
      </w:r>
      <w:r w:rsidRPr="00CC27E2">
        <w:t xml:space="preserve"> and Section 1.115(c) of the</w:t>
      </w:r>
      <w:r>
        <w:t xml:space="preserve"> Commission’s</w:t>
      </w:r>
      <w:r w:rsidRPr="00CC27E2">
        <w:t xml:space="preserve"> Rules bar applications for review that rely “on questions of fact or law upon which the [designated authority issuing </w:t>
      </w:r>
      <w:r w:rsidRPr="00CC27E2">
        <w:lastRenderedPageBreak/>
        <w:t>the decision] has been afforded no opportunity to pass.”</w:t>
      </w:r>
      <w:r>
        <w:rPr>
          <w:rStyle w:val="FootnoteReference"/>
        </w:rPr>
        <w:footnoteReference w:id="17"/>
      </w:r>
      <w:r w:rsidRPr="00CC27E2">
        <w:t xml:space="preserve">  </w:t>
      </w:r>
      <w:r>
        <w:t>CMEMA</w:t>
      </w:r>
      <w:r w:rsidRPr="00CC27E2">
        <w:t xml:space="preserve"> did not present this argument to the Bureau in the Petition </w:t>
      </w:r>
      <w:r>
        <w:t>and w</w:t>
      </w:r>
      <w:r w:rsidRPr="00CC27E2">
        <w:t>e will dismiss this part of the AFR pursuant to Section 1.115(c</w:t>
      </w:r>
      <w:r w:rsidRPr="00937821">
        <w:t>).</w:t>
      </w:r>
      <w:r>
        <w:rPr>
          <w:rStyle w:val="FootnoteReference"/>
        </w:rPr>
        <w:footnoteReference w:id="18"/>
      </w:r>
      <w:r w:rsidRPr="00937821">
        <w:t xml:space="preserve">  </w:t>
      </w:r>
    </w:p>
    <w:p w14:paraId="1FF1A1AD" w14:textId="18F79D53" w:rsidR="00B65B44" w:rsidRPr="004E2AC7" w:rsidRDefault="00B65B44" w:rsidP="00B65B44">
      <w:pPr>
        <w:pStyle w:val="ParaNum"/>
        <w:rPr>
          <w:szCs w:val="22"/>
        </w:rPr>
      </w:pPr>
      <w:r w:rsidRPr="00580941">
        <w:rPr>
          <w:szCs w:val="22"/>
        </w:rPr>
        <w:t>ACCORDINGLY, IT IS ORDERED that</w:t>
      </w:r>
      <w:r>
        <w:rPr>
          <w:szCs w:val="22"/>
        </w:rPr>
        <w:t xml:space="preserve"> </w:t>
      </w:r>
      <w:r w:rsidR="001002C8">
        <w:rPr>
          <w:szCs w:val="22"/>
        </w:rPr>
        <w:t xml:space="preserve">the </w:t>
      </w:r>
      <w:r w:rsidRPr="00580941">
        <w:rPr>
          <w:szCs w:val="22"/>
        </w:rPr>
        <w:t xml:space="preserve">Application for Review filed by </w:t>
      </w:r>
      <w:r>
        <w:t>Cocoa Minority Educational Media Association on March 21, 2015</w:t>
      </w:r>
      <w:r w:rsidRPr="00580941">
        <w:rPr>
          <w:szCs w:val="22"/>
        </w:rPr>
        <w:t xml:space="preserve">, </w:t>
      </w:r>
      <w:r w:rsidRPr="00D46DE1">
        <w:t>(1) IS DISMISSED, pursuant to Section 5(c)(5) of the Communications Act of 1934, as amended, and Section 1.115(c) of the Commission’s Rules, to the extent that it relies on questions of fact or law not previously presented to the Bureau; and (2) otherwise IS DENIED, pursuant to Section 5(c)(5) of the Communications Act of 1934, as amended, and Section 1.115(g) of the Commission’s Rules.</w:t>
      </w:r>
      <w:r w:rsidRPr="00D46DE1">
        <w:rPr>
          <w:sz w:val="20"/>
          <w:vertAlign w:val="superscript"/>
        </w:rPr>
        <w:footnoteReference w:id="19"/>
      </w:r>
    </w:p>
    <w:p w14:paraId="6A50EB9B" w14:textId="42EAF3C1" w:rsidR="00B25842" w:rsidRPr="00B25842" w:rsidRDefault="004E2AC7" w:rsidP="00B25842">
      <w:pPr>
        <w:pStyle w:val="ParaNum"/>
        <w:rPr>
          <w:szCs w:val="22"/>
        </w:rPr>
      </w:pPr>
      <w:r>
        <w:rPr>
          <w:szCs w:val="22"/>
        </w:rPr>
        <w:t>IT IS FURTHER ORDERED that the informal objections filed by Greater Blessed Assurance Apostolic Temple, Inc. on February 2, 2015 and March 13, 2015 ARE DISMISSED AS MOOT.</w:t>
      </w:r>
    </w:p>
    <w:p w14:paraId="4E446A7E" w14:textId="77777777" w:rsidR="00E66A17" w:rsidRPr="006358C3" w:rsidRDefault="00E66A17" w:rsidP="00E66A17">
      <w:r w:rsidRPr="006358C3">
        <w:tab/>
      </w:r>
      <w:r w:rsidRPr="006358C3">
        <w:tab/>
      </w:r>
      <w:r w:rsidRPr="006358C3">
        <w:tab/>
      </w:r>
      <w:r w:rsidRPr="006358C3">
        <w:tab/>
      </w:r>
      <w:r w:rsidRPr="006358C3">
        <w:tab/>
      </w:r>
      <w:r w:rsidRPr="006358C3">
        <w:tab/>
        <w:t>FEDERAL COMMUNICATIONS COMMISSION</w:t>
      </w:r>
    </w:p>
    <w:p w14:paraId="31B642B5" w14:textId="77777777" w:rsidR="00E66A17" w:rsidRDefault="00E66A17" w:rsidP="00E66A17"/>
    <w:p w14:paraId="3829F8EA" w14:textId="77777777" w:rsidR="00E66A17" w:rsidRDefault="00E66A17" w:rsidP="00E66A17"/>
    <w:p w14:paraId="3D3EF6B5" w14:textId="77777777" w:rsidR="00E66A17" w:rsidRDefault="00E66A17" w:rsidP="00E66A17"/>
    <w:p w14:paraId="338B6575" w14:textId="77777777" w:rsidR="008F3DB3" w:rsidRPr="006358C3" w:rsidRDefault="008F3DB3" w:rsidP="00E66A17"/>
    <w:p w14:paraId="05BFFBF8" w14:textId="77777777" w:rsidR="00E66A17" w:rsidRPr="006358C3" w:rsidRDefault="00E66A17" w:rsidP="00E66A17">
      <w:r>
        <w:t xml:space="preserve"> </w:t>
      </w:r>
      <w:r>
        <w:tab/>
      </w:r>
      <w:r>
        <w:tab/>
      </w:r>
      <w:r>
        <w:tab/>
      </w:r>
      <w:r>
        <w:tab/>
      </w:r>
      <w:r>
        <w:tab/>
      </w:r>
      <w:r>
        <w:tab/>
      </w:r>
      <w:r w:rsidRPr="006358C3">
        <w:t>Marlene H. Dortch</w:t>
      </w:r>
    </w:p>
    <w:p w14:paraId="313210FE" w14:textId="77777777" w:rsidR="002C00E8" w:rsidRPr="002C00E8" w:rsidRDefault="00E66A17" w:rsidP="007B35C9">
      <w:r>
        <w:t xml:space="preserve"> </w:t>
      </w:r>
      <w:r>
        <w:tab/>
      </w:r>
      <w:r>
        <w:tab/>
      </w:r>
      <w:r>
        <w:tab/>
      </w:r>
      <w:r>
        <w:tab/>
      </w:r>
      <w:r>
        <w:tab/>
      </w:r>
      <w:r>
        <w:tab/>
      </w:r>
      <w:r w:rsidRPr="006358C3">
        <w:t>Secretary</w:t>
      </w: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64B52" w14:textId="77777777" w:rsidR="00324A55" w:rsidRDefault="00324A55">
      <w:pPr>
        <w:spacing w:line="20" w:lineRule="exact"/>
      </w:pPr>
    </w:p>
  </w:endnote>
  <w:endnote w:type="continuationSeparator" w:id="0">
    <w:p w14:paraId="2D3E0FFD" w14:textId="77777777" w:rsidR="00324A55" w:rsidRDefault="00324A55">
      <w:r>
        <w:t xml:space="preserve"> </w:t>
      </w:r>
    </w:p>
  </w:endnote>
  <w:endnote w:type="continuationNotice" w:id="1">
    <w:p w14:paraId="0C5960EF" w14:textId="77777777" w:rsidR="00324A55" w:rsidRDefault="00324A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794DD"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F768C77"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2CFB1"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B8626C">
      <w:rPr>
        <w:noProof/>
      </w:rPr>
      <w:t>3</w:t>
    </w:r>
    <w:r>
      <w:fldChar w:fldCharType="end"/>
    </w:r>
  </w:p>
  <w:p w14:paraId="73466702"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D74DF"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8156E" w14:textId="77777777" w:rsidR="00324A55" w:rsidRDefault="00324A55">
      <w:r>
        <w:separator/>
      </w:r>
    </w:p>
  </w:footnote>
  <w:footnote w:type="continuationSeparator" w:id="0">
    <w:p w14:paraId="56A9477F" w14:textId="77777777" w:rsidR="00324A55" w:rsidRDefault="00324A55" w:rsidP="00C721AC">
      <w:pPr>
        <w:spacing w:before="120"/>
        <w:rPr>
          <w:sz w:val="20"/>
        </w:rPr>
      </w:pPr>
      <w:r>
        <w:rPr>
          <w:sz w:val="20"/>
        </w:rPr>
        <w:t xml:space="preserve">(Continued from previous page)  </w:t>
      </w:r>
      <w:r>
        <w:rPr>
          <w:sz w:val="20"/>
        </w:rPr>
        <w:separator/>
      </w:r>
    </w:p>
  </w:footnote>
  <w:footnote w:type="continuationNotice" w:id="1">
    <w:p w14:paraId="3118C69E" w14:textId="77777777" w:rsidR="00324A55" w:rsidRDefault="00324A55" w:rsidP="00C721AC">
      <w:pPr>
        <w:jc w:val="right"/>
        <w:rPr>
          <w:sz w:val="20"/>
        </w:rPr>
      </w:pPr>
      <w:r>
        <w:rPr>
          <w:sz w:val="20"/>
        </w:rPr>
        <w:t>(continued….)</w:t>
      </w:r>
    </w:p>
  </w:footnote>
  <w:footnote w:id="2">
    <w:p w14:paraId="1498CE5E" w14:textId="77777777" w:rsidR="00824099" w:rsidRPr="000F0680" w:rsidRDefault="00824099" w:rsidP="00363E3A">
      <w:pPr>
        <w:pStyle w:val="FootnoteText"/>
      </w:pPr>
      <w:r w:rsidRPr="000F0680">
        <w:rPr>
          <w:rStyle w:val="FootnoteReference"/>
        </w:rPr>
        <w:footnoteRef/>
      </w:r>
      <w:r w:rsidRPr="000F0680">
        <w:t xml:space="preserve"> </w:t>
      </w:r>
      <w:r w:rsidR="00245605" w:rsidRPr="000F0680">
        <w:rPr>
          <w:i/>
        </w:rPr>
        <w:t>Cocoa Minority Educational Media Association,</w:t>
      </w:r>
      <w:r w:rsidR="00245605" w:rsidRPr="000F0680">
        <w:t xml:space="preserve"> Letter,</w:t>
      </w:r>
      <w:r w:rsidR="00245605" w:rsidRPr="000F0680">
        <w:rPr>
          <w:i/>
        </w:rPr>
        <w:t xml:space="preserve"> </w:t>
      </w:r>
      <w:r w:rsidR="00245605" w:rsidRPr="000F0680">
        <w:t>Ref</w:t>
      </w:r>
      <w:r w:rsidR="004E2AC7">
        <w:t xml:space="preserve">. </w:t>
      </w:r>
      <w:r w:rsidR="00245605" w:rsidRPr="000F0680">
        <w:t>1800B3-ATS (MB Mar. 12, 2014)</w:t>
      </w:r>
      <w:r w:rsidR="00DD7E62">
        <w:t xml:space="preserve"> (“</w:t>
      </w:r>
      <w:r w:rsidR="00DD7E62" w:rsidRPr="00180541">
        <w:rPr>
          <w:i/>
        </w:rPr>
        <w:t>Reconsideration Decision</w:t>
      </w:r>
      <w:r w:rsidR="00DD7E62">
        <w:t>”)</w:t>
      </w:r>
      <w:r w:rsidR="00465CDA" w:rsidRPr="000F0680">
        <w:t xml:space="preserve"> </w:t>
      </w:r>
      <w:r w:rsidR="00282990" w:rsidRPr="000F0680">
        <w:t>(denying Petition for Reconsideration</w:t>
      </w:r>
      <w:r w:rsidR="00E92018" w:rsidRPr="000F0680">
        <w:t xml:space="preserve"> filed by CMEMA</w:t>
      </w:r>
      <w:r w:rsidR="00282990" w:rsidRPr="000F0680">
        <w:t xml:space="preserve"> (“Petition”</w:t>
      </w:r>
      <w:r w:rsidR="00842CFD">
        <w:t>)</w:t>
      </w:r>
      <w:r w:rsidR="00282990" w:rsidRPr="000F0680">
        <w:t>)</w:t>
      </w:r>
      <w:r w:rsidR="00465CDA" w:rsidRPr="000F0680">
        <w:t>; Letter, Ref</w:t>
      </w:r>
      <w:r w:rsidR="004E2AC7">
        <w:t>.</w:t>
      </w:r>
      <w:r w:rsidR="00465CDA" w:rsidRPr="000F0680">
        <w:t xml:space="preserve"> 1800B3 (MB Feb. 9, 2015) (“</w:t>
      </w:r>
      <w:r w:rsidR="00903AFA" w:rsidRPr="000F0680">
        <w:rPr>
          <w:i/>
        </w:rPr>
        <w:t>Dismissal Letter</w:t>
      </w:r>
      <w:r w:rsidR="00465CDA" w:rsidRPr="000F0680">
        <w:t>”).</w:t>
      </w:r>
      <w:r w:rsidR="00190973" w:rsidRPr="000F0680">
        <w:t xml:space="preserve">  </w:t>
      </w:r>
    </w:p>
  </w:footnote>
  <w:footnote w:id="3">
    <w:p w14:paraId="4531BAD3" w14:textId="77777777" w:rsidR="00245605" w:rsidRPr="000F0680" w:rsidRDefault="00245605" w:rsidP="00363E3A">
      <w:pPr>
        <w:pStyle w:val="FootnoteText"/>
      </w:pPr>
      <w:r w:rsidRPr="000F0680">
        <w:rPr>
          <w:rStyle w:val="FootnoteReference"/>
        </w:rPr>
        <w:footnoteRef/>
      </w:r>
      <w:r w:rsidRPr="000F0680">
        <w:t xml:space="preserve"> </w:t>
      </w:r>
      <w:r w:rsidR="00465CDA" w:rsidRPr="000F0680">
        <w:t xml:space="preserve">On March 13, 2015, Greater Blessed Assurance Apostolic Temple, Inc. (“GBAAT”), electronically filed a pleading as an “Informal Objection” but which is styled “Plaintiff’s Petition to Deny Defendant’s Request to Reconsider.”  We will consider this as an untimely opposition to the Petition and </w:t>
      </w:r>
      <w:r w:rsidR="004E2AC7">
        <w:t>dismiss</w:t>
      </w:r>
      <w:r w:rsidR="00465CDA" w:rsidRPr="000F0680">
        <w:t xml:space="preserve"> it as moot</w:t>
      </w:r>
      <w:r w:rsidR="00637A56">
        <w:t xml:space="preserve">, together with </w:t>
      </w:r>
      <w:r w:rsidR="001A3382">
        <w:t>the Informal Objection filed</w:t>
      </w:r>
      <w:r w:rsidR="00637A56">
        <w:t xml:space="preserve"> by GBAAT </w:t>
      </w:r>
      <w:r w:rsidR="001A3382">
        <w:t>on February 2, 2015</w:t>
      </w:r>
      <w:r w:rsidR="00D94ED2">
        <w:t xml:space="preserve"> (“First Objection”)</w:t>
      </w:r>
      <w:r w:rsidR="001A3382">
        <w:t xml:space="preserve">, </w:t>
      </w:r>
      <w:r w:rsidR="00637A56">
        <w:t>discussed below</w:t>
      </w:r>
      <w:r w:rsidR="00465CDA" w:rsidRPr="000F0680">
        <w:t>.</w:t>
      </w:r>
    </w:p>
  </w:footnote>
  <w:footnote w:id="4">
    <w:p w14:paraId="1FD8FFDB" w14:textId="77777777" w:rsidR="002E5FD6" w:rsidRDefault="002E5FD6">
      <w:pPr>
        <w:pStyle w:val="FootnoteText"/>
      </w:pPr>
      <w:r>
        <w:rPr>
          <w:rStyle w:val="FootnoteReference"/>
        </w:rPr>
        <w:footnoteRef/>
      </w:r>
      <w:r>
        <w:t xml:space="preserve"> The Application and Bylaws only identify one party to the application, Johnny Boone, who is listed as CMEMA’s “President/CEO.”  Application at Section II, Question 3.a. and Att. 2.</w:t>
      </w:r>
      <w:r w:rsidR="00D333BC">
        <w:t xml:space="preserve">  In the AFR, CMEMA states that its “by-laws clearly reveals that the petitioner [sic] not merely an alter-ago [sic] of its current president” and that its “by-laws clearly provides for the appointment of members.”  AFR at 12-13.</w:t>
      </w:r>
    </w:p>
  </w:footnote>
  <w:footnote w:id="5">
    <w:p w14:paraId="62DC27CF" w14:textId="77777777" w:rsidR="007360D1" w:rsidRDefault="007360D1">
      <w:pPr>
        <w:pStyle w:val="FootnoteText"/>
      </w:pPr>
      <w:r>
        <w:rPr>
          <w:rStyle w:val="FootnoteReference"/>
        </w:rPr>
        <w:footnoteRef/>
      </w:r>
      <w:r>
        <w:t xml:space="preserve"> Note to Section II, Question 2.</w:t>
      </w:r>
    </w:p>
  </w:footnote>
  <w:footnote w:id="6">
    <w:p w14:paraId="32F01355" w14:textId="77777777" w:rsidR="007360D1" w:rsidRDefault="007360D1">
      <w:pPr>
        <w:pStyle w:val="FootnoteText"/>
      </w:pPr>
      <w:r>
        <w:rPr>
          <w:rStyle w:val="FootnoteReference"/>
        </w:rPr>
        <w:footnoteRef/>
      </w:r>
      <w:r>
        <w:t xml:space="preserve"> Application, Att. 2.</w:t>
      </w:r>
    </w:p>
  </w:footnote>
  <w:footnote w:id="7">
    <w:p w14:paraId="3F226345" w14:textId="66D37309" w:rsidR="007360D1" w:rsidRDefault="007360D1">
      <w:pPr>
        <w:pStyle w:val="FootnoteText"/>
      </w:pPr>
      <w:r>
        <w:rPr>
          <w:rStyle w:val="FootnoteReference"/>
        </w:rPr>
        <w:footnoteRef/>
      </w:r>
      <w:r>
        <w:t xml:space="preserve"> </w:t>
      </w:r>
      <w:r w:rsidRPr="00E67109">
        <w:rPr>
          <w:i/>
        </w:rPr>
        <w:t>See</w:t>
      </w:r>
      <w:r>
        <w:t xml:space="preserve"> AFR at 1 and 6-8 (citing and quoting Fla. Stat. Ann. Ch</w:t>
      </w:r>
      <w:r w:rsidR="00DA41B5">
        <w:t>s.</w:t>
      </w:r>
      <w:r>
        <w:t xml:space="preserve"> 622</w:t>
      </w:r>
      <w:r w:rsidR="00DA41B5">
        <w:t>.02, 622.06</w:t>
      </w:r>
      <w:r>
        <w:t>).</w:t>
      </w:r>
    </w:p>
  </w:footnote>
  <w:footnote w:id="8">
    <w:p w14:paraId="25471B2B" w14:textId="09AFE959" w:rsidR="007360D1" w:rsidRDefault="007360D1">
      <w:pPr>
        <w:pStyle w:val="FootnoteText"/>
      </w:pPr>
      <w:r>
        <w:rPr>
          <w:rStyle w:val="FootnoteReference"/>
        </w:rPr>
        <w:footnoteRef/>
      </w:r>
      <w:r>
        <w:t xml:space="preserve"> Instructions to FCC Form 318, Section</w:t>
      </w:r>
      <w:r w:rsidR="00760F82">
        <w:t xml:space="preserve"> II</w:t>
      </w:r>
      <w:r>
        <w:t>, Question 2</w:t>
      </w:r>
      <w:r w:rsidR="00760F82">
        <w:t>(a)</w:t>
      </w:r>
      <w:r>
        <w:t>.</w:t>
      </w:r>
      <w:r w:rsidR="00760F82">
        <w:t xml:space="preserve"> </w:t>
      </w:r>
    </w:p>
  </w:footnote>
  <w:footnote w:id="9">
    <w:p w14:paraId="33EA16F1" w14:textId="77777777" w:rsidR="007360D1" w:rsidRDefault="007360D1">
      <w:pPr>
        <w:pStyle w:val="FootnoteText"/>
      </w:pPr>
      <w:r>
        <w:rPr>
          <w:rStyle w:val="FootnoteReference"/>
        </w:rPr>
        <w:footnoteRef/>
      </w:r>
      <w:r>
        <w:t xml:space="preserve"> </w:t>
      </w:r>
      <w:r w:rsidRPr="000F0680">
        <w:rPr>
          <w:i/>
        </w:rPr>
        <w:t>See, e.g.,</w:t>
      </w:r>
      <w:r>
        <w:t xml:space="preserve"> </w:t>
      </w:r>
      <w:r w:rsidRPr="000F0680">
        <w:rPr>
          <w:i/>
          <w:shd w:val="clear" w:color="auto" w:fill="FFFFFF"/>
        </w:rPr>
        <w:t>Wynnewood C</w:t>
      </w:r>
      <w:r>
        <w:rPr>
          <w:i/>
          <w:shd w:val="clear" w:color="auto" w:fill="FFFFFF"/>
        </w:rPr>
        <w:t>mty.</w:t>
      </w:r>
      <w:r w:rsidRPr="000F0680">
        <w:rPr>
          <w:i/>
          <w:shd w:val="clear" w:color="auto" w:fill="FFFFFF"/>
        </w:rPr>
        <w:t xml:space="preserve"> Radio Ass</w:t>
      </w:r>
      <w:r>
        <w:rPr>
          <w:i/>
          <w:shd w:val="clear" w:color="auto" w:fill="FFFFFF"/>
        </w:rPr>
        <w:t>’n</w:t>
      </w:r>
      <w:r w:rsidRPr="000F0680">
        <w:rPr>
          <w:shd w:val="clear" w:color="auto" w:fill="FFFFFF"/>
        </w:rPr>
        <w:t xml:space="preserve">, Memorandum Opinion and Order, 29 FCC Rcd 6309 (2014) (affirming dismissal of noncommercial educational </w:t>
      </w:r>
      <w:r>
        <w:rPr>
          <w:shd w:val="clear" w:color="auto" w:fill="FFFFFF"/>
        </w:rPr>
        <w:t xml:space="preserve">station construction permit </w:t>
      </w:r>
      <w:r w:rsidRPr="000F0680">
        <w:rPr>
          <w:shd w:val="clear" w:color="auto" w:fill="FFFFFF"/>
        </w:rPr>
        <w:t>application where applicant failed to demonstrate that it satisfied requirements of unincorporated associations under Oklahoma law</w:t>
      </w:r>
      <w:r>
        <w:rPr>
          <w:shd w:val="clear" w:color="auto" w:fill="FFFFFF"/>
        </w:rPr>
        <w:t xml:space="preserve"> </w:t>
      </w:r>
      <w:r w:rsidRPr="000F0680">
        <w:rPr>
          <w:shd w:val="clear" w:color="auto" w:fill="FFFFFF"/>
        </w:rPr>
        <w:t>and applicant consisted of only one person)</w:t>
      </w:r>
      <w:r>
        <w:rPr>
          <w:shd w:val="clear" w:color="auto" w:fill="FFFFFF"/>
        </w:rPr>
        <w:t xml:space="preserve">; </w:t>
      </w:r>
      <w:r w:rsidRPr="000F0680">
        <w:rPr>
          <w:i/>
        </w:rPr>
        <w:t>Fondren C</w:t>
      </w:r>
      <w:r>
        <w:rPr>
          <w:i/>
        </w:rPr>
        <w:t>mty.</w:t>
      </w:r>
      <w:r w:rsidRPr="000F0680">
        <w:rPr>
          <w:i/>
        </w:rPr>
        <w:t xml:space="preserve"> Voices</w:t>
      </w:r>
      <w:r w:rsidRPr="000F0680">
        <w:t>, Letter, 30 FCC Rcd 3003</w:t>
      </w:r>
      <w:r>
        <w:t>,</w:t>
      </w:r>
      <w:r w:rsidRPr="000F0680">
        <w:t xml:space="preserve"> </w:t>
      </w:r>
      <w:r>
        <w:t xml:space="preserve">3004-5 (MB 2015) (citation to statute without explanation of how organization complies with requirements of unincorporated association insufficient to demonstrate applicant was recognized as such an entity); </w:t>
      </w:r>
      <w:r w:rsidRPr="000F0680">
        <w:rPr>
          <w:i/>
        </w:rPr>
        <w:t>M&amp;M C</w:t>
      </w:r>
      <w:r>
        <w:rPr>
          <w:i/>
        </w:rPr>
        <w:t>mty.</w:t>
      </w:r>
      <w:r w:rsidRPr="000F0680">
        <w:rPr>
          <w:i/>
        </w:rPr>
        <w:t xml:space="preserve"> Dev</w:t>
      </w:r>
      <w:r>
        <w:rPr>
          <w:i/>
        </w:rPr>
        <w:t>.</w:t>
      </w:r>
      <w:r w:rsidRPr="000F0680">
        <w:rPr>
          <w:i/>
        </w:rPr>
        <w:t>, Inc.</w:t>
      </w:r>
      <w:r w:rsidRPr="000F0680">
        <w:t>, Letter, 21 FCC Rcd 7983, 7984 (MB 2006) (listing documents that could support an applicant’s claim to being</w:t>
      </w:r>
      <w:r>
        <w:t xml:space="preserve"> an unincorporated association).</w:t>
      </w:r>
    </w:p>
  </w:footnote>
  <w:footnote w:id="10">
    <w:p w14:paraId="367ED89E" w14:textId="77777777" w:rsidR="00D36D66" w:rsidRPr="000F0680" w:rsidRDefault="00D36D66" w:rsidP="00363E3A">
      <w:pPr>
        <w:pStyle w:val="FootnoteText"/>
      </w:pPr>
      <w:r w:rsidRPr="000F0680">
        <w:rPr>
          <w:rStyle w:val="FootnoteReference"/>
        </w:rPr>
        <w:footnoteRef/>
      </w:r>
      <w:r w:rsidRPr="000F0680">
        <w:t xml:space="preserve"> </w:t>
      </w:r>
      <w:r w:rsidR="00363E3A" w:rsidRPr="000F0680">
        <w:rPr>
          <w:i/>
        </w:rPr>
        <w:t>Reconsideration</w:t>
      </w:r>
      <w:r w:rsidRPr="000F0680">
        <w:rPr>
          <w:i/>
        </w:rPr>
        <w:t xml:space="preserve"> Decision </w:t>
      </w:r>
      <w:r w:rsidRPr="000F0680">
        <w:t>at 2-3.</w:t>
      </w:r>
    </w:p>
  </w:footnote>
  <w:footnote w:id="11">
    <w:p w14:paraId="3B4900A9" w14:textId="77777777" w:rsidR="00DA4E1D" w:rsidRPr="000F0680" w:rsidRDefault="00DA4E1D" w:rsidP="00363E3A">
      <w:pPr>
        <w:pStyle w:val="FootnoteText"/>
      </w:pPr>
      <w:r w:rsidRPr="000F0680">
        <w:rPr>
          <w:rStyle w:val="FootnoteReference"/>
        </w:rPr>
        <w:footnoteRef/>
      </w:r>
      <w:r w:rsidR="00D94ED2">
        <w:t xml:space="preserve"> </w:t>
      </w:r>
      <w:r w:rsidR="00D36D66" w:rsidRPr="000F0680">
        <w:t xml:space="preserve">Application </w:t>
      </w:r>
      <w:r w:rsidR="00411888">
        <w:t xml:space="preserve">at Section II, Question 3.a. and </w:t>
      </w:r>
      <w:r w:rsidR="00D333BC">
        <w:t>Att. 2.</w:t>
      </w:r>
      <w:r w:rsidR="00C328D1" w:rsidRPr="000F0680">
        <w:t xml:space="preserve">  </w:t>
      </w:r>
    </w:p>
  </w:footnote>
  <w:footnote w:id="12">
    <w:p w14:paraId="7AAB365F" w14:textId="77777777" w:rsidR="0024744F" w:rsidRDefault="0024744F">
      <w:pPr>
        <w:pStyle w:val="FootnoteText"/>
      </w:pPr>
      <w:r>
        <w:rPr>
          <w:rStyle w:val="FootnoteReference"/>
        </w:rPr>
        <w:footnoteRef/>
      </w:r>
      <w:r>
        <w:t xml:space="preserve"> </w:t>
      </w:r>
      <w:r w:rsidRPr="0024744F">
        <w:rPr>
          <w:i/>
        </w:rPr>
        <w:t>Id</w:t>
      </w:r>
      <w:r>
        <w:t>. at Section II, Question 3.a.</w:t>
      </w:r>
    </w:p>
  </w:footnote>
  <w:footnote w:id="13">
    <w:p w14:paraId="1551D8B2" w14:textId="3C97AC7C" w:rsidR="00D04926" w:rsidRPr="008B541A" w:rsidRDefault="00D04926" w:rsidP="00D04926">
      <w:pPr>
        <w:pStyle w:val="FootnoteText"/>
      </w:pPr>
      <w:r>
        <w:rPr>
          <w:rStyle w:val="FootnoteReference"/>
        </w:rPr>
        <w:footnoteRef/>
      </w:r>
      <w:r>
        <w:t xml:space="preserve"> As noted in the </w:t>
      </w:r>
      <w:r w:rsidRPr="00A624A9">
        <w:rPr>
          <w:i/>
        </w:rPr>
        <w:t>Reconsideration Decision</w:t>
      </w:r>
      <w:r>
        <w:t xml:space="preserve">, any attempt to amend the Application at this stage to identify </w:t>
      </w:r>
      <w:r w:rsidR="00780935">
        <w:t>any</w:t>
      </w:r>
      <w:r>
        <w:t xml:space="preserve"> undisclosed board members would constitute an impermissible major change in ownership.  </w:t>
      </w:r>
      <w:r>
        <w:rPr>
          <w:i/>
        </w:rPr>
        <w:t>See</w:t>
      </w:r>
      <w:r>
        <w:t xml:space="preserve"> </w:t>
      </w:r>
      <w:r w:rsidRPr="00A624A9">
        <w:rPr>
          <w:i/>
        </w:rPr>
        <w:t>Reconsideration Decision</w:t>
      </w:r>
      <w:r>
        <w:t xml:space="preserve"> at 3 n.18; </w:t>
      </w:r>
      <w:r w:rsidRPr="00A624A9">
        <w:rPr>
          <w:i/>
        </w:rPr>
        <w:t>see also</w:t>
      </w:r>
      <w:r>
        <w:t xml:space="preserve"> 47 C.F.R. § 73.871(c)(3).  </w:t>
      </w:r>
    </w:p>
  </w:footnote>
  <w:footnote w:id="14">
    <w:p w14:paraId="31DD5FA2" w14:textId="4167F833" w:rsidR="0087270C" w:rsidRDefault="0087270C">
      <w:pPr>
        <w:pStyle w:val="FootnoteText"/>
      </w:pPr>
      <w:r>
        <w:rPr>
          <w:rStyle w:val="FootnoteReference"/>
        </w:rPr>
        <w:footnoteRef/>
      </w:r>
      <w:r>
        <w:t xml:space="preserve"> </w:t>
      </w:r>
      <w:r w:rsidRPr="00B35C58">
        <w:rPr>
          <w:i/>
        </w:rPr>
        <w:t>Se</w:t>
      </w:r>
      <w:r w:rsidR="003563E5" w:rsidRPr="00B35C58">
        <w:rPr>
          <w:i/>
        </w:rPr>
        <w:t>e</w:t>
      </w:r>
      <w:r w:rsidRPr="00B35C58">
        <w:rPr>
          <w:i/>
        </w:rPr>
        <w:t xml:space="preserve"> </w:t>
      </w:r>
      <w:r>
        <w:t>Application, Section II, Question 3(a).</w:t>
      </w:r>
    </w:p>
  </w:footnote>
  <w:footnote w:id="15">
    <w:p w14:paraId="16E10651" w14:textId="668ED944" w:rsidR="00F91437" w:rsidRDefault="00F91437">
      <w:pPr>
        <w:pStyle w:val="FootnoteText"/>
      </w:pPr>
      <w:r>
        <w:rPr>
          <w:rStyle w:val="FootnoteReference"/>
        </w:rPr>
        <w:footnoteRef/>
      </w:r>
      <w:r>
        <w:t xml:space="preserve"> </w:t>
      </w:r>
      <w:r w:rsidRPr="00B35C58">
        <w:rPr>
          <w:i/>
        </w:rPr>
        <w:t xml:space="preserve">See </w:t>
      </w:r>
      <w:r w:rsidR="003563E5">
        <w:t xml:space="preserve">47 C.F.R. § 73.3566(a); </w:t>
      </w:r>
      <w:r w:rsidR="009F40A8">
        <w:t xml:space="preserve">Instructions to </w:t>
      </w:r>
      <w:r>
        <w:t>FCC Form 318</w:t>
      </w:r>
      <w:r w:rsidR="009F40A8">
        <w:t xml:space="preserve"> </w:t>
      </w:r>
      <w:r>
        <w:t>at 2 (Defective Applications): “Applicants should provide all information required by this application…</w:t>
      </w:r>
      <w:r w:rsidR="00AE52FC">
        <w:t xml:space="preserve">.  </w:t>
      </w:r>
      <w:r>
        <w:t>Defective or incomplete applications will be returned without consideration.”</w:t>
      </w:r>
    </w:p>
  </w:footnote>
  <w:footnote w:id="16">
    <w:p w14:paraId="7FF2D3A4" w14:textId="77777777" w:rsidR="00D233A7" w:rsidRPr="000F0680" w:rsidRDefault="00D233A7" w:rsidP="00D233A7">
      <w:pPr>
        <w:pStyle w:val="FootnoteText"/>
      </w:pPr>
      <w:r w:rsidRPr="000F0680">
        <w:rPr>
          <w:rStyle w:val="FootnoteReference"/>
        </w:rPr>
        <w:footnoteRef/>
      </w:r>
      <w:r w:rsidRPr="000F0680">
        <w:t xml:space="preserve"> AFR at 2 (arguing that </w:t>
      </w:r>
      <w:r w:rsidR="00866507">
        <w:t xml:space="preserve">the </w:t>
      </w:r>
      <w:r w:rsidR="00D94ED2">
        <w:t xml:space="preserve">First Objection </w:t>
      </w:r>
      <w:r w:rsidRPr="000F0680">
        <w:t xml:space="preserve">was a prohibited </w:t>
      </w:r>
      <w:r w:rsidRPr="000F0680">
        <w:rPr>
          <w:i/>
        </w:rPr>
        <w:t>ex parte</w:t>
      </w:r>
      <w:r w:rsidRPr="000F0680">
        <w:t xml:space="preserve"> presentation</w:t>
      </w:r>
      <w:r>
        <w:t xml:space="preserve"> </w:t>
      </w:r>
      <w:r w:rsidR="002A5DD4">
        <w:t xml:space="preserve">because it was not served on GBAAT </w:t>
      </w:r>
      <w:r>
        <w:t>and should have been dismissed</w:t>
      </w:r>
      <w:r w:rsidRPr="000F0680">
        <w:t>).</w:t>
      </w:r>
    </w:p>
  </w:footnote>
  <w:footnote w:id="17">
    <w:p w14:paraId="21AE3683" w14:textId="77777777" w:rsidR="00D233A7" w:rsidRPr="000F0680" w:rsidRDefault="00D233A7" w:rsidP="00D233A7">
      <w:pPr>
        <w:pStyle w:val="FootnoteText"/>
      </w:pPr>
      <w:r w:rsidRPr="000F0680">
        <w:rPr>
          <w:rStyle w:val="FootnoteReference"/>
        </w:rPr>
        <w:footnoteRef/>
      </w:r>
      <w:r w:rsidRPr="000F0680">
        <w:t xml:space="preserve"> </w:t>
      </w:r>
      <w:r w:rsidRPr="000F0680">
        <w:rPr>
          <w:i/>
          <w:iCs/>
        </w:rPr>
        <w:t>See</w:t>
      </w:r>
      <w:r w:rsidRPr="000F0680">
        <w:t xml:space="preserve"> 47 U.S.C. § 155(c)(5); 47 C.F.R. § 1.115(c); </w:t>
      </w:r>
      <w:r w:rsidRPr="000F0680">
        <w:rPr>
          <w:i/>
        </w:rPr>
        <w:t xml:space="preserve">BDPCS, Inc. v. FCC, </w:t>
      </w:r>
      <w:r w:rsidRPr="000F0680">
        <w:t xml:space="preserve">351 F.3d 1177, 1184 (D.C. Cir. 2003) (upholding Commission’s order dismissing arguments under Section 1.115(c) because that rule does not allow the Commission to grant an application for review if it relies upon arguments that were not presented below).  </w:t>
      </w:r>
    </w:p>
  </w:footnote>
  <w:footnote w:id="18">
    <w:p w14:paraId="336E03DA" w14:textId="55DCE6A9" w:rsidR="00D233A7" w:rsidRPr="000F0680" w:rsidRDefault="00D233A7" w:rsidP="00D233A7">
      <w:pPr>
        <w:pStyle w:val="FootnoteText"/>
      </w:pPr>
      <w:r w:rsidRPr="000F0680">
        <w:rPr>
          <w:rStyle w:val="FootnoteReference"/>
        </w:rPr>
        <w:footnoteRef/>
      </w:r>
      <w:r w:rsidRPr="000F0680">
        <w:t xml:space="preserve"> </w:t>
      </w:r>
      <w:r w:rsidR="00B91BE9">
        <w:t>W</w:t>
      </w:r>
      <w:r>
        <w:t xml:space="preserve">ere we to consider this argument, we would </w:t>
      </w:r>
      <w:r w:rsidR="00B91BE9">
        <w:t xml:space="preserve">conclude that CMEMA was not prejudiced by GBAAT’s failure to serve CMEMA and, therefore, that this violation does not warrant a different outcome in this case.  </w:t>
      </w:r>
      <w:r w:rsidR="00D36ECB">
        <w:t>The</w:t>
      </w:r>
      <w:r w:rsidR="00742F96">
        <w:t xml:space="preserve"> First Objection was electronically filed and thus available to CMEMA through the Commission’s website</w:t>
      </w:r>
      <w:r w:rsidR="00466D2B">
        <w:t xml:space="preserve">, and, in light of CMEMA’s discussion of the substance of that filing both </w:t>
      </w:r>
      <w:r w:rsidR="00D36ECB">
        <w:t>in its P</w:t>
      </w:r>
      <w:r w:rsidR="00466D2B">
        <w:t xml:space="preserve">etition and in its AFR, it appears to have </w:t>
      </w:r>
      <w:r w:rsidR="005309F8">
        <w:t xml:space="preserve">otherwise </w:t>
      </w:r>
      <w:r w:rsidR="00466D2B">
        <w:t>obtained and reviewed it</w:t>
      </w:r>
      <w:r w:rsidR="00742F96">
        <w:t xml:space="preserve">.  </w:t>
      </w:r>
      <w:r w:rsidR="008B2918">
        <w:t xml:space="preserve">Although 47 C.F.R. § 1.1216 provides that we may impose sanctions for </w:t>
      </w:r>
      <w:r w:rsidR="008B2918">
        <w:rPr>
          <w:i/>
        </w:rPr>
        <w:t xml:space="preserve">ex parte </w:t>
      </w:r>
      <w:r w:rsidR="008B2918">
        <w:t xml:space="preserve">violations, </w:t>
      </w:r>
      <w:r w:rsidR="00FA358B">
        <w:t>n</w:t>
      </w:r>
      <w:r w:rsidR="00FA358B" w:rsidRPr="00FA358B">
        <w:t>ot every deviation from these rules</w:t>
      </w:r>
      <w:r w:rsidR="00FA358B">
        <w:t xml:space="preserve"> </w:t>
      </w:r>
      <w:r w:rsidR="00FA358B" w:rsidRPr="00FA358B">
        <w:t>warrants being treated as a serious violation worthy of sanctions</w:t>
      </w:r>
      <w:r w:rsidR="00FA358B">
        <w:t xml:space="preserve">. </w:t>
      </w:r>
      <w:r w:rsidR="00FA358B" w:rsidRPr="000C5895">
        <w:rPr>
          <w:i/>
        </w:rPr>
        <w:t>See,</w:t>
      </w:r>
      <w:r w:rsidR="00466D2B">
        <w:rPr>
          <w:i/>
        </w:rPr>
        <w:t xml:space="preserve"> </w:t>
      </w:r>
      <w:r w:rsidR="00FA358B" w:rsidRPr="000C5895">
        <w:rPr>
          <w:i/>
        </w:rPr>
        <w:t>e.g., Ex parte Complaint of Marcus Spectrum Solutions, LLC</w:t>
      </w:r>
      <w:r w:rsidR="00FA358B">
        <w:t xml:space="preserve">, Memorandum Opinion and Order, 23 FCC Rcd 2351 (2011).  </w:t>
      </w:r>
      <w:r w:rsidR="00742F96">
        <w:t>W</w:t>
      </w:r>
      <w:r w:rsidR="00160AB1">
        <w:t xml:space="preserve">e </w:t>
      </w:r>
      <w:r w:rsidR="00742F96">
        <w:t xml:space="preserve">caution GBAAT that electronically filed pleadings must still be served on all parties to the proceeding.  </w:t>
      </w:r>
      <w:r w:rsidR="00742F96">
        <w:rPr>
          <w:i/>
        </w:rPr>
        <w:t xml:space="preserve">See </w:t>
      </w:r>
      <w:r w:rsidR="00742F96">
        <w:t>47 C.F.R. § 1.47.</w:t>
      </w:r>
      <w:r w:rsidR="00FE3085">
        <w:t xml:space="preserve">  </w:t>
      </w:r>
      <w:r w:rsidR="00DE7B9F">
        <w:t>Finally</w:t>
      </w:r>
      <w:r w:rsidR="00FE3085">
        <w:t xml:space="preserve">, in our review of the record, we </w:t>
      </w:r>
      <w:r w:rsidR="00B91BE9">
        <w:t>determined</w:t>
      </w:r>
      <w:r w:rsidR="00FE3085">
        <w:t xml:space="preserve"> that the Commission’s CDBS records </w:t>
      </w:r>
      <w:r w:rsidR="00B91BE9">
        <w:t xml:space="preserve">erroneously </w:t>
      </w:r>
      <w:r w:rsidR="00FE3085">
        <w:t xml:space="preserve">listed the First Objection as “granted” even though neither the </w:t>
      </w:r>
      <w:r w:rsidR="00FE3085" w:rsidRPr="00E67109">
        <w:rPr>
          <w:i/>
        </w:rPr>
        <w:t>Dismissal Letter</w:t>
      </w:r>
      <w:r w:rsidR="00FE3085">
        <w:t xml:space="preserve"> nor the </w:t>
      </w:r>
      <w:r w:rsidR="00FE3085" w:rsidRPr="00E67109">
        <w:rPr>
          <w:i/>
        </w:rPr>
        <w:t>Reconsideration Decision</w:t>
      </w:r>
      <w:r w:rsidR="00FE3085">
        <w:t xml:space="preserve"> referenced the First Objection or </w:t>
      </w:r>
      <w:r w:rsidR="00DD7E62">
        <w:t xml:space="preserve">purported to address the argument presented therein.  Accordingly, </w:t>
      </w:r>
      <w:r w:rsidR="00E0690F">
        <w:t>to</w:t>
      </w:r>
      <w:r w:rsidR="00DD7E62">
        <w:t xml:space="preserve"> </w:t>
      </w:r>
      <w:r w:rsidR="003A5D79">
        <w:t>correct the record</w:t>
      </w:r>
      <w:r w:rsidR="00DD7E62">
        <w:t xml:space="preserve"> </w:t>
      </w:r>
      <w:r w:rsidR="00E0690F">
        <w:t xml:space="preserve">we </w:t>
      </w:r>
      <w:r w:rsidR="00DD7E62">
        <w:t>dismiss the First Objection as moot.</w:t>
      </w:r>
      <w:r w:rsidR="00FE3085">
        <w:t xml:space="preserve">   </w:t>
      </w:r>
    </w:p>
  </w:footnote>
  <w:footnote w:id="19">
    <w:p w14:paraId="1E9687E2" w14:textId="77777777" w:rsidR="00B65B44" w:rsidRPr="00CC27E2" w:rsidRDefault="00B65B44" w:rsidP="00B65B44">
      <w:pPr>
        <w:pStyle w:val="FootnoteText"/>
      </w:pPr>
      <w:r w:rsidRPr="00CC27E2">
        <w:rPr>
          <w:rStyle w:val="FootnoteReference"/>
        </w:rPr>
        <w:footnoteRef/>
      </w:r>
      <w:r w:rsidRPr="00CC27E2">
        <w:t xml:space="preserve"> 47 U.S.C. § 155(c)(5);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9D8C" w14:textId="77777777" w:rsidR="005F2709" w:rsidRDefault="005F2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D4C06" w14:textId="5F3F7A06" w:rsidR="00D25FB5" w:rsidRDefault="00D25FB5" w:rsidP="00810B6F">
    <w:pPr>
      <w:pStyle w:val="Header"/>
      <w:rPr>
        <w:b w:val="0"/>
      </w:rPr>
    </w:pPr>
    <w:r>
      <w:tab/>
      <w:t>Federal Communications Commission</w:t>
    </w:r>
    <w:r>
      <w:tab/>
    </w:r>
    <w:r w:rsidR="0005280A">
      <w:t>FCC 1</w:t>
    </w:r>
    <w:r w:rsidR="00363E3A">
      <w:t>5</w:t>
    </w:r>
    <w:r w:rsidR="0005280A">
      <w:t>-</w:t>
    </w:r>
    <w:r w:rsidR="00A13E00">
      <w:t>168</w:t>
    </w:r>
  </w:p>
  <w:p w14:paraId="2A0A3A74" w14:textId="77777777" w:rsidR="00D25FB5" w:rsidRDefault="00E66A1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264" behindDoc="1" locked="0" layoutInCell="0" allowOverlap="1" wp14:anchorId="5994C670" wp14:editId="3B8D997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EF150D"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571376D"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C7ED6" w14:textId="0B04A2BA" w:rsidR="00D25FB5" w:rsidRDefault="00E66A17"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2446D53" wp14:editId="5622EAD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C90E80"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05280A">
      <w:rPr>
        <w:spacing w:val="-2"/>
      </w:rPr>
      <w:t xml:space="preserve">FCC </w:t>
    </w:r>
    <w:r w:rsidR="00822BDE">
      <w:rPr>
        <w:spacing w:val="-2"/>
      </w:rPr>
      <w:t>15-</w:t>
    </w:r>
    <w:r w:rsidR="00A13E00">
      <w:rPr>
        <w:spacing w:val="-2"/>
      </w:rPr>
      <w:t>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E35"/>
    <w:rsid w:val="000120DD"/>
    <w:rsid w:val="00020A77"/>
    <w:rsid w:val="00027863"/>
    <w:rsid w:val="00030204"/>
    <w:rsid w:val="00036039"/>
    <w:rsid w:val="00037F90"/>
    <w:rsid w:val="00041DD6"/>
    <w:rsid w:val="0004539D"/>
    <w:rsid w:val="00045FB2"/>
    <w:rsid w:val="0005280A"/>
    <w:rsid w:val="000633EE"/>
    <w:rsid w:val="000746FF"/>
    <w:rsid w:val="000875BF"/>
    <w:rsid w:val="00096D8C"/>
    <w:rsid w:val="000B5405"/>
    <w:rsid w:val="000B570F"/>
    <w:rsid w:val="000C0B65"/>
    <w:rsid w:val="000C49FC"/>
    <w:rsid w:val="000C5895"/>
    <w:rsid w:val="000C7B27"/>
    <w:rsid w:val="000E05FE"/>
    <w:rsid w:val="000E0A7C"/>
    <w:rsid w:val="000E3D42"/>
    <w:rsid w:val="000F0680"/>
    <w:rsid w:val="000F087B"/>
    <w:rsid w:val="001002C8"/>
    <w:rsid w:val="00101CE0"/>
    <w:rsid w:val="001037C9"/>
    <w:rsid w:val="00104228"/>
    <w:rsid w:val="00122925"/>
    <w:rsid w:val="00122BD5"/>
    <w:rsid w:val="00124BCA"/>
    <w:rsid w:val="00126D3C"/>
    <w:rsid w:val="00133BCF"/>
    <w:rsid w:val="00133F79"/>
    <w:rsid w:val="00137A75"/>
    <w:rsid w:val="0015122C"/>
    <w:rsid w:val="00154D48"/>
    <w:rsid w:val="001550C7"/>
    <w:rsid w:val="0015742E"/>
    <w:rsid w:val="00160AB1"/>
    <w:rsid w:val="001651F1"/>
    <w:rsid w:val="0017154F"/>
    <w:rsid w:val="00180541"/>
    <w:rsid w:val="001856CD"/>
    <w:rsid w:val="0018580D"/>
    <w:rsid w:val="001860D8"/>
    <w:rsid w:val="00190973"/>
    <w:rsid w:val="001949F2"/>
    <w:rsid w:val="00194A66"/>
    <w:rsid w:val="001A156C"/>
    <w:rsid w:val="001A3382"/>
    <w:rsid w:val="001A3DD3"/>
    <w:rsid w:val="001A495B"/>
    <w:rsid w:val="001B2103"/>
    <w:rsid w:val="001B4F88"/>
    <w:rsid w:val="001B6FB8"/>
    <w:rsid w:val="001C0A21"/>
    <w:rsid w:val="001D6BCF"/>
    <w:rsid w:val="001D7234"/>
    <w:rsid w:val="001E01CA"/>
    <w:rsid w:val="001E7E90"/>
    <w:rsid w:val="001F4889"/>
    <w:rsid w:val="001F6C78"/>
    <w:rsid w:val="00212F7D"/>
    <w:rsid w:val="002262CE"/>
    <w:rsid w:val="00243BF4"/>
    <w:rsid w:val="00245605"/>
    <w:rsid w:val="0024744F"/>
    <w:rsid w:val="002534D7"/>
    <w:rsid w:val="00255FFF"/>
    <w:rsid w:val="002679A2"/>
    <w:rsid w:val="0027548F"/>
    <w:rsid w:val="00275CF5"/>
    <w:rsid w:val="00275F09"/>
    <w:rsid w:val="00277D1E"/>
    <w:rsid w:val="00282990"/>
    <w:rsid w:val="00282FFF"/>
    <w:rsid w:val="0028301F"/>
    <w:rsid w:val="00285017"/>
    <w:rsid w:val="0029158D"/>
    <w:rsid w:val="00294204"/>
    <w:rsid w:val="00296A04"/>
    <w:rsid w:val="002A09FF"/>
    <w:rsid w:val="002A2D2E"/>
    <w:rsid w:val="002A5DD4"/>
    <w:rsid w:val="002B2C5F"/>
    <w:rsid w:val="002B7443"/>
    <w:rsid w:val="002B7FC6"/>
    <w:rsid w:val="002C00E8"/>
    <w:rsid w:val="002C355B"/>
    <w:rsid w:val="002C360E"/>
    <w:rsid w:val="002C494D"/>
    <w:rsid w:val="002E5FD6"/>
    <w:rsid w:val="002F0FB0"/>
    <w:rsid w:val="002F44EC"/>
    <w:rsid w:val="00302FB6"/>
    <w:rsid w:val="0031390A"/>
    <w:rsid w:val="00313F05"/>
    <w:rsid w:val="00324A55"/>
    <w:rsid w:val="003303E6"/>
    <w:rsid w:val="00332DD7"/>
    <w:rsid w:val="00343749"/>
    <w:rsid w:val="0035295B"/>
    <w:rsid w:val="003563E5"/>
    <w:rsid w:val="00360054"/>
    <w:rsid w:val="00363E3A"/>
    <w:rsid w:val="003660ED"/>
    <w:rsid w:val="00372EAC"/>
    <w:rsid w:val="00387346"/>
    <w:rsid w:val="00390B82"/>
    <w:rsid w:val="00392367"/>
    <w:rsid w:val="003A5D79"/>
    <w:rsid w:val="003A7D09"/>
    <w:rsid w:val="003B0550"/>
    <w:rsid w:val="003B3213"/>
    <w:rsid w:val="003B694F"/>
    <w:rsid w:val="003C385B"/>
    <w:rsid w:val="003D2024"/>
    <w:rsid w:val="003E260E"/>
    <w:rsid w:val="003F171C"/>
    <w:rsid w:val="003F4D1D"/>
    <w:rsid w:val="00402552"/>
    <w:rsid w:val="00411888"/>
    <w:rsid w:val="00412FC5"/>
    <w:rsid w:val="00414505"/>
    <w:rsid w:val="00422276"/>
    <w:rsid w:val="004242F1"/>
    <w:rsid w:val="0043453B"/>
    <w:rsid w:val="00435A0C"/>
    <w:rsid w:val="00442191"/>
    <w:rsid w:val="0044527E"/>
    <w:rsid w:val="00445A00"/>
    <w:rsid w:val="00446B53"/>
    <w:rsid w:val="00451B0F"/>
    <w:rsid w:val="00465CDA"/>
    <w:rsid w:val="00466D2B"/>
    <w:rsid w:val="004810DB"/>
    <w:rsid w:val="00490081"/>
    <w:rsid w:val="0049659A"/>
    <w:rsid w:val="004B1BFC"/>
    <w:rsid w:val="004B38A1"/>
    <w:rsid w:val="004C2EE3"/>
    <w:rsid w:val="004C7B99"/>
    <w:rsid w:val="004C7F28"/>
    <w:rsid w:val="004E2AC7"/>
    <w:rsid w:val="004E4A22"/>
    <w:rsid w:val="004F0208"/>
    <w:rsid w:val="004F276C"/>
    <w:rsid w:val="00503B1A"/>
    <w:rsid w:val="00511968"/>
    <w:rsid w:val="005152CB"/>
    <w:rsid w:val="00517C4D"/>
    <w:rsid w:val="00523ED5"/>
    <w:rsid w:val="005309F8"/>
    <w:rsid w:val="005315B3"/>
    <w:rsid w:val="00537ECA"/>
    <w:rsid w:val="00550CDF"/>
    <w:rsid w:val="0055614C"/>
    <w:rsid w:val="00567A12"/>
    <w:rsid w:val="00570C82"/>
    <w:rsid w:val="005805B8"/>
    <w:rsid w:val="005916A0"/>
    <w:rsid w:val="005A18AC"/>
    <w:rsid w:val="005A20C2"/>
    <w:rsid w:val="005B7770"/>
    <w:rsid w:val="005D22DB"/>
    <w:rsid w:val="005E14C2"/>
    <w:rsid w:val="005E4A6F"/>
    <w:rsid w:val="005E6396"/>
    <w:rsid w:val="005F1537"/>
    <w:rsid w:val="005F2709"/>
    <w:rsid w:val="005F4E1B"/>
    <w:rsid w:val="00607304"/>
    <w:rsid w:val="00607BA5"/>
    <w:rsid w:val="0061180A"/>
    <w:rsid w:val="00612E9A"/>
    <w:rsid w:val="006231E8"/>
    <w:rsid w:val="00626EB6"/>
    <w:rsid w:val="00627DE9"/>
    <w:rsid w:val="006316CA"/>
    <w:rsid w:val="00632015"/>
    <w:rsid w:val="00637A56"/>
    <w:rsid w:val="00650E85"/>
    <w:rsid w:val="00653650"/>
    <w:rsid w:val="00655D03"/>
    <w:rsid w:val="00665144"/>
    <w:rsid w:val="00666D38"/>
    <w:rsid w:val="0067193A"/>
    <w:rsid w:val="00683388"/>
    <w:rsid w:val="00683F84"/>
    <w:rsid w:val="006A6A81"/>
    <w:rsid w:val="006B4A4C"/>
    <w:rsid w:val="006C38CF"/>
    <w:rsid w:val="006C3983"/>
    <w:rsid w:val="006C5460"/>
    <w:rsid w:val="006D10A3"/>
    <w:rsid w:val="006E4F37"/>
    <w:rsid w:val="006F7393"/>
    <w:rsid w:val="0070224F"/>
    <w:rsid w:val="007115F7"/>
    <w:rsid w:val="007147B5"/>
    <w:rsid w:val="007171F6"/>
    <w:rsid w:val="00723292"/>
    <w:rsid w:val="00726BE0"/>
    <w:rsid w:val="00734E43"/>
    <w:rsid w:val="007360D1"/>
    <w:rsid w:val="00742F96"/>
    <w:rsid w:val="00754D43"/>
    <w:rsid w:val="00760F82"/>
    <w:rsid w:val="007807BA"/>
    <w:rsid w:val="00780935"/>
    <w:rsid w:val="00785539"/>
    <w:rsid w:val="00785689"/>
    <w:rsid w:val="00785CD1"/>
    <w:rsid w:val="00792287"/>
    <w:rsid w:val="0079754B"/>
    <w:rsid w:val="007A1E6D"/>
    <w:rsid w:val="007B0EB2"/>
    <w:rsid w:val="007B35C9"/>
    <w:rsid w:val="007B7A68"/>
    <w:rsid w:val="007D433B"/>
    <w:rsid w:val="007E132F"/>
    <w:rsid w:val="007E1A51"/>
    <w:rsid w:val="007F4B30"/>
    <w:rsid w:val="00810B6F"/>
    <w:rsid w:val="00815531"/>
    <w:rsid w:val="00822BDE"/>
    <w:rsid w:val="00822CE0"/>
    <w:rsid w:val="00824099"/>
    <w:rsid w:val="00830F22"/>
    <w:rsid w:val="00837CEA"/>
    <w:rsid w:val="00841AB1"/>
    <w:rsid w:val="0084279E"/>
    <w:rsid w:val="00842CFD"/>
    <w:rsid w:val="0084529A"/>
    <w:rsid w:val="00866507"/>
    <w:rsid w:val="0087270C"/>
    <w:rsid w:val="008770D3"/>
    <w:rsid w:val="00885637"/>
    <w:rsid w:val="008A20A6"/>
    <w:rsid w:val="008A27C6"/>
    <w:rsid w:val="008A41B0"/>
    <w:rsid w:val="008B2918"/>
    <w:rsid w:val="008B541A"/>
    <w:rsid w:val="008C68F1"/>
    <w:rsid w:val="008C7D8A"/>
    <w:rsid w:val="008D755A"/>
    <w:rsid w:val="008E00BE"/>
    <w:rsid w:val="008F3C4A"/>
    <w:rsid w:val="008F3DB3"/>
    <w:rsid w:val="008F529E"/>
    <w:rsid w:val="00903AFA"/>
    <w:rsid w:val="0090562F"/>
    <w:rsid w:val="009070BC"/>
    <w:rsid w:val="009106B2"/>
    <w:rsid w:val="00911527"/>
    <w:rsid w:val="00920606"/>
    <w:rsid w:val="00921803"/>
    <w:rsid w:val="00923329"/>
    <w:rsid w:val="00926503"/>
    <w:rsid w:val="00927443"/>
    <w:rsid w:val="00941703"/>
    <w:rsid w:val="00946EE4"/>
    <w:rsid w:val="00946FB4"/>
    <w:rsid w:val="009509EF"/>
    <w:rsid w:val="00955C82"/>
    <w:rsid w:val="009726D8"/>
    <w:rsid w:val="00976EE8"/>
    <w:rsid w:val="009841B4"/>
    <w:rsid w:val="00991696"/>
    <w:rsid w:val="009A669A"/>
    <w:rsid w:val="009B7028"/>
    <w:rsid w:val="009D5067"/>
    <w:rsid w:val="009E2440"/>
    <w:rsid w:val="009E52DC"/>
    <w:rsid w:val="009E71BE"/>
    <w:rsid w:val="009F1CDA"/>
    <w:rsid w:val="009F40A8"/>
    <w:rsid w:val="009F76DB"/>
    <w:rsid w:val="00A10779"/>
    <w:rsid w:val="00A116CC"/>
    <w:rsid w:val="00A13CA2"/>
    <w:rsid w:val="00A13E00"/>
    <w:rsid w:val="00A32C3B"/>
    <w:rsid w:val="00A45F4F"/>
    <w:rsid w:val="00A5171B"/>
    <w:rsid w:val="00A600A9"/>
    <w:rsid w:val="00A65861"/>
    <w:rsid w:val="00A71B74"/>
    <w:rsid w:val="00A75E78"/>
    <w:rsid w:val="00A95AC4"/>
    <w:rsid w:val="00AA55B7"/>
    <w:rsid w:val="00AA5B9E"/>
    <w:rsid w:val="00AB2407"/>
    <w:rsid w:val="00AB53DF"/>
    <w:rsid w:val="00AC6DDE"/>
    <w:rsid w:val="00AE47C6"/>
    <w:rsid w:val="00AE52FC"/>
    <w:rsid w:val="00AE64C3"/>
    <w:rsid w:val="00AF0677"/>
    <w:rsid w:val="00AF73C0"/>
    <w:rsid w:val="00AF7BA5"/>
    <w:rsid w:val="00B04B79"/>
    <w:rsid w:val="00B07E5C"/>
    <w:rsid w:val="00B12573"/>
    <w:rsid w:val="00B25842"/>
    <w:rsid w:val="00B3435E"/>
    <w:rsid w:val="00B35C58"/>
    <w:rsid w:val="00B35CCB"/>
    <w:rsid w:val="00B44C78"/>
    <w:rsid w:val="00B65B44"/>
    <w:rsid w:val="00B7728F"/>
    <w:rsid w:val="00B811F7"/>
    <w:rsid w:val="00B8626C"/>
    <w:rsid w:val="00B91BE9"/>
    <w:rsid w:val="00B96AD6"/>
    <w:rsid w:val="00B96AFB"/>
    <w:rsid w:val="00B97E6C"/>
    <w:rsid w:val="00BA5DC6"/>
    <w:rsid w:val="00BA6196"/>
    <w:rsid w:val="00BB01DB"/>
    <w:rsid w:val="00BB3D61"/>
    <w:rsid w:val="00BB56B0"/>
    <w:rsid w:val="00BC6D8C"/>
    <w:rsid w:val="00BD1EF8"/>
    <w:rsid w:val="00BD4808"/>
    <w:rsid w:val="00BF029A"/>
    <w:rsid w:val="00BF21DF"/>
    <w:rsid w:val="00BF2BD6"/>
    <w:rsid w:val="00C00208"/>
    <w:rsid w:val="00C22C6C"/>
    <w:rsid w:val="00C320E1"/>
    <w:rsid w:val="00C328D1"/>
    <w:rsid w:val="00C34006"/>
    <w:rsid w:val="00C426B1"/>
    <w:rsid w:val="00C54986"/>
    <w:rsid w:val="00C557B3"/>
    <w:rsid w:val="00C57194"/>
    <w:rsid w:val="00C66160"/>
    <w:rsid w:val="00C721AC"/>
    <w:rsid w:val="00C728BF"/>
    <w:rsid w:val="00C73651"/>
    <w:rsid w:val="00C7455B"/>
    <w:rsid w:val="00C8132F"/>
    <w:rsid w:val="00C87F12"/>
    <w:rsid w:val="00C90D6A"/>
    <w:rsid w:val="00CA247E"/>
    <w:rsid w:val="00CA5513"/>
    <w:rsid w:val="00CA7341"/>
    <w:rsid w:val="00CC727B"/>
    <w:rsid w:val="00CC72B6"/>
    <w:rsid w:val="00CC77B3"/>
    <w:rsid w:val="00CD2934"/>
    <w:rsid w:val="00CD5647"/>
    <w:rsid w:val="00CE467E"/>
    <w:rsid w:val="00CE7562"/>
    <w:rsid w:val="00CF0D91"/>
    <w:rsid w:val="00CF350D"/>
    <w:rsid w:val="00D01A98"/>
    <w:rsid w:val="00D0218D"/>
    <w:rsid w:val="00D04926"/>
    <w:rsid w:val="00D10330"/>
    <w:rsid w:val="00D14616"/>
    <w:rsid w:val="00D20539"/>
    <w:rsid w:val="00D233A7"/>
    <w:rsid w:val="00D243ED"/>
    <w:rsid w:val="00D25FB5"/>
    <w:rsid w:val="00D27F17"/>
    <w:rsid w:val="00D333BC"/>
    <w:rsid w:val="00D35DED"/>
    <w:rsid w:val="00D36D66"/>
    <w:rsid w:val="00D36ECB"/>
    <w:rsid w:val="00D424A2"/>
    <w:rsid w:val="00D44223"/>
    <w:rsid w:val="00D45600"/>
    <w:rsid w:val="00D4629A"/>
    <w:rsid w:val="00D53AF5"/>
    <w:rsid w:val="00D56E80"/>
    <w:rsid w:val="00D7061E"/>
    <w:rsid w:val="00D80517"/>
    <w:rsid w:val="00D94ED2"/>
    <w:rsid w:val="00DA2140"/>
    <w:rsid w:val="00DA2529"/>
    <w:rsid w:val="00DA41B5"/>
    <w:rsid w:val="00DA4E1D"/>
    <w:rsid w:val="00DB130A"/>
    <w:rsid w:val="00DB2EBB"/>
    <w:rsid w:val="00DB75CF"/>
    <w:rsid w:val="00DC0E91"/>
    <w:rsid w:val="00DC10A1"/>
    <w:rsid w:val="00DC3B60"/>
    <w:rsid w:val="00DC655F"/>
    <w:rsid w:val="00DD0B59"/>
    <w:rsid w:val="00DD7E62"/>
    <w:rsid w:val="00DD7EBD"/>
    <w:rsid w:val="00DE25E9"/>
    <w:rsid w:val="00DE7652"/>
    <w:rsid w:val="00DE7B9F"/>
    <w:rsid w:val="00DF62B6"/>
    <w:rsid w:val="00E03701"/>
    <w:rsid w:val="00E04ECE"/>
    <w:rsid w:val="00E05837"/>
    <w:rsid w:val="00E0690F"/>
    <w:rsid w:val="00E07225"/>
    <w:rsid w:val="00E17E46"/>
    <w:rsid w:val="00E258DA"/>
    <w:rsid w:val="00E40C6F"/>
    <w:rsid w:val="00E51741"/>
    <w:rsid w:val="00E5409F"/>
    <w:rsid w:val="00E55EDF"/>
    <w:rsid w:val="00E574A3"/>
    <w:rsid w:val="00E63D62"/>
    <w:rsid w:val="00E66A17"/>
    <w:rsid w:val="00E67109"/>
    <w:rsid w:val="00E74224"/>
    <w:rsid w:val="00E80AA5"/>
    <w:rsid w:val="00E821D9"/>
    <w:rsid w:val="00E92018"/>
    <w:rsid w:val="00EB5E29"/>
    <w:rsid w:val="00EC322F"/>
    <w:rsid w:val="00EE0482"/>
    <w:rsid w:val="00EE6488"/>
    <w:rsid w:val="00EE6ABE"/>
    <w:rsid w:val="00EF1FC0"/>
    <w:rsid w:val="00F021FA"/>
    <w:rsid w:val="00F20DDD"/>
    <w:rsid w:val="00F225D9"/>
    <w:rsid w:val="00F270BE"/>
    <w:rsid w:val="00F33056"/>
    <w:rsid w:val="00F43C1F"/>
    <w:rsid w:val="00F456B4"/>
    <w:rsid w:val="00F62E97"/>
    <w:rsid w:val="00F64209"/>
    <w:rsid w:val="00F67BC4"/>
    <w:rsid w:val="00F67E13"/>
    <w:rsid w:val="00F70BAE"/>
    <w:rsid w:val="00F77F4F"/>
    <w:rsid w:val="00F84455"/>
    <w:rsid w:val="00F91437"/>
    <w:rsid w:val="00F93BF5"/>
    <w:rsid w:val="00FA0B28"/>
    <w:rsid w:val="00FA358B"/>
    <w:rsid w:val="00FD33D2"/>
    <w:rsid w:val="00FE2CA0"/>
    <w:rsid w:val="00FE3085"/>
    <w:rsid w:val="00FF0312"/>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40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6C"/>
    <w:pPr>
      <w:widowControl w:val="0"/>
    </w:pPr>
    <w:rPr>
      <w:snapToGrid w:val="0"/>
      <w:kern w:val="28"/>
      <w:sz w:val="22"/>
    </w:rPr>
  </w:style>
  <w:style w:type="paragraph" w:styleId="Heading1">
    <w:name w:val="heading 1"/>
    <w:basedOn w:val="Normal"/>
    <w:next w:val="ParaNum"/>
    <w:qFormat/>
    <w:rsid w:val="00B8626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8626C"/>
    <w:pPr>
      <w:keepNext/>
      <w:numPr>
        <w:ilvl w:val="1"/>
        <w:numId w:val="3"/>
      </w:numPr>
      <w:spacing w:after="120"/>
      <w:outlineLvl w:val="1"/>
    </w:pPr>
    <w:rPr>
      <w:b/>
    </w:rPr>
  </w:style>
  <w:style w:type="paragraph" w:styleId="Heading3">
    <w:name w:val="heading 3"/>
    <w:basedOn w:val="Normal"/>
    <w:next w:val="ParaNum"/>
    <w:qFormat/>
    <w:rsid w:val="00B8626C"/>
    <w:pPr>
      <w:keepNext/>
      <w:numPr>
        <w:ilvl w:val="2"/>
        <w:numId w:val="3"/>
      </w:numPr>
      <w:tabs>
        <w:tab w:val="left" w:pos="2160"/>
      </w:tabs>
      <w:spacing w:after="120"/>
      <w:outlineLvl w:val="2"/>
    </w:pPr>
    <w:rPr>
      <w:b/>
    </w:rPr>
  </w:style>
  <w:style w:type="paragraph" w:styleId="Heading4">
    <w:name w:val="heading 4"/>
    <w:basedOn w:val="Normal"/>
    <w:next w:val="ParaNum"/>
    <w:qFormat/>
    <w:rsid w:val="00B8626C"/>
    <w:pPr>
      <w:keepNext/>
      <w:numPr>
        <w:ilvl w:val="3"/>
        <w:numId w:val="3"/>
      </w:numPr>
      <w:tabs>
        <w:tab w:val="left" w:pos="2880"/>
      </w:tabs>
      <w:spacing w:after="120"/>
      <w:outlineLvl w:val="3"/>
    </w:pPr>
    <w:rPr>
      <w:b/>
    </w:rPr>
  </w:style>
  <w:style w:type="paragraph" w:styleId="Heading5">
    <w:name w:val="heading 5"/>
    <w:basedOn w:val="Normal"/>
    <w:next w:val="ParaNum"/>
    <w:qFormat/>
    <w:rsid w:val="00B8626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8626C"/>
    <w:pPr>
      <w:numPr>
        <w:ilvl w:val="5"/>
        <w:numId w:val="3"/>
      </w:numPr>
      <w:tabs>
        <w:tab w:val="left" w:pos="4320"/>
      </w:tabs>
      <w:spacing w:after="120"/>
      <w:outlineLvl w:val="5"/>
    </w:pPr>
    <w:rPr>
      <w:b/>
    </w:rPr>
  </w:style>
  <w:style w:type="paragraph" w:styleId="Heading7">
    <w:name w:val="heading 7"/>
    <w:basedOn w:val="Normal"/>
    <w:next w:val="ParaNum"/>
    <w:qFormat/>
    <w:rsid w:val="00B8626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8626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8626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862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626C"/>
  </w:style>
  <w:style w:type="paragraph" w:customStyle="1" w:styleId="ParaNum">
    <w:name w:val="ParaNum"/>
    <w:basedOn w:val="Normal"/>
    <w:link w:val="ParaNumChar"/>
    <w:rsid w:val="00B8626C"/>
    <w:pPr>
      <w:numPr>
        <w:numId w:val="2"/>
      </w:numPr>
      <w:tabs>
        <w:tab w:val="clear" w:pos="1080"/>
        <w:tab w:val="num" w:pos="1440"/>
      </w:tabs>
      <w:spacing w:after="120"/>
    </w:pPr>
  </w:style>
  <w:style w:type="paragraph" w:styleId="EndnoteText">
    <w:name w:val="endnote text"/>
    <w:basedOn w:val="Normal"/>
    <w:semiHidden/>
    <w:rsid w:val="00B8626C"/>
    <w:rPr>
      <w:sz w:val="20"/>
    </w:rPr>
  </w:style>
  <w:style w:type="character" w:styleId="EndnoteReference">
    <w:name w:val="endnote reference"/>
    <w:semiHidden/>
    <w:rsid w:val="00B8626C"/>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B8626C"/>
    <w:pPr>
      <w:spacing w:after="120"/>
    </w:pPr>
  </w:style>
  <w:style w:type="character" w:styleId="FootnoteReference">
    <w:name w:val="footnote reference"/>
    <w:aliases w:val="Style 12,(NECG) Footnote Reference,Appel note de bas de p,Style 124,o,fr,Style 3,Style 13,Style 17,FR,Style 4"/>
    <w:rsid w:val="00B8626C"/>
    <w:rPr>
      <w:rFonts w:ascii="Times New Roman" w:hAnsi="Times New Roman"/>
      <w:dstrike w:val="0"/>
      <w:color w:val="auto"/>
      <w:sz w:val="20"/>
      <w:vertAlign w:val="superscript"/>
    </w:rPr>
  </w:style>
  <w:style w:type="paragraph" w:styleId="TOC1">
    <w:name w:val="toc 1"/>
    <w:basedOn w:val="Normal"/>
    <w:next w:val="Normal"/>
    <w:semiHidden/>
    <w:rsid w:val="00B8626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8626C"/>
    <w:pPr>
      <w:tabs>
        <w:tab w:val="left" w:pos="720"/>
        <w:tab w:val="right" w:leader="dot" w:pos="9360"/>
      </w:tabs>
      <w:suppressAutoHyphens/>
      <w:ind w:left="720" w:right="720" w:hanging="360"/>
    </w:pPr>
    <w:rPr>
      <w:noProof/>
    </w:rPr>
  </w:style>
  <w:style w:type="paragraph" w:styleId="TOC3">
    <w:name w:val="toc 3"/>
    <w:basedOn w:val="Normal"/>
    <w:next w:val="Normal"/>
    <w:semiHidden/>
    <w:rsid w:val="00B8626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8626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8626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8626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8626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8626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8626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8626C"/>
    <w:pPr>
      <w:tabs>
        <w:tab w:val="right" w:pos="9360"/>
      </w:tabs>
      <w:suppressAutoHyphens/>
    </w:pPr>
  </w:style>
  <w:style w:type="character" w:customStyle="1" w:styleId="EquationCaption">
    <w:name w:val="_Equation Caption"/>
    <w:rsid w:val="00B8626C"/>
  </w:style>
  <w:style w:type="paragraph" w:styleId="Header">
    <w:name w:val="header"/>
    <w:basedOn w:val="Normal"/>
    <w:autoRedefine/>
    <w:rsid w:val="00B8626C"/>
    <w:pPr>
      <w:tabs>
        <w:tab w:val="center" w:pos="4680"/>
        <w:tab w:val="right" w:pos="9360"/>
      </w:tabs>
    </w:pPr>
    <w:rPr>
      <w:b/>
    </w:rPr>
  </w:style>
  <w:style w:type="paragraph" w:styleId="Footer">
    <w:name w:val="footer"/>
    <w:basedOn w:val="Normal"/>
    <w:rsid w:val="00B8626C"/>
    <w:pPr>
      <w:tabs>
        <w:tab w:val="center" w:pos="4320"/>
        <w:tab w:val="right" w:pos="8640"/>
      </w:tabs>
    </w:pPr>
  </w:style>
  <w:style w:type="character" w:styleId="PageNumber">
    <w:name w:val="page number"/>
    <w:basedOn w:val="DefaultParagraphFont"/>
    <w:rsid w:val="00B8626C"/>
  </w:style>
  <w:style w:type="paragraph" w:styleId="BlockText">
    <w:name w:val="Block Text"/>
    <w:basedOn w:val="Normal"/>
    <w:rsid w:val="00B8626C"/>
    <w:pPr>
      <w:spacing w:after="240"/>
      <w:ind w:left="1440" w:right="1440"/>
    </w:pPr>
  </w:style>
  <w:style w:type="paragraph" w:customStyle="1" w:styleId="Paratitle">
    <w:name w:val="Para title"/>
    <w:basedOn w:val="Normal"/>
    <w:rsid w:val="00B8626C"/>
    <w:pPr>
      <w:tabs>
        <w:tab w:val="center" w:pos="9270"/>
      </w:tabs>
      <w:spacing w:after="240"/>
    </w:pPr>
    <w:rPr>
      <w:spacing w:val="-2"/>
    </w:rPr>
  </w:style>
  <w:style w:type="paragraph" w:customStyle="1" w:styleId="Bullet">
    <w:name w:val="Bullet"/>
    <w:basedOn w:val="Normal"/>
    <w:rsid w:val="00B8626C"/>
    <w:pPr>
      <w:tabs>
        <w:tab w:val="left" w:pos="2160"/>
      </w:tabs>
      <w:spacing w:after="220"/>
      <w:ind w:left="2160" w:hanging="720"/>
    </w:pPr>
  </w:style>
  <w:style w:type="paragraph" w:customStyle="1" w:styleId="TableFormat">
    <w:name w:val="TableFormat"/>
    <w:basedOn w:val="Bullet"/>
    <w:rsid w:val="00B8626C"/>
    <w:pPr>
      <w:tabs>
        <w:tab w:val="clear" w:pos="2160"/>
        <w:tab w:val="left" w:pos="5040"/>
      </w:tabs>
      <w:ind w:left="5040" w:hanging="3600"/>
    </w:pPr>
  </w:style>
  <w:style w:type="paragraph" w:customStyle="1" w:styleId="TOCTitle">
    <w:name w:val="TOC Title"/>
    <w:basedOn w:val="Normal"/>
    <w:rsid w:val="00B8626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8626C"/>
    <w:pPr>
      <w:jc w:val="center"/>
    </w:pPr>
    <w:rPr>
      <w:rFonts w:ascii="Times New Roman Bold" w:hAnsi="Times New Roman Bold"/>
      <w:b/>
      <w:bCs/>
      <w:caps/>
      <w:szCs w:val="22"/>
    </w:rPr>
  </w:style>
  <w:style w:type="character" w:styleId="Hyperlink">
    <w:name w:val="Hyperlink"/>
    <w:rsid w:val="00B8626C"/>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2B7FC6"/>
    <w:rPr>
      <w:rFonts w:ascii="Tahoma" w:hAnsi="Tahoma" w:cs="Tahoma"/>
      <w:sz w:val="16"/>
      <w:szCs w:val="16"/>
    </w:rPr>
  </w:style>
  <w:style w:type="character" w:customStyle="1" w:styleId="BalloonTextChar">
    <w:name w:val="Balloon Text Char"/>
    <w:basedOn w:val="DefaultParagraphFont"/>
    <w:link w:val="BalloonText"/>
    <w:rsid w:val="002B7FC6"/>
    <w:rPr>
      <w:rFonts w:ascii="Tahoma" w:hAnsi="Tahoma" w:cs="Tahoma"/>
      <w:snapToGrid w:val="0"/>
      <w:kern w:val="28"/>
      <w:sz w:val="16"/>
      <w:szCs w:val="16"/>
    </w:rPr>
  </w:style>
  <w:style w:type="character" w:styleId="CommentReference">
    <w:name w:val="annotation reference"/>
    <w:basedOn w:val="DefaultParagraphFont"/>
    <w:rsid w:val="008F3C4A"/>
    <w:rPr>
      <w:sz w:val="16"/>
      <w:szCs w:val="16"/>
    </w:rPr>
  </w:style>
  <w:style w:type="paragraph" w:styleId="CommentText">
    <w:name w:val="annotation text"/>
    <w:basedOn w:val="Normal"/>
    <w:link w:val="CommentTextChar"/>
    <w:rsid w:val="008F3C4A"/>
    <w:rPr>
      <w:sz w:val="20"/>
    </w:rPr>
  </w:style>
  <w:style w:type="character" w:customStyle="1" w:styleId="CommentTextChar">
    <w:name w:val="Comment Text Char"/>
    <w:basedOn w:val="DefaultParagraphFont"/>
    <w:link w:val="CommentText"/>
    <w:rsid w:val="008F3C4A"/>
    <w:rPr>
      <w:snapToGrid w:val="0"/>
      <w:kern w:val="28"/>
    </w:rPr>
  </w:style>
  <w:style w:type="paragraph" w:styleId="CommentSubject">
    <w:name w:val="annotation subject"/>
    <w:basedOn w:val="CommentText"/>
    <w:next w:val="CommentText"/>
    <w:link w:val="CommentSubjectChar"/>
    <w:rsid w:val="008F3C4A"/>
    <w:rPr>
      <w:b/>
      <w:bCs/>
    </w:rPr>
  </w:style>
  <w:style w:type="character" w:customStyle="1" w:styleId="CommentSubjectChar">
    <w:name w:val="Comment Subject Char"/>
    <w:basedOn w:val="CommentTextChar"/>
    <w:link w:val="CommentSubject"/>
    <w:rsid w:val="008F3C4A"/>
    <w:rPr>
      <w:b/>
      <w:bCs/>
      <w:snapToGrid w:val="0"/>
      <w:kern w:val="28"/>
    </w:rPr>
  </w:style>
  <w:style w:type="paragraph" w:styleId="ListParagraph">
    <w:name w:val="List Paragraph"/>
    <w:basedOn w:val="Normal"/>
    <w:uiPriority w:val="34"/>
    <w:qFormat/>
    <w:rsid w:val="005315B3"/>
    <w:pPr>
      <w:ind w:left="720"/>
      <w:contextualSpacing/>
    </w:p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w:basedOn w:val="DefaultParagraphFont"/>
    <w:rsid w:val="005F4E1B"/>
  </w:style>
  <w:style w:type="character" w:styleId="Emphasis">
    <w:name w:val="Emphasis"/>
    <w:basedOn w:val="DefaultParagraphFont"/>
    <w:uiPriority w:val="20"/>
    <w:qFormat/>
    <w:rsid w:val="00E258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6C"/>
    <w:pPr>
      <w:widowControl w:val="0"/>
    </w:pPr>
    <w:rPr>
      <w:snapToGrid w:val="0"/>
      <w:kern w:val="28"/>
      <w:sz w:val="22"/>
    </w:rPr>
  </w:style>
  <w:style w:type="paragraph" w:styleId="Heading1">
    <w:name w:val="heading 1"/>
    <w:basedOn w:val="Normal"/>
    <w:next w:val="ParaNum"/>
    <w:qFormat/>
    <w:rsid w:val="00B8626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8626C"/>
    <w:pPr>
      <w:keepNext/>
      <w:numPr>
        <w:ilvl w:val="1"/>
        <w:numId w:val="3"/>
      </w:numPr>
      <w:spacing w:after="120"/>
      <w:outlineLvl w:val="1"/>
    </w:pPr>
    <w:rPr>
      <w:b/>
    </w:rPr>
  </w:style>
  <w:style w:type="paragraph" w:styleId="Heading3">
    <w:name w:val="heading 3"/>
    <w:basedOn w:val="Normal"/>
    <w:next w:val="ParaNum"/>
    <w:qFormat/>
    <w:rsid w:val="00B8626C"/>
    <w:pPr>
      <w:keepNext/>
      <w:numPr>
        <w:ilvl w:val="2"/>
        <w:numId w:val="3"/>
      </w:numPr>
      <w:tabs>
        <w:tab w:val="left" w:pos="2160"/>
      </w:tabs>
      <w:spacing w:after="120"/>
      <w:outlineLvl w:val="2"/>
    </w:pPr>
    <w:rPr>
      <w:b/>
    </w:rPr>
  </w:style>
  <w:style w:type="paragraph" w:styleId="Heading4">
    <w:name w:val="heading 4"/>
    <w:basedOn w:val="Normal"/>
    <w:next w:val="ParaNum"/>
    <w:qFormat/>
    <w:rsid w:val="00B8626C"/>
    <w:pPr>
      <w:keepNext/>
      <w:numPr>
        <w:ilvl w:val="3"/>
        <w:numId w:val="3"/>
      </w:numPr>
      <w:tabs>
        <w:tab w:val="left" w:pos="2880"/>
      </w:tabs>
      <w:spacing w:after="120"/>
      <w:outlineLvl w:val="3"/>
    </w:pPr>
    <w:rPr>
      <w:b/>
    </w:rPr>
  </w:style>
  <w:style w:type="paragraph" w:styleId="Heading5">
    <w:name w:val="heading 5"/>
    <w:basedOn w:val="Normal"/>
    <w:next w:val="ParaNum"/>
    <w:qFormat/>
    <w:rsid w:val="00B8626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8626C"/>
    <w:pPr>
      <w:numPr>
        <w:ilvl w:val="5"/>
        <w:numId w:val="3"/>
      </w:numPr>
      <w:tabs>
        <w:tab w:val="left" w:pos="4320"/>
      </w:tabs>
      <w:spacing w:after="120"/>
      <w:outlineLvl w:val="5"/>
    </w:pPr>
    <w:rPr>
      <w:b/>
    </w:rPr>
  </w:style>
  <w:style w:type="paragraph" w:styleId="Heading7">
    <w:name w:val="heading 7"/>
    <w:basedOn w:val="Normal"/>
    <w:next w:val="ParaNum"/>
    <w:qFormat/>
    <w:rsid w:val="00B8626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8626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8626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862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626C"/>
  </w:style>
  <w:style w:type="paragraph" w:customStyle="1" w:styleId="ParaNum">
    <w:name w:val="ParaNum"/>
    <w:basedOn w:val="Normal"/>
    <w:link w:val="ParaNumChar"/>
    <w:rsid w:val="00B8626C"/>
    <w:pPr>
      <w:numPr>
        <w:numId w:val="2"/>
      </w:numPr>
      <w:tabs>
        <w:tab w:val="clear" w:pos="1080"/>
        <w:tab w:val="num" w:pos="1440"/>
      </w:tabs>
      <w:spacing w:after="120"/>
    </w:pPr>
  </w:style>
  <w:style w:type="paragraph" w:styleId="EndnoteText">
    <w:name w:val="endnote text"/>
    <w:basedOn w:val="Normal"/>
    <w:semiHidden/>
    <w:rsid w:val="00B8626C"/>
    <w:rPr>
      <w:sz w:val="20"/>
    </w:rPr>
  </w:style>
  <w:style w:type="character" w:styleId="EndnoteReference">
    <w:name w:val="endnote reference"/>
    <w:semiHidden/>
    <w:rsid w:val="00B8626C"/>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B8626C"/>
    <w:pPr>
      <w:spacing w:after="120"/>
    </w:pPr>
  </w:style>
  <w:style w:type="character" w:styleId="FootnoteReference">
    <w:name w:val="footnote reference"/>
    <w:aliases w:val="Style 12,(NECG) Footnote Reference,Appel note de bas de p,Style 124,o,fr,Style 3,Style 13,Style 17,FR,Style 4"/>
    <w:rsid w:val="00B8626C"/>
    <w:rPr>
      <w:rFonts w:ascii="Times New Roman" w:hAnsi="Times New Roman"/>
      <w:dstrike w:val="0"/>
      <w:color w:val="auto"/>
      <w:sz w:val="20"/>
      <w:vertAlign w:val="superscript"/>
    </w:rPr>
  </w:style>
  <w:style w:type="paragraph" w:styleId="TOC1">
    <w:name w:val="toc 1"/>
    <w:basedOn w:val="Normal"/>
    <w:next w:val="Normal"/>
    <w:semiHidden/>
    <w:rsid w:val="00B8626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8626C"/>
    <w:pPr>
      <w:tabs>
        <w:tab w:val="left" w:pos="720"/>
        <w:tab w:val="right" w:leader="dot" w:pos="9360"/>
      </w:tabs>
      <w:suppressAutoHyphens/>
      <w:ind w:left="720" w:right="720" w:hanging="360"/>
    </w:pPr>
    <w:rPr>
      <w:noProof/>
    </w:rPr>
  </w:style>
  <w:style w:type="paragraph" w:styleId="TOC3">
    <w:name w:val="toc 3"/>
    <w:basedOn w:val="Normal"/>
    <w:next w:val="Normal"/>
    <w:semiHidden/>
    <w:rsid w:val="00B8626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8626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8626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8626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8626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8626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8626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8626C"/>
    <w:pPr>
      <w:tabs>
        <w:tab w:val="right" w:pos="9360"/>
      </w:tabs>
      <w:suppressAutoHyphens/>
    </w:pPr>
  </w:style>
  <w:style w:type="character" w:customStyle="1" w:styleId="EquationCaption">
    <w:name w:val="_Equation Caption"/>
    <w:rsid w:val="00B8626C"/>
  </w:style>
  <w:style w:type="paragraph" w:styleId="Header">
    <w:name w:val="header"/>
    <w:basedOn w:val="Normal"/>
    <w:autoRedefine/>
    <w:rsid w:val="00B8626C"/>
    <w:pPr>
      <w:tabs>
        <w:tab w:val="center" w:pos="4680"/>
        <w:tab w:val="right" w:pos="9360"/>
      </w:tabs>
    </w:pPr>
    <w:rPr>
      <w:b/>
    </w:rPr>
  </w:style>
  <w:style w:type="paragraph" w:styleId="Footer">
    <w:name w:val="footer"/>
    <w:basedOn w:val="Normal"/>
    <w:rsid w:val="00B8626C"/>
    <w:pPr>
      <w:tabs>
        <w:tab w:val="center" w:pos="4320"/>
        <w:tab w:val="right" w:pos="8640"/>
      </w:tabs>
    </w:pPr>
  </w:style>
  <w:style w:type="character" w:styleId="PageNumber">
    <w:name w:val="page number"/>
    <w:basedOn w:val="DefaultParagraphFont"/>
    <w:rsid w:val="00B8626C"/>
  </w:style>
  <w:style w:type="paragraph" w:styleId="BlockText">
    <w:name w:val="Block Text"/>
    <w:basedOn w:val="Normal"/>
    <w:rsid w:val="00B8626C"/>
    <w:pPr>
      <w:spacing w:after="240"/>
      <w:ind w:left="1440" w:right="1440"/>
    </w:pPr>
  </w:style>
  <w:style w:type="paragraph" w:customStyle="1" w:styleId="Paratitle">
    <w:name w:val="Para title"/>
    <w:basedOn w:val="Normal"/>
    <w:rsid w:val="00B8626C"/>
    <w:pPr>
      <w:tabs>
        <w:tab w:val="center" w:pos="9270"/>
      </w:tabs>
      <w:spacing w:after="240"/>
    </w:pPr>
    <w:rPr>
      <w:spacing w:val="-2"/>
    </w:rPr>
  </w:style>
  <w:style w:type="paragraph" w:customStyle="1" w:styleId="Bullet">
    <w:name w:val="Bullet"/>
    <w:basedOn w:val="Normal"/>
    <w:rsid w:val="00B8626C"/>
    <w:pPr>
      <w:tabs>
        <w:tab w:val="left" w:pos="2160"/>
      </w:tabs>
      <w:spacing w:after="220"/>
      <w:ind w:left="2160" w:hanging="720"/>
    </w:pPr>
  </w:style>
  <w:style w:type="paragraph" w:customStyle="1" w:styleId="TableFormat">
    <w:name w:val="TableFormat"/>
    <w:basedOn w:val="Bullet"/>
    <w:rsid w:val="00B8626C"/>
    <w:pPr>
      <w:tabs>
        <w:tab w:val="clear" w:pos="2160"/>
        <w:tab w:val="left" w:pos="5040"/>
      </w:tabs>
      <w:ind w:left="5040" w:hanging="3600"/>
    </w:pPr>
  </w:style>
  <w:style w:type="paragraph" w:customStyle="1" w:styleId="TOCTitle">
    <w:name w:val="TOC Title"/>
    <w:basedOn w:val="Normal"/>
    <w:rsid w:val="00B8626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8626C"/>
    <w:pPr>
      <w:jc w:val="center"/>
    </w:pPr>
    <w:rPr>
      <w:rFonts w:ascii="Times New Roman Bold" w:hAnsi="Times New Roman Bold"/>
      <w:b/>
      <w:bCs/>
      <w:caps/>
      <w:szCs w:val="22"/>
    </w:rPr>
  </w:style>
  <w:style w:type="character" w:styleId="Hyperlink">
    <w:name w:val="Hyperlink"/>
    <w:rsid w:val="00B8626C"/>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2B7FC6"/>
    <w:rPr>
      <w:rFonts w:ascii="Tahoma" w:hAnsi="Tahoma" w:cs="Tahoma"/>
      <w:sz w:val="16"/>
      <w:szCs w:val="16"/>
    </w:rPr>
  </w:style>
  <w:style w:type="character" w:customStyle="1" w:styleId="BalloonTextChar">
    <w:name w:val="Balloon Text Char"/>
    <w:basedOn w:val="DefaultParagraphFont"/>
    <w:link w:val="BalloonText"/>
    <w:rsid w:val="002B7FC6"/>
    <w:rPr>
      <w:rFonts w:ascii="Tahoma" w:hAnsi="Tahoma" w:cs="Tahoma"/>
      <w:snapToGrid w:val="0"/>
      <w:kern w:val="28"/>
      <w:sz w:val="16"/>
      <w:szCs w:val="16"/>
    </w:rPr>
  </w:style>
  <w:style w:type="character" w:styleId="CommentReference">
    <w:name w:val="annotation reference"/>
    <w:basedOn w:val="DefaultParagraphFont"/>
    <w:rsid w:val="008F3C4A"/>
    <w:rPr>
      <w:sz w:val="16"/>
      <w:szCs w:val="16"/>
    </w:rPr>
  </w:style>
  <w:style w:type="paragraph" w:styleId="CommentText">
    <w:name w:val="annotation text"/>
    <w:basedOn w:val="Normal"/>
    <w:link w:val="CommentTextChar"/>
    <w:rsid w:val="008F3C4A"/>
    <w:rPr>
      <w:sz w:val="20"/>
    </w:rPr>
  </w:style>
  <w:style w:type="character" w:customStyle="1" w:styleId="CommentTextChar">
    <w:name w:val="Comment Text Char"/>
    <w:basedOn w:val="DefaultParagraphFont"/>
    <w:link w:val="CommentText"/>
    <w:rsid w:val="008F3C4A"/>
    <w:rPr>
      <w:snapToGrid w:val="0"/>
      <w:kern w:val="28"/>
    </w:rPr>
  </w:style>
  <w:style w:type="paragraph" w:styleId="CommentSubject">
    <w:name w:val="annotation subject"/>
    <w:basedOn w:val="CommentText"/>
    <w:next w:val="CommentText"/>
    <w:link w:val="CommentSubjectChar"/>
    <w:rsid w:val="008F3C4A"/>
    <w:rPr>
      <w:b/>
      <w:bCs/>
    </w:rPr>
  </w:style>
  <w:style w:type="character" w:customStyle="1" w:styleId="CommentSubjectChar">
    <w:name w:val="Comment Subject Char"/>
    <w:basedOn w:val="CommentTextChar"/>
    <w:link w:val="CommentSubject"/>
    <w:rsid w:val="008F3C4A"/>
    <w:rPr>
      <w:b/>
      <w:bCs/>
      <w:snapToGrid w:val="0"/>
      <w:kern w:val="28"/>
    </w:rPr>
  </w:style>
  <w:style w:type="paragraph" w:styleId="ListParagraph">
    <w:name w:val="List Paragraph"/>
    <w:basedOn w:val="Normal"/>
    <w:uiPriority w:val="34"/>
    <w:qFormat/>
    <w:rsid w:val="005315B3"/>
    <w:pPr>
      <w:ind w:left="720"/>
      <w:contextualSpacing/>
    </w:p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w:basedOn w:val="DefaultParagraphFont"/>
    <w:rsid w:val="005F4E1B"/>
  </w:style>
  <w:style w:type="character" w:styleId="Emphasis">
    <w:name w:val="Emphasis"/>
    <w:basedOn w:val="DefaultParagraphFont"/>
    <w:uiPriority w:val="20"/>
    <w:qFormat/>
    <w:rsid w:val="00E258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802</Words>
  <Characters>4348</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2015-12-16T19:55:00Z</dcterms:created>
  <dcterms:modified xsi:type="dcterms:W3CDTF">2015-12-16T19:55:00Z</dcterms:modified>
  <cp:category> </cp:category>
  <cp:contentStatus> </cp:contentStatus>
</cp:coreProperties>
</file>