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BF18B3" w:rsidRDefault="004C2EE3">
            <w:pPr>
              <w:tabs>
                <w:tab w:val="center" w:pos="4680"/>
              </w:tabs>
              <w:suppressAutoHyphens/>
              <w:rPr>
                <w:spacing w:val="-2"/>
              </w:rPr>
            </w:pPr>
            <w:r>
              <w:rPr>
                <w:spacing w:val="-2"/>
              </w:rPr>
              <w:t>In the Matter of</w:t>
            </w:r>
          </w:p>
          <w:p w:rsidR="0037019A" w:rsidRDefault="0037019A">
            <w:pPr>
              <w:tabs>
                <w:tab w:val="center" w:pos="4680"/>
              </w:tabs>
              <w:suppressAutoHyphens/>
              <w:rPr>
                <w:spacing w:val="-2"/>
              </w:rPr>
            </w:pPr>
          </w:p>
          <w:p w:rsidR="004C2EE3" w:rsidRDefault="00405A02" w:rsidP="00405A02">
            <w:pPr>
              <w:tabs>
                <w:tab w:val="center" w:pos="4680"/>
              </w:tabs>
              <w:suppressAutoHyphens/>
              <w:rPr>
                <w:spacing w:val="-2"/>
              </w:rPr>
            </w:pPr>
            <w:r>
              <w:rPr>
                <w:spacing w:val="-2"/>
              </w:rPr>
              <w:t>Amendment of Parts 1, 2, 15, 90 and 95 of the</w:t>
            </w:r>
          </w:p>
          <w:p w:rsidR="00405A02" w:rsidRDefault="00405A02" w:rsidP="00405A02">
            <w:pPr>
              <w:tabs>
                <w:tab w:val="center" w:pos="4680"/>
              </w:tabs>
              <w:suppressAutoHyphens/>
              <w:rPr>
                <w:spacing w:val="-2"/>
              </w:rPr>
            </w:pPr>
            <w:r>
              <w:rPr>
                <w:spacing w:val="-2"/>
              </w:rPr>
              <w:t xml:space="preserve">Commission’s Rules to Permit Radar Services </w:t>
            </w:r>
          </w:p>
          <w:p w:rsidR="00405A02" w:rsidRDefault="00405A02" w:rsidP="00405A02">
            <w:pPr>
              <w:tabs>
                <w:tab w:val="center" w:pos="4680"/>
              </w:tabs>
              <w:suppressAutoHyphens/>
              <w:rPr>
                <w:spacing w:val="-2"/>
              </w:rPr>
            </w:pPr>
            <w:r>
              <w:rPr>
                <w:spacing w:val="-2"/>
              </w:rPr>
              <w:t xml:space="preserve">in the 76-81 GHz Band </w:t>
            </w:r>
          </w:p>
          <w:p w:rsidR="00405A02" w:rsidRDefault="00405A02" w:rsidP="00405A02">
            <w:pPr>
              <w:tabs>
                <w:tab w:val="center" w:pos="4680"/>
              </w:tabs>
              <w:suppressAutoHyphens/>
              <w:rPr>
                <w:spacing w:val="-2"/>
              </w:rPr>
            </w:pPr>
          </w:p>
          <w:p w:rsidR="00405A02" w:rsidRDefault="00405A02" w:rsidP="00405A02">
            <w:pPr>
              <w:tabs>
                <w:tab w:val="center" w:pos="4680"/>
              </w:tabs>
              <w:suppressAutoHyphens/>
              <w:rPr>
                <w:spacing w:val="-2"/>
              </w:rPr>
            </w:pPr>
            <w:r>
              <w:rPr>
                <w:spacing w:val="-2"/>
              </w:rPr>
              <w:t>Amendment of Part 15 of the Commission’s Rules</w:t>
            </w:r>
          </w:p>
          <w:p w:rsidR="00405A02" w:rsidRDefault="00405A02" w:rsidP="00405A02">
            <w:pPr>
              <w:tabs>
                <w:tab w:val="center" w:pos="4680"/>
              </w:tabs>
              <w:suppressAutoHyphens/>
              <w:rPr>
                <w:spacing w:val="-2"/>
              </w:rPr>
            </w:pPr>
            <w:r>
              <w:rPr>
                <w:spacing w:val="-2"/>
              </w:rPr>
              <w:t>to Permit the Operation of Vehicular Radar Services in the 77-78 GHz Band</w:t>
            </w:r>
          </w:p>
          <w:p w:rsidR="00405A02" w:rsidRDefault="00405A02" w:rsidP="00405A02">
            <w:pPr>
              <w:tabs>
                <w:tab w:val="center" w:pos="4680"/>
              </w:tabs>
              <w:suppressAutoHyphens/>
              <w:rPr>
                <w:spacing w:val="-2"/>
              </w:rPr>
            </w:pPr>
          </w:p>
          <w:p w:rsidR="00405A02" w:rsidRDefault="00405A02" w:rsidP="00405A02">
            <w:pPr>
              <w:tabs>
                <w:tab w:val="center" w:pos="4680"/>
              </w:tabs>
              <w:suppressAutoHyphens/>
              <w:rPr>
                <w:spacing w:val="-2"/>
              </w:rPr>
            </w:pPr>
            <w:r>
              <w:rPr>
                <w:spacing w:val="-2"/>
              </w:rPr>
              <w:t>Amendment of Sections 15.35 and 15.253 of the Commission’s Rules Regarding Operation of Radar Systems in the 76-77 GHz Band</w:t>
            </w:r>
          </w:p>
          <w:p w:rsidR="00405A02" w:rsidRDefault="00405A02" w:rsidP="00405A02">
            <w:pPr>
              <w:tabs>
                <w:tab w:val="center" w:pos="4680"/>
              </w:tabs>
              <w:suppressAutoHyphens/>
              <w:rPr>
                <w:spacing w:val="-2"/>
              </w:rPr>
            </w:pPr>
          </w:p>
          <w:p w:rsidR="00405A02" w:rsidRDefault="00405A02" w:rsidP="00405A02">
            <w:pPr>
              <w:tabs>
                <w:tab w:val="center" w:pos="4680"/>
              </w:tabs>
              <w:suppressAutoHyphens/>
              <w:rPr>
                <w:spacing w:val="-2"/>
              </w:rPr>
            </w:pPr>
            <w:r>
              <w:rPr>
                <w:spacing w:val="-2"/>
              </w:rPr>
              <w:t>Amendment of Section 15.253 of the Commission’s Rules to Permit Fixed Use of Radar in the 76-77 GHz Band</w:t>
            </w:r>
          </w:p>
          <w:p w:rsidR="00405A02" w:rsidRDefault="00405A02" w:rsidP="00405A02">
            <w:pPr>
              <w:tabs>
                <w:tab w:val="center" w:pos="4680"/>
              </w:tabs>
              <w:suppressAutoHyphens/>
              <w:rPr>
                <w:spacing w:val="-2"/>
              </w:rPr>
            </w:pPr>
          </w:p>
          <w:p w:rsidR="00405A02" w:rsidRPr="007115F7" w:rsidRDefault="00405A02" w:rsidP="00405A02">
            <w:pPr>
              <w:tabs>
                <w:tab w:val="center" w:pos="4680"/>
              </w:tabs>
              <w:suppressAutoHyphens/>
              <w:rPr>
                <w:spacing w:val="-2"/>
              </w:rPr>
            </w:pPr>
            <w:r>
              <w:rPr>
                <w:spacing w:val="-2"/>
              </w:rPr>
              <w:t>Amendment of the Commission’s Rules to Permit Radiolocation Operations in the 78-81 GHz Band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r>
              <w:rPr>
                <w:b/>
                <w:spacing w:val="-2"/>
              </w:rPr>
              <w:t>)</w:t>
            </w:r>
          </w:p>
          <w:p w:rsidR="00405A02" w:rsidRDefault="00405A02">
            <w:pPr>
              <w:tabs>
                <w:tab w:val="center" w:pos="4680"/>
              </w:tabs>
              <w:suppressAutoHyphens/>
              <w:rPr>
                <w:b/>
                <w:spacing w:val="-2"/>
              </w:rPr>
            </w:pPr>
          </w:p>
          <w:p w:rsidR="00405A02" w:rsidRDefault="00405A02">
            <w:pPr>
              <w:tabs>
                <w:tab w:val="center" w:pos="4680"/>
              </w:tabs>
              <w:suppressAutoHyphens/>
              <w:rPr>
                <w:spacing w:val="-2"/>
              </w:rPr>
            </w:pPr>
          </w:p>
        </w:tc>
        <w:tc>
          <w:tcPr>
            <w:tcW w:w="4248" w:type="dxa"/>
          </w:tcPr>
          <w:p w:rsidR="00405A02" w:rsidRDefault="00405A02">
            <w:pPr>
              <w:tabs>
                <w:tab w:val="center" w:pos="4680"/>
              </w:tabs>
              <w:suppressAutoHyphens/>
              <w:rPr>
                <w:spacing w:val="-2"/>
              </w:rPr>
            </w:pPr>
          </w:p>
          <w:p w:rsidR="00833485" w:rsidRDefault="00833485">
            <w:pPr>
              <w:tabs>
                <w:tab w:val="center" w:pos="4680"/>
              </w:tabs>
              <w:suppressAutoHyphens/>
              <w:rPr>
                <w:spacing w:val="-2"/>
              </w:rPr>
            </w:pPr>
          </w:p>
          <w:p w:rsidR="00405A02" w:rsidRDefault="00405A02">
            <w:pPr>
              <w:tabs>
                <w:tab w:val="center" w:pos="4680"/>
              </w:tabs>
              <w:suppressAutoHyphens/>
              <w:rPr>
                <w:spacing w:val="-2"/>
              </w:rPr>
            </w:pPr>
            <w:r>
              <w:rPr>
                <w:spacing w:val="-2"/>
              </w:rPr>
              <w:t xml:space="preserve">ET Docket No. </w:t>
            </w:r>
            <w:r w:rsidR="009E723F">
              <w:rPr>
                <w:spacing w:val="-2"/>
              </w:rPr>
              <w:t>15-26</w:t>
            </w: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r>
              <w:rPr>
                <w:spacing w:val="-2"/>
              </w:rPr>
              <w:t>RM-11666</w:t>
            </w: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r>
              <w:rPr>
                <w:spacing w:val="-2"/>
              </w:rPr>
              <w:t>ET Docket No. 11-90</w:t>
            </w:r>
          </w:p>
          <w:p w:rsidR="00405A02" w:rsidRDefault="00405A02">
            <w:pPr>
              <w:tabs>
                <w:tab w:val="center" w:pos="4680"/>
              </w:tabs>
              <w:suppressAutoHyphens/>
              <w:rPr>
                <w:spacing w:val="-2"/>
              </w:rPr>
            </w:pPr>
            <w:r>
              <w:rPr>
                <w:spacing w:val="-2"/>
              </w:rPr>
              <w:t>RM-11555</w:t>
            </w: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r>
              <w:rPr>
                <w:spacing w:val="-2"/>
              </w:rPr>
              <w:t>ET Docket No. 10-28</w:t>
            </w: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r>
              <w:rPr>
                <w:spacing w:val="-2"/>
              </w:rPr>
              <w:t>WT Docket No. 11-202</w:t>
            </w:r>
          </w:p>
          <w:p w:rsidR="00405A02" w:rsidRDefault="00405A02">
            <w:pPr>
              <w:tabs>
                <w:tab w:val="center" w:pos="4680"/>
              </w:tabs>
              <w:suppressAutoHyphens/>
              <w:rPr>
                <w:spacing w:val="-2"/>
              </w:rPr>
            </w:pPr>
          </w:p>
          <w:p w:rsidR="00405A02" w:rsidRDefault="00405A02">
            <w:pPr>
              <w:tabs>
                <w:tab w:val="center" w:pos="4680"/>
              </w:tabs>
              <w:suppressAutoHyphens/>
              <w:rPr>
                <w:spacing w:val="-2"/>
              </w:rPr>
            </w:pPr>
          </w:p>
          <w:p w:rsidR="00405A02" w:rsidRDefault="00405A02">
            <w:pPr>
              <w:tabs>
                <w:tab w:val="center" w:pos="4680"/>
              </w:tabs>
              <w:suppressAutoHyphens/>
              <w:rPr>
                <w:spacing w:val="-2"/>
              </w:rPr>
            </w:pPr>
          </w:p>
        </w:tc>
      </w:tr>
      <w:tr w:rsidR="00405A02">
        <w:tc>
          <w:tcPr>
            <w:tcW w:w="4698" w:type="dxa"/>
          </w:tcPr>
          <w:p w:rsidR="00405A02" w:rsidRDefault="00405A02">
            <w:pPr>
              <w:tabs>
                <w:tab w:val="center" w:pos="4680"/>
              </w:tabs>
              <w:suppressAutoHyphens/>
              <w:rPr>
                <w:spacing w:val="-2"/>
              </w:rPr>
            </w:pPr>
          </w:p>
        </w:tc>
        <w:tc>
          <w:tcPr>
            <w:tcW w:w="630" w:type="dxa"/>
          </w:tcPr>
          <w:p w:rsidR="00405A02" w:rsidRDefault="00405A02">
            <w:pPr>
              <w:tabs>
                <w:tab w:val="center" w:pos="4680"/>
              </w:tabs>
              <w:suppressAutoHyphens/>
              <w:rPr>
                <w:b/>
                <w:spacing w:val="-2"/>
              </w:rPr>
            </w:pPr>
          </w:p>
        </w:tc>
        <w:tc>
          <w:tcPr>
            <w:tcW w:w="4248" w:type="dxa"/>
          </w:tcPr>
          <w:p w:rsidR="00405A02" w:rsidRDefault="00405A02">
            <w:pPr>
              <w:tabs>
                <w:tab w:val="center" w:pos="4680"/>
              </w:tabs>
              <w:suppressAutoHyphens/>
              <w:rPr>
                <w:spacing w:val="-2"/>
              </w:rPr>
            </w:pPr>
          </w:p>
        </w:tc>
      </w:tr>
    </w:tbl>
    <w:p w:rsidR="00841AB1" w:rsidRDefault="00405A02" w:rsidP="00F021FA">
      <w:pPr>
        <w:pStyle w:val="StyleBoldCentered"/>
      </w:pPr>
      <w:r>
        <w:t>NOTICE OF PROPOSED RULEMAKING AND RECONSIDERATION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b/>
          <w:spacing w:val="-2"/>
        </w:rPr>
      </w:pPr>
      <w:r>
        <w:rPr>
          <w:b/>
          <w:spacing w:val="-2"/>
        </w:rPr>
        <w:t xml:space="preserve">Adopted:  </w:t>
      </w:r>
      <w:r w:rsidR="009E723F">
        <w:rPr>
          <w:b/>
          <w:spacing w:val="-2"/>
        </w:rPr>
        <w:t>February 3,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C466B">
        <w:rPr>
          <w:b/>
          <w:spacing w:val="-2"/>
        </w:rPr>
        <w:t>February 5</w:t>
      </w:r>
      <w:r w:rsidR="009E723F">
        <w:rPr>
          <w:b/>
          <w:spacing w:val="-2"/>
        </w:rPr>
        <w:t>, 2015</w:t>
      </w:r>
    </w:p>
    <w:p w:rsidR="005662EE" w:rsidRDefault="005662EE" w:rsidP="00133F79">
      <w:pPr>
        <w:tabs>
          <w:tab w:val="left" w:pos="720"/>
          <w:tab w:val="right" w:pos="9360"/>
        </w:tabs>
        <w:suppressAutoHyphens/>
        <w:spacing w:line="227" w:lineRule="auto"/>
        <w:rPr>
          <w:b/>
          <w:spacing w:val="-2"/>
        </w:rPr>
      </w:pPr>
    </w:p>
    <w:p w:rsidR="005662EE" w:rsidRPr="009D4D6C" w:rsidRDefault="005662EE" w:rsidP="005662EE">
      <w:pPr>
        <w:tabs>
          <w:tab w:val="left" w:pos="5760"/>
        </w:tabs>
        <w:suppressAutoHyphens/>
        <w:rPr>
          <w:b/>
          <w:szCs w:val="22"/>
        </w:rPr>
      </w:pPr>
      <w:r w:rsidRPr="009D4D6C">
        <w:rPr>
          <w:b/>
          <w:szCs w:val="22"/>
        </w:rPr>
        <w:t xml:space="preserve">Comment Date:  </w:t>
      </w:r>
      <w:r w:rsidRPr="00606B19">
        <w:rPr>
          <w:b/>
          <w:szCs w:val="22"/>
        </w:rPr>
        <w:t>(</w:t>
      </w:r>
      <w:r>
        <w:rPr>
          <w:b/>
          <w:szCs w:val="22"/>
        </w:rPr>
        <w:t>30</w:t>
      </w:r>
      <w:r w:rsidRPr="00606B19">
        <w:rPr>
          <w:b/>
          <w:szCs w:val="22"/>
        </w:rPr>
        <w:t xml:space="preserve"> days after date of publication in the Federal Register)</w:t>
      </w:r>
      <w:r w:rsidRPr="009D4D6C">
        <w:rPr>
          <w:b/>
          <w:szCs w:val="22"/>
        </w:rPr>
        <w:t xml:space="preserve"> </w:t>
      </w:r>
    </w:p>
    <w:p w:rsidR="005662EE" w:rsidRPr="009D4D6C" w:rsidRDefault="005662EE" w:rsidP="005662EE">
      <w:pPr>
        <w:tabs>
          <w:tab w:val="left" w:pos="5760"/>
        </w:tabs>
        <w:suppressAutoHyphens/>
        <w:rPr>
          <w:szCs w:val="22"/>
        </w:rPr>
      </w:pPr>
      <w:r w:rsidRPr="009D4D6C">
        <w:rPr>
          <w:b/>
          <w:szCs w:val="22"/>
        </w:rPr>
        <w:t xml:space="preserve">Reply Date:  </w:t>
      </w:r>
      <w:r w:rsidRPr="00606B19">
        <w:rPr>
          <w:b/>
          <w:szCs w:val="22"/>
        </w:rPr>
        <w:t>(</w:t>
      </w:r>
      <w:r>
        <w:rPr>
          <w:b/>
          <w:szCs w:val="22"/>
        </w:rPr>
        <w:t>4</w:t>
      </w:r>
      <w:r w:rsidRPr="00E34B4C">
        <w:rPr>
          <w:b/>
          <w:szCs w:val="22"/>
        </w:rPr>
        <w:t>5</w:t>
      </w:r>
      <w:r w:rsidRPr="00606B19">
        <w:rPr>
          <w:b/>
          <w:szCs w:val="22"/>
        </w:rPr>
        <w:t xml:space="preserve"> days after date of publication in the Federal Register)</w:t>
      </w:r>
    </w:p>
    <w:p w:rsidR="005662EE" w:rsidRDefault="005662EE" w:rsidP="005662EE"/>
    <w:p w:rsidR="004C2EE3" w:rsidRDefault="004C2EE3">
      <w:pPr>
        <w:rPr>
          <w:spacing w:val="-2"/>
        </w:rPr>
      </w:pPr>
      <w:r>
        <w:t xml:space="preserve">By </w:t>
      </w:r>
      <w:r w:rsidR="004E4A22">
        <w:t>the</w:t>
      </w:r>
      <w:r w:rsidR="00405A02">
        <w:t xml:space="preserve"> Commission</w:t>
      </w:r>
      <w:r>
        <w:rPr>
          <w:spacing w:val="-2"/>
        </w:rPr>
        <w:t>:</w:t>
      </w:r>
    </w:p>
    <w:p w:rsidR="005662EE" w:rsidRDefault="005662EE">
      <w:pPr>
        <w:rPr>
          <w:spacing w:val="-2"/>
        </w:rPr>
      </w:pPr>
    </w:p>
    <w:p w:rsidR="002C00E8" w:rsidRDefault="005662EE" w:rsidP="00766239">
      <w:pPr>
        <w:pStyle w:val="Heading1"/>
      </w:pPr>
      <w:r>
        <w:t>INTRODUCTION</w:t>
      </w:r>
    </w:p>
    <w:p w:rsidR="005662EE" w:rsidRPr="00A055D0" w:rsidRDefault="005662EE" w:rsidP="00006179">
      <w:pPr>
        <w:pStyle w:val="ParaNum"/>
      </w:pPr>
      <w:r w:rsidRPr="00940529">
        <w:t xml:space="preserve">With this </w:t>
      </w:r>
      <w:r w:rsidRPr="00A055D0">
        <w:rPr>
          <w:i/>
        </w:rPr>
        <w:t xml:space="preserve">Notice of Proposed Rulemaking and </w:t>
      </w:r>
      <w:r w:rsidR="00152334">
        <w:rPr>
          <w:i/>
        </w:rPr>
        <w:t>Reconsideration Order</w:t>
      </w:r>
      <w:r w:rsidRPr="00A055D0">
        <w:rPr>
          <w:i/>
        </w:rPr>
        <w:t xml:space="preserve"> (Notice)</w:t>
      </w:r>
      <w:r w:rsidRPr="00940529">
        <w:t xml:space="preserve">, we propose to authorize </w:t>
      </w:r>
      <w:r w:rsidRPr="00A055D0">
        <w:rPr>
          <w:szCs w:val="22"/>
        </w:rPr>
        <w:t xml:space="preserve">radar applications </w:t>
      </w:r>
      <w:r w:rsidRPr="00940529">
        <w:t>in the 76-81 GHz band.  We seek to develop a flexible and streamlined regulatory</w:t>
      </w:r>
      <w:r>
        <w:t xml:space="preserve"> framework that will encourage </w:t>
      </w:r>
      <w:r w:rsidR="00B31AFA">
        <w:t xml:space="preserve">efficient, </w:t>
      </w:r>
      <w:r>
        <w:t xml:space="preserve">innovative uses of the spectrum and to allow various services to operate on an interference-protected basis.  In doing so, we further seek to adopt service rules that will allow for the deployment of the various </w:t>
      </w:r>
      <w:r w:rsidRPr="00A055D0">
        <w:rPr>
          <w:szCs w:val="22"/>
        </w:rPr>
        <w:t>radar applications in this</w:t>
      </w:r>
      <w:r>
        <w:t xml:space="preserve"> band, both within and outside the U.S.</w:t>
      </w:r>
      <w:r w:rsidRPr="00A055D0">
        <w:rPr>
          <w:szCs w:val="22"/>
        </w:rPr>
        <w:t xml:space="preserve">  We take this action in response to a petition for rulemaking filed by </w:t>
      </w:r>
      <w:r w:rsidRPr="00172703">
        <w:t>Robert Bosch, LLC</w:t>
      </w:r>
      <w:r w:rsidRPr="00A055D0">
        <w:rPr>
          <w:szCs w:val="22"/>
        </w:rPr>
        <w:t xml:space="preserve"> (Bosch)</w:t>
      </w:r>
      <w:r>
        <w:rPr>
          <w:rStyle w:val="FootnoteReference"/>
        </w:rPr>
        <w:footnoteReference w:id="2"/>
      </w:r>
      <w:r>
        <w:t xml:space="preserve"> and two petitions for reconsideration of our 2012 Vehicular Radar R&amp;O.</w:t>
      </w:r>
      <w:r>
        <w:rPr>
          <w:rStyle w:val="FootnoteReference"/>
        </w:rPr>
        <w:footnoteReference w:id="3"/>
      </w:r>
      <w:r>
        <w:t xml:space="preserve"> </w:t>
      </w:r>
    </w:p>
    <w:p w:rsidR="005662EE" w:rsidRDefault="005662EE" w:rsidP="005662EE">
      <w:pPr>
        <w:pStyle w:val="Heading1"/>
        <w:tabs>
          <w:tab w:val="num" w:pos="720"/>
        </w:tabs>
        <w:spacing w:after="220"/>
        <w:jc w:val="both"/>
      </w:pPr>
      <w:bookmarkStart w:id="1" w:name="_Toc380747769"/>
      <w:bookmarkStart w:id="2" w:name="_Toc380750749"/>
      <w:r>
        <w:lastRenderedPageBreak/>
        <w:t>EXECutive summary</w:t>
      </w:r>
      <w:bookmarkEnd w:id="1"/>
      <w:bookmarkEnd w:id="2"/>
    </w:p>
    <w:p w:rsidR="005662EE" w:rsidRDefault="005662EE" w:rsidP="00006179">
      <w:pPr>
        <w:pStyle w:val="ParaNum"/>
      </w:pPr>
      <w:r>
        <w:t xml:space="preserve">In this </w:t>
      </w:r>
      <w:r>
        <w:rPr>
          <w:i/>
        </w:rPr>
        <w:t>Notice</w:t>
      </w:r>
      <w:r>
        <w:t>, we propose rules that will accommodate the commercial development and use of various radar technologies in the 76-81 GHz band under Part 95 of our Rules.</w:t>
      </w:r>
      <w:r>
        <w:rPr>
          <w:rStyle w:val="FootnoteReference"/>
        </w:rPr>
        <w:footnoteReference w:id="4"/>
      </w:r>
      <w:r>
        <w:t xml:space="preserve">  These proposals include allocation changes to the bands as well as provisions to ensure that new and incumbent operations can share the available frequencies in the band.  Specifically, we seek comment on the following 76-81 GHz band matters:</w:t>
      </w:r>
    </w:p>
    <w:p w:rsidR="005662EE" w:rsidRDefault="005662EE" w:rsidP="00006179">
      <w:pPr>
        <w:pStyle w:val="ParaNum"/>
        <w:numPr>
          <w:ilvl w:val="0"/>
          <w:numId w:val="4"/>
        </w:numPr>
      </w:pPr>
      <w:r>
        <w:t>Expanding radar operations in the 76-81 GHz band;</w:t>
      </w:r>
    </w:p>
    <w:p w:rsidR="005662EE" w:rsidRDefault="005662EE" w:rsidP="00006179">
      <w:pPr>
        <w:pStyle w:val="ParaNum"/>
        <w:numPr>
          <w:ilvl w:val="0"/>
          <w:numId w:val="4"/>
        </w:numPr>
      </w:pPr>
      <w:r>
        <w:t>Modifying the Table of Frequency Allocations to provide an allocation for the radiolocation service in the 77.5-78 GHz band;</w:t>
      </w:r>
    </w:p>
    <w:p w:rsidR="005662EE" w:rsidRDefault="005662EE" w:rsidP="00006179">
      <w:pPr>
        <w:pStyle w:val="ParaNum"/>
        <w:numPr>
          <w:ilvl w:val="0"/>
          <w:numId w:val="4"/>
        </w:numPr>
      </w:pPr>
      <w:r>
        <w:t>Authorizing the expanded radar operations on a licensed basis under Part 95;</w:t>
      </w:r>
    </w:p>
    <w:p w:rsidR="005662EE" w:rsidRDefault="005662EE" w:rsidP="00006179">
      <w:pPr>
        <w:pStyle w:val="ParaNum"/>
        <w:numPr>
          <w:ilvl w:val="0"/>
          <w:numId w:val="4"/>
        </w:numPr>
      </w:pPr>
      <w:r>
        <w:t>Shifting vehicular and other users away from the existing Part 15 unlicensed operating model; and</w:t>
      </w:r>
    </w:p>
    <w:p w:rsidR="005662EE" w:rsidRDefault="005662EE" w:rsidP="00006179">
      <w:pPr>
        <w:pStyle w:val="ParaNum"/>
        <w:numPr>
          <w:ilvl w:val="0"/>
          <w:numId w:val="4"/>
        </w:numPr>
      </w:pPr>
      <w:r>
        <w:t xml:space="preserve">Evaluating the compatibility of incumbent operations, including that of amateur radio, with radar applications in the 77-81 GHz band. </w:t>
      </w:r>
    </w:p>
    <w:p w:rsidR="005662EE" w:rsidRPr="00413279" w:rsidRDefault="005662EE" w:rsidP="00884066">
      <w:pPr>
        <w:pStyle w:val="ParaNum"/>
        <w:numPr>
          <w:ilvl w:val="0"/>
          <w:numId w:val="0"/>
        </w:numPr>
      </w:pPr>
      <w:r>
        <w:t>Collectively, these actions propose a unified approach for providi</w:t>
      </w:r>
      <w:r w:rsidR="00884066">
        <w:t xml:space="preserve">ng allocation and service rules </w:t>
      </w:r>
      <w:r>
        <w:t>for the various types of radar applications that will operate within the 76-81 GHz range.</w:t>
      </w:r>
    </w:p>
    <w:p w:rsidR="005662EE" w:rsidRPr="00A85A4F" w:rsidRDefault="005662EE" w:rsidP="005662EE">
      <w:pPr>
        <w:pStyle w:val="Heading1"/>
        <w:tabs>
          <w:tab w:val="num" w:pos="720"/>
        </w:tabs>
        <w:spacing w:after="220"/>
        <w:jc w:val="both"/>
      </w:pPr>
      <w:bookmarkStart w:id="3" w:name="_Toc376856080"/>
      <w:bookmarkStart w:id="4" w:name="_Toc376856249"/>
      <w:bookmarkStart w:id="5" w:name="_Toc376856293"/>
      <w:bookmarkStart w:id="6" w:name="_Toc376856486"/>
      <w:bookmarkStart w:id="7" w:name="_Toc380747770"/>
      <w:bookmarkStart w:id="8" w:name="_Toc380750750"/>
      <w:r>
        <w:t>Background</w:t>
      </w:r>
      <w:bookmarkEnd w:id="3"/>
      <w:bookmarkEnd w:id="4"/>
      <w:bookmarkEnd w:id="5"/>
      <w:bookmarkEnd w:id="6"/>
      <w:bookmarkEnd w:id="7"/>
      <w:bookmarkEnd w:id="8"/>
    </w:p>
    <w:p w:rsidR="005662EE" w:rsidRDefault="005662EE" w:rsidP="00006179">
      <w:pPr>
        <w:pStyle w:val="ParaNum"/>
      </w:pPr>
      <w:r>
        <w:t>The 76-77.5 GHz and 78-81 GHz bands are allocated to the Radio Astronomy service (RAS) and the Radiolocation service on a primary basis and to the Amateur and Space research (space-to-Earth) services on a secondary basis.</w:t>
      </w:r>
      <w:r>
        <w:rPr>
          <w:rStyle w:val="FootnoteReference"/>
        </w:rPr>
        <w:footnoteReference w:id="5"/>
      </w:r>
      <w:r>
        <w:t xml:space="preserve">  The 77.5-78 GHz band is allocated to the Amateur and Amateur-Satellite services on a primary basis and to the Radio astronomy and Space research (space-to-Earth) services on a secondary basis.</w:t>
      </w:r>
      <w:r>
        <w:rPr>
          <w:rStyle w:val="FootnoteReference"/>
        </w:rPr>
        <w:footnoteReference w:id="6"/>
      </w:r>
      <w:r>
        <w:t xml:space="preserve">  Discussed further below are primary radiolocation services that are allocated in the 76-77.5 GHz and 78-81 GHz bands.  </w:t>
      </w:r>
    </w:p>
    <w:p w:rsidR="005662EE" w:rsidRDefault="005662EE" w:rsidP="00A12C5B">
      <w:pPr>
        <w:pStyle w:val="ParaNum"/>
        <w:widowControl/>
      </w:pPr>
      <w:r>
        <w:t>These bands are in the region of the radiofrequency spectrum known as “millimeter wave” spectrum.</w:t>
      </w:r>
      <w:r w:rsidRPr="00DA5B95">
        <w:rPr>
          <w:vertAlign w:val="superscript"/>
        </w:rPr>
        <w:footnoteReference w:id="7"/>
      </w:r>
      <w:r>
        <w:t xml:space="preserve">  At these frequencies, radio propagation decreases more rapidly with distance than at lower frequencies and antennas that can narrowly focus transmitted energy are practical and of modest size.</w:t>
      </w:r>
      <w:r>
        <w:rPr>
          <w:rStyle w:val="FootnoteReference"/>
        </w:rPr>
        <w:footnoteReference w:id="8"/>
      </w:r>
      <w:r>
        <w:t xml:space="preserve">  While the limited range of such transmissions might be a disadvantage for many applications, it does allow frequency reuse within very short distances and thereby enables a higher concentration of transmitters in a geographical area than is possible at lower frequencies.</w:t>
      </w:r>
      <w:r>
        <w:rPr>
          <w:rStyle w:val="FootnoteReference"/>
        </w:rPr>
        <w:footnoteReference w:id="9"/>
      </w:r>
    </w:p>
    <w:p w:rsidR="005662EE" w:rsidRDefault="005662EE" w:rsidP="00006179">
      <w:pPr>
        <w:pStyle w:val="ParaNum"/>
      </w:pPr>
      <w:r>
        <w:lastRenderedPageBreak/>
        <w:t>In recent years, the Commission has sought to make frequencies in the 76-81 GHz range available for new and innovative radar applications that can provide important benefits to the public at large.  In a series of rulemaking proceedings that date back to 1995</w:t>
      </w:r>
      <w:r w:rsidRPr="00C231F2">
        <w:t>,</w:t>
      </w:r>
      <w:r>
        <w:t xml:space="preserve"> the Commission has established rules to allow the use of this spectrum by automotive collision avoidance radar applications (“vehicular radars”) and radar systems that detect foreign object debris (FOD) at airport facilities (“FOD detection radars”).  Vehicular radars are authorized under Part 15 of our rules, while FOD detection radars currently are permitted to operate under Parts 15 and 90 of our rules. </w:t>
      </w:r>
      <w:r>
        <w:rPr>
          <w:rStyle w:val="FootnoteReference"/>
        </w:rPr>
        <w:footnoteReference w:id="10"/>
      </w:r>
    </w:p>
    <w:p w:rsidR="005662EE" w:rsidRDefault="005662EE" w:rsidP="00006179">
      <w:pPr>
        <w:pStyle w:val="ParaNum"/>
      </w:pPr>
      <w:r w:rsidRPr="00C707B5">
        <w:rPr>
          <w:i/>
          <w:u w:val="single"/>
        </w:rPr>
        <w:t xml:space="preserve">Vehicular </w:t>
      </w:r>
      <w:r>
        <w:rPr>
          <w:i/>
          <w:u w:val="single"/>
        </w:rPr>
        <w:t>R</w:t>
      </w:r>
      <w:r w:rsidRPr="00C707B5">
        <w:rPr>
          <w:i/>
          <w:u w:val="single"/>
        </w:rPr>
        <w:t>adar.</w:t>
      </w:r>
      <w:r>
        <w:rPr>
          <w:i/>
        </w:rPr>
        <w:t xml:space="preserve">  </w:t>
      </w:r>
      <w:r>
        <w:t>Vehicular radars can determine the exact distance and relative speed of objects in front of, beside, or behind a car to improve the driver’s ability to perceive objects under bad visibility conditions or objects in blind spots.  In 1995, the Commission adopted rules to allow the use of the 76-77 GHz band by vehicular radars on an unlicensed basis.  These provisions were limited to vehicle-mounted radars; fixed applications were not permitted.</w:t>
      </w:r>
      <w:r>
        <w:rPr>
          <w:rStyle w:val="FootnoteReference"/>
        </w:rPr>
        <w:footnoteReference w:id="11"/>
      </w:r>
      <w:r>
        <w:t xml:space="preserve">    </w:t>
      </w:r>
    </w:p>
    <w:p w:rsidR="005662EE" w:rsidRDefault="005662EE" w:rsidP="00006179">
      <w:pPr>
        <w:pStyle w:val="ParaNum"/>
      </w:pPr>
      <w:r>
        <w:t xml:space="preserve">On May 24, 2011, Toyota Motor Corporation filed a petition to modify the technical rules for vehicular radars to allow greater flexibility in vehicular radar applications.  In response,  the Commission  issued a </w:t>
      </w:r>
      <w:r w:rsidRPr="004F2DA4">
        <w:rPr>
          <w:i/>
        </w:rPr>
        <w:t>Notice of Proposed Rule Making</w:t>
      </w:r>
      <w:r>
        <w:t xml:space="preserve"> (</w:t>
      </w:r>
      <w:r w:rsidRPr="003601A9">
        <w:rPr>
          <w:i/>
        </w:rPr>
        <w:t>Vehicular Radar</w:t>
      </w:r>
      <w:r>
        <w:t xml:space="preserve"> </w:t>
      </w:r>
      <w:r w:rsidRPr="004F2DA4">
        <w:rPr>
          <w:i/>
        </w:rPr>
        <w:t>NPRM</w:t>
      </w:r>
      <w:r>
        <w:t>)</w:t>
      </w:r>
      <w:r w:rsidRPr="00C23632">
        <w:rPr>
          <w:rStyle w:val="FootnoteReference"/>
          <w:szCs w:val="22"/>
        </w:rPr>
        <w:footnoteReference w:id="12"/>
      </w:r>
      <w:r>
        <w:t xml:space="preserve"> and subsequently issued a </w:t>
      </w:r>
      <w:r w:rsidRPr="00D05F66">
        <w:rPr>
          <w:i/>
        </w:rPr>
        <w:t xml:space="preserve">Report and Order </w:t>
      </w:r>
      <w:r>
        <w:t>(</w:t>
      </w:r>
      <w:r>
        <w:rPr>
          <w:i/>
        </w:rPr>
        <w:t>Vehicular Radar R&amp;O</w:t>
      </w:r>
      <w:r>
        <w:t>) modifying the Part 15 rules for vehicular radars in the 76-77 GHz band.</w:t>
      </w:r>
      <w:r>
        <w:rPr>
          <w:rStyle w:val="FootnoteReference"/>
        </w:rPr>
        <w:footnoteReference w:id="13"/>
      </w:r>
      <w:r>
        <w:t xml:space="preserve">  The Commission, </w:t>
      </w:r>
      <w:r>
        <w:rPr>
          <w:i/>
        </w:rPr>
        <w:t>i</w:t>
      </w:r>
      <w:r w:rsidRPr="00090669">
        <w:rPr>
          <w:i/>
        </w:rPr>
        <w:t xml:space="preserve">nter </w:t>
      </w:r>
      <w:r>
        <w:rPr>
          <w:i/>
        </w:rPr>
        <w:t>a</w:t>
      </w:r>
      <w:r w:rsidRPr="00090669">
        <w:rPr>
          <w:i/>
        </w:rPr>
        <w:t>lia</w:t>
      </w:r>
      <w:r>
        <w:t xml:space="preserve">, modified the rules to specify average and </w:t>
      </w:r>
      <w:r w:rsidRPr="00CF46A7">
        <w:t xml:space="preserve">peak </w:t>
      </w:r>
      <w:r>
        <w:t xml:space="preserve">radiated emission limits in equivalent </w:t>
      </w:r>
      <w:r w:rsidRPr="00CF46A7">
        <w:t xml:space="preserve">EIRP </w:t>
      </w:r>
      <w:r>
        <w:t>and power density units so that manufacturers could use either specification to express the emissions from their devices.</w:t>
      </w:r>
    </w:p>
    <w:p w:rsidR="005662EE" w:rsidRDefault="005662EE" w:rsidP="00DC2F0F">
      <w:pPr>
        <w:pStyle w:val="ParaNum"/>
        <w:widowControl/>
      </w:pPr>
      <w:r>
        <w:t xml:space="preserve">Vehicular radar technology has continued to evolve, and </w:t>
      </w:r>
      <w:r w:rsidRPr="00E7739D">
        <w:t xml:space="preserve">industry has developed more enhanced and cost-effective long-range vehicular radars (LRR) in the </w:t>
      </w:r>
      <w:r>
        <w:t xml:space="preserve">76-77 </w:t>
      </w:r>
      <w:r w:rsidRPr="00E7739D">
        <w:t xml:space="preserve">GHz band.  </w:t>
      </w:r>
      <w:r>
        <w:t xml:space="preserve">Developers of these technologies claim that the existing 1 gigahertz bandwidth used by LRR is insufficient </w:t>
      </w:r>
      <w:r w:rsidRPr="00E7739D">
        <w:t>to develop high-resolution short-range vehicular radars</w:t>
      </w:r>
      <w:r>
        <w:t xml:space="preserve"> (SRR) that can </w:t>
      </w:r>
      <w:r w:rsidRPr="00E7739D">
        <w:t>implement safety feature</w:t>
      </w:r>
      <w:r>
        <w:t>s</w:t>
      </w:r>
      <w:r w:rsidRPr="00E7739D">
        <w:t xml:space="preserve"> such as collision warning, lane departure warning, lane change </w:t>
      </w:r>
      <w:r>
        <w:t>assistance</w:t>
      </w:r>
      <w:r w:rsidRPr="00E7739D">
        <w:t>, blind-spot detection</w:t>
      </w:r>
      <w:r>
        <w:t>,</w:t>
      </w:r>
      <w:r w:rsidRPr="00E7739D">
        <w:t xml:space="preserve"> and pedestrian protection.</w:t>
      </w:r>
      <w:r>
        <w:rPr>
          <w:rStyle w:val="FootnoteReference"/>
        </w:rPr>
        <w:footnoteReference w:id="14"/>
      </w:r>
      <w:r>
        <w:t xml:space="preserve">  As background, </w:t>
      </w:r>
      <w:r>
        <w:rPr>
          <w:color w:val="111111"/>
          <w:szCs w:val="22"/>
        </w:rPr>
        <w:t>LRRs have narrow beams with bandwidth less than1 gigahertz and typical spatial resolution of 0.5 meters.  Their range of operation is up to 150 to 250 meters.  SRRs on the other hand have wide beam with bandwidths up to 4 gigahertz and typical spatial resolution of 0.1 meters.  Their range of operation is up to 30 meters.</w:t>
      </w:r>
      <w:r>
        <w:rPr>
          <w:rStyle w:val="FootnoteReference"/>
          <w:color w:val="111111"/>
          <w:szCs w:val="22"/>
        </w:rPr>
        <w:footnoteReference w:id="15"/>
      </w:r>
    </w:p>
    <w:p w:rsidR="005662EE" w:rsidRPr="00D05F66" w:rsidRDefault="005662EE" w:rsidP="00006179">
      <w:pPr>
        <w:pStyle w:val="ParaNum"/>
      </w:pPr>
      <w:r w:rsidRPr="00E7739D">
        <w:t xml:space="preserve">Recently, Bosch filed a petition for rulemaking to modify Section 15.253 of the Commission’s rules </w:t>
      </w:r>
      <w:r>
        <w:t>to</w:t>
      </w:r>
      <w:r w:rsidRPr="00E7739D">
        <w:t xml:space="preserve"> expand the operation of unlicensed vehicular radar systems from </w:t>
      </w:r>
      <w:r>
        <w:t xml:space="preserve">76-77 </w:t>
      </w:r>
      <w:r w:rsidRPr="00E7739D">
        <w:t xml:space="preserve">GHz to </w:t>
      </w:r>
      <w:r>
        <w:t xml:space="preserve">the 76-81 </w:t>
      </w:r>
      <w:r w:rsidRPr="00E7739D">
        <w:t>GHz band to develop SRR</w:t>
      </w:r>
      <w:r>
        <w:t xml:space="preserve"> applications</w:t>
      </w:r>
      <w:r w:rsidRPr="00E7739D">
        <w:t>.</w:t>
      </w:r>
      <w:r w:rsidRPr="00E7739D">
        <w:rPr>
          <w:rStyle w:val="FootnoteReference"/>
        </w:rPr>
        <w:footnoteReference w:id="16"/>
      </w:r>
      <w:r w:rsidRPr="00E7739D">
        <w:t xml:space="preserve">  </w:t>
      </w:r>
      <w:r>
        <w:t>It claims that t</w:t>
      </w:r>
      <w:r w:rsidRPr="00E7739D">
        <w:t>he additional</w:t>
      </w:r>
      <w:r>
        <w:t xml:space="preserve"> 4 gigahertz</w:t>
      </w:r>
      <w:r w:rsidRPr="00E7739D">
        <w:t xml:space="preserve"> bandwidth </w:t>
      </w:r>
      <w:r>
        <w:t xml:space="preserve">will </w:t>
      </w:r>
      <w:r w:rsidRPr="00E7739D">
        <w:t xml:space="preserve">provide SRR with </w:t>
      </w:r>
      <w:r>
        <w:t>both frequency</w:t>
      </w:r>
      <w:r w:rsidRPr="00E7739D">
        <w:t xml:space="preserve"> separation</w:t>
      </w:r>
      <w:r>
        <w:t xml:space="preserve"> </w:t>
      </w:r>
      <w:r w:rsidRPr="00E7739D">
        <w:t xml:space="preserve">from LRR and the necessary bandwidth for </w:t>
      </w:r>
      <w:r w:rsidRPr="00E7739D">
        <w:rPr>
          <w:color w:val="111111"/>
          <w:szCs w:val="22"/>
        </w:rPr>
        <w:t>range accuracy, angular accuracy, and good object discrimination.</w:t>
      </w:r>
      <w:r>
        <w:rPr>
          <w:rStyle w:val="FootnoteReference"/>
          <w:color w:val="111111"/>
          <w:szCs w:val="22"/>
        </w:rPr>
        <w:footnoteReference w:id="17"/>
      </w:r>
      <w:r>
        <w:rPr>
          <w:color w:val="111111"/>
          <w:szCs w:val="22"/>
        </w:rPr>
        <w:t xml:space="preserve">    </w:t>
      </w:r>
    </w:p>
    <w:p w:rsidR="005662EE" w:rsidRPr="00D70DB4" w:rsidRDefault="005662EE" w:rsidP="00006179">
      <w:pPr>
        <w:pStyle w:val="ParaNum"/>
        <w:rPr>
          <w:sz w:val="24"/>
          <w:szCs w:val="24"/>
        </w:rPr>
      </w:pPr>
      <w:r w:rsidRPr="00E0568D">
        <w:rPr>
          <w:szCs w:val="22"/>
        </w:rPr>
        <w:t>On July 17, 2012, the Commission issued a public notice seeking comment on Bosch’s petition.</w:t>
      </w:r>
      <w:r>
        <w:rPr>
          <w:rStyle w:val="FootnoteReference"/>
        </w:rPr>
        <w:footnoteReference w:id="18"/>
      </w:r>
      <w:r w:rsidRPr="00E0568D">
        <w:rPr>
          <w:szCs w:val="22"/>
        </w:rPr>
        <w:t xml:space="preserve"> </w:t>
      </w:r>
      <w:r>
        <w:t xml:space="preserve"> The petition drew general support from the automotive industry, opposition from an individual amateur radio operator and interest from two developing non-vehicular radio applications for the band.  Specifically, e</w:t>
      </w:r>
      <w:r w:rsidRPr="00E0568D">
        <w:rPr>
          <w:szCs w:val="22"/>
        </w:rPr>
        <w:t>ight parties fil</w:t>
      </w:r>
      <w:r>
        <w:rPr>
          <w:szCs w:val="22"/>
        </w:rPr>
        <w:t xml:space="preserve">ed comments and three parties </w:t>
      </w:r>
      <w:r w:rsidRPr="00A04F27">
        <w:rPr>
          <w:szCs w:val="22"/>
        </w:rPr>
        <w:t xml:space="preserve">submitted ex parte written </w:t>
      </w:r>
      <w:r>
        <w:rPr>
          <w:szCs w:val="22"/>
        </w:rPr>
        <w:t xml:space="preserve">communications.  </w:t>
      </w:r>
      <w:r>
        <w:t>A list of these parties is contained in Appendix A.</w:t>
      </w:r>
    </w:p>
    <w:p w:rsidR="005662EE" w:rsidRDefault="005662EE" w:rsidP="00006179">
      <w:pPr>
        <w:pStyle w:val="ParaNum"/>
      </w:pPr>
      <w:r>
        <w:rPr>
          <w:i/>
          <w:u w:val="single"/>
        </w:rPr>
        <w:t>Millimeter Wave Band R</w:t>
      </w:r>
      <w:r w:rsidRPr="00C707B5">
        <w:rPr>
          <w:i/>
          <w:u w:val="single"/>
        </w:rPr>
        <w:t>adar</w:t>
      </w:r>
      <w:r>
        <w:rPr>
          <w:i/>
          <w:u w:val="single"/>
        </w:rPr>
        <w:t xml:space="preserve"> Operation at Airports</w:t>
      </w:r>
      <w:r w:rsidRPr="00C707B5">
        <w:rPr>
          <w:i/>
          <w:u w:val="single"/>
        </w:rPr>
        <w:t>.</w:t>
      </w:r>
      <w:r>
        <w:t xml:space="preserve">  The Commission has recognized the benefits associated with radars that can detect FOD at airports.  Generally speaking, FOD include any substance, debris, or object that can damage aircraft or equipment.  FOD can seriously threaten the safety of airport personnel and airline passengers and can have a negative impact on airport logistics and operations.</w:t>
      </w:r>
      <w:r>
        <w:rPr>
          <w:rStyle w:val="FootnoteReference"/>
        </w:rPr>
        <w:footnoteReference w:id="19"/>
      </w:r>
      <w:r>
        <w:t xml:space="preserve">  According to the Federal Aviation Administration (FAA), </w:t>
      </w:r>
      <w:r>
        <w:rPr>
          <w:szCs w:val="23"/>
        </w:rPr>
        <w:t>FOD “has the potential to damage aircraft during critical phases of flight, which can lead to catastrophic loss of life and airframe, and at the very least increased maintenance and operating costs.</w:t>
      </w:r>
      <w:r>
        <w:t>”</w:t>
      </w:r>
      <w:r>
        <w:rPr>
          <w:rStyle w:val="FootnoteReference"/>
        </w:rPr>
        <w:footnoteReference w:id="20"/>
      </w:r>
      <w:r>
        <w:t xml:space="preserve">  Moreover, the direct maintenance costs to airlines caused by FOD have been estimated to be one to four billion dollars per year.</w:t>
      </w:r>
      <w:r>
        <w:rPr>
          <w:rStyle w:val="FootnoteReference"/>
        </w:rPr>
        <w:footnoteReference w:id="21"/>
      </w:r>
      <w:r>
        <w:t xml:space="preserve">  The Commission provides for both unlicensed FOD detection radar use in the 76-77 GHz band under its Part 15 rules and licensed FOD detection radar use in the 78-81 GHz band under its Part 90 rules.</w:t>
      </w:r>
      <w:r>
        <w:rPr>
          <w:rStyle w:val="FootnoteReference"/>
        </w:rPr>
        <w:footnoteReference w:id="22"/>
      </w:r>
    </w:p>
    <w:p w:rsidR="005662EE" w:rsidRDefault="005662EE" w:rsidP="00006179">
      <w:pPr>
        <w:pStyle w:val="ParaNum"/>
      </w:pPr>
      <w:r>
        <w:t>Interest in using the millimeter wave bands to support FOD detection radars dates back to February 23, 2009,</w:t>
      </w:r>
      <w:r w:rsidRPr="006D59EC">
        <w:t xml:space="preserve"> </w:t>
      </w:r>
      <w:r>
        <w:t>when Era</w:t>
      </w:r>
      <w:r w:rsidRPr="0031441D">
        <w:t xml:space="preserve"> Systems Corporation </w:t>
      </w:r>
      <w:r>
        <w:t>(</w:t>
      </w:r>
      <w:r w:rsidR="00370D6D">
        <w:t>“</w:t>
      </w:r>
      <w:r>
        <w:t>Era”) r</w:t>
      </w:r>
      <w:r w:rsidRPr="0031441D">
        <w:t>equest</w:t>
      </w:r>
      <w:r>
        <w:t>ed</w:t>
      </w:r>
      <w:r w:rsidRPr="0031441D">
        <w:t xml:space="preserve"> for </w:t>
      </w:r>
      <w:r>
        <w:t>waiver of S</w:t>
      </w:r>
      <w:r w:rsidRPr="0031441D">
        <w:t xml:space="preserve">ections 2.803, 15.201 and 15.253 of the Commission’s </w:t>
      </w:r>
      <w:r w:rsidR="00370D6D">
        <w:t>r</w:t>
      </w:r>
      <w:r w:rsidRPr="0031441D">
        <w:t>ules</w:t>
      </w:r>
      <w:r>
        <w:t xml:space="preserve">.  In response, the Office of Engineering and Technology issued a public notice seeking comments on Era waiver request and later granted </w:t>
      </w:r>
      <w:r w:rsidRPr="00F7769D">
        <w:t xml:space="preserve">Era a </w:t>
      </w:r>
      <w:r>
        <w:t xml:space="preserve">limited </w:t>
      </w:r>
      <w:r w:rsidRPr="00F7769D">
        <w:t xml:space="preserve">waiver to allow the installation of </w:t>
      </w:r>
      <w:r>
        <w:t>r</w:t>
      </w:r>
      <w:r w:rsidRPr="00F7769D">
        <w:t>adar systems at Hartsfield-Jackso</w:t>
      </w:r>
      <w:r>
        <w:t>n Atlanta International Airport.</w:t>
      </w:r>
      <w:r>
        <w:rPr>
          <w:rStyle w:val="FootnoteReference"/>
        </w:rPr>
        <w:footnoteReference w:id="23"/>
      </w:r>
    </w:p>
    <w:p w:rsidR="005662EE" w:rsidRDefault="005662EE" w:rsidP="00006179">
      <w:pPr>
        <w:pStyle w:val="ParaNum"/>
      </w:pPr>
      <w:r>
        <w:t>Also in a separate proceeding, Era filed comments asking the Commission to amend its Part 15 rules to permit fixed use of 76-77 GHz radars at airports for monitoring air traffic and airport service vehicles only.  T</w:t>
      </w:r>
      <w:r w:rsidRPr="008E4989">
        <w:rPr>
          <w:szCs w:val="22"/>
        </w:rPr>
        <w:t xml:space="preserve">he Office of Engineering and Technology (OET) decided to treat ERA’s comments as a Petition for Rulemaking, and </w:t>
      </w:r>
      <w:r>
        <w:rPr>
          <w:szCs w:val="22"/>
        </w:rPr>
        <w:t>consolidated Era and Vehicular Radar petitions into single rule making proceeding in the 76-77 GHz band.</w:t>
      </w:r>
      <w:r>
        <w:rPr>
          <w:rStyle w:val="FootnoteReference"/>
        </w:rPr>
        <w:footnoteReference w:id="24"/>
      </w:r>
      <w:r>
        <w:rPr>
          <w:szCs w:val="22"/>
        </w:rPr>
        <w:t xml:space="preserve">  </w:t>
      </w:r>
      <w:r>
        <w:t xml:space="preserve">During the course of this proceeding, Xsight Systems Ltd. (Xsight) filed </w:t>
      </w:r>
      <w:r w:rsidRPr="008E4989">
        <w:rPr>
          <w:i/>
        </w:rPr>
        <w:t>ex parte</w:t>
      </w:r>
      <w:r>
        <w:t xml:space="preserve"> comments in support of Era and asked the Commission to allow operation of FOD detection radars in the 76-77 GHz band at airport locations only.</w:t>
      </w:r>
      <w:r>
        <w:rPr>
          <w:rStyle w:val="FootnoteReference"/>
        </w:rPr>
        <w:footnoteReference w:id="25"/>
      </w:r>
    </w:p>
    <w:p w:rsidR="005662EE" w:rsidRPr="00D156EB" w:rsidRDefault="005662EE" w:rsidP="00006179">
      <w:pPr>
        <w:pStyle w:val="ParaNum"/>
      </w:pPr>
      <w:r>
        <w:t xml:space="preserve">Subsequently, as part of the </w:t>
      </w:r>
      <w:r w:rsidRPr="00BB544D">
        <w:rPr>
          <w:i/>
        </w:rPr>
        <w:t xml:space="preserve">Vehicular Radar NPRM </w:t>
      </w:r>
      <w:r>
        <w:t>discussed above, the Commission examined the use of fixed radar systems in the 76-77 GHz band and proposed to allow such use at any location, rather than restrict their use to only airport locations per the Era petition for rulemaking.</w:t>
      </w:r>
      <w:r>
        <w:rPr>
          <w:rStyle w:val="FootnoteReference"/>
        </w:rPr>
        <w:footnoteReference w:id="26"/>
      </w:r>
      <w:r w:rsidRPr="00BB544D">
        <w:rPr>
          <w:szCs w:val="22"/>
        </w:rPr>
        <w:t xml:space="preserve">  The Commission stated </w:t>
      </w:r>
      <w:r>
        <w:rPr>
          <w:szCs w:val="22"/>
        </w:rPr>
        <w:t xml:space="preserve">that limiting </w:t>
      </w:r>
      <w:r w:rsidRPr="00BB544D">
        <w:rPr>
          <w:szCs w:val="22"/>
        </w:rPr>
        <w:t xml:space="preserve">fixed radar operations to specific locations such as airports </w:t>
      </w:r>
      <w:r w:rsidRPr="00BB544D">
        <w:rPr>
          <w:spacing w:val="-2"/>
          <w:szCs w:val="22"/>
        </w:rPr>
        <w:t xml:space="preserve">might be overly restrictive and </w:t>
      </w:r>
      <w:r>
        <w:rPr>
          <w:spacing w:val="-2"/>
          <w:szCs w:val="22"/>
        </w:rPr>
        <w:t xml:space="preserve">could </w:t>
      </w:r>
      <w:r w:rsidRPr="00BB544D">
        <w:rPr>
          <w:spacing w:val="-2"/>
          <w:szCs w:val="22"/>
        </w:rPr>
        <w:t xml:space="preserve">unnecessarily burden the public.  </w:t>
      </w:r>
      <w:r>
        <w:t xml:space="preserve">In the subsequent </w:t>
      </w:r>
      <w:r w:rsidRPr="00BB544D">
        <w:rPr>
          <w:i/>
        </w:rPr>
        <w:t xml:space="preserve">Vehicular Radar </w:t>
      </w:r>
      <w:r>
        <w:rPr>
          <w:i/>
        </w:rPr>
        <w:t>R&amp;O</w:t>
      </w:r>
      <w:r>
        <w:t>, the Commission permitted unlicensed operation of fixed radars, including FOD detection radars, in the 76-77 GHz band at airport locations.  It permitted such operation on an unlicensed basis under the same Part 15 rules and with the same emission limits that it applied to vehicular radars in the band.</w:t>
      </w:r>
      <w:r>
        <w:rPr>
          <w:rStyle w:val="FootnoteReference"/>
        </w:rPr>
        <w:footnoteReference w:id="27"/>
      </w:r>
    </w:p>
    <w:p w:rsidR="005662EE" w:rsidRDefault="005662EE" w:rsidP="00DC2F0F">
      <w:pPr>
        <w:pStyle w:val="ParaNum"/>
        <w:widowControl/>
      </w:pPr>
      <w:r>
        <w:t>Licensed FOD detection radar can be traced to an August 10, 2010 petition for Rulemaking in which Trex Enterprises Corporation (Trex) asked us to amend Part 90 of our rules to permit FOD detection radars to operate in the 78-81 GHz band and to impose service rules that require each airport location to be individually licensed to operate FOD detection radars.</w:t>
      </w:r>
      <w:r>
        <w:rPr>
          <w:rStyle w:val="FootnoteReference"/>
          <w:szCs w:val="22"/>
        </w:rPr>
        <w:footnoteReference w:id="28"/>
      </w:r>
      <w:r>
        <w:t xml:space="preserve">  The Commission subsequently issued a </w:t>
      </w:r>
      <w:r w:rsidRPr="00E37665">
        <w:t>Notice of Proposed Rule Making and Order</w:t>
      </w:r>
      <w:r w:rsidRPr="00846EC4">
        <w:rPr>
          <w:i/>
        </w:rPr>
        <w:t xml:space="preserve"> </w:t>
      </w:r>
      <w:r>
        <w:t>seeking comment on the best way to enable the use FOD detection radars.</w:t>
      </w:r>
      <w:r>
        <w:rPr>
          <w:rStyle w:val="FootnoteReference"/>
        </w:rPr>
        <w:footnoteReference w:id="29"/>
      </w:r>
      <w:r>
        <w:t xml:space="preserve">  On July 11, 2013, the Commission adopted a </w:t>
      </w:r>
      <w:r w:rsidRPr="00E37665">
        <w:t>Report and Order</w:t>
      </w:r>
      <w:r>
        <w:t xml:space="preserve"> that permitted the certification, licensing, and use of FOD detection radars in the 78-81 GHz band under our Part 90 rules.</w:t>
      </w:r>
      <w:r>
        <w:rPr>
          <w:rStyle w:val="FootnoteReference"/>
        </w:rPr>
        <w:footnoteReference w:id="30"/>
      </w:r>
      <w:r>
        <w:t xml:space="preserve">  In that Report and Order, the Commission did not adopt technical specifications for FOD detection radars.</w:t>
      </w:r>
      <w:r>
        <w:rPr>
          <w:rStyle w:val="FootnoteReference"/>
        </w:rPr>
        <w:footnoteReference w:id="31"/>
      </w:r>
      <w:r>
        <w:t xml:space="preserve">  We address this issue herein.</w:t>
      </w:r>
    </w:p>
    <w:p w:rsidR="005662EE" w:rsidRDefault="005662EE" w:rsidP="00006179">
      <w:pPr>
        <w:pStyle w:val="ParaNum"/>
      </w:pPr>
      <w:r w:rsidRPr="00C707B5">
        <w:rPr>
          <w:i/>
          <w:u w:val="single"/>
        </w:rPr>
        <w:t xml:space="preserve">Petitions for </w:t>
      </w:r>
      <w:r>
        <w:rPr>
          <w:i/>
          <w:u w:val="single"/>
        </w:rPr>
        <w:t>R</w:t>
      </w:r>
      <w:r w:rsidRPr="00C707B5">
        <w:rPr>
          <w:i/>
          <w:u w:val="single"/>
        </w:rPr>
        <w:t>econsideration</w:t>
      </w:r>
      <w:r w:rsidRPr="00C707B5">
        <w:rPr>
          <w:u w:val="single"/>
        </w:rPr>
        <w:t>.</w:t>
      </w:r>
      <w:r w:rsidRPr="00322FD6">
        <w:t xml:space="preserve">  Our evaluation of the </w:t>
      </w:r>
      <w:r>
        <w:t xml:space="preserve">76-81 </w:t>
      </w:r>
      <w:r w:rsidR="00152334">
        <w:t>G</w:t>
      </w:r>
      <w:r w:rsidRPr="00322FD6">
        <w:t xml:space="preserve">Hz band also implicates two outstanding petitions for reconsideration.  Both petitions were filed in response to the </w:t>
      </w:r>
      <w:r>
        <w:rPr>
          <w:i/>
        </w:rPr>
        <w:t>Vehicular Radar R&amp;O</w:t>
      </w:r>
      <w:r w:rsidRPr="00322FD6">
        <w:t xml:space="preserve"> that modified our Part 15 rules to permit vehicular radar technologies and airport-based fixed radar applications in the </w:t>
      </w:r>
      <w:r>
        <w:t xml:space="preserve">76-77 </w:t>
      </w:r>
      <w:r w:rsidRPr="00322FD6">
        <w:t>GHz band.</w:t>
      </w:r>
      <w:r>
        <w:rPr>
          <w:rStyle w:val="FootnoteReference"/>
          <w:szCs w:val="22"/>
        </w:rPr>
        <w:footnoteReference w:id="32"/>
      </w:r>
    </w:p>
    <w:p w:rsidR="005662EE" w:rsidRDefault="005662EE" w:rsidP="00C2212F">
      <w:pPr>
        <w:pStyle w:val="ParaNum"/>
        <w:widowControl/>
      </w:pPr>
      <w:r w:rsidRPr="00322FD6">
        <w:t xml:space="preserve">The </w:t>
      </w:r>
      <w:r>
        <w:t>first</w:t>
      </w:r>
      <w:r w:rsidRPr="00322FD6">
        <w:t xml:space="preserve"> petition concerns the scope of fixed infrastructure applications in the </w:t>
      </w:r>
      <w:r>
        <w:t xml:space="preserve">76-77 </w:t>
      </w:r>
      <w:r w:rsidRPr="00322FD6">
        <w:t>GHz band.</w:t>
      </w:r>
      <w:r>
        <w:rPr>
          <w:rStyle w:val="FootnoteReference"/>
          <w:szCs w:val="22"/>
        </w:rPr>
        <w:footnoteReference w:id="33"/>
      </w:r>
      <w:r w:rsidRPr="00322FD6">
        <w:t xml:space="preserve">  In the </w:t>
      </w:r>
      <w:r>
        <w:rPr>
          <w:i/>
        </w:rPr>
        <w:t>Vehicular Radar R&amp;O</w:t>
      </w:r>
      <w:r>
        <w:t xml:space="preserve">, the Commission stated that it continues to believe </w:t>
      </w:r>
      <w:r w:rsidRPr="00322FD6">
        <w:t>that vehicular radars should be able to share the band with fixed radars operating at the same levels and note</w:t>
      </w:r>
      <w:r>
        <w:t>d</w:t>
      </w:r>
      <w:r w:rsidRPr="00322FD6">
        <w:t xml:space="preserve"> that there </w:t>
      </w:r>
      <w:r>
        <w:t>we</w:t>
      </w:r>
      <w:r w:rsidRPr="00322FD6">
        <w:t>re no conclusive test results indicating that there would be incompatibility issues between the two types of radars.</w:t>
      </w:r>
      <w:r>
        <w:rPr>
          <w:rStyle w:val="FootnoteReference"/>
          <w:szCs w:val="22"/>
        </w:rPr>
        <w:footnoteReference w:id="34"/>
      </w:r>
      <w:r w:rsidRPr="00322FD6">
        <w:t xml:space="preserve">  It nevertheless declined to adopt </w:t>
      </w:r>
      <w:r>
        <w:t xml:space="preserve">provisions for unlicensed fixed radar operations outside of airport locations in the 76-77 GHz band, stating that </w:t>
      </w:r>
      <w:r w:rsidRPr="00322FD6">
        <w:t xml:space="preserve">no parties had come forward to establish a </w:t>
      </w:r>
      <w:r>
        <w:t>clear demand</w:t>
      </w:r>
      <w:r w:rsidRPr="00322FD6">
        <w:t xml:space="preserve"> for fixed radar applications beyond such locations.  Navtech</w:t>
      </w:r>
      <w:r>
        <w:t xml:space="preserve"> </w:t>
      </w:r>
      <w:r w:rsidRPr="00322FD6">
        <w:t>Radar (Navtech) asks that we reconsider this decision.</w:t>
      </w:r>
      <w:r>
        <w:rPr>
          <w:rStyle w:val="FootnoteReference"/>
        </w:rPr>
        <w:footnoteReference w:id="35"/>
      </w:r>
      <w:r w:rsidRPr="00322FD6">
        <w:t xml:space="preserve">  Navtech claims that evidence suggests the band can be more broadly shared between vehicular and fixed radars, and that there is demand for new fixed radar applications that are not permitted under the current rules.  Numerous parties, including </w:t>
      </w:r>
      <w:r>
        <w:t>representatives of the automotive industry, oppose the Navtech petition on both substantive and procedural grounds.</w:t>
      </w:r>
      <w:r>
        <w:rPr>
          <w:rStyle w:val="FootnoteReference"/>
        </w:rPr>
        <w:footnoteReference w:id="36"/>
      </w:r>
      <w:r>
        <w:t xml:space="preserve">  In a subsequent </w:t>
      </w:r>
      <w:r w:rsidRPr="00322FD6">
        <w:rPr>
          <w:i/>
        </w:rPr>
        <w:t>ex parte</w:t>
      </w:r>
      <w:r>
        <w:t xml:space="preserve"> presentation, Navtech reiterated its claims.</w:t>
      </w:r>
      <w:r>
        <w:rPr>
          <w:rStyle w:val="FootnoteReference"/>
        </w:rPr>
        <w:footnoteReference w:id="37"/>
      </w:r>
    </w:p>
    <w:p w:rsidR="005662EE" w:rsidRDefault="005662EE" w:rsidP="00006179">
      <w:pPr>
        <w:pStyle w:val="ParaNum"/>
      </w:pPr>
      <w:r>
        <w:rPr>
          <w:szCs w:val="22"/>
        </w:rPr>
        <w:t>Second</w:t>
      </w:r>
      <w:r w:rsidRPr="00322FD6">
        <w:rPr>
          <w:szCs w:val="22"/>
        </w:rPr>
        <w:t>, H</w:t>
      </w:r>
      <w:r>
        <w:t>oneywell International, Inc. (Honeywell) asks that we clarify that Section 15.253(a) of our rules does not prohibit the operation of 76-77 GHz band radar devices located on aircraft while the aircraft are on the ground.</w:t>
      </w:r>
      <w:r>
        <w:rPr>
          <w:rStyle w:val="FootnoteReference"/>
        </w:rPr>
        <w:footnoteReference w:id="38"/>
      </w:r>
      <w:r>
        <w:t xml:space="preserve">  Honeywell envisions that its radar application will help aircraft avoid collisions with other aircraft, stationary objects, and service vehicles.   </w:t>
      </w:r>
    </w:p>
    <w:p w:rsidR="005662EE" w:rsidRDefault="005662EE" w:rsidP="00006179">
      <w:pPr>
        <w:pStyle w:val="ParaNum"/>
      </w:pPr>
      <w:r>
        <w:t>Numerous representatives of the automotive industry as well as Xsight Systems, Inc., filed to oppose the Honeywell petition.  These parties raised procedural arguments – that the issue of removing the current prohibition on the use of 76-77 GHz frequency range on aircraft or satellite was not properly raised in the proceeding and is otherwise outside the scope of the decision – as well as claims that there is insufficient evidence that both aircraft-mounted and vehicular radars can co-exist in the 76-77 GHz band.  In response, Honeywell claims that the issues it raises are within the scope of the Commission’s rulemaking proceeding, that there is no technical reason why aircraft-mounted radar cannot operate in the 76-77 GHz band while the aircraft is on ground, and that there is an urgent and recognized public interest need for the anti-collision benefits its aircraft-mounted radars can provide.</w:t>
      </w:r>
      <w:r>
        <w:rPr>
          <w:rStyle w:val="FootnoteReference"/>
        </w:rPr>
        <w:footnoteReference w:id="39"/>
      </w:r>
    </w:p>
    <w:p w:rsidR="005662EE" w:rsidRPr="00C65B5C" w:rsidRDefault="005662EE" w:rsidP="00006179">
      <w:pPr>
        <w:pStyle w:val="ParaNum"/>
      </w:pPr>
      <w:r>
        <w:t>The Commission originally adopted rules to allow use of the 76-77 GHz band, limited to vehicle-mounted radars.</w:t>
      </w:r>
      <w:r>
        <w:rPr>
          <w:rStyle w:val="FootnoteReference"/>
        </w:rPr>
        <w:footnoteReference w:id="40"/>
      </w:r>
      <w:r>
        <w:t xml:space="preserve">  It recognized concerns raised by the Committee on Radio Frequencies (CORF) of the National Academies about potential interference to radio astronomy operations, and prohibited the use of 76-77 GHz unlicensed devices aboard aircraft and satellites as a way to protect the radio astronomy services.  A</w:t>
      </w:r>
      <w:r>
        <w:rPr>
          <w:szCs w:val="22"/>
        </w:rPr>
        <w:t>ny change to</w:t>
      </w:r>
      <w:r w:rsidRPr="00322FD6">
        <w:rPr>
          <w:szCs w:val="22"/>
        </w:rPr>
        <w:t xml:space="preserve"> the restriction on </w:t>
      </w:r>
      <w:r>
        <w:t xml:space="preserve">the use of 76-77 GHz unlicensed devices aboard aircraft and satellites was neither part of the </w:t>
      </w:r>
      <w:r w:rsidRPr="003601A9">
        <w:rPr>
          <w:i/>
        </w:rPr>
        <w:t>Vehicular Radar</w:t>
      </w:r>
      <w:r>
        <w:t xml:space="preserve"> </w:t>
      </w:r>
      <w:r w:rsidRPr="004F2DA4">
        <w:rPr>
          <w:i/>
        </w:rPr>
        <w:t>NPRM</w:t>
      </w:r>
      <w:r w:rsidDel="007A33B9">
        <w:t xml:space="preserve"> </w:t>
      </w:r>
      <w:r>
        <w:t xml:space="preserve">nor of the subsequent </w:t>
      </w:r>
      <w:r w:rsidRPr="00727C9C">
        <w:rPr>
          <w:i/>
          <w:szCs w:val="22"/>
        </w:rPr>
        <w:t>Vehicular Radar</w:t>
      </w:r>
      <w:r>
        <w:rPr>
          <w:szCs w:val="22"/>
        </w:rPr>
        <w:t xml:space="preserve"> </w:t>
      </w:r>
      <w:r w:rsidRPr="00322FD6">
        <w:rPr>
          <w:i/>
          <w:szCs w:val="22"/>
        </w:rPr>
        <w:t>R</w:t>
      </w:r>
      <w:r>
        <w:rPr>
          <w:i/>
          <w:szCs w:val="22"/>
        </w:rPr>
        <w:t>&amp;</w:t>
      </w:r>
      <w:r w:rsidRPr="00322FD6">
        <w:rPr>
          <w:i/>
          <w:szCs w:val="22"/>
        </w:rPr>
        <w:t>O</w:t>
      </w:r>
      <w:r>
        <w:rPr>
          <w:i/>
          <w:szCs w:val="22"/>
        </w:rPr>
        <w:t>.</w:t>
      </w:r>
      <w:r>
        <w:rPr>
          <w:rStyle w:val="FootnoteReference"/>
          <w:i/>
          <w:szCs w:val="22"/>
        </w:rPr>
        <w:footnoteReference w:id="41"/>
      </w:r>
    </w:p>
    <w:p w:rsidR="005662EE" w:rsidRDefault="005662EE" w:rsidP="00006179">
      <w:pPr>
        <w:pStyle w:val="ParaNum"/>
      </w:pPr>
      <w:r w:rsidRPr="00C707B5">
        <w:rPr>
          <w:i/>
          <w:u w:val="single"/>
        </w:rPr>
        <w:t xml:space="preserve">Radio </w:t>
      </w:r>
      <w:r>
        <w:rPr>
          <w:i/>
          <w:u w:val="single"/>
        </w:rPr>
        <w:t>A</w:t>
      </w:r>
      <w:r w:rsidRPr="00C707B5">
        <w:rPr>
          <w:i/>
          <w:u w:val="single"/>
        </w:rPr>
        <w:t>stronomy</w:t>
      </w:r>
      <w:r>
        <w:rPr>
          <w:i/>
          <w:u w:val="single"/>
        </w:rPr>
        <w:t xml:space="preserve"> Service</w:t>
      </w:r>
      <w:r w:rsidRPr="00C707B5">
        <w:rPr>
          <w:u w:val="single"/>
        </w:rPr>
        <w:t>.</w:t>
      </w:r>
      <w:r>
        <w:t xml:space="preserve">  </w:t>
      </w:r>
      <w:r w:rsidRPr="007C1703">
        <w:t>The radio astronomy service is a passive service that receives radio waves of cosmic origin to better understand our universe.  Astronomical research above 50 GHz is particularly well suited for studies of star formation, the properties of the interstellar medium, the chemical evolution of the Universe, detection of extra-solar plan</w:t>
      </w:r>
      <w:r>
        <w:t>ets and many other phenomena.  RAS has a mix of primary and secondary allocations that span the 76-81 GHz band.</w:t>
      </w:r>
      <w:r>
        <w:rPr>
          <w:rStyle w:val="FootnoteReference"/>
          <w:szCs w:val="22"/>
        </w:rPr>
        <w:footnoteReference w:id="42"/>
      </w:r>
      <w:r>
        <w:t xml:space="preserve">  </w:t>
      </w:r>
      <w:r w:rsidRPr="007C1703">
        <w:t xml:space="preserve">RAS installations are remotely located to provide interference protection from active services.  The Commission previously concluded </w:t>
      </w:r>
      <w:r>
        <w:t xml:space="preserve">that </w:t>
      </w:r>
      <w:r w:rsidRPr="007C1703">
        <w:t xml:space="preserve">there is very negligible risk of potential interference </w:t>
      </w:r>
      <w:r>
        <w:t xml:space="preserve">to </w:t>
      </w:r>
      <w:r w:rsidRPr="007C1703">
        <w:t xml:space="preserve">RAS equipment </w:t>
      </w:r>
      <w:r>
        <w:t xml:space="preserve">from </w:t>
      </w:r>
      <w:r w:rsidRPr="007C1703">
        <w:t xml:space="preserve">vehicular radars in the </w:t>
      </w:r>
      <w:r>
        <w:t xml:space="preserve">76-77 </w:t>
      </w:r>
      <w:r w:rsidRPr="007C1703">
        <w:t>GHz band.</w:t>
      </w:r>
      <w:r>
        <w:rPr>
          <w:rStyle w:val="FootnoteReference"/>
          <w:szCs w:val="22"/>
        </w:rPr>
        <w:footnoteReference w:id="43"/>
      </w:r>
      <w:r w:rsidRPr="007C1703">
        <w:t xml:space="preserve">  </w:t>
      </w:r>
      <w:r>
        <w:t xml:space="preserve">The Commission also concluded that unlicensed </w:t>
      </w:r>
      <w:r w:rsidRPr="007C1703">
        <w:t xml:space="preserve">FOD detection equipment </w:t>
      </w:r>
      <w:r>
        <w:t>would</w:t>
      </w:r>
      <w:r w:rsidRPr="007C1703">
        <w:t xml:space="preserve"> not cause </w:t>
      </w:r>
      <w:r>
        <w:t>harmful</w:t>
      </w:r>
      <w:r w:rsidRPr="007C1703">
        <w:t xml:space="preserve"> interference to RAS equipment as </w:t>
      </w:r>
      <w:r>
        <w:t xml:space="preserve">both applications only operate </w:t>
      </w:r>
      <w:r w:rsidRPr="007C1703">
        <w:t>fixed</w:t>
      </w:r>
      <w:r>
        <w:t xml:space="preserve"> stations</w:t>
      </w:r>
      <w:r w:rsidRPr="007C1703">
        <w:t xml:space="preserve">, </w:t>
      </w:r>
      <w:r>
        <w:t xml:space="preserve">are </w:t>
      </w:r>
      <w:r w:rsidRPr="007C1703">
        <w:t xml:space="preserve">limited in </w:t>
      </w:r>
      <w:r w:rsidR="00530AA9" w:rsidRPr="007C1703">
        <w:t>number,</w:t>
      </w:r>
      <w:r w:rsidRPr="007C1703">
        <w:t xml:space="preserve"> and are </w:t>
      </w:r>
      <w:r>
        <w:t xml:space="preserve">not </w:t>
      </w:r>
      <w:r w:rsidRPr="007C1703">
        <w:t xml:space="preserve">located </w:t>
      </w:r>
      <w:r>
        <w:t>in close proximity</w:t>
      </w:r>
      <w:r w:rsidRPr="007C1703">
        <w:t>.</w:t>
      </w:r>
      <w:r>
        <w:rPr>
          <w:rStyle w:val="FootnoteReference"/>
          <w:szCs w:val="22"/>
        </w:rPr>
        <w:footnoteReference w:id="44"/>
      </w:r>
      <w:r w:rsidRPr="007C1703">
        <w:t xml:space="preserve">  </w:t>
      </w:r>
    </w:p>
    <w:p w:rsidR="005662EE" w:rsidRPr="00B56DF7" w:rsidRDefault="005662EE" w:rsidP="00006179">
      <w:pPr>
        <w:pStyle w:val="ParaNum"/>
      </w:pPr>
      <w:r w:rsidRPr="00C707B5">
        <w:rPr>
          <w:i/>
          <w:u w:val="single"/>
        </w:rPr>
        <w:t>Amateur</w:t>
      </w:r>
      <w:r w:rsidRPr="00C707B5">
        <w:rPr>
          <w:u w:val="single"/>
        </w:rPr>
        <w:t>.</w:t>
      </w:r>
      <w:r>
        <w:t xml:space="preserve">  In addition to the above services, the Commission also allows amateur radio use within the 76-81 GHz band.  Generally speaking, </w:t>
      </w:r>
      <w:r>
        <w:rPr>
          <w:bCs/>
          <w:color w:val="000000"/>
          <w:shd w:val="clear" w:color="auto" w:fill="FFFFFF"/>
        </w:rPr>
        <w:t>a</w:t>
      </w:r>
      <w:r w:rsidRPr="00606B23">
        <w:rPr>
          <w:bCs/>
          <w:color w:val="000000"/>
          <w:shd w:val="clear" w:color="auto" w:fill="FFFFFF"/>
        </w:rPr>
        <w:t xml:space="preserve">mateur </w:t>
      </w:r>
      <w:r>
        <w:rPr>
          <w:bCs/>
          <w:color w:val="000000"/>
          <w:shd w:val="clear" w:color="auto" w:fill="FFFFFF"/>
        </w:rPr>
        <w:t xml:space="preserve">operators </w:t>
      </w:r>
      <w:r w:rsidRPr="00606B23">
        <w:rPr>
          <w:color w:val="000000"/>
          <w:shd w:val="clear" w:color="auto" w:fill="FFFFFF"/>
        </w:rPr>
        <w:t>use</w:t>
      </w:r>
      <w:r>
        <w:rPr>
          <w:color w:val="000000"/>
          <w:shd w:val="clear" w:color="auto" w:fill="FFFFFF"/>
        </w:rPr>
        <w:t xml:space="preserve"> radio spectrum </w:t>
      </w:r>
      <w:r w:rsidRPr="00606B23">
        <w:rPr>
          <w:color w:val="000000"/>
          <w:shd w:val="clear" w:color="auto" w:fill="FFFFFF"/>
        </w:rPr>
        <w:t>f</w:t>
      </w:r>
      <w:r>
        <w:rPr>
          <w:color w:val="000000"/>
          <w:shd w:val="clear" w:color="auto" w:fill="FFFFFF"/>
        </w:rPr>
        <w:t>or</w:t>
      </w:r>
      <w:r w:rsidRPr="00606B23">
        <w:rPr>
          <w:color w:val="000000"/>
          <w:shd w:val="clear" w:color="auto" w:fill="FFFFFF"/>
        </w:rPr>
        <w:t xml:space="preserve"> private recreation,</w:t>
      </w:r>
      <w:r w:rsidRPr="00606B23">
        <w:rPr>
          <w:rStyle w:val="apple-converted-space"/>
          <w:color w:val="000000"/>
          <w:szCs w:val="22"/>
          <w:shd w:val="clear" w:color="auto" w:fill="FFFFFF"/>
        </w:rPr>
        <w:t> </w:t>
      </w:r>
      <w:r w:rsidRPr="00B1225E">
        <w:rPr>
          <w:shd w:val="clear" w:color="auto" w:fill="FFFFFF"/>
        </w:rPr>
        <w:t>non-commercial</w:t>
      </w:r>
      <w:r w:rsidRPr="00606B23">
        <w:rPr>
          <w:rStyle w:val="apple-converted-space"/>
          <w:color w:val="000000"/>
          <w:szCs w:val="22"/>
          <w:shd w:val="clear" w:color="auto" w:fill="FFFFFF"/>
        </w:rPr>
        <w:t> </w:t>
      </w:r>
      <w:r w:rsidRPr="00606B23">
        <w:rPr>
          <w:color w:val="000000"/>
          <w:shd w:val="clear" w:color="auto" w:fill="FFFFFF"/>
        </w:rPr>
        <w:t>exchange of messages,</w:t>
      </w:r>
      <w:r w:rsidRPr="00606B23">
        <w:rPr>
          <w:rStyle w:val="apple-converted-space"/>
          <w:color w:val="000000"/>
          <w:szCs w:val="22"/>
          <w:shd w:val="clear" w:color="auto" w:fill="FFFFFF"/>
        </w:rPr>
        <w:t> </w:t>
      </w:r>
      <w:r w:rsidRPr="00B1225E">
        <w:rPr>
          <w:shd w:val="clear" w:color="auto" w:fill="FFFFFF"/>
        </w:rPr>
        <w:t>wireless</w:t>
      </w:r>
      <w:r w:rsidRPr="00606B23">
        <w:rPr>
          <w:rStyle w:val="apple-converted-space"/>
          <w:color w:val="000000"/>
          <w:szCs w:val="22"/>
          <w:shd w:val="clear" w:color="auto" w:fill="FFFFFF"/>
        </w:rPr>
        <w:t> </w:t>
      </w:r>
      <w:r w:rsidRPr="00606B23">
        <w:rPr>
          <w:color w:val="000000"/>
          <w:shd w:val="clear" w:color="auto" w:fill="FFFFFF"/>
        </w:rPr>
        <w:t>experimentation, self-training, and emergency communication</w:t>
      </w:r>
      <w:r>
        <w:rPr>
          <w:color w:val="000000"/>
          <w:shd w:val="clear" w:color="auto" w:fill="FFFFFF"/>
        </w:rPr>
        <w:t xml:space="preserve"> purposes</w:t>
      </w:r>
      <w:r w:rsidRPr="00606B23">
        <w:rPr>
          <w:color w:val="000000"/>
          <w:shd w:val="clear" w:color="auto" w:fill="FFFFFF"/>
        </w:rPr>
        <w:t>.</w:t>
      </w:r>
      <w:r>
        <w:rPr>
          <w:color w:val="000000"/>
          <w:shd w:val="clear" w:color="auto" w:fill="FFFFFF"/>
        </w:rPr>
        <w:t xml:space="preserve">  </w:t>
      </w:r>
      <w:r>
        <w:t>The amateur radio community previously stated that the frequencies in the 76-81 GHz range</w:t>
      </w:r>
      <w:r w:rsidDel="00431C29">
        <w:t xml:space="preserve"> </w:t>
      </w:r>
      <w:r>
        <w:t>(which it identifies as the “4 mm band”) are well suited for experiments relating to short-range high-speed data communication.</w:t>
      </w:r>
      <w:r>
        <w:rPr>
          <w:rStyle w:val="FootnoteReference"/>
          <w:szCs w:val="22"/>
        </w:rPr>
        <w:footnoteReference w:id="45"/>
      </w:r>
      <w:r>
        <w:t xml:space="preserve">  </w:t>
      </w:r>
      <w:r>
        <w:rPr>
          <w:color w:val="000000"/>
          <w:shd w:val="clear" w:color="auto" w:fill="FFFFFF"/>
        </w:rPr>
        <w:t>The Commission has previously considered compatibility issues for amateur operations with vehicular radar and FOD detection radar operations.  In light of concerns about interference between amateur operations and vehicular radars, the Commission imposed (and, more recently, maintained) a suspension of the amateur-satellite service allocation in the 76-77 GHz band.</w:t>
      </w:r>
      <w:r>
        <w:rPr>
          <w:rStyle w:val="FootnoteReference"/>
          <w:color w:val="000000"/>
          <w:szCs w:val="22"/>
          <w:shd w:val="clear" w:color="auto" w:fill="FFFFFF"/>
        </w:rPr>
        <w:footnoteReference w:id="46"/>
      </w:r>
      <w:r>
        <w:rPr>
          <w:color w:val="000000"/>
          <w:shd w:val="clear" w:color="auto" w:fill="FFFFFF"/>
        </w:rPr>
        <w:t xml:space="preserve">  </w:t>
      </w:r>
    </w:p>
    <w:p w:rsidR="005662EE" w:rsidRDefault="005662EE" w:rsidP="00DC2F0F">
      <w:pPr>
        <w:pStyle w:val="ParaNum"/>
        <w:widowControl/>
      </w:pPr>
      <w:r>
        <w:rPr>
          <w:i/>
          <w:u w:val="single"/>
        </w:rPr>
        <w:t>L</w:t>
      </w:r>
      <w:r w:rsidRPr="00C707B5">
        <w:rPr>
          <w:i/>
          <w:u w:val="single"/>
        </w:rPr>
        <w:t xml:space="preserve">evel </w:t>
      </w:r>
      <w:r>
        <w:rPr>
          <w:i/>
          <w:u w:val="single"/>
        </w:rPr>
        <w:t>P</w:t>
      </w:r>
      <w:r w:rsidRPr="00C707B5">
        <w:rPr>
          <w:i/>
          <w:u w:val="single"/>
        </w:rPr>
        <w:t xml:space="preserve">robing </w:t>
      </w:r>
      <w:r>
        <w:rPr>
          <w:i/>
          <w:u w:val="single"/>
        </w:rPr>
        <w:t>R</w:t>
      </w:r>
      <w:r w:rsidRPr="00C707B5">
        <w:rPr>
          <w:i/>
          <w:u w:val="single"/>
        </w:rPr>
        <w:t>adar.</w:t>
      </w:r>
      <w:r>
        <w:t xml:space="preserve">  An additional permitted operation in the 77-81 GHz band is that of level probing radars (LPRs) which operate on an unlicensed basis under Part 15.</w:t>
      </w:r>
      <w:r>
        <w:rPr>
          <w:rStyle w:val="FootnoteReference"/>
        </w:rPr>
        <w:footnoteReference w:id="47"/>
      </w:r>
      <w:r>
        <w:t xml:space="preserve">  LPRs are used to measure the amount of various materials contained in storage tanks or vessels or to measure water or other material levels in outdoor locations.  They are typically mounted inside storage tanks or on bridges or on other elevated structures in outdoor locations, and emit radio frequency (RF) signals through an antenna aimed downwards to the surface of the substance to be measured.</w:t>
      </w:r>
      <w:r>
        <w:rPr>
          <w:rStyle w:val="FootnoteReference"/>
        </w:rPr>
        <w:footnoteReference w:id="48"/>
      </w:r>
      <w:r>
        <w:t xml:space="preserve">  The Commission recently concluded </w:t>
      </w:r>
      <w:r w:rsidRPr="0026467E">
        <w:t xml:space="preserve">that </w:t>
      </w:r>
      <w:r>
        <w:t>LPR devices would be able to co</w:t>
      </w:r>
      <w:r>
        <w:noBreakHyphen/>
        <w:t>exist successfully with vehicular radars.</w:t>
      </w:r>
      <w:r>
        <w:rPr>
          <w:rStyle w:val="FootnoteReference"/>
        </w:rPr>
        <w:footnoteReference w:id="49"/>
      </w:r>
      <w:r>
        <w:t xml:space="preserve">  It based its conclusion on the nature of LPR equipment, which is installed in a downward</w:t>
      </w:r>
      <w:r>
        <w:noBreakHyphen/>
        <w:t>looking position at fixed locations, and because the main</w:t>
      </w:r>
      <w:r>
        <w:noBreakHyphen/>
        <w:t>beam emission limits have been carefully calculated to avoid harmful interference to other radio services.</w:t>
      </w:r>
      <w:r>
        <w:rPr>
          <w:rStyle w:val="FootnoteReference"/>
        </w:rPr>
        <w:footnoteReference w:id="50"/>
      </w:r>
    </w:p>
    <w:p w:rsidR="005662EE" w:rsidRDefault="005662EE" w:rsidP="002D7A6D">
      <w:pPr>
        <w:pStyle w:val="Heading1"/>
      </w:pPr>
      <w:bookmarkStart w:id="9" w:name="_Toc380747771"/>
      <w:bookmarkStart w:id="10" w:name="_Toc380750751"/>
      <w:r>
        <w:t>Notice of proposed rulemaking</w:t>
      </w:r>
      <w:bookmarkEnd w:id="9"/>
      <w:bookmarkEnd w:id="10"/>
    </w:p>
    <w:p w:rsidR="005662EE" w:rsidRPr="003423C9" w:rsidRDefault="005662EE" w:rsidP="00006179">
      <w:pPr>
        <w:pStyle w:val="ParaNum"/>
      </w:pPr>
      <w:r>
        <w:t>We undertake this proceeding to expand the available spectrum for radar operations in the 76-81 GHz band.  Specifically, w</w:t>
      </w:r>
      <w:r w:rsidRPr="0088467E">
        <w:t xml:space="preserve">e propose to add rules for </w:t>
      </w:r>
      <w:r>
        <w:t>r</w:t>
      </w:r>
      <w:r w:rsidRPr="0088467E">
        <w:t>adar</w:t>
      </w:r>
      <w:r>
        <w:t xml:space="preserve">s </w:t>
      </w:r>
      <w:r w:rsidRPr="0088467E">
        <w:t xml:space="preserve">in the </w:t>
      </w:r>
      <w:r>
        <w:t xml:space="preserve">76-81 </w:t>
      </w:r>
      <w:r w:rsidRPr="0088467E">
        <w:t>GHz band as licensed services under Part 95 of our rules</w:t>
      </w:r>
      <w:r>
        <w:t>.</w:t>
      </w:r>
      <w:r>
        <w:rPr>
          <w:rStyle w:val="FootnoteReference"/>
          <w:szCs w:val="22"/>
        </w:rPr>
        <w:footnoteReference w:id="51"/>
      </w:r>
      <w:r>
        <w:t xml:space="preserve">  In doing so, we recognize that the millimeter wave bands support numerous beneficial services and incumbent operations, including vehicular radars, radio astronomy, FOD detection radars, level probing radars and amateur applications, and that this frequency band could host other additional applications in the future.  The following discussion addresses the compatibility issues among services and proposes rules to authorize vehicular radars, FOD detection radars, fixed infrastructure radars and aircraft-mounted radars in the 76-81 GHz band.   </w:t>
      </w:r>
      <w:r w:rsidR="00B31AFA">
        <w:t>As with other spectrum users, we seek to promote the efficient use of these resources by radar applications.</w:t>
      </w:r>
    </w:p>
    <w:p w:rsidR="005662EE" w:rsidRDefault="005662EE" w:rsidP="00006179">
      <w:pPr>
        <w:pStyle w:val="ParaNum"/>
      </w:pPr>
      <w:bookmarkStart w:id="11" w:name="_Toc376856083"/>
      <w:bookmarkStart w:id="12" w:name="_Toc376856252"/>
      <w:bookmarkStart w:id="13" w:name="_Toc376856296"/>
      <w:bookmarkStart w:id="14" w:name="_Toc376856489"/>
      <w:r>
        <w:rPr>
          <w:i/>
          <w:u w:val="single"/>
        </w:rPr>
        <w:t>Vehicular R</w:t>
      </w:r>
      <w:r w:rsidRPr="00C707B5">
        <w:rPr>
          <w:i/>
          <w:u w:val="single"/>
        </w:rPr>
        <w:t>adar</w:t>
      </w:r>
      <w:bookmarkEnd w:id="11"/>
      <w:bookmarkEnd w:id="12"/>
      <w:bookmarkEnd w:id="13"/>
      <w:bookmarkEnd w:id="14"/>
      <w:r w:rsidRPr="00C707B5">
        <w:rPr>
          <w:i/>
          <w:u w:val="single"/>
        </w:rPr>
        <w:t>.</w:t>
      </w:r>
      <w:r w:rsidRPr="00C56CE1">
        <w:t xml:space="preserve"> </w:t>
      </w:r>
      <w:r>
        <w:t xml:space="preserve"> We recognize that the usage of vehicular radar applications has continued to grow and evolve since the Commission issued the </w:t>
      </w:r>
      <w:r w:rsidRPr="00310615">
        <w:rPr>
          <w:i/>
        </w:rPr>
        <w:t>Vehicular Radar</w:t>
      </w:r>
      <w:r>
        <w:t xml:space="preserve"> </w:t>
      </w:r>
      <w:r>
        <w:rPr>
          <w:i/>
        </w:rPr>
        <w:t>R&amp;O</w:t>
      </w:r>
      <w:r>
        <w:t xml:space="preserve">, and that </w:t>
      </w:r>
      <w:r w:rsidR="00B31AFA">
        <w:t xml:space="preserve">providing expanded access to the 76-81 GHz band could help those applications deliver important public benefits.   Therefore, we </w:t>
      </w:r>
      <w:r>
        <w:t xml:space="preserve"> set forth</w:t>
      </w:r>
      <w:r w:rsidR="00B31AFA">
        <w:t>,</w:t>
      </w:r>
      <w:r>
        <w:t xml:space="preserve"> below, a compressive approach for authorizing vehicular radars in the 76-81 GHz band</w:t>
      </w:r>
      <w:r w:rsidR="00B31AFA">
        <w:t xml:space="preserve"> while maintaining a view to ensuring an efficient use of spectrum by radar applications</w:t>
      </w:r>
      <w:r>
        <w:t>.</w:t>
      </w:r>
    </w:p>
    <w:p w:rsidR="005662EE" w:rsidRPr="00EC1F6F" w:rsidRDefault="005662EE" w:rsidP="00006179">
      <w:pPr>
        <w:pStyle w:val="ParaNum"/>
      </w:pPr>
      <w:r>
        <w:t>Our proposals are informed in large part by the Bosch petition, which was filed on behalf of the “79 GHz Project” – an industry-backed group that seeks to make the 77-81 GHz frequency range available for short-range automotive radar systems on a worldwide basis.</w:t>
      </w:r>
      <w:r>
        <w:rPr>
          <w:rStyle w:val="FootnoteReference"/>
        </w:rPr>
        <w:footnoteReference w:id="52"/>
      </w:r>
      <w:r>
        <w:t xml:space="preserve">  In its petition, Bosch describes the development of short-range radar (SRR) applications that are used for both active and passive automotive safety applications.</w:t>
      </w:r>
      <w:r>
        <w:rPr>
          <w:rStyle w:val="FootnoteReference"/>
        </w:rPr>
        <w:footnoteReference w:id="53"/>
      </w:r>
      <w:r>
        <w:t xml:space="preserve">  </w:t>
      </w:r>
      <w:r>
        <w:rPr>
          <w:szCs w:val="22"/>
        </w:rPr>
        <w:t xml:space="preserve">According to Bosch, </w:t>
      </w:r>
      <w:r w:rsidRPr="003D2CB6">
        <w:rPr>
          <w:szCs w:val="22"/>
        </w:rPr>
        <w:t xml:space="preserve">SRR active safety applications include </w:t>
      </w:r>
      <w:r>
        <w:rPr>
          <w:szCs w:val="22"/>
        </w:rPr>
        <w:t>“</w:t>
      </w:r>
      <w:r w:rsidRPr="003D2CB6">
        <w:rPr>
          <w:szCs w:val="22"/>
        </w:rPr>
        <w:t>stop and follow,</w:t>
      </w:r>
      <w:r>
        <w:rPr>
          <w:szCs w:val="22"/>
        </w:rPr>
        <w:t>”</w:t>
      </w:r>
      <w:r w:rsidRPr="003D2CB6">
        <w:rPr>
          <w:szCs w:val="22"/>
        </w:rPr>
        <w:t xml:space="preserve"> </w:t>
      </w:r>
      <w:r>
        <w:rPr>
          <w:szCs w:val="22"/>
        </w:rPr>
        <w:t>“</w:t>
      </w:r>
      <w:r w:rsidRPr="003D2CB6">
        <w:rPr>
          <w:szCs w:val="22"/>
        </w:rPr>
        <w:t>stop and go,</w:t>
      </w:r>
      <w:r>
        <w:rPr>
          <w:szCs w:val="22"/>
        </w:rPr>
        <w:t>”</w:t>
      </w:r>
      <w:r w:rsidRPr="003D2CB6">
        <w:rPr>
          <w:szCs w:val="22"/>
        </w:rPr>
        <w:t xml:space="preserve"> autonomous braking, firing of restraint systems and pedestrian protection. </w:t>
      </w:r>
      <w:r>
        <w:rPr>
          <w:szCs w:val="22"/>
        </w:rPr>
        <w:t xml:space="preserve"> P</w:t>
      </w:r>
      <w:r w:rsidRPr="003D2CB6">
        <w:rPr>
          <w:szCs w:val="22"/>
        </w:rPr>
        <w:t xml:space="preserve">assive safety </w:t>
      </w:r>
      <w:r>
        <w:rPr>
          <w:szCs w:val="22"/>
        </w:rPr>
        <w:t>a</w:t>
      </w:r>
      <w:r w:rsidRPr="003D2CB6">
        <w:rPr>
          <w:szCs w:val="22"/>
        </w:rPr>
        <w:t>pplications include obstacle</w:t>
      </w:r>
      <w:r>
        <w:rPr>
          <w:szCs w:val="22"/>
        </w:rPr>
        <w:t xml:space="preserve"> and pedestrian</w:t>
      </w:r>
      <w:r w:rsidRPr="003D2CB6">
        <w:rPr>
          <w:szCs w:val="22"/>
        </w:rPr>
        <w:t xml:space="preserve"> avoidance, collision warning, lane departure warning, lane change aids, blind spot detection, parking aids and airbag arming.</w:t>
      </w:r>
      <w:r>
        <w:rPr>
          <w:szCs w:val="22"/>
        </w:rPr>
        <w:t xml:space="preserve">  Collectively, </w:t>
      </w:r>
      <w:r w:rsidRPr="003D2CB6">
        <w:rPr>
          <w:szCs w:val="22"/>
        </w:rPr>
        <w:t xml:space="preserve">collision-warning </w:t>
      </w:r>
      <w:r>
        <w:rPr>
          <w:szCs w:val="22"/>
        </w:rPr>
        <w:t xml:space="preserve">systems, vehicle </w:t>
      </w:r>
      <w:r w:rsidRPr="003D2CB6">
        <w:rPr>
          <w:szCs w:val="22"/>
        </w:rPr>
        <w:t>environmental sensing systems</w:t>
      </w:r>
      <w:r>
        <w:rPr>
          <w:szCs w:val="22"/>
        </w:rPr>
        <w:t>, and other SRR applications are referred to as a “safety belt” for vehicles.</w:t>
      </w:r>
      <w:r>
        <w:rPr>
          <w:rStyle w:val="FootnoteReference"/>
          <w:szCs w:val="22"/>
        </w:rPr>
        <w:footnoteReference w:id="54"/>
      </w:r>
      <w:r>
        <w:rPr>
          <w:szCs w:val="22"/>
        </w:rPr>
        <w:t xml:space="preserve">  As a practical matter, these applications offer new and tangible ways to enhance the safety of the Nation’s drivers, and to meet important automotive safety objectives. </w:t>
      </w:r>
    </w:p>
    <w:p w:rsidR="005662EE" w:rsidRPr="00310615" w:rsidRDefault="005662EE" w:rsidP="00C2212F">
      <w:pPr>
        <w:pStyle w:val="ParaNum"/>
        <w:widowControl/>
      </w:pPr>
      <w:r w:rsidRPr="003B76A0">
        <w:t>Many parties associated with the automotive industry filed comments supporting Bosch’s assertions regarding the public benefits associated with new S</w:t>
      </w:r>
      <w:r>
        <w:t>R</w:t>
      </w:r>
      <w:r w:rsidRPr="003B76A0">
        <w:t>R vehicular radar applications.</w:t>
      </w:r>
      <w:r>
        <w:rPr>
          <w:rStyle w:val="FootnoteReference"/>
          <w:szCs w:val="22"/>
        </w:rPr>
        <w:footnoteReference w:id="55"/>
      </w:r>
      <w:r w:rsidRPr="003B76A0">
        <w:t xml:space="preserve">  For example, Continental </w:t>
      </w:r>
      <w:r>
        <w:rPr>
          <w:color w:val="121212"/>
        </w:rPr>
        <w:t>describes how numerous SRR features, such as</w:t>
      </w:r>
      <w:r w:rsidRPr="003B76A0">
        <w:rPr>
          <w:color w:val="121212"/>
        </w:rPr>
        <w:t xml:space="preserve"> distance warning, collision warning, collision mitigation backup and parking assistance and lane change assistance will</w:t>
      </w:r>
      <w:r>
        <w:rPr>
          <w:color w:val="121212"/>
        </w:rPr>
        <w:t xml:space="preserve"> serve to reduce</w:t>
      </w:r>
      <w:r w:rsidRPr="003B76A0">
        <w:rPr>
          <w:color w:val="121212"/>
        </w:rPr>
        <w:t xml:space="preserve"> fatalities and </w:t>
      </w:r>
      <w:r>
        <w:rPr>
          <w:color w:val="121212"/>
        </w:rPr>
        <w:t xml:space="preserve">minimize </w:t>
      </w:r>
      <w:r w:rsidRPr="003B76A0">
        <w:rPr>
          <w:color w:val="121212"/>
        </w:rPr>
        <w:t>personal injuries</w:t>
      </w:r>
      <w:r>
        <w:rPr>
          <w:color w:val="121212"/>
        </w:rPr>
        <w:t xml:space="preserve"> associated with vehicular accidents</w:t>
      </w:r>
      <w:r w:rsidRPr="003B76A0">
        <w:rPr>
          <w:color w:val="121212"/>
        </w:rPr>
        <w:t>.</w:t>
      </w:r>
      <w:r w:rsidRPr="004818E6">
        <w:rPr>
          <w:rStyle w:val="FootnoteReference"/>
          <w:color w:val="121212"/>
          <w:szCs w:val="22"/>
        </w:rPr>
        <w:footnoteReference w:id="56"/>
      </w:r>
      <w:r w:rsidRPr="003B76A0">
        <w:rPr>
          <w:color w:val="121212"/>
        </w:rPr>
        <w:t xml:space="preserve">  </w:t>
      </w:r>
    </w:p>
    <w:p w:rsidR="005662EE" w:rsidRPr="00AB77F9" w:rsidRDefault="005662EE" w:rsidP="00006179">
      <w:pPr>
        <w:pStyle w:val="ParaNum"/>
      </w:pPr>
      <w:r>
        <w:t xml:space="preserve">We </w:t>
      </w:r>
      <w:r w:rsidR="00BE5003">
        <w:t>propose to</w:t>
      </w:r>
      <w:r w:rsidR="00B31AFA">
        <w:t xml:space="preserve"> </w:t>
      </w:r>
      <w:r>
        <w:t>mak</w:t>
      </w:r>
      <w:r w:rsidR="00BE5003">
        <w:t>e</w:t>
      </w:r>
      <w:r>
        <w:t xml:space="preserve"> additional spectrum available for vehicular radars to accommodate the new SRR applications.   As an initial matter, </w:t>
      </w:r>
      <w:r w:rsidRPr="00A6088E">
        <w:rPr>
          <w:szCs w:val="22"/>
        </w:rPr>
        <w:t>Bosch contends that sharing studies conducted by the automotive industry have concluded that sharing is not</w:t>
      </w:r>
      <w:r w:rsidRPr="007B1AC1">
        <w:rPr>
          <w:i/>
          <w:iCs/>
          <w:szCs w:val="22"/>
        </w:rPr>
        <w:t xml:space="preserve"> </w:t>
      </w:r>
      <w:r w:rsidRPr="007B1AC1">
        <w:rPr>
          <w:szCs w:val="22"/>
        </w:rPr>
        <w:t xml:space="preserve">achievable between the LRR systems that are currently deployed in the </w:t>
      </w:r>
      <w:r>
        <w:rPr>
          <w:szCs w:val="22"/>
        </w:rPr>
        <w:t xml:space="preserve">76-77 </w:t>
      </w:r>
      <w:r w:rsidRPr="007B1AC1">
        <w:rPr>
          <w:szCs w:val="22"/>
        </w:rPr>
        <w:t>GHz band and new high-resolution SRR applications, due to foreseeable saturating interference from LRRs into SRRs (but not vice-versa).</w:t>
      </w:r>
      <w:r>
        <w:rPr>
          <w:rStyle w:val="FootnoteReference"/>
          <w:szCs w:val="22"/>
        </w:rPr>
        <w:footnoteReference w:id="57"/>
      </w:r>
      <w:r w:rsidRPr="00A6088E">
        <w:rPr>
          <w:szCs w:val="22"/>
        </w:rPr>
        <w:t xml:space="preserve">  </w:t>
      </w:r>
      <w:r>
        <w:rPr>
          <w:szCs w:val="22"/>
        </w:rPr>
        <w:t>Bosch</w:t>
      </w:r>
      <w:r w:rsidRPr="00A6088E">
        <w:rPr>
          <w:szCs w:val="22"/>
        </w:rPr>
        <w:t xml:space="preserve"> claims that in such a co-channel environment, the SRRs would be jammed due to the lack of </w:t>
      </w:r>
      <w:r>
        <w:rPr>
          <w:szCs w:val="22"/>
        </w:rPr>
        <w:t>frequency</w:t>
      </w:r>
      <w:r w:rsidRPr="00A6088E">
        <w:rPr>
          <w:szCs w:val="22"/>
        </w:rPr>
        <w:t xml:space="preserve"> separation.</w:t>
      </w:r>
      <w:r>
        <w:rPr>
          <w:rStyle w:val="FootnoteReference"/>
          <w:szCs w:val="22"/>
        </w:rPr>
        <w:footnoteReference w:id="58"/>
      </w:r>
      <w:r w:rsidRPr="00A6088E">
        <w:rPr>
          <w:szCs w:val="22"/>
        </w:rPr>
        <w:t xml:space="preserve">  </w:t>
      </w:r>
      <w:r>
        <w:t>Bosch</w:t>
      </w:r>
      <w:r w:rsidRPr="00A6088E">
        <w:rPr>
          <w:szCs w:val="22"/>
        </w:rPr>
        <w:t xml:space="preserve"> further notes that the </w:t>
      </w:r>
      <w:r>
        <w:rPr>
          <w:szCs w:val="22"/>
        </w:rPr>
        <w:t xml:space="preserve">76-77 </w:t>
      </w:r>
      <w:r w:rsidRPr="00A6088E">
        <w:rPr>
          <w:szCs w:val="22"/>
        </w:rPr>
        <w:t xml:space="preserve">GHz </w:t>
      </w:r>
      <w:r>
        <w:rPr>
          <w:szCs w:val="22"/>
        </w:rPr>
        <w:t xml:space="preserve">band </w:t>
      </w:r>
      <w:r w:rsidRPr="00A6088E">
        <w:rPr>
          <w:szCs w:val="22"/>
        </w:rPr>
        <w:t>has already been designated for vehicular and infrastructure radar systems in the United States pursuant to Section 15.2</w:t>
      </w:r>
      <w:r>
        <w:rPr>
          <w:szCs w:val="22"/>
        </w:rPr>
        <w:t>5</w:t>
      </w:r>
      <w:r w:rsidRPr="00A6088E">
        <w:rPr>
          <w:szCs w:val="22"/>
        </w:rPr>
        <w:t xml:space="preserve">3, and in Europe pursuant to ECC Decision ECC/DEC/(02)01 on Road Transport and Traffic Telematic (RTTT) systems, </w:t>
      </w:r>
      <w:r>
        <w:rPr>
          <w:szCs w:val="22"/>
        </w:rPr>
        <w:t xml:space="preserve">and </w:t>
      </w:r>
      <w:r w:rsidRPr="00A6088E">
        <w:rPr>
          <w:szCs w:val="22"/>
        </w:rPr>
        <w:t xml:space="preserve">is used for such </w:t>
      </w:r>
      <w:r>
        <w:rPr>
          <w:szCs w:val="22"/>
        </w:rPr>
        <w:t xml:space="preserve">LRR </w:t>
      </w:r>
      <w:r w:rsidRPr="00A6088E">
        <w:rPr>
          <w:szCs w:val="22"/>
        </w:rPr>
        <w:t xml:space="preserve">applications </w:t>
      </w:r>
      <w:r w:rsidRPr="007B1AC1">
        <w:rPr>
          <w:szCs w:val="22"/>
        </w:rPr>
        <w:t>as Adaptive Cruise Control (ACC) systems, with a maximum bandwidth of</w:t>
      </w:r>
      <w:r>
        <w:rPr>
          <w:szCs w:val="22"/>
        </w:rPr>
        <w:t xml:space="preserve"> 1 gigahertz</w:t>
      </w:r>
      <w:r w:rsidRPr="007B1AC1">
        <w:rPr>
          <w:szCs w:val="22"/>
        </w:rPr>
        <w:t xml:space="preserve">.  For these reasons, </w:t>
      </w:r>
      <w:r>
        <w:rPr>
          <w:szCs w:val="22"/>
        </w:rPr>
        <w:t xml:space="preserve">it asserts </w:t>
      </w:r>
      <w:r w:rsidRPr="00A6088E">
        <w:rPr>
          <w:szCs w:val="22"/>
        </w:rPr>
        <w:t>that a common band between the two systems is not feasible</w:t>
      </w:r>
      <w:r>
        <w:rPr>
          <w:szCs w:val="22"/>
        </w:rPr>
        <w:t>, and that we should identify alternate spectrum for SRR use</w:t>
      </w:r>
      <w:r w:rsidRPr="00A6088E">
        <w:rPr>
          <w:szCs w:val="22"/>
        </w:rPr>
        <w:t>.</w:t>
      </w:r>
      <w:r>
        <w:rPr>
          <w:rStyle w:val="FootnoteReference"/>
          <w:szCs w:val="22"/>
        </w:rPr>
        <w:footnoteReference w:id="59"/>
      </w:r>
    </w:p>
    <w:p w:rsidR="005662EE" w:rsidRPr="00A6088E" w:rsidRDefault="005662EE" w:rsidP="00006179">
      <w:pPr>
        <w:pStyle w:val="ParaNum"/>
      </w:pPr>
      <w:r w:rsidRPr="00C56CE1">
        <w:t>B</w:t>
      </w:r>
      <w:r>
        <w:t>osch identifies a 4 gigahertz-wide</w:t>
      </w:r>
      <w:r w:rsidRPr="00CF3351">
        <w:t xml:space="preserve"> band in the </w:t>
      </w:r>
      <w:r>
        <w:t xml:space="preserve">77-81 </w:t>
      </w:r>
      <w:r w:rsidRPr="00CF3351">
        <w:t xml:space="preserve">GHz </w:t>
      </w:r>
      <w:r>
        <w:t xml:space="preserve">range </w:t>
      </w:r>
      <w:r w:rsidRPr="00CF3351">
        <w:t>for S</w:t>
      </w:r>
      <w:r>
        <w:t>R</w:t>
      </w:r>
      <w:r w:rsidRPr="00CF3351">
        <w:t>R applications.</w:t>
      </w:r>
      <w:r>
        <w:rPr>
          <w:rStyle w:val="FootnoteReference"/>
          <w:szCs w:val="22"/>
        </w:rPr>
        <w:footnoteReference w:id="60"/>
      </w:r>
      <w:r w:rsidRPr="00CF3351">
        <w:t xml:space="preserve">  </w:t>
      </w:r>
      <w:r>
        <w:t>Other automotive interests support Bosch’s request.  They argue that the existing LRR systems must be supplemented by a wider bandwidth segment of up to 4 gigahertz for SRRs to perform effectively.  They contend that greater bandwidth leads to better range separation and object discrimination that enables SRRs to implement functions such as pedestrian/automotive collision avoidance, side impact warning, and roadwork avoidance.</w:t>
      </w:r>
      <w:r w:rsidRPr="00D05F66">
        <w:rPr>
          <w:rStyle w:val="FootnoteReference"/>
          <w:color w:val="131313"/>
        </w:rPr>
        <w:footnoteReference w:id="61"/>
      </w:r>
      <w:r>
        <w:t xml:space="preserve">  Trex, however, </w:t>
      </w:r>
      <w:r w:rsidRPr="00A41E0C">
        <w:rPr>
          <w:szCs w:val="22"/>
        </w:rPr>
        <w:t>urges us to examine closely the need for 4 GHz of bandwidth for automotive radars</w:t>
      </w:r>
      <w:r>
        <w:rPr>
          <w:szCs w:val="22"/>
        </w:rPr>
        <w:t xml:space="preserve"> in the context of ensuing efficient and flexible use of our spectrum resources</w:t>
      </w:r>
      <w:r w:rsidRPr="00A41E0C">
        <w:rPr>
          <w:szCs w:val="22"/>
        </w:rPr>
        <w:t>, and asks that in addressing Bosch’s request</w:t>
      </w:r>
      <w:r>
        <w:rPr>
          <w:szCs w:val="22"/>
        </w:rPr>
        <w:t>,</w:t>
      </w:r>
      <w:r w:rsidRPr="00A41E0C">
        <w:rPr>
          <w:szCs w:val="22"/>
        </w:rPr>
        <w:t xml:space="preserve"> we also ensure that any rules we adopt do not </w:t>
      </w:r>
      <w:r w:rsidR="00297FD8">
        <w:rPr>
          <w:szCs w:val="22"/>
        </w:rPr>
        <w:t>un</w:t>
      </w:r>
      <w:r>
        <w:rPr>
          <w:szCs w:val="22"/>
        </w:rPr>
        <w:t xml:space="preserve">reasonably </w:t>
      </w:r>
      <w:r w:rsidRPr="00A41E0C">
        <w:rPr>
          <w:szCs w:val="22"/>
        </w:rPr>
        <w:t xml:space="preserve">restrict </w:t>
      </w:r>
      <w:r>
        <w:rPr>
          <w:szCs w:val="22"/>
        </w:rPr>
        <w:t xml:space="preserve">additional, valuable </w:t>
      </w:r>
      <w:r w:rsidRPr="00A41E0C">
        <w:rPr>
          <w:szCs w:val="22"/>
        </w:rPr>
        <w:t>uses of the band.</w:t>
      </w:r>
      <w:r w:rsidRPr="004818E6">
        <w:rPr>
          <w:rStyle w:val="FootnoteReference"/>
          <w:szCs w:val="22"/>
        </w:rPr>
        <w:footnoteReference w:id="62"/>
      </w:r>
      <w:r w:rsidR="00297FD8">
        <w:rPr>
          <w:szCs w:val="22"/>
        </w:rPr>
        <w:t xml:space="preserve">  We seek comment on </w:t>
      </w:r>
      <w:r w:rsidR="00BE5003">
        <w:rPr>
          <w:szCs w:val="22"/>
        </w:rPr>
        <w:t xml:space="preserve">how </w:t>
      </w:r>
      <w:r w:rsidR="00297FD8">
        <w:rPr>
          <w:szCs w:val="22"/>
        </w:rPr>
        <w:t>the FCC can accommodate SRR applications while ensuring efficient and flexible use of spectrum by radar applications.</w:t>
      </w:r>
    </w:p>
    <w:p w:rsidR="005662EE" w:rsidRPr="00A6088E" w:rsidRDefault="005662EE" w:rsidP="00006179">
      <w:pPr>
        <w:pStyle w:val="ParaNum"/>
      </w:pPr>
      <w:r w:rsidRPr="00B147EE">
        <w:t xml:space="preserve"> </w:t>
      </w:r>
      <w:r>
        <w:t xml:space="preserve">We find merit in Bosch’s request, and </w:t>
      </w:r>
      <w:r w:rsidR="00BE5003">
        <w:t xml:space="preserve">propose to grant </w:t>
      </w:r>
      <w:r>
        <w:t>SRR applications</w:t>
      </w:r>
      <w:r w:rsidR="00297FD8">
        <w:t xml:space="preserve"> access to</w:t>
      </w:r>
      <w:r>
        <w:t xml:space="preserve"> additional spectrum apart and distinct from the spectrum currently used for LRR</w:t>
      </w:r>
      <w:r w:rsidRPr="00B147EE">
        <w:t>.</w:t>
      </w:r>
      <w:r>
        <w:t xml:space="preserve">  </w:t>
      </w:r>
      <w:r w:rsidR="00297FD8">
        <w:t xml:space="preserve">In particular, we </w:t>
      </w:r>
      <w:r w:rsidR="00BE5003">
        <w:t>propose to</w:t>
      </w:r>
      <w:r w:rsidR="00297FD8">
        <w:t xml:space="preserve"> provid</w:t>
      </w:r>
      <w:r w:rsidR="00BE5003">
        <w:t>e</w:t>
      </w:r>
      <w:r w:rsidR="00297FD8">
        <w:t xml:space="preserve"> </w:t>
      </w:r>
      <w:r>
        <w:t xml:space="preserve">up to 4 gigahertz of bandwidth for SRRs so that these radars can gather information about </w:t>
      </w:r>
      <w:r w:rsidRPr="00B147EE">
        <w:rPr>
          <w:lang w:val="en-GB"/>
        </w:rPr>
        <w:t xml:space="preserve">objects with a </w:t>
      </w:r>
      <w:r>
        <w:rPr>
          <w:lang w:val="en-GB"/>
        </w:rPr>
        <w:t xml:space="preserve">sufficient </w:t>
      </w:r>
      <w:r w:rsidRPr="00B147EE">
        <w:rPr>
          <w:lang w:val="en-GB"/>
        </w:rPr>
        <w:t>resolution</w:t>
      </w:r>
      <w:r>
        <w:rPr>
          <w:lang w:val="en-GB"/>
        </w:rPr>
        <w:t xml:space="preserve">.  Moreover, the extensive catalogue of enhanced features supported by SRR and the expectation that their deployment will become more widespread suggests that the </w:t>
      </w:r>
      <w:r w:rsidR="00297FD8">
        <w:rPr>
          <w:lang w:val="en-GB"/>
        </w:rPr>
        <w:t xml:space="preserve">public interest </w:t>
      </w:r>
      <w:r w:rsidR="00BE5003">
        <w:rPr>
          <w:lang w:val="en-GB"/>
        </w:rPr>
        <w:t>w</w:t>
      </w:r>
      <w:r w:rsidR="00297FD8">
        <w:rPr>
          <w:lang w:val="en-GB"/>
        </w:rPr>
        <w:t>ould be served by providing SRR with expanded access to the 77-81 GHz band.</w:t>
      </w:r>
      <w:r>
        <w:rPr>
          <w:lang w:val="en-GB"/>
        </w:rPr>
        <w:t xml:space="preserve"> </w:t>
      </w:r>
      <w:r w:rsidR="00297FD8">
        <w:rPr>
          <w:lang w:val="en-GB"/>
        </w:rPr>
        <w:t xml:space="preserve"> </w:t>
      </w:r>
      <w:r>
        <w:rPr>
          <w:lang w:val="en-GB"/>
        </w:rPr>
        <w:t xml:space="preserve">Given that the LRR applications use a narrower bandwidth than that used by SRR applications, the SRR applications will have a lower transmit power density level than that for LRR applications and therefore will have low likelihood for causing any potential interference.  We seek comment on these observations. </w:t>
      </w:r>
    </w:p>
    <w:p w:rsidR="005662EE" w:rsidRDefault="005662EE" w:rsidP="00006179">
      <w:pPr>
        <w:pStyle w:val="ParaNum"/>
      </w:pPr>
      <w:r w:rsidRPr="00B147EE" w:rsidDel="008C04A6">
        <w:rPr>
          <w:szCs w:val="22"/>
        </w:rPr>
        <w:t xml:space="preserve"> </w:t>
      </w:r>
      <w:r>
        <w:rPr>
          <w:szCs w:val="22"/>
        </w:rPr>
        <w:t>We also believe that the spectrum identified by Bosch – the 77-81 GHz band – is a good fit for vehicular radar</w:t>
      </w:r>
      <w:r>
        <w:t>.  At these millimeter wave frequencies, radio propagation losses increase more rapidly with distance than at lower frequencies and antennas that can narrowly focus transmitted energy are practical and of modest size.</w:t>
      </w:r>
      <w:r>
        <w:rPr>
          <w:rStyle w:val="FootnoteReference"/>
        </w:rPr>
        <w:footnoteReference w:id="63"/>
      </w:r>
      <w:r>
        <w:t xml:space="preserve">  While the limited range of such transmissions might appear to be a major disadvantage for many applications, it does allow the reuse of frequencies within very short distances and, thereby enables a higher concentration of transmitters to be located in a geographic area than is possible at lower frequencies.</w:t>
      </w:r>
      <w:r>
        <w:rPr>
          <w:rStyle w:val="FootnoteReference"/>
        </w:rPr>
        <w:footnoteReference w:id="64"/>
      </w:r>
      <w:r>
        <w:t xml:space="preserve">  This characteristic makes the band especially desirable as vehicular radars become more common throughout the transportation ecosystem.  Moreover, these frequencies are adjacent to the 76-77 GHz band, which has already proven to be well suited for LRR applications.  Because manufacturers can adapt equipment already designed to operate in the 76-77 GHz band, they will enjoy the benefits of expanded radar use at a lower cost than if they had to design equipment for a different non-adjacent band.</w:t>
      </w:r>
    </w:p>
    <w:p w:rsidR="005662EE" w:rsidRPr="009425F5" w:rsidRDefault="005662EE" w:rsidP="00006179">
      <w:pPr>
        <w:pStyle w:val="ParaNum"/>
        <w:rPr>
          <w:szCs w:val="22"/>
        </w:rPr>
      </w:pPr>
      <w:r>
        <w:t>As Bosch notes in its petition, permitting vehicular radars throughout the 76-81 GHz band can also support industry efforts to consolidate vehicular radar into an internationally harmonized frequency band.</w:t>
      </w:r>
      <w:r>
        <w:rPr>
          <w:rStyle w:val="FootnoteReference"/>
        </w:rPr>
        <w:footnoteReference w:id="65"/>
      </w:r>
      <w:r>
        <w:t xml:space="preserve">  Materials prepared by the 79 GHz project indicate that the 77-81 GHz band is already available for SRR applications in many parts of the world, including Europe, Australia, Russia, and Chile, and is in progress in many others.</w:t>
      </w:r>
      <w:r>
        <w:rPr>
          <w:rStyle w:val="FootnoteReference"/>
        </w:rPr>
        <w:footnoteReference w:id="66"/>
      </w:r>
      <w:r>
        <w:t xml:space="preserve">  Bosch and Continental further note that the 2015 World Radio Communication Conference is expected to adopt an allocation to support the operation of vehicular radars in the 76-81 GHz range on a worldwide basis.</w:t>
      </w:r>
      <w:r>
        <w:rPr>
          <w:rStyle w:val="FootnoteReference"/>
        </w:rPr>
        <w:footnoteReference w:id="67"/>
      </w:r>
      <w:r>
        <w:t xml:space="preserve">  In response to the Bosch petition, several commenters contend</w:t>
      </w:r>
      <w:r w:rsidRPr="00BE3106">
        <w:rPr>
          <w:color w:val="111111"/>
          <w:szCs w:val="22"/>
        </w:rPr>
        <w:t xml:space="preserve"> that global s</w:t>
      </w:r>
      <w:r w:rsidRPr="00BE3106">
        <w:rPr>
          <w:color w:val="131313"/>
          <w:szCs w:val="22"/>
        </w:rPr>
        <w:t xml:space="preserve">pectrum harmonization of LRRs at </w:t>
      </w:r>
      <w:r>
        <w:rPr>
          <w:color w:val="131313"/>
          <w:szCs w:val="22"/>
        </w:rPr>
        <w:t xml:space="preserve">76-77 </w:t>
      </w:r>
      <w:r w:rsidRPr="00BE3106">
        <w:rPr>
          <w:color w:val="131313"/>
          <w:szCs w:val="22"/>
        </w:rPr>
        <w:t>GHz and SRRs at 78</w:t>
      </w:r>
      <w:r>
        <w:rPr>
          <w:color w:val="131313"/>
          <w:szCs w:val="22"/>
        </w:rPr>
        <w:t>-</w:t>
      </w:r>
      <w:r w:rsidRPr="00BE3106">
        <w:rPr>
          <w:color w:val="131313"/>
          <w:szCs w:val="22"/>
        </w:rPr>
        <w:t>81 GHz will reduce prices and will encourage deployment of automotive radars in lower-cost vehicles.</w:t>
      </w:r>
      <w:r>
        <w:rPr>
          <w:rStyle w:val="FootnoteReference"/>
          <w:color w:val="131313"/>
          <w:szCs w:val="22"/>
        </w:rPr>
        <w:footnoteReference w:id="68"/>
      </w:r>
      <w:r>
        <w:rPr>
          <w:color w:val="131313"/>
          <w:szCs w:val="22"/>
        </w:rPr>
        <w:t xml:space="preserve">  L</w:t>
      </w:r>
      <w:r w:rsidRPr="009425F5">
        <w:rPr>
          <w:szCs w:val="22"/>
        </w:rPr>
        <w:t xml:space="preserve">astly, </w:t>
      </w:r>
      <w:r>
        <w:rPr>
          <w:szCs w:val="22"/>
        </w:rPr>
        <w:t>the National Telecommunications and Information Administration (</w:t>
      </w:r>
      <w:r w:rsidRPr="009425F5">
        <w:rPr>
          <w:szCs w:val="22"/>
        </w:rPr>
        <w:t>NTIA</w:t>
      </w:r>
      <w:r>
        <w:rPr>
          <w:szCs w:val="22"/>
        </w:rPr>
        <w:t>)</w:t>
      </w:r>
      <w:r w:rsidRPr="009425F5">
        <w:rPr>
          <w:szCs w:val="22"/>
        </w:rPr>
        <w:t>,</w:t>
      </w:r>
      <w:r>
        <w:rPr>
          <w:rStyle w:val="FootnoteReference"/>
          <w:szCs w:val="22"/>
        </w:rPr>
        <w:footnoteReference w:id="69"/>
      </w:r>
      <w:r w:rsidRPr="009425F5">
        <w:rPr>
          <w:szCs w:val="22"/>
        </w:rPr>
        <w:t xml:space="preserve"> in prior matters regarding </w:t>
      </w:r>
      <w:r>
        <w:rPr>
          <w:szCs w:val="22"/>
        </w:rPr>
        <w:t xml:space="preserve">vehicular radars operating in the </w:t>
      </w:r>
      <w:r w:rsidRPr="009425F5">
        <w:rPr>
          <w:szCs w:val="22"/>
        </w:rPr>
        <w:t>24 GHz</w:t>
      </w:r>
      <w:r>
        <w:rPr>
          <w:szCs w:val="22"/>
        </w:rPr>
        <w:t xml:space="preserve"> band</w:t>
      </w:r>
      <w:r w:rsidRPr="009425F5">
        <w:rPr>
          <w:szCs w:val="22"/>
        </w:rPr>
        <w:t>, encouraged us to continue to monitor technology advancements in the 77-81 GHz range and committed to “</w:t>
      </w:r>
      <w:r w:rsidRPr="009425F5">
        <w:rPr>
          <w:color w:val="010101"/>
          <w:szCs w:val="22"/>
        </w:rPr>
        <w:t>work with the Commission to ensure that an adequate frequency allocation in the 77-81 GHz band is available for the operatio</w:t>
      </w:r>
      <w:r>
        <w:rPr>
          <w:color w:val="010101"/>
          <w:szCs w:val="22"/>
        </w:rPr>
        <w:t>n of vehicular radar systems.”</w:t>
      </w:r>
      <w:r>
        <w:rPr>
          <w:rStyle w:val="FootnoteReference"/>
          <w:color w:val="010101"/>
          <w:szCs w:val="22"/>
        </w:rPr>
        <w:footnoteReference w:id="70"/>
      </w:r>
    </w:p>
    <w:p w:rsidR="005662EE" w:rsidRPr="006B45B1" w:rsidRDefault="005662EE" w:rsidP="00C2212F">
      <w:pPr>
        <w:pStyle w:val="ParaNum"/>
        <w:widowControl/>
        <w:rPr>
          <w:sz w:val="24"/>
          <w:szCs w:val="24"/>
        </w:rPr>
      </w:pPr>
      <w:r w:rsidRPr="00AE2A01">
        <w:t xml:space="preserve">We believe that </w:t>
      </w:r>
      <w:r w:rsidRPr="004C3FAF">
        <w:t xml:space="preserve">new proposed radar operations </w:t>
      </w:r>
      <w:r>
        <w:t>will be</w:t>
      </w:r>
      <w:r w:rsidRPr="004C3FAF">
        <w:t xml:space="preserve"> compatible with </w:t>
      </w:r>
      <w:r>
        <w:t xml:space="preserve">incumbent operations </w:t>
      </w:r>
      <w:r w:rsidRPr="004C3FAF">
        <w:t xml:space="preserve">in the </w:t>
      </w:r>
      <w:r>
        <w:t xml:space="preserve">76-81 </w:t>
      </w:r>
      <w:r w:rsidRPr="004C3FAF">
        <w:t xml:space="preserve">GHz band.  As a general matter, the same technical principles that </w:t>
      </w:r>
      <w:r>
        <w:t xml:space="preserve">already </w:t>
      </w:r>
      <w:r w:rsidRPr="004C3FAF">
        <w:t xml:space="preserve">allow successful </w:t>
      </w:r>
      <w:r>
        <w:t xml:space="preserve">shared </w:t>
      </w:r>
      <w:r w:rsidRPr="004C3FAF">
        <w:t xml:space="preserve">operation in the </w:t>
      </w:r>
      <w:r>
        <w:t xml:space="preserve">76-77 </w:t>
      </w:r>
      <w:r w:rsidRPr="004C3FAF">
        <w:t xml:space="preserve">GHz band </w:t>
      </w:r>
      <w:r>
        <w:t xml:space="preserve">should </w:t>
      </w:r>
      <w:r w:rsidRPr="004C3FAF">
        <w:t xml:space="preserve">apply </w:t>
      </w:r>
      <w:r>
        <w:t xml:space="preserve">in the larger 76-81 </w:t>
      </w:r>
      <w:r w:rsidRPr="004C3FAF">
        <w:t xml:space="preserve">GHz </w:t>
      </w:r>
      <w:r>
        <w:t xml:space="preserve">range. </w:t>
      </w:r>
      <w:r w:rsidRPr="006B45B1">
        <w:t xml:space="preserve"> </w:t>
      </w:r>
    </w:p>
    <w:p w:rsidR="005662EE" w:rsidRPr="001B5B48" w:rsidRDefault="005662EE" w:rsidP="00006179">
      <w:pPr>
        <w:pStyle w:val="ParaNum"/>
        <w:rPr>
          <w:sz w:val="24"/>
          <w:szCs w:val="24"/>
        </w:rPr>
      </w:pPr>
      <w:r>
        <w:rPr>
          <w:color w:val="131313"/>
        </w:rPr>
        <w:t xml:space="preserve">In the </w:t>
      </w:r>
      <w:r w:rsidRPr="00D81287">
        <w:rPr>
          <w:i/>
          <w:color w:val="131313"/>
        </w:rPr>
        <w:t xml:space="preserve">Vehicular </w:t>
      </w:r>
      <w:r>
        <w:rPr>
          <w:i/>
          <w:color w:val="131313"/>
        </w:rPr>
        <w:t xml:space="preserve">Radar </w:t>
      </w:r>
      <w:r w:rsidRPr="00D81287">
        <w:rPr>
          <w:i/>
          <w:color w:val="131313"/>
        </w:rPr>
        <w:t>R&amp;O</w:t>
      </w:r>
      <w:r>
        <w:rPr>
          <w:color w:val="131313"/>
        </w:rPr>
        <w:t xml:space="preserve">, </w:t>
      </w:r>
      <w:r>
        <w:t>t</w:t>
      </w:r>
      <w:r w:rsidRPr="006B45B1">
        <w:t xml:space="preserve">he Commission has already established that vehicular radars and RAS are compatible in the </w:t>
      </w:r>
      <w:r>
        <w:t xml:space="preserve">76-77 </w:t>
      </w:r>
      <w:r w:rsidRPr="006B45B1">
        <w:t>GHz band.</w:t>
      </w:r>
      <w:r w:rsidRPr="006B45B1">
        <w:rPr>
          <w:rStyle w:val="FootnoteReference"/>
          <w:szCs w:val="22"/>
        </w:rPr>
        <w:footnoteReference w:id="71"/>
      </w:r>
      <w:r w:rsidRPr="006B45B1">
        <w:t xml:space="preserve">  In that proceeding, we noted that the National Science Foundation (NSF)</w:t>
      </w:r>
      <w:r>
        <w:t xml:space="preserve"> </w:t>
      </w:r>
      <w:r w:rsidRPr="006B45B1">
        <w:t>sponsored a study documenting measurements performed jointly by representatives from the radio astronomy community and several vehicular radar manufacturers</w:t>
      </w:r>
      <w:r>
        <w:t xml:space="preserve"> in which vehicular radar emissions were measured in the 77-80 GHz range</w:t>
      </w:r>
      <w:r w:rsidRPr="004C3FAF">
        <w:t>.</w:t>
      </w:r>
      <w:r>
        <w:rPr>
          <w:rStyle w:val="FootnoteReference"/>
          <w:szCs w:val="22"/>
        </w:rPr>
        <w:footnoteReference w:id="72"/>
      </w:r>
      <w:r>
        <w:t xml:space="preserve">  Tests performed in the study with stationary short range vehicular radar systems, positioned at distances of 1.7 km and 26.9 km from the University of Arizona’s 12 Meter millimeter wave telescope, demonstrated that these radars could have a significant impact upon radio astronomy observations in the 77 to 81 GHz region.</w:t>
      </w:r>
      <w:r>
        <w:rPr>
          <w:rStyle w:val="FootnoteReference"/>
        </w:rPr>
        <w:footnoteReference w:id="73"/>
      </w:r>
      <w:r>
        <w:t xml:space="preserve"> The Joint Study concludes that a zone of avoidance of about 30 to 40 km around a mm-wave observatory would be needed, in order to keep interference from a single vehicle below the threshold defined in ITU-R RA.769-2.  It further concludes that smaller zones of avoidance might suffice in areas without direct line of sight to the radio telescope and/or by taking mitigation factors into account.</w:t>
      </w:r>
      <w:r>
        <w:rPr>
          <w:rStyle w:val="FootnoteReference"/>
        </w:rPr>
        <w:footnoteReference w:id="74"/>
      </w:r>
      <w:r>
        <w:t xml:space="preserve">   The study acknowledged that mitigation factors, such as terrain shielding, orientation of the vehicular radar transmitter antenna with respect to the observatory, or attenuation of the vehicular radar transmitter if mounted behind the vehicle bumper, were not taken into account and would tend to reduce the distance at which interference could occur.</w:t>
      </w:r>
      <w:r>
        <w:rPr>
          <w:rStyle w:val="FootnoteReference"/>
          <w:szCs w:val="22"/>
        </w:rPr>
        <w:footnoteReference w:id="75"/>
      </w:r>
      <w:r>
        <w:t xml:space="preserve">  Commenters offered mixed views on the interference issue; however, none offered specific reasons to refute the conclusions in the study.</w:t>
      </w:r>
      <w:r>
        <w:rPr>
          <w:rStyle w:val="FootnoteReference"/>
        </w:rPr>
        <w:footnoteReference w:id="76"/>
      </w:r>
      <w:r>
        <w:t xml:space="preserve">  We therefore seek comment on the conclusions of the study and how the results of the study would impact a proposal to adopt technical requirements for the entire 76-81 GHz band similar to the existing vehicular radars operating in 76-77 GHz band.  How can mitigation factors be used to reduce interference to radio observatories</w:t>
      </w:r>
      <w:r w:rsidR="00530AA9">
        <w:t xml:space="preserve">?  </w:t>
      </w:r>
      <w:r>
        <w:t xml:space="preserve">We invite interested parties to comment on the potential for such interference.  In particular, we invite interested parties who believe that the NSF study does not accurately describe the potential for such interference to submit evidence in the record sufficient to support their arguments.  We also seek comment on whether the potential for interference resulting from vehicular radars in the 76-77 GHz band is likely to be similar to or different from the potential for such interference in the entire 76-81 GHz band.  Finally, we seek comment on whether the mitigation factors identified in the study should be implemented for vehicular radars.  </w:t>
      </w:r>
    </w:p>
    <w:p w:rsidR="005662EE" w:rsidRDefault="005662EE" w:rsidP="00006179">
      <w:pPr>
        <w:pStyle w:val="ParaNum"/>
      </w:pPr>
      <w:r>
        <w:t xml:space="preserve">We also believe that vehicular radar use in the expanded frequency range of 77-81 GHz will be compatible with FOD detection radars and LPR devices in that range.  Although we discuss proposals to expand the use of FOD detection radars in detail, below, we tentatively conclude here the same principles that informed our conclusion in the </w:t>
      </w:r>
      <w:r>
        <w:rPr>
          <w:i/>
        </w:rPr>
        <w:t>Vehicular Radar R&amp;O</w:t>
      </w:r>
      <w:r>
        <w:t xml:space="preserve"> that these uses are compatible in the 76-77 GHz band</w:t>
      </w:r>
      <w:r>
        <w:rPr>
          <w:rStyle w:val="FootnoteReference"/>
        </w:rPr>
        <w:footnoteReference w:id="77"/>
      </w:r>
      <w:r>
        <w:t xml:space="preserve"> also apply in the 77-81 GHz band.  We believe that the limited geographic usage of FOD detection radars (</w:t>
      </w:r>
      <w:r w:rsidRPr="001B33E9">
        <w:rPr>
          <w:i/>
        </w:rPr>
        <w:t>i.e.</w:t>
      </w:r>
      <w:r>
        <w:t xml:space="preserve"> at airports and not illuminating public roadways) along with the </w:t>
      </w:r>
      <w:r>
        <w:rPr>
          <w:color w:val="131313"/>
        </w:rPr>
        <w:t>propagation characteristics of the millimeter wave band yields</w:t>
      </w:r>
      <w:r>
        <w:t xml:space="preserve"> negligible risk of interference potential between vehicular and FOD detection radars.  In the expanded 76-81 GHz frequency range, we similarly believe that LPR devices will be able to continue to co</w:t>
      </w:r>
      <w:r>
        <w:noBreakHyphen/>
        <w:t>exist with vehicular radars.  LPR equipment is installed in a downward</w:t>
      </w:r>
      <w:r>
        <w:noBreakHyphen/>
        <w:t>looking position at fixed locations and the main</w:t>
      </w:r>
      <w:r>
        <w:noBreakHyphen/>
        <w:t>beam emission limits have been carefully calculated to avoid receiving or causing harmful interference to other radio services.</w:t>
      </w:r>
      <w:r>
        <w:rPr>
          <w:rStyle w:val="FootnoteReference"/>
        </w:rPr>
        <w:footnoteReference w:id="78"/>
      </w:r>
      <w:r>
        <w:t xml:space="preserve">  We seek comment on these observations and tentative conclusions.</w:t>
      </w:r>
    </w:p>
    <w:p w:rsidR="005662EE" w:rsidRDefault="005662EE" w:rsidP="00006179">
      <w:pPr>
        <w:pStyle w:val="ParaNum"/>
      </w:pPr>
      <w:r>
        <w:t xml:space="preserve">In its petition, Bosch states that </w:t>
      </w:r>
      <w:r w:rsidRPr="00515F30">
        <w:t>it expects no interference issues between Amateur Radio operation and vehicular radar operations at 77-81 GHz.</w:t>
      </w:r>
      <w:r>
        <w:rPr>
          <w:rStyle w:val="FootnoteReference"/>
          <w:color w:val="131313"/>
          <w:szCs w:val="22"/>
        </w:rPr>
        <w:footnoteReference w:id="79"/>
      </w:r>
      <w:r w:rsidRPr="00863ECE">
        <w:rPr>
          <w:color w:val="131313"/>
        </w:rPr>
        <w:t xml:space="preserve">  </w:t>
      </w:r>
      <w:r>
        <w:t>It</w:t>
      </w:r>
      <w:r w:rsidRPr="00863ECE">
        <w:t xml:space="preserve"> notes that it is unconvinced after several meetings with the technical staff of ARRL that there is any “significant incompatibility” and describes how amateur op</w:t>
      </w:r>
      <w:r w:rsidRPr="00515F30">
        <w:t xml:space="preserve">erations in the band </w:t>
      </w:r>
      <w:r w:rsidR="00845A6E">
        <w:t>“</w:t>
      </w:r>
      <w:r w:rsidRPr="00515F30">
        <w:t>tend to be largely experimental, occurring in geographic areas such as mountaintops and other rural areas where motor vehicle operation is not typical.</w:t>
      </w:r>
      <w:r w:rsidR="00E96A5C">
        <w:t>”</w:t>
      </w:r>
      <w:r>
        <w:rPr>
          <w:rStyle w:val="FootnoteReference"/>
          <w:szCs w:val="22"/>
        </w:rPr>
        <w:footnoteReference w:id="80"/>
      </w:r>
      <w:r>
        <w:t xml:space="preserve">  However, the Commission has previously recognized evidence of potential interference conflicts between the amateur-satellite service and vehicular radar systems in the 76-77 GHz band.</w:t>
      </w:r>
      <w:r>
        <w:rPr>
          <w:rStyle w:val="FootnoteReference"/>
          <w:szCs w:val="22"/>
        </w:rPr>
        <w:footnoteReference w:id="81"/>
      </w:r>
      <w:r>
        <w:t xml:space="preserve">  Given that similar propagation characteristics exist throughout the millimeter wave band frequencies, there appears to be the potential for similar compatibility issues to exist between the amateur-satellite service and vehicular radar systems above 77 GHz.</w:t>
      </w:r>
      <w:r w:rsidRPr="004818E6">
        <w:rPr>
          <w:rStyle w:val="FootnoteReference"/>
          <w:szCs w:val="22"/>
        </w:rPr>
        <w:footnoteReference w:id="82"/>
      </w:r>
      <w:r>
        <w:t xml:space="preserve">  We seek to expand our record on the compatibility between amateur and vehicular radar services.  In particular, are there any mitigation strategies for compatibility between the two services?  Are there any additional interference or compatibility studies that may exist on the subject?  Our goal is to adopt rules that address amateur use, including amateur satellite use, within the 76-81 GHz band in a comprehensive and consistent manner.</w:t>
      </w:r>
      <w:r>
        <w:rPr>
          <w:rStyle w:val="FootnoteReference"/>
          <w:szCs w:val="22"/>
        </w:rPr>
        <w:footnoteReference w:id="83"/>
      </w:r>
    </w:p>
    <w:p w:rsidR="005662EE" w:rsidRDefault="005662EE" w:rsidP="00006179">
      <w:pPr>
        <w:pStyle w:val="ParaNum"/>
      </w:pPr>
      <w:r>
        <w:t xml:space="preserve">In its proposal, Bosch suggests </w:t>
      </w:r>
      <w:r w:rsidR="00530AA9">
        <w:t>that we</w:t>
      </w:r>
      <w:r>
        <w:t xml:space="preserve"> support SRR in the 77-81 GHz band by modifying our existing Part 15 rules.</w:t>
      </w:r>
      <w:r>
        <w:rPr>
          <w:rStyle w:val="FootnoteReference"/>
        </w:rPr>
        <w:footnoteReference w:id="84"/>
      </w:r>
      <w:r>
        <w:t xml:space="preserve">  Because the existing vehicular radars are governed under our rules for unlicensed devices, they may not cause interference to licensed services, and must accept interference from both licensed and unlicensed users.  For reasons discussed in more detail below, this regulatory structure may not be the most appropriate fit.  Nevertheless, we seek comment on the proposal.    </w:t>
      </w:r>
    </w:p>
    <w:p w:rsidR="005662EE" w:rsidRDefault="005662EE" w:rsidP="00006179">
      <w:pPr>
        <w:pStyle w:val="ParaNum"/>
      </w:pPr>
      <w:r>
        <w:t xml:space="preserve">We are proposing an approach by which we would establish vehicular radars as a service licensed by rule within Part 95 of our rules under a radiolocation allocation, but also seek comment on other options, including authorizing an expansion of vehicular radars under the current Part 15 model.  Our approach in proposing to migrate vehicular radar services from Part 15 to Part 95 of our rules is based on several factors.  A licensed approach would make the 76-81 GHz vehicular radar services consistent with other transportation-related services currently operating under Parts 90 and 95 of our rules – in particular, the 5.9 GHz </w:t>
      </w:r>
      <w:r w:rsidRPr="008B1E81">
        <w:rPr>
          <w:color w:val="111111"/>
          <w:szCs w:val="22"/>
        </w:rPr>
        <w:t>Dedicated Short-range Communication</w:t>
      </w:r>
      <w:r>
        <w:t xml:space="preserve"> (DSRC) services, a Department of Transportation initiative to integrate communication and information technology to advance transportation systems.</w:t>
      </w:r>
      <w:r w:rsidR="00297FD8">
        <w:rPr>
          <w:rStyle w:val="FootnoteReference"/>
        </w:rPr>
        <w:footnoteReference w:id="85"/>
      </w:r>
      <w:r>
        <w:t xml:space="preserve">  Additionally, Bosch, in its petition, states that SRRs in the 79 GHz band “require a certain (albeit low) degree of interference protection in order to function adequately.</w:t>
      </w:r>
      <w:r>
        <w:rPr>
          <w:rStyle w:val="FootnoteReference"/>
        </w:rPr>
        <w:footnoteReference w:id="86"/>
      </w:r>
      <w:r>
        <w:t xml:space="preserve">  A unified licensed approach for all vehicular radars under our Part 95 rules can offer a level of interference protection that the Part 15 rules cannot provide.  While we note that Bosch proposes modifying only our existing Part 15 rules to support vehicular radar applications,</w:t>
      </w:r>
      <w:r>
        <w:rPr>
          <w:rStyle w:val="FootnoteReference"/>
        </w:rPr>
        <w:footnoteReference w:id="87"/>
      </w:r>
      <w:r>
        <w:t xml:space="preserve"> we do not anticipate any opposition from Bosch for a licensing approach under our Part 95 rules.</w:t>
      </w:r>
      <w:r>
        <w:rPr>
          <w:rStyle w:val="FootnoteReference"/>
        </w:rPr>
        <w:footnoteReference w:id="88"/>
      </w:r>
      <w:r w:rsidRPr="00C51968">
        <w:t xml:space="preserve"> </w:t>
      </w:r>
      <w:r w:rsidR="00530AA9">
        <w:t xml:space="preserve"> </w:t>
      </w:r>
      <w:r>
        <w:t>Finally, in light of these considerations and the ongoing work to adopt an international allocation to support the operation of vehicular radars in the 76-81 GHz range on a worldwide basis,</w:t>
      </w:r>
      <w:r>
        <w:rPr>
          <w:rStyle w:val="FootnoteReference"/>
        </w:rPr>
        <w:footnoteReference w:id="89"/>
      </w:r>
      <w:r>
        <w:t xml:space="preserve"> we seek comment on licensing by rule, pursuant to Part 95, the proposed 77-81 GHz vehicular radar services we proposed above, and on migrating existing 76-77 GHz vehicular radar services to Part 95 of our rules.  In particular, we seek comment on any benefits or drawbacks such an approach would provide and whether it would be appropriate to continue to authorize vehicular radars on an unlicensed basis.</w:t>
      </w:r>
    </w:p>
    <w:p w:rsidR="005662EE" w:rsidRDefault="005662EE" w:rsidP="00006179">
      <w:pPr>
        <w:pStyle w:val="ParaNum"/>
      </w:pPr>
      <w:r>
        <w:t xml:space="preserve">Our Personal Radio Services rules, codified in Part 95, </w:t>
      </w:r>
      <w:r w:rsidRPr="00067F7B">
        <w:t xml:space="preserve">provide for </w:t>
      </w:r>
      <w:r>
        <w:t xml:space="preserve">a variety of </w:t>
      </w:r>
      <w:r w:rsidRPr="00067F7B">
        <w:t>personal communications, radio signaling, and business communications</w:t>
      </w:r>
      <w:r>
        <w:t>.  In addition, many of these services are licensed by rule – that is, a user is not required to obtain an individual license document and is instead authorized to operate so long as it does so in accordance with the applicable service rules.  Radio services licensed in this manner – such as the Family Radio Service and the Wireless Medical Telemetry Service – are typically designed to support a particular type of application (</w:t>
      </w:r>
      <w:r>
        <w:rPr>
          <w:i/>
        </w:rPr>
        <w:t xml:space="preserve">e.g. </w:t>
      </w:r>
      <w:r>
        <w:t>voice communication or telemetry), and its users must cooperatively share use of the spectrum.  We believe such an arrangement is a good match for vehicular radars – especially because it would likely be impractical to individually license users (e.g. each vehicle owner or driver) and because the nature of the millimeter wave band makes it possible for LRR and SSR vehicular radars to share use of the band.  Accordingly, we propose to modify Part 95 of our rules to incorporate the range of frequencies available to vehicular radars under a new 76-81 GHz Band Radar Service.</w:t>
      </w:r>
      <w:r>
        <w:rPr>
          <w:rStyle w:val="FootnoteReference"/>
        </w:rPr>
        <w:footnoteReference w:id="90"/>
      </w:r>
      <w:r>
        <w:t xml:space="preserve">  In addition, by making vehicular radars authorized as a licensed service, we would also promote greater regulatory parity with other radar applications, including the FOD detection radars and other types of radars that we discuss in detail below, in the band.  We seek comment on this proposal.</w:t>
      </w:r>
      <w:r w:rsidRPr="00C705FB">
        <w:t xml:space="preserve"> </w:t>
      </w:r>
    </w:p>
    <w:p w:rsidR="005662EE" w:rsidRDefault="005662EE" w:rsidP="00006179">
      <w:pPr>
        <w:pStyle w:val="ParaNum"/>
      </w:pPr>
      <w:r>
        <w:t xml:space="preserve">Under our proposed rules, we would adopt </w:t>
      </w:r>
      <w:r w:rsidRPr="00571137">
        <w:t xml:space="preserve">the same emission limits as those defined in our rules for unlicensed vehicular radars in the </w:t>
      </w:r>
      <w:r>
        <w:t xml:space="preserve">76-77 </w:t>
      </w:r>
      <w:r w:rsidRPr="00571137">
        <w:t>GHz band</w:t>
      </w:r>
      <w:r>
        <w:t xml:space="preserve"> for the entire 76-81 GHz band, and to likewise adopt technical specifications that mirror those currently provided under our Part 15 rules for the newly expanded radar band.</w:t>
      </w:r>
      <w:r>
        <w:rPr>
          <w:rStyle w:val="FootnoteReference"/>
          <w:szCs w:val="22"/>
        </w:rPr>
        <w:footnoteReference w:id="91"/>
      </w:r>
      <w:r>
        <w:t xml:space="preserve">  We do not propose to distinguish between SRR and LRR operations in our rules, but instead rely on the market to determine the appropriate portions of the 76-81 GHz band for particular types of vehicular radar applications.  As noted in the Bosch petition, as well as the related comment record, it already appears that there is widespread industry consensus on locating new SRR applications above 77 GHz.  We seek comment on the applicability of these rules for both SRR and LRR across the 76-81 GHz band.  Commenters that advocate different rules should provide detailed technical analyses showing how their preferred rules will provide for both SRR and LRR in the band as well as minimize any potential harmful interference with other services.  In addition, we seek comment on our proposal not to specify specific portions of the band for SRR and LRR, but instead to rely on the market and the standards process to determine the best use of the available bandwidth</w:t>
      </w:r>
      <w:r w:rsidR="00530AA9">
        <w:t>.</w:t>
      </w:r>
      <w:r w:rsidR="00530AA9" w:rsidRPr="00F31C15">
        <w:t xml:space="preserve">  </w:t>
      </w:r>
      <w:r>
        <w:t>We are proposing to upgrade the allocation status of the radiolocation service in the 77.5-78 GHz band.  Currently the radio astronomy and space research (space-to-Earth) services are allocated on a secondary basis in the 77.5-78 GHz band.  Should the radio astronomy and space research services also be upgraded to a primary allocation status in the 77.5-78 GHz band?</w:t>
      </w:r>
    </w:p>
    <w:p w:rsidR="005662EE" w:rsidRDefault="005662EE" w:rsidP="00006179">
      <w:pPr>
        <w:pStyle w:val="ParaNum"/>
      </w:pPr>
      <w:r>
        <w:t>To support the expanded frequency range for vehicular radar use, we propose to allocate the 77.5-78 GHz band segment to the radiolocation service on a co-primary basis for Federal and non-Federal use.  This would result in a co-primary allocation throughout the entire 77-81 GHz band.  We seek comment on this allocation proposal.</w:t>
      </w:r>
    </w:p>
    <w:p w:rsidR="005662EE" w:rsidRDefault="005662EE" w:rsidP="00006179">
      <w:pPr>
        <w:pStyle w:val="ParaNum"/>
      </w:pPr>
      <w:r w:rsidRPr="002909AF">
        <w:t xml:space="preserve">Alternatively, we seek comment on whether </w:t>
      </w:r>
      <w:r>
        <w:t>vehicular radars should continue to operate as unlicensed devices under the Part 15 rules.  And, if so, whether FOD detection devices and other radar applications should be authorized in a consistent manner.  Given anticipated extensive use of this spectrum, would band sharing under an unlicensed approach without any assurance of protection from harmful interference under the rules?  W</w:t>
      </w:r>
      <w:r w:rsidRPr="002909AF">
        <w:t>hat would be the relative</w:t>
      </w:r>
      <w:r>
        <w:t xml:space="preserve"> </w:t>
      </w:r>
      <w:r w:rsidRPr="002909AF">
        <w:t xml:space="preserve">benefits and disadvantages of </w:t>
      </w:r>
      <w:r>
        <w:t xml:space="preserve">unlicensed operation compared with </w:t>
      </w:r>
      <w:r w:rsidRPr="002909AF">
        <w:t>the license-by-rule approach under</w:t>
      </w:r>
      <w:r>
        <w:t xml:space="preserve"> </w:t>
      </w:r>
      <w:r w:rsidRPr="002909AF">
        <w:t>Part 95</w:t>
      </w:r>
      <w:r>
        <w:t xml:space="preserve"> or with the individual station licensing under Part 90</w:t>
      </w:r>
      <w:r w:rsidRPr="002909AF">
        <w:t>?</w:t>
      </w:r>
      <w:r>
        <w:t xml:space="preserve">  We seek comment on our proposals and these alternatives.</w:t>
      </w:r>
    </w:p>
    <w:p w:rsidR="005662EE" w:rsidRDefault="005662EE" w:rsidP="00006179">
      <w:pPr>
        <w:pStyle w:val="ParaNum"/>
      </w:pPr>
      <w:r>
        <w:t>Lastly, we propose to consolidate future vehicular radar use into the new 76-81 GHz band</w:t>
      </w:r>
      <w:r w:rsidR="00297FD8">
        <w:t xml:space="preserve"> as part of our effort to ensure spectrally efficient use of resources.</w:t>
      </w:r>
      <w:r>
        <w:t xml:space="preserve">  Currently, </w:t>
      </w:r>
      <w:r w:rsidRPr="00000CAC">
        <w:rPr>
          <w:lang w:val="en-GB"/>
        </w:rPr>
        <w:t xml:space="preserve">vehicular radars may operate on an unlicensed basis in the </w:t>
      </w:r>
      <w:r w:rsidRPr="00172703">
        <w:t>16.2-17.7 GHz</w:t>
      </w:r>
      <w:r>
        <w:t xml:space="preserve">, </w:t>
      </w:r>
      <w:r w:rsidRPr="00172703">
        <w:t>23.12-29</w:t>
      </w:r>
      <w:r>
        <w:t>.0</w:t>
      </w:r>
      <w:r w:rsidRPr="00172703">
        <w:t xml:space="preserve"> GHz</w:t>
      </w:r>
      <w:r>
        <w:t>, 4</w:t>
      </w:r>
      <w:r w:rsidRPr="00172703">
        <w:t>6.7-46.9 GHz</w:t>
      </w:r>
      <w:r>
        <w:t xml:space="preserve">, and 76-77 GHz </w:t>
      </w:r>
      <w:r w:rsidRPr="00172703">
        <w:t>band</w:t>
      </w:r>
      <w:r>
        <w:t>s.  Continental, in its comments supporting the Bosch petition, notes that the use of the 24 GHz band for vehicular radars is being phased out in Europe and that “the effect of the cessation of the use of that band in Europe will strongly affect availability of 24 GHz radars in the United States in the near term.”</w:t>
      </w:r>
      <w:r>
        <w:rPr>
          <w:rStyle w:val="FootnoteReference"/>
        </w:rPr>
        <w:footnoteReference w:id="92"/>
      </w:r>
      <w:r>
        <w:t xml:space="preserve">  In addition, t</w:t>
      </w:r>
      <w:r w:rsidRPr="00000CAC">
        <w:rPr>
          <w:szCs w:val="22"/>
        </w:rPr>
        <w:t>he Commission</w:t>
      </w:r>
      <w:r>
        <w:rPr>
          <w:szCs w:val="22"/>
        </w:rPr>
        <w:t>’s</w:t>
      </w:r>
      <w:r w:rsidRPr="00000CAC">
        <w:rPr>
          <w:szCs w:val="22"/>
        </w:rPr>
        <w:t xml:space="preserve"> records indicate no certifications in the </w:t>
      </w:r>
      <w:r w:rsidRPr="00172703">
        <w:t>16.2-17.7 GHz</w:t>
      </w:r>
      <w:r>
        <w:t xml:space="preserve"> and 4</w:t>
      </w:r>
      <w:r w:rsidRPr="00172703">
        <w:t>6.7-46.9 GHz</w:t>
      </w:r>
      <w:r>
        <w:t xml:space="preserve"> bands, and only </w:t>
      </w:r>
      <w:r w:rsidRPr="00000CAC">
        <w:rPr>
          <w:szCs w:val="22"/>
        </w:rPr>
        <w:t xml:space="preserve">three certifications in the </w:t>
      </w:r>
      <w:r w:rsidRPr="00172703">
        <w:t xml:space="preserve">23.12-29 GHz </w:t>
      </w:r>
      <w:r>
        <w:t>band.  This record suggests that there is little or no use of vehicular radars outside the 24 GHz and 76-77 GHz bands.</w:t>
      </w:r>
    </w:p>
    <w:p w:rsidR="005662EE" w:rsidRDefault="005662EE" w:rsidP="00006179">
      <w:pPr>
        <w:pStyle w:val="ParaNum"/>
      </w:pPr>
      <w:r w:rsidRPr="004C31D0">
        <w:rPr>
          <w:szCs w:val="22"/>
        </w:rPr>
        <w:t>We propose</w:t>
      </w:r>
      <w:r w:rsidRPr="002B491F">
        <w:rPr>
          <w:szCs w:val="22"/>
        </w:rPr>
        <w:t xml:space="preserve"> </w:t>
      </w:r>
      <w:r w:rsidRPr="00D934AC">
        <w:rPr>
          <w:szCs w:val="22"/>
        </w:rPr>
        <w:t xml:space="preserve">to grandfather, for the life of the equipment, </w:t>
      </w:r>
      <w:r>
        <w:t xml:space="preserve">vehicular radars that are already installed or in use in the 22-29 GHz band range.  It may be financially burdensome and logistically difficult for automobile owners to upgrade existing equipment; alternately, discontinuing the use of these radars would mean that drivers might not be able to repair existing equipment or might have to forego useful safety features.  We intend to prohibit the certification of new vehicular radars that do not operate in the 76-81 GHz range, effective </w:t>
      </w:r>
      <w:r w:rsidR="00AF7643">
        <w:t xml:space="preserve">30 days </w:t>
      </w:r>
      <w:r>
        <w:t>from the date of publication of our final rules in the Federal Register.  However, we also believe that the ultimate transition of SRR applications from 22-29 GHz band to 77-81 GHz is best driven by the marketplace.  If not, we seek comment as to how should the life cycle of SRRs operating in the 22-29 GHz band be taken into account in facilitating the transition of these radars to the 77-81 GHz band</w:t>
      </w:r>
      <w:r w:rsidR="00530AA9">
        <w:t xml:space="preserve">.  </w:t>
      </w:r>
      <w:r>
        <w:t>We also seek comment on what appropriate methods of making a determination should be considered to set forth reasonable periods of time required for market place to make the 77-81 GHz band SRR readily available</w:t>
      </w:r>
      <w:r w:rsidR="00530AA9">
        <w:t xml:space="preserve">.  </w:t>
      </w:r>
      <w:r>
        <w:t xml:space="preserve">To implement our proposal, we intend to modify Sections 15.37, 15.252, 15.253, and 15.515, as shown in the attached rules appendix.  In addition, given that there appears to be no equipment certified to operate </w:t>
      </w:r>
      <w:r w:rsidRPr="00000CAC">
        <w:rPr>
          <w:szCs w:val="22"/>
        </w:rPr>
        <w:t xml:space="preserve">in the </w:t>
      </w:r>
      <w:r w:rsidRPr="00172703">
        <w:t>16.2-17.7 GHz</w:t>
      </w:r>
      <w:r>
        <w:t xml:space="preserve"> and 4</w:t>
      </w:r>
      <w:r w:rsidRPr="00172703">
        <w:t>6.7-46.9 GHz</w:t>
      </w:r>
      <w:r>
        <w:t xml:space="preserve"> bands, should we instead delete the portions of those rules that relate to vehicular radars in those bands?  </w:t>
      </w:r>
    </w:p>
    <w:p w:rsidR="005662EE" w:rsidRDefault="005662EE" w:rsidP="00D92A66">
      <w:pPr>
        <w:pStyle w:val="ParaNum"/>
        <w:widowControl/>
      </w:pPr>
      <w:r w:rsidRPr="00754EB3">
        <w:rPr>
          <w:i/>
          <w:u w:val="single"/>
        </w:rPr>
        <w:t>FOD Detection Radar</w:t>
      </w:r>
      <w:r w:rsidRPr="00754EB3">
        <w:rPr>
          <w:u w:val="single"/>
        </w:rPr>
        <w:t>.</w:t>
      </w:r>
      <w:r>
        <w:t xml:space="preserve">  As previously mentioned, FOD at airports includes any substance, debris, or object in a location that can damage aircraft or equipment.</w:t>
      </w:r>
      <w:r>
        <w:rPr>
          <w:rStyle w:val="FootnoteReference"/>
        </w:rPr>
        <w:footnoteReference w:id="93"/>
      </w:r>
      <w:r>
        <w:t xml:space="preserve">  FOD detection radars currently operate under Part 15 and under Part 90 of the Commission’s rules in the frequency bands 76-77 GHz (unlicensed) and 78-81 GHz (licensed) respectively.  However, the Commission only recently authorized and not yet established technical rules for licensed FOD detection radar operation under Part 90.</w:t>
      </w:r>
      <w:r>
        <w:rPr>
          <w:rStyle w:val="FootnoteReference"/>
        </w:rPr>
        <w:footnoteReference w:id="94"/>
      </w:r>
      <w:r>
        <w:t xml:space="preserve">  </w:t>
      </w:r>
    </w:p>
    <w:p w:rsidR="005662EE" w:rsidRDefault="005662EE" w:rsidP="00006179">
      <w:pPr>
        <w:pStyle w:val="ParaNum"/>
      </w:pPr>
      <w:r>
        <w:t>We propose to consolidate the FOD detection radar operations in the 76-81 GHz band under Part 95 on a non-exclusive licensed basis.</w:t>
      </w:r>
      <w:r>
        <w:rPr>
          <w:rStyle w:val="FootnoteReference"/>
        </w:rPr>
        <w:footnoteReference w:id="95"/>
      </w:r>
      <w:r>
        <w:t xml:space="preserve">  </w:t>
      </w:r>
      <w:r w:rsidRPr="001622F9">
        <w:t>Also, with the introduction of specific technical requirements for these applications, the burden to facilitate coordination for these applications will be reduced</w:t>
      </w:r>
      <w:r w:rsidR="00530AA9">
        <w:t xml:space="preserve">.  </w:t>
      </w:r>
      <w:r>
        <w:t>This proposal will afford an additional one gigahertz of spectrum (77-78 GHz), for these important applications.  By providing a contiguous band of spectrum for FOD detection radars, we can foster the development of technologically improved and cost-effective safety measures that will benefit both airport personnel and the general public.  T</w:t>
      </w:r>
      <w:r w:rsidRPr="00762975">
        <w:t xml:space="preserve">he </w:t>
      </w:r>
      <w:r>
        <w:t xml:space="preserve">76-81 </w:t>
      </w:r>
      <w:r w:rsidRPr="00762975">
        <w:t>GHz</w:t>
      </w:r>
      <w:r>
        <w:t xml:space="preserve"> band is well suited for FOD detection radar functions, including real-time monitoring of the position and shape of the foreign objects debris on the runways and taxiways.</w:t>
      </w:r>
      <w:r>
        <w:rPr>
          <w:rStyle w:val="FootnoteReference"/>
        </w:rPr>
        <w:footnoteReference w:id="96"/>
      </w:r>
    </w:p>
    <w:p w:rsidR="005662EE" w:rsidRDefault="005662EE" w:rsidP="00006179">
      <w:pPr>
        <w:pStyle w:val="ParaNum"/>
      </w:pPr>
      <w:r>
        <w:t xml:space="preserve">As an initial matter, we believe that the rationale for concluding that increased vehicular radar operations can be expanded throughout the 76-81 GHz band and such operations can co-exist with FOD detection radars is broadly applicable.  In other words, there is good reason to conclude that, if vehicular radars can co-exist with FOD detection radars in 76-77 GHz band, then both vehicular radars and FOD detection radars operating under the Part 95 rules will be able to operate successfully throughout the 76-81 GHz band.  Furthermore, we believe that our proposal will not increase the interference potential to any other authorized services operating in the band.  The services that we propose to reallocate to the 76-81 GHz band typically </w:t>
      </w:r>
      <w:r w:rsidRPr="00032D61">
        <w:rPr>
          <w:rFonts w:cs="TimesNewRoman"/>
          <w:color w:val="010101"/>
          <w:szCs w:val="22"/>
        </w:rPr>
        <w:t xml:space="preserve">employ highly directional antennas </w:t>
      </w:r>
      <w:r>
        <w:rPr>
          <w:rFonts w:cs="TimesNewRoman"/>
          <w:color w:val="010101"/>
          <w:szCs w:val="22"/>
        </w:rPr>
        <w:t xml:space="preserve">both to detect vehicles or objects in a particular area and to compensate for the relatively high </w:t>
      </w:r>
      <w:r w:rsidRPr="00032D61">
        <w:rPr>
          <w:rFonts w:cs="TimesNewRoman"/>
          <w:color w:val="010101"/>
          <w:szCs w:val="22"/>
        </w:rPr>
        <w:t>propagation loss</w:t>
      </w:r>
      <w:r>
        <w:rPr>
          <w:rFonts w:cs="TimesNewRoman"/>
          <w:color w:val="010101"/>
          <w:szCs w:val="22"/>
        </w:rPr>
        <w:t>es</w:t>
      </w:r>
      <w:r w:rsidRPr="00032D61">
        <w:rPr>
          <w:rFonts w:cs="TimesNewRoman"/>
          <w:color w:val="010101"/>
          <w:szCs w:val="22"/>
        </w:rPr>
        <w:t xml:space="preserve"> over short distances at these frequencies.</w:t>
      </w:r>
      <w:r>
        <w:rPr>
          <w:rStyle w:val="FootnoteReference"/>
          <w:rFonts w:cs="TimesNewRoman"/>
          <w:szCs w:val="22"/>
        </w:rPr>
        <w:footnoteReference w:id="97"/>
      </w:r>
      <w:r w:rsidRPr="00032D61">
        <w:rPr>
          <w:rFonts w:cs="TimesNewRoman"/>
          <w:color w:val="010101"/>
          <w:szCs w:val="22"/>
        </w:rPr>
        <w:t xml:space="preserve">  </w:t>
      </w:r>
      <w:r w:rsidRPr="00032D61">
        <w:rPr>
          <w:rFonts w:cs="Courier New"/>
        </w:rPr>
        <w:t xml:space="preserve">The narrow beams utilized by the FOD detection radars, the geographic location of operations, and the very high path losses in this region of the spectrum, </w:t>
      </w:r>
      <w:r>
        <w:rPr>
          <w:rFonts w:cs="Courier New"/>
        </w:rPr>
        <w:t xml:space="preserve">should </w:t>
      </w:r>
      <w:r w:rsidRPr="00032D61">
        <w:rPr>
          <w:rFonts w:cs="Courier New"/>
        </w:rPr>
        <w:t>mitigate any potential interference.  T</w:t>
      </w:r>
      <w:r>
        <w:t>he location of FOD detection radars should prevent them from illuminating public roads, and should further reduce any likelihood of interference to vehicular radars while enabling airports to improve debris detection on the runways.</w:t>
      </w:r>
    </w:p>
    <w:p w:rsidR="005662EE" w:rsidRDefault="005662EE" w:rsidP="00006179">
      <w:pPr>
        <w:pStyle w:val="ParaNum"/>
      </w:pPr>
      <w:r w:rsidRPr="000B0651">
        <w:t>Our proposal would result in all radar applications operating in the 76-81 GHz range – including vehicular radars and mobile a</w:t>
      </w:r>
      <w:r>
        <w:t>nd fixed radars used at airport</w:t>
      </w:r>
      <w:r w:rsidRPr="000B0651">
        <w:t xml:space="preserve"> only for FOD detection and for monitoring aircraft and airport service vehicles – being governed by a single new subpart in Part </w:t>
      </w:r>
      <w:r>
        <w:t xml:space="preserve"> 95.  This approach will promote spectrum efficiency and maximize the shared use of our spectrum resource, while also providing a comprehensive and consistent set of rules and policies to govern each of the different types of radar applications.  In the case of FOD detection radars, it reduces the application and licensing burdens that will be associated with operation in the 78-81 GHz band under the Part 90 model, and it offers the simplicity of operation under a singular licensing model.  Also, the limited geographic use area and limited number of FOD detection radars alleviates </w:t>
      </w:r>
      <w:r w:rsidR="002077C6">
        <w:t xml:space="preserve">any </w:t>
      </w:r>
      <w:r>
        <w:t>burden</w:t>
      </w:r>
      <w:r w:rsidR="002077C6">
        <w:t>s</w:t>
      </w:r>
      <w:r>
        <w:t xml:space="preserve"> associated with the sharing of spectrum.  Thus, we believe that the benefits in the unified licensing of FOD detection radars under Part 95 outweigh any burdens.  We seek comment on these proposals.</w:t>
      </w:r>
    </w:p>
    <w:p w:rsidR="005662EE" w:rsidRDefault="005662EE" w:rsidP="00006179">
      <w:pPr>
        <w:pStyle w:val="ParaNum"/>
      </w:pPr>
      <w:r w:rsidRPr="00E15B65">
        <w:t>We propose to grandfather, for the life of the equipment, FOD detection radars that are already installed or in use in the 76-81 GHz band range</w:t>
      </w:r>
      <w:r w:rsidR="00530AA9" w:rsidRPr="00E15B65">
        <w:t xml:space="preserve">.  </w:t>
      </w:r>
      <w:r w:rsidRPr="00E15B65">
        <w:t xml:space="preserve">We intend to prohibit the certification of new FOD detection radars, operating in the 76-81 GHz range, under Part 90 of our Rules effective </w:t>
      </w:r>
      <w:r w:rsidR="00AF7643">
        <w:t xml:space="preserve">30 days </w:t>
      </w:r>
      <w:r w:rsidRPr="00E15B65">
        <w:t>from the date of publication of our final rules in the Federal Register.  We seek comment on our proposals.</w:t>
      </w:r>
    </w:p>
    <w:p w:rsidR="005662EE" w:rsidRDefault="005662EE" w:rsidP="00006179">
      <w:pPr>
        <w:pStyle w:val="ParaNum"/>
        <w:rPr>
          <w:szCs w:val="22"/>
        </w:rPr>
      </w:pPr>
      <w:r w:rsidRPr="00C707B5">
        <w:rPr>
          <w:i/>
          <w:u w:val="single"/>
        </w:rPr>
        <w:t xml:space="preserve">Fixed </w:t>
      </w:r>
      <w:r>
        <w:rPr>
          <w:i/>
          <w:u w:val="single"/>
        </w:rPr>
        <w:t>R</w:t>
      </w:r>
      <w:r w:rsidRPr="00C707B5">
        <w:rPr>
          <w:i/>
          <w:u w:val="single"/>
        </w:rPr>
        <w:t>adar.</w:t>
      </w:r>
      <w:r w:rsidRPr="009B300B">
        <w:rPr>
          <w:i/>
        </w:rPr>
        <w:t xml:space="preserve">  </w:t>
      </w:r>
      <w:r>
        <w:t>We propose to adopt rules that would permit fixed radar infrastructure applications as discussed below.  Fixed infrastructure radars can detect locations of stopped vehicles or pedestrians on roads, provide obstacle detection capability for industrial machinery including port cranes, mining trucks and locomotives, and provide security monitoring for government and public infrastructures.</w:t>
      </w:r>
      <w:r w:rsidRPr="00CB4F05">
        <w:rPr>
          <w:szCs w:val="22"/>
        </w:rPr>
        <w:t xml:space="preserve"> </w:t>
      </w:r>
      <w:r>
        <w:rPr>
          <w:szCs w:val="22"/>
        </w:rPr>
        <w:t xml:space="preserve"> </w:t>
      </w:r>
      <w:r>
        <w:t>As previously mentioned, Navtech filed a petition for partial reconsideration asking the Commission to reconsider its decision that limited the use of fixed infrastructure radars in the 76-77 GHz band to airports only.</w:t>
      </w:r>
      <w:r>
        <w:rPr>
          <w:rStyle w:val="FootnoteReference"/>
        </w:rPr>
        <w:footnoteReference w:id="98"/>
      </w:r>
      <w:r>
        <w:t xml:space="preserve">  Our proposal largely </w:t>
      </w:r>
      <w:r>
        <w:rPr>
          <w:szCs w:val="22"/>
        </w:rPr>
        <w:t xml:space="preserve">tracks the issues Navtech raised in its petition. </w:t>
      </w:r>
    </w:p>
    <w:p w:rsidR="005662EE" w:rsidRPr="0097498E" w:rsidRDefault="005662EE" w:rsidP="00006179">
      <w:pPr>
        <w:pStyle w:val="ParaNum"/>
      </w:pPr>
      <w:r>
        <w:t xml:space="preserve">In the </w:t>
      </w:r>
      <w:r w:rsidRPr="005D6B47">
        <w:rPr>
          <w:i/>
        </w:rPr>
        <w:t>Vehicular Radar NPRM</w:t>
      </w:r>
      <w:r>
        <w:t xml:space="preserve">, we stated that the proposal to limit fixed radar operations to specific locations such as airports or other places where fixed radars would not illuminate </w:t>
      </w:r>
      <w:r>
        <w:rPr>
          <w:spacing w:val="-2"/>
        </w:rPr>
        <w:t xml:space="preserve">public roads may be overly restrictive and could cause unnecessary burdens to the public if implemented.  We stated that fixed radars operating at the same maximum power levels as vehicular-mounted radars would be even less likely to interfere with the RAS and Radiolocation services than vehicle-mounted radars because the locations where they are used would not change.  We stated that fixed radars should be able to co-exist with vehicular radars because they both operate with the same power level and use antennas with narrow beam-widths, thus reducing the chances that the signal from one radar would be within the main lobe of the receive antenna of the other.  In a worst-case scenario, where two radars are aiming directly at each other, fixed radar should have no more impact on vehicular radar then </w:t>
      </w:r>
      <w:r w:rsidR="005B1145">
        <w:rPr>
          <w:spacing w:val="-2"/>
        </w:rPr>
        <w:t xml:space="preserve">that </w:t>
      </w:r>
      <w:r>
        <w:rPr>
          <w:spacing w:val="-2"/>
        </w:rPr>
        <w:t>by another radar located on a stationary vehicle.</w:t>
      </w:r>
      <w:r>
        <w:rPr>
          <w:rStyle w:val="FootnoteReference"/>
          <w:spacing w:val="-2"/>
          <w:szCs w:val="22"/>
        </w:rPr>
        <w:footnoteReference w:id="99"/>
      </w:r>
      <w:r>
        <w:rPr>
          <w:spacing w:val="-2"/>
        </w:rPr>
        <w:t xml:space="preserve">  We continue to believe this is the case. </w:t>
      </w:r>
    </w:p>
    <w:p w:rsidR="005662EE" w:rsidRDefault="005662EE" w:rsidP="00006179">
      <w:pPr>
        <w:pStyle w:val="ParaNum"/>
        <w:rPr>
          <w:szCs w:val="22"/>
        </w:rPr>
      </w:pPr>
      <w:r>
        <w:t xml:space="preserve">The Commission’s decision in the </w:t>
      </w:r>
      <w:r w:rsidRPr="00DA1C58">
        <w:rPr>
          <w:i/>
        </w:rPr>
        <w:t>Vehicular</w:t>
      </w:r>
      <w:r>
        <w:rPr>
          <w:i/>
        </w:rPr>
        <w:t xml:space="preserve"> Radar </w:t>
      </w:r>
      <w:r w:rsidRPr="00DA1C58">
        <w:rPr>
          <w:i/>
        </w:rPr>
        <w:t>R&amp;O</w:t>
      </w:r>
      <w:r>
        <w:t xml:space="preserve"> to restrict the use of fixed infrastructure radar operation to airports was based on the fact that </w:t>
      </w:r>
      <w:r w:rsidRPr="00DA1C58">
        <w:rPr>
          <w:szCs w:val="22"/>
        </w:rPr>
        <w:t xml:space="preserve">no parties had come forward to establish a </w:t>
      </w:r>
      <w:r>
        <w:t>clear demand</w:t>
      </w:r>
      <w:r w:rsidRPr="00DA1C58">
        <w:rPr>
          <w:szCs w:val="22"/>
        </w:rPr>
        <w:t xml:space="preserve"> for fixed radar applications beyond airport locations in the band</w:t>
      </w:r>
      <w:r>
        <w:t xml:space="preserve"> and </w:t>
      </w:r>
      <w:r w:rsidRPr="00DA1C58">
        <w:rPr>
          <w:szCs w:val="22"/>
        </w:rPr>
        <w:t xml:space="preserve">there were no conclusive </w:t>
      </w:r>
      <w:r>
        <w:rPr>
          <w:szCs w:val="22"/>
        </w:rPr>
        <w:t>data</w:t>
      </w:r>
      <w:r w:rsidRPr="00DA1C58">
        <w:rPr>
          <w:szCs w:val="22"/>
        </w:rPr>
        <w:t xml:space="preserve"> indicating that there would be compatibility between the vehicular and fixed radar types.</w:t>
      </w:r>
      <w:r>
        <w:rPr>
          <w:rStyle w:val="FootnoteReference"/>
        </w:rPr>
        <w:footnoteReference w:id="100"/>
      </w:r>
      <w:r w:rsidRPr="00DA1C58">
        <w:rPr>
          <w:szCs w:val="22"/>
        </w:rPr>
        <w:t xml:space="preserve">  We </w:t>
      </w:r>
      <w:r>
        <w:rPr>
          <w:szCs w:val="22"/>
        </w:rPr>
        <w:t xml:space="preserve">observe </w:t>
      </w:r>
      <w:r w:rsidRPr="00DA1C58">
        <w:rPr>
          <w:szCs w:val="22"/>
        </w:rPr>
        <w:t>that Navtech’s petition for partial reconsideration demonstrates that that there is demand for fixed infrastructure radars beyond airport locations.  In its petition, Navtech describes current and future applications of fixed infrastructure radars.  Examples of such current use includes monitoring tunnels or bridges for stopped vehicles, provid</w:t>
      </w:r>
      <w:r>
        <w:rPr>
          <w:szCs w:val="22"/>
        </w:rPr>
        <w:t>ing</w:t>
      </w:r>
      <w:r w:rsidRPr="00DA1C58">
        <w:rPr>
          <w:szCs w:val="22"/>
        </w:rPr>
        <w:t xml:space="preserve"> collision warning system for ship</w:t>
      </w:r>
      <w:r>
        <w:rPr>
          <w:szCs w:val="22"/>
        </w:rPr>
        <w:t>-</w:t>
      </w:r>
      <w:r w:rsidRPr="00DA1C58">
        <w:rPr>
          <w:szCs w:val="22"/>
        </w:rPr>
        <w:t>to</w:t>
      </w:r>
      <w:r>
        <w:rPr>
          <w:szCs w:val="22"/>
        </w:rPr>
        <w:t>-</w:t>
      </w:r>
      <w:r w:rsidRPr="00DA1C58">
        <w:rPr>
          <w:szCs w:val="22"/>
        </w:rPr>
        <w:t>shore cranes</w:t>
      </w:r>
      <w:r>
        <w:rPr>
          <w:szCs w:val="22"/>
        </w:rPr>
        <w:t>,</w:t>
      </w:r>
      <w:r w:rsidRPr="00DA1C58">
        <w:rPr>
          <w:szCs w:val="22"/>
        </w:rPr>
        <w:t xml:space="preserve"> and provid</w:t>
      </w:r>
      <w:r>
        <w:rPr>
          <w:szCs w:val="22"/>
        </w:rPr>
        <w:t>ing</w:t>
      </w:r>
      <w:r w:rsidRPr="00DA1C58">
        <w:rPr>
          <w:szCs w:val="22"/>
        </w:rPr>
        <w:t xml:space="preserve"> train detection for automatic control</w:t>
      </w:r>
      <w:r>
        <w:rPr>
          <w:szCs w:val="22"/>
        </w:rPr>
        <w:t xml:space="preserve"> functions</w:t>
      </w:r>
      <w:r w:rsidRPr="00DA1C58">
        <w:rPr>
          <w:szCs w:val="22"/>
        </w:rPr>
        <w:t>.</w:t>
      </w:r>
      <w:r>
        <w:rPr>
          <w:rStyle w:val="FootnoteReference"/>
          <w:szCs w:val="22"/>
        </w:rPr>
        <w:footnoteReference w:id="101"/>
      </w:r>
      <w:r>
        <w:rPr>
          <w:szCs w:val="22"/>
        </w:rPr>
        <w:t xml:space="preserve">  Moreover, in April 2014, Mantissa Ltd. stated that it supported further proceedings consistent with the Navtech petition because it is interested in deploying fixed radar technologies in the United States for security applications.</w:t>
      </w:r>
      <w:r>
        <w:rPr>
          <w:rStyle w:val="FootnoteReference"/>
          <w:szCs w:val="22"/>
        </w:rPr>
        <w:footnoteReference w:id="102"/>
      </w:r>
    </w:p>
    <w:p w:rsidR="005662EE" w:rsidRDefault="005662EE" w:rsidP="00006179">
      <w:pPr>
        <w:pStyle w:val="ParaNum"/>
      </w:pPr>
      <w:r w:rsidRPr="00DA1C58">
        <w:t>I</w:t>
      </w:r>
      <w:r>
        <w:t xml:space="preserve">n the </w:t>
      </w:r>
      <w:r w:rsidRPr="00DA1C58">
        <w:rPr>
          <w:i/>
        </w:rPr>
        <w:t xml:space="preserve">Vehicular </w:t>
      </w:r>
      <w:r>
        <w:rPr>
          <w:i/>
        </w:rPr>
        <w:t xml:space="preserve">Radar </w:t>
      </w:r>
      <w:r w:rsidRPr="00DA1C58">
        <w:rPr>
          <w:i/>
        </w:rPr>
        <w:t>R&amp;O</w:t>
      </w:r>
      <w:r>
        <w:t xml:space="preserve">, </w:t>
      </w:r>
      <w:r w:rsidRPr="00DA1C58">
        <w:t>the Commission s</w:t>
      </w:r>
      <w:r>
        <w:t xml:space="preserve">tated that it continued to believe </w:t>
      </w:r>
      <w:r w:rsidRPr="00DA1C58">
        <w:t>that vehicular radars should be able to share the band with fixed radars operating at the same level</w:t>
      </w:r>
      <w:r>
        <w:t xml:space="preserve"> and we think those ob</w:t>
      </w:r>
      <w:r w:rsidRPr="00DA1C58">
        <w:t>s</w:t>
      </w:r>
      <w:r>
        <w:t xml:space="preserve">ervations continue to be sound.  At that time, the Commission </w:t>
      </w:r>
      <w:r w:rsidRPr="00DA1C58">
        <w:t>noted that there were also no existing reports or studies that indicated incompatibility between the two types of radars.</w:t>
      </w:r>
      <w:r>
        <w:rPr>
          <w:rStyle w:val="FootnoteReference"/>
        </w:rPr>
        <w:footnoteReference w:id="103"/>
      </w:r>
      <w:r w:rsidRPr="00DA1C58">
        <w:t xml:space="preserve">  </w:t>
      </w:r>
      <w:r>
        <w:t xml:space="preserve">We are unaware of any </w:t>
      </w:r>
      <w:r w:rsidRPr="00DA1C58">
        <w:t>report or study that indicates incompatibility between the two types of radars</w:t>
      </w:r>
      <w:r>
        <w:t>, but we recognize that the record on this matter may still be evolving</w:t>
      </w:r>
      <w:r w:rsidR="00530AA9">
        <w:t xml:space="preserve">.  </w:t>
      </w:r>
      <w:r>
        <w:t xml:space="preserve">The limited record that is available on this subject does not have the support of all interested parties in the matter.  </w:t>
      </w:r>
      <w:r w:rsidRPr="00922848">
        <w:t xml:space="preserve">In the most recent comments received by the Commission in response to fixed infrastructure radars, </w:t>
      </w:r>
      <w:r>
        <w:t xml:space="preserve">the </w:t>
      </w:r>
      <w:r w:rsidRPr="00922848">
        <w:t>automotive industry opposes the use of these radars citing interference with vehicular radars.  The automotive industry cites a</w:t>
      </w:r>
      <w:r>
        <w:t>n</w:t>
      </w:r>
      <w:r w:rsidRPr="00922848">
        <w:t xml:space="preserve"> </w:t>
      </w:r>
      <w:r>
        <w:t xml:space="preserve">ongoing </w:t>
      </w:r>
      <w:r w:rsidRPr="00922848">
        <w:t xml:space="preserve">study known as MOSARIM </w:t>
      </w:r>
      <w:r>
        <w:t>(More Safety for All by Radar Interference Mitigation)</w:t>
      </w:r>
      <w:r w:rsidRPr="00922848">
        <w:t xml:space="preserve">, which </w:t>
      </w:r>
      <w:r>
        <w:t xml:space="preserve">suggested </w:t>
      </w:r>
      <w:r w:rsidRPr="00922848">
        <w:t>that vehicular radars and fixed infrastructure radars are incompatible due to the interference issues.</w:t>
      </w:r>
      <w:r>
        <w:rPr>
          <w:rStyle w:val="FootnoteReference"/>
          <w:szCs w:val="22"/>
        </w:rPr>
        <w:footnoteReference w:id="104"/>
      </w:r>
      <w:r w:rsidRPr="00922848">
        <w:t xml:space="preserve">  Navtech</w:t>
      </w:r>
      <w:r>
        <w:t>,</w:t>
      </w:r>
      <w:r w:rsidRPr="00922848">
        <w:t xml:space="preserve"> on the other hand</w:t>
      </w:r>
      <w:r>
        <w:t>,</w:t>
      </w:r>
      <w:r w:rsidRPr="00922848">
        <w:t xml:space="preserve"> refutes the </w:t>
      </w:r>
      <w:r>
        <w:t>study</w:t>
      </w:r>
      <w:r w:rsidRPr="00922848">
        <w:t xml:space="preserve"> and </w:t>
      </w:r>
      <w:r>
        <w:t>asserts</w:t>
      </w:r>
      <w:r w:rsidRPr="00922848">
        <w:t xml:space="preserve"> </w:t>
      </w:r>
      <w:r>
        <w:t xml:space="preserve">that it was unfairly designed to favor the </w:t>
      </w:r>
      <w:r w:rsidRPr="00922848">
        <w:t>automotive industry.</w:t>
      </w:r>
      <w:r>
        <w:rPr>
          <w:rStyle w:val="FootnoteReference"/>
          <w:szCs w:val="22"/>
        </w:rPr>
        <w:footnoteReference w:id="105"/>
      </w:r>
      <w:r w:rsidRPr="00922848">
        <w:t xml:space="preserve">  </w:t>
      </w:r>
      <w:r>
        <w:t xml:space="preserve">We </w:t>
      </w:r>
      <w:r w:rsidRPr="00922848">
        <w:t xml:space="preserve">continue to believe that </w:t>
      </w:r>
      <w:r>
        <w:t>shared use by vehicular</w:t>
      </w:r>
      <w:r w:rsidRPr="00922848">
        <w:t xml:space="preserve"> </w:t>
      </w:r>
      <w:r>
        <w:t>radars and f</w:t>
      </w:r>
      <w:r w:rsidRPr="00922848">
        <w:t>ixed radars</w:t>
      </w:r>
      <w:r>
        <w:t xml:space="preserve"> best promotes the public interest.</w:t>
      </w:r>
    </w:p>
    <w:p w:rsidR="005662EE" w:rsidRPr="00981F74" w:rsidRDefault="005662EE" w:rsidP="00006179">
      <w:pPr>
        <w:pStyle w:val="ParaNum"/>
        <w:rPr>
          <w:szCs w:val="22"/>
        </w:rPr>
      </w:pPr>
      <w:r w:rsidRPr="00CC3CD8">
        <w:rPr>
          <w:szCs w:val="22"/>
        </w:rPr>
        <w:t xml:space="preserve">We seek to update the record and are especially interested in whether there are </w:t>
      </w:r>
      <w:r>
        <w:t xml:space="preserve">interference studies or reports indicating compatibility or lack thereof between vehicular and fixed radars in the 76-77 GHz band.  </w:t>
      </w:r>
      <w:r w:rsidR="00530AA9">
        <w:t xml:space="preserve">As mentioned before, we </w:t>
      </w:r>
      <w:r w:rsidR="00530AA9" w:rsidRPr="00981F74">
        <w:rPr>
          <w:spacing w:val="-2"/>
          <w:szCs w:val="22"/>
        </w:rPr>
        <w:t>continue to believe that where two radars are aiming directly at each other, fixed radar should have no more impact on a vehicular radar then</w:t>
      </w:r>
      <w:r w:rsidR="00530AA9">
        <w:rPr>
          <w:spacing w:val="-2"/>
          <w:szCs w:val="22"/>
        </w:rPr>
        <w:t xml:space="preserve"> that from</w:t>
      </w:r>
      <w:r w:rsidR="00530AA9" w:rsidRPr="00981F74">
        <w:rPr>
          <w:spacing w:val="-2"/>
          <w:szCs w:val="22"/>
        </w:rPr>
        <w:t xml:space="preserve"> a radar located on a stationary vehicle.</w:t>
      </w:r>
      <w:r w:rsidR="00530AA9">
        <w:rPr>
          <w:rStyle w:val="FootnoteReference"/>
          <w:spacing w:val="-2"/>
          <w:szCs w:val="22"/>
        </w:rPr>
        <w:footnoteReference w:id="106"/>
      </w:r>
      <w:r w:rsidR="00530AA9" w:rsidRPr="00981F74">
        <w:rPr>
          <w:spacing w:val="-2"/>
          <w:szCs w:val="22"/>
        </w:rPr>
        <w:t xml:space="preserve">  </w:t>
      </w:r>
      <w:r w:rsidRPr="00981F74">
        <w:rPr>
          <w:spacing w:val="-2"/>
          <w:szCs w:val="22"/>
        </w:rPr>
        <w:t>We seek comment on our conclusion and are particularly interested in the argument</w:t>
      </w:r>
      <w:r>
        <w:rPr>
          <w:spacing w:val="-2"/>
          <w:szCs w:val="22"/>
        </w:rPr>
        <w:t>s</w:t>
      </w:r>
      <w:r w:rsidRPr="00981F74">
        <w:rPr>
          <w:spacing w:val="-2"/>
          <w:szCs w:val="22"/>
        </w:rPr>
        <w:t xml:space="preserve"> as to why </w:t>
      </w:r>
      <w:r>
        <w:rPr>
          <w:spacing w:val="-2"/>
          <w:szCs w:val="22"/>
        </w:rPr>
        <w:t xml:space="preserve">or why not a </w:t>
      </w:r>
      <w:r w:rsidRPr="00981F74">
        <w:rPr>
          <w:spacing w:val="-2"/>
          <w:szCs w:val="22"/>
        </w:rPr>
        <w:t xml:space="preserve">fixed radar would be more interfering than </w:t>
      </w:r>
      <w:r>
        <w:rPr>
          <w:spacing w:val="-2"/>
          <w:szCs w:val="22"/>
        </w:rPr>
        <w:t xml:space="preserve">a </w:t>
      </w:r>
      <w:r w:rsidRPr="00981F74">
        <w:rPr>
          <w:spacing w:val="-2"/>
          <w:szCs w:val="22"/>
        </w:rPr>
        <w:t xml:space="preserve">vehicular radar located on a stopped vehicle.  </w:t>
      </w:r>
    </w:p>
    <w:p w:rsidR="005662EE" w:rsidRPr="0091659D" w:rsidRDefault="005662EE" w:rsidP="00006179">
      <w:pPr>
        <w:pStyle w:val="ParaNum"/>
        <w:rPr>
          <w:szCs w:val="22"/>
        </w:rPr>
      </w:pPr>
      <w:r w:rsidRPr="00362CDC">
        <w:rPr>
          <w:szCs w:val="22"/>
        </w:rPr>
        <w:t>While we seek broad comment</w:t>
      </w:r>
      <w:r>
        <w:t xml:space="preserve"> on allowing </w:t>
      </w:r>
      <w:r w:rsidRPr="00362CDC">
        <w:rPr>
          <w:szCs w:val="22"/>
        </w:rPr>
        <w:t xml:space="preserve">the fixed infrastructure radar use within the </w:t>
      </w:r>
      <w:r w:rsidRPr="00017678">
        <w:rPr>
          <w:szCs w:val="22"/>
        </w:rPr>
        <w:t>76-81 GHz range, w</w:t>
      </w:r>
      <w:r>
        <w:t xml:space="preserve">e also ask commenters to address whether fixed infrastructure radars should be limited to the 76-77 GHz band.  Because </w:t>
      </w:r>
      <w:r w:rsidRPr="00362CDC">
        <w:rPr>
          <w:szCs w:val="22"/>
        </w:rPr>
        <w:t>fixed infrastructure radar</w:t>
      </w:r>
      <w:r>
        <w:rPr>
          <w:szCs w:val="22"/>
        </w:rPr>
        <w:t>s</w:t>
      </w:r>
      <w:r w:rsidRPr="00362CDC">
        <w:rPr>
          <w:szCs w:val="22"/>
        </w:rPr>
        <w:t xml:space="preserve"> </w:t>
      </w:r>
      <w:r>
        <w:rPr>
          <w:szCs w:val="22"/>
        </w:rPr>
        <w:t>are</w:t>
      </w:r>
      <w:r w:rsidRPr="00362CDC">
        <w:rPr>
          <w:szCs w:val="22"/>
        </w:rPr>
        <w:t xml:space="preserve"> </w:t>
      </w:r>
      <w:r>
        <w:rPr>
          <w:szCs w:val="22"/>
        </w:rPr>
        <w:t>intended</w:t>
      </w:r>
      <w:r w:rsidRPr="00362CDC">
        <w:rPr>
          <w:szCs w:val="22"/>
        </w:rPr>
        <w:t xml:space="preserve"> to detect obstacles that are relatively large</w:t>
      </w:r>
      <w:r w:rsidRPr="00017678">
        <w:rPr>
          <w:szCs w:val="22"/>
        </w:rPr>
        <w:t xml:space="preserve"> (</w:t>
      </w:r>
      <w:r w:rsidRPr="00017678">
        <w:rPr>
          <w:i/>
          <w:szCs w:val="22"/>
        </w:rPr>
        <w:t>e.g</w:t>
      </w:r>
      <w:r w:rsidRPr="00EE504B">
        <w:rPr>
          <w:i/>
          <w:szCs w:val="22"/>
        </w:rPr>
        <w:t>.</w:t>
      </w:r>
      <w:r w:rsidRPr="00EE504B">
        <w:rPr>
          <w:szCs w:val="22"/>
        </w:rPr>
        <w:t xml:space="preserve"> pedestrians, vehicles, ships</w:t>
      </w:r>
      <w:r w:rsidRPr="0091659D">
        <w:rPr>
          <w:szCs w:val="22"/>
        </w:rPr>
        <w:t>)</w:t>
      </w:r>
      <w:r>
        <w:rPr>
          <w:szCs w:val="22"/>
        </w:rPr>
        <w:t>, a</w:t>
      </w:r>
      <w:r w:rsidRPr="0091659D">
        <w:rPr>
          <w:szCs w:val="22"/>
        </w:rPr>
        <w:t xml:space="preserve"> bandwidth of</w:t>
      </w:r>
      <w:r>
        <w:rPr>
          <w:szCs w:val="22"/>
        </w:rPr>
        <w:t xml:space="preserve"> 1 gigahertz</w:t>
      </w:r>
      <w:r w:rsidRPr="0091659D">
        <w:rPr>
          <w:szCs w:val="22"/>
        </w:rPr>
        <w:t xml:space="preserve"> or less would appear to be sufficient for these fixed radars to identify the type and presence of </w:t>
      </w:r>
      <w:r>
        <w:rPr>
          <w:szCs w:val="22"/>
        </w:rPr>
        <w:t xml:space="preserve">such </w:t>
      </w:r>
      <w:r w:rsidRPr="0091659D">
        <w:rPr>
          <w:szCs w:val="22"/>
        </w:rPr>
        <w:t>obstacles</w:t>
      </w:r>
      <w:r>
        <w:rPr>
          <w:szCs w:val="22"/>
        </w:rPr>
        <w:t>.</w:t>
      </w:r>
      <w:r>
        <w:rPr>
          <w:rStyle w:val="FootnoteReference"/>
          <w:szCs w:val="22"/>
        </w:rPr>
        <w:footnoteReference w:id="107"/>
      </w:r>
      <w:r w:rsidRPr="00362CDC">
        <w:rPr>
          <w:szCs w:val="22"/>
        </w:rPr>
        <w:t xml:space="preserve">  </w:t>
      </w:r>
      <w:r w:rsidRPr="00017678">
        <w:rPr>
          <w:szCs w:val="22"/>
        </w:rPr>
        <w:t>For these reasons</w:t>
      </w:r>
      <w:r>
        <w:rPr>
          <w:szCs w:val="22"/>
        </w:rPr>
        <w:t>,</w:t>
      </w:r>
      <w:r w:rsidRPr="00017678">
        <w:rPr>
          <w:szCs w:val="22"/>
        </w:rPr>
        <w:t xml:space="preserve"> we </w:t>
      </w:r>
      <w:r>
        <w:rPr>
          <w:szCs w:val="22"/>
        </w:rPr>
        <w:t>are proposing to limit available bandwidth for fixed radars to 1 gigahertz</w:t>
      </w:r>
      <w:r w:rsidRPr="00EE504B">
        <w:rPr>
          <w:szCs w:val="22"/>
        </w:rPr>
        <w:t xml:space="preserve"> </w:t>
      </w:r>
      <w:r>
        <w:rPr>
          <w:szCs w:val="22"/>
        </w:rPr>
        <w:t xml:space="preserve">and restricting operation to the </w:t>
      </w:r>
      <w:r w:rsidRPr="00017678">
        <w:rPr>
          <w:szCs w:val="22"/>
        </w:rPr>
        <w:t xml:space="preserve">76-77 </w:t>
      </w:r>
      <w:r w:rsidRPr="00EE504B">
        <w:rPr>
          <w:szCs w:val="22"/>
        </w:rPr>
        <w:t xml:space="preserve">GHz band as </w:t>
      </w:r>
      <w:r>
        <w:rPr>
          <w:szCs w:val="22"/>
        </w:rPr>
        <w:t xml:space="preserve">set </w:t>
      </w:r>
      <w:r w:rsidRPr="00EE504B">
        <w:rPr>
          <w:szCs w:val="22"/>
        </w:rPr>
        <w:t>forth in Appendix B</w:t>
      </w:r>
      <w:r w:rsidRPr="0091659D">
        <w:rPr>
          <w:szCs w:val="22"/>
        </w:rPr>
        <w:t>.  Alternatively, we seek comment on other approaches</w:t>
      </w:r>
      <w:r>
        <w:rPr>
          <w:szCs w:val="22"/>
        </w:rPr>
        <w:t xml:space="preserve"> for accommodating fixed radars.  S</w:t>
      </w:r>
      <w:r w:rsidRPr="0091659D">
        <w:rPr>
          <w:szCs w:val="22"/>
        </w:rPr>
        <w:t xml:space="preserve">uch </w:t>
      </w:r>
      <w:r>
        <w:rPr>
          <w:szCs w:val="22"/>
        </w:rPr>
        <w:t>approaches could include</w:t>
      </w:r>
      <w:r w:rsidRPr="0091659D">
        <w:rPr>
          <w:szCs w:val="22"/>
        </w:rPr>
        <w:t xml:space="preserve"> </w:t>
      </w:r>
      <w:r>
        <w:rPr>
          <w:szCs w:val="22"/>
        </w:rPr>
        <w:t>permitting</w:t>
      </w:r>
      <w:r w:rsidRPr="0091659D">
        <w:rPr>
          <w:szCs w:val="22"/>
        </w:rPr>
        <w:t xml:space="preserve"> fixed infrastructure radar</w:t>
      </w:r>
      <w:r>
        <w:rPr>
          <w:szCs w:val="22"/>
        </w:rPr>
        <w:t>s</w:t>
      </w:r>
      <w:r w:rsidRPr="0091659D">
        <w:rPr>
          <w:szCs w:val="22"/>
        </w:rPr>
        <w:t xml:space="preserve"> </w:t>
      </w:r>
      <w:r>
        <w:rPr>
          <w:szCs w:val="22"/>
        </w:rPr>
        <w:t>to operate in a different one gigahertz frequency range between 77</w:t>
      </w:r>
      <w:r w:rsidRPr="0091659D">
        <w:rPr>
          <w:szCs w:val="22"/>
        </w:rPr>
        <w:t>-81 GHz</w:t>
      </w:r>
      <w:r>
        <w:rPr>
          <w:szCs w:val="22"/>
        </w:rPr>
        <w:t xml:space="preserve"> band, </w:t>
      </w:r>
      <w:r w:rsidRPr="0091659D">
        <w:rPr>
          <w:szCs w:val="22"/>
        </w:rPr>
        <w:t xml:space="preserve">or </w:t>
      </w:r>
      <w:r>
        <w:rPr>
          <w:szCs w:val="22"/>
        </w:rPr>
        <w:t xml:space="preserve">allowing them in </w:t>
      </w:r>
      <w:r w:rsidRPr="0091659D">
        <w:rPr>
          <w:szCs w:val="22"/>
        </w:rPr>
        <w:t>the entire 76-81 GHz band</w:t>
      </w:r>
      <w:r>
        <w:rPr>
          <w:szCs w:val="22"/>
        </w:rPr>
        <w:t xml:space="preserve"> </w:t>
      </w:r>
      <w:r w:rsidRPr="0091659D">
        <w:rPr>
          <w:szCs w:val="22"/>
        </w:rPr>
        <w:t xml:space="preserve">but </w:t>
      </w:r>
      <w:r>
        <w:rPr>
          <w:szCs w:val="22"/>
        </w:rPr>
        <w:t>with limited bandwidth usage of 1 gigahertz</w:t>
      </w:r>
      <w:r w:rsidRPr="0091659D">
        <w:rPr>
          <w:szCs w:val="22"/>
        </w:rPr>
        <w:t xml:space="preserve"> or less</w:t>
      </w:r>
      <w:r>
        <w:rPr>
          <w:szCs w:val="22"/>
        </w:rPr>
        <w:t xml:space="preserve"> for any given operation.  </w:t>
      </w:r>
      <w:r w:rsidRPr="0091659D">
        <w:rPr>
          <w:szCs w:val="22"/>
        </w:rPr>
        <w:t>Our goal here is to seek efficient use of the spectrum, harmonize global use of the spectrum, and facilitate development of technologies that serve public interest and convenience.</w:t>
      </w:r>
    </w:p>
    <w:p w:rsidR="005662EE" w:rsidRDefault="005662EE" w:rsidP="00006179">
      <w:pPr>
        <w:pStyle w:val="ParaNum"/>
      </w:pPr>
      <w:r w:rsidRPr="00C707B5">
        <w:rPr>
          <w:i/>
          <w:u w:val="single"/>
        </w:rPr>
        <w:t xml:space="preserve">Aircraft-mounted </w:t>
      </w:r>
      <w:r>
        <w:rPr>
          <w:i/>
          <w:u w:val="single"/>
        </w:rPr>
        <w:t>R</w:t>
      </w:r>
      <w:r w:rsidRPr="00C707B5">
        <w:rPr>
          <w:i/>
          <w:u w:val="single"/>
        </w:rPr>
        <w:t>adar</w:t>
      </w:r>
      <w:r w:rsidRPr="00C707B5">
        <w:rPr>
          <w:u w:val="single"/>
        </w:rPr>
        <w:t>.</w:t>
      </w:r>
      <w:r>
        <w:t xml:space="preserve">  </w:t>
      </w:r>
      <w:r w:rsidRPr="0059436B">
        <w:t xml:space="preserve">We </w:t>
      </w:r>
      <w:r>
        <w:t xml:space="preserve">also seek comment on expanding the use of radar in the 76-77 </w:t>
      </w:r>
      <w:r w:rsidRPr="0059436B">
        <w:t xml:space="preserve">GHz band </w:t>
      </w:r>
      <w:r>
        <w:t>to provide for aircraft-</w:t>
      </w:r>
      <w:r w:rsidRPr="0059436B">
        <w:t xml:space="preserve">mounted </w:t>
      </w:r>
      <w:r>
        <w:t xml:space="preserve">radars used only on the ground.  </w:t>
      </w:r>
      <w:r w:rsidRPr="0059436B">
        <w:t xml:space="preserve">This application, also referred to </w:t>
      </w:r>
      <w:r>
        <w:t xml:space="preserve">by Honeywell </w:t>
      </w:r>
      <w:r w:rsidRPr="0059436B">
        <w:t xml:space="preserve">as </w:t>
      </w:r>
      <w:r>
        <w:t>“</w:t>
      </w:r>
      <w:r w:rsidRPr="0059436B">
        <w:t>wingtip radar</w:t>
      </w:r>
      <w:r>
        <w:t>,” is used while aircraft are on the ground</w:t>
      </w:r>
      <w:r w:rsidRPr="0059436B">
        <w:t xml:space="preserve"> to prevent and or mitigate </w:t>
      </w:r>
      <w:r>
        <w:t xml:space="preserve">the severity of </w:t>
      </w:r>
      <w:r w:rsidRPr="0059436B">
        <w:t xml:space="preserve">aircraft wing collisions while </w:t>
      </w:r>
      <w:r>
        <w:t>planes are moving between gates and runways.  This matter tracks the issues Honeywell first raised in its petition for reconsideration in ET Docket No. 10-28.</w:t>
      </w:r>
      <w:r>
        <w:rPr>
          <w:rStyle w:val="FootnoteReference"/>
        </w:rPr>
        <w:footnoteReference w:id="108"/>
      </w:r>
    </w:p>
    <w:p w:rsidR="005662EE" w:rsidRDefault="005662EE" w:rsidP="00C2212F">
      <w:pPr>
        <w:pStyle w:val="ParaNum"/>
        <w:widowControl/>
      </w:pPr>
      <w:r>
        <w:t xml:space="preserve">We believe that wingtip radar technologies can provide important public benefits.  Aircraft </w:t>
      </w:r>
      <w:r w:rsidRPr="0059436B">
        <w:t>wing</w:t>
      </w:r>
      <w:r>
        <w:t>tip</w:t>
      </w:r>
      <w:r w:rsidRPr="0059436B">
        <w:t xml:space="preserve"> collisions</w:t>
      </w:r>
      <w:r>
        <w:t>, which account for approximately 25 percent of all aircraft ground accidents,</w:t>
      </w:r>
      <w:r w:rsidRPr="0059436B">
        <w:t xml:space="preserve"> involve</w:t>
      </w:r>
      <w:r>
        <w:t xml:space="preserve"> </w:t>
      </w:r>
      <w:r w:rsidRPr="0059436B">
        <w:t>substantial costs, both in terms of repairs to aircraft and ground facilities and in lost time for</w:t>
      </w:r>
      <w:r>
        <w:t xml:space="preserve"> </w:t>
      </w:r>
      <w:r w:rsidRPr="0059436B">
        <w:t>passengers due to flight delays and cancellations.</w:t>
      </w:r>
      <w:r>
        <w:rPr>
          <w:rStyle w:val="FootnoteReference"/>
          <w:szCs w:val="22"/>
        </w:rPr>
        <w:footnoteReference w:id="109"/>
      </w:r>
      <w:r>
        <w:t xml:space="preserve">  Honeywell asserts that mitigating the risk of wingtip collisions can reduce these costs and improve safety for both aviation personnel and the travelling public.</w:t>
      </w:r>
      <w:r>
        <w:rPr>
          <w:rStyle w:val="FootnoteReference"/>
          <w:szCs w:val="22"/>
        </w:rPr>
        <w:footnoteReference w:id="110"/>
      </w:r>
      <w:r>
        <w:t xml:space="preserve">  The use of wingtip radar also appears to support National Transportation Safety Board (NTSB) safety recommendations</w:t>
      </w:r>
      <w:r w:rsidRPr="0097498E">
        <w:t xml:space="preserve"> </w:t>
      </w:r>
      <w:r>
        <w:t>regarding the use of anti-collision aids on aircraft</w:t>
      </w:r>
      <w:r w:rsidRPr="009B300B">
        <w:t>.</w:t>
      </w:r>
      <w:r>
        <w:rPr>
          <w:rStyle w:val="FootnoteReference"/>
          <w:szCs w:val="22"/>
        </w:rPr>
        <w:footnoteReference w:id="111"/>
      </w:r>
    </w:p>
    <w:p w:rsidR="005662EE" w:rsidRPr="00331521" w:rsidRDefault="005662EE" w:rsidP="00006179">
      <w:pPr>
        <w:pStyle w:val="ParaNum"/>
      </w:pPr>
      <w:r w:rsidRPr="00331521">
        <w:t xml:space="preserve">We seek to develop a full record on the compatibility of aircraft-mounted radar </w:t>
      </w:r>
      <w:r>
        <w:t xml:space="preserve">used only on the ground </w:t>
      </w:r>
      <w:r w:rsidRPr="00331521">
        <w:t xml:space="preserve">with the other applications in the </w:t>
      </w:r>
      <w:r>
        <w:t xml:space="preserve">76-81 </w:t>
      </w:r>
      <w:r w:rsidRPr="00331521">
        <w:t xml:space="preserve">GHz band.  </w:t>
      </w:r>
      <w:r w:rsidR="00530AA9" w:rsidRPr="00331521">
        <w:t xml:space="preserve">At the </w:t>
      </w:r>
      <w:r w:rsidR="00530AA9">
        <w:t>time</w:t>
      </w:r>
      <w:r w:rsidR="00530AA9" w:rsidRPr="00331521">
        <w:t xml:space="preserve"> Honeywell filed its petition</w:t>
      </w:r>
      <w:r w:rsidR="00530AA9">
        <w:t>,</w:t>
      </w:r>
      <w:r w:rsidR="00530AA9" w:rsidRPr="00331521">
        <w:t xml:space="preserve"> many automotive radar supporters expressed concern about the potential for interference.</w:t>
      </w:r>
      <w:r w:rsidR="00530AA9">
        <w:rPr>
          <w:rStyle w:val="FootnoteReference"/>
          <w:szCs w:val="22"/>
        </w:rPr>
        <w:footnoteReference w:id="112"/>
      </w:r>
      <w:r w:rsidR="00530AA9" w:rsidRPr="00331521">
        <w:t xml:space="preserve">  </w:t>
      </w:r>
      <w:r w:rsidRPr="00331521">
        <w:t xml:space="preserve">However, because we expect that wingtip radars will be used in the same locations as FOD detection radars (that is, on airport property and, in the case of aircraft-mounted radars, only during taxi and other ground activities), and because we have already tentatively concluded that FOD detection radars and automotive radars can successfully co-exist, we </w:t>
      </w:r>
      <w:r>
        <w:t xml:space="preserve">also tentatively conclude </w:t>
      </w:r>
      <w:r w:rsidRPr="00331521">
        <w:t>that aircraft-mounted radars should likewise be compatible</w:t>
      </w:r>
      <w:r>
        <w:t xml:space="preserve"> with vehicular radars</w:t>
      </w:r>
      <w:r w:rsidRPr="00331521">
        <w:t xml:space="preserve">.  </w:t>
      </w:r>
    </w:p>
    <w:p w:rsidR="005662EE" w:rsidRDefault="005662EE" w:rsidP="00006179">
      <w:pPr>
        <w:pStyle w:val="ParaNum"/>
      </w:pPr>
      <w:r>
        <w:t>As an initial matter, we note that there are functional differences between the FOD detection radar and wingtip radar applications that may promote compatibility between the two operations:  wingtip radars can be useful during times of aircraft movement, such as taxiing between runways and ramp areas and while being pushed out of gates, while FOD detection appear to have high value in runway environments and before takeoff and landing.  Therefore, it may be possible to create time and space separation between the FOD detection radar and wingtip radar application uses to reduce the potential for interference.</w:t>
      </w:r>
      <w:r>
        <w:rPr>
          <w:rStyle w:val="FootnoteReference"/>
          <w:szCs w:val="22"/>
        </w:rPr>
        <w:footnoteReference w:id="113"/>
      </w:r>
      <w:r>
        <w:t xml:space="preserve">  In addition, the nature of the millimeter wave bands, as we discussed </w:t>
      </w:r>
      <w:r>
        <w:rPr>
          <w:i/>
        </w:rPr>
        <w:t>supra</w:t>
      </w:r>
      <w:r>
        <w:t>, allows for extensive frequency reuse and can accommodate many discrete users.  In response to Honeywell’s petition, Xsight Systems – a manufacturer of FOD detection products – stated that it was “in the process of setting up a meeting with Honeywell to … investigate whether a potential for interference exists between Xsight’s system and equipment that would operate under Honeywell’s proposal.”</w:t>
      </w:r>
      <w:r>
        <w:rPr>
          <w:rStyle w:val="FootnoteReference"/>
          <w:szCs w:val="22"/>
        </w:rPr>
        <w:footnoteReference w:id="114"/>
      </w:r>
      <w:r>
        <w:t xml:space="preserve">  We seek further information about the results of such discussions, as well as updated information about the status of wingtip radar product development.</w:t>
      </w:r>
      <w:r>
        <w:rPr>
          <w:rStyle w:val="FootnoteReference"/>
          <w:szCs w:val="22"/>
        </w:rPr>
        <w:footnoteReference w:id="115"/>
      </w:r>
    </w:p>
    <w:p w:rsidR="005662EE" w:rsidRDefault="005662EE" w:rsidP="00006179">
      <w:pPr>
        <w:pStyle w:val="ParaNum"/>
      </w:pPr>
      <w:r>
        <w:t>We also seek comment on whether it would be feasible to employ an automatic shut-off mechanism for wingtip radars that would prevent radar operation any time the aircraft is not on the ground.  Are there existing aircraft components (such as altimeters) that could be used in conjunction with such a system, and if so, how easily could wingtip radar be integrated with such devices?  Could such an automated system be easily deployable on all types of aircraft (</w:t>
      </w:r>
      <w:r>
        <w:rPr>
          <w:i/>
        </w:rPr>
        <w:t>e.g.</w:t>
      </w:r>
      <w:r>
        <w:t xml:space="preserve"> commercial and personal)?  We tentatively conclude that we should adopt such an automatic shut-off mechanism, if such a mechanism is feasible, to protect the radio astronomy service from harmful interference that could be caused by inadvertent operation of a wingtip radar system while an aircraft is in flight.  For this reason, we propose to distinguish wingtip radars from vehicular radars in our rules, as aircraft should not be considered as vehicles for purposes of radar use in the 76-81 GHz band.  Finally, we seek comment on any compatibility issues with respect to other existing and proposed radar uses in the band, as well as to amateur radio users.</w:t>
      </w:r>
    </w:p>
    <w:p w:rsidR="005662EE" w:rsidRDefault="005662EE" w:rsidP="00006179">
      <w:pPr>
        <w:pStyle w:val="ParaNum"/>
      </w:pPr>
      <w:r w:rsidRPr="00362CDC">
        <w:t>While we seek broad comment</w:t>
      </w:r>
      <w:r>
        <w:t xml:space="preserve"> on allowing wingtip radar use </w:t>
      </w:r>
      <w:r w:rsidRPr="00362CDC">
        <w:t xml:space="preserve">within the </w:t>
      </w:r>
      <w:r w:rsidRPr="00017678">
        <w:t>76-81 GHz range, w</w:t>
      </w:r>
      <w:r>
        <w:t xml:space="preserve">e note that the wingtip radar may only require bandwidth of one gigahertz or less to detect obstacles in its path.  For this reason, we propose to allow wingtip radars to operate with a bandwidth of 1 gigahertz in the 76-77 GHz band, as set forth in Appendix B.  </w:t>
      </w:r>
      <w:r w:rsidRPr="0091659D">
        <w:t xml:space="preserve">Alternatively, </w:t>
      </w:r>
      <w:r>
        <w:t xml:space="preserve">and similar to the fixed radar proposals discussed above, </w:t>
      </w:r>
      <w:r w:rsidRPr="0091659D">
        <w:t xml:space="preserve">we seek comment on other </w:t>
      </w:r>
      <w:r>
        <w:t>ways we could accommodate wingtip radars.  S</w:t>
      </w:r>
      <w:r w:rsidRPr="0091659D">
        <w:t xml:space="preserve">uch </w:t>
      </w:r>
      <w:r>
        <w:t>approaches could include</w:t>
      </w:r>
      <w:r w:rsidRPr="0091659D">
        <w:t xml:space="preserve"> </w:t>
      </w:r>
      <w:r>
        <w:t>permitting</w:t>
      </w:r>
      <w:r w:rsidRPr="0091659D">
        <w:t xml:space="preserve"> </w:t>
      </w:r>
      <w:r>
        <w:t>wingtip radars to operate in a different one gigahertz frequency range between 77</w:t>
      </w:r>
      <w:r w:rsidRPr="0091659D">
        <w:t>-81 GHz</w:t>
      </w:r>
      <w:r>
        <w:t xml:space="preserve"> band, </w:t>
      </w:r>
      <w:r w:rsidRPr="0091659D">
        <w:t xml:space="preserve">or </w:t>
      </w:r>
      <w:r>
        <w:t xml:space="preserve">allowing them in </w:t>
      </w:r>
      <w:r w:rsidRPr="0091659D">
        <w:t>the entire 76-81 GHz band</w:t>
      </w:r>
      <w:r>
        <w:t xml:space="preserve"> </w:t>
      </w:r>
      <w:r w:rsidRPr="0091659D">
        <w:t xml:space="preserve">but </w:t>
      </w:r>
      <w:r>
        <w:t>with limited bandwidth usage of one Gigahertz</w:t>
      </w:r>
      <w:r w:rsidRPr="0091659D">
        <w:t xml:space="preserve"> or less</w:t>
      </w:r>
      <w:r>
        <w:t xml:space="preserve"> over any portion of the band.  Our overall objective is to promote e</w:t>
      </w:r>
      <w:r w:rsidRPr="006C605D">
        <w:t xml:space="preserve">fficient use of the spectrum and facilitate development of technologies that will improve airport operations and provide </w:t>
      </w:r>
      <w:r>
        <w:t xml:space="preserve">important benefits to </w:t>
      </w:r>
      <w:r w:rsidRPr="006C605D">
        <w:t>both airport person</w:t>
      </w:r>
      <w:r>
        <w:t>ne</w:t>
      </w:r>
      <w:r w:rsidRPr="006C605D">
        <w:t>l and the general public</w:t>
      </w:r>
      <w:r w:rsidR="00005717">
        <w:t>.</w:t>
      </w:r>
    </w:p>
    <w:p w:rsidR="009F2BCE" w:rsidRDefault="009F2BCE" w:rsidP="00A12C5B">
      <w:pPr>
        <w:pStyle w:val="ParaNum"/>
        <w:widowControl/>
      </w:pPr>
      <w:r w:rsidRPr="00595427">
        <w:rPr>
          <w:i/>
          <w:u w:val="single"/>
        </w:rPr>
        <w:t xml:space="preserve">Amateur </w:t>
      </w:r>
      <w:r>
        <w:rPr>
          <w:i/>
          <w:u w:val="single"/>
        </w:rPr>
        <w:t>radio use</w:t>
      </w:r>
      <w:r w:rsidRPr="00595427">
        <w:rPr>
          <w:u w:val="single"/>
        </w:rPr>
        <w:t>.</w:t>
      </w:r>
      <w:r>
        <w:t xml:space="preserve">  </w:t>
      </w:r>
      <w:r w:rsidRPr="00585EF5">
        <w:t xml:space="preserve">In </w:t>
      </w:r>
      <w:r>
        <w:t>conjunction with our efforts to</w:t>
      </w:r>
      <w:r w:rsidRPr="00585EF5">
        <w:t xml:space="preserve"> </w:t>
      </w:r>
      <w:r>
        <w:t xml:space="preserve">develop a comprehensive policy for use of the 76-81 GHz band, </w:t>
      </w:r>
      <w:r w:rsidRPr="00585EF5">
        <w:t xml:space="preserve">we seek comment on </w:t>
      </w:r>
      <w:r>
        <w:t xml:space="preserve">how we should structure future </w:t>
      </w:r>
      <w:r w:rsidRPr="00585EF5">
        <w:t>amateur</w:t>
      </w:r>
      <w:r>
        <w:t xml:space="preserve"> 4 mm band use.  </w:t>
      </w:r>
      <w:r w:rsidRPr="00595427">
        <w:t>As background, t</w:t>
      </w:r>
      <w:r w:rsidRPr="00585EF5">
        <w:t xml:space="preserve">he Commission decided to temporarily restrict amateur station </w:t>
      </w:r>
      <w:r w:rsidRPr="00595427">
        <w:rPr>
          <w:color w:val="000000"/>
        </w:rPr>
        <w:t xml:space="preserve">access to the </w:t>
      </w:r>
      <w:r>
        <w:rPr>
          <w:color w:val="000000"/>
        </w:rPr>
        <w:t xml:space="preserve">76-77 </w:t>
      </w:r>
      <w:r w:rsidRPr="00595427">
        <w:rPr>
          <w:color w:val="000000"/>
        </w:rPr>
        <w:t>GHz band in 1998 to ensure against potential interference to what were then newly developing vehic</w:t>
      </w:r>
      <w:r>
        <w:rPr>
          <w:color w:val="000000"/>
        </w:rPr>
        <w:t>u</w:t>
      </w:r>
      <w:r w:rsidRPr="00595427">
        <w:rPr>
          <w:color w:val="000000"/>
        </w:rPr>
        <w:t>l</w:t>
      </w:r>
      <w:r>
        <w:rPr>
          <w:color w:val="000000"/>
        </w:rPr>
        <w:t>ar</w:t>
      </w:r>
      <w:r w:rsidRPr="00595427">
        <w:rPr>
          <w:color w:val="000000"/>
        </w:rPr>
        <w:t xml:space="preserve"> radar systems.</w:t>
      </w:r>
      <w:r w:rsidRPr="00585EF5">
        <w:rPr>
          <w:color w:val="000000"/>
          <w:vertAlign w:val="superscript"/>
        </w:rPr>
        <w:footnoteReference w:id="116"/>
      </w:r>
      <w:r w:rsidRPr="00595427">
        <w:rPr>
          <w:color w:val="000000"/>
        </w:rPr>
        <w:t xml:space="preserve">  The Commission observed that amateur station transmissions in the </w:t>
      </w:r>
      <w:r>
        <w:rPr>
          <w:color w:val="000000"/>
        </w:rPr>
        <w:t xml:space="preserve">76-77 </w:t>
      </w:r>
      <w:r w:rsidRPr="00595427">
        <w:rPr>
          <w:color w:val="000000"/>
        </w:rPr>
        <w:t>GHz were not significant at the time, reasoned that its action would not have an immediate impact on amateur operators, and stated that it planned to revisit the issue later.</w:t>
      </w:r>
      <w:r w:rsidRPr="00585EF5">
        <w:rPr>
          <w:color w:val="000000"/>
          <w:vertAlign w:val="superscript"/>
        </w:rPr>
        <w:footnoteReference w:id="117"/>
      </w:r>
      <w:r w:rsidRPr="00585EF5">
        <w:t xml:space="preserve">  In 2004, the Commission extended the amateur-satellite allocation suspension, citing interference issues and suggesting that it would be useful to consider the development of technical sharing criteria for the band.</w:t>
      </w:r>
      <w:r w:rsidRPr="00585EF5">
        <w:rPr>
          <w:vertAlign w:val="superscript"/>
        </w:rPr>
        <w:footnoteReference w:id="118"/>
      </w:r>
      <w:r>
        <w:t xml:space="preserve">  Bosch, in its petition, does not seek to alter the current 76-77 GHz arrangement.</w:t>
      </w:r>
    </w:p>
    <w:p w:rsidR="009F2BCE" w:rsidRDefault="009F2BCE" w:rsidP="00006179">
      <w:pPr>
        <w:pStyle w:val="ParaNum"/>
      </w:pPr>
      <w:r>
        <w:t xml:space="preserve">Based on our proposals for new vehicular and other radars in the 77-81 GHz band, we propose to adopt a comprehensive approach for amateur radio use on these frequencies. </w:t>
      </w:r>
      <w:r w:rsidRPr="005F75E2">
        <w:t xml:space="preserve"> </w:t>
      </w:r>
      <w:r>
        <w:t xml:space="preserve">Given the continuing lack of </w:t>
      </w:r>
      <w:r w:rsidRPr="00585EF5">
        <w:t xml:space="preserve">technical sharing criteria </w:t>
      </w:r>
      <w:r>
        <w:t>or any other evidence of compatibility, should we extend the 76-77 GHz amateur suspension to the entire 76-81 GHz band?  If so, should we modify the current amateur suspension of use of the 76-77 GHz band by removing all amateur allocations from the 76-81 GHz band?  Alternately, would it be possible to lift our suspension of the amateur service and conduct both amateur and vehicular radar operations in the entire 76-81 GHz band?  We tentatively conclude that there is no apparent technical reason to treat the 76-77 GHz and the 77-81 GHz bands differently.  Commenters who believe that we should continue to distinguish between the two bands should explain the reasons for doing so.  We also seek comment on whether there are other approaches that would achieve compatibility between the amateur and radiolocation services within the 76-81 GHz band that we have not discussed above.</w:t>
      </w:r>
    </w:p>
    <w:p w:rsidR="009F2BCE" w:rsidRDefault="009F2BCE" w:rsidP="00006179">
      <w:pPr>
        <w:pStyle w:val="ParaNum"/>
      </w:pPr>
      <w:r>
        <w:t>Bosch, in its petition, states that it “is unconvinced, after several meetings with technical staff of ARRL, the national association for Amateur Radio, that there is any significant incompatibility between Amateur Radio and SRR operation at 79 GHz.”</w:t>
      </w:r>
      <w:r>
        <w:rPr>
          <w:rStyle w:val="FootnoteReference"/>
        </w:rPr>
        <w:footnoteReference w:id="119"/>
      </w:r>
      <w:r>
        <w:t xml:space="preserve">  It says the nature of amateur use of this spectrum – largely experimental and occurring on mountaintops and locations where motor vehicle operation is not typical – will provide sufficient geographic separation to prevent interference from amateur users to new vehicular radar operations above 77 GHz.</w:t>
      </w:r>
      <w:r>
        <w:rPr>
          <w:rStyle w:val="FootnoteReference"/>
        </w:rPr>
        <w:footnoteReference w:id="120"/>
      </w:r>
      <w:r>
        <w:t xml:space="preserve">  However, Bosch also notes that European regulators previously determined “that the use of SRR within the band 77-81 may be incompatible with the Radio Amateur Service,” but also concluded that amateur users could be accommodated in the 75.5-76 GHz band (which is not currently available in the U.S.).</w:t>
      </w:r>
      <w:r>
        <w:rPr>
          <w:rStyle w:val="FootnoteReference"/>
        </w:rPr>
        <w:footnoteReference w:id="121"/>
      </w:r>
      <w:r>
        <w:t xml:space="preserve">  We seek comment on these points.  Additionally</w:t>
      </w:r>
      <w:r>
        <w:rPr>
          <w:rFonts w:eastAsia="Calibri"/>
          <w:szCs w:val="22"/>
        </w:rPr>
        <w:t>, to help us better inform our decision, we seek to develop a record on the types of amateur use, and the extent of such use, that is currently undertaken in the amateur 4 mm band.</w:t>
      </w:r>
    </w:p>
    <w:p w:rsidR="009F2BCE" w:rsidRPr="003509C4" w:rsidRDefault="009F2BCE" w:rsidP="00006179">
      <w:pPr>
        <w:pStyle w:val="ParaNum"/>
      </w:pPr>
      <w:r>
        <w:t xml:space="preserve">To the extent that commenters believe that amateur operators can continue to use the millimeter band, we seek comment on what additional rule modifications we would have to adopt to realize successful shared use of the entire band.  For example, our existing service rules would permit amateur operators to transmit with significantly higher power than other proposed operations.  Would adopting the </w:t>
      </w:r>
      <w:r w:rsidRPr="00585EF5">
        <w:t xml:space="preserve">same emission limits </w:t>
      </w:r>
      <w:r>
        <w:t xml:space="preserve">for amateur operations </w:t>
      </w:r>
      <w:r w:rsidRPr="00585EF5">
        <w:t xml:space="preserve">as </w:t>
      </w:r>
      <w:r>
        <w:t xml:space="preserve">we </w:t>
      </w:r>
      <w:r w:rsidRPr="00585EF5">
        <w:t>proposed for other services in this band</w:t>
      </w:r>
      <w:r>
        <w:t xml:space="preserve"> reduce the potential for mutual interference?  </w:t>
      </w:r>
      <w:r>
        <w:rPr>
          <w:rFonts w:eastAsia="Calibri"/>
          <w:szCs w:val="22"/>
        </w:rPr>
        <w:t xml:space="preserve">Are </w:t>
      </w:r>
      <w:r w:rsidRPr="00585EF5">
        <w:rPr>
          <w:rFonts w:eastAsia="Calibri"/>
          <w:szCs w:val="22"/>
        </w:rPr>
        <w:t xml:space="preserve">there any </w:t>
      </w:r>
      <w:r>
        <w:rPr>
          <w:rFonts w:eastAsia="Calibri"/>
          <w:szCs w:val="22"/>
        </w:rPr>
        <w:t xml:space="preserve">additional </w:t>
      </w:r>
      <w:r w:rsidRPr="00585EF5">
        <w:rPr>
          <w:rFonts w:eastAsia="Calibri"/>
          <w:szCs w:val="22"/>
        </w:rPr>
        <w:t xml:space="preserve">conforming edits to the Part 97 amateur radio service rules that we </w:t>
      </w:r>
      <w:r>
        <w:rPr>
          <w:rFonts w:eastAsia="Calibri"/>
          <w:szCs w:val="22"/>
        </w:rPr>
        <w:t>would have to implement?</w:t>
      </w:r>
    </w:p>
    <w:p w:rsidR="009F2BCE" w:rsidRPr="009F2BCE" w:rsidRDefault="009F2BCE" w:rsidP="00A12C5B">
      <w:pPr>
        <w:pStyle w:val="ParaNum"/>
        <w:widowControl/>
      </w:pPr>
      <w:r>
        <w:rPr>
          <w:rFonts w:eastAsia="Calibri"/>
        </w:rPr>
        <w:t>If, instead, we were to remove all amateur allocations from the 76-81 GHz range, we seek comment on alternate spectrum that we might be able to make available in this general region.  Bosch recommends an amateur allocation at 75.5-76 GHz, arguing that such an allocation would permit re-accommodation of any displaced Amateur Radio operators as the result of aggregate noise from SRRs in the 79 GHz band, and harmonize the United States Amateur allocation with that in ITU Region 1 and in other areas of the world.</w:t>
      </w:r>
      <w:r>
        <w:rPr>
          <w:rStyle w:val="FootnoteReference"/>
          <w:rFonts w:eastAsia="Calibri"/>
          <w:szCs w:val="22"/>
        </w:rPr>
        <w:footnoteReference w:id="122"/>
      </w:r>
      <w:r>
        <w:rPr>
          <w:rFonts w:eastAsia="Calibri"/>
        </w:rPr>
        <w:t xml:space="preserve">  We seek comment on allocating the 75.5-76 GHz band to the amateur service if we were to remove the amateur allocation, including amateur satellite, in the 76-81 GHz band.  </w:t>
      </w:r>
    </w:p>
    <w:p w:rsidR="009F2BCE" w:rsidRPr="008B7D99" w:rsidRDefault="009F2BCE" w:rsidP="00006179">
      <w:pPr>
        <w:pStyle w:val="ParaNum"/>
      </w:pPr>
      <w:r w:rsidRPr="001D1CBA">
        <w:rPr>
          <w:i/>
          <w:u w:val="single"/>
        </w:rPr>
        <w:t>Service and Technical Rules.</w:t>
      </w:r>
      <w:r>
        <w:t xml:space="preserve">  </w:t>
      </w:r>
      <w:r w:rsidRPr="003423C9">
        <w:t>We</w:t>
      </w:r>
      <w:r>
        <w:t xml:space="preserve"> set forth </w:t>
      </w:r>
      <w:r w:rsidRPr="001D1CBA">
        <w:t>propose</w:t>
      </w:r>
      <w:r>
        <w:t>d</w:t>
      </w:r>
      <w:r w:rsidRPr="001D1CBA">
        <w:t xml:space="preserve"> </w:t>
      </w:r>
      <w:r>
        <w:t xml:space="preserve">rules that would </w:t>
      </w:r>
      <w:r w:rsidRPr="001D1CBA">
        <w:t xml:space="preserve">license </w:t>
      </w:r>
      <w:r>
        <w:t>vehicular and FOD detection radars</w:t>
      </w:r>
      <w:r w:rsidRPr="001D1CBA">
        <w:t xml:space="preserve"> in the </w:t>
      </w:r>
      <w:r>
        <w:t xml:space="preserve">76-81 </w:t>
      </w:r>
      <w:r w:rsidRPr="001D1CBA">
        <w:t xml:space="preserve">GHz band and </w:t>
      </w:r>
      <w:r>
        <w:t>aircraft-mounted and fixed infrastructure</w:t>
      </w:r>
      <w:r w:rsidRPr="001D1CBA">
        <w:t xml:space="preserve"> radars in the </w:t>
      </w:r>
      <w:r>
        <w:t xml:space="preserve">76-77 </w:t>
      </w:r>
      <w:r w:rsidRPr="001D1CBA">
        <w:t>GHz band as licensed services under Part 95 of our rules</w:t>
      </w:r>
      <w:r>
        <w:t xml:space="preserve">.  We also propose </w:t>
      </w:r>
      <w:r w:rsidRPr="001D1CBA">
        <w:t>to add a primary allocation for radiolocation in the 77.5-78</w:t>
      </w:r>
      <w:r>
        <w:t xml:space="preserve"> </w:t>
      </w:r>
      <w:r w:rsidRPr="001D1CBA">
        <w:t xml:space="preserve">GHz band.  </w:t>
      </w:r>
      <w:r>
        <w:t>We propose technical rules that would be appropriate for a Part 95 licensed-by-rule approach.</w:t>
      </w:r>
      <w:r>
        <w:rPr>
          <w:rStyle w:val="FootnoteReference"/>
        </w:rPr>
        <w:footnoteReference w:id="123"/>
      </w:r>
      <w:r>
        <w:t xml:space="preserve">  </w:t>
      </w:r>
    </w:p>
    <w:p w:rsidR="009F2BCE" w:rsidRPr="004C31D0" w:rsidRDefault="009F2BCE" w:rsidP="00006179">
      <w:pPr>
        <w:pStyle w:val="ParaNum"/>
        <w:rPr>
          <w:szCs w:val="22"/>
        </w:rPr>
      </w:pPr>
      <w:r w:rsidRPr="008B7D99">
        <w:t xml:space="preserve">In general, </w:t>
      </w:r>
      <w:r>
        <w:t xml:space="preserve">the proposed technical rules are consistent with those already set forth for existing vehicular radar and FOD detection radars under Part 15 of our rules, including that the average and peak emission limits for vehicular radars in the 76-81 GHz band not to exceed </w:t>
      </w:r>
      <w:r w:rsidRPr="00D31EC6">
        <w:t>88 µW/cm</w:t>
      </w:r>
      <w:r w:rsidRPr="00D31EC6">
        <w:rPr>
          <w:vertAlign w:val="superscript"/>
        </w:rPr>
        <w:t>2</w:t>
      </w:r>
      <w:r w:rsidRPr="00D31EC6">
        <w:t xml:space="preserve"> </w:t>
      </w:r>
      <w:r>
        <w:t xml:space="preserve">and </w:t>
      </w:r>
      <w:r w:rsidRPr="00D31EC6">
        <w:t>279 µW/cm</w:t>
      </w:r>
      <w:r w:rsidRPr="00D31EC6">
        <w:rPr>
          <w:vertAlign w:val="superscript"/>
        </w:rPr>
        <w:t>2</w:t>
      </w:r>
      <w:r>
        <w:t xml:space="preserve"> respectively, measured a</w:t>
      </w:r>
      <w:r w:rsidRPr="00D31EC6">
        <w:t>t a distance of 3 meters from the exterior surface of the radiating structure</w:t>
      </w:r>
      <w:r>
        <w:t xml:space="preserve">.  However, </w:t>
      </w:r>
      <w:r w:rsidRPr="002B491F">
        <w:rPr>
          <w:szCs w:val="22"/>
        </w:rPr>
        <w:t>a</w:t>
      </w:r>
      <w:r w:rsidRPr="00D934AC">
        <w:rPr>
          <w:szCs w:val="22"/>
        </w:rPr>
        <w:t xml:space="preserve">s discussed above, the existing Part 15 use </w:t>
      </w:r>
      <w:r>
        <w:t xml:space="preserve">is on a non-interference basis and may not be the best fit for the types of safety related applications we envision being deployed in the 76-81 GHz range.  Under our draft rules, users would operate on a licensed basis fully supported by a primary radiolocation allocation throughout the 76-81 GHz range.  </w:t>
      </w:r>
      <w:r w:rsidRPr="002B491F">
        <w:rPr>
          <w:szCs w:val="22"/>
        </w:rPr>
        <w:t xml:space="preserve">Authorizing these radars under Part </w:t>
      </w:r>
      <w:r w:rsidRPr="00D934AC">
        <w:rPr>
          <w:szCs w:val="22"/>
        </w:rPr>
        <w:t>95 of our rules will permit license-by-rule operation</w:t>
      </w:r>
      <w:r w:rsidRPr="0088467E">
        <w:rPr>
          <w:rStyle w:val="FootnoteReference"/>
          <w:szCs w:val="22"/>
        </w:rPr>
        <w:footnoteReference w:id="124"/>
      </w:r>
      <w:r w:rsidRPr="004C31D0">
        <w:rPr>
          <w:szCs w:val="22"/>
        </w:rPr>
        <w:t xml:space="preserve"> pursuant to Section 307(e) of the Communications Act (Act).</w:t>
      </w:r>
      <w:r w:rsidRPr="0088467E">
        <w:rPr>
          <w:rStyle w:val="FootnoteReference"/>
          <w:szCs w:val="22"/>
        </w:rPr>
        <w:footnoteReference w:id="125"/>
      </w:r>
      <w:r w:rsidRPr="004C31D0">
        <w:rPr>
          <w:szCs w:val="22"/>
        </w:rPr>
        <w:t xml:space="preserve">  Under this approach, these devices </w:t>
      </w:r>
      <w:r w:rsidRPr="002B491F">
        <w:rPr>
          <w:szCs w:val="22"/>
        </w:rPr>
        <w:t>ma</w:t>
      </w:r>
      <w:r w:rsidRPr="00D934AC">
        <w:rPr>
          <w:szCs w:val="22"/>
        </w:rPr>
        <w:t>y operate on a shared, non-exclusive basis with respect to each other and without the need for these radar systems to be individually licensed.</w:t>
      </w:r>
      <w:r w:rsidRPr="006A182D">
        <w:rPr>
          <w:szCs w:val="22"/>
        </w:rPr>
        <w:t xml:space="preserve">  By doing this, we can </w:t>
      </w:r>
      <w:r>
        <w:t>provide for a greater range of radar uses while still allowing for an easy transition of existing equipment to Part 95 operation.</w:t>
      </w:r>
      <w:r>
        <w:rPr>
          <w:rStyle w:val="FootnoteReference"/>
        </w:rPr>
        <w:footnoteReference w:id="126"/>
      </w:r>
      <w:r>
        <w:t xml:space="preserve">  We seek comment on these proposed rules.  To the extent commenters support either regulatory approach, such as unlicensed operation under Part 15, they should identify any rules that need to be modified to support the different types of radar applications we discuss herein.</w:t>
      </w:r>
    </w:p>
    <w:p w:rsidR="009F2BCE" w:rsidRDefault="009F2BCE" w:rsidP="00006179">
      <w:pPr>
        <w:pStyle w:val="ParaNum"/>
      </w:pPr>
      <w:r>
        <w:t>Because the existing Part 95 rules do not specify rules for vehicular, FOD detection, aircraft-mounted and fixed infrastructure radar operations, w</w:t>
      </w:r>
      <w:r w:rsidRPr="00BA7F2A">
        <w:rPr>
          <w:sz w:val="24"/>
          <w:szCs w:val="24"/>
        </w:rPr>
        <w:t xml:space="preserve">e propose </w:t>
      </w:r>
      <w:r>
        <w:rPr>
          <w:sz w:val="24"/>
          <w:szCs w:val="24"/>
        </w:rPr>
        <w:t xml:space="preserve">to create a new subpart of Part 95, titled the 76-81 GHz radar service, that will </w:t>
      </w:r>
      <w:r w:rsidRPr="00BA7F2A">
        <w:rPr>
          <w:sz w:val="24"/>
          <w:szCs w:val="24"/>
        </w:rPr>
        <w:t xml:space="preserve">accommodate all authorized radar types within the band, but that </w:t>
      </w:r>
      <w:r>
        <w:rPr>
          <w:sz w:val="24"/>
          <w:szCs w:val="24"/>
        </w:rPr>
        <w:t>will</w:t>
      </w:r>
      <w:r w:rsidRPr="00BA7F2A">
        <w:rPr>
          <w:sz w:val="24"/>
          <w:szCs w:val="24"/>
        </w:rPr>
        <w:t xml:space="preserve"> not otherwise distinguish among the different radar types.</w:t>
      </w:r>
      <w:r>
        <w:rPr>
          <w:sz w:val="24"/>
          <w:szCs w:val="24"/>
        </w:rPr>
        <w:t xml:space="preserve">  O</w:t>
      </w:r>
      <w:r>
        <w:t>ur proposed service rules are intended to facilitate the industry in developing the various radar types in their authorized specific frequency ranges.  For example, in the case of vehicular radars, we leave it up to the automotive industry to optimize the use of the 76-81 GHz frequency band and develop the SRR and LRR vehicular radar application within the band.  Alternately, we seek comment on whether distinctive or differentiating rules for the different radars would be appropriate and if so, what those rules should be.</w:t>
      </w:r>
      <w:r w:rsidRPr="0088467E">
        <w:t xml:space="preserve">  </w:t>
      </w:r>
    </w:p>
    <w:p w:rsidR="009F2BCE" w:rsidRPr="004C31D0" w:rsidRDefault="009F2BCE" w:rsidP="00006179">
      <w:pPr>
        <w:pStyle w:val="ParaNum"/>
      </w:pPr>
      <w:r w:rsidRPr="004C31D0">
        <w:t>To fully implement our proposal</w:t>
      </w:r>
      <w:r w:rsidRPr="002B491F">
        <w:t xml:space="preserve"> to </w:t>
      </w:r>
      <w:r w:rsidRPr="00D934AC">
        <w:t>accommodate radars under Part 95, we also propose to make</w:t>
      </w:r>
      <w:r w:rsidRPr="006A182D">
        <w:t xml:space="preserve"> </w:t>
      </w:r>
      <w:r>
        <w:t>additional</w:t>
      </w:r>
      <w:r w:rsidRPr="004C31D0">
        <w:t xml:space="preserve"> </w:t>
      </w:r>
      <w:r w:rsidRPr="002B491F">
        <w:t xml:space="preserve">modifications to Parts </w:t>
      </w:r>
      <w:r>
        <w:t xml:space="preserve">1, </w:t>
      </w:r>
      <w:r w:rsidRPr="002B491F">
        <w:t xml:space="preserve">2, 15, </w:t>
      </w:r>
      <w:r w:rsidRPr="00D934AC">
        <w:t xml:space="preserve">and 90 </w:t>
      </w:r>
      <w:r>
        <w:t xml:space="preserve">of </w:t>
      </w:r>
      <w:r w:rsidRPr="00D934AC">
        <w:t xml:space="preserve">our rules.  </w:t>
      </w:r>
      <w:r>
        <w:t>All of our proposed rule modifications are shown in Appendix B of this Notice.  We seek comment on all of these proposals, and invite commenters to identify any additional rules that we would need to update to accomplish our objectives.</w:t>
      </w:r>
    </w:p>
    <w:p w:rsidR="009F2BCE" w:rsidRPr="00076A8B" w:rsidRDefault="009F2BCE" w:rsidP="009F2BCE">
      <w:pPr>
        <w:pStyle w:val="Heading1"/>
        <w:tabs>
          <w:tab w:val="num" w:pos="720"/>
        </w:tabs>
        <w:spacing w:after="220"/>
        <w:jc w:val="both"/>
      </w:pPr>
      <w:bookmarkStart w:id="15" w:name="_Toc380747772"/>
      <w:bookmarkStart w:id="16" w:name="_Toc380750752"/>
      <w:r>
        <w:t>RECONSIDERATION</w:t>
      </w:r>
      <w:r w:rsidRPr="00076A8B">
        <w:t xml:space="preserve"> Order</w:t>
      </w:r>
      <w:bookmarkEnd w:id="15"/>
      <w:bookmarkEnd w:id="16"/>
      <w:r w:rsidRPr="00076A8B">
        <w:t xml:space="preserve"> </w:t>
      </w:r>
    </w:p>
    <w:p w:rsidR="009F2BCE" w:rsidRDefault="009F2BCE" w:rsidP="00006179">
      <w:pPr>
        <w:pStyle w:val="ParaNum"/>
      </w:pPr>
      <w:r>
        <w:t xml:space="preserve">As part of our comprehensive look at shared use of the 76-81 GHz band, we have incorporated matters that were first raised in pleadings filed in ET Dockets 10-28 and 11-90 – namely Honeywell Aircraft’s Petition relating to aircraft-mounted radar applications and Navtech’s Fixed Radar Petition.  Although we believe that there is merit in considering the issues raised by Honeywell and Navtech in the context of the </w:t>
      </w:r>
      <w:r>
        <w:rPr>
          <w:i/>
        </w:rPr>
        <w:t>NPRM</w:t>
      </w:r>
      <w:r>
        <w:t>, we conclude that the parties’ underlying petitions in the respective dockets should be denied.</w:t>
      </w:r>
    </w:p>
    <w:p w:rsidR="009F2BCE" w:rsidRDefault="009F2BCE" w:rsidP="00006179">
      <w:pPr>
        <w:pStyle w:val="ParaNum"/>
      </w:pPr>
      <w:r w:rsidRPr="00023710">
        <w:rPr>
          <w:i/>
        </w:rPr>
        <w:t>Honeywell petition.</w:t>
      </w:r>
      <w:r>
        <w:t xml:space="preserve">  As background, Honeywell first submitted a letter to the Office of Engineering and Technology seeking clarification of the rules adopted in the </w:t>
      </w:r>
      <w:r w:rsidRPr="007772E4">
        <w:rPr>
          <w:i/>
        </w:rPr>
        <w:t>Vehicular Radar R&amp;O</w:t>
      </w:r>
      <w:r>
        <w:t>, but later refiled with the Commission’s Secretary asking that we treat the letter as a petition for reconsideration.  On October 31, 2012, we issued a Public Notice treating it as such.</w:t>
      </w:r>
      <w:r>
        <w:rPr>
          <w:rStyle w:val="FootnoteReference"/>
          <w:szCs w:val="22"/>
        </w:rPr>
        <w:footnoteReference w:id="127"/>
      </w:r>
      <w:r>
        <w:t xml:space="preserve">  </w:t>
      </w:r>
    </w:p>
    <w:p w:rsidR="009F2BCE" w:rsidRDefault="009F2BCE" w:rsidP="00006179">
      <w:pPr>
        <w:pStyle w:val="ParaNum"/>
      </w:pPr>
      <w:r>
        <w:t>Numerous representatives of the automotive industry as well as Xsight Systems, Inc., filed to oppose the Honeywell petition.  These parties raised procedural arguments – that the issue of removing the current prohibition on the use of 76-77 GHz frequency range on aircraft or satellite was not properly raised in the proceeding and is otherwise outside the scope of the decision – as well as claims that there is insufficient evidence that both aircraft-mounted and vehicular radars can co-exist in the 76-77 GHz band.  In response, Honeywell claims that the issues it raises are within the scope of the Commission’s rulemaking proceeding, that there is no technical reason why aircraft-mounted radar cannot operate in the 76-77 GHz band while the aircraft is on ground, and that there is an urgent and recognized public interest need for the anti-collision benefits its aircraft-mounted radars can provide.</w:t>
      </w:r>
      <w:r>
        <w:rPr>
          <w:rStyle w:val="FootnoteReference"/>
        </w:rPr>
        <w:footnoteReference w:id="128"/>
      </w:r>
    </w:p>
    <w:p w:rsidR="009F2BCE" w:rsidRDefault="009F2BCE" w:rsidP="00006179">
      <w:pPr>
        <w:pStyle w:val="ParaNum"/>
      </w:pPr>
      <w:r>
        <w:t>We deny Honeywell’s petition</w:t>
      </w:r>
      <w:r w:rsidR="00530AA9">
        <w:t xml:space="preserve">.  </w:t>
      </w:r>
      <w:r>
        <w:t>Section 1.429(b) or our rules provide three ways in which a petition for reconsideration can be granted, and none of these have been met.  Honeywell has not shown that its petition relies on facts regarding fixed radar use which had not previously been presented to the Commission, nor does it show that its petition relies on facts that relate to events that changed since Honeywell had the last opportunity to present its facts regarding fixed radar use.</w:t>
      </w:r>
      <w:r w:rsidRPr="00493D6A">
        <w:rPr>
          <w:rStyle w:val="FootnoteReference"/>
        </w:rPr>
        <w:t xml:space="preserve"> </w:t>
      </w:r>
      <w:r>
        <w:rPr>
          <w:rStyle w:val="FootnoteReference"/>
        </w:rPr>
        <w:footnoteReference w:id="129"/>
      </w:r>
      <w:r>
        <w:t xml:space="preserve">   Indeed, Honeywell did not previously participate in the proceeding before filing its letter.  Moreover, it does not serve the public interest to consider Honeywell’s facts and arguments via reconsideration of the existing dockets.  We agree with the commenters who opposed the petition that there may be technical and policy considerations associated with aircraft-mounted radar applications that parties could not have reasonably anticipated nor had an opportunity to address.  Any public interest associated with the consideration of Honeywell’s arguments will be fully captured and considered within the new docket we initiate with this rulemaking </w:t>
      </w:r>
      <w:r>
        <w:rPr>
          <w:rStyle w:val="FootnoteReference"/>
        </w:rPr>
        <w:footnoteReference w:id="130"/>
      </w:r>
      <w:r>
        <w:t xml:space="preserve">  By doing so, we can ensure that another aspect of the public interest is served – that is, that all interested parties have ample notice and comment opportunities with respect to the possible use of wingtip radars under our rules.</w:t>
      </w:r>
    </w:p>
    <w:p w:rsidR="009F2BCE" w:rsidRDefault="009F2BCE" w:rsidP="00A12C5B">
      <w:pPr>
        <w:pStyle w:val="ParaNum"/>
        <w:widowControl/>
      </w:pPr>
      <w:r w:rsidRPr="00D93FC5">
        <w:rPr>
          <w:i/>
        </w:rPr>
        <w:t>Navtech petition</w:t>
      </w:r>
      <w:r>
        <w:t>.  Similarly, we agree with those parties who oppose the Navtech pleading as procedurally defective.</w:t>
      </w:r>
      <w:r>
        <w:rPr>
          <w:rStyle w:val="FootnoteReference"/>
        </w:rPr>
        <w:footnoteReference w:id="131"/>
      </w:r>
      <w:r>
        <w:t xml:space="preserve">  The Commission stated in the in the </w:t>
      </w:r>
      <w:r w:rsidRPr="007772E4">
        <w:rPr>
          <w:i/>
        </w:rPr>
        <w:t>Vehicular Radar R&amp;O</w:t>
      </w:r>
      <w:r>
        <w:rPr>
          <w:i/>
        </w:rPr>
        <w:t xml:space="preserve"> </w:t>
      </w:r>
      <w:r>
        <w:t>that “no parties have come forward to support fixed radar applications beyond airport locations in this band,” and it decided not to adopt provisions for unlicensed fixed radar use other than those for FOD detection applications at airport locations.  Because Navtech first participated in the proceeding when it filed its petition well after the decision was published, its petition fails to meet the timeliness standard of Section 1.429(d).</w:t>
      </w:r>
      <w:r>
        <w:rPr>
          <w:rStyle w:val="FootnoteReference"/>
        </w:rPr>
        <w:footnoteReference w:id="132"/>
      </w:r>
      <w:r>
        <w:t xml:space="preserve"> </w:t>
      </w:r>
    </w:p>
    <w:p w:rsidR="009F2BCE" w:rsidRDefault="009F2BCE" w:rsidP="00006179">
      <w:pPr>
        <w:pStyle w:val="ParaNum"/>
      </w:pPr>
      <w:r>
        <w:t xml:space="preserve">We emphasize that our decision does not address whether there are substantive merits to these claims.  Such issues are fully incorporated into the proposals we make in conjunction with the </w:t>
      </w:r>
      <w:r>
        <w:rPr>
          <w:i/>
        </w:rPr>
        <w:t>NPRM</w:t>
      </w:r>
      <w:r>
        <w:t>.</w:t>
      </w:r>
    </w:p>
    <w:p w:rsidR="009E1A98" w:rsidRDefault="009F2BCE" w:rsidP="00006179">
      <w:pPr>
        <w:pStyle w:val="ParaNum"/>
      </w:pPr>
      <w:r>
        <w:t xml:space="preserve">Finally, because we are considering several different types of radar applications that would share use within the millimeter wave bands, and because we are proposing a consolidated licensing scheme under our Part 95 rules, we conclude that we can best promote efficiency and reduce administrative burdens by opening a new docket, ET Docket </w:t>
      </w:r>
      <w:r w:rsidR="009E723F">
        <w:t>15-26</w:t>
      </w:r>
      <w:r>
        <w:t>.  Here, we will consider ongoing and future matters pertaining to the entire 76-81 GHz band in a consolidated and comprehensive manner.  To that end, and in connection with our decision to deny the petitions for reconsideration discussed above, we terminate ET Dockets 10-28 and 11-90 (pertaining to vehicular radar) and WT Docket 11-202 (addressing FOD detection radar applications).</w:t>
      </w:r>
      <w:r w:rsidR="009E1A98">
        <w:t xml:space="preserve">  We conclude that future decisions regarding matters that we previously considered within those dockets can more practically be made within the comprehensive ET Docket No. </w:t>
      </w:r>
      <w:r w:rsidR="009E723F">
        <w:t xml:space="preserve">15-26 </w:t>
      </w:r>
      <w:r w:rsidR="009E1A98">
        <w:t>proceeding.</w:t>
      </w:r>
    </w:p>
    <w:p w:rsidR="009E1A98" w:rsidRDefault="009E1A98" w:rsidP="009E1A98">
      <w:pPr>
        <w:pStyle w:val="Heading1"/>
        <w:tabs>
          <w:tab w:val="num" w:pos="720"/>
        </w:tabs>
        <w:spacing w:after="220"/>
        <w:jc w:val="both"/>
      </w:pPr>
      <w:bookmarkStart w:id="17" w:name="_Toc376856096"/>
      <w:bookmarkStart w:id="18" w:name="_Toc376856265"/>
      <w:bookmarkStart w:id="19" w:name="_Toc376856309"/>
      <w:bookmarkStart w:id="20" w:name="_Toc376856502"/>
      <w:bookmarkStart w:id="21" w:name="_Toc380747773"/>
      <w:bookmarkStart w:id="22" w:name="_Toc380750753"/>
      <w:r>
        <w:t>PROCEDURAL MATTERS</w:t>
      </w:r>
      <w:bookmarkEnd w:id="17"/>
      <w:bookmarkEnd w:id="18"/>
      <w:bookmarkEnd w:id="19"/>
      <w:bookmarkEnd w:id="20"/>
      <w:bookmarkEnd w:id="21"/>
      <w:bookmarkEnd w:id="22"/>
    </w:p>
    <w:p w:rsidR="009E1A98" w:rsidRDefault="009E1A98" w:rsidP="009E1A98">
      <w:pPr>
        <w:pStyle w:val="Heading2"/>
        <w:widowControl/>
        <w:snapToGrid w:val="0"/>
        <w:spacing w:after="220"/>
      </w:pPr>
      <w:bookmarkStart w:id="23" w:name="_Toc376856097"/>
      <w:bookmarkStart w:id="24" w:name="_Toc376856266"/>
      <w:bookmarkStart w:id="25" w:name="_Toc376856310"/>
      <w:bookmarkStart w:id="26" w:name="_Toc376856503"/>
      <w:bookmarkStart w:id="27" w:name="_Toc380747774"/>
      <w:r>
        <w:t>Ex Parte Rules – Permit-But-Disclose</w:t>
      </w:r>
      <w:bookmarkEnd w:id="23"/>
      <w:bookmarkEnd w:id="24"/>
      <w:bookmarkEnd w:id="25"/>
      <w:bookmarkEnd w:id="26"/>
      <w:bookmarkEnd w:id="27"/>
    </w:p>
    <w:p w:rsidR="009E1A98" w:rsidRDefault="009E1A98" w:rsidP="00006179">
      <w:pPr>
        <w:pStyle w:val="ParaNum"/>
      </w:pPr>
      <w:bookmarkStart w:id="28" w:name="_Ref187483280"/>
      <w:r>
        <w:t xml:space="preserve"> This is a permit-but-disclose notice and comment rulemaking proceeding.  </w:t>
      </w:r>
      <w:r>
        <w:rPr>
          <w:i/>
          <w:iCs/>
        </w:rPr>
        <w:t>Ex parte</w:t>
      </w:r>
      <w:r>
        <w:t xml:space="preserve"> presentations are permitted, except during the Sunshine Agenda period, provided they are disclosed pursuant to the Commission’s rules.</w:t>
      </w:r>
      <w:bookmarkEnd w:id="28"/>
      <w:r>
        <w:rPr>
          <w:rStyle w:val="FootnoteReference"/>
        </w:rPr>
        <w:t xml:space="preserve"> </w:t>
      </w:r>
      <w:r>
        <w:rPr>
          <w:rStyle w:val="FootnoteReference"/>
        </w:rPr>
        <w:footnoteReference w:id="133"/>
      </w:r>
    </w:p>
    <w:p w:rsidR="009E1A98" w:rsidRDefault="009E1A98" w:rsidP="009E1A98">
      <w:pPr>
        <w:pStyle w:val="Heading2"/>
        <w:widowControl/>
        <w:snapToGrid w:val="0"/>
        <w:spacing w:after="220"/>
      </w:pPr>
      <w:bookmarkStart w:id="29" w:name="_Toc376856098"/>
      <w:bookmarkStart w:id="30" w:name="_Toc376856267"/>
      <w:bookmarkStart w:id="31" w:name="_Toc376856311"/>
      <w:bookmarkStart w:id="32" w:name="_Toc376856504"/>
      <w:bookmarkStart w:id="33" w:name="_Toc380747775"/>
      <w:r>
        <w:t>Comment Period and Procedures</w:t>
      </w:r>
      <w:bookmarkEnd w:id="29"/>
      <w:bookmarkEnd w:id="30"/>
      <w:bookmarkEnd w:id="31"/>
      <w:bookmarkEnd w:id="32"/>
      <w:bookmarkEnd w:id="33"/>
    </w:p>
    <w:p w:rsidR="009E1A98" w:rsidRDefault="009E1A98" w:rsidP="00006179">
      <w:pPr>
        <w:pStyle w:val="ParaNum"/>
      </w:pPr>
      <w:r>
        <w:t xml:space="preserve"> Pursuant to sections 1.415 and 1.419 of the Commission’s rules 47 CFR §§ 1.415, 1.419, interested parties may file comments and reply comments on or before the dates indicated on the first page of this document.  Comments may be filed using:  (1) the Commission’s Electronic Comment Filing System (ECFS), (2) the Federal Government’s eRulemaking Portal, or (3) by filing paper copies.  </w:t>
      </w:r>
      <w:r>
        <w:rPr>
          <w:i/>
          <w:iCs/>
        </w:rPr>
        <w:t>See Electronic Filing of Documents in Rulemaking Proceedings</w:t>
      </w:r>
      <w:r>
        <w:t>, 63 FR 24121 (1998).</w:t>
      </w:r>
      <w:bookmarkStart w:id="34" w:name="_Ref187483341"/>
      <w:bookmarkEnd w:id="34"/>
    </w:p>
    <w:p w:rsidR="009E1A98" w:rsidRDefault="009E1A98" w:rsidP="007C6108">
      <w:pPr>
        <w:widowControl/>
        <w:numPr>
          <w:ilvl w:val="0"/>
          <w:numId w:val="7"/>
        </w:numPr>
        <w:spacing w:after="120"/>
      </w:pPr>
      <w:r>
        <w:t xml:space="preserve">Electronic Filers:  Comments may be filed electronically using the Internet by accessing the ECFS:  </w:t>
      </w:r>
      <w:hyperlink r:id="rId9" w:tooltip="http://fjallfoss.fcc.gov/ecfs2/" w:history="1">
        <w:r>
          <w:rPr>
            <w:rStyle w:val="Hyperlink"/>
          </w:rPr>
          <w:t>http://fjallfoss.fcc.gov/ecfs2/</w:t>
        </w:r>
      </w:hyperlink>
      <w:r>
        <w:t xml:space="preserve"> or the Federal eRulemaking Portal:  </w:t>
      </w:r>
      <w:hyperlink r:id="rId10" w:tooltip="http://www.regulations.gov/" w:history="1">
        <w:r>
          <w:rPr>
            <w:rStyle w:val="Hyperlink"/>
          </w:rPr>
          <w:t>http://www.regulations.gov</w:t>
        </w:r>
      </w:hyperlink>
      <w:r>
        <w:t xml:space="preserve">.  </w:t>
      </w:r>
    </w:p>
    <w:p w:rsidR="009E1A98" w:rsidRDefault="009E1A98" w:rsidP="009E1A98"/>
    <w:p w:rsidR="009E1A98" w:rsidRDefault="009E1A98" w:rsidP="0064463B">
      <w:pPr>
        <w:widowControl/>
        <w:numPr>
          <w:ilvl w:val="0"/>
          <w:numId w:val="8"/>
        </w:numPr>
        <w:spacing w:after="120"/>
        <w:jc w:val="both"/>
      </w:pPr>
      <w:r>
        <w:t xml:space="preserve">Paper Filers:  Parties who choose to file by paper must file an original and four copies of each filing.  If more than one docket or rulemaking number appears in the caption of this proceeding, filers must submit two additional copies for each additional docket or rulemaking number. </w:t>
      </w:r>
    </w:p>
    <w:p w:rsidR="009E1A98" w:rsidRDefault="009E1A98" w:rsidP="009E1A98"/>
    <w:p w:rsidR="009E1A98" w:rsidRDefault="009E1A98" w:rsidP="009E1A98">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E1A98" w:rsidRDefault="009E1A98" w:rsidP="009E1A98"/>
    <w:p w:rsidR="009E1A98" w:rsidRDefault="009E1A98" w:rsidP="0064463B">
      <w:pPr>
        <w:widowControl/>
        <w:numPr>
          <w:ilvl w:val="0"/>
          <w:numId w:val="9"/>
        </w:numPr>
        <w:tabs>
          <w:tab w:val="clear" w:pos="1440"/>
          <w:tab w:val="num" w:pos="720"/>
        </w:tabs>
        <w:spacing w:after="120"/>
        <w:ind w:left="720"/>
        <w:jc w:val="both"/>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p>
    <w:p w:rsidR="009E1A98" w:rsidRDefault="009E1A98" w:rsidP="009E1A98">
      <w:pPr>
        <w:ind w:left="1080"/>
      </w:pPr>
    </w:p>
    <w:p w:rsidR="009E1A98" w:rsidRDefault="009E1A98" w:rsidP="0064463B">
      <w:pPr>
        <w:widowControl/>
        <w:numPr>
          <w:ilvl w:val="0"/>
          <w:numId w:val="9"/>
        </w:numPr>
        <w:tabs>
          <w:tab w:val="clear" w:pos="1440"/>
        </w:tabs>
        <w:spacing w:after="120"/>
        <w:ind w:left="720"/>
        <w:jc w:val="both"/>
      </w:pPr>
      <w:r>
        <w:t>Commercial overnight mail (other than U.S. Postal Service Express Mail and Priority Mail) must be sent to 9300 East Hampton Drive, Capitol Heights, MD  20743.</w:t>
      </w:r>
    </w:p>
    <w:p w:rsidR="009E1A98" w:rsidRDefault="009E1A98" w:rsidP="009E1A98"/>
    <w:p w:rsidR="009E1A98" w:rsidRDefault="009E1A98" w:rsidP="0064463B">
      <w:pPr>
        <w:widowControl/>
        <w:numPr>
          <w:ilvl w:val="0"/>
          <w:numId w:val="9"/>
        </w:numPr>
        <w:tabs>
          <w:tab w:val="clear" w:pos="1440"/>
        </w:tabs>
        <w:spacing w:after="120"/>
        <w:ind w:left="720"/>
        <w:jc w:val="both"/>
      </w:pPr>
      <w:r>
        <w:t>U.S. Postal Service first-class, Express, and Priority mail must be addressed to 445 12</w:t>
      </w:r>
      <w:r>
        <w:rPr>
          <w:vertAlign w:val="superscript"/>
        </w:rPr>
        <w:t>th</w:t>
      </w:r>
      <w:r>
        <w:t xml:space="preserve"> Street, SW, Washington DC  20554.</w:t>
      </w:r>
    </w:p>
    <w:p w:rsidR="009E1A98" w:rsidRDefault="009E1A98" w:rsidP="009E1A98"/>
    <w:p w:rsidR="009E1A98" w:rsidRDefault="009E1A98" w:rsidP="009E1A98">
      <w:r>
        <w:t xml:space="preserve">People with Disabilities:  To request materials in accessible formats for people with disabilities (Braille, large print, electronic files, audio format), send an e-mail to </w:t>
      </w:r>
      <w:hyperlink r:id="rId11" w:tooltip="mailto:fcc504@fcc.gov" w:history="1">
        <w:r>
          <w:rPr>
            <w:rStyle w:val="Hyperlink"/>
          </w:rPr>
          <w:t>fcc504@fcc.gov</w:t>
        </w:r>
      </w:hyperlink>
      <w:r>
        <w:t xml:space="preserve"> or call the Consumer &amp; Governmental Affairs Bureau at 202-418-0530 (voice), 202-418-0432 (tty).</w:t>
      </w:r>
    </w:p>
    <w:p w:rsidR="009E1A98" w:rsidRDefault="009E1A98" w:rsidP="009E1A98"/>
    <w:p w:rsidR="006A36B5" w:rsidRDefault="006A36B5" w:rsidP="006A36B5">
      <w:pPr>
        <w:pStyle w:val="Heading2"/>
        <w:widowControl/>
        <w:snapToGrid w:val="0"/>
        <w:spacing w:after="220"/>
      </w:pPr>
      <w:bookmarkStart w:id="35" w:name="_Toc509145798"/>
      <w:bookmarkStart w:id="36" w:name="_Toc376856099"/>
      <w:bookmarkStart w:id="37" w:name="_Toc376856268"/>
      <w:bookmarkStart w:id="38" w:name="_Toc376856312"/>
      <w:bookmarkStart w:id="39" w:name="_Toc376856505"/>
      <w:bookmarkStart w:id="40" w:name="_Toc380747776"/>
      <w:r>
        <w:t>Initial Regulatory Flexibility Analysis</w:t>
      </w:r>
      <w:bookmarkEnd w:id="35"/>
      <w:bookmarkEnd w:id="36"/>
      <w:bookmarkEnd w:id="37"/>
      <w:bookmarkEnd w:id="38"/>
      <w:bookmarkEnd w:id="39"/>
      <w:bookmarkEnd w:id="40"/>
    </w:p>
    <w:p w:rsidR="006A36B5" w:rsidRDefault="006A36B5" w:rsidP="00006179">
      <w:pPr>
        <w:pStyle w:val="ParaNum"/>
        <w:rPr>
          <w:sz w:val="20"/>
        </w:rPr>
      </w:pPr>
      <w:bookmarkStart w:id="41" w:name="_Ref187483433"/>
      <w:r>
        <w:t xml:space="preserve"> As required by the Regulatory Flexibility Act of 1980 (RFA),</w:t>
      </w:r>
      <w:bookmarkEnd w:id="41"/>
      <w:r>
        <w:rPr>
          <w:rStyle w:val="FootnoteReference"/>
        </w:rPr>
        <w:t xml:space="preserve"> </w:t>
      </w:r>
      <w:r>
        <w:rPr>
          <w:rStyle w:val="FootnoteReference"/>
        </w:rPr>
        <w:footnoteReference w:id="134"/>
      </w:r>
      <w:r>
        <w:t xml:space="preserve"> the Commission has prepared an Initial Regulatory Flexibility Analysis (IRFA) of the possible significant economic impact on small entities of the policies and rules proposed in the</w:t>
      </w:r>
      <w:r>
        <w:rPr>
          <w:i/>
          <w:iCs/>
        </w:rPr>
        <w:t xml:space="preserve"> </w:t>
      </w:r>
      <w:r>
        <w:t xml:space="preserve">Notice.  The IRFA is found in Appendix C.  We request written public comment on the analysis.  Comments must be filed in accordance with the same deadlines as comments filed in response to the Notice, and must have a separate and distinct heading designating them as responses to the IRFA.  The Commission’s Consumer and Governmental Affairs Bureau, Reference Information Center, will send a copy of this </w:t>
      </w:r>
      <w:bookmarkStart w:id="42" w:name="_Ref24960765"/>
      <w:r>
        <w:t>Notice, including the IRFA, to the Chief Counsel for Advocacy of the Small Business Administration.</w:t>
      </w:r>
      <w:bookmarkEnd w:id="42"/>
    </w:p>
    <w:p w:rsidR="006A36B5" w:rsidRDefault="006A36B5" w:rsidP="006A36B5">
      <w:pPr>
        <w:pStyle w:val="Heading2"/>
        <w:widowControl/>
        <w:snapToGrid w:val="0"/>
        <w:spacing w:after="220"/>
        <w:rPr>
          <w:szCs w:val="22"/>
        </w:rPr>
      </w:pPr>
      <w:bookmarkStart w:id="43" w:name="_Toc174249347"/>
      <w:bookmarkStart w:id="44" w:name="_Toc169426156"/>
      <w:bookmarkStart w:id="45" w:name="_Toc164831265"/>
      <w:bookmarkStart w:id="46" w:name="_Toc162918165"/>
      <w:bookmarkStart w:id="47" w:name="_Toc162835598"/>
      <w:bookmarkStart w:id="48" w:name="_Toc162762856"/>
      <w:bookmarkStart w:id="49" w:name="_Toc162666140"/>
      <w:bookmarkStart w:id="50" w:name="_Toc161626034"/>
      <w:bookmarkStart w:id="51" w:name="_Toc161625965"/>
      <w:bookmarkStart w:id="52" w:name="_Toc161625587"/>
      <w:bookmarkStart w:id="53" w:name="_Toc161476037"/>
      <w:bookmarkStart w:id="54" w:name="_Toc160528786"/>
      <w:bookmarkStart w:id="55" w:name="_Toc160508078"/>
      <w:bookmarkStart w:id="56" w:name="_Toc160269457"/>
      <w:bookmarkStart w:id="57" w:name="_Toc160259124"/>
      <w:bookmarkStart w:id="58" w:name="_Toc156972995"/>
      <w:bookmarkStart w:id="59" w:name="_Toc156972780"/>
      <w:bookmarkStart w:id="60" w:name="_Toc156972516"/>
      <w:bookmarkStart w:id="61" w:name="_Toc156971198"/>
      <w:bookmarkStart w:id="62" w:name="_Toc156971072"/>
      <w:bookmarkStart w:id="63" w:name="_Toc156970972"/>
      <w:bookmarkStart w:id="64" w:name="_Toc156970467"/>
      <w:bookmarkStart w:id="65" w:name="_Toc156970367"/>
      <w:bookmarkStart w:id="66" w:name="_Toc156970267"/>
      <w:bookmarkStart w:id="67" w:name="_Toc156970167"/>
      <w:bookmarkStart w:id="68" w:name="_Toc156969076"/>
      <w:bookmarkStart w:id="69" w:name="_Toc156967157"/>
      <w:bookmarkStart w:id="70" w:name="_Toc133650424"/>
      <w:bookmarkStart w:id="71" w:name="_Toc133054372"/>
      <w:bookmarkStart w:id="72" w:name="_Toc132552473"/>
      <w:bookmarkStart w:id="73" w:name="_Toc132513086"/>
      <w:bookmarkStart w:id="74" w:name="_Toc132505089"/>
      <w:bookmarkStart w:id="75" w:name="_Toc132504621"/>
      <w:bookmarkStart w:id="76" w:name="_Toc132275634"/>
      <w:bookmarkStart w:id="77" w:name="_Toc130808172"/>
      <w:bookmarkStart w:id="78" w:name="_Toc130790457"/>
      <w:bookmarkStart w:id="79" w:name="_Toc130717941"/>
      <w:bookmarkStart w:id="80" w:name="_Toc130711860"/>
      <w:bookmarkStart w:id="81" w:name="_Toc130629935"/>
      <w:bookmarkStart w:id="82" w:name="_Toc130622204"/>
      <w:bookmarkStart w:id="83" w:name="_Toc130622083"/>
      <w:bookmarkStart w:id="84" w:name="_Toc127261304"/>
      <w:bookmarkStart w:id="85" w:name="_Toc127261177"/>
      <w:bookmarkStart w:id="86" w:name="_Toc121632987"/>
      <w:bookmarkStart w:id="87" w:name="_Toc120424123"/>
      <w:bookmarkStart w:id="88" w:name="_Toc120423888"/>
      <w:bookmarkStart w:id="89" w:name="_Toc119986083"/>
      <w:bookmarkStart w:id="90" w:name="_Toc119818398"/>
      <w:bookmarkStart w:id="91" w:name="_Toc119754821"/>
      <w:bookmarkStart w:id="92" w:name="_Toc119754047"/>
      <w:bookmarkStart w:id="93" w:name="_Toc119314889"/>
      <w:bookmarkStart w:id="94" w:name="_Toc118692061"/>
      <w:bookmarkStart w:id="95" w:name="_Toc117581208"/>
      <w:bookmarkStart w:id="96" w:name="_Toc116442645"/>
      <w:bookmarkStart w:id="97" w:name="_Toc115586168"/>
      <w:bookmarkStart w:id="98" w:name="_Toc115569548"/>
      <w:bookmarkStart w:id="99" w:name="_Toc115059104"/>
      <w:bookmarkStart w:id="100" w:name="_Toc114475870"/>
      <w:bookmarkStart w:id="101" w:name="_Toc114039876"/>
      <w:bookmarkStart w:id="102" w:name="_Toc112573876"/>
      <w:bookmarkStart w:id="103" w:name="_Toc112563556"/>
      <w:bookmarkStart w:id="104" w:name="_Toc112491216"/>
      <w:bookmarkStart w:id="105" w:name="_Toc376856100"/>
      <w:bookmarkStart w:id="106" w:name="_Toc376856269"/>
      <w:bookmarkStart w:id="107" w:name="_Toc376856313"/>
      <w:bookmarkStart w:id="108" w:name="_Toc376856506"/>
      <w:bookmarkStart w:id="109" w:name="_Toc38074777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Paperwork Reduction Analysis</w:t>
      </w:r>
      <w:bookmarkEnd w:id="104"/>
      <w:bookmarkEnd w:id="105"/>
      <w:bookmarkEnd w:id="106"/>
      <w:bookmarkEnd w:id="107"/>
      <w:bookmarkEnd w:id="108"/>
      <w:bookmarkEnd w:id="109"/>
    </w:p>
    <w:p w:rsidR="006A36B5" w:rsidRDefault="006A36B5" w:rsidP="00006179">
      <w:pPr>
        <w:pStyle w:val="ParaNum"/>
      </w:pPr>
      <w:bookmarkStart w:id="110" w:name="_Toc112490696"/>
      <w:bookmarkStart w:id="111" w:name="_Toc111859251"/>
      <w:bookmarkStart w:id="112" w:name="_Toc111537488"/>
      <w:bookmarkStart w:id="113" w:name="_Toc111537347"/>
      <w:bookmarkStart w:id="114" w:name="_Toc111537247"/>
      <w:bookmarkStart w:id="115" w:name="_Toc76893282"/>
      <w:bookmarkStart w:id="116" w:name="_Toc76295493"/>
      <w:bookmarkStart w:id="117" w:name="_Toc74547562"/>
      <w:bookmarkStart w:id="118" w:name="_Toc72032950"/>
      <w:bookmarkStart w:id="119" w:name="_Toc67996434"/>
      <w:bookmarkStart w:id="120" w:name="_Toc35748947"/>
      <w:bookmarkStart w:id="121" w:name="_Toc35746552"/>
      <w:bookmarkStart w:id="122" w:name="_Toc35397615"/>
      <w:bookmarkStart w:id="123" w:name="_Toc35252691"/>
      <w:bookmarkStart w:id="124" w:name="_Toc35172916"/>
      <w:bookmarkStart w:id="125" w:name="_Toc34629895"/>
      <w:bookmarkStart w:id="126" w:name="_Toc33614948"/>
      <w:bookmarkStart w:id="127" w:name="_Toc32107203"/>
      <w:bookmarkStart w:id="128" w:name="_Toc32118305"/>
      <w:bookmarkStart w:id="129" w:name="_Toc31195366"/>
      <w:bookmarkStart w:id="130" w:name="_Toc31193072"/>
      <w:bookmarkStart w:id="131" w:name="_Toc31192074"/>
      <w:bookmarkStart w:id="132" w:name="_Toc30470458"/>
      <w:bookmarkStart w:id="133" w:name="_Toc28493296"/>
      <w:bookmarkStart w:id="134" w:name="_Toc28493101"/>
      <w:bookmarkStart w:id="135" w:name="_Toc28479434"/>
      <w:bookmarkStart w:id="136" w:name="_Toc28479348"/>
      <w:bookmarkStart w:id="137" w:name="_Toc28479165"/>
      <w:bookmarkStart w:id="138" w:name="_Toc28423365"/>
      <w:bookmarkStart w:id="139" w:name="_Toc28422698"/>
      <w:bookmarkStart w:id="140" w:name="_Toc28422520"/>
      <w:bookmarkStart w:id="141" w:name="_Toc28422066"/>
      <w:bookmarkStart w:id="142" w:name="_Toc28421745"/>
      <w:bookmarkStart w:id="143" w:name="_Toc28420451"/>
      <w:bookmarkStart w:id="144" w:name="_Ref2435565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This document does not contain a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rPr>
        <w:t>see</w:t>
      </w:r>
      <w:r>
        <w:t xml:space="preserve"> 44 U.S.C. 3506(c)(4).  </w:t>
      </w:r>
      <w:bookmarkEnd w:id="144"/>
    </w:p>
    <w:p w:rsidR="006A36B5" w:rsidRDefault="006A36B5" w:rsidP="006A36B5">
      <w:pPr>
        <w:pStyle w:val="Heading2"/>
        <w:spacing w:after="220"/>
      </w:pPr>
      <w:bookmarkStart w:id="145" w:name="_Toc112491217"/>
      <w:bookmarkStart w:id="146" w:name="_Toc112563557"/>
      <w:bookmarkStart w:id="147" w:name="_Toc112573877"/>
      <w:bookmarkStart w:id="148" w:name="_Toc114039877"/>
      <w:bookmarkStart w:id="149" w:name="_Toc114475871"/>
      <w:bookmarkStart w:id="150" w:name="_Toc115059105"/>
      <w:bookmarkStart w:id="151" w:name="_Toc115569549"/>
      <w:bookmarkStart w:id="152" w:name="_Toc115586169"/>
      <w:bookmarkStart w:id="153" w:name="_Toc116442646"/>
      <w:bookmarkStart w:id="154" w:name="_Toc117581209"/>
      <w:bookmarkStart w:id="155" w:name="_Toc118692062"/>
      <w:bookmarkStart w:id="156" w:name="_Toc119314890"/>
      <w:bookmarkStart w:id="157" w:name="_Toc119754048"/>
      <w:bookmarkStart w:id="158" w:name="_Toc119754822"/>
      <w:bookmarkStart w:id="159" w:name="_Toc119818399"/>
      <w:bookmarkStart w:id="160" w:name="_Toc119986084"/>
      <w:bookmarkStart w:id="161" w:name="_Toc120423889"/>
      <w:bookmarkStart w:id="162" w:name="_Toc120424124"/>
      <w:bookmarkStart w:id="163" w:name="_Toc121632988"/>
      <w:bookmarkStart w:id="164" w:name="_Toc127261178"/>
      <w:bookmarkStart w:id="165" w:name="_Toc127261305"/>
      <w:bookmarkStart w:id="166" w:name="_Toc130622084"/>
      <w:bookmarkStart w:id="167" w:name="_Toc130622205"/>
      <w:bookmarkStart w:id="168" w:name="_Toc130629936"/>
      <w:bookmarkStart w:id="169" w:name="_Toc130711861"/>
      <w:bookmarkStart w:id="170" w:name="_Toc130717942"/>
      <w:bookmarkStart w:id="171" w:name="_Toc130790458"/>
      <w:bookmarkStart w:id="172" w:name="_Toc130808173"/>
      <w:bookmarkStart w:id="173" w:name="_Toc132275635"/>
      <w:bookmarkStart w:id="174" w:name="_Toc132504622"/>
      <w:bookmarkStart w:id="175" w:name="_Toc132505090"/>
      <w:bookmarkStart w:id="176" w:name="_Toc132513087"/>
      <w:bookmarkStart w:id="177" w:name="_Toc132552474"/>
      <w:bookmarkStart w:id="178" w:name="_Toc133054373"/>
      <w:bookmarkStart w:id="179" w:name="_Toc133650425"/>
      <w:bookmarkStart w:id="180" w:name="_Toc156967158"/>
      <w:bookmarkStart w:id="181" w:name="_Toc156969077"/>
      <w:bookmarkStart w:id="182" w:name="_Toc156970168"/>
      <w:bookmarkStart w:id="183" w:name="_Toc156970268"/>
      <w:bookmarkStart w:id="184" w:name="_Toc156970368"/>
      <w:bookmarkStart w:id="185" w:name="_Toc156970468"/>
      <w:bookmarkStart w:id="186" w:name="_Toc156970973"/>
      <w:bookmarkStart w:id="187" w:name="_Toc156971073"/>
      <w:bookmarkStart w:id="188" w:name="_Toc156971199"/>
      <w:bookmarkStart w:id="189" w:name="_Toc156972517"/>
      <w:bookmarkStart w:id="190" w:name="_Toc156972781"/>
      <w:bookmarkStart w:id="191" w:name="_Toc156972996"/>
      <w:bookmarkStart w:id="192" w:name="_Toc160259125"/>
      <w:bookmarkStart w:id="193" w:name="_Toc160269458"/>
      <w:bookmarkStart w:id="194" w:name="_Toc160508079"/>
      <w:bookmarkStart w:id="195" w:name="_Toc160528787"/>
      <w:bookmarkStart w:id="196" w:name="_Toc161476038"/>
      <w:bookmarkStart w:id="197" w:name="_Toc161625588"/>
      <w:bookmarkStart w:id="198" w:name="_Toc161625966"/>
      <w:bookmarkStart w:id="199" w:name="_Toc161626035"/>
      <w:bookmarkStart w:id="200" w:name="_Toc162666141"/>
      <w:bookmarkStart w:id="201" w:name="_Toc162762857"/>
      <w:bookmarkStart w:id="202" w:name="_Toc162835599"/>
      <w:bookmarkStart w:id="203" w:name="_Toc162918166"/>
      <w:bookmarkStart w:id="204" w:name="_Toc164831266"/>
      <w:bookmarkStart w:id="205" w:name="_Toc169426157"/>
      <w:bookmarkStart w:id="206" w:name="_Toc174249348"/>
      <w:bookmarkStart w:id="207" w:name="_Toc376856101"/>
      <w:bookmarkStart w:id="208" w:name="_Toc376856270"/>
      <w:bookmarkStart w:id="209" w:name="_Toc376856314"/>
      <w:bookmarkStart w:id="210" w:name="_Toc376856507"/>
      <w:bookmarkStart w:id="211" w:name="_Toc380747778"/>
      <w:r>
        <w:t>Further Information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6A36B5" w:rsidRDefault="006A36B5" w:rsidP="00006179">
      <w:pPr>
        <w:pStyle w:val="ParaNum"/>
      </w:pPr>
      <w:bookmarkStart w:id="212" w:name="_Ref187483540"/>
      <w:r>
        <w:t xml:space="preserve"> For further information regarding this Notice of Proposed Rulemaking, please contact Aamer Zain, Spectrum Policy Branch, Policy and Rules Division, Office of Engineering and Technology, Federal Communications Commission, 445 12</w:t>
      </w:r>
      <w:r>
        <w:rPr>
          <w:vertAlign w:val="superscript"/>
        </w:rPr>
        <w:t>th</w:t>
      </w:r>
      <w:r>
        <w:t xml:space="preserve"> Street, S.W., Washington, DC 20554, at 202-418-2437 or via the Internet at </w:t>
      </w:r>
      <w:hyperlink r:id="rId12" w:history="1">
        <w:r>
          <w:rPr>
            <w:rStyle w:val="Hyperlink"/>
          </w:rPr>
          <w:t>Aamer.Zain@fcc.gov</w:t>
        </w:r>
      </w:hyperlink>
      <w:r>
        <w:t>.</w:t>
      </w:r>
      <w:bookmarkEnd w:id="212"/>
    </w:p>
    <w:p w:rsidR="006A36B5" w:rsidRDefault="006A36B5" w:rsidP="002D7A6D">
      <w:pPr>
        <w:pStyle w:val="Heading1"/>
      </w:pPr>
      <w:bookmarkStart w:id="213" w:name="_Toc380747779"/>
      <w:bookmarkStart w:id="214" w:name="_Toc380750754"/>
      <w:r>
        <w:t>ORDERING CLAUSES</w:t>
      </w:r>
      <w:bookmarkEnd w:id="213"/>
      <w:bookmarkEnd w:id="214"/>
    </w:p>
    <w:p w:rsidR="006A36B5" w:rsidRDefault="006A36B5" w:rsidP="00006179">
      <w:pPr>
        <w:pStyle w:val="ParaNum"/>
        <w:numPr>
          <w:ilvl w:val="0"/>
          <w:numId w:val="0"/>
        </w:numPr>
        <w:ind w:left="540"/>
      </w:pPr>
    </w:p>
    <w:p w:rsidR="006A36B5" w:rsidRDefault="006A36B5" w:rsidP="00006179">
      <w:pPr>
        <w:pStyle w:val="ParaNum"/>
      </w:pPr>
      <w:r>
        <w:t>Accordingly, IT IS ORDERED, pursuant to Sections 1, 2, 4(i), 301, 302, and 303(f) of the Communications Act of 1934, 47 U.S.C. §§ 151, 152, 154(i), 301, 302a, and 303(f), that this Notice of Proposed Rulemaking IS ADOPTED and the Petition for Rulemaking filed by Robert Bosch in RM-11666 IS GRANTED to the extent described herein.</w:t>
      </w:r>
    </w:p>
    <w:p w:rsidR="006A36B5" w:rsidRDefault="006A36B5" w:rsidP="00006179">
      <w:pPr>
        <w:pStyle w:val="ParaNum"/>
      </w:pPr>
      <w:r>
        <w:t>IT IS FURTHER ORDERED that, pursuant to Sections 4(i), 302, 303(e) 303(f), and 405 of the Communications Act of 1934, as amended, 47 U.S.C. §§ 154(i), 302, 303(e), 303(f), and 405, the petitions for reconsideration filed by Honeywell and Navtech in ET Docket Nos. 10-28 and 11-90 ARE DENIED.</w:t>
      </w:r>
    </w:p>
    <w:p w:rsidR="006A36B5" w:rsidRDefault="006A36B5" w:rsidP="00006179">
      <w:pPr>
        <w:pStyle w:val="ParaNum"/>
        <w:numPr>
          <w:ilvl w:val="0"/>
          <w:numId w:val="0"/>
        </w:numPr>
        <w:ind w:left="540"/>
      </w:pPr>
    </w:p>
    <w:p w:rsidR="006A36B5" w:rsidRDefault="006A36B5" w:rsidP="00006179">
      <w:pPr>
        <w:pStyle w:val="ParaNum"/>
      </w:pPr>
      <w:r>
        <w:t xml:space="preserve">IT IS FURTHER ORDERED that, pursuant to the authority contained in Sections 4(i), 4(j), and 303 of the Communications Act, as amended, 47 U.S.C. §§ 154(i), 154(j) and 303, that ET Docket Nos. 10-28 and 11-90 and WT Docket No. 11-202 ARE </w:t>
      </w:r>
      <w:r w:rsidR="00A94144">
        <w:t xml:space="preserve">CLOSED </w:t>
      </w:r>
      <w:r w:rsidR="00A94144">
        <w:rPr>
          <w:sz w:val="24"/>
          <w:szCs w:val="24"/>
        </w:rPr>
        <w:t>and the proceedings are TERMINATED</w:t>
      </w:r>
      <w:r w:rsidR="005B1145">
        <w:rPr>
          <w:sz w:val="24"/>
          <w:szCs w:val="24"/>
        </w:rPr>
        <w:t>, should no petitions for reconsideration or ap</w:t>
      </w:r>
      <w:r w:rsidR="00B01EFA">
        <w:rPr>
          <w:sz w:val="24"/>
          <w:szCs w:val="24"/>
        </w:rPr>
        <w:t>plications for review be</w:t>
      </w:r>
      <w:r w:rsidR="005B1145">
        <w:rPr>
          <w:sz w:val="24"/>
          <w:szCs w:val="24"/>
        </w:rPr>
        <w:t xml:space="preserve"> timely filed.</w:t>
      </w:r>
    </w:p>
    <w:p w:rsidR="006A36B5" w:rsidRDefault="006A36B5" w:rsidP="00006179">
      <w:pPr>
        <w:pStyle w:val="ParaNum"/>
        <w:numPr>
          <w:ilvl w:val="0"/>
          <w:numId w:val="0"/>
        </w:numPr>
        <w:ind w:left="540"/>
      </w:pPr>
    </w:p>
    <w:p w:rsidR="006A36B5" w:rsidRDefault="006A36B5" w:rsidP="00006179">
      <w:pPr>
        <w:pStyle w:val="ParaNum"/>
      </w:pPr>
      <w:r>
        <w:t xml:space="preserve">  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6A36B5" w:rsidRDefault="006A36B5" w:rsidP="00006179">
      <w:pPr>
        <w:pStyle w:val="ParaNum"/>
        <w:numPr>
          <w:ilvl w:val="0"/>
          <w:numId w:val="0"/>
        </w:numPr>
      </w:pPr>
    </w:p>
    <w:p w:rsidR="00FA0EEF" w:rsidRDefault="00FA0EEF" w:rsidP="0017296B">
      <w:r>
        <w:tab/>
      </w:r>
      <w:r>
        <w:tab/>
      </w:r>
      <w:r>
        <w:tab/>
      </w:r>
      <w:r>
        <w:tab/>
      </w:r>
      <w:r>
        <w:tab/>
      </w:r>
      <w:r>
        <w:tab/>
        <w:t>FEDERAL COMMUNICATIONS COMMISSION</w:t>
      </w:r>
    </w:p>
    <w:p w:rsidR="00FA0EEF" w:rsidRDefault="00FA0EEF" w:rsidP="0017296B"/>
    <w:p w:rsidR="00FA0EEF" w:rsidRDefault="00FA0EEF" w:rsidP="0017296B"/>
    <w:p w:rsidR="00FA0EEF" w:rsidRDefault="00FA0EEF" w:rsidP="0017296B"/>
    <w:p w:rsidR="00FA0EEF" w:rsidRDefault="00FA0EEF" w:rsidP="0017296B"/>
    <w:p w:rsidR="00FA0EEF" w:rsidRDefault="00FA0EEF" w:rsidP="0017296B">
      <w:r>
        <w:tab/>
      </w:r>
      <w:r>
        <w:tab/>
      </w:r>
      <w:r>
        <w:tab/>
      </w:r>
      <w:r>
        <w:tab/>
      </w:r>
      <w:r>
        <w:tab/>
      </w:r>
      <w:r>
        <w:tab/>
        <w:t>Marlene H. Dortch</w:t>
      </w:r>
    </w:p>
    <w:p w:rsidR="00FA0EEF" w:rsidRDefault="00FA0EEF" w:rsidP="0017296B">
      <w:r>
        <w:tab/>
      </w:r>
      <w:r>
        <w:tab/>
      </w:r>
      <w:r>
        <w:tab/>
      </w:r>
      <w:r>
        <w:tab/>
      </w:r>
      <w:r>
        <w:tab/>
      </w:r>
      <w:r>
        <w:tab/>
        <w:t>Secretary</w:t>
      </w:r>
    </w:p>
    <w:p w:rsidR="00B9509C" w:rsidRDefault="00B9509C" w:rsidP="00FA0EEF">
      <w:pPr>
        <w:pStyle w:val="ParaNum"/>
        <w:numPr>
          <w:ilvl w:val="0"/>
          <w:numId w:val="0"/>
        </w:numPr>
        <w:ind w:left="720"/>
        <w:jc w:val="center"/>
        <w:sectPr w:rsidR="00B9509C" w:rsidSect="009F2B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pgNumType w:start="1"/>
          <w:cols w:space="720"/>
          <w:titlePg/>
        </w:sectPr>
      </w:pPr>
    </w:p>
    <w:p w:rsidR="005662EE" w:rsidRPr="00FA0EEF" w:rsidRDefault="006A36B5" w:rsidP="00FA0EEF">
      <w:pPr>
        <w:pStyle w:val="ParaNum"/>
        <w:numPr>
          <w:ilvl w:val="0"/>
          <w:numId w:val="0"/>
        </w:numPr>
        <w:ind w:left="720"/>
        <w:jc w:val="center"/>
        <w:rPr>
          <w:b/>
        </w:rPr>
      </w:pPr>
      <w:r w:rsidRPr="00FA0EEF">
        <w:rPr>
          <w:b/>
        </w:rPr>
        <w:t>APPENDIX A</w:t>
      </w:r>
    </w:p>
    <w:p w:rsidR="006A36B5" w:rsidRDefault="006A36B5" w:rsidP="00006179">
      <w:pPr>
        <w:pStyle w:val="ParaNum"/>
        <w:numPr>
          <w:ilvl w:val="0"/>
          <w:numId w:val="0"/>
        </w:numPr>
        <w:ind w:left="720"/>
      </w:pPr>
    </w:p>
    <w:p w:rsidR="006A36B5" w:rsidRDefault="006A36B5" w:rsidP="00006179">
      <w:pPr>
        <w:pStyle w:val="ParaNum"/>
        <w:numPr>
          <w:ilvl w:val="0"/>
          <w:numId w:val="0"/>
        </w:numPr>
        <w:ind w:left="720"/>
      </w:pPr>
      <w:r w:rsidRPr="006A36B5">
        <w:t>Comments</w:t>
      </w:r>
    </w:p>
    <w:p w:rsidR="006A36B5" w:rsidRDefault="006A36B5" w:rsidP="00006179">
      <w:pPr>
        <w:pStyle w:val="ParaNum"/>
        <w:numPr>
          <w:ilvl w:val="0"/>
          <w:numId w:val="0"/>
        </w:numPr>
        <w:ind w:left="720"/>
      </w:pPr>
      <w:r>
        <w:t>1.  Association of Global Automakers</w:t>
      </w:r>
    </w:p>
    <w:p w:rsidR="006A36B5" w:rsidRDefault="006A36B5" w:rsidP="00006179">
      <w:pPr>
        <w:pStyle w:val="ParaNum"/>
        <w:numPr>
          <w:ilvl w:val="0"/>
          <w:numId w:val="0"/>
        </w:numPr>
        <w:ind w:left="720"/>
      </w:pPr>
      <w:r>
        <w:t>2.  BMW North America</w:t>
      </w:r>
    </w:p>
    <w:p w:rsidR="006A36B5" w:rsidRDefault="006A36B5" w:rsidP="00006179">
      <w:pPr>
        <w:pStyle w:val="ParaNum"/>
        <w:numPr>
          <w:ilvl w:val="0"/>
          <w:numId w:val="0"/>
        </w:numPr>
        <w:ind w:left="720"/>
      </w:pPr>
      <w:r>
        <w:t>3.  Continental Automotive Systems</w:t>
      </w:r>
    </w:p>
    <w:p w:rsidR="006A36B5" w:rsidRDefault="006A36B5" w:rsidP="00006179">
      <w:pPr>
        <w:pStyle w:val="ParaNum"/>
        <w:numPr>
          <w:ilvl w:val="0"/>
          <w:numId w:val="0"/>
        </w:numPr>
        <w:ind w:left="720"/>
      </w:pPr>
      <w:r>
        <w:t>4.  Delphi Automotive</w:t>
      </w:r>
    </w:p>
    <w:p w:rsidR="006A36B5" w:rsidRDefault="006A36B5" w:rsidP="00006179">
      <w:pPr>
        <w:pStyle w:val="ParaNum"/>
        <w:numPr>
          <w:ilvl w:val="0"/>
          <w:numId w:val="0"/>
        </w:numPr>
        <w:ind w:left="720"/>
      </w:pPr>
      <w:r>
        <w:t>5.  Infineon Technologies North America Corp.</w:t>
      </w:r>
    </w:p>
    <w:p w:rsidR="006A36B5" w:rsidRDefault="006A36B5" w:rsidP="00006179">
      <w:pPr>
        <w:pStyle w:val="ParaNum"/>
        <w:numPr>
          <w:ilvl w:val="0"/>
          <w:numId w:val="0"/>
        </w:numPr>
        <w:ind w:left="720"/>
      </w:pPr>
      <w:r>
        <w:t>6.  Renault SAS</w:t>
      </w:r>
    </w:p>
    <w:p w:rsidR="006A36B5" w:rsidRDefault="006A36B5" w:rsidP="00006179">
      <w:pPr>
        <w:pStyle w:val="ParaNum"/>
        <w:numPr>
          <w:ilvl w:val="0"/>
          <w:numId w:val="0"/>
        </w:numPr>
        <w:ind w:left="720"/>
      </w:pPr>
      <w:r>
        <w:t>7.  Trex Enterprises Corporation</w:t>
      </w:r>
    </w:p>
    <w:p w:rsidR="006A36B5" w:rsidRDefault="006A36B5" w:rsidP="00006179">
      <w:pPr>
        <w:pStyle w:val="ParaNum"/>
        <w:numPr>
          <w:ilvl w:val="0"/>
          <w:numId w:val="0"/>
        </w:numPr>
        <w:ind w:left="720"/>
      </w:pPr>
      <w:r>
        <w:t>8.  TRW Automotive</w:t>
      </w:r>
    </w:p>
    <w:p w:rsidR="006A36B5" w:rsidRDefault="006A36B5" w:rsidP="00006179">
      <w:pPr>
        <w:pStyle w:val="ParaNum"/>
        <w:numPr>
          <w:ilvl w:val="0"/>
          <w:numId w:val="0"/>
        </w:numPr>
        <w:ind w:left="720"/>
      </w:pPr>
    </w:p>
    <w:p w:rsidR="006A36B5" w:rsidRDefault="006A36B5" w:rsidP="00006179">
      <w:pPr>
        <w:pStyle w:val="ParaNum"/>
        <w:numPr>
          <w:ilvl w:val="0"/>
          <w:numId w:val="0"/>
        </w:numPr>
        <w:ind w:left="720"/>
      </w:pPr>
      <w:r w:rsidRPr="006A36B5">
        <w:t>Reply Comments</w:t>
      </w:r>
    </w:p>
    <w:p w:rsidR="006A36B5" w:rsidRDefault="006A36B5" w:rsidP="00006179">
      <w:pPr>
        <w:pStyle w:val="ParaNum"/>
        <w:numPr>
          <w:ilvl w:val="0"/>
          <w:numId w:val="0"/>
        </w:numPr>
        <w:ind w:left="720"/>
      </w:pPr>
      <w:r>
        <w:t>None</w:t>
      </w:r>
    </w:p>
    <w:p w:rsidR="006A36B5" w:rsidRDefault="006A36B5" w:rsidP="00006179">
      <w:pPr>
        <w:pStyle w:val="ParaNum"/>
        <w:numPr>
          <w:ilvl w:val="0"/>
          <w:numId w:val="0"/>
        </w:numPr>
        <w:ind w:left="720"/>
      </w:pPr>
      <w:r>
        <w:t>Ex Parte Comments</w:t>
      </w:r>
    </w:p>
    <w:p w:rsidR="006A36B5" w:rsidRDefault="006A36B5" w:rsidP="00006179">
      <w:pPr>
        <w:pStyle w:val="ParaNum"/>
        <w:numPr>
          <w:ilvl w:val="0"/>
          <w:numId w:val="0"/>
        </w:numPr>
        <w:ind w:left="720"/>
      </w:pPr>
      <w:r>
        <w:t>1.  Nickolaus E. Leggett</w:t>
      </w:r>
    </w:p>
    <w:p w:rsidR="006A36B5" w:rsidRDefault="006A36B5" w:rsidP="00006179">
      <w:pPr>
        <w:pStyle w:val="ParaNum"/>
        <w:numPr>
          <w:ilvl w:val="0"/>
          <w:numId w:val="0"/>
        </w:numPr>
        <w:ind w:left="720"/>
      </w:pPr>
      <w:r>
        <w:t>2.  Robert Bosch, LLC.</w:t>
      </w:r>
    </w:p>
    <w:p w:rsidR="006A36B5" w:rsidRDefault="006A36B5" w:rsidP="00006179">
      <w:pPr>
        <w:pStyle w:val="ParaNum"/>
        <w:numPr>
          <w:ilvl w:val="0"/>
          <w:numId w:val="0"/>
        </w:numPr>
        <w:ind w:left="720"/>
      </w:pPr>
      <w:r>
        <w:t>3.  Mantissa Ltd.</w:t>
      </w:r>
    </w:p>
    <w:p w:rsidR="00B9509C" w:rsidRDefault="00B9509C" w:rsidP="00006179">
      <w:pPr>
        <w:pStyle w:val="ParaNum"/>
        <w:numPr>
          <w:ilvl w:val="0"/>
          <w:numId w:val="0"/>
        </w:numPr>
        <w:ind w:left="720"/>
        <w:sectPr w:rsidR="00B9509C" w:rsidSect="00512EAC">
          <w:headerReference w:type="default" r:id="rId19"/>
          <w:footerReference w:type="default" r:id="rId20"/>
          <w:headerReference w:type="first" r:id="rId21"/>
          <w:pgSz w:w="12240" w:h="15840"/>
          <w:pgMar w:top="1440" w:right="1440" w:bottom="720" w:left="1440" w:header="720" w:footer="720" w:gutter="0"/>
          <w:pgNumType w:start="1"/>
          <w:cols w:space="720"/>
          <w:titlePg/>
          <w:docGrid w:linePitch="299"/>
        </w:sectPr>
      </w:pPr>
    </w:p>
    <w:p w:rsidR="008008AC" w:rsidRPr="00D13C20" w:rsidRDefault="008008AC" w:rsidP="00B9509C">
      <w:pPr>
        <w:jc w:val="center"/>
        <w:rPr>
          <w:b/>
        </w:rPr>
      </w:pPr>
      <w:bookmarkStart w:id="215" w:name="_Toc376856104"/>
      <w:bookmarkStart w:id="216" w:name="_Toc376856273"/>
      <w:bookmarkStart w:id="217" w:name="_Toc376856317"/>
      <w:bookmarkStart w:id="218" w:name="_Toc376856510"/>
      <w:bookmarkStart w:id="219" w:name="_Toc380730109"/>
      <w:bookmarkStart w:id="220" w:name="_Toc376856115"/>
      <w:bookmarkStart w:id="221" w:name="_Toc376856284"/>
      <w:bookmarkStart w:id="222" w:name="_Toc376856328"/>
      <w:bookmarkStart w:id="223" w:name="_Toc376856531"/>
      <w:bookmarkStart w:id="224" w:name="_Toc380730139"/>
      <w:r w:rsidRPr="00D13C20">
        <w:rPr>
          <w:b/>
        </w:rPr>
        <w:t>APPENDIX B</w:t>
      </w:r>
      <w:bookmarkEnd w:id="215"/>
      <w:bookmarkEnd w:id="216"/>
      <w:bookmarkEnd w:id="217"/>
      <w:bookmarkEnd w:id="218"/>
      <w:bookmarkEnd w:id="219"/>
    </w:p>
    <w:p w:rsidR="008008AC" w:rsidRPr="00D13C20" w:rsidRDefault="008008AC" w:rsidP="008008AC">
      <w:pPr>
        <w:jc w:val="center"/>
        <w:rPr>
          <w:b/>
          <w:szCs w:val="22"/>
        </w:rPr>
      </w:pPr>
    </w:p>
    <w:p w:rsidR="008008AC" w:rsidRPr="00D13C20" w:rsidRDefault="008008AC" w:rsidP="008008AC">
      <w:pPr>
        <w:spacing w:after="220"/>
        <w:jc w:val="center"/>
        <w:rPr>
          <w:b/>
          <w:szCs w:val="22"/>
        </w:rPr>
      </w:pPr>
      <w:r w:rsidRPr="00D13C20">
        <w:rPr>
          <w:b/>
          <w:szCs w:val="22"/>
        </w:rPr>
        <w:t>Proposed Rules</w:t>
      </w:r>
    </w:p>
    <w:p w:rsidR="008008AC" w:rsidRDefault="008008AC" w:rsidP="008008AC">
      <w:pPr>
        <w:spacing w:after="220"/>
        <w:rPr>
          <w:szCs w:val="22"/>
        </w:rPr>
      </w:pPr>
      <w:r w:rsidRPr="00D13C20">
        <w:rPr>
          <w:szCs w:val="22"/>
        </w:rPr>
        <w:t xml:space="preserve">For the reasons set forth in the preamble, the Federal Communications Commission proposes to amend Parts </w:t>
      </w:r>
      <w:r>
        <w:rPr>
          <w:szCs w:val="22"/>
        </w:rPr>
        <w:t xml:space="preserve">1, </w:t>
      </w:r>
      <w:r w:rsidRPr="00D13C20">
        <w:rPr>
          <w:szCs w:val="22"/>
        </w:rPr>
        <w:t>2, 15, 90 and 9</w:t>
      </w:r>
      <w:r w:rsidR="005B1145">
        <w:rPr>
          <w:szCs w:val="22"/>
        </w:rPr>
        <w:t>5</w:t>
      </w:r>
      <w:r w:rsidRPr="00D13C20">
        <w:rPr>
          <w:szCs w:val="22"/>
        </w:rPr>
        <w:t xml:space="preserve"> of Title 47 of the Code of Federal Regulations as follows:</w:t>
      </w:r>
      <w:bookmarkStart w:id="225" w:name="_Toc376856112"/>
      <w:bookmarkStart w:id="226" w:name="_Toc376856281"/>
      <w:bookmarkStart w:id="227" w:name="_Toc376856325"/>
      <w:bookmarkStart w:id="228" w:name="_Toc376856528"/>
      <w:bookmarkStart w:id="229" w:name="_Toc380730110"/>
    </w:p>
    <w:p w:rsidR="008008AC" w:rsidRDefault="008008AC" w:rsidP="008008AC">
      <w:pPr>
        <w:jc w:val="center"/>
        <w:rPr>
          <w:b/>
        </w:rPr>
      </w:pPr>
      <w:r>
        <w:rPr>
          <w:b/>
        </w:rPr>
        <w:t>P</w:t>
      </w:r>
      <w:r w:rsidRPr="00AE7834">
        <w:rPr>
          <w:b/>
        </w:rPr>
        <w:t>ART 1—PRACTICE AND PROCEDURE</w:t>
      </w:r>
    </w:p>
    <w:p w:rsidR="007C6108" w:rsidRDefault="007C6108" w:rsidP="008008AC">
      <w:pPr>
        <w:jc w:val="center"/>
        <w:rPr>
          <w:b/>
        </w:rPr>
      </w:pPr>
    </w:p>
    <w:p w:rsidR="008008AC" w:rsidRPr="00D13C20" w:rsidRDefault="008008AC" w:rsidP="0064463B">
      <w:pPr>
        <w:numPr>
          <w:ilvl w:val="0"/>
          <w:numId w:val="11"/>
        </w:numPr>
        <w:tabs>
          <w:tab w:val="right" w:pos="1080"/>
        </w:tabs>
        <w:spacing w:after="220"/>
        <w:ind w:left="0"/>
        <w:jc w:val="both"/>
        <w:rPr>
          <w:szCs w:val="22"/>
        </w:rPr>
      </w:pPr>
      <w:r w:rsidRPr="00E17689">
        <w:t>The authority citation for part 1 continues to read as follows</w:t>
      </w:r>
      <w:r>
        <w:t xml:space="preserve">: </w:t>
      </w:r>
    </w:p>
    <w:p w:rsidR="008008AC" w:rsidRDefault="008008AC" w:rsidP="008008AC">
      <w:pPr>
        <w:tabs>
          <w:tab w:val="num" w:pos="1080"/>
        </w:tabs>
        <w:suppressAutoHyphens/>
        <w:spacing w:after="220"/>
      </w:pPr>
      <w:r w:rsidRPr="00152334">
        <w:rPr>
          <w:b/>
          <w:szCs w:val="22"/>
        </w:rPr>
        <w:t>Authority:</w:t>
      </w:r>
      <w:r w:rsidRPr="00D13C20">
        <w:rPr>
          <w:szCs w:val="22"/>
        </w:rPr>
        <w:t xml:space="preserve"> </w:t>
      </w:r>
      <w:r w:rsidRPr="00E17689">
        <w:t>15 U.S.C. 79 et seq.; 47 U.S.C. 151, 154(i), 154(j), 155, 157, 225, 227, 303(r), 309, 1403, 1404,  1451,</w:t>
      </w:r>
      <w:r w:rsidR="003209A9">
        <w:t xml:space="preserve"> and 1452.</w:t>
      </w:r>
    </w:p>
    <w:p w:rsidR="008008AC" w:rsidRDefault="008008AC" w:rsidP="0064463B">
      <w:pPr>
        <w:numPr>
          <w:ilvl w:val="0"/>
          <w:numId w:val="11"/>
        </w:numPr>
        <w:tabs>
          <w:tab w:val="right" w:pos="1080"/>
        </w:tabs>
        <w:spacing w:after="220"/>
        <w:ind w:left="0"/>
        <w:jc w:val="both"/>
      </w:pPr>
      <w:r w:rsidRPr="00481BC9">
        <w:t>Section 1.1307 is amended by revising paragraphs 1.1307(b)(2)(i) and (ii) to read as follows:</w:t>
      </w:r>
    </w:p>
    <w:p w:rsidR="003209A9" w:rsidRPr="00481BC9" w:rsidRDefault="003209A9" w:rsidP="0064463B">
      <w:pPr>
        <w:numPr>
          <w:ilvl w:val="0"/>
          <w:numId w:val="11"/>
        </w:numPr>
        <w:tabs>
          <w:tab w:val="right" w:pos="1080"/>
        </w:tabs>
        <w:spacing w:after="220"/>
        <w:ind w:left="0"/>
        <w:jc w:val="both"/>
      </w:pPr>
      <w:r>
        <w:t xml:space="preserve">§ </w:t>
      </w:r>
      <w:r w:rsidRPr="00152334">
        <w:rPr>
          <w:u w:val="single"/>
        </w:rPr>
        <w:t>1.1307 Actions that may have a significant environmental effect, for which Environmental Assessments (EAs) must be prepared</w:t>
      </w:r>
      <w:r>
        <w:t>.</w:t>
      </w:r>
    </w:p>
    <w:p w:rsidR="008008AC" w:rsidRPr="00481BC9" w:rsidRDefault="008008AC" w:rsidP="008008AC">
      <w:pPr>
        <w:suppressAutoHyphens/>
        <w:spacing w:after="220"/>
        <w:rPr>
          <w:szCs w:val="22"/>
        </w:rPr>
      </w:pPr>
      <w:r w:rsidRPr="00481BC9">
        <w:t>* * * * *</w:t>
      </w:r>
    </w:p>
    <w:p w:rsidR="008008AC" w:rsidRPr="00481BC9" w:rsidRDefault="008008AC" w:rsidP="008008AC">
      <w:pPr>
        <w:spacing w:after="220"/>
        <w:rPr>
          <w:color w:val="000000"/>
          <w:szCs w:val="22"/>
          <w:shd w:val="clear" w:color="auto" w:fill="FFFFFF"/>
        </w:rPr>
      </w:pPr>
      <w:r w:rsidRPr="00D433E8">
        <w:rPr>
          <w:color w:val="000000"/>
          <w:szCs w:val="22"/>
          <w:shd w:val="clear" w:color="auto" w:fill="FFFFFF"/>
        </w:rPr>
        <w:t>(2)(i) Mobile and portable transmitting devices that operate in the Commercial Mobile Radio Services pursuant to part 20 of this chapter; the Cellular Radiotelephone Service pursuant to part 22 of this chapter; the Personal Co</w:t>
      </w:r>
      <w:r w:rsidRPr="00481BC9">
        <w:rPr>
          <w:color w:val="000000"/>
          <w:szCs w:val="22"/>
          <w:shd w:val="clear" w:color="auto" w:fill="FFFFFF"/>
        </w:rPr>
        <w:t>mmunications Services (PCS) pursuant to part 24 of this chapter; the Satellite Communications Services pursuant to part 25 of this chapter; the Miscellaneous Wireless Communications Services pursuant to part 27 of this chapter; the Maritime Services (ship earth stations only) pursuant to part 80 of this chapter; the Specialized Mobile Radio Service, the 4.9 GHz Band Service, or the 3650 MHz Wireless Broadband Service pursuant to part 90 of this chapter; the Wireless Medical Telemetry Service (WMTS), the Medical Device Radiocommunication Service (MedRadio), or the 76-81 GHz Band Radar Service pursuant to part 95 of this chapter are subject to routine environmental evaluation for RF exposure prior to equipment authorization or use, as specified in §§ 2.1091 and 2.1093 of this chapter.</w:t>
      </w:r>
    </w:p>
    <w:p w:rsidR="008008AC" w:rsidRDefault="008008AC" w:rsidP="008008AC">
      <w:pPr>
        <w:spacing w:after="220"/>
        <w:rPr>
          <w:color w:val="000000"/>
          <w:szCs w:val="22"/>
          <w:shd w:val="clear" w:color="auto" w:fill="FFFFFF"/>
        </w:rPr>
      </w:pPr>
      <w:r w:rsidRPr="00481BC9">
        <w:rPr>
          <w:color w:val="000000"/>
          <w:szCs w:val="22"/>
          <w:shd w:val="clear" w:color="auto" w:fill="FFFFFF"/>
        </w:rPr>
        <w:t>(ii) Unlicensed PCS, unlicensed NII and millimeter wave devices are also subject to routine environmental evaluation for RF exposure prior to equipment authorization or use, as specified in §§ 15.255(g), 15.257(g), 15.319(i), and 15.407(f) of this chapter.</w:t>
      </w:r>
    </w:p>
    <w:p w:rsidR="008008AC" w:rsidRPr="00D433E8" w:rsidRDefault="008008AC" w:rsidP="008008AC">
      <w:pPr>
        <w:suppressAutoHyphens/>
        <w:spacing w:after="220"/>
        <w:rPr>
          <w:szCs w:val="22"/>
        </w:rPr>
      </w:pPr>
      <w:r w:rsidRPr="00D13C20">
        <w:rPr>
          <w:szCs w:val="22"/>
        </w:rPr>
        <w:t>* * * * *</w:t>
      </w:r>
    </w:p>
    <w:p w:rsidR="008008AC" w:rsidRPr="00D13C20" w:rsidRDefault="008008AC" w:rsidP="008008AC">
      <w:pPr>
        <w:jc w:val="center"/>
        <w:rPr>
          <w:b/>
        </w:rPr>
      </w:pPr>
      <w:r w:rsidRPr="00D13C20">
        <w:rPr>
          <w:b/>
        </w:rPr>
        <w:t>PART 2—FREQUENCY ALLOCATIONS AND RADIO TREATY MATTERS;</w:t>
      </w:r>
    </w:p>
    <w:p w:rsidR="008008AC" w:rsidRPr="00D13C20" w:rsidRDefault="008008AC" w:rsidP="008008AC">
      <w:pPr>
        <w:spacing w:after="220"/>
        <w:jc w:val="center"/>
        <w:rPr>
          <w:b/>
        </w:rPr>
      </w:pPr>
      <w:r w:rsidRPr="00D13C20">
        <w:rPr>
          <w:b/>
        </w:rPr>
        <w:t>GENERAL RULES AND REGULATIONS</w:t>
      </w:r>
      <w:bookmarkStart w:id="230" w:name="_Toc376856113"/>
      <w:bookmarkStart w:id="231" w:name="_Toc376856282"/>
      <w:bookmarkStart w:id="232" w:name="_Toc376856326"/>
      <w:bookmarkStart w:id="233" w:name="_Toc376856529"/>
      <w:bookmarkStart w:id="234" w:name="_Toc380730111"/>
      <w:bookmarkEnd w:id="225"/>
      <w:bookmarkEnd w:id="226"/>
      <w:bookmarkEnd w:id="227"/>
      <w:bookmarkEnd w:id="228"/>
      <w:bookmarkEnd w:id="229"/>
    </w:p>
    <w:p w:rsidR="008008AC" w:rsidRPr="00D13C20" w:rsidRDefault="008008AC" w:rsidP="0064463B">
      <w:pPr>
        <w:numPr>
          <w:ilvl w:val="0"/>
          <w:numId w:val="11"/>
        </w:numPr>
        <w:tabs>
          <w:tab w:val="right" w:pos="1080"/>
        </w:tabs>
        <w:spacing w:after="220"/>
        <w:ind w:left="0"/>
        <w:jc w:val="both"/>
        <w:rPr>
          <w:szCs w:val="22"/>
        </w:rPr>
      </w:pPr>
      <w:r w:rsidRPr="00D13C20">
        <w:t>The authority citation for part 2 continues to read as follows:</w:t>
      </w:r>
      <w:bookmarkEnd w:id="230"/>
      <w:bookmarkEnd w:id="231"/>
      <w:bookmarkEnd w:id="232"/>
      <w:bookmarkEnd w:id="233"/>
      <w:bookmarkEnd w:id="234"/>
    </w:p>
    <w:p w:rsidR="008008AC" w:rsidRPr="00D13C20" w:rsidRDefault="008008AC" w:rsidP="008008AC">
      <w:pPr>
        <w:tabs>
          <w:tab w:val="num" w:pos="1080"/>
        </w:tabs>
        <w:suppressAutoHyphens/>
        <w:spacing w:after="220"/>
        <w:rPr>
          <w:szCs w:val="22"/>
        </w:rPr>
      </w:pPr>
      <w:r w:rsidRPr="00152334">
        <w:rPr>
          <w:b/>
          <w:smallCaps/>
          <w:szCs w:val="22"/>
        </w:rPr>
        <w:t>A</w:t>
      </w:r>
      <w:r w:rsidRPr="00152334">
        <w:rPr>
          <w:b/>
          <w:szCs w:val="22"/>
        </w:rPr>
        <w:t>uthority</w:t>
      </w:r>
      <w:r w:rsidRPr="00D13C20">
        <w:rPr>
          <w:szCs w:val="22"/>
        </w:rPr>
        <w:t>: 47 U.S.C. 154, 302a, 303, and 336, unless otherwise noted.</w:t>
      </w:r>
      <w:bookmarkStart w:id="235" w:name="_Toc376856114"/>
      <w:bookmarkStart w:id="236" w:name="_Toc376856283"/>
      <w:bookmarkStart w:id="237" w:name="_Toc376856327"/>
      <w:bookmarkStart w:id="238" w:name="_Toc376856530"/>
      <w:bookmarkStart w:id="239" w:name="_Toc380730112"/>
    </w:p>
    <w:p w:rsidR="008008AC" w:rsidRPr="00D13C20" w:rsidRDefault="008008AC" w:rsidP="0064463B">
      <w:pPr>
        <w:numPr>
          <w:ilvl w:val="0"/>
          <w:numId w:val="11"/>
        </w:numPr>
        <w:tabs>
          <w:tab w:val="right" w:pos="1080"/>
        </w:tabs>
        <w:suppressAutoHyphens/>
        <w:spacing w:after="220"/>
        <w:ind w:left="0"/>
        <w:jc w:val="both"/>
        <w:rPr>
          <w:szCs w:val="22"/>
        </w:rPr>
      </w:pPr>
      <w:r w:rsidRPr="00D13C20">
        <w:t>Section 2.106 is amended by revising page 61 to read as follows:</w:t>
      </w:r>
      <w:bookmarkEnd w:id="235"/>
      <w:bookmarkEnd w:id="236"/>
      <w:bookmarkEnd w:id="237"/>
      <w:bookmarkEnd w:id="238"/>
      <w:bookmarkEnd w:id="239"/>
    </w:p>
    <w:p w:rsidR="008008AC" w:rsidRPr="00D13C20" w:rsidRDefault="008008AC" w:rsidP="008008AC">
      <w:pPr>
        <w:spacing w:after="220"/>
        <w:rPr>
          <w:b/>
        </w:rPr>
      </w:pPr>
      <w:r w:rsidRPr="00D13C20">
        <w:rPr>
          <w:b/>
          <w:u w:val="single"/>
        </w:rPr>
        <w:t>§ 2.106</w:t>
      </w:r>
      <w:r w:rsidRPr="00D13C20">
        <w:rPr>
          <w:b/>
          <w:color w:val="000000"/>
          <w:u w:val="single"/>
        </w:rPr>
        <w:t>  </w:t>
      </w:r>
      <w:r w:rsidRPr="00D13C20">
        <w:rPr>
          <w:b/>
          <w:u w:val="single"/>
        </w:rPr>
        <w:t> Table of Frequency Allocations</w:t>
      </w:r>
      <w:r w:rsidRPr="00D13C20">
        <w:rPr>
          <w:b/>
        </w:rPr>
        <w:t>.</w:t>
      </w:r>
    </w:p>
    <w:p w:rsidR="008008AC" w:rsidRPr="00D13C20" w:rsidRDefault="008008AC" w:rsidP="008008AC">
      <w:pPr>
        <w:suppressAutoHyphens/>
        <w:spacing w:after="220"/>
        <w:rPr>
          <w:szCs w:val="22"/>
        </w:rPr>
      </w:pPr>
      <w:r w:rsidRPr="00D13C20">
        <w:rPr>
          <w:szCs w:val="22"/>
        </w:rPr>
        <w:t>* * * * *</w:t>
      </w:r>
    </w:p>
    <w:p w:rsidR="008008AC" w:rsidRPr="00D13C20" w:rsidRDefault="008008AC" w:rsidP="008008AC">
      <w:pPr>
        <w:spacing w:before="100" w:beforeAutospacing="1" w:after="100" w:afterAutospacing="1"/>
        <w:rPr>
          <w:szCs w:val="22"/>
        </w:rPr>
        <w:sectPr w:rsidR="008008AC" w:rsidRPr="00D13C20" w:rsidSect="00512EAC">
          <w:pgSz w:w="12240" w:h="15840"/>
          <w:pgMar w:top="1440" w:right="1440" w:bottom="720" w:left="1440" w:header="720" w:footer="720" w:gutter="0"/>
          <w:pgNumType w:start="1"/>
          <w:cols w:space="720"/>
          <w:titlePg/>
          <w:docGrid w:linePitch="299"/>
        </w:sectPr>
      </w:pPr>
    </w:p>
    <w:tbl>
      <w:tblPr>
        <w:tblW w:w="5000" w:type="pct"/>
        <w:tblLayout w:type="fixed"/>
        <w:tblCellMar>
          <w:left w:w="64" w:type="dxa"/>
          <w:right w:w="64" w:type="dxa"/>
        </w:tblCellMar>
        <w:tblLook w:val="0000" w:firstRow="0" w:lastRow="0" w:firstColumn="0" w:lastColumn="0" w:noHBand="0" w:noVBand="0"/>
      </w:tblPr>
      <w:tblGrid>
        <w:gridCol w:w="1467"/>
        <w:gridCol w:w="1489"/>
        <w:gridCol w:w="1608"/>
        <w:gridCol w:w="1788"/>
        <w:gridCol w:w="1787"/>
        <w:gridCol w:w="1349"/>
      </w:tblGrid>
      <w:tr w:rsidR="008008AC" w:rsidRPr="00D13C20" w:rsidTr="00512EAC">
        <w:trPr>
          <w:trHeight w:val="205"/>
        </w:trPr>
        <w:tc>
          <w:tcPr>
            <w:tcW w:w="11855" w:type="dxa"/>
            <w:gridSpan w:val="5"/>
            <w:tcBorders>
              <w:top w:val="single" w:sz="7" w:space="0" w:color="000000"/>
              <w:bottom w:val="single" w:sz="6" w:space="0" w:color="auto"/>
            </w:tcBorders>
          </w:tcPr>
          <w:p w:rsidR="008008AC" w:rsidRPr="00D13C20" w:rsidRDefault="008008AC" w:rsidP="00512EAC">
            <w:pPr>
              <w:suppressAutoHyphens/>
              <w:spacing w:before="20" w:after="20"/>
              <w:ind w:left="-58" w:right="-72"/>
              <w:rPr>
                <w:rFonts w:ascii="Arial Narrow" w:hAnsi="Arial Narrow"/>
                <w:color w:val="000000"/>
                <w:sz w:val="17"/>
              </w:rPr>
            </w:pPr>
            <w:r w:rsidRPr="00D13C20">
              <w:rPr>
                <w:rFonts w:ascii="Arial Narrow" w:hAnsi="Arial Narrow"/>
                <w:color w:val="000000"/>
                <w:sz w:val="17"/>
              </w:rPr>
              <w:t>Table of Frequency Allocations                                                                                                              71-100 GHz (EHF)</w:t>
            </w:r>
          </w:p>
        </w:tc>
        <w:tc>
          <w:tcPr>
            <w:tcW w:w="1953" w:type="dxa"/>
            <w:tcBorders>
              <w:top w:val="single" w:sz="7" w:space="0" w:color="000000"/>
              <w:bottom w:val="single" w:sz="6" w:space="0" w:color="auto"/>
            </w:tcBorders>
          </w:tcPr>
          <w:p w:rsidR="008008AC" w:rsidRPr="00D13C20" w:rsidRDefault="008008AC" w:rsidP="00512EAC">
            <w:pPr>
              <w:tabs>
                <w:tab w:val="left" w:pos="0"/>
                <w:tab w:val="left" w:pos="336"/>
                <w:tab w:val="left" w:pos="2880"/>
                <w:tab w:val="left" w:pos="3600"/>
                <w:tab w:val="left" w:pos="4320"/>
                <w:tab w:val="left" w:pos="5040"/>
              </w:tabs>
              <w:suppressAutoHyphens/>
              <w:spacing w:before="20" w:after="20"/>
              <w:ind w:right="-54"/>
              <w:jc w:val="right"/>
              <w:rPr>
                <w:rFonts w:ascii="Arial Narrow" w:hAnsi="Arial Narrow"/>
                <w:color w:val="000000"/>
                <w:sz w:val="17"/>
              </w:rPr>
            </w:pPr>
            <w:r w:rsidRPr="00D13C20">
              <w:rPr>
                <w:rFonts w:ascii="Arial Narrow" w:hAnsi="Arial Narrow"/>
                <w:color w:val="000000"/>
                <w:sz w:val="17"/>
              </w:rPr>
              <w:t>Page 61</w:t>
            </w:r>
          </w:p>
        </w:tc>
      </w:tr>
      <w:tr w:rsidR="008008AC" w:rsidRPr="00D13C20" w:rsidTr="00512EAC">
        <w:trPr>
          <w:trHeight w:val="205"/>
        </w:trPr>
        <w:tc>
          <w:tcPr>
            <w:tcW w:w="6632" w:type="dxa"/>
            <w:gridSpan w:val="3"/>
            <w:tcBorders>
              <w:top w:val="single" w:sz="6" w:space="0" w:color="auto"/>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left="-58" w:right="-72"/>
              <w:jc w:val="center"/>
              <w:rPr>
                <w:rFonts w:ascii="Arial Narrow" w:hAnsi="Arial Narrow"/>
                <w:color w:val="000000"/>
                <w:sz w:val="17"/>
              </w:rPr>
            </w:pPr>
            <w:r w:rsidRPr="00D13C20">
              <w:rPr>
                <w:rFonts w:ascii="Arial Narrow" w:hAnsi="Arial Narrow"/>
                <w:color w:val="000000"/>
                <w:sz w:val="17"/>
              </w:rPr>
              <w:t>International Table</w:t>
            </w:r>
          </w:p>
        </w:tc>
        <w:tc>
          <w:tcPr>
            <w:tcW w:w="5223" w:type="dxa"/>
            <w:gridSpan w:val="2"/>
            <w:tcBorders>
              <w:top w:val="single" w:sz="6" w:space="0" w:color="auto"/>
              <w:left w:val="double" w:sz="6" w:space="0" w:color="auto"/>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jc w:val="center"/>
              <w:rPr>
                <w:rFonts w:ascii="Arial Narrow" w:hAnsi="Arial Narrow"/>
                <w:color w:val="000000"/>
                <w:sz w:val="17"/>
              </w:rPr>
            </w:pPr>
            <w:r w:rsidRPr="00D13C20">
              <w:rPr>
                <w:rFonts w:ascii="Arial Narrow" w:hAnsi="Arial Narrow"/>
                <w:color w:val="000000"/>
                <w:sz w:val="17"/>
              </w:rPr>
              <w:t>United States Table</w:t>
            </w:r>
          </w:p>
        </w:tc>
        <w:tc>
          <w:tcPr>
            <w:tcW w:w="1953" w:type="dxa"/>
            <w:vMerge w:val="restart"/>
            <w:tcBorders>
              <w:top w:val="single" w:sz="6" w:space="0" w:color="auto"/>
              <w:lef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rPr>
                <w:rFonts w:ascii="Arial Narrow" w:hAnsi="Arial Narrow"/>
                <w:color w:val="000000"/>
                <w:sz w:val="17"/>
              </w:rPr>
            </w:pPr>
            <w:r w:rsidRPr="00D13C20">
              <w:rPr>
                <w:rFonts w:ascii="Arial Narrow" w:hAnsi="Arial Narrow"/>
                <w:color w:val="000000"/>
                <w:sz w:val="17"/>
              </w:rPr>
              <w:t xml:space="preserve">FCC Rule Part(s) </w:t>
            </w:r>
          </w:p>
        </w:tc>
      </w:tr>
      <w:tr w:rsidR="008008AC" w:rsidRPr="00D13C20" w:rsidTr="00512EAC">
        <w:trPr>
          <w:trHeight w:val="205"/>
        </w:trPr>
        <w:tc>
          <w:tcPr>
            <w:tcW w:w="2129" w:type="dxa"/>
            <w:tcBorders>
              <w:top w:val="single" w:sz="6" w:space="0" w:color="auto"/>
              <w:bottom w:val="single" w:sz="6" w:space="0" w:color="auto"/>
              <w:right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left="-58" w:right="-72"/>
              <w:rPr>
                <w:rFonts w:ascii="Arial Narrow" w:hAnsi="Arial Narrow"/>
                <w:color w:val="000000"/>
                <w:sz w:val="17"/>
              </w:rPr>
            </w:pPr>
            <w:r w:rsidRPr="00D13C20">
              <w:rPr>
                <w:rFonts w:ascii="Arial Narrow" w:hAnsi="Arial Narrow"/>
                <w:color w:val="000000"/>
                <w:sz w:val="17"/>
              </w:rPr>
              <w:t>Region 1 Table</w:t>
            </w:r>
          </w:p>
        </w:tc>
        <w:tc>
          <w:tcPr>
            <w:tcW w:w="2162" w:type="dxa"/>
            <w:tcBorders>
              <w:top w:val="single" w:sz="6" w:space="0" w:color="auto"/>
              <w:left w:val="single" w:sz="6" w:space="0" w:color="auto"/>
              <w:bottom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rPr>
                <w:rFonts w:ascii="Arial Narrow" w:hAnsi="Arial Narrow"/>
                <w:color w:val="000000"/>
                <w:sz w:val="17"/>
              </w:rPr>
            </w:pPr>
            <w:r w:rsidRPr="00D13C20">
              <w:rPr>
                <w:rFonts w:ascii="Arial Narrow" w:hAnsi="Arial Narrow"/>
                <w:color w:val="000000"/>
                <w:sz w:val="17"/>
              </w:rPr>
              <w:t>Region 2 Table</w:t>
            </w:r>
          </w:p>
        </w:tc>
        <w:tc>
          <w:tcPr>
            <w:tcW w:w="2341" w:type="dxa"/>
            <w:tcBorders>
              <w:top w:val="single" w:sz="6" w:space="0" w:color="auto"/>
              <w:left w:val="single" w:sz="6" w:space="0" w:color="auto"/>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rPr>
                <w:rFonts w:ascii="Arial Narrow" w:hAnsi="Arial Narrow"/>
                <w:color w:val="000000"/>
                <w:sz w:val="17"/>
              </w:rPr>
            </w:pPr>
            <w:r w:rsidRPr="00D13C20">
              <w:rPr>
                <w:rFonts w:ascii="Arial Narrow" w:hAnsi="Arial Narrow"/>
                <w:color w:val="000000"/>
                <w:sz w:val="17"/>
              </w:rPr>
              <w:t>Region 3 Table</w:t>
            </w:r>
          </w:p>
        </w:tc>
        <w:tc>
          <w:tcPr>
            <w:tcW w:w="2612" w:type="dxa"/>
            <w:tcBorders>
              <w:top w:val="single" w:sz="6" w:space="0" w:color="auto"/>
              <w:left w:val="double" w:sz="6" w:space="0" w:color="auto"/>
              <w:bottom w:val="single" w:sz="6" w:space="0" w:color="auto"/>
              <w:right w:val="single" w:sz="6" w:space="0" w:color="FFFFFF"/>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rPr>
                <w:rFonts w:ascii="Arial Narrow" w:hAnsi="Arial Narrow"/>
                <w:color w:val="000000"/>
                <w:sz w:val="17"/>
              </w:rPr>
            </w:pPr>
            <w:r w:rsidRPr="00D13C20">
              <w:rPr>
                <w:rFonts w:ascii="Arial Narrow" w:hAnsi="Arial Narrow"/>
                <w:color w:val="000000"/>
                <w:sz w:val="17"/>
              </w:rPr>
              <w:t>Federal Table</w:t>
            </w:r>
          </w:p>
        </w:tc>
        <w:tc>
          <w:tcPr>
            <w:tcW w:w="2611" w:type="dxa"/>
            <w:tcBorders>
              <w:top w:val="single" w:sz="6" w:space="0" w:color="auto"/>
              <w:left w:val="single" w:sz="7" w:space="0" w:color="000000"/>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rPr>
                <w:rFonts w:ascii="Arial Narrow" w:hAnsi="Arial Narrow"/>
                <w:color w:val="000000"/>
                <w:sz w:val="17"/>
              </w:rPr>
            </w:pPr>
            <w:r w:rsidRPr="00D13C20">
              <w:rPr>
                <w:rFonts w:ascii="Arial Narrow" w:hAnsi="Arial Narrow"/>
                <w:color w:val="000000"/>
                <w:sz w:val="17"/>
              </w:rPr>
              <w:t>Non-Federal Table</w:t>
            </w:r>
          </w:p>
        </w:tc>
        <w:tc>
          <w:tcPr>
            <w:tcW w:w="1953" w:type="dxa"/>
            <w:vMerge/>
            <w:tcBorders>
              <w:left w:val="double" w:sz="6" w:space="0" w:color="auto"/>
              <w:bottom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spacing w:before="10" w:after="10"/>
              <w:ind w:right="-72"/>
              <w:rPr>
                <w:rFonts w:ascii="Arial Narrow" w:hAnsi="Arial Narrow"/>
                <w:color w:val="000000"/>
                <w:sz w:val="17"/>
              </w:rPr>
            </w:pPr>
          </w:p>
        </w:tc>
      </w:tr>
      <w:tr w:rsidR="008008AC" w:rsidRPr="00D13C20" w:rsidTr="00512EAC">
        <w:trPr>
          <w:trHeight w:val="759"/>
        </w:trPr>
        <w:tc>
          <w:tcPr>
            <w:tcW w:w="6632" w:type="dxa"/>
            <w:gridSpan w:val="3"/>
            <w:tcBorders>
              <w:top w:val="single" w:sz="6" w:space="0" w:color="auto"/>
              <w:bottom w:val="single" w:sz="6" w:space="0" w:color="auto"/>
              <w:right w:val="double" w:sz="6" w:space="0" w:color="auto"/>
            </w:tcBorders>
          </w:tcPr>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71-74</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FIXED</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FIXED-SATELLITE (space-to-Earth)</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MOBILE</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MOBILE-SATELLITE (space-to-Earth)</w:t>
            </w:r>
          </w:p>
        </w:tc>
        <w:tc>
          <w:tcPr>
            <w:tcW w:w="5223" w:type="dxa"/>
            <w:gridSpan w:val="2"/>
            <w:tcBorders>
              <w:top w:val="single" w:sz="6" w:space="0" w:color="auto"/>
              <w:left w:val="double" w:sz="6" w:space="0" w:color="auto"/>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71-74</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FIXED-SATELLITE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MOBILE</w:t>
            </w: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MOBILE-SATELLITE (space-to-Earth)</w:t>
            </w: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US389</w:t>
            </w:r>
          </w:p>
        </w:tc>
        <w:tc>
          <w:tcPr>
            <w:tcW w:w="1953" w:type="dxa"/>
            <w:tcBorders>
              <w:top w:val="single" w:sz="6" w:space="0" w:color="auto"/>
              <w:left w:val="double" w:sz="6" w:space="0" w:color="auto"/>
              <w:bottom w:val="single" w:sz="4" w:space="0" w:color="auto"/>
              <w:right w:val="nil"/>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 Microwave (101)</w:t>
            </w:r>
          </w:p>
        </w:tc>
      </w:tr>
      <w:tr w:rsidR="008008AC" w:rsidRPr="00D13C20" w:rsidTr="00512EAC">
        <w:trPr>
          <w:trHeight w:val="1317"/>
        </w:trPr>
        <w:tc>
          <w:tcPr>
            <w:tcW w:w="6632" w:type="dxa"/>
            <w:gridSpan w:val="3"/>
            <w:tcBorders>
              <w:top w:val="single" w:sz="6" w:space="0" w:color="auto"/>
              <w:bottom w:val="single" w:sz="6" w:space="0" w:color="auto"/>
              <w:right w:val="double" w:sz="6" w:space="0" w:color="auto"/>
            </w:tcBorders>
          </w:tcPr>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74-76</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FIXED</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FIXED-SATELLITE (space-to-Earth)</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MOBILE</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BROADCASTING</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BROADCASTING-SATELLITE</w:t>
            </w:r>
          </w:p>
          <w:p w:rsidR="008008AC" w:rsidRPr="00D13C20" w:rsidRDefault="008008AC" w:rsidP="00512EAC">
            <w:pPr>
              <w:tabs>
                <w:tab w:val="left" w:pos="336"/>
                <w:tab w:val="left" w:pos="1908"/>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956"/>
              </w:tabs>
              <w:suppressAutoHyphens/>
              <w:ind w:left="-58" w:right="-72"/>
              <w:rPr>
                <w:rFonts w:ascii="Arial Narrow" w:hAnsi="Arial Narrow"/>
                <w:color w:val="000000"/>
                <w:sz w:val="17"/>
              </w:rPr>
            </w:pPr>
          </w:p>
          <w:p w:rsidR="008008AC" w:rsidRPr="00D13C20" w:rsidRDefault="008008AC" w:rsidP="00512EAC">
            <w:pPr>
              <w:tabs>
                <w:tab w:val="left" w:pos="336"/>
                <w:tab w:val="left" w:pos="1908"/>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5.561</w:t>
            </w:r>
          </w:p>
        </w:tc>
        <w:tc>
          <w:tcPr>
            <w:tcW w:w="2612" w:type="dxa"/>
            <w:tcBorders>
              <w:top w:val="single" w:sz="6" w:space="0" w:color="auto"/>
              <w:left w:val="double" w:sz="6" w:space="0" w:color="auto"/>
              <w:bottom w:val="single" w:sz="6" w:space="0" w:color="auto"/>
              <w:right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74-76</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FIXED-SATELLITE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MOBILE</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US389</w:t>
            </w:r>
          </w:p>
        </w:tc>
        <w:tc>
          <w:tcPr>
            <w:tcW w:w="2611" w:type="dxa"/>
            <w:tcBorders>
              <w:top w:val="single" w:sz="6" w:space="0" w:color="auto"/>
              <w:left w:val="single" w:sz="6" w:space="0" w:color="auto"/>
              <w:bottom w:val="single" w:sz="6" w:space="0" w:color="auto"/>
              <w:right w:val="double" w:sz="6" w:space="0" w:color="auto"/>
            </w:tcBorders>
          </w:tcPr>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74-76</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FIXED-SATELLITE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MOBILE</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BROADCASTING</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BROADCASTING-SATELLITE</w:t>
            </w: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US389</w:t>
            </w:r>
          </w:p>
        </w:tc>
        <w:tc>
          <w:tcPr>
            <w:tcW w:w="1953" w:type="dxa"/>
            <w:tcBorders>
              <w:top w:val="single" w:sz="4" w:space="0" w:color="auto"/>
              <w:left w:val="double" w:sz="6" w:space="0" w:color="auto"/>
              <w:bottom w:val="single" w:sz="6" w:space="0" w:color="auto"/>
              <w:right w:val="nil"/>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RF Devices (15)</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Fixed Microwave (101)</w:t>
            </w:r>
          </w:p>
        </w:tc>
      </w:tr>
      <w:tr w:rsidR="008008AC" w:rsidRPr="00D13C20" w:rsidTr="00512EAC">
        <w:trPr>
          <w:trHeight w:val="1531"/>
        </w:trPr>
        <w:tc>
          <w:tcPr>
            <w:tcW w:w="6632" w:type="dxa"/>
            <w:gridSpan w:val="3"/>
            <w:tcBorders>
              <w:top w:val="single" w:sz="6" w:space="0" w:color="auto"/>
              <w:bottom w:val="single" w:sz="6" w:space="0" w:color="auto"/>
              <w:right w:val="double" w:sz="6" w:space="0" w:color="auto"/>
            </w:tcBorders>
          </w:tcPr>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76-77.5</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suppressAutoHyphens/>
              <w:ind w:left="-58" w:right="-72"/>
              <w:rPr>
                <w:rFonts w:ascii="Arial Narrow" w:hAnsi="Arial Narrow"/>
                <w:color w:val="000000"/>
                <w:sz w:val="17"/>
              </w:rPr>
            </w:pPr>
          </w:p>
          <w:p w:rsidR="008008AC" w:rsidRPr="00D13C20" w:rsidRDefault="008008AC" w:rsidP="00512E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D13C20">
              <w:rPr>
                <w:rFonts w:ascii="Arial Narrow" w:hAnsi="Arial Narrow"/>
                <w:color w:val="000000"/>
                <w:sz w:val="17"/>
              </w:rPr>
              <w:t>5.149</w:t>
            </w:r>
          </w:p>
        </w:tc>
        <w:tc>
          <w:tcPr>
            <w:tcW w:w="2612" w:type="dxa"/>
            <w:tcBorders>
              <w:top w:val="single" w:sz="6" w:space="0" w:color="auto"/>
              <w:left w:val="double" w:sz="6" w:space="0" w:color="auto"/>
              <w:bottom w:val="single" w:sz="6" w:space="0" w:color="auto"/>
              <w:right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76-77.5</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suppressAutoHyphens/>
              <w:ind w:right="-72"/>
              <w:rPr>
                <w:rFonts w:ascii="Arial Narrow" w:hAnsi="Arial Narrow"/>
                <w:color w:val="000000"/>
                <w:sz w:val="17"/>
              </w:rPr>
            </w:pPr>
          </w:p>
          <w:p w:rsidR="008008AC" w:rsidRPr="00D13C20" w:rsidRDefault="008008AC" w:rsidP="00512EAC">
            <w:pPr>
              <w:suppressAutoHyphens/>
              <w:ind w:right="-72"/>
              <w:rPr>
                <w:rFonts w:ascii="Arial Narrow" w:hAnsi="Arial Narrow"/>
                <w:color w:val="000000"/>
                <w:sz w:val="17"/>
              </w:rPr>
            </w:pPr>
          </w:p>
          <w:p w:rsidR="008008AC" w:rsidRPr="00D13C20" w:rsidRDefault="008008AC" w:rsidP="00512EAC">
            <w:pPr>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US342</w:t>
            </w:r>
          </w:p>
        </w:tc>
        <w:tc>
          <w:tcPr>
            <w:tcW w:w="2611" w:type="dxa"/>
            <w:tcBorders>
              <w:top w:val="single" w:sz="6" w:space="0" w:color="auto"/>
              <w:left w:val="single" w:sz="6" w:space="0" w:color="auto"/>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76-77.5</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16" w:lineRule="auto"/>
              <w:ind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US342</w:t>
            </w:r>
          </w:p>
        </w:tc>
        <w:tc>
          <w:tcPr>
            <w:tcW w:w="1953" w:type="dxa"/>
            <w:vMerge w:val="restart"/>
            <w:tcBorders>
              <w:top w:val="single" w:sz="6" w:space="0" w:color="auto"/>
              <w:left w:val="double" w:sz="6" w:space="0" w:color="auto"/>
              <w:bottom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RF Devices (15)</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Amateur Radio (97)</w:t>
            </w:r>
          </w:p>
        </w:tc>
      </w:tr>
      <w:tr w:rsidR="008008AC" w:rsidRPr="00D13C20" w:rsidTr="00512EAC">
        <w:trPr>
          <w:trHeight w:val="867"/>
        </w:trPr>
        <w:tc>
          <w:tcPr>
            <w:tcW w:w="6632" w:type="dxa"/>
            <w:gridSpan w:val="3"/>
            <w:tcBorders>
              <w:top w:val="single" w:sz="6" w:space="0" w:color="auto"/>
              <w:left w:val="nil"/>
              <w:bottom w:val="single" w:sz="6" w:space="0" w:color="auto"/>
              <w:right w:val="double" w:sz="6" w:space="0" w:color="000000"/>
            </w:tcBorders>
          </w:tcPr>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77.5-78</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p w:rsidR="008008AC" w:rsidRPr="00D13C20" w:rsidRDefault="008008AC" w:rsidP="00512EA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D13C20">
              <w:rPr>
                <w:rFonts w:ascii="Arial Narrow" w:hAnsi="Arial Narrow"/>
                <w:color w:val="000000"/>
                <w:sz w:val="17"/>
              </w:rPr>
              <w:t>5.149</w:t>
            </w:r>
          </w:p>
        </w:tc>
        <w:tc>
          <w:tcPr>
            <w:tcW w:w="2612" w:type="dxa"/>
            <w:tcBorders>
              <w:top w:val="single" w:sz="6" w:space="0" w:color="auto"/>
              <w:left w:val="double" w:sz="6" w:space="0" w:color="000000"/>
              <w:bottom w:val="single" w:sz="6" w:space="0" w:color="auto"/>
              <w:right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77.5-78</w:t>
            </w:r>
          </w:p>
          <w:p w:rsidR="008008AC"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Pr>
                <w:rFonts w:ascii="Arial Narrow" w:hAnsi="Arial Narrow"/>
                <w:color w:val="000000"/>
                <w:sz w:val="17"/>
              </w:rPr>
              <w:t>RADIOLOCATION</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US342</w:t>
            </w:r>
          </w:p>
        </w:tc>
        <w:tc>
          <w:tcPr>
            <w:tcW w:w="2611" w:type="dxa"/>
            <w:tcBorders>
              <w:top w:val="single" w:sz="6" w:space="0" w:color="auto"/>
              <w:left w:val="single" w:sz="6" w:space="0" w:color="auto"/>
              <w:bottom w:val="single" w:sz="4"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77.5-78</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AMATEUR</w:t>
            </w:r>
          </w:p>
          <w:p w:rsidR="008008AC"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Pr>
                <w:rFonts w:ascii="Arial Narrow" w:hAnsi="Arial Narrow"/>
                <w:color w:val="000000"/>
                <w:sz w:val="17"/>
              </w:rPr>
              <w:t>RADIOLOCATION</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US342</w:t>
            </w:r>
          </w:p>
        </w:tc>
        <w:tc>
          <w:tcPr>
            <w:tcW w:w="1953" w:type="dxa"/>
            <w:vMerge/>
            <w:tcBorders>
              <w:top w:val="single" w:sz="6" w:space="0" w:color="auto"/>
              <w:left w:val="double" w:sz="6" w:space="0" w:color="auto"/>
              <w:bottom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8008AC" w:rsidRPr="00D13C20" w:rsidTr="00512EAC">
        <w:trPr>
          <w:trHeight w:val="975"/>
        </w:trPr>
        <w:tc>
          <w:tcPr>
            <w:tcW w:w="6632" w:type="dxa"/>
            <w:gridSpan w:val="3"/>
            <w:tcBorders>
              <w:top w:val="single" w:sz="6" w:space="0" w:color="auto"/>
              <w:left w:val="nil"/>
              <w:bottom w:val="single" w:sz="6" w:space="0" w:color="auto"/>
              <w:right w:val="double" w:sz="6" w:space="0" w:color="000000"/>
            </w:tcBorders>
          </w:tcPr>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78-79</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p w:rsidR="008008AC" w:rsidRPr="00D13C20" w:rsidRDefault="008008AC" w:rsidP="00512EAC">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D13C20">
              <w:rPr>
                <w:rFonts w:ascii="Arial Narrow" w:hAnsi="Arial Narrow"/>
                <w:color w:val="000000"/>
                <w:sz w:val="17"/>
              </w:rPr>
              <w:t>5.149  5.560</w:t>
            </w:r>
          </w:p>
        </w:tc>
        <w:tc>
          <w:tcPr>
            <w:tcW w:w="2612" w:type="dxa"/>
            <w:tcBorders>
              <w:top w:val="single" w:sz="6" w:space="0" w:color="auto"/>
              <w:left w:val="double" w:sz="6" w:space="0" w:color="000000"/>
              <w:bottom w:val="single" w:sz="6" w:space="0" w:color="auto"/>
              <w:right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78-79</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5.560  US342</w:t>
            </w:r>
          </w:p>
        </w:tc>
        <w:tc>
          <w:tcPr>
            <w:tcW w:w="2611" w:type="dxa"/>
            <w:tcBorders>
              <w:top w:val="single" w:sz="4" w:space="0" w:color="auto"/>
              <w:left w:val="single" w:sz="6" w:space="0" w:color="auto"/>
              <w:bottom w:val="single" w:sz="6" w:space="0" w:color="auto"/>
              <w:right w:val="doub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78-79</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D13C20">
              <w:rPr>
                <w:rFonts w:ascii="Arial Narrow" w:hAnsi="Arial Narrow"/>
                <w:color w:val="000000"/>
                <w:sz w:val="17"/>
              </w:rPr>
              <w:t>5.560  US342</w:t>
            </w:r>
          </w:p>
        </w:tc>
        <w:tc>
          <w:tcPr>
            <w:tcW w:w="1953" w:type="dxa"/>
            <w:vMerge/>
            <w:tcBorders>
              <w:top w:val="single" w:sz="6" w:space="0" w:color="auto"/>
              <w:left w:val="double" w:sz="6" w:space="0" w:color="auto"/>
              <w:bottom w:val="single" w:sz="6" w:space="0" w:color="auto"/>
            </w:tcBorders>
          </w:tcPr>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8008AC" w:rsidRPr="00D13C20" w:rsidTr="00512EAC">
        <w:trPr>
          <w:trHeight w:val="1227"/>
        </w:trPr>
        <w:tc>
          <w:tcPr>
            <w:tcW w:w="6632" w:type="dxa"/>
            <w:gridSpan w:val="3"/>
            <w:tcBorders>
              <w:top w:val="single" w:sz="6" w:space="0" w:color="auto"/>
              <w:left w:val="nil"/>
              <w:bottom w:val="single" w:sz="6" w:space="0" w:color="auto"/>
              <w:right w:val="double" w:sz="6" w:space="0" w:color="000000"/>
            </w:tcBorders>
          </w:tcPr>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79-81</w:t>
            </w: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suppressAutoHyphens/>
              <w:ind w:left="-58" w:right="-72"/>
              <w:rPr>
                <w:rFonts w:ascii="Arial Narrow" w:hAnsi="Arial Narrow"/>
                <w:color w:val="000000"/>
                <w:sz w:val="17"/>
              </w:rPr>
            </w:pPr>
          </w:p>
          <w:p w:rsidR="008008AC" w:rsidRPr="00D13C20" w:rsidRDefault="008008AC" w:rsidP="00512EAC">
            <w:pPr>
              <w:suppressAutoHyphens/>
              <w:ind w:left="-58" w:right="-72"/>
              <w:rPr>
                <w:rFonts w:ascii="Arial Narrow" w:hAnsi="Arial Narrow"/>
                <w:color w:val="000000"/>
                <w:sz w:val="17"/>
              </w:rPr>
            </w:pPr>
            <w:r w:rsidRPr="00D13C20">
              <w:rPr>
                <w:rFonts w:ascii="Arial Narrow" w:hAnsi="Arial Narrow"/>
                <w:color w:val="000000"/>
                <w:sz w:val="17"/>
              </w:rPr>
              <w:t>5.149</w:t>
            </w:r>
          </w:p>
        </w:tc>
        <w:tc>
          <w:tcPr>
            <w:tcW w:w="2612" w:type="dxa"/>
            <w:tcBorders>
              <w:top w:val="single" w:sz="6" w:space="0" w:color="auto"/>
              <w:left w:val="double" w:sz="6" w:space="0" w:color="000000"/>
              <w:bottom w:val="single" w:sz="6" w:space="0" w:color="auto"/>
              <w:right w:val="single" w:sz="6" w:space="0" w:color="auto"/>
            </w:tcBorders>
          </w:tcPr>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79-81</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8008AC" w:rsidRPr="00D13C20" w:rsidRDefault="008008AC" w:rsidP="00512EAC">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D13C20">
              <w:rPr>
                <w:rFonts w:ascii="Arial Narrow" w:hAnsi="Arial Narrow"/>
                <w:color w:val="000000"/>
                <w:sz w:val="17"/>
              </w:rPr>
              <w:t>US342</w:t>
            </w:r>
          </w:p>
        </w:tc>
        <w:tc>
          <w:tcPr>
            <w:tcW w:w="2611" w:type="dxa"/>
            <w:tcBorders>
              <w:top w:val="single" w:sz="6" w:space="0" w:color="auto"/>
              <w:left w:val="single" w:sz="6" w:space="0" w:color="auto"/>
              <w:bottom w:val="single" w:sz="6" w:space="0" w:color="auto"/>
              <w:right w:val="double" w:sz="6" w:space="0" w:color="auto"/>
            </w:tcBorders>
          </w:tcPr>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79-81</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RADIO ASTRONOMY</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RADIOLOCATION</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Amateur</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Amateur-satellite</w:t>
            </w:r>
          </w:p>
          <w:p w:rsidR="008008AC" w:rsidRPr="00D13C20" w:rsidRDefault="008008AC" w:rsidP="00512EAC">
            <w:pPr>
              <w:suppressAutoHyphens/>
              <w:ind w:right="-72"/>
              <w:rPr>
                <w:rFonts w:ascii="Arial Narrow" w:hAnsi="Arial Narrow"/>
                <w:color w:val="000000"/>
                <w:sz w:val="17"/>
              </w:rPr>
            </w:pPr>
            <w:r w:rsidRPr="00D13C20">
              <w:rPr>
                <w:rFonts w:ascii="Arial Narrow" w:hAnsi="Arial Narrow"/>
                <w:color w:val="000000"/>
                <w:sz w:val="17"/>
              </w:rPr>
              <w:t>Space research (space-to-Earth)</w:t>
            </w:r>
          </w:p>
          <w:p w:rsidR="008008AC" w:rsidRPr="00D13C20" w:rsidRDefault="008008AC" w:rsidP="00512EAC">
            <w:pPr>
              <w:suppressAutoHyphens/>
              <w:ind w:right="-72"/>
              <w:rPr>
                <w:rFonts w:ascii="Arial Narrow" w:hAnsi="Arial Narrow"/>
                <w:color w:val="000000"/>
                <w:sz w:val="17"/>
              </w:rPr>
            </w:pPr>
          </w:p>
          <w:p w:rsidR="008008AC" w:rsidRPr="00D13C20" w:rsidRDefault="008008AC" w:rsidP="00512EAC">
            <w:pPr>
              <w:suppressAutoHyphens/>
              <w:spacing w:line="204" w:lineRule="auto"/>
              <w:ind w:right="-72"/>
              <w:rPr>
                <w:rFonts w:ascii="Arial Narrow" w:hAnsi="Arial Narrow"/>
                <w:color w:val="000000"/>
                <w:sz w:val="17"/>
              </w:rPr>
            </w:pPr>
            <w:r w:rsidRPr="00D13C20">
              <w:rPr>
                <w:rFonts w:ascii="Arial Narrow" w:hAnsi="Arial Narrow"/>
                <w:color w:val="000000"/>
                <w:sz w:val="17"/>
              </w:rPr>
              <w:t>US342</w:t>
            </w:r>
          </w:p>
        </w:tc>
        <w:tc>
          <w:tcPr>
            <w:tcW w:w="1953" w:type="dxa"/>
            <w:vMerge/>
            <w:tcBorders>
              <w:top w:val="single" w:sz="6" w:space="0" w:color="auto"/>
              <w:left w:val="double" w:sz="6" w:space="0" w:color="auto"/>
              <w:bottom w:val="single" w:sz="6" w:space="0" w:color="auto"/>
            </w:tcBorders>
          </w:tcPr>
          <w:p w:rsidR="008008AC" w:rsidRPr="00D13C20" w:rsidRDefault="008008AC" w:rsidP="00512EAC">
            <w:pPr>
              <w:suppressAutoHyphens/>
              <w:spacing w:line="36" w:lineRule="exact"/>
              <w:ind w:right="-72"/>
              <w:rPr>
                <w:rFonts w:ascii="Arial Narrow" w:hAnsi="Arial Narrow"/>
                <w:color w:val="000000"/>
                <w:sz w:val="17"/>
              </w:rPr>
            </w:pPr>
          </w:p>
        </w:tc>
      </w:tr>
    </w:tbl>
    <w:p w:rsidR="008008AC" w:rsidRPr="00D13C20" w:rsidRDefault="008008AC" w:rsidP="008008AC">
      <w:pPr>
        <w:spacing w:before="100" w:beforeAutospacing="1" w:after="100" w:afterAutospacing="1"/>
        <w:rPr>
          <w:szCs w:val="22"/>
        </w:rPr>
      </w:pPr>
    </w:p>
    <w:p w:rsidR="008008AC" w:rsidRPr="00D13C20" w:rsidRDefault="008008AC" w:rsidP="0064463B">
      <w:pPr>
        <w:numPr>
          <w:ilvl w:val="0"/>
          <w:numId w:val="11"/>
        </w:numPr>
        <w:tabs>
          <w:tab w:val="left" w:pos="1080"/>
        </w:tabs>
        <w:spacing w:after="220"/>
        <w:ind w:left="0"/>
        <w:jc w:val="both"/>
        <w:rPr>
          <w:szCs w:val="22"/>
        </w:rPr>
      </w:pPr>
      <w:bookmarkStart w:id="240" w:name="_Toc376856105"/>
      <w:bookmarkStart w:id="241" w:name="_Toc376856274"/>
      <w:bookmarkStart w:id="242" w:name="_Toc376856318"/>
      <w:bookmarkStart w:id="243" w:name="_Toc376856511"/>
      <w:bookmarkStart w:id="244" w:name="_Toc380730113"/>
      <w:r>
        <w:rPr>
          <w:szCs w:val="22"/>
        </w:rPr>
        <w:t xml:space="preserve">Section </w:t>
      </w:r>
      <w:r w:rsidRPr="00D13C20">
        <w:t>2.10</w:t>
      </w:r>
      <w:r>
        <w:t>91</w:t>
      </w:r>
      <w:r w:rsidRPr="00D13C20">
        <w:t xml:space="preserve"> is amended by revising </w:t>
      </w:r>
      <w:r w:rsidR="00BB3BE8">
        <w:t xml:space="preserve">the introductory language of </w:t>
      </w:r>
      <w:r w:rsidRPr="00D13C20">
        <w:t>pa</w:t>
      </w:r>
      <w:r>
        <w:t xml:space="preserve">ragraph (c)(1) and </w:t>
      </w:r>
      <w:r w:rsidR="00FB1B50">
        <w:t>paragraph (c)</w:t>
      </w:r>
      <w:r>
        <w:t>(2)</w:t>
      </w:r>
      <w:r w:rsidRPr="00D13C20">
        <w:t xml:space="preserve"> to read as follow</w:t>
      </w:r>
      <w:r>
        <w:t xml:space="preserve">: </w:t>
      </w:r>
    </w:p>
    <w:p w:rsidR="008008AC" w:rsidRDefault="008008AC" w:rsidP="008008AC">
      <w:pPr>
        <w:spacing w:after="220"/>
        <w:rPr>
          <w:smallCaps/>
          <w:szCs w:val="22"/>
        </w:rPr>
      </w:pPr>
      <w:r w:rsidRPr="00D13C20">
        <w:rPr>
          <w:b/>
          <w:u w:val="single"/>
        </w:rPr>
        <w:t>§ 2.10</w:t>
      </w:r>
      <w:r>
        <w:rPr>
          <w:b/>
          <w:u w:val="single"/>
        </w:rPr>
        <w:t>91</w:t>
      </w:r>
      <w:r w:rsidRPr="00D13C20">
        <w:rPr>
          <w:b/>
          <w:color w:val="000000"/>
          <w:u w:val="single"/>
        </w:rPr>
        <w:t>  </w:t>
      </w:r>
      <w:r w:rsidRPr="00D13C20">
        <w:rPr>
          <w:b/>
          <w:u w:val="single"/>
        </w:rPr>
        <w:t> </w:t>
      </w:r>
      <w:r w:rsidRPr="007A49D1">
        <w:rPr>
          <w:b/>
          <w:u w:val="single"/>
        </w:rPr>
        <w:t>Radiofrequency radiation exposure evaluation: mobile devices</w:t>
      </w:r>
    </w:p>
    <w:p w:rsidR="008008AC" w:rsidRPr="00D13C20" w:rsidRDefault="008008AC" w:rsidP="008008AC">
      <w:pPr>
        <w:rPr>
          <w:szCs w:val="22"/>
        </w:rPr>
      </w:pPr>
      <w:r w:rsidRPr="00D13C20">
        <w:rPr>
          <w:szCs w:val="22"/>
        </w:rPr>
        <w:t>* * * * *</w:t>
      </w:r>
    </w:p>
    <w:p w:rsidR="008008AC" w:rsidRPr="00EF64C8" w:rsidRDefault="008008AC" w:rsidP="008008AC">
      <w:pPr>
        <w:spacing w:after="220"/>
        <w:rPr>
          <w:smallCaps/>
        </w:rPr>
      </w:pPr>
      <w:r w:rsidRPr="0024159E">
        <w:t>(c)(1) 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the Spe</w:t>
      </w:r>
      <w:r w:rsidRPr="007A49D1">
        <w:t>cialized Mobile Radio Service,</w:t>
      </w:r>
      <w:r w:rsidRPr="0024159E">
        <w:t xml:space="preserve"> the 3650 MHz Wireless Broadband Servic</w:t>
      </w:r>
      <w:r>
        <w:t xml:space="preserve">e </w:t>
      </w:r>
      <w:r w:rsidRPr="0024159E">
        <w:t>pursuant to part 90</w:t>
      </w:r>
      <w:r>
        <w:t xml:space="preserve"> of this chapter; and </w:t>
      </w:r>
      <w:r w:rsidRPr="00EF64C8">
        <w:t>the 76-81 GHz Radar Band Service pursuant to part 95 of th</w:t>
      </w:r>
      <w:r w:rsidRPr="0024159E">
        <w:t>is chapter are subject to routine environmental evaluation for RF exposure prior to equipment authorization or use if</w:t>
      </w:r>
      <w:r>
        <w:t xml:space="preserve">: </w:t>
      </w:r>
    </w:p>
    <w:p w:rsidR="008008AC" w:rsidRDefault="008008AC" w:rsidP="008008AC">
      <w:pPr>
        <w:spacing w:after="220"/>
      </w:pPr>
      <w:r>
        <w:t>(i) * * *</w:t>
      </w:r>
    </w:p>
    <w:p w:rsidR="008008AC" w:rsidRPr="0024159E" w:rsidRDefault="008008AC" w:rsidP="008008AC">
      <w:pPr>
        <w:spacing w:after="220"/>
      </w:pPr>
      <w:r>
        <w:t>(ii) * * *</w:t>
      </w:r>
    </w:p>
    <w:p w:rsidR="008008AC" w:rsidRDefault="008008AC" w:rsidP="008008AC">
      <w:pPr>
        <w:spacing w:after="220"/>
        <w:rPr>
          <w:smallCaps/>
          <w:szCs w:val="22"/>
        </w:rPr>
      </w:pPr>
      <w:r w:rsidRPr="0024159E">
        <w:t>(2) Unlicensed personal communications service devices, unlicensed millimeter wave devices and unlicensed NII devices authorized under §§</w:t>
      </w:r>
      <w:r>
        <w:t xml:space="preserve"> </w:t>
      </w:r>
      <w:r w:rsidRPr="0024159E">
        <w:t>15.255(g), 15.257(g), 15.319(i), and 15.407(f) of this chapter are also subject to routine environmental evaluation for RF exposure prior to equipment authorization or use if their ERP is 3 watts or more or if they meet the definition of a portable device as specified in §2.1093(b) requiring evaluation under the provisions of that section.</w:t>
      </w:r>
    </w:p>
    <w:p w:rsidR="008008AC" w:rsidRPr="00D13C20" w:rsidRDefault="008008AC" w:rsidP="0064463B">
      <w:pPr>
        <w:numPr>
          <w:ilvl w:val="0"/>
          <w:numId w:val="11"/>
        </w:numPr>
        <w:tabs>
          <w:tab w:val="left" w:pos="1080"/>
        </w:tabs>
        <w:spacing w:after="220"/>
        <w:ind w:left="0"/>
        <w:jc w:val="both"/>
        <w:rPr>
          <w:szCs w:val="22"/>
        </w:rPr>
      </w:pPr>
      <w:r w:rsidRPr="00D13C20">
        <w:t>Section 2.10</w:t>
      </w:r>
      <w:r>
        <w:t>93</w:t>
      </w:r>
      <w:r w:rsidRPr="00D13C20">
        <w:t xml:space="preserve"> is amended by revising pa</w:t>
      </w:r>
      <w:r>
        <w:t xml:space="preserve">ragraph (c)(1) </w:t>
      </w:r>
      <w:r w:rsidRPr="00D13C20">
        <w:t>to read as follow</w:t>
      </w:r>
      <w:r>
        <w:t>s</w:t>
      </w:r>
      <w:r w:rsidRPr="00D13C20">
        <w:rPr>
          <w:szCs w:val="22"/>
        </w:rPr>
        <w:t>:</w:t>
      </w:r>
    </w:p>
    <w:p w:rsidR="008008AC" w:rsidRDefault="008008AC" w:rsidP="008008AC">
      <w:pPr>
        <w:spacing w:after="220"/>
        <w:rPr>
          <w:smallCaps/>
          <w:szCs w:val="22"/>
        </w:rPr>
      </w:pPr>
      <w:r w:rsidRPr="00D13C20">
        <w:rPr>
          <w:b/>
          <w:u w:val="single"/>
        </w:rPr>
        <w:t>§ 2.10</w:t>
      </w:r>
      <w:r>
        <w:rPr>
          <w:b/>
          <w:u w:val="single"/>
        </w:rPr>
        <w:t>93</w:t>
      </w:r>
      <w:r w:rsidRPr="00D13C20">
        <w:rPr>
          <w:b/>
          <w:color w:val="000000"/>
          <w:u w:val="single"/>
        </w:rPr>
        <w:t>  </w:t>
      </w:r>
      <w:r w:rsidRPr="00D13C20">
        <w:rPr>
          <w:b/>
          <w:u w:val="single"/>
        </w:rPr>
        <w:t> </w:t>
      </w:r>
      <w:r w:rsidRPr="007A49D1">
        <w:rPr>
          <w:b/>
          <w:u w:val="single"/>
        </w:rPr>
        <w:t xml:space="preserve">Radiofrequency radiation exposure evaluation: </w:t>
      </w:r>
      <w:r>
        <w:rPr>
          <w:b/>
          <w:u w:val="single"/>
        </w:rPr>
        <w:t>portable</w:t>
      </w:r>
      <w:r w:rsidRPr="007A49D1">
        <w:rPr>
          <w:b/>
          <w:u w:val="single"/>
        </w:rPr>
        <w:t xml:space="preserve"> devices</w:t>
      </w:r>
      <w:r w:rsidRPr="00D13C20">
        <w:rPr>
          <w:b/>
        </w:rPr>
        <w:t>.</w:t>
      </w:r>
    </w:p>
    <w:p w:rsidR="008008AC" w:rsidRPr="00D13C20" w:rsidRDefault="008008AC" w:rsidP="008008AC">
      <w:pPr>
        <w:rPr>
          <w:szCs w:val="22"/>
        </w:rPr>
      </w:pPr>
      <w:r w:rsidRPr="00D13C20">
        <w:rPr>
          <w:szCs w:val="22"/>
        </w:rPr>
        <w:t>* * * * *</w:t>
      </w:r>
    </w:p>
    <w:p w:rsidR="008008AC" w:rsidRDefault="008008AC" w:rsidP="008008AC">
      <w:pPr>
        <w:spacing w:after="220"/>
        <w:rPr>
          <w:smallCaps/>
          <w:szCs w:val="22"/>
        </w:rPr>
      </w:pPr>
      <w:r w:rsidRPr="00047CFE">
        <w:t>(</w:t>
      </w:r>
      <w:r>
        <w:t xml:space="preserve">c)(1) 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the Specialized Mobile Radio Service, the 4.9 GHz Band Service, and the 3650 MHz Wireless Broadband Service pursuant to part 90 of this chapter; and the Wireless Medical Telemetry Service (WMTS), the Medical Device Radiocommunication Service (MedRadio), and </w:t>
      </w:r>
      <w:r w:rsidRPr="00EF64C8">
        <w:t>the 76-81 GHz Band Radar Service, pursuant to subparts H, I, and M of</w:t>
      </w:r>
      <w:r>
        <w:t xml:space="preserve"> part 95 of this chapter, respectively, and unlicensed personal communication service, unlicensed NII devices and millimeter wave devices authorized under §§ 15.255(g), 15.257(g), 15.319(i), and 15.407(f) of this chapter are subject to routine environmental evaluation for RF exposure prior to equipment authorization or use.</w:t>
      </w:r>
    </w:p>
    <w:p w:rsidR="008008AC" w:rsidRPr="00D13C20" w:rsidRDefault="008008AC" w:rsidP="008008AC">
      <w:pPr>
        <w:rPr>
          <w:szCs w:val="22"/>
        </w:rPr>
      </w:pPr>
      <w:r w:rsidRPr="00D13C20">
        <w:rPr>
          <w:szCs w:val="22"/>
        </w:rPr>
        <w:t>* * * * *</w:t>
      </w:r>
    </w:p>
    <w:p w:rsidR="008008AC" w:rsidRPr="00D13C20" w:rsidRDefault="008008AC" w:rsidP="008008AC">
      <w:pPr>
        <w:spacing w:after="220"/>
        <w:jc w:val="center"/>
        <w:rPr>
          <w:b/>
          <w:caps/>
          <w:szCs w:val="22"/>
        </w:rPr>
      </w:pPr>
      <w:r w:rsidRPr="00D13C20">
        <w:rPr>
          <w:b/>
          <w:caps/>
          <w:szCs w:val="22"/>
        </w:rPr>
        <w:t>Part 15 – RADIO FREQUENCY DEVICES</w:t>
      </w:r>
      <w:bookmarkEnd w:id="240"/>
      <w:bookmarkEnd w:id="241"/>
      <w:bookmarkEnd w:id="242"/>
      <w:bookmarkEnd w:id="243"/>
      <w:bookmarkEnd w:id="244"/>
    </w:p>
    <w:p w:rsidR="008008AC" w:rsidRPr="00D13C20" w:rsidRDefault="008008AC" w:rsidP="0064463B">
      <w:pPr>
        <w:numPr>
          <w:ilvl w:val="0"/>
          <w:numId w:val="11"/>
        </w:numPr>
        <w:tabs>
          <w:tab w:val="left" w:pos="1080"/>
        </w:tabs>
        <w:spacing w:after="220"/>
        <w:ind w:left="0"/>
        <w:jc w:val="both"/>
        <w:rPr>
          <w:szCs w:val="22"/>
        </w:rPr>
      </w:pPr>
      <w:bookmarkStart w:id="245" w:name="_Toc376856106"/>
      <w:bookmarkStart w:id="246" w:name="_Toc376856275"/>
      <w:bookmarkStart w:id="247" w:name="_Toc376856319"/>
      <w:bookmarkStart w:id="248" w:name="_Toc376856512"/>
      <w:bookmarkStart w:id="249" w:name="_Toc380730114"/>
      <w:r w:rsidRPr="00D13C20">
        <w:rPr>
          <w:szCs w:val="22"/>
        </w:rPr>
        <w:t>The authority citation for Part 15 continues to read as follows:</w:t>
      </w:r>
      <w:bookmarkEnd w:id="245"/>
      <w:bookmarkEnd w:id="246"/>
      <w:bookmarkEnd w:id="247"/>
      <w:bookmarkEnd w:id="248"/>
      <w:bookmarkEnd w:id="249"/>
    </w:p>
    <w:p w:rsidR="008008AC" w:rsidRPr="00D13C20" w:rsidRDefault="008008AC" w:rsidP="008008AC">
      <w:pPr>
        <w:spacing w:after="220"/>
        <w:rPr>
          <w:szCs w:val="22"/>
        </w:rPr>
      </w:pPr>
      <w:r w:rsidRPr="00152334">
        <w:rPr>
          <w:b/>
          <w:smallCaps/>
          <w:szCs w:val="22"/>
        </w:rPr>
        <w:t>A</w:t>
      </w:r>
      <w:r w:rsidRPr="00152334">
        <w:rPr>
          <w:b/>
          <w:szCs w:val="22"/>
        </w:rPr>
        <w:t>uthority:</w:t>
      </w:r>
      <w:r w:rsidRPr="00D13C20">
        <w:rPr>
          <w:szCs w:val="22"/>
        </w:rPr>
        <w:t xml:space="preserve">  47 U.S.C. 154, 302a, 303, 304, 307, 336</w:t>
      </w:r>
      <w:r w:rsidR="00D62EB4">
        <w:rPr>
          <w:szCs w:val="22"/>
        </w:rPr>
        <w:t>,</w:t>
      </w:r>
      <w:r w:rsidRPr="00D13C20">
        <w:rPr>
          <w:szCs w:val="22"/>
        </w:rPr>
        <w:t xml:space="preserve">  544a</w:t>
      </w:r>
      <w:r w:rsidR="003209A9">
        <w:rPr>
          <w:szCs w:val="22"/>
        </w:rPr>
        <w:t xml:space="preserve"> and 549</w:t>
      </w:r>
      <w:r w:rsidRPr="00D13C20">
        <w:rPr>
          <w:szCs w:val="22"/>
        </w:rPr>
        <w:t>.</w:t>
      </w:r>
      <w:bookmarkStart w:id="250" w:name="_Toc376856107"/>
      <w:bookmarkStart w:id="251" w:name="_Toc376856276"/>
      <w:bookmarkStart w:id="252" w:name="_Toc376856320"/>
      <w:bookmarkStart w:id="253" w:name="_Toc376856513"/>
      <w:bookmarkStart w:id="254" w:name="_Toc380730115"/>
    </w:p>
    <w:p w:rsidR="008008AC" w:rsidRPr="00D13C20" w:rsidRDefault="008008AC" w:rsidP="0064463B">
      <w:pPr>
        <w:numPr>
          <w:ilvl w:val="0"/>
          <w:numId w:val="11"/>
        </w:numPr>
        <w:tabs>
          <w:tab w:val="left" w:pos="1080"/>
        </w:tabs>
        <w:spacing w:after="220"/>
        <w:ind w:left="0"/>
        <w:jc w:val="both"/>
        <w:rPr>
          <w:szCs w:val="22"/>
        </w:rPr>
      </w:pPr>
      <w:r w:rsidRPr="00D13C20">
        <w:rPr>
          <w:szCs w:val="22"/>
        </w:rPr>
        <w:t>Section 15.37 is amended by adding paragraph</w:t>
      </w:r>
      <w:r>
        <w:rPr>
          <w:szCs w:val="22"/>
        </w:rPr>
        <w:t>s</w:t>
      </w:r>
      <w:r w:rsidRPr="00D13C20">
        <w:rPr>
          <w:szCs w:val="22"/>
        </w:rPr>
        <w:t xml:space="preserve"> (</w:t>
      </w:r>
      <w:r w:rsidR="006B2EAB">
        <w:rPr>
          <w:szCs w:val="22"/>
        </w:rPr>
        <w:t>i</w:t>
      </w:r>
      <w:r w:rsidRPr="00D13C20">
        <w:rPr>
          <w:szCs w:val="22"/>
        </w:rPr>
        <w:t>)</w:t>
      </w:r>
      <w:r>
        <w:rPr>
          <w:szCs w:val="22"/>
        </w:rPr>
        <w:t xml:space="preserve"> and (</w:t>
      </w:r>
      <w:r w:rsidR="006B2EAB">
        <w:rPr>
          <w:szCs w:val="22"/>
        </w:rPr>
        <w:t>j</w:t>
      </w:r>
      <w:r>
        <w:rPr>
          <w:szCs w:val="22"/>
        </w:rPr>
        <w:t>)</w:t>
      </w:r>
      <w:r w:rsidRPr="00D13C20">
        <w:rPr>
          <w:szCs w:val="22"/>
        </w:rPr>
        <w:t xml:space="preserve"> to read as follows:</w:t>
      </w:r>
      <w:bookmarkEnd w:id="250"/>
      <w:bookmarkEnd w:id="251"/>
      <w:bookmarkEnd w:id="252"/>
      <w:bookmarkEnd w:id="253"/>
      <w:bookmarkEnd w:id="254"/>
    </w:p>
    <w:p w:rsidR="008008AC" w:rsidRPr="00152334" w:rsidRDefault="008008AC" w:rsidP="008008AC">
      <w:pPr>
        <w:rPr>
          <w:b/>
          <w:szCs w:val="22"/>
          <w:u w:val="single"/>
        </w:rPr>
      </w:pPr>
      <w:r w:rsidRPr="00D70708">
        <w:rPr>
          <w:b/>
          <w:szCs w:val="22"/>
        </w:rPr>
        <w:t>§</w:t>
      </w:r>
      <w:r w:rsidRPr="00152334">
        <w:rPr>
          <w:b/>
          <w:szCs w:val="22"/>
          <w:u w:val="single"/>
        </w:rPr>
        <w:t>15.37   Transition provision for compliance with the rules.</w:t>
      </w:r>
    </w:p>
    <w:p w:rsidR="007C6108" w:rsidRPr="000A33D0" w:rsidRDefault="007C6108" w:rsidP="008008AC">
      <w:pPr>
        <w:rPr>
          <w:b/>
          <w:szCs w:val="22"/>
          <w:u w:val="single"/>
        </w:rPr>
      </w:pPr>
    </w:p>
    <w:p w:rsidR="008008AC" w:rsidRPr="00D13C20" w:rsidRDefault="008008AC" w:rsidP="008008AC">
      <w:pPr>
        <w:rPr>
          <w:szCs w:val="22"/>
        </w:rPr>
      </w:pPr>
      <w:r w:rsidRPr="00D13C20">
        <w:rPr>
          <w:szCs w:val="22"/>
        </w:rPr>
        <w:t>* * * * *</w:t>
      </w:r>
    </w:p>
    <w:p w:rsidR="008008AC" w:rsidRDefault="008008AC" w:rsidP="008008AC">
      <w:pPr>
        <w:ind w:firstLine="360"/>
        <w:rPr>
          <w:szCs w:val="22"/>
        </w:rPr>
      </w:pPr>
      <w:r w:rsidRPr="00D13C20">
        <w:rPr>
          <w:szCs w:val="22"/>
        </w:rPr>
        <w:t>(</w:t>
      </w:r>
      <w:r w:rsidR="006B2EAB">
        <w:rPr>
          <w:szCs w:val="22"/>
        </w:rPr>
        <w:t>i</w:t>
      </w:r>
      <w:r w:rsidRPr="00D13C20">
        <w:rPr>
          <w:szCs w:val="22"/>
        </w:rPr>
        <w:t xml:space="preserve">) Effective </w:t>
      </w:r>
      <w:r>
        <w:rPr>
          <w:szCs w:val="22"/>
        </w:rPr>
        <w:t>[</w:t>
      </w:r>
      <w:r w:rsidR="00335319">
        <w:rPr>
          <w:szCs w:val="22"/>
        </w:rPr>
        <w:t>INSERT DATE</w:t>
      </w:r>
      <w:r w:rsidR="00512EAC">
        <w:rPr>
          <w:szCs w:val="22"/>
        </w:rPr>
        <w:t xml:space="preserve"> 30 DAYS AFTER DATE</w:t>
      </w:r>
      <w:r w:rsidR="00335319">
        <w:rPr>
          <w:szCs w:val="22"/>
        </w:rPr>
        <w:t xml:space="preserve"> OF FEDERAL REGISTER PUBLICATION </w:t>
      </w:r>
      <w:r>
        <w:rPr>
          <w:szCs w:val="22"/>
        </w:rPr>
        <w:t>] the certification</w:t>
      </w:r>
      <w:r w:rsidRPr="00D13C20">
        <w:rPr>
          <w:szCs w:val="22"/>
        </w:rPr>
        <w:t xml:space="preserve"> </w:t>
      </w:r>
      <w:r>
        <w:rPr>
          <w:szCs w:val="22"/>
        </w:rPr>
        <w:t xml:space="preserve">of UWB vehicular radars that operate in the 22-29 GHz band will no longer be permitted.  </w:t>
      </w:r>
      <w:r w:rsidRPr="00D13C20">
        <w:rPr>
          <w:szCs w:val="22"/>
        </w:rPr>
        <w:t xml:space="preserve">Existing </w:t>
      </w:r>
      <w:r>
        <w:rPr>
          <w:szCs w:val="22"/>
        </w:rPr>
        <w:t>equipment</w:t>
      </w:r>
      <w:r w:rsidRPr="00D13C20">
        <w:rPr>
          <w:szCs w:val="22"/>
        </w:rPr>
        <w:t xml:space="preserve"> </w:t>
      </w:r>
      <w:r>
        <w:rPr>
          <w:szCs w:val="22"/>
        </w:rPr>
        <w:t>may continue to operate in accordance with their previous certification</w:t>
      </w:r>
      <w:r w:rsidRPr="00D13C20">
        <w:rPr>
          <w:szCs w:val="22"/>
        </w:rPr>
        <w:t>.</w:t>
      </w:r>
    </w:p>
    <w:p w:rsidR="007C6108" w:rsidRDefault="007C6108" w:rsidP="008008AC">
      <w:pPr>
        <w:ind w:firstLine="360"/>
        <w:rPr>
          <w:szCs w:val="22"/>
        </w:rPr>
      </w:pPr>
    </w:p>
    <w:p w:rsidR="007C6108" w:rsidRDefault="008008AC" w:rsidP="008008AC">
      <w:pPr>
        <w:ind w:firstLine="360"/>
        <w:rPr>
          <w:szCs w:val="22"/>
        </w:rPr>
      </w:pPr>
      <w:r>
        <w:rPr>
          <w:szCs w:val="22"/>
        </w:rPr>
        <w:t>(</w:t>
      </w:r>
      <w:r w:rsidR="006B2EAB">
        <w:rPr>
          <w:szCs w:val="22"/>
        </w:rPr>
        <w:t>j</w:t>
      </w:r>
      <w:r w:rsidRPr="00D13C20">
        <w:rPr>
          <w:szCs w:val="22"/>
        </w:rPr>
        <w:t xml:space="preserve">) Effective </w:t>
      </w:r>
      <w:r>
        <w:rPr>
          <w:szCs w:val="22"/>
        </w:rPr>
        <w:t>[</w:t>
      </w:r>
      <w:r w:rsidR="00335319">
        <w:rPr>
          <w:szCs w:val="22"/>
        </w:rPr>
        <w:t xml:space="preserve">INSERT DATE </w:t>
      </w:r>
      <w:r w:rsidR="000A33D0">
        <w:rPr>
          <w:szCs w:val="22"/>
        </w:rPr>
        <w:t xml:space="preserve">30 DAYS AFTER DATE </w:t>
      </w:r>
      <w:r w:rsidR="00335319">
        <w:rPr>
          <w:szCs w:val="22"/>
        </w:rPr>
        <w:t xml:space="preserve">OF FEDERAL REGISTER PUBLICATION </w:t>
      </w:r>
      <w:r>
        <w:rPr>
          <w:szCs w:val="22"/>
        </w:rPr>
        <w:t>] the certification of</w:t>
      </w:r>
      <w:r w:rsidRPr="00D13C20">
        <w:rPr>
          <w:szCs w:val="22"/>
        </w:rPr>
        <w:t xml:space="preserve"> field disturbance sensors </w:t>
      </w:r>
      <w:r>
        <w:rPr>
          <w:szCs w:val="22"/>
        </w:rPr>
        <w:t xml:space="preserve">that operate in the 16.2-17.7 GHz, 23.12-29.0 GHz, 46.7-46.9 GHz and 76.0-77.0 GHz bands will no longer be permitted.  </w:t>
      </w:r>
      <w:r w:rsidRPr="00D13C20">
        <w:rPr>
          <w:szCs w:val="22"/>
        </w:rPr>
        <w:t xml:space="preserve">Existing </w:t>
      </w:r>
      <w:r>
        <w:rPr>
          <w:szCs w:val="22"/>
        </w:rPr>
        <w:t>equipment</w:t>
      </w:r>
      <w:r w:rsidRPr="00D13C20">
        <w:rPr>
          <w:szCs w:val="22"/>
        </w:rPr>
        <w:t xml:space="preserve"> </w:t>
      </w:r>
      <w:r>
        <w:rPr>
          <w:szCs w:val="22"/>
        </w:rPr>
        <w:t>may continue to operate in accordance with their previous certification</w:t>
      </w:r>
      <w:r w:rsidRPr="00D13C20">
        <w:rPr>
          <w:szCs w:val="22"/>
        </w:rPr>
        <w:t>.</w:t>
      </w:r>
      <w:r>
        <w:rPr>
          <w:szCs w:val="22"/>
        </w:rPr>
        <w:t xml:space="preserve"> </w:t>
      </w:r>
    </w:p>
    <w:p w:rsidR="008008AC" w:rsidRDefault="008008AC" w:rsidP="008008AC">
      <w:pPr>
        <w:ind w:firstLine="360"/>
        <w:rPr>
          <w:szCs w:val="22"/>
        </w:rPr>
      </w:pPr>
      <w:r>
        <w:rPr>
          <w:szCs w:val="22"/>
        </w:rPr>
        <w:t xml:space="preserve"> </w:t>
      </w:r>
    </w:p>
    <w:p w:rsidR="008008AC" w:rsidRDefault="008008AC" w:rsidP="008008AC">
      <w:pPr>
        <w:rPr>
          <w:b/>
          <w:szCs w:val="22"/>
        </w:rPr>
      </w:pPr>
      <w:r w:rsidRPr="00D13C20">
        <w:rPr>
          <w:b/>
          <w:szCs w:val="22"/>
        </w:rPr>
        <w:t>* * * * *</w:t>
      </w:r>
    </w:p>
    <w:p w:rsidR="007C6108" w:rsidRDefault="007C6108" w:rsidP="008008AC">
      <w:pPr>
        <w:rPr>
          <w:b/>
          <w:szCs w:val="22"/>
        </w:rPr>
      </w:pPr>
    </w:p>
    <w:p w:rsidR="008008AC" w:rsidRDefault="008008AC" w:rsidP="0064463B">
      <w:pPr>
        <w:numPr>
          <w:ilvl w:val="0"/>
          <w:numId w:val="11"/>
        </w:numPr>
        <w:tabs>
          <w:tab w:val="left" w:pos="1080"/>
        </w:tabs>
        <w:spacing w:after="220"/>
        <w:ind w:left="0"/>
        <w:jc w:val="both"/>
        <w:rPr>
          <w:szCs w:val="22"/>
        </w:rPr>
      </w:pPr>
      <w:bookmarkStart w:id="255" w:name="_Toc376856108"/>
      <w:bookmarkStart w:id="256" w:name="_Toc376856277"/>
      <w:bookmarkStart w:id="257" w:name="_Toc376856321"/>
      <w:bookmarkStart w:id="258" w:name="_Toc376856514"/>
      <w:bookmarkStart w:id="259" w:name="_Toc380730116"/>
      <w:r w:rsidRPr="00D13C20">
        <w:rPr>
          <w:szCs w:val="22"/>
        </w:rPr>
        <w:t xml:space="preserve">Section 15.252 is amended by </w:t>
      </w:r>
      <w:r>
        <w:rPr>
          <w:szCs w:val="22"/>
        </w:rPr>
        <w:t>adding introductory text to read as follows</w:t>
      </w:r>
      <w:r w:rsidRPr="00D13C20">
        <w:rPr>
          <w:szCs w:val="22"/>
        </w:rPr>
        <w:t>:</w:t>
      </w:r>
      <w:bookmarkEnd w:id="255"/>
      <w:bookmarkEnd w:id="256"/>
      <w:bookmarkEnd w:id="257"/>
      <w:bookmarkEnd w:id="258"/>
      <w:bookmarkEnd w:id="259"/>
    </w:p>
    <w:p w:rsidR="008008AC" w:rsidRDefault="008008AC" w:rsidP="008008AC">
      <w:pPr>
        <w:rPr>
          <w:b/>
          <w:szCs w:val="22"/>
        </w:rPr>
      </w:pPr>
      <w:r w:rsidRPr="00D70708">
        <w:rPr>
          <w:b/>
          <w:szCs w:val="22"/>
        </w:rPr>
        <w:t>§</w:t>
      </w:r>
      <w:r w:rsidRPr="00152334">
        <w:rPr>
          <w:b/>
          <w:szCs w:val="22"/>
          <w:u w:val="single"/>
        </w:rPr>
        <w:t>15.252   Operation of wideband vehicular radar systems within the bands 16.2-17.7 GHz and 23.12-29.0 GHz</w:t>
      </w:r>
      <w:r w:rsidRPr="0071499C">
        <w:rPr>
          <w:b/>
          <w:szCs w:val="22"/>
        </w:rPr>
        <w:t>.</w:t>
      </w:r>
    </w:p>
    <w:p w:rsidR="007C6108" w:rsidRPr="0071499C" w:rsidRDefault="007C6108" w:rsidP="008008AC">
      <w:pPr>
        <w:rPr>
          <w:b/>
          <w:szCs w:val="22"/>
        </w:rPr>
      </w:pPr>
    </w:p>
    <w:p w:rsidR="008008AC" w:rsidRDefault="008008AC" w:rsidP="008008AC">
      <w:pPr>
        <w:ind w:firstLine="475"/>
        <w:rPr>
          <w:szCs w:val="22"/>
        </w:rPr>
      </w:pPr>
      <w:r w:rsidRPr="00D13C20">
        <w:rPr>
          <w:szCs w:val="22"/>
        </w:rPr>
        <w:t xml:space="preserve">Effective </w:t>
      </w:r>
      <w:r>
        <w:rPr>
          <w:szCs w:val="22"/>
        </w:rPr>
        <w:t>[</w:t>
      </w:r>
      <w:r w:rsidR="00335319">
        <w:rPr>
          <w:szCs w:val="22"/>
        </w:rPr>
        <w:t>INSERT DATE</w:t>
      </w:r>
      <w:r w:rsidR="000A33D0">
        <w:rPr>
          <w:szCs w:val="22"/>
        </w:rPr>
        <w:t xml:space="preserve"> 30 DAYS AFTER DATE</w:t>
      </w:r>
      <w:r w:rsidR="00335319">
        <w:rPr>
          <w:szCs w:val="22"/>
        </w:rPr>
        <w:t xml:space="preserve"> OF FEDERAL REGISTER PUBLICATION </w:t>
      </w:r>
      <w:r>
        <w:rPr>
          <w:szCs w:val="22"/>
        </w:rPr>
        <w:t>]</w:t>
      </w:r>
      <w:r w:rsidRPr="00D13C20">
        <w:rPr>
          <w:szCs w:val="22"/>
        </w:rPr>
        <w:t xml:space="preserve"> field disturbance sensors </w:t>
      </w:r>
      <w:r>
        <w:rPr>
          <w:szCs w:val="22"/>
        </w:rPr>
        <w:t xml:space="preserve">that operate in the 16.2-17.7 GHz and 23.12-29.0 GHz bands </w:t>
      </w:r>
      <w:r w:rsidRPr="00D13C20">
        <w:rPr>
          <w:szCs w:val="22"/>
        </w:rPr>
        <w:t xml:space="preserve">will no longer be certified.  </w:t>
      </w:r>
    </w:p>
    <w:p w:rsidR="007C6108" w:rsidRPr="00D13C20" w:rsidRDefault="007C6108" w:rsidP="008008AC">
      <w:pPr>
        <w:ind w:firstLine="475"/>
        <w:rPr>
          <w:szCs w:val="22"/>
        </w:rPr>
      </w:pPr>
    </w:p>
    <w:p w:rsidR="008008AC" w:rsidRPr="00D13C20" w:rsidRDefault="008008AC" w:rsidP="008008AC">
      <w:pPr>
        <w:spacing w:after="220"/>
        <w:rPr>
          <w:szCs w:val="22"/>
        </w:rPr>
      </w:pPr>
      <w:r w:rsidRPr="00D13C20">
        <w:rPr>
          <w:szCs w:val="22"/>
        </w:rPr>
        <w:t>* * * * *</w:t>
      </w:r>
    </w:p>
    <w:p w:rsidR="008008AC" w:rsidRPr="00D13C20" w:rsidRDefault="008008AC" w:rsidP="0064463B">
      <w:pPr>
        <w:numPr>
          <w:ilvl w:val="0"/>
          <w:numId w:val="11"/>
        </w:numPr>
        <w:tabs>
          <w:tab w:val="left" w:pos="1080"/>
        </w:tabs>
        <w:spacing w:after="220"/>
        <w:ind w:left="0"/>
        <w:jc w:val="both"/>
        <w:rPr>
          <w:szCs w:val="22"/>
        </w:rPr>
      </w:pPr>
      <w:r w:rsidRPr="00D13C20">
        <w:rPr>
          <w:szCs w:val="22"/>
        </w:rPr>
        <w:t xml:space="preserve">Section 15.253 is </w:t>
      </w:r>
      <w:r>
        <w:rPr>
          <w:szCs w:val="22"/>
        </w:rPr>
        <w:t>amended by adding introductory text to read as follows</w:t>
      </w:r>
      <w:r w:rsidRPr="00D13C20">
        <w:rPr>
          <w:szCs w:val="22"/>
        </w:rPr>
        <w:t>:</w:t>
      </w:r>
    </w:p>
    <w:p w:rsidR="008008AC" w:rsidRPr="00D70708" w:rsidRDefault="008008AC" w:rsidP="008008AC">
      <w:pPr>
        <w:spacing w:after="220"/>
        <w:rPr>
          <w:b/>
          <w:szCs w:val="22"/>
        </w:rPr>
      </w:pPr>
      <w:r w:rsidRPr="00D70708">
        <w:rPr>
          <w:b/>
          <w:szCs w:val="22"/>
        </w:rPr>
        <w:t>§</w:t>
      </w:r>
      <w:r w:rsidRPr="00152334">
        <w:rPr>
          <w:b/>
          <w:szCs w:val="22"/>
          <w:u w:val="single"/>
        </w:rPr>
        <w:t>15.253   Operation within the bands 46.7-46.9 GHz and 76.0-77.0 GHz</w:t>
      </w:r>
      <w:r>
        <w:rPr>
          <w:b/>
          <w:szCs w:val="22"/>
        </w:rPr>
        <w:t>.</w:t>
      </w:r>
    </w:p>
    <w:p w:rsidR="008008AC" w:rsidRDefault="008008AC" w:rsidP="008008AC">
      <w:pPr>
        <w:tabs>
          <w:tab w:val="left" w:pos="0"/>
        </w:tabs>
        <w:spacing w:after="220"/>
        <w:rPr>
          <w:szCs w:val="22"/>
        </w:rPr>
      </w:pPr>
      <w:bookmarkStart w:id="260" w:name="_Toc380730117"/>
      <w:bookmarkStart w:id="261" w:name="_Toc376856109"/>
      <w:bookmarkStart w:id="262" w:name="_Toc376856278"/>
      <w:bookmarkStart w:id="263" w:name="_Toc376856322"/>
      <w:bookmarkStart w:id="264" w:name="_Toc376856515"/>
      <w:r>
        <w:rPr>
          <w:szCs w:val="22"/>
        </w:rPr>
        <w:tab/>
      </w:r>
      <w:r w:rsidRPr="00D13C20">
        <w:rPr>
          <w:szCs w:val="22"/>
        </w:rPr>
        <w:t xml:space="preserve">Effective </w:t>
      </w:r>
      <w:r>
        <w:rPr>
          <w:szCs w:val="22"/>
        </w:rPr>
        <w:t>[</w:t>
      </w:r>
      <w:r w:rsidR="00335319">
        <w:rPr>
          <w:szCs w:val="22"/>
        </w:rPr>
        <w:t>INSERT</w:t>
      </w:r>
      <w:r w:rsidR="00335319" w:rsidRPr="00335319">
        <w:rPr>
          <w:szCs w:val="22"/>
        </w:rPr>
        <w:t xml:space="preserve"> </w:t>
      </w:r>
      <w:r w:rsidR="00335319">
        <w:rPr>
          <w:szCs w:val="22"/>
        </w:rPr>
        <w:t>DATE</w:t>
      </w:r>
      <w:r w:rsidR="000A33D0">
        <w:rPr>
          <w:szCs w:val="22"/>
        </w:rPr>
        <w:t xml:space="preserve"> 30 DAYS AFTER DATE</w:t>
      </w:r>
      <w:r w:rsidR="00335319">
        <w:rPr>
          <w:szCs w:val="22"/>
        </w:rPr>
        <w:t xml:space="preserve"> OF FEDERAL REGISTER PUBLICATION </w:t>
      </w:r>
      <w:r>
        <w:rPr>
          <w:szCs w:val="22"/>
        </w:rPr>
        <w:t>]</w:t>
      </w:r>
      <w:r w:rsidRPr="00D13C20">
        <w:rPr>
          <w:szCs w:val="22"/>
        </w:rPr>
        <w:t xml:space="preserve"> field disturbance sensors </w:t>
      </w:r>
      <w:r>
        <w:rPr>
          <w:szCs w:val="22"/>
        </w:rPr>
        <w:t xml:space="preserve">and fixed radars that operate in the 46.7-46.9 GHz and 76.0-77.0 GHz bands will no longer be certified.  </w:t>
      </w:r>
    </w:p>
    <w:p w:rsidR="008008AC" w:rsidRDefault="008008AC" w:rsidP="008008AC">
      <w:pPr>
        <w:tabs>
          <w:tab w:val="left" w:pos="0"/>
        </w:tabs>
        <w:spacing w:after="220"/>
        <w:rPr>
          <w:szCs w:val="22"/>
        </w:rPr>
      </w:pPr>
      <w:r w:rsidRPr="008B7D99">
        <w:rPr>
          <w:szCs w:val="22"/>
        </w:rPr>
        <w:t>* * * * *</w:t>
      </w:r>
    </w:p>
    <w:p w:rsidR="008008AC" w:rsidRDefault="008008AC" w:rsidP="0064463B">
      <w:pPr>
        <w:numPr>
          <w:ilvl w:val="0"/>
          <w:numId w:val="11"/>
        </w:numPr>
        <w:tabs>
          <w:tab w:val="left" w:pos="1080"/>
        </w:tabs>
        <w:spacing w:after="220"/>
        <w:ind w:left="0"/>
        <w:jc w:val="both"/>
        <w:rPr>
          <w:szCs w:val="22"/>
        </w:rPr>
      </w:pPr>
      <w:r>
        <w:rPr>
          <w:szCs w:val="22"/>
        </w:rPr>
        <w:t>Section</w:t>
      </w:r>
      <w:r w:rsidRPr="00D13C20">
        <w:rPr>
          <w:szCs w:val="22"/>
        </w:rPr>
        <w:t xml:space="preserve"> 15.</w:t>
      </w:r>
      <w:r>
        <w:rPr>
          <w:szCs w:val="22"/>
        </w:rPr>
        <w:t>515</w:t>
      </w:r>
      <w:r w:rsidRPr="00D13C20">
        <w:rPr>
          <w:szCs w:val="22"/>
        </w:rPr>
        <w:t xml:space="preserve"> is amended by </w:t>
      </w:r>
      <w:r>
        <w:rPr>
          <w:szCs w:val="22"/>
        </w:rPr>
        <w:t>adding introductory text</w:t>
      </w:r>
      <w:r w:rsidRPr="00D13C20">
        <w:rPr>
          <w:szCs w:val="22"/>
        </w:rPr>
        <w:t xml:space="preserve"> to read as follows:</w:t>
      </w:r>
    </w:p>
    <w:p w:rsidR="008008AC" w:rsidRPr="00152334" w:rsidRDefault="008008AC" w:rsidP="008008AC">
      <w:pPr>
        <w:rPr>
          <w:b/>
          <w:szCs w:val="22"/>
          <w:u w:val="single"/>
        </w:rPr>
      </w:pPr>
      <w:r>
        <w:rPr>
          <w:b/>
          <w:szCs w:val="22"/>
        </w:rPr>
        <w:t>§</w:t>
      </w:r>
      <w:r w:rsidRPr="00152334">
        <w:rPr>
          <w:b/>
          <w:szCs w:val="22"/>
          <w:u w:val="single"/>
        </w:rPr>
        <w:t>15.515   Technical requirements for vehicular radar systems.</w:t>
      </w:r>
    </w:p>
    <w:p w:rsidR="007C6108" w:rsidRPr="00152334" w:rsidRDefault="007C6108" w:rsidP="008008AC">
      <w:pPr>
        <w:rPr>
          <w:b/>
          <w:szCs w:val="22"/>
          <w:u w:val="single"/>
        </w:rPr>
      </w:pPr>
    </w:p>
    <w:p w:rsidR="008008AC" w:rsidRPr="00D70708" w:rsidRDefault="008008AC" w:rsidP="008008AC">
      <w:pPr>
        <w:spacing w:after="220"/>
        <w:ind w:firstLine="720"/>
        <w:rPr>
          <w:b/>
          <w:szCs w:val="22"/>
        </w:rPr>
      </w:pPr>
      <w:r w:rsidRPr="00D13C20">
        <w:rPr>
          <w:szCs w:val="22"/>
        </w:rPr>
        <w:t xml:space="preserve">Effective </w:t>
      </w:r>
      <w:r>
        <w:rPr>
          <w:szCs w:val="22"/>
        </w:rPr>
        <w:t>[</w:t>
      </w:r>
      <w:r w:rsidR="00335319">
        <w:rPr>
          <w:szCs w:val="22"/>
        </w:rPr>
        <w:t xml:space="preserve">INSERT DATE </w:t>
      </w:r>
      <w:r w:rsidR="000A33D0">
        <w:rPr>
          <w:szCs w:val="22"/>
        </w:rPr>
        <w:t xml:space="preserve">30 DAYS AFTER DATE </w:t>
      </w:r>
      <w:r w:rsidR="00335319">
        <w:rPr>
          <w:szCs w:val="22"/>
        </w:rPr>
        <w:t>OF FEDERAL REGISTER PUBLICATION</w:t>
      </w:r>
      <w:r>
        <w:rPr>
          <w:szCs w:val="22"/>
        </w:rPr>
        <w:t>]</w:t>
      </w:r>
      <w:r w:rsidRPr="00D13C20">
        <w:rPr>
          <w:szCs w:val="22"/>
        </w:rPr>
        <w:t xml:space="preserve"> </w:t>
      </w:r>
      <w:r>
        <w:rPr>
          <w:szCs w:val="22"/>
        </w:rPr>
        <w:t xml:space="preserve">UWB </w:t>
      </w:r>
      <w:r w:rsidRPr="00D13C20">
        <w:rPr>
          <w:szCs w:val="22"/>
        </w:rPr>
        <w:t xml:space="preserve">field disturbance sensors </w:t>
      </w:r>
      <w:r>
        <w:rPr>
          <w:szCs w:val="22"/>
        </w:rPr>
        <w:t xml:space="preserve">that operate in the 22-29 GHz band </w:t>
      </w:r>
      <w:r w:rsidRPr="00D13C20">
        <w:rPr>
          <w:szCs w:val="22"/>
        </w:rPr>
        <w:t xml:space="preserve">will no longer be certified.  </w:t>
      </w:r>
    </w:p>
    <w:p w:rsidR="008008AC" w:rsidRPr="00D13C20" w:rsidRDefault="008008AC" w:rsidP="008008AC">
      <w:pPr>
        <w:spacing w:after="220"/>
        <w:rPr>
          <w:szCs w:val="22"/>
        </w:rPr>
      </w:pPr>
      <w:r w:rsidRPr="00D13C20">
        <w:rPr>
          <w:szCs w:val="22"/>
        </w:rPr>
        <w:t>* * * * *</w:t>
      </w:r>
    </w:p>
    <w:p w:rsidR="008008AC" w:rsidRPr="00D13C20" w:rsidRDefault="008008AC" w:rsidP="008008AC">
      <w:pPr>
        <w:spacing w:after="220"/>
        <w:ind w:firstLine="475"/>
        <w:jc w:val="center"/>
        <w:rPr>
          <w:b/>
          <w:caps/>
          <w:szCs w:val="22"/>
        </w:rPr>
      </w:pPr>
      <w:r w:rsidRPr="00D13C20">
        <w:rPr>
          <w:b/>
          <w:caps/>
          <w:szCs w:val="22"/>
        </w:rPr>
        <w:t>PART 90-Private Land Mobile Radio Services</w:t>
      </w:r>
      <w:bookmarkStart w:id="265" w:name="_Toc380730118"/>
      <w:bookmarkEnd w:id="260"/>
    </w:p>
    <w:p w:rsidR="008008AC" w:rsidRPr="00D13C20" w:rsidRDefault="008008AC" w:rsidP="0064463B">
      <w:pPr>
        <w:numPr>
          <w:ilvl w:val="0"/>
          <w:numId w:val="11"/>
        </w:numPr>
        <w:tabs>
          <w:tab w:val="left" w:pos="1080"/>
        </w:tabs>
        <w:spacing w:after="220"/>
        <w:ind w:left="0"/>
        <w:jc w:val="both"/>
        <w:rPr>
          <w:szCs w:val="22"/>
        </w:rPr>
      </w:pPr>
      <w:r w:rsidRPr="00D13C20">
        <w:rPr>
          <w:szCs w:val="22"/>
        </w:rPr>
        <w:t>The authority citation for Part 90 continues to read as follows:</w:t>
      </w:r>
      <w:bookmarkEnd w:id="265"/>
    </w:p>
    <w:p w:rsidR="003209A9" w:rsidRPr="00152334" w:rsidRDefault="008008AC" w:rsidP="003209A9">
      <w:pPr>
        <w:pStyle w:val="auth"/>
        <w:rPr>
          <w:sz w:val="22"/>
          <w:szCs w:val="22"/>
        </w:rPr>
      </w:pPr>
      <w:r w:rsidRPr="00152334">
        <w:rPr>
          <w:b/>
          <w:bCs/>
          <w:smallCaps/>
          <w:color w:val="333333"/>
          <w:sz w:val="22"/>
          <w:szCs w:val="22"/>
          <w:shd w:val="clear" w:color="auto" w:fill="FFFFFF"/>
        </w:rPr>
        <w:t>A</w:t>
      </w:r>
      <w:r w:rsidRPr="00152334">
        <w:rPr>
          <w:rFonts w:ascii="Times New Roman Bold" w:hAnsi="Times New Roman Bold"/>
          <w:b/>
          <w:bCs/>
          <w:color w:val="333333"/>
          <w:sz w:val="22"/>
          <w:szCs w:val="22"/>
          <w:shd w:val="clear" w:color="auto" w:fill="FFFFFF"/>
        </w:rPr>
        <w:t>uthorit</w:t>
      </w:r>
      <w:r w:rsidR="006B2EAB">
        <w:rPr>
          <w:rFonts w:ascii="Times New Roman Bold" w:hAnsi="Times New Roman Bold"/>
          <w:b/>
          <w:bCs/>
          <w:color w:val="333333"/>
          <w:sz w:val="22"/>
          <w:szCs w:val="22"/>
          <w:shd w:val="clear" w:color="auto" w:fill="FFFFFF"/>
        </w:rPr>
        <w:t>y</w:t>
      </w:r>
      <w:r w:rsidRPr="00152334">
        <w:rPr>
          <w:b/>
          <w:bCs/>
          <w:smallCaps/>
          <w:color w:val="333333"/>
          <w:sz w:val="22"/>
          <w:szCs w:val="22"/>
          <w:shd w:val="clear" w:color="auto" w:fill="FFFFFF"/>
        </w:rPr>
        <w:t>:</w:t>
      </w:r>
      <w:r w:rsidRPr="00152334">
        <w:rPr>
          <w:bCs/>
          <w:color w:val="333333"/>
          <w:sz w:val="22"/>
          <w:szCs w:val="22"/>
          <w:shd w:val="clear" w:color="auto" w:fill="FFFFFF"/>
        </w:rPr>
        <w:t xml:space="preserve"> </w:t>
      </w:r>
      <w:r w:rsidR="003209A9" w:rsidRPr="00152334">
        <w:rPr>
          <w:bCs/>
          <w:color w:val="333333"/>
          <w:sz w:val="22"/>
          <w:szCs w:val="22"/>
          <w:shd w:val="clear" w:color="auto" w:fill="FFFFFF"/>
        </w:rPr>
        <w:t xml:space="preserve"> </w:t>
      </w:r>
      <w:r w:rsidR="003209A9" w:rsidRPr="00152334">
        <w:rPr>
          <w:sz w:val="22"/>
          <w:szCs w:val="22"/>
        </w:rPr>
        <w:t xml:space="preserve"> Sections 4(i), 11, 303(g), 303(r), and 332(c)(7) of the Communications Act of 1934, as amended, 47 U.S.C. 154(i), 161, 303(g), 303(r), and 332(c)(7), and Title VI of the Middle Class Tax Relief and Job Creation Act of 2012, Pub. L. 112-96, 126 Stat. 156. </w:t>
      </w:r>
    </w:p>
    <w:p w:rsidR="008008AC" w:rsidRDefault="008008AC" w:rsidP="00D76EF7">
      <w:pPr>
        <w:rPr>
          <w:szCs w:val="22"/>
        </w:rPr>
      </w:pPr>
      <w:bookmarkStart w:id="266" w:name="_Toc380730119"/>
      <w:r w:rsidRPr="00D13C20">
        <w:rPr>
          <w:szCs w:val="22"/>
        </w:rPr>
        <w:t>Section 90.103 is</w:t>
      </w:r>
      <w:r w:rsidR="00E1105A">
        <w:rPr>
          <w:szCs w:val="22"/>
        </w:rPr>
        <w:t xml:space="preserve"> amended by</w:t>
      </w:r>
      <w:r w:rsidRPr="00D13C20">
        <w:rPr>
          <w:szCs w:val="22"/>
        </w:rPr>
        <w:t xml:space="preserve"> revis</w:t>
      </w:r>
      <w:r w:rsidR="00E1105A">
        <w:rPr>
          <w:szCs w:val="22"/>
        </w:rPr>
        <w:t>ing</w:t>
      </w:r>
      <w:r w:rsidRPr="00D13C20">
        <w:rPr>
          <w:szCs w:val="22"/>
        </w:rPr>
        <w:t xml:space="preserve"> the table in paragraph (b) by deleting the entry at the end of the table, and</w:t>
      </w:r>
      <w:r w:rsidR="00E1105A">
        <w:rPr>
          <w:szCs w:val="22"/>
        </w:rPr>
        <w:t xml:space="preserve"> </w:t>
      </w:r>
      <w:r w:rsidR="006F57ED">
        <w:rPr>
          <w:szCs w:val="22"/>
        </w:rPr>
        <w:t>deleting</w:t>
      </w:r>
      <w:r w:rsidRPr="00D13C20">
        <w:rPr>
          <w:szCs w:val="22"/>
        </w:rPr>
        <w:t xml:space="preserve"> paragraph (c)(30) to read as follows:</w:t>
      </w:r>
      <w:bookmarkEnd w:id="266"/>
    </w:p>
    <w:p w:rsidR="00D76EF7" w:rsidRPr="00D13C20" w:rsidRDefault="00D76EF7" w:rsidP="00D76EF7">
      <w:pPr>
        <w:rPr>
          <w:bCs/>
          <w:color w:val="333333"/>
          <w:szCs w:val="22"/>
          <w:shd w:val="clear" w:color="auto" w:fill="FFFFFF"/>
        </w:rPr>
      </w:pPr>
    </w:p>
    <w:p w:rsidR="008008AC" w:rsidRDefault="008008AC" w:rsidP="008008AC">
      <w:pPr>
        <w:tabs>
          <w:tab w:val="left" w:pos="0"/>
          <w:tab w:val="left" w:pos="270"/>
          <w:tab w:val="left" w:pos="2160"/>
          <w:tab w:val="left" w:pos="4320"/>
        </w:tabs>
        <w:suppressAutoHyphens/>
        <w:rPr>
          <w:b/>
          <w:spacing w:val="-3"/>
          <w:szCs w:val="22"/>
        </w:rPr>
      </w:pPr>
      <w:r w:rsidRPr="00D70708">
        <w:rPr>
          <w:b/>
          <w:spacing w:val="-3"/>
          <w:szCs w:val="22"/>
        </w:rPr>
        <w:t>§ 90.103   Radiolocation Service</w:t>
      </w:r>
      <w:r w:rsidRPr="0071499C">
        <w:rPr>
          <w:b/>
          <w:spacing w:val="-3"/>
          <w:szCs w:val="22"/>
        </w:rPr>
        <w:t>.</w:t>
      </w:r>
    </w:p>
    <w:p w:rsidR="007C6108" w:rsidRPr="0071499C" w:rsidRDefault="007C6108" w:rsidP="008008AC">
      <w:pPr>
        <w:tabs>
          <w:tab w:val="left" w:pos="0"/>
          <w:tab w:val="left" w:pos="270"/>
          <w:tab w:val="left" w:pos="2160"/>
          <w:tab w:val="left" w:pos="4320"/>
        </w:tabs>
        <w:suppressAutoHyphens/>
        <w:rPr>
          <w:b/>
          <w:spacing w:val="-3"/>
          <w:szCs w:val="22"/>
        </w:rPr>
      </w:pPr>
    </w:p>
    <w:p w:rsidR="008008AC" w:rsidRDefault="008008AC" w:rsidP="008008AC">
      <w:pPr>
        <w:rPr>
          <w:szCs w:val="22"/>
        </w:rPr>
      </w:pPr>
      <w:r w:rsidRPr="00D13C20">
        <w:rPr>
          <w:szCs w:val="22"/>
        </w:rPr>
        <w:t>* * * * *</w:t>
      </w:r>
    </w:p>
    <w:p w:rsidR="007C6108" w:rsidRPr="00D13C20" w:rsidRDefault="007C6108" w:rsidP="008008AC">
      <w:pPr>
        <w:rPr>
          <w:szCs w:val="22"/>
        </w:rPr>
      </w:pPr>
    </w:p>
    <w:p w:rsidR="008008AC" w:rsidRDefault="008008AC" w:rsidP="008008AC">
      <w:pPr>
        <w:ind w:firstLine="360"/>
        <w:rPr>
          <w:szCs w:val="22"/>
        </w:rPr>
      </w:pPr>
      <w:r w:rsidRPr="00D13C20">
        <w:rPr>
          <w:szCs w:val="22"/>
        </w:rPr>
        <w:t>(b) * * *</w:t>
      </w:r>
    </w:p>
    <w:p w:rsidR="007C6108" w:rsidRPr="00D13C20" w:rsidRDefault="007C6108" w:rsidP="008008AC">
      <w:pPr>
        <w:ind w:firstLine="36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084"/>
      </w:tblGrid>
      <w:tr w:rsidR="008008AC" w:rsidRPr="00D13C20" w:rsidTr="00512EAC">
        <w:tc>
          <w:tcPr>
            <w:tcW w:w="9360" w:type="dxa"/>
            <w:gridSpan w:val="3"/>
            <w:tcBorders>
              <w:top w:val="nil"/>
              <w:left w:val="nil"/>
              <w:right w:val="nil"/>
            </w:tcBorders>
            <w:shd w:val="clear" w:color="auto" w:fill="auto"/>
          </w:tcPr>
          <w:p w:rsidR="008008AC" w:rsidRPr="00D13C20" w:rsidRDefault="008008AC" w:rsidP="00512EAC">
            <w:pPr>
              <w:jc w:val="center"/>
              <w:rPr>
                <w:smallCaps/>
                <w:szCs w:val="22"/>
              </w:rPr>
            </w:pPr>
            <w:r w:rsidRPr="00D13C20">
              <w:rPr>
                <w:smallCaps/>
                <w:szCs w:val="22"/>
              </w:rPr>
              <w:t>Radiolocation Service Frequency Table</w:t>
            </w:r>
          </w:p>
        </w:tc>
      </w:tr>
      <w:tr w:rsidR="008008AC" w:rsidRPr="00D13C20" w:rsidTr="00512EAC">
        <w:tc>
          <w:tcPr>
            <w:tcW w:w="3084" w:type="dxa"/>
            <w:tcBorders>
              <w:left w:val="nil"/>
            </w:tcBorders>
            <w:shd w:val="clear" w:color="auto" w:fill="auto"/>
            <w:vAlign w:val="center"/>
          </w:tcPr>
          <w:p w:rsidR="008008AC" w:rsidRPr="00D13C20" w:rsidRDefault="008008AC" w:rsidP="00512EAC">
            <w:pPr>
              <w:ind w:left="-108"/>
              <w:jc w:val="center"/>
              <w:rPr>
                <w:bCs/>
                <w:szCs w:val="22"/>
              </w:rPr>
            </w:pPr>
            <w:r w:rsidRPr="00D13C20">
              <w:rPr>
                <w:bCs/>
                <w:szCs w:val="22"/>
              </w:rPr>
              <w:t>Frequency or band</w:t>
            </w:r>
          </w:p>
        </w:tc>
        <w:tc>
          <w:tcPr>
            <w:tcW w:w="3192" w:type="dxa"/>
            <w:shd w:val="clear" w:color="auto" w:fill="auto"/>
            <w:vAlign w:val="center"/>
          </w:tcPr>
          <w:p w:rsidR="008008AC" w:rsidRPr="00D13C20" w:rsidRDefault="008008AC" w:rsidP="00512EAC">
            <w:pPr>
              <w:jc w:val="center"/>
              <w:rPr>
                <w:bCs/>
                <w:szCs w:val="22"/>
              </w:rPr>
            </w:pPr>
            <w:r w:rsidRPr="00D13C20">
              <w:rPr>
                <w:bCs/>
                <w:szCs w:val="22"/>
              </w:rPr>
              <w:t>Class of stations</w:t>
            </w:r>
          </w:p>
        </w:tc>
        <w:tc>
          <w:tcPr>
            <w:tcW w:w="3084" w:type="dxa"/>
            <w:tcBorders>
              <w:right w:val="nil"/>
            </w:tcBorders>
            <w:shd w:val="clear" w:color="auto" w:fill="auto"/>
            <w:vAlign w:val="center"/>
          </w:tcPr>
          <w:p w:rsidR="008008AC" w:rsidRPr="00D13C20" w:rsidRDefault="008008AC" w:rsidP="00512EAC">
            <w:pPr>
              <w:jc w:val="center"/>
              <w:rPr>
                <w:bCs/>
                <w:szCs w:val="22"/>
              </w:rPr>
            </w:pPr>
            <w:r w:rsidRPr="00D13C20">
              <w:rPr>
                <w:bCs/>
                <w:szCs w:val="22"/>
              </w:rPr>
              <w:t>Limitations</w:t>
            </w:r>
          </w:p>
        </w:tc>
      </w:tr>
      <w:tr w:rsidR="008008AC" w:rsidRPr="00D13C20" w:rsidTr="00512EAC">
        <w:tc>
          <w:tcPr>
            <w:tcW w:w="3084" w:type="dxa"/>
            <w:tcBorders>
              <w:left w:val="nil"/>
            </w:tcBorders>
            <w:shd w:val="clear" w:color="auto" w:fill="auto"/>
            <w:vAlign w:val="center"/>
          </w:tcPr>
          <w:p w:rsidR="008008AC" w:rsidRPr="00D13C20" w:rsidRDefault="008008AC" w:rsidP="00512EAC">
            <w:pPr>
              <w:ind w:left="-108"/>
              <w:rPr>
                <w:szCs w:val="22"/>
              </w:rPr>
            </w:pPr>
            <w:r w:rsidRPr="00D13C20">
              <w:rPr>
                <w:szCs w:val="22"/>
              </w:rPr>
              <w:t>* * *</w:t>
            </w:r>
          </w:p>
        </w:tc>
        <w:tc>
          <w:tcPr>
            <w:tcW w:w="3192" w:type="dxa"/>
            <w:shd w:val="clear" w:color="auto" w:fill="auto"/>
            <w:vAlign w:val="center"/>
          </w:tcPr>
          <w:p w:rsidR="008008AC" w:rsidRPr="00D13C20" w:rsidRDefault="008008AC" w:rsidP="00512EAC">
            <w:pPr>
              <w:rPr>
                <w:szCs w:val="22"/>
              </w:rPr>
            </w:pPr>
            <w:r w:rsidRPr="00D13C20">
              <w:rPr>
                <w:szCs w:val="22"/>
              </w:rPr>
              <w:t>* * *</w:t>
            </w:r>
          </w:p>
        </w:tc>
        <w:tc>
          <w:tcPr>
            <w:tcW w:w="3084" w:type="dxa"/>
            <w:tcBorders>
              <w:right w:val="nil"/>
            </w:tcBorders>
            <w:shd w:val="clear" w:color="auto" w:fill="auto"/>
            <w:vAlign w:val="center"/>
          </w:tcPr>
          <w:p w:rsidR="008008AC" w:rsidRPr="00D13C20" w:rsidRDefault="008008AC" w:rsidP="00512EAC">
            <w:pPr>
              <w:ind w:right="-90"/>
              <w:jc w:val="right"/>
              <w:rPr>
                <w:szCs w:val="22"/>
              </w:rPr>
            </w:pPr>
            <w:r w:rsidRPr="00D13C20">
              <w:rPr>
                <w:szCs w:val="22"/>
              </w:rPr>
              <w:t>* *</w:t>
            </w:r>
          </w:p>
        </w:tc>
      </w:tr>
      <w:tr w:rsidR="008008AC" w:rsidRPr="00D13C20" w:rsidTr="00512EAC">
        <w:tc>
          <w:tcPr>
            <w:tcW w:w="3084" w:type="dxa"/>
            <w:tcBorders>
              <w:left w:val="nil"/>
            </w:tcBorders>
            <w:shd w:val="clear" w:color="auto" w:fill="auto"/>
            <w:vAlign w:val="center"/>
          </w:tcPr>
          <w:p w:rsidR="008008AC" w:rsidRPr="00D13C20" w:rsidRDefault="008008AC" w:rsidP="00512EAC">
            <w:pPr>
              <w:ind w:left="-108"/>
              <w:rPr>
                <w:szCs w:val="22"/>
              </w:rPr>
            </w:pPr>
            <w:r w:rsidRPr="00D13C20">
              <w:rPr>
                <w:szCs w:val="22"/>
              </w:rPr>
              <w:t>33,400-36,000</w:t>
            </w:r>
          </w:p>
        </w:tc>
        <w:tc>
          <w:tcPr>
            <w:tcW w:w="3192" w:type="dxa"/>
            <w:shd w:val="clear" w:color="auto" w:fill="auto"/>
            <w:vAlign w:val="center"/>
          </w:tcPr>
          <w:p w:rsidR="008008AC" w:rsidRPr="00D13C20" w:rsidRDefault="008008AC" w:rsidP="00512EAC">
            <w:pPr>
              <w:rPr>
                <w:szCs w:val="22"/>
              </w:rPr>
            </w:pPr>
            <w:r w:rsidRPr="00D13C20">
              <w:rPr>
                <w:szCs w:val="22"/>
              </w:rPr>
              <w:t>……do</w:t>
            </w:r>
          </w:p>
        </w:tc>
        <w:tc>
          <w:tcPr>
            <w:tcW w:w="3084" w:type="dxa"/>
            <w:tcBorders>
              <w:right w:val="nil"/>
            </w:tcBorders>
            <w:shd w:val="clear" w:color="auto" w:fill="auto"/>
            <w:vAlign w:val="center"/>
          </w:tcPr>
          <w:p w:rsidR="008008AC" w:rsidRPr="00D13C20" w:rsidRDefault="008008AC" w:rsidP="00512EAC">
            <w:pPr>
              <w:ind w:right="-90"/>
              <w:jc w:val="right"/>
              <w:rPr>
                <w:szCs w:val="22"/>
              </w:rPr>
            </w:pPr>
            <w:r w:rsidRPr="00D13C20">
              <w:rPr>
                <w:szCs w:val="22"/>
              </w:rPr>
              <w:t>12</w:t>
            </w:r>
          </w:p>
        </w:tc>
      </w:tr>
    </w:tbl>
    <w:p w:rsidR="00667F52" w:rsidRDefault="00667F52" w:rsidP="008008AC">
      <w:pPr>
        <w:ind w:firstLine="360"/>
        <w:rPr>
          <w:szCs w:val="22"/>
        </w:rPr>
      </w:pPr>
    </w:p>
    <w:p w:rsidR="008008AC" w:rsidRPr="00D13C20" w:rsidRDefault="008008AC" w:rsidP="008008AC">
      <w:pPr>
        <w:spacing w:after="100"/>
        <w:rPr>
          <w:szCs w:val="22"/>
        </w:rPr>
      </w:pPr>
      <w:bookmarkStart w:id="267" w:name="_Toc380730120"/>
      <w:r w:rsidRPr="00D13C20">
        <w:rPr>
          <w:b/>
          <w:szCs w:val="22"/>
        </w:rPr>
        <w:t>* * * * *</w:t>
      </w:r>
    </w:p>
    <w:p w:rsidR="008008AC" w:rsidRPr="00D13C20" w:rsidRDefault="008008AC" w:rsidP="008008AC">
      <w:pPr>
        <w:spacing w:after="220"/>
        <w:jc w:val="center"/>
        <w:rPr>
          <w:b/>
          <w:szCs w:val="22"/>
        </w:rPr>
      </w:pPr>
      <w:r w:rsidRPr="00D13C20">
        <w:rPr>
          <w:b/>
          <w:szCs w:val="22"/>
        </w:rPr>
        <w:t>PART 95–PERSONAL RADIO SERVICES</w:t>
      </w:r>
      <w:bookmarkEnd w:id="261"/>
      <w:bookmarkEnd w:id="262"/>
      <w:bookmarkEnd w:id="263"/>
      <w:bookmarkEnd w:id="264"/>
      <w:bookmarkEnd w:id="267"/>
    </w:p>
    <w:p w:rsidR="008008AC" w:rsidRPr="00D13C20" w:rsidRDefault="008008AC" w:rsidP="0064463B">
      <w:pPr>
        <w:numPr>
          <w:ilvl w:val="0"/>
          <w:numId w:val="11"/>
        </w:numPr>
        <w:tabs>
          <w:tab w:val="left" w:pos="1080"/>
        </w:tabs>
        <w:spacing w:after="220"/>
        <w:ind w:left="0"/>
        <w:jc w:val="both"/>
        <w:rPr>
          <w:szCs w:val="22"/>
        </w:rPr>
      </w:pPr>
      <w:bookmarkStart w:id="268" w:name="_Toc376856110"/>
      <w:bookmarkStart w:id="269" w:name="_Toc376856279"/>
      <w:bookmarkStart w:id="270" w:name="_Toc376856323"/>
      <w:bookmarkStart w:id="271" w:name="_Toc376856516"/>
      <w:bookmarkStart w:id="272" w:name="_Toc380730121"/>
      <w:r w:rsidRPr="00D13C20">
        <w:rPr>
          <w:szCs w:val="22"/>
        </w:rPr>
        <w:t>The authority citation for Part 95 continues to read as follows:</w:t>
      </w:r>
      <w:bookmarkEnd w:id="268"/>
      <w:bookmarkEnd w:id="269"/>
      <w:bookmarkEnd w:id="270"/>
      <w:bookmarkEnd w:id="271"/>
      <w:bookmarkEnd w:id="272"/>
    </w:p>
    <w:p w:rsidR="008008AC" w:rsidRPr="00D13C20" w:rsidRDefault="008008AC" w:rsidP="008008AC">
      <w:pPr>
        <w:tabs>
          <w:tab w:val="left" w:pos="1080"/>
        </w:tabs>
        <w:spacing w:after="220"/>
        <w:ind w:firstLine="360"/>
        <w:rPr>
          <w:szCs w:val="22"/>
        </w:rPr>
      </w:pPr>
      <w:r w:rsidRPr="00152334">
        <w:rPr>
          <w:b/>
          <w:bCs/>
          <w:smallCaps/>
          <w:color w:val="333333"/>
          <w:szCs w:val="22"/>
          <w:shd w:val="clear" w:color="auto" w:fill="FFFFFF"/>
        </w:rPr>
        <w:t>A</w:t>
      </w:r>
      <w:r w:rsidRPr="00152334">
        <w:rPr>
          <w:b/>
          <w:bCs/>
          <w:color w:val="333333"/>
          <w:szCs w:val="22"/>
          <w:shd w:val="clear" w:color="auto" w:fill="FFFFFF"/>
        </w:rPr>
        <w:t>uthority</w:t>
      </w:r>
      <w:r w:rsidRPr="00D13C20">
        <w:rPr>
          <w:bCs/>
          <w:smallCaps/>
          <w:color w:val="333333"/>
          <w:szCs w:val="22"/>
          <w:shd w:val="clear" w:color="auto" w:fill="FFFFFF"/>
        </w:rPr>
        <w:t>:</w:t>
      </w:r>
      <w:r w:rsidR="003209A9" w:rsidRPr="003209A9">
        <w:rPr>
          <w:rFonts w:ascii="Arial" w:hAnsi="Arial" w:cs="Arial"/>
        </w:rPr>
        <w:t xml:space="preserve"> </w:t>
      </w:r>
      <w:r w:rsidR="003209A9" w:rsidRPr="00152334">
        <w:t>47 U.S.C. 154, 301, 302(a), 303, and 307(e).</w:t>
      </w:r>
      <w:r w:rsidR="003209A9">
        <w:rPr>
          <w:rFonts w:ascii="Arial" w:hAnsi="Arial" w:cs="Arial"/>
        </w:rPr>
        <w:t xml:space="preserve"> </w:t>
      </w:r>
      <w:r w:rsidRPr="00D13C20">
        <w:rPr>
          <w:bCs/>
          <w:smallCaps/>
          <w:color w:val="333333"/>
          <w:szCs w:val="22"/>
          <w:shd w:val="clear" w:color="auto" w:fill="FFFFFF"/>
        </w:rPr>
        <w:t xml:space="preserve"> </w:t>
      </w:r>
    </w:p>
    <w:p w:rsidR="008008AC" w:rsidRPr="00D13C20" w:rsidRDefault="008008AC" w:rsidP="008008AC">
      <w:pPr>
        <w:tabs>
          <w:tab w:val="left" w:pos="1260"/>
        </w:tabs>
        <w:spacing w:after="220"/>
        <w:rPr>
          <w:b/>
          <w:szCs w:val="22"/>
        </w:rPr>
      </w:pPr>
      <w:bookmarkStart w:id="273" w:name="_Toc376856519"/>
      <w:bookmarkStart w:id="274" w:name="_Toc380730124"/>
      <w:r w:rsidRPr="00D13C20">
        <w:rPr>
          <w:b/>
          <w:szCs w:val="22"/>
        </w:rPr>
        <w:t>Subpart D—Citizens Band (CB) Radio Service</w:t>
      </w:r>
    </w:p>
    <w:p w:rsidR="008008AC" w:rsidRPr="00D13C20" w:rsidRDefault="008008AC" w:rsidP="00667F52">
      <w:pPr>
        <w:numPr>
          <w:ilvl w:val="0"/>
          <w:numId w:val="11"/>
        </w:numPr>
        <w:tabs>
          <w:tab w:val="left" w:pos="1080"/>
        </w:tabs>
        <w:spacing w:after="220"/>
        <w:ind w:left="0"/>
        <w:jc w:val="both"/>
        <w:rPr>
          <w:szCs w:val="22"/>
        </w:rPr>
      </w:pPr>
      <w:r>
        <w:rPr>
          <w:szCs w:val="22"/>
        </w:rPr>
        <w:t>Section 95.401</w:t>
      </w:r>
      <w:r w:rsidRPr="00D13C20">
        <w:rPr>
          <w:szCs w:val="22"/>
        </w:rPr>
        <w:t xml:space="preserve"> is amended by adding </w:t>
      </w:r>
      <w:r w:rsidR="006A6286">
        <w:rPr>
          <w:szCs w:val="22"/>
        </w:rPr>
        <w:t>paragraph</w:t>
      </w:r>
      <w:r w:rsidRPr="00D13C20">
        <w:rPr>
          <w:szCs w:val="22"/>
        </w:rPr>
        <w:t xml:space="preserve"> (</w:t>
      </w:r>
      <w:r>
        <w:rPr>
          <w:szCs w:val="22"/>
        </w:rPr>
        <w:t xml:space="preserve">h) </w:t>
      </w:r>
      <w:r w:rsidRPr="00D13C20">
        <w:rPr>
          <w:szCs w:val="22"/>
        </w:rPr>
        <w:t>to read as follows:</w:t>
      </w:r>
    </w:p>
    <w:p w:rsidR="008008AC" w:rsidRDefault="008008AC" w:rsidP="008008AC">
      <w:pPr>
        <w:rPr>
          <w:b/>
          <w:szCs w:val="22"/>
        </w:rPr>
      </w:pPr>
      <w:r>
        <w:rPr>
          <w:b/>
          <w:szCs w:val="22"/>
        </w:rPr>
        <w:t xml:space="preserve">§ </w:t>
      </w:r>
      <w:r w:rsidRPr="00152334">
        <w:rPr>
          <w:b/>
          <w:szCs w:val="22"/>
          <w:u w:val="single"/>
        </w:rPr>
        <w:t>95.401   (CB Rule 1) What are the Citizens Band Radio Services</w:t>
      </w:r>
      <w:r>
        <w:rPr>
          <w:b/>
          <w:szCs w:val="22"/>
        </w:rPr>
        <w:t xml:space="preserve">? </w:t>
      </w:r>
    </w:p>
    <w:p w:rsidR="007C6108" w:rsidRPr="00D13C20" w:rsidRDefault="007C6108" w:rsidP="008008AC">
      <w:pPr>
        <w:rPr>
          <w:b/>
          <w:szCs w:val="22"/>
        </w:rPr>
      </w:pPr>
    </w:p>
    <w:p w:rsidR="008008AC" w:rsidRDefault="008008AC" w:rsidP="008008AC">
      <w:pPr>
        <w:rPr>
          <w:b/>
          <w:szCs w:val="22"/>
        </w:rPr>
      </w:pPr>
      <w:r w:rsidRPr="00D13C20">
        <w:rPr>
          <w:b/>
          <w:szCs w:val="22"/>
        </w:rPr>
        <w:t>* * * * *</w:t>
      </w:r>
    </w:p>
    <w:p w:rsidR="00667F52" w:rsidRPr="00D13C20" w:rsidRDefault="00667F52" w:rsidP="008008AC">
      <w:pPr>
        <w:rPr>
          <w:b/>
          <w:szCs w:val="22"/>
        </w:rPr>
      </w:pPr>
    </w:p>
    <w:p w:rsidR="008008AC" w:rsidRDefault="008008AC" w:rsidP="008008AC">
      <w:pPr>
        <w:rPr>
          <w:szCs w:val="22"/>
        </w:rPr>
      </w:pPr>
      <w:r w:rsidRPr="00D13C20">
        <w:rPr>
          <w:szCs w:val="22"/>
        </w:rPr>
        <w:t xml:space="preserve"> (</w:t>
      </w:r>
      <w:r>
        <w:rPr>
          <w:szCs w:val="22"/>
        </w:rPr>
        <w:t>h</w:t>
      </w:r>
      <w:r w:rsidRPr="00D13C20">
        <w:rPr>
          <w:szCs w:val="22"/>
        </w:rPr>
        <w:t>)</w:t>
      </w:r>
      <w:r w:rsidRPr="00F12954">
        <w:t xml:space="preserve"> </w:t>
      </w:r>
      <w:r w:rsidRPr="00F12954">
        <w:rPr>
          <w:szCs w:val="22"/>
        </w:rPr>
        <w:t>The 76-81 GHz Radar Service.  The rules for this service are contained in Subpart M of this part.  The 7</w:t>
      </w:r>
      <w:r>
        <w:rPr>
          <w:szCs w:val="22"/>
        </w:rPr>
        <w:t>6</w:t>
      </w:r>
      <w:r w:rsidRPr="00F12954">
        <w:rPr>
          <w:szCs w:val="22"/>
        </w:rPr>
        <w:t xml:space="preserve">-81 GHz Radar Service applications include, but are not limited to, vehicular radars and aircraft-mounted radars used for collision avoidance and other safety applications, as well as fixed radars used for foreign object </w:t>
      </w:r>
      <w:r>
        <w:rPr>
          <w:szCs w:val="22"/>
        </w:rPr>
        <w:t xml:space="preserve">debris </w:t>
      </w:r>
      <w:r w:rsidRPr="00F12954">
        <w:rPr>
          <w:szCs w:val="22"/>
        </w:rPr>
        <w:t>detection at airports and for other purposes.</w:t>
      </w:r>
    </w:p>
    <w:p w:rsidR="007C6108" w:rsidRPr="000500CA" w:rsidRDefault="007C6108" w:rsidP="008008AC">
      <w:pPr>
        <w:rPr>
          <w:b/>
          <w:szCs w:val="22"/>
        </w:rPr>
      </w:pPr>
    </w:p>
    <w:p w:rsidR="008008AC" w:rsidRDefault="008008AC" w:rsidP="008008AC">
      <w:pPr>
        <w:rPr>
          <w:b/>
          <w:szCs w:val="22"/>
        </w:rPr>
      </w:pPr>
      <w:bookmarkStart w:id="275" w:name="_Toc376856518"/>
      <w:bookmarkStart w:id="276" w:name="_Toc380730123"/>
      <w:r w:rsidRPr="00D13C20">
        <w:rPr>
          <w:b/>
          <w:szCs w:val="22"/>
        </w:rPr>
        <w:t>Subpart E―</w:t>
      </w:r>
      <w:bookmarkEnd w:id="275"/>
      <w:bookmarkEnd w:id="276"/>
      <w:r w:rsidRPr="00D13C20">
        <w:rPr>
          <w:b/>
          <w:szCs w:val="22"/>
        </w:rPr>
        <w:t>Technical Regulations</w:t>
      </w:r>
    </w:p>
    <w:p w:rsidR="00D76EF7" w:rsidRDefault="00D76EF7" w:rsidP="008008AC">
      <w:pPr>
        <w:rPr>
          <w:b/>
          <w:szCs w:val="22"/>
        </w:rPr>
      </w:pPr>
    </w:p>
    <w:p w:rsidR="008008AC" w:rsidRPr="00D76EF7" w:rsidRDefault="00D76EF7" w:rsidP="00D76EF7">
      <w:pPr>
        <w:numPr>
          <w:ilvl w:val="0"/>
          <w:numId w:val="11"/>
        </w:numPr>
        <w:tabs>
          <w:tab w:val="left" w:pos="1080"/>
        </w:tabs>
        <w:spacing w:after="220"/>
        <w:ind w:left="0"/>
        <w:jc w:val="both"/>
        <w:rPr>
          <w:szCs w:val="22"/>
        </w:rPr>
      </w:pPr>
      <w:r w:rsidRPr="00D13C20">
        <w:rPr>
          <w:szCs w:val="22"/>
        </w:rPr>
        <w:t>Section 95.60</w:t>
      </w:r>
      <w:r>
        <w:rPr>
          <w:szCs w:val="22"/>
        </w:rPr>
        <w:t>1</w:t>
      </w:r>
      <w:r w:rsidRPr="00D13C20">
        <w:rPr>
          <w:szCs w:val="22"/>
        </w:rPr>
        <w:t xml:space="preserve"> is amended to read as follows:</w:t>
      </w:r>
    </w:p>
    <w:p w:rsidR="008008AC" w:rsidRDefault="008008AC" w:rsidP="008008AC">
      <w:pPr>
        <w:rPr>
          <w:b/>
          <w:szCs w:val="22"/>
        </w:rPr>
      </w:pPr>
      <w:r w:rsidRPr="00D13C20">
        <w:rPr>
          <w:b/>
          <w:szCs w:val="22"/>
        </w:rPr>
        <w:t xml:space="preserve">§ </w:t>
      </w:r>
      <w:r w:rsidRPr="00152334">
        <w:rPr>
          <w:b/>
          <w:szCs w:val="22"/>
          <w:u w:val="single"/>
        </w:rPr>
        <w:t>95.601 Basis and Purpose</w:t>
      </w:r>
      <w:r>
        <w:rPr>
          <w:b/>
          <w:szCs w:val="22"/>
        </w:rPr>
        <w:t>.</w:t>
      </w:r>
    </w:p>
    <w:p w:rsidR="00D76EF7" w:rsidRDefault="00D76EF7" w:rsidP="008008AC">
      <w:pPr>
        <w:rPr>
          <w:b/>
          <w:szCs w:val="22"/>
        </w:rPr>
      </w:pPr>
    </w:p>
    <w:p w:rsidR="008008AC" w:rsidRDefault="008008AC" w:rsidP="00152334">
      <w:pPr>
        <w:ind w:firstLine="720"/>
        <w:rPr>
          <w:color w:val="000000"/>
          <w:shd w:val="clear" w:color="auto" w:fill="FFFFFF"/>
        </w:rPr>
      </w:pPr>
      <w:r w:rsidRPr="00DA304D">
        <w:rPr>
          <w:color w:val="000000"/>
          <w:szCs w:val="22"/>
          <w:shd w:val="clear" w:color="auto" w:fill="FFFFFF"/>
        </w:rPr>
        <w:t>This section provides the technical standards to which each transmitter (apparatus that converts electrical energy received from a source into RF (radio frequency) energy capable of being radiated) used or intended to be used in a station authorized in any of the Personal Radio Services must comply. This section also provides requirements for obtaining certification for such transmitters. The Personal Radio Services are the GMRS (General Mobile Radio Service)—subpart A, the Family Radio Service (FRS)—subpart B, the R/C (Radio Control Radio Service)—subpart C, the CB (Citizens Band Radio Service)—subpart D, the Low Power Radio Service (LPRS)—subpart G, the Wireless Medical Telemetry Service (WMTS)—subpart H, the Medical Device Radiocommunication Service (MedRadio)—subpart I, the Multi-Use Radio Service (MURS)—subpart J, Dedicated Short-Range Communications Service On-Board Units (DSRCS-OBUs)—subpart L</w:t>
      </w:r>
      <w:r>
        <w:rPr>
          <w:color w:val="000000"/>
          <w:shd w:val="clear" w:color="auto" w:fill="FFFFFF"/>
        </w:rPr>
        <w:t>, and the 76-81 GHz Radar Service</w:t>
      </w:r>
      <w:r w:rsidRPr="00DA304D">
        <w:rPr>
          <w:color w:val="000000"/>
          <w:szCs w:val="22"/>
          <w:shd w:val="clear" w:color="auto" w:fill="FFFFFF"/>
        </w:rPr>
        <w:t>—subpart</w:t>
      </w:r>
      <w:r>
        <w:rPr>
          <w:color w:val="000000"/>
          <w:shd w:val="clear" w:color="auto" w:fill="FFFFFF"/>
        </w:rPr>
        <w:t xml:space="preserve"> M.</w:t>
      </w:r>
    </w:p>
    <w:p w:rsidR="00667F52" w:rsidRDefault="00667F52" w:rsidP="008008AC">
      <w:pPr>
        <w:rPr>
          <w:color w:val="000000"/>
          <w:shd w:val="clear" w:color="auto" w:fill="FFFFFF"/>
        </w:rPr>
      </w:pPr>
    </w:p>
    <w:p w:rsidR="008008AC" w:rsidRPr="00D13C20" w:rsidRDefault="008008AC" w:rsidP="008008AC">
      <w:pPr>
        <w:rPr>
          <w:szCs w:val="22"/>
        </w:rPr>
      </w:pPr>
    </w:p>
    <w:p w:rsidR="008008AC" w:rsidRPr="00D13C20" w:rsidRDefault="008008AC" w:rsidP="009A5851">
      <w:pPr>
        <w:numPr>
          <w:ilvl w:val="0"/>
          <w:numId w:val="11"/>
        </w:numPr>
        <w:spacing w:after="220"/>
        <w:ind w:left="0"/>
        <w:jc w:val="both"/>
        <w:rPr>
          <w:szCs w:val="22"/>
        </w:rPr>
      </w:pPr>
      <w:r w:rsidRPr="00D13C20">
        <w:rPr>
          <w:szCs w:val="22"/>
        </w:rPr>
        <w:t xml:space="preserve">Section 95.603 is amended by adding </w:t>
      </w:r>
      <w:r w:rsidR="00667F52">
        <w:rPr>
          <w:szCs w:val="22"/>
        </w:rPr>
        <w:t>paragraph</w:t>
      </w:r>
      <w:r w:rsidRPr="00D13C20">
        <w:rPr>
          <w:szCs w:val="22"/>
        </w:rPr>
        <w:t xml:space="preserve"> (i) to read as follows:</w:t>
      </w:r>
    </w:p>
    <w:p w:rsidR="008008AC" w:rsidRPr="00152334" w:rsidRDefault="008008AC" w:rsidP="008008AC">
      <w:pPr>
        <w:rPr>
          <w:b/>
          <w:szCs w:val="22"/>
          <w:u w:val="single"/>
        </w:rPr>
      </w:pPr>
      <w:r w:rsidRPr="00152334">
        <w:rPr>
          <w:b/>
          <w:szCs w:val="22"/>
          <w:u w:val="single"/>
        </w:rPr>
        <w:t>§ 95.603 Certification required</w:t>
      </w:r>
      <w:r w:rsidR="00667F52" w:rsidRPr="00152334">
        <w:rPr>
          <w:b/>
          <w:szCs w:val="22"/>
          <w:u w:val="single"/>
        </w:rPr>
        <w:t>.</w:t>
      </w:r>
    </w:p>
    <w:p w:rsidR="00667F52" w:rsidRPr="00152334" w:rsidRDefault="00667F52" w:rsidP="008008AC">
      <w:pPr>
        <w:rPr>
          <w:b/>
          <w:szCs w:val="22"/>
          <w:u w:val="single"/>
        </w:rPr>
      </w:pPr>
    </w:p>
    <w:p w:rsidR="008008AC" w:rsidRDefault="008008AC" w:rsidP="008008AC">
      <w:pPr>
        <w:rPr>
          <w:szCs w:val="22"/>
        </w:rPr>
      </w:pPr>
      <w:r w:rsidRPr="00D13C20">
        <w:rPr>
          <w:szCs w:val="22"/>
        </w:rPr>
        <w:t>* * * * *</w:t>
      </w:r>
    </w:p>
    <w:p w:rsidR="00667F52" w:rsidRPr="00D13C20" w:rsidRDefault="00667F52" w:rsidP="008008AC">
      <w:pPr>
        <w:rPr>
          <w:szCs w:val="22"/>
        </w:rPr>
      </w:pPr>
    </w:p>
    <w:p w:rsidR="008008AC" w:rsidRDefault="008008AC" w:rsidP="008008AC">
      <w:pPr>
        <w:rPr>
          <w:szCs w:val="22"/>
        </w:rPr>
      </w:pPr>
      <w:r w:rsidRPr="00D13C20">
        <w:rPr>
          <w:szCs w:val="22"/>
        </w:rPr>
        <w:t xml:space="preserve">(i) </w:t>
      </w:r>
      <w:r>
        <w:rPr>
          <w:szCs w:val="22"/>
        </w:rPr>
        <w:t xml:space="preserve">Each </w:t>
      </w:r>
      <w:r w:rsidRPr="00F12954">
        <w:rPr>
          <w:szCs w:val="22"/>
        </w:rPr>
        <w:t>76-81 GHz Radar Service</w:t>
      </w:r>
      <w:r>
        <w:rPr>
          <w:szCs w:val="22"/>
        </w:rPr>
        <w:t xml:space="preserve"> transmitter must be </w:t>
      </w:r>
      <w:r w:rsidRPr="00D13C20">
        <w:rPr>
          <w:szCs w:val="22"/>
        </w:rPr>
        <w:t>certified</w:t>
      </w:r>
      <w:r>
        <w:rPr>
          <w:szCs w:val="22"/>
        </w:rPr>
        <w:t xml:space="preserve">. </w:t>
      </w:r>
    </w:p>
    <w:p w:rsidR="00667F52" w:rsidRPr="00D13C20" w:rsidRDefault="00667F52" w:rsidP="008008AC">
      <w:pPr>
        <w:rPr>
          <w:szCs w:val="22"/>
        </w:rPr>
      </w:pPr>
    </w:p>
    <w:p w:rsidR="008008AC" w:rsidRDefault="008008AC" w:rsidP="008008AC">
      <w:pPr>
        <w:rPr>
          <w:szCs w:val="22"/>
        </w:rPr>
      </w:pPr>
    </w:p>
    <w:p w:rsidR="00667F52" w:rsidRPr="00D13C20" w:rsidRDefault="00667F52" w:rsidP="008008AC">
      <w:pPr>
        <w:rPr>
          <w:szCs w:val="22"/>
        </w:rPr>
      </w:pPr>
    </w:p>
    <w:p w:rsidR="008008AC" w:rsidRPr="00D13C20" w:rsidRDefault="008008AC" w:rsidP="009A5851">
      <w:pPr>
        <w:numPr>
          <w:ilvl w:val="0"/>
          <w:numId w:val="11"/>
        </w:numPr>
        <w:spacing w:after="220"/>
        <w:ind w:left="0"/>
        <w:jc w:val="both"/>
        <w:rPr>
          <w:szCs w:val="22"/>
        </w:rPr>
      </w:pPr>
      <w:r w:rsidRPr="00D13C20">
        <w:rPr>
          <w:szCs w:val="22"/>
        </w:rPr>
        <w:t>Section 95.605 is amended to read as follows:</w:t>
      </w:r>
    </w:p>
    <w:p w:rsidR="008008AC" w:rsidRPr="00152334" w:rsidRDefault="008008AC" w:rsidP="008008AC">
      <w:pPr>
        <w:rPr>
          <w:b/>
          <w:szCs w:val="22"/>
          <w:u w:val="single"/>
        </w:rPr>
      </w:pPr>
      <w:r w:rsidRPr="00D13C20">
        <w:rPr>
          <w:b/>
          <w:szCs w:val="22"/>
        </w:rPr>
        <w:t xml:space="preserve">§ </w:t>
      </w:r>
      <w:r w:rsidRPr="00152334">
        <w:rPr>
          <w:b/>
          <w:szCs w:val="22"/>
          <w:u w:val="single"/>
        </w:rPr>
        <w:t>95.605 Certification procedures</w:t>
      </w:r>
      <w:r w:rsidR="00667F52" w:rsidRPr="00152334">
        <w:rPr>
          <w:b/>
          <w:szCs w:val="22"/>
          <w:u w:val="single"/>
        </w:rPr>
        <w:t>.</w:t>
      </w:r>
    </w:p>
    <w:p w:rsidR="00667F52" w:rsidRPr="00152334" w:rsidRDefault="00667F52" w:rsidP="008008AC">
      <w:pPr>
        <w:rPr>
          <w:b/>
          <w:szCs w:val="22"/>
          <w:u w:val="single"/>
        </w:rPr>
      </w:pPr>
    </w:p>
    <w:p w:rsidR="00667F52" w:rsidRPr="00D13C20" w:rsidRDefault="00667F52" w:rsidP="008008AC">
      <w:pPr>
        <w:rPr>
          <w:color w:val="000000"/>
          <w:szCs w:val="22"/>
          <w:shd w:val="clear" w:color="auto" w:fill="FFFFFF"/>
        </w:rPr>
      </w:pPr>
    </w:p>
    <w:p w:rsidR="008008AC" w:rsidRPr="00D13C20" w:rsidRDefault="008008AC" w:rsidP="008008AC">
      <w:pPr>
        <w:rPr>
          <w:szCs w:val="22"/>
        </w:rPr>
      </w:pPr>
      <w:r w:rsidRPr="00D13C20">
        <w:rPr>
          <w:color w:val="000000"/>
          <w:szCs w:val="22"/>
          <w:shd w:val="clear" w:color="auto" w:fill="FFFFFF"/>
        </w:rPr>
        <w:t xml:space="preserve">Any entity may request certification for its transmitter when the transmitter is used in the GMRS, FRS, R/C, CB, 218-219 MHz Service, LPRS, MURS, or MedRadio Service following the procedures in part 2 of this chapter.  Dedicated Short-Range Communications Service On-Board Units (DSRCS-OBUs) must be certified in accordance with subpart L of this part and subpart J of part 2 of this chapter.  </w:t>
      </w:r>
      <w:r w:rsidR="009F4492">
        <w:rPr>
          <w:color w:val="000000"/>
          <w:szCs w:val="22"/>
          <w:shd w:val="clear" w:color="auto" w:fill="FFFFFF"/>
        </w:rPr>
        <w:t xml:space="preserve">The </w:t>
      </w:r>
      <w:r w:rsidRPr="00F12954">
        <w:rPr>
          <w:szCs w:val="22"/>
        </w:rPr>
        <w:t>76-81 GHz Radar Service</w:t>
      </w:r>
      <w:r>
        <w:rPr>
          <w:szCs w:val="22"/>
        </w:rPr>
        <w:t xml:space="preserve"> transmitters </w:t>
      </w:r>
      <w:r w:rsidRPr="00D13C20">
        <w:rPr>
          <w:szCs w:val="22"/>
        </w:rPr>
        <w:t xml:space="preserve">must be certified in accordance with subpart M of this part and subpart J of </w:t>
      </w:r>
      <w:r>
        <w:rPr>
          <w:szCs w:val="22"/>
        </w:rPr>
        <w:t xml:space="preserve">Part 2 of </w:t>
      </w:r>
      <w:r w:rsidRPr="00D13C20">
        <w:rPr>
          <w:szCs w:val="22"/>
        </w:rPr>
        <w:t xml:space="preserve">this chapter. </w:t>
      </w:r>
    </w:p>
    <w:p w:rsidR="00667F52" w:rsidRDefault="00667F52" w:rsidP="008008AC">
      <w:pPr>
        <w:rPr>
          <w:szCs w:val="22"/>
        </w:rPr>
      </w:pPr>
    </w:p>
    <w:p w:rsidR="00667F52" w:rsidRDefault="00667F52" w:rsidP="008008AC">
      <w:pPr>
        <w:rPr>
          <w:szCs w:val="22"/>
        </w:rPr>
      </w:pPr>
    </w:p>
    <w:p w:rsidR="008008AC" w:rsidRPr="00D13C20" w:rsidRDefault="008008AC" w:rsidP="009A5851">
      <w:pPr>
        <w:numPr>
          <w:ilvl w:val="0"/>
          <w:numId w:val="11"/>
        </w:numPr>
        <w:spacing w:after="220"/>
        <w:ind w:left="0"/>
        <w:jc w:val="both"/>
        <w:rPr>
          <w:szCs w:val="22"/>
        </w:rPr>
      </w:pPr>
      <w:r w:rsidRPr="00D13C20">
        <w:rPr>
          <w:szCs w:val="22"/>
        </w:rPr>
        <w:t>Section 95.6</w:t>
      </w:r>
      <w:r>
        <w:rPr>
          <w:szCs w:val="22"/>
        </w:rPr>
        <w:t>24</w:t>
      </w:r>
      <w:r w:rsidRPr="00D13C20">
        <w:rPr>
          <w:szCs w:val="22"/>
        </w:rPr>
        <w:t xml:space="preserve"> is </w:t>
      </w:r>
      <w:r>
        <w:rPr>
          <w:szCs w:val="22"/>
        </w:rPr>
        <w:t xml:space="preserve">added to </w:t>
      </w:r>
      <w:r w:rsidRPr="00D13C20">
        <w:rPr>
          <w:szCs w:val="22"/>
        </w:rPr>
        <w:t>read as follows:</w:t>
      </w:r>
    </w:p>
    <w:p w:rsidR="008008AC" w:rsidRPr="00152334" w:rsidRDefault="008008AC" w:rsidP="008008AC">
      <w:pPr>
        <w:rPr>
          <w:b/>
          <w:szCs w:val="22"/>
          <w:u w:val="single"/>
        </w:rPr>
      </w:pPr>
      <w:r w:rsidRPr="00152334">
        <w:rPr>
          <w:b/>
          <w:szCs w:val="22"/>
          <w:u w:val="single"/>
        </w:rPr>
        <w:t>§ 95.624 76-81 GHz Radar Service frequencies.</w:t>
      </w:r>
    </w:p>
    <w:p w:rsidR="00667F52" w:rsidRPr="00152334" w:rsidRDefault="00667F52" w:rsidP="008008AC">
      <w:pPr>
        <w:rPr>
          <w:b/>
          <w:szCs w:val="22"/>
          <w:u w:val="single"/>
        </w:rPr>
      </w:pPr>
    </w:p>
    <w:p w:rsidR="00667F52" w:rsidRDefault="00667F52" w:rsidP="008008AC">
      <w:pPr>
        <w:rPr>
          <w:szCs w:val="22"/>
        </w:rPr>
      </w:pPr>
    </w:p>
    <w:p w:rsidR="00667F52" w:rsidRDefault="008008AC" w:rsidP="008008AC">
      <w:pPr>
        <w:rPr>
          <w:szCs w:val="22"/>
        </w:rPr>
      </w:pPr>
      <w:r>
        <w:rPr>
          <w:szCs w:val="22"/>
        </w:rPr>
        <w:t>Transmitters in the 76-81 GHz Radar Service may operate within the 76-81 GHz frequency band.  Specific frequency and bandwidth limitations are specified in subpart M of this part.</w:t>
      </w:r>
    </w:p>
    <w:p w:rsidR="008008AC" w:rsidRPr="00D13C20" w:rsidRDefault="008008AC" w:rsidP="008008AC">
      <w:pPr>
        <w:rPr>
          <w:szCs w:val="22"/>
        </w:rPr>
      </w:pPr>
      <w:r>
        <w:rPr>
          <w:szCs w:val="22"/>
        </w:rPr>
        <w:t xml:space="preserve">  </w:t>
      </w:r>
    </w:p>
    <w:p w:rsidR="00667F52" w:rsidRPr="00D13C20" w:rsidRDefault="00667F52" w:rsidP="008008AC">
      <w:pPr>
        <w:rPr>
          <w:szCs w:val="22"/>
        </w:rPr>
      </w:pPr>
    </w:p>
    <w:p w:rsidR="008008AC" w:rsidRPr="00D13C20" w:rsidRDefault="008008AC" w:rsidP="009A5851">
      <w:pPr>
        <w:numPr>
          <w:ilvl w:val="0"/>
          <w:numId w:val="11"/>
        </w:numPr>
        <w:spacing w:after="220"/>
        <w:ind w:left="0"/>
        <w:jc w:val="both"/>
        <w:rPr>
          <w:szCs w:val="22"/>
        </w:rPr>
      </w:pPr>
      <w:r w:rsidRPr="00D13C20">
        <w:rPr>
          <w:szCs w:val="22"/>
        </w:rPr>
        <w:t xml:space="preserve">Section 95.631 is amended by adding </w:t>
      </w:r>
      <w:r w:rsidR="00297F00">
        <w:rPr>
          <w:szCs w:val="22"/>
        </w:rPr>
        <w:t xml:space="preserve">introductory text </w:t>
      </w:r>
      <w:r w:rsidRPr="00D13C20">
        <w:rPr>
          <w:szCs w:val="22"/>
        </w:rPr>
        <w:t xml:space="preserve"> to read as follows:</w:t>
      </w:r>
    </w:p>
    <w:p w:rsidR="008008AC" w:rsidRDefault="008008AC" w:rsidP="008008AC">
      <w:pPr>
        <w:rPr>
          <w:b/>
          <w:szCs w:val="22"/>
        </w:rPr>
      </w:pPr>
      <w:r w:rsidRPr="0071499C">
        <w:rPr>
          <w:b/>
          <w:szCs w:val="22"/>
        </w:rPr>
        <w:t xml:space="preserve">§ </w:t>
      </w:r>
      <w:r w:rsidRPr="00152334">
        <w:rPr>
          <w:b/>
          <w:szCs w:val="22"/>
          <w:u w:val="single"/>
        </w:rPr>
        <w:t>95.631 Emission types</w:t>
      </w:r>
      <w:r w:rsidR="00667F52">
        <w:rPr>
          <w:b/>
          <w:szCs w:val="22"/>
        </w:rPr>
        <w:t>.</w:t>
      </w:r>
    </w:p>
    <w:p w:rsidR="00667F52" w:rsidRPr="0071499C" w:rsidRDefault="00667F52" w:rsidP="008008AC">
      <w:pPr>
        <w:rPr>
          <w:b/>
          <w:szCs w:val="22"/>
        </w:rPr>
      </w:pPr>
    </w:p>
    <w:p w:rsidR="00667F52" w:rsidRPr="00D13C20" w:rsidRDefault="00667F52" w:rsidP="008008AC">
      <w:pPr>
        <w:rPr>
          <w:szCs w:val="22"/>
        </w:rPr>
      </w:pPr>
    </w:p>
    <w:p w:rsidR="008008AC" w:rsidRPr="00D13C20" w:rsidRDefault="008008AC" w:rsidP="008008AC">
      <w:pPr>
        <w:rPr>
          <w:szCs w:val="22"/>
        </w:rPr>
      </w:pPr>
      <w:r w:rsidRPr="00D13C20">
        <w:rPr>
          <w:szCs w:val="22"/>
        </w:rPr>
        <w:t xml:space="preserve">(l) </w:t>
      </w:r>
      <w:r>
        <w:rPr>
          <w:szCs w:val="22"/>
        </w:rPr>
        <w:t>The 76-81 GHz Radar Service is governed</w:t>
      </w:r>
      <w:r w:rsidRPr="00D13C20">
        <w:rPr>
          <w:szCs w:val="22"/>
        </w:rPr>
        <w:t xml:space="preserve"> under subpart M of this part.</w:t>
      </w:r>
    </w:p>
    <w:p w:rsidR="00667F52" w:rsidRDefault="00667F52" w:rsidP="008008AC">
      <w:pPr>
        <w:rPr>
          <w:szCs w:val="22"/>
        </w:rPr>
      </w:pPr>
    </w:p>
    <w:p w:rsidR="008008AC" w:rsidRDefault="008008AC" w:rsidP="008008AC">
      <w:pPr>
        <w:rPr>
          <w:szCs w:val="22"/>
        </w:rPr>
      </w:pPr>
      <w:r w:rsidRPr="00D13C20">
        <w:rPr>
          <w:szCs w:val="22"/>
        </w:rPr>
        <w:t>* * * * *</w:t>
      </w:r>
    </w:p>
    <w:p w:rsidR="00112345" w:rsidRPr="00D13C20" w:rsidRDefault="00112345" w:rsidP="008008AC">
      <w:pPr>
        <w:rPr>
          <w:szCs w:val="22"/>
        </w:rPr>
      </w:pPr>
    </w:p>
    <w:p w:rsidR="008008AC" w:rsidRPr="00D13C20" w:rsidRDefault="008008AC" w:rsidP="009A5851">
      <w:pPr>
        <w:numPr>
          <w:ilvl w:val="0"/>
          <w:numId w:val="11"/>
        </w:numPr>
        <w:spacing w:after="220"/>
        <w:ind w:left="0"/>
        <w:jc w:val="both"/>
        <w:rPr>
          <w:b/>
          <w:szCs w:val="22"/>
        </w:rPr>
      </w:pPr>
      <w:r w:rsidRPr="00D13C20">
        <w:rPr>
          <w:szCs w:val="22"/>
        </w:rPr>
        <w:t>Section 95.633 is amended by adding section (h) to read as follows:</w:t>
      </w:r>
    </w:p>
    <w:p w:rsidR="008008AC" w:rsidRPr="00152334" w:rsidRDefault="008008AC" w:rsidP="008008AC">
      <w:pPr>
        <w:rPr>
          <w:b/>
          <w:szCs w:val="22"/>
          <w:u w:val="single"/>
        </w:rPr>
      </w:pPr>
      <w:r w:rsidRPr="00152334">
        <w:rPr>
          <w:b/>
          <w:szCs w:val="22"/>
          <w:u w:val="single"/>
        </w:rPr>
        <w:t>§ 95.633 Emission bandwidth</w:t>
      </w:r>
      <w:r w:rsidR="00667F52" w:rsidRPr="00152334">
        <w:rPr>
          <w:b/>
          <w:szCs w:val="22"/>
          <w:u w:val="single"/>
        </w:rPr>
        <w:t>.</w:t>
      </w:r>
    </w:p>
    <w:p w:rsidR="008008AC" w:rsidRDefault="008008AC" w:rsidP="008008AC">
      <w:pPr>
        <w:rPr>
          <w:szCs w:val="22"/>
        </w:rPr>
      </w:pPr>
      <w:r w:rsidRPr="00D13C20">
        <w:rPr>
          <w:szCs w:val="22"/>
        </w:rPr>
        <w:t>* * * * *</w:t>
      </w:r>
    </w:p>
    <w:p w:rsidR="00667F52" w:rsidRPr="00D13C20" w:rsidRDefault="00667F52" w:rsidP="008008AC">
      <w:pPr>
        <w:rPr>
          <w:szCs w:val="22"/>
        </w:rPr>
      </w:pPr>
    </w:p>
    <w:p w:rsidR="008008AC" w:rsidRPr="00D13C20" w:rsidRDefault="008008AC" w:rsidP="008008AC">
      <w:pPr>
        <w:rPr>
          <w:szCs w:val="22"/>
        </w:rPr>
      </w:pPr>
      <w:r w:rsidRPr="00D13C20">
        <w:rPr>
          <w:szCs w:val="22"/>
        </w:rPr>
        <w:t xml:space="preserve">(h) </w:t>
      </w:r>
      <w:r>
        <w:rPr>
          <w:szCs w:val="22"/>
        </w:rPr>
        <w:t>The 76-81 GHz Radar Service is governed</w:t>
      </w:r>
      <w:r w:rsidRPr="00D13C20">
        <w:rPr>
          <w:szCs w:val="22"/>
        </w:rPr>
        <w:t xml:space="preserve"> under subpart M of this part.</w:t>
      </w:r>
    </w:p>
    <w:p w:rsidR="00667F52" w:rsidRDefault="00667F52" w:rsidP="008008AC">
      <w:pPr>
        <w:rPr>
          <w:szCs w:val="22"/>
        </w:rPr>
      </w:pPr>
    </w:p>
    <w:p w:rsidR="008008AC" w:rsidRDefault="008008AC" w:rsidP="008008AC">
      <w:pPr>
        <w:rPr>
          <w:szCs w:val="22"/>
        </w:rPr>
      </w:pPr>
    </w:p>
    <w:p w:rsidR="00667F52" w:rsidRPr="00D13C20" w:rsidRDefault="00667F52" w:rsidP="008008AC">
      <w:pPr>
        <w:rPr>
          <w:szCs w:val="22"/>
        </w:rPr>
      </w:pPr>
    </w:p>
    <w:p w:rsidR="008008AC" w:rsidRPr="00D13C20" w:rsidRDefault="008008AC" w:rsidP="009A5851">
      <w:pPr>
        <w:numPr>
          <w:ilvl w:val="0"/>
          <w:numId w:val="11"/>
        </w:numPr>
        <w:spacing w:after="220"/>
        <w:ind w:left="0"/>
        <w:jc w:val="both"/>
        <w:rPr>
          <w:szCs w:val="22"/>
        </w:rPr>
      </w:pPr>
      <w:r w:rsidRPr="00D13C20">
        <w:rPr>
          <w:szCs w:val="22"/>
        </w:rPr>
        <w:t>Section 95.</w:t>
      </w:r>
      <w:r>
        <w:rPr>
          <w:szCs w:val="22"/>
        </w:rPr>
        <w:t>635</w:t>
      </w:r>
      <w:r w:rsidRPr="00D13C20">
        <w:rPr>
          <w:szCs w:val="22"/>
        </w:rPr>
        <w:t xml:space="preserve"> is amended by </w:t>
      </w:r>
      <w:r>
        <w:rPr>
          <w:szCs w:val="22"/>
        </w:rPr>
        <w:t>amending</w:t>
      </w:r>
      <w:r w:rsidR="00863F5D">
        <w:rPr>
          <w:szCs w:val="22"/>
        </w:rPr>
        <w:t xml:space="preserve"> by revising the chart in paragraph</w:t>
      </w:r>
      <w:r>
        <w:rPr>
          <w:szCs w:val="22"/>
        </w:rPr>
        <w:t xml:space="preserve"> (b) and adding </w:t>
      </w:r>
      <w:r w:rsidR="00863F5D">
        <w:rPr>
          <w:szCs w:val="22"/>
        </w:rPr>
        <w:t>paragraph</w:t>
      </w:r>
      <w:r w:rsidRPr="00D13C20">
        <w:rPr>
          <w:szCs w:val="22"/>
        </w:rPr>
        <w:t xml:space="preserve"> (g) to read as follows:</w:t>
      </w:r>
    </w:p>
    <w:p w:rsidR="008008AC" w:rsidRPr="00152334" w:rsidRDefault="008008AC" w:rsidP="008008AC">
      <w:pPr>
        <w:rPr>
          <w:b/>
          <w:szCs w:val="22"/>
          <w:u w:val="single"/>
        </w:rPr>
      </w:pPr>
      <w:r w:rsidRPr="00152334">
        <w:rPr>
          <w:b/>
          <w:szCs w:val="22"/>
          <w:u w:val="single"/>
        </w:rPr>
        <w:t>§ 95.635 Unwanted radiation</w:t>
      </w:r>
      <w:r w:rsidR="00667F52" w:rsidRPr="00152334">
        <w:rPr>
          <w:b/>
          <w:szCs w:val="22"/>
          <w:u w:val="single"/>
        </w:rPr>
        <w:t>.</w:t>
      </w:r>
    </w:p>
    <w:p w:rsidR="00667F52" w:rsidRPr="00152334" w:rsidRDefault="00667F52" w:rsidP="008008AC">
      <w:pPr>
        <w:rPr>
          <w:b/>
          <w:szCs w:val="22"/>
          <w:u w:val="single"/>
        </w:rPr>
      </w:pPr>
    </w:p>
    <w:p w:rsidR="008008AC" w:rsidRDefault="008008AC" w:rsidP="008008AC">
      <w:pPr>
        <w:rPr>
          <w:szCs w:val="22"/>
        </w:rPr>
      </w:pPr>
      <w:r w:rsidRPr="00D13C20">
        <w:rPr>
          <w:szCs w:val="22"/>
        </w:rPr>
        <w:t>* * * * *</w:t>
      </w:r>
      <w:r w:rsidR="00863F5D">
        <w:rPr>
          <w:szCs w:val="22"/>
        </w:rPr>
        <w:t xml:space="preserve"> </w:t>
      </w:r>
    </w:p>
    <w:p w:rsidR="008008AC" w:rsidRPr="005F6B8E" w:rsidRDefault="008008AC" w:rsidP="008008AC">
      <w:pPr>
        <w:spacing w:before="100" w:beforeAutospacing="1" w:after="100" w:afterAutospacing="1"/>
        <w:ind w:firstLine="480"/>
        <w:rPr>
          <w:szCs w:val="22"/>
        </w:rPr>
      </w:pPr>
      <w:r w:rsidRPr="005F6B8E">
        <w:rPr>
          <w:szCs w:val="22"/>
        </w:rPr>
        <w:t>(b) The power of each unwanted emission shall be less than TP as specified in the applicable paragraphs listed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078"/>
        <w:gridCol w:w="5157"/>
        <w:gridCol w:w="2149"/>
      </w:tblGrid>
      <w:tr w:rsidR="008008AC" w:rsidRPr="005F6B8E" w:rsidTr="00512EAC">
        <w:tc>
          <w:tcPr>
            <w:tcW w:w="0" w:type="auto"/>
            <w:tcBorders>
              <w:top w:val="single" w:sz="6" w:space="0" w:color="000000"/>
              <w:left w:val="single" w:sz="6" w:space="0" w:color="000000"/>
              <w:bottom w:val="single" w:sz="6" w:space="0" w:color="000000"/>
              <w:right w:val="single" w:sz="6" w:space="0" w:color="000000"/>
            </w:tcBorders>
            <w:vAlign w:val="bottom"/>
            <w:hideMark/>
          </w:tcPr>
          <w:p w:rsidR="008008AC" w:rsidRPr="005F6B8E" w:rsidRDefault="008008AC" w:rsidP="00512EAC">
            <w:pPr>
              <w:jc w:val="center"/>
              <w:rPr>
                <w:b/>
                <w:bCs/>
                <w:szCs w:val="22"/>
              </w:rPr>
            </w:pPr>
            <w:r w:rsidRPr="005F6B8E">
              <w:rPr>
                <w:b/>
                <w:bCs/>
                <w:szCs w:val="22"/>
              </w:rPr>
              <w:t>Transmitter</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008AC" w:rsidRPr="005F6B8E" w:rsidRDefault="008008AC" w:rsidP="00512EAC">
            <w:pPr>
              <w:jc w:val="center"/>
              <w:rPr>
                <w:b/>
                <w:bCs/>
                <w:szCs w:val="22"/>
              </w:rPr>
            </w:pPr>
            <w:r w:rsidRPr="005F6B8E">
              <w:rPr>
                <w:b/>
                <w:bCs/>
                <w:szCs w:val="22"/>
              </w:rPr>
              <w:t>Emission type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8008AC" w:rsidRPr="005F6B8E" w:rsidRDefault="008008AC" w:rsidP="00512EAC">
            <w:pPr>
              <w:jc w:val="center"/>
              <w:rPr>
                <w:b/>
                <w:bCs/>
                <w:szCs w:val="22"/>
              </w:rPr>
            </w:pPr>
            <w:r w:rsidRPr="005F6B8E">
              <w:rPr>
                <w:b/>
                <w:bCs/>
                <w:szCs w:val="22"/>
              </w:rPr>
              <w:t>Applicable paragraphs (b)</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GMRS</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A1D, A3E, F1D, G1D, F3E, G3E with filtering</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(1), (3),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A1D, A3E, F1D, G1D, F3E, G3E without filtering</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(5), (6),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H1D, J1D, R1D, H3E, J3E, R3E</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(2), (4),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FRS</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F3E with filtering</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(1), (3),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R/C:</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008AC" w:rsidRPr="005F6B8E" w:rsidRDefault="008008AC" w:rsidP="00512EAC">
            <w:pPr>
              <w:rPr>
                <w:szCs w:val="22"/>
              </w:rPr>
            </w:pPr>
            <w:r w:rsidRPr="005F6B8E">
              <w:rPr>
                <w:szCs w:val="22"/>
              </w:rPr>
              <w:t>27 MHz</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As specified in §95.631(b)</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(1), (3),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2" w:type="dxa"/>
              <w:right w:w="12" w:type="dxa"/>
            </w:tcMar>
            <w:hideMark/>
          </w:tcPr>
          <w:p w:rsidR="008008AC" w:rsidRPr="005F6B8E" w:rsidRDefault="008008AC" w:rsidP="00512EAC">
            <w:pPr>
              <w:rPr>
                <w:szCs w:val="22"/>
              </w:rPr>
            </w:pPr>
            <w:r w:rsidRPr="005F6B8E">
              <w:rPr>
                <w:szCs w:val="22"/>
              </w:rPr>
              <w:t>72-76 MHz</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As specified in §95.631(b)</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(1), (3), (7), (10), (11), (12).</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CB</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A1D, A3E</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(1), (3), (8), (9).</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H1D, J1D, R1D, H3E, J3E, R3E</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(2), (4), (8), (9).</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A1D, A3E type accepted before September 10, 1976</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(1), (3),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H1D, J1D, R1D, H3E, J3E, R3E type accepted before September 10, 1986</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(2), (4), (7).</w:t>
            </w: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LPRS</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 xml:space="preserve">As specified in paragraph </w:t>
            </w:r>
            <w:r>
              <w:rPr>
                <w:szCs w:val="22"/>
              </w:rPr>
              <w:t>(c)</w:t>
            </w:r>
            <w:r w:rsidRPr="005F6B8E">
              <w:rPr>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MedRadio</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r w:rsidRPr="005F6B8E">
              <w:rPr>
                <w:szCs w:val="22"/>
              </w:rPr>
              <w:t>As specified in paragraph (d).</w:t>
            </w:r>
          </w:p>
        </w:tc>
        <w:tc>
          <w:tcPr>
            <w:tcW w:w="0" w:type="auto"/>
            <w:tcBorders>
              <w:top w:val="single" w:sz="6" w:space="0" w:color="000000"/>
              <w:left w:val="single" w:sz="6" w:space="0" w:color="000000"/>
              <w:bottom w:val="single" w:sz="6" w:space="0" w:color="000000"/>
              <w:right w:val="single" w:sz="6" w:space="0" w:color="000000"/>
            </w:tcBorders>
            <w:hideMark/>
          </w:tcPr>
          <w:p w:rsidR="008008AC" w:rsidRPr="005F6B8E" w:rsidRDefault="008008AC" w:rsidP="00512EAC">
            <w:pPr>
              <w:rPr>
                <w:szCs w:val="22"/>
              </w:rPr>
            </w:pPr>
          </w:p>
        </w:tc>
      </w:tr>
      <w:tr w:rsidR="008008AC" w:rsidRPr="005F6B8E" w:rsidTr="00512EA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008AC" w:rsidRPr="005F6B8E" w:rsidRDefault="008008AC" w:rsidP="00512EAC">
            <w:pPr>
              <w:rPr>
                <w:color w:val="000000"/>
                <w:szCs w:val="22"/>
              </w:rPr>
            </w:pPr>
            <w:r w:rsidRPr="005F6B8E">
              <w:rPr>
                <w:color w:val="000000"/>
                <w:szCs w:val="22"/>
              </w:rPr>
              <w:t>DSRCS-OBU</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008AC" w:rsidRPr="005F6B8E" w:rsidRDefault="008008AC" w:rsidP="00512EAC">
            <w:pPr>
              <w:rPr>
                <w:color w:val="000000"/>
                <w:szCs w:val="22"/>
              </w:rPr>
            </w:pPr>
            <w:r w:rsidRPr="005F6B8E">
              <w:rPr>
                <w:color w:val="000000"/>
                <w:szCs w:val="22"/>
              </w:rPr>
              <w:t>As specified in paragraph (f) of this section.</w:t>
            </w:r>
          </w:p>
        </w:tc>
        <w:tc>
          <w:tcPr>
            <w:tcW w:w="0" w:type="auto"/>
            <w:vAlign w:val="center"/>
            <w:hideMark/>
          </w:tcPr>
          <w:p w:rsidR="008008AC" w:rsidRPr="005F6B8E" w:rsidRDefault="008008AC" w:rsidP="00512EAC">
            <w:pPr>
              <w:rPr>
                <w:szCs w:val="22"/>
              </w:rPr>
            </w:pPr>
          </w:p>
        </w:tc>
      </w:tr>
      <w:tr w:rsidR="008008AC" w:rsidRPr="00410699" w:rsidTr="00512EA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008AC" w:rsidRPr="00410699" w:rsidRDefault="008008AC" w:rsidP="00512EAC">
            <w:pPr>
              <w:rPr>
                <w:color w:val="000000"/>
                <w:szCs w:val="22"/>
              </w:rPr>
            </w:pPr>
            <w:r w:rsidRPr="00410699">
              <w:rPr>
                <w:color w:val="000000"/>
                <w:szCs w:val="22"/>
              </w:rPr>
              <w:t>76-81 GHz Radar Service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8008AC" w:rsidRPr="00410699" w:rsidRDefault="008008AC" w:rsidP="00512EAC">
            <w:pPr>
              <w:rPr>
                <w:color w:val="000000"/>
                <w:szCs w:val="22"/>
              </w:rPr>
            </w:pPr>
            <w:r w:rsidRPr="00410699">
              <w:rPr>
                <w:color w:val="000000"/>
                <w:szCs w:val="22"/>
              </w:rPr>
              <w:t>As specified in paragraph (g) of this section.</w:t>
            </w:r>
          </w:p>
        </w:tc>
        <w:tc>
          <w:tcPr>
            <w:tcW w:w="0" w:type="auto"/>
            <w:vAlign w:val="center"/>
          </w:tcPr>
          <w:p w:rsidR="008008AC" w:rsidRPr="00410699" w:rsidRDefault="008008AC" w:rsidP="00512EAC">
            <w:pPr>
              <w:rPr>
                <w:szCs w:val="22"/>
              </w:rPr>
            </w:pPr>
          </w:p>
        </w:tc>
      </w:tr>
    </w:tbl>
    <w:p w:rsidR="008008AC" w:rsidRDefault="008008AC" w:rsidP="008008AC">
      <w:pPr>
        <w:rPr>
          <w:szCs w:val="22"/>
        </w:rPr>
      </w:pPr>
    </w:p>
    <w:p w:rsidR="008008AC" w:rsidRDefault="008008AC" w:rsidP="008008AC">
      <w:pPr>
        <w:rPr>
          <w:szCs w:val="22"/>
        </w:rPr>
      </w:pPr>
      <w:r>
        <w:rPr>
          <w:szCs w:val="22"/>
        </w:rPr>
        <w:t>* * *</w:t>
      </w:r>
      <w:r w:rsidR="00667F52">
        <w:rPr>
          <w:szCs w:val="22"/>
        </w:rPr>
        <w:t xml:space="preserve"> * *</w:t>
      </w:r>
    </w:p>
    <w:p w:rsidR="00667F52" w:rsidRPr="00D13C20" w:rsidRDefault="00667F52" w:rsidP="008008AC">
      <w:pPr>
        <w:rPr>
          <w:szCs w:val="22"/>
        </w:rPr>
      </w:pPr>
    </w:p>
    <w:p w:rsidR="00667F52" w:rsidRDefault="008008AC" w:rsidP="008008AC">
      <w:pPr>
        <w:rPr>
          <w:szCs w:val="22"/>
        </w:rPr>
      </w:pPr>
      <w:r w:rsidRPr="00D13C20">
        <w:rPr>
          <w:szCs w:val="22"/>
        </w:rPr>
        <w:t xml:space="preserve">(g) </w:t>
      </w:r>
      <w:r>
        <w:rPr>
          <w:szCs w:val="22"/>
        </w:rPr>
        <w:t xml:space="preserve">The 76-81 GHz Radar Service is </w:t>
      </w:r>
      <w:r w:rsidRPr="00D13C20">
        <w:rPr>
          <w:szCs w:val="22"/>
        </w:rPr>
        <w:t>governed under subpart M of this part.</w:t>
      </w:r>
    </w:p>
    <w:p w:rsidR="008008AC" w:rsidRPr="00D13C20" w:rsidRDefault="008008AC" w:rsidP="008008AC">
      <w:pPr>
        <w:rPr>
          <w:szCs w:val="22"/>
        </w:rPr>
      </w:pPr>
      <w:r w:rsidRPr="00D13C20">
        <w:rPr>
          <w:szCs w:val="22"/>
        </w:rPr>
        <w:t xml:space="preserve"> </w:t>
      </w:r>
    </w:p>
    <w:p w:rsidR="008008AC" w:rsidRPr="00D13C20" w:rsidRDefault="008008AC" w:rsidP="008008AC">
      <w:pPr>
        <w:rPr>
          <w:szCs w:val="22"/>
        </w:rPr>
      </w:pPr>
    </w:p>
    <w:p w:rsidR="008008AC" w:rsidRPr="00D13C20" w:rsidRDefault="008008AC" w:rsidP="009A5851">
      <w:pPr>
        <w:numPr>
          <w:ilvl w:val="0"/>
          <w:numId w:val="11"/>
        </w:numPr>
        <w:spacing w:after="220"/>
        <w:ind w:left="0"/>
        <w:jc w:val="both"/>
        <w:rPr>
          <w:szCs w:val="22"/>
        </w:rPr>
      </w:pPr>
      <w:r w:rsidRPr="00D13C20">
        <w:rPr>
          <w:szCs w:val="22"/>
        </w:rPr>
        <w:t>Section 95.</w:t>
      </w:r>
      <w:r>
        <w:rPr>
          <w:szCs w:val="22"/>
        </w:rPr>
        <w:t>637</w:t>
      </w:r>
      <w:r w:rsidRPr="00D13C20">
        <w:rPr>
          <w:szCs w:val="22"/>
        </w:rPr>
        <w:t xml:space="preserve"> is amended by adding </w:t>
      </w:r>
      <w:r w:rsidR="00863F5D">
        <w:rPr>
          <w:szCs w:val="22"/>
        </w:rPr>
        <w:t>paragraph</w:t>
      </w:r>
      <w:r w:rsidRPr="00D13C20">
        <w:rPr>
          <w:szCs w:val="22"/>
        </w:rPr>
        <w:t xml:space="preserve"> (g) to read as follows:</w:t>
      </w:r>
    </w:p>
    <w:p w:rsidR="008008AC" w:rsidRPr="00152334" w:rsidRDefault="008008AC" w:rsidP="008008AC">
      <w:pPr>
        <w:rPr>
          <w:b/>
          <w:szCs w:val="22"/>
          <w:u w:val="single"/>
        </w:rPr>
      </w:pPr>
      <w:r w:rsidRPr="00152334">
        <w:rPr>
          <w:b/>
          <w:szCs w:val="22"/>
          <w:u w:val="single"/>
        </w:rPr>
        <w:t>§ 95.637 Modulation standard</w:t>
      </w:r>
      <w:r w:rsidR="00863F5D">
        <w:rPr>
          <w:b/>
          <w:szCs w:val="22"/>
          <w:u w:val="single"/>
        </w:rPr>
        <w:t>.</w:t>
      </w:r>
    </w:p>
    <w:p w:rsidR="00863F5D" w:rsidRPr="00D13C20" w:rsidRDefault="00863F5D" w:rsidP="008008AC">
      <w:pPr>
        <w:rPr>
          <w:b/>
          <w:szCs w:val="22"/>
        </w:rPr>
      </w:pPr>
    </w:p>
    <w:p w:rsidR="008008AC" w:rsidRDefault="008008AC" w:rsidP="008008AC">
      <w:pPr>
        <w:rPr>
          <w:szCs w:val="22"/>
        </w:rPr>
      </w:pPr>
      <w:r w:rsidRPr="00D13C20">
        <w:rPr>
          <w:szCs w:val="22"/>
        </w:rPr>
        <w:t>* * * * *</w:t>
      </w:r>
    </w:p>
    <w:p w:rsidR="00726A34" w:rsidRPr="00D13C20" w:rsidRDefault="00726A34" w:rsidP="008008AC">
      <w:pPr>
        <w:rPr>
          <w:szCs w:val="22"/>
        </w:rPr>
      </w:pPr>
    </w:p>
    <w:p w:rsidR="008008AC" w:rsidRDefault="008008AC" w:rsidP="008008AC">
      <w:pPr>
        <w:rPr>
          <w:szCs w:val="22"/>
        </w:rPr>
      </w:pPr>
      <w:r w:rsidRPr="00D13C20">
        <w:rPr>
          <w:szCs w:val="22"/>
        </w:rPr>
        <w:t xml:space="preserve">(g) </w:t>
      </w:r>
      <w:r>
        <w:rPr>
          <w:szCs w:val="22"/>
        </w:rPr>
        <w:t xml:space="preserve">The 76-81 GHz Radar Service is </w:t>
      </w:r>
      <w:r w:rsidRPr="00D13C20">
        <w:rPr>
          <w:szCs w:val="22"/>
        </w:rPr>
        <w:t xml:space="preserve">governed under subpart M of this part. </w:t>
      </w:r>
    </w:p>
    <w:p w:rsidR="00726A34" w:rsidRPr="00D13C20" w:rsidRDefault="00726A34" w:rsidP="008008AC">
      <w:pPr>
        <w:rPr>
          <w:szCs w:val="22"/>
        </w:rPr>
      </w:pPr>
    </w:p>
    <w:p w:rsidR="008008AC" w:rsidRDefault="008008AC" w:rsidP="008008AC">
      <w:pPr>
        <w:rPr>
          <w:szCs w:val="22"/>
        </w:rPr>
      </w:pPr>
    </w:p>
    <w:p w:rsidR="00726A34" w:rsidRPr="00D13C20" w:rsidRDefault="00726A34" w:rsidP="008008AC">
      <w:pPr>
        <w:rPr>
          <w:b/>
          <w:szCs w:val="22"/>
          <w:u w:val="single"/>
        </w:rPr>
      </w:pPr>
    </w:p>
    <w:p w:rsidR="008008AC" w:rsidRPr="00D13C20" w:rsidRDefault="008008AC" w:rsidP="009A5851">
      <w:pPr>
        <w:numPr>
          <w:ilvl w:val="0"/>
          <w:numId w:val="11"/>
        </w:numPr>
        <w:spacing w:after="220"/>
        <w:ind w:left="0"/>
        <w:jc w:val="both"/>
        <w:rPr>
          <w:szCs w:val="22"/>
        </w:rPr>
      </w:pPr>
      <w:r w:rsidRPr="00D13C20">
        <w:rPr>
          <w:szCs w:val="22"/>
        </w:rPr>
        <w:t>Section 95.</w:t>
      </w:r>
      <w:r>
        <w:rPr>
          <w:szCs w:val="22"/>
        </w:rPr>
        <w:t>639</w:t>
      </w:r>
      <w:r w:rsidRPr="00D13C20">
        <w:rPr>
          <w:szCs w:val="22"/>
        </w:rPr>
        <w:t xml:space="preserve"> is amended by adding </w:t>
      </w:r>
      <w:r w:rsidR="00863F5D">
        <w:rPr>
          <w:szCs w:val="22"/>
        </w:rPr>
        <w:t>paragraph</w:t>
      </w:r>
      <w:r w:rsidRPr="00D13C20">
        <w:rPr>
          <w:szCs w:val="22"/>
        </w:rPr>
        <w:t xml:space="preserve"> (</w:t>
      </w:r>
      <w:r w:rsidR="00863F5D">
        <w:rPr>
          <w:szCs w:val="22"/>
        </w:rPr>
        <w:t>j</w:t>
      </w:r>
      <w:r w:rsidRPr="00D13C20">
        <w:rPr>
          <w:szCs w:val="22"/>
        </w:rPr>
        <w:t>) to read as follows:</w:t>
      </w:r>
    </w:p>
    <w:p w:rsidR="008008AC" w:rsidRPr="00152334" w:rsidRDefault="008008AC" w:rsidP="008008AC">
      <w:pPr>
        <w:rPr>
          <w:b/>
          <w:szCs w:val="22"/>
          <w:u w:val="single"/>
        </w:rPr>
      </w:pPr>
      <w:r w:rsidRPr="00152334">
        <w:rPr>
          <w:b/>
          <w:szCs w:val="22"/>
          <w:u w:val="single"/>
        </w:rPr>
        <w:t>§ 95.639 Maximum transmitter power</w:t>
      </w:r>
      <w:r w:rsidR="00726A34" w:rsidRPr="00152334">
        <w:rPr>
          <w:b/>
          <w:szCs w:val="22"/>
          <w:u w:val="single"/>
        </w:rPr>
        <w:t>.</w:t>
      </w:r>
    </w:p>
    <w:p w:rsidR="00726A34" w:rsidRPr="00152334" w:rsidRDefault="00726A34" w:rsidP="008008AC">
      <w:pPr>
        <w:rPr>
          <w:b/>
          <w:szCs w:val="22"/>
          <w:u w:val="single"/>
        </w:rPr>
      </w:pPr>
    </w:p>
    <w:p w:rsidR="008008AC" w:rsidRDefault="008008AC" w:rsidP="008008AC">
      <w:pPr>
        <w:rPr>
          <w:szCs w:val="22"/>
        </w:rPr>
      </w:pPr>
      <w:r w:rsidRPr="00D13C20">
        <w:rPr>
          <w:szCs w:val="22"/>
        </w:rPr>
        <w:t>* * * * *</w:t>
      </w:r>
    </w:p>
    <w:p w:rsidR="00726A34" w:rsidRPr="00D13C20" w:rsidRDefault="00726A34" w:rsidP="008008AC">
      <w:pPr>
        <w:rPr>
          <w:szCs w:val="22"/>
        </w:rPr>
      </w:pPr>
    </w:p>
    <w:p w:rsidR="008008AC" w:rsidRDefault="008008AC" w:rsidP="008008AC">
      <w:pPr>
        <w:rPr>
          <w:szCs w:val="22"/>
        </w:rPr>
      </w:pPr>
      <w:r w:rsidRPr="00D13C20">
        <w:rPr>
          <w:szCs w:val="22"/>
        </w:rPr>
        <w:t xml:space="preserve">(j) </w:t>
      </w:r>
      <w:r>
        <w:rPr>
          <w:szCs w:val="22"/>
        </w:rPr>
        <w:t>The 76-81 GHz Radar Service is</w:t>
      </w:r>
      <w:r w:rsidRPr="00D13C20">
        <w:rPr>
          <w:szCs w:val="22"/>
        </w:rPr>
        <w:t xml:space="preserve"> governed under subpart M of this part. </w:t>
      </w:r>
    </w:p>
    <w:p w:rsidR="00726A34" w:rsidRPr="00D13C20" w:rsidRDefault="00726A34" w:rsidP="008008AC">
      <w:pPr>
        <w:rPr>
          <w:szCs w:val="22"/>
        </w:rPr>
      </w:pPr>
    </w:p>
    <w:p w:rsidR="008008AC" w:rsidRPr="00D13C20" w:rsidRDefault="008008AC" w:rsidP="008008AC">
      <w:pPr>
        <w:rPr>
          <w:szCs w:val="22"/>
        </w:rPr>
      </w:pPr>
    </w:p>
    <w:p w:rsidR="008008AC" w:rsidRDefault="008008AC" w:rsidP="00152334">
      <w:pPr>
        <w:spacing w:after="120"/>
        <w:ind w:left="720"/>
        <w:jc w:val="both"/>
        <w:rPr>
          <w:szCs w:val="22"/>
        </w:rPr>
      </w:pPr>
    </w:p>
    <w:p w:rsidR="008008AC" w:rsidRDefault="008008AC" w:rsidP="008008AC">
      <w:pPr>
        <w:rPr>
          <w:szCs w:val="22"/>
        </w:rPr>
      </w:pPr>
      <w:r w:rsidRPr="008866C8">
        <w:rPr>
          <w:szCs w:val="22"/>
        </w:rPr>
        <w:t>* * * * *</w:t>
      </w:r>
    </w:p>
    <w:p w:rsidR="00726A34" w:rsidRDefault="00584325" w:rsidP="008008AC">
      <w:pPr>
        <w:rPr>
          <w:szCs w:val="22"/>
        </w:rPr>
      </w:pPr>
      <w:r>
        <w:rPr>
          <w:szCs w:val="22"/>
        </w:rPr>
        <w:t>Section 95.641 is added to read as follows:</w:t>
      </w:r>
    </w:p>
    <w:p w:rsidR="00584325" w:rsidRPr="00D13C20" w:rsidRDefault="00584325" w:rsidP="008008AC">
      <w:pPr>
        <w:rPr>
          <w:szCs w:val="22"/>
        </w:rPr>
      </w:pPr>
    </w:p>
    <w:p w:rsidR="008008AC" w:rsidRDefault="008008AC" w:rsidP="008008AC">
      <w:pPr>
        <w:rPr>
          <w:b/>
          <w:szCs w:val="22"/>
        </w:rPr>
      </w:pPr>
      <w:r w:rsidRPr="00152334">
        <w:rPr>
          <w:b/>
          <w:szCs w:val="22"/>
          <w:u w:val="single"/>
        </w:rPr>
        <w:t>§ 95.641 76-81 GHz Radar Service certification</w:t>
      </w:r>
      <w:r>
        <w:rPr>
          <w:b/>
          <w:szCs w:val="22"/>
        </w:rPr>
        <w:t>.</w:t>
      </w:r>
    </w:p>
    <w:p w:rsidR="00726A34" w:rsidRPr="00257675" w:rsidRDefault="00726A34" w:rsidP="008008AC">
      <w:pPr>
        <w:rPr>
          <w:b/>
          <w:szCs w:val="22"/>
        </w:rPr>
      </w:pPr>
    </w:p>
    <w:p w:rsidR="008008AC" w:rsidRPr="00D13C20" w:rsidRDefault="008008AC" w:rsidP="008008AC">
      <w:pPr>
        <w:rPr>
          <w:szCs w:val="22"/>
        </w:rPr>
      </w:pPr>
      <w:r w:rsidRPr="00D13C20">
        <w:rPr>
          <w:color w:val="000000"/>
          <w:szCs w:val="22"/>
          <w:shd w:val="clear" w:color="auto" w:fill="FFFFFF"/>
        </w:rPr>
        <w:t>Sections 95.64</w:t>
      </w:r>
      <w:r w:rsidRPr="00D13C20">
        <w:rPr>
          <w:color w:val="000000"/>
          <w:shd w:val="clear" w:color="auto" w:fill="FFFFFF"/>
        </w:rPr>
        <w:t>3</w:t>
      </w:r>
      <w:r w:rsidRPr="00D13C20">
        <w:rPr>
          <w:color w:val="000000"/>
          <w:szCs w:val="22"/>
          <w:shd w:val="clear" w:color="auto" w:fill="FFFFFF"/>
        </w:rPr>
        <w:t xml:space="preserve"> through 95.655 do not apply to certification of </w:t>
      </w:r>
      <w:r w:rsidRPr="00D13C20">
        <w:rPr>
          <w:color w:val="000000"/>
          <w:shd w:val="clear" w:color="auto" w:fill="FFFFFF"/>
        </w:rPr>
        <w:t xml:space="preserve">vehicular radar devices and fixed radar devices operating in the </w:t>
      </w:r>
      <w:r>
        <w:rPr>
          <w:color w:val="000000"/>
          <w:shd w:val="clear" w:color="auto" w:fill="FFFFFF"/>
        </w:rPr>
        <w:t xml:space="preserve">76-81 </w:t>
      </w:r>
      <w:r w:rsidRPr="00D13C20">
        <w:rPr>
          <w:color w:val="000000"/>
          <w:shd w:val="clear" w:color="auto" w:fill="FFFFFF"/>
        </w:rPr>
        <w:t xml:space="preserve">GHz </w:t>
      </w:r>
      <w:r>
        <w:rPr>
          <w:color w:val="000000"/>
          <w:shd w:val="clear" w:color="auto" w:fill="FFFFFF"/>
        </w:rPr>
        <w:t>Band Radar Service</w:t>
      </w:r>
      <w:r w:rsidRPr="00D13C20">
        <w:rPr>
          <w:color w:val="000000"/>
          <w:shd w:val="clear" w:color="auto" w:fill="FFFFFF"/>
        </w:rPr>
        <w:t>.  These devices m</w:t>
      </w:r>
      <w:r w:rsidRPr="00D13C20">
        <w:rPr>
          <w:color w:val="000000"/>
          <w:szCs w:val="22"/>
          <w:shd w:val="clear" w:color="auto" w:fill="FFFFFF"/>
        </w:rPr>
        <w:t>ust be certified in accordance</w:t>
      </w:r>
      <w:r w:rsidRPr="00D13C20">
        <w:rPr>
          <w:color w:val="000000"/>
          <w:shd w:val="clear" w:color="auto" w:fill="FFFFFF"/>
        </w:rPr>
        <w:t xml:space="preserve"> with subpart M</w:t>
      </w:r>
      <w:r w:rsidRPr="00D13C20">
        <w:rPr>
          <w:color w:val="000000"/>
          <w:szCs w:val="22"/>
          <w:shd w:val="clear" w:color="auto" w:fill="FFFFFF"/>
        </w:rPr>
        <w:t xml:space="preserve"> of this part and subpart J of part 2 of this chapter.</w:t>
      </w:r>
    </w:p>
    <w:p w:rsidR="00726A34" w:rsidRDefault="00726A34" w:rsidP="008008AC">
      <w:pPr>
        <w:rPr>
          <w:szCs w:val="22"/>
        </w:rPr>
      </w:pPr>
    </w:p>
    <w:p w:rsidR="008008AC" w:rsidRPr="00D13C20" w:rsidRDefault="008008AC" w:rsidP="008008AC">
      <w:pPr>
        <w:rPr>
          <w:szCs w:val="22"/>
        </w:rPr>
      </w:pPr>
      <w:r w:rsidRPr="00D13C20">
        <w:rPr>
          <w:szCs w:val="22"/>
        </w:rPr>
        <w:t>* * * * *</w:t>
      </w:r>
    </w:p>
    <w:p w:rsidR="008008AC" w:rsidRDefault="008008AC" w:rsidP="008008AC">
      <w:pPr>
        <w:rPr>
          <w:b/>
          <w:szCs w:val="22"/>
        </w:rPr>
      </w:pPr>
    </w:p>
    <w:p w:rsidR="008008AC" w:rsidRPr="00D13C20" w:rsidRDefault="008008AC" w:rsidP="008008AC">
      <w:pPr>
        <w:rPr>
          <w:szCs w:val="22"/>
        </w:rPr>
      </w:pPr>
      <w:r>
        <w:rPr>
          <w:color w:val="000000"/>
          <w:szCs w:val="22"/>
          <w:shd w:val="clear" w:color="auto" w:fill="FFFFFF"/>
        </w:rPr>
        <w:t xml:space="preserve">APPENDIX 1 to SUBPART E </w:t>
      </w:r>
      <w:r w:rsidR="00DA3D21">
        <w:rPr>
          <w:color w:val="000000"/>
          <w:szCs w:val="22"/>
          <w:shd w:val="clear" w:color="auto" w:fill="FFFFFF"/>
        </w:rPr>
        <w:t xml:space="preserve">of Part 95 – Glossary of Terms </w:t>
      </w:r>
      <w:r>
        <w:rPr>
          <w:color w:val="000000"/>
          <w:szCs w:val="22"/>
          <w:shd w:val="clear" w:color="auto" w:fill="FFFFFF"/>
        </w:rPr>
        <w:t>is amended to include the following definitions</w:t>
      </w:r>
      <w:r w:rsidR="00DA3D21">
        <w:rPr>
          <w:color w:val="000000"/>
          <w:szCs w:val="22"/>
          <w:shd w:val="clear" w:color="auto" w:fill="FFFFFF"/>
        </w:rPr>
        <w:t xml:space="preserve"> in alphabetical order:</w:t>
      </w:r>
    </w:p>
    <w:p w:rsidR="00726A34" w:rsidRDefault="00726A34" w:rsidP="008008AC">
      <w:pPr>
        <w:rPr>
          <w:szCs w:val="22"/>
        </w:rPr>
      </w:pPr>
    </w:p>
    <w:p w:rsidR="008008AC" w:rsidRDefault="008008AC" w:rsidP="008008AC">
      <w:pPr>
        <w:rPr>
          <w:szCs w:val="22"/>
        </w:rPr>
      </w:pPr>
      <w:r w:rsidRPr="00D13C20">
        <w:rPr>
          <w:szCs w:val="22"/>
        </w:rPr>
        <w:t>* * * * *</w:t>
      </w:r>
    </w:p>
    <w:p w:rsidR="008008AC" w:rsidRDefault="008008AC" w:rsidP="008008AC">
      <w:pPr>
        <w:ind w:firstLine="360"/>
        <w:rPr>
          <w:szCs w:val="22"/>
        </w:rPr>
      </w:pPr>
      <w:r w:rsidRPr="00D13C20">
        <w:rPr>
          <w:szCs w:val="22"/>
        </w:rPr>
        <w:t xml:space="preserve"> </w:t>
      </w:r>
      <w:r w:rsidRPr="0071499C">
        <w:rPr>
          <w:i/>
          <w:iCs/>
          <w:szCs w:val="22"/>
        </w:rPr>
        <w:t>Field disturbance sensor</w:t>
      </w:r>
      <w:r w:rsidRPr="00D13C20">
        <w:rPr>
          <w:i/>
          <w:iCs/>
          <w:szCs w:val="22"/>
        </w:rPr>
        <w:t xml:space="preserve">.  </w:t>
      </w:r>
      <w:r w:rsidRPr="00D13C20">
        <w:rPr>
          <w:szCs w:val="22"/>
        </w:rPr>
        <w:t>A device that establishes a radio frequency field in its vicinity and detects changes in that field resulting from the movement of persons or objects within its range.</w:t>
      </w:r>
    </w:p>
    <w:p w:rsidR="00DA3D21" w:rsidRDefault="00DA3D21" w:rsidP="008008AC">
      <w:pPr>
        <w:ind w:firstLine="360"/>
        <w:rPr>
          <w:szCs w:val="22"/>
        </w:rPr>
      </w:pPr>
    </w:p>
    <w:p w:rsidR="00DA3D21" w:rsidRPr="00DA3D21" w:rsidRDefault="00DA3D21" w:rsidP="00152334">
      <w:pPr>
        <w:ind w:left="360"/>
      </w:pPr>
      <w:r>
        <w:t>*</w:t>
      </w:r>
      <w:r w:rsidRPr="00DA3D21">
        <w:t>****</w:t>
      </w:r>
    </w:p>
    <w:p w:rsidR="008008AC" w:rsidRPr="00D13C20" w:rsidRDefault="008008AC" w:rsidP="008008AC">
      <w:pPr>
        <w:ind w:firstLine="360"/>
        <w:rPr>
          <w:szCs w:val="22"/>
        </w:rPr>
      </w:pPr>
    </w:p>
    <w:p w:rsidR="008008AC" w:rsidRPr="00D13C20" w:rsidRDefault="008008AC" w:rsidP="009A5851">
      <w:pPr>
        <w:numPr>
          <w:ilvl w:val="0"/>
          <w:numId w:val="11"/>
        </w:numPr>
        <w:tabs>
          <w:tab w:val="left" w:pos="1260"/>
        </w:tabs>
        <w:spacing w:after="220"/>
        <w:ind w:left="0"/>
        <w:jc w:val="both"/>
        <w:rPr>
          <w:szCs w:val="22"/>
        </w:rPr>
      </w:pPr>
      <w:r w:rsidRPr="00D13C20">
        <w:rPr>
          <w:szCs w:val="22"/>
        </w:rPr>
        <w:t xml:space="preserve"> </w:t>
      </w:r>
      <w:r w:rsidR="0041120D">
        <w:rPr>
          <w:szCs w:val="22"/>
        </w:rPr>
        <w:t>S</w:t>
      </w:r>
      <w:r w:rsidRPr="00D13C20">
        <w:rPr>
          <w:szCs w:val="22"/>
        </w:rPr>
        <w:t>ubpart M</w:t>
      </w:r>
      <w:r w:rsidR="0041120D">
        <w:rPr>
          <w:szCs w:val="22"/>
        </w:rPr>
        <w:t xml:space="preserve"> is added to read as follows:</w:t>
      </w:r>
    </w:p>
    <w:p w:rsidR="008008AC" w:rsidRDefault="008008AC" w:rsidP="008008AC">
      <w:pPr>
        <w:rPr>
          <w:szCs w:val="22"/>
        </w:rPr>
      </w:pPr>
      <w:r w:rsidRPr="00D13C20">
        <w:rPr>
          <w:szCs w:val="22"/>
        </w:rPr>
        <w:t>* * * * *</w:t>
      </w:r>
    </w:p>
    <w:p w:rsidR="00726A34" w:rsidRDefault="00726A34" w:rsidP="008008AC">
      <w:pPr>
        <w:rPr>
          <w:szCs w:val="22"/>
        </w:rPr>
      </w:pPr>
    </w:p>
    <w:p w:rsidR="008008AC" w:rsidRDefault="008008AC" w:rsidP="008008AC">
      <w:pPr>
        <w:rPr>
          <w:b/>
          <w:szCs w:val="22"/>
        </w:rPr>
      </w:pPr>
      <w:r w:rsidRPr="00D13C20">
        <w:rPr>
          <w:b/>
          <w:szCs w:val="22"/>
        </w:rPr>
        <w:t>Subpart M―</w:t>
      </w:r>
      <w:r>
        <w:rPr>
          <w:b/>
          <w:szCs w:val="22"/>
        </w:rPr>
        <w:t>T</w:t>
      </w:r>
      <w:r w:rsidRPr="00D13C20">
        <w:rPr>
          <w:b/>
          <w:szCs w:val="22"/>
        </w:rPr>
        <w:t>he 76-81 GHz Band</w:t>
      </w:r>
      <w:r>
        <w:rPr>
          <w:b/>
          <w:szCs w:val="22"/>
        </w:rPr>
        <w:t xml:space="preserve"> Radar Service</w:t>
      </w:r>
    </w:p>
    <w:p w:rsidR="00726A34" w:rsidRPr="00D13C20" w:rsidRDefault="00726A34" w:rsidP="008008AC">
      <w:pPr>
        <w:rPr>
          <w:b/>
          <w:szCs w:val="22"/>
          <w:u w:val="single"/>
        </w:rPr>
      </w:pPr>
    </w:p>
    <w:p w:rsidR="008008AC" w:rsidRDefault="008008AC" w:rsidP="008008AC">
      <w:pPr>
        <w:rPr>
          <w:b/>
          <w:szCs w:val="22"/>
        </w:rPr>
      </w:pPr>
      <w:r w:rsidRPr="00152334">
        <w:rPr>
          <w:b/>
          <w:szCs w:val="22"/>
          <w:u w:val="single"/>
        </w:rPr>
        <w:t>§ 95.1601  Scope</w:t>
      </w:r>
      <w:bookmarkEnd w:id="273"/>
      <w:bookmarkEnd w:id="274"/>
      <w:r w:rsidRPr="00625CC6">
        <w:rPr>
          <w:b/>
          <w:szCs w:val="22"/>
        </w:rPr>
        <w:t>.</w:t>
      </w:r>
    </w:p>
    <w:p w:rsidR="00726A34" w:rsidRPr="00625CC6" w:rsidRDefault="00726A34" w:rsidP="008008AC">
      <w:pPr>
        <w:rPr>
          <w:b/>
          <w:szCs w:val="22"/>
        </w:rPr>
      </w:pPr>
    </w:p>
    <w:p w:rsidR="008008AC" w:rsidRDefault="008008AC" w:rsidP="008008AC">
      <w:pPr>
        <w:spacing w:after="220"/>
      </w:pPr>
      <w:r>
        <w:t>This subpart sets out the regulations governing the operation of vehicular and fixed radars operating within the band 76.0–81 GHz.  The following uses are permitted:</w:t>
      </w:r>
    </w:p>
    <w:p w:rsidR="008008AC" w:rsidRDefault="008008AC" w:rsidP="008008AC">
      <w:pPr>
        <w:spacing w:after="220"/>
      </w:pPr>
      <w:r>
        <w:t>In the 76-81 GHz band: vehicle-mounted field disturbance sensors used as vehicular radar systems; and mobile and fixed radar systems used at airport locations for foreign object debris detection on runways and for monitoring aircraft and service vehicles on taxiways and other airport vehicle service areas that have no public vehicle access.</w:t>
      </w:r>
    </w:p>
    <w:p w:rsidR="008008AC" w:rsidRDefault="008008AC" w:rsidP="008008AC">
      <w:pPr>
        <w:spacing w:after="220"/>
      </w:pPr>
      <w:r>
        <w:t>In the 76-77 GHz band: fixed radars (other than the type described above), and radars that are mounted on aircraft and that are operated only while the aircraft is on the ground.</w:t>
      </w:r>
    </w:p>
    <w:p w:rsidR="008008AC" w:rsidRDefault="008008AC" w:rsidP="008008AC">
      <w:pPr>
        <w:rPr>
          <w:b/>
          <w:szCs w:val="22"/>
          <w:u w:val="single"/>
        </w:rPr>
      </w:pPr>
      <w:bookmarkStart w:id="277" w:name="_Toc376856520"/>
      <w:bookmarkStart w:id="278" w:name="_Toc380730125"/>
      <w:r w:rsidRPr="00152334">
        <w:rPr>
          <w:b/>
          <w:szCs w:val="22"/>
          <w:u w:val="single"/>
        </w:rPr>
        <w:t>§ 95.1603  Permissible communications.</w:t>
      </w:r>
    </w:p>
    <w:p w:rsidR="0041120D" w:rsidRPr="00152334" w:rsidRDefault="0041120D" w:rsidP="008008AC">
      <w:pPr>
        <w:rPr>
          <w:b/>
          <w:szCs w:val="22"/>
          <w:u w:val="single"/>
        </w:rPr>
      </w:pPr>
    </w:p>
    <w:p w:rsidR="008008AC" w:rsidRDefault="008008AC" w:rsidP="008008AC">
      <w:pPr>
        <w:spacing w:after="220"/>
        <w:rPr>
          <w:szCs w:val="22"/>
        </w:rPr>
      </w:pPr>
      <w:r>
        <w:rPr>
          <w:szCs w:val="22"/>
        </w:rPr>
        <w:t xml:space="preserve">The transmission of data is permitted provided the primary mode of operation is as a field disturbance sensor.  Voice and video transmissions are prohibited.  </w:t>
      </w:r>
    </w:p>
    <w:p w:rsidR="008008AC" w:rsidRPr="00625CC6" w:rsidRDefault="008008AC" w:rsidP="008008AC">
      <w:pPr>
        <w:spacing w:after="220"/>
        <w:rPr>
          <w:szCs w:val="22"/>
        </w:rPr>
      </w:pPr>
      <w:r w:rsidRPr="00625CC6">
        <w:rPr>
          <w:b/>
          <w:szCs w:val="22"/>
        </w:rPr>
        <w:t>§</w:t>
      </w:r>
      <w:r w:rsidRPr="00152334">
        <w:rPr>
          <w:b/>
          <w:szCs w:val="22"/>
          <w:u w:val="single"/>
        </w:rPr>
        <w:t>95.1605   Station identification</w:t>
      </w:r>
      <w:r w:rsidRPr="00625CC6">
        <w:rPr>
          <w:szCs w:val="22"/>
        </w:rPr>
        <w:t>.</w:t>
      </w:r>
    </w:p>
    <w:p w:rsidR="008008AC" w:rsidRDefault="008008AC" w:rsidP="008008AC">
      <w:pPr>
        <w:spacing w:after="220"/>
        <w:rPr>
          <w:szCs w:val="22"/>
        </w:rPr>
      </w:pPr>
      <w:r w:rsidRPr="00A34C4A">
        <w:rPr>
          <w:szCs w:val="22"/>
        </w:rPr>
        <w:t>A station is not required to transmit a station identification announcement</w:t>
      </w:r>
      <w:r w:rsidR="0041120D">
        <w:rPr>
          <w:szCs w:val="22"/>
        </w:rPr>
        <w:t>.</w:t>
      </w:r>
    </w:p>
    <w:p w:rsidR="008008AC" w:rsidRPr="0041120D" w:rsidRDefault="008008AC" w:rsidP="008008AC">
      <w:pPr>
        <w:rPr>
          <w:b/>
          <w:szCs w:val="22"/>
          <w:u w:val="single"/>
        </w:rPr>
      </w:pPr>
      <w:r w:rsidRPr="00625CC6">
        <w:rPr>
          <w:b/>
          <w:szCs w:val="22"/>
        </w:rPr>
        <w:t>§</w:t>
      </w:r>
      <w:r w:rsidRPr="00152334">
        <w:rPr>
          <w:b/>
          <w:szCs w:val="22"/>
          <w:u w:val="single"/>
        </w:rPr>
        <w:t>95.1607   Station inspection</w:t>
      </w:r>
      <w:r w:rsidRPr="0041120D">
        <w:rPr>
          <w:b/>
          <w:szCs w:val="22"/>
          <w:u w:val="single"/>
        </w:rPr>
        <w:t>.</w:t>
      </w:r>
    </w:p>
    <w:p w:rsidR="00726A34" w:rsidRPr="0041120D" w:rsidRDefault="00726A34" w:rsidP="008008AC">
      <w:pPr>
        <w:rPr>
          <w:b/>
          <w:szCs w:val="22"/>
          <w:u w:val="single"/>
        </w:rPr>
      </w:pPr>
    </w:p>
    <w:p w:rsidR="008008AC" w:rsidRDefault="008008AC" w:rsidP="008008AC">
      <w:pPr>
        <w:rPr>
          <w:szCs w:val="22"/>
        </w:rPr>
      </w:pPr>
      <w:r w:rsidRPr="0071499C">
        <w:rPr>
          <w:szCs w:val="22"/>
        </w:rPr>
        <w:t xml:space="preserve">All </w:t>
      </w:r>
      <w:r>
        <w:rPr>
          <w:szCs w:val="22"/>
        </w:rPr>
        <w:t>76-81 GHz Band Radar Service</w:t>
      </w:r>
      <w:r w:rsidRPr="0071499C">
        <w:rPr>
          <w:szCs w:val="22"/>
        </w:rPr>
        <w:t xml:space="preserve"> </w:t>
      </w:r>
      <w:r>
        <w:rPr>
          <w:szCs w:val="22"/>
        </w:rPr>
        <w:t>equipment</w:t>
      </w:r>
      <w:r w:rsidRPr="0071499C">
        <w:rPr>
          <w:szCs w:val="22"/>
        </w:rPr>
        <w:t xml:space="preserve"> must be made available for inspection upon request by an authorized FCC representative</w:t>
      </w:r>
      <w:r w:rsidR="0041120D">
        <w:rPr>
          <w:szCs w:val="22"/>
        </w:rPr>
        <w:t>.</w:t>
      </w:r>
    </w:p>
    <w:p w:rsidR="00726A34" w:rsidRPr="0071499C" w:rsidRDefault="00726A34" w:rsidP="008008AC">
      <w:pPr>
        <w:rPr>
          <w:szCs w:val="22"/>
        </w:rPr>
      </w:pPr>
    </w:p>
    <w:p w:rsidR="008008AC" w:rsidRPr="00152334" w:rsidRDefault="008008AC" w:rsidP="008008AC">
      <w:pPr>
        <w:rPr>
          <w:b/>
          <w:szCs w:val="22"/>
          <w:u w:val="single"/>
        </w:rPr>
      </w:pPr>
      <w:r w:rsidRPr="00152334">
        <w:rPr>
          <w:b/>
          <w:szCs w:val="22"/>
          <w:u w:val="single"/>
        </w:rPr>
        <w:t>§ 95.1609  Authorized locations.</w:t>
      </w:r>
    </w:p>
    <w:p w:rsidR="00726A34" w:rsidRPr="00152334" w:rsidRDefault="00726A34" w:rsidP="008008AC">
      <w:pPr>
        <w:rPr>
          <w:b/>
          <w:szCs w:val="22"/>
          <w:u w:val="single"/>
        </w:rPr>
      </w:pPr>
    </w:p>
    <w:p w:rsidR="008008AC" w:rsidRPr="00D13C20" w:rsidRDefault="008008AC" w:rsidP="008008AC">
      <w:pPr>
        <w:spacing w:after="220"/>
        <w:rPr>
          <w:szCs w:val="22"/>
        </w:rPr>
      </w:pPr>
      <w:r w:rsidRPr="008F7312">
        <w:rPr>
          <w:szCs w:val="22"/>
        </w:rPr>
        <w:t>The operation of a 76-81 GHz Band Radar Service transmitter under this part is authorized anywhere CB station operation is permitted under §95.405</w:t>
      </w:r>
      <w:r>
        <w:rPr>
          <w:szCs w:val="22"/>
        </w:rPr>
        <w:t xml:space="preserve"> of this part</w:t>
      </w:r>
      <w:r w:rsidRPr="008F7312">
        <w:rPr>
          <w:szCs w:val="22"/>
        </w:rPr>
        <w:t>.</w:t>
      </w:r>
      <w:r>
        <w:rPr>
          <w:szCs w:val="22"/>
        </w:rPr>
        <w:t xml:space="preserve">  </w:t>
      </w:r>
    </w:p>
    <w:p w:rsidR="008008AC" w:rsidRDefault="008008AC" w:rsidP="008008AC">
      <w:pPr>
        <w:pStyle w:val="NormalWeb"/>
        <w:spacing w:before="0" w:beforeAutospacing="0" w:after="120" w:afterAutospacing="0"/>
        <w:ind w:firstLine="0"/>
        <w:rPr>
          <w:b/>
          <w:sz w:val="22"/>
          <w:szCs w:val="22"/>
        </w:rPr>
      </w:pPr>
      <w:r w:rsidRPr="00625CC6" w:rsidDel="00BC7777">
        <w:rPr>
          <w:b/>
          <w:snapToGrid w:val="0"/>
          <w:kern w:val="28"/>
          <w:szCs w:val="22"/>
        </w:rPr>
        <w:t xml:space="preserve"> </w:t>
      </w:r>
      <w:bookmarkStart w:id="279" w:name="_Toc380730129"/>
      <w:bookmarkEnd w:id="277"/>
      <w:bookmarkEnd w:id="278"/>
      <w:r w:rsidRPr="00152334">
        <w:rPr>
          <w:b/>
          <w:sz w:val="22"/>
          <w:szCs w:val="22"/>
          <w:u w:val="single"/>
        </w:rPr>
        <w:t>§ 95.1611   Information to user</w:t>
      </w:r>
      <w:r w:rsidRPr="00255DD0">
        <w:rPr>
          <w:b/>
          <w:sz w:val="22"/>
          <w:szCs w:val="22"/>
        </w:rPr>
        <w:t>.</w:t>
      </w:r>
    </w:p>
    <w:p w:rsidR="008008AC" w:rsidRDefault="008008AC" w:rsidP="008008AC">
      <w:pPr>
        <w:rPr>
          <w:szCs w:val="22"/>
        </w:rPr>
      </w:pPr>
      <w:r w:rsidRPr="008E7C6A">
        <w:rPr>
          <w:szCs w:val="22"/>
        </w:rPr>
        <w:t>The user’s manual or instruction manual for an intentional or unintentional radiator shall caution the user that changes or modifications not expressly approved by the party responsible for compliance could void the user's authority to operate the equipment.  In cases where the manual is provided only in a form other than paper, such as on a computer disk or over the Internet, the information required by this section may be included in the manual in that alternative form, provided the user can reasonably be expected to have the capability to access information in that form.</w:t>
      </w:r>
      <w:bookmarkStart w:id="280" w:name="_Toc380730130"/>
      <w:bookmarkEnd w:id="279"/>
    </w:p>
    <w:p w:rsidR="00726A34" w:rsidRPr="00D13C20" w:rsidRDefault="00726A34" w:rsidP="008008AC">
      <w:pPr>
        <w:rPr>
          <w:color w:val="000000"/>
          <w:szCs w:val="22"/>
          <w:shd w:val="clear" w:color="auto" w:fill="FFFFFF"/>
        </w:rPr>
      </w:pPr>
    </w:p>
    <w:p w:rsidR="008008AC" w:rsidRPr="00152334" w:rsidRDefault="008008AC" w:rsidP="008008AC">
      <w:pPr>
        <w:rPr>
          <w:b/>
          <w:szCs w:val="22"/>
          <w:u w:val="single"/>
        </w:rPr>
      </w:pPr>
      <w:bookmarkStart w:id="281" w:name="_Toc376856521"/>
      <w:bookmarkStart w:id="282" w:name="_Toc380730131"/>
      <w:bookmarkEnd w:id="280"/>
      <w:r w:rsidRPr="00152334">
        <w:rPr>
          <w:b/>
          <w:szCs w:val="22"/>
          <w:u w:val="single"/>
        </w:rPr>
        <w:t>§ 95.1613  Frequency use policy</w:t>
      </w:r>
      <w:bookmarkEnd w:id="281"/>
      <w:bookmarkEnd w:id="282"/>
      <w:r w:rsidRPr="00152334">
        <w:rPr>
          <w:b/>
          <w:szCs w:val="22"/>
          <w:u w:val="single"/>
        </w:rPr>
        <w:t>.</w:t>
      </w:r>
    </w:p>
    <w:p w:rsidR="00726A34" w:rsidRPr="00152334" w:rsidRDefault="00726A34" w:rsidP="008008AC">
      <w:pPr>
        <w:rPr>
          <w:b/>
          <w:szCs w:val="22"/>
          <w:u w:val="single"/>
        </w:rPr>
      </w:pPr>
    </w:p>
    <w:p w:rsidR="00726A34" w:rsidRDefault="008008AC" w:rsidP="008008AC">
      <w:pPr>
        <w:ind w:firstLine="360"/>
        <w:rPr>
          <w:szCs w:val="22"/>
        </w:rPr>
      </w:pPr>
      <w:r w:rsidRPr="00D13C20" w:rsidDel="00A34C4A">
        <w:rPr>
          <w:szCs w:val="22"/>
        </w:rPr>
        <w:t xml:space="preserve"> </w:t>
      </w:r>
      <w:r w:rsidRPr="00A34C4A">
        <w:rPr>
          <w:szCs w:val="22"/>
        </w:rPr>
        <w:t xml:space="preserve">(a) The </w:t>
      </w:r>
      <w:r>
        <w:rPr>
          <w:szCs w:val="22"/>
        </w:rPr>
        <w:t xml:space="preserve">frequencies </w:t>
      </w:r>
      <w:r w:rsidRPr="00A34C4A">
        <w:rPr>
          <w:szCs w:val="22"/>
        </w:rPr>
        <w:t xml:space="preserve">authorized to </w:t>
      </w:r>
      <w:r>
        <w:rPr>
          <w:szCs w:val="22"/>
        </w:rPr>
        <w:t xml:space="preserve">76-81 GHz Band Radar Service </w:t>
      </w:r>
      <w:r w:rsidRPr="00A34C4A">
        <w:rPr>
          <w:szCs w:val="22"/>
        </w:rPr>
        <w:t>systems by this part are available on a shared basis only and will not be assigned for the exclusive use of any entity.</w:t>
      </w:r>
      <w:r>
        <w:rPr>
          <w:szCs w:val="22"/>
        </w:rPr>
        <w:t xml:space="preserve">  Users should select and </w:t>
      </w:r>
      <w:r w:rsidRPr="00A34C4A">
        <w:rPr>
          <w:szCs w:val="22"/>
        </w:rPr>
        <w:t xml:space="preserve">use </w:t>
      </w:r>
      <w:r>
        <w:rPr>
          <w:szCs w:val="22"/>
        </w:rPr>
        <w:t>frequencies in a manner that mitigates the risk of potential interference between authorized services.</w:t>
      </w:r>
    </w:p>
    <w:p w:rsidR="008008AC" w:rsidRPr="00A34C4A" w:rsidRDefault="008008AC" w:rsidP="008008AC">
      <w:pPr>
        <w:ind w:firstLine="360"/>
        <w:rPr>
          <w:szCs w:val="22"/>
        </w:rPr>
      </w:pPr>
      <w:r w:rsidRPr="00A34C4A">
        <w:rPr>
          <w:szCs w:val="22"/>
        </w:rPr>
        <w:t xml:space="preserve"> </w:t>
      </w:r>
    </w:p>
    <w:p w:rsidR="008008AC" w:rsidRPr="00152334" w:rsidRDefault="008008AC" w:rsidP="008008AC">
      <w:pPr>
        <w:rPr>
          <w:rFonts w:eastAsia="Calibri"/>
          <w:b/>
          <w:bCs/>
          <w:szCs w:val="22"/>
          <w:u w:val="single"/>
        </w:rPr>
      </w:pPr>
      <w:r w:rsidRPr="00152334">
        <w:rPr>
          <w:rFonts w:eastAsia="Calibri"/>
          <w:b/>
          <w:bCs/>
          <w:szCs w:val="22"/>
          <w:u w:val="single"/>
        </w:rPr>
        <w:t>§ 95.1615   Technical requirements.</w:t>
      </w:r>
    </w:p>
    <w:p w:rsidR="00726A34" w:rsidRPr="00152334" w:rsidRDefault="00726A34" w:rsidP="008008AC">
      <w:pPr>
        <w:rPr>
          <w:rFonts w:eastAsia="Calibri"/>
          <w:b/>
          <w:bCs/>
          <w:szCs w:val="22"/>
          <w:u w:val="single"/>
        </w:rPr>
      </w:pPr>
    </w:p>
    <w:p w:rsidR="008008AC" w:rsidRDefault="008008AC" w:rsidP="008008AC">
      <w:pPr>
        <w:ind w:firstLine="360"/>
        <w:rPr>
          <w:rFonts w:eastAsia="Calibri"/>
          <w:szCs w:val="22"/>
        </w:rPr>
      </w:pPr>
      <w:r w:rsidRPr="008008AC">
        <w:rPr>
          <w:rFonts w:eastAsia="Calibri"/>
          <w:szCs w:val="22"/>
        </w:rPr>
        <w:t>(a) The fundamental radiated emission limits within the band 76-81 GHz provided in this section are expressed in terms of Equivalent Isotropic Radiated Power (EIRP) and are as follows:</w:t>
      </w:r>
    </w:p>
    <w:p w:rsidR="00726A34" w:rsidRPr="008008AC" w:rsidRDefault="00726A34" w:rsidP="008008AC">
      <w:pPr>
        <w:ind w:firstLine="360"/>
        <w:rPr>
          <w:rFonts w:eastAsia="Calibri"/>
          <w:szCs w:val="22"/>
        </w:rPr>
      </w:pPr>
    </w:p>
    <w:p w:rsidR="00726A34" w:rsidRDefault="008008AC" w:rsidP="008008AC">
      <w:pPr>
        <w:ind w:firstLine="360"/>
        <w:rPr>
          <w:rFonts w:eastAsia="Calibri"/>
          <w:szCs w:val="22"/>
        </w:rPr>
      </w:pPr>
      <w:r w:rsidRPr="008008AC">
        <w:rPr>
          <w:rFonts w:eastAsia="Calibri"/>
          <w:szCs w:val="22"/>
        </w:rPr>
        <w:t>(1) The maximum power (EIRP) within the bands specified in this section shall not exceed 50 dBm based on measurements employing a power averaging detector with a 1 MHz RBW. </w:t>
      </w:r>
    </w:p>
    <w:p w:rsidR="008008AC" w:rsidRPr="008008AC" w:rsidRDefault="008008AC" w:rsidP="008008AC">
      <w:pPr>
        <w:ind w:firstLine="360"/>
        <w:rPr>
          <w:rFonts w:eastAsia="Calibri"/>
          <w:szCs w:val="22"/>
        </w:rPr>
      </w:pPr>
      <w:r w:rsidRPr="008008AC">
        <w:rPr>
          <w:rFonts w:eastAsia="Calibri"/>
          <w:szCs w:val="22"/>
        </w:rPr>
        <w:t xml:space="preserve"> </w:t>
      </w:r>
    </w:p>
    <w:p w:rsidR="008008AC" w:rsidRDefault="008008AC" w:rsidP="008008AC">
      <w:pPr>
        <w:ind w:firstLine="360"/>
        <w:rPr>
          <w:rFonts w:eastAsia="Calibri"/>
          <w:szCs w:val="22"/>
        </w:rPr>
      </w:pPr>
      <w:r w:rsidRPr="008008AC">
        <w:rPr>
          <w:rFonts w:eastAsia="Calibri"/>
          <w:szCs w:val="22"/>
        </w:rPr>
        <w:t>(2) The maximum peak power (EIRP) within the bands specified in this section shall not exceed 55 dBm based on measurements employing a peak detector with a 1 MHz RBW.</w:t>
      </w:r>
    </w:p>
    <w:p w:rsidR="00726A34" w:rsidRPr="008008AC" w:rsidRDefault="00726A34" w:rsidP="008008AC">
      <w:pPr>
        <w:ind w:firstLine="360"/>
        <w:rPr>
          <w:rFonts w:eastAsia="Calibri"/>
          <w:szCs w:val="22"/>
        </w:rPr>
      </w:pPr>
    </w:p>
    <w:p w:rsidR="008008AC" w:rsidRDefault="008008AC" w:rsidP="008008AC">
      <w:pPr>
        <w:ind w:firstLine="360"/>
        <w:rPr>
          <w:rFonts w:eastAsia="Calibri"/>
          <w:szCs w:val="22"/>
        </w:rPr>
      </w:pPr>
      <w:r w:rsidRPr="008008AC">
        <w:rPr>
          <w:rFonts w:eastAsia="Calibri"/>
          <w:szCs w:val="22"/>
        </w:rPr>
        <w:t>(b) The unwanted emissions outside the operating band, 76-81 GHz, shall consist solely of spurious emissions and shall not exceed the following:</w:t>
      </w:r>
    </w:p>
    <w:p w:rsidR="00726A34" w:rsidRPr="008008AC" w:rsidRDefault="00726A34" w:rsidP="008008AC">
      <w:pPr>
        <w:ind w:firstLine="360"/>
        <w:rPr>
          <w:rFonts w:eastAsia="Calibri"/>
          <w:szCs w:val="22"/>
        </w:rPr>
      </w:pPr>
    </w:p>
    <w:p w:rsidR="008008AC" w:rsidRDefault="008008AC" w:rsidP="008008AC">
      <w:pPr>
        <w:ind w:firstLine="360"/>
        <w:rPr>
          <w:rFonts w:eastAsia="Calibri"/>
          <w:szCs w:val="22"/>
        </w:rPr>
      </w:pPr>
      <w:r w:rsidRPr="008008AC">
        <w:rPr>
          <w:rFonts w:eastAsia="Calibri"/>
          <w:szCs w:val="22"/>
        </w:rPr>
        <w:t>(1) Radiated emissions below 40 GHz shall not exceed the field strength as shown below in the emission table.</w:t>
      </w:r>
    </w:p>
    <w:p w:rsidR="00726A34" w:rsidRPr="008008AC" w:rsidRDefault="00726A34" w:rsidP="008008AC">
      <w:pPr>
        <w:ind w:firstLine="360"/>
        <w:rPr>
          <w:rFonts w:eastAsia="Calibri"/>
          <w:szCs w:val="22"/>
        </w:rPr>
      </w:pPr>
    </w:p>
    <w:tbl>
      <w:tblPr>
        <w:tblW w:w="9270" w:type="dxa"/>
        <w:tblInd w:w="108" w:type="dxa"/>
        <w:tblCellMar>
          <w:left w:w="0" w:type="dxa"/>
          <w:right w:w="0" w:type="dxa"/>
        </w:tblCellMar>
        <w:tblLook w:val="04A0" w:firstRow="1" w:lastRow="0" w:firstColumn="1" w:lastColumn="0" w:noHBand="0" w:noVBand="1"/>
      </w:tblPr>
      <w:tblGrid>
        <w:gridCol w:w="2430"/>
        <w:gridCol w:w="3738"/>
        <w:gridCol w:w="3102"/>
      </w:tblGrid>
      <w:tr w:rsidR="008008AC" w:rsidRPr="002B2510" w:rsidTr="00512EAC">
        <w:tc>
          <w:tcPr>
            <w:tcW w:w="243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bottom"/>
            <w:hideMark/>
          </w:tcPr>
          <w:p w:rsidR="008008AC" w:rsidRPr="008008AC" w:rsidRDefault="008008AC" w:rsidP="00512EAC">
            <w:pPr>
              <w:ind w:left="-108"/>
              <w:jc w:val="center"/>
              <w:rPr>
                <w:rFonts w:eastAsia="Calibri"/>
                <w:b/>
                <w:bCs/>
                <w:szCs w:val="22"/>
              </w:rPr>
            </w:pPr>
            <w:r w:rsidRPr="008008AC">
              <w:rPr>
                <w:rFonts w:eastAsia="Calibri"/>
                <w:b/>
                <w:bCs/>
                <w:szCs w:val="22"/>
              </w:rPr>
              <w:t>Frequency (MHz)</w:t>
            </w:r>
          </w:p>
        </w:tc>
        <w:tc>
          <w:tcPr>
            <w:tcW w:w="37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8008AC" w:rsidRPr="008008AC" w:rsidRDefault="008008AC" w:rsidP="00512EAC">
            <w:pPr>
              <w:jc w:val="center"/>
              <w:rPr>
                <w:rFonts w:eastAsia="Calibri"/>
                <w:b/>
                <w:bCs/>
                <w:szCs w:val="22"/>
              </w:rPr>
            </w:pPr>
            <w:r w:rsidRPr="008008AC">
              <w:rPr>
                <w:rFonts w:eastAsia="Calibri"/>
                <w:b/>
                <w:bCs/>
                <w:szCs w:val="22"/>
              </w:rPr>
              <w:t>Field strength (microvolts/meter)</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008AC" w:rsidRPr="008008AC" w:rsidRDefault="008008AC" w:rsidP="00512EAC">
            <w:pPr>
              <w:ind w:right="-108"/>
              <w:jc w:val="center"/>
              <w:rPr>
                <w:rFonts w:eastAsia="Calibri"/>
                <w:b/>
                <w:bCs/>
                <w:szCs w:val="22"/>
              </w:rPr>
            </w:pPr>
            <w:r w:rsidRPr="008008AC">
              <w:rPr>
                <w:rFonts w:eastAsia="Calibri"/>
                <w:b/>
                <w:bCs/>
                <w:szCs w:val="22"/>
              </w:rPr>
              <w:t>Measurement distance (meters)</w:t>
            </w:r>
          </w:p>
        </w:tc>
      </w:tr>
      <w:tr w:rsidR="008008AC" w:rsidRPr="002B2510" w:rsidTr="00512EA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0.009-0.490</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2400/F(kHz)</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 xml:space="preserve">300  </w:t>
            </w:r>
          </w:p>
        </w:tc>
      </w:tr>
      <w:tr w:rsidR="008008AC" w:rsidRPr="002B2510" w:rsidTr="00512EA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0.490-1.705</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24000/F(kHz)</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30</w:t>
            </w:r>
          </w:p>
        </w:tc>
      </w:tr>
      <w:tr w:rsidR="008008AC" w:rsidRPr="002B2510" w:rsidTr="00512EA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1.705-30.0</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30</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30</w:t>
            </w:r>
          </w:p>
        </w:tc>
      </w:tr>
      <w:tr w:rsidR="008008AC" w:rsidRPr="002B2510" w:rsidTr="00512EA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30-88</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100</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3</w:t>
            </w:r>
          </w:p>
        </w:tc>
      </w:tr>
      <w:tr w:rsidR="008008AC" w:rsidRPr="002B2510" w:rsidTr="00512EA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88-216</w:t>
            </w:r>
          </w:p>
        </w:tc>
        <w:tc>
          <w:tcPr>
            <w:tcW w:w="37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150</w:t>
            </w:r>
          </w:p>
        </w:tc>
        <w:tc>
          <w:tcPr>
            <w:tcW w:w="3102" w:type="dxa"/>
            <w:tcBorders>
              <w:top w:val="nil"/>
              <w:left w:val="nil"/>
              <w:bottom w:val="single" w:sz="8" w:space="0" w:color="auto"/>
              <w:right w:val="single" w:sz="8"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3</w:t>
            </w:r>
          </w:p>
        </w:tc>
      </w:tr>
      <w:tr w:rsidR="008008AC" w:rsidRPr="002B2510" w:rsidTr="00512EAC">
        <w:tc>
          <w:tcPr>
            <w:tcW w:w="2430"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216-960</w:t>
            </w:r>
          </w:p>
        </w:tc>
        <w:tc>
          <w:tcPr>
            <w:tcW w:w="3738"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200</w:t>
            </w:r>
          </w:p>
        </w:tc>
        <w:tc>
          <w:tcPr>
            <w:tcW w:w="3102" w:type="dxa"/>
            <w:tcBorders>
              <w:top w:val="nil"/>
              <w:left w:val="nil"/>
              <w:bottom w:val="single" w:sz="4" w:space="0" w:color="auto"/>
              <w:right w:val="single" w:sz="8"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3</w:t>
            </w:r>
          </w:p>
        </w:tc>
      </w:tr>
      <w:tr w:rsidR="008008AC" w:rsidRPr="002B2510" w:rsidTr="00512EAC">
        <w:tc>
          <w:tcPr>
            <w:tcW w:w="243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08AC" w:rsidRPr="008008AC" w:rsidRDefault="008008AC" w:rsidP="00512EAC">
            <w:pPr>
              <w:ind w:left="-108"/>
              <w:rPr>
                <w:rFonts w:eastAsia="Calibri"/>
                <w:szCs w:val="22"/>
              </w:rPr>
            </w:pPr>
            <w:r w:rsidRPr="008008AC">
              <w:rPr>
                <w:rFonts w:eastAsia="Calibri"/>
                <w:szCs w:val="22"/>
              </w:rPr>
              <w:t>Above 960</w:t>
            </w:r>
          </w:p>
        </w:tc>
        <w:tc>
          <w:tcPr>
            <w:tcW w:w="373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008AC" w:rsidRPr="008008AC" w:rsidRDefault="008008AC" w:rsidP="00512EAC">
            <w:pPr>
              <w:rPr>
                <w:rFonts w:eastAsia="Calibri"/>
                <w:szCs w:val="22"/>
              </w:rPr>
            </w:pPr>
            <w:r w:rsidRPr="008008AC">
              <w:rPr>
                <w:rFonts w:eastAsia="Calibri"/>
                <w:szCs w:val="22"/>
              </w:rPr>
              <w:t>500</w:t>
            </w:r>
          </w:p>
        </w:tc>
        <w:tc>
          <w:tcPr>
            <w:tcW w:w="310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008AC" w:rsidRPr="008008AC" w:rsidRDefault="008008AC" w:rsidP="00512EAC">
            <w:pPr>
              <w:jc w:val="right"/>
              <w:rPr>
                <w:rFonts w:eastAsia="Calibri"/>
                <w:szCs w:val="22"/>
              </w:rPr>
            </w:pPr>
            <w:r w:rsidRPr="008008AC">
              <w:rPr>
                <w:rFonts w:eastAsia="Calibri"/>
                <w:szCs w:val="22"/>
              </w:rPr>
              <w:t>3</w:t>
            </w:r>
          </w:p>
        </w:tc>
      </w:tr>
    </w:tbl>
    <w:p w:rsidR="008008AC" w:rsidRPr="008008AC" w:rsidRDefault="008008AC" w:rsidP="008008AC">
      <w:pPr>
        <w:ind w:firstLine="360"/>
        <w:rPr>
          <w:rFonts w:eastAsia="Calibri"/>
          <w:b/>
          <w:bCs/>
          <w:szCs w:val="22"/>
          <w:highlight w:val="yellow"/>
        </w:rPr>
      </w:pPr>
    </w:p>
    <w:p w:rsidR="008008AC" w:rsidRDefault="008008AC" w:rsidP="008008AC">
      <w:pPr>
        <w:ind w:firstLine="360"/>
        <w:rPr>
          <w:rFonts w:eastAsia="Calibri"/>
          <w:szCs w:val="22"/>
        </w:rPr>
      </w:pPr>
      <w:r w:rsidRPr="008008AC">
        <w:rPr>
          <w:rFonts w:eastAsia="Calibri"/>
          <w:szCs w:val="22"/>
        </w:rPr>
        <w:t>(i) In the emission table above, the tighter limit applies at the band edges.</w:t>
      </w:r>
    </w:p>
    <w:p w:rsidR="00726A34" w:rsidRPr="008008AC" w:rsidRDefault="00726A34" w:rsidP="008008AC">
      <w:pPr>
        <w:ind w:firstLine="360"/>
        <w:rPr>
          <w:rFonts w:eastAsia="Calibri"/>
          <w:szCs w:val="22"/>
        </w:rPr>
      </w:pPr>
    </w:p>
    <w:p w:rsidR="008008AC" w:rsidRDefault="008008AC" w:rsidP="00620D42">
      <w:pPr>
        <w:widowControl/>
        <w:ind w:firstLine="360"/>
        <w:rPr>
          <w:rFonts w:eastAsia="Calibri"/>
          <w:szCs w:val="22"/>
        </w:rPr>
      </w:pPr>
      <w:r w:rsidRPr="008008AC">
        <w:rPr>
          <w:rFonts w:eastAsia="Calibri"/>
          <w:szCs w:val="22"/>
        </w:rPr>
        <w:t>(ii) The limits in this table are based on the frequency of the unwanted emission and not the fundamental frequency.  However, the level of any unwanted emissions shall not exceed the level of the fundamental frequency.</w:t>
      </w:r>
    </w:p>
    <w:p w:rsidR="00726A34" w:rsidRPr="008008AC" w:rsidRDefault="00726A34" w:rsidP="008008AC">
      <w:pPr>
        <w:ind w:firstLine="360"/>
        <w:rPr>
          <w:rFonts w:eastAsia="Calibri"/>
          <w:szCs w:val="22"/>
        </w:rPr>
      </w:pPr>
    </w:p>
    <w:p w:rsidR="008008AC" w:rsidRDefault="006A6286" w:rsidP="008008AC">
      <w:pPr>
        <w:ind w:firstLine="360"/>
        <w:rPr>
          <w:rFonts w:eastAsia="Calibri"/>
          <w:szCs w:val="22"/>
        </w:rPr>
      </w:pPr>
      <w:r w:rsidRPr="008008AC">
        <w:rPr>
          <w:rFonts w:eastAsia="Calibri"/>
          <w:szCs w:val="22"/>
        </w:rPr>
        <w:t xml:space="preserve">(iii) The emission limits shown in the above table are based on measurements employing a CISPR quasi-peak detector except for the frequency bands 9.0-90.0 kHz, 110.0-490.0 kHz and above 1000 MHz. </w:t>
      </w:r>
      <w:r>
        <w:rPr>
          <w:rFonts w:eastAsia="Calibri"/>
          <w:szCs w:val="22"/>
        </w:rPr>
        <w:t xml:space="preserve"> </w:t>
      </w:r>
      <w:r w:rsidRPr="008008AC">
        <w:rPr>
          <w:rFonts w:eastAsia="Calibri"/>
          <w:szCs w:val="22"/>
        </w:rPr>
        <w:t>Radiated emission limits in these three bands are based on measurements employing an average detector with a 1 MHz RBW.</w:t>
      </w:r>
    </w:p>
    <w:p w:rsidR="00726A34" w:rsidRPr="008008AC" w:rsidRDefault="00726A34" w:rsidP="008008AC">
      <w:pPr>
        <w:ind w:firstLine="360"/>
        <w:rPr>
          <w:rFonts w:eastAsia="Calibri"/>
          <w:szCs w:val="22"/>
        </w:rPr>
      </w:pPr>
    </w:p>
    <w:p w:rsidR="008008AC" w:rsidRDefault="008008AC" w:rsidP="008008AC">
      <w:pPr>
        <w:ind w:firstLine="360"/>
        <w:rPr>
          <w:rFonts w:eastAsia="Calibri"/>
          <w:szCs w:val="22"/>
        </w:rPr>
      </w:pPr>
      <w:r w:rsidRPr="008008AC">
        <w:rPr>
          <w:rFonts w:eastAsia="Calibri"/>
          <w:szCs w:val="22"/>
        </w:rPr>
        <w:t>(2) The power density of radiated emissions outside the operating band above 40.0 GHz shall not exceed the following employing an average detector with a 1 MHz RBW:</w:t>
      </w:r>
    </w:p>
    <w:p w:rsidR="00726A34" w:rsidRPr="008008AC" w:rsidRDefault="00726A34" w:rsidP="008008AC">
      <w:pPr>
        <w:ind w:firstLine="360"/>
        <w:rPr>
          <w:rFonts w:eastAsia="Calibri"/>
          <w:szCs w:val="22"/>
        </w:rPr>
      </w:pPr>
    </w:p>
    <w:p w:rsidR="008008AC" w:rsidRDefault="008008AC" w:rsidP="008008AC">
      <w:pPr>
        <w:ind w:firstLine="360"/>
        <w:rPr>
          <w:rFonts w:eastAsia="Calibri"/>
          <w:szCs w:val="22"/>
        </w:rPr>
      </w:pPr>
      <w:r w:rsidRPr="008008AC">
        <w:rPr>
          <w:rFonts w:eastAsia="Calibri"/>
          <w:szCs w:val="22"/>
        </w:rPr>
        <w:t>(i) For radiated emissions between 40 and 200 GHz from field disturbance sensors and radar systems operating in the band 76-81 GHz: 600 pW/cm</w:t>
      </w:r>
      <w:r w:rsidRPr="008008AC">
        <w:rPr>
          <w:rFonts w:eastAsia="Calibri"/>
          <w:szCs w:val="22"/>
          <w:vertAlign w:val="superscript"/>
        </w:rPr>
        <w:t>2</w:t>
      </w:r>
      <w:r w:rsidRPr="008008AC">
        <w:rPr>
          <w:rFonts w:eastAsia="Calibri"/>
          <w:szCs w:val="22"/>
        </w:rPr>
        <w:t xml:space="preserve"> at a distance of 3 meters from the exterior surface of the radiating structure.</w:t>
      </w:r>
    </w:p>
    <w:p w:rsidR="00726A34" w:rsidRPr="008008AC" w:rsidRDefault="00726A34" w:rsidP="008008AC">
      <w:pPr>
        <w:ind w:firstLine="360"/>
        <w:rPr>
          <w:rFonts w:eastAsia="Calibri"/>
          <w:szCs w:val="22"/>
        </w:rPr>
      </w:pPr>
    </w:p>
    <w:p w:rsidR="008008AC" w:rsidRDefault="008008AC" w:rsidP="008008AC">
      <w:pPr>
        <w:ind w:firstLine="360"/>
        <w:rPr>
          <w:rFonts w:eastAsia="Calibri"/>
          <w:szCs w:val="22"/>
        </w:rPr>
      </w:pPr>
      <w:r w:rsidRPr="008008AC">
        <w:rPr>
          <w:rFonts w:eastAsia="Calibri"/>
          <w:szCs w:val="22"/>
        </w:rPr>
        <w:t>(ii) For radiated emissions above 200 GHz from field disturbance sensors and radar systems operating in the 76-81 GHz band: 1000 pW/cm</w:t>
      </w:r>
      <w:r w:rsidRPr="008008AC">
        <w:rPr>
          <w:rFonts w:eastAsia="Calibri"/>
          <w:szCs w:val="22"/>
          <w:vertAlign w:val="superscript"/>
        </w:rPr>
        <w:t>2</w:t>
      </w:r>
      <w:r w:rsidRPr="008008AC">
        <w:rPr>
          <w:rFonts w:eastAsia="Calibri"/>
          <w:szCs w:val="22"/>
        </w:rPr>
        <w:t xml:space="preserve"> at a distance of 3 meters from the exterior surface of the radiating structure.</w:t>
      </w:r>
    </w:p>
    <w:p w:rsidR="00726A34" w:rsidRPr="008008AC" w:rsidRDefault="00726A34" w:rsidP="008008AC">
      <w:pPr>
        <w:ind w:firstLine="360"/>
        <w:rPr>
          <w:rFonts w:eastAsia="Calibri"/>
          <w:szCs w:val="22"/>
        </w:rPr>
      </w:pPr>
    </w:p>
    <w:p w:rsidR="008008AC" w:rsidRDefault="008008AC" w:rsidP="008008AC">
      <w:pPr>
        <w:ind w:firstLine="360"/>
        <w:rPr>
          <w:rFonts w:eastAsia="Calibri"/>
          <w:szCs w:val="22"/>
        </w:rPr>
      </w:pPr>
      <w:r w:rsidRPr="008008AC">
        <w:rPr>
          <w:rFonts w:eastAsia="Calibri"/>
          <w:szCs w:val="22"/>
        </w:rPr>
        <w:t>(3) For field disturbance sensors and radar systems operating in the 76-81 GHz band, the spectrum shall be investigated up to 231.0 GHz.</w:t>
      </w:r>
    </w:p>
    <w:p w:rsidR="00726A34" w:rsidRPr="008008AC" w:rsidRDefault="00726A34" w:rsidP="008008AC">
      <w:pPr>
        <w:ind w:firstLine="360"/>
        <w:rPr>
          <w:rFonts w:eastAsia="Calibri"/>
          <w:szCs w:val="22"/>
        </w:rPr>
      </w:pPr>
    </w:p>
    <w:p w:rsidR="008008AC" w:rsidRPr="00D13C20" w:rsidRDefault="008008AC" w:rsidP="008008AC">
      <w:pPr>
        <w:spacing w:after="220"/>
        <w:ind w:firstLine="360"/>
        <w:rPr>
          <w:szCs w:val="22"/>
        </w:rPr>
      </w:pPr>
      <w:r w:rsidRPr="008008AC">
        <w:rPr>
          <w:rFonts w:eastAsia="Calibri"/>
          <w:szCs w:val="22"/>
        </w:rPr>
        <w:t>(c) Fundamental emissions must be contained within the frequency bands specified in this section during all conditions of operation.  Equipment is presumed to operate over the temperature range −20 to +50 degrees Celsius with an input voltage variation of 85% to 115% of rated input voltage, unless justification is presented to demonstrate otherwise.</w:t>
      </w:r>
      <w:bookmarkStart w:id="283" w:name="_Toc376856525"/>
      <w:bookmarkStart w:id="284" w:name="_Toc380730136"/>
    </w:p>
    <w:p w:rsidR="008008AC" w:rsidRPr="00152334" w:rsidRDefault="008008AC" w:rsidP="008008AC">
      <w:pPr>
        <w:rPr>
          <w:b/>
          <w:szCs w:val="22"/>
          <w:u w:val="single"/>
        </w:rPr>
      </w:pPr>
      <w:bookmarkStart w:id="285" w:name="_Toc376856526"/>
      <w:bookmarkStart w:id="286" w:name="_Toc380730137"/>
      <w:bookmarkEnd w:id="283"/>
      <w:bookmarkEnd w:id="284"/>
      <w:r w:rsidRPr="00152334">
        <w:rPr>
          <w:b/>
          <w:szCs w:val="22"/>
          <w:u w:val="single"/>
        </w:rPr>
        <w:t>§ 95.1617   RF safety</w:t>
      </w:r>
      <w:bookmarkEnd w:id="285"/>
      <w:bookmarkEnd w:id="286"/>
      <w:r w:rsidRPr="00152334">
        <w:rPr>
          <w:b/>
          <w:szCs w:val="22"/>
          <w:u w:val="single"/>
        </w:rPr>
        <w:t>.</w:t>
      </w:r>
    </w:p>
    <w:p w:rsidR="00726A34" w:rsidRPr="00152334" w:rsidRDefault="00726A34" w:rsidP="008008AC">
      <w:pPr>
        <w:rPr>
          <w:b/>
          <w:szCs w:val="22"/>
          <w:u w:val="single"/>
        </w:rPr>
      </w:pPr>
    </w:p>
    <w:p w:rsidR="008008AC" w:rsidRDefault="008008AC" w:rsidP="008008AC">
      <w:pPr>
        <w:spacing w:after="220"/>
        <w:ind w:firstLine="360"/>
        <w:rPr>
          <w:szCs w:val="22"/>
        </w:rPr>
      </w:pPr>
      <w:r w:rsidRPr="00D13C20">
        <w:rPr>
          <w:szCs w:val="22"/>
        </w:rPr>
        <w:t>Regardless of the power density levels permitted under this subpart, devices operating under the provisions of this subpart are subject to the radiofrequency radiation exposure requirements specified in §§1.1307(b), 2.1091 and 2.1093 of this chapter, as appropriate.  Applications for equipment authorization of devices operating under this section must contain a statement confirming compliance with these requirements for both fundamental emissions and unwanted emissions.  Technical information showing the basis for this statement must be submitted to the Commission upon request.</w:t>
      </w:r>
      <w:bookmarkStart w:id="287" w:name="_Toc376856527"/>
      <w:bookmarkStart w:id="288" w:name="_Toc380730138"/>
    </w:p>
    <w:p w:rsidR="008008AC" w:rsidRDefault="008008AC" w:rsidP="008008AC">
      <w:pPr>
        <w:rPr>
          <w:szCs w:val="22"/>
        </w:rPr>
      </w:pPr>
      <w:r w:rsidRPr="00D13C20">
        <w:rPr>
          <w:szCs w:val="22"/>
        </w:rPr>
        <w:t>* * * * *</w:t>
      </w:r>
      <w:bookmarkEnd w:id="287"/>
      <w:bookmarkEnd w:id="288"/>
    </w:p>
    <w:p w:rsidR="008008AC" w:rsidRDefault="008008AC" w:rsidP="008008AC">
      <w:pPr>
        <w:rPr>
          <w:szCs w:val="22"/>
        </w:rPr>
        <w:sectPr w:rsidR="008008AC" w:rsidSect="009F2BCE">
          <w:headerReference w:type="first" r:id="rId22"/>
          <w:footerReference w:type="first" r:id="rId23"/>
          <w:pgSz w:w="12240" w:h="15840"/>
          <w:pgMar w:top="1440" w:right="1440" w:bottom="720" w:left="1440" w:header="720" w:footer="720" w:gutter="0"/>
          <w:pgNumType w:start="1"/>
          <w:cols w:space="720"/>
          <w:titlePg/>
        </w:sectPr>
      </w:pPr>
    </w:p>
    <w:p w:rsidR="00044B05" w:rsidRDefault="00044B05" w:rsidP="00044B05">
      <w:pPr>
        <w:jc w:val="center"/>
        <w:rPr>
          <w:b/>
          <w:szCs w:val="22"/>
        </w:rPr>
      </w:pPr>
      <w:r>
        <w:rPr>
          <w:b/>
          <w:szCs w:val="22"/>
        </w:rPr>
        <w:t>APPENDIX C</w:t>
      </w:r>
    </w:p>
    <w:p w:rsidR="00044B05" w:rsidRDefault="00044B05" w:rsidP="00044B05">
      <w:pPr>
        <w:ind w:left="-187"/>
        <w:jc w:val="center"/>
        <w:rPr>
          <w:b/>
          <w:szCs w:val="22"/>
        </w:rPr>
      </w:pPr>
    </w:p>
    <w:p w:rsidR="00044B05" w:rsidRDefault="00044B05" w:rsidP="00044B05">
      <w:pPr>
        <w:ind w:left="-187"/>
        <w:jc w:val="center"/>
        <w:rPr>
          <w:b/>
          <w:szCs w:val="22"/>
        </w:rPr>
      </w:pPr>
      <w:r>
        <w:rPr>
          <w:b/>
          <w:szCs w:val="22"/>
        </w:rPr>
        <w:t>Initial Regulatory Flexibility Analysis</w:t>
      </w:r>
    </w:p>
    <w:p w:rsidR="00044B05" w:rsidRDefault="00044B05" w:rsidP="00044B05">
      <w:pPr>
        <w:ind w:left="-187"/>
        <w:jc w:val="center"/>
        <w:rPr>
          <w:b/>
          <w:szCs w:val="22"/>
        </w:rPr>
      </w:pPr>
    </w:p>
    <w:p w:rsidR="00044B05" w:rsidRDefault="00044B05" w:rsidP="00702770">
      <w:pPr>
        <w:pStyle w:val="ParaNum"/>
        <w:numPr>
          <w:ilvl w:val="0"/>
          <w:numId w:val="25"/>
        </w:numPr>
      </w:pPr>
      <w:r>
        <w:t xml:space="preserve"> As required by the Regulatory Flexibility Act of 1980, as amended (RFA),</w:t>
      </w:r>
      <w:r>
        <w:rPr>
          <w:sz w:val="20"/>
          <w:vertAlign w:val="superscript"/>
        </w:rPr>
        <w:footnoteReference w:id="135"/>
      </w:r>
      <w:r>
        <w:t xml:space="preserve"> the Commission has prepared this present Initial Regulatory Flexibility Analysis (IRFA) of the possible significant economic impact on small entities by the policies and rules proposed in this</w:t>
      </w:r>
      <w:r w:rsidRPr="00702770">
        <w:rPr>
          <w:i/>
        </w:rPr>
        <w:t xml:space="preserve"> </w:t>
      </w:r>
      <w:r>
        <w:t>Notice of Proposed Rulemaking and Memorandum Opinion and Order (Notice).  Written public comments are requested on this IRFA.  Comments must be identified as responses to the IRFA and must be filed by the deadlines specified in the Notice for comments.  The Commission will send a copy of this Notice, including this IRFA, to the Chief Counsel for Advocacy of the Small Business Administration (SBA).</w:t>
      </w:r>
      <w:r>
        <w:rPr>
          <w:sz w:val="20"/>
          <w:vertAlign w:val="superscript"/>
        </w:rPr>
        <w:footnoteReference w:id="136"/>
      </w:r>
      <w:r>
        <w:t xml:space="preserve">  In addition, the Notice and IRFA (or summaries thereof) will be published in the Federal Register.</w:t>
      </w:r>
      <w:r>
        <w:rPr>
          <w:sz w:val="20"/>
          <w:vertAlign w:val="superscript"/>
        </w:rPr>
        <w:footnoteReference w:id="137"/>
      </w:r>
    </w:p>
    <w:p w:rsidR="00044B05" w:rsidRDefault="00044B05" w:rsidP="00044B05">
      <w:pPr>
        <w:tabs>
          <w:tab w:val="left" w:pos="1440"/>
        </w:tabs>
        <w:spacing w:after="220"/>
        <w:ind w:left="-187" w:firstLine="720"/>
        <w:rPr>
          <w:b/>
          <w:szCs w:val="22"/>
        </w:rPr>
      </w:pPr>
      <w:r>
        <w:rPr>
          <w:b/>
          <w:szCs w:val="22"/>
        </w:rPr>
        <w:t>A.</w:t>
      </w:r>
      <w:r>
        <w:rPr>
          <w:b/>
          <w:szCs w:val="22"/>
        </w:rPr>
        <w:tab/>
        <w:t>Need for, and Objectives of, the Proposed Rules</w:t>
      </w:r>
    </w:p>
    <w:p w:rsidR="00044B05" w:rsidRDefault="00044B05" w:rsidP="00620D42">
      <w:pPr>
        <w:pStyle w:val="ParaNum"/>
      </w:pPr>
      <w:r>
        <w:t xml:space="preserve"> This Notice responds to petitions for rulemaking filed by Robert Bosch, LLC (Bosch) requesting modifications to Section 15.253 of the rules to extend operating frequency for vehicular radar systems from 76-77 GHz to the 76-81 GHz band.  Vehicular radars can determine the exact distance and relative speed of objects in front of, beside, or behind a car to improve the driver’s ability to perceive objects under bad visibility conditions or objects that are in blind spots.  Some examples of vehicular radar systems include collision warning and mitigation systems, blind spot detection systems, lane change assist, and parking aid systems.  The Notice proposes to extend the operating frequency for unlicensed vehicular radar systems from 76-77 GHz to 76-81 GHz.  These modifications to the rules will provide more efficient use of spectrum, and enable the automotive industries to develop enhanced safety measures for drivers and the general public.</w:t>
      </w:r>
    </w:p>
    <w:p w:rsidR="00044B05" w:rsidRDefault="00044B05" w:rsidP="00620D42">
      <w:pPr>
        <w:pStyle w:val="ParaNum"/>
      </w:pPr>
      <w:r>
        <w:t xml:space="preserve"> Airports are challenged with managing increasing congestion on the ground.  These rule modification will add to the tools that enhance an airport’s ability to determine the location of airplanes and airport ground vehicles that are operating in taxiways and runways.  The presence of foreign object debris (FOD) in an airport’s air operations area (AOA) poses a significant threat to the safety of air travel.  Foreign object debris on taxiways and runways has the potential to damage aircraft during the critical phases of takeoffs and landings, which can lead to catastrophic loss of life and at the very least increased maintenance and operating costs.</w:t>
      </w:r>
      <w:r>
        <w:rPr>
          <w:sz w:val="20"/>
          <w:vertAlign w:val="superscript"/>
        </w:rPr>
        <w:footnoteReference w:id="138"/>
      </w:r>
      <w:r>
        <w:t xml:space="preserve">  These rule modification will help reduce FOD hazards through the implementation of a FOD management program and the effective use of FOD detection and removal equipment.</w:t>
      </w:r>
      <w:r>
        <w:rPr>
          <w:sz w:val="20"/>
          <w:vertAlign w:val="superscript"/>
        </w:rPr>
        <w:footnoteReference w:id="139"/>
      </w:r>
    </w:p>
    <w:p w:rsidR="00044B05" w:rsidRDefault="00044B05" w:rsidP="00620D42">
      <w:pPr>
        <w:pStyle w:val="ParaNum"/>
      </w:pPr>
      <w:r>
        <w:t xml:space="preserve"> Our rule modifications also propose to expand the use of radar in the 76-77 GHz band to aircraft-mounted radars.  This application, also referred to as “wingtip radar” and used only while aircraft are on the ground, is intended to prevent or mitigate the severity of aircraft wing collisions while the </w:t>
      </w:r>
      <w:r w:rsidR="006A6286">
        <w:t>plane is</w:t>
      </w:r>
      <w:r>
        <w:t xml:space="preserve"> taxiing tarmacs.  Mitigating the risk of wingtip collisions can reduce costs and improve safety for both aviation personnel and the travelling public.</w:t>
      </w:r>
      <w:r>
        <w:rPr>
          <w:rStyle w:val="FootnoteReference"/>
          <w:szCs w:val="22"/>
        </w:rPr>
        <w:footnoteReference w:id="140"/>
      </w:r>
      <w:r>
        <w:t xml:space="preserve">  The use of wingtip radar also appears to support National Transportation Safety Board (NTSB) safety recommendation regarding the use of anti-collision aids on aircraft.</w:t>
      </w:r>
      <w:r>
        <w:rPr>
          <w:rStyle w:val="FootnoteReference"/>
          <w:szCs w:val="22"/>
        </w:rPr>
        <w:footnoteReference w:id="141"/>
      </w:r>
      <w:r>
        <w:t xml:space="preserve">  Our overall objective is to promote efficient use of the spectrum and facilitate development of technologies that will improve airport operations and provide enhance safety measures for both airport personnel and the general public.</w:t>
      </w:r>
    </w:p>
    <w:p w:rsidR="00044B05" w:rsidRDefault="00044B05" w:rsidP="00620D42">
      <w:pPr>
        <w:pStyle w:val="ParaNum"/>
      </w:pPr>
      <w:r>
        <w:t>There is new demand for fixed infrastructure radar applications beyond airport locations.  Some of these applications are monitoring tunnels or bridges for stopped vehicles, providing collision warning systems for ship-to-shore cranes and providing train detection for automatic train control.</w:t>
      </w:r>
      <w:r>
        <w:rPr>
          <w:rStyle w:val="FootnoteReference"/>
          <w:szCs w:val="22"/>
        </w:rPr>
        <w:footnoteReference w:id="142"/>
      </w:r>
      <w:r>
        <w:t xml:space="preserve">  In our rule modifications to permit such use we seek efficient use of the spectrum, harmonize global use of the spectrum, and facilitate development of technologies that serve public interest and convenience.</w:t>
      </w:r>
    </w:p>
    <w:p w:rsidR="00044B05" w:rsidRDefault="00044B05" w:rsidP="00044B05">
      <w:pPr>
        <w:spacing w:after="220"/>
        <w:ind w:left="-187" w:firstLine="720"/>
        <w:rPr>
          <w:b/>
          <w:szCs w:val="22"/>
        </w:rPr>
      </w:pPr>
      <w:r>
        <w:rPr>
          <w:b/>
          <w:szCs w:val="22"/>
        </w:rPr>
        <w:t>B.</w:t>
      </w:r>
      <w:r>
        <w:rPr>
          <w:b/>
          <w:szCs w:val="22"/>
        </w:rPr>
        <w:tab/>
        <w:t>Legal Basis.</w:t>
      </w:r>
    </w:p>
    <w:p w:rsidR="00044B05" w:rsidRDefault="00044B05" w:rsidP="00620D42">
      <w:pPr>
        <w:pStyle w:val="ParaNum"/>
      </w:pPr>
      <w:r>
        <w:t xml:space="preserve"> This action is authorized under Sections 1, 4(i), 302, 303(f) and (r), 332, and 337 of the Communications Act of 1934, as amended, 47 U.S.C. §§ 1, 4(i), 154(i), 302, 303(f) and (r), 332, 337.</w:t>
      </w:r>
    </w:p>
    <w:p w:rsidR="00044B05" w:rsidRDefault="00044B05" w:rsidP="00044B05">
      <w:pPr>
        <w:spacing w:after="220"/>
        <w:ind w:left="-187" w:firstLine="720"/>
        <w:rPr>
          <w:b/>
          <w:szCs w:val="22"/>
        </w:rPr>
      </w:pPr>
      <w:r>
        <w:rPr>
          <w:b/>
          <w:szCs w:val="22"/>
        </w:rPr>
        <w:t>C.</w:t>
      </w:r>
      <w:r>
        <w:rPr>
          <w:b/>
          <w:szCs w:val="22"/>
        </w:rPr>
        <w:tab/>
        <w:t>Description and Estimate of the Number of Small Entities to Which the Proposed Rule Will Apply</w:t>
      </w:r>
    </w:p>
    <w:p w:rsidR="00044B05" w:rsidRDefault="00044B05" w:rsidP="00620D42">
      <w:pPr>
        <w:pStyle w:val="ParaNum"/>
      </w:pPr>
      <w:r>
        <w:t xml:space="preserve"> The RFA directs agencies to provide a description of, and, where feasible, an estimate of, the number of small entities that may be affected by the rules adopted herein.</w:t>
      </w:r>
      <w:r>
        <w:rPr>
          <w:sz w:val="20"/>
          <w:vertAlign w:val="superscript"/>
        </w:rPr>
        <w:footnoteReference w:id="143"/>
      </w:r>
      <w:r>
        <w:t xml:space="preserve">  The RFA generally defines the term “small entity” as having the same meaning as the terms “small business,” “small organization,” and “small governmental jurisdiction.”</w:t>
      </w:r>
      <w:r>
        <w:rPr>
          <w:sz w:val="20"/>
          <w:vertAlign w:val="superscript"/>
        </w:rPr>
        <w:footnoteReference w:id="144"/>
      </w:r>
      <w:r>
        <w:t xml:space="preserve">  In addition, the term “small business” has the same meaning as the term “small business concern” under the Small Business Act.</w:t>
      </w:r>
      <w:r>
        <w:rPr>
          <w:sz w:val="20"/>
          <w:vertAlign w:val="superscript"/>
        </w:rPr>
        <w:footnoteReference w:id="145"/>
      </w:r>
      <w:r>
        <w:t xml:space="preserve">  A “small business concern” is one which: (1) is independently owned and operated; (2) is not dominant in its field of operation; and (3) satisfies any additional criteria established by the Small Business Administration (SBA).</w:t>
      </w:r>
      <w:r>
        <w:rPr>
          <w:sz w:val="20"/>
          <w:vertAlign w:val="superscript"/>
        </w:rPr>
        <w:footnoteReference w:id="146"/>
      </w:r>
    </w:p>
    <w:p w:rsidR="00044B05" w:rsidRDefault="00044B05" w:rsidP="00620D42">
      <w:pPr>
        <w:pStyle w:val="ParaNum"/>
        <w:rPr>
          <w:szCs w:val="22"/>
        </w:rPr>
      </w:pPr>
      <w:r>
        <w:rPr>
          <w:i/>
          <w:szCs w:val="22"/>
        </w:rPr>
        <w:t>Radio and Television Broadcasting and Wireless Communications Equipment Manufacturing.</w:t>
      </w:r>
      <w:r>
        <w:rPr>
          <w:szCs w:val="22"/>
        </w:rPr>
        <w:t xml:space="preserve">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289" w:name="FN[FN8]"/>
      <w:bookmarkEnd w:id="289"/>
      <w:r>
        <w:rPr>
          <w:rStyle w:val="FootnoteTextChar3CharChar1"/>
          <w:szCs w:val="19"/>
          <w:vertAlign w:val="superscript"/>
        </w:rPr>
        <w:footnoteReference w:id="147"/>
      </w:r>
      <w:r>
        <w:t xml:space="preserve">  The SBA has developed a small business size standard for Radio and Television Broadcasting and Wireless Communications Equipment Manufacturing</w:t>
      </w:r>
      <w:bookmarkStart w:id="290" w:name="SR;7360"/>
      <w:bookmarkEnd w:id="290"/>
      <w:r>
        <w:t>, which is: all such firms having 750 or fewer employees.</w:t>
      </w:r>
      <w:bookmarkStart w:id="291" w:name="FN[FN9]"/>
      <w:bookmarkEnd w:id="291"/>
      <w:r>
        <w:t xml:space="preserve">  According to Census Bureau data for 2007, there were a total of 939 establishments in this category that operated for part or all of the entire year.  According to Census bureau data for 2007, there were a total of 939 firms in this category that operated for the entire year. </w:t>
      </w:r>
      <w:r w:rsidR="00B61935">
        <w:t xml:space="preserve"> </w:t>
      </w:r>
      <w:r>
        <w:t>Of this total, 912 had fewer than 500 employees and 17 had more than 1000 employees.</w:t>
      </w:r>
      <w:r>
        <w:rPr>
          <w:rStyle w:val="FootnoteReference"/>
        </w:rPr>
        <w:footnoteReference w:id="148"/>
      </w:r>
      <w:r>
        <w:t xml:space="preserve">   Thus, under that size standard, the majority of firms can be considered small.</w:t>
      </w:r>
    </w:p>
    <w:p w:rsidR="00044B05" w:rsidRDefault="00044B05" w:rsidP="00044B05">
      <w:pPr>
        <w:spacing w:after="220"/>
        <w:ind w:left="-187" w:firstLine="720"/>
        <w:rPr>
          <w:b/>
          <w:szCs w:val="22"/>
        </w:rPr>
      </w:pPr>
      <w:r>
        <w:rPr>
          <w:b/>
          <w:szCs w:val="22"/>
        </w:rPr>
        <w:t>D.</w:t>
      </w:r>
      <w:r>
        <w:rPr>
          <w:b/>
          <w:szCs w:val="22"/>
        </w:rPr>
        <w:tab/>
        <w:t>Description of Projected Reporting, Record Keeping, and Other Compliance Requirements</w:t>
      </w:r>
    </w:p>
    <w:p w:rsidR="00044B05" w:rsidRDefault="00044B05" w:rsidP="00620D42">
      <w:pPr>
        <w:pStyle w:val="ParaNum"/>
      </w:pPr>
      <w:r>
        <w:t xml:space="preserve"> </w:t>
      </w:r>
      <w:r w:rsidR="00530AA9">
        <w:t>Radars operating in the 76-81 GHz band are required to be authorized under the Commission's certification procedure as a prerequisite to marketing and importation, and the NOTICE proposes no change to that requirement.</w:t>
      </w:r>
    </w:p>
    <w:p w:rsidR="00044B05" w:rsidRDefault="00044B05" w:rsidP="00044B05">
      <w:pPr>
        <w:spacing w:after="220"/>
        <w:ind w:left="-187" w:firstLine="720"/>
        <w:rPr>
          <w:b/>
          <w:szCs w:val="22"/>
        </w:rPr>
      </w:pPr>
      <w:r>
        <w:rPr>
          <w:b/>
          <w:szCs w:val="22"/>
        </w:rPr>
        <w:t>E.</w:t>
      </w:r>
      <w:r>
        <w:rPr>
          <w:b/>
          <w:szCs w:val="22"/>
        </w:rPr>
        <w:tab/>
        <w:t>Steps Taken to Minimize Significant Economic Impact on Small Entities, and Significant Alternatives Considered</w:t>
      </w:r>
    </w:p>
    <w:p w:rsidR="00044B05" w:rsidRDefault="00044B05" w:rsidP="00620D42">
      <w:pPr>
        <w:pStyle w:val="ParaNum"/>
      </w:pPr>
      <w:r>
        <w:t xml:space="preserve"> The RFA requires an agency to describe any significant alternatives </w:t>
      </w:r>
      <w:r>
        <w:rPr>
          <w:color w:val="000000"/>
        </w:rPr>
        <w:t>that</w:t>
      </w:r>
      <w:r>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49"/>
      </w:r>
    </w:p>
    <w:p w:rsidR="00044B05" w:rsidRDefault="00044B05" w:rsidP="00620D42">
      <w:pPr>
        <w:pStyle w:val="ParaNum"/>
      </w:pPr>
      <w:r>
        <w:t>The proposals contained in this NOTICE are deregulatory in nature, which we expect will simplify compliance requirements for all parties, particularly small entities, and permit the development of improved radar systems.  Extending the frequency for unlicensed vehicular radar from 76-77 GHz to 76-81 GHz will enable</w:t>
      </w:r>
      <w:r>
        <w:rPr>
          <w:color w:val="111111"/>
        </w:rPr>
        <w:t xml:space="preserve"> global s</w:t>
      </w:r>
      <w:r>
        <w:rPr>
          <w:color w:val="131313"/>
        </w:rPr>
        <w:t>pectrum harmonization of LRRs at 76-77 GHz and SRRs at 77-81 GHz that will reduce prices and encourage deployment of automotive radars in lower-cost vehicles.  Consolidating FOD detection radars to operate under Part 95 in lieu of current rules will reduce unnecessary burdens for the general public and will provide increased spectrum efficiency.</w:t>
      </w:r>
    </w:p>
    <w:p w:rsidR="00044B05" w:rsidRDefault="00044B05" w:rsidP="00044B05">
      <w:pPr>
        <w:spacing w:after="220"/>
        <w:ind w:left="-187" w:firstLine="720"/>
        <w:rPr>
          <w:b/>
          <w:szCs w:val="22"/>
        </w:rPr>
      </w:pPr>
      <w:r>
        <w:rPr>
          <w:b/>
          <w:szCs w:val="22"/>
        </w:rPr>
        <w:t>F.</w:t>
      </w:r>
      <w:r>
        <w:rPr>
          <w:b/>
          <w:szCs w:val="22"/>
        </w:rPr>
        <w:tab/>
        <w:t xml:space="preserve">Federal Rules that May Duplicate, Overlap, or Conflict with the Proposed Rules </w:t>
      </w:r>
    </w:p>
    <w:p w:rsidR="00044B05" w:rsidRDefault="00044B05" w:rsidP="00620D42">
      <w:pPr>
        <w:pStyle w:val="ParaNum"/>
      </w:pPr>
      <w:r>
        <w:t>None.</w:t>
      </w:r>
    </w:p>
    <w:bookmarkEnd w:id="220"/>
    <w:bookmarkEnd w:id="221"/>
    <w:bookmarkEnd w:id="222"/>
    <w:bookmarkEnd w:id="223"/>
    <w:bookmarkEnd w:id="224"/>
    <w:p w:rsidR="006A36B5" w:rsidRPr="006A36B5" w:rsidRDefault="006A36B5" w:rsidP="00006179">
      <w:pPr>
        <w:pStyle w:val="ParaNum"/>
        <w:numPr>
          <w:ilvl w:val="0"/>
          <w:numId w:val="0"/>
        </w:numPr>
      </w:pPr>
    </w:p>
    <w:sectPr w:rsidR="006A36B5" w:rsidRPr="006A36B5" w:rsidSect="009F2BCE">
      <w:headerReference w:type="first" r:id="rId2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1C" w:rsidRDefault="0067331C">
      <w:pPr>
        <w:spacing w:line="20" w:lineRule="exact"/>
      </w:pPr>
    </w:p>
  </w:endnote>
  <w:endnote w:type="continuationSeparator" w:id="0">
    <w:p w:rsidR="0067331C" w:rsidRDefault="0067331C">
      <w:r>
        <w:t xml:space="preserve"> </w:t>
      </w:r>
    </w:p>
  </w:endnote>
  <w:endnote w:type="continuationNotice" w:id="1">
    <w:p w:rsidR="0067331C" w:rsidRDefault="006733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rsidP="0055614C">
    <w:pPr>
      <w:pStyle w:val="Footer"/>
      <w:framePr w:wrap="around" w:vAnchor="text" w:hAnchor="margin" w:xAlign="center" w:y="1"/>
    </w:pPr>
    <w:r>
      <w:fldChar w:fldCharType="begin"/>
    </w:r>
    <w:r>
      <w:instrText xml:space="preserve">PAGE  </w:instrText>
    </w:r>
    <w:r>
      <w:fldChar w:fldCharType="end"/>
    </w:r>
  </w:p>
  <w:p w:rsidR="00BF18B3" w:rsidRDefault="00BF18B3">
    <w:pPr>
      <w:pStyle w:val="Footer"/>
    </w:pPr>
  </w:p>
  <w:p w:rsidR="00BF18B3" w:rsidRDefault="00BF18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rsidP="0055614C">
    <w:pPr>
      <w:pStyle w:val="Footer"/>
      <w:framePr w:wrap="around" w:vAnchor="text" w:hAnchor="margin" w:xAlign="center" w:y="1"/>
    </w:pPr>
    <w:r>
      <w:fldChar w:fldCharType="begin"/>
    </w:r>
    <w:r>
      <w:instrText xml:space="preserve">PAGE  </w:instrText>
    </w:r>
    <w:r>
      <w:fldChar w:fldCharType="separate"/>
    </w:r>
    <w:r w:rsidR="00ED74D4">
      <w:rPr>
        <w:noProof/>
      </w:rPr>
      <w:t>2</w:t>
    </w:r>
    <w:r>
      <w:fldChar w:fldCharType="end"/>
    </w:r>
  </w:p>
  <w:p w:rsidR="00BF18B3" w:rsidRDefault="00BF18B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8D" w:rsidRDefault="002D15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pPr>
      <w:pStyle w:val="Footer"/>
      <w:jc w:val="center"/>
    </w:pPr>
    <w:r>
      <w:fldChar w:fldCharType="begin"/>
    </w:r>
    <w:r>
      <w:instrText xml:space="preserve"> PAGE   \* MERGEFORMAT </w:instrText>
    </w:r>
    <w:r>
      <w:fldChar w:fldCharType="separate"/>
    </w:r>
    <w:r w:rsidR="00D92A66">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Pr="00E74FCA" w:rsidRDefault="00BF18B3" w:rsidP="00512EAC">
    <w:pPr>
      <w:pStyle w:val="Footer"/>
      <w:jc w:val="center"/>
    </w:pPr>
    <w:r>
      <w:fldChar w:fldCharType="begin"/>
    </w:r>
    <w:r>
      <w:instrText xml:space="preserve"> PAGE   \* MERGEFORMAT </w:instrText>
    </w:r>
    <w:r>
      <w:fldChar w:fldCharType="separate"/>
    </w:r>
    <w:r w:rsidR="00D92A6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1C" w:rsidRDefault="0067331C">
      <w:r>
        <w:separator/>
      </w:r>
    </w:p>
  </w:footnote>
  <w:footnote w:type="continuationSeparator" w:id="0">
    <w:p w:rsidR="0067331C" w:rsidRDefault="0067331C" w:rsidP="00C721AC">
      <w:pPr>
        <w:spacing w:before="120"/>
        <w:rPr>
          <w:sz w:val="20"/>
        </w:rPr>
      </w:pPr>
      <w:r>
        <w:rPr>
          <w:sz w:val="20"/>
        </w:rPr>
        <w:t xml:space="preserve">(Continued from previous page)  </w:t>
      </w:r>
      <w:r>
        <w:rPr>
          <w:sz w:val="20"/>
        </w:rPr>
        <w:separator/>
      </w:r>
    </w:p>
  </w:footnote>
  <w:footnote w:type="continuationNotice" w:id="1">
    <w:p w:rsidR="0067331C" w:rsidRDefault="0067331C" w:rsidP="00C721AC">
      <w:pPr>
        <w:jc w:val="right"/>
        <w:rPr>
          <w:sz w:val="20"/>
        </w:rPr>
      </w:pPr>
      <w:r>
        <w:rPr>
          <w:sz w:val="20"/>
        </w:rPr>
        <w:t>(continued….)</w:t>
      </w:r>
    </w:p>
  </w:footnote>
  <w:footnote w:id="2">
    <w:p w:rsidR="00BF18B3" w:rsidRDefault="00BF18B3" w:rsidP="005662EE">
      <w:pPr>
        <w:pStyle w:val="FootnoteText"/>
        <w:ind w:left="-187"/>
      </w:pPr>
      <w:r>
        <w:rPr>
          <w:rStyle w:val="FootnoteReference"/>
        </w:rPr>
        <w:footnoteRef/>
      </w:r>
      <w:r>
        <w:t xml:space="preserve"> </w:t>
      </w:r>
      <w:r w:rsidRPr="00C819AC">
        <w:t xml:space="preserve">Petition for Rulemaking </w:t>
      </w:r>
      <w:r>
        <w:t>of Robert Bosch LLC, RM-11666, filed May 15, 2012 (</w:t>
      </w:r>
      <w:r w:rsidRPr="007F7BE7">
        <w:rPr>
          <w:i/>
        </w:rPr>
        <w:t>Bosch Petition</w:t>
      </w:r>
      <w:r>
        <w:t xml:space="preserve">).  </w:t>
      </w:r>
    </w:p>
  </w:footnote>
  <w:footnote w:id="3">
    <w:p w:rsidR="00BF18B3" w:rsidRDefault="00BF18B3" w:rsidP="005662EE">
      <w:pPr>
        <w:pStyle w:val="FootnoteText"/>
        <w:ind w:left="-187"/>
      </w:pPr>
      <w:r>
        <w:rPr>
          <w:rStyle w:val="FootnoteReference"/>
        </w:rPr>
        <w:footnoteRef/>
      </w:r>
      <w:r>
        <w:t xml:space="preserve"> Navtech, </w:t>
      </w:r>
      <w:r w:rsidRPr="00635016">
        <w:t>Petition for Partial Reconsideration</w:t>
      </w:r>
      <w:r>
        <w:t>, filed Sept. 5, 2012 (filed under the name “Dennis Farrell”) (</w:t>
      </w:r>
      <w:r w:rsidRPr="00422ED0">
        <w:rPr>
          <w:i/>
        </w:rPr>
        <w:t>Fixed Radar</w:t>
      </w:r>
      <w:r>
        <w:t xml:space="preserve"> </w:t>
      </w:r>
      <w:r>
        <w:rPr>
          <w:i/>
        </w:rPr>
        <w:t>Petition</w:t>
      </w:r>
      <w:r>
        <w:t xml:space="preserve">) and Honeywell, </w:t>
      </w:r>
      <w:r w:rsidRPr="00635016">
        <w:t>Petition for Partial Reconsideration</w:t>
      </w:r>
      <w:r>
        <w:t>,</w:t>
      </w:r>
      <w:r w:rsidRPr="00342929">
        <w:t xml:space="preserve"> </w:t>
      </w:r>
      <w:r>
        <w:t>filed Oct. 10, 2012 (</w:t>
      </w:r>
      <w:r w:rsidRPr="005B72F6">
        <w:rPr>
          <w:i/>
        </w:rPr>
        <w:t>Aircraft Petition</w:t>
      </w:r>
      <w:r>
        <w:t>),</w:t>
      </w:r>
      <w:r w:rsidRPr="00635016">
        <w:t xml:space="preserve"> </w:t>
      </w:r>
      <w:r>
        <w:t>ET Docket Nos. 11-90 and 10-28.</w:t>
      </w:r>
    </w:p>
  </w:footnote>
  <w:footnote w:id="4">
    <w:p w:rsidR="00BF18B3" w:rsidRDefault="00BF18B3" w:rsidP="005662EE">
      <w:pPr>
        <w:pStyle w:val="FootnoteText"/>
        <w:tabs>
          <w:tab w:val="left" w:pos="8640"/>
        </w:tabs>
        <w:ind w:left="-187"/>
      </w:pPr>
      <w:r>
        <w:rPr>
          <w:rStyle w:val="FootnoteReference"/>
        </w:rPr>
        <w:footnoteRef/>
      </w:r>
      <w:r>
        <w:t xml:space="preserve"> </w:t>
      </w:r>
      <w:r>
        <w:rPr>
          <w:i/>
        </w:rPr>
        <w:t>See</w:t>
      </w:r>
      <w:r>
        <w:t xml:space="preserve"> 47 C.F.R. Part 95, Part 95 – Personal Radio Services.</w:t>
      </w:r>
    </w:p>
  </w:footnote>
  <w:footnote w:id="5">
    <w:p w:rsidR="00BF18B3" w:rsidRDefault="00BF18B3" w:rsidP="005662EE">
      <w:pPr>
        <w:pStyle w:val="FootnoteText"/>
        <w:ind w:left="-187"/>
      </w:pPr>
      <w:r>
        <w:rPr>
          <w:rStyle w:val="FootnoteReference"/>
        </w:rPr>
        <w:footnoteRef/>
      </w:r>
      <w:r>
        <w:t xml:space="preserve"> Amateur operations in the 76-77 GHz band are currently suspended.  </w:t>
      </w:r>
      <w:r w:rsidRPr="00881CD1">
        <w:rPr>
          <w:i/>
        </w:rPr>
        <w:t>See</w:t>
      </w:r>
      <w:r>
        <w:t xml:space="preserve"> 47 C.F.R § 97.303(s).</w:t>
      </w:r>
    </w:p>
  </w:footnote>
  <w:footnote w:id="6">
    <w:p w:rsidR="00BF18B3" w:rsidRDefault="00BF18B3" w:rsidP="005662EE">
      <w:pPr>
        <w:pStyle w:val="FootnoteText"/>
        <w:ind w:left="-187"/>
      </w:pPr>
      <w:r>
        <w:rPr>
          <w:rStyle w:val="FootnoteReference"/>
        </w:rPr>
        <w:footnoteRef/>
      </w:r>
      <w:r>
        <w:t xml:space="preserve"> International footnote 5.149 of Section 2.106 of the FCC’s rules, which applies to the 76-86 GHz frequency range, urges Administrations “to take all practicable steps to protect the radio astronomy service from harmful interference.”  </w:t>
      </w:r>
      <w:r>
        <w:rPr>
          <w:i/>
        </w:rPr>
        <w:t>See</w:t>
      </w:r>
      <w:r>
        <w:t xml:space="preserve"> 47 C. F. R. § 2.106.  </w:t>
      </w:r>
    </w:p>
  </w:footnote>
  <w:footnote w:id="7">
    <w:p w:rsidR="00BF18B3" w:rsidRDefault="00BF18B3" w:rsidP="005662EE">
      <w:pPr>
        <w:pStyle w:val="FootnoteText"/>
        <w:ind w:left="-187"/>
      </w:pPr>
      <w:r>
        <w:rPr>
          <w:rStyle w:val="FootnoteReference"/>
        </w:rPr>
        <w:footnoteRef/>
      </w:r>
      <w:r>
        <w:t xml:space="preserve"> The term “millimeter wave” derives from the wavelength of radio signals on frequencies between 30 GHz and 300 GHz, which ranges between 1 and 10 millimeters.</w:t>
      </w:r>
    </w:p>
  </w:footnote>
  <w:footnote w:id="8">
    <w:p w:rsidR="00BF18B3" w:rsidRPr="005210A2" w:rsidRDefault="00BF18B3" w:rsidP="005662EE">
      <w:pPr>
        <w:pStyle w:val="FootnoteText"/>
        <w:ind w:left="-187"/>
        <w:rPr>
          <w:color w:val="000000"/>
        </w:rPr>
      </w:pPr>
      <w:r>
        <w:rPr>
          <w:rStyle w:val="FootnoteReference"/>
        </w:rPr>
        <w:footnoteRef/>
      </w:r>
      <w:r>
        <w:t xml:space="preserve"> </w:t>
      </w:r>
      <w:r>
        <w:rPr>
          <w:i/>
        </w:rPr>
        <w:t xml:space="preserve">See </w:t>
      </w:r>
      <w:r>
        <w:t xml:space="preserve">Millimeter Wave Propagation: Spectrum Management Implications, </w:t>
      </w:r>
      <w:hyperlink r:id="rId1" w:history="1">
        <w:r>
          <w:rPr>
            <w:rStyle w:val="Hyperlink"/>
          </w:rPr>
          <w:t>OET Bulletin No. 70</w:t>
        </w:r>
      </w:hyperlink>
      <w:r>
        <w:t xml:space="preserve"> (July 1997).  </w:t>
      </w:r>
      <w:r>
        <w:rPr>
          <w:i/>
        </w:rPr>
        <w:t xml:space="preserve">See also </w:t>
      </w:r>
      <w:r w:rsidRPr="005210A2">
        <w:t>Federal</w:t>
      </w:r>
      <w:r>
        <w:t xml:space="preserve"> Communications Commission Spectrum Policy Task Force, Report of the Unlicensed Devices and Experimental Licenses Working Group, November 12, 2002, at 14.  (available at </w:t>
      </w:r>
      <w:hyperlink r:id="rId2" w:history="1">
        <w:r w:rsidRPr="005F24C7">
          <w:rPr>
            <w:rStyle w:val="Hyperlink"/>
          </w:rPr>
          <w:t>http://transition.fcc.gov/sptf/files/E&amp;UWGFinalReport.pdf</w:t>
        </w:r>
      </w:hyperlink>
      <w:r>
        <w:rPr>
          <w:rStyle w:val="Hyperlink"/>
        </w:rPr>
        <w:t>).</w:t>
      </w:r>
      <w:r w:rsidRPr="005F24C7">
        <w:t xml:space="preserve"> </w:t>
      </w:r>
    </w:p>
  </w:footnote>
  <w:footnote w:id="9">
    <w:p w:rsidR="00BF18B3" w:rsidRPr="00176439" w:rsidRDefault="00BF18B3" w:rsidP="005662EE">
      <w:pPr>
        <w:pStyle w:val="FootnoteText"/>
        <w:ind w:left="-187"/>
      </w:pPr>
      <w:r>
        <w:rPr>
          <w:rStyle w:val="FootnoteReference"/>
        </w:rPr>
        <w:footnoteRef/>
      </w:r>
      <w:r>
        <w:t xml:space="preserve"> </w:t>
      </w:r>
      <w:r>
        <w:rPr>
          <w:i/>
        </w:rPr>
        <w:t xml:space="preserve">See </w:t>
      </w:r>
      <w:r>
        <w:t xml:space="preserve">Millimeter Wave Propagation: Spectrum Management Implications, </w:t>
      </w:r>
      <w:hyperlink r:id="rId3" w:history="1">
        <w:r>
          <w:rPr>
            <w:rStyle w:val="Hyperlink"/>
          </w:rPr>
          <w:t>OET Bulletin No. 70</w:t>
        </w:r>
      </w:hyperlink>
      <w:r>
        <w:t xml:space="preserve"> (July 1997).  </w:t>
      </w:r>
      <w:r>
        <w:rPr>
          <w:i/>
        </w:rPr>
        <w:t xml:space="preserve">See also </w:t>
      </w:r>
      <w:r>
        <w:t xml:space="preserve">Amendment of Parts 2 and 15 of the Commission’s Rules to Permit Use of Radio Frequencies Above 40 GHz for New Radio Applications, ET Docket No. 94-124, </w:t>
      </w:r>
      <w:r>
        <w:rPr>
          <w:i/>
        </w:rPr>
        <w:t>Notice of Proposed Rulemaking</w:t>
      </w:r>
      <w:r>
        <w:t>, 9 FCC Rcd 7078, 7082, para. 8 (1994).</w:t>
      </w:r>
    </w:p>
  </w:footnote>
  <w:footnote w:id="10">
    <w:p w:rsidR="00BF18B3" w:rsidRDefault="00BF18B3" w:rsidP="005662EE">
      <w:pPr>
        <w:pStyle w:val="FootnoteText"/>
        <w:ind w:left="-187"/>
      </w:pPr>
      <w:r>
        <w:rPr>
          <w:rStyle w:val="FootnoteReference"/>
        </w:rPr>
        <w:footnoteRef/>
      </w:r>
      <w:r>
        <w:t xml:space="preserve"> </w:t>
      </w:r>
      <w:r>
        <w:rPr>
          <w:i/>
        </w:rPr>
        <w:t>See</w:t>
      </w:r>
      <w:r>
        <w:t xml:space="preserve"> 47 C.F.R. §§ 2.106, 90.103 and 15.253.  The Commission provides for both unlicensed FOD detection radar use in the 76-77 GHz band under its Part 15 rules and licensed FOD detection radar use in the 78-81 GHz band under its Part 90 rules.</w:t>
      </w:r>
    </w:p>
  </w:footnote>
  <w:footnote w:id="11">
    <w:p w:rsidR="00BF18B3" w:rsidRPr="00123A55" w:rsidRDefault="00BF18B3" w:rsidP="005662EE">
      <w:pPr>
        <w:pStyle w:val="FootnoteText"/>
        <w:ind w:left="-187"/>
      </w:pPr>
      <w:r>
        <w:rPr>
          <w:rStyle w:val="FootnoteReference"/>
        </w:rPr>
        <w:footnoteRef/>
      </w:r>
      <w:r>
        <w:t xml:space="preserve"> </w:t>
      </w:r>
      <w:r w:rsidRPr="00881CD1">
        <w:rPr>
          <w:i/>
        </w:rPr>
        <w:t>See</w:t>
      </w:r>
      <w:r>
        <w:t xml:space="preserve"> Amendment of Parts 2, 15, and 97 of the Commission’s Rules to Permit Use of Radio Frequencies Above 40 GHz for New Radio Applications, ET Docket No. 94-124, </w:t>
      </w:r>
      <w:r>
        <w:rPr>
          <w:i/>
        </w:rPr>
        <w:t>First Report and Order and Second Notice of Proposed Rule Making,</w:t>
      </w:r>
      <w:r>
        <w:t xml:space="preserve"> 11 FCC Rcd 4481, 4490, para. 20. (1995) (</w:t>
      </w:r>
      <w:r>
        <w:rPr>
          <w:i/>
        </w:rPr>
        <w:t>40 GHz Report and Order</w:t>
      </w:r>
      <w:r>
        <w:t>).</w:t>
      </w:r>
    </w:p>
  </w:footnote>
  <w:footnote w:id="12">
    <w:p w:rsidR="00BF18B3" w:rsidRDefault="00BF18B3" w:rsidP="005662EE">
      <w:pPr>
        <w:pStyle w:val="FootnoteText"/>
        <w:ind w:left="-187"/>
      </w:pPr>
      <w:r>
        <w:rPr>
          <w:rStyle w:val="FootnoteReference"/>
        </w:rPr>
        <w:footnoteRef/>
      </w:r>
      <w:r w:rsidRPr="0067161D">
        <w:rPr>
          <w:i/>
        </w:rPr>
        <w:t xml:space="preserve"> </w:t>
      </w:r>
      <w:r w:rsidRPr="006515A0">
        <w:t>Amendment of Sections 15.35 and 15.253 of the Commission’s Rules Regarding Operation of Radar Systems in the 76-77 GHz Band</w:t>
      </w:r>
      <w:r w:rsidRPr="006515A0">
        <w:rPr>
          <w:i/>
        </w:rPr>
        <w:t xml:space="preserve">, </w:t>
      </w:r>
      <w:r>
        <w:t>ET Docket</w:t>
      </w:r>
      <w:r w:rsidRPr="006515A0">
        <w:t xml:space="preserve"> No. 11-90,</w:t>
      </w:r>
      <w:r>
        <w:t xml:space="preserve"> </w:t>
      </w:r>
      <w:r w:rsidRPr="000167E6">
        <w:rPr>
          <w:i/>
        </w:rPr>
        <w:t>Notice of Proposed Rule Making</w:t>
      </w:r>
      <w:r>
        <w:t xml:space="preserve">, 26 FCC Rcd 8107 (2011) </w:t>
      </w:r>
      <w:r w:rsidRPr="0056402E">
        <w:t>(</w:t>
      </w:r>
      <w:hyperlink r:id="rId4" w:history="1">
        <w:r w:rsidRPr="000A73F2">
          <w:rPr>
            <w:rStyle w:val="Hyperlink"/>
            <w:i/>
          </w:rPr>
          <w:t>Vehicular Radar NPRM</w:t>
        </w:r>
      </w:hyperlink>
      <w:r w:rsidRPr="0056402E">
        <w:t>).</w:t>
      </w:r>
    </w:p>
  </w:footnote>
  <w:footnote w:id="13">
    <w:p w:rsidR="00BF18B3" w:rsidRPr="009B231C" w:rsidRDefault="00BF18B3" w:rsidP="005662EE">
      <w:pPr>
        <w:pStyle w:val="FootnoteText"/>
        <w:ind w:left="-187"/>
      </w:pPr>
      <w:r>
        <w:rPr>
          <w:rStyle w:val="FootnoteReference"/>
        </w:rPr>
        <w:footnoteRef/>
      </w:r>
      <w:r>
        <w:t xml:space="preserve"> </w:t>
      </w:r>
      <w:r>
        <w:rPr>
          <w:i/>
        </w:rPr>
        <w:t xml:space="preserve">See </w:t>
      </w:r>
      <w:r w:rsidRPr="00D37B09">
        <w:t>Amendment of Sections 15.35 and 15.253 of the Commission’s Rules Regarding Operation of Radar Systems in the 76-77 GHz Band,</w:t>
      </w:r>
      <w:r w:rsidRPr="00053183">
        <w:rPr>
          <w:i/>
        </w:rPr>
        <w:t xml:space="preserve"> </w:t>
      </w:r>
      <w:r>
        <w:rPr>
          <w:i/>
        </w:rPr>
        <w:t xml:space="preserve">Report and Order, </w:t>
      </w:r>
      <w:r>
        <w:t xml:space="preserve">ET Dockets No. 11-90 and 10-28, 27 FCC Rcd 7880, 7885, </w:t>
      </w:r>
      <w:r w:rsidRPr="009475AF">
        <w:t>para</w:t>
      </w:r>
      <w:r>
        <w:t>.</w:t>
      </w:r>
      <w:r w:rsidRPr="009475AF">
        <w:t xml:space="preserve"> 14</w:t>
      </w:r>
      <w:r>
        <w:t xml:space="preserve"> (2012)</w:t>
      </w:r>
      <w:r>
        <w:rPr>
          <w:i/>
        </w:rPr>
        <w:t xml:space="preserve"> (Vehicular Radar R&amp;O)</w:t>
      </w:r>
      <w:r>
        <w:t xml:space="preserve">.  </w:t>
      </w:r>
    </w:p>
  </w:footnote>
  <w:footnote w:id="14">
    <w:p w:rsidR="00BF18B3" w:rsidRDefault="00BF18B3" w:rsidP="005662EE">
      <w:pPr>
        <w:pStyle w:val="FootnoteText"/>
        <w:ind w:left="-187"/>
      </w:pPr>
      <w:r>
        <w:rPr>
          <w:rStyle w:val="FootnoteReference"/>
        </w:rPr>
        <w:footnoteRef/>
      </w:r>
      <w:r>
        <w:t xml:space="preserve"> </w:t>
      </w:r>
      <w:r>
        <w:rPr>
          <w:i/>
        </w:rPr>
        <w:t xml:space="preserve">See, e.g., </w:t>
      </w:r>
      <w:r>
        <w:t>Continental comments in RM-11666, 3-4, Infineon comments in RM-11666 at 3- 4, Delphi comments in RM-11666 at and TRW comments in RM-11666 at 3-4.</w:t>
      </w:r>
    </w:p>
  </w:footnote>
  <w:footnote w:id="15">
    <w:p w:rsidR="00BF18B3" w:rsidRDefault="00BF18B3" w:rsidP="005662EE">
      <w:pPr>
        <w:pStyle w:val="FootnoteText"/>
        <w:ind w:left="-187"/>
      </w:pPr>
      <w:r>
        <w:rPr>
          <w:rStyle w:val="FootnoteReference"/>
        </w:rPr>
        <w:footnoteRef/>
      </w:r>
      <w:r>
        <w:t xml:space="preserve"> As discussed </w:t>
      </w:r>
      <w:r w:rsidRPr="00482B2B">
        <w:rPr>
          <w:i/>
        </w:rPr>
        <w:t>infra</w:t>
      </w:r>
      <w:r>
        <w:t xml:space="preserve"> para. 43, some SRR applications currently exist at 24 GHz, but such use is being phased out worldwide.</w:t>
      </w:r>
    </w:p>
  </w:footnote>
  <w:footnote w:id="16">
    <w:p w:rsidR="00BF18B3" w:rsidRDefault="00BF18B3" w:rsidP="005662EE">
      <w:pPr>
        <w:pStyle w:val="FootnoteText"/>
        <w:ind w:left="-187"/>
      </w:pPr>
      <w:r>
        <w:rPr>
          <w:rStyle w:val="FootnoteReference"/>
        </w:rPr>
        <w:footnoteRef/>
      </w:r>
      <w:r>
        <w:t xml:space="preserve"> </w:t>
      </w:r>
      <w:r w:rsidRPr="00DF1D40">
        <w:rPr>
          <w:i/>
        </w:rPr>
        <w:t>See</w:t>
      </w:r>
      <w:r>
        <w:t xml:space="preserve"> </w:t>
      </w:r>
      <w:r w:rsidRPr="007F7BE7">
        <w:rPr>
          <w:i/>
        </w:rPr>
        <w:t>Bosch Petition</w:t>
      </w:r>
      <w:r>
        <w:t xml:space="preserve"> at 1.</w:t>
      </w:r>
    </w:p>
  </w:footnote>
  <w:footnote w:id="17">
    <w:p w:rsidR="00BF18B3" w:rsidRDefault="00BF18B3" w:rsidP="005662EE">
      <w:pPr>
        <w:pStyle w:val="FootnoteText"/>
        <w:ind w:left="-187"/>
      </w:pPr>
      <w:r>
        <w:rPr>
          <w:rStyle w:val="FootnoteReference"/>
        </w:rPr>
        <w:footnoteRef/>
      </w:r>
      <w:r>
        <w:rPr>
          <w:i/>
        </w:rPr>
        <w:t xml:space="preserve"> </w:t>
      </w:r>
      <w:r w:rsidRPr="00DF1D40">
        <w:rPr>
          <w:i/>
        </w:rPr>
        <w:t>See</w:t>
      </w:r>
      <w:r>
        <w:t xml:space="preserve"> </w:t>
      </w:r>
      <w:r w:rsidRPr="007F7BE7">
        <w:rPr>
          <w:i/>
        </w:rPr>
        <w:t>Bosch Petition</w:t>
      </w:r>
      <w:r>
        <w:t xml:space="preserve"> at 4 and Continental comments in RM-11666, at 3.</w:t>
      </w:r>
    </w:p>
  </w:footnote>
  <w:footnote w:id="18">
    <w:p w:rsidR="00BF18B3" w:rsidRDefault="00BF18B3" w:rsidP="005662EE">
      <w:pPr>
        <w:pStyle w:val="FootnoteText"/>
        <w:ind w:left="-187"/>
      </w:pPr>
      <w:r>
        <w:rPr>
          <w:rStyle w:val="FootnoteReference"/>
        </w:rPr>
        <w:footnoteRef/>
      </w:r>
      <w:r>
        <w:t xml:space="preserve"> </w:t>
      </w:r>
      <w:r w:rsidRPr="00821929">
        <w:t>Office of Engineering and Technology Petition for Rulemaking Filed</w:t>
      </w:r>
      <w:r>
        <w:t xml:space="preserve">, </w:t>
      </w:r>
      <w:r w:rsidRPr="0099333A">
        <w:rPr>
          <w:i/>
        </w:rPr>
        <w:t>Public Notice,</w:t>
      </w:r>
      <w:r>
        <w:rPr>
          <w:i/>
        </w:rPr>
        <w:t xml:space="preserve"> </w:t>
      </w:r>
      <w:r>
        <w:t>27 FCC Rcd 8052 (2012).</w:t>
      </w:r>
    </w:p>
  </w:footnote>
  <w:footnote w:id="19">
    <w:p w:rsidR="00BF18B3" w:rsidRPr="00053183" w:rsidRDefault="00BF18B3" w:rsidP="005662EE">
      <w:pPr>
        <w:pStyle w:val="FootnoteText"/>
        <w:ind w:left="-187"/>
        <w:rPr>
          <w:i/>
        </w:rPr>
      </w:pPr>
      <w:r>
        <w:rPr>
          <w:rStyle w:val="FootnoteReference"/>
        </w:rPr>
        <w:footnoteRef/>
      </w:r>
      <w:r>
        <w:t xml:space="preserve"> </w:t>
      </w:r>
      <w:r w:rsidRPr="0099333A">
        <w:rPr>
          <w:i/>
        </w:rPr>
        <w:t>See</w:t>
      </w:r>
      <w:r>
        <w:t xml:space="preserve"> Advisory Circular No. 150/5210-24, Airport Foreign Object Debris (FOD) Management, Federal Aviation Administration, U.S. Department of Transportation, September 30, 2010, 5 para. 2.2.  FOD varies in size and form and includes a wide range of items such as parts fallen from aircraft; misplaced tools, equipment and supplies; rocks and pavement fragments; luggage; and wildlife.  </w:t>
      </w:r>
      <w:r>
        <w:rPr>
          <w:i/>
        </w:rPr>
        <w:t xml:space="preserve">Id., </w:t>
      </w:r>
      <w:r>
        <w:t xml:space="preserve">para. 2.2(c).  Dark-colored items, which are difficult to detect visually against the tarmac, make up almost half of FOD.  </w:t>
      </w:r>
      <w:r>
        <w:rPr>
          <w:i/>
        </w:rPr>
        <w:t>Id.</w:t>
      </w:r>
    </w:p>
  </w:footnote>
  <w:footnote w:id="20">
    <w:p w:rsidR="00BF18B3" w:rsidRDefault="00BF18B3" w:rsidP="005662EE">
      <w:pPr>
        <w:pStyle w:val="FootnoteText"/>
        <w:ind w:left="-187"/>
        <w:rPr>
          <w:i/>
        </w:rPr>
      </w:pPr>
      <w:r>
        <w:rPr>
          <w:rStyle w:val="FootnoteReference"/>
        </w:rPr>
        <w:footnoteRef/>
      </w:r>
      <w:r>
        <w:t xml:space="preserve"> </w:t>
      </w:r>
      <w:r>
        <w:rPr>
          <w:i/>
        </w:rPr>
        <w:t>Id.</w:t>
      </w:r>
      <w:r>
        <w:t xml:space="preserve"> at</w:t>
      </w:r>
      <w:r>
        <w:rPr>
          <w:i/>
        </w:rPr>
        <w:t xml:space="preserve"> </w:t>
      </w:r>
      <w:r>
        <w:t>para. 2.1.</w:t>
      </w:r>
    </w:p>
  </w:footnote>
  <w:footnote w:id="21">
    <w:p w:rsidR="00BF18B3" w:rsidRPr="00771805" w:rsidRDefault="00BF18B3" w:rsidP="005662EE">
      <w:pPr>
        <w:pStyle w:val="FootnoteText"/>
        <w:ind w:left="-187"/>
      </w:pPr>
      <w:r>
        <w:rPr>
          <w:rStyle w:val="FootnoteReference"/>
        </w:rPr>
        <w:footnoteRef/>
      </w:r>
      <w:r>
        <w:t xml:space="preserve"> </w:t>
      </w:r>
      <w:r>
        <w:rPr>
          <w:i/>
        </w:rPr>
        <w:t xml:space="preserve">See </w:t>
      </w:r>
      <w:r>
        <w:t xml:space="preserve">Insight SRI Ltd., “The economic cost of FOD to airlines,” at 9 (2008) (available at </w:t>
      </w:r>
      <w:hyperlink r:id="rId5" w:history="1">
        <w:r w:rsidRPr="008B4028">
          <w:rPr>
            <w:rStyle w:val="Hyperlink"/>
          </w:rPr>
          <w:t>http://fod-detection.com/wp-content/uploads/2009/12/the-economic-cost-of-fod.PDF</w:t>
        </w:r>
      </w:hyperlink>
      <w:r>
        <w:t xml:space="preserve">).  Indirect costs (delays, plane changes, fuel inefficiencies, etc.) are estimated to be another eleven billion dollars.  </w:t>
      </w:r>
      <w:r>
        <w:rPr>
          <w:i/>
        </w:rPr>
        <w:t xml:space="preserve">Id. </w:t>
      </w:r>
    </w:p>
  </w:footnote>
  <w:footnote w:id="22">
    <w:p w:rsidR="00BF18B3" w:rsidRDefault="00BF18B3" w:rsidP="005662EE">
      <w:pPr>
        <w:pStyle w:val="FootnoteText"/>
        <w:ind w:left="-187"/>
      </w:pPr>
      <w:r>
        <w:rPr>
          <w:rStyle w:val="FootnoteReference"/>
        </w:rPr>
        <w:footnoteRef/>
      </w:r>
      <w:r>
        <w:t xml:space="preserve"> </w:t>
      </w:r>
      <w:r>
        <w:rPr>
          <w:i/>
        </w:rPr>
        <w:t>See</w:t>
      </w:r>
      <w:r>
        <w:t xml:space="preserve"> 47 C.F.R. §§ 2.106, 15.253, and 90.103.</w:t>
      </w:r>
    </w:p>
  </w:footnote>
  <w:footnote w:id="23">
    <w:p w:rsidR="00BF18B3" w:rsidRDefault="00BF18B3" w:rsidP="005662EE">
      <w:pPr>
        <w:pStyle w:val="FootnoteText"/>
        <w:ind w:left="-187"/>
      </w:pPr>
      <w:r>
        <w:rPr>
          <w:rStyle w:val="FootnoteReference"/>
        </w:rPr>
        <w:footnoteRef/>
      </w:r>
      <w:r>
        <w:t xml:space="preserve"> </w:t>
      </w:r>
      <w:r w:rsidRPr="0031441D">
        <w:t xml:space="preserve">Era Systems Corporation Request for Waiver of Sections 2.803, 15.201 and 15.253 of the Commission’s Rules, </w:t>
      </w:r>
      <w:r w:rsidRPr="0031441D">
        <w:rPr>
          <w:i/>
          <w:iCs/>
        </w:rPr>
        <w:t>Order</w:t>
      </w:r>
      <w:r w:rsidRPr="0031441D">
        <w:t xml:space="preserve">, </w:t>
      </w:r>
      <w:r>
        <w:t xml:space="preserve">24 FCC Rcd 12179 (OET 2009). </w:t>
      </w:r>
    </w:p>
  </w:footnote>
  <w:footnote w:id="24">
    <w:p w:rsidR="00BF18B3" w:rsidRPr="003B51E7" w:rsidRDefault="00BF18B3" w:rsidP="00006179">
      <w:pPr>
        <w:pStyle w:val="ParaNum"/>
        <w:numPr>
          <w:ilvl w:val="0"/>
          <w:numId w:val="0"/>
        </w:numPr>
        <w:ind w:left="-187"/>
        <w:rPr>
          <w:u w:val="words"/>
        </w:rPr>
      </w:pPr>
      <w:r w:rsidRPr="00D05186">
        <w:rPr>
          <w:rStyle w:val="FootnoteReference"/>
        </w:rPr>
        <w:footnoteRef/>
      </w:r>
      <w:r w:rsidRPr="00D05186">
        <w:t xml:space="preserve"> </w:t>
      </w:r>
      <w:r w:rsidRPr="0031441D">
        <w:t xml:space="preserve">Era filed </w:t>
      </w:r>
      <w:r>
        <w:t xml:space="preserve">its comments in a general proceeding, CB Docket 09-102, in which the Commission was seeking comment of the </w:t>
      </w:r>
      <w:r w:rsidRPr="0031441D">
        <w:t>possible revision or eliminati</w:t>
      </w:r>
      <w:r>
        <w:t>on of rules as part of the requirements under the</w:t>
      </w:r>
      <w:r w:rsidRPr="0031441D">
        <w:t xml:space="preserve"> Regulatory Flexibility Act (RFA).  </w:t>
      </w:r>
      <w:r>
        <w:t xml:space="preserve">As discussed </w:t>
      </w:r>
      <w:r w:rsidRPr="00D05186">
        <w:rPr>
          <w:i/>
        </w:rPr>
        <w:t>infra</w:t>
      </w:r>
      <w:r>
        <w:t xml:space="preserve">, </w:t>
      </w:r>
      <w:r w:rsidRPr="0031441D">
        <w:t>the Office of Engineering and Technology (OET) decided to treat ERA’s comments as a Petition for Rulemaking, and invited comment on starting a rulemaking proceeding to consider ERA’s proposals.</w:t>
      </w:r>
      <w:r w:rsidRPr="006D59EC">
        <w:rPr>
          <w:iCs/>
        </w:rPr>
        <w:t xml:space="preserve"> </w:t>
      </w:r>
      <w:r w:rsidRPr="005A511B">
        <w:rPr>
          <w:iCs/>
        </w:rPr>
        <w:t>Office of Engineering and Technology Seeks Comment on Era Systems Corporation’s Proposal to Permit Fixed Ground-Traffic Radar at Airports in 76-77 GHz Band,</w:t>
      </w:r>
      <w:r w:rsidRPr="005A511B">
        <w:t xml:space="preserve"> ET Docket No. 10-28, </w:t>
      </w:r>
      <w:r w:rsidRPr="005A511B">
        <w:rPr>
          <w:i/>
          <w:iCs/>
        </w:rPr>
        <w:t>Public Notice,</w:t>
      </w:r>
      <w:r w:rsidRPr="005A511B">
        <w:t xml:space="preserve"> DA 10-127 (rel. Jan. 26, 2010).</w:t>
      </w:r>
      <w:r w:rsidRPr="0031441D">
        <w:t xml:space="preserve">    </w:t>
      </w:r>
    </w:p>
  </w:footnote>
  <w:footnote w:id="25">
    <w:p w:rsidR="00BF18B3" w:rsidRDefault="00BF18B3" w:rsidP="005662EE">
      <w:pPr>
        <w:pStyle w:val="FootnoteText"/>
        <w:ind w:left="-187"/>
      </w:pPr>
      <w:r>
        <w:rPr>
          <w:rStyle w:val="FootnoteReference"/>
        </w:rPr>
        <w:footnoteRef/>
      </w:r>
      <w:r>
        <w:t xml:space="preserve"> </w:t>
      </w:r>
      <w:r w:rsidRPr="00C515B3">
        <w:rPr>
          <w:i/>
        </w:rPr>
        <w:t xml:space="preserve">See </w:t>
      </w:r>
      <w:r w:rsidRPr="009E696C">
        <w:t>Xsight</w:t>
      </w:r>
      <w:r>
        <w:rPr>
          <w:i/>
        </w:rPr>
        <w:t xml:space="preserve"> </w:t>
      </w:r>
      <w:r>
        <w:t xml:space="preserve">Aug. 1, 2011 </w:t>
      </w:r>
      <w:r>
        <w:rPr>
          <w:i/>
        </w:rPr>
        <w:t>e</w:t>
      </w:r>
      <w:r w:rsidRPr="00C515B3">
        <w:rPr>
          <w:i/>
        </w:rPr>
        <w:t>x</w:t>
      </w:r>
      <w:r>
        <w:rPr>
          <w:i/>
        </w:rPr>
        <w:t xml:space="preserve"> p</w:t>
      </w:r>
      <w:r w:rsidRPr="00C515B3">
        <w:rPr>
          <w:i/>
        </w:rPr>
        <w:t>arte</w:t>
      </w:r>
      <w:r>
        <w:rPr>
          <w:i/>
        </w:rPr>
        <w:t xml:space="preserve"> </w:t>
      </w:r>
      <w:r w:rsidRPr="009E696C">
        <w:t>filing</w:t>
      </w:r>
      <w:r>
        <w:rPr>
          <w:i/>
        </w:rPr>
        <w:t xml:space="preserve"> </w:t>
      </w:r>
      <w:r w:rsidRPr="00CC6A54">
        <w:t>in</w:t>
      </w:r>
      <w:r>
        <w:rPr>
          <w:i/>
        </w:rPr>
        <w:t xml:space="preserve"> </w:t>
      </w:r>
      <w:r>
        <w:t>ET Docket No. 10-28.</w:t>
      </w:r>
    </w:p>
  </w:footnote>
  <w:footnote w:id="26">
    <w:p w:rsidR="00BF18B3" w:rsidRDefault="00BF18B3" w:rsidP="005662EE">
      <w:pPr>
        <w:pStyle w:val="FootnoteText"/>
        <w:ind w:left="-187"/>
      </w:pPr>
      <w:r>
        <w:rPr>
          <w:rStyle w:val="FootnoteReference"/>
        </w:rPr>
        <w:footnoteRef/>
      </w:r>
      <w:r>
        <w:t xml:space="preserve"> </w:t>
      </w:r>
      <w:r>
        <w:rPr>
          <w:i/>
        </w:rPr>
        <w:t xml:space="preserve">See </w:t>
      </w:r>
      <w:r w:rsidRPr="003601A9">
        <w:rPr>
          <w:i/>
        </w:rPr>
        <w:t>Vehicular Radar</w:t>
      </w:r>
      <w:r>
        <w:rPr>
          <w:i/>
        </w:rPr>
        <w:t xml:space="preserve"> NPRM</w:t>
      </w:r>
      <w:r>
        <w:t>, 26 FCC Rcd at 8113, para. 16-17.</w:t>
      </w:r>
    </w:p>
  </w:footnote>
  <w:footnote w:id="27">
    <w:p w:rsidR="00BF18B3" w:rsidRDefault="00BF18B3" w:rsidP="00D76EF7">
      <w:pPr>
        <w:pStyle w:val="FootnoteText"/>
        <w:ind w:left="-187"/>
      </w:pPr>
      <w:r>
        <w:rPr>
          <w:rStyle w:val="FootnoteReference"/>
        </w:rPr>
        <w:footnoteRef/>
      </w:r>
      <w:r>
        <w:t xml:space="preserve"> </w:t>
      </w:r>
      <w:r w:rsidRPr="00D37B09">
        <w:t>At the time the Vehicular R&amp;O was adopted, there was no clear demand present for fixed operations at any locations other than at airports.  Such use was limited to the purposes of detecting foreign object debris on runways and monitoring aircraft and service vehicles on taxiways and other airport vehicle service areas that have no public vehicle access (</w:t>
      </w:r>
      <w:r w:rsidRPr="00D37B09">
        <w:rPr>
          <w:i/>
        </w:rPr>
        <w:t>e.g</w:t>
      </w:r>
      <w:r w:rsidRPr="00D37B09">
        <w:t xml:space="preserve">., gate areas).  </w:t>
      </w:r>
      <w:r w:rsidRPr="00D37B09">
        <w:rPr>
          <w:i/>
        </w:rPr>
        <w:t>See also infra</w:t>
      </w:r>
      <w:r w:rsidRPr="00D37B09">
        <w:t xml:space="preserve"> para. 17.</w:t>
      </w:r>
    </w:p>
  </w:footnote>
  <w:footnote w:id="28">
    <w:p w:rsidR="00BF18B3" w:rsidRDefault="00BF18B3" w:rsidP="005662EE">
      <w:pPr>
        <w:pStyle w:val="Default"/>
        <w:ind w:left="-187"/>
        <w:rPr>
          <w:sz w:val="20"/>
        </w:rPr>
      </w:pPr>
      <w:r>
        <w:rPr>
          <w:rStyle w:val="FootnoteReference"/>
        </w:rPr>
        <w:footnoteRef/>
      </w:r>
      <w:r>
        <w:rPr>
          <w:i/>
          <w:sz w:val="20"/>
        </w:rPr>
        <w:t xml:space="preserve"> </w:t>
      </w:r>
      <w:r w:rsidRPr="00BE0585">
        <w:rPr>
          <w:sz w:val="20"/>
          <w:szCs w:val="20"/>
        </w:rPr>
        <w:t>Amendment of the Commission’s Rules to Permit Radiolocation Operations in the 78-81 GHz Band,</w:t>
      </w:r>
      <w:r w:rsidRPr="0056402E">
        <w:rPr>
          <w:i/>
          <w:sz w:val="20"/>
          <w:szCs w:val="20"/>
        </w:rPr>
        <w:t xml:space="preserve"> </w:t>
      </w:r>
      <w:r w:rsidRPr="0056402E">
        <w:rPr>
          <w:sz w:val="20"/>
          <w:szCs w:val="20"/>
        </w:rPr>
        <w:t>WT Docket 11-202</w:t>
      </w:r>
      <w:r>
        <w:rPr>
          <w:sz w:val="20"/>
          <w:szCs w:val="20"/>
        </w:rPr>
        <w:t xml:space="preserve">, </w:t>
      </w:r>
      <w:r w:rsidRPr="0056402E">
        <w:rPr>
          <w:i/>
          <w:sz w:val="20"/>
          <w:szCs w:val="20"/>
        </w:rPr>
        <w:t>Notice of Proposed Rule Making and Order</w:t>
      </w:r>
      <w:r w:rsidRPr="0056402E">
        <w:rPr>
          <w:sz w:val="20"/>
          <w:szCs w:val="20"/>
        </w:rPr>
        <w:t>, 26 FCC Rcd 17476 (2011) (</w:t>
      </w:r>
      <w:r w:rsidRPr="0056402E">
        <w:rPr>
          <w:i/>
          <w:sz w:val="20"/>
          <w:szCs w:val="20"/>
        </w:rPr>
        <w:t>78-81 GHz NPRM</w:t>
      </w:r>
      <w:r w:rsidRPr="0056402E">
        <w:rPr>
          <w:sz w:val="20"/>
          <w:szCs w:val="20"/>
        </w:rPr>
        <w:t xml:space="preserve">).  </w:t>
      </w:r>
      <w:r w:rsidRPr="0056402E">
        <w:rPr>
          <w:i/>
          <w:sz w:val="20"/>
          <w:szCs w:val="20"/>
        </w:rPr>
        <w:t>See also</w:t>
      </w:r>
      <w:r w:rsidRPr="0056402E">
        <w:rPr>
          <w:sz w:val="20"/>
          <w:szCs w:val="20"/>
        </w:rPr>
        <w:t xml:space="preserve"> </w:t>
      </w:r>
      <w:r>
        <w:rPr>
          <w:sz w:val="20"/>
          <w:szCs w:val="20"/>
        </w:rPr>
        <w:t xml:space="preserve">Trex </w:t>
      </w:r>
      <w:r w:rsidRPr="0056402E">
        <w:rPr>
          <w:iCs/>
          <w:sz w:val="20"/>
          <w:szCs w:val="20"/>
        </w:rPr>
        <w:t>R</w:t>
      </w:r>
      <w:r w:rsidRPr="0056402E">
        <w:rPr>
          <w:sz w:val="20"/>
          <w:szCs w:val="20"/>
        </w:rPr>
        <w:t>equest for Waiver of Section 90.103(b) (filed Novem</w:t>
      </w:r>
      <w:r>
        <w:rPr>
          <w:sz w:val="20"/>
          <w:szCs w:val="20"/>
        </w:rPr>
        <w:t>ber 3, 2010).</w:t>
      </w:r>
    </w:p>
  </w:footnote>
  <w:footnote w:id="29">
    <w:p w:rsidR="00BF18B3" w:rsidRDefault="00BF18B3" w:rsidP="005662EE">
      <w:pPr>
        <w:pStyle w:val="FootnoteText"/>
        <w:ind w:left="-187"/>
      </w:pPr>
      <w:r>
        <w:rPr>
          <w:rStyle w:val="FootnoteReference"/>
        </w:rPr>
        <w:footnoteRef/>
      </w:r>
      <w:r>
        <w:t xml:space="preserve"> </w:t>
      </w:r>
      <w:r>
        <w:rPr>
          <w:i/>
        </w:rPr>
        <w:t xml:space="preserve">Id.  </w:t>
      </w:r>
      <w:r>
        <w:t xml:space="preserve">As part of this decision, the Commission granted a request by Trex for a waiver to permit certification and use of FOD detection radars in the band, pending the outcome of proceeding.  The Wireless Telecommunications Bureau’s Mobility Division subsequently clarified the technical parameters of the waiver.  </w:t>
      </w:r>
      <w:r w:rsidRPr="000A5CB1">
        <w:rPr>
          <w:i/>
        </w:rPr>
        <w:t>See</w:t>
      </w:r>
      <w:r>
        <w:t xml:space="preserve"> letter dated Aug. 20, 2012 from Scot Stone, Deputy Chief, Mobility Division, Wireless Telecommunications Bureau to Randall W. Sifers, available at </w:t>
      </w:r>
      <w:hyperlink r:id="rId6" w:history="1">
        <w:r w:rsidRPr="000A5CB1">
          <w:rPr>
            <w:rStyle w:val="Hyperlink"/>
          </w:rPr>
          <w:t>http://apps.fcc.gov/ecfs/document/view?id=7022007326</w:t>
        </w:r>
      </w:hyperlink>
      <w:r>
        <w:t>.</w:t>
      </w:r>
    </w:p>
  </w:footnote>
  <w:footnote w:id="30">
    <w:p w:rsidR="00BF18B3" w:rsidRDefault="00BF18B3" w:rsidP="005662EE">
      <w:pPr>
        <w:pStyle w:val="FootnoteText"/>
        <w:ind w:left="-187"/>
      </w:pPr>
      <w:r>
        <w:rPr>
          <w:rStyle w:val="FootnoteReference"/>
        </w:rPr>
        <w:footnoteRef/>
      </w:r>
      <w:r>
        <w:t xml:space="preserve"> </w:t>
      </w:r>
      <w:r w:rsidRPr="00AE7A12">
        <w:t>Amendment of the Commission’s Rules to Permit Radiolocation Operations in the 78-81 GHz band,</w:t>
      </w:r>
      <w:r>
        <w:rPr>
          <w:i/>
        </w:rPr>
        <w:t xml:space="preserve"> </w:t>
      </w:r>
      <w:r w:rsidRPr="0056402E">
        <w:t>WT Docket No. 11-202</w:t>
      </w:r>
      <w:r>
        <w:t xml:space="preserve">, </w:t>
      </w:r>
      <w:r>
        <w:rPr>
          <w:i/>
        </w:rPr>
        <w:t>Report and</w:t>
      </w:r>
      <w:r w:rsidRPr="0056402E">
        <w:rPr>
          <w:i/>
        </w:rPr>
        <w:t xml:space="preserve"> Order</w:t>
      </w:r>
      <w:r w:rsidRPr="0056402E">
        <w:t>, 28 FCC Rcd 10423</w:t>
      </w:r>
      <w:r>
        <w:t xml:space="preserve"> (2013) (</w:t>
      </w:r>
      <w:r w:rsidRPr="00A12E92">
        <w:rPr>
          <w:i/>
        </w:rPr>
        <w:t>78-81 GHz Trex R&amp;O</w:t>
      </w:r>
      <w:r>
        <w:t>).</w:t>
      </w:r>
    </w:p>
  </w:footnote>
  <w:footnote w:id="31">
    <w:p w:rsidR="00BF18B3" w:rsidRDefault="00BF18B3" w:rsidP="005662EE">
      <w:pPr>
        <w:pStyle w:val="FootnoteText"/>
        <w:ind w:left="-187"/>
      </w:pPr>
      <w:r>
        <w:rPr>
          <w:rStyle w:val="FootnoteReference"/>
        </w:rPr>
        <w:footnoteRef/>
      </w:r>
      <w:r>
        <w:t xml:space="preserve"> </w:t>
      </w:r>
      <w:r w:rsidRPr="00E23415">
        <w:rPr>
          <w:i/>
        </w:rPr>
        <w:t>Id</w:t>
      </w:r>
      <w:r>
        <w:rPr>
          <w:i/>
        </w:rPr>
        <w:t>.</w:t>
      </w:r>
      <w:r>
        <w:t xml:space="preserve">, 28 FCC Rcd at 10424, para. 7. </w:t>
      </w:r>
      <w:r w:rsidRPr="00E23415">
        <w:rPr>
          <w:i/>
        </w:rPr>
        <w:t xml:space="preserve"> </w:t>
      </w:r>
      <w:r>
        <w:rPr>
          <w:i/>
        </w:rPr>
        <w:t xml:space="preserve"> </w:t>
      </w:r>
    </w:p>
  </w:footnote>
  <w:footnote w:id="32">
    <w:p w:rsidR="00BF18B3" w:rsidRDefault="00BF18B3" w:rsidP="005662EE">
      <w:pPr>
        <w:pStyle w:val="FootnoteText"/>
        <w:ind w:left="-187"/>
      </w:pPr>
      <w:r w:rsidRPr="00E23415">
        <w:rPr>
          <w:rStyle w:val="FootnoteReference"/>
        </w:rPr>
        <w:footnoteRef/>
      </w:r>
      <w:r w:rsidRPr="00E23415">
        <w:t xml:space="preserve"> </w:t>
      </w:r>
      <w:r w:rsidRPr="00E23415">
        <w:rPr>
          <w:i/>
        </w:rPr>
        <w:t xml:space="preserve">See </w:t>
      </w:r>
      <w:r>
        <w:rPr>
          <w:i/>
        </w:rPr>
        <w:t xml:space="preserve">generally </w:t>
      </w:r>
      <w:r w:rsidRPr="00E23415">
        <w:rPr>
          <w:i/>
        </w:rPr>
        <w:t>Vehicular Radar R&amp;O</w:t>
      </w:r>
      <w:r>
        <w:t>.</w:t>
      </w:r>
    </w:p>
  </w:footnote>
  <w:footnote w:id="33">
    <w:p w:rsidR="00BF18B3" w:rsidRDefault="00BF18B3" w:rsidP="005662EE">
      <w:pPr>
        <w:pStyle w:val="FootnoteText"/>
        <w:ind w:left="-187"/>
      </w:pPr>
      <w:r>
        <w:rPr>
          <w:rStyle w:val="FootnoteReference"/>
        </w:rPr>
        <w:footnoteRef/>
      </w:r>
      <w:r>
        <w:t xml:space="preserve"> Fixed infrastructure applications include antennas mounted on outdoor or indoor fixed structures, </w:t>
      </w:r>
      <w:r w:rsidRPr="00D37B09">
        <w:rPr>
          <w:i/>
        </w:rPr>
        <w:t>e.g</w:t>
      </w:r>
      <w:r>
        <w:t xml:space="preserve">., antennas mounted on the building or on a telephone pole.  Some of the examples of fixed infrastructure applications are detection of locations of stopped vehicles or pedestrians, detection for industrial machinery including port cranes, mining trucks and locomotives, and provide security monitoring for government and public infrastructures. </w:t>
      </w:r>
    </w:p>
  </w:footnote>
  <w:footnote w:id="34">
    <w:p w:rsidR="00BF18B3" w:rsidRDefault="00BF18B3" w:rsidP="005662EE">
      <w:pPr>
        <w:pStyle w:val="FootnoteText"/>
        <w:ind w:left="-187"/>
      </w:pPr>
      <w:r>
        <w:rPr>
          <w:rStyle w:val="FootnoteReference"/>
        </w:rPr>
        <w:footnoteRef/>
      </w:r>
      <w:r>
        <w:t xml:space="preserve"> </w:t>
      </w:r>
      <w:r w:rsidRPr="00E23415">
        <w:rPr>
          <w:i/>
        </w:rPr>
        <w:t>See Vehicular Radar R&amp;O</w:t>
      </w:r>
      <w:r w:rsidRPr="00E23415">
        <w:t xml:space="preserve">, </w:t>
      </w:r>
      <w:r>
        <w:t xml:space="preserve">27 FCC Rcd at 7887, para. 21.  Many </w:t>
      </w:r>
      <w:r>
        <w:rPr>
          <w:color w:val="010101"/>
        </w:rPr>
        <w:t>commenters, at that time, overwhelmingly opposed the use of fixed radar applications and suggested that the Commission should wait for the results of ongoing analyses and studies regarding the issue of interference between vehicular and fixed radar applications.</w:t>
      </w:r>
    </w:p>
  </w:footnote>
  <w:footnote w:id="35">
    <w:p w:rsidR="00BF18B3" w:rsidRDefault="00BF18B3" w:rsidP="005662EE">
      <w:pPr>
        <w:pStyle w:val="FootnoteText"/>
        <w:ind w:left="-187"/>
      </w:pPr>
      <w:r>
        <w:rPr>
          <w:rStyle w:val="FootnoteReference"/>
        </w:rPr>
        <w:footnoteRef/>
      </w:r>
      <w:r>
        <w:t xml:space="preserve"> </w:t>
      </w:r>
      <w:r w:rsidRPr="00422ED0">
        <w:rPr>
          <w:i/>
        </w:rPr>
        <w:t>Fixed Radar</w:t>
      </w:r>
      <w:r>
        <w:t xml:space="preserve"> </w:t>
      </w:r>
      <w:r>
        <w:rPr>
          <w:i/>
        </w:rPr>
        <w:t>Petition</w:t>
      </w:r>
      <w:r>
        <w:t xml:space="preserve">. </w:t>
      </w:r>
    </w:p>
  </w:footnote>
  <w:footnote w:id="36">
    <w:p w:rsidR="00BF18B3" w:rsidRDefault="00BF18B3" w:rsidP="005662EE">
      <w:pPr>
        <w:pStyle w:val="FootnoteText"/>
        <w:ind w:left="-187"/>
      </w:pPr>
      <w:r>
        <w:rPr>
          <w:rStyle w:val="FootnoteReference"/>
        </w:rPr>
        <w:footnoteRef/>
      </w:r>
      <w:r>
        <w:t xml:space="preserve"> Commenters argued both that Navtech’s Petition for Partial Reconsideration was untimely and that its fixed applications could cause interference to vehicular radars.  </w:t>
      </w:r>
      <w:r w:rsidRPr="00482B2B">
        <w:rPr>
          <w:i/>
        </w:rPr>
        <w:t>See,</w:t>
      </w:r>
      <w:r>
        <w:t xml:space="preserve"> </w:t>
      </w:r>
      <w:r>
        <w:rPr>
          <w:i/>
        </w:rPr>
        <w:t>e.g.</w:t>
      </w:r>
      <w:r>
        <w:t xml:space="preserve"> Autoliv comments in RM-11555 at 2, MBUSA comments in RM-11555 at 6 and TMC comments in RM-11555 at 1-2.  </w:t>
      </w:r>
    </w:p>
  </w:footnote>
  <w:footnote w:id="37">
    <w:p w:rsidR="00BF18B3" w:rsidRDefault="00BF18B3" w:rsidP="005662EE">
      <w:pPr>
        <w:pStyle w:val="FootnoteText"/>
        <w:ind w:left="-187"/>
      </w:pPr>
      <w:r>
        <w:rPr>
          <w:rStyle w:val="FootnoteReference"/>
        </w:rPr>
        <w:footnoteRef/>
      </w:r>
      <w:r>
        <w:t xml:space="preserve"> </w:t>
      </w:r>
      <w:r w:rsidRPr="00422ED0">
        <w:rPr>
          <w:i/>
        </w:rPr>
        <w:t>See</w:t>
      </w:r>
      <w:r>
        <w:t xml:space="preserve"> Navtech, </w:t>
      </w:r>
      <w:r w:rsidRPr="00635016">
        <w:t>Response to Opposition to Petition</w:t>
      </w:r>
      <w:r>
        <w:t xml:space="preserve">, ET Docket Nos. 11-90 and 10-28 and RM-11555, filed Dec. 11, 2012. </w:t>
      </w:r>
    </w:p>
  </w:footnote>
  <w:footnote w:id="38">
    <w:p w:rsidR="00BF18B3" w:rsidRDefault="00BF18B3" w:rsidP="005662EE">
      <w:pPr>
        <w:pStyle w:val="FootnoteText"/>
        <w:ind w:left="-187"/>
      </w:pPr>
      <w:r>
        <w:rPr>
          <w:rStyle w:val="FootnoteReference"/>
        </w:rPr>
        <w:footnoteRef/>
      </w:r>
      <w:r>
        <w:t xml:space="preserve"> </w:t>
      </w:r>
      <w:r w:rsidRPr="005B72F6">
        <w:rPr>
          <w:i/>
        </w:rPr>
        <w:t>Aircraft Petition</w:t>
      </w:r>
      <w:r>
        <w:t xml:space="preserve">.  Honeywell requested that a letter it filed on July 25, 2012, seeking clarification on the prohibited use of radars on aircraft, be treated as a petition for reconsideration.  The Commission subsequently opted to treat it as such. </w:t>
      </w:r>
    </w:p>
  </w:footnote>
  <w:footnote w:id="39">
    <w:p w:rsidR="00BF18B3" w:rsidRDefault="00BF18B3" w:rsidP="005662EE">
      <w:pPr>
        <w:pStyle w:val="FootnoteText"/>
        <w:ind w:left="-187"/>
      </w:pPr>
      <w:r>
        <w:rPr>
          <w:rStyle w:val="FootnoteReference"/>
        </w:rPr>
        <w:footnoteRef/>
      </w:r>
      <w:r>
        <w:t xml:space="preserve"> </w:t>
      </w:r>
      <w:r>
        <w:rPr>
          <w:i/>
        </w:rPr>
        <w:t>See</w:t>
      </w:r>
      <w:r>
        <w:t xml:space="preserve"> </w:t>
      </w:r>
      <w:r w:rsidRPr="00E23415">
        <w:t>Reply to Opposition to Petition for Reconsideration</w:t>
      </w:r>
      <w:r>
        <w:t xml:space="preserve"> by Honeywell, RM-11555, filed Dec. 18, 2012 (</w:t>
      </w:r>
      <w:r w:rsidRPr="00E80F98">
        <w:rPr>
          <w:i/>
        </w:rPr>
        <w:t>Aircraft Petition Reply</w:t>
      </w:r>
      <w:r>
        <w:t>).</w:t>
      </w:r>
    </w:p>
  </w:footnote>
  <w:footnote w:id="40">
    <w:p w:rsidR="00BF18B3" w:rsidRDefault="00BF18B3" w:rsidP="005662EE">
      <w:pPr>
        <w:pStyle w:val="FootnoteText"/>
        <w:ind w:left="-187"/>
      </w:pPr>
      <w:r>
        <w:rPr>
          <w:rStyle w:val="FootnoteReference"/>
        </w:rPr>
        <w:footnoteRef/>
      </w:r>
      <w:r>
        <w:t xml:space="preserve"> </w:t>
      </w:r>
      <w:r w:rsidRPr="00727C9C">
        <w:rPr>
          <w:i/>
        </w:rPr>
        <w:t>See</w:t>
      </w:r>
      <w:r>
        <w:t xml:space="preserve"> </w:t>
      </w:r>
      <w:r>
        <w:rPr>
          <w:i/>
        </w:rPr>
        <w:t>40 GHz Report and Order,</w:t>
      </w:r>
      <w:r>
        <w:t xml:space="preserve"> 11 FCC Rcd at 4483, para. 3. </w:t>
      </w:r>
    </w:p>
  </w:footnote>
  <w:footnote w:id="41">
    <w:p w:rsidR="00BF18B3" w:rsidRDefault="00BF18B3" w:rsidP="005662EE">
      <w:pPr>
        <w:pStyle w:val="FootnoteText"/>
        <w:ind w:left="-187"/>
      </w:pPr>
      <w:r>
        <w:rPr>
          <w:rStyle w:val="FootnoteReference"/>
        </w:rPr>
        <w:footnoteRef/>
      </w:r>
      <w:r>
        <w:t xml:space="preserve"> </w:t>
      </w:r>
      <w:r>
        <w:rPr>
          <w:i/>
        </w:rPr>
        <w:t xml:space="preserve">See </w:t>
      </w:r>
      <w:r w:rsidRPr="003601A9">
        <w:rPr>
          <w:i/>
        </w:rPr>
        <w:t>Vehicular Radar</w:t>
      </w:r>
      <w:r>
        <w:rPr>
          <w:i/>
        </w:rPr>
        <w:t xml:space="preserve"> NPRM</w:t>
      </w:r>
      <w:r>
        <w:t xml:space="preserve"> and </w:t>
      </w:r>
      <w:r>
        <w:rPr>
          <w:i/>
        </w:rPr>
        <w:t>Vehicular Radar R&amp;O</w:t>
      </w:r>
      <w:r>
        <w:t>.</w:t>
      </w:r>
      <w:r w:rsidRPr="00771805">
        <w:t xml:space="preserve"> </w:t>
      </w:r>
      <w:r>
        <w:t xml:space="preserve"> </w:t>
      </w:r>
    </w:p>
  </w:footnote>
  <w:footnote w:id="42">
    <w:p w:rsidR="00BF18B3" w:rsidRDefault="00BF18B3" w:rsidP="005662EE">
      <w:pPr>
        <w:pStyle w:val="FootnoteText"/>
        <w:ind w:left="-187"/>
      </w:pPr>
      <w:r>
        <w:rPr>
          <w:rStyle w:val="FootnoteReference"/>
        </w:rPr>
        <w:footnoteRef/>
      </w:r>
      <w:r>
        <w:t xml:space="preserve"> </w:t>
      </w:r>
      <w:r>
        <w:rPr>
          <w:i/>
        </w:rPr>
        <w:t>See</w:t>
      </w:r>
      <w:r>
        <w:t xml:space="preserve"> 47 C.F.R. § 2.106.</w:t>
      </w:r>
    </w:p>
  </w:footnote>
  <w:footnote w:id="43">
    <w:p w:rsidR="00BF18B3" w:rsidRPr="00E23415" w:rsidRDefault="00BF18B3" w:rsidP="005662EE">
      <w:pPr>
        <w:pStyle w:val="FootnoteText"/>
        <w:ind w:left="-187"/>
      </w:pPr>
      <w:r w:rsidRPr="00E23415">
        <w:rPr>
          <w:rStyle w:val="FootnoteReference"/>
        </w:rPr>
        <w:footnoteRef/>
      </w:r>
      <w:r w:rsidRPr="00E23415">
        <w:t xml:space="preserve"> </w:t>
      </w:r>
      <w:r w:rsidRPr="00E23415">
        <w:rPr>
          <w:i/>
        </w:rPr>
        <w:t>See Vehicular Radar R&amp;O</w:t>
      </w:r>
      <w:r w:rsidRPr="00E23415">
        <w:t xml:space="preserve">, </w:t>
      </w:r>
      <w:r>
        <w:t>27 FCC Rcd at 7885, para. 16</w:t>
      </w:r>
      <w:r w:rsidRPr="00E23415">
        <w:t>.</w:t>
      </w:r>
    </w:p>
  </w:footnote>
  <w:footnote w:id="44">
    <w:p w:rsidR="00BF18B3" w:rsidRPr="00E23415" w:rsidRDefault="00BF18B3" w:rsidP="005662EE">
      <w:pPr>
        <w:pStyle w:val="FootnoteText"/>
        <w:ind w:left="-187"/>
      </w:pPr>
      <w:r w:rsidRPr="00E23415">
        <w:rPr>
          <w:rStyle w:val="FootnoteReference"/>
        </w:rPr>
        <w:footnoteRef/>
      </w:r>
      <w:r w:rsidRPr="00E23415">
        <w:t xml:space="preserve"> </w:t>
      </w:r>
      <w:r w:rsidRPr="00E23415">
        <w:rPr>
          <w:i/>
        </w:rPr>
        <w:t>See Vehicular Radar R&amp;O</w:t>
      </w:r>
      <w:r w:rsidRPr="00E23415">
        <w:t xml:space="preserve">, </w:t>
      </w:r>
      <w:r>
        <w:t>27 FCC Rcd at 7887, para. 19.</w:t>
      </w:r>
    </w:p>
  </w:footnote>
  <w:footnote w:id="45">
    <w:p w:rsidR="00BF18B3" w:rsidRPr="00E23415" w:rsidRDefault="00BF18B3" w:rsidP="005662EE">
      <w:pPr>
        <w:pStyle w:val="FootnoteText"/>
        <w:ind w:left="-187"/>
      </w:pPr>
      <w:r w:rsidRPr="00E23415">
        <w:rPr>
          <w:rStyle w:val="FootnoteReference"/>
        </w:rPr>
        <w:footnoteRef/>
      </w:r>
      <w:r w:rsidRPr="00E23415">
        <w:t xml:space="preserve"> </w:t>
      </w:r>
      <w:r w:rsidRPr="00881CD1">
        <w:rPr>
          <w:i/>
        </w:rPr>
        <w:t>See</w:t>
      </w:r>
      <w:r>
        <w:t xml:space="preserve"> Amendment of Parts 2, 15, and 97 of the Commission’s Rules to Permit Use of Radio Frequencies Above 40 GHz for New Radio Applications, ET Docket No. 94-124,</w:t>
      </w:r>
      <w:r>
        <w:rPr>
          <w:i/>
        </w:rPr>
        <w:t xml:space="preserve"> Third Report and Order,</w:t>
      </w:r>
      <w:r>
        <w:t xml:space="preserve"> 13 FCC Rcd 15074, 15076-15077, para. 6-9 (1998) (</w:t>
      </w:r>
      <w:r w:rsidRPr="00D37B09">
        <w:rPr>
          <w:i/>
        </w:rPr>
        <w:t>Above 40 GHz</w:t>
      </w:r>
      <w:r>
        <w:t xml:space="preserve"> </w:t>
      </w:r>
      <w:r w:rsidRPr="0061381A">
        <w:rPr>
          <w:i/>
        </w:rPr>
        <w:t>Third Report &amp; Order</w:t>
      </w:r>
      <w:r>
        <w:t>)</w:t>
      </w:r>
      <w:r w:rsidRPr="00E23415">
        <w:t xml:space="preserve">. </w:t>
      </w:r>
    </w:p>
  </w:footnote>
  <w:footnote w:id="46">
    <w:p w:rsidR="00BF18B3" w:rsidRDefault="00BF18B3" w:rsidP="005662EE">
      <w:pPr>
        <w:pStyle w:val="FootnoteText"/>
        <w:ind w:left="-187"/>
      </w:pPr>
      <w:r>
        <w:rPr>
          <w:rStyle w:val="FootnoteReference"/>
        </w:rPr>
        <w:footnoteRef/>
      </w:r>
      <w:r>
        <w:t xml:space="preserve"> </w:t>
      </w:r>
      <w:r w:rsidRPr="00DF1D40">
        <w:rPr>
          <w:i/>
        </w:rPr>
        <w:t>See</w:t>
      </w:r>
      <w:r>
        <w:t xml:space="preserve"> </w:t>
      </w:r>
      <w:r>
        <w:rPr>
          <w:i/>
        </w:rPr>
        <w:t>40 GHz Report and Order,</w:t>
      </w:r>
      <w:r>
        <w:t xml:space="preserve"> 11 FCC Rcd at 4483, para. 3. </w:t>
      </w:r>
      <w:r w:rsidRPr="00815D52">
        <w:rPr>
          <w:i/>
        </w:rPr>
        <w:t>See</w:t>
      </w:r>
      <w:r>
        <w:rPr>
          <w:i/>
        </w:rPr>
        <w:t xml:space="preserve"> also</w:t>
      </w:r>
      <w:r w:rsidRPr="00815D52">
        <w:rPr>
          <w:i/>
        </w:rPr>
        <w:t xml:space="preserve"> </w:t>
      </w:r>
      <w:r w:rsidRPr="006C40BE">
        <w:t>Amendment of Part 2 of the Commission’s Rules to Realign the 76-81 GHz band and the Frequency Range Above 95 GHz Consistent with International Allocation Changes,</w:t>
      </w:r>
      <w:r>
        <w:rPr>
          <w:i/>
        </w:rPr>
        <w:t xml:space="preserve"> </w:t>
      </w:r>
      <w:r>
        <w:t xml:space="preserve">ET Docket No. 03-102, </w:t>
      </w:r>
      <w:r>
        <w:rPr>
          <w:i/>
        </w:rPr>
        <w:t>Report and Order,</w:t>
      </w:r>
      <w:r>
        <w:t xml:space="preserve"> 19 FCC Rcd 3212, 3218, para. 18 (2004) (</w:t>
      </w:r>
      <w:r w:rsidRPr="009117E8">
        <w:rPr>
          <w:i/>
        </w:rPr>
        <w:t xml:space="preserve">76-81 GHz </w:t>
      </w:r>
      <w:r>
        <w:rPr>
          <w:i/>
        </w:rPr>
        <w:t xml:space="preserve">Realignment </w:t>
      </w:r>
      <w:r w:rsidRPr="009117E8">
        <w:rPr>
          <w:i/>
        </w:rPr>
        <w:t>R&amp;O</w:t>
      </w:r>
      <w:r>
        <w:t>).</w:t>
      </w:r>
    </w:p>
  </w:footnote>
  <w:footnote w:id="47">
    <w:p w:rsidR="00BF18B3" w:rsidRDefault="00BF18B3" w:rsidP="005662EE">
      <w:pPr>
        <w:pStyle w:val="FootnoteText"/>
        <w:ind w:left="-187"/>
      </w:pPr>
      <w:r>
        <w:rPr>
          <w:rStyle w:val="FootnoteReference"/>
        </w:rPr>
        <w:footnoteRef/>
      </w:r>
      <w:r>
        <w:t xml:space="preserve"> </w:t>
      </w:r>
      <w:r>
        <w:rPr>
          <w:i/>
        </w:rPr>
        <w:t>See</w:t>
      </w:r>
      <w:r>
        <w:t xml:space="preserve"> 47 C. F. R. § 15.256.</w:t>
      </w:r>
    </w:p>
  </w:footnote>
  <w:footnote w:id="48">
    <w:p w:rsidR="00BF18B3" w:rsidRPr="00E23415" w:rsidRDefault="00BF18B3" w:rsidP="00F12134">
      <w:pPr>
        <w:autoSpaceDE w:val="0"/>
        <w:autoSpaceDN w:val="0"/>
        <w:adjustRightInd w:val="0"/>
        <w:spacing w:after="120"/>
        <w:ind w:left="-187"/>
        <w:rPr>
          <w:sz w:val="20"/>
        </w:rPr>
      </w:pPr>
      <w:r w:rsidRPr="00E23415">
        <w:rPr>
          <w:rStyle w:val="FootnoteReference"/>
        </w:rPr>
        <w:footnoteRef/>
      </w:r>
      <w:r w:rsidRPr="00E23415">
        <w:rPr>
          <w:sz w:val="20"/>
        </w:rPr>
        <w:t xml:space="preserve"> Amendment of Part 15 of the Commission’s Rules To Establish Regulations for Tank Level Probing Radars in the Frequency Band 77-81 GHz,</w:t>
      </w:r>
      <w:r w:rsidRPr="00E23415">
        <w:rPr>
          <w:i/>
          <w:sz w:val="20"/>
        </w:rPr>
        <w:t xml:space="preserve"> </w:t>
      </w:r>
      <w:r w:rsidRPr="00E23415">
        <w:rPr>
          <w:sz w:val="20"/>
        </w:rPr>
        <w:t xml:space="preserve">ET Docket No. 10-23, </w:t>
      </w:r>
      <w:r w:rsidRPr="00E23415">
        <w:rPr>
          <w:i/>
          <w:sz w:val="20"/>
        </w:rPr>
        <w:t xml:space="preserve">Report and Order and Order, </w:t>
      </w:r>
      <w:r w:rsidRPr="00E23415">
        <w:rPr>
          <w:sz w:val="20"/>
        </w:rPr>
        <w:t>29 FCC Rcd 761</w:t>
      </w:r>
      <w:r>
        <w:rPr>
          <w:sz w:val="20"/>
        </w:rPr>
        <w:t>, 763, para. 4</w:t>
      </w:r>
      <w:r w:rsidRPr="00E23415">
        <w:rPr>
          <w:sz w:val="20"/>
        </w:rPr>
        <w:t xml:space="preserve"> </w:t>
      </w:r>
      <w:r>
        <w:rPr>
          <w:sz w:val="20"/>
        </w:rPr>
        <w:t xml:space="preserve">(2014) </w:t>
      </w:r>
      <w:r w:rsidRPr="00E23415">
        <w:rPr>
          <w:sz w:val="20"/>
        </w:rPr>
        <w:t>(</w:t>
      </w:r>
      <w:r w:rsidRPr="00E23415">
        <w:rPr>
          <w:i/>
          <w:sz w:val="20"/>
        </w:rPr>
        <w:t>LPR R&amp;O</w:t>
      </w:r>
      <w:r w:rsidRPr="00E23415">
        <w:rPr>
          <w:sz w:val="20"/>
        </w:rPr>
        <w:t>).</w:t>
      </w:r>
    </w:p>
  </w:footnote>
  <w:footnote w:id="49">
    <w:p w:rsidR="00BF18B3" w:rsidRPr="005B40A0" w:rsidRDefault="00BF18B3" w:rsidP="005662EE">
      <w:pPr>
        <w:pStyle w:val="FootnoteText"/>
        <w:ind w:left="-187"/>
      </w:pPr>
      <w:r>
        <w:rPr>
          <w:rStyle w:val="FootnoteReference"/>
        </w:rPr>
        <w:footnoteRef/>
      </w:r>
      <w:r>
        <w:t xml:space="preserve"> </w:t>
      </w:r>
      <w:r w:rsidRPr="00AB77F9">
        <w:rPr>
          <w:i/>
        </w:rPr>
        <w:t>Id.</w:t>
      </w:r>
      <w:r>
        <w:t>, 29 FCC Rcd at 774, para. 29.</w:t>
      </w:r>
    </w:p>
  </w:footnote>
  <w:footnote w:id="50">
    <w:p w:rsidR="00BF18B3" w:rsidRPr="00E23415" w:rsidRDefault="00BF18B3" w:rsidP="00F12134">
      <w:pPr>
        <w:spacing w:after="120"/>
        <w:ind w:left="-187" w:right="-14"/>
        <w:rPr>
          <w:sz w:val="20"/>
        </w:rPr>
      </w:pPr>
      <w:r w:rsidRPr="00E23415">
        <w:rPr>
          <w:rStyle w:val="FootnoteReference"/>
        </w:rPr>
        <w:footnoteRef/>
      </w:r>
      <w:r w:rsidRPr="00E23415">
        <w:rPr>
          <w:sz w:val="20"/>
        </w:rPr>
        <w:t xml:space="preserve"> </w:t>
      </w:r>
      <w:r>
        <w:rPr>
          <w:i/>
          <w:sz w:val="20"/>
        </w:rPr>
        <w:t>Id</w:t>
      </w:r>
      <w:r>
        <w:rPr>
          <w:sz w:val="20"/>
        </w:rPr>
        <w:t>.</w:t>
      </w:r>
      <w:r w:rsidRPr="00E23415">
        <w:rPr>
          <w:i/>
          <w:sz w:val="20"/>
        </w:rPr>
        <w:t xml:space="preserve">  </w:t>
      </w:r>
      <w:r w:rsidRPr="00E23415">
        <w:rPr>
          <w:sz w:val="20"/>
        </w:rPr>
        <w:t xml:space="preserve"> </w:t>
      </w:r>
    </w:p>
  </w:footnote>
  <w:footnote w:id="51">
    <w:p w:rsidR="00BF18B3" w:rsidRDefault="00BF18B3" w:rsidP="005662EE">
      <w:pPr>
        <w:pStyle w:val="FootnoteText"/>
        <w:ind w:left="-187"/>
      </w:pPr>
      <w:r>
        <w:rPr>
          <w:rStyle w:val="FootnoteReference"/>
        </w:rPr>
        <w:footnoteRef/>
      </w:r>
      <w:r>
        <w:t xml:space="preserve"> While the proposed allocations we are making in this NPRM may enhance safety for some applications, we clarify that the allocations we are proposing are not intended to be used for safety services (e.g., per ITU Radio Regulation No. 1.59) and thus are not deserving of any higher priority or greater protection than any other radiolocation service, or with respect to any other primary allocated services, in the bands we are addressing in this NPRM.</w:t>
      </w:r>
    </w:p>
  </w:footnote>
  <w:footnote w:id="52">
    <w:p w:rsidR="00BF18B3" w:rsidRPr="00C343A8" w:rsidRDefault="00BF18B3" w:rsidP="005662EE">
      <w:pPr>
        <w:pStyle w:val="FootnoteText"/>
        <w:ind w:left="-187"/>
      </w:pPr>
      <w:r>
        <w:rPr>
          <w:rStyle w:val="FootnoteReference"/>
        </w:rPr>
        <w:footnoteRef/>
      </w:r>
      <w:r>
        <w:t xml:space="preserve"> </w:t>
      </w:r>
      <w:r>
        <w:rPr>
          <w:i/>
        </w:rPr>
        <w:t>See</w:t>
      </w:r>
      <w:r>
        <w:t xml:space="preserve"> </w:t>
      </w:r>
      <w:hyperlink r:id="rId7" w:history="1">
        <w:r w:rsidRPr="000778CC">
          <w:rPr>
            <w:rStyle w:val="Hyperlink"/>
          </w:rPr>
          <w:t>http://www.79ghz.eu/images/documents/Project_Factsheet_79GHz_v1.0.pdf</w:t>
        </w:r>
      </w:hyperlink>
      <w:r>
        <w:t xml:space="preserve"> (describing the 79 GHz Project’s objectives).</w:t>
      </w:r>
    </w:p>
  </w:footnote>
  <w:footnote w:id="53">
    <w:p w:rsidR="00BF18B3" w:rsidRDefault="00BF18B3" w:rsidP="005662E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3.</w:t>
      </w:r>
    </w:p>
  </w:footnote>
  <w:footnote w:id="54">
    <w:p w:rsidR="00BF18B3" w:rsidRDefault="00BF18B3" w:rsidP="005662EE">
      <w:pPr>
        <w:pStyle w:val="FootnoteText"/>
        <w:ind w:left="-187"/>
      </w:pPr>
      <w:r>
        <w:rPr>
          <w:rStyle w:val="FootnoteReference"/>
        </w:rPr>
        <w:footnoteRef/>
      </w:r>
      <w:r>
        <w:t xml:space="preserve"> </w:t>
      </w:r>
      <w:r>
        <w:rPr>
          <w:i/>
        </w:rPr>
        <w:t>Id.</w:t>
      </w:r>
    </w:p>
  </w:footnote>
  <w:footnote w:id="55">
    <w:p w:rsidR="00BF18B3" w:rsidRPr="003B76A0" w:rsidRDefault="00BF18B3" w:rsidP="005662EE">
      <w:pPr>
        <w:pStyle w:val="FootnoteText"/>
        <w:ind w:left="-187"/>
      </w:pPr>
      <w:r>
        <w:rPr>
          <w:rStyle w:val="FootnoteReference"/>
        </w:rPr>
        <w:footnoteRef/>
      </w:r>
      <w:r>
        <w:t xml:space="preserve"> </w:t>
      </w:r>
      <w:r>
        <w:rPr>
          <w:i/>
        </w:rPr>
        <w:t>See, e.g.</w:t>
      </w:r>
      <w:r>
        <w:t xml:space="preserve"> Continental comments in RM-11666 at 3, BMW comments in RM-11666 at 1, Delphi comments in RM-11666 at 2 and TRW comments in RM-11666 at 2. </w:t>
      </w:r>
    </w:p>
  </w:footnote>
  <w:footnote w:id="56">
    <w:p w:rsidR="00BF18B3" w:rsidRDefault="00BF18B3" w:rsidP="005662EE">
      <w:pPr>
        <w:pStyle w:val="FootnoteText"/>
        <w:ind w:left="-187"/>
      </w:pPr>
      <w:r>
        <w:rPr>
          <w:rStyle w:val="FootnoteReference"/>
        </w:rPr>
        <w:footnoteRef/>
      </w:r>
      <w:r>
        <w:t xml:space="preserve"> </w:t>
      </w:r>
      <w:r w:rsidRPr="002E1FD9">
        <w:rPr>
          <w:i/>
        </w:rPr>
        <w:t>See</w:t>
      </w:r>
      <w:r>
        <w:t xml:space="preserve"> Continental comments para. 2-3, filed Aug. 3, 2012.  </w:t>
      </w:r>
      <w:r>
        <w:rPr>
          <w:i/>
        </w:rPr>
        <w:t>See</w:t>
      </w:r>
      <w:r>
        <w:t xml:space="preserve"> </w:t>
      </w:r>
      <w:r w:rsidRPr="00E10368">
        <w:rPr>
          <w:i/>
        </w:rPr>
        <w:t>also</w:t>
      </w:r>
      <w:r>
        <w:t xml:space="preserve"> Strategic Automotive Radar Frequency Allocation Group (SARA) Jan. 2, 2012 </w:t>
      </w:r>
      <w:r>
        <w:rPr>
          <w:i/>
        </w:rPr>
        <w:t>ex parte</w:t>
      </w:r>
      <w:r>
        <w:t xml:space="preserve"> filing in RM-11555, and ET Docket No. 10-28 at 3-4.  SARA cites a number of studies in an </w:t>
      </w:r>
      <w:r>
        <w:rPr>
          <w:i/>
        </w:rPr>
        <w:t>ex parte</w:t>
      </w:r>
      <w:r>
        <w:t xml:space="preserve"> filing.  According to these studies, up to 74% of all rear-end collisions can be prevented with the use of automatic emergency braking and 20% (</w:t>
      </w:r>
      <w:r>
        <w:rPr>
          <w:i/>
        </w:rPr>
        <w:t>i.e.</w:t>
      </w:r>
      <w:r>
        <w:t xml:space="preserve"> 1.2 million) of passenger car collisions can be avoided by the use of forward collision radars.  </w:t>
      </w:r>
      <w:r w:rsidRPr="000A7D7D">
        <w:rPr>
          <w:i/>
        </w:rPr>
        <w:t>See also</w:t>
      </w:r>
      <w:r>
        <w:t xml:space="preserve"> National Highway Traffic Safety Administration, “</w:t>
      </w:r>
      <w:r w:rsidRPr="000A7D7D">
        <w:rPr>
          <w:i/>
        </w:rPr>
        <w:t>Evaluation of an Automotive Rear-End Collision Avoidance System DOT HS 810 569</w:t>
      </w:r>
      <w:r>
        <w:t xml:space="preserve">” (2006) available at </w:t>
      </w:r>
      <w:hyperlink r:id="rId8" w:history="1">
        <w:r w:rsidRPr="00467A1C">
          <w:rPr>
            <w:rStyle w:val="Hyperlink"/>
          </w:rPr>
          <w:t>http://www.nhtsa.gov/Research/Human+Factors/Warning+systems+(Forward+Collision,+Lane+Departure)</w:t>
        </w:r>
      </w:hyperlink>
      <w:r>
        <w:t>.</w:t>
      </w:r>
    </w:p>
  </w:footnote>
  <w:footnote w:id="57">
    <w:p w:rsidR="00BF18B3" w:rsidRDefault="00BF18B3" w:rsidP="005662E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4.</w:t>
      </w:r>
    </w:p>
  </w:footnote>
  <w:footnote w:id="58">
    <w:p w:rsidR="00BF18B3" w:rsidRPr="00A6088E" w:rsidRDefault="00BF18B3" w:rsidP="005662EE">
      <w:pPr>
        <w:pStyle w:val="FootnoteText"/>
        <w:ind w:left="-187"/>
      </w:pPr>
      <w:r>
        <w:rPr>
          <w:rStyle w:val="FootnoteReference"/>
        </w:rPr>
        <w:footnoteRef/>
      </w:r>
      <w:r>
        <w:t xml:space="preserve"> </w:t>
      </w:r>
      <w:r>
        <w:rPr>
          <w:i/>
        </w:rPr>
        <w:t>Id.</w:t>
      </w:r>
    </w:p>
  </w:footnote>
  <w:footnote w:id="59">
    <w:p w:rsidR="00BF18B3" w:rsidRPr="00A6088E" w:rsidRDefault="00BF18B3" w:rsidP="005662EE">
      <w:pPr>
        <w:pStyle w:val="FootnoteText"/>
        <w:ind w:left="-187"/>
      </w:pPr>
      <w:r>
        <w:rPr>
          <w:rStyle w:val="FootnoteReference"/>
        </w:rPr>
        <w:footnoteRef/>
      </w:r>
      <w:r>
        <w:t xml:space="preserve"> </w:t>
      </w:r>
      <w:r>
        <w:rPr>
          <w:i/>
        </w:rPr>
        <w:t>Id.</w:t>
      </w:r>
    </w:p>
  </w:footnote>
  <w:footnote w:id="60">
    <w:p w:rsidR="00BF18B3" w:rsidRDefault="00BF18B3" w:rsidP="005662EE">
      <w:pPr>
        <w:pStyle w:val="FootnoteText"/>
        <w:ind w:left="-187"/>
      </w:pPr>
      <w:r>
        <w:rPr>
          <w:rStyle w:val="FootnoteReference"/>
        </w:rPr>
        <w:footnoteRef/>
      </w:r>
      <w:r>
        <w:t xml:space="preserve"> </w:t>
      </w:r>
      <w:r>
        <w:rPr>
          <w:i/>
        </w:rPr>
        <w:t>Id.</w:t>
      </w:r>
    </w:p>
  </w:footnote>
  <w:footnote w:id="61">
    <w:p w:rsidR="00BF18B3" w:rsidRDefault="00BF18B3" w:rsidP="005662EE">
      <w:pPr>
        <w:pStyle w:val="FootnoteText"/>
        <w:ind w:left="-187"/>
      </w:pPr>
      <w:r>
        <w:rPr>
          <w:rStyle w:val="FootnoteReference"/>
        </w:rPr>
        <w:footnoteRef/>
      </w:r>
      <w:r>
        <w:t xml:space="preserve"> </w:t>
      </w:r>
      <w:r>
        <w:rPr>
          <w:i/>
        </w:rPr>
        <w:t>See, e.g.</w:t>
      </w:r>
      <w:r>
        <w:t xml:space="preserve">, Continental comments in RM-11666 at 4, BMW comments in RM-11666 at 1, Delphi comments in RM-11666 at 2 and TRW comments in RM-11666 at 2. </w:t>
      </w:r>
    </w:p>
  </w:footnote>
  <w:footnote w:id="62">
    <w:p w:rsidR="00BF18B3" w:rsidRDefault="00BF18B3" w:rsidP="005662EE">
      <w:pPr>
        <w:pStyle w:val="FootnoteText"/>
        <w:ind w:left="-187"/>
      </w:pPr>
      <w:r>
        <w:rPr>
          <w:rStyle w:val="FootnoteReference"/>
        </w:rPr>
        <w:footnoteRef/>
      </w:r>
      <w:r>
        <w:t xml:space="preserve"> </w:t>
      </w:r>
      <w:r w:rsidRPr="00DF1D40">
        <w:rPr>
          <w:i/>
        </w:rPr>
        <w:t>See</w:t>
      </w:r>
      <w:r>
        <w:t xml:space="preserve"> Trex comments in RM-11666 at 5.</w:t>
      </w:r>
    </w:p>
  </w:footnote>
  <w:footnote w:id="63">
    <w:p w:rsidR="00BF18B3" w:rsidRPr="005210A2" w:rsidRDefault="00BF18B3" w:rsidP="005662EE">
      <w:pPr>
        <w:pStyle w:val="FootnoteText"/>
        <w:ind w:left="-187"/>
        <w:rPr>
          <w:color w:val="000000"/>
        </w:rPr>
      </w:pPr>
      <w:r>
        <w:rPr>
          <w:rStyle w:val="FootnoteReference"/>
        </w:rPr>
        <w:footnoteRef/>
      </w:r>
      <w:r>
        <w:t xml:space="preserve"> </w:t>
      </w:r>
      <w:r>
        <w:rPr>
          <w:i/>
        </w:rPr>
        <w:t xml:space="preserve">See </w:t>
      </w:r>
      <w:r>
        <w:t xml:space="preserve">Millimeter Wave Propagation: Spectrum Management Implications, </w:t>
      </w:r>
      <w:r w:rsidRPr="007F737F">
        <w:t>OET Bulletin No. 70</w:t>
      </w:r>
      <w:r>
        <w:t xml:space="preserve"> (July 1997).  </w:t>
      </w:r>
      <w:r>
        <w:rPr>
          <w:i/>
        </w:rPr>
        <w:t xml:space="preserve">See also </w:t>
      </w:r>
      <w:r w:rsidRPr="005210A2">
        <w:t>Federal</w:t>
      </w:r>
      <w:r>
        <w:t xml:space="preserve"> Communications Commission Spectrum Policy Task Force, Report of the Unlicensed Devices and Experimental Licenses Working Group, November 12, 2002, at 14 (available at  </w:t>
      </w:r>
      <w:hyperlink r:id="rId9" w:history="1">
        <w:r w:rsidRPr="005F24C7">
          <w:rPr>
            <w:rStyle w:val="Hyperlink"/>
          </w:rPr>
          <w:t>http://transition.fcc.gov/sptf/files/E&amp;UWGFinalReport.pdf</w:t>
        </w:r>
      </w:hyperlink>
      <w:r w:rsidRPr="005F24C7">
        <w:t xml:space="preserve"> </w:t>
      </w:r>
      <w:r>
        <w:t>).</w:t>
      </w:r>
    </w:p>
  </w:footnote>
  <w:footnote w:id="64">
    <w:p w:rsidR="00BF18B3" w:rsidRPr="00176439" w:rsidRDefault="00BF18B3" w:rsidP="005662EE">
      <w:pPr>
        <w:pStyle w:val="FootnoteText"/>
        <w:ind w:left="-187"/>
      </w:pPr>
      <w:r>
        <w:rPr>
          <w:rStyle w:val="FootnoteReference"/>
        </w:rPr>
        <w:footnoteRef/>
      </w:r>
      <w:r>
        <w:t xml:space="preserve"> </w:t>
      </w:r>
      <w:r>
        <w:rPr>
          <w:i/>
        </w:rPr>
        <w:t xml:space="preserve">See </w:t>
      </w:r>
      <w:r>
        <w:t xml:space="preserve">OET Bulletin No. 70.  </w:t>
      </w:r>
      <w:r>
        <w:rPr>
          <w:i/>
        </w:rPr>
        <w:t xml:space="preserve">See also </w:t>
      </w:r>
      <w:r>
        <w:t xml:space="preserve">Amendment of Parts 2 and 15 of the Commission’s Rules to Permit Use of Radio Frequencies Above 40 GHz for New Radio Applications, ET Docket No. 94-124, </w:t>
      </w:r>
      <w:r>
        <w:rPr>
          <w:i/>
        </w:rPr>
        <w:t>Notice of Proposed Rulemaking</w:t>
      </w:r>
      <w:r>
        <w:t>, 9 FCC Rcd 7078, para. 8 (1994).</w:t>
      </w:r>
    </w:p>
  </w:footnote>
  <w:footnote w:id="65">
    <w:p w:rsidR="00BF18B3" w:rsidRDefault="00BF18B3" w:rsidP="005662E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8-11.</w:t>
      </w:r>
    </w:p>
  </w:footnote>
  <w:footnote w:id="66">
    <w:p w:rsidR="00BF18B3" w:rsidRDefault="00BF18B3" w:rsidP="005662EE">
      <w:pPr>
        <w:pStyle w:val="FootnoteText"/>
        <w:ind w:left="-187"/>
      </w:pPr>
      <w:r>
        <w:rPr>
          <w:rStyle w:val="FootnoteReference"/>
        </w:rPr>
        <w:footnoteRef/>
      </w:r>
      <w:r>
        <w:t xml:space="preserve"> CSA 79 GHz workshop – country specific implementation (available at </w:t>
      </w:r>
      <w:hyperlink r:id="rId10" w:history="1">
        <w:r w:rsidRPr="00404495">
          <w:rPr>
            <w:rStyle w:val="Hyperlink"/>
          </w:rPr>
          <w:t>http://www.79ghz.eu/index.php/documents/public-documents/Presentations/79-GHz-Workshop-Tokyo-October-2013/</w:t>
        </w:r>
      </w:hyperlink>
      <w:r>
        <w:t xml:space="preserve">).  </w:t>
      </w:r>
    </w:p>
  </w:footnote>
  <w:footnote w:id="67">
    <w:p w:rsidR="00BF18B3" w:rsidRPr="007B1AC1" w:rsidRDefault="00BF18B3" w:rsidP="005662E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9 and Continental comments in RM-11666 at 4.  </w:t>
      </w:r>
      <w:r>
        <w:rPr>
          <w:i/>
        </w:rPr>
        <w:t>See also Bosch P</w:t>
      </w:r>
      <w:r w:rsidRPr="00422ED0">
        <w:rPr>
          <w:i/>
        </w:rPr>
        <w:t>etition</w:t>
      </w:r>
      <w:r>
        <w:t xml:space="preserve">, at Exhibit A (reprinting Resolution 654, which was unanimously adopted at WRC-12 and that proposes the allocation of the 77.5-78 GHz band to the radiolocation service to support vehicular SRR operations). </w:t>
      </w:r>
    </w:p>
  </w:footnote>
  <w:footnote w:id="68">
    <w:p w:rsidR="00BF18B3" w:rsidRDefault="00BF18B3" w:rsidP="005662EE">
      <w:pPr>
        <w:pStyle w:val="FootnoteText"/>
        <w:ind w:left="-187"/>
      </w:pPr>
      <w:r>
        <w:rPr>
          <w:rStyle w:val="FootnoteReference"/>
        </w:rPr>
        <w:footnoteRef/>
      </w:r>
      <w:r>
        <w:t xml:space="preserve"> Continental comments in RM-11666  at 5.  </w:t>
      </w:r>
      <w:r w:rsidRPr="000B4B84">
        <w:rPr>
          <w:i/>
        </w:rPr>
        <w:t>See also</w:t>
      </w:r>
      <w:r>
        <w:t xml:space="preserve"> </w:t>
      </w:r>
      <w:r w:rsidRPr="00613B8C">
        <w:t>Association of Global Automakers</w:t>
      </w:r>
      <w:r>
        <w:t xml:space="preserve"> comments in RM-11666 at 2 (stating “[i]nternational harmonization of frequency allocations for short range vehicular radar applications would reduce manufacturing costs for such systems, facilitating more widespread use of these life-saving technologies”).</w:t>
      </w:r>
    </w:p>
  </w:footnote>
  <w:footnote w:id="69">
    <w:p w:rsidR="00BF18B3" w:rsidRPr="00482B2B" w:rsidRDefault="00BF18B3" w:rsidP="009F4492">
      <w:pPr>
        <w:spacing w:after="120"/>
        <w:ind w:left="-187"/>
        <w:rPr>
          <w:color w:val="000000"/>
          <w:sz w:val="20"/>
        </w:rPr>
      </w:pPr>
      <w:r>
        <w:rPr>
          <w:rStyle w:val="FootnoteReference"/>
        </w:rPr>
        <w:footnoteRef/>
      </w:r>
      <w:r>
        <w:t xml:space="preserve"> </w:t>
      </w:r>
      <w:r w:rsidRPr="009F4492">
        <w:rPr>
          <w:sz w:val="20"/>
        </w:rPr>
        <w:t>The National</w:t>
      </w:r>
      <w:r>
        <w:t xml:space="preserve"> </w:t>
      </w:r>
      <w:r w:rsidRPr="00F61DD7">
        <w:rPr>
          <w:sz w:val="20"/>
        </w:rPr>
        <w:t>Telecommunications and Information Administration (NTIA)</w:t>
      </w:r>
      <w:r w:rsidRPr="00F61DD7">
        <w:rPr>
          <w:color w:val="000000"/>
          <w:sz w:val="20"/>
          <w:shd w:val="clear" w:color="auto" w:fill="FFFFFF"/>
        </w:rPr>
        <w:t xml:space="preserve">, </w:t>
      </w:r>
      <w:r>
        <w:rPr>
          <w:color w:val="000000"/>
          <w:sz w:val="20"/>
          <w:shd w:val="clear" w:color="auto" w:fill="FFFFFF"/>
        </w:rPr>
        <w:t>part of the Department of Commerce, is</w:t>
      </w:r>
      <w:r w:rsidR="00EF2254">
        <w:rPr>
          <w:color w:val="000000"/>
          <w:sz w:val="20"/>
          <w:shd w:val="clear" w:color="auto" w:fill="FFFFFF"/>
        </w:rPr>
        <w:t xml:space="preserve"> </w:t>
      </w:r>
      <w:r>
        <w:rPr>
          <w:color w:val="000000"/>
          <w:sz w:val="20"/>
          <w:shd w:val="clear" w:color="auto" w:fill="FFFFFF"/>
        </w:rPr>
        <w:t xml:space="preserve">an </w:t>
      </w:r>
      <w:r w:rsidRPr="00F61DD7">
        <w:rPr>
          <w:color w:val="000000"/>
          <w:sz w:val="20"/>
          <w:shd w:val="clear" w:color="auto" w:fill="FFFFFF"/>
        </w:rPr>
        <w:t>Executive Branch agency</w:t>
      </w:r>
      <w:r>
        <w:rPr>
          <w:color w:val="000000"/>
          <w:sz w:val="20"/>
          <w:shd w:val="clear" w:color="auto" w:fill="FFFFFF"/>
        </w:rPr>
        <w:t xml:space="preserve">.  NTIA’s </w:t>
      </w:r>
      <w:r w:rsidRPr="00F61DD7">
        <w:rPr>
          <w:color w:val="000000"/>
          <w:sz w:val="20"/>
          <w:shd w:val="clear" w:color="auto" w:fill="FFFFFF"/>
        </w:rPr>
        <w:t xml:space="preserve">activities include </w:t>
      </w:r>
      <w:r>
        <w:rPr>
          <w:color w:val="000000"/>
          <w:sz w:val="20"/>
        </w:rPr>
        <w:t>m</w:t>
      </w:r>
      <w:r w:rsidRPr="00F61DD7">
        <w:rPr>
          <w:color w:val="000000"/>
          <w:sz w:val="20"/>
        </w:rPr>
        <w:t xml:space="preserve">anaging the Federal use of spectrum and </w:t>
      </w:r>
      <w:r w:rsidRPr="00F61DD7">
        <w:rPr>
          <w:color w:val="000000"/>
          <w:sz w:val="20"/>
          <w:shd w:val="clear" w:color="auto" w:fill="FFFFFF"/>
        </w:rPr>
        <w:t>advising the President on telecommunications and information policy issues.</w:t>
      </w:r>
      <w:r>
        <w:rPr>
          <w:color w:val="000000"/>
          <w:sz w:val="20"/>
        </w:rPr>
        <w:t xml:space="preserve">  </w:t>
      </w:r>
      <w:r w:rsidRPr="00482B2B">
        <w:rPr>
          <w:i/>
          <w:color w:val="000000"/>
          <w:sz w:val="20"/>
        </w:rPr>
        <w:t>See</w:t>
      </w:r>
      <w:r>
        <w:rPr>
          <w:color w:val="000000"/>
          <w:sz w:val="20"/>
        </w:rPr>
        <w:t xml:space="preserve"> </w:t>
      </w:r>
      <w:hyperlink r:id="rId11" w:history="1">
        <w:r w:rsidRPr="00BA2E71">
          <w:rPr>
            <w:rStyle w:val="Hyperlink"/>
            <w:sz w:val="20"/>
          </w:rPr>
          <w:t>http://www.ntia.doc.gov/about</w:t>
        </w:r>
      </w:hyperlink>
      <w:r>
        <w:rPr>
          <w:rStyle w:val="Hyperlink"/>
          <w:sz w:val="20"/>
        </w:rPr>
        <w:t>.</w:t>
      </w:r>
    </w:p>
  </w:footnote>
  <w:footnote w:id="70">
    <w:p w:rsidR="00BF18B3" w:rsidRDefault="00BF18B3" w:rsidP="00FB1B50">
      <w:pPr>
        <w:spacing w:after="120"/>
        <w:ind w:left="-187"/>
      </w:pPr>
      <w:r w:rsidRPr="007025B7">
        <w:rPr>
          <w:rStyle w:val="FootnoteReference"/>
        </w:rPr>
        <w:footnoteRef/>
      </w:r>
      <w:r w:rsidRPr="007025B7">
        <w:rPr>
          <w:rStyle w:val="FootnoteReference"/>
        </w:rPr>
        <w:t xml:space="preserve"> </w:t>
      </w:r>
      <w:r w:rsidRPr="007025B7">
        <w:rPr>
          <w:i/>
          <w:sz w:val="20"/>
        </w:rPr>
        <w:t>See</w:t>
      </w:r>
      <w:r w:rsidRPr="007025B7">
        <w:rPr>
          <w:sz w:val="20"/>
        </w:rPr>
        <w:t xml:space="preserve"> </w:t>
      </w:r>
      <w:r>
        <w:rPr>
          <w:sz w:val="20"/>
        </w:rPr>
        <w:t>comment</w:t>
      </w:r>
      <w:r w:rsidRPr="007025B7">
        <w:rPr>
          <w:sz w:val="20"/>
        </w:rPr>
        <w:t xml:space="preserve">s of the National Telecommunications and Information Administration (NTIA) in ET Docket No.98-153, </w:t>
      </w:r>
      <w:r>
        <w:rPr>
          <w:sz w:val="20"/>
        </w:rPr>
        <w:t xml:space="preserve">at </w:t>
      </w:r>
      <w:r w:rsidRPr="007025B7">
        <w:rPr>
          <w:sz w:val="20"/>
        </w:rPr>
        <w:t>22</w:t>
      </w:r>
      <w:r>
        <w:rPr>
          <w:sz w:val="20"/>
        </w:rPr>
        <w:t xml:space="preserve"> </w:t>
      </w:r>
      <w:r w:rsidRPr="007025B7">
        <w:rPr>
          <w:sz w:val="20"/>
        </w:rPr>
        <w:t>(filed Jan. 15, 2004).</w:t>
      </w:r>
    </w:p>
  </w:footnote>
  <w:footnote w:id="71">
    <w:p w:rsidR="00BF18B3" w:rsidRDefault="00BF18B3" w:rsidP="005662EE">
      <w:pPr>
        <w:pStyle w:val="FootnoteText"/>
        <w:ind w:left="-187"/>
      </w:pPr>
      <w:r>
        <w:rPr>
          <w:rStyle w:val="FootnoteReference"/>
        </w:rPr>
        <w:footnoteRef/>
      </w:r>
      <w:r>
        <w:t xml:space="preserve"> </w:t>
      </w:r>
      <w:r>
        <w:rPr>
          <w:i/>
        </w:rPr>
        <w:t>See Vehicular Radar R&amp;O</w:t>
      </w:r>
      <w:r>
        <w:t>, 27 FCC Rcd at 7885, para. 15.</w:t>
      </w:r>
    </w:p>
  </w:footnote>
  <w:footnote w:id="72">
    <w:p w:rsidR="00BF18B3" w:rsidRPr="00E54ACA" w:rsidRDefault="00BF18B3" w:rsidP="005662EE">
      <w:pPr>
        <w:pStyle w:val="FootnoteText"/>
        <w:ind w:left="-187"/>
        <w:rPr>
          <w:b/>
        </w:rPr>
      </w:pPr>
      <w:r>
        <w:rPr>
          <w:rStyle w:val="FootnoteReference"/>
        </w:rPr>
        <w:footnoteRef/>
      </w:r>
      <w:r>
        <w:t xml:space="preserve"> </w:t>
      </w:r>
      <w:r w:rsidRPr="0056402E">
        <w:t xml:space="preserve">National Radio Astronomy Observatory, Electronics Division Technical Note No. 219, </w:t>
      </w:r>
      <w:r w:rsidRPr="0056402E">
        <w:rPr>
          <w:i/>
        </w:rPr>
        <w:t>Measurements of Automotive Radar Emissions Received by a Radio Astronomy Observatory</w:t>
      </w:r>
      <w:r w:rsidRPr="0056402E">
        <w:t xml:space="preserve"> (December 8, 2011) (Joint Study).  This</w:t>
      </w:r>
      <w:r>
        <w:t xml:space="preserve"> J</w:t>
      </w:r>
      <w:r w:rsidRPr="0056402E">
        <w:t xml:space="preserve">oint </w:t>
      </w:r>
      <w:r>
        <w:t>S</w:t>
      </w:r>
      <w:r w:rsidRPr="0056402E">
        <w:t xml:space="preserve">tudy is available at </w:t>
      </w:r>
      <w:hyperlink r:id="rId12" w:history="1">
        <w:r w:rsidRPr="0056402E">
          <w:rPr>
            <w:rStyle w:val="Hyperlink"/>
          </w:rPr>
          <w:t>http://www.gb.nrao.edu/electronics/edtn/edtn219.pdf</w:t>
        </w:r>
      </w:hyperlink>
      <w:r w:rsidRPr="0056402E">
        <w:t>.</w:t>
      </w:r>
      <w:r w:rsidRPr="0056402E">
        <w:rPr>
          <w:i/>
          <w:color w:val="222222"/>
          <w:shd w:val="clear" w:color="auto" w:fill="FFFFFF"/>
        </w:rPr>
        <w:t xml:space="preserve">  See also </w:t>
      </w:r>
      <w:r w:rsidRPr="0056402E">
        <w:t>Letter from Karl B. Nebbia, Associate Administrator, Office of Spectrum Management, National Telecommunications and Information Administration, to Julius Knapp, Chief, Office of Engineering and Technology, Federal Communications Commission (</w:t>
      </w:r>
      <w:r>
        <w:t>June 11</w:t>
      </w:r>
      <w:r w:rsidRPr="0056402E">
        <w:t>, 2012)</w:t>
      </w:r>
      <w:r>
        <w:t xml:space="preserve">.  </w:t>
      </w:r>
    </w:p>
  </w:footnote>
  <w:footnote w:id="73">
    <w:p w:rsidR="00BF18B3" w:rsidRPr="00E54ACA" w:rsidRDefault="00BF18B3" w:rsidP="005662EE">
      <w:pPr>
        <w:pStyle w:val="FootnoteText"/>
        <w:ind w:left="-187"/>
        <w:rPr>
          <w:b/>
        </w:rPr>
      </w:pPr>
      <w:r>
        <w:rPr>
          <w:rStyle w:val="FootnoteReference"/>
        </w:rPr>
        <w:footnoteRef/>
      </w:r>
      <w:r>
        <w:t xml:space="preserve"> </w:t>
      </w:r>
      <w:r w:rsidRPr="00CD5EEB">
        <w:rPr>
          <w:i/>
        </w:rPr>
        <w:t xml:space="preserve">See </w:t>
      </w:r>
      <w:r w:rsidRPr="00CD5EEB">
        <w:t>Joint Study at 16.</w:t>
      </w:r>
    </w:p>
  </w:footnote>
  <w:footnote w:id="74">
    <w:p w:rsidR="00BF18B3" w:rsidRDefault="00BF18B3" w:rsidP="005662EE">
      <w:pPr>
        <w:pStyle w:val="FootnoteText"/>
        <w:ind w:left="-187"/>
      </w:pPr>
      <w:r>
        <w:rPr>
          <w:rStyle w:val="FootnoteReference"/>
        </w:rPr>
        <w:footnoteRef/>
      </w:r>
      <w:r>
        <w:t xml:space="preserve"> </w:t>
      </w:r>
      <w:r w:rsidRPr="00CD5EEB">
        <w:rPr>
          <w:i/>
        </w:rPr>
        <w:t>Id.</w:t>
      </w:r>
      <w:r w:rsidRPr="00B3103E">
        <w:t xml:space="preserve"> </w:t>
      </w:r>
    </w:p>
  </w:footnote>
  <w:footnote w:id="75">
    <w:p w:rsidR="00BF18B3" w:rsidRPr="00E54ACA" w:rsidRDefault="00BF18B3" w:rsidP="005662EE">
      <w:pPr>
        <w:pStyle w:val="FootnoteText"/>
        <w:ind w:left="-187"/>
        <w:rPr>
          <w:b/>
        </w:rPr>
      </w:pPr>
      <w:r>
        <w:rPr>
          <w:rStyle w:val="FootnoteReference"/>
        </w:rPr>
        <w:footnoteRef/>
      </w:r>
      <w:r>
        <w:t xml:space="preserve">  </w:t>
      </w:r>
      <w:r>
        <w:rPr>
          <w:i/>
        </w:rPr>
        <w:t xml:space="preserve">See </w:t>
      </w:r>
      <w:r>
        <w:t xml:space="preserve">Joint Study </w:t>
      </w:r>
      <w:r w:rsidRPr="00CD5EEB">
        <w:t>at 12</w:t>
      </w:r>
      <w:r w:rsidRPr="00CD5EEB">
        <w:rPr>
          <w:i/>
        </w:rPr>
        <w:t>.</w:t>
      </w:r>
    </w:p>
  </w:footnote>
  <w:footnote w:id="76">
    <w:p w:rsidR="00BF18B3" w:rsidRDefault="00BF18B3" w:rsidP="005662EE">
      <w:pPr>
        <w:pStyle w:val="FootnoteText"/>
        <w:ind w:left="-187"/>
      </w:pPr>
      <w:r>
        <w:rPr>
          <w:rStyle w:val="FootnoteReference"/>
        </w:rPr>
        <w:footnoteRef/>
      </w:r>
      <w:r>
        <w:t xml:space="preserve"> </w:t>
      </w:r>
      <w:r w:rsidRPr="00CA4A63">
        <w:rPr>
          <w:i/>
          <w:iCs/>
        </w:rPr>
        <w:t>Compare</w:t>
      </w:r>
      <w:r w:rsidRPr="00CA4A63">
        <w:t xml:space="preserve"> Leggett </w:t>
      </w:r>
      <w:r>
        <w:t>c</w:t>
      </w:r>
      <w:r w:rsidRPr="00CA4A63">
        <w:t>omments</w:t>
      </w:r>
      <w:r>
        <w:t xml:space="preserve"> in RM-11666 at </w:t>
      </w:r>
      <w:r w:rsidRPr="00CA4A63">
        <w:t>2</w:t>
      </w:r>
      <w:r>
        <w:t xml:space="preserve"> (describing how interference could occur)</w:t>
      </w:r>
      <w:r w:rsidRPr="00CA4A63">
        <w:t xml:space="preserve"> </w:t>
      </w:r>
      <w:r w:rsidRPr="00CA4A63">
        <w:rPr>
          <w:i/>
          <w:iCs/>
        </w:rPr>
        <w:t>with</w:t>
      </w:r>
      <w:r w:rsidRPr="00CA4A63">
        <w:t xml:space="preserve"> Continental comments </w:t>
      </w:r>
      <w:r>
        <w:t>in RM-11666 at 5-6 (discussing reasons why interference is unlikely to happen)</w:t>
      </w:r>
      <w:r w:rsidRPr="00CA4A63">
        <w:t>.</w:t>
      </w:r>
      <w:r>
        <w:t xml:space="preserve"> </w:t>
      </w:r>
    </w:p>
  </w:footnote>
  <w:footnote w:id="77">
    <w:p w:rsidR="00BF18B3" w:rsidRDefault="00BF18B3" w:rsidP="005662EE">
      <w:pPr>
        <w:pStyle w:val="FootnoteText"/>
        <w:ind w:left="-187"/>
      </w:pPr>
      <w:r>
        <w:rPr>
          <w:rStyle w:val="FootnoteReference"/>
        </w:rPr>
        <w:footnoteRef/>
      </w:r>
      <w:r>
        <w:t xml:space="preserve"> </w:t>
      </w:r>
      <w:r>
        <w:rPr>
          <w:i/>
        </w:rPr>
        <w:t>See Vehicular Radar R&amp;O</w:t>
      </w:r>
      <w:r>
        <w:t>, 27 FCC Rcd at 7888-7889, para. 26.</w:t>
      </w:r>
    </w:p>
  </w:footnote>
  <w:footnote w:id="78">
    <w:p w:rsidR="00BF18B3" w:rsidRDefault="00BF18B3" w:rsidP="005662EE">
      <w:pPr>
        <w:pStyle w:val="FootnoteText"/>
        <w:ind w:left="-187"/>
      </w:pPr>
      <w:r>
        <w:rPr>
          <w:rStyle w:val="FootnoteReference"/>
        </w:rPr>
        <w:footnoteRef/>
      </w:r>
      <w:r>
        <w:t xml:space="preserve"> </w:t>
      </w:r>
      <w:r>
        <w:rPr>
          <w:i/>
        </w:rPr>
        <w:t xml:space="preserve">See LPR R&amp;O, </w:t>
      </w:r>
      <w:r>
        <w:t xml:space="preserve">29 FCC Rcd at 774, para. 29. </w:t>
      </w:r>
    </w:p>
  </w:footnote>
  <w:footnote w:id="79">
    <w:p w:rsidR="00BF18B3" w:rsidRDefault="00BF18B3" w:rsidP="005662E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28-29.</w:t>
      </w:r>
    </w:p>
  </w:footnote>
  <w:footnote w:id="80">
    <w:p w:rsidR="00BF18B3" w:rsidRDefault="00BF18B3" w:rsidP="005662EE">
      <w:pPr>
        <w:pStyle w:val="FootnoteText"/>
        <w:ind w:left="-187"/>
      </w:pPr>
      <w:r>
        <w:rPr>
          <w:rStyle w:val="FootnoteReference"/>
        </w:rPr>
        <w:footnoteRef/>
      </w:r>
      <w:r>
        <w:t xml:space="preserve"> </w:t>
      </w:r>
      <w:r w:rsidRPr="00422ED0">
        <w:rPr>
          <w:i/>
        </w:rPr>
        <w:t>See</w:t>
      </w:r>
      <w:r>
        <w:t xml:space="preserve"> </w:t>
      </w:r>
      <w:r>
        <w:rPr>
          <w:i/>
        </w:rPr>
        <w:t>id</w:t>
      </w:r>
      <w:r>
        <w:t xml:space="preserve">.  Bosch supports its view by describing factors such as </w:t>
      </w:r>
      <w:r>
        <w:rPr>
          <w:szCs w:val="22"/>
        </w:rPr>
        <w:t>the</w:t>
      </w:r>
      <w:r w:rsidRPr="00515F30">
        <w:rPr>
          <w:szCs w:val="22"/>
        </w:rPr>
        <w:t xml:space="preserve"> attenuation characteristics of the band, the downward inclination of SRR antennas on vehicles, the extensive frequency re-use opportunities, the low power used by SRRs, and the typ</w:t>
      </w:r>
      <w:r>
        <w:rPr>
          <w:szCs w:val="22"/>
        </w:rPr>
        <w:t>ical</w:t>
      </w:r>
      <w:r w:rsidRPr="00515F30">
        <w:rPr>
          <w:szCs w:val="22"/>
        </w:rPr>
        <w:t xml:space="preserve"> us</w:t>
      </w:r>
      <w:r>
        <w:rPr>
          <w:szCs w:val="22"/>
        </w:rPr>
        <w:t>age of</w:t>
      </w:r>
      <w:r w:rsidRPr="00515F30">
        <w:rPr>
          <w:szCs w:val="22"/>
        </w:rPr>
        <w:t xml:space="preserve"> Amateur Radio operators in this band</w:t>
      </w:r>
      <w:r>
        <w:rPr>
          <w:szCs w:val="22"/>
        </w:rPr>
        <w:t>.</w:t>
      </w:r>
    </w:p>
  </w:footnote>
  <w:footnote w:id="81">
    <w:p w:rsidR="00BF18B3" w:rsidRDefault="00BF18B3" w:rsidP="005662EE">
      <w:pPr>
        <w:pStyle w:val="FootnoteText"/>
        <w:ind w:left="-187"/>
      </w:pPr>
      <w:r>
        <w:rPr>
          <w:rStyle w:val="FootnoteReference"/>
        </w:rPr>
        <w:footnoteRef/>
      </w:r>
      <w:r>
        <w:t xml:space="preserve"> </w:t>
      </w:r>
      <w:r w:rsidRPr="00815D52">
        <w:rPr>
          <w:i/>
        </w:rPr>
        <w:t xml:space="preserve">See </w:t>
      </w:r>
      <w:r w:rsidRPr="00043D08">
        <w:rPr>
          <w:i/>
        </w:rPr>
        <w:t xml:space="preserve">76-81 </w:t>
      </w:r>
      <w:r>
        <w:rPr>
          <w:i/>
        </w:rPr>
        <w:t xml:space="preserve">Realignment </w:t>
      </w:r>
      <w:r w:rsidRPr="00043D08">
        <w:rPr>
          <w:i/>
        </w:rPr>
        <w:t>GHz R&amp;O</w:t>
      </w:r>
      <w:r>
        <w:t>, 19 FCC Rcd at 3218, para. 18.</w:t>
      </w:r>
    </w:p>
  </w:footnote>
  <w:footnote w:id="82">
    <w:p w:rsidR="00BF18B3" w:rsidRDefault="00BF18B3" w:rsidP="005662EE">
      <w:pPr>
        <w:pStyle w:val="FootnoteText"/>
        <w:ind w:left="-187"/>
      </w:pPr>
      <w:r>
        <w:rPr>
          <w:rStyle w:val="FootnoteReference"/>
        </w:rPr>
        <w:footnoteRef/>
      </w:r>
      <w:r>
        <w:t xml:space="preserve"> </w:t>
      </w:r>
      <w:r w:rsidRPr="00DF1D40">
        <w:rPr>
          <w:i/>
        </w:rPr>
        <w:t>See</w:t>
      </w:r>
      <w:r>
        <w:rPr>
          <w:i/>
        </w:rPr>
        <w:t xml:space="preserve"> also</w:t>
      </w:r>
      <w:r>
        <w:t xml:space="preserve"> Leggett Sept. 26, 2012 </w:t>
      </w:r>
      <w:r w:rsidRPr="00B61063">
        <w:rPr>
          <w:i/>
        </w:rPr>
        <w:t>ex parte</w:t>
      </w:r>
      <w:r>
        <w:t xml:space="preserve"> filing in RM-11666 at 2 (</w:t>
      </w:r>
      <w:r w:rsidRPr="00515F30">
        <w:rPr>
          <w:color w:val="131313"/>
          <w:szCs w:val="22"/>
        </w:rPr>
        <w:t>argu</w:t>
      </w:r>
      <w:r>
        <w:rPr>
          <w:color w:val="131313"/>
          <w:szCs w:val="22"/>
        </w:rPr>
        <w:t>ing</w:t>
      </w:r>
      <w:r w:rsidRPr="00515F30">
        <w:rPr>
          <w:color w:val="131313"/>
          <w:szCs w:val="22"/>
        </w:rPr>
        <w:t xml:space="preserve"> that </w:t>
      </w:r>
      <w:r>
        <w:rPr>
          <w:szCs w:val="22"/>
        </w:rPr>
        <w:t>a</w:t>
      </w:r>
      <w:r w:rsidRPr="00515F30">
        <w:rPr>
          <w:szCs w:val="22"/>
        </w:rPr>
        <w:t xml:space="preserve"> large influx of </w:t>
      </w:r>
      <w:r>
        <w:rPr>
          <w:szCs w:val="22"/>
        </w:rPr>
        <w:t>vehicular</w:t>
      </w:r>
      <w:r w:rsidRPr="00515F30">
        <w:rPr>
          <w:szCs w:val="22"/>
        </w:rPr>
        <w:t xml:space="preserve"> radars will increase interference to amateur radio operations</w:t>
      </w:r>
      <w:r>
        <w:rPr>
          <w:szCs w:val="22"/>
        </w:rPr>
        <w:t>)</w:t>
      </w:r>
      <w:r>
        <w:t>.</w:t>
      </w:r>
    </w:p>
  </w:footnote>
  <w:footnote w:id="83">
    <w:p w:rsidR="00BF18B3" w:rsidRPr="00392101" w:rsidRDefault="00BF18B3" w:rsidP="005662EE">
      <w:pPr>
        <w:pStyle w:val="FootnoteText"/>
        <w:ind w:left="-187"/>
      </w:pPr>
      <w:r>
        <w:rPr>
          <w:rStyle w:val="FootnoteReference"/>
        </w:rPr>
        <w:footnoteRef/>
      </w:r>
      <w:r>
        <w:t xml:space="preserve"> We discuss these matters in detail in paragraphs 63-66, </w:t>
      </w:r>
      <w:r>
        <w:rPr>
          <w:i/>
        </w:rPr>
        <w:t>infra.</w:t>
      </w:r>
    </w:p>
  </w:footnote>
  <w:footnote w:id="84">
    <w:p w:rsidR="00BF18B3" w:rsidRDefault="00BF18B3" w:rsidP="005662E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5-6.</w:t>
      </w:r>
    </w:p>
  </w:footnote>
  <w:footnote w:id="85">
    <w:p w:rsidR="00BF18B3" w:rsidRDefault="00BF18B3" w:rsidP="00D512AE">
      <w:pPr>
        <w:pStyle w:val="FootnoteText"/>
        <w:ind w:left="-187"/>
      </w:pPr>
      <w:r>
        <w:rPr>
          <w:rStyle w:val="FootnoteReference"/>
        </w:rPr>
        <w:footnoteRef/>
      </w:r>
      <w:r>
        <w:t xml:space="preserve"> </w:t>
      </w:r>
      <w:r w:rsidRPr="007D3687">
        <w:t>As background, the DSRC model is designed to use wireless links in the 5.9 GHz band (5.850-5.925 GHz) to provide for vehicle-to-vehicle and vehicle-to-roadside infrastructure communications.</w:t>
      </w:r>
    </w:p>
  </w:footnote>
  <w:footnote w:id="86">
    <w:p w:rsidR="00BF18B3" w:rsidRPr="00C41C80" w:rsidRDefault="00BF18B3" w:rsidP="005662EE">
      <w:pPr>
        <w:pStyle w:val="FootnoteText"/>
        <w:ind w:left="-187"/>
      </w:pPr>
      <w:r>
        <w:rPr>
          <w:rStyle w:val="FootnoteReference"/>
        </w:rPr>
        <w:footnoteRef/>
      </w:r>
      <w:r>
        <w:t xml:space="preserve"> </w:t>
      </w:r>
      <w:r>
        <w:rPr>
          <w:i/>
        </w:rPr>
        <w:t>Id.</w:t>
      </w:r>
      <w:r>
        <w:t xml:space="preserve"> at 19. </w:t>
      </w:r>
    </w:p>
  </w:footnote>
  <w:footnote w:id="87">
    <w:p w:rsidR="00BF18B3" w:rsidRDefault="00BF18B3" w:rsidP="005662EE">
      <w:pPr>
        <w:pStyle w:val="FootnoteText"/>
        <w:ind w:left="-187"/>
      </w:pPr>
      <w:r>
        <w:rPr>
          <w:rStyle w:val="FootnoteReference"/>
        </w:rPr>
        <w:footnoteRef/>
      </w:r>
      <w:r>
        <w:t xml:space="preserve"> </w:t>
      </w:r>
      <w:r>
        <w:rPr>
          <w:i/>
        </w:rPr>
        <w:t>Id.</w:t>
      </w:r>
      <w:r>
        <w:t xml:space="preserve"> at 3.</w:t>
      </w:r>
    </w:p>
  </w:footnote>
  <w:footnote w:id="88">
    <w:p w:rsidR="00BF18B3" w:rsidRPr="00BE09D0" w:rsidRDefault="00BF18B3" w:rsidP="005662EE">
      <w:pPr>
        <w:pStyle w:val="FootnoteText"/>
        <w:ind w:left="-187"/>
      </w:pPr>
      <w:r>
        <w:rPr>
          <w:rStyle w:val="FootnoteReference"/>
        </w:rPr>
        <w:footnoteRef/>
      </w:r>
      <w:r>
        <w:t xml:space="preserve"> </w:t>
      </w:r>
      <w:r w:rsidRPr="004C559D">
        <w:rPr>
          <w:i/>
        </w:rPr>
        <w:t>See i</w:t>
      </w:r>
      <w:r>
        <w:rPr>
          <w:i/>
        </w:rPr>
        <w:t>d.</w:t>
      </w:r>
      <w:r>
        <w:t xml:space="preserve"> at 6, n.9.</w:t>
      </w:r>
    </w:p>
  </w:footnote>
  <w:footnote w:id="89">
    <w:p w:rsidR="00BF18B3" w:rsidRPr="006E3018" w:rsidRDefault="00BF18B3" w:rsidP="005662EE">
      <w:pPr>
        <w:pStyle w:val="FootnoteText"/>
        <w:ind w:left="-187"/>
      </w:pPr>
      <w:r>
        <w:rPr>
          <w:rStyle w:val="FootnoteReference"/>
        </w:rPr>
        <w:footnoteRef/>
      </w:r>
      <w:r>
        <w:t xml:space="preserve"> CSA 79 GHz workshop – country specific implementation at 3 (available at </w:t>
      </w:r>
      <w:hyperlink r:id="rId13" w:history="1">
        <w:r w:rsidRPr="00404495">
          <w:rPr>
            <w:rStyle w:val="Hyperlink"/>
          </w:rPr>
          <w:t>http://www.79ghz.eu/index.php/documents/public-documents/Presentations/79-GHz-Workshop-Tokyo-October-2013/</w:t>
        </w:r>
      </w:hyperlink>
      <w:r>
        <w:t xml:space="preserve">).  </w:t>
      </w:r>
      <w:r>
        <w:rPr>
          <w:i/>
        </w:rPr>
        <w:t>See also Bosch P</w:t>
      </w:r>
      <w:r w:rsidRPr="00422ED0">
        <w:rPr>
          <w:i/>
        </w:rPr>
        <w:t>etition</w:t>
      </w:r>
      <w:r>
        <w:t xml:space="preserve"> at 10 (stating that these efforts are “expected to lead to an international allocation in all three ITU regulations which would allow the operation worldwide of automotive SSRs at 79 GHz.”).</w:t>
      </w:r>
    </w:p>
  </w:footnote>
  <w:footnote w:id="90">
    <w:p w:rsidR="00BF18B3" w:rsidRPr="00333F3E" w:rsidRDefault="00BF18B3" w:rsidP="005662EE">
      <w:pPr>
        <w:pStyle w:val="FootnoteText"/>
        <w:ind w:left="-187"/>
      </w:pPr>
      <w:r>
        <w:rPr>
          <w:rStyle w:val="FootnoteReference"/>
        </w:rPr>
        <w:footnoteRef/>
      </w:r>
      <w:r>
        <w:t xml:space="preserve"> Under this approach, we would classify vehicular radars as a citizens band radio service and license its use accordingly.  </w:t>
      </w:r>
      <w:r>
        <w:rPr>
          <w:i/>
        </w:rPr>
        <w:t xml:space="preserve">See </w:t>
      </w:r>
      <w:r>
        <w:t xml:space="preserve">47 U.S.C. § 307(e)(1) (stating, “the Commission may by rule authorize the operation of radio stations without individual licenses in … the citizens band radio service”). </w:t>
      </w:r>
    </w:p>
  </w:footnote>
  <w:footnote w:id="91">
    <w:p w:rsidR="00BF18B3" w:rsidRDefault="00BF18B3" w:rsidP="005662EE">
      <w:pPr>
        <w:pStyle w:val="FootnoteText"/>
        <w:ind w:left="-187"/>
      </w:pPr>
      <w:r>
        <w:rPr>
          <w:rStyle w:val="FootnoteReference"/>
        </w:rPr>
        <w:footnoteRef/>
      </w:r>
      <w:r>
        <w:t xml:space="preserve"> </w:t>
      </w:r>
      <w:r w:rsidRPr="00701417">
        <w:rPr>
          <w:i/>
        </w:rPr>
        <w:t>See</w:t>
      </w:r>
      <w:r>
        <w:t xml:space="preserve"> 47 C.F.R. § 15.253.</w:t>
      </w:r>
    </w:p>
  </w:footnote>
  <w:footnote w:id="92">
    <w:p w:rsidR="00BF18B3" w:rsidRDefault="00BF18B3" w:rsidP="005662EE">
      <w:pPr>
        <w:pStyle w:val="FootnoteText"/>
        <w:ind w:left="-187"/>
      </w:pPr>
      <w:r>
        <w:rPr>
          <w:rStyle w:val="FootnoteReference"/>
        </w:rPr>
        <w:footnoteRef/>
      </w:r>
      <w:r>
        <w:t xml:space="preserve"> Continental comments in RM-11666 at 5.  </w:t>
      </w:r>
      <w:r w:rsidRPr="008D7461">
        <w:rPr>
          <w:i/>
        </w:rPr>
        <w:t>See</w:t>
      </w:r>
      <w:r>
        <w:rPr>
          <w:i/>
        </w:rPr>
        <w:t xml:space="preserve"> also</w:t>
      </w:r>
      <w:r>
        <w:t xml:space="preserve"> </w:t>
      </w:r>
      <w:r w:rsidRPr="009E696C">
        <w:t>Draft CEPT Brief on WRC-15 Agenda Item 1.18 (WRC-15)</w:t>
      </w:r>
      <w:r>
        <w:rPr>
          <w:i/>
        </w:rPr>
        <w:t xml:space="preserve">, </w:t>
      </w:r>
      <w:r>
        <w:t>CPG PTC(13) 030 Annex 09, Oct. 11, 2013.</w:t>
      </w:r>
    </w:p>
  </w:footnote>
  <w:footnote w:id="93">
    <w:p w:rsidR="00BF18B3" w:rsidRDefault="00BF18B3" w:rsidP="005662EE">
      <w:pPr>
        <w:pStyle w:val="FootnoteText"/>
        <w:ind w:left="-187"/>
        <w:rPr>
          <w:i/>
        </w:rPr>
      </w:pPr>
      <w:r>
        <w:rPr>
          <w:rStyle w:val="FootnoteReference"/>
        </w:rPr>
        <w:footnoteRef/>
      </w:r>
      <w:r>
        <w:t xml:space="preserve"> </w:t>
      </w:r>
      <w:r>
        <w:rPr>
          <w:i/>
        </w:rPr>
        <w:t xml:space="preserve">See </w:t>
      </w:r>
      <w:r w:rsidRPr="00276995">
        <w:rPr>
          <w:i/>
        </w:rPr>
        <w:t>supra</w:t>
      </w:r>
      <w:r>
        <w:t xml:space="preserve"> para. 11. </w:t>
      </w:r>
    </w:p>
  </w:footnote>
  <w:footnote w:id="94">
    <w:p w:rsidR="00BF18B3" w:rsidRDefault="00BF18B3" w:rsidP="005662EE">
      <w:pPr>
        <w:pStyle w:val="FootnoteText"/>
        <w:ind w:left="-187"/>
      </w:pPr>
      <w:r>
        <w:rPr>
          <w:rStyle w:val="FootnoteReference"/>
        </w:rPr>
        <w:footnoteRef/>
      </w:r>
      <w:r>
        <w:t xml:space="preserve"> </w:t>
      </w:r>
      <w:r w:rsidRPr="00356CC2">
        <w:rPr>
          <w:i/>
        </w:rPr>
        <w:t xml:space="preserve">See </w:t>
      </w:r>
      <w:r w:rsidRPr="00043D08">
        <w:rPr>
          <w:i/>
        </w:rPr>
        <w:t>78-81 GHz Trex R&amp;O</w:t>
      </w:r>
      <w:r>
        <w:t xml:space="preserve">, 28 FCC Rcd at 10427, para. 11.  The Commission stated that until such technical specifications or other rules are adopted, it would evaluate </w:t>
      </w:r>
      <w:r w:rsidRPr="00424B7B">
        <w:t>request</w:t>
      </w:r>
      <w:r>
        <w:t>s</w:t>
      </w:r>
      <w:r w:rsidRPr="00424B7B">
        <w:t xml:space="preserve"> for </w:t>
      </w:r>
      <w:r>
        <w:t>equipment authorization</w:t>
      </w:r>
      <w:r w:rsidRPr="00424B7B">
        <w:t xml:space="preserve"> of devices </w:t>
      </w:r>
      <w:r>
        <w:t xml:space="preserve">on a case-by-case basis.  </w:t>
      </w:r>
      <w:r w:rsidRPr="00D16F7D">
        <w:rPr>
          <w:i/>
        </w:rPr>
        <w:t>Id</w:t>
      </w:r>
      <w:r>
        <w:t>.</w:t>
      </w:r>
    </w:p>
  </w:footnote>
  <w:footnote w:id="95">
    <w:p w:rsidR="00BF18B3" w:rsidRDefault="00BF18B3" w:rsidP="005662EE">
      <w:pPr>
        <w:pStyle w:val="FootnoteText"/>
        <w:ind w:left="-187"/>
      </w:pPr>
      <w:r>
        <w:rPr>
          <w:rStyle w:val="FootnoteReference"/>
        </w:rPr>
        <w:footnoteRef/>
      </w:r>
      <w:r>
        <w:t xml:space="preserve"> In other words, the spectrum would be shared with the vehicular radar services discussed above under a licensed </w:t>
      </w:r>
      <w:r w:rsidR="00966FE9">
        <w:t xml:space="preserve">by </w:t>
      </w:r>
      <w:r>
        <w:t xml:space="preserve">rule approach in which no individual licensee would hold exclusive rights to use the spectrum.  </w:t>
      </w:r>
    </w:p>
  </w:footnote>
  <w:footnote w:id="96">
    <w:p w:rsidR="00BF18B3" w:rsidRDefault="00BF18B3" w:rsidP="005662EE">
      <w:pPr>
        <w:pStyle w:val="FootnoteText"/>
        <w:ind w:left="-187"/>
      </w:pPr>
      <w:r>
        <w:rPr>
          <w:rStyle w:val="FootnoteReference"/>
        </w:rPr>
        <w:footnoteRef/>
      </w:r>
      <w:r>
        <w:t xml:space="preserve"> </w:t>
      </w:r>
      <w:r>
        <w:rPr>
          <w:i/>
        </w:rPr>
        <w:t xml:space="preserve">See </w:t>
      </w:r>
      <w:r>
        <w:t xml:space="preserve">Millimeter Wave Propagation: Spectrum Management Implications, </w:t>
      </w:r>
      <w:r w:rsidRPr="007F737F">
        <w:t>OET Bulletin No. 70</w:t>
      </w:r>
      <w:r>
        <w:t xml:space="preserve"> (July 1997).  </w:t>
      </w:r>
      <w:r>
        <w:rPr>
          <w:i/>
        </w:rPr>
        <w:t xml:space="preserve">See also </w:t>
      </w:r>
      <w:r w:rsidRPr="005210A2">
        <w:t>Federal</w:t>
      </w:r>
      <w:r>
        <w:t xml:space="preserve"> Communications Commission Spectrum Policy Task Force, Report of the Unlicensed Devices and Experimental Licenses Working Group, November 12, 2002, at 14 (available at  </w:t>
      </w:r>
      <w:hyperlink r:id="rId14" w:history="1">
        <w:r w:rsidRPr="005F24C7">
          <w:rPr>
            <w:rStyle w:val="Hyperlink"/>
          </w:rPr>
          <w:t>http://transition.fcc.gov/sptf/files/E&amp;UWGFinalReport.pdf</w:t>
        </w:r>
      </w:hyperlink>
      <w:r w:rsidRPr="005F24C7">
        <w:t xml:space="preserve"> </w:t>
      </w:r>
      <w:r>
        <w:t>).</w:t>
      </w:r>
    </w:p>
  </w:footnote>
  <w:footnote w:id="97">
    <w:p w:rsidR="00BF18B3" w:rsidRPr="00591968" w:rsidRDefault="00BF18B3" w:rsidP="005662EE">
      <w:pPr>
        <w:autoSpaceDE w:val="0"/>
        <w:autoSpaceDN w:val="0"/>
        <w:adjustRightInd w:val="0"/>
        <w:ind w:left="-187"/>
        <w:rPr>
          <w:color w:val="020100"/>
          <w:sz w:val="20"/>
        </w:rPr>
      </w:pPr>
      <w:r>
        <w:rPr>
          <w:rStyle w:val="FootnoteReference"/>
        </w:rPr>
        <w:footnoteRef/>
      </w:r>
      <w:r>
        <w:t xml:space="preserve"> </w:t>
      </w:r>
      <w:r w:rsidRPr="00EC422C">
        <w:rPr>
          <w:i/>
          <w:sz w:val="20"/>
        </w:rPr>
        <w:t>See LPR R&amp;O</w:t>
      </w:r>
      <w:r>
        <w:rPr>
          <w:i/>
          <w:sz w:val="20"/>
        </w:rPr>
        <w:t>,</w:t>
      </w:r>
      <w:r w:rsidRPr="00EC422C">
        <w:rPr>
          <w:i/>
          <w:sz w:val="20"/>
        </w:rPr>
        <w:t xml:space="preserve"> </w:t>
      </w:r>
      <w:r w:rsidRPr="00E23415">
        <w:rPr>
          <w:sz w:val="20"/>
        </w:rPr>
        <w:t xml:space="preserve">29 FCC Rcd </w:t>
      </w:r>
      <w:r>
        <w:rPr>
          <w:sz w:val="20"/>
        </w:rPr>
        <w:t>at 774, para.</w:t>
      </w:r>
      <w:r>
        <w:rPr>
          <w:color w:val="020100"/>
          <w:sz w:val="20"/>
        </w:rPr>
        <w:t xml:space="preserve"> 29</w:t>
      </w:r>
      <w:r w:rsidRPr="00EC422C">
        <w:rPr>
          <w:sz w:val="20"/>
        </w:rPr>
        <w:t>.</w:t>
      </w:r>
      <w:r>
        <w:rPr>
          <w:sz w:val="20"/>
        </w:rPr>
        <w:t xml:space="preserve">  </w:t>
      </w:r>
      <w:r w:rsidRPr="00EC422C">
        <w:rPr>
          <w:i/>
          <w:sz w:val="20"/>
        </w:rPr>
        <w:t>See</w:t>
      </w:r>
      <w:r>
        <w:rPr>
          <w:i/>
          <w:sz w:val="20"/>
        </w:rPr>
        <w:t xml:space="preserve"> also </w:t>
      </w:r>
      <w:r w:rsidRPr="0056402E">
        <w:rPr>
          <w:i/>
          <w:sz w:val="20"/>
        </w:rPr>
        <w:t>78-81 GHz NPRM</w:t>
      </w:r>
      <w:r>
        <w:rPr>
          <w:i/>
          <w:sz w:val="20"/>
        </w:rPr>
        <w:t xml:space="preserve">, </w:t>
      </w:r>
      <w:r>
        <w:rPr>
          <w:sz w:val="20"/>
        </w:rPr>
        <w:t>26 FCC Rcd at 17479, para. 10.</w:t>
      </w:r>
    </w:p>
  </w:footnote>
  <w:footnote w:id="98">
    <w:p w:rsidR="00BF18B3" w:rsidRDefault="00BF18B3" w:rsidP="005662EE">
      <w:pPr>
        <w:pStyle w:val="FootnoteText"/>
        <w:ind w:left="-187"/>
      </w:pPr>
      <w:r>
        <w:rPr>
          <w:rStyle w:val="FootnoteReference"/>
        </w:rPr>
        <w:footnoteRef/>
      </w:r>
      <w:r>
        <w:t xml:space="preserve"> </w:t>
      </w:r>
      <w:r w:rsidRPr="0012238D">
        <w:rPr>
          <w:i/>
        </w:rPr>
        <w:t>See</w:t>
      </w:r>
      <w:r>
        <w:t xml:space="preserve"> </w:t>
      </w:r>
      <w:r w:rsidRPr="0085123F">
        <w:rPr>
          <w:i/>
        </w:rPr>
        <w:t>Fixed Radar</w:t>
      </w:r>
      <w:r>
        <w:t xml:space="preserve"> </w:t>
      </w:r>
      <w:r w:rsidRPr="005B72F6">
        <w:rPr>
          <w:i/>
        </w:rPr>
        <w:t>Petition</w:t>
      </w:r>
      <w:r>
        <w:t>.</w:t>
      </w:r>
    </w:p>
  </w:footnote>
  <w:footnote w:id="99">
    <w:p w:rsidR="00BF18B3" w:rsidRDefault="00BF18B3" w:rsidP="005662EE">
      <w:pPr>
        <w:pStyle w:val="FootnoteText"/>
        <w:ind w:left="-187"/>
      </w:pPr>
      <w:r>
        <w:rPr>
          <w:rStyle w:val="FootnoteReference"/>
        </w:rPr>
        <w:footnoteRef/>
      </w:r>
      <w:r>
        <w:t xml:space="preserve"> </w:t>
      </w:r>
      <w:r>
        <w:rPr>
          <w:i/>
        </w:rPr>
        <w:t>See Vehicular Radar NPRM</w:t>
      </w:r>
      <w:r w:rsidRPr="007025B7">
        <w:t>,</w:t>
      </w:r>
      <w:r>
        <w:rPr>
          <w:i/>
        </w:rPr>
        <w:t xml:space="preserve"> </w:t>
      </w:r>
      <w:r>
        <w:t>26 FCC Rcd 8113-8114, para. 17.</w:t>
      </w:r>
    </w:p>
  </w:footnote>
  <w:footnote w:id="100">
    <w:p w:rsidR="00BF18B3" w:rsidRDefault="00BF18B3" w:rsidP="005662EE">
      <w:pPr>
        <w:pStyle w:val="FootnoteText"/>
        <w:ind w:left="-187"/>
      </w:pPr>
      <w:r>
        <w:rPr>
          <w:rStyle w:val="FootnoteReference"/>
        </w:rPr>
        <w:footnoteRef/>
      </w:r>
      <w:r>
        <w:t xml:space="preserve"> </w:t>
      </w:r>
      <w:r>
        <w:rPr>
          <w:i/>
        </w:rPr>
        <w:t>See Vehicular Radar R&amp;O</w:t>
      </w:r>
      <w:r w:rsidRPr="007025B7">
        <w:t>,</w:t>
      </w:r>
      <w:r>
        <w:rPr>
          <w:i/>
        </w:rPr>
        <w:t xml:space="preserve"> </w:t>
      </w:r>
      <w:r>
        <w:t xml:space="preserve">27 FCC Rcd 7888-7889, para. 26. </w:t>
      </w:r>
    </w:p>
  </w:footnote>
  <w:footnote w:id="101">
    <w:p w:rsidR="00BF18B3" w:rsidRDefault="00BF18B3" w:rsidP="005662EE">
      <w:pPr>
        <w:pStyle w:val="FootnoteText"/>
        <w:ind w:left="-187"/>
      </w:pPr>
      <w:r>
        <w:rPr>
          <w:rStyle w:val="FootnoteReference"/>
        </w:rPr>
        <w:footnoteRef/>
      </w:r>
      <w:r>
        <w:t xml:space="preserve"> </w:t>
      </w:r>
      <w:r w:rsidRPr="0012238D">
        <w:rPr>
          <w:i/>
        </w:rPr>
        <w:t>See</w:t>
      </w:r>
      <w:r>
        <w:t xml:space="preserve"> </w:t>
      </w:r>
      <w:r w:rsidRPr="0085123F">
        <w:rPr>
          <w:i/>
        </w:rPr>
        <w:t>Fixed Radar</w:t>
      </w:r>
      <w:r>
        <w:t xml:space="preserve"> </w:t>
      </w:r>
      <w:r w:rsidRPr="005B72F6">
        <w:rPr>
          <w:i/>
        </w:rPr>
        <w:t>Petition</w:t>
      </w:r>
      <w:r>
        <w:rPr>
          <w:i/>
        </w:rPr>
        <w:t xml:space="preserve"> </w:t>
      </w:r>
      <w:r>
        <w:t xml:space="preserve">at 3-4.  </w:t>
      </w:r>
      <w:r w:rsidRPr="00C515B3">
        <w:rPr>
          <w:i/>
        </w:rPr>
        <w:t>See</w:t>
      </w:r>
      <w:r>
        <w:rPr>
          <w:i/>
        </w:rPr>
        <w:t xml:space="preserve"> also</w:t>
      </w:r>
      <w:r w:rsidRPr="00C515B3">
        <w:rPr>
          <w:i/>
        </w:rPr>
        <w:t xml:space="preserve"> </w:t>
      </w:r>
      <w:r>
        <w:rPr>
          <w:i/>
        </w:rPr>
        <w:t xml:space="preserve">Mantissa Ltd. </w:t>
      </w:r>
      <w:r>
        <w:t xml:space="preserve">Apr. 3, 2014 </w:t>
      </w:r>
      <w:r>
        <w:rPr>
          <w:i/>
        </w:rPr>
        <w:t>e</w:t>
      </w:r>
      <w:r w:rsidRPr="00C515B3">
        <w:rPr>
          <w:i/>
        </w:rPr>
        <w:t>x</w:t>
      </w:r>
      <w:r>
        <w:rPr>
          <w:i/>
        </w:rPr>
        <w:t xml:space="preserve"> p</w:t>
      </w:r>
      <w:r w:rsidRPr="00C515B3">
        <w:rPr>
          <w:i/>
        </w:rPr>
        <w:t>arte</w:t>
      </w:r>
      <w:r>
        <w:rPr>
          <w:i/>
        </w:rPr>
        <w:t xml:space="preserve"> </w:t>
      </w:r>
      <w:r w:rsidRPr="009E696C">
        <w:t>filing</w:t>
      </w:r>
      <w:r>
        <w:rPr>
          <w:i/>
        </w:rPr>
        <w:t xml:space="preserve"> </w:t>
      </w:r>
      <w:r w:rsidRPr="00CC6A54">
        <w:t>in</w:t>
      </w:r>
      <w:r>
        <w:rPr>
          <w:i/>
        </w:rPr>
        <w:t xml:space="preserve"> </w:t>
      </w:r>
      <w:r>
        <w:t>ET Docket No. 10-28.</w:t>
      </w:r>
    </w:p>
  </w:footnote>
  <w:footnote w:id="102">
    <w:p w:rsidR="00BF18B3" w:rsidRPr="00B67A33" w:rsidRDefault="00BF18B3" w:rsidP="005662EE">
      <w:pPr>
        <w:pStyle w:val="FootnoteText"/>
        <w:ind w:left="-187"/>
      </w:pPr>
      <w:r>
        <w:rPr>
          <w:rStyle w:val="FootnoteReference"/>
        </w:rPr>
        <w:footnoteRef/>
      </w:r>
      <w:r>
        <w:t xml:space="preserve"> </w:t>
      </w:r>
      <w:r w:rsidRPr="0012238D">
        <w:rPr>
          <w:i/>
        </w:rPr>
        <w:t>See</w:t>
      </w:r>
      <w:r w:rsidRPr="00474C69">
        <w:rPr>
          <w:i/>
        </w:rPr>
        <w:t xml:space="preserve"> </w:t>
      </w:r>
      <w:r>
        <w:rPr>
          <w:i/>
        </w:rPr>
        <w:t xml:space="preserve">Mantissa Ltd. </w:t>
      </w:r>
      <w:r>
        <w:t xml:space="preserve">April 3, 2014 and April 17 </w:t>
      </w:r>
      <w:r>
        <w:rPr>
          <w:i/>
        </w:rPr>
        <w:t>e</w:t>
      </w:r>
      <w:r w:rsidRPr="00C515B3">
        <w:rPr>
          <w:i/>
        </w:rPr>
        <w:t>x</w:t>
      </w:r>
      <w:r>
        <w:rPr>
          <w:i/>
        </w:rPr>
        <w:t xml:space="preserve"> p</w:t>
      </w:r>
      <w:r w:rsidRPr="00C515B3">
        <w:rPr>
          <w:i/>
        </w:rPr>
        <w:t>arte</w:t>
      </w:r>
      <w:r>
        <w:rPr>
          <w:i/>
        </w:rPr>
        <w:t xml:space="preserve"> </w:t>
      </w:r>
      <w:r w:rsidRPr="009E696C">
        <w:t>filing</w:t>
      </w:r>
      <w:r>
        <w:t>s</w:t>
      </w:r>
      <w:r>
        <w:rPr>
          <w:i/>
        </w:rPr>
        <w:t xml:space="preserve"> </w:t>
      </w:r>
      <w:r w:rsidRPr="00CC6A54">
        <w:t>in</w:t>
      </w:r>
      <w:r>
        <w:rPr>
          <w:i/>
        </w:rPr>
        <w:t xml:space="preserve"> </w:t>
      </w:r>
      <w:r>
        <w:t>ET Docket Nos. 10-28 and 11-90.  Mantissa states, among other things, that it anticipates that the updated record will show “</w:t>
      </w:r>
      <w:r w:rsidRPr="002B31A0">
        <w:t>the very strong public interest in the use of fixed radar sensors for important security applications</w:t>
      </w:r>
      <w:r>
        <w:t>” as well as “</w:t>
      </w:r>
      <w:r w:rsidRPr="002B31A0">
        <w:t>that fixed and vehicle-mounted radar systems can co-exist in the 76.0-77.0 GHz band without significant risk of interference</w:t>
      </w:r>
      <w:r>
        <w:t xml:space="preserve">.”  Mantissa April 17 </w:t>
      </w:r>
      <w:r>
        <w:rPr>
          <w:i/>
        </w:rPr>
        <w:t>e</w:t>
      </w:r>
      <w:r w:rsidRPr="00C515B3">
        <w:rPr>
          <w:i/>
        </w:rPr>
        <w:t>x</w:t>
      </w:r>
      <w:r>
        <w:rPr>
          <w:i/>
        </w:rPr>
        <w:t xml:space="preserve"> p</w:t>
      </w:r>
      <w:r w:rsidRPr="00C515B3">
        <w:rPr>
          <w:i/>
        </w:rPr>
        <w:t>arte</w:t>
      </w:r>
      <w:r>
        <w:rPr>
          <w:i/>
        </w:rPr>
        <w:t xml:space="preserve"> </w:t>
      </w:r>
      <w:r w:rsidRPr="009E696C">
        <w:t>filing</w:t>
      </w:r>
      <w:r>
        <w:t>.</w:t>
      </w:r>
    </w:p>
  </w:footnote>
  <w:footnote w:id="103">
    <w:p w:rsidR="00BF18B3" w:rsidRDefault="00BF18B3" w:rsidP="005662EE">
      <w:pPr>
        <w:pStyle w:val="FootnoteText"/>
        <w:ind w:left="-187"/>
      </w:pPr>
      <w:r>
        <w:rPr>
          <w:rStyle w:val="FootnoteReference"/>
        </w:rPr>
        <w:footnoteRef/>
      </w:r>
      <w:r>
        <w:t xml:space="preserve"> </w:t>
      </w:r>
      <w:r>
        <w:rPr>
          <w:i/>
        </w:rPr>
        <w:t>See Vehicular Radar R&amp;O</w:t>
      </w:r>
      <w:r w:rsidRPr="007025B7">
        <w:t>,</w:t>
      </w:r>
      <w:r>
        <w:rPr>
          <w:i/>
        </w:rPr>
        <w:t xml:space="preserve"> </w:t>
      </w:r>
      <w:r>
        <w:t xml:space="preserve">27 FCC Rcd 7888-7889, para. 26.  </w:t>
      </w:r>
    </w:p>
  </w:footnote>
  <w:footnote w:id="104">
    <w:p w:rsidR="00BF18B3" w:rsidRDefault="00BF18B3" w:rsidP="005662EE">
      <w:pPr>
        <w:pStyle w:val="FootnoteText"/>
        <w:ind w:left="-187"/>
      </w:pPr>
      <w:r>
        <w:rPr>
          <w:rStyle w:val="FootnoteReference"/>
        </w:rPr>
        <w:footnoteRef/>
      </w:r>
      <w:r>
        <w:t xml:space="preserve"> </w:t>
      </w:r>
      <w:r w:rsidRPr="00971AF3">
        <w:rPr>
          <w:i/>
        </w:rPr>
        <w:t xml:space="preserve">See </w:t>
      </w:r>
      <w:r w:rsidRPr="00AD29A3">
        <w:t>Opposition to Petition for Reconsideration</w:t>
      </w:r>
      <w:r>
        <w:t xml:space="preserve"> by Bosch in ET Docket No. 10-28 and RM-1190, Dec. 5, 2012, at 4</w:t>
      </w:r>
      <w:r>
        <w:noBreakHyphen/>
        <w:t xml:space="preserve">6. </w:t>
      </w:r>
    </w:p>
  </w:footnote>
  <w:footnote w:id="105">
    <w:p w:rsidR="00BF18B3" w:rsidRDefault="00BF18B3" w:rsidP="005662EE">
      <w:pPr>
        <w:pStyle w:val="FootnoteText"/>
        <w:ind w:left="-187"/>
      </w:pPr>
      <w:r>
        <w:rPr>
          <w:rStyle w:val="FootnoteReference"/>
        </w:rPr>
        <w:footnoteRef/>
      </w:r>
      <w:r>
        <w:t xml:space="preserve"> </w:t>
      </w:r>
      <w:r w:rsidRPr="00393972">
        <w:rPr>
          <w:i/>
        </w:rPr>
        <w:t xml:space="preserve">See </w:t>
      </w:r>
      <w:r w:rsidRPr="006C40BE">
        <w:t>Reply to Opposition to Petition for Reconsideration</w:t>
      </w:r>
      <w:r>
        <w:t xml:space="preserve"> by Navtech in ET-Docket No 10-28 and RM-1190, Dec. 11, 2012, at 2-3.</w:t>
      </w:r>
    </w:p>
  </w:footnote>
  <w:footnote w:id="106">
    <w:p w:rsidR="00BF18B3" w:rsidRDefault="00BF18B3" w:rsidP="005662EE">
      <w:pPr>
        <w:pStyle w:val="FootnoteText"/>
        <w:ind w:left="-187"/>
      </w:pPr>
      <w:r>
        <w:rPr>
          <w:rStyle w:val="FootnoteReference"/>
        </w:rPr>
        <w:footnoteRef/>
      </w:r>
      <w:r>
        <w:t xml:space="preserve"> </w:t>
      </w:r>
      <w:r>
        <w:rPr>
          <w:i/>
        </w:rPr>
        <w:t>See Vehicular Radar NPRM</w:t>
      </w:r>
      <w:r w:rsidRPr="007025B7">
        <w:t>,</w:t>
      </w:r>
      <w:r>
        <w:rPr>
          <w:i/>
        </w:rPr>
        <w:t xml:space="preserve"> </w:t>
      </w:r>
      <w:r>
        <w:t>26 FCC Rcd 8113-8114, para. 17.</w:t>
      </w:r>
    </w:p>
  </w:footnote>
  <w:footnote w:id="107">
    <w:p w:rsidR="00BF18B3" w:rsidRDefault="00BF18B3" w:rsidP="005662EE">
      <w:pPr>
        <w:pStyle w:val="FootnoteText"/>
        <w:ind w:hanging="187"/>
      </w:pPr>
      <w:r>
        <w:rPr>
          <w:rStyle w:val="FootnoteReference"/>
        </w:rPr>
        <w:footnoteRef/>
      </w:r>
      <w:r>
        <w:t xml:space="preserve"> </w:t>
      </w:r>
      <w:r w:rsidRPr="0012238D">
        <w:rPr>
          <w:i/>
        </w:rPr>
        <w:t>See</w:t>
      </w:r>
      <w:r>
        <w:t xml:space="preserve"> </w:t>
      </w:r>
      <w:r w:rsidRPr="0085123F">
        <w:rPr>
          <w:i/>
        </w:rPr>
        <w:t>Fixed Radar</w:t>
      </w:r>
      <w:r>
        <w:t xml:space="preserve"> </w:t>
      </w:r>
      <w:r w:rsidRPr="005B72F6">
        <w:rPr>
          <w:i/>
        </w:rPr>
        <w:t>Petition</w:t>
      </w:r>
      <w:r>
        <w:t xml:space="preserve"> at 3.</w:t>
      </w:r>
    </w:p>
  </w:footnote>
  <w:footnote w:id="108">
    <w:p w:rsidR="00BF18B3" w:rsidRPr="00E80F98" w:rsidRDefault="00BF18B3" w:rsidP="005662EE">
      <w:pPr>
        <w:pStyle w:val="FootnoteText"/>
        <w:ind w:left="-187"/>
      </w:pPr>
      <w:r>
        <w:rPr>
          <w:rStyle w:val="FootnoteReference"/>
        </w:rPr>
        <w:footnoteRef/>
      </w:r>
      <w:r>
        <w:t xml:space="preserve"> </w:t>
      </w:r>
      <w:r>
        <w:rPr>
          <w:i/>
        </w:rPr>
        <w:t>See Aircraft Petition</w:t>
      </w:r>
      <w:r w:rsidRPr="00E80F98">
        <w:t>.</w:t>
      </w:r>
    </w:p>
  </w:footnote>
  <w:footnote w:id="109">
    <w:p w:rsidR="00BF18B3" w:rsidRDefault="00BF18B3" w:rsidP="005662EE">
      <w:pPr>
        <w:pStyle w:val="FootnoteText"/>
        <w:ind w:left="-187"/>
      </w:pPr>
      <w:r>
        <w:rPr>
          <w:rStyle w:val="FootnoteReference"/>
        </w:rPr>
        <w:footnoteRef/>
      </w:r>
      <w:r>
        <w:t xml:space="preserve"> </w:t>
      </w:r>
      <w:r w:rsidRPr="005B72F6">
        <w:rPr>
          <w:i/>
        </w:rPr>
        <w:t>See</w:t>
      </w:r>
      <w:r>
        <w:t xml:space="preserve"> </w:t>
      </w:r>
      <w:r w:rsidRPr="005B72F6">
        <w:rPr>
          <w:i/>
        </w:rPr>
        <w:t>Aircraft Petition</w:t>
      </w:r>
      <w:r>
        <w:rPr>
          <w:i/>
        </w:rPr>
        <w:t xml:space="preserve"> Reply</w:t>
      </w:r>
      <w:r>
        <w:t xml:space="preserve"> at 2. </w:t>
      </w:r>
    </w:p>
  </w:footnote>
  <w:footnote w:id="110">
    <w:p w:rsidR="00BF18B3" w:rsidRDefault="00BF18B3" w:rsidP="005662EE">
      <w:pPr>
        <w:pStyle w:val="FootnoteText"/>
        <w:ind w:left="-187"/>
      </w:pPr>
      <w:r>
        <w:rPr>
          <w:rStyle w:val="FootnoteReference"/>
        </w:rPr>
        <w:footnoteRef/>
      </w:r>
      <w:r>
        <w:t xml:space="preserve"> </w:t>
      </w:r>
      <w:r>
        <w:rPr>
          <w:i/>
        </w:rPr>
        <w:t>Id.</w:t>
      </w:r>
      <w:r>
        <w:t xml:space="preserve"> at 4.</w:t>
      </w:r>
    </w:p>
  </w:footnote>
  <w:footnote w:id="111">
    <w:p w:rsidR="00BF18B3" w:rsidRDefault="00BF18B3" w:rsidP="005662EE">
      <w:pPr>
        <w:pStyle w:val="FootnoteText"/>
        <w:ind w:left="-187"/>
      </w:pPr>
      <w:r>
        <w:rPr>
          <w:rStyle w:val="FootnoteReference"/>
        </w:rPr>
        <w:footnoteRef/>
      </w:r>
      <w:r>
        <w:t xml:space="preserve"> </w:t>
      </w:r>
      <w:r w:rsidRPr="006451E1">
        <w:rPr>
          <w:i/>
        </w:rPr>
        <w:t>See</w:t>
      </w:r>
      <w:r>
        <w:t xml:space="preserve"> NTSB Mar. 13, 2013 </w:t>
      </w:r>
      <w:r w:rsidRPr="00D37B09">
        <w:rPr>
          <w:i/>
        </w:rPr>
        <w:t>e</w:t>
      </w:r>
      <w:r w:rsidRPr="006451E1">
        <w:rPr>
          <w:i/>
        </w:rPr>
        <w:t xml:space="preserve">x </w:t>
      </w:r>
      <w:r>
        <w:rPr>
          <w:i/>
        </w:rPr>
        <w:t>p</w:t>
      </w:r>
      <w:r w:rsidRPr="006451E1">
        <w:rPr>
          <w:i/>
        </w:rPr>
        <w:t>arte</w:t>
      </w:r>
      <w:r>
        <w:rPr>
          <w:i/>
        </w:rPr>
        <w:t xml:space="preserve"> </w:t>
      </w:r>
      <w:r w:rsidRPr="00CC6A54">
        <w:t>filing</w:t>
      </w:r>
      <w:r>
        <w:rPr>
          <w:i/>
        </w:rPr>
        <w:t xml:space="preserve"> </w:t>
      </w:r>
      <w:r w:rsidRPr="00CC6A54">
        <w:t>in</w:t>
      </w:r>
      <w:r>
        <w:rPr>
          <w:i/>
        </w:rPr>
        <w:t xml:space="preserve"> </w:t>
      </w:r>
      <w:r>
        <w:t xml:space="preserve">ET Docket No. 10-28 and RM-1190.  Specifically, NTSB recommends that all </w:t>
      </w:r>
      <w:r w:rsidRPr="009B300B">
        <w:rPr>
          <w:szCs w:val="22"/>
        </w:rPr>
        <w:t xml:space="preserve">newly manufactured and newly type-certificated large airplanes and other airplane models where the wingtips are not easily visible from the cockpit provide a cockpit indication that will help pilots determine wingtip clearance and path during taxi.  The recommendation also </w:t>
      </w:r>
      <w:r>
        <w:rPr>
          <w:szCs w:val="22"/>
        </w:rPr>
        <w:t xml:space="preserve">encourages </w:t>
      </w:r>
      <w:r w:rsidRPr="009B300B">
        <w:rPr>
          <w:szCs w:val="22"/>
        </w:rPr>
        <w:t xml:space="preserve">retrofitting </w:t>
      </w:r>
      <w:r>
        <w:rPr>
          <w:szCs w:val="22"/>
        </w:rPr>
        <w:t xml:space="preserve">of </w:t>
      </w:r>
      <w:r w:rsidRPr="009B300B">
        <w:rPr>
          <w:szCs w:val="22"/>
        </w:rPr>
        <w:t>all existing airplane models with an anti-collision aid where the wingtips are not easily visible from the cockpit</w:t>
      </w:r>
      <w:r>
        <w:rPr>
          <w:szCs w:val="22"/>
        </w:rPr>
        <w:t xml:space="preserve">. </w:t>
      </w:r>
    </w:p>
  </w:footnote>
  <w:footnote w:id="112">
    <w:p w:rsidR="00BF18B3" w:rsidRDefault="00BF18B3" w:rsidP="005662EE">
      <w:pPr>
        <w:pStyle w:val="FootnoteText"/>
        <w:ind w:left="-187"/>
      </w:pPr>
      <w:r>
        <w:rPr>
          <w:rStyle w:val="FootnoteReference"/>
        </w:rPr>
        <w:footnoteRef/>
      </w:r>
      <w:r>
        <w:t xml:space="preserve"> </w:t>
      </w:r>
      <w:r w:rsidRPr="00971AF3">
        <w:rPr>
          <w:i/>
        </w:rPr>
        <w:t xml:space="preserve">See </w:t>
      </w:r>
      <w:r w:rsidRPr="009E696C">
        <w:t>Opposition to Petition for Reconsideration</w:t>
      </w:r>
      <w:r>
        <w:t xml:space="preserve"> of Bosch in RM-11666 at 5 and</w:t>
      </w:r>
      <w:r w:rsidRPr="00971AF3">
        <w:rPr>
          <w:i/>
        </w:rPr>
        <w:t xml:space="preserve"> </w:t>
      </w:r>
      <w:r w:rsidRPr="009E696C">
        <w:t>Opposition to Petition for Reconsideration</w:t>
      </w:r>
      <w:r>
        <w:t xml:space="preserve"> in RM-11666 of Mercedes-Benz at 5. </w:t>
      </w:r>
    </w:p>
  </w:footnote>
  <w:footnote w:id="113">
    <w:p w:rsidR="00BF18B3" w:rsidRDefault="00BF18B3" w:rsidP="005662EE">
      <w:pPr>
        <w:pStyle w:val="FootnoteText"/>
        <w:ind w:left="-187"/>
      </w:pPr>
      <w:r>
        <w:rPr>
          <w:rStyle w:val="FootnoteReference"/>
        </w:rPr>
        <w:footnoteRef/>
      </w:r>
      <w:r>
        <w:t xml:space="preserve"> We are not proposing to limit the use of these radars applications to particular airport operation areas, but simply suggest that there may be ways to mitigate interference between wingtip and FOD detection radars, to the extent the record shows an interference potential.  As both wingtip and FOD detection radars can help aircraft avoid collisions with other aircraft, stationary objects, and service vehicles, we expect airport administrations will determine the optimal use of these radar applications on their airport properties.</w:t>
      </w:r>
    </w:p>
  </w:footnote>
  <w:footnote w:id="114">
    <w:p w:rsidR="00BF18B3" w:rsidRDefault="00BF18B3" w:rsidP="005662EE">
      <w:pPr>
        <w:pStyle w:val="FootnoteText"/>
        <w:ind w:left="-187"/>
      </w:pPr>
      <w:r>
        <w:rPr>
          <w:rStyle w:val="FootnoteReference"/>
        </w:rPr>
        <w:footnoteRef/>
      </w:r>
      <w:r>
        <w:t xml:space="preserve"> </w:t>
      </w:r>
      <w:r w:rsidRPr="00C515B3">
        <w:rPr>
          <w:i/>
        </w:rPr>
        <w:t xml:space="preserve">See </w:t>
      </w:r>
      <w:r w:rsidRPr="009E696C">
        <w:t>Xsight</w:t>
      </w:r>
      <w:r>
        <w:rPr>
          <w:i/>
        </w:rPr>
        <w:t xml:space="preserve"> </w:t>
      </w:r>
      <w:r>
        <w:t xml:space="preserve">Mar. 15, 2013 </w:t>
      </w:r>
      <w:r>
        <w:rPr>
          <w:i/>
        </w:rPr>
        <w:t>e</w:t>
      </w:r>
      <w:r w:rsidRPr="00C515B3">
        <w:rPr>
          <w:i/>
        </w:rPr>
        <w:t>x</w:t>
      </w:r>
      <w:r>
        <w:rPr>
          <w:i/>
        </w:rPr>
        <w:t xml:space="preserve"> p</w:t>
      </w:r>
      <w:r w:rsidRPr="00C515B3">
        <w:rPr>
          <w:i/>
        </w:rPr>
        <w:t>arte</w:t>
      </w:r>
      <w:r>
        <w:rPr>
          <w:i/>
        </w:rPr>
        <w:t xml:space="preserve"> </w:t>
      </w:r>
      <w:r w:rsidRPr="009E696C">
        <w:t>filing</w:t>
      </w:r>
      <w:r>
        <w:rPr>
          <w:i/>
        </w:rPr>
        <w:t xml:space="preserve"> </w:t>
      </w:r>
      <w:r w:rsidRPr="00CC6A54">
        <w:t>in</w:t>
      </w:r>
      <w:r>
        <w:rPr>
          <w:i/>
        </w:rPr>
        <w:t xml:space="preserve"> </w:t>
      </w:r>
      <w:r>
        <w:t xml:space="preserve">ET Docket No. 10-28. </w:t>
      </w:r>
    </w:p>
  </w:footnote>
  <w:footnote w:id="115">
    <w:p w:rsidR="00BF18B3" w:rsidRPr="00DD089F" w:rsidRDefault="00BF18B3" w:rsidP="005662EE">
      <w:pPr>
        <w:pStyle w:val="FootnoteText"/>
        <w:ind w:left="-187"/>
      </w:pPr>
      <w:r>
        <w:rPr>
          <w:rStyle w:val="FootnoteReference"/>
        </w:rPr>
        <w:footnoteRef/>
      </w:r>
      <w:r>
        <w:t xml:space="preserve"> </w:t>
      </w:r>
      <w:r>
        <w:rPr>
          <w:i/>
        </w:rPr>
        <w:t>Aircraft Petition</w:t>
      </w:r>
      <w:r>
        <w:t xml:space="preserve"> at 2.  Honeywell, in its petition, described its aircraft radar device as being “in the developmental stage” and operating under the authority of the Commission’s experimental licensing rules. </w:t>
      </w:r>
    </w:p>
  </w:footnote>
  <w:footnote w:id="116">
    <w:p w:rsidR="00BF18B3" w:rsidRDefault="00BF18B3" w:rsidP="009F2BCE">
      <w:pPr>
        <w:pStyle w:val="FootnoteText"/>
        <w:ind w:left="-187"/>
      </w:pPr>
      <w:r>
        <w:rPr>
          <w:rStyle w:val="FootnoteReference"/>
        </w:rPr>
        <w:footnoteRef/>
      </w:r>
      <w:r>
        <w:rPr>
          <w:i/>
        </w:rPr>
        <w:t xml:space="preserve"> </w:t>
      </w:r>
      <w:r w:rsidRPr="00284D8E">
        <w:rPr>
          <w:i/>
        </w:rPr>
        <w:t>See</w:t>
      </w:r>
      <w:r>
        <w:t xml:space="preserve"> </w:t>
      </w:r>
      <w:r>
        <w:rPr>
          <w:i/>
        </w:rPr>
        <w:t xml:space="preserve">Above 40 GHz </w:t>
      </w:r>
      <w:r w:rsidRPr="00284D8E">
        <w:rPr>
          <w:i/>
        </w:rPr>
        <w:t>Third Report &amp; Order</w:t>
      </w:r>
      <w:r>
        <w:t>, 13 FCC Rcd at 15074, para. 1.</w:t>
      </w:r>
    </w:p>
  </w:footnote>
  <w:footnote w:id="117">
    <w:p w:rsidR="00BF18B3" w:rsidRPr="00815D52" w:rsidRDefault="00BF18B3" w:rsidP="009F2BCE">
      <w:pPr>
        <w:pStyle w:val="FootnoteText"/>
        <w:ind w:left="-187"/>
      </w:pPr>
      <w:r>
        <w:rPr>
          <w:rStyle w:val="FootnoteReference"/>
        </w:rPr>
        <w:footnoteRef/>
      </w:r>
      <w:r>
        <w:rPr>
          <w:i/>
        </w:rPr>
        <w:t xml:space="preserve"> </w:t>
      </w:r>
      <w:r w:rsidRPr="00815D52">
        <w:rPr>
          <w:i/>
        </w:rPr>
        <w:t xml:space="preserve">See </w:t>
      </w:r>
      <w:r>
        <w:rPr>
          <w:i/>
        </w:rPr>
        <w:t xml:space="preserve">76-77 GHz Realignment </w:t>
      </w:r>
      <w:r w:rsidRPr="00284D8E">
        <w:rPr>
          <w:i/>
        </w:rPr>
        <w:t>R&amp;O</w:t>
      </w:r>
      <w:r>
        <w:t>, 19 FCC Rcd at 3218 para 18.</w:t>
      </w:r>
    </w:p>
  </w:footnote>
  <w:footnote w:id="118">
    <w:p w:rsidR="00BF18B3" w:rsidRDefault="00BF18B3" w:rsidP="009F2BCE">
      <w:pPr>
        <w:pStyle w:val="FootnoteText"/>
        <w:ind w:left="-187"/>
      </w:pPr>
      <w:r>
        <w:rPr>
          <w:rStyle w:val="FootnoteReference"/>
        </w:rPr>
        <w:footnoteRef/>
      </w:r>
      <w:r>
        <w:t xml:space="preserve"> This restriction was placed on amateurs in a 1998 Commission proceeding and is set forth in Part 97 of the Commission’s rules at 47 C.F.R. § 97.303.  </w:t>
      </w:r>
    </w:p>
  </w:footnote>
  <w:footnote w:id="119">
    <w:p w:rsidR="00BF18B3" w:rsidRPr="0071665C" w:rsidRDefault="00BF18B3" w:rsidP="009F2BCE">
      <w:pPr>
        <w:pStyle w:val="FootnoteText"/>
        <w:ind w:left="-187"/>
      </w:pPr>
      <w:r>
        <w:rPr>
          <w:rStyle w:val="FootnoteReference"/>
        </w:rPr>
        <w:footnoteRef/>
      </w:r>
      <w:r>
        <w:t xml:space="preserve"> </w:t>
      </w:r>
      <w:r w:rsidRPr="00422ED0">
        <w:rPr>
          <w:i/>
        </w:rPr>
        <w:t>See</w:t>
      </w:r>
      <w:r>
        <w:t xml:space="preserve"> </w:t>
      </w:r>
      <w:r>
        <w:rPr>
          <w:i/>
        </w:rPr>
        <w:t>Bosch P</w:t>
      </w:r>
      <w:r w:rsidRPr="00422ED0">
        <w:rPr>
          <w:i/>
        </w:rPr>
        <w:t>etition</w:t>
      </w:r>
      <w:r>
        <w:t xml:space="preserve"> at 28.</w:t>
      </w:r>
    </w:p>
  </w:footnote>
  <w:footnote w:id="120">
    <w:p w:rsidR="00BF18B3" w:rsidRDefault="00BF18B3" w:rsidP="009F2BCE">
      <w:pPr>
        <w:pStyle w:val="FootnoteText"/>
        <w:ind w:left="-187"/>
      </w:pPr>
      <w:r>
        <w:rPr>
          <w:rStyle w:val="FootnoteReference"/>
        </w:rPr>
        <w:footnoteRef/>
      </w:r>
      <w:r>
        <w:t xml:space="preserve"> </w:t>
      </w:r>
      <w:r w:rsidRPr="003509C4">
        <w:rPr>
          <w:i/>
        </w:rPr>
        <w:t>Id.</w:t>
      </w:r>
    </w:p>
  </w:footnote>
  <w:footnote w:id="121">
    <w:p w:rsidR="00BF18B3" w:rsidRPr="0071665C" w:rsidRDefault="00BF18B3" w:rsidP="009F2BCE">
      <w:pPr>
        <w:pStyle w:val="FootnoteText"/>
        <w:ind w:left="-187"/>
      </w:pPr>
      <w:r>
        <w:rPr>
          <w:rStyle w:val="FootnoteReference"/>
        </w:rPr>
        <w:footnoteRef/>
      </w:r>
      <w:r>
        <w:t xml:space="preserve"> </w:t>
      </w:r>
      <w:r>
        <w:rPr>
          <w:i/>
        </w:rPr>
        <w:t xml:space="preserve">Id. </w:t>
      </w:r>
      <w:r w:rsidRPr="00284D8E">
        <w:t>at 27</w:t>
      </w:r>
      <w:r>
        <w:t>.  As Bosch notes, the Commission previously deleted an amateur allocation from the band.</w:t>
      </w:r>
    </w:p>
  </w:footnote>
  <w:footnote w:id="122">
    <w:p w:rsidR="00BF18B3" w:rsidRPr="003509C4" w:rsidRDefault="00BF18B3" w:rsidP="009F2BCE">
      <w:pPr>
        <w:pStyle w:val="FootnoteText"/>
        <w:ind w:left="-187"/>
        <w:rPr>
          <w:i/>
        </w:rPr>
      </w:pPr>
      <w:r>
        <w:rPr>
          <w:rStyle w:val="FootnoteReference"/>
        </w:rPr>
        <w:footnoteRef/>
      </w:r>
      <w:r>
        <w:t xml:space="preserve"> </w:t>
      </w:r>
      <w:r>
        <w:rPr>
          <w:i/>
        </w:rPr>
        <w:t>Id.</w:t>
      </w:r>
      <w:r>
        <w:t xml:space="preserve"> at 30. </w:t>
      </w:r>
      <w:r>
        <w:rPr>
          <w:i/>
        </w:rPr>
        <w:t xml:space="preserve"> </w:t>
      </w:r>
    </w:p>
  </w:footnote>
  <w:footnote w:id="123">
    <w:p w:rsidR="00BF18B3" w:rsidRDefault="00BF18B3" w:rsidP="009F2BCE">
      <w:pPr>
        <w:pStyle w:val="FootnoteText"/>
        <w:ind w:left="-187"/>
      </w:pPr>
      <w:r>
        <w:rPr>
          <w:rStyle w:val="FootnoteReference"/>
        </w:rPr>
        <w:footnoteRef/>
      </w:r>
      <w:r>
        <w:t xml:space="preserve"> The Wireless Telecommunications Bureau has been examining a potential reorganization of the Part 95 rules.  </w:t>
      </w:r>
      <w:r w:rsidRPr="00653AF3">
        <w:rPr>
          <w:i/>
        </w:rPr>
        <w:t>See</w:t>
      </w:r>
      <w:r>
        <w:t xml:space="preserve"> </w:t>
      </w:r>
      <w:r>
        <w:rPr>
          <w:snapToGrid w:val="0"/>
        </w:rPr>
        <w:t xml:space="preserve">Review of the Commission’s Part 95 Personal Radio Services Rules, WT Docket No. 10-119, </w:t>
      </w:r>
      <w:r>
        <w:rPr>
          <w:rStyle w:val="FootnoteTextChar1"/>
          <w:i/>
          <w:iCs/>
          <w:snapToGrid w:val="0"/>
        </w:rPr>
        <w:t>Notice of Proposed Rule Making and Memorandum Opinion and Order on Reconsideration</w:t>
      </w:r>
      <w:r>
        <w:rPr>
          <w:rStyle w:val="FootnoteTextChar1"/>
          <w:snapToGrid w:val="0"/>
        </w:rPr>
        <w:t>, 25 FCC Rcd 7651 (2010)</w:t>
      </w:r>
      <w:r>
        <w:t>.  The attached appendix shows our proposed rule modifications based on the existing Part 95 rules.  We intend to adjust our final rules to account for any changes to the Part 95 rule structure that may subsequently be adopted.</w:t>
      </w:r>
    </w:p>
  </w:footnote>
  <w:footnote w:id="124">
    <w:p w:rsidR="00BF18B3" w:rsidRDefault="00BF18B3" w:rsidP="009F2BCE">
      <w:pPr>
        <w:pStyle w:val="FootnoteText"/>
        <w:ind w:left="-187"/>
      </w:pPr>
      <w:r>
        <w:rPr>
          <w:rStyle w:val="FootnoteReference"/>
        </w:rPr>
        <w:footnoteRef/>
      </w:r>
      <w:r>
        <w:t xml:space="preserve"> </w:t>
      </w:r>
      <w:r w:rsidRPr="004C559D">
        <w:rPr>
          <w:i/>
          <w:iCs/>
        </w:rPr>
        <w:t xml:space="preserve">See </w:t>
      </w:r>
      <w:r w:rsidRPr="004C559D">
        <w:t>47 C.F.R. § 95.401(d).</w:t>
      </w:r>
    </w:p>
  </w:footnote>
  <w:footnote w:id="125">
    <w:p w:rsidR="00BF18B3" w:rsidRDefault="00BF18B3" w:rsidP="002077C6">
      <w:pPr>
        <w:autoSpaceDE w:val="0"/>
        <w:autoSpaceDN w:val="0"/>
        <w:adjustRightInd w:val="0"/>
        <w:spacing w:after="120"/>
        <w:ind w:left="-187"/>
      </w:pPr>
      <w:r>
        <w:rPr>
          <w:rStyle w:val="FootnoteReference"/>
        </w:rPr>
        <w:footnoteRef/>
      </w:r>
      <w:r>
        <w:t xml:space="preserve"> </w:t>
      </w:r>
      <w:r w:rsidRPr="004C559D">
        <w:rPr>
          <w:sz w:val="20"/>
        </w:rPr>
        <w:t>47 U.S.C. § 307(e) (describing the operation of radio stations by rule without individual licenses in certain specified radio services).</w:t>
      </w:r>
    </w:p>
  </w:footnote>
  <w:footnote w:id="126">
    <w:p w:rsidR="00BF18B3" w:rsidRDefault="00BF18B3" w:rsidP="002077C6">
      <w:pPr>
        <w:pStyle w:val="FootnoteText"/>
        <w:ind w:left="-187"/>
      </w:pPr>
      <w:r>
        <w:rPr>
          <w:rStyle w:val="FootnoteReference"/>
        </w:rPr>
        <w:footnoteRef/>
      </w:r>
      <w:r>
        <w:t xml:space="preserve"> As discussed </w:t>
      </w:r>
      <w:r w:rsidRPr="00F44C15">
        <w:rPr>
          <w:i/>
        </w:rPr>
        <w:t>supra</w:t>
      </w:r>
      <w:r>
        <w:t>, we propose provisions to allow existing 24 GHz band vehicular radar equipment to continue to operate.</w:t>
      </w:r>
    </w:p>
  </w:footnote>
  <w:footnote w:id="127">
    <w:p w:rsidR="00BF18B3" w:rsidRPr="001B27A7" w:rsidRDefault="00BF18B3" w:rsidP="009F2BCE">
      <w:pPr>
        <w:pStyle w:val="FootnoteText"/>
        <w:ind w:left="-187"/>
      </w:pPr>
      <w:r>
        <w:rPr>
          <w:rStyle w:val="FootnoteReference"/>
        </w:rPr>
        <w:footnoteRef/>
      </w:r>
      <w:r>
        <w:t xml:space="preserve"> </w:t>
      </w:r>
      <w:r w:rsidRPr="008E13C0">
        <w:rPr>
          <w:i/>
        </w:rPr>
        <w:t xml:space="preserve">See </w:t>
      </w:r>
      <w:r w:rsidRPr="003273AB">
        <w:t>Petitions for Reconsideration of Action in Rulemaking Proceeding,</w:t>
      </w:r>
      <w:r>
        <w:t xml:space="preserve"> </w:t>
      </w:r>
      <w:r>
        <w:rPr>
          <w:i/>
        </w:rPr>
        <w:t>Public Notice</w:t>
      </w:r>
      <w:r>
        <w:t>, Report No. 2965 (Rel. Oct. 31, 2012).</w:t>
      </w:r>
    </w:p>
  </w:footnote>
  <w:footnote w:id="128">
    <w:p w:rsidR="00BF18B3" w:rsidRDefault="00BF18B3" w:rsidP="009F2BCE">
      <w:pPr>
        <w:pStyle w:val="FootnoteText"/>
        <w:ind w:left="-187"/>
      </w:pPr>
      <w:r>
        <w:rPr>
          <w:rStyle w:val="FootnoteReference"/>
        </w:rPr>
        <w:footnoteRef/>
      </w:r>
      <w:r>
        <w:t xml:space="preserve"> </w:t>
      </w:r>
      <w:r>
        <w:rPr>
          <w:i/>
        </w:rPr>
        <w:t>See</w:t>
      </w:r>
      <w:r>
        <w:t xml:space="preserve"> </w:t>
      </w:r>
      <w:r w:rsidRPr="00E80F98">
        <w:rPr>
          <w:i/>
        </w:rPr>
        <w:t>Aircraft Petition Reply</w:t>
      </w:r>
      <w:r>
        <w:t>.</w:t>
      </w:r>
    </w:p>
  </w:footnote>
  <w:footnote w:id="129">
    <w:p w:rsidR="00BF18B3" w:rsidRDefault="00BF18B3" w:rsidP="009F2BCE">
      <w:pPr>
        <w:pStyle w:val="FootnoteText"/>
        <w:ind w:left="-187"/>
      </w:pPr>
      <w:r>
        <w:rPr>
          <w:rStyle w:val="FootnoteReference"/>
        </w:rPr>
        <w:footnoteRef/>
      </w:r>
      <w:r>
        <w:t xml:space="preserve"> 47 C.F.R. § 1.429(b).</w:t>
      </w:r>
    </w:p>
  </w:footnote>
  <w:footnote w:id="130">
    <w:p w:rsidR="00BF18B3" w:rsidRDefault="00BF18B3" w:rsidP="009F2BCE">
      <w:pPr>
        <w:pStyle w:val="FootnoteText"/>
        <w:ind w:left="-187"/>
      </w:pPr>
      <w:r>
        <w:rPr>
          <w:rStyle w:val="FootnoteReference"/>
        </w:rPr>
        <w:footnoteRef/>
      </w:r>
      <w:r>
        <w:t xml:space="preserve"> </w:t>
      </w:r>
      <w:r w:rsidRPr="00971AF3">
        <w:rPr>
          <w:i/>
        </w:rPr>
        <w:t xml:space="preserve">See </w:t>
      </w:r>
      <w:r>
        <w:t xml:space="preserve">Bosch, </w:t>
      </w:r>
      <w:r w:rsidRPr="00971AF3">
        <w:rPr>
          <w:i/>
        </w:rPr>
        <w:t>Opposition to Petition</w:t>
      </w:r>
      <w:r>
        <w:rPr>
          <w:i/>
        </w:rPr>
        <w:t>s</w:t>
      </w:r>
      <w:r w:rsidRPr="00971AF3">
        <w:rPr>
          <w:i/>
        </w:rPr>
        <w:t xml:space="preserve"> for Reconsideration</w:t>
      </w:r>
      <w:r>
        <w:rPr>
          <w:i/>
        </w:rPr>
        <w:t>,</w:t>
      </w:r>
      <w:r>
        <w:t xml:space="preserve"> ET Dockets 11-90 and 10-28, at 16. (stating “</w:t>
      </w:r>
      <w:r w:rsidRPr="007772E4">
        <w:rPr>
          <w:szCs w:val="22"/>
        </w:rPr>
        <w:t>Honeywell’s proposal should be deferred to a separate, later proceedin</w:t>
      </w:r>
      <w:r>
        <w:rPr>
          <w:szCs w:val="22"/>
        </w:rPr>
        <w:t>g”).</w:t>
      </w:r>
    </w:p>
  </w:footnote>
  <w:footnote w:id="131">
    <w:p w:rsidR="00BF18B3" w:rsidRDefault="00BF18B3" w:rsidP="009F2BCE">
      <w:pPr>
        <w:pStyle w:val="FootnoteText"/>
        <w:ind w:left="-187"/>
      </w:pPr>
      <w:r>
        <w:rPr>
          <w:rStyle w:val="FootnoteReference"/>
        </w:rPr>
        <w:footnoteRef/>
      </w:r>
      <w:r>
        <w:t xml:space="preserve"> </w:t>
      </w:r>
      <w:r w:rsidRPr="00971AF3">
        <w:rPr>
          <w:i/>
        </w:rPr>
        <w:t xml:space="preserve">See </w:t>
      </w:r>
      <w:r w:rsidRPr="00A31B29">
        <w:rPr>
          <w:i/>
        </w:rPr>
        <w:t>id</w:t>
      </w:r>
      <w:r>
        <w:t xml:space="preserve">. at 7-14.  </w:t>
      </w:r>
      <w:r>
        <w:rPr>
          <w:i/>
        </w:rPr>
        <w:t xml:space="preserve">See also </w:t>
      </w:r>
      <w:r>
        <w:t xml:space="preserve">Mercedes, </w:t>
      </w:r>
      <w:r>
        <w:rPr>
          <w:i/>
        </w:rPr>
        <w:t xml:space="preserve">Opposition </w:t>
      </w:r>
      <w:r w:rsidRPr="00971AF3">
        <w:rPr>
          <w:i/>
        </w:rPr>
        <w:t>to Petition for Reconsideration</w:t>
      </w:r>
      <w:r>
        <w:rPr>
          <w:i/>
        </w:rPr>
        <w:t xml:space="preserve">, </w:t>
      </w:r>
      <w:r>
        <w:t>ET Dockets 11-90 and 10-28, at 3</w:t>
      </w:r>
      <w:r>
        <w:noBreakHyphen/>
        <w:t>5.</w:t>
      </w:r>
    </w:p>
  </w:footnote>
  <w:footnote w:id="132">
    <w:p w:rsidR="00BF18B3" w:rsidRDefault="00BF18B3" w:rsidP="009F2BCE">
      <w:pPr>
        <w:pStyle w:val="FootnoteText"/>
        <w:ind w:left="-187"/>
      </w:pPr>
      <w:r>
        <w:rPr>
          <w:rStyle w:val="FootnoteReference"/>
        </w:rPr>
        <w:footnoteRef/>
      </w:r>
      <w:r>
        <w:t xml:space="preserve"> 47 C.F.R. § 1.429(d) (stating that “The petition for reconsideration and any supplement thereto shall be filed within 30 days from the date of public notice of such action, as that date is defined in §1.4(b).  No supplement to a petition for reconsideration filed after expiration of the 30 day period will be considered, except upon leave granted pursuant to a separate pleading stating the grounds for acceptance of the supplement.”).</w:t>
      </w:r>
    </w:p>
  </w:footnote>
  <w:footnote w:id="133">
    <w:p w:rsidR="00BF18B3" w:rsidRDefault="00BF18B3" w:rsidP="009E1A98">
      <w:pPr>
        <w:pStyle w:val="FootnoteText"/>
        <w:ind w:left="-187"/>
      </w:pPr>
      <w:r>
        <w:rPr>
          <w:rStyle w:val="FootnoteReference"/>
        </w:rPr>
        <w:footnoteRef/>
      </w:r>
      <w:r>
        <w:t xml:space="preserve"> </w:t>
      </w:r>
      <w:r>
        <w:rPr>
          <w:i/>
          <w:iCs/>
        </w:rPr>
        <w:t>See generally</w:t>
      </w:r>
      <w:r>
        <w:t xml:space="preserve"> 47 C.F.R. §§ 1.1202, 1.1203, and 1.1206.</w:t>
      </w:r>
    </w:p>
  </w:footnote>
  <w:footnote w:id="134">
    <w:p w:rsidR="00BF18B3" w:rsidRDefault="00BF18B3" w:rsidP="006A36B5">
      <w:pPr>
        <w:pStyle w:val="FootnoteText"/>
        <w:ind w:left="-187"/>
      </w:pPr>
      <w:r>
        <w:rPr>
          <w:rStyle w:val="FootnoteReference"/>
        </w:rPr>
        <w:footnoteRef/>
      </w:r>
      <w:r>
        <w:t xml:space="preserve"> </w:t>
      </w:r>
      <w:r>
        <w:rPr>
          <w:i/>
          <w:iCs/>
        </w:rPr>
        <w:t xml:space="preserve">See </w:t>
      </w:r>
      <w:r>
        <w:t>5 U.S.C. § 603.</w:t>
      </w:r>
    </w:p>
  </w:footnote>
  <w:footnote w:id="135">
    <w:p w:rsidR="00BF18B3" w:rsidRDefault="00BF18B3" w:rsidP="00044B05">
      <w:pPr>
        <w:pStyle w:val="FootnoteText"/>
      </w:pPr>
      <w:r>
        <w:rPr>
          <w:rStyle w:val="FootnoteReference"/>
          <w:color w:val="000000"/>
        </w:rPr>
        <w:footnoteRef/>
      </w:r>
      <w:r>
        <w:t xml:space="preserve"> </w:t>
      </w:r>
      <w:r>
        <w:rPr>
          <w:i/>
        </w:rPr>
        <w:t xml:space="preserve">See </w:t>
      </w:r>
      <w:hyperlink r:id="rId15" w:history="1">
        <w:r w:rsidRPr="007913B8">
          <w:rPr>
            <w:rStyle w:val="Hyperlink"/>
            <w:color w:val="000000"/>
            <w:u w:val="none"/>
          </w:rPr>
          <w:t>5 U.S.C. § 603</w:t>
        </w:r>
      </w:hyperlink>
      <w:r w:rsidRPr="007913B8">
        <w:t>.</w:t>
      </w:r>
      <w:r>
        <w:t xml:space="preserve">  The RFA, </w:t>
      </w:r>
      <w:r>
        <w:rPr>
          <w:i/>
        </w:rPr>
        <w:t>see</w:t>
      </w:r>
      <w:r>
        <w:t xml:space="preserve"> </w:t>
      </w:r>
      <w:hyperlink r:id="rId16" w:history="1">
        <w:r w:rsidRPr="007913B8">
          <w:rPr>
            <w:rStyle w:val="Hyperlink"/>
            <w:color w:val="000000"/>
            <w:u w:val="none"/>
          </w:rPr>
          <w:t>5 U.S.C. §601</w:t>
        </w:r>
      </w:hyperlink>
      <w:r>
        <w:t xml:space="preserve">-612, has been amended by the Small Business Regulatory Enforcement Fairness Act of 1996, (SBREFA) Pub.  L. No. 104-121, Title II, 110 Stat. 857 (1996). </w:t>
      </w:r>
    </w:p>
  </w:footnote>
  <w:footnote w:id="136">
    <w:p w:rsidR="00BF18B3" w:rsidRDefault="00BF18B3" w:rsidP="00044B05">
      <w:pPr>
        <w:pStyle w:val="FootnoteText"/>
      </w:pPr>
      <w:r>
        <w:rPr>
          <w:rStyle w:val="FootnoteReference"/>
          <w:color w:val="000000"/>
        </w:rPr>
        <w:footnoteRef/>
      </w:r>
      <w:r>
        <w:t xml:space="preserve"> </w:t>
      </w:r>
      <w:r>
        <w:rPr>
          <w:i/>
        </w:rPr>
        <w:t xml:space="preserve">See </w:t>
      </w:r>
      <w:r>
        <w:t xml:space="preserve">5 </w:t>
      </w:r>
      <w:hyperlink r:id="rId17" w:history="1">
        <w:r w:rsidRPr="007913B8">
          <w:rPr>
            <w:rStyle w:val="Hyperlink"/>
            <w:color w:val="000000"/>
            <w:u w:val="none"/>
          </w:rPr>
          <w:t>U.S.C. § 603(a)</w:t>
        </w:r>
        <w:r w:rsidRPr="006B6301">
          <w:rPr>
            <w:rStyle w:val="Hyperlink"/>
            <w:color w:val="000000"/>
            <w:u w:val="none"/>
          </w:rPr>
          <w:t>.</w:t>
        </w:r>
      </w:hyperlink>
    </w:p>
  </w:footnote>
  <w:footnote w:id="137">
    <w:p w:rsidR="00BF18B3" w:rsidRDefault="00BF18B3" w:rsidP="00044B05">
      <w:pPr>
        <w:pStyle w:val="FootnoteText"/>
      </w:pPr>
      <w:r>
        <w:rPr>
          <w:rStyle w:val="FootnoteReference"/>
          <w:color w:val="000000"/>
        </w:rPr>
        <w:footnoteRef/>
      </w:r>
      <w:r>
        <w:t xml:space="preserve"> </w:t>
      </w:r>
      <w:r>
        <w:rPr>
          <w:i/>
        </w:rPr>
        <w:t xml:space="preserve">See </w:t>
      </w:r>
      <w:r>
        <w:t xml:space="preserve">5 </w:t>
      </w:r>
      <w:r w:rsidRPr="00213C96">
        <w:t>U.S.C. § 603(a).</w:t>
      </w:r>
    </w:p>
  </w:footnote>
  <w:footnote w:id="138">
    <w:p w:rsidR="00BF18B3" w:rsidRDefault="00BF18B3" w:rsidP="00044B05">
      <w:pPr>
        <w:pStyle w:val="FootnoteText"/>
      </w:pPr>
      <w:r>
        <w:rPr>
          <w:rStyle w:val="FootnoteReference"/>
        </w:rPr>
        <w:footnoteRef/>
      </w:r>
      <w:r>
        <w:t xml:space="preserve"> On July 25, 2000, Air France Flight 4590 crashed shortly after take-off from Charles de Gaulle Airport outside Paris, France.  All one hundred passengers and nine crewmembers, plus four people on the ground, were killed.  The official investigation, concluded by France’s Bureau Enquetes-Accidents, determined that the catastrophic series of events that caused the Concorde crash were precipitated when FOD on the runway tore a tire, resulting in additional damage to the aircraft.  </w:t>
      </w:r>
      <w:hyperlink r:id="rId18" w:history="1">
        <w:r>
          <w:rPr>
            <w:rStyle w:val="Hyperlink"/>
          </w:rPr>
          <w:t>http://www.guardian.co.uk/uk/2002/jan/17/concorde.world</w:t>
        </w:r>
      </w:hyperlink>
    </w:p>
  </w:footnote>
  <w:footnote w:id="139">
    <w:p w:rsidR="00BF18B3" w:rsidRDefault="00BF18B3" w:rsidP="00044B05">
      <w:pPr>
        <w:autoSpaceDE w:val="0"/>
        <w:autoSpaceDN w:val="0"/>
        <w:adjustRightInd w:val="0"/>
        <w:rPr>
          <w:sz w:val="20"/>
        </w:rPr>
      </w:pPr>
      <w:r>
        <w:rPr>
          <w:rStyle w:val="FootnoteReference"/>
        </w:rPr>
        <w:footnoteRef/>
      </w:r>
      <w:r>
        <w:rPr>
          <w:sz w:val="20"/>
        </w:rPr>
        <w:t xml:space="preserve"> </w:t>
      </w:r>
      <w:r>
        <w:rPr>
          <w:i/>
          <w:sz w:val="20"/>
        </w:rPr>
        <w:t>See</w:t>
      </w:r>
      <w:r>
        <w:rPr>
          <w:sz w:val="20"/>
        </w:rPr>
        <w:t xml:space="preserve"> U.S. Department of Transportation, Federal Aviation administration Advisory Circular No. 105/5210-24, </w:t>
      </w:r>
      <w:hyperlink r:id="rId19" w:history="1">
        <w:r>
          <w:rPr>
            <w:rStyle w:val="Hyperlink"/>
            <w:sz w:val="20"/>
          </w:rPr>
          <w:t>http://www.faa.gov/documentLibrary/media/Advisory_Circular/150_5210_24.pdf</w:t>
        </w:r>
      </w:hyperlink>
      <w:r>
        <w:rPr>
          <w:sz w:val="20"/>
        </w:rPr>
        <w:t xml:space="preserve"> (hereinafter AC 105/5210-24).</w:t>
      </w:r>
    </w:p>
  </w:footnote>
  <w:footnote w:id="140">
    <w:p w:rsidR="00BF18B3" w:rsidRDefault="00BF18B3" w:rsidP="00044B05">
      <w:pPr>
        <w:pStyle w:val="FootnoteText"/>
      </w:pPr>
      <w:r>
        <w:rPr>
          <w:rStyle w:val="FootnoteReference"/>
        </w:rPr>
        <w:footnoteRef/>
      </w:r>
      <w:r>
        <w:t xml:space="preserve"> </w:t>
      </w:r>
      <w:r>
        <w:rPr>
          <w:i/>
        </w:rPr>
        <w:t>See</w:t>
      </w:r>
      <w:r>
        <w:t xml:space="preserve"> </w:t>
      </w:r>
      <w:r>
        <w:rPr>
          <w:i/>
        </w:rPr>
        <w:t>Aircraft Petition Reply</w:t>
      </w:r>
      <w:r>
        <w:t xml:space="preserve"> at 4.</w:t>
      </w:r>
    </w:p>
  </w:footnote>
  <w:footnote w:id="141">
    <w:p w:rsidR="00BF18B3" w:rsidRDefault="00BF18B3" w:rsidP="00044B05">
      <w:pPr>
        <w:pStyle w:val="FootnoteText"/>
      </w:pPr>
      <w:r>
        <w:rPr>
          <w:rStyle w:val="FootnoteReference"/>
        </w:rPr>
        <w:footnoteRef/>
      </w:r>
      <w:r>
        <w:t xml:space="preserve"> </w:t>
      </w:r>
      <w:r>
        <w:rPr>
          <w:i/>
        </w:rPr>
        <w:t>See</w:t>
      </w:r>
      <w:r>
        <w:t xml:space="preserve"> NTSB Mar. 13, 2013 e</w:t>
      </w:r>
      <w:r>
        <w:rPr>
          <w:i/>
        </w:rPr>
        <w:t>x parte</w:t>
      </w:r>
      <w:r>
        <w:t xml:space="preserve"> filing in ET Docket No. 10-28 and RM-1190.  A</w:t>
      </w:r>
      <w:r>
        <w:rPr>
          <w:szCs w:val="22"/>
        </w:rPr>
        <w:t>ll newly manufactured and newly type-certificated large airplanes and other airplane models where the wingtips are not easily visible from the cockpit to provide a cockpit indication that will help pilots determine wingtip clearance and path during taxi.  The recommendation also requires retrofitting all existing airplane models with an anti-collision aid where the wingtips are not easily visible from the cockpit</w:t>
      </w:r>
    </w:p>
  </w:footnote>
  <w:footnote w:id="142">
    <w:p w:rsidR="00BF18B3" w:rsidRDefault="00BF18B3" w:rsidP="00044B05">
      <w:pPr>
        <w:pStyle w:val="FootnoteText"/>
      </w:pPr>
      <w:r>
        <w:rPr>
          <w:rStyle w:val="FootnoteReference"/>
        </w:rPr>
        <w:footnoteRef/>
      </w:r>
      <w:r>
        <w:t xml:space="preserve"> </w:t>
      </w:r>
      <w:r>
        <w:rPr>
          <w:i/>
        </w:rPr>
        <w:t>See</w:t>
      </w:r>
      <w:r>
        <w:t xml:space="preserve"> </w:t>
      </w:r>
      <w:r>
        <w:rPr>
          <w:i/>
        </w:rPr>
        <w:t>Fixed Radar</w:t>
      </w:r>
      <w:r>
        <w:t xml:space="preserve"> </w:t>
      </w:r>
      <w:r>
        <w:rPr>
          <w:i/>
        </w:rPr>
        <w:t>Petition</w:t>
      </w:r>
      <w:r>
        <w:t xml:space="preserve"> at 3-4</w:t>
      </w:r>
    </w:p>
  </w:footnote>
  <w:footnote w:id="143">
    <w:p w:rsidR="00BF18B3" w:rsidRDefault="00BF18B3" w:rsidP="00044B05">
      <w:pPr>
        <w:pStyle w:val="FootnoteText"/>
      </w:pPr>
      <w:r>
        <w:rPr>
          <w:rStyle w:val="FootnoteReference"/>
        </w:rPr>
        <w:footnoteRef/>
      </w:r>
      <w:r>
        <w:t xml:space="preserve"> 5 U.S.C. § 604(a)(3).</w:t>
      </w:r>
    </w:p>
  </w:footnote>
  <w:footnote w:id="144">
    <w:p w:rsidR="00BF18B3" w:rsidRDefault="00BF18B3" w:rsidP="00044B05">
      <w:pPr>
        <w:pStyle w:val="FootnoteText"/>
      </w:pPr>
      <w:r>
        <w:rPr>
          <w:rStyle w:val="FootnoteReference"/>
        </w:rPr>
        <w:footnoteRef/>
      </w:r>
      <w:r>
        <w:t xml:space="preserve"> 5 U.S.C. § 601(6).</w:t>
      </w:r>
    </w:p>
  </w:footnote>
  <w:footnote w:id="145">
    <w:p w:rsidR="00BF18B3" w:rsidRDefault="00BF18B3" w:rsidP="00044B05">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6">
    <w:p w:rsidR="00BF18B3" w:rsidRDefault="00BF18B3" w:rsidP="00044B05">
      <w:pPr>
        <w:pStyle w:val="FootnoteText"/>
      </w:pPr>
      <w:r>
        <w:rPr>
          <w:rStyle w:val="FootnoteReference"/>
        </w:rPr>
        <w:footnoteRef/>
      </w:r>
      <w:r>
        <w:t xml:space="preserve"> 15 U.S.C. § 632.</w:t>
      </w:r>
    </w:p>
  </w:footnote>
  <w:footnote w:id="147">
    <w:p w:rsidR="00BF18B3" w:rsidRDefault="00BF18B3" w:rsidP="00044B05">
      <w:pPr>
        <w:pStyle w:val="FootnoteText"/>
      </w:pPr>
      <w:r>
        <w:rPr>
          <w:rStyle w:val="FootnoteReference"/>
        </w:rPr>
        <w:footnoteRef/>
      </w:r>
      <w:r>
        <w:t xml:space="preserve"> The NAICS Code for this service 334220.  </w:t>
      </w:r>
      <w:r>
        <w:rPr>
          <w:i/>
        </w:rPr>
        <w:t>See</w:t>
      </w:r>
      <w:r>
        <w:t xml:space="preserve"> 13 C.F.R 121/201.  </w:t>
      </w:r>
      <w:r>
        <w:rPr>
          <w:i/>
        </w:rPr>
        <w:t>See also</w:t>
      </w:r>
      <w:r>
        <w:t xml:space="preserve"> </w:t>
      </w:r>
      <w:hyperlink r:id="rId20" w:history="1">
        <w:r>
          <w:rPr>
            <w:rStyle w:val="Hyperlink"/>
          </w:rPr>
          <w:t>http://factfinder.census.gov/servlet/IBQTable?_bm=y&amp;-fds_name=EC0700A1&amp;-geo_id=&amp;-_skip=300&amp;-ds_name=EC0731SG2&amp;-_lang=en</w:t>
        </w:r>
      </w:hyperlink>
      <w:r>
        <w:t xml:space="preserve"> </w:t>
      </w:r>
    </w:p>
  </w:footnote>
  <w:footnote w:id="148">
    <w:p w:rsidR="00BF18B3" w:rsidRDefault="00BF18B3" w:rsidP="00044B05">
      <w:pPr>
        <w:rPr>
          <w:sz w:val="20"/>
        </w:rPr>
      </w:pPr>
      <w:r>
        <w:rPr>
          <w:rStyle w:val="FootnoteReference"/>
        </w:rPr>
        <w:footnoteRef/>
      </w:r>
      <w:r>
        <w:rPr>
          <w:sz w:val="20"/>
        </w:rPr>
        <w:t xml:space="preserve"> </w:t>
      </w:r>
      <w:r>
        <w:rPr>
          <w:i/>
          <w:sz w:val="20"/>
        </w:rPr>
        <w:t xml:space="preserve">See </w:t>
      </w:r>
      <w:hyperlink r:id="rId21" w:tooltip="http://factfinder.census.gov/servlet/IBQTable?_bm=y&amp;-geo_id=&amp;-fds_name=EC0700A1&amp;-_skip=4500&amp;-ds_name=EC0731SG3&amp;-_lang=en" w:history="1">
        <w:r>
          <w:rPr>
            <w:rStyle w:val="Hyperlink"/>
            <w:rFonts w:cs="Arial"/>
          </w:rPr>
          <w:t>http://factfinder.census.gov/servlet/IBQTable?_bm=y&amp;-geo_id=&amp;-fds_name=EC0700A1&amp;-_skip=4500&amp;-ds_name=EC0731SG3&amp;-_lang=en</w:t>
        </w:r>
      </w:hyperlink>
    </w:p>
  </w:footnote>
  <w:footnote w:id="149">
    <w:p w:rsidR="00BF18B3" w:rsidRDefault="00BF18B3" w:rsidP="00044B05">
      <w:pPr>
        <w:pStyle w:val="FootnoteText"/>
      </w:pPr>
      <w:r>
        <w:rPr>
          <w:rStyle w:val="FootnoteReference"/>
        </w:rPr>
        <w:footnoteRef/>
      </w:r>
      <w:r>
        <w:t xml:space="preserve"> </w:t>
      </w:r>
      <w:r>
        <w:rPr>
          <w:i/>
        </w:rPr>
        <w:t>See</w:t>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8D" w:rsidRDefault="002D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Default="00BF18B3" w:rsidP="00810B6F">
    <w:pPr>
      <w:pStyle w:val="Header"/>
      <w:rPr>
        <w:b w:val="0"/>
      </w:rPr>
    </w:pPr>
    <w:r>
      <w:tab/>
      <w:t>Federal Communications Commission</w:t>
    </w:r>
    <w:r>
      <w:tab/>
      <w:t>FCC 15-16</w:t>
    </w:r>
  </w:p>
  <w:p w:rsidR="00BF18B3" w:rsidRDefault="00BF18B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9393344" wp14:editId="12707380">
              <wp:simplePos x="0" y="0"/>
              <wp:positionH relativeFrom="margin">
                <wp:posOffset>0</wp:posOffset>
              </wp:positionH>
              <wp:positionV relativeFrom="paragraph">
                <wp:posOffset>0</wp:posOffset>
              </wp:positionV>
              <wp:extent cx="5943600" cy="12065"/>
              <wp:effectExtent l="0" t="0" r="0" b="698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BF18B3" w:rsidRDefault="00BF18B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Pr="009E723F" w:rsidRDefault="00BF18B3" w:rsidP="00810B6F">
    <w:pPr>
      <w:pStyle w:val="Header"/>
      <w:rPr>
        <w:spacing w:val="-2"/>
      </w:rPr>
    </w:pPr>
    <w:r>
      <w:rPr>
        <w:noProof/>
        <w:snapToGrid/>
      </w:rPr>
      <mc:AlternateContent>
        <mc:Choice Requires="wps">
          <w:drawing>
            <wp:anchor distT="0" distB="0" distL="114300" distR="114300" simplePos="0" relativeHeight="251658240" behindDoc="1" locked="0" layoutInCell="0" allowOverlap="1" wp14:anchorId="7F0BA706" wp14:editId="7D1393DA">
              <wp:simplePos x="0" y="0"/>
              <wp:positionH relativeFrom="margin">
                <wp:posOffset>7620</wp:posOffset>
              </wp:positionH>
              <wp:positionV relativeFrom="paragraph">
                <wp:posOffset>160655</wp:posOffset>
              </wp:positionV>
              <wp:extent cx="5943600" cy="12065"/>
              <wp:effectExtent l="0" t="0" r="0" b="69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Pr="00565939" w:rsidRDefault="00BF18B3" w:rsidP="00512EAC">
    <w:pPr>
      <w:pStyle w:val="Header"/>
    </w:pPr>
    <w:r>
      <w:tab/>
    </w:r>
    <w:r w:rsidRPr="00565939">
      <w:t>Federal Communications Commission</w:t>
    </w:r>
    <w:r w:rsidRPr="00565939">
      <w:tab/>
      <w:t>FCC 1</w:t>
    </w:r>
    <w:r>
      <w:t>5</w:t>
    </w:r>
    <w:r w:rsidRPr="00565939">
      <w:t>-</w:t>
    </w:r>
    <w:r>
      <w:t>16</w:t>
    </w:r>
  </w:p>
  <w:p w:rsidR="00BF18B3" w:rsidRPr="00011BA5" w:rsidRDefault="00BF18B3" w:rsidP="00512EAC">
    <w:pPr>
      <w:pStyle w:val="Header"/>
    </w:pPr>
    <w:r>
      <w:rPr>
        <w:noProof/>
        <w:snapToGrid/>
      </w:rPr>
      <mc:AlternateContent>
        <mc:Choice Requires="wps">
          <w:drawing>
            <wp:anchor distT="4294967291" distB="4294967291" distL="114300" distR="114300" simplePos="0" relativeHeight="251661312" behindDoc="0" locked="0" layoutInCell="0" allowOverlap="1" wp14:anchorId="73B834BC" wp14:editId="7CCBFAD7">
              <wp:simplePos x="0" y="0"/>
              <wp:positionH relativeFrom="column">
                <wp:posOffset>0</wp:posOffset>
              </wp:positionH>
              <wp:positionV relativeFrom="paragraph">
                <wp:posOffset>22224</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JYeLBR0CAAA3BAAADgAAAAAAAAAAAAAAAAAuAgAAZHJzL2Uyb0RvYy54bWxQSwECLQAUAAYA&#10;CAAAACEA7ikortgAAAAEAQAADwAAAAAAAAAAAAAAAAB3BAAAZHJzL2Rvd25yZXYueG1sUEsFBgAA&#10;AAAEAAQA8wAAAHwFAAAAAA==&#10;" o:allowincell="f" strokeweight="1.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Pr="00565939" w:rsidRDefault="00BF18B3" w:rsidP="00512EAC">
    <w:pPr>
      <w:pStyle w:val="Header"/>
    </w:pPr>
    <w:r>
      <w:tab/>
    </w:r>
    <w:r w:rsidRPr="00565939">
      <w:t>Federal Communications Commission</w:t>
    </w:r>
    <w:r>
      <w:tab/>
    </w:r>
    <w:r w:rsidRPr="00565939">
      <w:t xml:space="preserve">FCC </w:t>
    </w:r>
    <w:r>
      <w:t>15-16</w:t>
    </w:r>
  </w:p>
  <w:p w:rsidR="00BF18B3" w:rsidRPr="00995DE1" w:rsidRDefault="00BF18B3" w:rsidP="00512EAC">
    <w:pPr>
      <w:pStyle w:val="Header"/>
    </w:pPr>
    <w:r>
      <w:rPr>
        <w:noProof/>
        <w:snapToGrid/>
      </w:rPr>
      <mc:AlternateContent>
        <mc:Choice Requires="wps">
          <w:drawing>
            <wp:anchor distT="4294967291" distB="4294967291" distL="114300" distR="114300" simplePos="0" relativeHeight="251660288" behindDoc="0" locked="0" layoutInCell="0" allowOverlap="1" wp14:anchorId="3863158C" wp14:editId="4C3E770C">
              <wp:simplePos x="0" y="0"/>
              <wp:positionH relativeFrom="column">
                <wp:posOffset>0</wp:posOffset>
              </wp:positionH>
              <wp:positionV relativeFrom="paragraph">
                <wp:posOffset>22224</wp:posOffset>
              </wp:positionV>
              <wp:extent cx="59436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oVHQIAADcEAAAOAAAAZHJzL2Uyb0RvYy54bWysU02P2jAQvVfqf7ByZ5NAoBABqyqBXrYt&#10;EtsfYGyHWHU8lm0IqOp/79h8iG0vVdUcnLFn5vnNm/H8+dQpchTWSdCLJH/KEiI0Ay71fpF8e10P&#10;pglxnmpOFWixSM7CJc/L9+/mvSnFEFpQXFiCINqVvVkkrfemTFPHWtFR9wRGaHQ2YDvqcWv3Kbe0&#10;R/ROpcMsm6Q9WG4sMOEcntYXZ7KM+E0jmP/aNE54ohYJcvNxtXHdhTVdzmm5t9S0kl1p0H9g0VGp&#10;8dI7VE09JQcr/4DqJLPgoPFPDLoUmkYyEWvAavLst2q2LTUi1oLiOHOXyf0/WPbluLFEcuxdQjTt&#10;sEVbb6nct55UoDUKCJaMgk69cSWGV3pjQ6XspLfmBdh3RzRULdV7Efm+ng2C5CEjfZMSNs7gbbv+&#10;M3CMoQcPUbRTY7sAiXKQU+zN+d4bcfKE4eF4VowmGbaQ3XwpLW+Jxjr/SUBHgrFIlNRBNlrS44vz&#10;gQgtbyHhWMNaKhVbrzTpke0sG2cxw4GSPHhDnLP7XaUsOdIwPfGLZaHnMczCQfOI1grKV1fbU6ku&#10;Nt6udMDDWpDP1bqMx49ZNltNV9NiUAwnq0GR1fXg47oqBpN1/mFcj+qqqvOfgVpelK3kXOjA7jaq&#10;efF3o3B9NJchuw/rXYf0LXoUDMne/pF0bGbo32USdsDPG3trMk5nDL6+pDD+j3u0H9/78hc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PdyqFR0CAAA3BAAADgAAAAAAAAAAAAAAAAAuAgAAZHJzL2Uyb0RvYy54bWxQSwECLQAUAAYA&#10;CAAAACEA7ikortgAAAAEAQAADwAAAAAAAAAAAAAAAAB3BAAAZHJzL2Rvd25yZXYueG1sUEsFBgAA&#10;AAAEAAQA8wAAAHwFAAAAAA==&#10;" o:allowincell="f"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Pr="00097FD8" w:rsidRDefault="00662C1B" w:rsidP="00512EAC">
    <w:pPr>
      <w:pStyle w:val="Header"/>
    </w:pPr>
    <w:r>
      <w:tab/>
    </w:r>
    <w:r w:rsidRPr="00565939">
      <w:t>Federal Communications Commission</w:t>
    </w:r>
    <w:r>
      <w:tab/>
    </w:r>
    <w:r w:rsidRPr="00565939">
      <w:t xml:space="preserve">FCC </w:t>
    </w:r>
    <w:r>
      <w:t>15-16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B3" w:rsidRPr="00565939" w:rsidRDefault="00BF18B3" w:rsidP="009E723F">
    <w:pPr>
      <w:pStyle w:val="Header"/>
    </w:pPr>
    <w:r>
      <w:tab/>
    </w:r>
    <w:r w:rsidRPr="00565939">
      <w:t>Federal Communications Commission</w:t>
    </w:r>
    <w:r w:rsidRPr="00565939">
      <w:tab/>
      <w:t>FCC 1</w:t>
    </w:r>
    <w:r>
      <w:t>5</w:t>
    </w:r>
    <w:r w:rsidRPr="00565939">
      <w:t>-</w:t>
    </w:r>
    <w:r>
      <w:t>16</w:t>
    </w:r>
  </w:p>
  <w:p w:rsidR="00BF18B3" w:rsidRPr="00097FD8" w:rsidRDefault="00BF18B3" w:rsidP="00512EAC">
    <w:pPr>
      <w:pStyle w:val="Header"/>
    </w:pPr>
    <w:r>
      <w:rPr>
        <w:noProof/>
        <w:snapToGrid/>
      </w:rPr>
      <mc:AlternateContent>
        <mc:Choice Requires="wps">
          <w:drawing>
            <wp:anchor distT="4294967291" distB="4294967291" distL="114300" distR="114300" simplePos="0" relativeHeight="251663360" behindDoc="0" locked="0" layoutInCell="0" allowOverlap="1" wp14:anchorId="61FD010C" wp14:editId="421E1A47">
              <wp:simplePos x="0" y="0"/>
              <wp:positionH relativeFrom="column">
                <wp:posOffset>0</wp:posOffset>
              </wp:positionH>
              <wp:positionV relativeFrom="paragraph">
                <wp:posOffset>22224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4358F0"/>
    <w:multiLevelType w:val="hybridMultilevel"/>
    <w:tmpl w:val="E486A5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10F7F"/>
    <w:multiLevelType w:val="hybridMultilevel"/>
    <w:tmpl w:val="E486A5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936FDE"/>
    <w:multiLevelType w:val="singleLevel"/>
    <w:tmpl w:val="47888604"/>
    <w:lvl w:ilvl="0">
      <w:start w:val="1"/>
      <w:numFmt w:val="decimal"/>
      <w:pStyle w:val="RuleNum"/>
      <w:lvlText w:val="%1."/>
      <w:lvlJc w:val="left"/>
      <w:pPr>
        <w:tabs>
          <w:tab w:val="num" w:pos="630"/>
        </w:tabs>
        <w:ind w:left="27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0F1B3D"/>
    <w:multiLevelType w:val="singleLevel"/>
    <w:tmpl w:val="6FE65BEC"/>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nsid w:val="4AF90131"/>
    <w:multiLevelType w:val="hybridMultilevel"/>
    <w:tmpl w:val="E980513A"/>
    <w:lvl w:ilvl="0" w:tplc="4DF293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8C5273"/>
    <w:multiLevelType w:val="hybridMultilevel"/>
    <w:tmpl w:val="BA4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E0B41134"/>
    <w:lvl w:ilvl="0">
      <w:start w:val="1"/>
      <w:numFmt w:val="upperRoman"/>
      <w:lvlText w:val="%1."/>
      <w:lvlJc w:val="right"/>
      <w:pPr>
        <w:tabs>
          <w:tab w:val="num" w:pos="720"/>
        </w:tabs>
        <w:ind w:left="720" w:hanging="72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4050"/>
        </w:tabs>
        <w:ind w:left="369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15">
    <w:nsid w:val="55281EE2"/>
    <w:multiLevelType w:val="hybridMultilevel"/>
    <w:tmpl w:val="9CD8BB5A"/>
    <w:lvl w:ilvl="0" w:tplc="E16434E6">
      <w:start w:val="1"/>
      <w:numFmt w:val="decimal"/>
      <w:suff w:val="space"/>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7C4A6548"/>
    <w:multiLevelType w:val="hybridMultilevel"/>
    <w:tmpl w:val="57E69F9E"/>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6"/>
  </w:num>
  <w:num w:numId="3">
    <w:abstractNumId w:val="9"/>
  </w:num>
  <w:num w:numId="4">
    <w:abstractNumId w:val="12"/>
  </w:num>
  <w:num w:numId="5">
    <w:abstractNumId w:val="14"/>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5"/>
  </w:num>
  <w:num w:numId="13">
    <w:abstractNumId w:val="2"/>
  </w:num>
  <w:num w:numId="14">
    <w:abstractNumId w:val="3"/>
  </w:num>
  <w:num w:numId="15">
    <w:abstractNumId w:val="0"/>
  </w:num>
  <w:num w:numId="16">
    <w:abstractNumId w:val="8"/>
  </w:num>
  <w:num w:numId="17">
    <w:abstractNumId w:val="16"/>
    <w:lvlOverride w:ilvl="0">
      <w:startOverride w:val="1"/>
    </w:lvlOverride>
  </w:num>
  <w:num w:numId="18">
    <w:abstractNumId w:val="15"/>
  </w:num>
  <w:num w:numId="19">
    <w:abstractNumId w:val="10"/>
  </w:num>
  <w:num w:numId="20">
    <w:abstractNumId w:val="4"/>
  </w:num>
  <w:num w:numId="21">
    <w:abstractNumId w:val="11"/>
  </w:num>
  <w:num w:numId="22">
    <w:abstractNumId w:val="5"/>
  </w:num>
  <w:num w:numId="23">
    <w:abstractNumId w:val="1"/>
  </w:num>
  <w:num w:numId="24">
    <w:abstractNumId w:val="9"/>
    <w:lvlOverride w:ilvl="0">
      <w:startOverride w:val="1"/>
    </w:lvlOverride>
  </w:num>
  <w:num w:numId="25">
    <w:abstractNumId w:val="1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ctiveWritingStyle w:appName="MSWord" w:lang="en-US" w:vendorID="64" w:dllVersion="131078" w:nlCheck="1" w:checkStyle="0"/>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41A8"/>
    <w:rsid w:val="00005717"/>
    <w:rsid w:val="00006179"/>
    <w:rsid w:val="000063C6"/>
    <w:rsid w:val="0003346F"/>
    <w:rsid w:val="00036039"/>
    <w:rsid w:val="00037F90"/>
    <w:rsid w:val="00044B05"/>
    <w:rsid w:val="0007292E"/>
    <w:rsid w:val="000875BF"/>
    <w:rsid w:val="00096810"/>
    <w:rsid w:val="00096D8C"/>
    <w:rsid w:val="000A33D0"/>
    <w:rsid w:val="000C0B65"/>
    <w:rsid w:val="000C3A69"/>
    <w:rsid w:val="000C74C2"/>
    <w:rsid w:val="000E05FE"/>
    <w:rsid w:val="000E3D42"/>
    <w:rsid w:val="00112345"/>
    <w:rsid w:val="00122BD5"/>
    <w:rsid w:val="00133F79"/>
    <w:rsid w:val="0014473C"/>
    <w:rsid w:val="00152334"/>
    <w:rsid w:val="00194A66"/>
    <w:rsid w:val="001D6BCF"/>
    <w:rsid w:val="001E01CA"/>
    <w:rsid w:val="002077C6"/>
    <w:rsid w:val="00213C96"/>
    <w:rsid w:val="0026125A"/>
    <w:rsid w:val="00275CF5"/>
    <w:rsid w:val="0028197F"/>
    <w:rsid w:val="0028301F"/>
    <w:rsid w:val="00285017"/>
    <w:rsid w:val="00285F88"/>
    <w:rsid w:val="00297F00"/>
    <w:rsid w:val="00297FD8"/>
    <w:rsid w:val="002A2D2E"/>
    <w:rsid w:val="002B7D41"/>
    <w:rsid w:val="002C00E8"/>
    <w:rsid w:val="002D158D"/>
    <w:rsid w:val="002D7A6D"/>
    <w:rsid w:val="003128EC"/>
    <w:rsid w:val="003209A9"/>
    <w:rsid w:val="00335319"/>
    <w:rsid w:val="00343749"/>
    <w:rsid w:val="003564C3"/>
    <w:rsid w:val="003660ED"/>
    <w:rsid w:val="0037019A"/>
    <w:rsid w:val="00370D6D"/>
    <w:rsid w:val="00372798"/>
    <w:rsid w:val="003878D7"/>
    <w:rsid w:val="003A351E"/>
    <w:rsid w:val="003B0550"/>
    <w:rsid w:val="003B694F"/>
    <w:rsid w:val="003C04DA"/>
    <w:rsid w:val="003F171C"/>
    <w:rsid w:val="00405A02"/>
    <w:rsid w:val="00407F72"/>
    <w:rsid w:val="0041120D"/>
    <w:rsid w:val="00412FC5"/>
    <w:rsid w:val="00422276"/>
    <w:rsid w:val="004242F1"/>
    <w:rsid w:val="00445A00"/>
    <w:rsid w:val="00451B0F"/>
    <w:rsid w:val="00462ACF"/>
    <w:rsid w:val="004B31F1"/>
    <w:rsid w:val="004C2EE3"/>
    <w:rsid w:val="004E4A22"/>
    <w:rsid w:val="004F7201"/>
    <w:rsid w:val="00511968"/>
    <w:rsid w:val="00512EAC"/>
    <w:rsid w:val="00530AA9"/>
    <w:rsid w:val="0055614C"/>
    <w:rsid w:val="005662EE"/>
    <w:rsid w:val="00584325"/>
    <w:rsid w:val="005B1145"/>
    <w:rsid w:val="005C7751"/>
    <w:rsid w:val="005E14C2"/>
    <w:rsid w:val="00607BA5"/>
    <w:rsid w:val="0061180A"/>
    <w:rsid w:val="00620D42"/>
    <w:rsid w:val="006215D0"/>
    <w:rsid w:val="00626EB6"/>
    <w:rsid w:val="0064463B"/>
    <w:rsid w:val="00655D03"/>
    <w:rsid w:val="00662C1B"/>
    <w:rsid w:val="00667F52"/>
    <w:rsid w:val="0067331C"/>
    <w:rsid w:val="00683388"/>
    <w:rsid w:val="00683F84"/>
    <w:rsid w:val="006A36B5"/>
    <w:rsid w:val="006A6286"/>
    <w:rsid w:val="006A6A81"/>
    <w:rsid w:val="006B2EAB"/>
    <w:rsid w:val="006B6301"/>
    <w:rsid w:val="006C2074"/>
    <w:rsid w:val="006D6C3D"/>
    <w:rsid w:val="006E6217"/>
    <w:rsid w:val="006F0268"/>
    <w:rsid w:val="006F57ED"/>
    <w:rsid w:val="006F7393"/>
    <w:rsid w:val="0070224F"/>
    <w:rsid w:val="00702770"/>
    <w:rsid w:val="007115F7"/>
    <w:rsid w:val="00713238"/>
    <w:rsid w:val="00726A34"/>
    <w:rsid w:val="00751EDD"/>
    <w:rsid w:val="00753926"/>
    <w:rsid w:val="00766239"/>
    <w:rsid w:val="00785689"/>
    <w:rsid w:val="007913B8"/>
    <w:rsid w:val="0079754B"/>
    <w:rsid w:val="007A1E6D"/>
    <w:rsid w:val="007B0EB2"/>
    <w:rsid w:val="007C466B"/>
    <w:rsid w:val="007C6108"/>
    <w:rsid w:val="007E7F0F"/>
    <w:rsid w:val="008008AC"/>
    <w:rsid w:val="00810B6F"/>
    <w:rsid w:val="00822CE0"/>
    <w:rsid w:val="00833485"/>
    <w:rsid w:val="008378DD"/>
    <w:rsid w:val="00841AB1"/>
    <w:rsid w:val="00845A6E"/>
    <w:rsid w:val="00863F5D"/>
    <w:rsid w:val="00884066"/>
    <w:rsid w:val="008A6E1A"/>
    <w:rsid w:val="008C68F1"/>
    <w:rsid w:val="008D10E6"/>
    <w:rsid w:val="008D1BDA"/>
    <w:rsid w:val="0091169B"/>
    <w:rsid w:val="009123DA"/>
    <w:rsid w:val="00920F1F"/>
    <w:rsid w:val="00921803"/>
    <w:rsid w:val="00923A83"/>
    <w:rsid w:val="00926503"/>
    <w:rsid w:val="00936428"/>
    <w:rsid w:val="00966FE9"/>
    <w:rsid w:val="009726D8"/>
    <w:rsid w:val="00973147"/>
    <w:rsid w:val="009A5851"/>
    <w:rsid w:val="009C7662"/>
    <w:rsid w:val="009E1A98"/>
    <w:rsid w:val="009E723F"/>
    <w:rsid w:val="009F2BCE"/>
    <w:rsid w:val="009F4492"/>
    <w:rsid w:val="009F76DB"/>
    <w:rsid w:val="00A12C5B"/>
    <w:rsid w:val="00A325A0"/>
    <w:rsid w:val="00A32C3B"/>
    <w:rsid w:val="00A404EF"/>
    <w:rsid w:val="00A45F4F"/>
    <w:rsid w:val="00A600A9"/>
    <w:rsid w:val="00A824B2"/>
    <w:rsid w:val="00A86141"/>
    <w:rsid w:val="00A94144"/>
    <w:rsid w:val="00AA55B7"/>
    <w:rsid w:val="00AA5B9E"/>
    <w:rsid w:val="00AB2407"/>
    <w:rsid w:val="00AB53DF"/>
    <w:rsid w:val="00AB6F6F"/>
    <w:rsid w:val="00AD13F2"/>
    <w:rsid w:val="00AF7643"/>
    <w:rsid w:val="00B0057D"/>
    <w:rsid w:val="00B01EFA"/>
    <w:rsid w:val="00B071A1"/>
    <w:rsid w:val="00B07E5C"/>
    <w:rsid w:val="00B257F5"/>
    <w:rsid w:val="00B31AFA"/>
    <w:rsid w:val="00B534F2"/>
    <w:rsid w:val="00B61935"/>
    <w:rsid w:val="00B80014"/>
    <w:rsid w:val="00B811F7"/>
    <w:rsid w:val="00B94185"/>
    <w:rsid w:val="00B9509C"/>
    <w:rsid w:val="00BA5DC6"/>
    <w:rsid w:val="00BA6196"/>
    <w:rsid w:val="00BB3BE8"/>
    <w:rsid w:val="00BC6D8C"/>
    <w:rsid w:val="00BE2B8D"/>
    <w:rsid w:val="00BE5003"/>
    <w:rsid w:val="00BF18B3"/>
    <w:rsid w:val="00BF6D0D"/>
    <w:rsid w:val="00C150C3"/>
    <w:rsid w:val="00C2212F"/>
    <w:rsid w:val="00C238AB"/>
    <w:rsid w:val="00C32E97"/>
    <w:rsid w:val="00C34006"/>
    <w:rsid w:val="00C426B1"/>
    <w:rsid w:val="00C61F0D"/>
    <w:rsid w:val="00C66160"/>
    <w:rsid w:val="00C721AC"/>
    <w:rsid w:val="00C75747"/>
    <w:rsid w:val="00C90D6A"/>
    <w:rsid w:val="00CA247E"/>
    <w:rsid w:val="00CC72B6"/>
    <w:rsid w:val="00CF406D"/>
    <w:rsid w:val="00D0218D"/>
    <w:rsid w:val="00D25FB5"/>
    <w:rsid w:val="00D32EA5"/>
    <w:rsid w:val="00D4167F"/>
    <w:rsid w:val="00D44223"/>
    <w:rsid w:val="00D512AE"/>
    <w:rsid w:val="00D62EB4"/>
    <w:rsid w:val="00D76EF7"/>
    <w:rsid w:val="00D8367E"/>
    <w:rsid w:val="00D92A66"/>
    <w:rsid w:val="00DA2529"/>
    <w:rsid w:val="00DA3D21"/>
    <w:rsid w:val="00DA5B95"/>
    <w:rsid w:val="00DB130A"/>
    <w:rsid w:val="00DB2EBB"/>
    <w:rsid w:val="00DC10A1"/>
    <w:rsid w:val="00DC2F0F"/>
    <w:rsid w:val="00DC32A5"/>
    <w:rsid w:val="00DC3A17"/>
    <w:rsid w:val="00DC655F"/>
    <w:rsid w:val="00DD0B59"/>
    <w:rsid w:val="00DD4530"/>
    <w:rsid w:val="00DD7EBD"/>
    <w:rsid w:val="00DF231F"/>
    <w:rsid w:val="00DF62B6"/>
    <w:rsid w:val="00E07225"/>
    <w:rsid w:val="00E1105A"/>
    <w:rsid w:val="00E11231"/>
    <w:rsid w:val="00E14FFE"/>
    <w:rsid w:val="00E27685"/>
    <w:rsid w:val="00E42411"/>
    <w:rsid w:val="00E44AE0"/>
    <w:rsid w:val="00E5409F"/>
    <w:rsid w:val="00E77390"/>
    <w:rsid w:val="00E96A5C"/>
    <w:rsid w:val="00EC18C5"/>
    <w:rsid w:val="00ED74D4"/>
    <w:rsid w:val="00EE6488"/>
    <w:rsid w:val="00EF2254"/>
    <w:rsid w:val="00F021FA"/>
    <w:rsid w:val="00F12134"/>
    <w:rsid w:val="00F274DA"/>
    <w:rsid w:val="00F337F5"/>
    <w:rsid w:val="00F62E97"/>
    <w:rsid w:val="00F64209"/>
    <w:rsid w:val="00F93BF5"/>
    <w:rsid w:val="00FA0EEF"/>
    <w:rsid w:val="00FA20D6"/>
    <w:rsid w:val="00FB1B50"/>
    <w:rsid w:val="00FC4A8D"/>
    <w:rsid w:val="00FC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4D4"/>
    <w:pPr>
      <w:widowControl w:val="0"/>
    </w:pPr>
    <w:rPr>
      <w:snapToGrid w:val="0"/>
      <w:kern w:val="28"/>
      <w:sz w:val="22"/>
    </w:rPr>
  </w:style>
  <w:style w:type="paragraph" w:styleId="Heading1">
    <w:name w:val="heading 1"/>
    <w:basedOn w:val="Normal"/>
    <w:next w:val="ParaNum"/>
    <w:qFormat/>
    <w:rsid w:val="00ED74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74D4"/>
    <w:pPr>
      <w:keepNext/>
      <w:numPr>
        <w:ilvl w:val="1"/>
        <w:numId w:val="2"/>
      </w:numPr>
      <w:spacing w:after="120"/>
      <w:outlineLvl w:val="1"/>
    </w:pPr>
    <w:rPr>
      <w:b/>
    </w:rPr>
  </w:style>
  <w:style w:type="paragraph" w:styleId="Heading3">
    <w:name w:val="heading 3"/>
    <w:basedOn w:val="Normal"/>
    <w:next w:val="ParaNum"/>
    <w:qFormat/>
    <w:rsid w:val="00ED74D4"/>
    <w:pPr>
      <w:keepNext/>
      <w:numPr>
        <w:ilvl w:val="2"/>
        <w:numId w:val="2"/>
      </w:numPr>
      <w:tabs>
        <w:tab w:val="left" w:pos="2160"/>
      </w:tabs>
      <w:spacing w:after="120"/>
      <w:outlineLvl w:val="2"/>
    </w:pPr>
    <w:rPr>
      <w:b/>
    </w:rPr>
  </w:style>
  <w:style w:type="paragraph" w:styleId="Heading4">
    <w:name w:val="heading 4"/>
    <w:basedOn w:val="Normal"/>
    <w:next w:val="ParaNum"/>
    <w:qFormat/>
    <w:rsid w:val="00ED74D4"/>
    <w:pPr>
      <w:keepNext/>
      <w:numPr>
        <w:ilvl w:val="3"/>
        <w:numId w:val="2"/>
      </w:numPr>
      <w:tabs>
        <w:tab w:val="left" w:pos="2880"/>
      </w:tabs>
      <w:spacing w:after="120"/>
      <w:outlineLvl w:val="3"/>
    </w:pPr>
    <w:rPr>
      <w:b/>
    </w:rPr>
  </w:style>
  <w:style w:type="paragraph" w:styleId="Heading5">
    <w:name w:val="heading 5"/>
    <w:basedOn w:val="Normal"/>
    <w:next w:val="ParaNum"/>
    <w:qFormat/>
    <w:rsid w:val="00ED74D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D74D4"/>
    <w:pPr>
      <w:numPr>
        <w:ilvl w:val="5"/>
        <w:numId w:val="2"/>
      </w:numPr>
      <w:tabs>
        <w:tab w:val="left" w:pos="4320"/>
      </w:tabs>
      <w:spacing w:after="120"/>
      <w:outlineLvl w:val="5"/>
    </w:pPr>
    <w:rPr>
      <w:b/>
    </w:rPr>
  </w:style>
  <w:style w:type="paragraph" w:styleId="Heading7">
    <w:name w:val="heading 7"/>
    <w:basedOn w:val="Normal"/>
    <w:next w:val="ParaNum"/>
    <w:qFormat/>
    <w:rsid w:val="00ED74D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D74D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D74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74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4D4"/>
  </w:style>
  <w:style w:type="paragraph" w:customStyle="1" w:styleId="ParaNum">
    <w:name w:val="ParaNum"/>
    <w:basedOn w:val="Normal"/>
    <w:link w:val="ParaNumChar"/>
    <w:rsid w:val="00ED74D4"/>
    <w:pPr>
      <w:numPr>
        <w:numId w:val="1"/>
      </w:numPr>
      <w:tabs>
        <w:tab w:val="clear" w:pos="1080"/>
        <w:tab w:val="num" w:pos="1440"/>
      </w:tabs>
      <w:spacing w:after="120"/>
    </w:pPr>
  </w:style>
  <w:style w:type="paragraph" w:styleId="EndnoteText">
    <w:name w:val="endnote text"/>
    <w:basedOn w:val="Normal"/>
    <w:link w:val="EndnoteTextChar"/>
    <w:semiHidden/>
    <w:rsid w:val="00ED74D4"/>
    <w:rPr>
      <w:sz w:val="20"/>
    </w:rPr>
  </w:style>
  <w:style w:type="character" w:styleId="EndnoteReference">
    <w:name w:val="endnote reference"/>
    <w:semiHidden/>
    <w:rsid w:val="00ED74D4"/>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rsid w:val="00ED74D4"/>
    <w:pPr>
      <w:spacing w:after="120"/>
    </w:pPr>
  </w:style>
  <w:style w:type="character" w:styleId="FootnoteReference">
    <w:name w:val="footnote reference"/>
    <w:aliases w:val="Appel note de bas de p,Footnote Reference/,Style 12,(NECG) Footnote Reference,Style 124,o,fr,Style 3,Style 13,FR,Style 17,Style 6"/>
    <w:rsid w:val="00ED74D4"/>
    <w:rPr>
      <w:rFonts w:ascii="Times New Roman" w:hAnsi="Times New Roman"/>
      <w:dstrike w:val="0"/>
      <w:color w:val="auto"/>
      <w:sz w:val="20"/>
      <w:vertAlign w:val="superscript"/>
    </w:rPr>
  </w:style>
  <w:style w:type="paragraph" w:styleId="TOC1">
    <w:name w:val="toc 1"/>
    <w:basedOn w:val="Normal"/>
    <w:next w:val="Normal"/>
    <w:rsid w:val="00ED74D4"/>
    <w:pPr>
      <w:tabs>
        <w:tab w:val="left" w:pos="360"/>
        <w:tab w:val="right" w:leader="dot" w:pos="9360"/>
      </w:tabs>
      <w:suppressAutoHyphens/>
      <w:ind w:left="360" w:right="720" w:hanging="360"/>
    </w:pPr>
    <w:rPr>
      <w:caps/>
      <w:noProof/>
    </w:rPr>
  </w:style>
  <w:style w:type="paragraph" w:styleId="TOC2">
    <w:name w:val="toc 2"/>
    <w:basedOn w:val="Normal"/>
    <w:next w:val="Normal"/>
    <w:rsid w:val="00ED74D4"/>
    <w:pPr>
      <w:tabs>
        <w:tab w:val="left" w:pos="720"/>
        <w:tab w:val="right" w:leader="dot" w:pos="9360"/>
      </w:tabs>
      <w:suppressAutoHyphens/>
      <w:ind w:left="720" w:right="720" w:hanging="360"/>
    </w:pPr>
    <w:rPr>
      <w:noProof/>
    </w:rPr>
  </w:style>
  <w:style w:type="paragraph" w:styleId="TOC3">
    <w:name w:val="toc 3"/>
    <w:basedOn w:val="Normal"/>
    <w:next w:val="Normal"/>
    <w:rsid w:val="00ED74D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D74D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D74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74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74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74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74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74D4"/>
    <w:pPr>
      <w:tabs>
        <w:tab w:val="right" w:pos="9360"/>
      </w:tabs>
      <w:suppressAutoHyphens/>
    </w:pPr>
  </w:style>
  <w:style w:type="character" w:customStyle="1" w:styleId="EquationCaption">
    <w:name w:val="_Equation Caption"/>
    <w:rsid w:val="00ED74D4"/>
  </w:style>
  <w:style w:type="paragraph" w:styleId="Header">
    <w:name w:val="header"/>
    <w:basedOn w:val="Normal"/>
    <w:autoRedefine/>
    <w:rsid w:val="00ED74D4"/>
    <w:pPr>
      <w:tabs>
        <w:tab w:val="center" w:pos="4680"/>
        <w:tab w:val="right" w:pos="9360"/>
      </w:tabs>
    </w:pPr>
    <w:rPr>
      <w:b/>
    </w:rPr>
  </w:style>
  <w:style w:type="paragraph" w:styleId="Footer">
    <w:name w:val="footer"/>
    <w:basedOn w:val="Normal"/>
    <w:rsid w:val="00ED74D4"/>
    <w:pPr>
      <w:tabs>
        <w:tab w:val="center" w:pos="4320"/>
        <w:tab w:val="right" w:pos="8640"/>
      </w:tabs>
    </w:pPr>
  </w:style>
  <w:style w:type="character" w:styleId="PageNumber">
    <w:name w:val="page number"/>
    <w:basedOn w:val="DefaultParagraphFont"/>
    <w:rsid w:val="00ED74D4"/>
  </w:style>
  <w:style w:type="paragraph" w:styleId="BlockText">
    <w:name w:val="Block Text"/>
    <w:basedOn w:val="Normal"/>
    <w:rsid w:val="00ED74D4"/>
    <w:pPr>
      <w:spacing w:after="240"/>
      <w:ind w:left="1440" w:right="1440"/>
    </w:pPr>
  </w:style>
  <w:style w:type="paragraph" w:customStyle="1" w:styleId="Paratitle">
    <w:name w:val="Para title"/>
    <w:basedOn w:val="Normal"/>
    <w:rsid w:val="00ED74D4"/>
    <w:pPr>
      <w:tabs>
        <w:tab w:val="center" w:pos="9270"/>
      </w:tabs>
      <w:spacing w:after="240"/>
    </w:pPr>
    <w:rPr>
      <w:spacing w:val="-2"/>
    </w:rPr>
  </w:style>
  <w:style w:type="paragraph" w:customStyle="1" w:styleId="Bullet">
    <w:name w:val="Bullet"/>
    <w:basedOn w:val="Normal"/>
    <w:rsid w:val="00ED74D4"/>
    <w:pPr>
      <w:tabs>
        <w:tab w:val="left" w:pos="2160"/>
      </w:tabs>
      <w:spacing w:after="220"/>
      <w:ind w:left="2160" w:hanging="720"/>
    </w:pPr>
  </w:style>
  <w:style w:type="paragraph" w:customStyle="1" w:styleId="TableFormat">
    <w:name w:val="TableFormat"/>
    <w:basedOn w:val="Bullet"/>
    <w:rsid w:val="00ED74D4"/>
    <w:pPr>
      <w:tabs>
        <w:tab w:val="clear" w:pos="2160"/>
        <w:tab w:val="left" w:pos="5040"/>
      </w:tabs>
      <w:ind w:left="5040" w:hanging="3600"/>
    </w:pPr>
  </w:style>
  <w:style w:type="paragraph" w:customStyle="1" w:styleId="TOCTitle">
    <w:name w:val="TOC Title"/>
    <w:basedOn w:val="Normal"/>
    <w:rsid w:val="00ED74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74D4"/>
    <w:pPr>
      <w:jc w:val="center"/>
    </w:pPr>
    <w:rPr>
      <w:rFonts w:ascii="Times New Roman Bold" w:hAnsi="Times New Roman Bold"/>
      <w:b/>
      <w:bCs/>
      <w:caps/>
      <w:szCs w:val="22"/>
    </w:rPr>
  </w:style>
  <w:style w:type="character" w:styleId="Hyperlink">
    <w:name w:val="Hyperlink"/>
    <w:rsid w:val="00ED74D4"/>
    <w:rPr>
      <w:color w:val="0000FF"/>
      <w:u w:val="single"/>
    </w:rPr>
  </w:style>
  <w:style w:type="paragraph" w:styleId="Caption">
    <w:name w:val="caption"/>
    <w:basedOn w:val="Normal"/>
    <w:next w:val="Normal"/>
    <w:qFormat/>
    <w:rsid w:val="005662EE"/>
    <w:pPr>
      <w:widowControl/>
      <w:spacing w:before="120" w:after="120"/>
      <w:jc w:val="both"/>
    </w:pPr>
    <w:rPr>
      <w:b/>
      <w:snapToGrid/>
      <w:kern w:val="0"/>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f Char"/>
    <w:link w:val="FootnoteText"/>
    <w:rsid w:val="005662EE"/>
  </w:style>
  <w:style w:type="character" w:customStyle="1" w:styleId="ParaNumChar">
    <w:name w:val="ParaNum Char"/>
    <w:link w:val="ParaNum"/>
    <w:rsid w:val="00006179"/>
    <w:rPr>
      <w:snapToGrid w:val="0"/>
      <w:kern w:val="28"/>
      <w:sz w:val="22"/>
    </w:rPr>
  </w:style>
  <w:style w:type="paragraph" w:customStyle="1" w:styleId="NumberedList">
    <w:name w:val="Numbered List"/>
    <w:basedOn w:val="Normal"/>
    <w:rsid w:val="005662EE"/>
    <w:pPr>
      <w:widowControl/>
      <w:numPr>
        <w:numId w:val="6"/>
      </w:numPr>
      <w:tabs>
        <w:tab w:val="clear" w:pos="1080"/>
      </w:tabs>
      <w:spacing w:after="220"/>
      <w:ind w:firstLine="0"/>
      <w:jc w:val="both"/>
    </w:pPr>
    <w:rPr>
      <w:snapToGrid/>
      <w:kern w:val="0"/>
    </w:rPr>
  </w:style>
  <w:style w:type="paragraph" w:styleId="Title">
    <w:name w:val="Title"/>
    <w:basedOn w:val="Normal"/>
    <w:link w:val="TitleChar"/>
    <w:qFormat/>
    <w:rsid w:val="005662EE"/>
    <w:pPr>
      <w:widowControl/>
      <w:spacing w:after="120"/>
      <w:jc w:val="center"/>
    </w:pPr>
    <w:rPr>
      <w:b/>
      <w:snapToGrid/>
      <w:kern w:val="0"/>
    </w:rPr>
  </w:style>
  <w:style w:type="character" w:customStyle="1" w:styleId="TitleChar">
    <w:name w:val="Title Char"/>
    <w:basedOn w:val="DefaultParagraphFont"/>
    <w:link w:val="Title"/>
    <w:rsid w:val="005662EE"/>
    <w:rPr>
      <w:b/>
      <w:sz w:val="22"/>
    </w:rPr>
  </w:style>
  <w:style w:type="paragraph" w:customStyle="1" w:styleId="Default">
    <w:name w:val="Default"/>
    <w:rsid w:val="005662EE"/>
    <w:pPr>
      <w:autoSpaceDE w:val="0"/>
      <w:autoSpaceDN w:val="0"/>
      <w:adjustRightInd w:val="0"/>
      <w:spacing w:after="120"/>
      <w:jc w:val="both"/>
    </w:pPr>
    <w:rPr>
      <w:color w:val="000000"/>
      <w:sz w:val="24"/>
      <w:szCs w:val="24"/>
    </w:rPr>
  </w:style>
  <w:style w:type="paragraph" w:styleId="ListParagraph">
    <w:name w:val="List Paragraph"/>
    <w:basedOn w:val="Normal"/>
    <w:uiPriority w:val="34"/>
    <w:qFormat/>
    <w:rsid w:val="005662EE"/>
    <w:pPr>
      <w:widowControl/>
      <w:spacing w:after="200" w:line="276" w:lineRule="auto"/>
      <w:ind w:left="720"/>
      <w:contextualSpacing/>
      <w:jc w:val="both"/>
    </w:pPr>
    <w:rPr>
      <w:rFonts w:ascii="Calibri" w:eastAsia="Calibri" w:hAnsi="Calibri"/>
      <w:snapToGrid/>
      <w:kern w:val="0"/>
      <w:szCs w:val="22"/>
    </w:rPr>
  </w:style>
  <w:style w:type="character" w:styleId="FollowedHyperlink">
    <w:name w:val="FollowedHyperlink"/>
    <w:uiPriority w:val="99"/>
    <w:unhideWhenUsed/>
    <w:rsid w:val="005662EE"/>
    <w:rPr>
      <w:color w:val="800080"/>
      <w:u w:val="single"/>
    </w:rPr>
  </w:style>
  <w:style w:type="paragraph" w:styleId="BalloonText">
    <w:name w:val="Balloon Text"/>
    <w:basedOn w:val="Normal"/>
    <w:link w:val="BalloonTextChar"/>
    <w:rsid w:val="005662EE"/>
    <w:pPr>
      <w:widowControl/>
      <w:spacing w:after="120"/>
      <w:jc w:val="both"/>
    </w:pPr>
    <w:rPr>
      <w:rFonts w:ascii="Tahoma" w:hAnsi="Tahoma" w:cs="Tahoma"/>
      <w:snapToGrid/>
      <w:kern w:val="0"/>
      <w:sz w:val="16"/>
      <w:szCs w:val="16"/>
    </w:rPr>
  </w:style>
  <w:style w:type="character" w:customStyle="1" w:styleId="BalloonTextChar">
    <w:name w:val="Balloon Text Char"/>
    <w:basedOn w:val="DefaultParagraphFont"/>
    <w:link w:val="BalloonText"/>
    <w:rsid w:val="005662EE"/>
    <w:rPr>
      <w:rFonts w:ascii="Tahoma" w:hAnsi="Tahoma" w:cs="Tahoma"/>
      <w:sz w:val="16"/>
      <w:szCs w:val="16"/>
    </w:rPr>
  </w:style>
  <w:style w:type="paragraph" w:styleId="NormalWeb">
    <w:name w:val="Normal (Web)"/>
    <w:basedOn w:val="Normal"/>
    <w:uiPriority w:val="99"/>
    <w:unhideWhenUsed/>
    <w:rsid w:val="005662EE"/>
    <w:pPr>
      <w:widowControl/>
      <w:spacing w:before="100" w:beforeAutospacing="1" w:after="100" w:afterAutospacing="1"/>
      <w:ind w:firstLine="480"/>
      <w:jc w:val="both"/>
    </w:pPr>
    <w:rPr>
      <w:snapToGrid/>
      <w:kern w:val="0"/>
      <w:sz w:val="24"/>
      <w:szCs w:val="24"/>
    </w:rPr>
  </w:style>
  <w:style w:type="paragraph" w:customStyle="1" w:styleId="cita">
    <w:name w:val="cita"/>
    <w:basedOn w:val="Normal"/>
    <w:rsid w:val="005662EE"/>
    <w:pPr>
      <w:widowControl/>
      <w:spacing w:before="200" w:after="100" w:afterAutospacing="1"/>
      <w:jc w:val="both"/>
    </w:pPr>
    <w:rPr>
      <w:snapToGrid/>
      <w:kern w:val="0"/>
      <w:sz w:val="18"/>
      <w:szCs w:val="18"/>
    </w:rPr>
  </w:style>
  <w:style w:type="character" w:customStyle="1" w:styleId="su1">
    <w:name w:val="su1"/>
    <w:rsid w:val="005662EE"/>
    <w:rPr>
      <w:smallCaps w:val="0"/>
      <w:sz w:val="17"/>
      <w:szCs w:val="17"/>
      <w:vertAlign w:val="superscript"/>
    </w:rPr>
  </w:style>
  <w:style w:type="paragraph" w:customStyle="1" w:styleId="note">
    <w:name w:val="note"/>
    <w:basedOn w:val="Normal"/>
    <w:rsid w:val="005662EE"/>
    <w:pPr>
      <w:widowControl/>
      <w:spacing w:before="200" w:after="100" w:afterAutospacing="1"/>
      <w:ind w:firstLine="480"/>
      <w:jc w:val="both"/>
    </w:pPr>
    <w:rPr>
      <w:snapToGrid/>
      <w:kern w:val="0"/>
      <w:sz w:val="18"/>
      <w:szCs w:val="18"/>
    </w:rPr>
  </w:style>
  <w:style w:type="character" w:customStyle="1" w:styleId="ParaNumChar1">
    <w:name w:val="ParaNum Char1"/>
    <w:rsid w:val="005662EE"/>
    <w:rPr>
      <w:snapToGrid w:val="0"/>
      <w:kern w:val="28"/>
      <w:sz w:val="22"/>
    </w:rPr>
  </w:style>
  <w:style w:type="paragraph" w:styleId="TOCHeading">
    <w:name w:val="TOC Heading"/>
    <w:basedOn w:val="Heading1"/>
    <w:next w:val="Normal"/>
    <w:uiPriority w:val="39"/>
    <w:unhideWhenUsed/>
    <w:qFormat/>
    <w:rsid w:val="005662EE"/>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uiPriority w:val="22"/>
    <w:qFormat/>
    <w:rsid w:val="005662EE"/>
    <w:rPr>
      <w:b/>
      <w:bCs/>
    </w:rPr>
  </w:style>
  <w:style w:type="paragraph" w:customStyle="1" w:styleId="RuleNum">
    <w:name w:val="Rule Num"/>
    <w:basedOn w:val="Normal"/>
    <w:rsid w:val="005662EE"/>
    <w:pPr>
      <w:widowControl/>
      <w:numPr>
        <w:numId w:val="10"/>
      </w:numPr>
      <w:tabs>
        <w:tab w:val="left" w:pos="0"/>
        <w:tab w:val="left" w:pos="270"/>
        <w:tab w:val="left" w:pos="990"/>
        <w:tab w:val="left" w:pos="2160"/>
        <w:tab w:val="left" w:pos="4320"/>
      </w:tabs>
      <w:suppressAutoHyphens/>
      <w:spacing w:after="120"/>
      <w:jc w:val="both"/>
    </w:pPr>
    <w:rPr>
      <w:rFonts w:ascii="Times" w:hAnsi="Times"/>
      <w:snapToGrid/>
      <w:spacing w:val="-3"/>
      <w:kern w:val="0"/>
    </w:rPr>
  </w:style>
  <w:style w:type="character" w:customStyle="1" w:styleId="Heading2Char">
    <w:name w:val="Heading 2 Char"/>
    <w:link w:val="Heading2"/>
    <w:rsid w:val="005662EE"/>
    <w:rPr>
      <w:b/>
      <w:snapToGrid w:val="0"/>
      <w:kern w:val="28"/>
      <w:sz w:val="22"/>
    </w:rPr>
  </w:style>
  <w:style w:type="character" w:customStyle="1" w:styleId="FootnoteTextChar1Char2Char1">
    <w:name w:val="Footnote Text Char1 Char2 Char1"/>
    <w:aliases w:val="Footnote Text Char Char2 Char Char1,Footnote Text Char1 Char2 Char Char Char1,Footnote Text Char Char2 Char Char Char Char1,Footnote Text Char1 Char2 Char Char Char Char Char1,footnote text Char,fn Char"/>
    <w:semiHidden/>
    <w:rsid w:val="005662EE"/>
    <w:rPr>
      <w:rFonts w:ascii="Times New Roman" w:eastAsia="Times New Roman" w:hAnsi="Times New Roman" w:cs="Times New Roman"/>
      <w:sz w:val="20"/>
      <w:szCs w:val="20"/>
    </w:rPr>
  </w:style>
  <w:style w:type="character" w:customStyle="1" w:styleId="apple-converted-space">
    <w:name w:val="apple-converted-space"/>
    <w:rsid w:val="005662EE"/>
  </w:style>
  <w:style w:type="character" w:styleId="CommentReference">
    <w:name w:val="annotation reference"/>
    <w:rsid w:val="005662EE"/>
    <w:rPr>
      <w:sz w:val="16"/>
      <w:szCs w:val="16"/>
    </w:rPr>
  </w:style>
  <w:style w:type="paragraph" w:styleId="CommentText">
    <w:name w:val="annotation text"/>
    <w:basedOn w:val="Normal"/>
    <w:link w:val="CommentTextChar"/>
    <w:rsid w:val="005662EE"/>
    <w:pPr>
      <w:widowControl/>
      <w:spacing w:after="120"/>
      <w:jc w:val="both"/>
    </w:pPr>
    <w:rPr>
      <w:snapToGrid/>
      <w:kern w:val="0"/>
      <w:sz w:val="20"/>
    </w:rPr>
  </w:style>
  <w:style w:type="character" w:customStyle="1" w:styleId="CommentTextChar">
    <w:name w:val="Comment Text Char"/>
    <w:basedOn w:val="DefaultParagraphFont"/>
    <w:link w:val="CommentText"/>
    <w:rsid w:val="005662EE"/>
  </w:style>
  <w:style w:type="paragraph" w:styleId="CommentSubject">
    <w:name w:val="annotation subject"/>
    <w:basedOn w:val="CommentText"/>
    <w:next w:val="CommentText"/>
    <w:link w:val="CommentSubjectChar"/>
    <w:rsid w:val="005662EE"/>
    <w:rPr>
      <w:b/>
      <w:bCs/>
    </w:rPr>
  </w:style>
  <w:style w:type="character" w:customStyle="1" w:styleId="CommentSubjectChar">
    <w:name w:val="Comment Subject Char"/>
    <w:basedOn w:val="CommentTextChar"/>
    <w:link w:val="CommentSubject"/>
    <w:rsid w:val="005662EE"/>
    <w:rPr>
      <w:b/>
      <w:bCs/>
    </w:rPr>
  </w:style>
  <w:style w:type="paragraph" w:styleId="Revision">
    <w:name w:val="Revision"/>
    <w:hidden/>
    <w:uiPriority w:val="99"/>
    <w:semiHidden/>
    <w:rsid w:val="005662EE"/>
    <w:pPr>
      <w:spacing w:after="120"/>
      <w:jc w:val="both"/>
    </w:pPr>
    <w:rPr>
      <w:sz w:val="22"/>
    </w:rPr>
  </w:style>
  <w:style w:type="character" w:customStyle="1" w:styleId="EndnoteTextChar">
    <w:name w:val="Endnote Text Char"/>
    <w:link w:val="EndnoteText"/>
    <w:semiHidden/>
    <w:rsid w:val="005662EE"/>
    <w:rPr>
      <w:snapToGrid w:val="0"/>
      <w:kern w:val="28"/>
    </w:rPr>
  </w:style>
  <w:style w:type="paragraph" w:customStyle="1" w:styleId="source">
    <w:name w:val="source"/>
    <w:basedOn w:val="Normal"/>
    <w:rsid w:val="003209A9"/>
    <w:pPr>
      <w:widowControl/>
      <w:spacing w:before="200" w:after="100" w:afterAutospacing="1"/>
      <w:ind w:firstLine="480"/>
    </w:pPr>
    <w:rPr>
      <w:snapToGrid/>
      <w:kern w:val="0"/>
      <w:sz w:val="18"/>
      <w:szCs w:val="18"/>
    </w:rPr>
  </w:style>
  <w:style w:type="paragraph" w:customStyle="1" w:styleId="auth">
    <w:name w:val="auth"/>
    <w:basedOn w:val="Normal"/>
    <w:rsid w:val="003209A9"/>
    <w:pPr>
      <w:widowControl/>
      <w:spacing w:before="200" w:after="100" w:afterAutospacing="1"/>
      <w:ind w:firstLine="480"/>
    </w:pPr>
    <w:rPr>
      <w:snapToGrid/>
      <w:kern w:val="0"/>
      <w:sz w:val="18"/>
      <w:szCs w:val="18"/>
    </w:rPr>
  </w:style>
  <w:style w:type="character" w:customStyle="1" w:styleId="FootnoteTextChar3CharChar1">
    <w:name w:val="Footnote Text Char3 Char Char1"/>
    <w:aliases w:val="Footnote Text Char4 Char1 Char Char1,Footnote Text Char Char2 Char Char Char2,Footnote Text Char3 Char Char Char2 Char Char1,Footnote Text Char Char2 Char Char Char2 Char Char1,fn Char Char Char2"/>
    <w:semiHidden/>
    <w:locked/>
    <w:rsid w:val="00044B0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4D4"/>
    <w:pPr>
      <w:widowControl w:val="0"/>
    </w:pPr>
    <w:rPr>
      <w:snapToGrid w:val="0"/>
      <w:kern w:val="28"/>
      <w:sz w:val="22"/>
    </w:rPr>
  </w:style>
  <w:style w:type="paragraph" w:styleId="Heading1">
    <w:name w:val="heading 1"/>
    <w:basedOn w:val="Normal"/>
    <w:next w:val="ParaNum"/>
    <w:qFormat/>
    <w:rsid w:val="00ED74D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74D4"/>
    <w:pPr>
      <w:keepNext/>
      <w:numPr>
        <w:ilvl w:val="1"/>
        <w:numId w:val="2"/>
      </w:numPr>
      <w:spacing w:after="120"/>
      <w:outlineLvl w:val="1"/>
    </w:pPr>
    <w:rPr>
      <w:b/>
    </w:rPr>
  </w:style>
  <w:style w:type="paragraph" w:styleId="Heading3">
    <w:name w:val="heading 3"/>
    <w:basedOn w:val="Normal"/>
    <w:next w:val="ParaNum"/>
    <w:qFormat/>
    <w:rsid w:val="00ED74D4"/>
    <w:pPr>
      <w:keepNext/>
      <w:numPr>
        <w:ilvl w:val="2"/>
        <w:numId w:val="2"/>
      </w:numPr>
      <w:tabs>
        <w:tab w:val="left" w:pos="2160"/>
      </w:tabs>
      <w:spacing w:after="120"/>
      <w:outlineLvl w:val="2"/>
    </w:pPr>
    <w:rPr>
      <w:b/>
    </w:rPr>
  </w:style>
  <w:style w:type="paragraph" w:styleId="Heading4">
    <w:name w:val="heading 4"/>
    <w:basedOn w:val="Normal"/>
    <w:next w:val="ParaNum"/>
    <w:qFormat/>
    <w:rsid w:val="00ED74D4"/>
    <w:pPr>
      <w:keepNext/>
      <w:numPr>
        <w:ilvl w:val="3"/>
        <w:numId w:val="2"/>
      </w:numPr>
      <w:tabs>
        <w:tab w:val="left" w:pos="2880"/>
      </w:tabs>
      <w:spacing w:after="120"/>
      <w:outlineLvl w:val="3"/>
    </w:pPr>
    <w:rPr>
      <w:b/>
    </w:rPr>
  </w:style>
  <w:style w:type="paragraph" w:styleId="Heading5">
    <w:name w:val="heading 5"/>
    <w:basedOn w:val="Normal"/>
    <w:next w:val="ParaNum"/>
    <w:qFormat/>
    <w:rsid w:val="00ED74D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ED74D4"/>
    <w:pPr>
      <w:numPr>
        <w:ilvl w:val="5"/>
        <w:numId w:val="2"/>
      </w:numPr>
      <w:tabs>
        <w:tab w:val="left" w:pos="4320"/>
      </w:tabs>
      <w:spacing w:after="120"/>
      <w:outlineLvl w:val="5"/>
    </w:pPr>
    <w:rPr>
      <w:b/>
    </w:rPr>
  </w:style>
  <w:style w:type="paragraph" w:styleId="Heading7">
    <w:name w:val="heading 7"/>
    <w:basedOn w:val="Normal"/>
    <w:next w:val="ParaNum"/>
    <w:qFormat/>
    <w:rsid w:val="00ED74D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D74D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ED74D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74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4D4"/>
  </w:style>
  <w:style w:type="paragraph" w:customStyle="1" w:styleId="ParaNum">
    <w:name w:val="ParaNum"/>
    <w:basedOn w:val="Normal"/>
    <w:link w:val="ParaNumChar"/>
    <w:rsid w:val="00ED74D4"/>
    <w:pPr>
      <w:numPr>
        <w:numId w:val="1"/>
      </w:numPr>
      <w:tabs>
        <w:tab w:val="clear" w:pos="1080"/>
        <w:tab w:val="num" w:pos="1440"/>
      </w:tabs>
      <w:spacing w:after="120"/>
    </w:pPr>
  </w:style>
  <w:style w:type="paragraph" w:styleId="EndnoteText">
    <w:name w:val="endnote text"/>
    <w:basedOn w:val="Normal"/>
    <w:link w:val="EndnoteTextChar"/>
    <w:semiHidden/>
    <w:rsid w:val="00ED74D4"/>
    <w:rPr>
      <w:sz w:val="20"/>
    </w:rPr>
  </w:style>
  <w:style w:type="character" w:styleId="EndnoteReference">
    <w:name w:val="endnote reference"/>
    <w:semiHidden/>
    <w:rsid w:val="00ED74D4"/>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1"/>
    <w:rsid w:val="00ED74D4"/>
    <w:pPr>
      <w:spacing w:after="120"/>
    </w:pPr>
  </w:style>
  <w:style w:type="character" w:styleId="FootnoteReference">
    <w:name w:val="footnote reference"/>
    <w:aliases w:val="Appel note de bas de p,Footnote Reference/,Style 12,(NECG) Footnote Reference,Style 124,o,fr,Style 3,Style 13,FR,Style 17,Style 6"/>
    <w:rsid w:val="00ED74D4"/>
    <w:rPr>
      <w:rFonts w:ascii="Times New Roman" w:hAnsi="Times New Roman"/>
      <w:dstrike w:val="0"/>
      <w:color w:val="auto"/>
      <w:sz w:val="20"/>
      <w:vertAlign w:val="superscript"/>
    </w:rPr>
  </w:style>
  <w:style w:type="paragraph" w:styleId="TOC1">
    <w:name w:val="toc 1"/>
    <w:basedOn w:val="Normal"/>
    <w:next w:val="Normal"/>
    <w:rsid w:val="00ED74D4"/>
    <w:pPr>
      <w:tabs>
        <w:tab w:val="left" w:pos="360"/>
        <w:tab w:val="right" w:leader="dot" w:pos="9360"/>
      </w:tabs>
      <w:suppressAutoHyphens/>
      <w:ind w:left="360" w:right="720" w:hanging="360"/>
    </w:pPr>
    <w:rPr>
      <w:caps/>
      <w:noProof/>
    </w:rPr>
  </w:style>
  <w:style w:type="paragraph" w:styleId="TOC2">
    <w:name w:val="toc 2"/>
    <w:basedOn w:val="Normal"/>
    <w:next w:val="Normal"/>
    <w:rsid w:val="00ED74D4"/>
    <w:pPr>
      <w:tabs>
        <w:tab w:val="left" w:pos="720"/>
        <w:tab w:val="right" w:leader="dot" w:pos="9360"/>
      </w:tabs>
      <w:suppressAutoHyphens/>
      <w:ind w:left="720" w:right="720" w:hanging="360"/>
    </w:pPr>
    <w:rPr>
      <w:noProof/>
    </w:rPr>
  </w:style>
  <w:style w:type="paragraph" w:styleId="TOC3">
    <w:name w:val="toc 3"/>
    <w:basedOn w:val="Normal"/>
    <w:next w:val="Normal"/>
    <w:rsid w:val="00ED74D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D74D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D74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74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74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74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74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74D4"/>
    <w:pPr>
      <w:tabs>
        <w:tab w:val="right" w:pos="9360"/>
      </w:tabs>
      <w:suppressAutoHyphens/>
    </w:pPr>
  </w:style>
  <w:style w:type="character" w:customStyle="1" w:styleId="EquationCaption">
    <w:name w:val="_Equation Caption"/>
    <w:rsid w:val="00ED74D4"/>
  </w:style>
  <w:style w:type="paragraph" w:styleId="Header">
    <w:name w:val="header"/>
    <w:basedOn w:val="Normal"/>
    <w:autoRedefine/>
    <w:rsid w:val="00ED74D4"/>
    <w:pPr>
      <w:tabs>
        <w:tab w:val="center" w:pos="4680"/>
        <w:tab w:val="right" w:pos="9360"/>
      </w:tabs>
    </w:pPr>
    <w:rPr>
      <w:b/>
    </w:rPr>
  </w:style>
  <w:style w:type="paragraph" w:styleId="Footer">
    <w:name w:val="footer"/>
    <w:basedOn w:val="Normal"/>
    <w:rsid w:val="00ED74D4"/>
    <w:pPr>
      <w:tabs>
        <w:tab w:val="center" w:pos="4320"/>
        <w:tab w:val="right" w:pos="8640"/>
      </w:tabs>
    </w:pPr>
  </w:style>
  <w:style w:type="character" w:styleId="PageNumber">
    <w:name w:val="page number"/>
    <w:basedOn w:val="DefaultParagraphFont"/>
    <w:rsid w:val="00ED74D4"/>
  </w:style>
  <w:style w:type="paragraph" w:styleId="BlockText">
    <w:name w:val="Block Text"/>
    <w:basedOn w:val="Normal"/>
    <w:rsid w:val="00ED74D4"/>
    <w:pPr>
      <w:spacing w:after="240"/>
      <w:ind w:left="1440" w:right="1440"/>
    </w:pPr>
  </w:style>
  <w:style w:type="paragraph" w:customStyle="1" w:styleId="Paratitle">
    <w:name w:val="Para title"/>
    <w:basedOn w:val="Normal"/>
    <w:rsid w:val="00ED74D4"/>
    <w:pPr>
      <w:tabs>
        <w:tab w:val="center" w:pos="9270"/>
      </w:tabs>
      <w:spacing w:after="240"/>
    </w:pPr>
    <w:rPr>
      <w:spacing w:val="-2"/>
    </w:rPr>
  </w:style>
  <w:style w:type="paragraph" w:customStyle="1" w:styleId="Bullet">
    <w:name w:val="Bullet"/>
    <w:basedOn w:val="Normal"/>
    <w:rsid w:val="00ED74D4"/>
    <w:pPr>
      <w:tabs>
        <w:tab w:val="left" w:pos="2160"/>
      </w:tabs>
      <w:spacing w:after="220"/>
      <w:ind w:left="2160" w:hanging="720"/>
    </w:pPr>
  </w:style>
  <w:style w:type="paragraph" w:customStyle="1" w:styleId="TableFormat">
    <w:name w:val="TableFormat"/>
    <w:basedOn w:val="Bullet"/>
    <w:rsid w:val="00ED74D4"/>
    <w:pPr>
      <w:tabs>
        <w:tab w:val="clear" w:pos="2160"/>
        <w:tab w:val="left" w:pos="5040"/>
      </w:tabs>
      <w:ind w:left="5040" w:hanging="3600"/>
    </w:pPr>
  </w:style>
  <w:style w:type="paragraph" w:customStyle="1" w:styleId="TOCTitle">
    <w:name w:val="TOC Title"/>
    <w:basedOn w:val="Normal"/>
    <w:rsid w:val="00ED74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74D4"/>
    <w:pPr>
      <w:jc w:val="center"/>
    </w:pPr>
    <w:rPr>
      <w:rFonts w:ascii="Times New Roman Bold" w:hAnsi="Times New Roman Bold"/>
      <w:b/>
      <w:bCs/>
      <w:caps/>
      <w:szCs w:val="22"/>
    </w:rPr>
  </w:style>
  <w:style w:type="character" w:styleId="Hyperlink">
    <w:name w:val="Hyperlink"/>
    <w:rsid w:val="00ED74D4"/>
    <w:rPr>
      <w:color w:val="0000FF"/>
      <w:u w:val="single"/>
    </w:rPr>
  </w:style>
  <w:style w:type="paragraph" w:styleId="Caption">
    <w:name w:val="caption"/>
    <w:basedOn w:val="Normal"/>
    <w:next w:val="Normal"/>
    <w:qFormat/>
    <w:rsid w:val="005662EE"/>
    <w:pPr>
      <w:widowControl/>
      <w:spacing w:before="120" w:after="120"/>
      <w:jc w:val="both"/>
    </w:pPr>
    <w:rPr>
      <w:b/>
      <w:snapToGrid/>
      <w:kern w:val="0"/>
    </w:rPr>
  </w:style>
  <w:style w:type="character" w:customStyle="1" w:styleId="FootnoteTextChar1">
    <w:name w:val="Footnote Text Char1"/>
    <w:aliases w:val="Footnote Text Char Char,Footnote Text Char1 Char Char,Footnote Text Char Char Char Char,Footnote Text Char1 Char Char Char Char,Footnote Text Char Char Char Char1 Char Char,Footnote Text Char1 Char Char Char Char Char Char,f Char"/>
    <w:link w:val="FootnoteText"/>
    <w:rsid w:val="005662EE"/>
  </w:style>
  <w:style w:type="character" w:customStyle="1" w:styleId="ParaNumChar">
    <w:name w:val="ParaNum Char"/>
    <w:link w:val="ParaNum"/>
    <w:rsid w:val="00006179"/>
    <w:rPr>
      <w:snapToGrid w:val="0"/>
      <w:kern w:val="28"/>
      <w:sz w:val="22"/>
    </w:rPr>
  </w:style>
  <w:style w:type="paragraph" w:customStyle="1" w:styleId="NumberedList">
    <w:name w:val="Numbered List"/>
    <w:basedOn w:val="Normal"/>
    <w:rsid w:val="005662EE"/>
    <w:pPr>
      <w:widowControl/>
      <w:numPr>
        <w:numId w:val="6"/>
      </w:numPr>
      <w:tabs>
        <w:tab w:val="clear" w:pos="1080"/>
      </w:tabs>
      <w:spacing w:after="220"/>
      <w:ind w:firstLine="0"/>
      <w:jc w:val="both"/>
    </w:pPr>
    <w:rPr>
      <w:snapToGrid/>
      <w:kern w:val="0"/>
    </w:rPr>
  </w:style>
  <w:style w:type="paragraph" w:styleId="Title">
    <w:name w:val="Title"/>
    <w:basedOn w:val="Normal"/>
    <w:link w:val="TitleChar"/>
    <w:qFormat/>
    <w:rsid w:val="005662EE"/>
    <w:pPr>
      <w:widowControl/>
      <w:spacing w:after="120"/>
      <w:jc w:val="center"/>
    </w:pPr>
    <w:rPr>
      <w:b/>
      <w:snapToGrid/>
      <w:kern w:val="0"/>
    </w:rPr>
  </w:style>
  <w:style w:type="character" w:customStyle="1" w:styleId="TitleChar">
    <w:name w:val="Title Char"/>
    <w:basedOn w:val="DefaultParagraphFont"/>
    <w:link w:val="Title"/>
    <w:rsid w:val="005662EE"/>
    <w:rPr>
      <w:b/>
      <w:sz w:val="22"/>
    </w:rPr>
  </w:style>
  <w:style w:type="paragraph" w:customStyle="1" w:styleId="Default">
    <w:name w:val="Default"/>
    <w:rsid w:val="005662EE"/>
    <w:pPr>
      <w:autoSpaceDE w:val="0"/>
      <w:autoSpaceDN w:val="0"/>
      <w:adjustRightInd w:val="0"/>
      <w:spacing w:after="120"/>
      <w:jc w:val="both"/>
    </w:pPr>
    <w:rPr>
      <w:color w:val="000000"/>
      <w:sz w:val="24"/>
      <w:szCs w:val="24"/>
    </w:rPr>
  </w:style>
  <w:style w:type="paragraph" w:styleId="ListParagraph">
    <w:name w:val="List Paragraph"/>
    <w:basedOn w:val="Normal"/>
    <w:uiPriority w:val="34"/>
    <w:qFormat/>
    <w:rsid w:val="005662EE"/>
    <w:pPr>
      <w:widowControl/>
      <w:spacing w:after="200" w:line="276" w:lineRule="auto"/>
      <w:ind w:left="720"/>
      <w:contextualSpacing/>
      <w:jc w:val="both"/>
    </w:pPr>
    <w:rPr>
      <w:rFonts w:ascii="Calibri" w:eastAsia="Calibri" w:hAnsi="Calibri"/>
      <w:snapToGrid/>
      <w:kern w:val="0"/>
      <w:szCs w:val="22"/>
    </w:rPr>
  </w:style>
  <w:style w:type="character" w:styleId="FollowedHyperlink">
    <w:name w:val="FollowedHyperlink"/>
    <w:uiPriority w:val="99"/>
    <w:unhideWhenUsed/>
    <w:rsid w:val="005662EE"/>
    <w:rPr>
      <w:color w:val="800080"/>
      <w:u w:val="single"/>
    </w:rPr>
  </w:style>
  <w:style w:type="paragraph" w:styleId="BalloonText">
    <w:name w:val="Balloon Text"/>
    <w:basedOn w:val="Normal"/>
    <w:link w:val="BalloonTextChar"/>
    <w:rsid w:val="005662EE"/>
    <w:pPr>
      <w:widowControl/>
      <w:spacing w:after="120"/>
      <w:jc w:val="both"/>
    </w:pPr>
    <w:rPr>
      <w:rFonts w:ascii="Tahoma" w:hAnsi="Tahoma" w:cs="Tahoma"/>
      <w:snapToGrid/>
      <w:kern w:val="0"/>
      <w:sz w:val="16"/>
      <w:szCs w:val="16"/>
    </w:rPr>
  </w:style>
  <w:style w:type="character" w:customStyle="1" w:styleId="BalloonTextChar">
    <w:name w:val="Balloon Text Char"/>
    <w:basedOn w:val="DefaultParagraphFont"/>
    <w:link w:val="BalloonText"/>
    <w:rsid w:val="005662EE"/>
    <w:rPr>
      <w:rFonts w:ascii="Tahoma" w:hAnsi="Tahoma" w:cs="Tahoma"/>
      <w:sz w:val="16"/>
      <w:szCs w:val="16"/>
    </w:rPr>
  </w:style>
  <w:style w:type="paragraph" w:styleId="NormalWeb">
    <w:name w:val="Normal (Web)"/>
    <w:basedOn w:val="Normal"/>
    <w:uiPriority w:val="99"/>
    <w:unhideWhenUsed/>
    <w:rsid w:val="005662EE"/>
    <w:pPr>
      <w:widowControl/>
      <w:spacing w:before="100" w:beforeAutospacing="1" w:after="100" w:afterAutospacing="1"/>
      <w:ind w:firstLine="480"/>
      <w:jc w:val="both"/>
    </w:pPr>
    <w:rPr>
      <w:snapToGrid/>
      <w:kern w:val="0"/>
      <w:sz w:val="24"/>
      <w:szCs w:val="24"/>
    </w:rPr>
  </w:style>
  <w:style w:type="paragraph" w:customStyle="1" w:styleId="cita">
    <w:name w:val="cita"/>
    <w:basedOn w:val="Normal"/>
    <w:rsid w:val="005662EE"/>
    <w:pPr>
      <w:widowControl/>
      <w:spacing w:before="200" w:after="100" w:afterAutospacing="1"/>
      <w:jc w:val="both"/>
    </w:pPr>
    <w:rPr>
      <w:snapToGrid/>
      <w:kern w:val="0"/>
      <w:sz w:val="18"/>
      <w:szCs w:val="18"/>
    </w:rPr>
  </w:style>
  <w:style w:type="character" w:customStyle="1" w:styleId="su1">
    <w:name w:val="su1"/>
    <w:rsid w:val="005662EE"/>
    <w:rPr>
      <w:smallCaps w:val="0"/>
      <w:sz w:val="17"/>
      <w:szCs w:val="17"/>
      <w:vertAlign w:val="superscript"/>
    </w:rPr>
  </w:style>
  <w:style w:type="paragraph" w:customStyle="1" w:styleId="note">
    <w:name w:val="note"/>
    <w:basedOn w:val="Normal"/>
    <w:rsid w:val="005662EE"/>
    <w:pPr>
      <w:widowControl/>
      <w:spacing w:before="200" w:after="100" w:afterAutospacing="1"/>
      <w:ind w:firstLine="480"/>
      <w:jc w:val="both"/>
    </w:pPr>
    <w:rPr>
      <w:snapToGrid/>
      <w:kern w:val="0"/>
      <w:sz w:val="18"/>
      <w:szCs w:val="18"/>
    </w:rPr>
  </w:style>
  <w:style w:type="character" w:customStyle="1" w:styleId="ParaNumChar1">
    <w:name w:val="ParaNum Char1"/>
    <w:rsid w:val="005662EE"/>
    <w:rPr>
      <w:snapToGrid w:val="0"/>
      <w:kern w:val="28"/>
      <w:sz w:val="22"/>
    </w:rPr>
  </w:style>
  <w:style w:type="paragraph" w:styleId="TOCHeading">
    <w:name w:val="TOC Heading"/>
    <w:basedOn w:val="Heading1"/>
    <w:next w:val="Normal"/>
    <w:uiPriority w:val="39"/>
    <w:unhideWhenUsed/>
    <w:qFormat/>
    <w:rsid w:val="005662EE"/>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uiPriority w:val="22"/>
    <w:qFormat/>
    <w:rsid w:val="005662EE"/>
    <w:rPr>
      <w:b/>
      <w:bCs/>
    </w:rPr>
  </w:style>
  <w:style w:type="paragraph" w:customStyle="1" w:styleId="RuleNum">
    <w:name w:val="Rule Num"/>
    <w:basedOn w:val="Normal"/>
    <w:rsid w:val="005662EE"/>
    <w:pPr>
      <w:widowControl/>
      <w:numPr>
        <w:numId w:val="10"/>
      </w:numPr>
      <w:tabs>
        <w:tab w:val="left" w:pos="0"/>
        <w:tab w:val="left" w:pos="270"/>
        <w:tab w:val="left" w:pos="990"/>
        <w:tab w:val="left" w:pos="2160"/>
        <w:tab w:val="left" w:pos="4320"/>
      </w:tabs>
      <w:suppressAutoHyphens/>
      <w:spacing w:after="120"/>
      <w:jc w:val="both"/>
    </w:pPr>
    <w:rPr>
      <w:rFonts w:ascii="Times" w:hAnsi="Times"/>
      <w:snapToGrid/>
      <w:spacing w:val="-3"/>
      <w:kern w:val="0"/>
    </w:rPr>
  </w:style>
  <w:style w:type="character" w:customStyle="1" w:styleId="Heading2Char">
    <w:name w:val="Heading 2 Char"/>
    <w:link w:val="Heading2"/>
    <w:rsid w:val="005662EE"/>
    <w:rPr>
      <w:b/>
      <w:snapToGrid w:val="0"/>
      <w:kern w:val="28"/>
      <w:sz w:val="22"/>
    </w:rPr>
  </w:style>
  <w:style w:type="character" w:customStyle="1" w:styleId="FootnoteTextChar1Char2Char1">
    <w:name w:val="Footnote Text Char1 Char2 Char1"/>
    <w:aliases w:val="Footnote Text Char Char2 Char Char1,Footnote Text Char1 Char2 Char Char Char1,Footnote Text Char Char2 Char Char Char Char1,Footnote Text Char1 Char2 Char Char Char Char Char1,footnote text Char,fn Char"/>
    <w:semiHidden/>
    <w:rsid w:val="005662EE"/>
    <w:rPr>
      <w:rFonts w:ascii="Times New Roman" w:eastAsia="Times New Roman" w:hAnsi="Times New Roman" w:cs="Times New Roman"/>
      <w:sz w:val="20"/>
      <w:szCs w:val="20"/>
    </w:rPr>
  </w:style>
  <w:style w:type="character" w:customStyle="1" w:styleId="apple-converted-space">
    <w:name w:val="apple-converted-space"/>
    <w:rsid w:val="005662EE"/>
  </w:style>
  <w:style w:type="character" w:styleId="CommentReference">
    <w:name w:val="annotation reference"/>
    <w:rsid w:val="005662EE"/>
    <w:rPr>
      <w:sz w:val="16"/>
      <w:szCs w:val="16"/>
    </w:rPr>
  </w:style>
  <w:style w:type="paragraph" w:styleId="CommentText">
    <w:name w:val="annotation text"/>
    <w:basedOn w:val="Normal"/>
    <w:link w:val="CommentTextChar"/>
    <w:rsid w:val="005662EE"/>
    <w:pPr>
      <w:widowControl/>
      <w:spacing w:after="120"/>
      <w:jc w:val="both"/>
    </w:pPr>
    <w:rPr>
      <w:snapToGrid/>
      <w:kern w:val="0"/>
      <w:sz w:val="20"/>
    </w:rPr>
  </w:style>
  <w:style w:type="character" w:customStyle="1" w:styleId="CommentTextChar">
    <w:name w:val="Comment Text Char"/>
    <w:basedOn w:val="DefaultParagraphFont"/>
    <w:link w:val="CommentText"/>
    <w:rsid w:val="005662EE"/>
  </w:style>
  <w:style w:type="paragraph" w:styleId="CommentSubject">
    <w:name w:val="annotation subject"/>
    <w:basedOn w:val="CommentText"/>
    <w:next w:val="CommentText"/>
    <w:link w:val="CommentSubjectChar"/>
    <w:rsid w:val="005662EE"/>
    <w:rPr>
      <w:b/>
      <w:bCs/>
    </w:rPr>
  </w:style>
  <w:style w:type="character" w:customStyle="1" w:styleId="CommentSubjectChar">
    <w:name w:val="Comment Subject Char"/>
    <w:basedOn w:val="CommentTextChar"/>
    <w:link w:val="CommentSubject"/>
    <w:rsid w:val="005662EE"/>
    <w:rPr>
      <w:b/>
      <w:bCs/>
    </w:rPr>
  </w:style>
  <w:style w:type="paragraph" w:styleId="Revision">
    <w:name w:val="Revision"/>
    <w:hidden/>
    <w:uiPriority w:val="99"/>
    <w:semiHidden/>
    <w:rsid w:val="005662EE"/>
    <w:pPr>
      <w:spacing w:after="120"/>
      <w:jc w:val="both"/>
    </w:pPr>
    <w:rPr>
      <w:sz w:val="22"/>
    </w:rPr>
  </w:style>
  <w:style w:type="character" w:customStyle="1" w:styleId="EndnoteTextChar">
    <w:name w:val="Endnote Text Char"/>
    <w:link w:val="EndnoteText"/>
    <w:semiHidden/>
    <w:rsid w:val="005662EE"/>
    <w:rPr>
      <w:snapToGrid w:val="0"/>
      <w:kern w:val="28"/>
    </w:rPr>
  </w:style>
  <w:style w:type="paragraph" w:customStyle="1" w:styleId="source">
    <w:name w:val="source"/>
    <w:basedOn w:val="Normal"/>
    <w:rsid w:val="003209A9"/>
    <w:pPr>
      <w:widowControl/>
      <w:spacing w:before="200" w:after="100" w:afterAutospacing="1"/>
      <w:ind w:firstLine="480"/>
    </w:pPr>
    <w:rPr>
      <w:snapToGrid/>
      <w:kern w:val="0"/>
      <w:sz w:val="18"/>
      <w:szCs w:val="18"/>
    </w:rPr>
  </w:style>
  <w:style w:type="paragraph" w:customStyle="1" w:styleId="auth">
    <w:name w:val="auth"/>
    <w:basedOn w:val="Normal"/>
    <w:rsid w:val="003209A9"/>
    <w:pPr>
      <w:widowControl/>
      <w:spacing w:before="200" w:after="100" w:afterAutospacing="1"/>
      <w:ind w:firstLine="480"/>
    </w:pPr>
    <w:rPr>
      <w:snapToGrid/>
      <w:kern w:val="0"/>
      <w:sz w:val="18"/>
      <w:szCs w:val="18"/>
    </w:rPr>
  </w:style>
  <w:style w:type="character" w:customStyle="1" w:styleId="FootnoteTextChar3CharChar1">
    <w:name w:val="Footnote Text Char3 Char Char1"/>
    <w:aliases w:val="Footnote Text Char4 Char1 Char Char1,Footnote Text Char Char2 Char Char Char2,Footnote Text Char3 Char Char Char2 Char Char1,Footnote Text Char Char2 Char Char Char2 Char Char1,fn Char Char Char2"/>
    <w:semiHidden/>
    <w:locked/>
    <w:rsid w:val="00044B0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395">
      <w:bodyDiv w:val="1"/>
      <w:marLeft w:val="0"/>
      <w:marRight w:val="0"/>
      <w:marTop w:val="30"/>
      <w:marBottom w:val="750"/>
      <w:divBdr>
        <w:top w:val="none" w:sz="0" w:space="0" w:color="auto"/>
        <w:left w:val="none" w:sz="0" w:space="0" w:color="auto"/>
        <w:bottom w:val="none" w:sz="0" w:space="0" w:color="auto"/>
        <w:right w:val="none" w:sz="0" w:space="0" w:color="auto"/>
      </w:divBdr>
      <w:divsChild>
        <w:div w:id="1014769841">
          <w:marLeft w:val="0"/>
          <w:marRight w:val="0"/>
          <w:marTop w:val="0"/>
          <w:marBottom w:val="0"/>
          <w:divBdr>
            <w:top w:val="none" w:sz="0" w:space="0" w:color="auto"/>
            <w:left w:val="none" w:sz="0" w:space="0" w:color="auto"/>
            <w:bottom w:val="none" w:sz="0" w:space="0" w:color="auto"/>
            <w:right w:val="none" w:sz="0" w:space="0" w:color="auto"/>
          </w:divBdr>
        </w:div>
      </w:divsChild>
    </w:div>
    <w:div w:id="4458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Aamer.Zain@fcc.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cc504@fcc.gov"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www.regulations.gov/"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fjallfoss.fcc.gov/ecfs2/" TargetMode="Externa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nhtsa.gov/Research/Human+Factors/Warning+systems+(Forward+Collision,+Lane+Departure)" TargetMode="External"/><Relationship Id="rId13" Type="http://schemas.openxmlformats.org/officeDocument/2006/relationships/hyperlink" Target="http://www.79ghz.eu/index.php/documents/public-documents/Presentations/79-GHz-Workshop-Tokyo-October-2013/" TargetMode="External"/><Relationship Id="rId18" Type="http://schemas.openxmlformats.org/officeDocument/2006/relationships/hyperlink" Target="http://www.guardian.co.uk/uk/2002/jan/17/concorde.world" TargetMode="External"/><Relationship Id="rId3" Type="http://schemas.openxmlformats.org/officeDocument/2006/relationships/hyperlink" Target="http://www.fcc.gov/Bureaus/Engineering_Technology/Documents/bulletins/oet70/oet70a.pdf" TargetMode="External"/><Relationship Id="rId21" Type="http://schemas.openxmlformats.org/officeDocument/2006/relationships/hyperlink" Target="http://factfinder.census.gov/servlet/IBQTable?_bm=y&amp;-geo_id=&amp;-fds_name=EC0700A1&amp;-_skip=4500&amp;-ds_name=EC0731SG3&amp;-_lang=en" TargetMode="External"/><Relationship Id="rId7" Type="http://schemas.openxmlformats.org/officeDocument/2006/relationships/hyperlink" Target="http://www.79ghz.eu/images/documents/Project_Factsheet_79GHz_v1.0.pdf" TargetMode="External"/><Relationship Id="rId12" Type="http://schemas.openxmlformats.org/officeDocument/2006/relationships/hyperlink" Target="http://www.gb.nrao.edu/electronics/edtn/edtn219.pdf" TargetMode="External"/><Relationship Id="rId17" Type="http://schemas.openxmlformats.org/officeDocument/2006/relationships/hyperlink" Target="http://www4.law.cornell.edu/uscode/5/603.html" TargetMode="External"/><Relationship Id="rId2" Type="http://schemas.openxmlformats.org/officeDocument/2006/relationships/hyperlink" Target="http://transition.fcc.gov/sptf/files/E&amp;UWGFinalReport.pdf" TargetMode="External"/><Relationship Id="rId16" Type="http://schemas.openxmlformats.org/officeDocument/2006/relationships/hyperlink" Target="http://www4.law.cornell.edu/uscode/5/603.html" TargetMode="External"/><Relationship Id="rId20" Type="http://schemas.openxmlformats.org/officeDocument/2006/relationships/hyperlink" Target="http://factfinder.census.gov/servlet/IBQTable?_bm=y&amp;-fds_name=EC0700A1&amp;-geo_id=&amp;-_skip=300&amp;-ds_name=EC0731SG2&amp;-_lang=en" TargetMode="External"/><Relationship Id="rId1" Type="http://schemas.openxmlformats.org/officeDocument/2006/relationships/hyperlink" Target="http://www.fcc.gov/Bureaus/Engineering_Technology/Documents/bulletins/oet70/oet70a.pdf" TargetMode="External"/><Relationship Id="rId6" Type="http://schemas.openxmlformats.org/officeDocument/2006/relationships/hyperlink" Target="http://apps.fcc.gov/ecfs/document/view?id=7022007326" TargetMode="External"/><Relationship Id="rId11" Type="http://schemas.openxmlformats.org/officeDocument/2006/relationships/hyperlink" Target="http://www.ntia.doc.gov/about" TargetMode="External"/><Relationship Id="rId5" Type="http://schemas.openxmlformats.org/officeDocument/2006/relationships/hyperlink" Target="http://fod-detection.com/wp-content/uploads/2009/12/the-economic-cost-of-fod.PDF" TargetMode="External"/><Relationship Id="rId15" Type="http://schemas.openxmlformats.org/officeDocument/2006/relationships/hyperlink" Target="http://www4.law.cornell.edu/uscode/5/603.html" TargetMode="External"/><Relationship Id="rId10" Type="http://schemas.openxmlformats.org/officeDocument/2006/relationships/hyperlink" Target="http://www.79ghz.eu/index.php/documents/public-documents/Presentations/79-GHz-Workshop-Tokyo-October-2013/" TargetMode="External"/><Relationship Id="rId19" Type="http://schemas.openxmlformats.org/officeDocument/2006/relationships/hyperlink" Target="http://www.faa.gov/documentLibrary/media/Advisory_Circular/150_5210_24.pdf" TargetMode="External"/><Relationship Id="rId4" Type="http://schemas.openxmlformats.org/officeDocument/2006/relationships/hyperlink" Target="http://fjallfoss.fcc.gov/edocs_public/attachmatch/FCC-11-79A1.doc" TargetMode="External"/><Relationship Id="rId9" Type="http://schemas.openxmlformats.org/officeDocument/2006/relationships/hyperlink" Target="http://transition.fcc.gov/sptf/files/E&amp;UWGFinalReport.pdf" TargetMode="External"/><Relationship Id="rId14" Type="http://schemas.openxmlformats.org/officeDocument/2006/relationships/hyperlink" Target="http://transition.fcc.gov/sptf/files/E&amp;UWG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16226</Words>
  <Characters>87324</Characters>
  <Application>Microsoft Office Word</Application>
  <DocSecurity>0</DocSecurity>
  <Lines>1609</Lines>
  <Paragraphs>536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2015-01-26T17:29:00Z</cp:lastPrinted>
  <dcterms:created xsi:type="dcterms:W3CDTF">2015-02-05T19:19:00Z</dcterms:created>
  <dcterms:modified xsi:type="dcterms:W3CDTF">2015-02-05T19:19:00Z</dcterms:modified>
  <cp:category> </cp:category>
  <cp:contentStatus> </cp:contentStatus>
</cp:coreProperties>
</file>