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9576" w:type="dxa"/>
        <w:tblLayout w:type="fixed"/>
        <w:tblLook w:val="0000" w:firstRow="0" w:lastRow="0" w:firstColumn="0" w:lastColumn="0" w:noHBand="0" w:noVBand="0"/>
      </w:tblPr>
      <w:tblGrid>
        <w:gridCol w:w="4698"/>
        <w:gridCol w:w="630"/>
        <w:gridCol w:w="4248"/>
      </w:tblGrid>
      <w:tr w:rsidR="004C2EE3" w:rsidTr="004F7086">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FC7B79" w:rsidRDefault="00FC7B79" w:rsidP="00FC7B79">
            <w:pPr>
              <w:widowControl/>
              <w:ind w:right="-18"/>
              <w:rPr>
                <w:szCs w:val="22"/>
              </w:rPr>
            </w:pPr>
            <w:r>
              <w:rPr>
                <w:szCs w:val="22"/>
              </w:rPr>
              <w:t>CALIFORNIA ASSOCIATION FOR RESEARCH AND EDUCATION, INC.</w:t>
            </w:r>
            <w:r w:rsidRPr="00595BF9">
              <w:rPr>
                <w:szCs w:val="22"/>
              </w:rPr>
              <w:t xml:space="preserve"> </w:t>
            </w:r>
          </w:p>
          <w:p w:rsidR="00FC7B79" w:rsidRDefault="00FC7B79" w:rsidP="00FC7B79">
            <w:pPr>
              <w:widowControl/>
              <w:ind w:right="-18"/>
              <w:rPr>
                <w:szCs w:val="22"/>
              </w:rPr>
            </w:pPr>
          </w:p>
          <w:p w:rsidR="00FC7B79" w:rsidRPr="00595BF9" w:rsidRDefault="00FC7B79" w:rsidP="00FC7B79">
            <w:pPr>
              <w:widowControl/>
              <w:ind w:right="-18"/>
              <w:rPr>
                <w:szCs w:val="22"/>
              </w:rPr>
            </w:pPr>
            <w:r>
              <w:rPr>
                <w:szCs w:val="22"/>
              </w:rPr>
              <w:t xml:space="preserve">Application </w:t>
            </w:r>
            <w:r w:rsidRPr="00595BF9">
              <w:rPr>
                <w:szCs w:val="22"/>
              </w:rPr>
              <w:t xml:space="preserve">for a New </w:t>
            </w:r>
            <w:r>
              <w:rPr>
                <w:szCs w:val="22"/>
              </w:rPr>
              <w:t xml:space="preserve">Noncommercial Educational </w:t>
            </w:r>
            <w:r w:rsidRPr="00595BF9">
              <w:rPr>
                <w:szCs w:val="22"/>
              </w:rPr>
              <w:t xml:space="preserve">FM </w:t>
            </w:r>
            <w:r>
              <w:rPr>
                <w:szCs w:val="22"/>
              </w:rPr>
              <w:t xml:space="preserve">Broadcast </w:t>
            </w:r>
            <w:r w:rsidRPr="00595BF9">
              <w:rPr>
                <w:szCs w:val="22"/>
              </w:rPr>
              <w:t>Station at</w:t>
            </w:r>
          </w:p>
          <w:p w:rsidR="004C2EE3" w:rsidRDefault="00FC7B79" w:rsidP="00FC7B79">
            <w:pPr>
              <w:tabs>
                <w:tab w:val="center" w:pos="4680"/>
              </w:tabs>
              <w:suppressAutoHyphens/>
              <w:rPr>
                <w:szCs w:val="22"/>
              </w:rPr>
            </w:pPr>
            <w:r>
              <w:rPr>
                <w:szCs w:val="22"/>
              </w:rPr>
              <w:t>Upton, Kentucky</w:t>
            </w:r>
          </w:p>
          <w:p w:rsidR="00624B2B" w:rsidRDefault="00624B2B" w:rsidP="00FC7B79">
            <w:pPr>
              <w:tabs>
                <w:tab w:val="center" w:pos="4680"/>
              </w:tabs>
              <w:suppressAutoHyphens/>
              <w:rPr>
                <w:szCs w:val="22"/>
              </w:rPr>
            </w:pPr>
          </w:p>
          <w:p w:rsidR="00624B2B" w:rsidRDefault="00624B2B" w:rsidP="00FC7B79">
            <w:pPr>
              <w:tabs>
                <w:tab w:val="center" w:pos="4680"/>
              </w:tabs>
              <w:suppressAutoHyphens/>
              <w:rPr>
                <w:szCs w:val="22"/>
              </w:rPr>
            </w:pPr>
            <w:r>
              <w:rPr>
                <w:szCs w:val="22"/>
              </w:rPr>
              <w:t>BETHEL FELLOWSHIP, INC.</w:t>
            </w:r>
          </w:p>
          <w:p w:rsidR="00624B2B" w:rsidRDefault="00624B2B" w:rsidP="00FC7B79">
            <w:pPr>
              <w:tabs>
                <w:tab w:val="center" w:pos="4680"/>
              </w:tabs>
              <w:suppressAutoHyphens/>
              <w:rPr>
                <w:szCs w:val="22"/>
              </w:rPr>
            </w:pPr>
          </w:p>
          <w:p w:rsidR="00624B2B" w:rsidRDefault="00624B2B" w:rsidP="00FC7B79">
            <w:pPr>
              <w:tabs>
                <w:tab w:val="center" w:pos="4680"/>
              </w:tabs>
              <w:suppressAutoHyphens/>
              <w:rPr>
                <w:szCs w:val="22"/>
              </w:rPr>
            </w:pPr>
            <w:r>
              <w:rPr>
                <w:szCs w:val="22"/>
              </w:rPr>
              <w:t>Application for a New Noncommercial</w:t>
            </w:r>
          </w:p>
          <w:p w:rsidR="00624B2B" w:rsidRDefault="00624B2B" w:rsidP="00FC7B79">
            <w:pPr>
              <w:tabs>
                <w:tab w:val="center" w:pos="4680"/>
              </w:tabs>
              <w:suppressAutoHyphens/>
              <w:rPr>
                <w:szCs w:val="22"/>
              </w:rPr>
            </w:pPr>
            <w:r>
              <w:rPr>
                <w:szCs w:val="22"/>
              </w:rPr>
              <w:t>Educational FM Broadcast Station at</w:t>
            </w:r>
          </w:p>
          <w:p w:rsidR="00624B2B" w:rsidRPr="007115F7" w:rsidRDefault="00A57413" w:rsidP="00FC7B79">
            <w:pPr>
              <w:tabs>
                <w:tab w:val="center" w:pos="4680"/>
              </w:tabs>
              <w:suppressAutoHyphens/>
              <w:rPr>
                <w:spacing w:val="-2"/>
              </w:rPr>
            </w:pPr>
            <w:r>
              <w:rPr>
                <w:spacing w:val="-2"/>
              </w:rPr>
              <w:t>Cecilia, Kentucky</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A57413" w:rsidRDefault="00A57413">
            <w:pPr>
              <w:tabs>
                <w:tab w:val="center" w:pos="4680"/>
              </w:tabs>
              <w:suppressAutoHyphens/>
              <w:rPr>
                <w:b/>
                <w:spacing w:val="-2"/>
              </w:rPr>
            </w:pPr>
            <w:r>
              <w:rPr>
                <w:b/>
                <w:spacing w:val="-2"/>
              </w:rPr>
              <w:t>)</w:t>
            </w:r>
          </w:p>
          <w:p w:rsidR="00A57413" w:rsidRDefault="00A57413">
            <w:pPr>
              <w:tabs>
                <w:tab w:val="center" w:pos="4680"/>
              </w:tabs>
              <w:suppressAutoHyphens/>
              <w:rPr>
                <w:b/>
                <w:spacing w:val="-2"/>
              </w:rPr>
            </w:pPr>
            <w:r>
              <w:rPr>
                <w:b/>
                <w:spacing w:val="-2"/>
              </w:rPr>
              <w:t>)</w:t>
            </w:r>
          </w:p>
          <w:p w:rsidR="00A57413" w:rsidRDefault="00A57413">
            <w:pPr>
              <w:tabs>
                <w:tab w:val="center" w:pos="4680"/>
              </w:tabs>
              <w:suppressAutoHyphens/>
              <w:rPr>
                <w:b/>
                <w:spacing w:val="-2"/>
              </w:rPr>
            </w:pPr>
            <w:r>
              <w:rPr>
                <w:b/>
                <w:spacing w:val="-2"/>
              </w:rPr>
              <w:t>)</w:t>
            </w:r>
          </w:p>
          <w:p w:rsidR="00A57413" w:rsidRDefault="00A57413">
            <w:pPr>
              <w:tabs>
                <w:tab w:val="center" w:pos="4680"/>
              </w:tabs>
              <w:suppressAutoHyphens/>
              <w:rPr>
                <w:b/>
                <w:spacing w:val="-2"/>
              </w:rPr>
            </w:pPr>
            <w:r>
              <w:rPr>
                <w:b/>
                <w:spacing w:val="-2"/>
              </w:rPr>
              <w:t>)</w:t>
            </w:r>
          </w:p>
          <w:p w:rsidR="00A57413" w:rsidRDefault="00A5741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C7B79">
            <w:pPr>
              <w:tabs>
                <w:tab w:val="center" w:pos="4680"/>
              </w:tabs>
              <w:suppressAutoHyphens/>
              <w:rPr>
                <w:spacing w:val="-2"/>
              </w:rPr>
            </w:pPr>
            <w:r>
              <w:rPr>
                <w:spacing w:val="-2"/>
              </w:rPr>
              <w:t>File No. BNPED-20071022BUZ</w:t>
            </w:r>
          </w:p>
          <w:p w:rsidR="00FC7B79" w:rsidRDefault="00FC7B79">
            <w:pPr>
              <w:tabs>
                <w:tab w:val="center" w:pos="4680"/>
              </w:tabs>
              <w:suppressAutoHyphens/>
              <w:rPr>
                <w:spacing w:val="-2"/>
              </w:rPr>
            </w:pPr>
            <w:r>
              <w:rPr>
                <w:spacing w:val="-2"/>
              </w:rPr>
              <w:t>Facility ID No. 176940</w:t>
            </w:r>
          </w:p>
          <w:p w:rsidR="00FC7B79" w:rsidRDefault="00FC7B79">
            <w:pPr>
              <w:tabs>
                <w:tab w:val="center" w:pos="4680"/>
              </w:tabs>
              <w:suppressAutoHyphens/>
              <w:rPr>
                <w:spacing w:val="-2"/>
              </w:rPr>
            </w:pPr>
          </w:p>
          <w:p w:rsidR="00A57413" w:rsidRDefault="00A57413">
            <w:pPr>
              <w:tabs>
                <w:tab w:val="center" w:pos="4680"/>
              </w:tabs>
              <w:suppressAutoHyphens/>
              <w:rPr>
                <w:spacing w:val="-2"/>
              </w:rPr>
            </w:pPr>
          </w:p>
          <w:p w:rsidR="00A57413" w:rsidRDefault="00A57413">
            <w:pPr>
              <w:tabs>
                <w:tab w:val="center" w:pos="4680"/>
              </w:tabs>
              <w:suppressAutoHyphens/>
              <w:rPr>
                <w:spacing w:val="-2"/>
              </w:rPr>
            </w:pPr>
          </w:p>
          <w:p w:rsidR="00A57413" w:rsidRDefault="00A57413">
            <w:pPr>
              <w:tabs>
                <w:tab w:val="center" w:pos="4680"/>
              </w:tabs>
              <w:suppressAutoHyphens/>
              <w:rPr>
                <w:spacing w:val="-2"/>
              </w:rPr>
            </w:pPr>
          </w:p>
          <w:p w:rsidR="00A57413" w:rsidRDefault="00A57413">
            <w:pPr>
              <w:tabs>
                <w:tab w:val="center" w:pos="4680"/>
              </w:tabs>
              <w:suppressAutoHyphens/>
              <w:rPr>
                <w:spacing w:val="-2"/>
              </w:rPr>
            </w:pPr>
          </w:p>
          <w:p w:rsidR="00A57413" w:rsidRDefault="00A57413">
            <w:pPr>
              <w:tabs>
                <w:tab w:val="center" w:pos="4680"/>
              </w:tabs>
              <w:suppressAutoHyphens/>
              <w:rPr>
                <w:szCs w:val="22"/>
              </w:rPr>
            </w:pPr>
            <w:r>
              <w:rPr>
                <w:spacing w:val="-2"/>
              </w:rPr>
              <w:t xml:space="preserve">File No. </w:t>
            </w:r>
            <w:r>
              <w:rPr>
                <w:szCs w:val="22"/>
              </w:rPr>
              <w:t>BNPED-20071018AUM</w:t>
            </w:r>
          </w:p>
          <w:p w:rsidR="00A57413" w:rsidRDefault="00A57413">
            <w:pPr>
              <w:tabs>
                <w:tab w:val="center" w:pos="4680"/>
              </w:tabs>
              <w:suppressAutoHyphens/>
              <w:rPr>
                <w:szCs w:val="22"/>
              </w:rPr>
            </w:pPr>
            <w:r>
              <w:rPr>
                <w:szCs w:val="22"/>
              </w:rPr>
              <w:t>Facility ID No. 175963</w:t>
            </w:r>
          </w:p>
          <w:p w:rsidR="00A57413" w:rsidRDefault="00A57413">
            <w:pPr>
              <w:tabs>
                <w:tab w:val="center" w:pos="4680"/>
              </w:tabs>
              <w:suppressAutoHyphens/>
              <w:rPr>
                <w:szCs w:val="22"/>
              </w:rPr>
            </w:pPr>
          </w:p>
          <w:p w:rsidR="00A57413" w:rsidRDefault="00A57413" w:rsidP="00A57413">
            <w:pPr>
              <w:tabs>
                <w:tab w:val="center" w:pos="4680"/>
              </w:tabs>
              <w:suppressAutoHyphens/>
              <w:rPr>
                <w:spacing w:val="-2"/>
              </w:rPr>
            </w:pPr>
            <w:r>
              <w:rPr>
                <w:spacing w:val="-2"/>
              </w:rPr>
              <w:t>NCE MX Group 99</w:t>
            </w:r>
          </w:p>
          <w:p w:rsidR="00A57413" w:rsidRDefault="00A57413">
            <w:pPr>
              <w:tabs>
                <w:tab w:val="center" w:pos="4680"/>
              </w:tabs>
              <w:suppressAutoHyphens/>
              <w:rPr>
                <w:spacing w:val="-2"/>
              </w:rPr>
            </w:pPr>
          </w:p>
        </w:tc>
      </w:tr>
    </w:tbl>
    <w:p w:rsidR="004C2EE3" w:rsidRDefault="004C2EE3" w:rsidP="0070224F"/>
    <w:p w:rsidR="00841AB1" w:rsidRDefault="00FC7B79" w:rsidP="00F021FA">
      <w:pPr>
        <w:pStyle w:val="StyleBoldCentered"/>
      </w:pPr>
      <w:r>
        <w:t>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87C52">
        <w:rPr>
          <w:b/>
          <w:spacing w:val="-2"/>
        </w:rPr>
        <w:t>December 16,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87C52">
        <w:rPr>
          <w:b/>
          <w:spacing w:val="-2"/>
        </w:rPr>
        <w:t>December 17, 2015</w:t>
      </w:r>
    </w:p>
    <w:p w:rsidR="00822CE0" w:rsidRDefault="00822CE0"/>
    <w:p w:rsidR="004C2EE3" w:rsidRDefault="004C2EE3">
      <w:pPr>
        <w:rPr>
          <w:spacing w:val="-2"/>
        </w:rPr>
      </w:pPr>
      <w:r>
        <w:t xml:space="preserve">By </w:t>
      </w:r>
      <w:r w:rsidR="004E4A22">
        <w:t>the</w:t>
      </w:r>
      <w:r w:rsidR="002A2D2E">
        <w:t xml:space="preserve"> </w:t>
      </w:r>
      <w:r w:rsidR="00FC7B79">
        <w:rPr>
          <w:spacing w:val="-2"/>
        </w:rPr>
        <w:t>Commission</w:t>
      </w:r>
      <w:r>
        <w:rPr>
          <w:spacing w:val="-2"/>
        </w:rPr>
        <w:t>:</w:t>
      </w:r>
    </w:p>
    <w:p w:rsidR="00412FC5" w:rsidRDefault="00412FC5" w:rsidP="00412FC5"/>
    <w:p w:rsidR="002C00E8" w:rsidRDefault="00FC7B79" w:rsidP="002C00E8">
      <w:pPr>
        <w:pStyle w:val="Heading1"/>
      </w:pPr>
      <w:r>
        <w:t>INTRODUCTION AND BACKGROUND</w:t>
      </w:r>
    </w:p>
    <w:p w:rsidR="0066444A" w:rsidRDefault="00FC7B79" w:rsidP="001958BA">
      <w:pPr>
        <w:pStyle w:val="ParaNum"/>
        <w:widowControl/>
      </w:pPr>
      <w:r>
        <w:t>Before us is Bethel Fellowship, Inc.’s (“Bethel”) September 3, 2014,</w:t>
      </w:r>
      <w:r w:rsidRPr="00CA0133">
        <w:t xml:space="preserve"> Petition f</w:t>
      </w:r>
      <w:r>
        <w:t>or Reconsideration (“Petition”).  Bethel</w:t>
      </w:r>
      <w:r w:rsidRPr="009C5BEF">
        <w:t xml:space="preserve"> seeks </w:t>
      </w:r>
      <w:r>
        <w:t>reconsideration</w:t>
      </w:r>
      <w:r w:rsidRPr="009C5BEF">
        <w:t xml:space="preserve"> of </w:t>
      </w:r>
      <w:r>
        <w:t>the Commission’s August 4, 2014</w:t>
      </w:r>
      <w:r w:rsidRPr="009C5BEF">
        <w:t xml:space="preserve">, </w:t>
      </w:r>
      <w:r>
        <w:t>Memorandum Opinion and Order,</w:t>
      </w:r>
      <w:r w:rsidRPr="00595BF9">
        <w:rPr>
          <w:rStyle w:val="FootnoteReference"/>
          <w:sz w:val="22"/>
          <w:szCs w:val="22"/>
        </w:rPr>
        <w:footnoteReference w:id="2"/>
      </w:r>
      <w:r w:rsidRPr="009C5BEF">
        <w:t xml:space="preserve"> </w:t>
      </w:r>
      <w:r>
        <w:t>in which we denied Bethel’s Application for Review (“AFR”), and affirmed two prior</w:t>
      </w:r>
      <w:r w:rsidRPr="009C5BEF">
        <w:t xml:space="preserve"> decision</w:t>
      </w:r>
      <w:r>
        <w:t>s by the</w:t>
      </w:r>
      <w:r w:rsidRPr="009C5BEF">
        <w:t xml:space="preserve"> </w:t>
      </w:r>
      <w:r>
        <w:t>Media Bureau (“Bureau”).</w:t>
      </w:r>
      <w:r w:rsidRPr="00595BF9">
        <w:rPr>
          <w:rStyle w:val="FootnoteReference"/>
          <w:sz w:val="22"/>
          <w:szCs w:val="22"/>
        </w:rPr>
        <w:footnoteReference w:id="3"/>
      </w:r>
      <w:r w:rsidRPr="009C5BEF">
        <w:t xml:space="preserve"> </w:t>
      </w:r>
      <w:r>
        <w:t xml:space="preserve"> For the reasons discussed below, in this </w:t>
      </w:r>
      <w:r w:rsidRPr="001958BA">
        <w:rPr>
          <w:i/>
        </w:rPr>
        <w:t>Order on Reconsideration</w:t>
      </w:r>
      <w:r>
        <w:t xml:space="preserve"> we dismiss</w:t>
      </w:r>
      <w:r w:rsidRPr="009C5BEF">
        <w:t xml:space="preserve"> </w:t>
      </w:r>
      <w:r w:rsidR="0066444A">
        <w:t xml:space="preserve">in part and otherwise deny </w:t>
      </w:r>
      <w:r w:rsidRPr="009C5BEF">
        <w:t xml:space="preserve">the </w:t>
      </w:r>
      <w:r>
        <w:t xml:space="preserve">Petition </w:t>
      </w:r>
      <w:r w:rsidR="0066444A">
        <w:t>pursuant to Section</w:t>
      </w:r>
      <w:r w:rsidR="00B02B71">
        <w:t>s</w:t>
      </w:r>
      <w:r w:rsidR="0066444A">
        <w:t xml:space="preserve"> 1.106(b)(2</w:t>
      </w:r>
      <w:r>
        <w:t>)</w:t>
      </w:r>
      <w:r w:rsidR="0066444A">
        <w:t>, (b)(3), and (j)</w:t>
      </w:r>
      <w:r>
        <w:t xml:space="preserve"> of the Commission’s Rules (the “Rules”).</w:t>
      </w:r>
      <w:r>
        <w:rPr>
          <w:rStyle w:val="FootnoteReference"/>
        </w:rPr>
        <w:footnoteReference w:id="4"/>
      </w:r>
      <w:r w:rsidR="001958BA">
        <w:t xml:space="preserve">  </w:t>
      </w:r>
    </w:p>
    <w:p w:rsidR="00FC7B79" w:rsidRDefault="00FC7B79" w:rsidP="001958BA">
      <w:pPr>
        <w:pStyle w:val="ParaNum"/>
        <w:widowControl/>
      </w:pPr>
      <w:r>
        <w:t xml:space="preserve">The California Association for Research and Education Inc. (“CARE”), Bethel, and </w:t>
      </w:r>
      <w:r w:rsidRPr="00621DE3">
        <w:t>Bowling Green Community Broadcasting, Inc. (</w:t>
      </w:r>
      <w:r>
        <w:t xml:space="preserve">"BGCB") </w:t>
      </w:r>
      <w:r w:rsidRPr="00621DE3">
        <w:t xml:space="preserve">filed applications </w:t>
      </w:r>
      <w:r>
        <w:t>in the</w:t>
      </w:r>
      <w:r w:rsidRPr="00D113D7">
        <w:t xml:space="preserve"> </w:t>
      </w:r>
      <w:r w:rsidR="00356936">
        <w:t>October</w:t>
      </w:r>
      <w:r>
        <w:t xml:space="preserve"> 2007 </w:t>
      </w:r>
      <w:r w:rsidR="00356936">
        <w:t xml:space="preserve">noncommercial educational (“NCE”) FM </w:t>
      </w:r>
      <w:r>
        <w:t>filing window.</w:t>
      </w:r>
      <w:r>
        <w:rPr>
          <w:rStyle w:val="FootnoteReference"/>
        </w:rPr>
        <w:footnoteReference w:id="5"/>
      </w:r>
      <w:r>
        <w:t xml:space="preserve">  The </w:t>
      </w:r>
      <w:r w:rsidR="00727030">
        <w:t>a</w:t>
      </w:r>
      <w:r>
        <w:t xml:space="preserve">pplications were found to be </w:t>
      </w:r>
      <w:r w:rsidRPr="00621DE3">
        <w:t>mutually exclusive ("MX")</w:t>
      </w:r>
      <w:r>
        <w:t xml:space="preserve"> and </w:t>
      </w:r>
      <w:r w:rsidR="00356936">
        <w:t xml:space="preserve">were designated </w:t>
      </w:r>
      <w:r w:rsidRPr="00621DE3">
        <w:t>NCE MX</w:t>
      </w:r>
      <w:r>
        <w:t xml:space="preserve"> </w:t>
      </w:r>
      <w:r w:rsidRPr="00621DE3">
        <w:t>Group 99</w:t>
      </w:r>
      <w:r>
        <w:t xml:space="preserve"> (“Group 99”)</w:t>
      </w:r>
      <w:r w:rsidRPr="00621DE3">
        <w:t>.</w:t>
      </w:r>
      <w:r>
        <w:t xml:space="preserve">  </w:t>
      </w:r>
      <w:r w:rsidR="005B7B1D">
        <w:t>Because n</w:t>
      </w:r>
      <w:r w:rsidR="00356936">
        <w:t>one of the applicants qualified for a</w:t>
      </w:r>
      <w:r w:rsidRPr="00621DE3">
        <w:t xml:space="preserve"> </w:t>
      </w:r>
      <w:r>
        <w:t xml:space="preserve">fair distribution </w:t>
      </w:r>
      <w:r w:rsidRPr="00621DE3">
        <w:t>preference</w:t>
      </w:r>
      <w:r w:rsidRPr="003E3026">
        <w:t>,</w:t>
      </w:r>
      <w:r w:rsidRPr="003E3026">
        <w:rPr>
          <w:rStyle w:val="FootnoteReference"/>
        </w:rPr>
        <w:footnoteReference w:id="6"/>
      </w:r>
      <w:r w:rsidRPr="00621DE3">
        <w:t xml:space="preserve"> </w:t>
      </w:r>
      <w:r>
        <w:t>the Commission determine</w:t>
      </w:r>
      <w:r w:rsidR="002C7D71">
        <w:t>d</w:t>
      </w:r>
      <w:r>
        <w:t xml:space="preserve"> the tentative selectee of Group 99 </w:t>
      </w:r>
      <w:r>
        <w:lastRenderedPageBreak/>
        <w:t xml:space="preserve">pursuant to its </w:t>
      </w:r>
      <w:r w:rsidR="002C7D71">
        <w:t>point system</w:t>
      </w:r>
      <w:r>
        <w:t xml:space="preserve"> procedures.</w:t>
      </w:r>
      <w:r>
        <w:rPr>
          <w:rStyle w:val="FootnoteReference"/>
        </w:rPr>
        <w:footnoteReference w:id="7"/>
      </w:r>
      <w:r>
        <w:t xml:space="preserve"> </w:t>
      </w:r>
      <w:r w:rsidRPr="00621DE3">
        <w:t xml:space="preserve"> </w:t>
      </w:r>
      <w:r w:rsidR="005B7B1D">
        <w:t>As</w:t>
      </w:r>
      <w:r w:rsidRPr="00621DE3">
        <w:t xml:space="preserve"> CARE</w:t>
      </w:r>
      <w:r>
        <w:t xml:space="preserve"> </w:t>
      </w:r>
      <w:r w:rsidR="002C7D71">
        <w:t xml:space="preserve">was awarded four points – </w:t>
      </w:r>
      <w:r w:rsidRPr="00621DE3">
        <w:t>two po</w:t>
      </w:r>
      <w:r>
        <w:t xml:space="preserve">ints for diversity of ownership </w:t>
      </w:r>
      <w:r w:rsidRPr="00621DE3">
        <w:t>and two for presenti</w:t>
      </w:r>
      <w:r>
        <w:t>ng the best technical proposal</w:t>
      </w:r>
      <w:r w:rsidR="002C7D71">
        <w:t xml:space="preserve"> – and n</w:t>
      </w:r>
      <w:r>
        <w:t>either Bethel</w:t>
      </w:r>
      <w:r w:rsidRPr="00621DE3">
        <w:t xml:space="preserve"> </w:t>
      </w:r>
      <w:r>
        <w:t>nor</w:t>
      </w:r>
      <w:r w:rsidRPr="00621DE3">
        <w:t xml:space="preserve"> BG</w:t>
      </w:r>
      <w:r>
        <w:t>CB were awarded any points</w:t>
      </w:r>
      <w:r w:rsidR="002C7D71">
        <w:t xml:space="preserve">, </w:t>
      </w:r>
      <w:r w:rsidRPr="00621DE3">
        <w:t xml:space="preserve">CARE was </w:t>
      </w:r>
      <w:r w:rsidR="002C7D71">
        <w:t>designated</w:t>
      </w:r>
      <w:r w:rsidRPr="00621DE3">
        <w:t xml:space="preserve"> the tentative selectee.</w:t>
      </w:r>
      <w:r>
        <w:rPr>
          <w:rStyle w:val="FootnoteReference"/>
        </w:rPr>
        <w:footnoteReference w:id="8"/>
      </w:r>
      <w:r w:rsidR="001958BA">
        <w:t xml:space="preserve">  The staff subsequently denied Bethel’s petition to deny</w:t>
      </w:r>
      <w:r w:rsidR="0066444A">
        <w:t xml:space="preserve"> the CARE Application</w:t>
      </w:r>
      <w:r w:rsidR="001958BA">
        <w:t>,</w:t>
      </w:r>
      <w:r w:rsidR="00205D52">
        <w:rPr>
          <w:rStyle w:val="FootnoteReference"/>
        </w:rPr>
        <w:footnoteReference w:id="9"/>
      </w:r>
      <w:r w:rsidR="001958BA">
        <w:t xml:space="preserve"> </w:t>
      </w:r>
      <w:r>
        <w:t>granted the CARE Application, and dismissed the Bethel Application.</w:t>
      </w:r>
      <w:r>
        <w:rPr>
          <w:rStyle w:val="FootnoteReference"/>
        </w:rPr>
        <w:footnoteReference w:id="10"/>
      </w:r>
      <w:r w:rsidR="001958BA">
        <w:t xml:space="preserve">  The staff subsequently denied Bethel’s Petition for Reconsideration</w:t>
      </w:r>
      <w:r w:rsidR="0066444A">
        <w:t xml:space="preserve"> of those actions</w:t>
      </w:r>
      <w:r w:rsidR="001958BA">
        <w:t xml:space="preserve"> (“Reconsideration Petition”)</w:t>
      </w:r>
      <w:r w:rsidR="009C05C6">
        <w:t>,</w:t>
      </w:r>
      <w:r w:rsidR="009C05C6">
        <w:rPr>
          <w:rStyle w:val="FootnoteReference"/>
        </w:rPr>
        <w:footnoteReference w:id="11"/>
      </w:r>
      <w:r w:rsidR="001958BA">
        <w:t xml:space="preserve"> and Bethel filed </w:t>
      </w:r>
      <w:r w:rsidR="0066444A">
        <w:t>the AFR</w:t>
      </w:r>
      <w:r w:rsidR="00B03062">
        <w:t xml:space="preserve"> on November 28, 2011</w:t>
      </w:r>
      <w:r w:rsidR="0066444A">
        <w:t xml:space="preserve">, which we denied by the </w:t>
      </w:r>
      <w:r w:rsidR="0066444A" w:rsidRPr="0066444A">
        <w:rPr>
          <w:i/>
        </w:rPr>
        <w:t>MO&amp;O</w:t>
      </w:r>
      <w:r w:rsidR="001958BA">
        <w:t>.</w:t>
      </w:r>
    </w:p>
    <w:p w:rsidR="002B3119" w:rsidRDefault="004775FB" w:rsidP="00C83629">
      <w:pPr>
        <w:pStyle w:val="ParaNum"/>
        <w:widowControl/>
      </w:pPr>
      <w:r>
        <w:t xml:space="preserve">On </w:t>
      </w:r>
      <w:r w:rsidR="008C6A0E">
        <w:t xml:space="preserve">November 7, 2013, CARE </w:t>
      </w:r>
      <w:r w:rsidR="00902B33">
        <w:t>applied to modify</w:t>
      </w:r>
      <w:r w:rsidR="008C6A0E">
        <w:t xml:space="preserve"> its </w:t>
      </w:r>
      <w:r w:rsidR="006C4301">
        <w:t>construction permit</w:t>
      </w:r>
      <w:r w:rsidR="008C6A0E">
        <w:t>,</w:t>
      </w:r>
      <w:r w:rsidR="00D82506">
        <w:rPr>
          <w:rStyle w:val="FootnoteReference"/>
        </w:rPr>
        <w:footnoteReference w:id="12"/>
      </w:r>
      <w:r w:rsidR="008C6A0E">
        <w:t xml:space="preserve"> </w:t>
      </w:r>
      <w:r>
        <w:t>seeking</w:t>
      </w:r>
      <w:r w:rsidR="008C6A0E">
        <w:t xml:space="preserve"> to construct a non-directional antenna at </w:t>
      </w:r>
      <w:r w:rsidR="00FB6D58">
        <w:t>a new</w:t>
      </w:r>
      <w:r w:rsidR="008C6A0E">
        <w:t xml:space="preserve"> site because it had lost its original site.</w:t>
      </w:r>
      <w:r w:rsidR="00D10403">
        <w:t xml:space="preserve">  Due to the short time remaining on its </w:t>
      </w:r>
      <w:r w:rsidR="00FB6D58">
        <w:t>c</w:t>
      </w:r>
      <w:r w:rsidR="00D10403" w:rsidRPr="000233FD">
        <w:t xml:space="preserve">onstruction </w:t>
      </w:r>
      <w:r w:rsidR="00FB6D58">
        <w:t>p</w:t>
      </w:r>
      <w:r w:rsidR="00D10403" w:rsidRPr="000233FD">
        <w:t>ermit, CARE stated that it was not feasible to design and proof a directional antenna suitable</w:t>
      </w:r>
      <w:r w:rsidR="00D10403">
        <w:t xml:space="preserve"> to a </w:t>
      </w:r>
      <w:r w:rsidR="00D10403" w:rsidRPr="000233FD">
        <w:t>new site</w:t>
      </w:r>
      <w:r w:rsidR="00D10403">
        <w:t xml:space="preserve">, proposing instead </w:t>
      </w:r>
      <w:r w:rsidR="00D10403" w:rsidRPr="000233FD">
        <w:t xml:space="preserve">a site from which it could operate </w:t>
      </w:r>
      <w:r w:rsidR="00D10403">
        <w:t xml:space="preserve">a </w:t>
      </w:r>
      <w:r w:rsidR="00D10403" w:rsidRPr="000233FD">
        <w:t>non-directional antenna.</w:t>
      </w:r>
      <w:r w:rsidR="008C6A0E" w:rsidRPr="002E1E1B">
        <w:t xml:space="preserve">  </w:t>
      </w:r>
      <w:r w:rsidR="008C6A0E">
        <w:t xml:space="preserve">The Modification </w:t>
      </w:r>
      <w:r w:rsidR="0091510C">
        <w:t xml:space="preserve">Application </w:t>
      </w:r>
      <w:r w:rsidR="008C6A0E">
        <w:t>was granted December 2, 20</w:t>
      </w:r>
      <w:r w:rsidR="008C6A0E" w:rsidRPr="002E1E1B">
        <w:t>13</w:t>
      </w:r>
      <w:r w:rsidR="008C6A0E">
        <w:t>, without challenge from Bethel</w:t>
      </w:r>
      <w:r w:rsidR="008C6A0E" w:rsidRPr="002E1E1B">
        <w:t>.</w:t>
      </w:r>
      <w:r w:rsidR="008C6A0E">
        <w:rPr>
          <w:rStyle w:val="FootnoteReference"/>
        </w:rPr>
        <w:footnoteReference w:id="13"/>
      </w:r>
      <w:r w:rsidR="008C6A0E">
        <w:t xml:space="preserve">  However, o</w:t>
      </w:r>
      <w:r w:rsidR="0091510C">
        <w:t>n December 23, 2013, CARE’s c</w:t>
      </w:r>
      <w:r w:rsidR="008C6A0E">
        <w:t xml:space="preserve">onstruction </w:t>
      </w:r>
      <w:r w:rsidR="0091510C">
        <w:t>p</w:t>
      </w:r>
      <w:r w:rsidR="008C6A0E">
        <w:t xml:space="preserve">ermit expired without </w:t>
      </w:r>
      <w:r w:rsidR="0091510C">
        <w:t>CARE</w:t>
      </w:r>
      <w:r w:rsidR="008C6A0E">
        <w:t xml:space="preserve"> having constructed the proposed facilities or requested tolling. </w:t>
      </w:r>
      <w:r w:rsidR="008C6A0E" w:rsidRPr="009C5BEF">
        <w:t xml:space="preserve"> </w:t>
      </w:r>
      <w:r w:rsidR="000576E0">
        <w:t xml:space="preserve">On August 4, 2014, we released the </w:t>
      </w:r>
      <w:r w:rsidR="000576E0" w:rsidRPr="003F485B">
        <w:rPr>
          <w:i/>
        </w:rPr>
        <w:t>MO&amp;O</w:t>
      </w:r>
      <w:r w:rsidR="000576E0">
        <w:t>, concluding that Bethel</w:t>
      </w:r>
      <w:r w:rsidR="006C4301">
        <w:t xml:space="preserve"> had</w:t>
      </w:r>
      <w:r w:rsidR="000576E0">
        <w:t xml:space="preserve"> failed to demonstrate staff error</w:t>
      </w:r>
      <w:r w:rsidR="006C4301">
        <w:t xml:space="preserve"> in the </w:t>
      </w:r>
      <w:r w:rsidR="006C4301" w:rsidRPr="006C4301">
        <w:rPr>
          <w:i/>
        </w:rPr>
        <w:t>Reconsideration Decision</w:t>
      </w:r>
      <w:r w:rsidR="00B25C70">
        <w:t>,</w:t>
      </w:r>
      <w:r w:rsidR="007F385E">
        <w:t xml:space="preserve"> and therefore denied</w:t>
      </w:r>
      <w:r w:rsidR="000576E0">
        <w:t xml:space="preserve"> the AFR.</w:t>
      </w:r>
      <w:r w:rsidR="000576E0" w:rsidRPr="00595BF9">
        <w:rPr>
          <w:rStyle w:val="FootnoteReference"/>
          <w:sz w:val="22"/>
          <w:szCs w:val="22"/>
        </w:rPr>
        <w:footnoteReference w:id="14"/>
      </w:r>
      <w:r w:rsidR="000576E0">
        <w:t xml:space="preserve">  Bethel timely filed the Petition on September 3, 2014.</w:t>
      </w:r>
    </w:p>
    <w:p w:rsidR="001F6B8B" w:rsidRDefault="001F6B8B" w:rsidP="00C83629">
      <w:pPr>
        <w:pStyle w:val="Heading1"/>
        <w:widowControl/>
      </w:pPr>
      <w:r>
        <w:t>DISCUSSION</w:t>
      </w:r>
    </w:p>
    <w:p w:rsidR="001F6B8B" w:rsidRDefault="000576E0" w:rsidP="00362094">
      <w:pPr>
        <w:pStyle w:val="ParaNum"/>
        <w:widowControl/>
      </w:pPr>
      <w:r>
        <w:t xml:space="preserve">In the instant Petition, Bethel claims </w:t>
      </w:r>
      <w:r w:rsidR="006C4301">
        <w:t xml:space="preserve">that </w:t>
      </w:r>
      <w:r>
        <w:t xml:space="preserve">the </w:t>
      </w:r>
      <w:r w:rsidR="006C4301">
        <w:t xml:space="preserve">filing of the Modification Application and the </w:t>
      </w:r>
      <w:r>
        <w:t xml:space="preserve">expiration of CARE’s construction permit </w:t>
      </w:r>
      <w:r w:rsidR="006C4301">
        <w:t>are</w:t>
      </w:r>
      <w:r>
        <w:t xml:space="preserve"> </w:t>
      </w:r>
      <w:r w:rsidR="00BC313C">
        <w:t>“</w:t>
      </w:r>
      <w:r>
        <w:t>new fact</w:t>
      </w:r>
      <w:r w:rsidR="006C4301">
        <w:t>s</w:t>
      </w:r>
      <w:r w:rsidR="00BC313C">
        <w:t>”</w:t>
      </w:r>
      <w:r>
        <w:t xml:space="preserve"> compelling reconsideration.</w:t>
      </w:r>
      <w:r>
        <w:rPr>
          <w:rStyle w:val="FootnoteReference"/>
        </w:rPr>
        <w:footnoteReference w:id="15"/>
      </w:r>
      <w:r>
        <w:t xml:space="preserve">  Bethel argues that in the Modification Application CARE “explicitly acknowledged that ‘building and proofing a directional antenna has become technically unfeasible,’” and further contends that CARE’s failure to construct is “the </w:t>
      </w:r>
      <w:r w:rsidRPr="009C05C6">
        <w:rPr>
          <w:i/>
        </w:rPr>
        <w:t>ultimate</w:t>
      </w:r>
      <w:r>
        <w:t xml:space="preserve"> demonstration of failure to prosecute.”</w:t>
      </w:r>
      <w:r>
        <w:rPr>
          <w:rStyle w:val="FootnoteReference"/>
        </w:rPr>
        <w:footnoteReference w:id="16"/>
      </w:r>
      <w:r>
        <w:t xml:space="preserve">  Bethel </w:t>
      </w:r>
      <w:r w:rsidR="001958BA">
        <w:t>also argues</w:t>
      </w:r>
      <w:r>
        <w:t xml:space="preserve"> that, because the CARE permit expired before the </w:t>
      </w:r>
      <w:r w:rsidRPr="009C05C6">
        <w:rPr>
          <w:i/>
        </w:rPr>
        <w:t>MO&amp;O</w:t>
      </w:r>
      <w:r>
        <w:t xml:space="preserve"> was released, Bethel’s application was </w:t>
      </w:r>
      <w:r w:rsidR="00727030">
        <w:t xml:space="preserve">still </w:t>
      </w:r>
      <w:r>
        <w:t>pending</w:t>
      </w:r>
      <w:r w:rsidR="006C4301">
        <w:t xml:space="preserve"> due to its repeated appeals</w:t>
      </w:r>
      <w:r>
        <w:t xml:space="preserve">, </w:t>
      </w:r>
      <w:r w:rsidR="006C4301">
        <w:t>thus requiring</w:t>
      </w:r>
      <w:r>
        <w:t xml:space="preserve"> that </w:t>
      </w:r>
      <w:r w:rsidR="00727030">
        <w:t>we</w:t>
      </w:r>
      <w:r>
        <w:t xml:space="preserve"> reverse </w:t>
      </w:r>
      <w:r w:rsidR="00727030">
        <w:t>our</w:t>
      </w:r>
      <w:r>
        <w:t xml:space="preserve"> decision and </w:t>
      </w:r>
      <w:r w:rsidRPr="00491D5E">
        <w:t>reinstate</w:t>
      </w:r>
      <w:r>
        <w:t xml:space="preserve"> and grant </w:t>
      </w:r>
      <w:r w:rsidR="000500C1">
        <w:t>its</w:t>
      </w:r>
      <w:r w:rsidR="00F20606">
        <w:t xml:space="preserve"> application</w:t>
      </w:r>
      <w:r>
        <w:t>.</w:t>
      </w:r>
      <w:r>
        <w:rPr>
          <w:rStyle w:val="FootnoteReference"/>
        </w:rPr>
        <w:footnoteReference w:id="17"/>
      </w:r>
      <w:r w:rsidR="009C05C6">
        <w:t xml:space="preserve">  </w:t>
      </w:r>
      <w:r w:rsidR="00C83629">
        <w:t xml:space="preserve">Bethel brings its Petition under </w:t>
      </w:r>
      <w:r w:rsidR="004C23EB">
        <w:t xml:space="preserve">Section </w:t>
      </w:r>
      <w:r w:rsidR="004C23EB" w:rsidRPr="005A5A10">
        <w:t>1.106(b)(2)</w:t>
      </w:r>
      <w:r w:rsidR="00C83629">
        <w:t>(i)</w:t>
      </w:r>
      <w:r w:rsidR="004C23EB" w:rsidRPr="005A5A10">
        <w:t xml:space="preserve"> of </w:t>
      </w:r>
      <w:r w:rsidR="004C23EB">
        <w:t>our</w:t>
      </w:r>
      <w:r w:rsidR="004C23EB" w:rsidRPr="005A5A10">
        <w:t xml:space="preserve"> </w:t>
      </w:r>
      <w:r w:rsidR="004C23EB">
        <w:t>R</w:t>
      </w:r>
      <w:r w:rsidR="004C23EB" w:rsidRPr="005A5A10">
        <w:t>ules</w:t>
      </w:r>
      <w:r w:rsidR="00C83629">
        <w:t>, which</w:t>
      </w:r>
      <w:r w:rsidR="004C23EB" w:rsidRPr="005A5A10">
        <w:t xml:space="preserve"> provides that a petition for reconsideration will be entertained only if “[t]he petition relies on facts or arguments which relate to events which have occurred or circumstances which have changed since the last opportunity to present </w:t>
      </w:r>
      <w:r w:rsidR="00C83629">
        <w:lastRenderedPageBreak/>
        <w:t>such matters to the Commission.”</w:t>
      </w:r>
      <w:r w:rsidR="004C23EB">
        <w:rPr>
          <w:rStyle w:val="FootnoteReference"/>
        </w:rPr>
        <w:footnoteReference w:id="18"/>
      </w:r>
      <w:r w:rsidR="004C23EB" w:rsidRPr="00470C59">
        <w:t xml:space="preserve"> </w:t>
      </w:r>
      <w:r w:rsidR="004C23EB">
        <w:t xml:space="preserve"> </w:t>
      </w:r>
      <w:r w:rsidR="004C23EB" w:rsidRPr="000D6130">
        <w:t>A petition that fails to introduce relevant new facts or changed circumstances may be dismissed as repetitious</w:t>
      </w:r>
      <w:r w:rsidR="004C23EB">
        <w:t>.</w:t>
      </w:r>
      <w:r w:rsidR="004C23EB">
        <w:rPr>
          <w:rStyle w:val="FootnoteReference"/>
        </w:rPr>
        <w:footnoteReference w:id="19"/>
      </w:r>
      <w:r w:rsidR="00004166">
        <w:t xml:space="preserve">  Moreover, it is settled Commission policy that a petition for reconsideration is not to be used to re-argue points already argued and rejected.</w:t>
      </w:r>
      <w:r w:rsidR="00004166">
        <w:rPr>
          <w:rStyle w:val="FootnoteReference"/>
        </w:rPr>
        <w:footnoteReference w:id="20"/>
      </w:r>
    </w:p>
    <w:p w:rsidR="001958BA" w:rsidRDefault="00CE21DE" w:rsidP="00C83629">
      <w:pPr>
        <w:pStyle w:val="ParaNum"/>
        <w:widowControl/>
      </w:pPr>
      <w:r>
        <w:t>Although Bethel raises questions regarding CARE’s Modification Application,</w:t>
      </w:r>
      <w:r>
        <w:rPr>
          <w:rStyle w:val="FootnoteReference"/>
        </w:rPr>
        <w:footnoteReference w:id="21"/>
      </w:r>
      <w:r>
        <w:t xml:space="preserve"> it does not show why these facts could not have been raised in either an objection to the Modification Application or in a prior pleading.  </w:t>
      </w:r>
      <w:r w:rsidR="001843BB">
        <w:t xml:space="preserve">In particular, we note that CARE filed its Modification Application and CARE’s construction permit expired more than seven months before the Commission ruled on Bethel’s AFR.  </w:t>
      </w:r>
      <w:r>
        <w:t>We thus reject these arguments for reconsideration purposes.</w:t>
      </w:r>
      <w:r>
        <w:rPr>
          <w:rStyle w:val="FootnoteReference"/>
        </w:rPr>
        <w:footnoteReference w:id="22"/>
      </w:r>
      <w:r>
        <w:t xml:space="preserve">  </w:t>
      </w:r>
      <w:r w:rsidR="001843BB">
        <w:t xml:space="preserve">As a separate and independent ground for rejecting Bethel’s Petition, we do not agree with </w:t>
      </w:r>
      <w:r w:rsidR="001958BA">
        <w:t xml:space="preserve">Bethel’s claim that the </w:t>
      </w:r>
      <w:r w:rsidR="00BC313C">
        <w:t>“</w:t>
      </w:r>
      <w:r w:rsidR="001958BA">
        <w:t>new fact</w:t>
      </w:r>
      <w:r w:rsidR="00BC313C">
        <w:t>”</w:t>
      </w:r>
      <w:r w:rsidR="001958BA">
        <w:t xml:space="preserve"> of the CARE permit expiration </w:t>
      </w:r>
      <w:r w:rsidR="00BC313C">
        <w:t>demonstrates error in either the Bureau’s or our review of its arguments.</w:t>
      </w:r>
      <w:r w:rsidR="00B0357D">
        <w:rPr>
          <w:rStyle w:val="FootnoteReference"/>
        </w:rPr>
        <w:footnoteReference w:id="23"/>
      </w:r>
      <w:r w:rsidR="001958BA">
        <w:t xml:space="preserve">  Because CARE modified its permit to specify a</w:t>
      </w:r>
      <w:r w:rsidR="00B0357D">
        <w:t xml:space="preserve"> new site and a</w:t>
      </w:r>
      <w:r w:rsidR="001958BA">
        <w:t xml:space="preserve"> non-directional antenna – with no </w:t>
      </w:r>
      <w:r w:rsidR="000762F4">
        <w:t>challenge</w:t>
      </w:r>
      <w:r w:rsidR="001958BA">
        <w:t xml:space="preserve"> from Bethel – the permit that expired is not the one </w:t>
      </w:r>
      <w:r w:rsidR="000762F4">
        <w:t>to which</w:t>
      </w:r>
      <w:r w:rsidR="001958BA">
        <w:t xml:space="preserve"> Bethel </w:t>
      </w:r>
      <w:r w:rsidR="000762F4">
        <w:t>objected</w:t>
      </w:r>
      <w:r w:rsidR="00B0357D">
        <w:t xml:space="preserve"> in its petition to deny or other pleadings.  T</w:t>
      </w:r>
      <w:r w:rsidR="001958BA">
        <w:t xml:space="preserve">hus the fact of the expiration does not </w:t>
      </w:r>
      <w:r w:rsidR="00B0357D">
        <w:t>undermine the basis for denying</w:t>
      </w:r>
      <w:r w:rsidR="001958BA">
        <w:t xml:space="preserve"> Bethel’s petition to deny.  Likewise, we find no merit in Bethel’s failure to prosecute claim.  Failure to construct is not failure to prosecute, and although CARE did not respond to </w:t>
      </w:r>
      <w:r w:rsidR="00205D52">
        <w:t xml:space="preserve">the staff’s </w:t>
      </w:r>
      <w:r w:rsidR="000762F4" w:rsidRPr="000762F4">
        <w:rPr>
          <w:i/>
        </w:rPr>
        <w:t>Inquiry Letter</w:t>
      </w:r>
      <w:r w:rsidR="00B0357D">
        <w:t>,</w:t>
      </w:r>
      <w:r w:rsidR="00205D52">
        <w:t xml:space="preserve"> it did take steps toward construction,</w:t>
      </w:r>
      <w:r w:rsidR="00D943F2">
        <w:rPr>
          <w:rStyle w:val="FootnoteReference"/>
        </w:rPr>
        <w:footnoteReference w:id="24"/>
      </w:r>
      <w:r w:rsidR="00205D52">
        <w:t xml:space="preserve"> even </w:t>
      </w:r>
      <w:r w:rsidR="00B0357D">
        <w:t>though</w:t>
      </w:r>
      <w:r w:rsidR="00205D52">
        <w:t xml:space="preserve"> they were ultimately unsuccessful.  </w:t>
      </w:r>
      <w:r w:rsidR="006D1B92">
        <w:t>Moreover, notwithstanding CARE’s failure to have responded to the Bethel petition to deny, the Bureau’s own analysis of Bethel’s allegations led it to conclude that they were without basis.</w:t>
      </w:r>
      <w:r w:rsidR="006D1B92">
        <w:rPr>
          <w:rStyle w:val="FootnoteReference"/>
        </w:rPr>
        <w:footnoteReference w:id="25"/>
      </w:r>
      <w:r w:rsidR="006D1B92">
        <w:t xml:space="preserve">  Bethel has thus failed to demonstrate the circumstances</w:t>
      </w:r>
      <w:r w:rsidR="00205D52">
        <w:t xml:space="preserve"> necessary to find failure to prosecute.</w:t>
      </w:r>
      <w:r w:rsidR="00205D52">
        <w:rPr>
          <w:rStyle w:val="FootnoteReference"/>
        </w:rPr>
        <w:footnoteReference w:id="26"/>
      </w:r>
    </w:p>
    <w:p w:rsidR="00FE624A" w:rsidRDefault="006D1B92" w:rsidP="00C83629">
      <w:pPr>
        <w:pStyle w:val="ParaNum"/>
        <w:widowControl/>
      </w:pPr>
      <w:r>
        <w:t>Finally</w:t>
      </w:r>
      <w:r w:rsidR="009C05C6">
        <w:t xml:space="preserve">, </w:t>
      </w:r>
      <w:r w:rsidR="00DB3EF5">
        <w:t>w</w:t>
      </w:r>
      <w:r w:rsidR="00EA6275">
        <w:t xml:space="preserve">e reject Bethel’s attempt to revive its own Group 99 application </w:t>
      </w:r>
      <w:r w:rsidR="00447157">
        <w:t>based on</w:t>
      </w:r>
      <w:r w:rsidR="00EA6275">
        <w:t xml:space="preserve"> its </w:t>
      </w:r>
      <w:r w:rsidR="00F1094C">
        <w:t xml:space="preserve">“last applicant standing” argument, </w:t>
      </w:r>
      <w:r w:rsidR="009C05C6">
        <w:t xml:space="preserve">through which it contends that forestalling the finality </w:t>
      </w:r>
      <w:r w:rsidR="0079784B">
        <w:t>of</w:t>
      </w:r>
      <w:r w:rsidR="00F1094C">
        <w:t xml:space="preserve"> </w:t>
      </w:r>
      <w:r>
        <w:t xml:space="preserve">the dismissal of </w:t>
      </w:r>
      <w:r w:rsidR="00F1094C">
        <w:t>its own application</w:t>
      </w:r>
      <w:r w:rsidR="00F0547C">
        <w:t>,</w:t>
      </w:r>
      <w:r w:rsidR="00F1094C">
        <w:t xml:space="preserve"> </w:t>
      </w:r>
      <w:r w:rsidR="009C05C6">
        <w:t>by filing</w:t>
      </w:r>
      <w:r w:rsidR="007E0D8E">
        <w:t xml:space="preserve"> the various pleadings </w:t>
      </w:r>
      <w:r w:rsidR="0079784B">
        <w:t xml:space="preserve">and appeals </w:t>
      </w:r>
      <w:r w:rsidR="009C05C6">
        <w:t>noted</w:t>
      </w:r>
      <w:r w:rsidR="007E0D8E">
        <w:t xml:space="preserve"> herein</w:t>
      </w:r>
      <w:r>
        <w:t xml:space="preserve"> – each rejected by the Bureau – </w:t>
      </w:r>
      <w:r w:rsidR="00F0547C">
        <w:t xml:space="preserve">now entitles it </w:t>
      </w:r>
      <w:r w:rsidR="00F1094C">
        <w:t xml:space="preserve">to </w:t>
      </w:r>
      <w:r w:rsidR="00831AFF">
        <w:t>replace CARE</w:t>
      </w:r>
      <w:r w:rsidR="00F1094C">
        <w:t xml:space="preserve"> as the tentative selectee.</w:t>
      </w:r>
      <w:r w:rsidR="002C4AF2">
        <w:rPr>
          <w:rStyle w:val="FootnoteReference"/>
        </w:rPr>
        <w:footnoteReference w:id="27"/>
      </w:r>
      <w:r w:rsidR="00F1094C">
        <w:t xml:space="preserve">  </w:t>
      </w:r>
      <w:r w:rsidR="00835692">
        <w:t xml:space="preserve">Bethel </w:t>
      </w:r>
      <w:r w:rsidR="000762F4">
        <w:t xml:space="preserve">essentially </w:t>
      </w:r>
      <w:r w:rsidR="00835692">
        <w:t>argues that it</w:t>
      </w:r>
      <w:r w:rsidR="000762F4">
        <w:t xml:space="preserve"> need not prevail on the merits,</w:t>
      </w:r>
      <w:r w:rsidR="00835692">
        <w:t xml:space="preserve"> it n</w:t>
      </w:r>
      <w:r w:rsidR="009C05C6">
        <w:t>eed only outlast its competitor</w:t>
      </w:r>
      <w:r w:rsidR="00835692">
        <w:t xml:space="preserve">.  </w:t>
      </w:r>
      <w:r w:rsidR="00F1094C">
        <w:t>We disagree.</w:t>
      </w:r>
      <w:r w:rsidR="00313C19">
        <w:t xml:space="preserve">  </w:t>
      </w:r>
      <w:r w:rsidR="001843BB">
        <w:t>Bethel relies on</w:t>
      </w:r>
      <w:r w:rsidR="001843BB" w:rsidRPr="00CE3000">
        <w:t xml:space="preserve"> Section 73.7004(d) of the Rules, which provides, at the petition to deny stage, “If an applicant is found unqualified, the application shall be denied, and the applicant(s) with the next highest point tally named as the tentative selectee.”</w:t>
      </w:r>
      <w:r w:rsidR="001843BB">
        <w:rPr>
          <w:rStyle w:val="FootnoteReference"/>
        </w:rPr>
        <w:footnoteReference w:id="28"/>
      </w:r>
      <w:r w:rsidR="001843BB" w:rsidRPr="00CE3000">
        <w:t xml:space="preserve"> </w:t>
      </w:r>
      <w:r w:rsidR="001843BB">
        <w:t xml:space="preserve"> But i</w:t>
      </w:r>
      <w:r w:rsidR="001843BB" w:rsidRPr="00CE3000">
        <w:t>n light of the fact that the Bureau properly denied Bethel’s petition to deny and, in granting the CARE Application, found CARE to be qualified, this provision is inapplicable here.</w:t>
      </w:r>
      <w:r w:rsidR="001843BB">
        <w:rPr>
          <w:rStyle w:val="FootnoteReference"/>
        </w:rPr>
        <w:footnoteReference w:id="29"/>
      </w:r>
      <w:r w:rsidR="001843BB" w:rsidRPr="00CE3000">
        <w:t xml:space="preserve">  </w:t>
      </w:r>
      <w:r w:rsidR="001843BB">
        <w:t xml:space="preserve">By contrast, had </w:t>
      </w:r>
      <w:r w:rsidR="00364D15">
        <w:t>Bethel</w:t>
      </w:r>
      <w:r w:rsidR="0069578A">
        <w:t xml:space="preserve"> </w:t>
      </w:r>
      <w:r w:rsidR="00364D15">
        <w:t xml:space="preserve">successfully </w:t>
      </w:r>
      <w:r w:rsidR="000762F4">
        <w:t>shown</w:t>
      </w:r>
      <w:r w:rsidR="00364D15">
        <w:t xml:space="preserve"> an error of fact or law that </w:t>
      </w:r>
      <w:r w:rsidR="000762F4">
        <w:t xml:space="preserve">voided </w:t>
      </w:r>
      <w:r w:rsidR="00364D15">
        <w:t xml:space="preserve">the </w:t>
      </w:r>
      <w:r w:rsidR="009C05C6">
        <w:t>original</w:t>
      </w:r>
      <w:r w:rsidR="00364D15">
        <w:t xml:space="preserve"> selection of CARE </w:t>
      </w:r>
      <w:r w:rsidR="002C4AF2">
        <w:t>or grant of its Application</w:t>
      </w:r>
      <w:r w:rsidR="00DB3EF5">
        <w:t xml:space="preserve">, it might </w:t>
      </w:r>
      <w:r w:rsidR="0069578A">
        <w:t>have at least a colorable</w:t>
      </w:r>
      <w:r w:rsidR="0067462A">
        <w:t xml:space="preserve"> </w:t>
      </w:r>
      <w:r w:rsidR="00DB3EF5">
        <w:t xml:space="preserve">claim </w:t>
      </w:r>
      <w:r w:rsidR="0069578A">
        <w:t>as</w:t>
      </w:r>
      <w:r w:rsidR="00DB3EF5">
        <w:t xml:space="preserve"> the Group 99 tentative selectee</w:t>
      </w:r>
      <w:r w:rsidR="00364D15">
        <w:t>.</w:t>
      </w:r>
      <w:r w:rsidR="00624B2B">
        <w:rPr>
          <w:rStyle w:val="FootnoteReference"/>
        </w:rPr>
        <w:footnoteReference w:id="30"/>
      </w:r>
      <w:r w:rsidR="00364D15">
        <w:t xml:space="preserve">  As discussed above, however, w</w:t>
      </w:r>
      <w:r w:rsidR="00313C19">
        <w:t xml:space="preserve">e </w:t>
      </w:r>
      <w:r w:rsidR="000762F4">
        <w:t>find</w:t>
      </w:r>
      <w:r w:rsidR="00364D15">
        <w:t xml:space="preserve"> </w:t>
      </w:r>
      <w:r w:rsidR="0069578A">
        <w:t>no such error</w:t>
      </w:r>
      <w:r w:rsidR="00B947D8">
        <w:t>.</w:t>
      </w:r>
      <w:r w:rsidR="00313C19">
        <w:t xml:space="preserve">  </w:t>
      </w:r>
    </w:p>
    <w:p w:rsidR="00C44D6D" w:rsidRDefault="00364D15" w:rsidP="00C83629">
      <w:pPr>
        <w:pStyle w:val="ParaNum"/>
        <w:widowControl/>
      </w:pPr>
      <w:r>
        <w:t xml:space="preserve">The petition and review process </w:t>
      </w:r>
      <w:r w:rsidR="000B709C">
        <w:t>allows</w:t>
      </w:r>
      <w:r>
        <w:t xml:space="preserve"> interested parties to raise legitimate issues </w:t>
      </w:r>
      <w:r w:rsidR="000306DF">
        <w:t>regarding our processing of</w:t>
      </w:r>
      <w:r>
        <w:t xml:space="preserve"> </w:t>
      </w:r>
      <w:r w:rsidR="007E0D8E">
        <w:t>broadcast applications</w:t>
      </w:r>
      <w:r>
        <w:t>, and to redress genuine errors of fact, law, or procedure.</w:t>
      </w:r>
      <w:r w:rsidR="000509BF">
        <w:rPr>
          <w:rStyle w:val="FootnoteReference"/>
        </w:rPr>
        <w:footnoteReference w:id="31"/>
      </w:r>
      <w:r>
        <w:t xml:space="preserve">  </w:t>
      </w:r>
      <w:r w:rsidR="00313C19">
        <w:t xml:space="preserve">The process </w:t>
      </w:r>
      <w:r w:rsidR="00656E2F">
        <w:t>is</w:t>
      </w:r>
      <w:r w:rsidR="00313C19">
        <w:t xml:space="preserve"> not, however, </w:t>
      </w:r>
      <w:r w:rsidR="00656E2F">
        <w:t xml:space="preserve">designed to </w:t>
      </w:r>
      <w:r w:rsidR="00313C19">
        <w:t xml:space="preserve">afford </w:t>
      </w:r>
      <w:r w:rsidR="00F65D00">
        <w:t xml:space="preserve">a </w:t>
      </w:r>
      <w:r w:rsidR="00313C19">
        <w:t xml:space="preserve">disappointed applicant a </w:t>
      </w:r>
      <w:r w:rsidR="000306DF">
        <w:t>means to keep the proceeding open through the filing of mer</w:t>
      </w:r>
      <w:r w:rsidR="00D8467B">
        <w:t>itless and repetitive pleadings</w:t>
      </w:r>
      <w:r w:rsidR="000306DF">
        <w:t xml:space="preserve"> </w:t>
      </w:r>
      <w:r w:rsidR="000B709C">
        <w:t>in the hope</w:t>
      </w:r>
      <w:r w:rsidR="00313C19">
        <w:t xml:space="preserve"> that the tentative selectee will fail to build, </w:t>
      </w:r>
      <w:r w:rsidR="00D8467B">
        <w:t>allowing the petitioner</w:t>
      </w:r>
      <w:r w:rsidR="00313C19">
        <w:t xml:space="preserve"> to </w:t>
      </w:r>
      <w:r w:rsidR="002C4AF2">
        <w:t>replace</w:t>
      </w:r>
      <w:r w:rsidR="00313C19">
        <w:t xml:space="preserve"> th</w:t>
      </w:r>
      <w:r w:rsidR="002C4AF2">
        <w:t>e original tentative selectee</w:t>
      </w:r>
      <w:r w:rsidR="00313C19">
        <w:t xml:space="preserve">.  This </w:t>
      </w:r>
      <w:r w:rsidR="00D8467B">
        <w:t>constitutes</w:t>
      </w:r>
      <w:r w:rsidR="00313C19">
        <w:t xml:space="preserve"> misuse of the Commission’s processes</w:t>
      </w:r>
      <w:r w:rsidR="00D8467B">
        <w:t xml:space="preserve"> that wastes limited staff resources</w:t>
      </w:r>
      <w:r w:rsidR="00313C19">
        <w:t xml:space="preserve">.  To hold otherwise would be to encourage </w:t>
      </w:r>
      <w:r w:rsidR="00313C19" w:rsidRPr="002C4AF2">
        <w:rPr>
          <w:i/>
        </w:rPr>
        <w:t>all</w:t>
      </w:r>
      <w:r w:rsidR="00313C19">
        <w:t xml:space="preserve"> </w:t>
      </w:r>
      <w:r w:rsidR="0079784B">
        <w:t xml:space="preserve">unsuccessful </w:t>
      </w:r>
      <w:r w:rsidR="00313C19">
        <w:t>applicants to file petitions to deny or informal objections against thei</w:t>
      </w:r>
      <w:r w:rsidR="00106F6D">
        <w:t xml:space="preserve">r successful </w:t>
      </w:r>
      <w:r w:rsidR="001506AF">
        <w:t>competitors</w:t>
      </w:r>
      <w:r w:rsidR="00106F6D">
        <w:t xml:space="preserve"> – </w:t>
      </w:r>
      <w:r w:rsidR="000C490A">
        <w:t xml:space="preserve">not to </w:t>
      </w:r>
      <w:r w:rsidR="007E0D8E">
        <w:t>raise</w:t>
      </w:r>
      <w:r w:rsidR="000C490A">
        <w:t xml:space="preserve"> genuine </w:t>
      </w:r>
      <w:r w:rsidR="007E0D8E">
        <w:t>issues</w:t>
      </w:r>
      <w:r w:rsidR="00D72D05">
        <w:t>,</w:t>
      </w:r>
      <w:r w:rsidR="000C490A">
        <w:t xml:space="preserve"> but </w:t>
      </w:r>
      <w:r w:rsidR="00313C19">
        <w:t>merely as placeholders in the event that the prevailing applicant</w:t>
      </w:r>
      <w:r w:rsidR="0067462A">
        <w:t>s</w:t>
      </w:r>
      <w:r w:rsidR="00313C19">
        <w:t xml:space="preserve"> should ultimately fail to </w:t>
      </w:r>
      <w:r w:rsidR="00656E2F">
        <w:t>construct</w:t>
      </w:r>
      <w:r w:rsidR="00313C19">
        <w:t>.</w:t>
      </w:r>
    </w:p>
    <w:p w:rsidR="00064B8B" w:rsidRDefault="00064B8B" w:rsidP="00C83629">
      <w:pPr>
        <w:pStyle w:val="Heading1"/>
        <w:widowControl/>
      </w:pPr>
      <w:r>
        <w:t>ORDERING CLAUSE</w:t>
      </w:r>
    </w:p>
    <w:p w:rsidR="002D53EC" w:rsidRDefault="00B10C98" w:rsidP="002D53EC">
      <w:pPr>
        <w:pStyle w:val="ParaNum"/>
        <w:widowControl/>
      </w:pPr>
      <w:r w:rsidRPr="00595BF9">
        <w:t>ACCORDINGLY, IT IS ORDERED that</w:t>
      </w:r>
      <w:r w:rsidR="00D8467B">
        <w:t>, pursuant to Section 405 of the Communications Act of 1934, as amended,</w:t>
      </w:r>
      <w:r w:rsidR="00D8467B">
        <w:rPr>
          <w:rStyle w:val="FootnoteReference"/>
        </w:rPr>
        <w:footnoteReference w:id="32"/>
      </w:r>
      <w:r w:rsidR="00D8467B">
        <w:t xml:space="preserve"> and Sections 1.106(b)(2), (b)(3), and (j) of the Commission’s Rules,</w:t>
      </w:r>
      <w:r w:rsidR="00D8467B">
        <w:rPr>
          <w:rStyle w:val="FootnoteReference"/>
        </w:rPr>
        <w:footnoteReference w:id="33"/>
      </w:r>
      <w:r w:rsidRPr="00595BF9">
        <w:t xml:space="preserve"> the </w:t>
      </w:r>
      <w:r>
        <w:t>Petition for Reconsideration</w:t>
      </w:r>
      <w:r w:rsidRPr="00595BF9">
        <w:t xml:space="preserve"> filed by </w:t>
      </w:r>
      <w:r>
        <w:t>Bethel Fellowship, Inc. on September 3, 2014</w:t>
      </w:r>
      <w:r w:rsidRPr="00595BF9">
        <w:t xml:space="preserve">, IS </w:t>
      </w:r>
      <w:r w:rsidR="00BF0874">
        <w:t>DISMISSED</w:t>
      </w:r>
      <w:r w:rsidR="00D8467B">
        <w:t xml:space="preserve"> to the extent that it raises new arguments or fails to cite any relevant new facts, and otherwise IS DENIED</w:t>
      </w:r>
      <w:r w:rsidRPr="00595BF9">
        <w:t>.</w:t>
      </w:r>
    </w:p>
    <w:p w:rsidR="002D53EC" w:rsidRDefault="002D53EC" w:rsidP="0017296B">
      <w:r>
        <w:tab/>
      </w:r>
      <w:r>
        <w:tab/>
      </w:r>
      <w:r>
        <w:tab/>
      </w:r>
      <w:r>
        <w:tab/>
      </w:r>
      <w:r>
        <w:tab/>
      </w:r>
      <w:r>
        <w:tab/>
        <w:t>FEDERAL COMMUNICATIONS COMMISSION</w:t>
      </w:r>
    </w:p>
    <w:p w:rsidR="002D53EC" w:rsidRDefault="002D53EC" w:rsidP="0017296B"/>
    <w:p w:rsidR="002D53EC" w:rsidRDefault="002D53EC" w:rsidP="0017296B"/>
    <w:p w:rsidR="002D53EC" w:rsidRDefault="002D53EC" w:rsidP="0017296B"/>
    <w:p w:rsidR="002D53EC" w:rsidRDefault="002D53EC" w:rsidP="0017296B"/>
    <w:p w:rsidR="002D53EC" w:rsidRDefault="002D53EC" w:rsidP="0017296B">
      <w:r>
        <w:tab/>
      </w:r>
      <w:r>
        <w:tab/>
      </w:r>
      <w:r>
        <w:tab/>
      </w:r>
      <w:r>
        <w:tab/>
      </w:r>
      <w:r>
        <w:tab/>
      </w:r>
      <w:r>
        <w:tab/>
        <w:t>Marlene H. Dortch</w:t>
      </w:r>
    </w:p>
    <w:p w:rsidR="002D53EC" w:rsidRDefault="002D53EC" w:rsidP="0017296B">
      <w:r>
        <w:tab/>
      </w:r>
      <w:r>
        <w:tab/>
      </w:r>
      <w:r>
        <w:tab/>
      </w:r>
      <w:r>
        <w:tab/>
      </w:r>
      <w:r>
        <w:tab/>
      </w:r>
      <w:r>
        <w:tab/>
        <w:t>Secretary</w:t>
      </w:r>
    </w:p>
    <w:sectPr w:rsidR="002D53E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52" w:rsidRDefault="00D62252">
      <w:pPr>
        <w:spacing w:line="20" w:lineRule="exact"/>
      </w:pPr>
    </w:p>
  </w:endnote>
  <w:endnote w:type="continuationSeparator" w:id="0">
    <w:p w:rsidR="00D62252" w:rsidRDefault="00D62252">
      <w:r>
        <w:t xml:space="preserve"> </w:t>
      </w:r>
    </w:p>
  </w:endnote>
  <w:endnote w:type="continuationNotice" w:id="1">
    <w:p w:rsidR="00D62252" w:rsidRDefault="00D622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750D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52" w:rsidRDefault="00D62252">
      <w:r>
        <w:separator/>
      </w:r>
    </w:p>
  </w:footnote>
  <w:footnote w:type="continuationSeparator" w:id="0">
    <w:p w:rsidR="00D62252" w:rsidRDefault="00D62252" w:rsidP="00C721AC">
      <w:pPr>
        <w:spacing w:before="120"/>
        <w:rPr>
          <w:sz w:val="20"/>
        </w:rPr>
      </w:pPr>
      <w:r>
        <w:rPr>
          <w:sz w:val="20"/>
        </w:rPr>
        <w:t xml:space="preserve">(Continued from previous page)  </w:t>
      </w:r>
      <w:r>
        <w:rPr>
          <w:sz w:val="20"/>
        </w:rPr>
        <w:separator/>
      </w:r>
    </w:p>
  </w:footnote>
  <w:footnote w:type="continuationNotice" w:id="1">
    <w:p w:rsidR="00D62252" w:rsidRDefault="00D62252" w:rsidP="00C721AC">
      <w:pPr>
        <w:jc w:val="right"/>
        <w:rPr>
          <w:sz w:val="20"/>
        </w:rPr>
      </w:pPr>
      <w:r>
        <w:rPr>
          <w:sz w:val="20"/>
        </w:rPr>
        <w:t>(continued….)</w:t>
      </w:r>
    </w:p>
  </w:footnote>
  <w:footnote w:id="2">
    <w:p w:rsidR="00FC7B79" w:rsidRPr="009C5BEF" w:rsidRDefault="00FC7B79" w:rsidP="00FC7B79">
      <w:pPr>
        <w:pStyle w:val="FootnoteText"/>
      </w:pPr>
      <w:r>
        <w:rPr>
          <w:rStyle w:val="FootnoteReference"/>
        </w:rPr>
        <w:footnoteRef/>
      </w:r>
      <w:r>
        <w:t xml:space="preserve"> </w:t>
      </w:r>
      <w:r w:rsidRPr="00990D2A">
        <w:rPr>
          <w:i/>
        </w:rPr>
        <w:t>California Association for Research and Education</w:t>
      </w:r>
      <w:r>
        <w:rPr>
          <w:i/>
        </w:rPr>
        <w:t xml:space="preserve"> Inc. and</w:t>
      </w:r>
      <w:r w:rsidRPr="00990D2A">
        <w:rPr>
          <w:i/>
        </w:rPr>
        <w:t xml:space="preserve"> Bethel Fellowship, Inc</w:t>
      </w:r>
      <w:r w:rsidRPr="00990D2A">
        <w:t>., Memorandum Opinion and Order</w:t>
      </w:r>
      <w:r>
        <w:t>,</w:t>
      </w:r>
      <w:r w:rsidRPr="00990D2A">
        <w:t xml:space="preserve"> </w:t>
      </w:r>
      <w:r w:rsidRPr="00BD6736">
        <w:t>29 FCC Rcd 9739</w:t>
      </w:r>
      <w:r>
        <w:t xml:space="preserve"> (2014) (“</w:t>
      </w:r>
      <w:r w:rsidRPr="00F978DB">
        <w:rPr>
          <w:i/>
        </w:rPr>
        <w:t>MO&amp;O</w:t>
      </w:r>
      <w:r>
        <w:t>”).</w:t>
      </w:r>
    </w:p>
  </w:footnote>
  <w:footnote w:id="3">
    <w:p w:rsidR="00FC7B79" w:rsidRPr="007C017E" w:rsidRDefault="00FC7B79" w:rsidP="00FC7B79">
      <w:pPr>
        <w:pStyle w:val="FootnoteText"/>
      </w:pPr>
      <w:r w:rsidRPr="00FD5A10">
        <w:rPr>
          <w:rStyle w:val="FootnoteReference"/>
        </w:rPr>
        <w:footnoteRef/>
      </w:r>
      <w:r w:rsidRPr="00FD5A10">
        <w:t xml:space="preserve"> </w:t>
      </w:r>
      <w:r>
        <w:rPr>
          <w:i/>
        </w:rPr>
        <w:t xml:space="preserve">See Daniel Steffy, </w:t>
      </w:r>
      <w:r>
        <w:t xml:space="preserve">Letter, Ref. No. 1800B3-VMM (MB Oct. 27, 2011) </w:t>
      </w:r>
      <w:r w:rsidRPr="00FD5A10">
        <w:t>(“</w:t>
      </w:r>
      <w:r>
        <w:rPr>
          <w:i/>
        </w:rPr>
        <w:t xml:space="preserve">Reconsideration </w:t>
      </w:r>
      <w:r w:rsidRPr="00FD5A10">
        <w:rPr>
          <w:i/>
        </w:rPr>
        <w:t>Decision</w:t>
      </w:r>
      <w:r>
        <w:t xml:space="preserve">”); </w:t>
      </w:r>
      <w:r>
        <w:rPr>
          <w:i/>
        </w:rPr>
        <w:t xml:space="preserve">Daniel Steffy, </w:t>
      </w:r>
      <w:r w:rsidRPr="00E0592E">
        <w:t>Letter, Ref. No. 1800B3-JSP (MB Dec. 23, 2010</w:t>
      </w:r>
      <w:r>
        <w:t>)</w:t>
      </w:r>
      <w:r w:rsidRPr="00FD5A10">
        <w:t xml:space="preserve"> (“</w:t>
      </w:r>
      <w:r>
        <w:rPr>
          <w:i/>
        </w:rPr>
        <w:t xml:space="preserve">Staff </w:t>
      </w:r>
      <w:r w:rsidRPr="00FD5A10">
        <w:rPr>
          <w:i/>
        </w:rPr>
        <w:t>Decision</w:t>
      </w:r>
      <w:r w:rsidRPr="00FD5A10">
        <w:t>”).</w:t>
      </w:r>
      <w:r>
        <w:t xml:space="preserve">  </w:t>
      </w:r>
    </w:p>
  </w:footnote>
  <w:footnote w:id="4">
    <w:p w:rsidR="00FC7B79" w:rsidRDefault="00FC7B79" w:rsidP="00FC7B79">
      <w:pPr>
        <w:pStyle w:val="FootnoteText"/>
      </w:pPr>
      <w:r>
        <w:rPr>
          <w:rStyle w:val="FootnoteReference"/>
        </w:rPr>
        <w:footnoteRef/>
      </w:r>
      <w:r w:rsidR="0066444A">
        <w:t xml:space="preserve"> 47 C.F.R. §§ 1.106(b</w:t>
      </w:r>
      <w:r>
        <w:t>)</w:t>
      </w:r>
      <w:r w:rsidR="00C67F14">
        <w:t>(</w:t>
      </w:r>
      <w:r w:rsidR="0066444A">
        <w:t>2</w:t>
      </w:r>
      <w:r w:rsidR="00C67F14">
        <w:t>)</w:t>
      </w:r>
      <w:r w:rsidR="0066444A">
        <w:t xml:space="preserve">, (b)(3), </w:t>
      </w:r>
      <w:r w:rsidR="00B02B71">
        <w:t xml:space="preserve">and </w:t>
      </w:r>
      <w:r w:rsidR="0066444A">
        <w:t>(j)</w:t>
      </w:r>
      <w:r>
        <w:t>.</w:t>
      </w:r>
    </w:p>
  </w:footnote>
  <w:footnote w:id="5">
    <w:p w:rsidR="00FC7B79" w:rsidRPr="00621DE3" w:rsidRDefault="00FC7B79" w:rsidP="00FC7B79">
      <w:pPr>
        <w:pStyle w:val="FootnoteText"/>
      </w:pPr>
      <w:r w:rsidRPr="00621DE3">
        <w:rPr>
          <w:rStyle w:val="FootnoteReference"/>
        </w:rPr>
        <w:footnoteRef/>
      </w:r>
      <w:r w:rsidRPr="00621DE3">
        <w:t xml:space="preserve"> </w:t>
      </w:r>
      <w:r>
        <w:rPr>
          <w:i/>
        </w:rPr>
        <w:t xml:space="preserve">See </w:t>
      </w:r>
      <w:r w:rsidRPr="00ED0A5B">
        <w:rPr>
          <w:i/>
        </w:rPr>
        <w:t>Media Bureau Identifies Groups of Mutually Exclusive Applications</w:t>
      </w:r>
      <w:r w:rsidRPr="00621DE3">
        <w:t>, Public Notice, 23 FCC Rcd 3914 (MB 2008).</w:t>
      </w:r>
      <w:r>
        <w:t xml:space="preserve">  </w:t>
      </w:r>
      <w:r>
        <w:rPr>
          <w:i/>
        </w:rPr>
        <w:t xml:space="preserve">See also </w:t>
      </w:r>
      <w:r w:rsidRPr="00595BF9">
        <w:rPr>
          <w:szCs w:val="22"/>
        </w:rPr>
        <w:t>File No</w:t>
      </w:r>
      <w:r>
        <w:rPr>
          <w:szCs w:val="22"/>
        </w:rPr>
        <w:t>s</w:t>
      </w:r>
      <w:r w:rsidRPr="00595BF9">
        <w:rPr>
          <w:szCs w:val="22"/>
        </w:rPr>
        <w:t xml:space="preserve">. </w:t>
      </w:r>
      <w:r>
        <w:rPr>
          <w:szCs w:val="22"/>
        </w:rPr>
        <w:t>BNPED-20071022BUZ</w:t>
      </w:r>
      <w:r>
        <w:t xml:space="preserve"> (</w:t>
      </w:r>
      <w:r w:rsidR="00727030">
        <w:t xml:space="preserve">CARE application or </w:t>
      </w:r>
      <w:r>
        <w:t xml:space="preserve">“Application”); </w:t>
      </w:r>
      <w:r w:rsidRPr="005763B1">
        <w:t>BNPED-20071018AUM</w:t>
      </w:r>
      <w:r w:rsidR="002C4AF2">
        <w:t xml:space="preserve"> (</w:t>
      </w:r>
      <w:r>
        <w:t xml:space="preserve">Bethel </w:t>
      </w:r>
      <w:r w:rsidR="00727030">
        <w:t>a</w:t>
      </w:r>
      <w:r>
        <w:t>pplication); BNPED-</w:t>
      </w:r>
      <w:r w:rsidRPr="00ED0A5B">
        <w:t>20071012AQB</w:t>
      </w:r>
      <w:r w:rsidR="002C4AF2">
        <w:t xml:space="preserve"> (</w:t>
      </w:r>
      <w:r w:rsidR="00727030">
        <w:t>BGCB a</w:t>
      </w:r>
      <w:r w:rsidR="005B7B1D">
        <w:t>pplication</w:t>
      </w:r>
      <w:r w:rsidR="002C4AF2">
        <w:t>).</w:t>
      </w:r>
    </w:p>
  </w:footnote>
  <w:footnote w:id="6">
    <w:p w:rsidR="00FC7B79" w:rsidRPr="00621DE3" w:rsidRDefault="00FC7B79" w:rsidP="00FC7B79">
      <w:pPr>
        <w:pStyle w:val="FootnoteText"/>
      </w:pPr>
      <w:r w:rsidRPr="00621DE3">
        <w:rPr>
          <w:rStyle w:val="FootnoteReference"/>
        </w:rPr>
        <w:footnoteRef/>
      </w:r>
      <w:r w:rsidRPr="00621DE3">
        <w:t xml:space="preserve"> </w:t>
      </w:r>
      <w:r w:rsidRPr="00DD7A06">
        <w:rPr>
          <w:i/>
        </w:rPr>
        <w:t>See</w:t>
      </w:r>
      <w:r w:rsidR="002C7D71">
        <w:t xml:space="preserve"> generally 47 C.F.R. § 73.7002.  The threshold fair distribution analysis discharges the Commission’s obligation to distribute radio service fairly, efficiently, and equitably under </w:t>
      </w:r>
      <w:r w:rsidRPr="00621DE3">
        <w:t>47 U.S.C. § 307(b).</w:t>
      </w:r>
    </w:p>
  </w:footnote>
  <w:footnote w:id="7">
    <w:p w:rsidR="00FC7B79" w:rsidRPr="005B7B1D" w:rsidRDefault="00FC7B79" w:rsidP="00FC7B79">
      <w:pPr>
        <w:pStyle w:val="FootnoteText"/>
      </w:pPr>
      <w:r>
        <w:rPr>
          <w:rStyle w:val="FootnoteReference"/>
        </w:rPr>
        <w:footnoteRef/>
      </w:r>
      <w:r>
        <w:t xml:space="preserve"> </w:t>
      </w:r>
      <w:r w:rsidRPr="00621DE3">
        <w:t>47 C.F.R. § 73.7003 (poi</w:t>
      </w:r>
      <w:r w:rsidR="007859F9">
        <w:t xml:space="preserve">nt system selection procedures). </w:t>
      </w:r>
      <w:r w:rsidRPr="00621DE3">
        <w:t xml:space="preserve"> </w:t>
      </w:r>
      <w:r w:rsidR="002C4AF2">
        <w:t>CARE was tentatively selected in</w:t>
      </w:r>
      <w:r w:rsidRPr="0024619B">
        <w:rPr>
          <w:i/>
        </w:rPr>
        <w:t xml:space="preserve"> Comparative Consideration of 59 Groups of Mutually Exclusi</w:t>
      </w:r>
      <w:r>
        <w:rPr>
          <w:i/>
        </w:rPr>
        <w:t>ve Applications for Permits to C</w:t>
      </w:r>
      <w:r w:rsidRPr="0024619B">
        <w:rPr>
          <w:i/>
        </w:rPr>
        <w:t xml:space="preserve">onstruct New or Modified Noncommercial Educational FM Stations </w:t>
      </w:r>
      <w:r>
        <w:rPr>
          <w:i/>
        </w:rPr>
        <w:t>F</w:t>
      </w:r>
      <w:r w:rsidRPr="0024619B">
        <w:rPr>
          <w:i/>
        </w:rPr>
        <w:t>i</w:t>
      </w:r>
      <w:r>
        <w:rPr>
          <w:i/>
        </w:rPr>
        <w:t>l</w:t>
      </w:r>
      <w:r w:rsidRPr="0024619B">
        <w:rPr>
          <w:i/>
        </w:rPr>
        <w:t>ed in the October 2007 Filing Window</w:t>
      </w:r>
      <w:r w:rsidRPr="0024619B">
        <w:t>, Memorandum Opinion and Order, 25 FCC Rcd 1681, 1705 (2010)</w:t>
      </w:r>
      <w:r>
        <w:t xml:space="preserve"> (“</w:t>
      </w:r>
      <w:r w:rsidRPr="00BC1466">
        <w:rPr>
          <w:i/>
        </w:rPr>
        <w:t xml:space="preserve">Comparative Selection </w:t>
      </w:r>
      <w:r w:rsidRPr="00D27378">
        <w:rPr>
          <w:i/>
        </w:rPr>
        <w:t>MO&amp;O</w:t>
      </w:r>
      <w:r w:rsidRPr="00E1319D">
        <w:t>”)</w:t>
      </w:r>
      <w:r w:rsidRPr="0024619B">
        <w:t>.</w:t>
      </w:r>
      <w:r w:rsidRPr="002471EA">
        <w:rPr>
          <w:i/>
        </w:rPr>
        <w:t xml:space="preserve"> </w:t>
      </w:r>
    </w:p>
  </w:footnote>
  <w:footnote w:id="8">
    <w:p w:rsidR="00FC7B79" w:rsidRPr="00E1319D" w:rsidRDefault="00FC7B79" w:rsidP="00FC7B79">
      <w:pPr>
        <w:pStyle w:val="FootnoteText"/>
      </w:pPr>
      <w:r>
        <w:rPr>
          <w:rStyle w:val="FootnoteReference"/>
        </w:rPr>
        <w:footnoteRef/>
      </w:r>
      <w:r>
        <w:t xml:space="preserve"> </w:t>
      </w:r>
      <w:r w:rsidR="00E2710C" w:rsidRPr="00BC1466">
        <w:rPr>
          <w:i/>
        </w:rPr>
        <w:t xml:space="preserve">Comparative Selection </w:t>
      </w:r>
      <w:r w:rsidR="00E2710C" w:rsidRPr="00D27378">
        <w:rPr>
          <w:i/>
        </w:rPr>
        <w:t>MO&amp;O</w:t>
      </w:r>
      <w:r w:rsidR="00E2710C">
        <w:t>,</w:t>
      </w:r>
      <w:r w:rsidR="00E2710C">
        <w:rPr>
          <w:i/>
        </w:rPr>
        <w:t xml:space="preserve"> </w:t>
      </w:r>
      <w:r w:rsidR="00E2710C" w:rsidRPr="0024619B">
        <w:t xml:space="preserve">25 FCC Rcd </w:t>
      </w:r>
      <w:r w:rsidR="00E2710C">
        <w:t>at 1705,</w:t>
      </w:r>
      <w:r>
        <w:t xml:space="preserve"> 1725.</w:t>
      </w:r>
    </w:p>
  </w:footnote>
  <w:footnote w:id="9">
    <w:p w:rsidR="00205D52" w:rsidRDefault="00205D52">
      <w:pPr>
        <w:pStyle w:val="FootnoteText"/>
      </w:pPr>
      <w:r>
        <w:rPr>
          <w:rStyle w:val="FootnoteReference"/>
        </w:rPr>
        <w:footnoteRef/>
      </w:r>
      <w:r>
        <w:t xml:space="preserve"> CARE did not oppose Bethel’s petition to deny, nor did it respond to a staff letter requesting response.  </w:t>
      </w:r>
      <w:r w:rsidR="009C05C6" w:rsidRPr="003A4CCD">
        <w:rPr>
          <w:i/>
        </w:rPr>
        <w:t>See Daniel Steffy</w:t>
      </w:r>
      <w:r w:rsidR="009C05C6">
        <w:t xml:space="preserve">, Letter (MB Oct. 14, 2010) </w:t>
      </w:r>
      <w:r w:rsidR="009C05C6" w:rsidRPr="003A4CCD">
        <w:t>("</w:t>
      </w:r>
      <w:r w:rsidR="009C05C6" w:rsidRPr="00C5219C">
        <w:rPr>
          <w:i/>
        </w:rPr>
        <w:t>Inquiry Letter</w:t>
      </w:r>
      <w:r w:rsidR="009C05C6" w:rsidRPr="003A4CCD">
        <w:t>")</w:t>
      </w:r>
      <w:r w:rsidR="009C05C6">
        <w:t xml:space="preserve">.  However, CARE did file an engineering amendment to its Application shortly after the </w:t>
      </w:r>
      <w:r w:rsidR="009C05C6" w:rsidRPr="00D943F2">
        <w:rPr>
          <w:i/>
        </w:rPr>
        <w:t>Inquiry Letter</w:t>
      </w:r>
      <w:r w:rsidR="009C05C6">
        <w:t xml:space="preserve"> was sent.  </w:t>
      </w:r>
      <w:r w:rsidR="009C05C6">
        <w:rPr>
          <w:i/>
        </w:rPr>
        <w:t>Broadcast Applications</w:t>
      </w:r>
      <w:r w:rsidR="009C05C6">
        <w:t xml:space="preserve">, </w:t>
      </w:r>
      <w:r w:rsidR="009C05C6" w:rsidRPr="00C5219C">
        <w:t>Public</w:t>
      </w:r>
      <w:r w:rsidR="009C05C6">
        <w:t xml:space="preserve"> Notice, Report No. 27385 (MB Dec. 17, 2010).</w:t>
      </w:r>
    </w:p>
  </w:footnote>
  <w:footnote w:id="10">
    <w:p w:rsidR="00FC7B79" w:rsidRDefault="00FC7B79" w:rsidP="00FC7B79">
      <w:pPr>
        <w:pStyle w:val="FootnoteText"/>
      </w:pPr>
      <w:r>
        <w:rPr>
          <w:rStyle w:val="FootnoteReference"/>
        </w:rPr>
        <w:footnoteRef/>
      </w:r>
      <w:r>
        <w:t xml:space="preserve"> </w:t>
      </w:r>
      <w:r w:rsidR="00205D52">
        <w:rPr>
          <w:i/>
        </w:rPr>
        <w:t xml:space="preserve">Staff Decision </w:t>
      </w:r>
      <w:r w:rsidR="00D943F2">
        <w:t>at 3</w:t>
      </w:r>
      <w:r>
        <w:t xml:space="preserve">; </w:t>
      </w:r>
      <w:r>
        <w:rPr>
          <w:i/>
        </w:rPr>
        <w:t xml:space="preserve">Broadcast </w:t>
      </w:r>
      <w:r w:rsidRPr="00C5219C">
        <w:rPr>
          <w:i/>
        </w:rPr>
        <w:t>Actions</w:t>
      </w:r>
      <w:r>
        <w:t xml:space="preserve">, </w:t>
      </w:r>
      <w:r w:rsidRPr="00C5219C">
        <w:t>Public</w:t>
      </w:r>
      <w:r>
        <w:t xml:space="preserve"> Notice</w:t>
      </w:r>
      <w:r w:rsidR="00EB2B50">
        <w:t>,</w:t>
      </w:r>
      <w:r>
        <w:t xml:space="preserve"> Report No. 47392 (MB Dec. 29, 2010).</w:t>
      </w:r>
    </w:p>
  </w:footnote>
  <w:footnote w:id="11">
    <w:p w:rsidR="009C05C6" w:rsidRDefault="009C05C6">
      <w:pPr>
        <w:pStyle w:val="FootnoteText"/>
      </w:pPr>
      <w:r>
        <w:rPr>
          <w:rStyle w:val="FootnoteReference"/>
        </w:rPr>
        <w:footnoteRef/>
      </w:r>
      <w:r>
        <w:t xml:space="preserve"> </w:t>
      </w:r>
      <w:r w:rsidR="00D943F2" w:rsidRPr="00F86F8A">
        <w:rPr>
          <w:i/>
        </w:rPr>
        <w:t>Reconsideration Decision</w:t>
      </w:r>
      <w:r w:rsidR="00D943F2">
        <w:t xml:space="preserve"> at 4</w:t>
      </w:r>
      <w:r>
        <w:t xml:space="preserve">.  On reconsideration, Bethel added the new argument that, because CARE did not respond to the </w:t>
      </w:r>
      <w:r w:rsidRPr="00BC313C">
        <w:rPr>
          <w:i/>
        </w:rPr>
        <w:t>Inquiry Letter</w:t>
      </w:r>
      <w:r>
        <w:t>, its Application should be dismissed for failure to prosecute under 47 C.F.R. §§73.35</w:t>
      </w:r>
      <w:r w:rsidRPr="0094679A">
        <w:t>6</w:t>
      </w:r>
      <w:r>
        <w:t>6(b) and 73.35</w:t>
      </w:r>
      <w:r w:rsidRPr="0094679A">
        <w:t>6</w:t>
      </w:r>
      <w:r>
        <w:t>8</w:t>
      </w:r>
      <w:r w:rsidRPr="0094679A">
        <w:t>(</w:t>
      </w:r>
      <w:r>
        <w:t>a)(1</w:t>
      </w:r>
      <w:r w:rsidRPr="0094679A">
        <w:t>)</w:t>
      </w:r>
      <w:r>
        <w:t xml:space="preserve">.  The staff rejected this argument.  </w:t>
      </w:r>
      <w:r w:rsidRPr="00F86F8A">
        <w:rPr>
          <w:i/>
        </w:rPr>
        <w:t>Reconsideration Decision</w:t>
      </w:r>
      <w:r>
        <w:t xml:space="preserve"> at </w:t>
      </w:r>
      <w:r w:rsidR="00D943F2">
        <w:t>3</w:t>
      </w:r>
      <w:r>
        <w:t>.</w:t>
      </w:r>
    </w:p>
  </w:footnote>
  <w:footnote w:id="12">
    <w:p w:rsidR="00D82506" w:rsidRDefault="00D82506">
      <w:pPr>
        <w:pStyle w:val="FootnoteText"/>
      </w:pPr>
      <w:r>
        <w:rPr>
          <w:rStyle w:val="FootnoteReference"/>
        </w:rPr>
        <w:footnoteRef/>
      </w:r>
      <w:r>
        <w:t xml:space="preserve"> File No. BMPED-20131107AMT (“Modification Application”).</w:t>
      </w:r>
    </w:p>
  </w:footnote>
  <w:footnote w:id="13">
    <w:p w:rsidR="008C6A0E" w:rsidRPr="001273D2" w:rsidRDefault="008C6A0E" w:rsidP="008C6A0E">
      <w:pPr>
        <w:pStyle w:val="FootnoteText"/>
      </w:pPr>
      <w:r>
        <w:rPr>
          <w:rStyle w:val="FootnoteReference"/>
        </w:rPr>
        <w:footnoteRef/>
      </w:r>
      <w:r w:rsidRPr="000233FD">
        <w:t xml:space="preserve">  </w:t>
      </w:r>
      <w:r>
        <w:rPr>
          <w:i/>
        </w:rPr>
        <w:t>See Broadcast Actions</w:t>
      </w:r>
      <w:r>
        <w:t xml:space="preserve">, </w:t>
      </w:r>
      <w:r w:rsidRPr="00C5219C">
        <w:t>Public</w:t>
      </w:r>
      <w:r>
        <w:t xml:space="preserve"> Notice</w:t>
      </w:r>
      <w:r w:rsidR="001519E2">
        <w:t>,</w:t>
      </w:r>
      <w:r>
        <w:t xml:space="preserve"> Report No. 48130 (MB Dec. 6, 2013)</w:t>
      </w:r>
      <w:r w:rsidR="001273D2">
        <w:rPr>
          <w:i/>
        </w:rPr>
        <w:t>.</w:t>
      </w:r>
      <w:r w:rsidR="001273D2">
        <w:t xml:space="preserve">  </w:t>
      </w:r>
    </w:p>
  </w:footnote>
  <w:footnote w:id="14">
    <w:p w:rsidR="000576E0" w:rsidRPr="00AA19B1" w:rsidRDefault="000576E0" w:rsidP="000576E0">
      <w:pPr>
        <w:pStyle w:val="FootnoteText"/>
      </w:pPr>
      <w:r>
        <w:rPr>
          <w:rStyle w:val="FootnoteReference"/>
        </w:rPr>
        <w:footnoteRef/>
      </w:r>
      <w:r w:rsidRPr="00AA19B1">
        <w:t xml:space="preserve"> </w:t>
      </w:r>
      <w:r w:rsidRPr="00D27378">
        <w:rPr>
          <w:i/>
        </w:rPr>
        <w:t>MO&amp;O</w:t>
      </w:r>
      <w:r w:rsidRPr="00AA19B1">
        <w:t xml:space="preserve">, 29 FCC Rcd </w:t>
      </w:r>
      <w:r>
        <w:t xml:space="preserve">at </w:t>
      </w:r>
      <w:r w:rsidRPr="00AA19B1">
        <w:t>97</w:t>
      </w:r>
      <w:r>
        <w:t>40</w:t>
      </w:r>
      <w:r w:rsidRPr="00AA19B1">
        <w:t>.</w:t>
      </w:r>
    </w:p>
  </w:footnote>
  <w:footnote w:id="15">
    <w:p w:rsidR="000576E0" w:rsidRDefault="000576E0" w:rsidP="000576E0">
      <w:pPr>
        <w:pStyle w:val="FootnoteText"/>
      </w:pPr>
      <w:r>
        <w:rPr>
          <w:rStyle w:val="FootnoteReference"/>
        </w:rPr>
        <w:footnoteRef/>
      </w:r>
      <w:r>
        <w:t xml:space="preserve"> Petition at 1, 4.</w:t>
      </w:r>
    </w:p>
  </w:footnote>
  <w:footnote w:id="16">
    <w:p w:rsidR="000576E0" w:rsidRDefault="000576E0" w:rsidP="000576E0">
      <w:pPr>
        <w:pStyle w:val="FootnoteText"/>
      </w:pPr>
      <w:r>
        <w:rPr>
          <w:rStyle w:val="FootnoteReference"/>
        </w:rPr>
        <w:footnoteRef/>
      </w:r>
      <w:r>
        <w:t xml:space="preserve"> </w:t>
      </w:r>
      <w:r w:rsidRPr="00070E90">
        <w:rPr>
          <w:i/>
        </w:rPr>
        <w:t>Id</w:t>
      </w:r>
      <w:r>
        <w:t>. at 5 (emphasis in original).</w:t>
      </w:r>
    </w:p>
  </w:footnote>
  <w:footnote w:id="17">
    <w:p w:rsidR="000576E0" w:rsidRDefault="000576E0" w:rsidP="000576E0">
      <w:pPr>
        <w:pStyle w:val="FootnoteText"/>
      </w:pPr>
      <w:r>
        <w:rPr>
          <w:rStyle w:val="FootnoteReference"/>
        </w:rPr>
        <w:footnoteRef/>
      </w:r>
      <w:r>
        <w:t xml:space="preserve"> </w:t>
      </w:r>
      <w:r w:rsidR="000500C1" w:rsidRPr="000500C1">
        <w:rPr>
          <w:i/>
        </w:rPr>
        <w:t>Id</w:t>
      </w:r>
      <w:r w:rsidR="00F20606">
        <w:t>. at 1-2, 4-5.</w:t>
      </w:r>
    </w:p>
  </w:footnote>
  <w:footnote w:id="18">
    <w:p w:rsidR="004C23EB" w:rsidRDefault="004C23EB" w:rsidP="004C23EB">
      <w:pPr>
        <w:pStyle w:val="FootnoteText"/>
      </w:pPr>
      <w:r>
        <w:rPr>
          <w:rStyle w:val="FootnoteReference"/>
        </w:rPr>
        <w:footnoteRef/>
      </w:r>
      <w:r>
        <w:t xml:space="preserve"> </w:t>
      </w:r>
      <w:r w:rsidRPr="005A5A10">
        <w:t>47 C.F.R. § 1.106(b)(2)</w:t>
      </w:r>
      <w:r w:rsidR="00C83629">
        <w:t>(1)</w:t>
      </w:r>
      <w:r w:rsidRPr="005A5A10">
        <w:t>.</w:t>
      </w:r>
    </w:p>
  </w:footnote>
  <w:footnote w:id="19">
    <w:p w:rsidR="004C23EB" w:rsidRDefault="004C23EB" w:rsidP="004C23EB">
      <w:pPr>
        <w:pStyle w:val="FootnoteText"/>
      </w:pPr>
      <w:r>
        <w:rPr>
          <w:rStyle w:val="FootnoteReference"/>
        </w:rPr>
        <w:footnoteRef/>
      </w:r>
      <w:r>
        <w:t xml:space="preserve"> </w:t>
      </w:r>
      <w:r w:rsidRPr="000D6130">
        <w:rPr>
          <w:i/>
        </w:rPr>
        <w:t>See Notices of Apparent Liability for Forfeitures of Emery Telephone</w:t>
      </w:r>
      <w:r w:rsidRPr="000D6130">
        <w:t xml:space="preserve">, Memorandum Opinion and Order, 15 FCC Rcd 7181, 7184 ¶ 5 (1999) (citing 47 C.F.R. § 1.106(b)(3)); </w:t>
      </w:r>
      <w:r w:rsidRPr="000D6130">
        <w:rPr>
          <w:i/>
        </w:rPr>
        <w:t>see also, e.g., Sagir, Inc</w:t>
      </w:r>
      <w:r w:rsidRPr="000D6130">
        <w:t>., Memorandum Opinion and Order, 18 FCC Rcd 15967, 15974 ¶ 16 (2003).</w:t>
      </w:r>
    </w:p>
  </w:footnote>
  <w:footnote w:id="20">
    <w:p w:rsidR="00004166" w:rsidRDefault="00004166" w:rsidP="00004166">
      <w:pPr>
        <w:pStyle w:val="FootnoteText"/>
      </w:pPr>
      <w:r>
        <w:rPr>
          <w:rStyle w:val="FootnoteReference"/>
        </w:rPr>
        <w:footnoteRef/>
      </w:r>
      <w:r>
        <w:t xml:space="preserve"> </w:t>
      </w:r>
      <w:r w:rsidRPr="00707303">
        <w:rPr>
          <w:i/>
        </w:rPr>
        <w:t>S&amp;L Teen Hospital Shuttle</w:t>
      </w:r>
      <w:r>
        <w:t>, Order on Reconsideration, 17 FCC Rcd 7899, 7900 (2002).</w:t>
      </w:r>
    </w:p>
  </w:footnote>
  <w:footnote w:id="21">
    <w:p w:rsidR="00CE21DE" w:rsidRDefault="00CE21DE">
      <w:pPr>
        <w:pStyle w:val="FootnoteText"/>
      </w:pPr>
      <w:r>
        <w:rPr>
          <w:rStyle w:val="FootnoteReference"/>
        </w:rPr>
        <w:footnoteRef/>
      </w:r>
      <w:r>
        <w:t xml:space="preserve"> Petition at 6 and n.2.</w:t>
      </w:r>
    </w:p>
  </w:footnote>
  <w:footnote w:id="22">
    <w:p w:rsidR="00CE21DE" w:rsidRDefault="00CE21DE">
      <w:pPr>
        <w:pStyle w:val="FootnoteText"/>
      </w:pPr>
      <w:r>
        <w:rPr>
          <w:rStyle w:val="FootnoteReference"/>
        </w:rPr>
        <w:footnoteRef/>
      </w:r>
      <w:r>
        <w:t xml:space="preserve"> 47 C.F.R. § 1.106(b)(2).</w:t>
      </w:r>
    </w:p>
  </w:footnote>
  <w:footnote w:id="23">
    <w:p w:rsidR="00B0357D" w:rsidRDefault="00B0357D">
      <w:pPr>
        <w:pStyle w:val="FootnoteText"/>
      </w:pPr>
      <w:r>
        <w:rPr>
          <w:rStyle w:val="FootnoteReference"/>
        </w:rPr>
        <w:footnoteRef/>
      </w:r>
      <w:r>
        <w:t xml:space="preserve"> Petition at 5.</w:t>
      </w:r>
    </w:p>
  </w:footnote>
  <w:footnote w:id="24">
    <w:p w:rsidR="00D943F2" w:rsidRDefault="00D943F2">
      <w:pPr>
        <w:pStyle w:val="FootnoteText"/>
      </w:pPr>
      <w:r>
        <w:rPr>
          <w:rStyle w:val="FootnoteReference"/>
        </w:rPr>
        <w:footnoteRef/>
      </w:r>
      <w:r>
        <w:t xml:space="preserve"> </w:t>
      </w:r>
      <w:r w:rsidRPr="00D943F2">
        <w:rPr>
          <w:i/>
        </w:rPr>
        <w:t>See supra</w:t>
      </w:r>
      <w:r w:rsidR="00D8467B">
        <w:t xml:space="preserve"> notes </w:t>
      </w:r>
      <w:r>
        <w:t>8, 11.</w:t>
      </w:r>
    </w:p>
  </w:footnote>
  <w:footnote w:id="25">
    <w:p w:rsidR="006D1B92" w:rsidRDefault="006D1B92">
      <w:pPr>
        <w:pStyle w:val="FootnoteText"/>
      </w:pPr>
      <w:r>
        <w:rPr>
          <w:rStyle w:val="FootnoteReference"/>
        </w:rPr>
        <w:footnoteRef/>
      </w:r>
      <w:r>
        <w:t xml:space="preserve"> </w:t>
      </w:r>
      <w:r w:rsidRPr="006D1B92">
        <w:rPr>
          <w:i/>
        </w:rPr>
        <w:t>Staff Decision</w:t>
      </w:r>
      <w:r>
        <w:t xml:space="preserve"> at 3; </w:t>
      </w:r>
      <w:r w:rsidRPr="006D1B92">
        <w:rPr>
          <w:i/>
        </w:rPr>
        <w:t>Reconsideration Decision</w:t>
      </w:r>
      <w:r>
        <w:t xml:space="preserve"> at 3.</w:t>
      </w:r>
    </w:p>
  </w:footnote>
  <w:footnote w:id="26">
    <w:p w:rsidR="00205D52" w:rsidRDefault="00205D52" w:rsidP="00205D52">
      <w:pPr>
        <w:pStyle w:val="FootnoteText"/>
      </w:pPr>
      <w:r>
        <w:rPr>
          <w:rStyle w:val="FootnoteReference"/>
        </w:rPr>
        <w:footnoteRef/>
      </w:r>
      <w:r>
        <w:t xml:space="preserve"> </w:t>
      </w:r>
      <w:r w:rsidRPr="00EA6275">
        <w:rPr>
          <w:i/>
        </w:rPr>
        <w:t>Innovative Women’s Media Ass’n v. F.C.C.</w:t>
      </w:r>
      <w:r>
        <w:t xml:space="preserve">, 16 F.3d 1287, 1289 (D.C. Cir. 1994) (quoting </w:t>
      </w:r>
      <w:r w:rsidRPr="00EA6275">
        <w:rPr>
          <w:i/>
        </w:rPr>
        <w:t>The Dunlin Group</w:t>
      </w:r>
      <w:r>
        <w:t>, Memorandum Opinion and Order, 6 FCC Rcd 4642, 4644 (Rev. Bd. 1991)) (dismiss</w:t>
      </w:r>
      <w:r w:rsidR="00EE1A99">
        <w:t>ing</w:t>
      </w:r>
      <w:r>
        <w:t xml:space="preserve"> an application for failure to prosecute</w:t>
      </w:r>
      <w:r w:rsidR="00EE1A99">
        <w:t xml:space="preserve"> requires</w:t>
      </w:r>
      <w:r w:rsidR="00D943F2">
        <w:t xml:space="preserve"> a finding that </w:t>
      </w:r>
      <w:r>
        <w:t xml:space="preserve">the applicant, with contempt or inexcusable sloth, </w:t>
      </w:r>
      <w:r w:rsidR="00D943F2">
        <w:t>has</w:t>
      </w:r>
      <w:r>
        <w:t xml:space="preserve"> defied a Commission order).</w:t>
      </w:r>
    </w:p>
  </w:footnote>
  <w:footnote w:id="27">
    <w:p w:rsidR="002C4AF2" w:rsidRDefault="002C4AF2">
      <w:pPr>
        <w:pStyle w:val="FootnoteText"/>
      </w:pPr>
      <w:r>
        <w:rPr>
          <w:rStyle w:val="FootnoteReference"/>
        </w:rPr>
        <w:footnoteRef/>
      </w:r>
      <w:r>
        <w:t xml:space="preserve"> Petition at 4-5.</w:t>
      </w:r>
    </w:p>
  </w:footnote>
  <w:footnote w:id="28">
    <w:p w:rsidR="001843BB" w:rsidRDefault="001843BB" w:rsidP="001843BB">
      <w:pPr>
        <w:pStyle w:val="FootnoteText"/>
      </w:pPr>
      <w:r>
        <w:rPr>
          <w:rStyle w:val="FootnoteReference"/>
        </w:rPr>
        <w:footnoteRef/>
      </w:r>
      <w:r>
        <w:t xml:space="preserve"> </w:t>
      </w:r>
      <w:r w:rsidRPr="00CE3000">
        <w:t>47 C.F.R. § 73.7004(d). Petition at 4-5.</w:t>
      </w:r>
    </w:p>
  </w:footnote>
  <w:footnote w:id="29">
    <w:p w:rsidR="001843BB" w:rsidRDefault="001843BB" w:rsidP="001843BB">
      <w:pPr>
        <w:pStyle w:val="FootnoteText"/>
      </w:pPr>
      <w:r>
        <w:rPr>
          <w:rStyle w:val="FootnoteReference"/>
        </w:rPr>
        <w:footnoteRef/>
      </w:r>
      <w:r>
        <w:t xml:space="preserve"> </w:t>
      </w:r>
      <w:r w:rsidRPr="00E862D5">
        <w:rPr>
          <w:i/>
        </w:rPr>
        <w:t>See</w:t>
      </w:r>
      <w:r w:rsidRPr="00CE3000">
        <w:t xml:space="preserve"> </w:t>
      </w:r>
      <w:r w:rsidRPr="002131DC">
        <w:rPr>
          <w:i/>
        </w:rPr>
        <w:t>Staff Decision</w:t>
      </w:r>
      <w:r w:rsidRPr="00CE3000">
        <w:t xml:space="preserve"> at 3</w:t>
      </w:r>
      <w:r w:rsidR="0092277A">
        <w:t>.</w:t>
      </w:r>
    </w:p>
  </w:footnote>
  <w:footnote w:id="30">
    <w:p w:rsidR="00624B2B" w:rsidRDefault="00624B2B">
      <w:pPr>
        <w:pStyle w:val="FootnoteText"/>
      </w:pPr>
      <w:r>
        <w:rPr>
          <w:rStyle w:val="FootnoteReference"/>
        </w:rPr>
        <w:footnoteRef/>
      </w:r>
      <w:r>
        <w:t xml:space="preserve"> </w:t>
      </w:r>
      <w:r w:rsidR="009C05C6">
        <w:t xml:space="preserve">Such a claim would not be assured, however. </w:t>
      </w:r>
      <w:r>
        <w:t xml:space="preserve"> Bethel’s attack on CARE’s </w:t>
      </w:r>
      <w:r w:rsidR="009C05C6">
        <w:t>technical facilities</w:t>
      </w:r>
      <w:r>
        <w:t xml:space="preserve">, if successful, would only have negated the two points CARE received for </w:t>
      </w:r>
      <w:r w:rsidR="005E1A10">
        <w:t>superior technical facilities</w:t>
      </w:r>
      <w:r>
        <w:t xml:space="preserve">.  CARE would still have </w:t>
      </w:r>
      <w:r w:rsidR="00265584">
        <w:t>retained</w:t>
      </w:r>
      <w:r>
        <w:t xml:space="preserve"> its two diversity </w:t>
      </w:r>
      <w:r w:rsidR="00835692">
        <w:t xml:space="preserve">of ownership </w:t>
      </w:r>
      <w:r w:rsidR="00265584">
        <w:t>points</w:t>
      </w:r>
      <w:r w:rsidR="00D667E9">
        <w:t xml:space="preserve">, whereas Bethel </w:t>
      </w:r>
      <w:r w:rsidR="00EE1216">
        <w:t>could have earned, at most, two</w:t>
      </w:r>
      <w:r w:rsidR="00D667E9">
        <w:t xml:space="preserve"> points</w:t>
      </w:r>
      <w:r w:rsidR="00EC144D">
        <w:t>, resulting at best in a tie, to be resolved under the tie-breaker rules</w:t>
      </w:r>
      <w:r>
        <w:t>.</w:t>
      </w:r>
      <w:r w:rsidR="00580F08">
        <w:t xml:space="preserve">  </w:t>
      </w:r>
      <w:r w:rsidR="000762F4">
        <w:rPr>
          <w:i/>
        </w:rPr>
        <w:t>See</w:t>
      </w:r>
      <w:r w:rsidR="00EC144D">
        <w:rPr>
          <w:i/>
        </w:rPr>
        <w:t xml:space="preserve"> </w:t>
      </w:r>
      <w:r w:rsidR="00EC144D">
        <w:t>47 C.F.R. § 73.7003(c);</w:t>
      </w:r>
      <w:r w:rsidR="000762F4">
        <w:rPr>
          <w:i/>
        </w:rPr>
        <w:t xml:space="preserve"> Comparative Selection MO&amp;O</w:t>
      </w:r>
      <w:r w:rsidR="000762F4">
        <w:t>, 25 FCC Rcd at 1725.</w:t>
      </w:r>
    </w:p>
  </w:footnote>
  <w:footnote w:id="31">
    <w:p w:rsidR="000509BF" w:rsidRDefault="000509BF">
      <w:pPr>
        <w:pStyle w:val="FootnoteText"/>
      </w:pPr>
      <w:r>
        <w:rPr>
          <w:rStyle w:val="FootnoteReference"/>
        </w:rPr>
        <w:footnoteRef/>
      </w:r>
      <w:r>
        <w:t xml:space="preserve"> </w:t>
      </w:r>
      <w:r w:rsidR="009A3FD1" w:rsidRPr="009A3FD1">
        <w:rPr>
          <w:i/>
        </w:rPr>
        <w:t>See</w:t>
      </w:r>
      <w:r w:rsidR="009A3FD1">
        <w:t xml:space="preserve">, </w:t>
      </w:r>
      <w:r w:rsidR="009A3FD1" w:rsidRPr="009A3FD1">
        <w:rPr>
          <w:i/>
        </w:rPr>
        <w:t>e.g</w:t>
      </w:r>
      <w:r w:rsidR="009A3FD1">
        <w:t xml:space="preserve">., </w:t>
      </w:r>
      <w:r w:rsidR="009A3FD1" w:rsidRPr="009A3FD1">
        <w:rPr>
          <w:i/>
        </w:rPr>
        <w:t>Formulation of Policies and Rules Relating to Broadcast Renewal Applicants, Competing Applicants, and Other Participants to the Comparative Renewal Process and to the Prevention of Abuses of the Renewal Process</w:t>
      </w:r>
      <w:r w:rsidR="009A3FD1">
        <w:t xml:space="preserve">, Second Further Notice of Inquiry and Notice of Proposed Rule Making, 3 FCC Rcd 5179, 5183-84 (1988) (stating that among the procedures for the public to participate in the </w:t>
      </w:r>
      <w:r w:rsidR="006E2B2B">
        <w:t xml:space="preserve">broadcast application </w:t>
      </w:r>
      <w:r w:rsidR="009A3FD1">
        <w:t>process is “the statutory right under [47 U.S.C. § 309] to file a petition to deny in broadcast application proceedings, the purpose of which is to enable interested parties to provide factual information as to whether grant of an application would be in the public interest.”).</w:t>
      </w:r>
    </w:p>
  </w:footnote>
  <w:footnote w:id="32">
    <w:p w:rsidR="00D8467B" w:rsidRDefault="00D8467B">
      <w:pPr>
        <w:pStyle w:val="FootnoteText"/>
      </w:pPr>
      <w:r>
        <w:rPr>
          <w:rStyle w:val="FootnoteReference"/>
        </w:rPr>
        <w:footnoteRef/>
      </w:r>
      <w:r>
        <w:t xml:space="preserve"> 47 U.S.C. § 405.</w:t>
      </w:r>
    </w:p>
  </w:footnote>
  <w:footnote w:id="33">
    <w:p w:rsidR="00D8467B" w:rsidRDefault="00D8467B">
      <w:pPr>
        <w:pStyle w:val="FootnoteText"/>
      </w:pPr>
      <w:r>
        <w:rPr>
          <w:rStyle w:val="FootnoteReference"/>
        </w:rPr>
        <w:footnoteRef/>
      </w:r>
      <w:r>
        <w:t xml:space="preserve"> 47 C.F.R. §§ 1.106(b)(2), (b)(3), and (j).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00" w:rsidRDefault="006F2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036C6">
      <w:t>FCC 15-172</w:t>
    </w:r>
  </w:p>
  <w:p w:rsidR="00D25FB5" w:rsidRDefault="000E716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E07B613" wp14:editId="38E0D88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36DAE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E716B" w:rsidP="00810B6F">
    <w:pPr>
      <w:pStyle w:val="Header"/>
      <w:rPr>
        <w:b w:val="0"/>
      </w:rPr>
    </w:pPr>
    <w:r>
      <w:rPr>
        <w:noProof/>
      </w:rPr>
      <mc:AlternateContent>
        <mc:Choice Requires="wps">
          <w:drawing>
            <wp:anchor distT="0" distB="0" distL="114300" distR="114300" simplePos="0" relativeHeight="251658240" behindDoc="1" locked="0" layoutInCell="0" allowOverlap="1" wp14:anchorId="3F06DCD9" wp14:editId="055356E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CB2A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036C6">
      <w:rPr>
        <w:spacing w:val="-2"/>
      </w:rPr>
      <w:t>FCC 15-172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79"/>
    <w:rsid w:val="000036C6"/>
    <w:rsid w:val="00004166"/>
    <w:rsid w:val="00015CE6"/>
    <w:rsid w:val="000306DF"/>
    <w:rsid w:val="00032222"/>
    <w:rsid w:val="00036039"/>
    <w:rsid w:val="00037F90"/>
    <w:rsid w:val="000455AD"/>
    <w:rsid w:val="000500C1"/>
    <w:rsid w:val="000509BF"/>
    <w:rsid w:val="0005343E"/>
    <w:rsid w:val="000576E0"/>
    <w:rsid w:val="00064B8B"/>
    <w:rsid w:val="0006721A"/>
    <w:rsid w:val="00070E90"/>
    <w:rsid w:val="000762F4"/>
    <w:rsid w:val="000875BF"/>
    <w:rsid w:val="00096D8C"/>
    <w:rsid w:val="00097824"/>
    <w:rsid w:val="000B709C"/>
    <w:rsid w:val="000C0B65"/>
    <w:rsid w:val="000C490A"/>
    <w:rsid w:val="000E05FE"/>
    <w:rsid w:val="000E3D42"/>
    <w:rsid w:val="000E716B"/>
    <w:rsid w:val="000F31F6"/>
    <w:rsid w:val="00105D89"/>
    <w:rsid w:val="00106F6D"/>
    <w:rsid w:val="00122BD5"/>
    <w:rsid w:val="00124147"/>
    <w:rsid w:val="001273D2"/>
    <w:rsid w:val="00133F79"/>
    <w:rsid w:val="001506AF"/>
    <w:rsid w:val="001519E2"/>
    <w:rsid w:val="00155DCC"/>
    <w:rsid w:val="001806EC"/>
    <w:rsid w:val="001843BB"/>
    <w:rsid w:val="00194A66"/>
    <w:rsid w:val="001958BA"/>
    <w:rsid w:val="001B17DA"/>
    <w:rsid w:val="001B7F72"/>
    <w:rsid w:val="001D1D0F"/>
    <w:rsid w:val="001D3B79"/>
    <w:rsid w:val="001D6BCF"/>
    <w:rsid w:val="001E01CA"/>
    <w:rsid w:val="001F6B8B"/>
    <w:rsid w:val="00205D52"/>
    <w:rsid w:val="002131DC"/>
    <w:rsid w:val="002328FF"/>
    <w:rsid w:val="00265584"/>
    <w:rsid w:val="00275CF5"/>
    <w:rsid w:val="0028301F"/>
    <w:rsid w:val="00284A49"/>
    <w:rsid w:val="00285017"/>
    <w:rsid w:val="002A2C60"/>
    <w:rsid w:val="002A2D2E"/>
    <w:rsid w:val="002B3119"/>
    <w:rsid w:val="002C00E8"/>
    <w:rsid w:val="002C4AF2"/>
    <w:rsid w:val="002C5D24"/>
    <w:rsid w:val="002C652A"/>
    <w:rsid w:val="002C7D71"/>
    <w:rsid w:val="002D53EC"/>
    <w:rsid w:val="002F2F41"/>
    <w:rsid w:val="003041EA"/>
    <w:rsid w:val="00313C19"/>
    <w:rsid w:val="00343749"/>
    <w:rsid w:val="00346B62"/>
    <w:rsid w:val="00356936"/>
    <w:rsid w:val="00364D15"/>
    <w:rsid w:val="003660ED"/>
    <w:rsid w:val="003740DB"/>
    <w:rsid w:val="0038135A"/>
    <w:rsid w:val="00381A7D"/>
    <w:rsid w:val="003961AA"/>
    <w:rsid w:val="003A0024"/>
    <w:rsid w:val="003B0550"/>
    <w:rsid w:val="003B242A"/>
    <w:rsid w:val="003B4928"/>
    <w:rsid w:val="003B694F"/>
    <w:rsid w:val="003C7416"/>
    <w:rsid w:val="003F171C"/>
    <w:rsid w:val="00411989"/>
    <w:rsid w:val="00412593"/>
    <w:rsid w:val="00412FC5"/>
    <w:rsid w:val="00422276"/>
    <w:rsid w:val="004242F1"/>
    <w:rsid w:val="00445A00"/>
    <w:rsid w:val="00447157"/>
    <w:rsid w:val="00451B0F"/>
    <w:rsid w:val="00454C0B"/>
    <w:rsid w:val="004775FB"/>
    <w:rsid w:val="00487C52"/>
    <w:rsid w:val="004A3CA9"/>
    <w:rsid w:val="004B57B6"/>
    <w:rsid w:val="004C23EB"/>
    <w:rsid w:val="004C2EE3"/>
    <w:rsid w:val="004D6FDB"/>
    <w:rsid w:val="004E4A22"/>
    <w:rsid w:val="004F7086"/>
    <w:rsid w:val="00511968"/>
    <w:rsid w:val="0055614C"/>
    <w:rsid w:val="00580F08"/>
    <w:rsid w:val="00590592"/>
    <w:rsid w:val="005B7B1D"/>
    <w:rsid w:val="005E14C2"/>
    <w:rsid w:val="005E1A10"/>
    <w:rsid w:val="00607BA5"/>
    <w:rsid w:val="0061180A"/>
    <w:rsid w:val="00624B2B"/>
    <w:rsid w:val="00626EB6"/>
    <w:rsid w:val="00655D03"/>
    <w:rsid w:val="00656E2F"/>
    <w:rsid w:val="0066444A"/>
    <w:rsid w:val="0067462A"/>
    <w:rsid w:val="00683388"/>
    <w:rsid w:val="00683F84"/>
    <w:rsid w:val="00692552"/>
    <w:rsid w:val="0069578A"/>
    <w:rsid w:val="006A6A81"/>
    <w:rsid w:val="006C4301"/>
    <w:rsid w:val="006D1B92"/>
    <w:rsid w:val="006E2B2B"/>
    <w:rsid w:val="006E76FF"/>
    <w:rsid w:val="006F2C00"/>
    <w:rsid w:val="006F43F1"/>
    <w:rsid w:val="006F7393"/>
    <w:rsid w:val="0070224F"/>
    <w:rsid w:val="00707303"/>
    <w:rsid w:val="007115F7"/>
    <w:rsid w:val="0072198B"/>
    <w:rsid w:val="00727030"/>
    <w:rsid w:val="00744539"/>
    <w:rsid w:val="00763C42"/>
    <w:rsid w:val="00785689"/>
    <w:rsid w:val="007859F9"/>
    <w:rsid w:val="0079754B"/>
    <w:rsid w:val="0079784B"/>
    <w:rsid w:val="007A1E6D"/>
    <w:rsid w:val="007A548C"/>
    <w:rsid w:val="007B0EB2"/>
    <w:rsid w:val="007E0D8E"/>
    <w:rsid w:val="007E5CD2"/>
    <w:rsid w:val="007F385E"/>
    <w:rsid w:val="00802E1C"/>
    <w:rsid w:val="00810B6F"/>
    <w:rsid w:val="00822CE0"/>
    <w:rsid w:val="00831AFF"/>
    <w:rsid w:val="00835692"/>
    <w:rsid w:val="00841AB1"/>
    <w:rsid w:val="00851B0B"/>
    <w:rsid w:val="00857C02"/>
    <w:rsid w:val="0086011C"/>
    <w:rsid w:val="0086353A"/>
    <w:rsid w:val="00867F3D"/>
    <w:rsid w:val="008973F7"/>
    <w:rsid w:val="008A4FFF"/>
    <w:rsid w:val="008C68F1"/>
    <w:rsid w:val="008C6A0E"/>
    <w:rsid w:val="008E03A1"/>
    <w:rsid w:val="00902B33"/>
    <w:rsid w:val="00911366"/>
    <w:rsid w:val="0091474E"/>
    <w:rsid w:val="0091510C"/>
    <w:rsid w:val="00921803"/>
    <w:rsid w:val="0092277A"/>
    <w:rsid w:val="00926503"/>
    <w:rsid w:val="0093312D"/>
    <w:rsid w:val="0096013D"/>
    <w:rsid w:val="009613CA"/>
    <w:rsid w:val="009726D8"/>
    <w:rsid w:val="009750D8"/>
    <w:rsid w:val="00976FD4"/>
    <w:rsid w:val="009A3FD1"/>
    <w:rsid w:val="009B2067"/>
    <w:rsid w:val="009C05C6"/>
    <w:rsid w:val="009E4185"/>
    <w:rsid w:val="009F76DB"/>
    <w:rsid w:val="00A32C3B"/>
    <w:rsid w:val="00A34C8A"/>
    <w:rsid w:val="00A45F4F"/>
    <w:rsid w:val="00A57413"/>
    <w:rsid w:val="00A600A9"/>
    <w:rsid w:val="00A74BDB"/>
    <w:rsid w:val="00A8690D"/>
    <w:rsid w:val="00AA55B7"/>
    <w:rsid w:val="00AA5B9E"/>
    <w:rsid w:val="00AB2407"/>
    <w:rsid w:val="00AB53DF"/>
    <w:rsid w:val="00AD00F2"/>
    <w:rsid w:val="00B02B71"/>
    <w:rsid w:val="00B03062"/>
    <w:rsid w:val="00B0357D"/>
    <w:rsid w:val="00B07E5C"/>
    <w:rsid w:val="00B10C98"/>
    <w:rsid w:val="00B1524F"/>
    <w:rsid w:val="00B25C70"/>
    <w:rsid w:val="00B367B6"/>
    <w:rsid w:val="00B811F7"/>
    <w:rsid w:val="00B947D8"/>
    <w:rsid w:val="00BA4318"/>
    <w:rsid w:val="00BA5DC6"/>
    <w:rsid w:val="00BA6196"/>
    <w:rsid w:val="00BB4BB1"/>
    <w:rsid w:val="00BC30AE"/>
    <w:rsid w:val="00BC313C"/>
    <w:rsid w:val="00BC4365"/>
    <w:rsid w:val="00BC6D8C"/>
    <w:rsid w:val="00BE0C08"/>
    <w:rsid w:val="00BF0874"/>
    <w:rsid w:val="00C02FCE"/>
    <w:rsid w:val="00C34006"/>
    <w:rsid w:val="00C426B1"/>
    <w:rsid w:val="00C44D6D"/>
    <w:rsid w:val="00C66160"/>
    <w:rsid w:val="00C67F14"/>
    <w:rsid w:val="00C721AC"/>
    <w:rsid w:val="00C83629"/>
    <w:rsid w:val="00C90D6A"/>
    <w:rsid w:val="00CA247E"/>
    <w:rsid w:val="00CA35AA"/>
    <w:rsid w:val="00CC72B6"/>
    <w:rsid w:val="00CE21DE"/>
    <w:rsid w:val="00D0218D"/>
    <w:rsid w:val="00D10403"/>
    <w:rsid w:val="00D25FB5"/>
    <w:rsid w:val="00D44223"/>
    <w:rsid w:val="00D62252"/>
    <w:rsid w:val="00D63538"/>
    <w:rsid w:val="00D64A8B"/>
    <w:rsid w:val="00D667E9"/>
    <w:rsid w:val="00D70852"/>
    <w:rsid w:val="00D72D05"/>
    <w:rsid w:val="00D82506"/>
    <w:rsid w:val="00D8467B"/>
    <w:rsid w:val="00D943F2"/>
    <w:rsid w:val="00DA2529"/>
    <w:rsid w:val="00DB130A"/>
    <w:rsid w:val="00DB2EBB"/>
    <w:rsid w:val="00DB3EF5"/>
    <w:rsid w:val="00DC10A1"/>
    <w:rsid w:val="00DC655F"/>
    <w:rsid w:val="00DD0B59"/>
    <w:rsid w:val="00DD7EBD"/>
    <w:rsid w:val="00DE0F7A"/>
    <w:rsid w:val="00DF62B6"/>
    <w:rsid w:val="00DF6B1A"/>
    <w:rsid w:val="00DF7D2A"/>
    <w:rsid w:val="00E07225"/>
    <w:rsid w:val="00E110C6"/>
    <w:rsid w:val="00E21067"/>
    <w:rsid w:val="00E2710C"/>
    <w:rsid w:val="00E33CAC"/>
    <w:rsid w:val="00E42895"/>
    <w:rsid w:val="00E5409F"/>
    <w:rsid w:val="00E707D8"/>
    <w:rsid w:val="00E81CC1"/>
    <w:rsid w:val="00EA6275"/>
    <w:rsid w:val="00EB2B50"/>
    <w:rsid w:val="00EC144D"/>
    <w:rsid w:val="00EE1216"/>
    <w:rsid w:val="00EE1A99"/>
    <w:rsid w:val="00EE6488"/>
    <w:rsid w:val="00F00739"/>
    <w:rsid w:val="00F021FA"/>
    <w:rsid w:val="00F0547C"/>
    <w:rsid w:val="00F1094C"/>
    <w:rsid w:val="00F20606"/>
    <w:rsid w:val="00F47277"/>
    <w:rsid w:val="00F546DC"/>
    <w:rsid w:val="00F55CD6"/>
    <w:rsid w:val="00F62E97"/>
    <w:rsid w:val="00F64209"/>
    <w:rsid w:val="00F65D00"/>
    <w:rsid w:val="00F86CDB"/>
    <w:rsid w:val="00F86F8A"/>
    <w:rsid w:val="00F93BF5"/>
    <w:rsid w:val="00FB6D58"/>
    <w:rsid w:val="00FC5F4B"/>
    <w:rsid w:val="00FC7B79"/>
    <w:rsid w:val="00FE290D"/>
    <w:rsid w:val="00FE624A"/>
    <w:rsid w:val="00FF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D8"/>
    <w:pPr>
      <w:widowControl w:val="0"/>
    </w:pPr>
    <w:rPr>
      <w:snapToGrid w:val="0"/>
      <w:kern w:val="28"/>
      <w:sz w:val="22"/>
    </w:rPr>
  </w:style>
  <w:style w:type="paragraph" w:styleId="Heading1">
    <w:name w:val="heading 1"/>
    <w:basedOn w:val="Normal"/>
    <w:next w:val="ParaNum"/>
    <w:qFormat/>
    <w:rsid w:val="009750D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750D8"/>
    <w:pPr>
      <w:keepNext/>
      <w:numPr>
        <w:ilvl w:val="1"/>
        <w:numId w:val="3"/>
      </w:numPr>
      <w:spacing w:after="120"/>
      <w:outlineLvl w:val="1"/>
    </w:pPr>
    <w:rPr>
      <w:b/>
    </w:rPr>
  </w:style>
  <w:style w:type="paragraph" w:styleId="Heading3">
    <w:name w:val="heading 3"/>
    <w:basedOn w:val="Normal"/>
    <w:next w:val="ParaNum"/>
    <w:qFormat/>
    <w:rsid w:val="009750D8"/>
    <w:pPr>
      <w:keepNext/>
      <w:numPr>
        <w:ilvl w:val="2"/>
        <w:numId w:val="3"/>
      </w:numPr>
      <w:tabs>
        <w:tab w:val="left" w:pos="2160"/>
      </w:tabs>
      <w:spacing w:after="120"/>
      <w:outlineLvl w:val="2"/>
    </w:pPr>
    <w:rPr>
      <w:b/>
    </w:rPr>
  </w:style>
  <w:style w:type="paragraph" w:styleId="Heading4">
    <w:name w:val="heading 4"/>
    <w:basedOn w:val="Normal"/>
    <w:next w:val="ParaNum"/>
    <w:qFormat/>
    <w:rsid w:val="009750D8"/>
    <w:pPr>
      <w:keepNext/>
      <w:numPr>
        <w:ilvl w:val="3"/>
        <w:numId w:val="3"/>
      </w:numPr>
      <w:tabs>
        <w:tab w:val="left" w:pos="2880"/>
      </w:tabs>
      <w:spacing w:after="120"/>
      <w:outlineLvl w:val="3"/>
    </w:pPr>
    <w:rPr>
      <w:b/>
    </w:rPr>
  </w:style>
  <w:style w:type="paragraph" w:styleId="Heading5">
    <w:name w:val="heading 5"/>
    <w:basedOn w:val="Normal"/>
    <w:next w:val="ParaNum"/>
    <w:qFormat/>
    <w:rsid w:val="009750D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750D8"/>
    <w:pPr>
      <w:numPr>
        <w:ilvl w:val="5"/>
        <w:numId w:val="3"/>
      </w:numPr>
      <w:tabs>
        <w:tab w:val="left" w:pos="4320"/>
      </w:tabs>
      <w:spacing w:after="120"/>
      <w:outlineLvl w:val="5"/>
    </w:pPr>
    <w:rPr>
      <w:b/>
    </w:rPr>
  </w:style>
  <w:style w:type="paragraph" w:styleId="Heading7">
    <w:name w:val="heading 7"/>
    <w:basedOn w:val="Normal"/>
    <w:next w:val="ParaNum"/>
    <w:qFormat/>
    <w:rsid w:val="009750D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750D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750D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750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50D8"/>
  </w:style>
  <w:style w:type="paragraph" w:customStyle="1" w:styleId="ParaNum">
    <w:name w:val="ParaNum"/>
    <w:basedOn w:val="Normal"/>
    <w:link w:val="ParaNumChar"/>
    <w:rsid w:val="009750D8"/>
    <w:pPr>
      <w:numPr>
        <w:numId w:val="2"/>
      </w:numPr>
      <w:tabs>
        <w:tab w:val="clear" w:pos="1080"/>
        <w:tab w:val="num" w:pos="1440"/>
      </w:tabs>
      <w:spacing w:after="120"/>
    </w:pPr>
  </w:style>
  <w:style w:type="paragraph" w:styleId="EndnoteText">
    <w:name w:val="endnote text"/>
    <w:basedOn w:val="Normal"/>
    <w:semiHidden/>
    <w:rsid w:val="009750D8"/>
    <w:rPr>
      <w:sz w:val="20"/>
    </w:rPr>
  </w:style>
  <w:style w:type="character" w:styleId="EndnoteReference">
    <w:name w:val="endnote reference"/>
    <w:semiHidden/>
    <w:rsid w:val="009750D8"/>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9750D8"/>
    <w:pPr>
      <w:spacing w:after="120"/>
    </w:pPr>
  </w:style>
  <w:style w:type="character" w:styleId="FootnoteReference">
    <w:name w:val="footnote reference"/>
    <w:aliases w:val="Style 12,(NECG) Footnote Reference,Appel note de bas de p,Style 124,o,fr,Style 3,Style 13"/>
    <w:rsid w:val="009750D8"/>
    <w:rPr>
      <w:rFonts w:ascii="Times New Roman" w:hAnsi="Times New Roman"/>
      <w:dstrike w:val="0"/>
      <w:color w:val="auto"/>
      <w:sz w:val="20"/>
      <w:vertAlign w:val="superscript"/>
    </w:rPr>
  </w:style>
  <w:style w:type="paragraph" w:styleId="TOC1">
    <w:name w:val="toc 1"/>
    <w:basedOn w:val="Normal"/>
    <w:next w:val="Normal"/>
    <w:semiHidden/>
    <w:rsid w:val="009750D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750D8"/>
    <w:pPr>
      <w:tabs>
        <w:tab w:val="left" w:pos="720"/>
        <w:tab w:val="right" w:leader="dot" w:pos="9360"/>
      </w:tabs>
      <w:suppressAutoHyphens/>
      <w:ind w:left="720" w:right="720" w:hanging="360"/>
    </w:pPr>
    <w:rPr>
      <w:noProof/>
    </w:rPr>
  </w:style>
  <w:style w:type="paragraph" w:styleId="TOC3">
    <w:name w:val="toc 3"/>
    <w:basedOn w:val="Normal"/>
    <w:next w:val="Normal"/>
    <w:semiHidden/>
    <w:rsid w:val="009750D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50D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50D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50D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50D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50D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50D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50D8"/>
    <w:pPr>
      <w:tabs>
        <w:tab w:val="right" w:pos="9360"/>
      </w:tabs>
      <w:suppressAutoHyphens/>
    </w:pPr>
  </w:style>
  <w:style w:type="character" w:customStyle="1" w:styleId="EquationCaption">
    <w:name w:val="_Equation Caption"/>
    <w:rsid w:val="009750D8"/>
  </w:style>
  <w:style w:type="paragraph" w:styleId="Header">
    <w:name w:val="header"/>
    <w:basedOn w:val="Normal"/>
    <w:autoRedefine/>
    <w:rsid w:val="009750D8"/>
    <w:pPr>
      <w:tabs>
        <w:tab w:val="center" w:pos="4680"/>
        <w:tab w:val="right" w:pos="9360"/>
      </w:tabs>
    </w:pPr>
    <w:rPr>
      <w:b/>
    </w:rPr>
  </w:style>
  <w:style w:type="paragraph" w:styleId="Footer">
    <w:name w:val="footer"/>
    <w:basedOn w:val="Normal"/>
    <w:rsid w:val="009750D8"/>
    <w:pPr>
      <w:tabs>
        <w:tab w:val="center" w:pos="4320"/>
        <w:tab w:val="right" w:pos="8640"/>
      </w:tabs>
    </w:pPr>
  </w:style>
  <w:style w:type="character" w:styleId="PageNumber">
    <w:name w:val="page number"/>
    <w:basedOn w:val="DefaultParagraphFont"/>
    <w:rsid w:val="009750D8"/>
  </w:style>
  <w:style w:type="paragraph" w:styleId="BlockText">
    <w:name w:val="Block Text"/>
    <w:basedOn w:val="Normal"/>
    <w:rsid w:val="009750D8"/>
    <w:pPr>
      <w:spacing w:after="240"/>
      <w:ind w:left="1440" w:right="1440"/>
    </w:pPr>
  </w:style>
  <w:style w:type="paragraph" w:customStyle="1" w:styleId="Paratitle">
    <w:name w:val="Para title"/>
    <w:basedOn w:val="Normal"/>
    <w:rsid w:val="009750D8"/>
    <w:pPr>
      <w:tabs>
        <w:tab w:val="center" w:pos="9270"/>
      </w:tabs>
      <w:spacing w:after="240"/>
    </w:pPr>
    <w:rPr>
      <w:spacing w:val="-2"/>
    </w:rPr>
  </w:style>
  <w:style w:type="paragraph" w:customStyle="1" w:styleId="Bullet">
    <w:name w:val="Bullet"/>
    <w:basedOn w:val="Normal"/>
    <w:rsid w:val="009750D8"/>
    <w:pPr>
      <w:tabs>
        <w:tab w:val="left" w:pos="2160"/>
      </w:tabs>
      <w:spacing w:after="220"/>
      <w:ind w:left="2160" w:hanging="720"/>
    </w:pPr>
  </w:style>
  <w:style w:type="paragraph" w:customStyle="1" w:styleId="TableFormat">
    <w:name w:val="TableFormat"/>
    <w:basedOn w:val="Bullet"/>
    <w:rsid w:val="009750D8"/>
    <w:pPr>
      <w:tabs>
        <w:tab w:val="clear" w:pos="2160"/>
        <w:tab w:val="left" w:pos="5040"/>
      </w:tabs>
      <w:ind w:left="5040" w:hanging="3600"/>
    </w:pPr>
  </w:style>
  <w:style w:type="paragraph" w:customStyle="1" w:styleId="TOCTitle">
    <w:name w:val="TOC Title"/>
    <w:basedOn w:val="Normal"/>
    <w:rsid w:val="009750D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750D8"/>
    <w:pPr>
      <w:jc w:val="center"/>
    </w:pPr>
    <w:rPr>
      <w:rFonts w:ascii="Times New Roman Bold" w:hAnsi="Times New Roman Bold"/>
      <w:b/>
      <w:bCs/>
      <w:caps/>
      <w:szCs w:val="22"/>
    </w:rPr>
  </w:style>
  <w:style w:type="character" w:styleId="Hyperlink">
    <w:name w:val="Hyperlink"/>
    <w:rsid w:val="009750D8"/>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FC7B79"/>
  </w:style>
  <w:style w:type="character" w:customStyle="1" w:styleId="ParaNumChar">
    <w:name w:val="ParaNum Char"/>
    <w:link w:val="ParaNum"/>
    <w:rsid w:val="002B3119"/>
    <w:rPr>
      <w:snapToGrid w:val="0"/>
      <w:kern w:val="28"/>
      <w:sz w:val="22"/>
    </w:rPr>
  </w:style>
  <w:style w:type="paragraph" w:styleId="BalloonText">
    <w:name w:val="Balloon Text"/>
    <w:basedOn w:val="Normal"/>
    <w:link w:val="BalloonTextChar"/>
    <w:rsid w:val="00857C02"/>
    <w:rPr>
      <w:rFonts w:ascii="Segoe UI" w:hAnsi="Segoe UI" w:cs="Segoe UI"/>
      <w:sz w:val="18"/>
      <w:szCs w:val="18"/>
    </w:rPr>
  </w:style>
  <w:style w:type="character" w:customStyle="1" w:styleId="BalloonTextChar">
    <w:name w:val="Balloon Text Char"/>
    <w:basedOn w:val="DefaultParagraphFont"/>
    <w:link w:val="BalloonText"/>
    <w:rsid w:val="00857C02"/>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D8"/>
    <w:pPr>
      <w:widowControl w:val="0"/>
    </w:pPr>
    <w:rPr>
      <w:snapToGrid w:val="0"/>
      <w:kern w:val="28"/>
      <w:sz w:val="22"/>
    </w:rPr>
  </w:style>
  <w:style w:type="paragraph" w:styleId="Heading1">
    <w:name w:val="heading 1"/>
    <w:basedOn w:val="Normal"/>
    <w:next w:val="ParaNum"/>
    <w:qFormat/>
    <w:rsid w:val="009750D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750D8"/>
    <w:pPr>
      <w:keepNext/>
      <w:numPr>
        <w:ilvl w:val="1"/>
        <w:numId w:val="3"/>
      </w:numPr>
      <w:spacing w:after="120"/>
      <w:outlineLvl w:val="1"/>
    </w:pPr>
    <w:rPr>
      <w:b/>
    </w:rPr>
  </w:style>
  <w:style w:type="paragraph" w:styleId="Heading3">
    <w:name w:val="heading 3"/>
    <w:basedOn w:val="Normal"/>
    <w:next w:val="ParaNum"/>
    <w:qFormat/>
    <w:rsid w:val="009750D8"/>
    <w:pPr>
      <w:keepNext/>
      <w:numPr>
        <w:ilvl w:val="2"/>
        <w:numId w:val="3"/>
      </w:numPr>
      <w:tabs>
        <w:tab w:val="left" w:pos="2160"/>
      </w:tabs>
      <w:spacing w:after="120"/>
      <w:outlineLvl w:val="2"/>
    </w:pPr>
    <w:rPr>
      <w:b/>
    </w:rPr>
  </w:style>
  <w:style w:type="paragraph" w:styleId="Heading4">
    <w:name w:val="heading 4"/>
    <w:basedOn w:val="Normal"/>
    <w:next w:val="ParaNum"/>
    <w:qFormat/>
    <w:rsid w:val="009750D8"/>
    <w:pPr>
      <w:keepNext/>
      <w:numPr>
        <w:ilvl w:val="3"/>
        <w:numId w:val="3"/>
      </w:numPr>
      <w:tabs>
        <w:tab w:val="left" w:pos="2880"/>
      </w:tabs>
      <w:spacing w:after="120"/>
      <w:outlineLvl w:val="3"/>
    </w:pPr>
    <w:rPr>
      <w:b/>
    </w:rPr>
  </w:style>
  <w:style w:type="paragraph" w:styleId="Heading5">
    <w:name w:val="heading 5"/>
    <w:basedOn w:val="Normal"/>
    <w:next w:val="ParaNum"/>
    <w:qFormat/>
    <w:rsid w:val="009750D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750D8"/>
    <w:pPr>
      <w:numPr>
        <w:ilvl w:val="5"/>
        <w:numId w:val="3"/>
      </w:numPr>
      <w:tabs>
        <w:tab w:val="left" w:pos="4320"/>
      </w:tabs>
      <w:spacing w:after="120"/>
      <w:outlineLvl w:val="5"/>
    </w:pPr>
    <w:rPr>
      <w:b/>
    </w:rPr>
  </w:style>
  <w:style w:type="paragraph" w:styleId="Heading7">
    <w:name w:val="heading 7"/>
    <w:basedOn w:val="Normal"/>
    <w:next w:val="ParaNum"/>
    <w:qFormat/>
    <w:rsid w:val="009750D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750D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750D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750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50D8"/>
  </w:style>
  <w:style w:type="paragraph" w:customStyle="1" w:styleId="ParaNum">
    <w:name w:val="ParaNum"/>
    <w:basedOn w:val="Normal"/>
    <w:link w:val="ParaNumChar"/>
    <w:rsid w:val="009750D8"/>
    <w:pPr>
      <w:numPr>
        <w:numId w:val="2"/>
      </w:numPr>
      <w:tabs>
        <w:tab w:val="clear" w:pos="1080"/>
        <w:tab w:val="num" w:pos="1440"/>
      </w:tabs>
      <w:spacing w:after="120"/>
    </w:pPr>
  </w:style>
  <w:style w:type="paragraph" w:styleId="EndnoteText">
    <w:name w:val="endnote text"/>
    <w:basedOn w:val="Normal"/>
    <w:semiHidden/>
    <w:rsid w:val="009750D8"/>
    <w:rPr>
      <w:sz w:val="20"/>
    </w:rPr>
  </w:style>
  <w:style w:type="character" w:styleId="EndnoteReference">
    <w:name w:val="endnote reference"/>
    <w:semiHidden/>
    <w:rsid w:val="009750D8"/>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9750D8"/>
    <w:pPr>
      <w:spacing w:after="120"/>
    </w:pPr>
  </w:style>
  <w:style w:type="character" w:styleId="FootnoteReference">
    <w:name w:val="footnote reference"/>
    <w:aliases w:val="Style 12,(NECG) Footnote Reference,Appel note de bas de p,Style 124,o,fr,Style 3,Style 13"/>
    <w:rsid w:val="009750D8"/>
    <w:rPr>
      <w:rFonts w:ascii="Times New Roman" w:hAnsi="Times New Roman"/>
      <w:dstrike w:val="0"/>
      <w:color w:val="auto"/>
      <w:sz w:val="20"/>
      <w:vertAlign w:val="superscript"/>
    </w:rPr>
  </w:style>
  <w:style w:type="paragraph" w:styleId="TOC1">
    <w:name w:val="toc 1"/>
    <w:basedOn w:val="Normal"/>
    <w:next w:val="Normal"/>
    <w:semiHidden/>
    <w:rsid w:val="009750D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750D8"/>
    <w:pPr>
      <w:tabs>
        <w:tab w:val="left" w:pos="720"/>
        <w:tab w:val="right" w:leader="dot" w:pos="9360"/>
      </w:tabs>
      <w:suppressAutoHyphens/>
      <w:ind w:left="720" w:right="720" w:hanging="360"/>
    </w:pPr>
    <w:rPr>
      <w:noProof/>
    </w:rPr>
  </w:style>
  <w:style w:type="paragraph" w:styleId="TOC3">
    <w:name w:val="toc 3"/>
    <w:basedOn w:val="Normal"/>
    <w:next w:val="Normal"/>
    <w:semiHidden/>
    <w:rsid w:val="009750D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50D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50D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50D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50D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50D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50D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50D8"/>
    <w:pPr>
      <w:tabs>
        <w:tab w:val="right" w:pos="9360"/>
      </w:tabs>
      <w:suppressAutoHyphens/>
    </w:pPr>
  </w:style>
  <w:style w:type="character" w:customStyle="1" w:styleId="EquationCaption">
    <w:name w:val="_Equation Caption"/>
    <w:rsid w:val="009750D8"/>
  </w:style>
  <w:style w:type="paragraph" w:styleId="Header">
    <w:name w:val="header"/>
    <w:basedOn w:val="Normal"/>
    <w:autoRedefine/>
    <w:rsid w:val="009750D8"/>
    <w:pPr>
      <w:tabs>
        <w:tab w:val="center" w:pos="4680"/>
        <w:tab w:val="right" w:pos="9360"/>
      </w:tabs>
    </w:pPr>
    <w:rPr>
      <w:b/>
    </w:rPr>
  </w:style>
  <w:style w:type="paragraph" w:styleId="Footer">
    <w:name w:val="footer"/>
    <w:basedOn w:val="Normal"/>
    <w:rsid w:val="009750D8"/>
    <w:pPr>
      <w:tabs>
        <w:tab w:val="center" w:pos="4320"/>
        <w:tab w:val="right" w:pos="8640"/>
      </w:tabs>
    </w:pPr>
  </w:style>
  <w:style w:type="character" w:styleId="PageNumber">
    <w:name w:val="page number"/>
    <w:basedOn w:val="DefaultParagraphFont"/>
    <w:rsid w:val="009750D8"/>
  </w:style>
  <w:style w:type="paragraph" w:styleId="BlockText">
    <w:name w:val="Block Text"/>
    <w:basedOn w:val="Normal"/>
    <w:rsid w:val="009750D8"/>
    <w:pPr>
      <w:spacing w:after="240"/>
      <w:ind w:left="1440" w:right="1440"/>
    </w:pPr>
  </w:style>
  <w:style w:type="paragraph" w:customStyle="1" w:styleId="Paratitle">
    <w:name w:val="Para title"/>
    <w:basedOn w:val="Normal"/>
    <w:rsid w:val="009750D8"/>
    <w:pPr>
      <w:tabs>
        <w:tab w:val="center" w:pos="9270"/>
      </w:tabs>
      <w:spacing w:after="240"/>
    </w:pPr>
    <w:rPr>
      <w:spacing w:val="-2"/>
    </w:rPr>
  </w:style>
  <w:style w:type="paragraph" w:customStyle="1" w:styleId="Bullet">
    <w:name w:val="Bullet"/>
    <w:basedOn w:val="Normal"/>
    <w:rsid w:val="009750D8"/>
    <w:pPr>
      <w:tabs>
        <w:tab w:val="left" w:pos="2160"/>
      </w:tabs>
      <w:spacing w:after="220"/>
      <w:ind w:left="2160" w:hanging="720"/>
    </w:pPr>
  </w:style>
  <w:style w:type="paragraph" w:customStyle="1" w:styleId="TableFormat">
    <w:name w:val="TableFormat"/>
    <w:basedOn w:val="Bullet"/>
    <w:rsid w:val="009750D8"/>
    <w:pPr>
      <w:tabs>
        <w:tab w:val="clear" w:pos="2160"/>
        <w:tab w:val="left" w:pos="5040"/>
      </w:tabs>
      <w:ind w:left="5040" w:hanging="3600"/>
    </w:pPr>
  </w:style>
  <w:style w:type="paragraph" w:customStyle="1" w:styleId="TOCTitle">
    <w:name w:val="TOC Title"/>
    <w:basedOn w:val="Normal"/>
    <w:rsid w:val="009750D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750D8"/>
    <w:pPr>
      <w:jc w:val="center"/>
    </w:pPr>
    <w:rPr>
      <w:rFonts w:ascii="Times New Roman Bold" w:hAnsi="Times New Roman Bold"/>
      <w:b/>
      <w:bCs/>
      <w:caps/>
      <w:szCs w:val="22"/>
    </w:rPr>
  </w:style>
  <w:style w:type="character" w:styleId="Hyperlink">
    <w:name w:val="Hyperlink"/>
    <w:rsid w:val="009750D8"/>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FC7B79"/>
  </w:style>
  <w:style w:type="character" w:customStyle="1" w:styleId="ParaNumChar">
    <w:name w:val="ParaNum Char"/>
    <w:link w:val="ParaNum"/>
    <w:rsid w:val="002B3119"/>
    <w:rPr>
      <w:snapToGrid w:val="0"/>
      <w:kern w:val="28"/>
      <w:sz w:val="22"/>
    </w:rPr>
  </w:style>
  <w:style w:type="paragraph" w:styleId="BalloonText">
    <w:name w:val="Balloon Text"/>
    <w:basedOn w:val="Normal"/>
    <w:link w:val="BalloonTextChar"/>
    <w:rsid w:val="00857C02"/>
    <w:rPr>
      <w:rFonts w:ascii="Segoe UI" w:hAnsi="Segoe UI" w:cs="Segoe UI"/>
      <w:sz w:val="18"/>
      <w:szCs w:val="18"/>
    </w:rPr>
  </w:style>
  <w:style w:type="character" w:customStyle="1" w:styleId="BalloonTextChar">
    <w:name w:val="Balloon Text Char"/>
    <w:basedOn w:val="DefaultParagraphFont"/>
    <w:link w:val="BalloonText"/>
    <w:rsid w:val="00857C0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1309</Words>
  <Characters>7249</Characters>
  <Application>Microsoft Office Word</Application>
  <DocSecurity>0</DocSecurity>
  <Lines>145</Lines>
  <Paragraphs>47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8578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2015-10-30T16:14:00Z</cp:lastPrinted>
  <dcterms:created xsi:type="dcterms:W3CDTF">2015-12-17T16:02:00Z</dcterms:created>
  <dcterms:modified xsi:type="dcterms:W3CDTF">2015-12-17T16:02:00Z</dcterms:modified>
  <cp:category> </cp:category>
  <cp:contentStatus> </cp:contentStatus>
</cp:coreProperties>
</file>