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AD3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6D8CCB3" w14:textId="77777777" w:rsidR="00921803" w:rsidRDefault="00921803" w:rsidP="00921803">
      <w:pPr>
        <w:pStyle w:val="StyleBoldCentered"/>
      </w:pPr>
      <w:r>
        <w:t>F</w:t>
      </w:r>
      <w:r>
        <w:rPr>
          <w:caps w:val="0"/>
        </w:rPr>
        <w:t>ederal Communications Commission</w:t>
      </w:r>
    </w:p>
    <w:p w14:paraId="7631F84B" w14:textId="77777777" w:rsidR="004C2EE3" w:rsidRDefault="00810B6F" w:rsidP="00096D8C">
      <w:pPr>
        <w:pStyle w:val="StyleBoldCentered"/>
      </w:pPr>
      <w:r>
        <w:rPr>
          <w:caps w:val="0"/>
        </w:rPr>
        <w:t>Washington, D.C. 20554</w:t>
      </w:r>
    </w:p>
    <w:p w14:paraId="760F4C74" w14:textId="77777777" w:rsidR="004C2EE3" w:rsidRDefault="004C2EE3" w:rsidP="0070224F"/>
    <w:p w14:paraId="43F4FE0B"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AF52B7A" w14:textId="77777777">
        <w:tc>
          <w:tcPr>
            <w:tcW w:w="4698" w:type="dxa"/>
          </w:tcPr>
          <w:p w14:paraId="28C2C83C" w14:textId="77777777" w:rsidR="001F165D" w:rsidRPr="00150FBA" w:rsidRDefault="001F165D" w:rsidP="001F165D">
            <w:pPr>
              <w:ind w:right="-18"/>
              <w:rPr>
                <w:szCs w:val="22"/>
              </w:rPr>
            </w:pPr>
            <w:r w:rsidRPr="00150FBA">
              <w:rPr>
                <w:szCs w:val="22"/>
              </w:rPr>
              <w:t xml:space="preserve">In </w:t>
            </w:r>
            <w:r>
              <w:rPr>
                <w:szCs w:val="22"/>
              </w:rPr>
              <w:t>th</w:t>
            </w:r>
            <w:r w:rsidRPr="00150FBA">
              <w:rPr>
                <w:szCs w:val="22"/>
              </w:rPr>
              <w:t>e</w:t>
            </w:r>
            <w:r>
              <w:rPr>
                <w:szCs w:val="22"/>
              </w:rPr>
              <w:t xml:space="preserve"> Matter of</w:t>
            </w:r>
          </w:p>
          <w:p w14:paraId="53887046" w14:textId="77777777" w:rsidR="001F165D" w:rsidRPr="00150FBA" w:rsidRDefault="001F165D" w:rsidP="001F165D">
            <w:pPr>
              <w:ind w:right="-18"/>
              <w:rPr>
                <w:szCs w:val="22"/>
              </w:rPr>
            </w:pPr>
          </w:p>
          <w:p w14:paraId="6F7506E6" w14:textId="77777777" w:rsidR="009C5A9D" w:rsidRDefault="00CB23A3" w:rsidP="001F165D">
            <w:pPr>
              <w:tabs>
                <w:tab w:val="left" w:pos="-720"/>
              </w:tabs>
              <w:suppressAutoHyphens/>
              <w:jc w:val="both"/>
              <w:rPr>
                <w:spacing w:val="-3"/>
                <w:szCs w:val="22"/>
              </w:rPr>
            </w:pPr>
            <w:r w:rsidRPr="006478D0">
              <w:rPr>
                <w:spacing w:val="-3"/>
                <w:szCs w:val="22"/>
              </w:rPr>
              <w:t>John Edward Ostlund</w:t>
            </w:r>
          </w:p>
          <w:p w14:paraId="4E49FEC1" w14:textId="77777777" w:rsidR="00D671DC" w:rsidRDefault="00D671DC" w:rsidP="001F165D">
            <w:pPr>
              <w:tabs>
                <w:tab w:val="left" w:pos="-720"/>
              </w:tabs>
              <w:suppressAutoHyphens/>
              <w:jc w:val="both"/>
              <w:rPr>
                <w:spacing w:val="-3"/>
                <w:szCs w:val="22"/>
              </w:rPr>
            </w:pPr>
          </w:p>
          <w:p w14:paraId="4D764F45" w14:textId="404D8D33" w:rsidR="001F165D" w:rsidRPr="00114EFD" w:rsidRDefault="001F165D" w:rsidP="001F165D">
            <w:pPr>
              <w:tabs>
                <w:tab w:val="left" w:pos="-720"/>
              </w:tabs>
              <w:suppressAutoHyphens/>
              <w:jc w:val="both"/>
              <w:rPr>
                <w:spacing w:val="-3"/>
                <w:szCs w:val="22"/>
              </w:rPr>
            </w:pPr>
            <w:r>
              <w:rPr>
                <w:szCs w:val="22"/>
              </w:rPr>
              <w:t>Application for a Permit to Construct a New</w:t>
            </w:r>
          </w:p>
          <w:p w14:paraId="4ECBD837" w14:textId="77777777" w:rsidR="004C2EE3" w:rsidRDefault="00CB23A3" w:rsidP="00CB23A3">
            <w:pPr>
              <w:tabs>
                <w:tab w:val="left" w:pos="-720"/>
              </w:tabs>
              <w:suppressAutoHyphens/>
              <w:jc w:val="both"/>
              <w:rPr>
                <w:spacing w:val="-3"/>
                <w:szCs w:val="22"/>
              </w:rPr>
            </w:pPr>
            <w:r>
              <w:rPr>
                <w:szCs w:val="22"/>
              </w:rPr>
              <w:t>AM</w:t>
            </w:r>
            <w:r w:rsidR="001F165D">
              <w:rPr>
                <w:szCs w:val="22"/>
              </w:rPr>
              <w:t xml:space="preserve"> Station </w:t>
            </w:r>
            <w:r w:rsidR="001F165D">
              <w:rPr>
                <w:spacing w:val="-3"/>
                <w:szCs w:val="22"/>
              </w:rPr>
              <w:t xml:space="preserve">at </w:t>
            </w:r>
            <w:r>
              <w:rPr>
                <w:spacing w:val="-3"/>
                <w:szCs w:val="22"/>
              </w:rPr>
              <w:t>Easton, California</w:t>
            </w:r>
            <w:r w:rsidR="00071605">
              <w:rPr>
                <w:spacing w:val="-3"/>
                <w:szCs w:val="22"/>
              </w:rPr>
              <w:t>, and</w:t>
            </w:r>
          </w:p>
          <w:p w14:paraId="7D32A120" w14:textId="77777777" w:rsidR="007B7DF7" w:rsidRDefault="007B7DF7" w:rsidP="00CB23A3">
            <w:pPr>
              <w:tabs>
                <w:tab w:val="left" w:pos="-720"/>
              </w:tabs>
              <w:suppressAutoHyphens/>
              <w:jc w:val="both"/>
              <w:rPr>
                <w:spacing w:val="-3"/>
                <w:szCs w:val="22"/>
              </w:rPr>
            </w:pPr>
          </w:p>
          <w:p w14:paraId="1A5C3F17" w14:textId="77777777" w:rsidR="007B7DF7" w:rsidRPr="006478D0" w:rsidRDefault="007B7DF7" w:rsidP="00CB23A3">
            <w:pPr>
              <w:tabs>
                <w:tab w:val="left" w:pos="-720"/>
              </w:tabs>
              <w:suppressAutoHyphens/>
              <w:jc w:val="both"/>
              <w:rPr>
                <w:spacing w:val="-3"/>
                <w:szCs w:val="22"/>
              </w:rPr>
            </w:pPr>
            <w:r w:rsidRPr="006478D0">
              <w:rPr>
                <w:spacing w:val="-3"/>
                <w:szCs w:val="22"/>
              </w:rPr>
              <w:t>Hilo Broadcasting, LLC</w:t>
            </w:r>
          </w:p>
          <w:p w14:paraId="5FED0F93" w14:textId="77777777" w:rsidR="007B7DF7" w:rsidRDefault="007B7DF7" w:rsidP="00CB23A3">
            <w:pPr>
              <w:tabs>
                <w:tab w:val="left" w:pos="-720"/>
              </w:tabs>
              <w:suppressAutoHyphens/>
              <w:jc w:val="both"/>
              <w:rPr>
                <w:spacing w:val="-3"/>
                <w:szCs w:val="22"/>
              </w:rPr>
            </w:pPr>
          </w:p>
          <w:p w14:paraId="247B596A" w14:textId="77777777" w:rsidR="007B7DF7" w:rsidRDefault="007B7DF7" w:rsidP="00CB23A3">
            <w:pPr>
              <w:tabs>
                <w:tab w:val="left" w:pos="-720"/>
              </w:tabs>
              <w:suppressAutoHyphens/>
              <w:jc w:val="both"/>
              <w:rPr>
                <w:spacing w:val="-3"/>
                <w:szCs w:val="22"/>
              </w:rPr>
            </w:pPr>
            <w:r>
              <w:rPr>
                <w:spacing w:val="-3"/>
                <w:szCs w:val="22"/>
              </w:rPr>
              <w:t>Application for a Permit to Construct a New</w:t>
            </w:r>
          </w:p>
          <w:p w14:paraId="2B21F746" w14:textId="77777777" w:rsidR="007B7DF7" w:rsidRPr="00CB23A3" w:rsidRDefault="007B7DF7" w:rsidP="00CB23A3">
            <w:pPr>
              <w:tabs>
                <w:tab w:val="left" w:pos="-720"/>
              </w:tabs>
              <w:suppressAutoHyphens/>
              <w:jc w:val="both"/>
              <w:rPr>
                <w:spacing w:val="-3"/>
                <w:szCs w:val="22"/>
              </w:rPr>
            </w:pPr>
            <w:r>
              <w:rPr>
                <w:spacing w:val="-3"/>
                <w:szCs w:val="22"/>
              </w:rPr>
              <w:t>AM Station at Captain Cook, Hawaii</w:t>
            </w:r>
          </w:p>
        </w:tc>
        <w:tc>
          <w:tcPr>
            <w:tcW w:w="630" w:type="dxa"/>
          </w:tcPr>
          <w:p w14:paraId="51180202" w14:textId="77777777" w:rsidR="001F165D" w:rsidRPr="00150FBA" w:rsidRDefault="001F165D" w:rsidP="001F165D">
            <w:pPr>
              <w:rPr>
                <w:b/>
                <w:szCs w:val="22"/>
              </w:rPr>
            </w:pPr>
            <w:r w:rsidRPr="00150FBA">
              <w:rPr>
                <w:b/>
                <w:szCs w:val="22"/>
              </w:rPr>
              <w:t>)</w:t>
            </w:r>
          </w:p>
          <w:p w14:paraId="2111EECE" w14:textId="77777777" w:rsidR="001F165D" w:rsidRPr="00150FBA" w:rsidRDefault="001F165D" w:rsidP="001F165D">
            <w:pPr>
              <w:rPr>
                <w:b/>
                <w:szCs w:val="22"/>
              </w:rPr>
            </w:pPr>
            <w:r w:rsidRPr="00150FBA">
              <w:rPr>
                <w:b/>
                <w:szCs w:val="22"/>
              </w:rPr>
              <w:t>)</w:t>
            </w:r>
          </w:p>
          <w:p w14:paraId="480313C7" w14:textId="77777777" w:rsidR="001F165D" w:rsidRPr="00150FBA" w:rsidRDefault="001F165D" w:rsidP="001F165D">
            <w:pPr>
              <w:rPr>
                <w:b/>
                <w:szCs w:val="22"/>
              </w:rPr>
            </w:pPr>
            <w:r w:rsidRPr="00150FBA">
              <w:rPr>
                <w:b/>
                <w:szCs w:val="22"/>
              </w:rPr>
              <w:t>)</w:t>
            </w:r>
          </w:p>
          <w:p w14:paraId="391A82F3" w14:textId="77777777" w:rsidR="001F165D" w:rsidRPr="00150FBA" w:rsidRDefault="001F165D" w:rsidP="001F165D">
            <w:pPr>
              <w:rPr>
                <w:b/>
                <w:szCs w:val="22"/>
              </w:rPr>
            </w:pPr>
            <w:r w:rsidRPr="00150FBA">
              <w:rPr>
                <w:b/>
                <w:szCs w:val="22"/>
              </w:rPr>
              <w:t>)</w:t>
            </w:r>
          </w:p>
          <w:p w14:paraId="491E6CF5" w14:textId="77777777" w:rsidR="001F165D" w:rsidRPr="00150FBA" w:rsidRDefault="001F165D" w:rsidP="001F165D">
            <w:pPr>
              <w:rPr>
                <w:b/>
                <w:szCs w:val="22"/>
              </w:rPr>
            </w:pPr>
            <w:r w:rsidRPr="00150FBA">
              <w:rPr>
                <w:b/>
                <w:szCs w:val="22"/>
              </w:rPr>
              <w:t>)</w:t>
            </w:r>
          </w:p>
          <w:p w14:paraId="2F46D430" w14:textId="77777777" w:rsidR="001F165D" w:rsidRPr="00150FBA" w:rsidRDefault="001F165D" w:rsidP="001F165D">
            <w:pPr>
              <w:rPr>
                <w:b/>
                <w:szCs w:val="22"/>
              </w:rPr>
            </w:pPr>
            <w:r w:rsidRPr="00150FBA">
              <w:rPr>
                <w:b/>
                <w:szCs w:val="22"/>
              </w:rPr>
              <w:t>)</w:t>
            </w:r>
          </w:p>
          <w:p w14:paraId="4B46FF77" w14:textId="77777777" w:rsidR="004C2EE3" w:rsidRDefault="001F165D" w:rsidP="001F165D">
            <w:pPr>
              <w:rPr>
                <w:b/>
                <w:szCs w:val="22"/>
              </w:rPr>
            </w:pPr>
            <w:r w:rsidRPr="00150FBA">
              <w:rPr>
                <w:b/>
                <w:szCs w:val="22"/>
              </w:rPr>
              <w:t>)</w:t>
            </w:r>
          </w:p>
          <w:p w14:paraId="7DC363C0" w14:textId="77777777" w:rsidR="007B7DF7" w:rsidRDefault="007B7DF7" w:rsidP="001F165D">
            <w:pPr>
              <w:rPr>
                <w:b/>
                <w:szCs w:val="22"/>
              </w:rPr>
            </w:pPr>
            <w:r>
              <w:rPr>
                <w:b/>
                <w:szCs w:val="22"/>
              </w:rPr>
              <w:t>)</w:t>
            </w:r>
          </w:p>
          <w:p w14:paraId="4BD6AFB1" w14:textId="77777777" w:rsidR="007B7DF7" w:rsidRDefault="007B7DF7" w:rsidP="001F165D">
            <w:pPr>
              <w:rPr>
                <w:b/>
                <w:szCs w:val="22"/>
              </w:rPr>
            </w:pPr>
            <w:r>
              <w:rPr>
                <w:b/>
                <w:szCs w:val="22"/>
              </w:rPr>
              <w:t>)</w:t>
            </w:r>
          </w:p>
          <w:p w14:paraId="061EE55B" w14:textId="77777777" w:rsidR="007B7DF7" w:rsidRDefault="007B7DF7" w:rsidP="001F165D">
            <w:pPr>
              <w:rPr>
                <w:b/>
                <w:szCs w:val="22"/>
              </w:rPr>
            </w:pPr>
            <w:r>
              <w:rPr>
                <w:b/>
                <w:szCs w:val="22"/>
              </w:rPr>
              <w:t>)</w:t>
            </w:r>
          </w:p>
          <w:p w14:paraId="6A51958B" w14:textId="77777777" w:rsidR="007B7DF7" w:rsidRPr="001F165D" w:rsidRDefault="007B7DF7" w:rsidP="001F165D">
            <w:pPr>
              <w:rPr>
                <w:b/>
                <w:szCs w:val="22"/>
              </w:rPr>
            </w:pPr>
            <w:r>
              <w:rPr>
                <w:b/>
                <w:szCs w:val="22"/>
              </w:rPr>
              <w:t>)</w:t>
            </w:r>
          </w:p>
        </w:tc>
        <w:tc>
          <w:tcPr>
            <w:tcW w:w="4248" w:type="dxa"/>
          </w:tcPr>
          <w:p w14:paraId="56E2EC42" w14:textId="77777777" w:rsidR="00464DBA" w:rsidRDefault="00464DBA" w:rsidP="00464DBA">
            <w:pPr>
              <w:rPr>
                <w:szCs w:val="22"/>
              </w:rPr>
            </w:pPr>
            <w:r>
              <w:rPr>
                <w:spacing w:val="-3"/>
                <w:szCs w:val="22"/>
              </w:rPr>
              <w:t xml:space="preserve">MX Group No. </w:t>
            </w:r>
            <w:r>
              <w:rPr>
                <w:szCs w:val="22"/>
              </w:rPr>
              <w:t>84-145</w:t>
            </w:r>
            <w:r w:rsidRPr="00150FBA">
              <w:rPr>
                <w:szCs w:val="22"/>
              </w:rPr>
              <w:t xml:space="preserve">    </w:t>
            </w:r>
          </w:p>
          <w:p w14:paraId="5A8E75FE" w14:textId="77777777" w:rsidR="001F165D" w:rsidRDefault="001F165D" w:rsidP="001F165D">
            <w:pPr>
              <w:rPr>
                <w:spacing w:val="-3"/>
                <w:szCs w:val="22"/>
              </w:rPr>
            </w:pPr>
          </w:p>
          <w:p w14:paraId="26517F32" w14:textId="77777777" w:rsidR="00464DBA" w:rsidRDefault="00464DBA" w:rsidP="001F165D">
            <w:pPr>
              <w:rPr>
                <w:spacing w:val="-3"/>
                <w:szCs w:val="22"/>
              </w:rPr>
            </w:pPr>
          </w:p>
          <w:p w14:paraId="1F89668D" w14:textId="77777777" w:rsidR="001F165D" w:rsidRPr="00150FBA" w:rsidRDefault="00CB23A3" w:rsidP="001F165D">
            <w:pPr>
              <w:rPr>
                <w:szCs w:val="22"/>
              </w:rPr>
            </w:pPr>
            <w:r>
              <w:rPr>
                <w:spacing w:val="-3"/>
                <w:szCs w:val="22"/>
              </w:rPr>
              <w:t>File No. BNP-20040129AMT</w:t>
            </w:r>
          </w:p>
          <w:p w14:paraId="752FEA57" w14:textId="77777777" w:rsidR="001F165D" w:rsidRDefault="00794DDE" w:rsidP="001F165D">
            <w:pPr>
              <w:rPr>
                <w:szCs w:val="22"/>
              </w:rPr>
            </w:pPr>
            <w:r>
              <w:rPr>
                <w:szCs w:val="22"/>
              </w:rPr>
              <w:t xml:space="preserve">Facility ID No. </w:t>
            </w:r>
            <w:r w:rsidR="00CB23A3">
              <w:rPr>
                <w:spacing w:val="-3"/>
                <w:szCs w:val="22"/>
              </w:rPr>
              <w:t>160949</w:t>
            </w:r>
            <w:r w:rsidR="001F165D" w:rsidRPr="00150FBA">
              <w:rPr>
                <w:szCs w:val="22"/>
              </w:rPr>
              <w:t xml:space="preserve">  </w:t>
            </w:r>
          </w:p>
          <w:p w14:paraId="4A3DF182" w14:textId="77777777" w:rsidR="007B7DF7" w:rsidRDefault="007B7DF7" w:rsidP="001F165D">
            <w:pPr>
              <w:rPr>
                <w:szCs w:val="22"/>
              </w:rPr>
            </w:pPr>
          </w:p>
          <w:p w14:paraId="4566E344" w14:textId="77777777" w:rsidR="00464DBA" w:rsidRDefault="00464DBA" w:rsidP="007B7DF7">
            <w:pPr>
              <w:rPr>
                <w:spacing w:val="-3"/>
                <w:szCs w:val="22"/>
              </w:rPr>
            </w:pPr>
          </w:p>
          <w:p w14:paraId="172975C8" w14:textId="77777777" w:rsidR="00464DBA" w:rsidRDefault="00464DBA" w:rsidP="007B7DF7">
            <w:pPr>
              <w:rPr>
                <w:spacing w:val="-3"/>
                <w:szCs w:val="22"/>
              </w:rPr>
            </w:pPr>
          </w:p>
          <w:p w14:paraId="2C983779" w14:textId="77777777" w:rsidR="007B7DF7" w:rsidRPr="00150FBA" w:rsidRDefault="007B7DF7" w:rsidP="007B7DF7">
            <w:pPr>
              <w:rPr>
                <w:szCs w:val="22"/>
              </w:rPr>
            </w:pPr>
            <w:r>
              <w:rPr>
                <w:spacing w:val="-3"/>
                <w:szCs w:val="22"/>
              </w:rPr>
              <w:t>File No. BNP-2004012</w:t>
            </w:r>
            <w:r w:rsidR="00464DBA">
              <w:rPr>
                <w:spacing w:val="-3"/>
                <w:szCs w:val="22"/>
              </w:rPr>
              <w:t>7ABN</w:t>
            </w:r>
          </w:p>
          <w:p w14:paraId="6694F12D" w14:textId="77777777" w:rsidR="004C2EE3" w:rsidRPr="001F165D" w:rsidRDefault="007B7DF7" w:rsidP="007B7DF7">
            <w:pPr>
              <w:rPr>
                <w:szCs w:val="22"/>
              </w:rPr>
            </w:pPr>
            <w:r>
              <w:rPr>
                <w:szCs w:val="22"/>
              </w:rPr>
              <w:t xml:space="preserve">Facility ID No. </w:t>
            </w:r>
            <w:r w:rsidR="00464DBA">
              <w:rPr>
                <w:szCs w:val="22"/>
              </w:rPr>
              <w:t>160261</w:t>
            </w:r>
            <w:r w:rsidR="001F165D" w:rsidRPr="00150FBA">
              <w:rPr>
                <w:szCs w:val="22"/>
              </w:rPr>
              <w:t xml:space="preserve">    </w:t>
            </w:r>
          </w:p>
        </w:tc>
      </w:tr>
    </w:tbl>
    <w:p w14:paraId="2A91E93F" w14:textId="77777777" w:rsidR="004C2EE3" w:rsidRDefault="004C2EE3" w:rsidP="0070224F"/>
    <w:p w14:paraId="3AADEE87" w14:textId="77777777" w:rsidR="001F165D" w:rsidRDefault="001F165D" w:rsidP="001F165D">
      <w:pPr>
        <w:jc w:val="center"/>
        <w:rPr>
          <w:szCs w:val="22"/>
        </w:rPr>
      </w:pPr>
      <w:r w:rsidRPr="00411012">
        <w:rPr>
          <w:b/>
          <w:szCs w:val="22"/>
        </w:rPr>
        <w:t>MEMORANDUM OPINION AND ORDER</w:t>
      </w:r>
    </w:p>
    <w:p w14:paraId="6BC179A9" w14:textId="77777777" w:rsidR="004C2EE3" w:rsidRDefault="004C2EE3">
      <w:pPr>
        <w:tabs>
          <w:tab w:val="left" w:pos="-720"/>
        </w:tabs>
        <w:suppressAutoHyphens/>
        <w:spacing w:line="227" w:lineRule="auto"/>
        <w:rPr>
          <w:spacing w:val="-2"/>
        </w:rPr>
      </w:pPr>
    </w:p>
    <w:p w14:paraId="786536FC" w14:textId="5C9A6352" w:rsidR="004C2EE3" w:rsidRDefault="004C2EE3" w:rsidP="00133F79">
      <w:pPr>
        <w:tabs>
          <w:tab w:val="left" w:pos="720"/>
          <w:tab w:val="right" w:pos="9360"/>
        </w:tabs>
        <w:suppressAutoHyphens/>
        <w:spacing w:line="227" w:lineRule="auto"/>
        <w:rPr>
          <w:spacing w:val="-2"/>
        </w:rPr>
      </w:pPr>
      <w:r>
        <w:rPr>
          <w:b/>
          <w:spacing w:val="-2"/>
        </w:rPr>
        <w:t xml:space="preserve">Adopted:  </w:t>
      </w:r>
      <w:r w:rsidR="000E23F3">
        <w:rPr>
          <w:b/>
          <w:spacing w:val="-2"/>
        </w:rPr>
        <w:t>December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E23F3">
        <w:rPr>
          <w:b/>
          <w:spacing w:val="-2"/>
        </w:rPr>
        <w:t>December 17, 2015</w:t>
      </w:r>
    </w:p>
    <w:p w14:paraId="5DFB65A5" w14:textId="77777777" w:rsidR="00822CE0" w:rsidRDefault="00822CE0"/>
    <w:p w14:paraId="10774DC6" w14:textId="77777777" w:rsidR="004C2EE3" w:rsidRDefault="004C2EE3">
      <w:pPr>
        <w:rPr>
          <w:spacing w:val="-2"/>
        </w:rPr>
      </w:pPr>
      <w:r>
        <w:t xml:space="preserve">By </w:t>
      </w:r>
      <w:r w:rsidR="004E4A22">
        <w:t>the</w:t>
      </w:r>
      <w:r w:rsidR="002A2D2E">
        <w:t xml:space="preserve"> </w:t>
      </w:r>
      <w:r w:rsidR="001F165D">
        <w:rPr>
          <w:spacing w:val="-2"/>
        </w:rPr>
        <w:t>Commission:</w:t>
      </w:r>
    </w:p>
    <w:p w14:paraId="3B7AD8C9" w14:textId="77777777" w:rsidR="00412FC5" w:rsidRDefault="00412FC5" w:rsidP="00412FC5"/>
    <w:p w14:paraId="72DB6BD6" w14:textId="1FC18766" w:rsidR="00A004F7" w:rsidRDefault="00A004F7" w:rsidP="005C519A">
      <w:pPr>
        <w:pStyle w:val="ParaNum"/>
        <w:widowControl/>
        <w:numPr>
          <w:ilvl w:val="0"/>
          <w:numId w:val="7"/>
        </w:numPr>
        <w:tabs>
          <w:tab w:val="clear" w:pos="1080"/>
          <w:tab w:val="left" w:pos="1440"/>
        </w:tabs>
        <w:spacing w:after="220"/>
      </w:pPr>
      <w:r>
        <w:t xml:space="preserve">The Commission </w:t>
      </w:r>
      <w:r w:rsidR="00386279">
        <w:t xml:space="preserve">has before it </w:t>
      </w:r>
      <w:r>
        <w:t xml:space="preserve">an Application for Review filed on </w:t>
      </w:r>
      <w:r w:rsidR="00386279">
        <w:t>September 23, 2008</w:t>
      </w:r>
      <w:r w:rsidR="00F22E45">
        <w:t>,</w:t>
      </w:r>
      <w:r w:rsidR="00DE4881">
        <w:t xml:space="preserve"> </w:t>
      </w:r>
      <w:r w:rsidR="00386279">
        <w:t>by Hilo Broadcasting, LLC (“Hilo”)</w:t>
      </w:r>
      <w:r w:rsidR="007A505A">
        <w:t>, an applicant in the AM Auction No. 84 filing window</w:t>
      </w:r>
      <w:r w:rsidR="00386279">
        <w:t xml:space="preserve">.  Hilo </w:t>
      </w:r>
      <w:r>
        <w:t>seeks review of a</w:t>
      </w:r>
      <w:r w:rsidR="00386279">
        <w:t xml:space="preserve"> September 4, 2008</w:t>
      </w:r>
      <w:r w:rsidR="00F22E45">
        <w:t>,</w:t>
      </w:r>
      <w:r>
        <w:t xml:space="preserve"> decision letter </w:t>
      </w:r>
      <w:r w:rsidR="00386279">
        <w:t>(“</w:t>
      </w:r>
      <w:r w:rsidR="00386279" w:rsidRPr="00AE4839">
        <w:rPr>
          <w:i/>
        </w:rPr>
        <w:t>Decision</w:t>
      </w:r>
      <w:r w:rsidR="00386279">
        <w:t xml:space="preserve">”) </w:t>
      </w:r>
      <w:r>
        <w:t>by t</w:t>
      </w:r>
      <w:r w:rsidR="00386279">
        <w:t xml:space="preserve">he Media Bureau </w:t>
      </w:r>
      <w:r>
        <w:t>(the “Bureau”)</w:t>
      </w:r>
      <w:r>
        <w:rPr>
          <w:rStyle w:val="FootnoteReference"/>
          <w:szCs w:val="22"/>
        </w:rPr>
        <w:footnoteReference w:id="2"/>
      </w:r>
      <w:r>
        <w:t xml:space="preserve"> </w:t>
      </w:r>
      <w:r w:rsidR="00BA2F72">
        <w:t>which</w:t>
      </w:r>
      <w:r w:rsidR="007A59A3">
        <w:t>: (1)</w:t>
      </w:r>
      <w:r w:rsidR="00386279">
        <w:t xml:space="preserve"> </w:t>
      </w:r>
      <w:r w:rsidR="00BA2F72">
        <w:t xml:space="preserve">found </w:t>
      </w:r>
      <w:r w:rsidR="00386279">
        <w:t>that</w:t>
      </w:r>
      <w:r w:rsidR="00C70C51">
        <w:t xml:space="preserve"> </w:t>
      </w:r>
      <w:r w:rsidR="00BA2F72">
        <w:t xml:space="preserve">the captioned application of </w:t>
      </w:r>
      <w:r w:rsidR="00C70C51">
        <w:t>John Edward Ostlu</w:t>
      </w:r>
      <w:r w:rsidR="00386279">
        <w:t>nd</w:t>
      </w:r>
      <w:r w:rsidR="007A59A3">
        <w:t xml:space="preserve"> (“Ost</w:t>
      </w:r>
      <w:r w:rsidR="00C14CE3">
        <w:t>lu</w:t>
      </w:r>
      <w:r w:rsidR="007A59A3">
        <w:t>nd</w:t>
      </w:r>
      <w:r w:rsidR="00BA2F72">
        <w:t xml:space="preserve"> Application</w:t>
      </w:r>
      <w:r w:rsidR="007A59A3">
        <w:t>”</w:t>
      </w:r>
      <w:r w:rsidR="00BA2F72">
        <w:t xml:space="preserve"> and “Ostlund,” respectively</w:t>
      </w:r>
      <w:r w:rsidR="007A59A3">
        <w:t xml:space="preserve">) </w:t>
      </w:r>
      <w:r w:rsidR="00386279">
        <w:t xml:space="preserve">to construct a new AM </w:t>
      </w:r>
      <w:r w:rsidR="007A59A3">
        <w:t>station at Easton, California</w:t>
      </w:r>
      <w:r w:rsidR="00F22E45">
        <w:t>,</w:t>
      </w:r>
      <w:r w:rsidR="007A59A3">
        <w:t xml:space="preserve"> was</w:t>
      </w:r>
      <w:r w:rsidR="00F355E2">
        <w:t xml:space="preserve"> entitled to a </w:t>
      </w:r>
      <w:r w:rsidR="00386279">
        <w:t xml:space="preserve">preference </w:t>
      </w:r>
      <w:r w:rsidR="009C7846">
        <w:t>pursuant to</w:t>
      </w:r>
      <w:r w:rsidR="00267B6B">
        <w:t xml:space="preserve"> </w:t>
      </w:r>
      <w:r w:rsidR="0057372F">
        <w:t>Section 307(b) of the Communications Act of 1934,</w:t>
      </w:r>
      <w:r w:rsidR="005C5D81" w:rsidRPr="00AE4839">
        <w:rPr>
          <w:rStyle w:val="FootnoteReference"/>
          <w:spacing w:val="-3"/>
          <w:szCs w:val="22"/>
        </w:rPr>
        <w:t xml:space="preserve"> </w:t>
      </w:r>
      <w:r w:rsidR="0057372F">
        <w:t>as amended</w:t>
      </w:r>
      <w:r w:rsidR="0077515D">
        <w:t xml:space="preserve"> (the “Act”)</w:t>
      </w:r>
      <w:r w:rsidR="00267B6B">
        <w:t>,</w:t>
      </w:r>
      <w:r w:rsidR="002E5B30">
        <w:rPr>
          <w:rStyle w:val="FootnoteReference"/>
        </w:rPr>
        <w:footnoteReference w:id="3"/>
      </w:r>
      <w:r w:rsidR="00267B6B">
        <w:t xml:space="preserve"> </w:t>
      </w:r>
      <w:r w:rsidR="00386279">
        <w:t xml:space="preserve">over Hilo’s </w:t>
      </w:r>
      <w:r w:rsidR="007A505A">
        <w:t xml:space="preserve">mutually exclusive </w:t>
      </w:r>
      <w:r w:rsidR="00BA2F72">
        <w:t xml:space="preserve">application (“Hilo Application”) for </w:t>
      </w:r>
      <w:r w:rsidR="00386279">
        <w:t>a new AM station at Captain Cook, Hawaii</w:t>
      </w:r>
      <w:r w:rsidR="007A505A" w:rsidRPr="00AE4839">
        <w:rPr>
          <w:spacing w:val="-3"/>
        </w:rPr>
        <w:t>;</w:t>
      </w:r>
      <w:r w:rsidR="00C52CFD" w:rsidRPr="00AE4839">
        <w:rPr>
          <w:rStyle w:val="FootnoteReference"/>
          <w:spacing w:val="-3"/>
          <w:szCs w:val="22"/>
        </w:rPr>
        <w:t xml:space="preserve"> </w:t>
      </w:r>
      <w:r w:rsidR="00781921" w:rsidRPr="00AE4839">
        <w:rPr>
          <w:spacing w:val="-3"/>
        </w:rPr>
        <w:t xml:space="preserve">and </w:t>
      </w:r>
      <w:r w:rsidR="007A59A3" w:rsidRPr="00AE4839">
        <w:rPr>
          <w:spacing w:val="-3"/>
        </w:rPr>
        <w:t xml:space="preserve">(2) </w:t>
      </w:r>
      <w:r w:rsidR="00BA2F72" w:rsidRPr="00AE4839">
        <w:rPr>
          <w:spacing w:val="-3"/>
        </w:rPr>
        <w:t>denied reconsideration of the Bureau’s</w:t>
      </w:r>
      <w:r w:rsidR="00D87EC0" w:rsidRPr="00AE4839">
        <w:rPr>
          <w:spacing w:val="-3"/>
        </w:rPr>
        <w:t xml:space="preserve"> denial of</w:t>
      </w:r>
      <w:r w:rsidR="00781921" w:rsidRPr="00AE4839">
        <w:rPr>
          <w:spacing w:val="-3"/>
        </w:rPr>
        <w:t xml:space="preserve"> </w:t>
      </w:r>
      <w:r w:rsidR="00B8372B" w:rsidRPr="00AE4839">
        <w:rPr>
          <w:spacing w:val="-3"/>
        </w:rPr>
        <w:t>Hilo</w:t>
      </w:r>
      <w:r w:rsidR="00FC22E8" w:rsidRPr="00AE4839">
        <w:rPr>
          <w:spacing w:val="-3"/>
        </w:rPr>
        <w:t xml:space="preserve">’s </w:t>
      </w:r>
      <w:r w:rsidR="00E749F7">
        <w:rPr>
          <w:spacing w:val="-3"/>
        </w:rPr>
        <w:t>M</w:t>
      </w:r>
      <w:r w:rsidR="0038032C" w:rsidRPr="00AE4839">
        <w:rPr>
          <w:spacing w:val="-3"/>
        </w:rPr>
        <w:t xml:space="preserve">otion </w:t>
      </w:r>
      <w:r w:rsidR="00E749F7" w:rsidRPr="00AE4839">
        <w:rPr>
          <w:spacing w:val="-3"/>
        </w:rPr>
        <w:t xml:space="preserve">for a waiver of Section 73.182(k)(2) </w:t>
      </w:r>
      <w:r w:rsidR="003A53BF">
        <w:rPr>
          <w:spacing w:val="-3"/>
        </w:rPr>
        <w:t xml:space="preserve">of the Commission’s Rules (“Rules”) </w:t>
      </w:r>
      <w:r w:rsidR="00E749F7" w:rsidRPr="00AE4839">
        <w:rPr>
          <w:spacing w:val="-3"/>
        </w:rPr>
        <w:t xml:space="preserve">and </w:t>
      </w:r>
      <w:r w:rsidR="00DB1DE4" w:rsidRPr="00AE4839">
        <w:rPr>
          <w:spacing w:val="-3"/>
        </w:rPr>
        <w:t xml:space="preserve">to sever </w:t>
      </w:r>
      <w:r w:rsidR="00BA2F72" w:rsidRPr="00AE4839">
        <w:rPr>
          <w:spacing w:val="-3"/>
        </w:rPr>
        <w:t>the Hilo A</w:t>
      </w:r>
      <w:r w:rsidR="00DB1DE4" w:rsidRPr="00970736">
        <w:rPr>
          <w:spacing w:val="-3"/>
        </w:rPr>
        <w:t>pplication</w:t>
      </w:r>
      <w:r w:rsidR="00A6739F" w:rsidRPr="006A239B">
        <w:rPr>
          <w:spacing w:val="-3"/>
        </w:rPr>
        <w:t xml:space="preserve"> from </w:t>
      </w:r>
      <w:r w:rsidR="00D1761C" w:rsidRPr="006A239B">
        <w:rPr>
          <w:spacing w:val="-3"/>
        </w:rPr>
        <w:t>the mutually exclusive</w:t>
      </w:r>
      <w:r w:rsidR="00DB1DE4" w:rsidRPr="006A239B">
        <w:rPr>
          <w:spacing w:val="-3"/>
        </w:rPr>
        <w:t xml:space="preserve"> </w:t>
      </w:r>
      <w:r w:rsidR="008A53C7">
        <w:rPr>
          <w:spacing w:val="-3"/>
        </w:rPr>
        <w:t xml:space="preserve">(“MX”) </w:t>
      </w:r>
      <w:r w:rsidR="00A6739F" w:rsidRPr="006A239B">
        <w:rPr>
          <w:spacing w:val="-3"/>
        </w:rPr>
        <w:t>group</w:t>
      </w:r>
      <w:r w:rsidR="001A155D" w:rsidRPr="006A239B">
        <w:rPr>
          <w:spacing w:val="-3"/>
        </w:rPr>
        <w:t>.</w:t>
      </w:r>
      <w:r w:rsidR="006622F4" w:rsidRPr="00AE4839">
        <w:rPr>
          <w:spacing w:val="-3"/>
        </w:rPr>
        <w:t xml:space="preserve"> </w:t>
      </w:r>
      <w:r w:rsidR="001A155D" w:rsidRPr="00AE4839">
        <w:rPr>
          <w:spacing w:val="-3"/>
        </w:rPr>
        <w:t xml:space="preserve"> </w:t>
      </w:r>
      <w:r w:rsidR="00E749F7">
        <w:lastRenderedPageBreak/>
        <w:t xml:space="preserve">Upon consideration of the Application for Review and the entire record, </w:t>
      </w:r>
      <w:r w:rsidR="003A53BF">
        <w:t xml:space="preserve">for the reasons discussed below, </w:t>
      </w:r>
      <w:r w:rsidR="00E749F7">
        <w:t xml:space="preserve">we affirm the </w:t>
      </w:r>
      <w:r w:rsidR="00E749F7">
        <w:rPr>
          <w:i/>
        </w:rPr>
        <w:t>Decision</w:t>
      </w:r>
      <w:r w:rsidR="00E749F7">
        <w:t>.</w:t>
      </w:r>
    </w:p>
    <w:p w14:paraId="2D68FA56" w14:textId="33278AFB" w:rsidR="00E03110" w:rsidRDefault="00AE4839" w:rsidP="00A11F1C">
      <w:pPr>
        <w:pStyle w:val="ParaNum"/>
        <w:numPr>
          <w:ilvl w:val="0"/>
          <w:numId w:val="7"/>
        </w:numPr>
        <w:tabs>
          <w:tab w:val="clear" w:pos="1080"/>
          <w:tab w:val="left" w:pos="1440"/>
        </w:tabs>
        <w:spacing w:after="220"/>
      </w:pPr>
      <w:r>
        <w:t xml:space="preserve">We affirm the Bureau’s conclusion that </w:t>
      </w:r>
      <w:r w:rsidR="009B12F6">
        <w:t xml:space="preserve">Hilo </w:t>
      </w:r>
      <w:r w:rsidR="00351F45">
        <w:t>did</w:t>
      </w:r>
      <w:r w:rsidR="009B12F6">
        <w:t xml:space="preserve"> not provide a sufficient basis for a </w:t>
      </w:r>
      <w:r>
        <w:t xml:space="preserve">waiver </w:t>
      </w:r>
      <w:r w:rsidR="00E03110">
        <w:t>of Section 73.182(k)(2)</w:t>
      </w:r>
      <w:r w:rsidR="00DE4881">
        <w:t xml:space="preserve"> of the Rules</w:t>
      </w:r>
      <w:r w:rsidR="00E03110">
        <w:t xml:space="preserve"> </w:t>
      </w:r>
      <w:r>
        <w:t xml:space="preserve">to extricate </w:t>
      </w:r>
      <w:r w:rsidR="009B12F6">
        <w:t>its a</w:t>
      </w:r>
      <w:r>
        <w:t xml:space="preserve">pplication from the MX group. </w:t>
      </w:r>
      <w:r w:rsidR="00E749F7">
        <w:t xml:space="preserve"> </w:t>
      </w:r>
      <w:r w:rsidR="005F7C71">
        <w:t>T</w:t>
      </w:r>
      <w:r w:rsidR="007B1738">
        <w:t>he staff properly treated the Hilo Application as mutually exclusive in MX Group 84-145</w:t>
      </w:r>
      <w:r w:rsidR="006A239B">
        <w:t xml:space="preserve"> because </w:t>
      </w:r>
      <w:r w:rsidR="003906B5">
        <w:t xml:space="preserve">it </w:t>
      </w:r>
      <w:r w:rsidR="000F2018">
        <w:t>wa</w:t>
      </w:r>
      <w:r w:rsidR="007B1738">
        <w:t xml:space="preserve">s </w:t>
      </w:r>
      <w:r w:rsidR="007F4A55">
        <w:t xml:space="preserve">in technical conflict </w:t>
      </w:r>
      <w:r w:rsidR="00E03110">
        <w:t xml:space="preserve">with </w:t>
      </w:r>
      <w:r w:rsidR="007B1738">
        <w:t>the prevailing Ostlund Application.</w:t>
      </w:r>
      <w:r w:rsidR="007B1738">
        <w:rPr>
          <w:rStyle w:val="FootnoteReference"/>
        </w:rPr>
        <w:footnoteReference w:id="4"/>
      </w:r>
      <w:r w:rsidR="007B1738">
        <w:t xml:space="preserve">  Hilo </w:t>
      </w:r>
      <w:r w:rsidR="001D128D">
        <w:t xml:space="preserve">sought </w:t>
      </w:r>
      <w:r w:rsidR="007B1738">
        <w:t xml:space="preserve">a waiver of a core technical rule upon which </w:t>
      </w:r>
      <w:r w:rsidR="00BA3972">
        <w:t xml:space="preserve">the determination of mutual exclusivity and our </w:t>
      </w:r>
      <w:r w:rsidR="007B1738">
        <w:t xml:space="preserve">competitive bidding regime is based.  </w:t>
      </w:r>
      <w:r w:rsidR="00047B27">
        <w:t>While Hilo</w:t>
      </w:r>
      <w:r w:rsidR="008B0406">
        <w:t xml:space="preserve">’s </w:t>
      </w:r>
      <w:r w:rsidR="00F12EEA">
        <w:t xml:space="preserve">waiver request </w:t>
      </w:r>
      <w:r w:rsidR="008B0406">
        <w:t xml:space="preserve">relied </w:t>
      </w:r>
      <w:r w:rsidR="00F12EEA">
        <w:t xml:space="preserve">on the claim that the degree of </w:t>
      </w:r>
      <w:r w:rsidR="00DE4881">
        <w:t xml:space="preserve">overlap </w:t>
      </w:r>
      <w:r w:rsidR="00E03110">
        <w:t xml:space="preserve">between its proposal and that </w:t>
      </w:r>
      <w:r w:rsidR="00DE4881">
        <w:t xml:space="preserve">proposed </w:t>
      </w:r>
      <w:r w:rsidR="00E03110">
        <w:t>in</w:t>
      </w:r>
      <w:r w:rsidR="00F12EEA">
        <w:t xml:space="preserve"> the Ostlund </w:t>
      </w:r>
      <w:r w:rsidR="00DE4881">
        <w:t>A</w:t>
      </w:r>
      <w:r w:rsidR="00F12EEA">
        <w:t xml:space="preserve">pplication </w:t>
      </w:r>
      <w:r w:rsidR="00351F45">
        <w:t>wa</w:t>
      </w:r>
      <w:r w:rsidR="00F12EEA">
        <w:t xml:space="preserve">s </w:t>
      </w:r>
      <w:r w:rsidR="00F12EEA" w:rsidRPr="00E749F7">
        <w:rPr>
          <w:i/>
        </w:rPr>
        <w:t>de minimis</w:t>
      </w:r>
      <w:r w:rsidR="00F12EEA">
        <w:t>,</w:t>
      </w:r>
      <w:r w:rsidR="00047B27">
        <w:rPr>
          <w:rStyle w:val="FootnoteReference"/>
        </w:rPr>
        <w:footnoteReference w:id="5"/>
      </w:r>
      <w:r w:rsidR="008E6F62">
        <w:t xml:space="preserve"> </w:t>
      </w:r>
      <w:r w:rsidR="00047B27">
        <w:t>grant of the waiver w</w:t>
      </w:r>
      <w:r w:rsidR="006A239B">
        <w:t xml:space="preserve">ould undermine </w:t>
      </w:r>
      <w:r w:rsidR="00156643">
        <w:t xml:space="preserve">our procedures for </w:t>
      </w:r>
      <w:r w:rsidR="00150A09">
        <w:t xml:space="preserve">eliminating </w:t>
      </w:r>
      <w:r w:rsidR="00156643">
        <w:t xml:space="preserve">mutual exclusivity.  </w:t>
      </w:r>
      <w:r w:rsidR="00273D7B">
        <w:t>Rule waivers in this context are not liberally entertained.</w:t>
      </w:r>
      <w:r w:rsidR="00273D7B">
        <w:rPr>
          <w:rStyle w:val="FootnoteReference"/>
        </w:rPr>
        <w:footnoteReference w:id="6"/>
      </w:r>
      <w:r w:rsidR="00273D7B">
        <w:t xml:space="preserve">  As we have explained, we have carefully calibrated a set of procedures to reduce the incidence of mutual exclusivity in a broadcast auction filing window, while remaining faithful to Congress’s direction in </w:t>
      </w:r>
      <w:r w:rsidR="006C3B67">
        <w:t xml:space="preserve">Section 309(j) </w:t>
      </w:r>
      <w:r w:rsidR="0077515D">
        <w:t xml:space="preserve">of the Act </w:t>
      </w:r>
      <w:r w:rsidR="006C3B67">
        <w:t>that the Commission use competitive bidding as its primary commercial licensing scheme.</w:t>
      </w:r>
      <w:r w:rsidR="00E952AC">
        <w:rPr>
          <w:rStyle w:val="FootnoteReference"/>
        </w:rPr>
        <w:footnoteReference w:id="7"/>
      </w:r>
      <w:r w:rsidR="006C3B67">
        <w:t xml:space="preserve">  </w:t>
      </w:r>
    </w:p>
    <w:p w14:paraId="4981A2C5" w14:textId="62E61567" w:rsidR="00A11F1C" w:rsidRDefault="006C3B67" w:rsidP="00297842">
      <w:pPr>
        <w:pStyle w:val="ParaNum"/>
        <w:widowControl/>
        <w:numPr>
          <w:ilvl w:val="0"/>
          <w:numId w:val="7"/>
        </w:numPr>
        <w:tabs>
          <w:tab w:val="clear" w:pos="1080"/>
          <w:tab w:val="left" w:pos="1440"/>
        </w:tabs>
        <w:spacing w:after="220"/>
      </w:pPr>
      <w:r>
        <w:t xml:space="preserve">Hilo failed to </w:t>
      </w:r>
      <w:r w:rsidR="00692178">
        <w:t>act</w:t>
      </w:r>
      <w:r>
        <w:t xml:space="preserve"> </w:t>
      </w:r>
      <w:r w:rsidR="00E03110">
        <w:t>with</w:t>
      </w:r>
      <w:r>
        <w:t>in the period established for settlements and technical amendments</w:t>
      </w:r>
      <w:r w:rsidR="00DD6B55">
        <w:t xml:space="preserve"> to resolve mutual exclusivities</w:t>
      </w:r>
      <w:r w:rsidR="00E03110">
        <w:t>; instead,</w:t>
      </w:r>
      <w:r w:rsidR="001A031D">
        <w:t xml:space="preserve"> </w:t>
      </w:r>
      <w:r w:rsidR="00DD6B55">
        <w:t>seven months later</w:t>
      </w:r>
      <w:r w:rsidR="00E03110">
        <w:t>, it</w:t>
      </w:r>
      <w:r w:rsidR="001A031D">
        <w:t xml:space="preserve"> filed “an extra-procedural motion to resolve the mutual exclusivity through a waiver of the interference limits</w:t>
      </w:r>
      <w:r>
        <w:t>.</w:t>
      </w:r>
      <w:r w:rsidR="001A031D">
        <w:t>”</w:t>
      </w:r>
      <w:r w:rsidR="00CA626A">
        <w:rPr>
          <w:rStyle w:val="FootnoteReference"/>
        </w:rPr>
        <w:footnoteReference w:id="8"/>
      </w:r>
      <w:r>
        <w:t xml:space="preserve">  The Commission has previously concluded, and we do so again here, that “our duty to preserve the integrity of the auction process requires the certain and strict application of the auction rules” and that it would be fundamentally unfair to do otherwise.</w:t>
      </w:r>
      <w:r w:rsidR="008E37B1">
        <w:rPr>
          <w:rStyle w:val="FootnoteReference"/>
        </w:rPr>
        <w:footnoteReference w:id="9"/>
      </w:r>
      <w:r>
        <w:t xml:space="preserve"> </w:t>
      </w:r>
      <w:r w:rsidR="00190790">
        <w:t xml:space="preserve"> </w:t>
      </w:r>
      <w:r w:rsidR="00190790" w:rsidRPr="007A7561">
        <w:rPr>
          <w:color w:val="000000"/>
          <w:szCs w:val="22"/>
        </w:rPr>
        <w:t xml:space="preserve">As </w:t>
      </w:r>
      <w:r w:rsidR="00422F9B">
        <w:rPr>
          <w:color w:val="000000"/>
          <w:szCs w:val="22"/>
        </w:rPr>
        <w:t xml:space="preserve">the Commission has </w:t>
      </w:r>
      <w:r w:rsidR="00190790" w:rsidRPr="007A7561">
        <w:rPr>
          <w:color w:val="000000"/>
          <w:szCs w:val="22"/>
        </w:rPr>
        <w:t xml:space="preserve">explained, </w:t>
      </w:r>
      <w:r w:rsidR="00DE4881">
        <w:rPr>
          <w:color w:val="000000"/>
          <w:szCs w:val="22"/>
        </w:rPr>
        <w:t xml:space="preserve">it is fundamentally unfair to </w:t>
      </w:r>
      <w:r w:rsidR="00FA10EA">
        <w:rPr>
          <w:color w:val="000000"/>
          <w:szCs w:val="22"/>
        </w:rPr>
        <w:t xml:space="preserve">selectively </w:t>
      </w:r>
      <w:r w:rsidR="00DE4881">
        <w:rPr>
          <w:color w:val="000000"/>
          <w:szCs w:val="22"/>
        </w:rPr>
        <w:t>allow an applicant to obtain a construction permit outside the auction process, while requiring all similarly situated applicants to comply with our competitive bidding rules.</w:t>
      </w:r>
      <w:r w:rsidR="00EE25EC">
        <w:rPr>
          <w:rStyle w:val="FootnoteReference"/>
          <w:szCs w:val="22"/>
        </w:rPr>
        <w:footnoteReference w:id="10"/>
      </w:r>
      <w:r w:rsidR="00EE25EC">
        <w:rPr>
          <w:color w:val="000000"/>
          <w:szCs w:val="22"/>
        </w:rPr>
        <w:t xml:space="preserve">  </w:t>
      </w:r>
      <w:r w:rsidR="00DE4881">
        <w:rPr>
          <w:color w:val="000000"/>
          <w:szCs w:val="22"/>
        </w:rPr>
        <w:t>U</w:t>
      </w:r>
      <w:r w:rsidR="00190790" w:rsidRPr="007A7561">
        <w:rPr>
          <w:color w:val="000000"/>
          <w:szCs w:val="22"/>
        </w:rPr>
        <w:t xml:space="preserve">nsuccessful applicants in the AM broadcast service may reapply in a future auction filing window, but a waiver of the procedures for eliminating mutual exclusivity disserves </w:t>
      </w:r>
      <w:r w:rsidR="003F23BA">
        <w:rPr>
          <w:color w:val="000000"/>
          <w:szCs w:val="22"/>
        </w:rPr>
        <w:t xml:space="preserve">such </w:t>
      </w:r>
      <w:r w:rsidR="00190790" w:rsidRPr="007A7561">
        <w:rPr>
          <w:color w:val="000000"/>
          <w:szCs w:val="22"/>
        </w:rPr>
        <w:t>future applicants</w:t>
      </w:r>
      <w:r w:rsidR="003F23BA">
        <w:rPr>
          <w:color w:val="000000"/>
          <w:szCs w:val="22"/>
        </w:rPr>
        <w:t>.</w:t>
      </w:r>
      <w:r w:rsidR="00190790" w:rsidRPr="007A7561">
        <w:rPr>
          <w:color w:val="000000"/>
          <w:szCs w:val="22"/>
        </w:rPr>
        <w:t xml:space="preserve"> </w:t>
      </w:r>
      <w:r w:rsidR="003F23BA">
        <w:rPr>
          <w:color w:val="000000"/>
          <w:szCs w:val="22"/>
        </w:rPr>
        <w:t xml:space="preserve"> </w:t>
      </w:r>
      <w:r w:rsidR="00381CF9">
        <w:rPr>
          <w:color w:val="000000"/>
          <w:szCs w:val="22"/>
        </w:rPr>
        <w:t xml:space="preserve">Future </w:t>
      </w:r>
      <w:r w:rsidR="00190790" w:rsidRPr="007A7561">
        <w:rPr>
          <w:color w:val="000000"/>
          <w:szCs w:val="22"/>
        </w:rPr>
        <w:t xml:space="preserve">proposals could be adversely affected </w:t>
      </w:r>
      <w:r w:rsidR="00190790" w:rsidRPr="007A7561">
        <w:rPr>
          <w:color w:val="000000"/>
          <w:szCs w:val="22"/>
        </w:rPr>
        <w:lastRenderedPageBreak/>
        <w:t>because</w:t>
      </w:r>
      <w:r w:rsidR="00E03110">
        <w:rPr>
          <w:color w:val="000000"/>
          <w:szCs w:val="22"/>
        </w:rPr>
        <w:t xml:space="preserve">, by granting such a waiver, </w:t>
      </w:r>
      <w:r w:rsidR="00190790" w:rsidRPr="007A7561">
        <w:rPr>
          <w:color w:val="000000"/>
          <w:szCs w:val="22"/>
        </w:rPr>
        <w:t xml:space="preserve">we </w:t>
      </w:r>
      <w:r w:rsidR="00E03110">
        <w:rPr>
          <w:color w:val="000000"/>
          <w:szCs w:val="22"/>
        </w:rPr>
        <w:t xml:space="preserve">would </w:t>
      </w:r>
      <w:r w:rsidR="00190790" w:rsidRPr="007A7561">
        <w:rPr>
          <w:color w:val="000000"/>
          <w:szCs w:val="22"/>
        </w:rPr>
        <w:t>effectively exempt other parties from the auction process in an earlier filing window</w:t>
      </w:r>
      <w:r w:rsidR="00381CF9">
        <w:rPr>
          <w:color w:val="000000"/>
          <w:szCs w:val="22"/>
        </w:rPr>
        <w:t xml:space="preserve"> and remove that spectrum from the future window</w:t>
      </w:r>
      <w:r w:rsidR="00190790" w:rsidRPr="007A7561">
        <w:rPr>
          <w:color w:val="000000"/>
          <w:szCs w:val="22"/>
        </w:rPr>
        <w:t>.</w:t>
      </w:r>
      <w:r w:rsidR="00190790">
        <w:rPr>
          <w:rStyle w:val="FootnoteReference"/>
          <w:szCs w:val="22"/>
        </w:rPr>
        <w:footnoteReference w:id="11"/>
      </w:r>
      <w:r w:rsidR="00190790" w:rsidRPr="007A7561">
        <w:rPr>
          <w:color w:val="000000"/>
          <w:szCs w:val="22"/>
        </w:rPr>
        <w:t xml:space="preserve"> </w:t>
      </w:r>
      <w:r>
        <w:t xml:space="preserve"> </w:t>
      </w:r>
    </w:p>
    <w:p w14:paraId="0F7E77BA" w14:textId="3709973F" w:rsidR="00BC421A" w:rsidRDefault="00A11F1C" w:rsidP="00112AA1">
      <w:pPr>
        <w:pStyle w:val="ParaNum"/>
        <w:numPr>
          <w:ilvl w:val="0"/>
          <w:numId w:val="7"/>
        </w:numPr>
        <w:tabs>
          <w:tab w:val="clear" w:pos="1080"/>
          <w:tab w:val="left" w:pos="1440"/>
        </w:tabs>
        <w:spacing w:after="220"/>
      </w:pPr>
      <w:r>
        <w:t xml:space="preserve">We also reject </w:t>
      </w:r>
      <w:r w:rsidR="0004720D">
        <w:t xml:space="preserve">Hilo’s claim that the </w:t>
      </w:r>
      <w:r w:rsidR="00AB16FE">
        <w:t>Bureau was compelled under</w:t>
      </w:r>
      <w:r w:rsidR="0004720D">
        <w:t xml:space="preserve"> a “multiple-station grant preference policy” to grant the Hilo </w:t>
      </w:r>
      <w:r w:rsidR="00E03110">
        <w:t>A</w:t>
      </w:r>
      <w:r w:rsidR="0004720D">
        <w:t>pplication and one of the other applica</w:t>
      </w:r>
      <w:r w:rsidR="00E03110">
        <w:t>tions</w:t>
      </w:r>
      <w:r w:rsidR="0004720D">
        <w:t xml:space="preserve"> from the MX group, rather than selecting only a single application</w:t>
      </w:r>
      <w:r w:rsidR="0004720D" w:rsidRPr="007F6E24">
        <w:t>.</w:t>
      </w:r>
      <w:r w:rsidR="0004720D" w:rsidRPr="007F6E24">
        <w:rPr>
          <w:rStyle w:val="FootnoteReference"/>
        </w:rPr>
        <w:footnoteReference w:id="12"/>
      </w:r>
      <w:r w:rsidR="00EE25EC" w:rsidRPr="007F6E24">
        <w:t xml:space="preserve">  </w:t>
      </w:r>
      <w:r w:rsidR="00AB16FE" w:rsidRPr="007F6E24">
        <w:t>The pertinent Section 307(b) standard, applied to this MX group and in effect for many decades, has no such mandate to grant as many applications as possible.</w:t>
      </w:r>
      <w:r w:rsidR="00F508D2" w:rsidRPr="007F6E24">
        <w:rPr>
          <w:rStyle w:val="FootnoteReference"/>
        </w:rPr>
        <w:footnoteReference w:id="13"/>
      </w:r>
      <w:r w:rsidR="00AB16FE" w:rsidRPr="007F6E24">
        <w:t xml:space="preserve">  Hilo fails to cite a single case </w:t>
      </w:r>
      <w:r w:rsidR="008C34BF" w:rsidRPr="007F6E24">
        <w:t xml:space="preserve">decided </w:t>
      </w:r>
      <w:r w:rsidR="00AB16FE" w:rsidRPr="007F6E24">
        <w:t xml:space="preserve">pursuant to the </w:t>
      </w:r>
      <w:r w:rsidR="006715CB" w:rsidRPr="007F6E24">
        <w:t xml:space="preserve">currently applicable </w:t>
      </w:r>
      <w:r w:rsidR="00AB16FE" w:rsidRPr="007F6E24">
        <w:t>Section 307(b) comparative analysis</w:t>
      </w:r>
      <w:r w:rsidR="008C34BF" w:rsidRPr="007F6E24">
        <w:t xml:space="preserve"> which resulted in multiple grants from an MX group</w:t>
      </w:r>
      <w:r w:rsidR="00F344AB" w:rsidRPr="007F6E24">
        <w:t>.</w:t>
      </w:r>
      <w:r w:rsidR="00903DCA" w:rsidRPr="007F6E24">
        <w:t xml:space="preserve">  Nor does Hilo address Commis</w:t>
      </w:r>
      <w:r w:rsidR="00B15C0A" w:rsidRPr="007F6E24">
        <w:t>s</w:t>
      </w:r>
      <w:r w:rsidR="00903DCA" w:rsidRPr="007F6E24">
        <w:t>ion cases that stand for the opposite proposition.</w:t>
      </w:r>
      <w:r w:rsidR="00B876F1" w:rsidRPr="007F6E24">
        <w:rPr>
          <w:rStyle w:val="FootnoteReference"/>
        </w:rPr>
        <w:footnoteReference w:id="14"/>
      </w:r>
      <w:r w:rsidR="003072E4" w:rsidRPr="007F6E24">
        <w:t xml:space="preserve">  </w:t>
      </w:r>
      <w:r w:rsidR="00D97770">
        <w:t>Although, as Hilo notes, the Commission sometimes chose to grant multiple applications many years ago when analyz</w:t>
      </w:r>
      <w:r w:rsidR="00E20EA7">
        <w:t xml:space="preserve">ing </w:t>
      </w:r>
      <w:r w:rsidR="00D97770">
        <w:t>applications in comparative hearings,</w:t>
      </w:r>
      <w:r w:rsidR="00CE54B5" w:rsidRPr="00CE54B5">
        <w:rPr>
          <w:rStyle w:val="FootnoteReference"/>
        </w:rPr>
        <w:t xml:space="preserve"> </w:t>
      </w:r>
      <w:r w:rsidR="00D97770">
        <w:t xml:space="preserve">such action </w:t>
      </w:r>
      <w:r w:rsidR="00FF2A82">
        <w:t>occurred under different standards at a time when overall service levels were much lower</w:t>
      </w:r>
      <w:r w:rsidR="007E0462">
        <w:t>.</w:t>
      </w:r>
      <w:r w:rsidR="001B030D" w:rsidRPr="001B030D">
        <w:rPr>
          <w:rStyle w:val="FootnoteReference"/>
        </w:rPr>
        <w:t xml:space="preserve"> </w:t>
      </w:r>
      <w:r w:rsidR="001B030D">
        <w:rPr>
          <w:rStyle w:val="FootnoteReference"/>
        </w:rPr>
        <w:footnoteReference w:id="15"/>
      </w:r>
      <w:r w:rsidR="007E0462">
        <w:t xml:space="preserve">  </w:t>
      </w:r>
      <w:r w:rsidR="0008567C">
        <w:t>S</w:t>
      </w:r>
      <w:r w:rsidR="00E73F0B">
        <w:t xml:space="preserve">uch a </w:t>
      </w:r>
      <w:r w:rsidR="0008567C">
        <w:t xml:space="preserve">policy would </w:t>
      </w:r>
      <w:r w:rsidR="007E0462">
        <w:t xml:space="preserve">be </w:t>
      </w:r>
      <w:r w:rsidR="0008567C">
        <w:t>un</w:t>
      </w:r>
      <w:r w:rsidR="00D97770">
        <w:t xml:space="preserve">desirable in the current </w:t>
      </w:r>
      <w:r w:rsidR="00A275E1">
        <w:t xml:space="preserve">non-hearing </w:t>
      </w:r>
      <w:r w:rsidR="00D97770">
        <w:t>process</w:t>
      </w:r>
      <w:r w:rsidR="00485A53">
        <w:t xml:space="preserve">, </w:t>
      </w:r>
      <w:r w:rsidR="002931F5">
        <w:t xml:space="preserve">for a radio </w:t>
      </w:r>
      <w:r w:rsidR="00485A53">
        <w:t>service</w:t>
      </w:r>
      <w:r w:rsidR="002931F5">
        <w:t xml:space="preserve"> that has matured</w:t>
      </w:r>
      <w:r w:rsidR="008370FC">
        <w:t>.</w:t>
      </w:r>
      <w:r w:rsidR="00CC776B">
        <w:rPr>
          <w:rStyle w:val="FootnoteReference"/>
        </w:rPr>
        <w:footnoteReference w:id="16"/>
      </w:r>
      <w:r w:rsidR="008370FC">
        <w:t xml:space="preserve">  </w:t>
      </w:r>
      <w:r w:rsidR="00E677F2">
        <w:t xml:space="preserve">In the Commission’s most recent opportunity to revisit </w:t>
      </w:r>
      <w:r w:rsidR="00586A4E">
        <w:t xml:space="preserve">and </w:t>
      </w:r>
      <w:r w:rsidR="003369DA">
        <w:t>adjust</w:t>
      </w:r>
      <w:r w:rsidR="00586A4E">
        <w:t xml:space="preserve"> </w:t>
      </w:r>
      <w:r w:rsidR="00E677F2">
        <w:t xml:space="preserve">the </w:t>
      </w:r>
      <w:r w:rsidR="00A275E1">
        <w:t xml:space="preserve">non-hearing </w:t>
      </w:r>
      <w:r w:rsidR="00E677F2">
        <w:t>Section 307(b) comparative process</w:t>
      </w:r>
      <w:r w:rsidR="00E17A90">
        <w:t xml:space="preserve"> for AM auction applicants</w:t>
      </w:r>
      <w:r w:rsidR="00E677F2">
        <w:t xml:space="preserve">, the Commission </w:t>
      </w:r>
      <w:r w:rsidR="008E1CF8" w:rsidRPr="00FF366C">
        <w:t>did not propose or consider in any way a Section 307(b) standard that could include multiple grants</w:t>
      </w:r>
      <w:r w:rsidR="009B5AF5" w:rsidRPr="00FF366C">
        <w:t>.</w:t>
      </w:r>
      <w:r w:rsidR="00A53779">
        <w:rPr>
          <w:rStyle w:val="FootnoteReference"/>
        </w:rPr>
        <w:footnoteReference w:id="17"/>
      </w:r>
      <w:r w:rsidR="00A53779">
        <w:t xml:space="preserve"> </w:t>
      </w:r>
      <w:r w:rsidR="00FB3E5A">
        <w:t xml:space="preserve">  </w:t>
      </w:r>
      <w:r w:rsidR="00E677F2">
        <w:t xml:space="preserve"> </w:t>
      </w:r>
    </w:p>
    <w:p w14:paraId="630034A1" w14:textId="58C95720" w:rsidR="00BD002F" w:rsidRDefault="007E0462" w:rsidP="00A11AF7">
      <w:pPr>
        <w:pStyle w:val="ParaNum"/>
        <w:numPr>
          <w:ilvl w:val="0"/>
          <w:numId w:val="7"/>
        </w:numPr>
        <w:tabs>
          <w:tab w:val="clear" w:pos="1080"/>
          <w:tab w:val="left" w:pos="1440"/>
        </w:tabs>
        <w:spacing w:after="220"/>
      </w:pPr>
      <w:r>
        <w:t xml:space="preserve">The </w:t>
      </w:r>
      <w:r w:rsidR="006F1E4E">
        <w:t>Bureau</w:t>
      </w:r>
      <w:r w:rsidR="00DF3D11">
        <w:t xml:space="preserve">, following </w:t>
      </w:r>
      <w:r w:rsidR="003C25B4">
        <w:t xml:space="preserve">existing </w:t>
      </w:r>
      <w:r w:rsidR="00DF3D11">
        <w:t>Section 307(b) procedures,</w:t>
      </w:r>
      <w:r w:rsidR="006F1E4E">
        <w:t xml:space="preserve"> was correct in selecting Ostlund </w:t>
      </w:r>
      <w:r w:rsidR="00DF3D11">
        <w:t xml:space="preserve">upon determining that </w:t>
      </w:r>
      <w:r w:rsidR="006F1E4E">
        <w:t xml:space="preserve">Priority 4 </w:t>
      </w:r>
      <w:r>
        <w:t xml:space="preserve">governs this </w:t>
      </w:r>
      <w:r w:rsidR="00DF3D11">
        <w:t xml:space="preserve">proceeding </w:t>
      </w:r>
      <w:r w:rsidR="006F1E4E">
        <w:t xml:space="preserve">and that Ostlund merits </w:t>
      </w:r>
      <w:r>
        <w:t xml:space="preserve">a </w:t>
      </w:r>
      <w:r w:rsidR="006F1E4E">
        <w:t xml:space="preserve">preference based on service to the greatest number of people. </w:t>
      </w:r>
      <w:r w:rsidR="006411F3">
        <w:t xml:space="preserve"> </w:t>
      </w:r>
      <w:r w:rsidR="006F1E4E">
        <w:t>Conversely, selecting Hilo plus one of the non-overlap proposals (either Huron or Favorita) would run counter to this priority because it would result in less population served than the Ostlund proposal standing alone.</w:t>
      </w:r>
      <w:r w:rsidR="00B8253D">
        <w:rPr>
          <w:rStyle w:val="FootnoteReference"/>
        </w:rPr>
        <w:footnoteReference w:id="18"/>
      </w:r>
      <w:r w:rsidR="006F1E4E">
        <w:t xml:space="preserve">  </w:t>
      </w:r>
    </w:p>
    <w:p w14:paraId="7D00322E" w14:textId="77777777" w:rsidR="00A004F7" w:rsidRPr="00032FC4" w:rsidRDefault="00A004F7" w:rsidP="00A004F7">
      <w:pPr>
        <w:pStyle w:val="ParaNum"/>
        <w:numPr>
          <w:ilvl w:val="0"/>
          <w:numId w:val="7"/>
        </w:numPr>
        <w:tabs>
          <w:tab w:val="clear" w:pos="1080"/>
          <w:tab w:val="left" w:pos="1440"/>
        </w:tabs>
        <w:spacing w:after="220"/>
      </w:pPr>
      <w:r>
        <w:t>ACCORDINGLY, IT IS ORDERED that, pursuant to section 5(c)(5) of the Communications Act of 1934, as amended, 47 U.S.C. § 155(c)(5), and section 1.115(g) of the Commission’s rules, 47 C.F.R. § 1.115(g), th</w:t>
      </w:r>
      <w:r w:rsidR="004A2BF6">
        <w:t>e Application for Review IS DENIED</w:t>
      </w:r>
      <w:r>
        <w:t xml:space="preserve">.  </w:t>
      </w:r>
    </w:p>
    <w:p w14:paraId="0B92027B" w14:textId="77777777" w:rsidR="00A004F7" w:rsidRPr="006358C3" w:rsidRDefault="00A004F7" w:rsidP="00A004F7">
      <w:r w:rsidRPr="006358C3">
        <w:tab/>
      </w:r>
      <w:r w:rsidRPr="006358C3">
        <w:tab/>
      </w:r>
      <w:r w:rsidRPr="006358C3">
        <w:tab/>
      </w:r>
      <w:r w:rsidRPr="006358C3">
        <w:tab/>
      </w:r>
      <w:r w:rsidRPr="006358C3">
        <w:tab/>
      </w:r>
      <w:r w:rsidRPr="006358C3">
        <w:tab/>
        <w:t>FEDERAL COMMUNICATIONS COMMISSION</w:t>
      </w:r>
    </w:p>
    <w:p w14:paraId="7B75CE38" w14:textId="77777777" w:rsidR="00A004F7" w:rsidRDefault="00A004F7" w:rsidP="00A004F7"/>
    <w:p w14:paraId="71753A9E" w14:textId="77777777" w:rsidR="00A004F7" w:rsidRDefault="00A004F7" w:rsidP="00A004F7"/>
    <w:p w14:paraId="3956BE67" w14:textId="77777777" w:rsidR="00A004F7" w:rsidRDefault="00A004F7" w:rsidP="00A004F7"/>
    <w:p w14:paraId="4FD34AC3" w14:textId="77777777" w:rsidR="00A004F7" w:rsidRPr="006358C3" w:rsidRDefault="00A004F7" w:rsidP="00A004F7"/>
    <w:p w14:paraId="77E7F068" w14:textId="77777777" w:rsidR="00A004F7" w:rsidRPr="006358C3" w:rsidRDefault="00A004F7" w:rsidP="00A004F7">
      <w:r>
        <w:t xml:space="preserve"> </w:t>
      </w:r>
      <w:r>
        <w:tab/>
      </w:r>
      <w:r>
        <w:tab/>
      </w:r>
      <w:r>
        <w:tab/>
      </w:r>
      <w:r>
        <w:tab/>
      </w:r>
      <w:r>
        <w:tab/>
      </w:r>
      <w:r>
        <w:tab/>
      </w:r>
      <w:r w:rsidRPr="006358C3">
        <w:t>Marlene H. Dortch</w:t>
      </w:r>
    </w:p>
    <w:p w14:paraId="17FEB042" w14:textId="77777777" w:rsidR="002C00E8" w:rsidRDefault="00A004F7" w:rsidP="00BB383A">
      <w:r>
        <w:t xml:space="preserve"> </w:t>
      </w:r>
      <w:r>
        <w:tab/>
      </w:r>
      <w:r>
        <w:tab/>
      </w:r>
      <w:r>
        <w:tab/>
      </w:r>
      <w:r>
        <w:tab/>
      </w:r>
      <w:r>
        <w:tab/>
      </w:r>
      <w:r>
        <w:tab/>
      </w:r>
      <w:r w:rsidRPr="006358C3">
        <w:t>Secretary</w:t>
      </w:r>
    </w:p>
    <w:sectPr w:rsid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2AEF5" w14:textId="77777777" w:rsidR="008A17FF" w:rsidRDefault="008A17FF">
      <w:pPr>
        <w:spacing w:line="20" w:lineRule="exact"/>
      </w:pPr>
    </w:p>
  </w:endnote>
  <w:endnote w:type="continuationSeparator" w:id="0">
    <w:p w14:paraId="7DD5B147" w14:textId="77777777" w:rsidR="008A17FF" w:rsidRDefault="008A17FF">
      <w:r>
        <w:t xml:space="preserve"> </w:t>
      </w:r>
    </w:p>
  </w:endnote>
  <w:endnote w:type="continuationNotice" w:id="1">
    <w:p w14:paraId="13CF3FA1" w14:textId="77777777" w:rsidR="008A17FF" w:rsidRDefault="008A17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841A" w14:textId="77777777" w:rsidR="00A6023B" w:rsidRDefault="00A6023B" w:rsidP="0055614C">
    <w:pPr>
      <w:pStyle w:val="Footer"/>
      <w:framePr w:wrap="around" w:vAnchor="text" w:hAnchor="margin" w:xAlign="center" w:y="1"/>
    </w:pPr>
    <w:r>
      <w:fldChar w:fldCharType="begin"/>
    </w:r>
    <w:r>
      <w:instrText xml:space="preserve">PAGE  </w:instrText>
    </w:r>
    <w:r>
      <w:fldChar w:fldCharType="end"/>
    </w:r>
  </w:p>
  <w:p w14:paraId="55D3E6AF" w14:textId="77777777" w:rsidR="00A6023B" w:rsidRDefault="00A60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D70F" w14:textId="77777777" w:rsidR="00A6023B" w:rsidRDefault="00F37962" w:rsidP="0055614C">
    <w:pPr>
      <w:pStyle w:val="Footer"/>
      <w:framePr w:wrap="around" w:vAnchor="text" w:hAnchor="margin" w:xAlign="center" w:y="1"/>
    </w:pPr>
    <w:r>
      <w:fldChar w:fldCharType="begin"/>
    </w:r>
    <w:r>
      <w:instrText xml:space="preserve">PAGE  </w:instrText>
    </w:r>
    <w:r>
      <w:fldChar w:fldCharType="separate"/>
    </w:r>
    <w:r w:rsidR="00C03B0D">
      <w:rPr>
        <w:noProof/>
      </w:rPr>
      <w:t>2</w:t>
    </w:r>
    <w:r>
      <w:rPr>
        <w:noProof/>
      </w:rPr>
      <w:fldChar w:fldCharType="end"/>
    </w:r>
  </w:p>
  <w:p w14:paraId="5D511903" w14:textId="77777777" w:rsidR="00A6023B" w:rsidRDefault="00A6023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8ACD" w14:textId="77777777" w:rsidR="00A6023B" w:rsidRDefault="00A6023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9C12" w14:textId="77777777" w:rsidR="008A17FF" w:rsidRDefault="008A17FF">
      <w:r>
        <w:separator/>
      </w:r>
    </w:p>
  </w:footnote>
  <w:footnote w:type="continuationSeparator" w:id="0">
    <w:p w14:paraId="5E8E0BFF" w14:textId="77777777" w:rsidR="008A17FF" w:rsidRDefault="008A17FF" w:rsidP="00C721AC">
      <w:pPr>
        <w:spacing w:before="120"/>
        <w:rPr>
          <w:sz w:val="20"/>
        </w:rPr>
      </w:pPr>
      <w:r>
        <w:rPr>
          <w:sz w:val="20"/>
        </w:rPr>
        <w:t xml:space="preserve">(Continued from previous page)  </w:t>
      </w:r>
      <w:r>
        <w:rPr>
          <w:sz w:val="20"/>
        </w:rPr>
        <w:separator/>
      </w:r>
    </w:p>
  </w:footnote>
  <w:footnote w:type="continuationNotice" w:id="1">
    <w:p w14:paraId="66745628" w14:textId="77777777" w:rsidR="008A17FF" w:rsidRDefault="008A17FF" w:rsidP="00C721AC">
      <w:pPr>
        <w:jc w:val="right"/>
        <w:rPr>
          <w:sz w:val="20"/>
        </w:rPr>
      </w:pPr>
      <w:r>
        <w:rPr>
          <w:sz w:val="20"/>
        </w:rPr>
        <w:t>(continued….)</w:t>
      </w:r>
    </w:p>
  </w:footnote>
  <w:footnote w:id="2">
    <w:p w14:paraId="375260DE" w14:textId="4D814519" w:rsidR="00A6023B" w:rsidRPr="0077329E" w:rsidRDefault="00A6023B" w:rsidP="00A004F7">
      <w:pPr>
        <w:pStyle w:val="FootnoteText"/>
      </w:pPr>
      <w:r w:rsidRPr="001A717F">
        <w:rPr>
          <w:rStyle w:val="FootnoteReference"/>
        </w:rPr>
        <w:footnoteRef/>
      </w:r>
      <w:r w:rsidRPr="001A717F">
        <w:t xml:space="preserve"> </w:t>
      </w:r>
      <w:r w:rsidRPr="001A717F">
        <w:rPr>
          <w:i/>
        </w:rPr>
        <w:t xml:space="preserve"> </w:t>
      </w:r>
      <w:r>
        <w:rPr>
          <w:i/>
        </w:rPr>
        <w:t xml:space="preserve">See John Edward Ostlund, </w:t>
      </w:r>
      <w:r w:rsidRPr="001A717F">
        <w:t xml:space="preserve">Letter, </w:t>
      </w:r>
      <w:r>
        <w:t>Ref. No. 1800B3-TSN (MB Sep. 4, 200</w:t>
      </w:r>
      <w:r w:rsidR="00DC26FD">
        <w:t>8</w:t>
      </w:r>
      <w:r>
        <w:t>)</w:t>
      </w:r>
      <w:r w:rsidRPr="001A717F">
        <w:t xml:space="preserve"> (“</w:t>
      </w:r>
      <w:r>
        <w:rPr>
          <w:i/>
        </w:rPr>
        <w:t>Decision</w:t>
      </w:r>
      <w:r w:rsidRPr="001A717F">
        <w:t>”).</w:t>
      </w:r>
      <w:r>
        <w:t xml:space="preserve">  </w:t>
      </w:r>
      <w:r w:rsidR="00FB0748">
        <w:rPr>
          <w:i/>
          <w:spacing w:val="-3"/>
        </w:rPr>
        <w:t xml:space="preserve">See also </w:t>
      </w:r>
      <w:r w:rsidR="00FB0748">
        <w:rPr>
          <w:i/>
          <w:color w:val="000000"/>
        </w:rPr>
        <w:t xml:space="preserve">Citicasters Licenses, LP, </w:t>
      </w:r>
      <w:r w:rsidR="00FB0748">
        <w:rPr>
          <w:color w:val="000000"/>
        </w:rPr>
        <w:t xml:space="preserve">Letter, Ref. </w:t>
      </w:r>
      <w:r w:rsidR="00F22E45">
        <w:rPr>
          <w:color w:val="000000"/>
        </w:rPr>
        <w:t>No. 1800B3-</w:t>
      </w:r>
      <w:r w:rsidR="00FB0748">
        <w:rPr>
          <w:color w:val="000000"/>
        </w:rPr>
        <w:t>LAS-JP (</w:t>
      </w:r>
      <w:r w:rsidR="005622F1">
        <w:rPr>
          <w:color w:val="000000"/>
        </w:rPr>
        <w:t xml:space="preserve">MB </w:t>
      </w:r>
      <w:r w:rsidR="00FB0748">
        <w:rPr>
          <w:color w:val="000000"/>
        </w:rPr>
        <w:t>Jan</w:t>
      </w:r>
      <w:r w:rsidR="00F22E45">
        <w:rPr>
          <w:color w:val="000000"/>
        </w:rPr>
        <w:t>.</w:t>
      </w:r>
      <w:r w:rsidR="00FB0748">
        <w:rPr>
          <w:color w:val="000000"/>
        </w:rPr>
        <w:t xml:space="preserve"> 24, 2008) at 4 (“</w:t>
      </w:r>
      <w:r w:rsidR="00FB0748">
        <w:rPr>
          <w:i/>
          <w:spacing w:val="-3"/>
        </w:rPr>
        <w:t>January Letter</w:t>
      </w:r>
      <w:r w:rsidR="00FB0748">
        <w:rPr>
          <w:spacing w:val="-3"/>
        </w:rPr>
        <w:t>”).</w:t>
      </w:r>
      <w:r w:rsidR="0077329E">
        <w:rPr>
          <w:spacing w:val="-3"/>
        </w:rPr>
        <w:t xml:space="preserve">  The </w:t>
      </w:r>
      <w:r w:rsidR="0077329E">
        <w:rPr>
          <w:i/>
          <w:spacing w:val="-3"/>
        </w:rPr>
        <w:t xml:space="preserve">January Letter </w:t>
      </w:r>
      <w:r w:rsidR="0077329E">
        <w:rPr>
          <w:spacing w:val="-3"/>
        </w:rPr>
        <w:t xml:space="preserve">considered </w:t>
      </w:r>
      <w:r w:rsidR="00447988">
        <w:rPr>
          <w:spacing w:val="-3"/>
        </w:rPr>
        <w:t>five</w:t>
      </w:r>
      <w:r w:rsidR="0077329E">
        <w:rPr>
          <w:spacing w:val="-3"/>
        </w:rPr>
        <w:t xml:space="preserve"> applications in </w:t>
      </w:r>
      <w:r w:rsidR="005622F1">
        <w:rPr>
          <w:spacing w:val="-3"/>
        </w:rPr>
        <w:t xml:space="preserve">MX </w:t>
      </w:r>
      <w:r w:rsidR="0077329E">
        <w:rPr>
          <w:spacing w:val="-3"/>
        </w:rPr>
        <w:t xml:space="preserve">Group 84-145, found that Citicasters Licenses, LP (“Citicasters”) should receive a preference, gave Citicasters the opportunity to </w:t>
      </w:r>
      <w:r w:rsidR="00447988">
        <w:rPr>
          <w:spacing w:val="-3"/>
        </w:rPr>
        <w:t xml:space="preserve">file a complete </w:t>
      </w:r>
      <w:r w:rsidR="00152179">
        <w:rPr>
          <w:spacing w:val="-3"/>
        </w:rPr>
        <w:t xml:space="preserve">“long form” application on </w:t>
      </w:r>
      <w:r w:rsidR="00447988">
        <w:rPr>
          <w:spacing w:val="-3"/>
        </w:rPr>
        <w:t>FCC Form 301</w:t>
      </w:r>
      <w:r w:rsidR="003B70F9">
        <w:rPr>
          <w:spacing w:val="-3"/>
        </w:rPr>
        <w:t xml:space="preserve">, and denied Hilo’s Motion to Sever </w:t>
      </w:r>
      <w:r w:rsidR="00112AA1">
        <w:rPr>
          <w:spacing w:val="-3"/>
        </w:rPr>
        <w:t xml:space="preserve">and for Waiver </w:t>
      </w:r>
      <w:r w:rsidR="003B70F9">
        <w:rPr>
          <w:spacing w:val="-3"/>
        </w:rPr>
        <w:t xml:space="preserve">asking the Bureau to waive Section 73.182(k)(2) and </w:t>
      </w:r>
      <w:r w:rsidR="00B95306">
        <w:rPr>
          <w:spacing w:val="-3"/>
        </w:rPr>
        <w:t xml:space="preserve">to </w:t>
      </w:r>
      <w:r w:rsidR="003B70F9">
        <w:rPr>
          <w:spacing w:val="-3"/>
        </w:rPr>
        <w:t>sever its application from the MX group</w:t>
      </w:r>
      <w:r w:rsidR="0077329E">
        <w:rPr>
          <w:spacing w:val="-3"/>
        </w:rPr>
        <w:t xml:space="preserve">.  </w:t>
      </w:r>
      <w:r w:rsidR="00AE4839" w:rsidRPr="00A11F1C">
        <w:rPr>
          <w:i/>
          <w:spacing w:val="-3"/>
        </w:rPr>
        <w:t>See</w:t>
      </w:r>
      <w:r w:rsidR="00AE4839">
        <w:rPr>
          <w:spacing w:val="-3"/>
        </w:rPr>
        <w:t xml:space="preserve"> Hilo Broadcasting, L.L.C.,</w:t>
      </w:r>
      <w:r w:rsidR="00970736" w:rsidRPr="00970736">
        <w:rPr>
          <w:spacing w:val="-3"/>
        </w:rPr>
        <w:t xml:space="preserve"> </w:t>
      </w:r>
      <w:r w:rsidR="00970736">
        <w:rPr>
          <w:spacing w:val="-3"/>
        </w:rPr>
        <w:t xml:space="preserve">Motion to Sever and for Waiver (May 26, 2006) (“Motion”).  </w:t>
      </w:r>
      <w:r w:rsidR="0064637B">
        <w:rPr>
          <w:spacing w:val="-3"/>
        </w:rPr>
        <w:t xml:space="preserve">Citicasters subsequently withdrew its application, and the Bureau dismissed it.  </w:t>
      </w:r>
      <w:r w:rsidR="00E63C1D">
        <w:rPr>
          <w:i/>
          <w:spacing w:val="-3"/>
        </w:rPr>
        <w:t xml:space="preserve">See </w:t>
      </w:r>
      <w:r w:rsidR="00E63C1D">
        <w:rPr>
          <w:i/>
          <w:color w:val="000000"/>
        </w:rPr>
        <w:t xml:space="preserve">Citicasters Licenses, LP, </w:t>
      </w:r>
      <w:r w:rsidR="00E63C1D">
        <w:rPr>
          <w:color w:val="000000"/>
        </w:rPr>
        <w:t xml:space="preserve">Letter, Ref. No. 1800B3-LAS/JP (MB Feb. 11, 2008).  </w:t>
      </w:r>
      <w:r w:rsidR="0064637B">
        <w:rPr>
          <w:spacing w:val="-3"/>
        </w:rPr>
        <w:t xml:space="preserve">After the dismissal, </w:t>
      </w:r>
      <w:r w:rsidR="006C16C8">
        <w:rPr>
          <w:spacing w:val="-3"/>
        </w:rPr>
        <w:t xml:space="preserve">Hilo filed a Petition for Reconsideration of the </w:t>
      </w:r>
      <w:r w:rsidR="006C16C8">
        <w:rPr>
          <w:i/>
          <w:spacing w:val="-3"/>
        </w:rPr>
        <w:t xml:space="preserve">January Letter.  </w:t>
      </w:r>
      <w:r w:rsidR="00A11F1C" w:rsidRPr="00A11F1C">
        <w:rPr>
          <w:i/>
          <w:spacing w:val="-3"/>
        </w:rPr>
        <w:t>See</w:t>
      </w:r>
      <w:r w:rsidR="00A11F1C">
        <w:rPr>
          <w:spacing w:val="-3"/>
        </w:rPr>
        <w:t xml:space="preserve"> Hilo Broadcasting, L.L.C., Petition for Reconsideration</w:t>
      </w:r>
      <w:r w:rsidR="00EE25EC">
        <w:rPr>
          <w:spacing w:val="-3"/>
        </w:rPr>
        <w:t xml:space="preserve"> </w:t>
      </w:r>
      <w:r w:rsidR="00A11F1C">
        <w:rPr>
          <w:spacing w:val="-3"/>
        </w:rPr>
        <w:t>(Feb. 25, 2008)</w:t>
      </w:r>
      <w:r w:rsidR="0064637B">
        <w:rPr>
          <w:spacing w:val="-3"/>
        </w:rPr>
        <w:t xml:space="preserve"> (“Hilo Petition for Reconsideration”)</w:t>
      </w:r>
      <w:r w:rsidR="00A11F1C">
        <w:rPr>
          <w:spacing w:val="-3"/>
        </w:rPr>
        <w:t xml:space="preserve">.  </w:t>
      </w:r>
      <w:r w:rsidR="0064637B">
        <w:rPr>
          <w:spacing w:val="-3"/>
        </w:rPr>
        <w:t>T</w:t>
      </w:r>
      <w:r w:rsidR="0077329E">
        <w:rPr>
          <w:spacing w:val="-3"/>
        </w:rPr>
        <w:t xml:space="preserve">he Bureau </w:t>
      </w:r>
      <w:r w:rsidR="0064637B">
        <w:rPr>
          <w:spacing w:val="-3"/>
        </w:rPr>
        <w:t xml:space="preserve">subsequently </w:t>
      </w:r>
      <w:r w:rsidR="001A33B6">
        <w:rPr>
          <w:spacing w:val="-3"/>
        </w:rPr>
        <w:t xml:space="preserve">issued the </w:t>
      </w:r>
      <w:r w:rsidR="001A33B6">
        <w:rPr>
          <w:i/>
          <w:spacing w:val="-3"/>
        </w:rPr>
        <w:t>Decision</w:t>
      </w:r>
      <w:r w:rsidR="005622F1">
        <w:rPr>
          <w:spacing w:val="-3"/>
        </w:rPr>
        <w:t>,</w:t>
      </w:r>
      <w:r w:rsidR="001A33B6">
        <w:rPr>
          <w:i/>
          <w:spacing w:val="-3"/>
        </w:rPr>
        <w:t xml:space="preserve"> </w:t>
      </w:r>
      <w:r w:rsidR="001A33B6">
        <w:rPr>
          <w:spacing w:val="-3"/>
        </w:rPr>
        <w:t xml:space="preserve">which </w:t>
      </w:r>
      <w:r w:rsidR="0077329E">
        <w:rPr>
          <w:spacing w:val="-3"/>
        </w:rPr>
        <w:t xml:space="preserve">reanalyzed the </w:t>
      </w:r>
      <w:r w:rsidR="00152179">
        <w:rPr>
          <w:spacing w:val="-3"/>
        </w:rPr>
        <w:t>group</w:t>
      </w:r>
      <w:r w:rsidR="00EE25EC">
        <w:rPr>
          <w:spacing w:val="-3"/>
        </w:rPr>
        <w:t xml:space="preserve">, </w:t>
      </w:r>
      <w:r w:rsidR="00162EE6">
        <w:rPr>
          <w:spacing w:val="-3"/>
        </w:rPr>
        <w:t xml:space="preserve">determined that </w:t>
      </w:r>
      <w:r w:rsidR="001A33B6">
        <w:rPr>
          <w:spacing w:val="-3"/>
        </w:rPr>
        <w:t>Ostlund</w:t>
      </w:r>
      <w:r w:rsidR="00162EE6">
        <w:rPr>
          <w:spacing w:val="-3"/>
        </w:rPr>
        <w:t xml:space="preserve"> should receive a </w:t>
      </w:r>
      <w:r w:rsidR="003A53BF">
        <w:rPr>
          <w:spacing w:val="-3"/>
        </w:rPr>
        <w:t xml:space="preserve">Section 307(b) </w:t>
      </w:r>
      <w:r w:rsidR="00162EE6">
        <w:rPr>
          <w:spacing w:val="-3"/>
        </w:rPr>
        <w:t>preference</w:t>
      </w:r>
      <w:r w:rsidR="00EE25EC">
        <w:rPr>
          <w:spacing w:val="-3"/>
        </w:rPr>
        <w:t xml:space="preserve">, and </w:t>
      </w:r>
      <w:r w:rsidR="009412EA">
        <w:rPr>
          <w:spacing w:val="-3"/>
        </w:rPr>
        <w:t>denied Hilo’s Petition</w:t>
      </w:r>
      <w:r w:rsidR="00162EE6">
        <w:rPr>
          <w:i/>
          <w:spacing w:val="-3"/>
        </w:rPr>
        <w:t>.</w:t>
      </w:r>
      <w:r w:rsidR="00A11F1C">
        <w:rPr>
          <w:i/>
          <w:spacing w:val="-3"/>
        </w:rPr>
        <w:t xml:space="preserve">  </w:t>
      </w:r>
      <w:r w:rsidR="00A11F1C">
        <w:t>The Bureau subsequently granted the Ostlund Application and</w:t>
      </w:r>
      <w:r w:rsidR="00B33D7A">
        <w:t>, by public notice,</w:t>
      </w:r>
      <w:r w:rsidR="00A11F1C">
        <w:t xml:space="preserve"> dismissed the Hilo Application </w:t>
      </w:r>
      <w:r w:rsidR="00B33D7A">
        <w:t xml:space="preserve">as well as </w:t>
      </w:r>
      <w:r w:rsidR="009550B2">
        <w:t xml:space="preserve">those </w:t>
      </w:r>
      <w:r w:rsidR="00B33D7A">
        <w:t xml:space="preserve">of </w:t>
      </w:r>
      <w:r w:rsidR="009550B2">
        <w:t xml:space="preserve">the </w:t>
      </w:r>
      <w:r w:rsidR="00B33D7A">
        <w:t>other MX Group 84-145 applicants</w:t>
      </w:r>
      <w:r w:rsidR="009550B2">
        <w:t>,</w:t>
      </w:r>
      <w:r w:rsidR="00B33D7A">
        <w:t xml:space="preserve"> La Favorita Broadcasting, Inc. (“Favorita”) and Huron Broadcasting, LLC (“Hur</w:t>
      </w:r>
      <w:r w:rsidR="00A468A3">
        <w:t>on”)</w:t>
      </w:r>
      <w:r w:rsidR="00A11F1C">
        <w:t xml:space="preserve">.  </w:t>
      </w:r>
      <w:r w:rsidR="00A11F1C">
        <w:rPr>
          <w:i/>
        </w:rPr>
        <w:t xml:space="preserve">See Broadcast Actions, </w:t>
      </w:r>
      <w:r w:rsidR="00A11F1C">
        <w:t xml:space="preserve">Rep. No. 47179 (Feb. 24, 2010).  Although Hilo did not file a petition for reconsideration of the 2010 dismissal of its application, its Application for Review of the 2008 </w:t>
      </w:r>
      <w:r w:rsidR="00A11F1C">
        <w:rPr>
          <w:i/>
        </w:rPr>
        <w:t>Decision</w:t>
      </w:r>
      <w:r w:rsidR="00A11F1C">
        <w:t xml:space="preserve"> remained pending and preserved its arguments for review.</w:t>
      </w:r>
      <w:r w:rsidR="0077329E">
        <w:rPr>
          <w:i/>
          <w:spacing w:val="-3"/>
        </w:rPr>
        <w:t xml:space="preserve"> </w:t>
      </w:r>
    </w:p>
  </w:footnote>
  <w:footnote w:id="3">
    <w:p w14:paraId="6E5AE53C" w14:textId="44D0A254" w:rsidR="002E5B30" w:rsidRDefault="002E5B30">
      <w:pPr>
        <w:pStyle w:val="FootnoteText"/>
      </w:pPr>
      <w:r>
        <w:rPr>
          <w:rStyle w:val="FootnoteReference"/>
        </w:rPr>
        <w:footnoteRef/>
      </w:r>
      <w:r>
        <w:t xml:space="preserve"> 47 U.S.C. </w:t>
      </w:r>
      <w:r>
        <w:rPr>
          <w:spacing w:val="-3"/>
        </w:rPr>
        <w:t>§ 307(b).</w:t>
      </w:r>
      <w:r w:rsidR="00021944">
        <w:rPr>
          <w:spacing w:val="-3"/>
        </w:rPr>
        <w:t xml:space="preserve">  The Ostlund </w:t>
      </w:r>
      <w:r w:rsidR="00403D45">
        <w:rPr>
          <w:spacing w:val="-3"/>
        </w:rPr>
        <w:t xml:space="preserve">proposal received this preference </w:t>
      </w:r>
      <w:r w:rsidR="004C0662">
        <w:rPr>
          <w:spacing w:val="-3"/>
        </w:rPr>
        <w:t xml:space="preserve">under Priority 4 (other matters) </w:t>
      </w:r>
      <w:r w:rsidR="00403D45">
        <w:rPr>
          <w:spacing w:val="-3"/>
        </w:rPr>
        <w:t>because it proposed to s</w:t>
      </w:r>
      <w:r w:rsidR="009D134A">
        <w:rPr>
          <w:spacing w:val="-3"/>
        </w:rPr>
        <w:t>erv</w:t>
      </w:r>
      <w:r w:rsidR="00403D45">
        <w:rPr>
          <w:spacing w:val="-3"/>
        </w:rPr>
        <w:t xml:space="preserve">e significantly more </w:t>
      </w:r>
      <w:r w:rsidR="00021944">
        <w:rPr>
          <w:spacing w:val="-3"/>
        </w:rPr>
        <w:t>people</w:t>
      </w:r>
      <w:r w:rsidR="00403D45">
        <w:rPr>
          <w:spacing w:val="-3"/>
        </w:rPr>
        <w:t xml:space="preserve"> than </w:t>
      </w:r>
      <w:r w:rsidR="00D865F7">
        <w:rPr>
          <w:spacing w:val="-3"/>
        </w:rPr>
        <w:t>any of the other applications in MX Group 84-145</w:t>
      </w:r>
      <w:r w:rsidR="00021944">
        <w:rPr>
          <w:spacing w:val="-3"/>
        </w:rPr>
        <w:t>.</w:t>
      </w:r>
      <w:r w:rsidR="003A53BF">
        <w:rPr>
          <w:spacing w:val="-3"/>
        </w:rPr>
        <w:t xml:space="preserve"> </w:t>
      </w:r>
      <w:r w:rsidR="00EE25EC">
        <w:rPr>
          <w:spacing w:val="-3"/>
        </w:rPr>
        <w:t xml:space="preserve"> </w:t>
      </w:r>
      <w:r w:rsidR="003A53BF" w:rsidRPr="00422F9B">
        <w:rPr>
          <w:i/>
          <w:spacing w:val="-3"/>
        </w:rPr>
        <w:t>See Decision</w:t>
      </w:r>
      <w:r w:rsidR="003A53BF">
        <w:rPr>
          <w:spacing w:val="-3"/>
        </w:rPr>
        <w:t xml:space="preserve"> at 3-5.</w:t>
      </w:r>
    </w:p>
  </w:footnote>
  <w:footnote w:id="4">
    <w:p w14:paraId="04F64EA6" w14:textId="5DA119A1" w:rsidR="007B1738" w:rsidRPr="00625AA5" w:rsidRDefault="007B1738">
      <w:pPr>
        <w:pStyle w:val="FootnoteText"/>
        <w:rPr>
          <w:i/>
        </w:rPr>
      </w:pPr>
      <w:r>
        <w:rPr>
          <w:rStyle w:val="FootnoteReference"/>
        </w:rPr>
        <w:footnoteRef/>
      </w:r>
      <w:r>
        <w:t xml:space="preserve"> </w:t>
      </w:r>
      <w:r>
        <w:rPr>
          <w:i/>
        </w:rPr>
        <w:t xml:space="preserve">See </w:t>
      </w:r>
      <w:r>
        <w:t xml:space="preserve">47 C.F.R. § 73.182(k)(2).  </w:t>
      </w:r>
      <w:r>
        <w:rPr>
          <w:i/>
        </w:rPr>
        <w:t xml:space="preserve">See also </w:t>
      </w:r>
      <w:r w:rsidRPr="00FB0D8D">
        <w:rPr>
          <w:i/>
          <w:color w:val="000000"/>
        </w:rPr>
        <w:t>Nelson Enterprises, Inc.</w:t>
      </w:r>
      <w:r>
        <w:rPr>
          <w:color w:val="000000"/>
        </w:rPr>
        <w:t xml:space="preserve">, Memorandum Opinion and Order, 18 FCC Rcd 3414, 3418 (2003) (nighttime interference between AM applicants makes them mutually exclusive without regard to whether applicants are willing to accept the interference); </w:t>
      </w:r>
      <w:r>
        <w:rPr>
          <w:i/>
          <w:color w:val="000000"/>
        </w:rPr>
        <w:t>see also Policies to Promote Rural Radio</w:t>
      </w:r>
      <w:r w:rsidR="0060370F">
        <w:rPr>
          <w:i/>
          <w:color w:val="000000"/>
        </w:rPr>
        <w:t xml:space="preserve"> Service and to Streamline Allotment and Assignment Procedures</w:t>
      </w:r>
      <w:r>
        <w:rPr>
          <w:color w:val="000000"/>
        </w:rPr>
        <w:t xml:space="preserve">, </w:t>
      </w:r>
      <w:r w:rsidR="0060370F">
        <w:rPr>
          <w:color w:val="000000"/>
        </w:rPr>
        <w:t xml:space="preserve">Second Report and Order, </w:t>
      </w:r>
      <w:r>
        <w:rPr>
          <w:color w:val="000000"/>
        </w:rPr>
        <w:t>26 FCC Rcd 2556, 2582-83 (2011) (“</w:t>
      </w:r>
      <w:r>
        <w:rPr>
          <w:i/>
          <w:color w:val="000000"/>
        </w:rPr>
        <w:t>Rural Radio</w:t>
      </w:r>
      <w:r>
        <w:rPr>
          <w:color w:val="000000"/>
        </w:rPr>
        <w:t xml:space="preserve">”) (codifying the </w:t>
      </w:r>
      <w:r>
        <w:rPr>
          <w:i/>
          <w:color w:val="000000"/>
        </w:rPr>
        <w:t>Nelson Enterprises</w:t>
      </w:r>
      <w:r>
        <w:rPr>
          <w:color w:val="000000"/>
        </w:rPr>
        <w:t xml:space="preserve"> policy </w:t>
      </w:r>
      <w:r w:rsidR="00A90342" w:rsidRPr="00A90342">
        <w:rPr>
          <w:color w:val="000000"/>
        </w:rPr>
        <w:t xml:space="preserve">by explicitly providing that Section 73.182(k) interference standards are applicable in determining nighttime mutual exclusivity between </w:t>
      </w:r>
      <w:r w:rsidR="006D219D">
        <w:rPr>
          <w:color w:val="000000"/>
        </w:rPr>
        <w:t xml:space="preserve">AM </w:t>
      </w:r>
      <w:r w:rsidR="00A90342" w:rsidRPr="00A90342">
        <w:rPr>
          <w:color w:val="000000"/>
        </w:rPr>
        <w:t>appli</w:t>
      </w:r>
      <w:r w:rsidR="006D219D">
        <w:rPr>
          <w:color w:val="000000"/>
        </w:rPr>
        <w:t xml:space="preserve">cations </w:t>
      </w:r>
      <w:r w:rsidR="00A90342">
        <w:rPr>
          <w:color w:val="000000"/>
        </w:rPr>
        <w:t>filed in the same window</w:t>
      </w:r>
      <w:r w:rsidR="00A90342" w:rsidRPr="00A90342">
        <w:rPr>
          <w:color w:val="000000"/>
        </w:rPr>
        <w:t xml:space="preserve"> </w:t>
      </w:r>
      <w:r>
        <w:rPr>
          <w:color w:val="000000"/>
        </w:rPr>
        <w:t xml:space="preserve">and finding </w:t>
      </w:r>
      <w:r w:rsidR="006D219D">
        <w:rPr>
          <w:color w:val="000000"/>
        </w:rPr>
        <w:t xml:space="preserve">the policy </w:t>
      </w:r>
      <w:r>
        <w:rPr>
          <w:color w:val="000000"/>
        </w:rPr>
        <w:t>consistent with Section 307(b)).</w:t>
      </w:r>
      <w:r>
        <w:rPr>
          <w:i/>
        </w:rPr>
        <w:t xml:space="preserve"> </w:t>
      </w:r>
    </w:p>
  </w:footnote>
  <w:footnote w:id="5">
    <w:p w14:paraId="298E5636" w14:textId="45C907B6" w:rsidR="00047B27" w:rsidRDefault="00047B27">
      <w:pPr>
        <w:pStyle w:val="FootnoteText"/>
      </w:pPr>
      <w:r>
        <w:rPr>
          <w:rStyle w:val="FootnoteReference"/>
        </w:rPr>
        <w:footnoteRef/>
      </w:r>
      <w:r>
        <w:t xml:space="preserve"> </w:t>
      </w:r>
      <w:r w:rsidR="001D128D" w:rsidRPr="001D128D">
        <w:rPr>
          <w:i/>
        </w:rPr>
        <w:t>See</w:t>
      </w:r>
      <w:r w:rsidR="001D128D">
        <w:t xml:space="preserve"> </w:t>
      </w:r>
      <w:r>
        <w:t xml:space="preserve">Hilo Application </w:t>
      </w:r>
      <w:r w:rsidR="00BC4BEA">
        <w:t xml:space="preserve">for Review </w:t>
      </w:r>
      <w:r>
        <w:t>at 11</w:t>
      </w:r>
      <w:r w:rsidR="001D128D">
        <w:t>-12</w:t>
      </w:r>
      <w:r>
        <w:t>.</w:t>
      </w:r>
      <w:r w:rsidR="001D128D">
        <w:t xml:space="preserve">  </w:t>
      </w:r>
      <w:r w:rsidR="001D128D" w:rsidRPr="003424D1">
        <w:rPr>
          <w:i/>
        </w:rPr>
        <w:t>See also</w:t>
      </w:r>
      <w:r w:rsidR="001D128D">
        <w:t xml:space="preserve"> Motion at </w:t>
      </w:r>
      <w:r w:rsidR="00E63C1D">
        <w:t>3-4.</w:t>
      </w:r>
    </w:p>
  </w:footnote>
  <w:footnote w:id="6">
    <w:p w14:paraId="7856DDF5" w14:textId="69F9F829" w:rsidR="00273D7B" w:rsidRPr="001C1404" w:rsidRDefault="00273D7B" w:rsidP="00273D7B">
      <w:pPr>
        <w:pStyle w:val="FootnoteText"/>
      </w:pPr>
      <w:r>
        <w:rPr>
          <w:rStyle w:val="FootnoteReference"/>
        </w:rPr>
        <w:footnoteRef/>
      </w:r>
      <w:r>
        <w:t xml:space="preserve"> </w:t>
      </w:r>
      <w:r>
        <w:rPr>
          <w:i/>
        </w:rPr>
        <w:t xml:space="preserve">See Robert E. Combs, </w:t>
      </w:r>
      <w:r>
        <w:t>Memorandum Opinion and Order, 19 FCC Rcd 13421, 13426 (2004) (“</w:t>
      </w:r>
      <w:r>
        <w:rPr>
          <w:i/>
        </w:rPr>
        <w:t>Combs</w:t>
      </w:r>
      <w:r>
        <w:t>”)</w:t>
      </w:r>
      <w:r w:rsidR="008E6F62" w:rsidRPr="008E6F62">
        <w:rPr>
          <w:color w:val="000000"/>
        </w:rPr>
        <w:t xml:space="preserve"> </w:t>
      </w:r>
      <w:r w:rsidR="008E6F62">
        <w:rPr>
          <w:color w:val="000000"/>
        </w:rPr>
        <w:t>(“</w:t>
      </w:r>
      <w:r w:rsidR="008E6F62" w:rsidRPr="00446A6C">
        <w:rPr>
          <w:color w:val="000000"/>
        </w:rPr>
        <w:t>we do not liberally entertain rule waivers seeking to extricate certain applications from MX groups, in order to potentially maximize the number of application grants</w:t>
      </w:r>
      <w:r w:rsidR="008E6F62">
        <w:rPr>
          <w:color w:val="000000"/>
        </w:rPr>
        <w:t>”)</w:t>
      </w:r>
      <w:r>
        <w:t xml:space="preserve">.    </w:t>
      </w:r>
    </w:p>
  </w:footnote>
  <w:footnote w:id="7">
    <w:p w14:paraId="5152E636" w14:textId="3F0D9AAF" w:rsidR="00E952AC" w:rsidRPr="00C6701F" w:rsidRDefault="00E952AC">
      <w:pPr>
        <w:pStyle w:val="FootnoteText"/>
      </w:pPr>
      <w:r>
        <w:rPr>
          <w:rStyle w:val="FootnoteReference"/>
        </w:rPr>
        <w:footnoteRef/>
      </w:r>
      <w:r>
        <w:t xml:space="preserve"> </w:t>
      </w:r>
      <w:r w:rsidR="00692178" w:rsidRPr="00A00DF0">
        <w:rPr>
          <w:i/>
        </w:rPr>
        <w:t>Id.</w:t>
      </w:r>
      <w:r w:rsidR="00692178">
        <w:t xml:space="preserve">  </w:t>
      </w:r>
      <w:r w:rsidR="00692178" w:rsidRPr="00A00DF0">
        <w:rPr>
          <w:i/>
        </w:rPr>
        <w:t>See</w:t>
      </w:r>
      <w:r w:rsidR="00692178">
        <w:t xml:space="preserve"> 47 C.F.R. § 73.5002(</w:t>
      </w:r>
      <w:r w:rsidR="0005384E">
        <w:t>d</w:t>
      </w:r>
      <w:r w:rsidR="00692178">
        <w:t>) (</w:t>
      </w:r>
      <w:r w:rsidR="0005384E">
        <w:t xml:space="preserve">period </w:t>
      </w:r>
      <w:r w:rsidR="00692178">
        <w:t>for filing settlements or technical amendments to eliminate mutual exclusivities)</w:t>
      </w:r>
      <w:r w:rsidR="0046386C">
        <w:t>;</w:t>
      </w:r>
      <w:r w:rsidR="00692178">
        <w:t xml:space="preserve"> </w:t>
      </w:r>
      <w:r w:rsidR="0046386C">
        <w:rPr>
          <w:i/>
        </w:rPr>
        <w:t xml:space="preserve">AM Auction No. 84 Mutually Exclusive Applications Subject to Auction, Settlement Period Announced for Certain Mutually Exclusive </w:t>
      </w:r>
      <w:r w:rsidR="00DB6A67">
        <w:rPr>
          <w:i/>
        </w:rPr>
        <w:t>Application Groups, September 16</w:t>
      </w:r>
      <w:r w:rsidR="0046386C">
        <w:rPr>
          <w:i/>
        </w:rPr>
        <w:t xml:space="preserve">, 2005 Deadline Established for Section 307(b) Submissions, </w:t>
      </w:r>
      <w:r w:rsidR="00246E00">
        <w:t>Public Notice, 20 FCC Rcd 10563 (MB 2005) (</w:t>
      </w:r>
      <w:r w:rsidR="00DE176A">
        <w:t>MX Group 84-145 eligible for settlement</w:t>
      </w:r>
      <w:r w:rsidR="0046386C">
        <w:t>)</w:t>
      </w:r>
      <w:r w:rsidR="00C54A9B">
        <w:t xml:space="preserve"> (</w:t>
      </w:r>
      <w:r w:rsidR="00350687">
        <w:t>“</w:t>
      </w:r>
      <w:r w:rsidR="00C54A9B">
        <w:rPr>
          <w:i/>
        </w:rPr>
        <w:t>Auction No. 84 Public Notice</w:t>
      </w:r>
      <w:r w:rsidR="00350687">
        <w:rPr>
          <w:i/>
        </w:rPr>
        <w:t>”</w:t>
      </w:r>
      <w:r w:rsidR="00C54A9B" w:rsidRPr="00C54A9B">
        <w:t>)</w:t>
      </w:r>
      <w:r w:rsidR="00344946">
        <w:t xml:space="preserve">, </w:t>
      </w:r>
      <w:r w:rsidR="0046386C">
        <w:rPr>
          <w:i/>
        </w:rPr>
        <w:t>deadline extended,</w:t>
      </w:r>
      <w:r w:rsidR="00DB6A67">
        <w:rPr>
          <w:i/>
        </w:rPr>
        <w:t xml:space="preserve"> Auction No. 84 Settlement Period and Section 307(b) Submission Deadline Extended to October 31, 2005, </w:t>
      </w:r>
      <w:r w:rsidR="00DB6A67">
        <w:t>20 FCC Rcd 14492 (MB 2005).</w:t>
      </w:r>
      <w:r w:rsidR="0046386C">
        <w:rPr>
          <w:i/>
        </w:rPr>
        <w:t xml:space="preserve"> </w:t>
      </w:r>
      <w:r w:rsidR="00DE176A">
        <w:t xml:space="preserve"> </w:t>
      </w:r>
    </w:p>
  </w:footnote>
  <w:footnote w:id="8">
    <w:p w14:paraId="2438A941" w14:textId="686FA7FB" w:rsidR="00CA626A" w:rsidRDefault="00CA626A">
      <w:pPr>
        <w:pStyle w:val="FootnoteText"/>
      </w:pPr>
      <w:r>
        <w:rPr>
          <w:rStyle w:val="FootnoteReference"/>
        </w:rPr>
        <w:footnoteRef/>
      </w:r>
      <w:r>
        <w:t xml:space="preserve"> </w:t>
      </w:r>
      <w:r>
        <w:rPr>
          <w:i/>
        </w:rPr>
        <w:t>See J</w:t>
      </w:r>
      <w:r w:rsidRPr="00625AA5">
        <w:rPr>
          <w:i/>
        </w:rPr>
        <w:t>anuary Letter</w:t>
      </w:r>
      <w:r>
        <w:t xml:space="preserve"> at 4</w:t>
      </w:r>
      <w:r w:rsidR="002660B1">
        <w:t xml:space="preserve"> (explaining that Hilo </w:t>
      </w:r>
      <w:r w:rsidR="001A031D">
        <w:t>failed to pursue</w:t>
      </w:r>
      <w:r w:rsidR="002660B1">
        <w:t xml:space="preserve"> our “already liberal procedures” for settlements or technical amendments to resolve mutual exclusivities in the </w:t>
      </w:r>
      <w:r w:rsidR="00DE176A">
        <w:t xml:space="preserve">AM </w:t>
      </w:r>
      <w:r w:rsidR="002660B1">
        <w:t>auction context)</w:t>
      </w:r>
      <w:r>
        <w:t>.</w:t>
      </w:r>
    </w:p>
  </w:footnote>
  <w:footnote w:id="9">
    <w:p w14:paraId="4A1CC996" w14:textId="3E1155E8" w:rsidR="008E37B1" w:rsidRDefault="008E37B1">
      <w:pPr>
        <w:pStyle w:val="FootnoteText"/>
      </w:pPr>
      <w:r>
        <w:rPr>
          <w:rStyle w:val="FootnoteReference"/>
        </w:rPr>
        <w:footnoteRef/>
      </w:r>
      <w:r>
        <w:t xml:space="preserve"> </w:t>
      </w:r>
      <w:r>
        <w:rPr>
          <w:i/>
        </w:rPr>
        <w:t xml:space="preserve">Combs, </w:t>
      </w:r>
      <w:r>
        <w:t>19 FCC Rcd at</w:t>
      </w:r>
      <w:r w:rsidR="00D82CC3">
        <w:t xml:space="preserve"> 13426</w:t>
      </w:r>
      <w:r w:rsidR="005A1853">
        <w:t xml:space="preserve">.  </w:t>
      </w:r>
      <w:r w:rsidR="00273D7B">
        <w:t xml:space="preserve"> </w:t>
      </w:r>
      <w:r w:rsidR="005A1853">
        <w:rPr>
          <w:i/>
        </w:rPr>
        <w:t>S</w:t>
      </w:r>
      <w:r w:rsidR="00A00DF0" w:rsidRPr="00A00DF0">
        <w:rPr>
          <w:i/>
        </w:rPr>
        <w:t>ee</w:t>
      </w:r>
      <w:r w:rsidR="00A00DF0">
        <w:t xml:space="preserve"> </w:t>
      </w:r>
      <w:r w:rsidR="005A1853" w:rsidRPr="00BB19CA">
        <w:rPr>
          <w:i/>
        </w:rPr>
        <w:t>also</w:t>
      </w:r>
      <w:r w:rsidR="005A1853">
        <w:t xml:space="preserve"> </w:t>
      </w:r>
      <w:r w:rsidR="00D13DF6" w:rsidRPr="009734BA">
        <w:rPr>
          <w:i/>
        </w:rPr>
        <w:t>January Letter</w:t>
      </w:r>
      <w:r w:rsidR="00D13DF6">
        <w:t xml:space="preserve"> at 4 </w:t>
      </w:r>
      <w:r w:rsidR="00273D7B">
        <w:t>(</w:t>
      </w:r>
      <w:r w:rsidR="00D13DF6">
        <w:t>the “potential prejudice to applicants that have followed the auction procedures and rules particularly weighs against the grant of Hilo’s request”).</w:t>
      </w:r>
    </w:p>
  </w:footnote>
  <w:footnote w:id="10">
    <w:p w14:paraId="0E65B737" w14:textId="16DDD44F" w:rsidR="00EE25EC" w:rsidRDefault="00EE25EC">
      <w:pPr>
        <w:pStyle w:val="FootnoteText"/>
      </w:pPr>
      <w:r>
        <w:rPr>
          <w:rStyle w:val="FootnoteReference"/>
        </w:rPr>
        <w:footnoteRef/>
      </w:r>
      <w:r>
        <w:t xml:space="preserve"> </w:t>
      </w:r>
      <w:r>
        <w:rPr>
          <w:i/>
        </w:rPr>
        <w:t xml:space="preserve">See </w:t>
      </w:r>
      <w:r>
        <w:t>C</w:t>
      </w:r>
      <w:r>
        <w:rPr>
          <w:i/>
        </w:rPr>
        <w:t xml:space="preserve">ombs, </w:t>
      </w:r>
      <w:r>
        <w:t>19 FCC Rcd at 13426.</w:t>
      </w:r>
    </w:p>
  </w:footnote>
  <w:footnote w:id="11">
    <w:p w14:paraId="6C0C424E" w14:textId="648CFA48" w:rsidR="00190790" w:rsidRDefault="00190790">
      <w:pPr>
        <w:pStyle w:val="FootnoteText"/>
      </w:pPr>
      <w:r>
        <w:rPr>
          <w:rStyle w:val="FootnoteReference"/>
        </w:rPr>
        <w:footnoteRef/>
      </w:r>
      <w:r w:rsidR="00EE25EC">
        <w:t xml:space="preserve"> </w:t>
      </w:r>
      <w:r w:rsidR="00EE25EC" w:rsidRPr="00EE25EC">
        <w:rPr>
          <w:i/>
        </w:rPr>
        <w:t>See id</w:t>
      </w:r>
      <w:r>
        <w:t>.</w:t>
      </w:r>
    </w:p>
  </w:footnote>
  <w:footnote w:id="12">
    <w:p w14:paraId="0964FC29" w14:textId="260F8057" w:rsidR="0004720D" w:rsidRDefault="0004720D">
      <w:pPr>
        <w:pStyle w:val="FootnoteText"/>
      </w:pPr>
      <w:r>
        <w:rPr>
          <w:rStyle w:val="FootnoteReference"/>
        </w:rPr>
        <w:footnoteRef/>
      </w:r>
      <w:r>
        <w:t xml:space="preserve"> </w:t>
      </w:r>
      <w:r w:rsidR="00FF6E13">
        <w:t xml:space="preserve">Hilo Application for Review at 9; </w:t>
      </w:r>
      <w:r w:rsidR="00FF6E13" w:rsidRPr="00FF6E13">
        <w:rPr>
          <w:i/>
        </w:rPr>
        <w:t>see id</w:t>
      </w:r>
      <w:r w:rsidR="00FF6E13">
        <w:t xml:space="preserve">. at 7-11.  </w:t>
      </w:r>
      <w:r w:rsidR="0064637B">
        <w:t xml:space="preserve">In its Petition for Reconsideration of the </w:t>
      </w:r>
      <w:r w:rsidR="0064637B" w:rsidRPr="0064637B">
        <w:rPr>
          <w:i/>
        </w:rPr>
        <w:t>January Letter</w:t>
      </w:r>
      <w:r w:rsidR="0064637B">
        <w:t xml:space="preserve">, </w:t>
      </w:r>
      <w:r w:rsidR="00FF6E13">
        <w:t>Hilo claim</w:t>
      </w:r>
      <w:r w:rsidR="0064637B">
        <w:t>ed</w:t>
      </w:r>
      <w:r w:rsidR="00FF6E13">
        <w:t xml:space="preserve"> that </w:t>
      </w:r>
      <w:r w:rsidR="0064637B">
        <w:t xml:space="preserve">when the </w:t>
      </w:r>
      <w:r w:rsidR="00FF6E13">
        <w:t>Bureau</w:t>
      </w:r>
      <w:r w:rsidR="00FF5B9A">
        <w:t xml:space="preserve"> grant</w:t>
      </w:r>
      <w:r w:rsidR="0064637B">
        <w:t xml:space="preserve">ed a </w:t>
      </w:r>
      <w:r w:rsidR="00FF5B9A">
        <w:t>dispositive Section 307(b) preference to</w:t>
      </w:r>
      <w:r w:rsidR="00901C05">
        <w:t xml:space="preserve"> Citicasters</w:t>
      </w:r>
      <w:r w:rsidR="00A868CA" w:rsidRPr="00A868CA">
        <w:rPr>
          <w:i/>
          <w:spacing w:val="-3"/>
        </w:rPr>
        <w:t xml:space="preserve"> </w:t>
      </w:r>
      <w:r w:rsidR="00A868CA">
        <w:rPr>
          <w:spacing w:val="-3"/>
        </w:rPr>
        <w:t xml:space="preserve">in the </w:t>
      </w:r>
      <w:r w:rsidR="00A868CA">
        <w:rPr>
          <w:i/>
          <w:spacing w:val="-3"/>
        </w:rPr>
        <w:t>January Letter</w:t>
      </w:r>
      <w:r w:rsidR="00901C05">
        <w:t>, it should have also granted the Hilo application since it was not mutually exclusive with Citicasters</w:t>
      </w:r>
      <w:r w:rsidR="00A868CA">
        <w:t xml:space="preserve">, thereby allowing for </w:t>
      </w:r>
      <w:r w:rsidR="00303AF6">
        <w:t>multiple grants</w:t>
      </w:r>
      <w:r w:rsidR="00303AF6" w:rsidRPr="00FE46C2">
        <w:t>.</w:t>
      </w:r>
      <w:r w:rsidR="0064637B" w:rsidRPr="00FE46C2">
        <w:t xml:space="preserve">  </w:t>
      </w:r>
      <w:r w:rsidR="0064637B" w:rsidRPr="00FE46C2">
        <w:rPr>
          <w:i/>
        </w:rPr>
        <w:t>See</w:t>
      </w:r>
      <w:r w:rsidR="0064637B" w:rsidRPr="00FE46C2">
        <w:t xml:space="preserve"> Hilo Petition for Reconsideration</w:t>
      </w:r>
      <w:r w:rsidR="00FE46C2">
        <w:t xml:space="preserve"> at 5-6.  </w:t>
      </w:r>
      <w:r w:rsidR="00901C05" w:rsidRPr="00901C05">
        <w:rPr>
          <w:i/>
        </w:rPr>
        <w:t xml:space="preserve">See </w:t>
      </w:r>
      <w:r w:rsidR="0064637B">
        <w:rPr>
          <w:i/>
        </w:rPr>
        <w:t xml:space="preserve">also </w:t>
      </w:r>
      <w:r w:rsidR="0064637B">
        <w:t xml:space="preserve">Hilo Application for Review </w:t>
      </w:r>
      <w:r w:rsidR="00901C05">
        <w:t>at 5-6, 7-8.</w:t>
      </w:r>
      <w:r w:rsidR="0064637B">
        <w:t xml:space="preserve">  </w:t>
      </w:r>
      <w:r w:rsidR="007D33B8">
        <w:t>T</w:t>
      </w:r>
      <w:r w:rsidR="0064637B">
        <w:t>his issue was rendered moot by the withdrawal and dismissal of the Citicasters application</w:t>
      </w:r>
      <w:r w:rsidR="007D33B8">
        <w:t xml:space="preserve"> and subsequent selection of the Ostlund </w:t>
      </w:r>
      <w:r w:rsidR="00E03110">
        <w:t>A</w:t>
      </w:r>
      <w:r w:rsidR="007D33B8">
        <w:t>pplication</w:t>
      </w:r>
      <w:r w:rsidR="0064637B">
        <w:t xml:space="preserve">.  </w:t>
      </w:r>
      <w:r w:rsidR="007D33B8" w:rsidRPr="007D33B8">
        <w:rPr>
          <w:i/>
        </w:rPr>
        <w:t>See</w:t>
      </w:r>
      <w:r w:rsidR="007D33B8">
        <w:t xml:space="preserve"> </w:t>
      </w:r>
      <w:r w:rsidR="007D33B8" w:rsidRPr="00AC214D">
        <w:rPr>
          <w:i/>
        </w:rPr>
        <w:t>Decision</w:t>
      </w:r>
      <w:r w:rsidR="007D33B8">
        <w:t xml:space="preserve"> at 5.  </w:t>
      </w:r>
      <w:r w:rsidR="0064637B" w:rsidRPr="007D33B8">
        <w:rPr>
          <w:i/>
        </w:rPr>
        <w:t>See also supra</w:t>
      </w:r>
      <w:r w:rsidR="0064637B">
        <w:t xml:space="preserve"> n.1.  </w:t>
      </w:r>
      <w:r w:rsidR="003C1DC8">
        <w:t>In its Application for Review, Hilo claims that,</w:t>
      </w:r>
      <w:r w:rsidR="00A868CA">
        <w:t xml:space="preserve"> rather than granting a dispositive Section 307(b) preference to </w:t>
      </w:r>
      <w:r w:rsidR="000F2018">
        <w:t xml:space="preserve">only </w:t>
      </w:r>
      <w:r w:rsidR="00A868CA">
        <w:t>Ostlund</w:t>
      </w:r>
      <w:r w:rsidR="003B686A">
        <w:t xml:space="preserve"> in the </w:t>
      </w:r>
      <w:r w:rsidR="003B686A" w:rsidRPr="003B686A">
        <w:rPr>
          <w:i/>
        </w:rPr>
        <w:t>Decision</w:t>
      </w:r>
      <w:r w:rsidR="00A868CA">
        <w:t xml:space="preserve">, the Bureau should have </w:t>
      </w:r>
      <w:r w:rsidR="003B686A">
        <w:t xml:space="preserve">granted both the Hilo </w:t>
      </w:r>
      <w:r w:rsidR="0076447B">
        <w:t>A</w:t>
      </w:r>
      <w:r w:rsidR="003B686A">
        <w:t>pplication and any of the other applications that were not mutually exclusive with Hilo</w:t>
      </w:r>
      <w:r w:rsidR="00303AF6">
        <w:t>,</w:t>
      </w:r>
      <w:r w:rsidR="00303AF6" w:rsidRPr="00303AF6">
        <w:t xml:space="preserve"> </w:t>
      </w:r>
      <w:r w:rsidR="00303AF6">
        <w:t>thereby allowing for multiple grants</w:t>
      </w:r>
      <w:r w:rsidR="003B686A">
        <w:t xml:space="preserve">.  </w:t>
      </w:r>
      <w:r w:rsidR="003B686A" w:rsidRPr="003B686A">
        <w:rPr>
          <w:i/>
        </w:rPr>
        <w:t xml:space="preserve">See </w:t>
      </w:r>
      <w:r w:rsidR="003C1DC8">
        <w:t>Hilo Application for Review</w:t>
      </w:r>
      <w:r w:rsidR="003B686A">
        <w:t xml:space="preserve"> at 10-11. </w:t>
      </w:r>
      <w:r w:rsidR="002337C7">
        <w:t xml:space="preserve"> </w:t>
      </w:r>
      <w:r w:rsidR="00FF5B9A">
        <w:t xml:space="preserve">  </w:t>
      </w:r>
      <w:r w:rsidR="00FF6E13">
        <w:t xml:space="preserve"> </w:t>
      </w:r>
    </w:p>
  </w:footnote>
  <w:footnote w:id="13">
    <w:p w14:paraId="16E9F893" w14:textId="1F575CCB" w:rsidR="00F508D2" w:rsidRPr="000E332A" w:rsidRDefault="00F508D2">
      <w:pPr>
        <w:pStyle w:val="FootnoteText"/>
      </w:pPr>
      <w:r>
        <w:rPr>
          <w:rStyle w:val="FootnoteReference"/>
        </w:rPr>
        <w:footnoteRef/>
      </w:r>
      <w:r>
        <w:t xml:space="preserve"> </w:t>
      </w:r>
      <w:r>
        <w:rPr>
          <w:i/>
        </w:rPr>
        <w:t xml:space="preserve">See </w:t>
      </w:r>
      <w:r w:rsidR="00DF5D0E">
        <w:rPr>
          <w:i/>
        </w:rPr>
        <w:t xml:space="preserve">Revision of </w:t>
      </w:r>
      <w:r>
        <w:rPr>
          <w:i/>
        </w:rPr>
        <w:t xml:space="preserve">FM Channel </w:t>
      </w:r>
      <w:r w:rsidR="00DF5D0E">
        <w:rPr>
          <w:i/>
        </w:rPr>
        <w:t xml:space="preserve">Assignment </w:t>
      </w:r>
      <w:r>
        <w:rPr>
          <w:i/>
        </w:rPr>
        <w:t>Policies</w:t>
      </w:r>
      <w:r w:rsidR="00DF5D0E">
        <w:rPr>
          <w:i/>
        </w:rPr>
        <w:t xml:space="preserve"> and </w:t>
      </w:r>
      <w:r>
        <w:rPr>
          <w:i/>
        </w:rPr>
        <w:t xml:space="preserve">Procedures, </w:t>
      </w:r>
      <w:r w:rsidR="00B42512">
        <w:t>Second Report and Order, 90 FCC 2d 88, 9</w:t>
      </w:r>
      <w:r w:rsidR="00464761">
        <w:t>1</w:t>
      </w:r>
      <w:r w:rsidR="00B42512">
        <w:t>-9</w:t>
      </w:r>
      <w:r w:rsidR="00464761">
        <w:t>2</w:t>
      </w:r>
      <w:r w:rsidR="00B42512">
        <w:t xml:space="preserve"> (1982) (simplifying Section 307(b) </w:t>
      </w:r>
      <w:r w:rsidR="000E332A">
        <w:t xml:space="preserve">FM </w:t>
      </w:r>
      <w:r w:rsidR="00B42512">
        <w:t>analyses to the current four priorities)</w:t>
      </w:r>
      <w:r w:rsidR="000E332A">
        <w:t xml:space="preserve">, </w:t>
      </w:r>
      <w:r w:rsidR="000E332A">
        <w:rPr>
          <w:i/>
        </w:rPr>
        <w:t xml:space="preserve">extended to AM analyses, Alessandro Broadcasting, </w:t>
      </w:r>
      <w:r w:rsidR="00F35886">
        <w:t xml:space="preserve">Decision, </w:t>
      </w:r>
      <w:r w:rsidR="000E332A">
        <w:t>99 FCC 2d 1, 6 (Rev. Bd. 1984</w:t>
      </w:r>
      <w:r w:rsidR="00396FF9">
        <w:t>)</w:t>
      </w:r>
      <w:r w:rsidR="000E332A">
        <w:t>.</w:t>
      </w:r>
      <w:r w:rsidR="00C54A9B">
        <w:t xml:space="preserve"> </w:t>
      </w:r>
      <w:r w:rsidR="00F344AB">
        <w:t xml:space="preserve"> </w:t>
      </w:r>
      <w:r w:rsidR="00F344AB" w:rsidRPr="00D07453">
        <w:rPr>
          <w:color w:val="000000" w:themeColor="text1"/>
        </w:rPr>
        <w:t xml:space="preserve">Hilo provides no basis for its assertion that these priorities are “not decisional in this case.”  </w:t>
      </w:r>
      <w:r w:rsidR="00F344AB" w:rsidRPr="00D07453">
        <w:rPr>
          <w:snapToGrid w:val="0"/>
          <w:color w:val="000000" w:themeColor="text1"/>
        </w:rPr>
        <w:t xml:space="preserve">Hilo Application for Review at 8 n.5.  </w:t>
      </w:r>
      <w:r w:rsidR="00F344AB" w:rsidRPr="00D07453">
        <w:rPr>
          <w:color w:val="000000" w:themeColor="text1"/>
        </w:rPr>
        <w:t xml:space="preserve">The Bureau specifically stated that </w:t>
      </w:r>
      <w:r w:rsidR="00F344AB">
        <w:rPr>
          <w:color w:val="000000" w:themeColor="text1"/>
        </w:rPr>
        <w:t xml:space="preserve">these priorities </w:t>
      </w:r>
      <w:r w:rsidR="00F344AB" w:rsidRPr="00D07453">
        <w:rPr>
          <w:color w:val="000000" w:themeColor="text1"/>
        </w:rPr>
        <w:t>would be applied in</w:t>
      </w:r>
      <w:r w:rsidR="00F344AB" w:rsidRPr="00D07453">
        <w:rPr>
          <w:rStyle w:val="apple-converted-space"/>
          <w:color w:val="000000" w:themeColor="text1"/>
        </w:rPr>
        <w:t xml:space="preserve"> Auction No. 84.  </w:t>
      </w:r>
      <w:r w:rsidR="00F344AB" w:rsidRPr="00D07453">
        <w:rPr>
          <w:i/>
        </w:rPr>
        <w:t>Auction No. 84 Public Notice</w:t>
      </w:r>
      <w:r w:rsidR="00F344AB" w:rsidRPr="00D07453">
        <w:rPr>
          <w:rStyle w:val="apple-converted-space"/>
          <w:color w:val="000000" w:themeColor="text1"/>
        </w:rPr>
        <w:t>,</w:t>
      </w:r>
      <w:r w:rsidR="00F344AB" w:rsidRPr="00D07453">
        <w:rPr>
          <w:color w:val="000000" w:themeColor="text1"/>
        </w:rPr>
        <w:t xml:space="preserve"> 20 FCC Rcd at 10565.</w:t>
      </w:r>
      <w:r w:rsidR="00C54A9B">
        <w:t xml:space="preserve"> </w:t>
      </w:r>
    </w:p>
  </w:footnote>
  <w:footnote w:id="14">
    <w:p w14:paraId="7679F182" w14:textId="213ACACF" w:rsidR="00B876F1" w:rsidRPr="00B876F1" w:rsidRDefault="00B876F1">
      <w:pPr>
        <w:pStyle w:val="FootnoteText"/>
      </w:pPr>
      <w:r>
        <w:rPr>
          <w:rStyle w:val="FootnoteReference"/>
        </w:rPr>
        <w:footnoteRef/>
      </w:r>
      <w:r w:rsidR="005F7C71">
        <w:t xml:space="preserve"> Hilo Application for Review at </w:t>
      </w:r>
      <w:r w:rsidR="00EE25EC">
        <w:t>9</w:t>
      </w:r>
      <w:r w:rsidR="005F7C71">
        <w:t>.</w:t>
      </w:r>
      <w:r w:rsidR="006A1015">
        <w:t xml:space="preserve">  </w:t>
      </w:r>
      <w:r w:rsidR="00DD6B55">
        <w:rPr>
          <w:i/>
        </w:rPr>
        <w:t>See Combs</w:t>
      </w:r>
      <w:r w:rsidR="00DD6B55">
        <w:t>, 19 FCC Rcd</w:t>
      </w:r>
      <w:r w:rsidR="00F72C2C">
        <w:rPr>
          <w:i/>
        </w:rPr>
        <w:t xml:space="preserve"> </w:t>
      </w:r>
      <w:r>
        <w:t xml:space="preserve">at </w:t>
      </w:r>
      <w:r w:rsidR="00D82CC3">
        <w:t>13427-28</w:t>
      </w:r>
      <w:r w:rsidR="00047B27">
        <w:t xml:space="preserve"> </w:t>
      </w:r>
      <w:r w:rsidR="00047B27">
        <w:rPr>
          <w:color w:val="000000"/>
        </w:rPr>
        <w:t>(e</w:t>
      </w:r>
      <w:r w:rsidR="00047B27" w:rsidRPr="00446A6C">
        <w:rPr>
          <w:color w:val="000000"/>
        </w:rPr>
        <w:t xml:space="preserve">xplaining that applicant “does not present any case authority for the proposition that Section </w:t>
      </w:r>
      <w:r w:rsidR="00047B27">
        <w:rPr>
          <w:color w:val="000000"/>
        </w:rPr>
        <w:t>307(b)</w:t>
      </w:r>
      <w:r w:rsidR="00047B27" w:rsidRPr="00446A6C">
        <w:rPr>
          <w:color w:val="000000"/>
        </w:rPr>
        <w:t xml:space="preserve"> mandates grant of </w:t>
      </w:r>
      <w:r w:rsidR="00047B27">
        <w:rPr>
          <w:color w:val="000000"/>
        </w:rPr>
        <w:t xml:space="preserve">multiple </w:t>
      </w:r>
      <w:r w:rsidR="00047B27" w:rsidRPr="00446A6C">
        <w:rPr>
          <w:color w:val="000000"/>
        </w:rPr>
        <w:t>applications in all cases”</w:t>
      </w:r>
      <w:r w:rsidR="00047B27">
        <w:rPr>
          <w:color w:val="000000"/>
        </w:rPr>
        <w:t>)</w:t>
      </w:r>
      <w:r w:rsidR="005F7C57">
        <w:rPr>
          <w:color w:val="000000"/>
        </w:rPr>
        <w:t>;</w:t>
      </w:r>
      <w:r w:rsidR="00A11F1C">
        <w:rPr>
          <w:i/>
        </w:rPr>
        <w:t xml:space="preserve"> P</w:t>
      </w:r>
      <w:r w:rsidR="00A11F1C" w:rsidRPr="0032252C">
        <w:rPr>
          <w:i/>
        </w:rPr>
        <w:t>eoples Network, Inc., Memorandum Opinion and Order</w:t>
      </w:r>
      <w:r w:rsidR="00A11F1C" w:rsidRPr="0032252C">
        <w:t xml:space="preserve">, </w:t>
      </w:r>
      <w:r w:rsidR="00A11F1C" w:rsidRPr="0032252C">
        <w:rPr>
          <w:color w:val="000000"/>
        </w:rPr>
        <w:t>19 FCC Rcd 11658</w:t>
      </w:r>
      <w:r w:rsidR="00A11F1C">
        <w:rPr>
          <w:color w:val="000000"/>
        </w:rPr>
        <w:t>, 11658, para. 3 n.13</w:t>
      </w:r>
      <w:r w:rsidR="00A11F1C" w:rsidRPr="0032252C">
        <w:rPr>
          <w:color w:val="000000"/>
        </w:rPr>
        <w:t xml:space="preserve"> (2004) (rejecting the argument that a “combination of proposals” must be awarded </w:t>
      </w:r>
      <w:r w:rsidR="001077BC">
        <w:rPr>
          <w:color w:val="000000"/>
        </w:rPr>
        <w:t>when there is a S</w:t>
      </w:r>
      <w:r w:rsidR="00A11F1C" w:rsidRPr="0032252C">
        <w:rPr>
          <w:color w:val="000000" w:themeColor="text1"/>
        </w:rPr>
        <w:t>ection 307(b)</w:t>
      </w:r>
      <w:r w:rsidR="00A11F1C" w:rsidRPr="0032252C">
        <w:rPr>
          <w:color w:val="000000"/>
        </w:rPr>
        <w:t xml:space="preserve"> analysis involving several applications)</w:t>
      </w:r>
      <w:r w:rsidR="00A11F1C">
        <w:rPr>
          <w:color w:val="000000"/>
          <w:sz w:val="18"/>
          <w:szCs w:val="18"/>
        </w:rPr>
        <w:t>.</w:t>
      </w:r>
    </w:p>
  </w:footnote>
  <w:footnote w:id="15">
    <w:p w14:paraId="53A5D5A4" w14:textId="2D1B4A9F" w:rsidR="00B15C0A" w:rsidRPr="003E52B0" w:rsidRDefault="001B030D" w:rsidP="001B030D">
      <w:pPr>
        <w:pStyle w:val="FootnoteText"/>
      </w:pPr>
      <w:r>
        <w:rPr>
          <w:rStyle w:val="FootnoteReference"/>
        </w:rPr>
        <w:footnoteRef/>
      </w:r>
      <w:r>
        <w:t xml:space="preserve"> </w:t>
      </w:r>
      <w:r w:rsidR="00523FDF">
        <w:rPr>
          <w:i/>
        </w:rPr>
        <w:t xml:space="preserve">See </w:t>
      </w:r>
      <w:r>
        <w:t xml:space="preserve">Hilo Application for Review at 9 (citing comparative hearing cases, all over 30 years old, in which the Commission granted more than one application after undertaking the </w:t>
      </w:r>
      <w:r w:rsidR="00820B36">
        <w:t xml:space="preserve">standard of </w:t>
      </w:r>
      <w:r>
        <w:t xml:space="preserve">review applicable at that time).  For example, the most recent case that Hilo cites was </w:t>
      </w:r>
      <w:r w:rsidRPr="00CF1F61">
        <w:t>decided under a different standard that favored multiple grants to introduce new service to un</w:t>
      </w:r>
      <w:r w:rsidR="006715CB" w:rsidRPr="00CF1F61">
        <w:t>der</w:t>
      </w:r>
      <w:r w:rsidRPr="00CF1F61">
        <w:t xml:space="preserve">served communities.  </w:t>
      </w:r>
      <w:r w:rsidRPr="00CF1F61">
        <w:rPr>
          <w:i/>
        </w:rPr>
        <w:t xml:space="preserve">See Archilla-Marcocci Spanish Radio Co., </w:t>
      </w:r>
      <w:r w:rsidR="009B0FB4" w:rsidRPr="00CF1F61">
        <w:t xml:space="preserve">Decision, </w:t>
      </w:r>
      <w:r w:rsidRPr="00CF1F61">
        <w:t>101 FCC 2d 522</w:t>
      </w:r>
      <w:r w:rsidR="00885D95" w:rsidRPr="00CF1F61">
        <w:t>,</w:t>
      </w:r>
      <w:r w:rsidR="009B0FB4" w:rsidRPr="00CF1F61">
        <w:t xml:space="preserve"> 526</w:t>
      </w:r>
      <w:r w:rsidR="00885D95" w:rsidRPr="00CF1F61">
        <w:t xml:space="preserve"> </w:t>
      </w:r>
      <w:r w:rsidRPr="00CF1F61">
        <w:t>(Rev. Bd. 1985)</w:t>
      </w:r>
      <w:r w:rsidR="00885D95" w:rsidRPr="00CF1F61">
        <w:t xml:space="preserve"> (</w:t>
      </w:r>
      <w:r w:rsidR="00885D95" w:rsidRPr="00CF1F61">
        <w:rPr>
          <w:i/>
        </w:rPr>
        <w:t>Archilla-Marcocci)</w:t>
      </w:r>
      <w:r w:rsidR="009B0FB4" w:rsidRPr="00CF1F61">
        <w:rPr>
          <w:i/>
        </w:rPr>
        <w:t xml:space="preserve"> </w:t>
      </w:r>
      <w:r w:rsidR="00B15C0A" w:rsidRPr="00CF1F61">
        <w:t>(considering such no-longer-used factors as provision of local aural service</w:t>
      </w:r>
      <w:r w:rsidR="00CB6FF9" w:rsidRPr="00CF1F61">
        <w:t>s</w:t>
      </w:r>
      <w:r w:rsidR="00B15C0A" w:rsidRPr="00CF1F61">
        <w:t xml:space="preserve"> to “as many independent communities as possible”)</w:t>
      </w:r>
      <w:r w:rsidRPr="00CF1F61">
        <w:t>.</w:t>
      </w:r>
      <w:r w:rsidR="001838C7" w:rsidRPr="00CF1F61">
        <w:t xml:space="preserve">  Moreover, the facts of </w:t>
      </w:r>
      <w:r w:rsidR="00483F09" w:rsidRPr="00CF1F61">
        <w:rPr>
          <w:i/>
        </w:rPr>
        <w:t xml:space="preserve">Archilla-Marcocci </w:t>
      </w:r>
      <w:r w:rsidR="003C0EBD" w:rsidRPr="00CF1F61">
        <w:t xml:space="preserve">-- grant of three applications to </w:t>
      </w:r>
      <w:r w:rsidR="009140EB" w:rsidRPr="00CF1F61">
        <w:t xml:space="preserve">provide a first </w:t>
      </w:r>
      <w:r w:rsidR="0018134E" w:rsidRPr="00CF1F61">
        <w:t xml:space="preserve">local </w:t>
      </w:r>
      <w:r w:rsidR="009140EB" w:rsidRPr="00CF1F61">
        <w:t xml:space="preserve">transmission service to </w:t>
      </w:r>
      <w:r w:rsidR="006715CB" w:rsidRPr="00CF1F61">
        <w:t>small</w:t>
      </w:r>
      <w:r w:rsidR="00D96AC5" w:rsidRPr="00CF1F61">
        <w:t xml:space="preserve"> </w:t>
      </w:r>
      <w:r w:rsidR="003C0EBD" w:rsidRPr="00CF1F61">
        <w:t xml:space="preserve">rural communities over a single application to </w:t>
      </w:r>
      <w:r w:rsidR="00425C64" w:rsidRPr="00CF1F61">
        <w:t>provide a first</w:t>
      </w:r>
      <w:r w:rsidR="0018134E" w:rsidRPr="00CF1F61">
        <w:t xml:space="preserve"> local</w:t>
      </w:r>
      <w:r w:rsidR="00425C64" w:rsidRPr="00CF1F61">
        <w:t xml:space="preserve"> transmission service to </w:t>
      </w:r>
      <w:r w:rsidR="003C0EBD" w:rsidRPr="00CF1F61">
        <w:t xml:space="preserve">a suburb of a major </w:t>
      </w:r>
      <w:r w:rsidR="006715CB" w:rsidRPr="00CF1F61">
        <w:t xml:space="preserve">metropolitan area </w:t>
      </w:r>
      <w:r w:rsidR="003C0EBD" w:rsidRPr="00CF1F61">
        <w:t xml:space="preserve">-- </w:t>
      </w:r>
      <w:r w:rsidR="00C753EA" w:rsidRPr="00CF1F61">
        <w:t xml:space="preserve">are </w:t>
      </w:r>
      <w:r w:rsidR="001838C7" w:rsidRPr="00CF1F61">
        <w:t xml:space="preserve">easily distinguishable </w:t>
      </w:r>
      <w:r w:rsidR="003C0EBD" w:rsidRPr="00CF1F61">
        <w:t xml:space="preserve">from the Priority 4 case at hand, involving </w:t>
      </w:r>
      <w:r w:rsidR="007737FD" w:rsidRPr="00CF1F61">
        <w:t xml:space="preserve">communities </w:t>
      </w:r>
      <w:r w:rsidR="003C0EBD" w:rsidRPr="00CF1F61">
        <w:t>well-served by existing stations.</w:t>
      </w:r>
    </w:p>
  </w:footnote>
  <w:footnote w:id="16">
    <w:p w14:paraId="1F05FE36" w14:textId="6AE23A94" w:rsidR="00CC776B" w:rsidRPr="00CC776B" w:rsidRDefault="00CC776B">
      <w:pPr>
        <w:pStyle w:val="FootnoteText"/>
      </w:pPr>
      <w:r>
        <w:rPr>
          <w:rStyle w:val="FootnoteReference"/>
        </w:rPr>
        <w:footnoteRef/>
      </w:r>
      <w:r>
        <w:t xml:space="preserve"> </w:t>
      </w:r>
      <w:r>
        <w:rPr>
          <w:i/>
        </w:rPr>
        <w:t xml:space="preserve">See supra </w:t>
      </w:r>
      <w:r>
        <w:t>n.1</w:t>
      </w:r>
      <w:r w:rsidR="00D91A48">
        <w:t>3</w:t>
      </w:r>
      <w:r>
        <w:t xml:space="preserve"> and para. 3 (need for strict application of auction rules and rejecting multiple grant approach). </w:t>
      </w:r>
    </w:p>
  </w:footnote>
  <w:footnote w:id="17">
    <w:p w14:paraId="2CE0D62D" w14:textId="3E49709C" w:rsidR="00A53779" w:rsidRPr="003369DA" w:rsidRDefault="00A53779" w:rsidP="00A53779">
      <w:pPr>
        <w:pStyle w:val="FootnoteText"/>
      </w:pPr>
      <w:r>
        <w:rPr>
          <w:rStyle w:val="FootnoteReference"/>
        </w:rPr>
        <w:footnoteRef/>
      </w:r>
      <w:r>
        <w:t xml:space="preserve"> </w:t>
      </w:r>
      <w:r w:rsidR="003369DA">
        <w:rPr>
          <w:i/>
        </w:rPr>
        <w:t xml:space="preserve">See Policies to Promote </w:t>
      </w:r>
      <w:r w:rsidRPr="00A11AF7">
        <w:rPr>
          <w:i/>
        </w:rPr>
        <w:t>Rural Radio</w:t>
      </w:r>
      <w:r w:rsidR="003369DA">
        <w:rPr>
          <w:i/>
        </w:rPr>
        <w:t xml:space="preserve"> Service and to Streamline Allotment and Assignment Procedures, </w:t>
      </w:r>
      <w:r w:rsidR="00FC4037">
        <w:t xml:space="preserve">Second Report and Order, </w:t>
      </w:r>
      <w:r w:rsidR="003369DA">
        <w:t xml:space="preserve">26 FCC Rcd 2556, </w:t>
      </w:r>
      <w:r w:rsidR="00FC60C3">
        <w:t>2572-75</w:t>
      </w:r>
      <w:r w:rsidR="00804AC8">
        <w:t xml:space="preserve"> </w:t>
      </w:r>
      <w:r w:rsidR="003369DA">
        <w:t>(2011)</w:t>
      </w:r>
      <w:r w:rsidR="00980F4F">
        <w:t xml:space="preserve">, </w:t>
      </w:r>
      <w:r w:rsidR="00980F4F">
        <w:rPr>
          <w:i/>
        </w:rPr>
        <w:t xml:space="preserve">clarified, </w:t>
      </w:r>
      <w:r w:rsidR="00F31A75">
        <w:t xml:space="preserve">Second Order on Recon., </w:t>
      </w:r>
      <w:r w:rsidR="00980F4F">
        <w:t>27 FCC Rcd 12829 (2012)</w:t>
      </w:r>
      <w:r w:rsidR="003369DA">
        <w:t>.</w:t>
      </w:r>
    </w:p>
  </w:footnote>
  <w:footnote w:id="18">
    <w:p w14:paraId="0488D8FC" w14:textId="49821368" w:rsidR="00B8253D" w:rsidRDefault="00B8253D">
      <w:pPr>
        <w:pStyle w:val="FootnoteText"/>
      </w:pPr>
      <w:r>
        <w:rPr>
          <w:rStyle w:val="FootnoteReference"/>
        </w:rPr>
        <w:footnoteRef/>
      </w:r>
      <w:r>
        <w:t xml:space="preserve"> </w:t>
      </w:r>
      <w:r w:rsidRPr="00A11AF7">
        <w:rPr>
          <w:i/>
        </w:rPr>
        <w:t>See Decision</w:t>
      </w:r>
      <w:r>
        <w:t xml:space="preserve"> at 4 (providing independent population counts by Commission staff”).  </w:t>
      </w:r>
      <w:r w:rsidR="00787CC1">
        <w:t xml:space="preserve">The </w:t>
      </w:r>
      <w:r>
        <w:t>Ostlund</w:t>
      </w:r>
      <w:r w:rsidR="00787CC1">
        <w:t xml:space="preserve"> Application</w:t>
      </w:r>
      <w:r>
        <w:t xml:space="preserve"> would serve populations of 688,172 in </w:t>
      </w:r>
      <w:r w:rsidR="00417E32">
        <w:t>the</w:t>
      </w:r>
      <w:r w:rsidR="00E1157A">
        <w:t xml:space="preserve"> d</w:t>
      </w:r>
      <w:r>
        <w:t xml:space="preserve">aytime </w:t>
      </w:r>
      <w:r w:rsidR="00E1157A">
        <w:t>0.</w:t>
      </w:r>
      <w:r>
        <w:t>5</w:t>
      </w:r>
      <w:r w:rsidR="00D075A7">
        <w:t xml:space="preserve"> m</w:t>
      </w:r>
      <w:r w:rsidR="00E1157A">
        <w:t>V</w:t>
      </w:r>
      <w:r w:rsidR="00D075A7">
        <w:t>/</w:t>
      </w:r>
      <w:r w:rsidR="00E1157A">
        <w:t>m contour</w:t>
      </w:r>
      <w:r>
        <w:t xml:space="preserve">, 614,011 in the </w:t>
      </w:r>
      <w:r w:rsidR="00CA1707">
        <w:t>d</w:t>
      </w:r>
      <w:r>
        <w:t>aytime 2</w:t>
      </w:r>
      <w:r w:rsidR="00D075A7">
        <w:t xml:space="preserve"> mV/m contour</w:t>
      </w:r>
      <w:r>
        <w:t>, and 665,742 in the</w:t>
      </w:r>
      <w:r w:rsidR="00D075A7">
        <w:t xml:space="preserve"> </w:t>
      </w:r>
      <w:r>
        <w:t xml:space="preserve">nighttime </w:t>
      </w:r>
      <w:r w:rsidR="00D075A7">
        <w:t xml:space="preserve">interference-free </w:t>
      </w:r>
      <w:r>
        <w:t>contour.  In contrast</w:t>
      </w:r>
      <w:r w:rsidR="00787CC1">
        <w:t>, the</w:t>
      </w:r>
      <w:r>
        <w:t xml:space="preserve"> Hilo </w:t>
      </w:r>
      <w:r w:rsidR="00787CC1">
        <w:t xml:space="preserve">Application </w:t>
      </w:r>
      <w:r>
        <w:t xml:space="preserve">would serve the fewest people in the MX Group, </w:t>
      </w:r>
      <w:r>
        <w:rPr>
          <w:i/>
        </w:rPr>
        <w:t xml:space="preserve">i.e., </w:t>
      </w:r>
      <w:r>
        <w:t>populations of 89,568, 33,636, and 33,636 within those same respective contour</w:t>
      </w:r>
      <w:r w:rsidR="00787CC1">
        <w:t>s.  T</w:t>
      </w:r>
      <w:r w:rsidR="00BE1448">
        <w:t xml:space="preserve">he total population served through the grant of </w:t>
      </w:r>
      <w:r w:rsidR="00787CC1">
        <w:t xml:space="preserve">the </w:t>
      </w:r>
      <w:r w:rsidR="00BE1448">
        <w:t xml:space="preserve">Hilo </w:t>
      </w:r>
      <w:r w:rsidR="00787CC1">
        <w:t>A</w:t>
      </w:r>
      <w:r w:rsidR="00BE1448">
        <w:t xml:space="preserve">pplication, even when aggregated </w:t>
      </w:r>
      <w:r>
        <w:t>with th</w:t>
      </w:r>
      <w:r w:rsidR="002D416B">
        <w:t>at</w:t>
      </w:r>
      <w:r>
        <w:t xml:space="preserve"> of Huron </w:t>
      </w:r>
      <w:r w:rsidR="00787CC1">
        <w:t>and/</w:t>
      </w:r>
      <w:r>
        <w:t>or Favorita would still</w:t>
      </w:r>
      <w:r w:rsidR="00AE2879">
        <w:t xml:space="preserve"> </w:t>
      </w:r>
      <w:r w:rsidR="00BE1448">
        <w:t xml:space="preserve">be much less than that achieved by grant of the Ostlund </w:t>
      </w:r>
      <w:r w:rsidR="002D416B">
        <w:t>Application</w:t>
      </w:r>
      <w:r w:rsidR="00BE1448">
        <w:t>.</w:t>
      </w:r>
      <w:r w:rsidR="00B21C0B">
        <w:t xml:space="preserve">  Thus, cases that Hilo cites from the 1940s</w:t>
      </w:r>
      <w:r w:rsidR="00C372E4">
        <w:t xml:space="preserve">, in which grant of two applications would serve more people than grant of one, </w:t>
      </w:r>
      <w:r w:rsidR="00B21C0B">
        <w:t xml:space="preserve">are </w:t>
      </w:r>
      <w:r w:rsidR="00165D8F">
        <w:t xml:space="preserve">not only inapplicable </w:t>
      </w:r>
      <w:r w:rsidR="00E7351D">
        <w:t xml:space="preserve">as </w:t>
      </w:r>
      <w:r w:rsidR="00165D8F">
        <w:t>involv</w:t>
      </w:r>
      <w:r w:rsidR="00E7351D">
        <w:t>ing</w:t>
      </w:r>
      <w:r w:rsidR="00165D8F">
        <w:t xml:space="preserve"> a different standard</w:t>
      </w:r>
      <w:r w:rsidR="00B30B37">
        <w:t>,</w:t>
      </w:r>
      <w:r w:rsidR="00165D8F">
        <w:t xml:space="preserve"> but also </w:t>
      </w:r>
      <w:r w:rsidR="00B30B37">
        <w:t xml:space="preserve">are </w:t>
      </w:r>
      <w:r w:rsidR="00B21C0B">
        <w:t xml:space="preserve">factually distinguishable.  </w:t>
      </w:r>
      <w:r w:rsidR="00B21C0B">
        <w:rPr>
          <w:i/>
        </w:rPr>
        <w:t xml:space="preserve">See </w:t>
      </w:r>
      <w:r w:rsidR="00B21C0B" w:rsidRPr="00051CF6">
        <w:rPr>
          <w:i/>
        </w:rPr>
        <w:t>Magnolia Broadcasting Co</w:t>
      </w:r>
      <w:r w:rsidR="00B21C0B">
        <w:t xml:space="preserve">., 12 FCC 14 </w:t>
      </w:r>
      <w:r w:rsidR="00B21C0B" w:rsidRPr="00B21C0B">
        <w:t xml:space="preserve">(1947); </w:t>
      </w:r>
      <w:r w:rsidR="00B21C0B" w:rsidRPr="00051CF6">
        <w:rPr>
          <w:i/>
        </w:rPr>
        <w:t>Leonard A. Versluis</w:t>
      </w:r>
      <w:r w:rsidR="00B21C0B" w:rsidRPr="00B21C0B">
        <w:t>, </w:t>
      </w:r>
      <w:hyperlink r:id="rId1" w:history="1">
        <w:r w:rsidR="00B21C0B" w:rsidRPr="00742EC6">
          <w:rPr>
            <w:rStyle w:val="Hyperlink"/>
            <w:color w:val="auto"/>
            <w:u w:val="none"/>
          </w:rPr>
          <w:t>12 FCC 342 (1947)</w:t>
        </w:r>
      </w:hyperlink>
      <w:r w:rsidR="00B21C0B" w:rsidRPr="00B21C0B">
        <w:t xml:space="preserve">; </w:t>
      </w:r>
      <w:r w:rsidR="00B21C0B" w:rsidRPr="00051CF6">
        <w:rPr>
          <w:i/>
        </w:rPr>
        <w:t>George A. Ralston</w:t>
      </w:r>
      <w:r w:rsidR="00B21C0B">
        <w:t xml:space="preserve">, 12 FCC 784 </w:t>
      </w:r>
      <w:r w:rsidR="00B21C0B" w:rsidRPr="00B21C0B">
        <w:t>(1948).</w:t>
      </w:r>
      <w:r w:rsidR="00B21C0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A8F1" w14:textId="77777777" w:rsidR="009956B3" w:rsidRDefault="00995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F455" w14:textId="37E0C4B2" w:rsidR="00A6023B" w:rsidRDefault="00A6023B" w:rsidP="00810B6F">
    <w:pPr>
      <w:pStyle w:val="Header"/>
      <w:rPr>
        <w:b w:val="0"/>
      </w:rPr>
    </w:pPr>
    <w:r>
      <w:tab/>
      <w:t>Federal Communications Commission</w:t>
    </w:r>
    <w:r>
      <w:tab/>
    </w:r>
    <w:r w:rsidR="000C5F6B">
      <w:t>FCC 15-173</w:t>
    </w:r>
  </w:p>
  <w:p w14:paraId="7A3A5371" w14:textId="77777777" w:rsidR="00A6023B" w:rsidRDefault="00BB219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3B8D75B" wp14:editId="252AA8C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376D4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ACC6" w14:textId="6C82E282" w:rsidR="00A6023B" w:rsidRDefault="00BB219D"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098E720" wp14:editId="34E7AFD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412DC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A6023B">
      <w:tab/>
      <w:t>Federal Communications Commission</w:t>
    </w:r>
    <w:r w:rsidR="00A6023B">
      <w:tab/>
    </w:r>
    <w:r w:rsidR="000C5F6B">
      <w:rPr>
        <w:spacing w:val="-2"/>
      </w:rPr>
      <w:t>FCC 15-173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E54376F"/>
    <w:multiLevelType w:val="hybridMultilevel"/>
    <w:tmpl w:val="A6081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FC2178"/>
    <w:multiLevelType w:val="hybridMultilevel"/>
    <w:tmpl w:val="87C4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4627"/>
    <w:rsid w:val="00013FE6"/>
    <w:rsid w:val="000147FC"/>
    <w:rsid w:val="00020028"/>
    <w:rsid w:val="00021944"/>
    <w:rsid w:val="00026B46"/>
    <w:rsid w:val="000278A8"/>
    <w:rsid w:val="0003132E"/>
    <w:rsid w:val="00036039"/>
    <w:rsid w:val="00037F90"/>
    <w:rsid w:val="00042368"/>
    <w:rsid w:val="0004256A"/>
    <w:rsid w:val="00043FA9"/>
    <w:rsid w:val="0004720D"/>
    <w:rsid w:val="00047B27"/>
    <w:rsid w:val="00051CF6"/>
    <w:rsid w:val="0005384E"/>
    <w:rsid w:val="000568E4"/>
    <w:rsid w:val="0005769E"/>
    <w:rsid w:val="00063155"/>
    <w:rsid w:val="0006355B"/>
    <w:rsid w:val="00064221"/>
    <w:rsid w:val="00065740"/>
    <w:rsid w:val="00071605"/>
    <w:rsid w:val="000818F5"/>
    <w:rsid w:val="0008232F"/>
    <w:rsid w:val="0008567C"/>
    <w:rsid w:val="000875BF"/>
    <w:rsid w:val="00092D4E"/>
    <w:rsid w:val="00096D8C"/>
    <w:rsid w:val="00096E89"/>
    <w:rsid w:val="000973C6"/>
    <w:rsid w:val="000A6592"/>
    <w:rsid w:val="000A75E4"/>
    <w:rsid w:val="000A7E0E"/>
    <w:rsid w:val="000B11FD"/>
    <w:rsid w:val="000B4FD6"/>
    <w:rsid w:val="000B7FE6"/>
    <w:rsid w:val="000C0B65"/>
    <w:rsid w:val="000C1DFC"/>
    <w:rsid w:val="000C2EAE"/>
    <w:rsid w:val="000C347D"/>
    <w:rsid w:val="000C3EE2"/>
    <w:rsid w:val="000C5F6B"/>
    <w:rsid w:val="000D5859"/>
    <w:rsid w:val="000D5F6D"/>
    <w:rsid w:val="000E05FE"/>
    <w:rsid w:val="000E23F3"/>
    <w:rsid w:val="000E332A"/>
    <w:rsid w:val="000E3D42"/>
    <w:rsid w:val="000E767C"/>
    <w:rsid w:val="000F160E"/>
    <w:rsid w:val="000F2018"/>
    <w:rsid w:val="000F606B"/>
    <w:rsid w:val="000F6D0B"/>
    <w:rsid w:val="000F7266"/>
    <w:rsid w:val="000F79E3"/>
    <w:rsid w:val="00101B90"/>
    <w:rsid w:val="00105035"/>
    <w:rsid w:val="001077BC"/>
    <w:rsid w:val="001104CD"/>
    <w:rsid w:val="00111FFB"/>
    <w:rsid w:val="00112AA1"/>
    <w:rsid w:val="001146C7"/>
    <w:rsid w:val="0011470C"/>
    <w:rsid w:val="00121946"/>
    <w:rsid w:val="001221D6"/>
    <w:rsid w:val="00122521"/>
    <w:rsid w:val="00122BD5"/>
    <w:rsid w:val="001247E6"/>
    <w:rsid w:val="0012600F"/>
    <w:rsid w:val="00126055"/>
    <w:rsid w:val="001265F4"/>
    <w:rsid w:val="00126DF1"/>
    <w:rsid w:val="00133692"/>
    <w:rsid w:val="00133F79"/>
    <w:rsid w:val="00136432"/>
    <w:rsid w:val="00140F62"/>
    <w:rsid w:val="00143A82"/>
    <w:rsid w:val="00143AEB"/>
    <w:rsid w:val="001467E4"/>
    <w:rsid w:val="001509AA"/>
    <w:rsid w:val="00150A09"/>
    <w:rsid w:val="00150D4E"/>
    <w:rsid w:val="00152179"/>
    <w:rsid w:val="00152D4E"/>
    <w:rsid w:val="0015332D"/>
    <w:rsid w:val="0015385A"/>
    <w:rsid w:val="00156643"/>
    <w:rsid w:val="001601E3"/>
    <w:rsid w:val="00162EE6"/>
    <w:rsid w:val="00165D8F"/>
    <w:rsid w:val="00176503"/>
    <w:rsid w:val="00180A7C"/>
    <w:rsid w:val="0018134E"/>
    <w:rsid w:val="001836AD"/>
    <w:rsid w:val="001838C7"/>
    <w:rsid w:val="0018426A"/>
    <w:rsid w:val="00190790"/>
    <w:rsid w:val="001930B3"/>
    <w:rsid w:val="00194A66"/>
    <w:rsid w:val="001A031D"/>
    <w:rsid w:val="001A155D"/>
    <w:rsid w:val="001A33B6"/>
    <w:rsid w:val="001B0095"/>
    <w:rsid w:val="001B030D"/>
    <w:rsid w:val="001B2D4D"/>
    <w:rsid w:val="001B7443"/>
    <w:rsid w:val="001C1404"/>
    <w:rsid w:val="001D128D"/>
    <w:rsid w:val="001D2AA5"/>
    <w:rsid w:val="001D37F0"/>
    <w:rsid w:val="001D6BCF"/>
    <w:rsid w:val="001E01CA"/>
    <w:rsid w:val="001F129C"/>
    <w:rsid w:val="001F165D"/>
    <w:rsid w:val="001F2349"/>
    <w:rsid w:val="002004CB"/>
    <w:rsid w:val="00215795"/>
    <w:rsid w:val="002177C4"/>
    <w:rsid w:val="00217EF3"/>
    <w:rsid w:val="00222223"/>
    <w:rsid w:val="00227559"/>
    <w:rsid w:val="002279A8"/>
    <w:rsid w:val="00230BFA"/>
    <w:rsid w:val="00233335"/>
    <w:rsid w:val="002337C7"/>
    <w:rsid w:val="00234E3C"/>
    <w:rsid w:val="00237DC3"/>
    <w:rsid w:val="00244E64"/>
    <w:rsid w:val="002464BB"/>
    <w:rsid w:val="00246E00"/>
    <w:rsid w:val="002553A4"/>
    <w:rsid w:val="00257EAB"/>
    <w:rsid w:val="00263C81"/>
    <w:rsid w:val="002660B1"/>
    <w:rsid w:val="00267B6B"/>
    <w:rsid w:val="00271684"/>
    <w:rsid w:val="00272AAD"/>
    <w:rsid w:val="00272E20"/>
    <w:rsid w:val="00273D7B"/>
    <w:rsid w:val="00275982"/>
    <w:rsid w:val="00275CF5"/>
    <w:rsid w:val="002761BF"/>
    <w:rsid w:val="0028301F"/>
    <w:rsid w:val="00283623"/>
    <w:rsid w:val="00285017"/>
    <w:rsid w:val="002931F5"/>
    <w:rsid w:val="0029377C"/>
    <w:rsid w:val="002942C9"/>
    <w:rsid w:val="0029623C"/>
    <w:rsid w:val="00297842"/>
    <w:rsid w:val="002A24F4"/>
    <w:rsid w:val="002A2D2E"/>
    <w:rsid w:val="002A3720"/>
    <w:rsid w:val="002A5C2A"/>
    <w:rsid w:val="002B2187"/>
    <w:rsid w:val="002B3087"/>
    <w:rsid w:val="002B4F05"/>
    <w:rsid w:val="002B500C"/>
    <w:rsid w:val="002B59B3"/>
    <w:rsid w:val="002B7506"/>
    <w:rsid w:val="002C00E8"/>
    <w:rsid w:val="002C2054"/>
    <w:rsid w:val="002C2E92"/>
    <w:rsid w:val="002D416B"/>
    <w:rsid w:val="002D7149"/>
    <w:rsid w:val="002E4020"/>
    <w:rsid w:val="002E5B30"/>
    <w:rsid w:val="002E62B8"/>
    <w:rsid w:val="002E7C64"/>
    <w:rsid w:val="002F4F84"/>
    <w:rsid w:val="002F7630"/>
    <w:rsid w:val="002F7CCC"/>
    <w:rsid w:val="00301064"/>
    <w:rsid w:val="00303AF6"/>
    <w:rsid w:val="003068FD"/>
    <w:rsid w:val="003072E4"/>
    <w:rsid w:val="003150CC"/>
    <w:rsid w:val="00316957"/>
    <w:rsid w:val="00322870"/>
    <w:rsid w:val="00327D8A"/>
    <w:rsid w:val="0033077E"/>
    <w:rsid w:val="00331915"/>
    <w:rsid w:val="00333BCF"/>
    <w:rsid w:val="003369DA"/>
    <w:rsid w:val="003424D1"/>
    <w:rsid w:val="003430C3"/>
    <w:rsid w:val="00343749"/>
    <w:rsid w:val="00344946"/>
    <w:rsid w:val="00344E2C"/>
    <w:rsid w:val="00350687"/>
    <w:rsid w:val="00351F45"/>
    <w:rsid w:val="0035403E"/>
    <w:rsid w:val="00355FE0"/>
    <w:rsid w:val="0036120D"/>
    <w:rsid w:val="003660ED"/>
    <w:rsid w:val="00372550"/>
    <w:rsid w:val="00376FAD"/>
    <w:rsid w:val="0038032C"/>
    <w:rsid w:val="00381CF9"/>
    <w:rsid w:val="003850AC"/>
    <w:rsid w:val="00385F26"/>
    <w:rsid w:val="00386279"/>
    <w:rsid w:val="003906B5"/>
    <w:rsid w:val="003955F3"/>
    <w:rsid w:val="00396FF9"/>
    <w:rsid w:val="003970C1"/>
    <w:rsid w:val="00397EE8"/>
    <w:rsid w:val="003A025F"/>
    <w:rsid w:val="003A0E9A"/>
    <w:rsid w:val="003A0EE8"/>
    <w:rsid w:val="003A37BA"/>
    <w:rsid w:val="003A53BF"/>
    <w:rsid w:val="003A6885"/>
    <w:rsid w:val="003B0550"/>
    <w:rsid w:val="003B40B7"/>
    <w:rsid w:val="003B686A"/>
    <w:rsid w:val="003B694F"/>
    <w:rsid w:val="003B70F9"/>
    <w:rsid w:val="003B7FF0"/>
    <w:rsid w:val="003C0EBD"/>
    <w:rsid w:val="003C1C5A"/>
    <w:rsid w:val="003C1DC8"/>
    <w:rsid w:val="003C25B4"/>
    <w:rsid w:val="003C71CB"/>
    <w:rsid w:val="003D07ED"/>
    <w:rsid w:val="003D4C77"/>
    <w:rsid w:val="003E0180"/>
    <w:rsid w:val="003E0FB8"/>
    <w:rsid w:val="003E52B0"/>
    <w:rsid w:val="003F171C"/>
    <w:rsid w:val="003F23BA"/>
    <w:rsid w:val="003F590B"/>
    <w:rsid w:val="003F6E2F"/>
    <w:rsid w:val="003F7A43"/>
    <w:rsid w:val="003F7CD6"/>
    <w:rsid w:val="00403D45"/>
    <w:rsid w:val="004061A9"/>
    <w:rsid w:val="00407836"/>
    <w:rsid w:val="004126D1"/>
    <w:rsid w:val="00412FC5"/>
    <w:rsid w:val="004139F7"/>
    <w:rsid w:val="0041553B"/>
    <w:rsid w:val="004158F3"/>
    <w:rsid w:val="00417E32"/>
    <w:rsid w:val="00420A4B"/>
    <w:rsid w:val="004213E8"/>
    <w:rsid w:val="00422276"/>
    <w:rsid w:val="004225E6"/>
    <w:rsid w:val="00422F9B"/>
    <w:rsid w:val="004242F1"/>
    <w:rsid w:val="00425C64"/>
    <w:rsid w:val="0043130E"/>
    <w:rsid w:val="00434442"/>
    <w:rsid w:val="004361B6"/>
    <w:rsid w:val="00445A00"/>
    <w:rsid w:val="00447988"/>
    <w:rsid w:val="004507FD"/>
    <w:rsid w:val="00451B0F"/>
    <w:rsid w:val="0046386C"/>
    <w:rsid w:val="00464761"/>
    <w:rsid w:val="00464DBA"/>
    <w:rsid w:val="00477055"/>
    <w:rsid w:val="004773B8"/>
    <w:rsid w:val="00483F09"/>
    <w:rsid w:val="00485A53"/>
    <w:rsid w:val="00495B16"/>
    <w:rsid w:val="004A0E12"/>
    <w:rsid w:val="004A2408"/>
    <w:rsid w:val="004A2BF6"/>
    <w:rsid w:val="004B1BEA"/>
    <w:rsid w:val="004B36AE"/>
    <w:rsid w:val="004B3CDC"/>
    <w:rsid w:val="004B73D9"/>
    <w:rsid w:val="004C0662"/>
    <w:rsid w:val="004C2EE3"/>
    <w:rsid w:val="004C6CCA"/>
    <w:rsid w:val="004E0258"/>
    <w:rsid w:val="004E4A22"/>
    <w:rsid w:val="004E7505"/>
    <w:rsid w:val="004F4029"/>
    <w:rsid w:val="004F531B"/>
    <w:rsid w:val="004F6A8F"/>
    <w:rsid w:val="005074DD"/>
    <w:rsid w:val="00511968"/>
    <w:rsid w:val="00513AB8"/>
    <w:rsid w:val="005153D9"/>
    <w:rsid w:val="005200A7"/>
    <w:rsid w:val="00523FDF"/>
    <w:rsid w:val="00526E66"/>
    <w:rsid w:val="00532CE5"/>
    <w:rsid w:val="00537B30"/>
    <w:rsid w:val="00541BC9"/>
    <w:rsid w:val="00544C5B"/>
    <w:rsid w:val="0054506A"/>
    <w:rsid w:val="00551966"/>
    <w:rsid w:val="00551B8F"/>
    <w:rsid w:val="005543B8"/>
    <w:rsid w:val="00554BC1"/>
    <w:rsid w:val="0055614C"/>
    <w:rsid w:val="005622F1"/>
    <w:rsid w:val="00564B15"/>
    <w:rsid w:val="00572F66"/>
    <w:rsid w:val="0057372F"/>
    <w:rsid w:val="00575C0A"/>
    <w:rsid w:val="00577B0D"/>
    <w:rsid w:val="00577DFA"/>
    <w:rsid w:val="0058539B"/>
    <w:rsid w:val="00586A4E"/>
    <w:rsid w:val="00587005"/>
    <w:rsid w:val="00593F73"/>
    <w:rsid w:val="00594A31"/>
    <w:rsid w:val="0059552D"/>
    <w:rsid w:val="0059702E"/>
    <w:rsid w:val="005A045E"/>
    <w:rsid w:val="005A1853"/>
    <w:rsid w:val="005A4825"/>
    <w:rsid w:val="005A5D6F"/>
    <w:rsid w:val="005A64BA"/>
    <w:rsid w:val="005B5E38"/>
    <w:rsid w:val="005B6901"/>
    <w:rsid w:val="005C519A"/>
    <w:rsid w:val="005C5D81"/>
    <w:rsid w:val="005D16C5"/>
    <w:rsid w:val="005D1BE4"/>
    <w:rsid w:val="005D3C84"/>
    <w:rsid w:val="005D55CA"/>
    <w:rsid w:val="005D5AF8"/>
    <w:rsid w:val="005D6175"/>
    <w:rsid w:val="005E14C2"/>
    <w:rsid w:val="005E3051"/>
    <w:rsid w:val="005F596A"/>
    <w:rsid w:val="005F7AA7"/>
    <w:rsid w:val="005F7C57"/>
    <w:rsid w:val="005F7C71"/>
    <w:rsid w:val="00602ADF"/>
    <w:rsid w:val="0060370F"/>
    <w:rsid w:val="006075EA"/>
    <w:rsid w:val="00607BA5"/>
    <w:rsid w:val="00610861"/>
    <w:rsid w:val="00610D29"/>
    <w:rsid w:val="00611361"/>
    <w:rsid w:val="0061180A"/>
    <w:rsid w:val="0061281D"/>
    <w:rsid w:val="00613F7E"/>
    <w:rsid w:val="0062442F"/>
    <w:rsid w:val="00624E64"/>
    <w:rsid w:val="00625AA5"/>
    <w:rsid w:val="006268FB"/>
    <w:rsid w:val="00626EB6"/>
    <w:rsid w:val="00627FD8"/>
    <w:rsid w:val="006306D3"/>
    <w:rsid w:val="00640FD9"/>
    <w:rsid w:val="006411F3"/>
    <w:rsid w:val="00645E4B"/>
    <w:rsid w:val="00645FA1"/>
    <w:rsid w:val="0064637B"/>
    <w:rsid w:val="00646604"/>
    <w:rsid w:val="006475B5"/>
    <w:rsid w:val="006478D0"/>
    <w:rsid w:val="00652C2C"/>
    <w:rsid w:val="00655D03"/>
    <w:rsid w:val="00656A48"/>
    <w:rsid w:val="006579A5"/>
    <w:rsid w:val="00657E16"/>
    <w:rsid w:val="00660C12"/>
    <w:rsid w:val="006617A2"/>
    <w:rsid w:val="006622F4"/>
    <w:rsid w:val="006662C9"/>
    <w:rsid w:val="006701D3"/>
    <w:rsid w:val="006715CB"/>
    <w:rsid w:val="00673E73"/>
    <w:rsid w:val="0067725F"/>
    <w:rsid w:val="00677BB7"/>
    <w:rsid w:val="00683388"/>
    <w:rsid w:val="00683F84"/>
    <w:rsid w:val="00684564"/>
    <w:rsid w:val="0068554B"/>
    <w:rsid w:val="006916DB"/>
    <w:rsid w:val="00692178"/>
    <w:rsid w:val="00694F55"/>
    <w:rsid w:val="006A1015"/>
    <w:rsid w:val="006A239B"/>
    <w:rsid w:val="006A3487"/>
    <w:rsid w:val="006A6A81"/>
    <w:rsid w:val="006A73AF"/>
    <w:rsid w:val="006B036C"/>
    <w:rsid w:val="006B18BE"/>
    <w:rsid w:val="006C16C8"/>
    <w:rsid w:val="006C3AB4"/>
    <w:rsid w:val="006C3B67"/>
    <w:rsid w:val="006C7CD8"/>
    <w:rsid w:val="006D219D"/>
    <w:rsid w:val="006D258F"/>
    <w:rsid w:val="006D4221"/>
    <w:rsid w:val="006D53E7"/>
    <w:rsid w:val="006E128B"/>
    <w:rsid w:val="006E2EB9"/>
    <w:rsid w:val="006E3811"/>
    <w:rsid w:val="006E4CEC"/>
    <w:rsid w:val="006E6A55"/>
    <w:rsid w:val="006F1E4E"/>
    <w:rsid w:val="006F5546"/>
    <w:rsid w:val="006F62AC"/>
    <w:rsid w:val="006F7393"/>
    <w:rsid w:val="006F7C9A"/>
    <w:rsid w:val="0070224F"/>
    <w:rsid w:val="00706187"/>
    <w:rsid w:val="00707846"/>
    <w:rsid w:val="00711506"/>
    <w:rsid w:val="007115F7"/>
    <w:rsid w:val="00713075"/>
    <w:rsid w:val="007223AE"/>
    <w:rsid w:val="0072259F"/>
    <w:rsid w:val="0072600C"/>
    <w:rsid w:val="00742EC6"/>
    <w:rsid w:val="00757291"/>
    <w:rsid w:val="0076447B"/>
    <w:rsid w:val="00766999"/>
    <w:rsid w:val="0077329E"/>
    <w:rsid w:val="007737FD"/>
    <w:rsid w:val="0077515D"/>
    <w:rsid w:val="00781921"/>
    <w:rsid w:val="00784B95"/>
    <w:rsid w:val="00785689"/>
    <w:rsid w:val="0078678B"/>
    <w:rsid w:val="00787CC1"/>
    <w:rsid w:val="007902A1"/>
    <w:rsid w:val="00794DDE"/>
    <w:rsid w:val="0079754B"/>
    <w:rsid w:val="00797ACB"/>
    <w:rsid w:val="007A0C56"/>
    <w:rsid w:val="007A1E6D"/>
    <w:rsid w:val="007A2EE4"/>
    <w:rsid w:val="007A505A"/>
    <w:rsid w:val="007A59A3"/>
    <w:rsid w:val="007A5E29"/>
    <w:rsid w:val="007A79B9"/>
    <w:rsid w:val="007B0EB2"/>
    <w:rsid w:val="007B12EE"/>
    <w:rsid w:val="007B1738"/>
    <w:rsid w:val="007B643F"/>
    <w:rsid w:val="007B7DF7"/>
    <w:rsid w:val="007C177D"/>
    <w:rsid w:val="007C1A90"/>
    <w:rsid w:val="007C2F57"/>
    <w:rsid w:val="007C3CA4"/>
    <w:rsid w:val="007C483C"/>
    <w:rsid w:val="007C50CD"/>
    <w:rsid w:val="007C5644"/>
    <w:rsid w:val="007C5C81"/>
    <w:rsid w:val="007C5D74"/>
    <w:rsid w:val="007C6664"/>
    <w:rsid w:val="007D0436"/>
    <w:rsid w:val="007D096E"/>
    <w:rsid w:val="007D33B8"/>
    <w:rsid w:val="007D5CEF"/>
    <w:rsid w:val="007D6AA8"/>
    <w:rsid w:val="007D6F42"/>
    <w:rsid w:val="007E0462"/>
    <w:rsid w:val="007F1F19"/>
    <w:rsid w:val="007F4A55"/>
    <w:rsid w:val="007F6AF4"/>
    <w:rsid w:val="007F6E24"/>
    <w:rsid w:val="00802274"/>
    <w:rsid w:val="00803C8C"/>
    <w:rsid w:val="00804AC8"/>
    <w:rsid w:val="00810B6F"/>
    <w:rsid w:val="0081206E"/>
    <w:rsid w:val="00820B36"/>
    <w:rsid w:val="00822886"/>
    <w:rsid w:val="00822CE0"/>
    <w:rsid w:val="0083138C"/>
    <w:rsid w:val="008320F3"/>
    <w:rsid w:val="00834C85"/>
    <w:rsid w:val="00834D04"/>
    <w:rsid w:val="008370FC"/>
    <w:rsid w:val="00837737"/>
    <w:rsid w:val="00841AB1"/>
    <w:rsid w:val="00843CED"/>
    <w:rsid w:val="008512C3"/>
    <w:rsid w:val="00856FE0"/>
    <w:rsid w:val="00860686"/>
    <w:rsid w:val="00863BE1"/>
    <w:rsid w:val="00867EA9"/>
    <w:rsid w:val="00876CC1"/>
    <w:rsid w:val="008809CA"/>
    <w:rsid w:val="008815F8"/>
    <w:rsid w:val="00885D95"/>
    <w:rsid w:val="00894362"/>
    <w:rsid w:val="00894FE4"/>
    <w:rsid w:val="00896001"/>
    <w:rsid w:val="008A0A2B"/>
    <w:rsid w:val="008A17FF"/>
    <w:rsid w:val="008A53C7"/>
    <w:rsid w:val="008A6BBF"/>
    <w:rsid w:val="008B0012"/>
    <w:rsid w:val="008B0406"/>
    <w:rsid w:val="008B16AC"/>
    <w:rsid w:val="008B624F"/>
    <w:rsid w:val="008C1EB3"/>
    <w:rsid w:val="008C2F98"/>
    <w:rsid w:val="008C34BF"/>
    <w:rsid w:val="008C54C4"/>
    <w:rsid w:val="008C68F1"/>
    <w:rsid w:val="008D14BC"/>
    <w:rsid w:val="008D39FE"/>
    <w:rsid w:val="008D5F1B"/>
    <w:rsid w:val="008D68DE"/>
    <w:rsid w:val="008D70CB"/>
    <w:rsid w:val="008D7C76"/>
    <w:rsid w:val="008E1CF8"/>
    <w:rsid w:val="008E32EF"/>
    <w:rsid w:val="008E37B1"/>
    <w:rsid w:val="008E6F62"/>
    <w:rsid w:val="008E7AB9"/>
    <w:rsid w:val="008F28C8"/>
    <w:rsid w:val="008F62CF"/>
    <w:rsid w:val="00901C05"/>
    <w:rsid w:val="009026CF"/>
    <w:rsid w:val="00902AFD"/>
    <w:rsid w:val="00903DCA"/>
    <w:rsid w:val="00907C74"/>
    <w:rsid w:val="009125F1"/>
    <w:rsid w:val="009140C9"/>
    <w:rsid w:val="009140EB"/>
    <w:rsid w:val="00917A08"/>
    <w:rsid w:val="00921803"/>
    <w:rsid w:val="00921929"/>
    <w:rsid w:val="00924B0A"/>
    <w:rsid w:val="00924B35"/>
    <w:rsid w:val="009253D8"/>
    <w:rsid w:val="00926503"/>
    <w:rsid w:val="0093387F"/>
    <w:rsid w:val="009412EA"/>
    <w:rsid w:val="00941689"/>
    <w:rsid w:val="0094248A"/>
    <w:rsid w:val="00944978"/>
    <w:rsid w:val="00946476"/>
    <w:rsid w:val="0094772F"/>
    <w:rsid w:val="009522E2"/>
    <w:rsid w:val="009550B2"/>
    <w:rsid w:val="009668D0"/>
    <w:rsid w:val="009675A3"/>
    <w:rsid w:val="00967AEE"/>
    <w:rsid w:val="00970736"/>
    <w:rsid w:val="009726D8"/>
    <w:rsid w:val="00972B9C"/>
    <w:rsid w:val="009734BA"/>
    <w:rsid w:val="00974871"/>
    <w:rsid w:val="00980F4F"/>
    <w:rsid w:val="00984081"/>
    <w:rsid w:val="00986094"/>
    <w:rsid w:val="00990398"/>
    <w:rsid w:val="00991AA0"/>
    <w:rsid w:val="009928F3"/>
    <w:rsid w:val="00992B6E"/>
    <w:rsid w:val="009956B3"/>
    <w:rsid w:val="00995B3D"/>
    <w:rsid w:val="00996DA2"/>
    <w:rsid w:val="00997A8C"/>
    <w:rsid w:val="009A03BD"/>
    <w:rsid w:val="009A2F01"/>
    <w:rsid w:val="009B0FB4"/>
    <w:rsid w:val="009B12F6"/>
    <w:rsid w:val="009B4B4F"/>
    <w:rsid w:val="009B573D"/>
    <w:rsid w:val="009B5AF5"/>
    <w:rsid w:val="009C2243"/>
    <w:rsid w:val="009C3DA4"/>
    <w:rsid w:val="009C4951"/>
    <w:rsid w:val="009C5A9D"/>
    <w:rsid w:val="009C7846"/>
    <w:rsid w:val="009C7FAB"/>
    <w:rsid w:val="009D0650"/>
    <w:rsid w:val="009D134A"/>
    <w:rsid w:val="009D3168"/>
    <w:rsid w:val="009E2E4B"/>
    <w:rsid w:val="009E7722"/>
    <w:rsid w:val="009F00FB"/>
    <w:rsid w:val="009F12F7"/>
    <w:rsid w:val="009F63E7"/>
    <w:rsid w:val="009F76DB"/>
    <w:rsid w:val="009F7B81"/>
    <w:rsid w:val="00A004F7"/>
    <w:rsid w:val="00A00DF0"/>
    <w:rsid w:val="00A0207E"/>
    <w:rsid w:val="00A06D4B"/>
    <w:rsid w:val="00A11AF7"/>
    <w:rsid w:val="00A11F1C"/>
    <w:rsid w:val="00A138F8"/>
    <w:rsid w:val="00A165CF"/>
    <w:rsid w:val="00A1662F"/>
    <w:rsid w:val="00A16D6E"/>
    <w:rsid w:val="00A23C99"/>
    <w:rsid w:val="00A25592"/>
    <w:rsid w:val="00A26224"/>
    <w:rsid w:val="00A275E1"/>
    <w:rsid w:val="00A32C3B"/>
    <w:rsid w:val="00A358EB"/>
    <w:rsid w:val="00A36056"/>
    <w:rsid w:val="00A400D8"/>
    <w:rsid w:val="00A40F5A"/>
    <w:rsid w:val="00A45F4F"/>
    <w:rsid w:val="00A468A3"/>
    <w:rsid w:val="00A53779"/>
    <w:rsid w:val="00A55BA0"/>
    <w:rsid w:val="00A600A9"/>
    <w:rsid w:val="00A6023B"/>
    <w:rsid w:val="00A64F21"/>
    <w:rsid w:val="00A6739F"/>
    <w:rsid w:val="00A7297D"/>
    <w:rsid w:val="00A72B2B"/>
    <w:rsid w:val="00A73DEF"/>
    <w:rsid w:val="00A76BFB"/>
    <w:rsid w:val="00A77527"/>
    <w:rsid w:val="00A77BBF"/>
    <w:rsid w:val="00A86498"/>
    <w:rsid w:val="00A868CA"/>
    <w:rsid w:val="00A868DA"/>
    <w:rsid w:val="00A90342"/>
    <w:rsid w:val="00AA55B7"/>
    <w:rsid w:val="00AA5B9E"/>
    <w:rsid w:val="00AA68BC"/>
    <w:rsid w:val="00AB16FE"/>
    <w:rsid w:val="00AB2407"/>
    <w:rsid w:val="00AB53DF"/>
    <w:rsid w:val="00AC02C7"/>
    <w:rsid w:val="00AC1205"/>
    <w:rsid w:val="00AC214D"/>
    <w:rsid w:val="00AC2BE6"/>
    <w:rsid w:val="00AC4DC9"/>
    <w:rsid w:val="00AC71B6"/>
    <w:rsid w:val="00AD41B9"/>
    <w:rsid w:val="00AD7825"/>
    <w:rsid w:val="00AE2879"/>
    <w:rsid w:val="00AE324E"/>
    <w:rsid w:val="00AE3571"/>
    <w:rsid w:val="00AE42C3"/>
    <w:rsid w:val="00AE4839"/>
    <w:rsid w:val="00AE70C4"/>
    <w:rsid w:val="00AE7C50"/>
    <w:rsid w:val="00AF1865"/>
    <w:rsid w:val="00B0000C"/>
    <w:rsid w:val="00B07E5C"/>
    <w:rsid w:val="00B11B20"/>
    <w:rsid w:val="00B1211F"/>
    <w:rsid w:val="00B12C11"/>
    <w:rsid w:val="00B15C0A"/>
    <w:rsid w:val="00B21C0B"/>
    <w:rsid w:val="00B23711"/>
    <w:rsid w:val="00B23C41"/>
    <w:rsid w:val="00B2490B"/>
    <w:rsid w:val="00B272CA"/>
    <w:rsid w:val="00B30B37"/>
    <w:rsid w:val="00B31EF0"/>
    <w:rsid w:val="00B33D7A"/>
    <w:rsid w:val="00B42512"/>
    <w:rsid w:val="00B428C9"/>
    <w:rsid w:val="00B43817"/>
    <w:rsid w:val="00B43FF5"/>
    <w:rsid w:val="00B62BC3"/>
    <w:rsid w:val="00B76B26"/>
    <w:rsid w:val="00B77854"/>
    <w:rsid w:val="00B8043C"/>
    <w:rsid w:val="00B811F7"/>
    <w:rsid w:val="00B8253D"/>
    <w:rsid w:val="00B8372B"/>
    <w:rsid w:val="00B846CF"/>
    <w:rsid w:val="00B876F1"/>
    <w:rsid w:val="00B95306"/>
    <w:rsid w:val="00B97B91"/>
    <w:rsid w:val="00BA2F72"/>
    <w:rsid w:val="00BA3972"/>
    <w:rsid w:val="00BA4BB4"/>
    <w:rsid w:val="00BA5DC6"/>
    <w:rsid w:val="00BA6196"/>
    <w:rsid w:val="00BB19CA"/>
    <w:rsid w:val="00BB1D46"/>
    <w:rsid w:val="00BB1DE3"/>
    <w:rsid w:val="00BB219D"/>
    <w:rsid w:val="00BB383A"/>
    <w:rsid w:val="00BB7F89"/>
    <w:rsid w:val="00BC421A"/>
    <w:rsid w:val="00BC4BEA"/>
    <w:rsid w:val="00BC4E68"/>
    <w:rsid w:val="00BC4ED1"/>
    <w:rsid w:val="00BC6D8C"/>
    <w:rsid w:val="00BD002F"/>
    <w:rsid w:val="00BD1FC7"/>
    <w:rsid w:val="00BD2399"/>
    <w:rsid w:val="00BE1448"/>
    <w:rsid w:val="00BE6176"/>
    <w:rsid w:val="00BE7FF9"/>
    <w:rsid w:val="00BF0938"/>
    <w:rsid w:val="00BF59B2"/>
    <w:rsid w:val="00BF5BA5"/>
    <w:rsid w:val="00C03B0D"/>
    <w:rsid w:val="00C10C86"/>
    <w:rsid w:val="00C13D39"/>
    <w:rsid w:val="00C13F91"/>
    <w:rsid w:val="00C14CE3"/>
    <w:rsid w:val="00C152D1"/>
    <w:rsid w:val="00C16C0A"/>
    <w:rsid w:val="00C24A59"/>
    <w:rsid w:val="00C25329"/>
    <w:rsid w:val="00C322C5"/>
    <w:rsid w:val="00C3327E"/>
    <w:rsid w:val="00C34006"/>
    <w:rsid w:val="00C372E4"/>
    <w:rsid w:val="00C40B53"/>
    <w:rsid w:val="00C426B1"/>
    <w:rsid w:val="00C52CFD"/>
    <w:rsid w:val="00C53D4B"/>
    <w:rsid w:val="00C54A9B"/>
    <w:rsid w:val="00C54F31"/>
    <w:rsid w:val="00C642F4"/>
    <w:rsid w:val="00C66160"/>
    <w:rsid w:val="00C6701F"/>
    <w:rsid w:val="00C70C51"/>
    <w:rsid w:val="00C71E3E"/>
    <w:rsid w:val="00C721AC"/>
    <w:rsid w:val="00C753EA"/>
    <w:rsid w:val="00C7636D"/>
    <w:rsid w:val="00C8296E"/>
    <w:rsid w:val="00C90D6A"/>
    <w:rsid w:val="00C90E91"/>
    <w:rsid w:val="00C94FCD"/>
    <w:rsid w:val="00C96DDC"/>
    <w:rsid w:val="00CA1707"/>
    <w:rsid w:val="00CA247E"/>
    <w:rsid w:val="00CA5358"/>
    <w:rsid w:val="00CA6117"/>
    <w:rsid w:val="00CA626A"/>
    <w:rsid w:val="00CB0B37"/>
    <w:rsid w:val="00CB23A3"/>
    <w:rsid w:val="00CB2EED"/>
    <w:rsid w:val="00CB6F9F"/>
    <w:rsid w:val="00CB6FF9"/>
    <w:rsid w:val="00CC0479"/>
    <w:rsid w:val="00CC33CD"/>
    <w:rsid w:val="00CC4450"/>
    <w:rsid w:val="00CC72B6"/>
    <w:rsid w:val="00CC776B"/>
    <w:rsid w:val="00CC7CEC"/>
    <w:rsid w:val="00CD0825"/>
    <w:rsid w:val="00CD16B4"/>
    <w:rsid w:val="00CD4B5B"/>
    <w:rsid w:val="00CD5D76"/>
    <w:rsid w:val="00CD5DBD"/>
    <w:rsid w:val="00CE3D31"/>
    <w:rsid w:val="00CE54B5"/>
    <w:rsid w:val="00CE790E"/>
    <w:rsid w:val="00CF1842"/>
    <w:rsid w:val="00CF1F61"/>
    <w:rsid w:val="00CF332B"/>
    <w:rsid w:val="00CF5859"/>
    <w:rsid w:val="00D01578"/>
    <w:rsid w:val="00D0218D"/>
    <w:rsid w:val="00D075A7"/>
    <w:rsid w:val="00D12F18"/>
    <w:rsid w:val="00D1349D"/>
    <w:rsid w:val="00D13DF6"/>
    <w:rsid w:val="00D152B4"/>
    <w:rsid w:val="00D1761C"/>
    <w:rsid w:val="00D17C52"/>
    <w:rsid w:val="00D21293"/>
    <w:rsid w:val="00D21419"/>
    <w:rsid w:val="00D2290A"/>
    <w:rsid w:val="00D23E5A"/>
    <w:rsid w:val="00D2564F"/>
    <w:rsid w:val="00D25FB5"/>
    <w:rsid w:val="00D3115A"/>
    <w:rsid w:val="00D348E6"/>
    <w:rsid w:val="00D3517A"/>
    <w:rsid w:val="00D408ED"/>
    <w:rsid w:val="00D43451"/>
    <w:rsid w:val="00D434D4"/>
    <w:rsid w:val="00D44223"/>
    <w:rsid w:val="00D44D7E"/>
    <w:rsid w:val="00D471BA"/>
    <w:rsid w:val="00D536D1"/>
    <w:rsid w:val="00D600F8"/>
    <w:rsid w:val="00D6628F"/>
    <w:rsid w:val="00D671DC"/>
    <w:rsid w:val="00D702CB"/>
    <w:rsid w:val="00D73BBC"/>
    <w:rsid w:val="00D76B76"/>
    <w:rsid w:val="00D80252"/>
    <w:rsid w:val="00D8099D"/>
    <w:rsid w:val="00D82CC3"/>
    <w:rsid w:val="00D865F7"/>
    <w:rsid w:val="00D87EC0"/>
    <w:rsid w:val="00D91A48"/>
    <w:rsid w:val="00D927D1"/>
    <w:rsid w:val="00D9618C"/>
    <w:rsid w:val="00D96334"/>
    <w:rsid w:val="00D96459"/>
    <w:rsid w:val="00D96AC5"/>
    <w:rsid w:val="00D972AA"/>
    <w:rsid w:val="00D97770"/>
    <w:rsid w:val="00DA2529"/>
    <w:rsid w:val="00DA3CCC"/>
    <w:rsid w:val="00DB130A"/>
    <w:rsid w:val="00DB1DE4"/>
    <w:rsid w:val="00DB2EBB"/>
    <w:rsid w:val="00DB6A67"/>
    <w:rsid w:val="00DC10A1"/>
    <w:rsid w:val="00DC26FD"/>
    <w:rsid w:val="00DC493C"/>
    <w:rsid w:val="00DC5240"/>
    <w:rsid w:val="00DC655F"/>
    <w:rsid w:val="00DC7DD1"/>
    <w:rsid w:val="00DD0B59"/>
    <w:rsid w:val="00DD6605"/>
    <w:rsid w:val="00DD6B55"/>
    <w:rsid w:val="00DD7C11"/>
    <w:rsid w:val="00DD7EBD"/>
    <w:rsid w:val="00DE176A"/>
    <w:rsid w:val="00DE1C45"/>
    <w:rsid w:val="00DE4881"/>
    <w:rsid w:val="00DF3D11"/>
    <w:rsid w:val="00DF4924"/>
    <w:rsid w:val="00DF560F"/>
    <w:rsid w:val="00DF5D0E"/>
    <w:rsid w:val="00DF5DB8"/>
    <w:rsid w:val="00DF62B6"/>
    <w:rsid w:val="00E00599"/>
    <w:rsid w:val="00E006C4"/>
    <w:rsid w:val="00E02D18"/>
    <w:rsid w:val="00E03110"/>
    <w:rsid w:val="00E03E50"/>
    <w:rsid w:val="00E07225"/>
    <w:rsid w:val="00E1006D"/>
    <w:rsid w:val="00E112D3"/>
    <w:rsid w:val="00E1157A"/>
    <w:rsid w:val="00E12A56"/>
    <w:rsid w:val="00E16860"/>
    <w:rsid w:val="00E17A90"/>
    <w:rsid w:val="00E17D04"/>
    <w:rsid w:val="00E209F4"/>
    <w:rsid w:val="00E20EA7"/>
    <w:rsid w:val="00E215F7"/>
    <w:rsid w:val="00E25997"/>
    <w:rsid w:val="00E26667"/>
    <w:rsid w:val="00E34972"/>
    <w:rsid w:val="00E42AB2"/>
    <w:rsid w:val="00E52FFA"/>
    <w:rsid w:val="00E5409F"/>
    <w:rsid w:val="00E56408"/>
    <w:rsid w:val="00E567B6"/>
    <w:rsid w:val="00E56C9B"/>
    <w:rsid w:val="00E63C1D"/>
    <w:rsid w:val="00E63EB0"/>
    <w:rsid w:val="00E659D2"/>
    <w:rsid w:val="00E677F2"/>
    <w:rsid w:val="00E7248F"/>
    <w:rsid w:val="00E7351D"/>
    <w:rsid w:val="00E73F0B"/>
    <w:rsid w:val="00E749F7"/>
    <w:rsid w:val="00E74B4A"/>
    <w:rsid w:val="00E80AC7"/>
    <w:rsid w:val="00E81983"/>
    <w:rsid w:val="00E86A0C"/>
    <w:rsid w:val="00E91306"/>
    <w:rsid w:val="00E952AC"/>
    <w:rsid w:val="00EA2AEF"/>
    <w:rsid w:val="00EA7DF6"/>
    <w:rsid w:val="00EB2559"/>
    <w:rsid w:val="00EB5854"/>
    <w:rsid w:val="00EB5CF1"/>
    <w:rsid w:val="00EB6C05"/>
    <w:rsid w:val="00EC3BDB"/>
    <w:rsid w:val="00EC46EA"/>
    <w:rsid w:val="00EC5ACA"/>
    <w:rsid w:val="00ED0EA8"/>
    <w:rsid w:val="00ED18A1"/>
    <w:rsid w:val="00ED1ADE"/>
    <w:rsid w:val="00ED43D8"/>
    <w:rsid w:val="00ED4A3E"/>
    <w:rsid w:val="00EE04D3"/>
    <w:rsid w:val="00EE25EC"/>
    <w:rsid w:val="00EE4BBA"/>
    <w:rsid w:val="00EE6488"/>
    <w:rsid w:val="00EF07FC"/>
    <w:rsid w:val="00EF4CD9"/>
    <w:rsid w:val="00F01A11"/>
    <w:rsid w:val="00F021FA"/>
    <w:rsid w:val="00F025A8"/>
    <w:rsid w:val="00F0279B"/>
    <w:rsid w:val="00F07C95"/>
    <w:rsid w:val="00F07D0C"/>
    <w:rsid w:val="00F11C9A"/>
    <w:rsid w:val="00F11EBF"/>
    <w:rsid w:val="00F12EEA"/>
    <w:rsid w:val="00F222F8"/>
    <w:rsid w:val="00F22E45"/>
    <w:rsid w:val="00F31A75"/>
    <w:rsid w:val="00F344AB"/>
    <w:rsid w:val="00F347A3"/>
    <w:rsid w:val="00F355E2"/>
    <w:rsid w:val="00F35886"/>
    <w:rsid w:val="00F37962"/>
    <w:rsid w:val="00F44A03"/>
    <w:rsid w:val="00F5017B"/>
    <w:rsid w:val="00F508D2"/>
    <w:rsid w:val="00F524C3"/>
    <w:rsid w:val="00F5272A"/>
    <w:rsid w:val="00F62957"/>
    <w:rsid w:val="00F62E97"/>
    <w:rsid w:val="00F64209"/>
    <w:rsid w:val="00F65F9C"/>
    <w:rsid w:val="00F72C2C"/>
    <w:rsid w:val="00F80A27"/>
    <w:rsid w:val="00F81EEF"/>
    <w:rsid w:val="00F8440E"/>
    <w:rsid w:val="00F92117"/>
    <w:rsid w:val="00F93BF5"/>
    <w:rsid w:val="00F9551C"/>
    <w:rsid w:val="00F97BFD"/>
    <w:rsid w:val="00FA10EA"/>
    <w:rsid w:val="00FA3F4F"/>
    <w:rsid w:val="00FB0748"/>
    <w:rsid w:val="00FB0D8D"/>
    <w:rsid w:val="00FB207F"/>
    <w:rsid w:val="00FB3E5A"/>
    <w:rsid w:val="00FB460E"/>
    <w:rsid w:val="00FC06EA"/>
    <w:rsid w:val="00FC1667"/>
    <w:rsid w:val="00FC22E8"/>
    <w:rsid w:val="00FC37DA"/>
    <w:rsid w:val="00FC4037"/>
    <w:rsid w:val="00FC60C3"/>
    <w:rsid w:val="00FD229A"/>
    <w:rsid w:val="00FD3C05"/>
    <w:rsid w:val="00FD54A6"/>
    <w:rsid w:val="00FD6331"/>
    <w:rsid w:val="00FE46C2"/>
    <w:rsid w:val="00FF0A7E"/>
    <w:rsid w:val="00FF1E7C"/>
    <w:rsid w:val="00FF2A82"/>
    <w:rsid w:val="00FF366C"/>
    <w:rsid w:val="00FF5B9A"/>
    <w:rsid w:val="00FF6042"/>
    <w:rsid w:val="00FF6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E7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0D"/>
    <w:pPr>
      <w:widowControl w:val="0"/>
    </w:pPr>
    <w:rPr>
      <w:snapToGrid w:val="0"/>
      <w:kern w:val="28"/>
      <w:sz w:val="22"/>
    </w:rPr>
  </w:style>
  <w:style w:type="paragraph" w:styleId="Heading1">
    <w:name w:val="heading 1"/>
    <w:basedOn w:val="Normal"/>
    <w:next w:val="ParaNum"/>
    <w:qFormat/>
    <w:rsid w:val="00C03B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03B0D"/>
    <w:pPr>
      <w:keepNext/>
      <w:numPr>
        <w:ilvl w:val="1"/>
        <w:numId w:val="3"/>
      </w:numPr>
      <w:spacing w:after="120"/>
      <w:outlineLvl w:val="1"/>
    </w:pPr>
    <w:rPr>
      <w:b/>
    </w:rPr>
  </w:style>
  <w:style w:type="paragraph" w:styleId="Heading3">
    <w:name w:val="heading 3"/>
    <w:basedOn w:val="Normal"/>
    <w:next w:val="ParaNum"/>
    <w:qFormat/>
    <w:rsid w:val="00C03B0D"/>
    <w:pPr>
      <w:keepNext/>
      <w:numPr>
        <w:ilvl w:val="2"/>
        <w:numId w:val="3"/>
      </w:numPr>
      <w:tabs>
        <w:tab w:val="left" w:pos="2160"/>
      </w:tabs>
      <w:spacing w:after="120"/>
      <w:outlineLvl w:val="2"/>
    </w:pPr>
    <w:rPr>
      <w:b/>
    </w:rPr>
  </w:style>
  <w:style w:type="paragraph" w:styleId="Heading4">
    <w:name w:val="heading 4"/>
    <w:basedOn w:val="Normal"/>
    <w:next w:val="ParaNum"/>
    <w:qFormat/>
    <w:rsid w:val="00C03B0D"/>
    <w:pPr>
      <w:keepNext/>
      <w:numPr>
        <w:ilvl w:val="3"/>
        <w:numId w:val="3"/>
      </w:numPr>
      <w:tabs>
        <w:tab w:val="left" w:pos="2880"/>
      </w:tabs>
      <w:spacing w:after="120"/>
      <w:outlineLvl w:val="3"/>
    </w:pPr>
    <w:rPr>
      <w:b/>
    </w:rPr>
  </w:style>
  <w:style w:type="paragraph" w:styleId="Heading5">
    <w:name w:val="heading 5"/>
    <w:basedOn w:val="Normal"/>
    <w:next w:val="ParaNum"/>
    <w:qFormat/>
    <w:rsid w:val="00C03B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03B0D"/>
    <w:pPr>
      <w:numPr>
        <w:ilvl w:val="5"/>
        <w:numId w:val="3"/>
      </w:numPr>
      <w:tabs>
        <w:tab w:val="left" w:pos="4320"/>
      </w:tabs>
      <w:spacing w:after="120"/>
      <w:outlineLvl w:val="5"/>
    </w:pPr>
    <w:rPr>
      <w:b/>
    </w:rPr>
  </w:style>
  <w:style w:type="paragraph" w:styleId="Heading7">
    <w:name w:val="heading 7"/>
    <w:basedOn w:val="Normal"/>
    <w:next w:val="ParaNum"/>
    <w:qFormat/>
    <w:rsid w:val="00C03B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03B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03B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3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B0D"/>
  </w:style>
  <w:style w:type="paragraph" w:customStyle="1" w:styleId="ParaNum">
    <w:name w:val="ParaNum"/>
    <w:basedOn w:val="Normal"/>
    <w:link w:val="ParaNumChar"/>
    <w:rsid w:val="00C03B0D"/>
    <w:pPr>
      <w:numPr>
        <w:numId w:val="2"/>
      </w:numPr>
      <w:tabs>
        <w:tab w:val="clear" w:pos="1080"/>
        <w:tab w:val="num" w:pos="1440"/>
      </w:tabs>
      <w:spacing w:after="120"/>
    </w:pPr>
  </w:style>
  <w:style w:type="paragraph" w:styleId="EndnoteText">
    <w:name w:val="endnote text"/>
    <w:basedOn w:val="Normal"/>
    <w:semiHidden/>
    <w:rsid w:val="00C03B0D"/>
    <w:rPr>
      <w:sz w:val="20"/>
    </w:rPr>
  </w:style>
  <w:style w:type="character" w:styleId="EndnoteReference">
    <w:name w:val="endnote reference"/>
    <w:semiHidden/>
    <w:rsid w:val="00C03B0D"/>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C03B0D"/>
    <w:pPr>
      <w:spacing w:after="120"/>
    </w:pPr>
  </w:style>
  <w:style w:type="character" w:styleId="FootnoteReference">
    <w:name w:val="footnote reference"/>
    <w:aliases w:val="Style 12,(NECG) Footnote Reference,Appel note de bas de p,Style 124,o,fr,Style 3,Style 13"/>
    <w:rsid w:val="00C03B0D"/>
    <w:rPr>
      <w:rFonts w:ascii="Times New Roman" w:hAnsi="Times New Roman"/>
      <w:dstrike w:val="0"/>
      <w:color w:val="auto"/>
      <w:sz w:val="20"/>
      <w:vertAlign w:val="superscript"/>
    </w:rPr>
  </w:style>
  <w:style w:type="paragraph" w:styleId="TOC1">
    <w:name w:val="toc 1"/>
    <w:basedOn w:val="Normal"/>
    <w:next w:val="Normal"/>
    <w:semiHidden/>
    <w:rsid w:val="00C03B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03B0D"/>
    <w:pPr>
      <w:tabs>
        <w:tab w:val="left" w:pos="720"/>
        <w:tab w:val="right" w:leader="dot" w:pos="9360"/>
      </w:tabs>
      <w:suppressAutoHyphens/>
      <w:ind w:left="720" w:right="720" w:hanging="360"/>
    </w:pPr>
    <w:rPr>
      <w:noProof/>
    </w:rPr>
  </w:style>
  <w:style w:type="paragraph" w:styleId="TOC3">
    <w:name w:val="toc 3"/>
    <w:basedOn w:val="Normal"/>
    <w:next w:val="Normal"/>
    <w:semiHidden/>
    <w:rsid w:val="00C03B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03B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3B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3B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3B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3B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3B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3B0D"/>
    <w:pPr>
      <w:tabs>
        <w:tab w:val="right" w:pos="9360"/>
      </w:tabs>
      <w:suppressAutoHyphens/>
    </w:pPr>
  </w:style>
  <w:style w:type="character" w:customStyle="1" w:styleId="EquationCaption">
    <w:name w:val="_Equation Caption"/>
    <w:rsid w:val="00C03B0D"/>
  </w:style>
  <w:style w:type="paragraph" w:styleId="Header">
    <w:name w:val="header"/>
    <w:basedOn w:val="Normal"/>
    <w:autoRedefine/>
    <w:rsid w:val="00C03B0D"/>
    <w:pPr>
      <w:tabs>
        <w:tab w:val="center" w:pos="4680"/>
        <w:tab w:val="right" w:pos="9360"/>
      </w:tabs>
    </w:pPr>
    <w:rPr>
      <w:b/>
    </w:rPr>
  </w:style>
  <w:style w:type="paragraph" w:styleId="Footer">
    <w:name w:val="footer"/>
    <w:basedOn w:val="Normal"/>
    <w:rsid w:val="00C03B0D"/>
    <w:pPr>
      <w:tabs>
        <w:tab w:val="center" w:pos="4320"/>
        <w:tab w:val="right" w:pos="8640"/>
      </w:tabs>
    </w:pPr>
  </w:style>
  <w:style w:type="character" w:styleId="PageNumber">
    <w:name w:val="page number"/>
    <w:basedOn w:val="DefaultParagraphFont"/>
    <w:rsid w:val="00C03B0D"/>
  </w:style>
  <w:style w:type="paragraph" w:styleId="BlockText">
    <w:name w:val="Block Text"/>
    <w:basedOn w:val="Normal"/>
    <w:rsid w:val="00C03B0D"/>
    <w:pPr>
      <w:spacing w:after="240"/>
      <w:ind w:left="1440" w:right="1440"/>
    </w:pPr>
  </w:style>
  <w:style w:type="paragraph" w:customStyle="1" w:styleId="Paratitle">
    <w:name w:val="Para title"/>
    <w:basedOn w:val="Normal"/>
    <w:rsid w:val="00C03B0D"/>
    <w:pPr>
      <w:tabs>
        <w:tab w:val="center" w:pos="9270"/>
      </w:tabs>
      <w:spacing w:after="240"/>
    </w:pPr>
    <w:rPr>
      <w:spacing w:val="-2"/>
    </w:rPr>
  </w:style>
  <w:style w:type="paragraph" w:customStyle="1" w:styleId="Bullet">
    <w:name w:val="Bullet"/>
    <w:basedOn w:val="Normal"/>
    <w:rsid w:val="00C03B0D"/>
    <w:pPr>
      <w:tabs>
        <w:tab w:val="left" w:pos="2160"/>
      </w:tabs>
      <w:spacing w:after="220"/>
      <w:ind w:left="2160" w:hanging="720"/>
    </w:pPr>
  </w:style>
  <w:style w:type="paragraph" w:customStyle="1" w:styleId="TableFormat">
    <w:name w:val="TableFormat"/>
    <w:basedOn w:val="Bullet"/>
    <w:rsid w:val="00C03B0D"/>
    <w:pPr>
      <w:tabs>
        <w:tab w:val="clear" w:pos="2160"/>
        <w:tab w:val="left" w:pos="5040"/>
      </w:tabs>
      <w:ind w:left="5040" w:hanging="3600"/>
    </w:pPr>
  </w:style>
  <w:style w:type="paragraph" w:customStyle="1" w:styleId="TOCTitle">
    <w:name w:val="TOC Title"/>
    <w:basedOn w:val="Normal"/>
    <w:rsid w:val="00C03B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3B0D"/>
    <w:pPr>
      <w:jc w:val="center"/>
    </w:pPr>
    <w:rPr>
      <w:rFonts w:ascii="Times New Roman Bold" w:hAnsi="Times New Roman Bold"/>
      <w:b/>
      <w:bCs/>
      <w:caps/>
      <w:szCs w:val="22"/>
    </w:rPr>
  </w:style>
  <w:style w:type="character" w:styleId="Hyperlink">
    <w:name w:val="Hyperlink"/>
    <w:rsid w:val="00C03B0D"/>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character" w:styleId="CommentReference">
    <w:name w:val="annotation reference"/>
    <w:basedOn w:val="DefaultParagraphFont"/>
    <w:semiHidden/>
    <w:unhideWhenUsed/>
    <w:rsid w:val="002E5B30"/>
    <w:rPr>
      <w:sz w:val="16"/>
      <w:szCs w:val="16"/>
    </w:rPr>
  </w:style>
  <w:style w:type="paragraph" w:styleId="CommentText">
    <w:name w:val="annotation text"/>
    <w:basedOn w:val="Normal"/>
    <w:link w:val="CommentTextChar"/>
    <w:semiHidden/>
    <w:unhideWhenUsed/>
    <w:rsid w:val="002E5B30"/>
    <w:rPr>
      <w:sz w:val="20"/>
    </w:rPr>
  </w:style>
  <w:style w:type="character" w:customStyle="1" w:styleId="CommentTextChar">
    <w:name w:val="Comment Text Char"/>
    <w:basedOn w:val="DefaultParagraphFont"/>
    <w:link w:val="CommentText"/>
    <w:semiHidden/>
    <w:rsid w:val="002E5B30"/>
    <w:rPr>
      <w:snapToGrid w:val="0"/>
      <w:kern w:val="28"/>
    </w:rPr>
  </w:style>
  <w:style w:type="paragraph" w:styleId="CommentSubject">
    <w:name w:val="annotation subject"/>
    <w:basedOn w:val="CommentText"/>
    <w:next w:val="CommentText"/>
    <w:link w:val="CommentSubjectChar"/>
    <w:semiHidden/>
    <w:unhideWhenUsed/>
    <w:rsid w:val="002E5B30"/>
    <w:rPr>
      <w:b/>
      <w:bCs/>
    </w:rPr>
  </w:style>
  <w:style w:type="character" w:customStyle="1" w:styleId="CommentSubjectChar">
    <w:name w:val="Comment Subject Char"/>
    <w:basedOn w:val="CommentTextChar"/>
    <w:link w:val="CommentSubject"/>
    <w:semiHidden/>
    <w:rsid w:val="002E5B30"/>
    <w:rPr>
      <w:b/>
      <w:bCs/>
      <w:snapToGrid w:val="0"/>
      <w:kern w:val="28"/>
    </w:rPr>
  </w:style>
  <w:style w:type="paragraph" w:styleId="BalloonText">
    <w:name w:val="Balloon Text"/>
    <w:basedOn w:val="Normal"/>
    <w:link w:val="BalloonTextChar"/>
    <w:semiHidden/>
    <w:unhideWhenUsed/>
    <w:rsid w:val="002E5B30"/>
    <w:rPr>
      <w:rFonts w:ascii="Segoe UI" w:hAnsi="Segoe UI" w:cs="Segoe UI"/>
      <w:sz w:val="18"/>
      <w:szCs w:val="18"/>
    </w:rPr>
  </w:style>
  <w:style w:type="character" w:customStyle="1" w:styleId="BalloonTextChar">
    <w:name w:val="Balloon Text Char"/>
    <w:basedOn w:val="DefaultParagraphFont"/>
    <w:link w:val="BalloonText"/>
    <w:semiHidden/>
    <w:rsid w:val="002E5B30"/>
    <w:rPr>
      <w:rFonts w:ascii="Segoe UI" w:hAnsi="Segoe UI" w:cs="Segoe UI"/>
      <w:snapToGrid w:val="0"/>
      <w:kern w:val="28"/>
      <w:sz w:val="18"/>
      <w:szCs w:val="18"/>
    </w:rPr>
  </w:style>
  <w:style w:type="character" w:customStyle="1" w:styleId="apple-converted-space">
    <w:name w:val="apple-converted-space"/>
    <w:basedOn w:val="DefaultParagraphFont"/>
    <w:rsid w:val="00992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0D"/>
    <w:pPr>
      <w:widowControl w:val="0"/>
    </w:pPr>
    <w:rPr>
      <w:snapToGrid w:val="0"/>
      <w:kern w:val="28"/>
      <w:sz w:val="22"/>
    </w:rPr>
  </w:style>
  <w:style w:type="paragraph" w:styleId="Heading1">
    <w:name w:val="heading 1"/>
    <w:basedOn w:val="Normal"/>
    <w:next w:val="ParaNum"/>
    <w:qFormat/>
    <w:rsid w:val="00C03B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03B0D"/>
    <w:pPr>
      <w:keepNext/>
      <w:numPr>
        <w:ilvl w:val="1"/>
        <w:numId w:val="3"/>
      </w:numPr>
      <w:spacing w:after="120"/>
      <w:outlineLvl w:val="1"/>
    </w:pPr>
    <w:rPr>
      <w:b/>
    </w:rPr>
  </w:style>
  <w:style w:type="paragraph" w:styleId="Heading3">
    <w:name w:val="heading 3"/>
    <w:basedOn w:val="Normal"/>
    <w:next w:val="ParaNum"/>
    <w:qFormat/>
    <w:rsid w:val="00C03B0D"/>
    <w:pPr>
      <w:keepNext/>
      <w:numPr>
        <w:ilvl w:val="2"/>
        <w:numId w:val="3"/>
      </w:numPr>
      <w:tabs>
        <w:tab w:val="left" w:pos="2160"/>
      </w:tabs>
      <w:spacing w:after="120"/>
      <w:outlineLvl w:val="2"/>
    </w:pPr>
    <w:rPr>
      <w:b/>
    </w:rPr>
  </w:style>
  <w:style w:type="paragraph" w:styleId="Heading4">
    <w:name w:val="heading 4"/>
    <w:basedOn w:val="Normal"/>
    <w:next w:val="ParaNum"/>
    <w:qFormat/>
    <w:rsid w:val="00C03B0D"/>
    <w:pPr>
      <w:keepNext/>
      <w:numPr>
        <w:ilvl w:val="3"/>
        <w:numId w:val="3"/>
      </w:numPr>
      <w:tabs>
        <w:tab w:val="left" w:pos="2880"/>
      </w:tabs>
      <w:spacing w:after="120"/>
      <w:outlineLvl w:val="3"/>
    </w:pPr>
    <w:rPr>
      <w:b/>
    </w:rPr>
  </w:style>
  <w:style w:type="paragraph" w:styleId="Heading5">
    <w:name w:val="heading 5"/>
    <w:basedOn w:val="Normal"/>
    <w:next w:val="ParaNum"/>
    <w:qFormat/>
    <w:rsid w:val="00C03B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03B0D"/>
    <w:pPr>
      <w:numPr>
        <w:ilvl w:val="5"/>
        <w:numId w:val="3"/>
      </w:numPr>
      <w:tabs>
        <w:tab w:val="left" w:pos="4320"/>
      </w:tabs>
      <w:spacing w:after="120"/>
      <w:outlineLvl w:val="5"/>
    </w:pPr>
    <w:rPr>
      <w:b/>
    </w:rPr>
  </w:style>
  <w:style w:type="paragraph" w:styleId="Heading7">
    <w:name w:val="heading 7"/>
    <w:basedOn w:val="Normal"/>
    <w:next w:val="ParaNum"/>
    <w:qFormat/>
    <w:rsid w:val="00C03B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03B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03B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3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B0D"/>
  </w:style>
  <w:style w:type="paragraph" w:customStyle="1" w:styleId="ParaNum">
    <w:name w:val="ParaNum"/>
    <w:basedOn w:val="Normal"/>
    <w:link w:val="ParaNumChar"/>
    <w:rsid w:val="00C03B0D"/>
    <w:pPr>
      <w:numPr>
        <w:numId w:val="2"/>
      </w:numPr>
      <w:tabs>
        <w:tab w:val="clear" w:pos="1080"/>
        <w:tab w:val="num" w:pos="1440"/>
      </w:tabs>
      <w:spacing w:after="120"/>
    </w:pPr>
  </w:style>
  <w:style w:type="paragraph" w:styleId="EndnoteText">
    <w:name w:val="endnote text"/>
    <w:basedOn w:val="Normal"/>
    <w:semiHidden/>
    <w:rsid w:val="00C03B0D"/>
    <w:rPr>
      <w:sz w:val="20"/>
    </w:rPr>
  </w:style>
  <w:style w:type="character" w:styleId="EndnoteReference">
    <w:name w:val="endnote reference"/>
    <w:semiHidden/>
    <w:rsid w:val="00C03B0D"/>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C03B0D"/>
    <w:pPr>
      <w:spacing w:after="120"/>
    </w:pPr>
  </w:style>
  <w:style w:type="character" w:styleId="FootnoteReference">
    <w:name w:val="footnote reference"/>
    <w:aliases w:val="Style 12,(NECG) Footnote Reference,Appel note de bas de p,Style 124,o,fr,Style 3,Style 13"/>
    <w:rsid w:val="00C03B0D"/>
    <w:rPr>
      <w:rFonts w:ascii="Times New Roman" w:hAnsi="Times New Roman"/>
      <w:dstrike w:val="0"/>
      <w:color w:val="auto"/>
      <w:sz w:val="20"/>
      <w:vertAlign w:val="superscript"/>
    </w:rPr>
  </w:style>
  <w:style w:type="paragraph" w:styleId="TOC1">
    <w:name w:val="toc 1"/>
    <w:basedOn w:val="Normal"/>
    <w:next w:val="Normal"/>
    <w:semiHidden/>
    <w:rsid w:val="00C03B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03B0D"/>
    <w:pPr>
      <w:tabs>
        <w:tab w:val="left" w:pos="720"/>
        <w:tab w:val="right" w:leader="dot" w:pos="9360"/>
      </w:tabs>
      <w:suppressAutoHyphens/>
      <w:ind w:left="720" w:right="720" w:hanging="360"/>
    </w:pPr>
    <w:rPr>
      <w:noProof/>
    </w:rPr>
  </w:style>
  <w:style w:type="paragraph" w:styleId="TOC3">
    <w:name w:val="toc 3"/>
    <w:basedOn w:val="Normal"/>
    <w:next w:val="Normal"/>
    <w:semiHidden/>
    <w:rsid w:val="00C03B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03B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3B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3B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3B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3B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3B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3B0D"/>
    <w:pPr>
      <w:tabs>
        <w:tab w:val="right" w:pos="9360"/>
      </w:tabs>
      <w:suppressAutoHyphens/>
    </w:pPr>
  </w:style>
  <w:style w:type="character" w:customStyle="1" w:styleId="EquationCaption">
    <w:name w:val="_Equation Caption"/>
    <w:rsid w:val="00C03B0D"/>
  </w:style>
  <w:style w:type="paragraph" w:styleId="Header">
    <w:name w:val="header"/>
    <w:basedOn w:val="Normal"/>
    <w:autoRedefine/>
    <w:rsid w:val="00C03B0D"/>
    <w:pPr>
      <w:tabs>
        <w:tab w:val="center" w:pos="4680"/>
        <w:tab w:val="right" w:pos="9360"/>
      </w:tabs>
    </w:pPr>
    <w:rPr>
      <w:b/>
    </w:rPr>
  </w:style>
  <w:style w:type="paragraph" w:styleId="Footer">
    <w:name w:val="footer"/>
    <w:basedOn w:val="Normal"/>
    <w:rsid w:val="00C03B0D"/>
    <w:pPr>
      <w:tabs>
        <w:tab w:val="center" w:pos="4320"/>
        <w:tab w:val="right" w:pos="8640"/>
      </w:tabs>
    </w:pPr>
  </w:style>
  <w:style w:type="character" w:styleId="PageNumber">
    <w:name w:val="page number"/>
    <w:basedOn w:val="DefaultParagraphFont"/>
    <w:rsid w:val="00C03B0D"/>
  </w:style>
  <w:style w:type="paragraph" w:styleId="BlockText">
    <w:name w:val="Block Text"/>
    <w:basedOn w:val="Normal"/>
    <w:rsid w:val="00C03B0D"/>
    <w:pPr>
      <w:spacing w:after="240"/>
      <w:ind w:left="1440" w:right="1440"/>
    </w:pPr>
  </w:style>
  <w:style w:type="paragraph" w:customStyle="1" w:styleId="Paratitle">
    <w:name w:val="Para title"/>
    <w:basedOn w:val="Normal"/>
    <w:rsid w:val="00C03B0D"/>
    <w:pPr>
      <w:tabs>
        <w:tab w:val="center" w:pos="9270"/>
      </w:tabs>
      <w:spacing w:after="240"/>
    </w:pPr>
    <w:rPr>
      <w:spacing w:val="-2"/>
    </w:rPr>
  </w:style>
  <w:style w:type="paragraph" w:customStyle="1" w:styleId="Bullet">
    <w:name w:val="Bullet"/>
    <w:basedOn w:val="Normal"/>
    <w:rsid w:val="00C03B0D"/>
    <w:pPr>
      <w:tabs>
        <w:tab w:val="left" w:pos="2160"/>
      </w:tabs>
      <w:spacing w:after="220"/>
      <w:ind w:left="2160" w:hanging="720"/>
    </w:pPr>
  </w:style>
  <w:style w:type="paragraph" w:customStyle="1" w:styleId="TableFormat">
    <w:name w:val="TableFormat"/>
    <w:basedOn w:val="Bullet"/>
    <w:rsid w:val="00C03B0D"/>
    <w:pPr>
      <w:tabs>
        <w:tab w:val="clear" w:pos="2160"/>
        <w:tab w:val="left" w:pos="5040"/>
      </w:tabs>
      <w:ind w:left="5040" w:hanging="3600"/>
    </w:pPr>
  </w:style>
  <w:style w:type="paragraph" w:customStyle="1" w:styleId="TOCTitle">
    <w:name w:val="TOC Title"/>
    <w:basedOn w:val="Normal"/>
    <w:rsid w:val="00C03B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3B0D"/>
    <w:pPr>
      <w:jc w:val="center"/>
    </w:pPr>
    <w:rPr>
      <w:rFonts w:ascii="Times New Roman Bold" w:hAnsi="Times New Roman Bold"/>
      <w:b/>
      <w:bCs/>
      <w:caps/>
      <w:szCs w:val="22"/>
    </w:rPr>
  </w:style>
  <w:style w:type="character" w:styleId="Hyperlink">
    <w:name w:val="Hyperlink"/>
    <w:rsid w:val="00C03B0D"/>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character" w:styleId="CommentReference">
    <w:name w:val="annotation reference"/>
    <w:basedOn w:val="DefaultParagraphFont"/>
    <w:semiHidden/>
    <w:unhideWhenUsed/>
    <w:rsid w:val="002E5B30"/>
    <w:rPr>
      <w:sz w:val="16"/>
      <w:szCs w:val="16"/>
    </w:rPr>
  </w:style>
  <w:style w:type="paragraph" w:styleId="CommentText">
    <w:name w:val="annotation text"/>
    <w:basedOn w:val="Normal"/>
    <w:link w:val="CommentTextChar"/>
    <w:semiHidden/>
    <w:unhideWhenUsed/>
    <w:rsid w:val="002E5B30"/>
    <w:rPr>
      <w:sz w:val="20"/>
    </w:rPr>
  </w:style>
  <w:style w:type="character" w:customStyle="1" w:styleId="CommentTextChar">
    <w:name w:val="Comment Text Char"/>
    <w:basedOn w:val="DefaultParagraphFont"/>
    <w:link w:val="CommentText"/>
    <w:semiHidden/>
    <w:rsid w:val="002E5B30"/>
    <w:rPr>
      <w:snapToGrid w:val="0"/>
      <w:kern w:val="28"/>
    </w:rPr>
  </w:style>
  <w:style w:type="paragraph" w:styleId="CommentSubject">
    <w:name w:val="annotation subject"/>
    <w:basedOn w:val="CommentText"/>
    <w:next w:val="CommentText"/>
    <w:link w:val="CommentSubjectChar"/>
    <w:semiHidden/>
    <w:unhideWhenUsed/>
    <w:rsid w:val="002E5B30"/>
    <w:rPr>
      <w:b/>
      <w:bCs/>
    </w:rPr>
  </w:style>
  <w:style w:type="character" w:customStyle="1" w:styleId="CommentSubjectChar">
    <w:name w:val="Comment Subject Char"/>
    <w:basedOn w:val="CommentTextChar"/>
    <w:link w:val="CommentSubject"/>
    <w:semiHidden/>
    <w:rsid w:val="002E5B30"/>
    <w:rPr>
      <w:b/>
      <w:bCs/>
      <w:snapToGrid w:val="0"/>
      <w:kern w:val="28"/>
    </w:rPr>
  </w:style>
  <w:style w:type="paragraph" w:styleId="BalloonText">
    <w:name w:val="Balloon Text"/>
    <w:basedOn w:val="Normal"/>
    <w:link w:val="BalloonTextChar"/>
    <w:semiHidden/>
    <w:unhideWhenUsed/>
    <w:rsid w:val="002E5B30"/>
    <w:rPr>
      <w:rFonts w:ascii="Segoe UI" w:hAnsi="Segoe UI" w:cs="Segoe UI"/>
      <w:sz w:val="18"/>
      <w:szCs w:val="18"/>
    </w:rPr>
  </w:style>
  <w:style w:type="character" w:customStyle="1" w:styleId="BalloonTextChar">
    <w:name w:val="Balloon Text Char"/>
    <w:basedOn w:val="DefaultParagraphFont"/>
    <w:link w:val="BalloonText"/>
    <w:semiHidden/>
    <w:rsid w:val="002E5B30"/>
    <w:rPr>
      <w:rFonts w:ascii="Segoe UI" w:hAnsi="Segoe UI" w:cs="Segoe UI"/>
      <w:snapToGrid w:val="0"/>
      <w:kern w:val="28"/>
      <w:sz w:val="18"/>
      <w:szCs w:val="18"/>
    </w:rPr>
  </w:style>
  <w:style w:type="character" w:customStyle="1" w:styleId="apple-converted-space">
    <w:name w:val="apple-converted-space"/>
    <w:basedOn w:val="DefaultParagraphFont"/>
    <w:rsid w:val="0099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238">
      <w:bodyDiv w:val="1"/>
      <w:marLeft w:val="0"/>
      <w:marRight w:val="0"/>
      <w:marTop w:val="0"/>
      <w:marBottom w:val="0"/>
      <w:divBdr>
        <w:top w:val="none" w:sz="0" w:space="0" w:color="auto"/>
        <w:left w:val="none" w:sz="0" w:space="0" w:color="auto"/>
        <w:bottom w:val="none" w:sz="0" w:space="0" w:color="auto"/>
        <w:right w:val="none" w:sz="0" w:space="0" w:color="auto"/>
      </w:divBdr>
    </w:div>
    <w:div w:id="563371863">
      <w:bodyDiv w:val="1"/>
      <w:marLeft w:val="0"/>
      <w:marRight w:val="0"/>
      <w:marTop w:val="0"/>
      <w:marBottom w:val="0"/>
      <w:divBdr>
        <w:top w:val="none" w:sz="0" w:space="0" w:color="auto"/>
        <w:left w:val="none" w:sz="0" w:space="0" w:color="auto"/>
        <w:bottom w:val="none" w:sz="0" w:space="0" w:color="auto"/>
        <w:right w:val="none" w:sz="0" w:space="0" w:color="auto"/>
      </w:divBdr>
    </w:div>
    <w:div w:id="1085108473">
      <w:bodyDiv w:val="1"/>
      <w:marLeft w:val="0"/>
      <w:marRight w:val="0"/>
      <w:marTop w:val="0"/>
      <w:marBottom w:val="0"/>
      <w:divBdr>
        <w:top w:val="none" w:sz="0" w:space="0" w:color="auto"/>
        <w:left w:val="none" w:sz="0" w:space="0" w:color="auto"/>
        <w:bottom w:val="none" w:sz="0" w:space="0" w:color="auto"/>
        <w:right w:val="none" w:sz="0" w:space="0" w:color="auto"/>
      </w:divBdr>
    </w:div>
    <w:div w:id="1555576740">
      <w:bodyDiv w:val="1"/>
      <w:marLeft w:val="0"/>
      <w:marRight w:val="0"/>
      <w:marTop w:val="0"/>
      <w:marBottom w:val="0"/>
      <w:divBdr>
        <w:top w:val="none" w:sz="0" w:space="0" w:color="auto"/>
        <w:left w:val="none" w:sz="0" w:space="0" w:color="auto"/>
        <w:bottom w:val="none" w:sz="0" w:space="0" w:color="auto"/>
        <w:right w:val="none" w:sz="0" w:space="0" w:color="auto"/>
      </w:divBdr>
    </w:div>
    <w:div w:id="15928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next.westlaw.com/Link/Document/FullText?findType=Y&amp;pubNum=1016&amp;cite=12FCC342&amp;originatingDoc=I4678aba32c2f11dbb0d3b726c66cf290&amp;refType=CA&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920</Words>
  <Characters>5012</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2015-12-17T18:11:00Z</dcterms:created>
  <dcterms:modified xsi:type="dcterms:W3CDTF">2015-12-17T18:11:00Z</dcterms:modified>
  <cp:category> </cp:category>
  <cp:contentStatus> </cp:contentStatus>
</cp:coreProperties>
</file>