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15CA9" w14:textId="77777777" w:rsidR="00843FDA" w:rsidRDefault="00843FDA" w:rsidP="008B0DEB">
      <w:pPr>
        <w:widowControl/>
        <w:jc w:val="center"/>
        <w:rPr>
          <w:b/>
          <w:szCs w:val="22"/>
        </w:rPr>
      </w:pPr>
      <w:bookmarkStart w:id="0" w:name="_GoBack"/>
      <w:bookmarkEnd w:id="0"/>
      <w:r>
        <w:rPr>
          <w:b/>
          <w:kern w:val="0"/>
          <w:szCs w:val="22"/>
        </w:rPr>
        <w:t>Before</w:t>
      </w:r>
      <w:r>
        <w:rPr>
          <w:b/>
          <w:szCs w:val="22"/>
        </w:rPr>
        <w:t xml:space="preserve"> the</w:t>
      </w:r>
    </w:p>
    <w:p w14:paraId="4CBC99AF" w14:textId="77777777" w:rsidR="00843FDA" w:rsidRDefault="00843FDA" w:rsidP="008B0DEB">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14:paraId="7A60A3B1" w14:textId="77777777" w:rsidR="00843FDA" w:rsidRDefault="00843FDA" w:rsidP="008B0DEB">
      <w:pPr>
        <w:widowControl/>
        <w:jc w:val="center"/>
        <w:rPr>
          <w:b/>
          <w:szCs w:val="22"/>
        </w:rPr>
      </w:pPr>
      <w:smartTag w:uri="urn:schemas-microsoft-com:office:smarttags" w:element="City">
        <w:smartTag w:uri="urn:schemas-microsoft-com:office:smarttags" w:element="place">
          <w:smartTag w:uri="urn:schemas-microsoft-com:office:smarttags" w:element="City">
            <w:r>
              <w:rPr>
                <w:b/>
                <w:szCs w:val="22"/>
              </w:rPr>
              <w:t>Washington</w:t>
            </w:r>
          </w:smartTag>
          <w:smartTag w:uri="urn:schemas-microsoft-com:office:smarttags" w:element="PersonName"/>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ostalCode">
            <w:r>
              <w:rPr>
                <w:b/>
                <w:szCs w:val="22"/>
              </w:rPr>
              <w:t>20554</w:t>
            </w:r>
          </w:smartTag>
        </w:smartTag>
      </w:smartTag>
    </w:p>
    <w:p w14:paraId="6874A453" w14:textId="77777777" w:rsidR="00843FDA" w:rsidRDefault="00843FDA" w:rsidP="008B0DEB">
      <w:pPr>
        <w:widowControl/>
        <w:rPr>
          <w:szCs w:val="22"/>
        </w:rPr>
      </w:pPr>
    </w:p>
    <w:tbl>
      <w:tblPr>
        <w:tblW w:w="0" w:type="auto"/>
        <w:tblLayout w:type="fixed"/>
        <w:tblLook w:val="0000" w:firstRow="0" w:lastRow="0" w:firstColumn="0" w:lastColumn="0" w:noHBand="0" w:noVBand="0"/>
      </w:tblPr>
      <w:tblGrid>
        <w:gridCol w:w="4698"/>
        <w:gridCol w:w="270"/>
        <w:gridCol w:w="4608"/>
      </w:tblGrid>
      <w:tr w:rsidR="00843FDA" w14:paraId="3DF78C34" w14:textId="77777777">
        <w:tc>
          <w:tcPr>
            <w:tcW w:w="4698" w:type="dxa"/>
          </w:tcPr>
          <w:p w14:paraId="5DD0FB10" w14:textId="77777777" w:rsidR="00843FDA" w:rsidRDefault="00843FDA" w:rsidP="008B0DEB">
            <w:pPr>
              <w:widowControl/>
              <w:tabs>
                <w:tab w:val="center" w:pos="4680"/>
              </w:tabs>
              <w:suppressAutoHyphens/>
              <w:rPr>
                <w:spacing w:val="-2"/>
                <w:szCs w:val="22"/>
              </w:rPr>
            </w:pPr>
            <w:r>
              <w:rPr>
                <w:spacing w:val="-2"/>
                <w:szCs w:val="22"/>
              </w:rPr>
              <w:t xml:space="preserve">In the Matter of </w:t>
            </w:r>
          </w:p>
          <w:p w14:paraId="353C78C5" w14:textId="77777777" w:rsidR="00843FDA" w:rsidRDefault="00843FDA" w:rsidP="008B0DEB">
            <w:pPr>
              <w:widowControl/>
              <w:tabs>
                <w:tab w:val="center" w:pos="4680"/>
              </w:tabs>
              <w:suppressAutoHyphens/>
              <w:rPr>
                <w:spacing w:val="-2"/>
                <w:szCs w:val="22"/>
              </w:rPr>
            </w:pPr>
          </w:p>
          <w:p w14:paraId="6BF1DCE1" w14:textId="2D2671A7" w:rsidR="00843FDA" w:rsidRDefault="00843FDA" w:rsidP="008B0DEB">
            <w:pPr>
              <w:widowControl/>
              <w:autoSpaceDE w:val="0"/>
              <w:autoSpaceDN w:val="0"/>
              <w:adjustRightInd w:val="0"/>
              <w:rPr>
                <w:szCs w:val="22"/>
              </w:rPr>
            </w:pPr>
            <w:r>
              <w:rPr>
                <w:szCs w:val="22"/>
              </w:rPr>
              <w:t>Creation of Interstitial 12.5 kHz Channels in the 800 MHz Band Between 809-</w:t>
            </w:r>
            <w:r w:rsidR="00FE62C8">
              <w:rPr>
                <w:szCs w:val="22"/>
              </w:rPr>
              <w:t>817</w:t>
            </w:r>
            <w:r w:rsidR="009375A6">
              <w:rPr>
                <w:szCs w:val="22"/>
              </w:rPr>
              <w:t>/854-862</w:t>
            </w:r>
            <w:r w:rsidR="00FE62C8">
              <w:rPr>
                <w:szCs w:val="22"/>
              </w:rPr>
              <w:t xml:space="preserve"> </w:t>
            </w:r>
            <w:r>
              <w:rPr>
                <w:szCs w:val="22"/>
              </w:rPr>
              <w:t>MHz</w:t>
            </w:r>
          </w:p>
        </w:tc>
        <w:tc>
          <w:tcPr>
            <w:tcW w:w="270" w:type="dxa"/>
          </w:tcPr>
          <w:p w14:paraId="38B3903C" w14:textId="77777777" w:rsidR="00843FDA" w:rsidRDefault="00843FDA" w:rsidP="008B0DEB">
            <w:pPr>
              <w:widowControl/>
              <w:tabs>
                <w:tab w:val="center" w:pos="4680"/>
              </w:tabs>
              <w:suppressAutoHyphens/>
              <w:rPr>
                <w:b/>
                <w:spacing w:val="-2"/>
                <w:szCs w:val="22"/>
              </w:rPr>
            </w:pPr>
            <w:r>
              <w:rPr>
                <w:b/>
                <w:spacing w:val="-2"/>
                <w:szCs w:val="22"/>
              </w:rPr>
              <w:t>)</w:t>
            </w:r>
          </w:p>
          <w:p w14:paraId="5BB1283C" w14:textId="77777777" w:rsidR="00843FDA" w:rsidRDefault="00843FDA" w:rsidP="008B0DEB">
            <w:pPr>
              <w:widowControl/>
              <w:tabs>
                <w:tab w:val="center" w:pos="4680"/>
              </w:tabs>
              <w:suppressAutoHyphens/>
              <w:rPr>
                <w:b/>
                <w:spacing w:val="-2"/>
                <w:szCs w:val="22"/>
              </w:rPr>
            </w:pPr>
            <w:r>
              <w:rPr>
                <w:b/>
                <w:spacing w:val="-2"/>
                <w:szCs w:val="22"/>
              </w:rPr>
              <w:t>)</w:t>
            </w:r>
          </w:p>
          <w:p w14:paraId="366168DA" w14:textId="77777777" w:rsidR="00843FDA" w:rsidRDefault="00843FDA" w:rsidP="008B0DEB">
            <w:pPr>
              <w:widowControl/>
              <w:tabs>
                <w:tab w:val="center" w:pos="4680"/>
              </w:tabs>
              <w:suppressAutoHyphens/>
              <w:rPr>
                <w:b/>
                <w:spacing w:val="-2"/>
                <w:szCs w:val="22"/>
              </w:rPr>
            </w:pPr>
            <w:r>
              <w:rPr>
                <w:b/>
                <w:spacing w:val="-2"/>
                <w:szCs w:val="22"/>
              </w:rPr>
              <w:t>)</w:t>
            </w:r>
          </w:p>
          <w:p w14:paraId="520051FB" w14:textId="3CFAB7AB" w:rsidR="00843FDA" w:rsidRDefault="00843FDA" w:rsidP="008B0DEB">
            <w:pPr>
              <w:widowControl/>
              <w:tabs>
                <w:tab w:val="center" w:pos="4680"/>
              </w:tabs>
              <w:suppressAutoHyphens/>
              <w:rPr>
                <w:b/>
                <w:spacing w:val="-2"/>
                <w:szCs w:val="22"/>
              </w:rPr>
            </w:pPr>
            <w:r>
              <w:rPr>
                <w:b/>
                <w:spacing w:val="-2"/>
                <w:szCs w:val="22"/>
              </w:rPr>
              <w:t>)</w:t>
            </w:r>
          </w:p>
        </w:tc>
        <w:tc>
          <w:tcPr>
            <w:tcW w:w="4608" w:type="dxa"/>
          </w:tcPr>
          <w:p w14:paraId="7155DB67" w14:textId="77777777" w:rsidR="00843FDA" w:rsidRDefault="00843FDA" w:rsidP="008B0DEB">
            <w:pPr>
              <w:widowControl/>
              <w:tabs>
                <w:tab w:val="center" w:pos="4680"/>
              </w:tabs>
              <w:suppressAutoHyphens/>
              <w:rPr>
                <w:spacing w:val="-2"/>
                <w:szCs w:val="22"/>
                <w:lang w:val="sv-SE"/>
              </w:rPr>
            </w:pPr>
          </w:p>
          <w:p w14:paraId="05CEFABA" w14:textId="77777777" w:rsidR="00843FDA" w:rsidRDefault="00843FDA" w:rsidP="008B0DEB">
            <w:pPr>
              <w:widowControl/>
              <w:tabs>
                <w:tab w:val="center" w:pos="4680"/>
              </w:tabs>
              <w:suppressAutoHyphens/>
              <w:rPr>
                <w:spacing w:val="-2"/>
                <w:szCs w:val="22"/>
                <w:lang w:val="sv-SE"/>
              </w:rPr>
            </w:pPr>
          </w:p>
          <w:p w14:paraId="7075723B" w14:textId="682F06B3" w:rsidR="00843FDA" w:rsidRDefault="00843FDA" w:rsidP="008B0DEB">
            <w:pPr>
              <w:widowControl/>
              <w:tabs>
                <w:tab w:val="center" w:pos="4680"/>
              </w:tabs>
              <w:suppressAutoHyphens/>
              <w:rPr>
                <w:spacing w:val="-2"/>
                <w:szCs w:val="22"/>
                <w:lang w:val="sv-SE"/>
              </w:rPr>
            </w:pPr>
            <w:r>
              <w:rPr>
                <w:spacing w:val="-2"/>
                <w:szCs w:val="22"/>
                <w:lang w:val="sv-SE"/>
              </w:rPr>
              <w:t>WP Docket No. 1</w:t>
            </w:r>
            <w:r w:rsidR="00C45A15">
              <w:rPr>
                <w:spacing w:val="-2"/>
                <w:szCs w:val="22"/>
                <w:lang w:val="sv-SE"/>
              </w:rPr>
              <w:t>5</w:t>
            </w:r>
            <w:r>
              <w:rPr>
                <w:spacing w:val="-2"/>
                <w:szCs w:val="22"/>
                <w:lang w:val="sv-SE"/>
              </w:rPr>
              <w:t>-</w:t>
            </w:r>
            <w:r w:rsidR="003B21A9">
              <w:rPr>
                <w:spacing w:val="-2"/>
                <w:szCs w:val="22"/>
                <w:lang w:val="sv-SE"/>
              </w:rPr>
              <w:t>3</w:t>
            </w:r>
            <w:r w:rsidR="008119F3">
              <w:rPr>
                <w:spacing w:val="-2"/>
                <w:szCs w:val="22"/>
                <w:lang w:val="sv-SE"/>
              </w:rPr>
              <w:t>2</w:t>
            </w:r>
          </w:p>
          <w:p w14:paraId="64AC3845" w14:textId="40895FA6" w:rsidR="00843FDA" w:rsidRDefault="00843FDA" w:rsidP="008B0DEB">
            <w:pPr>
              <w:widowControl/>
              <w:tabs>
                <w:tab w:val="center" w:pos="4680"/>
              </w:tabs>
              <w:suppressAutoHyphens/>
              <w:rPr>
                <w:spacing w:val="-2"/>
                <w:szCs w:val="22"/>
                <w:lang w:val="sv-SE"/>
              </w:rPr>
            </w:pPr>
            <w:r>
              <w:rPr>
                <w:spacing w:val="-2"/>
                <w:szCs w:val="22"/>
                <w:lang w:val="sv-SE"/>
              </w:rPr>
              <w:t>RM-11572</w:t>
            </w:r>
          </w:p>
        </w:tc>
      </w:tr>
    </w:tbl>
    <w:p w14:paraId="5CCA7843" w14:textId="77777777" w:rsidR="003C36B9" w:rsidRDefault="003C36B9" w:rsidP="008B0DEB">
      <w:pPr>
        <w:pStyle w:val="StyleBoldCentered"/>
        <w:widowControl/>
        <w:rPr>
          <w:rFonts w:ascii="Times New Roman" w:hAnsi="Times New Roman"/>
        </w:rPr>
      </w:pPr>
    </w:p>
    <w:p w14:paraId="5E748638" w14:textId="77777777" w:rsidR="00843FDA" w:rsidRDefault="00843FDA" w:rsidP="008B0DEB">
      <w:pPr>
        <w:pStyle w:val="StyleBoldCentered"/>
        <w:widowControl/>
        <w:rPr>
          <w:rFonts w:ascii="Times New Roman" w:hAnsi="Times New Roman"/>
        </w:rPr>
      </w:pPr>
      <w:r>
        <w:rPr>
          <w:rFonts w:ascii="Times New Roman" w:hAnsi="Times New Roman"/>
        </w:rPr>
        <w:t>Notice of proposed rulemaking</w:t>
      </w:r>
    </w:p>
    <w:p w14:paraId="374DF10E" w14:textId="77777777" w:rsidR="00843FDA" w:rsidRDefault="00843FDA" w:rsidP="008B0DEB">
      <w:pPr>
        <w:pStyle w:val="StyleBoldCentered"/>
        <w:widowControl/>
        <w:rPr>
          <w:rFonts w:ascii="Times New Roman" w:hAnsi="Times New Roman"/>
        </w:rPr>
      </w:pPr>
    </w:p>
    <w:p w14:paraId="44257057" w14:textId="10DC17E9" w:rsidR="007770C0" w:rsidRDefault="007770C0" w:rsidP="001B1A29">
      <w:pPr>
        <w:widowControl/>
        <w:tabs>
          <w:tab w:val="left" w:pos="720"/>
          <w:tab w:val="right" w:pos="9360"/>
        </w:tabs>
        <w:suppressAutoHyphens/>
        <w:spacing w:line="227" w:lineRule="auto"/>
        <w:rPr>
          <w:spacing w:val="-2"/>
        </w:rPr>
      </w:pPr>
      <w:r>
        <w:rPr>
          <w:b/>
          <w:spacing w:val="-2"/>
        </w:rPr>
        <w:t xml:space="preserve">Adopted:  </w:t>
      </w:r>
      <w:r w:rsidR="001B1A29">
        <w:rPr>
          <w:b/>
          <w:spacing w:val="-2"/>
        </w:rPr>
        <w:t>February 5, 2015</w:t>
      </w:r>
      <w:r>
        <w:rPr>
          <w:b/>
          <w:spacing w:val="-2"/>
        </w:rPr>
        <w:tab/>
        <w:t xml:space="preserve">Released:  </w:t>
      </w:r>
      <w:r w:rsidR="002B75D6">
        <w:rPr>
          <w:b/>
          <w:spacing w:val="-2"/>
        </w:rPr>
        <w:t xml:space="preserve">February </w:t>
      </w:r>
      <w:r w:rsidR="00C81872">
        <w:rPr>
          <w:b/>
          <w:spacing w:val="-2"/>
        </w:rPr>
        <w:t>9</w:t>
      </w:r>
      <w:r w:rsidR="001B1A29">
        <w:rPr>
          <w:b/>
          <w:spacing w:val="-2"/>
        </w:rPr>
        <w:t>, 2015</w:t>
      </w:r>
    </w:p>
    <w:p w14:paraId="6B5393AB" w14:textId="77777777" w:rsidR="00843FDA" w:rsidRDefault="00843FDA" w:rsidP="008B0DEB">
      <w:pPr>
        <w:widowControl/>
        <w:rPr>
          <w:szCs w:val="22"/>
        </w:rPr>
      </w:pPr>
    </w:p>
    <w:p w14:paraId="0054EDB4" w14:textId="77777777" w:rsidR="00843FDA" w:rsidRPr="00C6580C" w:rsidRDefault="00843FDA" w:rsidP="008B0DEB">
      <w:pPr>
        <w:widowControl/>
        <w:rPr>
          <w:b/>
          <w:bCs/>
          <w:szCs w:val="22"/>
        </w:rPr>
      </w:pPr>
      <w:r w:rsidRPr="00C6580C">
        <w:rPr>
          <w:b/>
          <w:bCs/>
          <w:szCs w:val="22"/>
        </w:rPr>
        <w:t>Comment Date: [45 days after date of publication in the Federal Register]</w:t>
      </w:r>
    </w:p>
    <w:p w14:paraId="552FB921" w14:textId="77777777" w:rsidR="00843FDA" w:rsidRPr="00C6580C" w:rsidRDefault="00843FDA" w:rsidP="008B0DEB">
      <w:pPr>
        <w:widowControl/>
        <w:rPr>
          <w:szCs w:val="22"/>
        </w:rPr>
      </w:pPr>
      <w:r w:rsidRPr="00C6580C">
        <w:rPr>
          <w:b/>
          <w:bCs/>
          <w:szCs w:val="22"/>
        </w:rPr>
        <w:t>Reply Comment Date:  [60 days after date of publication in the Federal Register]</w:t>
      </w:r>
    </w:p>
    <w:p w14:paraId="22DDFD4F" w14:textId="77777777" w:rsidR="00843FDA" w:rsidRPr="00C6580C" w:rsidRDefault="00843FDA" w:rsidP="008B0DEB">
      <w:pPr>
        <w:widowControl/>
        <w:rPr>
          <w:szCs w:val="22"/>
        </w:rPr>
      </w:pPr>
    </w:p>
    <w:p w14:paraId="394B8B27" w14:textId="77777777" w:rsidR="00843FDA" w:rsidRPr="00C6580C" w:rsidRDefault="00843FDA" w:rsidP="008B0DEB">
      <w:pPr>
        <w:widowControl/>
        <w:rPr>
          <w:bCs/>
          <w:color w:val="000000"/>
          <w:kern w:val="0"/>
          <w:szCs w:val="22"/>
        </w:rPr>
      </w:pPr>
      <w:r w:rsidRPr="00C6580C">
        <w:rPr>
          <w:bCs/>
          <w:color w:val="000000"/>
          <w:kern w:val="0"/>
          <w:szCs w:val="22"/>
        </w:rPr>
        <w:t>By the Commissio</w:t>
      </w:r>
      <w:bookmarkStart w:id="1" w:name="_Toc265242590"/>
      <w:bookmarkStart w:id="2" w:name="_Toc265243179"/>
      <w:r w:rsidRPr="00C6580C">
        <w:rPr>
          <w:bCs/>
          <w:color w:val="000000"/>
          <w:kern w:val="0"/>
          <w:szCs w:val="22"/>
        </w:rPr>
        <w:t>n</w:t>
      </w:r>
      <w:bookmarkEnd w:id="1"/>
      <w:bookmarkEnd w:id="2"/>
      <w:r w:rsidRPr="00C6580C">
        <w:rPr>
          <w:bCs/>
          <w:color w:val="000000"/>
          <w:kern w:val="0"/>
          <w:szCs w:val="22"/>
        </w:rPr>
        <w:t>:</w:t>
      </w:r>
    </w:p>
    <w:p w14:paraId="22262DA3" w14:textId="77777777" w:rsidR="00843FDA" w:rsidRDefault="00843FDA" w:rsidP="008B0DEB">
      <w:pPr>
        <w:widowControl/>
        <w:rPr>
          <w:kern w:val="0"/>
          <w:szCs w:val="22"/>
        </w:rPr>
      </w:pPr>
    </w:p>
    <w:p w14:paraId="2DB19138" w14:textId="77777777" w:rsidR="009658A5" w:rsidRPr="00542452" w:rsidRDefault="009658A5" w:rsidP="008B0DEB">
      <w:pPr>
        <w:pStyle w:val="TOCTitle"/>
        <w:widowControl/>
      </w:pPr>
      <w:bookmarkStart w:id="3" w:name="TOChere"/>
      <w:r w:rsidRPr="00542452">
        <w:t>Table of Contents</w:t>
      </w:r>
    </w:p>
    <w:p w14:paraId="101CE45E" w14:textId="77777777" w:rsidR="009658A5" w:rsidRPr="00542452" w:rsidRDefault="009658A5" w:rsidP="008B0DEB">
      <w:pPr>
        <w:pStyle w:val="Paratitle"/>
        <w:widowControl/>
      </w:pPr>
      <w:r w:rsidRPr="00542452">
        <w:t>Heading</w:t>
      </w:r>
      <w:r w:rsidRPr="00542452">
        <w:tab/>
        <w:t>Paragraph #</w:t>
      </w:r>
      <w:bookmarkStart w:id="4" w:name="start_here"/>
      <w:bookmarkEnd w:id="4"/>
    </w:p>
    <w:p w14:paraId="3F71A784" w14:textId="77777777" w:rsidR="009658A5" w:rsidRPr="004E07A3" w:rsidRDefault="009658A5" w:rsidP="008B0DEB">
      <w:pPr>
        <w:pStyle w:val="TOC1"/>
        <w:widowControl/>
        <w:rPr>
          <w:rFonts w:ascii="Calibri" w:hAnsi="Calibri"/>
          <w:caps w:val="0"/>
          <w:kern w:val="0"/>
          <w:szCs w:val="22"/>
        </w:rPr>
      </w:pPr>
      <w:r w:rsidRPr="001126F8">
        <w:rPr>
          <w:kern w:val="0"/>
        </w:rPr>
        <w:t>I.</w:t>
      </w:r>
      <w:r w:rsidRPr="004E07A3">
        <w:rPr>
          <w:rFonts w:ascii="Calibri" w:hAnsi="Calibri"/>
          <w:caps w:val="0"/>
          <w:kern w:val="0"/>
          <w:szCs w:val="22"/>
        </w:rPr>
        <w:tab/>
      </w:r>
      <w:r w:rsidRPr="001126F8">
        <w:rPr>
          <w:kern w:val="0"/>
        </w:rPr>
        <w:t>INTRODUCTION</w:t>
      </w:r>
      <w:r>
        <w:tab/>
        <w:t>1</w:t>
      </w:r>
    </w:p>
    <w:p w14:paraId="063443BB" w14:textId="77777777" w:rsidR="009658A5" w:rsidRPr="004E07A3" w:rsidRDefault="009658A5" w:rsidP="008B0DEB">
      <w:pPr>
        <w:pStyle w:val="TOC1"/>
        <w:widowControl/>
        <w:rPr>
          <w:rFonts w:ascii="Calibri" w:hAnsi="Calibri"/>
          <w:caps w:val="0"/>
          <w:kern w:val="0"/>
          <w:szCs w:val="22"/>
        </w:rPr>
      </w:pPr>
      <w:r w:rsidRPr="001126F8">
        <w:t>II.</w:t>
      </w:r>
      <w:r w:rsidRPr="004E07A3">
        <w:rPr>
          <w:rFonts w:ascii="Calibri" w:hAnsi="Calibri"/>
          <w:caps w:val="0"/>
          <w:kern w:val="0"/>
          <w:szCs w:val="22"/>
        </w:rPr>
        <w:tab/>
      </w:r>
      <w:r w:rsidRPr="001126F8">
        <w:t>BACKGROUND</w:t>
      </w:r>
      <w:r>
        <w:tab/>
        <w:t>2</w:t>
      </w:r>
    </w:p>
    <w:p w14:paraId="1E170912" w14:textId="481700A4" w:rsidR="009658A5" w:rsidRPr="004E07A3" w:rsidRDefault="009658A5" w:rsidP="008B0DEB">
      <w:pPr>
        <w:pStyle w:val="TOC1"/>
        <w:widowControl/>
        <w:rPr>
          <w:rFonts w:ascii="Calibri" w:hAnsi="Calibri"/>
          <w:caps w:val="0"/>
          <w:kern w:val="0"/>
          <w:szCs w:val="22"/>
        </w:rPr>
      </w:pPr>
      <w:r w:rsidRPr="001126F8">
        <w:t>III.</w:t>
      </w:r>
      <w:r w:rsidRPr="004E07A3">
        <w:rPr>
          <w:rFonts w:ascii="Calibri" w:hAnsi="Calibri"/>
          <w:caps w:val="0"/>
          <w:kern w:val="0"/>
          <w:szCs w:val="22"/>
        </w:rPr>
        <w:tab/>
      </w:r>
      <w:r>
        <w:t>Notice of Proposed Rulemaking</w:t>
      </w:r>
      <w:r>
        <w:tab/>
      </w:r>
      <w:r w:rsidR="00297C19">
        <w:t>1</w:t>
      </w:r>
      <w:r w:rsidR="00B05BDA">
        <w:t>4</w:t>
      </w:r>
    </w:p>
    <w:p w14:paraId="74C3AA7D" w14:textId="358062DA" w:rsidR="009658A5" w:rsidRDefault="009658A5" w:rsidP="008B0DEB">
      <w:pPr>
        <w:pStyle w:val="TOC2"/>
        <w:widowControl/>
        <w:tabs>
          <w:tab w:val="left" w:pos="360"/>
        </w:tabs>
      </w:pPr>
      <w:r>
        <w:t>A.</w:t>
      </w:r>
      <w:r w:rsidRPr="004E07A3">
        <w:rPr>
          <w:rFonts w:ascii="Calibri" w:hAnsi="Calibri"/>
          <w:kern w:val="0"/>
          <w:szCs w:val="22"/>
        </w:rPr>
        <w:tab/>
      </w:r>
      <w:r>
        <w:t>Interstitial Channels</w:t>
      </w:r>
      <w:r w:rsidRPr="00544CC9">
        <w:tab/>
      </w:r>
      <w:r w:rsidR="00297C19">
        <w:t>1</w:t>
      </w:r>
      <w:r w:rsidR="00B05BDA">
        <w:t>4</w:t>
      </w:r>
    </w:p>
    <w:p w14:paraId="11706B09" w14:textId="195D25C8" w:rsidR="009658A5" w:rsidRPr="00544CC9" w:rsidRDefault="009658A5" w:rsidP="008B0DEB">
      <w:pPr>
        <w:pStyle w:val="TOC2"/>
        <w:widowControl/>
        <w:tabs>
          <w:tab w:val="left" w:pos="360"/>
        </w:tabs>
        <w:rPr>
          <w:kern w:val="0"/>
          <w:szCs w:val="22"/>
        </w:rPr>
      </w:pPr>
      <w:r>
        <w:t>B.</w:t>
      </w:r>
      <w:r w:rsidRPr="004E07A3">
        <w:rPr>
          <w:rFonts w:ascii="Calibri" w:hAnsi="Calibri"/>
          <w:kern w:val="0"/>
          <w:szCs w:val="22"/>
        </w:rPr>
        <w:tab/>
      </w:r>
      <w:r>
        <w:t>Interference Protection Criteria</w:t>
      </w:r>
      <w:r w:rsidRPr="00544CC9">
        <w:tab/>
      </w:r>
      <w:r w:rsidR="00F74623">
        <w:t>2</w:t>
      </w:r>
      <w:r w:rsidR="00B05BDA">
        <w:t>2</w:t>
      </w:r>
    </w:p>
    <w:p w14:paraId="20C6E1DB" w14:textId="257F224E" w:rsidR="009658A5" w:rsidRPr="00544CC9" w:rsidRDefault="009658A5" w:rsidP="008B0DEB">
      <w:pPr>
        <w:pStyle w:val="TOC2"/>
        <w:widowControl/>
        <w:tabs>
          <w:tab w:val="left" w:pos="360"/>
        </w:tabs>
        <w:rPr>
          <w:kern w:val="0"/>
          <w:szCs w:val="22"/>
        </w:rPr>
      </w:pPr>
      <w:r>
        <w:t>C.</w:t>
      </w:r>
      <w:r w:rsidRPr="004E07A3">
        <w:rPr>
          <w:rFonts w:ascii="Calibri" w:hAnsi="Calibri"/>
          <w:kern w:val="0"/>
          <w:szCs w:val="22"/>
        </w:rPr>
        <w:tab/>
      </w:r>
      <w:r>
        <w:t>Eligibility and Licensing Requirements</w:t>
      </w:r>
      <w:r w:rsidRPr="00544CC9">
        <w:tab/>
      </w:r>
      <w:r>
        <w:t>2</w:t>
      </w:r>
      <w:r w:rsidR="00B05BDA">
        <w:t>8</w:t>
      </w:r>
    </w:p>
    <w:p w14:paraId="08D36122" w14:textId="1953CA1A" w:rsidR="009658A5" w:rsidRPr="00F34054" w:rsidRDefault="009658A5" w:rsidP="008B0DEB">
      <w:pPr>
        <w:pStyle w:val="TOC2"/>
        <w:widowControl/>
        <w:tabs>
          <w:tab w:val="left" w:pos="360"/>
        </w:tabs>
        <w:rPr>
          <w:kern w:val="0"/>
          <w:szCs w:val="22"/>
        </w:rPr>
      </w:pPr>
      <w:r>
        <w:t>D.</w:t>
      </w:r>
      <w:r w:rsidRPr="004E07A3">
        <w:rPr>
          <w:rFonts w:ascii="Calibri" w:hAnsi="Calibri"/>
          <w:kern w:val="0"/>
          <w:szCs w:val="22"/>
        </w:rPr>
        <w:tab/>
      </w:r>
      <w:r>
        <w:t>Authorized Bandwidth and Emission Mask</w:t>
      </w:r>
      <w:r w:rsidRPr="00544CC9">
        <w:tab/>
      </w:r>
      <w:r w:rsidR="00F74623">
        <w:t>3</w:t>
      </w:r>
      <w:r w:rsidR="00B05BDA">
        <w:t>2</w:t>
      </w:r>
      <w:r>
        <w:tab/>
      </w:r>
    </w:p>
    <w:p w14:paraId="30420F46" w14:textId="3E7D1106" w:rsidR="009658A5" w:rsidRPr="004E07A3" w:rsidRDefault="009658A5" w:rsidP="008B0DEB">
      <w:pPr>
        <w:pStyle w:val="TOC1"/>
        <w:widowControl/>
        <w:ind w:left="0" w:firstLine="0"/>
        <w:rPr>
          <w:rFonts w:ascii="Calibri" w:hAnsi="Calibri"/>
          <w:caps w:val="0"/>
          <w:kern w:val="0"/>
          <w:szCs w:val="22"/>
        </w:rPr>
      </w:pPr>
      <w:r>
        <w:t>IV.</w:t>
      </w:r>
      <w:r w:rsidRPr="004E07A3">
        <w:rPr>
          <w:rFonts w:ascii="Calibri" w:hAnsi="Calibri"/>
          <w:caps w:val="0"/>
          <w:kern w:val="0"/>
          <w:szCs w:val="22"/>
        </w:rPr>
        <w:tab/>
      </w:r>
      <w:r>
        <w:t>PROCEDURAL MATTERS</w:t>
      </w:r>
      <w:r>
        <w:tab/>
      </w:r>
      <w:r w:rsidR="00F74623">
        <w:t>3</w:t>
      </w:r>
      <w:r w:rsidR="00B05BDA">
        <w:t>6</w:t>
      </w:r>
    </w:p>
    <w:p w14:paraId="7150B390" w14:textId="5F02FB41" w:rsidR="009658A5" w:rsidRPr="004E07A3" w:rsidRDefault="009658A5" w:rsidP="008B0DEB">
      <w:pPr>
        <w:pStyle w:val="TOC2"/>
        <w:widowControl/>
        <w:tabs>
          <w:tab w:val="left" w:pos="360"/>
        </w:tabs>
        <w:rPr>
          <w:rFonts w:ascii="Calibri" w:hAnsi="Calibri"/>
          <w:kern w:val="0"/>
          <w:szCs w:val="22"/>
        </w:rPr>
      </w:pPr>
      <w:r>
        <w:t>A.</w:t>
      </w:r>
      <w:r w:rsidRPr="004E07A3">
        <w:rPr>
          <w:rFonts w:ascii="Calibri" w:hAnsi="Calibri"/>
          <w:kern w:val="0"/>
          <w:szCs w:val="22"/>
        </w:rPr>
        <w:tab/>
      </w:r>
      <w:r>
        <w:t>Ex Parte Rules – Permit-But-Disclose</w:t>
      </w:r>
      <w:r>
        <w:tab/>
      </w:r>
      <w:r w:rsidR="00F74623">
        <w:t>3</w:t>
      </w:r>
      <w:r w:rsidR="00B05BDA">
        <w:t>6</w:t>
      </w:r>
    </w:p>
    <w:p w14:paraId="400591ED" w14:textId="106DD1EB" w:rsidR="009658A5" w:rsidRPr="004E07A3" w:rsidRDefault="009658A5" w:rsidP="008B0DEB">
      <w:pPr>
        <w:pStyle w:val="TOC2"/>
        <w:widowControl/>
        <w:tabs>
          <w:tab w:val="left" w:pos="360"/>
        </w:tabs>
        <w:rPr>
          <w:rFonts w:ascii="Calibri" w:hAnsi="Calibri"/>
          <w:kern w:val="0"/>
          <w:szCs w:val="22"/>
        </w:rPr>
      </w:pPr>
      <w:r>
        <w:t>B.</w:t>
      </w:r>
      <w:r w:rsidRPr="004E07A3">
        <w:rPr>
          <w:rFonts w:ascii="Calibri" w:hAnsi="Calibri"/>
          <w:kern w:val="0"/>
          <w:szCs w:val="22"/>
        </w:rPr>
        <w:tab/>
      </w:r>
      <w:r>
        <w:t>Comment Period and Procedures</w:t>
      </w:r>
      <w:r>
        <w:tab/>
        <w:t>3</w:t>
      </w:r>
      <w:r w:rsidR="00B05BDA">
        <w:t>7</w:t>
      </w:r>
    </w:p>
    <w:p w14:paraId="30BBF941" w14:textId="601AEE06" w:rsidR="009658A5" w:rsidRDefault="009658A5" w:rsidP="008B0DEB">
      <w:pPr>
        <w:pStyle w:val="TOC2"/>
        <w:widowControl/>
        <w:tabs>
          <w:tab w:val="left" w:pos="360"/>
        </w:tabs>
      </w:pPr>
      <w:r w:rsidRPr="001126F8">
        <w:rPr>
          <w:kern w:val="0"/>
        </w:rPr>
        <w:t>C.</w:t>
      </w:r>
      <w:r w:rsidRPr="004E07A3">
        <w:rPr>
          <w:rFonts w:ascii="Calibri" w:hAnsi="Calibri"/>
          <w:kern w:val="0"/>
          <w:szCs w:val="22"/>
        </w:rPr>
        <w:tab/>
      </w:r>
      <w:r>
        <w:rPr>
          <w:kern w:val="0"/>
        </w:rPr>
        <w:t>Initial Regulatory Flexibility Analysis</w:t>
      </w:r>
      <w:r>
        <w:tab/>
        <w:t>3</w:t>
      </w:r>
      <w:r w:rsidR="00B05BDA">
        <w:t>8</w:t>
      </w:r>
    </w:p>
    <w:p w14:paraId="36560962" w14:textId="042A4B3A" w:rsidR="009658A5" w:rsidRPr="00544CC9" w:rsidRDefault="009658A5" w:rsidP="008B0DEB">
      <w:pPr>
        <w:pStyle w:val="TOC2"/>
        <w:widowControl/>
        <w:tabs>
          <w:tab w:val="left" w:pos="360"/>
        </w:tabs>
        <w:rPr>
          <w:kern w:val="0"/>
          <w:szCs w:val="22"/>
        </w:rPr>
      </w:pPr>
      <w:r>
        <w:t>D.</w:t>
      </w:r>
      <w:r w:rsidRPr="004E07A3">
        <w:rPr>
          <w:rFonts w:ascii="Calibri" w:hAnsi="Calibri"/>
          <w:kern w:val="0"/>
          <w:szCs w:val="22"/>
        </w:rPr>
        <w:tab/>
      </w:r>
      <w:r>
        <w:t>Initial Paperwork Reduction Analysis</w:t>
      </w:r>
      <w:r w:rsidRPr="00544CC9">
        <w:tab/>
      </w:r>
      <w:r>
        <w:t>3</w:t>
      </w:r>
      <w:r w:rsidR="00B05BDA">
        <w:t>9</w:t>
      </w:r>
    </w:p>
    <w:p w14:paraId="1DB2B51E" w14:textId="6594AAE3" w:rsidR="009658A5" w:rsidRPr="00F34054" w:rsidRDefault="009658A5" w:rsidP="008B0DEB">
      <w:pPr>
        <w:pStyle w:val="TOC2"/>
        <w:widowControl/>
        <w:tabs>
          <w:tab w:val="left" w:pos="360"/>
        </w:tabs>
        <w:rPr>
          <w:kern w:val="0"/>
          <w:szCs w:val="22"/>
        </w:rPr>
      </w:pPr>
      <w:r>
        <w:t>E.</w:t>
      </w:r>
      <w:r w:rsidRPr="004E07A3">
        <w:rPr>
          <w:rFonts w:ascii="Calibri" w:hAnsi="Calibri"/>
          <w:kern w:val="0"/>
          <w:szCs w:val="22"/>
        </w:rPr>
        <w:tab/>
      </w:r>
      <w:r>
        <w:t>Further Information</w:t>
      </w:r>
      <w:r w:rsidRPr="00544CC9">
        <w:tab/>
      </w:r>
      <w:r w:rsidR="00B05BDA">
        <w:t>40</w:t>
      </w:r>
    </w:p>
    <w:p w14:paraId="6BDB026F" w14:textId="136CB6DC" w:rsidR="009658A5" w:rsidRDefault="009658A5" w:rsidP="008B0DEB">
      <w:pPr>
        <w:pStyle w:val="TOC1"/>
        <w:widowControl/>
      </w:pPr>
      <w:r>
        <w:t>V.</w:t>
      </w:r>
      <w:r w:rsidRPr="004E07A3">
        <w:rPr>
          <w:rFonts w:ascii="Calibri" w:hAnsi="Calibri"/>
          <w:caps w:val="0"/>
          <w:kern w:val="0"/>
          <w:szCs w:val="22"/>
        </w:rPr>
        <w:tab/>
      </w:r>
      <w:r>
        <w:t>ORDERING CLAUSES</w:t>
      </w:r>
      <w:r>
        <w:tab/>
      </w:r>
      <w:r w:rsidR="00B05BDA">
        <w:t>41</w:t>
      </w:r>
    </w:p>
    <w:p w14:paraId="4BF9418D" w14:textId="77777777" w:rsidR="009658A5" w:rsidRDefault="009658A5" w:rsidP="008B0DEB">
      <w:pPr>
        <w:widowControl/>
      </w:pPr>
      <w:r>
        <w:t xml:space="preserve">APPENDIX A – </w:t>
      </w:r>
      <w:r w:rsidR="009443F2">
        <w:t xml:space="preserve">Initial </w:t>
      </w:r>
      <w:r>
        <w:t>Regulatory Flexibility Act Analysis</w:t>
      </w:r>
    </w:p>
    <w:p w14:paraId="3454A759" w14:textId="77777777" w:rsidR="009658A5" w:rsidRDefault="009658A5" w:rsidP="008B0DEB">
      <w:pPr>
        <w:widowControl/>
      </w:pPr>
      <w:r>
        <w:t>APPENDIX B – Proposed Rules</w:t>
      </w:r>
    </w:p>
    <w:p w14:paraId="2EA4D51A" w14:textId="77777777" w:rsidR="009658A5" w:rsidRPr="006D656A" w:rsidRDefault="009658A5" w:rsidP="008B0DEB">
      <w:pPr>
        <w:widowControl/>
      </w:pPr>
      <w:r>
        <w:t>APPENDIX C – List of Commenting Parties</w:t>
      </w:r>
      <w:bookmarkEnd w:id="3"/>
    </w:p>
    <w:p w14:paraId="04902323" w14:textId="77777777" w:rsidR="009658A5" w:rsidRPr="00C6580C" w:rsidRDefault="009658A5" w:rsidP="008B0DEB">
      <w:pPr>
        <w:widowControl/>
        <w:rPr>
          <w:kern w:val="0"/>
          <w:szCs w:val="22"/>
        </w:rPr>
      </w:pPr>
    </w:p>
    <w:p w14:paraId="28A09D47" w14:textId="77777777" w:rsidR="00843FDA" w:rsidRPr="00C6580C" w:rsidRDefault="00843FDA" w:rsidP="00A96110">
      <w:pPr>
        <w:pStyle w:val="Heading1"/>
        <w:widowControl/>
        <w:tabs>
          <w:tab w:val="num" w:pos="770"/>
        </w:tabs>
        <w:ind w:left="0" w:firstLine="0"/>
        <w:rPr>
          <w:kern w:val="0"/>
          <w:szCs w:val="22"/>
        </w:rPr>
      </w:pPr>
      <w:r w:rsidRPr="00C6580C">
        <w:rPr>
          <w:kern w:val="0"/>
          <w:szCs w:val="22"/>
        </w:rPr>
        <w:t>INTRODUCTION</w:t>
      </w:r>
    </w:p>
    <w:p w14:paraId="34BE8309" w14:textId="77777777" w:rsidR="00843FDA" w:rsidRPr="00A96110" w:rsidRDefault="00843FDA" w:rsidP="00CD7CAC">
      <w:pPr>
        <w:pStyle w:val="ParaNum"/>
        <w:widowControl/>
        <w:tabs>
          <w:tab w:val="clear" w:pos="1440"/>
          <w:tab w:val="num" w:pos="1430"/>
        </w:tabs>
      </w:pPr>
      <w:r w:rsidRPr="00A96110">
        <w:rPr>
          <w:kern w:val="0"/>
        </w:rPr>
        <w:t xml:space="preserve">In this </w:t>
      </w:r>
      <w:r w:rsidRPr="00A96110">
        <w:rPr>
          <w:i/>
          <w:kern w:val="0"/>
        </w:rPr>
        <w:t>Notice of Proposed Rulemaking</w:t>
      </w:r>
      <w:r w:rsidRPr="00A96110">
        <w:rPr>
          <w:kern w:val="0"/>
        </w:rPr>
        <w:t xml:space="preserve"> (</w:t>
      </w:r>
      <w:r w:rsidRPr="00A96110">
        <w:rPr>
          <w:i/>
          <w:kern w:val="0"/>
        </w:rPr>
        <w:t>NPRM</w:t>
      </w:r>
      <w:r w:rsidRPr="00A96110">
        <w:rPr>
          <w:kern w:val="0"/>
        </w:rPr>
        <w:t xml:space="preserve">), we propose to </w:t>
      </w:r>
      <w:r w:rsidRPr="00A96110">
        <w:t xml:space="preserve">introduce new, full power, interstitial 12.5 kHz “offset” channels in the </w:t>
      </w:r>
      <w:r w:rsidR="00646597" w:rsidRPr="00A96110">
        <w:t>809-81</w:t>
      </w:r>
      <w:r w:rsidR="00FE62C8" w:rsidRPr="00A96110">
        <w:t>7</w:t>
      </w:r>
      <w:r w:rsidR="009375A6" w:rsidRPr="00A96110">
        <w:t xml:space="preserve">/854-862 </w:t>
      </w:r>
      <w:r w:rsidR="00646597" w:rsidRPr="00A96110">
        <w:t>MHz band (</w:t>
      </w:r>
      <w:r w:rsidRPr="00A96110">
        <w:t>800 MHz Mid-Band</w:t>
      </w:r>
      <w:r w:rsidR="00646597" w:rsidRPr="00A96110">
        <w:t>)</w:t>
      </w:r>
      <w:r w:rsidRPr="00A96110">
        <w:t>, subject to certain protections designed to safeguard 800 MHz incumbents from interference.</w:t>
      </w:r>
      <w:r w:rsidR="005078B0">
        <w:rPr>
          <w:rStyle w:val="FootnoteReference"/>
          <w:szCs w:val="22"/>
        </w:rPr>
        <w:footnoteReference w:id="2"/>
      </w:r>
      <w:r w:rsidRPr="00A96110">
        <w:t xml:space="preserve">  </w:t>
      </w:r>
      <w:r w:rsidR="00381AF6" w:rsidRPr="00A96110">
        <w:t xml:space="preserve">We </w:t>
      </w:r>
      <w:r w:rsidR="00381AF6" w:rsidRPr="00A96110">
        <w:rPr>
          <w:kern w:val="0"/>
        </w:rPr>
        <w:t xml:space="preserve">initiate </w:t>
      </w:r>
      <w:r w:rsidR="00381AF6" w:rsidRPr="00A96110">
        <w:rPr>
          <w:kern w:val="0"/>
        </w:rPr>
        <w:lastRenderedPageBreak/>
        <w:t xml:space="preserve">this </w:t>
      </w:r>
      <w:r w:rsidR="00381AF6" w:rsidRPr="00A96110">
        <w:rPr>
          <w:i/>
          <w:kern w:val="0"/>
        </w:rPr>
        <w:t>NPRM</w:t>
      </w:r>
      <w:r w:rsidR="00381AF6" w:rsidRPr="00A96110">
        <w:rPr>
          <w:kern w:val="0"/>
        </w:rPr>
        <w:t xml:space="preserve"> in response to a Petition for Rulemaking filed by the Enterprise Wireless Alliance (EWA)</w:t>
      </w:r>
      <w:r w:rsidR="005078B0" w:rsidRPr="00A96110">
        <w:rPr>
          <w:kern w:val="0"/>
        </w:rPr>
        <w:t>.</w:t>
      </w:r>
      <w:r w:rsidR="00381AF6" w:rsidRPr="00C6580C">
        <w:rPr>
          <w:rStyle w:val="FootnoteReference"/>
          <w:kern w:val="0"/>
          <w:szCs w:val="22"/>
        </w:rPr>
        <w:footnoteReference w:id="3"/>
      </w:r>
      <w:r w:rsidR="00381AF6" w:rsidRPr="00A96110">
        <w:rPr>
          <w:kern w:val="0"/>
        </w:rPr>
        <w:t xml:space="preserve"> </w:t>
      </w:r>
      <w:r w:rsidR="005078B0" w:rsidRPr="00A96110">
        <w:rPr>
          <w:kern w:val="0"/>
        </w:rPr>
        <w:t xml:space="preserve"> </w:t>
      </w:r>
      <w:r w:rsidRPr="00A96110">
        <w:t>The proposal creates the opportunity for 319 additional voice-grade channels for use by Public Safety, Business/Industrial, General Category, and high-site Specialized Mobile Radio licensees.</w:t>
      </w:r>
      <w:r w:rsidRPr="00C6580C">
        <w:rPr>
          <w:rStyle w:val="FootnoteReference"/>
          <w:szCs w:val="22"/>
        </w:rPr>
        <w:footnoteReference w:id="4"/>
      </w:r>
      <w:r w:rsidRPr="00A96110">
        <w:t xml:space="preserve">  It leverages technology advancements that have made high quality narrow-band voice transmission a reality, and reflects Commission efforts to improve spectral efficiency in heavily used bands.  </w:t>
      </w:r>
      <w:r w:rsidRPr="00A96110">
        <w:rPr>
          <w:kern w:val="0"/>
        </w:rPr>
        <w:t xml:space="preserve">We believe our proposal may </w:t>
      </w:r>
      <w:r w:rsidRPr="00A96110">
        <w:t xml:space="preserve">reduce barriers to innovation and encourage investment in new technologies </w:t>
      </w:r>
      <w:r w:rsidRPr="00A96110">
        <w:rPr>
          <w:kern w:val="0"/>
        </w:rPr>
        <w:t xml:space="preserve">that will enable </w:t>
      </w:r>
      <w:r w:rsidR="007221D5" w:rsidRPr="00A96110">
        <w:rPr>
          <w:kern w:val="0"/>
        </w:rPr>
        <w:t>Private Land Mobile Radio (</w:t>
      </w:r>
      <w:r w:rsidRPr="00A96110">
        <w:rPr>
          <w:kern w:val="0"/>
        </w:rPr>
        <w:t>PLMR</w:t>
      </w:r>
      <w:r w:rsidR="007221D5" w:rsidRPr="00A96110">
        <w:rPr>
          <w:kern w:val="0"/>
        </w:rPr>
        <w:t>)</w:t>
      </w:r>
      <w:r w:rsidRPr="00A96110">
        <w:rPr>
          <w:kern w:val="0"/>
        </w:rPr>
        <w:t xml:space="preserve"> licensees to use the spectrum more efficiently.</w:t>
      </w:r>
      <w:r w:rsidRPr="00A96110">
        <w:t xml:space="preserve">  We also seek comment on eligibility and licensing requirements for the proposed new interstitial channels.     </w:t>
      </w:r>
    </w:p>
    <w:p w14:paraId="0BB5CCBC" w14:textId="77777777" w:rsidR="00843FDA" w:rsidRPr="00C6580C" w:rsidRDefault="00843FDA" w:rsidP="00CD7CAC">
      <w:pPr>
        <w:pStyle w:val="Heading1"/>
        <w:widowControl/>
        <w:tabs>
          <w:tab w:val="num" w:pos="0"/>
        </w:tabs>
        <w:ind w:left="0" w:firstLine="0"/>
        <w:rPr>
          <w:szCs w:val="22"/>
        </w:rPr>
      </w:pPr>
      <w:bookmarkStart w:id="5" w:name="_Toc265242591"/>
      <w:bookmarkStart w:id="6" w:name="_Toc265243180"/>
      <w:bookmarkStart w:id="7" w:name="_Toc265570956"/>
      <w:bookmarkStart w:id="8" w:name="_Toc273713258"/>
      <w:bookmarkStart w:id="9" w:name="_Toc273958909"/>
      <w:bookmarkStart w:id="10" w:name="_Toc273959138"/>
      <w:bookmarkStart w:id="11" w:name="_Toc273959243"/>
      <w:bookmarkStart w:id="12" w:name="_Toc273959600"/>
      <w:bookmarkStart w:id="13" w:name="_Toc273964447"/>
      <w:bookmarkStart w:id="14" w:name="_Toc274322349"/>
      <w:bookmarkStart w:id="15" w:name="_Toc274328921"/>
      <w:bookmarkStart w:id="16" w:name="_Toc274736437"/>
      <w:bookmarkStart w:id="17" w:name="_Toc274752178"/>
      <w:bookmarkStart w:id="18" w:name="_Toc274752210"/>
      <w:bookmarkStart w:id="19" w:name="_Toc274752266"/>
      <w:bookmarkStart w:id="20" w:name="_Toc274752834"/>
      <w:bookmarkStart w:id="21" w:name="_Toc274758691"/>
      <w:bookmarkStart w:id="22" w:name="_Toc274846609"/>
      <w:bookmarkStart w:id="23" w:name="_Toc275256869"/>
      <w:bookmarkStart w:id="24" w:name="_Toc275365562"/>
      <w:bookmarkStart w:id="25" w:name="_Toc277097485"/>
      <w:bookmarkStart w:id="26" w:name="_Toc277098037"/>
      <w:bookmarkStart w:id="27" w:name="_Toc277098139"/>
      <w:bookmarkStart w:id="28" w:name="_Toc277861110"/>
      <w:bookmarkStart w:id="29" w:name="_Toc286161932"/>
      <w:bookmarkStart w:id="30" w:name="_Toc290385342"/>
      <w:bookmarkStart w:id="31" w:name="_Toc291160052"/>
      <w:bookmarkStart w:id="32" w:name="_Toc291160287"/>
      <w:bookmarkStart w:id="33" w:name="_Toc291160629"/>
      <w:bookmarkStart w:id="34" w:name="_Toc291160899"/>
      <w:r w:rsidRPr="00C6580C">
        <w:rPr>
          <w:szCs w:val="22"/>
        </w:rPr>
        <w:t>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87C0151" w14:textId="77777777" w:rsidR="00843FDA" w:rsidRPr="00A96110" w:rsidRDefault="00843FDA" w:rsidP="00CD7CAC">
      <w:pPr>
        <w:pStyle w:val="ParaNum"/>
        <w:widowControl/>
        <w:tabs>
          <w:tab w:val="clear" w:pos="1440"/>
          <w:tab w:val="num" w:pos="1430"/>
        </w:tabs>
      </w:pPr>
      <w:r w:rsidRPr="00A96110">
        <w:t xml:space="preserve">The 800 MHz Mid-Band consists of:  </w:t>
      </w:r>
    </w:p>
    <w:p w14:paraId="284B6308" w14:textId="77777777" w:rsidR="00843FDA" w:rsidRPr="00A96110" w:rsidRDefault="00843FDA" w:rsidP="00CD7CAC">
      <w:pPr>
        <w:pStyle w:val="ParaNum"/>
        <w:widowControl/>
        <w:numPr>
          <w:ilvl w:val="0"/>
          <w:numId w:val="38"/>
        </w:numPr>
      </w:pPr>
      <w:r w:rsidRPr="00A96110">
        <w:t xml:space="preserve">the Interleaved Band (809-815/854-860 MHz, 240 channels), </w:t>
      </w:r>
    </w:p>
    <w:p w14:paraId="6F23053E" w14:textId="77777777" w:rsidR="00843FDA" w:rsidRPr="00A96110" w:rsidRDefault="00843FDA" w:rsidP="00CD7CAC">
      <w:pPr>
        <w:pStyle w:val="ParaNum"/>
        <w:widowControl/>
        <w:numPr>
          <w:ilvl w:val="0"/>
          <w:numId w:val="38"/>
        </w:numPr>
      </w:pPr>
      <w:r w:rsidRPr="00A96110">
        <w:t>the Expansion Band (815-816/860-861 MHz, 40 channels), and</w:t>
      </w:r>
    </w:p>
    <w:p w14:paraId="2D8D0579" w14:textId="77777777" w:rsidR="00843FDA" w:rsidRPr="00A96110" w:rsidRDefault="00843FDA" w:rsidP="00CD7CAC">
      <w:pPr>
        <w:pStyle w:val="ParaNum"/>
        <w:widowControl/>
        <w:numPr>
          <w:ilvl w:val="0"/>
          <w:numId w:val="38"/>
        </w:numPr>
      </w:pPr>
      <w:r w:rsidRPr="00A96110">
        <w:t>the Guard Band (816-817/861-862 MHz, 40 channels).</w:t>
      </w:r>
      <w:r w:rsidRPr="00C6580C">
        <w:rPr>
          <w:rStyle w:val="FootnoteReference"/>
          <w:szCs w:val="22"/>
        </w:rPr>
        <w:footnoteReference w:id="5"/>
      </w:r>
      <w:r w:rsidRPr="00A96110">
        <w:t xml:space="preserve">  </w:t>
      </w:r>
    </w:p>
    <w:p w14:paraId="1617C6CE" w14:textId="77777777" w:rsidR="00843FDA" w:rsidRPr="00A96110" w:rsidRDefault="00843FDA" w:rsidP="00CD7CAC">
      <w:pPr>
        <w:pStyle w:val="ParaNum"/>
        <w:widowControl/>
        <w:numPr>
          <w:ilvl w:val="0"/>
          <w:numId w:val="0"/>
        </w:numPr>
      </w:pPr>
      <w:r w:rsidRPr="00A96110">
        <w:t xml:space="preserve">Three service categories </w:t>
      </w:r>
      <w:r w:rsidRPr="00A96110">
        <w:rPr>
          <w:spacing w:val="-2"/>
        </w:rPr>
        <w:t>(</w:t>
      </w:r>
      <w:r w:rsidRPr="00A96110">
        <w:t>public safety,</w:t>
      </w:r>
      <w:r w:rsidR="007221D5" w:rsidRPr="00A96110">
        <w:t xml:space="preserve"> Business/Industrial Land Transportation (</w:t>
      </w:r>
      <w:r w:rsidRPr="00A96110">
        <w:t>B/ILT</w:t>
      </w:r>
      <w:r w:rsidR="007221D5" w:rsidRPr="00A96110">
        <w:t>)</w:t>
      </w:r>
      <w:r w:rsidRPr="00A96110">
        <w:t>, and high-site SMR) are interleaved in the Mid-Band,</w:t>
      </w:r>
      <w:r w:rsidRPr="00C6580C">
        <w:rPr>
          <w:rStyle w:val="FootnoteReference"/>
          <w:szCs w:val="22"/>
        </w:rPr>
        <w:footnoteReference w:id="6"/>
      </w:r>
      <w:r w:rsidRPr="00A96110">
        <w:t xml:space="preserve"> which contains 320 primary channel pairs, spaced every 25 kHz.</w:t>
      </w:r>
      <w:r w:rsidRPr="00C6580C">
        <w:rPr>
          <w:rStyle w:val="FootnoteReference"/>
          <w:szCs w:val="22"/>
        </w:rPr>
        <w:footnoteReference w:id="7"/>
      </w:r>
      <w:r w:rsidRPr="00A96110">
        <w:t xml:space="preserve">  The Commission’s rules provide that licensees may operate both conventional and trunked PLMR facilities in the Mid-Band subject to loading and construction requirements.</w:t>
      </w:r>
      <w:r w:rsidRPr="00C6580C">
        <w:rPr>
          <w:rStyle w:val="FootnoteReference"/>
          <w:szCs w:val="22"/>
        </w:rPr>
        <w:footnoteReference w:id="8"/>
      </w:r>
      <w:r w:rsidRPr="00A96110">
        <w:t xml:space="preserve">  Mid-Band channels are licensed on an exclusive use basis</w:t>
      </w:r>
      <w:r w:rsidR="00646597" w:rsidRPr="00A96110">
        <w:t>,</w:t>
      </w:r>
      <w:r w:rsidRPr="00A96110">
        <w:t xml:space="preserve"> with co-channel use restricted by distance to protect against interference.</w:t>
      </w:r>
      <w:r w:rsidRPr="00C6580C">
        <w:rPr>
          <w:rStyle w:val="FootnoteReference"/>
          <w:szCs w:val="22"/>
        </w:rPr>
        <w:footnoteReference w:id="9"/>
      </w:r>
      <w:r w:rsidRPr="00A96110">
        <w:t xml:space="preserve">  The Mid-Band rules do not currently accommodate interstitial channels.</w:t>
      </w:r>
      <w:r w:rsidRPr="00C6580C">
        <w:rPr>
          <w:rStyle w:val="FootnoteReference"/>
          <w:szCs w:val="22"/>
        </w:rPr>
        <w:footnoteReference w:id="10"/>
      </w:r>
      <w:r w:rsidRPr="00A96110">
        <w:t xml:space="preserve">  The Commission, however, has authorized the use of offset channels by waiver in certain areas.</w:t>
      </w:r>
      <w:r w:rsidRPr="00C6580C">
        <w:rPr>
          <w:rStyle w:val="FootnoteReference"/>
          <w:szCs w:val="22"/>
        </w:rPr>
        <w:footnoteReference w:id="11"/>
      </w:r>
      <w:r w:rsidRPr="00A96110">
        <w:t xml:space="preserve">  These 12.5 kHz offset channels obtained by waiver operate on a secondary basis to the adjacent primary 25 kHz assignments.</w:t>
      </w:r>
      <w:bookmarkStart w:id="35" w:name="FN[FN11]"/>
      <w:bookmarkEnd w:id="35"/>
      <w:r w:rsidRPr="00C6580C">
        <w:rPr>
          <w:rStyle w:val="FootnoteReference"/>
          <w:szCs w:val="22"/>
        </w:rPr>
        <w:footnoteReference w:id="12"/>
      </w:r>
    </w:p>
    <w:p w14:paraId="29328A21" w14:textId="77777777" w:rsidR="00DC1AA3" w:rsidRPr="00A96110" w:rsidRDefault="00843FDA" w:rsidP="00CD7CAC">
      <w:pPr>
        <w:pStyle w:val="ParaNum"/>
        <w:widowControl/>
        <w:tabs>
          <w:tab w:val="clear" w:pos="1440"/>
          <w:tab w:val="num" w:pos="1430"/>
        </w:tabs>
      </w:pPr>
      <w:r w:rsidRPr="00A96110">
        <w:t>Our channel spacing and bandwidth rules for the 800 MHz band are essentially unchanged since the 1970s and so predate the creation of the Mid-Band, which the Commission established as part of 800 MHz rebanding.</w:t>
      </w:r>
      <w:r w:rsidRPr="00C6580C">
        <w:rPr>
          <w:rStyle w:val="FootnoteReference"/>
          <w:szCs w:val="22"/>
        </w:rPr>
        <w:footnoteReference w:id="13"/>
      </w:r>
      <w:r w:rsidRPr="00A96110">
        <w:t xml:space="preserve">  </w:t>
      </w:r>
      <w:r w:rsidR="008F4226" w:rsidRPr="00A96110">
        <w:rPr>
          <w:color w:val="000000"/>
        </w:rPr>
        <w:t xml:space="preserve">Since the initial allocation of the 800 MHz band </w:t>
      </w:r>
      <w:r w:rsidR="008A7157" w:rsidRPr="00A96110">
        <w:rPr>
          <w:color w:val="000000"/>
        </w:rPr>
        <w:t>nearly</w:t>
      </w:r>
      <w:r w:rsidR="008F4226" w:rsidRPr="00A96110">
        <w:rPr>
          <w:color w:val="000000"/>
        </w:rPr>
        <w:t xml:space="preserve"> forty years ago</w:t>
      </w:r>
      <w:r w:rsidR="008D36A1" w:rsidRPr="00A96110">
        <w:rPr>
          <w:color w:val="000000"/>
        </w:rPr>
        <w:t>,</w:t>
      </w:r>
      <w:r w:rsidR="008F4226" w:rsidRPr="00A96110">
        <w:rPr>
          <w:color w:val="000000"/>
        </w:rPr>
        <w:t xml:space="preserve"> much has changed in </w:t>
      </w:r>
      <w:r w:rsidR="004A3BC2" w:rsidRPr="00A96110">
        <w:rPr>
          <w:color w:val="000000"/>
        </w:rPr>
        <w:t xml:space="preserve">the Commission’s </w:t>
      </w:r>
      <w:r w:rsidR="008F4226" w:rsidRPr="00A96110">
        <w:rPr>
          <w:color w:val="000000"/>
        </w:rPr>
        <w:t xml:space="preserve">approach to managing PLMR spectrum.  In 1991, the Commission initiated the </w:t>
      </w:r>
      <w:r w:rsidR="00355A59" w:rsidRPr="00A96110">
        <w:rPr>
          <w:color w:val="000000"/>
        </w:rPr>
        <w:t>r</w:t>
      </w:r>
      <w:r w:rsidR="008F4226" w:rsidRPr="00A96110">
        <w:rPr>
          <w:color w:val="000000"/>
        </w:rPr>
        <w:t xml:space="preserve">efarming proceeding to promote the more effective and efficient use of the </w:t>
      </w:r>
      <w:r w:rsidR="006129ED" w:rsidRPr="00A96110">
        <w:rPr>
          <w:color w:val="000000"/>
        </w:rPr>
        <w:t xml:space="preserve">congested </w:t>
      </w:r>
      <w:r w:rsidR="008F4226" w:rsidRPr="00A96110">
        <w:rPr>
          <w:color w:val="000000"/>
        </w:rPr>
        <w:t>PLMR spectrum bands below</w:t>
      </w:r>
      <w:r w:rsidR="00355A59" w:rsidRPr="00A96110">
        <w:rPr>
          <w:color w:val="000000"/>
        </w:rPr>
        <w:t xml:space="preserve"> </w:t>
      </w:r>
      <w:r w:rsidR="008F4226" w:rsidRPr="00A96110">
        <w:rPr>
          <w:color w:val="000000"/>
        </w:rPr>
        <w:t>512 MHz.</w:t>
      </w:r>
      <w:r w:rsidR="00672E66">
        <w:rPr>
          <w:rStyle w:val="FootnoteReference"/>
          <w:szCs w:val="22"/>
        </w:rPr>
        <w:footnoteReference w:id="14"/>
      </w:r>
      <w:r w:rsidR="008F4226" w:rsidRPr="00A96110">
        <w:rPr>
          <w:color w:val="000000"/>
        </w:rPr>
        <w:t xml:space="preserve">  The Commission </w:t>
      </w:r>
      <w:r w:rsidR="006129ED" w:rsidRPr="00A96110">
        <w:rPr>
          <w:color w:val="000000"/>
        </w:rPr>
        <w:t>excluded</w:t>
      </w:r>
      <w:r w:rsidR="008F4226" w:rsidRPr="00A96110">
        <w:rPr>
          <w:color w:val="000000"/>
        </w:rPr>
        <w:t xml:space="preserve"> the 800 MHz band from the </w:t>
      </w:r>
      <w:r w:rsidR="00355A59" w:rsidRPr="00A96110">
        <w:rPr>
          <w:color w:val="000000"/>
        </w:rPr>
        <w:t>r</w:t>
      </w:r>
      <w:r w:rsidR="008F4226" w:rsidRPr="00A96110">
        <w:rPr>
          <w:color w:val="000000"/>
        </w:rPr>
        <w:t xml:space="preserve">efarming proceeding because </w:t>
      </w:r>
      <w:r w:rsidR="006129ED" w:rsidRPr="00A96110">
        <w:rPr>
          <w:color w:val="000000"/>
        </w:rPr>
        <w:t>the rules governing the spectrum above 800 MHz already contained incentives designed to foster the research and development of advanced, spectrum</w:t>
      </w:r>
      <w:r w:rsidR="004A3BC2" w:rsidRPr="00A96110">
        <w:rPr>
          <w:color w:val="000000"/>
        </w:rPr>
        <w:t>-</w:t>
      </w:r>
      <w:r w:rsidR="006129ED" w:rsidRPr="00A96110">
        <w:rPr>
          <w:color w:val="000000"/>
        </w:rPr>
        <w:t>efficient techniques</w:t>
      </w:r>
      <w:r w:rsidR="008F4226" w:rsidRPr="00A96110">
        <w:rPr>
          <w:color w:val="000000"/>
        </w:rPr>
        <w:t>.</w:t>
      </w:r>
      <w:r w:rsidR="00672E66">
        <w:rPr>
          <w:rStyle w:val="FootnoteReference"/>
          <w:szCs w:val="22"/>
        </w:rPr>
        <w:footnoteReference w:id="15"/>
      </w:r>
      <w:r w:rsidR="00672E66" w:rsidRPr="00A96110">
        <w:rPr>
          <w:color w:val="000000"/>
        </w:rPr>
        <w:t xml:space="preserve">  </w:t>
      </w:r>
      <w:r w:rsidR="00355A59" w:rsidRPr="00A96110">
        <w:rPr>
          <w:color w:val="000000"/>
        </w:rPr>
        <w:t xml:space="preserve">Since that time, however, the capabilities of newer technologies, coupled with the increased demand for Mid-Band spectrum from public safety and other eligible users of the band, warrant further examination of the question whether there may be greater efficiencies available in the band.  </w:t>
      </w:r>
      <w:r w:rsidR="00672E66" w:rsidRPr="00A96110">
        <w:rPr>
          <w:color w:val="000000"/>
        </w:rPr>
        <w:t xml:space="preserve">  </w:t>
      </w:r>
    </w:p>
    <w:p w14:paraId="12E9DDCC" w14:textId="77777777" w:rsidR="00246E5D" w:rsidRPr="00A96110" w:rsidRDefault="00246E5D" w:rsidP="00CD7CAC">
      <w:pPr>
        <w:pStyle w:val="ParaNum"/>
        <w:widowControl/>
        <w:tabs>
          <w:tab w:val="clear" w:pos="1440"/>
          <w:tab w:val="num" w:pos="1430"/>
        </w:tabs>
      </w:pPr>
      <w:r w:rsidRPr="00A96110">
        <w:rPr>
          <w:color w:val="000000"/>
        </w:rPr>
        <w:t xml:space="preserve">The instant proposal for interstitial channels in the 800 MHz band differs significantly from the narrowbanding </w:t>
      </w:r>
      <w:r w:rsidR="00355A59" w:rsidRPr="00A96110">
        <w:rPr>
          <w:color w:val="000000"/>
        </w:rPr>
        <w:t xml:space="preserve">approach to below-512 MHz PLMR licensing </w:t>
      </w:r>
      <w:r w:rsidRPr="00A96110">
        <w:rPr>
          <w:color w:val="000000"/>
        </w:rPr>
        <w:t xml:space="preserve">in the refarming </w:t>
      </w:r>
      <w:r w:rsidR="00355A59" w:rsidRPr="00A96110">
        <w:rPr>
          <w:color w:val="000000"/>
        </w:rPr>
        <w:t>proceeding</w:t>
      </w:r>
      <w:r w:rsidRPr="00A96110">
        <w:rPr>
          <w:color w:val="000000"/>
        </w:rPr>
        <w:t>.  In refarming, all incumbent licensees were required to narrowband their facilities,</w:t>
      </w:r>
      <w:r w:rsidR="00355A59">
        <w:rPr>
          <w:rStyle w:val="FootnoteReference"/>
          <w:szCs w:val="22"/>
        </w:rPr>
        <w:footnoteReference w:id="16"/>
      </w:r>
      <w:r w:rsidRPr="00A96110">
        <w:rPr>
          <w:color w:val="000000"/>
        </w:rPr>
        <w:t xml:space="preserve"> whereas, in the instant proposal, incumbent licensees retain their existing </w:t>
      </w:r>
      <w:r w:rsidR="00902474" w:rsidRPr="00A96110">
        <w:rPr>
          <w:color w:val="000000"/>
        </w:rPr>
        <w:t xml:space="preserve">authorized </w:t>
      </w:r>
      <w:r w:rsidRPr="00A96110">
        <w:rPr>
          <w:color w:val="000000"/>
        </w:rPr>
        <w:t>facilities</w:t>
      </w:r>
      <w:r w:rsidR="00902474" w:rsidRPr="00A96110">
        <w:rPr>
          <w:color w:val="000000"/>
        </w:rPr>
        <w:t xml:space="preserve">.  </w:t>
      </w:r>
      <w:r w:rsidR="00CF02AC" w:rsidRPr="00A96110">
        <w:rPr>
          <w:color w:val="000000"/>
        </w:rPr>
        <w:t xml:space="preserve">Consequently, the proposal can be implemented immediately and does not require the multi-year transition to narrowband technology associated with refarming.  </w:t>
      </w:r>
      <w:r w:rsidR="00355A59" w:rsidRPr="00A96110">
        <w:rPr>
          <w:color w:val="000000"/>
        </w:rPr>
        <w:t>T</w:t>
      </w:r>
      <w:r w:rsidR="00CF02AC" w:rsidRPr="00A96110">
        <w:rPr>
          <w:color w:val="000000"/>
        </w:rPr>
        <w:t xml:space="preserve">he 800 MHz rules </w:t>
      </w:r>
      <w:r w:rsidR="00355A59" w:rsidRPr="00A96110">
        <w:rPr>
          <w:color w:val="000000"/>
        </w:rPr>
        <w:t xml:space="preserve">do </w:t>
      </w:r>
      <w:r w:rsidR="00CF02AC" w:rsidRPr="00A96110">
        <w:rPr>
          <w:color w:val="000000"/>
        </w:rPr>
        <w:t xml:space="preserve">provide applicants with the </w:t>
      </w:r>
      <w:r w:rsidR="007012FF" w:rsidRPr="00A96110">
        <w:rPr>
          <w:color w:val="000000"/>
        </w:rPr>
        <w:t xml:space="preserve">flexibility to aggregate up to five 25 kHz channels to accommodate </w:t>
      </w:r>
      <w:r w:rsidR="007E0976" w:rsidRPr="00A96110">
        <w:rPr>
          <w:color w:val="000000"/>
        </w:rPr>
        <w:t xml:space="preserve">efficient </w:t>
      </w:r>
      <w:r w:rsidR="007012FF" w:rsidRPr="00A96110">
        <w:rPr>
          <w:color w:val="000000"/>
        </w:rPr>
        <w:t>technologies that require more than a 25 kHz bandwidth</w:t>
      </w:r>
      <w:r w:rsidR="00E42A73" w:rsidRPr="00A96110">
        <w:rPr>
          <w:color w:val="000000"/>
        </w:rPr>
        <w:t>.</w:t>
      </w:r>
      <w:r w:rsidR="007012FF" w:rsidRPr="00A96110">
        <w:rPr>
          <w:color w:val="000000"/>
          <w:vertAlign w:val="superscript"/>
        </w:rPr>
        <w:footnoteReference w:id="17"/>
      </w:r>
      <w:r w:rsidR="007E0976" w:rsidRPr="00A96110">
        <w:rPr>
          <w:color w:val="000000"/>
        </w:rPr>
        <w:t xml:space="preserve"> </w:t>
      </w:r>
      <w:r w:rsidR="00355A59" w:rsidRPr="00A96110">
        <w:rPr>
          <w:color w:val="000000"/>
        </w:rPr>
        <w:t xml:space="preserve">However, </w:t>
      </w:r>
      <w:r w:rsidR="007E0976" w:rsidRPr="00A96110">
        <w:rPr>
          <w:color w:val="000000"/>
        </w:rPr>
        <w:t>doing so, particularly in large metropolitan areas</w:t>
      </w:r>
      <w:r w:rsidR="008D36A1" w:rsidRPr="00A96110">
        <w:rPr>
          <w:color w:val="000000"/>
        </w:rPr>
        <w:t>,</w:t>
      </w:r>
      <w:r w:rsidR="007E0976" w:rsidRPr="00A96110">
        <w:rPr>
          <w:color w:val="000000"/>
        </w:rPr>
        <w:t xml:space="preserve"> is generally foreclosed because the necessary contiguous spectrum is occupied by other users. </w:t>
      </w:r>
      <w:r w:rsidR="008D36A1" w:rsidRPr="00A96110">
        <w:rPr>
          <w:color w:val="000000"/>
        </w:rPr>
        <w:t xml:space="preserve"> </w:t>
      </w:r>
      <w:r w:rsidR="007E0976" w:rsidRPr="00A96110">
        <w:rPr>
          <w:color w:val="000000"/>
        </w:rPr>
        <w:t xml:space="preserve">Thus, </w:t>
      </w:r>
      <w:r w:rsidR="00CA1A63" w:rsidRPr="00A96110">
        <w:rPr>
          <w:color w:val="000000"/>
        </w:rPr>
        <w:t xml:space="preserve">more flexible use of spectrum in </w:t>
      </w:r>
      <w:r w:rsidR="007E0976" w:rsidRPr="00A96110">
        <w:rPr>
          <w:color w:val="000000"/>
        </w:rPr>
        <w:t>these areas appears possible only by</w:t>
      </w:r>
      <w:r w:rsidR="00CA1A63" w:rsidRPr="00A96110">
        <w:rPr>
          <w:color w:val="000000"/>
        </w:rPr>
        <w:t xml:space="preserve"> accommodating </w:t>
      </w:r>
      <w:r w:rsidR="00CA1A63" w:rsidRPr="00A96110">
        <w:rPr>
          <w:i/>
          <w:color w:val="000000"/>
        </w:rPr>
        <w:t>narrower</w:t>
      </w:r>
      <w:r w:rsidR="00CA1A63" w:rsidRPr="00A96110">
        <w:rPr>
          <w:color w:val="000000"/>
        </w:rPr>
        <w:t xml:space="preserve"> channel spacing in the </w:t>
      </w:r>
      <w:r w:rsidR="00A468AA" w:rsidRPr="00A96110">
        <w:rPr>
          <w:color w:val="000000"/>
        </w:rPr>
        <w:t>M</w:t>
      </w:r>
      <w:r w:rsidR="00CA1A63" w:rsidRPr="00A96110">
        <w:rPr>
          <w:color w:val="000000"/>
        </w:rPr>
        <w:t>id</w:t>
      </w:r>
      <w:r w:rsidR="00A468AA" w:rsidRPr="00A96110">
        <w:rPr>
          <w:color w:val="000000"/>
        </w:rPr>
        <w:t>-B</w:t>
      </w:r>
      <w:r w:rsidR="00CA1A63" w:rsidRPr="00A96110">
        <w:rPr>
          <w:color w:val="000000"/>
        </w:rPr>
        <w:t xml:space="preserve">and, as proposed by EWA. </w:t>
      </w:r>
    </w:p>
    <w:p w14:paraId="30EE8B5D" w14:textId="11748135" w:rsidR="007F5992" w:rsidRDefault="0010240D" w:rsidP="00CD7CAC">
      <w:pPr>
        <w:pStyle w:val="ParaNum"/>
        <w:widowControl/>
        <w:tabs>
          <w:tab w:val="clear" w:pos="1440"/>
          <w:tab w:val="num" w:pos="1430"/>
        </w:tabs>
        <w:rPr>
          <w:szCs w:val="22"/>
        </w:rPr>
      </w:pPr>
      <w:r w:rsidRPr="00A96110">
        <w:rPr>
          <w:color w:val="000000"/>
        </w:rPr>
        <w:t xml:space="preserve"> </w:t>
      </w:r>
      <w:r w:rsidR="00843FDA" w:rsidRPr="00A96110">
        <w:t xml:space="preserve">In </w:t>
      </w:r>
      <w:r w:rsidR="00843FDA" w:rsidRPr="00A96110">
        <w:rPr>
          <w:color w:val="000000"/>
        </w:rPr>
        <w:t>the</w:t>
      </w:r>
      <w:r w:rsidR="00843FDA" w:rsidRPr="00A96110">
        <w:t xml:space="preserve"> </w:t>
      </w:r>
      <w:r w:rsidR="000B793A" w:rsidRPr="00A96110">
        <w:t xml:space="preserve">2004 </w:t>
      </w:r>
      <w:r w:rsidR="00843FDA" w:rsidRPr="00A96110">
        <w:t xml:space="preserve">800 MHz rebanding </w:t>
      </w:r>
      <w:r w:rsidR="001E247E" w:rsidRPr="00A96110">
        <w:t>order</w:t>
      </w:r>
      <w:r w:rsidR="00843FDA" w:rsidRPr="00A96110">
        <w:t>, the Commission designated the Mid-Band</w:t>
      </w:r>
      <w:r w:rsidR="004A14D2">
        <w:rPr>
          <w:rStyle w:val="FootnoteReference"/>
          <w:szCs w:val="22"/>
        </w:rPr>
        <w:footnoteReference w:id="18"/>
      </w:r>
      <w:r w:rsidR="00843FDA" w:rsidRPr="00A96110">
        <w:t xml:space="preserve"> as the spectrum between (1) the National Public Safety Planning Advisory Committee (NPSPAC) allocation at 806-809/851-854 MHz,</w:t>
      </w:r>
      <w:r w:rsidR="00843FDA" w:rsidRPr="00C6580C">
        <w:rPr>
          <w:rStyle w:val="FootnoteReference"/>
          <w:szCs w:val="22"/>
        </w:rPr>
        <w:footnoteReference w:id="19"/>
      </w:r>
      <w:r w:rsidR="00843FDA" w:rsidRPr="00A96110">
        <w:t xml:space="preserve"> and (2) the Enhanced SMR (ESMR)</w:t>
      </w:r>
      <w:r w:rsidR="00843FDA" w:rsidRPr="00C6580C">
        <w:rPr>
          <w:rStyle w:val="FootnoteReference"/>
          <w:szCs w:val="22"/>
        </w:rPr>
        <w:footnoteReference w:id="20"/>
      </w:r>
      <w:r w:rsidR="00843FDA" w:rsidRPr="00A96110">
        <w:t xml:space="preserve"> allocation at 817-824/862-869 MHz, as illustrated below: </w:t>
      </w:r>
    </w:p>
    <w:p w14:paraId="4A6547BA" w14:textId="77777777" w:rsidR="00BE0907" w:rsidRDefault="00843FDA" w:rsidP="00CD7CAC">
      <w:pPr>
        <w:pStyle w:val="ParaNum"/>
        <w:widowControl/>
        <w:numPr>
          <w:ilvl w:val="0"/>
          <w:numId w:val="0"/>
        </w:numPr>
        <w:ind w:left="720"/>
        <w:rPr>
          <w:szCs w:val="22"/>
        </w:rPr>
      </w:pPr>
      <w:r w:rsidRPr="00C6580C">
        <w:rPr>
          <w:szCs w:val="22"/>
        </w:rPr>
        <w:t xml:space="preserve"> </w:t>
      </w:r>
    </w:p>
    <w:p w14:paraId="2A0BBBD0" w14:textId="17CF48BE" w:rsidR="007F5992" w:rsidRPr="00560D29" w:rsidRDefault="00BE0907" w:rsidP="00CD7CAC">
      <w:pPr>
        <w:pStyle w:val="ParaNum"/>
        <w:widowControl/>
        <w:numPr>
          <w:ilvl w:val="0"/>
          <w:numId w:val="0"/>
        </w:numPr>
        <w:ind w:left="990"/>
        <w:rPr>
          <w:szCs w:val="22"/>
        </w:rPr>
      </w:pPr>
      <w:r w:rsidRPr="001B1A29">
        <w:rPr>
          <w:noProof/>
          <w:szCs w:val="22"/>
        </w:rPr>
        <w:drawing>
          <wp:inline distT="0" distB="0" distL="0" distR="0" wp14:anchorId="1C2B123F" wp14:editId="3B67C6A4">
            <wp:extent cx="5486400" cy="4114800"/>
            <wp:effectExtent l="0" t="0" r="0" b="0"/>
            <wp:docPr id="108" name="Picture 108" descr="K:\Bureaus-Offices\PSHSB\Policy\Brian\800 MHz\EWA Petition for 800 MHz\Mid-Ban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ureaus-Offices\PSHSB\Policy\Brian\800 MHz\EWA Petition for 800 MHz\Mid-Band Graph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1F30E44B" w14:textId="77777777" w:rsidR="00843FDA" w:rsidRPr="00A96110" w:rsidRDefault="00843FDA" w:rsidP="00CD7CAC">
      <w:pPr>
        <w:pStyle w:val="ParaNum"/>
        <w:widowControl/>
      </w:pPr>
      <w:r w:rsidRPr="00A96110">
        <w:t>The Commission initiated rebanding to resolve interference from 800 MHz “low site” commercial stations to “high site” systems in the band and to provide additional public safety spectrum.</w:t>
      </w:r>
      <w:r w:rsidRPr="00C6580C">
        <w:rPr>
          <w:rStyle w:val="FootnoteReference"/>
          <w:szCs w:val="22"/>
        </w:rPr>
        <w:footnoteReference w:id="21"/>
      </w:r>
      <w:r w:rsidRPr="00A96110">
        <w:t xml:space="preserve">  As a consequence of 800 MHz rebanding, Mid-Band channels are subject to technology and licensing restrictions; </w:t>
      </w:r>
      <w:r w:rsidRPr="00A96110">
        <w:rPr>
          <w:i/>
        </w:rPr>
        <w:t>e.g.</w:t>
      </w:r>
      <w:r w:rsidRPr="00A96110">
        <w:t>, licensees may not deploy high-density cellular systems in the Mid-Band, and Guard Band stations near the ESMR band receive less interference protection than other Mid-Band channels.</w:t>
      </w:r>
      <w:r w:rsidRPr="00C6580C">
        <w:rPr>
          <w:rStyle w:val="FootnoteReference"/>
          <w:szCs w:val="22"/>
        </w:rPr>
        <w:footnoteReference w:id="22"/>
      </w:r>
      <w:r w:rsidRPr="00A96110">
        <w:t xml:space="preserve">  Additionally, the Interleaved Band spectrum remaining after </w:t>
      </w:r>
      <w:r w:rsidRPr="00A96110">
        <w:rPr>
          <w:kern w:val="0"/>
        </w:rPr>
        <w:t>ESMR operators relocate to the ESMR band is exclusively available to public safety applicants for three years</w:t>
      </w:r>
      <w:bookmarkStart w:id="36" w:name="sp_1511_5005"/>
      <w:bookmarkStart w:id="37" w:name="SDU_5005"/>
      <w:bookmarkEnd w:id="36"/>
      <w:bookmarkEnd w:id="37"/>
      <w:r w:rsidRPr="00A96110">
        <w:rPr>
          <w:kern w:val="0"/>
        </w:rPr>
        <w:t xml:space="preserve"> </w:t>
      </w:r>
      <w:bookmarkStart w:id="38" w:name="citeas((Cite_as:_26_F.C.C.R._5004,_*5005"/>
      <w:bookmarkEnd w:id="38"/>
      <w:r w:rsidRPr="00A96110">
        <w:rPr>
          <w:kern w:val="0"/>
        </w:rPr>
        <w:t>after the completion of rebanding in each public safety region and exclusively available to public safety and critical infrastructure industry (CII) eligibles for the following two years</w:t>
      </w:r>
      <w:r w:rsidRPr="00A96110">
        <w:t>.</w:t>
      </w:r>
      <w:r w:rsidRPr="00C6580C">
        <w:rPr>
          <w:rStyle w:val="FootnoteReference"/>
          <w:szCs w:val="22"/>
        </w:rPr>
        <w:footnoteReference w:id="23"/>
      </w:r>
      <w:r w:rsidRPr="00A96110">
        <w:t xml:space="preserve">  At the end of this five-year period, the ESMR-vacated channels in the Interleaved Band revert to their pre-rebanding pool categories </w:t>
      </w:r>
      <w:r w:rsidRPr="00A96110">
        <w:rPr>
          <w:i/>
          <w:spacing w:val="-2"/>
        </w:rPr>
        <w:t>i.e.,</w:t>
      </w:r>
      <w:r w:rsidRPr="00A96110">
        <w:t xml:space="preserve"> public safety, B/ILT and SMR.</w:t>
      </w:r>
      <w:r w:rsidRPr="00C6580C">
        <w:rPr>
          <w:rStyle w:val="FootnoteReference"/>
          <w:szCs w:val="22"/>
        </w:rPr>
        <w:footnoteReference w:id="24"/>
      </w:r>
      <w:r w:rsidRPr="00A96110">
        <w:t xml:space="preserve">  </w:t>
      </w:r>
      <w:r w:rsidRPr="00A96110">
        <w:rPr>
          <w:color w:val="010101"/>
          <w:kern w:val="0"/>
        </w:rPr>
        <w:t>In connection with reconfiguration of the 800 MHz band, the Public Safety and Homeland</w:t>
      </w:r>
      <w:r w:rsidRPr="00A96110">
        <w:rPr>
          <w:rFonts w:ascii="TimesNewRoman" w:hAnsi="TimesNewRoman"/>
          <w:color w:val="010101"/>
          <w:kern w:val="0"/>
        </w:rPr>
        <w:t xml:space="preserve"> </w:t>
      </w:r>
      <w:r w:rsidRPr="00A96110">
        <w:rPr>
          <w:color w:val="010101"/>
          <w:kern w:val="0"/>
        </w:rPr>
        <w:t>Security Bureau (PSHSB) released for licensing, certain channels vacated by Sprint in the interleaved portion of the band (809-815/854-860 MHz).</w:t>
      </w:r>
      <w:r w:rsidRPr="00C6580C">
        <w:rPr>
          <w:rStyle w:val="FootnoteReference"/>
          <w:kern w:val="0"/>
          <w:szCs w:val="22"/>
        </w:rPr>
        <w:footnoteReference w:id="25"/>
      </w:r>
      <w:r w:rsidRPr="00A96110">
        <w:rPr>
          <w:kern w:val="0"/>
        </w:rPr>
        <w:t xml:space="preserve">  Guard Band and Expansion Band channels have been, and will continue to be, made available for licensing under the B/ILT, high-site SMR and General pool categories as rebanding is completed in each public safety region</w:t>
      </w:r>
      <w:r w:rsidRPr="00A96110">
        <w:t>.</w:t>
      </w:r>
      <w:bookmarkStart w:id="39" w:name="_Ref381611956"/>
      <w:r w:rsidRPr="00C6580C">
        <w:rPr>
          <w:rStyle w:val="FootnoteReference"/>
          <w:szCs w:val="22"/>
        </w:rPr>
        <w:footnoteReference w:id="26"/>
      </w:r>
      <w:bookmarkEnd w:id="39"/>
      <w:r w:rsidRPr="00A96110">
        <w:t xml:space="preserve">  </w:t>
      </w:r>
    </w:p>
    <w:p w14:paraId="31B2E0E5" w14:textId="77777777" w:rsidR="00843FDA" w:rsidRPr="00A96110" w:rsidRDefault="00843FDA" w:rsidP="00CD7CAC">
      <w:pPr>
        <w:pStyle w:val="ParaNum"/>
        <w:widowControl/>
      </w:pPr>
      <w:r w:rsidRPr="00A96110">
        <w:rPr>
          <w:color w:val="000000"/>
        </w:rPr>
        <w:t xml:space="preserve">In 2009, EWA requested that </w:t>
      </w:r>
      <w:r w:rsidRPr="00A96110">
        <w:t>we initiate a proceeding to assign new, full-power interstitial 12.5 kHz frequencies between currently authorized 25 kHz bandwidth channels at 854-861/809-816 MHz (collectively the Interleaved Band and Expansion Band).</w:t>
      </w:r>
      <w:r w:rsidRPr="00C6580C">
        <w:rPr>
          <w:rStyle w:val="FootnoteReference"/>
          <w:szCs w:val="22"/>
        </w:rPr>
        <w:footnoteReference w:id="27"/>
      </w:r>
      <w:r w:rsidRPr="00A96110">
        <w:t xml:space="preserve">  </w:t>
      </w:r>
      <w:bookmarkStart w:id="40" w:name="citeas((Cite_as:_6_FCC_Rcd._4126,_*4127_"/>
      <w:bookmarkStart w:id="41" w:name="sp_4493_4127"/>
      <w:bookmarkStart w:id="42" w:name="SDU_4127"/>
      <w:bookmarkEnd w:id="40"/>
      <w:bookmarkEnd w:id="41"/>
      <w:bookmarkEnd w:id="42"/>
      <w:r w:rsidRPr="00A96110">
        <w:t>EWA submitted that “it is now appropriate […] to consider whether changes in the 800 MHz regulatory structure would serve the interests of PLMR users, and permit more intensive use of this spectrum while concurrently promoting the implementation of advanced technologies.”</w:t>
      </w:r>
      <w:r w:rsidRPr="00C6580C">
        <w:rPr>
          <w:rStyle w:val="FootnoteReference"/>
          <w:szCs w:val="22"/>
        </w:rPr>
        <w:footnoteReference w:id="28"/>
      </w:r>
      <w:r w:rsidRPr="00A96110">
        <w:t xml:space="preserve">  To improve the efficient use of the 800 MHz spectrum, EWA proposed to establish interstitial full-power 12.5 kHz bandwidth channels between the NPSPAC and Guard Band segments, “subject to rules that will ensure continued interference protection for incumbent 25 kHz bandwidth licensees.”</w:t>
      </w:r>
      <w:r w:rsidRPr="00C6580C">
        <w:rPr>
          <w:rStyle w:val="FootnoteReference"/>
          <w:szCs w:val="22"/>
        </w:rPr>
        <w:footnoteReference w:id="29"/>
      </w:r>
      <w:r w:rsidRPr="00A96110">
        <w:t xml:space="preserve">  EWA proposed that we establish new 12.5 kHz bandwidth interstitial channels centered 12.5 kHz above and below the existing 25 kHz channels in the Interleaved Band as shown below: </w:t>
      </w:r>
    </w:p>
    <w:p w14:paraId="366A8E41" w14:textId="77777777" w:rsidR="00843FDA" w:rsidRPr="00C6580C" w:rsidRDefault="008023B0" w:rsidP="00CD7CAC">
      <w:pPr>
        <w:widowControl/>
        <w:jc w:val="center"/>
        <w:rPr>
          <w:b/>
          <w:szCs w:val="22"/>
        </w:rPr>
      </w:pPr>
      <w:r>
        <w:rPr>
          <w:b/>
          <w:noProof/>
          <w:szCs w:val="22"/>
        </w:rPr>
        <w:drawing>
          <wp:inline distT="0" distB="0" distL="0" distR="0" wp14:anchorId="173C4D8F" wp14:editId="7F782177">
            <wp:extent cx="4206240" cy="2609850"/>
            <wp:effectExtent l="0" t="0" r="3810" b="0"/>
            <wp:docPr id="2" name="Picture 2" descr="EWA Proposal for New Interstitial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 Proposal for New Interstitial Channe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2609850"/>
                    </a:xfrm>
                    <a:prstGeom prst="rect">
                      <a:avLst/>
                    </a:prstGeom>
                    <a:noFill/>
                    <a:ln>
                      <a:noFill/>
                    </a:ln>
                  </pic:spPr>
                </pic:pic>
              </a:graphicData>
            </a:graphic>
          </wp:inline>
        </w:drawing>
      </w:r>
    </w:p>
    <w:p w14:paraId="30E01E05" w14:textId="77777777" w:rsidR="00843FDA" w:rsidRPr="00A96110" w:rsidRDefault="00843FDA" w:rsidP="00CD7CAC">
      <w:pPr>
        <w:pStyle w:val="ParaNum"/>
        <w:widowControl/>
        <w:tabs>
          <w:tab w:val="clear" w:pos="1440"/>
          <w:tab w:val="num" w:pos="1430"/>
        </w:tabs>
      </w:pPr>
      <w:r w:rsidRPr="00A96110">
        <w:t>EWA submitted that its proposal “will promote greater spectrum efficiency, further encourage the development of new analog and digital technologies critical to incumbent licensees that require innovative wireless solutions to accommodate expanding business requirements, and provide the potential for a viable spectrum alternative for new entrants whose requirements can be met without compromising incumbent operations.”</w:t>
      </w:r>
      <w:r w:rsidRPr="00C6580C">
        <w:rPr>
          <w:rStyle w:val="FootnoteReference"/>
          <w:szCs w:val="22"/>
        </w:rPr>
        <w:footnoteReference w:id="30"/>
      </w:r>
      <w:r w:rsidRPr="00A96110">
        <w:t xml:space="preserve">  EWA also claimed that its proposal will “provide consistency between the 800 MHz band plan and those in other Part 90 allocations, thereby permitting the development of dual-band communication devices, which will further promote spectrum efficiency.”</w:t>
      </w:r>
      <w:r w:rsidRPr="00C6580C">
        <w:rPr>
          <w:rStyle w:val="FootnoteReference"/>
          <w:szCs w:val="22"/>
        </w:rPr>
        <w:footnoteReference w:id="31"/>
      </w:r>
      <w:r w:rsidRPr="00A96110">
        <w:t xml:space="preserve">  Further, EWA stated that interstitial operations would be “subject to rules that will ensure continued interference protection for incumbent 25 kHz bandwidth licensees”</w:t>
      </w:r>
      <w:r w:rsidRPr="00C6580C">
        <w:rPr>
          <w:rStyle w:val="FootnoteReference"/>
          <w:szCs w:val="22"/>
        </w:rPr>
        <w:footnoteReference w:id="32"/>
      </w:r>
      <w:r w:rsidRPr="00A96110">
        <w:t xml:space="preserve"> and assured the Commission that its proposed changes would not affect public safety operations in either the old or the new NPSPAC bands or Sprint’s operations in the new ESMR band.</w:t>
      </w:r>
      <w:r w:rsidRPr="00C6580C">
        <w:rPr>
          <w:rStyle w:val="FootnoteReference"/>
          <w:szCs w:val="22"/>
        </w:rPr>
        <w:footnoteReference w:id="33"/>
      </w:r>
    </w:p>
    <w:p w14:paraId="20EC6775" w14:textId="77777777" w:rsidR="00843FDA" w:rsidRPr="00A96110" w:rsidRDefault="00843FDA" w:rsidP="00CD7CAC">
      <w:pPr>
        <w:pStyle w:val="ParaNum"/>
        <w:widowControl/>
        <w:tabs>
          <w:tab w:val="clear" w:pos="1440"/>
          <w:tab w:val="num" w:pos="1430"/>
        </w:tabs>
        <w:rPr>
          <w:color w:val="010101"/>
        </w:rPr>
      </w:pPr>
      <w:r w:rsidRPr="00A96110">
        <w:t>EWA recommended that the Commission retain the existing 40 dBµV/m F(50,50) standard for the protected service contour of 25 kHz bandwidth systems.</w:t>
      </w:r>
      <w:r w:rsidRPr="00C6580C">
        <w:rPr>
          <w:rStyle w:val="FootnoteReference"/>
          <w:szCs w:val="22"/>
        </w:rPr>
        <w:footnoteReference w:id="34"/>
      </w:r>
      <w:r w:rsidRPr="00A96110">
        <w:t xml:space="preserve">  EWA explained that the Commission historically has required 800 MHz licensees and applicants to use the R-6602 curves in calculating contours in this band and</w:t>
      </w:r>
      <w:r w:rsidRPr="00A96110">
        <w:rPr>
          <w:color w:val="010101"/>
        </w:rPr>
        <w:t xml:space="preserve"> recommends </w:t>
      </w:r>
      <w:r w:rsidRPr="00A96110">
        <w:t>retaining those curves for consistency in analysis.  EWA, however, also noted that alternative interference analysis methodologies exist that more accurately reflect real world conditions and states that it would not be opposed to the adoption of a different analytical standard.</w:t>
      </w:r>
      <w:r w:rsidRPr="00C6580C">
        <w:rPr>
          <w:rStyle w:val="FootnoteReference"/>
          <w:color w:val="000000"/>
          <w:szCs w:val="22"/>
        </w:rPr>
        <w:footnoteReference w:id="35"/>
      </w:r>
      <w:r w:rsidRPr="00A96110">
        <w:rPr>
          <w:color w:val="010101"/>
        </w:rPr>
        <w:t xml:space="preserve">  Because </w:t>
      </w:r>
      <w:r w:rsidRPr="00A96110">
        <w:t>the interstitial channels would be 12.5 kHz removed from the 25 kHz standard channels, EWA proposed that 12.5 kHz interstitial operation be allowed if the 34 dBµV/m F(50,10) interference contour of a proposed station does not overlap the 40 dBµV/m F(50,50) contour of an incumbent station.</w:t>
      </w:r>
      <w:r w:rsidRPr="00C6580C">
        <w:rPr>
          <w:rStyle w:val="FootnoteReference"/>
          <w:szCs w:val="22"/>
        </w:rPr>
        <w:footnoteReference w:id="36"/>
      </w:r>
      <w:r w:rsidRPr="00A96110">
        <w:t xml:space="preserve">  Finally, EWA proposed making the new interstitial channels available to all qualified Part 90 applicants, independent of the eligibility category of licensees on the adjacent 25 kHz bandwidth channels.</w:t>
      </w:r>
      <w:r w:rsidRPr="00C6580C">
        <w:rPr>
          <w:rStyle w:val="FootnoteReference"/>
          <w:szCs w:val="22"/>
        </w:rPr>
        <w:footnoteReference w:id="37"/>
      </w:r>
      <w:r w:rsidRPr="00A96110">
        <w:t xml:space="preserve">  </w:t>
      </w:r>
    </w:p>
    <w:p w14:paraId="2849AB7A" w14:textId="77777777" w:rsidR="005A62C8" w:rsidRPr="00A96110" w:rsidRDefault="00843FDA" w:rsidP="00CD7CAC">
      <w:pPr>
        <w:pStyle w:val="ParaNum"/>
        <w:widowControl/>
        <w:tabs>
          <w:tab w:val="clear" w:pos="1440"/>
          <w:tab w:val="num" w:pos="1430"/>
        </w:tabs>
      </w:pPr>
      <w:r w:rsidRPr="00A96110">
        <w:t xml:space="preserve">The PSHSB and Wireless Telecommunications Bureau (WTB) jointly issued a </w:t>
      </w:r>
      <w:r w:rsidRPr="00A96110">
        <w:rPr>
          <w:i/>
        </w:rPr>
        <w:t>Public Notice</w:t>
      </w:r>
      <w:r w:rsidRPr="00A96110">
        <w:t xml:space="preserve"> requesting comments on the EWA Petition.</w:t>
      </w:r>
      <w:r w:rsidRPr="00C6580C">
        <w:rPr>
          <w:rStyle w:val="FootnoteReference"/>
          <w:color w:val="000000"/>
          <w:szCs w:val="22"/>
        </w:rPr>
        <w:footnoteReference w:id="38"/>
      </w:r>
      <w:r w:rsidRPr="00A96110">
        <w:rPr>
          <w:color w:val="000000"/>
        </w:rPr>
        <w:t xml:space="preserve">  </w:t>
      </w:r>
      <w:r w:rsidRPr="00A96110">
        <w:t>Nearly all commenters agreed that 12.5 kHz interstitial channels in the 800 MHz band, if properly managed</w:t>
      </w:r>
      <w:r w:rsidR="001E247E" w:rsidRPr="00A96110">
        <w:t xml:space="preserve"> so as to avoid harmful interference to existing licensees</w:t>
      </w:r>
      <w:r w:rsidRPr="00A96110">
        <w:t>, could prove beneficial to public safety and enterprise business and industrial users by providing additional channel capacity, added spectrum efficiency, and deployment of advanced technologies.</w:t>
      </w:r>
      <w:r w:rsidRPr="00C6580C">
        <w:rPr>
          <w:rStyle w:val="FootnoteReference"/>
          <w:szCs w:val="22"/>
        </w:rPr>
        <w:footnoteReference w:id="39"/>
      </w:r>
      <w:r w:rsidRPr="00A96110">
        <w:t xml:space="preserve">  For example, LMCC submitted that “[a</w:t>
      </w:r>
      <w:r w:rsidRPr="00A96110">
        <w:rPr>
          <w:kern w:val="0"/>
        </w:rPr>
        <w:t>] variety of advanced analog and digital [Land Mobile Radio (LMR)] equipment, using [Frequency Division Multiple Access (FDMA)</w:t>
      </w:r>
      <w:r w:rsidRPr="00C6580C">
        <w:rPr>
          <w:rStyle w:val="FootnoteReference"/>
          <w:kern w:val="0"/>
          <w:szCs w:val="22"/>
        </w:rPr>
        <w:footnoteReference w:id="40"/>
      </w:r>
      <w:r w:rsidRPr="00A96110">
        <w:rPr>
          <w:kern w:val="0"/>
        </w:rPr>
        <w:t>] and new [Time Division Multiple Access (TDMA)] techniques, is being provided in the 800 MHz band by the equipment vendors today.”</w:t>
      </w:r>
      <w:r w:rsidRPr="00C6580C">
        <w:rPr>
          <w:rStyle w:val="FootnoteReference"/>
          <w:kern w:val="0"/>
          <w:szCs w:val="22"/>
        </w:rPr>
        <w:footnoteReference w:id="41"/>
      </w:r>
      <w:r w:rsidRPr="00A96110">
        <w:rPr>
          <w:kern w:val="0"/>
        </w:rPr>
        <w:t xml:space="preserve">  The availability of new additional 12.5 kHz channels in the 800 MHz band, LMCC added, “will provide additional opportunities to better meet the communications needs and accelerate the advanced equipment choices of the users.”</w:t>
      </w:r>
      <w:r w:rsidRPr="00C6580C">
        <w:rPr>
          <w:rStyle w:val="FootnoteReference"/>
          <w:kern w:val="0"/>
          <w:szCs w:val="22"/>
        </w:rPr>
        <w:footnoteReference w:id="42"/>
      </w:r>
      <w:r w:rsidRPr="00A96110">
        <w:rPr>
          <w:kern w:val="0"/>
        </w:rPr>
        <w:t xml:space="preserve">  LMCC also submitted that, “unlike the shared and cluttered spectrum environment in the VHF and UHF bands, the structured [and] virtually exclusive channel use through protected service contours in the 800 MHz band much more readily allows the introduction of new trunking systems and licensing of usable interstitial 12.5 kHz channels, both of which lead to more efficient use of the spectrum and more frequency channel availability for users.”</w:t>
      </w:r>
      <w:r w:rsidRPr="00C6580C">
        <w:rPr>
          <w:rStyle w:val="FootnoteReference"/>
          <w:kern w:val="0"/>
          <w:szCs w:val="22"/>
        </w:rPr>
        <w:footnoteReference w:id="43"/>
      </w:r>
      <w:r w:rsidRPr="00A96110">
        <w:rPr>
          <w:kern w:val="0"/>
        </w:rPr>
        <w:t xml:space="preserve">  LMCC and others, however, emphasized that the 800 MHz band was continuing to undergo rebanding, that introduction of interstitial channels should not interfere with incumbents’ rebanding efforts, and that the Commission should not impose unnecessary burdens, such as mandated narrowbanding of the standard channels.</w:t>
      </w:r>
      <w:r w:rsidRPr="00C6580C">
        <w:rPr>
          <w:rStyle w:val="FootnoteReference"/>
          <w:kern w:val="0"/>
          <w:szCs w:val="22"/>
        </w:rPr>
        <w:footnoteReference w:id="44"/>
      </w:r>
      <w:r w:rsidRPr="00A96110">
        <w:rPr>
          <w:kern w:val="0"/>
        </w:rPr>
        <w:t xml:space="preserve">  LMCC recognized that several parties expressed concern about protecting incumbent 25 kHz licensees from interference and offered to study the matter further.</w:t>
      </w:r>
      <w:r w:rsidRPr="00C6580C">
        <w:rPr>
          <w:rStyle w:val="FootnoteReference"/>
          <w:kern w:val="0"/>
          <w:szCs w:val="22"/>
        </w:rPr>
        <w:footnoteReference w:id="45"/>
      </w:r>
      <w:r w:rsidRPr="00A96110">
        <w:rPr>
          <w:kern w:val="0"/>
        </w:rPr>
        <w:t xml:space="preserve">  </w:t>
      </w:r>
    </w:p>
    <w:p w14:paraId="2D443519" w14:textId="0D3C1799" w:rsidR="00C45A15" w:rsidRPr="003B0CAC" w:rsidRDefault="00C45A15" w:rsidP="00CD7CAC">
      <w:pPr>
        <w:pStyle w:val="ParaNum"/>
        <w:widowControl/>
        <w:tabs>
          <w:tab w:val="clear" w:pos="1440"/>
          <w:tab w:val="num" w:pos="1430"/>
        </w:tabs>
        <w:rPr>
          <w:szCs w:val="22"/>
        </w:rPr>
      </w:pPr>
      <w:r w:rsidRPr="003B0CAC">
        <w:rPr>
          <w:szCs w:val="22"/>
        </w:rPr>
        <w:t>One commenting party opposed</w:t>
      </w:r>
      <w:r w:rsidRPr="001B1A29">
        <w:t xml:space="preserve"> EWA’s proposal</w:t>
      </w:r>
      <w:r w:rsidRPr="003B0CAC">
        <w:rPr>
          <w:szCs w:val="22"/>
        </w:rPr>
        <w:t xml:space="preserve"> in its entirety.</w:t>
      </w:r>
      <w:r w:rsidR="00486495" w:rsidRPr="00A96110">
        <w:rPr>
          <w:kern w:val="0"/>
        </w:rPr>
        <w:t xml:space="preserve">  The United Telecom Council </w:t>
      </w:r>
      <w:r w:rsidR="008A7157" w:rsidRPr="00A96110">
        <w:rPr>
          <w:kern w:val="0"/>
        </w:rPr>
        <w:t xml:space="preserve">(UTC) </w:t>
      </w:r>
      <w:r w:rsidR="00486495" w:rsidRPr="00A96110">
        <w:rPr>
          <w:kern w:val="0"/>
        </w:rPr>
        <w:t xml:space="preserve">suggested that </w:t>
      </w:r>
      <w:r w:rsidR="005A62C8" w:rsidRPr="00A96110">
        <w:rPr>
          <w:kern w:val="0"/>
        </w:rPr>
        <w:t>EWA</w:t>
      </w:r>
      <w:r w:rsidR="00C2630B" w:rsidRPr="00A96110">
        <w:rPr>
          <w:kern w:val="0"/>
        </w:rPr>
        <w:t>’s</w:t>
      </w:r>
      <w:r w:rsidR="005A62C8" w:rsidRPr="00A96110">
        <w:rPr>
          <w:kern w:val="0"/>
        </w:rPr>
        <w:t xml:space="preserve"> proposal (1) lacks adequate interference safeguards, (2) would move the 800 MHz band in the wrong direction and away from digital, IP-based and broadband technologies and (3) would disrupt 800 MHz rebanding</w:t>
      </w:r>
      <w:r w:rsidR="00B512F5" w:rsidRPr="00A96110">
        <w:rPr>
          <w:kern w:val="0"/>
        </w:rPr>
        <w:t xml:space="preserve"> and risk recreating the interference problems that prompted rebanding</w:t>
      </w:r>
      <w:r w:rsidR="00486495" w:rsidRPr="00A96110">
        <w:rPr>
          <w:kern w:val="0"/>
        </w:rPr>
        <w:t>.</w:t>
      </w:r>
      <w:r w:rsidR="00486495">
        <w:rPr>
          <w:rStyle w:val="FootnoteReference"/>
          <w:kern w:val="0"/>
          <w:szCs w:val="22"/>
        </w:rPr>
        <w:footnoteReference w:id="46"/>
      </w:r>
      <w:r w:rsidR="005A62C8" w:rsidRPr="00A96110">
        <w:rPr>
          <w:kern w:val="0"/>
        </w:rPr>
        <w:t xml:space="preserve">  If the Commission revisits the 800 MHz band, UTC suggests that the Commission consider “changing rules currently limiting data to uses only ancillary to voice. </w:t>
      </w:r>
      <w:r w:rsidR="00C2630B" w:rsidRPr="00A96110">
        <w:rPr>
          <w:kern w:val="0"/>
        </w:rPr>
        <w:t xml:space="preserve"> </w:t>
      </w:r>
      <w:r w:rsidR="005A62C8" w:rsidRPr="00A96110">
        <w:rPr>
          <w:kern w:val="0"/>
        </w:rPr>
        <w:t>The FCC also should make it easier to aggregate current 25 kHz frequencies into</w:t>
      </w:r>
      <w:r w:rsidR="005A62C8" w:rsidRPr="00A96110">
        <w:t xml:space="preserve"> </w:t>
      </w:r>
      <w:r w:rsidR="005A62C8" w:rsidRPr="00A96110">
        <w:rPr>
          <w:kern w:val="0"/>
        </w:rPr>
        <w:t>broader ‘pipes.’”</w:t>
      </w:r>
      <w:r w:rsidR="005A62C8">
        <w:rPr>
          <w:rStyle w:val="FootnoteReference"/>
          <w:kern w:val="0"/>
          <w:szCs w:val="22"/>
        </w:rPr>
        <w:footnoteReference w:id="47"/>
      </w:r>
      <w:r w:rsidR="005A62C8" w:rsidRPr="00A96110">
        <w:rPr>
          <w:kern w:val="0"/>
        </w:rPr>
        <w:t xml:space="preserve">  </w:t>
      </w:r>
    </w:p>
    <w:p w14:paraId="2CB5C864" w14:textId="77777777" w:rsidR="00F20C98" w:rsidRPr="00A96110" w:rsidRDefault="00C45A15" w:rsidP="00CD7CAC">
      <w:pPr>
        <w:pStyle w:val="ParaNum"/>
        <w:widowControl/>
        <w:tabs>
          <w:tab w:val="clear" w:pos="1440"/>
          <w:tab w:val="num" w:pos="1430"/>
        </w:tabs>
      </w:pPr>
      <w:r w:rsidRPr="003B0CAC">
        <w:rPr>
          <w:szCs w:val="22"/>
        </w:rPr>
        <w:t>Other commenters raised concerns over (1) interference protection and eligibility criteria and (2) application of the EWA proposal to the ESMR band in the Southeast, U.S.</w:t>
      </w:r>
      <w:r>
        <w:rPr>
          <w:rFonts w:ascii="Garamond" w:hAnsi="Garamond"/>
          <w:sz w:val="28"/>
          <w:szCs w:val="28"/>
        </w:rPr>
        <w:t xml:space="preserve">  </w:t>
      </w:r>
      <w:r w:rsidR="00486495" w:rsidRPr="006D656A">
        <w:rPr>
          <w:szCs w:val="22"/>
        </w:rPr>
        <w:t>Mr.</w:t>
      </w:r>
      <w:r w:rsidR="00486495" w:rsidRPr="00A96110">
        <w:t xml:space="preserve"> Bob Ferrell, a retired public safety communications official, disagreed with certain technical recommendations in the EWA Petition and also argued that any interstitial channels should be reserved for public safety use.</w:t>
      </w:r>
      <w:r w:rsidR="00486495">
        <w:rPr>
          <w:rStyle w:val="FootnoteReference"/>
          <w:szCs w:val="22"/>
        </w:rPr>
        <w:footnoteReference w:id="48"/>
      </w:r>
      <w:r w:rsidR="00486495" w:rsidRPr="00A96110">
        <w:t xml:space="preserve">  SouthernLINC notes that the EWA Petition fails to recognize the expanded ESMR band in the Southeast.</w:t>
      </w:r>
      <w:r w:rsidR="00486495">
        <w:rPr>
          <w:rStyle w:val="FootnoteReference"/>
          <w:szCs w:val="22"/>
        </w:rPr>
        <w:footnoteReference w:id="49"/>
      </w:r>
      <w:r w:rsidR="00486495" w:rsidRPr="00A96110">
        <w:t xml:space="preserve">  In its reply comments, EWA suggested that it would address UTC’s objections in a rulemaking proceeding on this matter.</w:t>
      </w:r>
      <w:r w:rsidR="00486495">
        <w:rPr>
          <w:rStyle w:val="FootnoteReference"/>
          <w:szCs w:val="22"/>
        </w:rPr>
        <w:footnoteReference w:id="50"/>
      </w:r>
      <w:r w:rsidR="00486495" w:rsidRPr="00A96110">
        <w:t xml:space="preserve">  EWA disagrees with “Mr. Ferrell’s suggestion that new 800 MHz channels should be available exclusively for public safety use, in addition to the 800 MHz spectrum public safety already is inheriting from Nextel in the bands between 854-861 MHz.”</w:t>
      </w:r>
      <w:r w:rsidR="00486495">
        <w:rPr>
          <w:rStyle w:val="FootnoteReference"/>
          <w:szCs w:val="22"/>
        </w:rPr>
        <w:footnoteReference w:id="51"/>
      </w:r>
      <w:r w:rsidR="00486495" w:rsidRPr="00A96110">
        <w:t xml:space="preserve">  EWA, however</w:t>
      </w:r>
      <w:r w:rsidR="00336BCF" w:rsidRPr="00A96110">
        <w:t>,</w:t>
      </w:r>
      <w:r w:rsidR="00486495" w:rsidRPr="00A96110">
        <w:t xml:space="preserve"> concedes SouthernLINC’s point and states that its proposal would not change the ESMR band.</w:t>
      </w:r>
      <w:r w:rsidR="00486495">
        <w:rPr>
          <w:rStyle w:val="FootnoteReference"/>
          <w:szCs w:val="22"/>
        </w:rPr>
        <w:footnoteReference w:id="52"/>
      </w:r>
      <w:r w:rsidR="00486495" w:rsidRPr="00A96110">
        <w:t xml:space="preserve"> </w:t>
      </w:r>
      <w:r w:rsidR="005A62C8" w:rsidRPr="00A96110">
        <w:t xml:space="preserve">  </w:t>
      </w:r>
    </w:p>
    <w:p w14:paraId="54D562AB" w14:textId="77777777" w:rsidR="00486495" w:rsidRPr="00A96110" w:rsidRDefault="005A62C8" w:rsidP="00CD7CAC">
      <w:pPr>
        <w:pStyle w:val="ParaNum"/>
        <w:widowControl/>
        <w:tabs>
          <w:tab w:val="clear" w:pos="1440"/>
          <w:tab w:val="num" w:pos="1430"/>
        </w:tabs>
      </w:pPr>
      <w:r w:rsidRPr="00A96110">
        <w:rPr>
          <w:kern w:val="0"/>
        </w:rPr>
        <w:t xml:space="preserve">In a subsequent filing, LMCC stated that its membership, which includes UTC, unanimously endorsed </w:t>
      </w:r>
      <w:r w:rsidR="00D774D2" w:rsidRPr="00A96110">
        <w:rPr>
          <w:kern w:val="0"/>
        </w:rPr>
        <w:t>LMCC’s</w:t>
      </w:r>
      <w:r w:rsidRPr="00A96110">
        <w:rPr>
          <w:kern w:val="0"/>
        </w:rPr>
        <w:t xml:space="preserve"> proposed interference criteria for consideration in this rulemaking.</w:t>
      </w:r>
      <w:r w:rsidRPr="00C6580C">
        <w:rPr>
          <w:rStyle w:val="FootnoteReference"/>
          <w:kern w:val="0"/>
          <w:szCs w:val="22"/>
        </w:rPr>
        <w:footnoteReference w:id="53"/>
      </w:r>
      <w:r w:rsidRPr="00A96110">
        <w:rPr>
          <w:kern w:val="0"/>
        </w:rPr>
        <w:t xml:space="preserve"> </w:t>
      </w:r>
      <w:r w:rsidR="00214DD1" w:rsidRPr="00A96110">
        <w:rPr>
          <w:kern w:val="0"/>
        </w:rPr>
        <w:t xml:space="preserve"> </w:t>
      </w:r>
      <w:r w:rsidR="00F20C98" w:rsidRPr="00A96110">
        <w:rPr>
          <w:kern w:val="0"/>
        </w:rPr>
        <w:t>LMCC also stated that it intended to use an F(50</w:t>
      </w:r>
      <w:r w:rsidR="00774731" w:rsidRPr="00A96110">
        <w:rPr>
          <w:kern w:val="0"/>
        </w:rPr>
        <w:t>,</w:t>
      </w:r>
      <w:r w:rsidR="00F20C98" w:rsidRPr="00A96110">
        <w:rPr>
          <w:kern w:val="0"/>
        </w:rPr>
        <w:t>50) curve to calculate both predicted service and interference contours for purposes of coordinating the interstitial channels</w:t>
      </w:r>
      <w:r w:rsidR="00214DD1" w:rsidRPr="00A96110">
        <w:rPr>
          <w:kern w:val="0"/>
        </w:rPr>
        <w:t>.</w:t>
      </w:r>
      <w:r w:rsidR="008A7157" w:rsidRPr="00F20C98">
        <w:rPr>
          <w:rStyle w:val="FootnoteReference"/>
          <w:kern w:val="0"/>
          <w:szCs w:val="22"/>
        </w:rPr>
        <w:footnoteReference w:id="54"/>
      </w:r>
      <w:r w:rsidR="00F20C98" w:rsidRPr="00A96110">
        <w:rPr>
          <w:kern w:val="0"/>
        </w:rPr>
        <w:t xml:space="preserve">  </w:t>
      </w:r>
      <w:r w:rsidR="00F20C98" w:rsidRPr="00A96110">
        <w:rPr>
          <w:color w:val="000000"/>
          <w:kern w:val="0"/>
        </w:rPr>
        <w:t>LMCC explained that “experience has shown that the F(50,50) curves are reliable predictors of the actual land mobile environment.”</w:t>
      </w:r>
      <w:r w:rsidR="00F20C98" w:rsidRPr="00F20C98">
        <w:rPr>
          <w:rStyle w:val="FootnoteReference"/>
          <w:kern w:val="0"/>
          <w:szCs w:val="22"/>
        </w:rPr>
        <w:footnoteReference w:id="55"/>
      </w:r>
      <w:r w:rsidR="00F20C98" w:rsidRPr="00A96110">
        <w:rPr>
          <w:rFonts w:ascii="Constantia" w:hAnsi="Constantia"/>
          <w:color w:val="000000"/>
          <w:kern w:val="0"/>
        </w:rPr>
        <w:t xml:space="preserve"> </w:t>
      </w:r>
      <w:r w:rsidRPr="00A96110">
        <w:rPr>
          <w:kern w:val="0"/>
        </w:rPr>
        <w:t xml:space="preserve">  </w:t>
      </w:r>
      <w:r w:rsidR="00486495" w:rsidRPr="00A96110">
        <w:t xml:space="preserve"> </w:t>
      </w:r>
      <w:r w:rsidR="00035ED9" w:rsidRPr="00A96110">
        <w:rPr>
          <w:color w:val="000000"/>
          <w:kern w:val="0"/>
        </w:rPr>
        <w:t>APCO, an LMCC member, requested that the Commission seek comment on whether the contour values have been sufficiently tested to provide appropriate protection to incumbents.</w:t>
      </w:r>
      <w:r w:rsidR="00035ED9">
        <w:rPr>
          <w:rStyle w:val="FootnoteReference"/>
          <w:kern w:val="0"/>
          <w:szCs w:val="22"/>
        </w:rPr>
        <w:footnoteReference w:id="56"/>
      </w:r>
      <w:r w:rsidR="00035ED9" w:rsidRPr="00A96110">
        <w:rPr>
          <w:color w:val="000000"/>
          <w:kern w:val="0"/>
        </w:rPr>
        <w:t xml:space="preserve"> </w:t>
      </w:r>
      <w:r w:rsidR="00035ED9" w:rsidRPr="00A96110">
        <w:rPr>
          <w:rFonts w:ascii="Constantia" w:hAnsi="Constantia"/>
          <w:color w:val="000000"/>
          <w:kern w:val="0"/>
        </w:rPr>
        <w:t xml:space="preserve"> </w:t>
      </w:r>
    </w:p>
    <w:p w14:paraId="193718C2" w14:textId="77777777" w:rsidR="00843FDA" w:rsidRPr="00C6580C" w:rsidRDefault="00843FDA" w:rsidP="00CD7CAC">
      <w:pPr>
        <w:pStyle w:val="Heading1"/>
        <w:widowControl/>
        <w:tabs>
          <w:tab w:val="num" w:pos="0"/>
        </w:tabs>
        <w:ind w:left="0" w:firstLine="0"/>
        <w:rPr>
          <w:szCs w:val="22"/>
        </w:rPr>
      </w:pPr>
      <w:r w:rsidRPr="00C6580C">
        <w:rPr>
          <w:szCs w:val="22"/>
        </w:rPr>
        <w:t>NOTICE of proposed rulemaking</w:t>
      </w:r>
    </w:p>
    <w:p w14:paraId="71BD8DC2" w14:textId="77777777" w:rsidR="00843FDA" w:rsidRPr="00C6580C" w:rsidRDefault="00843FDA" w:rsidP="00CD7CAC">
      <w:pPr>
        <w:pStyle w:val="Heading2"/>
        <w:widowControl/>
        <w:rPr>
          <w:szCs w:val="22"/>
        </w:rPr>
      </w:pPr>
      <w:r w:rsidRPr="00C6580C">
        <w:rPr>
          <w:szCs w:val="22"/>
        </w:rPr>
        <w:t>Interstitial Channels</w:t>
      </w:r>
    </w:p>
    <w:p w14:paraId="0FF45007" w14:textId="77777777" w:rsidR="00843FDA" w:rsidRPr="00A96110" w:rsidRDefault="00843FDA" w:rsidP="00CD7CAC">
      <w:pPr>
        <w:pStyle w:val="ParaNum"/>
        <w:widowControl/>
      </w:pPr>
      <w:bookmarkStart w:id="45" w:name="_Toc316910085"/>
      <w:bookmarkStart w:id="46" w:name="_Toc316892336"/>
      <w:bookmarkStart w:id="47" w:name="_Toc316673695"/>
      <w:bookmarkStart w:id="48" w:name="_Toc315290088"/>
      <w:bookmarkStart w:id="49" w:name="_Toc315274887"/>
      <w:bookmarkStart w:id="50" w:name="_Toc315090437"/>
      <w:bookmarkStart w:id="51" w:name="_Toc314648942"/>
      <w:bookmarkStart w:id="52" w:name="_Toc314645311"/>
      <w:bookmarkStart w:id="53" w:name="_Toc310524889"/>
      <w:r w:rsidRPr="00A96110">
        <w:rPr>
          <w:color w:val="000000"/>
        </w:rPr>
        <w:t>Based on comments received in response to the</w:t>
      </w:r>
      <w:r w:rsidRPr="00A96110">
        <w:rPr>
          <w:i/>
          <w:color w:val="000000"/>
        </w:rPr>
        <w:t xml:space="preserve"> Public Notice</w:t>
      </w:r>
      <w:r w:rsidRPr="00A96110">
        <w:rPr>
          <w:color w:val="000000"/>
        </w:rPr>
        <w:t xml:space="preserve">, </w:t>
      </w:r>
      <w:r w:rsidRPr="00A96110">
        <w:t xml:space="preserve">we propose to establish interstitial channels with reduced bandwidth in the Mid-Band, subject to certain interference protection criteria and eligibility requirements.  </w:t>
      </w:r>
      <w:r w:rsidRPr="00A96110">
        <w:rPr>
          <w:kern w:val="0"/>
        </w:rPr>
        <w:t>We also propose to continue licensing of standard 25 kHz bandwidth channels in the Mid-Band with channel centers separated by 25 kHz, and licensing of full power interstitial channels with 12.5 kHz bandwidth and center frequencies offset 12.5 kHz above and below the center frequencies of the standard channels in the Mid-Band.  We seek comment on our proposal</w:t>
      </w:r>
      <w:r w:rsidR="00A468AA" w:rsidRPr="00A96110">
        <w:rPr>
          <w:kern w:val="0"/>
        </w:rPr>
        <w:t xml:space="preserve"> generally, and on</w:t>
      </w:r>
      <w:r w:rsidR="00FB36CC" w:rsidRPr="00A96110">
        <w:rPr>
          <w:kern w:val="0"/>
        </w:rPr>
        <w:t xml:space="preserve"> </w:t>
      </w:r>
      <w:r w:rsidR="00A468AA" w:rsidRPr="00A96110">
        <w:rPr>
          <w:kern w:val="0"/>
        </w:rPr>
        <w:t>whether it would promote more effective and efficient use of the 800 MHz Mid-Band relative to competing technology that, although requiring greater bandwidth per channel, may achieve greater reliability/resiliency for personnel operating in challenging RF environments</w:t>
      </w:r>
      <w:r w:rsidR="00301E51" w:rsidRPr="00A96110">
        <w:rPr>
          <w:kern w:val="0"/>
        </w:rPr>
        <w:t>.</w:t>
      </w:r>
      <w:r w:rsidR="00A468AA" w:rsidRPr="00A96110">
        <w:rPr>
          <w:kern w:val="0"/>
        </w:rPr>
        <w:t xml:space="preserve"> </w:t>
      </w:r>
    </w:p>
    <w:p w14:paraId="2AAEDC75" w14:textId="77777777" w:rsidR="00843FDA" w:rsidRPr="00A96110" w:rsidRDefault="00843FDA" w:rsidP="00CD7CAC">
      <w:pPr>
        <w:pStyle w:val="ParaNum"/>
        <w:widowControl/>
        <w:tabs>
          <w:tab w:val="clear" w:pos="1440"/>
          <w:tab w:val="num" w:pos="1430"/>
        </w:tabs>
      </w:pPr>
      <w:r w:rsidRPr="00A96110">
        <w:rPr>
          <w:kern w:val="0"/>
        </w:rPr>
        <w:t>We agree with commenters that establishing interstitial channels may promote greater use of the Mid-Band without imposing costs or other burdens on existing users.</w:t>
      </w:r>
      <w:r w:rsidRPr="00C6580C">
        <w:rPr>
          <w:rStyle w:val="FootnoteReference"/>
          <w:kern w:val="0"/>
          <w:szCs w:val="22"/>
        </w:rPr>
        <w:footnoteReference w:id="57"/>
      </w:r>
      <w:r w:rsidRPr="00A96110">
        <w:rPr>
          <w:kern w:val="0"/>
        </w:rPr>
        <w:t xml:space="preserve">  EWA notes that the 800 MHz band is “well-designed to accommodate interstitial 12.5 kHz bandwidth channels,” as compared to the lower PLMR bands that are densely populated by shared licensees.</w:t>
      </w:r>
      <w:r w:rsidRPr="00C6580C">
        <w:rPr>
          <w:rStyle w:val="FootnoteReference"/>
          <w:kern w:val="0"/>
          <w:szCs w:val="22"/>
        </w:rPr>
        <w:footnoteReference w:id="58"/>
      </w:r>
      <w:r w:rsidRPr="00A96110">
        <w:rPr>
          <w:kern w:val="0"/>
        </w:rPr>
        <w:t xml:space="preserve">  Under our proposal, interstitial channels would be inserted between the existing 25 kHz standard channels without requiring existing systems that use the standard channels to modify their operations</w:t>
      </w:r>
      <w:r w:rsidRPr="00A96110">
        <w:rPr>
          <w:strike/>
          <w:kern w:val="0"/>
        </w:rPr>
        <w:t>.</w:t>
      </w:r>
      <w:r w:rsidRPr="00A96110">
        <w:rPr>
          <w:kern w:val="0"/>
        </w:rPr>
        <w:t xml:space="preserve">  We seek comment on this proposal, on our assessment regarding the lack of additional costs to incumbents, and on the benefits that could be derived from greater use of the Mid-Band.  We ask commenters to provide specific data identifying costs and benefits, including evidence of demand for interstitial channels from public safety and other critical users, any efficiencies to be derived from the proposal, the extent of incumbent use of the Mid-Band, the effect of the proposal on such use, and its impact on successful completion of the 800 MHz rebanding initiative.  </w:t>
      </w:r>
    </w:p>
    <w:p w14:paraId="114C4C06" w14:textId="77777777" w:rsidR="00843FDA" w:rsidRPr="00A96110" w:rsidRDefault="00843FDA" w:rsidP="00CD7CAC">
      <w:pPr>
        <w:pStyle w:val="ParaNum"/>
        <w:widowControl/>
        <w:tabs>
          <w:tab w:val="clear" w:pos="1440"/>
          <w:tab w:val="num" w:pos="1430"/>
        </w:tabs>
      </w:pPr>
      <w:r w:rsidRPr="00A96110">
        <w:t xml:space="preserve">After the close of comments on the EWA Petition, the </w:t>
      </w:r>
      <w:r w:rsidRPr="00A96110">
        <w:rPr>
          <w:kern w:val="0"/>
        </w:rPr>
        <w:t xml:space="preserve">Commission adopted the </w:t>
      </w:r>
      <w:r w:rsidRPr="00A96110">
        <w:rPr>
          <w:i/>
          <w:kern w:val="0"/>
        </w:rPr>
        <w:t>TETRA Report and Order</w:t>
      </w:r>
      <w:r w:rsidRPr="00A96110">
        <w:rPr>
          <w:kern w:val="0"/>
        </w:rPr>
        <w:t>,</w:t>
      </w:r>
      <w:r w:rsidRPr="00C6580C">
        <w:rPr>
          <w:rStyle w:val="FootnoteReference"/>
          <w:kern w:val="0"/>
          <w:szCs w:val="22"/>
        </w:rPr>
        <w:footnoteReference w:id="59"/>
      </w:r>
      <w:r w:rsidRPr="00A96110">
        <w:rPr>
          <w:kern w:val="0"/>
        </w:rPr>
        <w:t xml:space="preserve"> which modified Part 90 of the Commission’s rules to permit the certification and use of TETRA equipment in the Mid-Band and ESMR band so long as it meets</w:t>
      </w:r>
      <w:r w:rsidRPr="00A96110">
        <w:rPr>
          <w:color w:val="000000"/>
        </w:rPr>
        <w:t xml:space="preserve"> the Adjacent Channel Power limits of Section 90.221 of the Commission’s Rules</w:t>
      </w:r>
      <w:r w:rsidRPr="00A96110">
        <w:rPr>
          <w:kern w:val="0"/>
        </w:rPr>
        <w:t>.</w:t>
      </w:r>
      <w:r w:rsidRPr="00C6580C">
        <w:rPr>
          <w:rStyle w:val="FootnoteReference"/>
          <w:kern w:val="0"/>
          <w:szCs w:val="22"/>
        </w:rPr>
        <w:footnoteReference w:id="60"/>
      </w:r>
      <w:r w:rsidRPr="00A96110">
        <w:rPr>
          <w:kern w:val="0"/>
        </w:rPr>
        <w:t xml:space="preserve">  The Commission concluded that TETRA offers PLMR users new equipment choices and poses minimal risk of causing harmful interference to other users provided the licensee of a TETRA system has exclusive use of its channels and all adjacent channels within 18.75 kilohertz of its center frequency.</w:t>
      </w:r>
      <w:r w:rsidRPr="00C6580C">
        <w:rPr>
          <w:rStyle w:val="FootnoteReference"/>
          <w:kern w:val="0"/>
          <w:szCs w:val="22"/>
        </w:rPr>
        <w:footnoteReference w:id="61"/>
      </w:r>
      <w:r w:rsidRPr="00A96110">
        <w:rPr>
          <w:kern w:val="0"/>
        </w:rPr>
        <w:t xml:space="preserve">  </w:t>
      </w:r>
    </w:p>
    <w:p w14:paraId="370D3BA7" w14:textId="77777777" w:rsidR="00843FDA" w:rsidRPr="00A96110" w:rsidRDefault="00843FDA" w:rsidP="00CD7CAC">
      <w:pPr>
        <w:pStyle w:val="ParaNum"/>
        <w:widowControl/>
        <w:tabs>
          <w:tab w:val="clear" w:pos="1440"/>
          <w:tab w:val="num" w:pos="1430"/>
        </w:tabs>
      </w:pPr>
      <w:r w:rsidRPr="00A96110">
        <w:rPr>
          <w:color w:val="000000"/>
        </w:rPr>
        <w:t xml:space="preserve">Accordingly, we seek comment on how the introduction of TETRA technology into the Mid-Band may impact our proposal to establish 12.5 kHz bandwidth interstitial channels.  We seek comment on any interference, frequency coordination and geographic spacing issues that must be resolved before introducing operations on interstitial channels.  We seek comment on whether </w:t>
      </w:r>
      <w:r w:rsidRPr="00A96110">
        <w:rPr>
          <w:kern w:val="0"/>
        </w:rPr>
        <w:t xml:space="preserve">TETRA technologies would necessarily preclude operations on interstitial channels and vice versa.  We envision the gradual introduction of interstitial channels as a process that can be managed to avoid interference conflicts in the Mid-Band.  </w:t>
      </w:r>
      <w:r w:rsidRPr="00A96110">
        <w:rPr>
          <w:color w:val="000000"/>
        </w:rPr>
        <w:t>However, we believe t</w:t>
      </w:r>
      <w:r w:rsidRPr="00A96110">
        <w:rPr>
          <w:kern w:val="0"/>
        </w:rPr>
        <w:t xml:space="preserve">he introduction of narrower interstitial channels adjacent to existing or future TETRA deployments will require careful advance coordination.    </w:t>
      </w:r>
    </w:p>
    <w:p w14:paraId="11B6355C" w14:textId="77777777" w:rsidR="00843FDA" w:rsidRPr="00A96110" w:rsidRDefault="00843FDA" w:rsidP="00CD7CAC">
      <w:pPr>
        <w:pStyle w:val="ParaNum"/>
        <w:widowControl/>
        <w:tabs>
          <w:tab w:val="clear" w:pos="1440"/>
          <w:tab w:val="num" w:pos="1430"/>
        </w:tabs>
      </w:pPr>
      <w:r w:rsidRPr="00A96110">
        <w:rPr>
          <w:color w:val="000000"/>
        </w:rPr>
        <w:t>Commenters also expressed a desire to minimize licensing complexity and avoid interference with 800 MHz rebanding.</w:t>
      </w:r>
      <w:r w:rsidRPr="00C6580C">
        <w:rPr>
          <w:rStyle w:val="FootnoteReference"/>
          <w:szCs w:val="22"/>
        </w:rPr>
        <w:footnoteReference w:id="62"/>
      </w:r>
      <w:r w:rsidRPr="00A96110">
        <w:rPr>
          <w:color w:val="000000"/>
        </w:rPr>
        <w:t xml:space="preserve">  We agree.  We propose to make interstitial channels in the Mid-Band available for licensing in any NPSPAC region only after 800 MHz rebanding is completed in that region.  We propose to announce by Public Notice when licensing of interstitial channels may begin in each NPSPAC region</w:t>
      </w:r>
      <w:r w:rsidRPr="00A96110">
        <w:t>.</w:t>
      </w:r>
      <w:r w:rsidRPr="00C6580C">
        <w:rPr>
          <w:rStyle w:val="FootnoteReference"/>
          <w:szCs w:val="22"/>
        </w:rPr>
        <w:footnoteReference w:id="63"/>
      </w:r>
      <w:r w:rsidRPr="00A96110">
        <w:t xml:space="preserve">  We seek comment on this proposal.  </w:t>
      </w:r>
      <w:r w:rsidRPr="00A96110">
        <w:rPr>
          <w:color w:val="000000"/>
        </w:rPr>
        <w:t xml:space="preserve"> </w:t>
      </w:r>
    </w:p>
    <w:p w14:paraId="1629CD09" w14:textId="77777777" w:rsidR="00843FDA" w:rsidRPr="00A96110" w:rsidRDefault="00C45A15" w:rsidP="00CD7CAC">
      <w:pPr>
        <w:pStyle w:val="ParaNum"/>
        <w:widowControl/>
        <w:tabs>
          <w:tab w:val="clear" w:pos="1440"/>
          <w:tab w:val="num" w:pos="1430"/>
        </w:tabs>
      </w:pPr>
      <w:bookmarkStart w:id="54" w:name="_Ref410812980"/>
      <w:r w:rsidRPr="00A96110">
        <w:t>UTC – alone among the commenting parties – argues that introducing 12.5 kHz interstitial channels</w:t>
      </w:r>
      <w:r w:rsidRPr="003B0CAC">
        <w:rPr>
          <w:szCs w:val="22"/>
        </w:rPr>
        <w:t>, as opposed to aggregating 25 kHz channels,</w:t>
      </w:r>
      <w:r w:rsidRPr="00A96110">
        <w:t xml:space="preserve"> would take the 800 MHz band in the “wrong” technical direction.</w:t>
      </w:r>
      <w:r w:rsidR="00843FDA" w:rsidRPr="00C6580C">
        <w:rPr>
          <w:rStyle w:val="FootnoteReference"/>
          <w:szCs w:val="22"/>
        </w:rPr>
        <w:footnoteReference w:id="64"/>
      </w:r>
      <w:r w:rsidR="00843FDA" w:rsidRPr="00A96110">
        <w:t xml:space="preserve">  UTC urges the Commission to make it easier to aggregate current 25 kHz frequencies into broader “pipes.”</w:t>
      </w:r>
      <w:r w:rsidR="00843FDA" w:rsidRPr="00C6580C">
        <w:rPr>
          <w:rStyle w:val="FootnoteReference"/>
          <w:szCs w:val="22"/>
        </w:rPr>
        <w:footnoteReference w:id="65"/>
      </w:r>
      <w:r w:rsidR="00843FDA" w:rsidRPr="00A96110">
        <w:t xml:space="preserve">  UTC notes that “efficient digital Sprint networks support multiple communications paths within a 25 kHz bandwidth channel” and that “[t]his is the future direction of wireless technology</w:t>
      </w:r>
      <w:r w:rsidR="00D9248B" w:rsidRPr="00A96110">
        <w:t>,</w:t>
      </w:r>
      <w:r w:rsidR="00843FDA" w:rsidRPr="00A96110">
        <w:t xml:space="preserve">” </w:t>
      </w:r>
      <w:r w:rsidR="00D9248B" w:rsidRPr="00A96110">
        <w:t xml:space="preserve">rather than </w:t>
      </w:r>
      <w:r w:rsidR="00843FDA" w:rsidRPr="00A96110">
        <w:t>narrower channels.</w:t>
      </w:r>
      <w:r w:rsidR="00843FDA" w:rsidRPr="00C6580C">
        <w:rPr>
          <w:rStyle w:val="FootnoteReference"/>
          <w:szCs w:val="22"/>
        </w:rPr>
        <w:footnoteReference w:id="66"/>
      </w:r>
      <w:r w:rsidR="00843FDA" w:rsidRPr="00A96110">
        <w:t xml:space="preserve">  </w:t>
      </w:r>
      <w:r w:rsidR="00843FDA" w:rsidRPr="00A96110">
        <w:rPr>
          <w:color w:val="000000"/>
        </w:rPr>
        <w:t xml:space="preserve">UTC further claims that incompatibilities would arise between existing 25 kHz users and the new 12.5 kHz users and that such incompatibilities would recreate an incompatible mix of technologies that ultimately </w:t>
      </w:r>
      <w:r w:rsidR="00403D28" w:rsidRPr="00A96110">
        <w:rPr>
          <w:color w:val="000000"/>
        </w:rPr>
        <w:t xml:space="preserve">led </w:t>
      </w:r>
      <w:r w:rsidR="00843FDA" w:rsidRPr="00A96110">
        <w:rPr>
          <w:color w:val="000000"/>
        </w:rPr>
        <w:t>the Commission to reconfigure the 800 MHz band.</w:t>
      </w:r>
      <w:r w:rsidR="00843FDA" w:rsidRPr="00C6580C">
        <w:rPr>
          <w:rStyle w:val="FootnoteReference"/>
          <w:szCs w:val="22"/>
        </w:rPr>
        <w:footnoteReference w:id="67"/>
      </w:r>
      <w:bookmarkEnd w:id="54"/>
      <w:r w:rsidR="00843FDA" w:rsidRPr="00A96110">
        <w:rPr>
          <w:color w:val="000000"/>
        </w:rPr>
        <w:t xml:space="preserve">  </w:t>
      </w:r>
      <w:r w:rsidR="00843FDA" w:rsidRPr="00A96110">
        <w:t xml:space="preserve"> </w:t>
      </w:r>
    </w:p>
    <w:p w14:paraId="5CAB981A" w14:textId="77777777" w:rsidR="00843FDA" w:rsidRPr="00A96110" w:rsidRDefault="00843FDA" w:rsidP="00CD7CAC">
      <w:pPr>
        <w:pStyle w:val="ParaNum"/>
        <w:widowControl/>
        <w:tabs>
          <w:tab w:val="clear" w:pos="1440"/>
          <w:tab w:val="num" w:pos="1430"/>
        </w:tabs>
      </w:pPr>
      <w:r w:rsidRPr="00A96110">
        <w:t>We seek comment on the concerns raised by UTC regarding interstitial channels and its alternative proposal to encourage aggregation of 25 kHz channels.  As an initial matter, we note that Section 90.645 of the rules already permits licensees to aggregate up to five contiguous 800 MHz channels “after justification for systems requiring more than the normal single channel bandwidth.”</w:t>
      </w:r>
      <w:r w:rsidRPr="00C6580C">
        <w:rPr>
          <w:rStyle w:val="FootnoteReference"/>
          <w:szCs w:val="22"/>
        </w:rPr>
        <w:footnoteReference w:id="68"/>
      </w:r>
      <w:r w:rsidRPr="00A96110">
        <w:t xml:space="preserve">  The rules, however, prohibit high density ESMR “cellular” operations in the Mid-Band to prevent the type of interference that prompted 800 MHz rebanding.  In light of this limitation, is it viable or desirable to introduce wideband technology into the Mid-Band as UTC proposes?  If we were to allow aggregation of 25 kHz frequencies into broader “pipes,” could this cause harmful interference to narrowband licensees in the Mid-Band?  Is there data to support UTC’s claim </w:t>
      </w:r>
      <w:r w:rsidRPr="00A96110">
        <w:rPr>
          <w:kern w:val="0"/>
        </w:rPr>
        <w:t>that broadband (</w:t>
      </w:r>
      <w:r w:rsidRPr="00A96110">
        <w:rPr>
          <w:i/>
          <w:kern w:val="0"/>
        </w:rPr>
        <w:t>e.g.</w:t>
      </w:r>
      <w:r w:rsidRPr="00A96110">
        <w:rPr>
          <w:kern w:val="0"/>
        </w:rPr>
        <w:t>, CDMA) operation in the Mid-Band would not cause any greater interference to narrowband incumbents than new, full power, 12.5 kHz operations on interstitial channels?   Are there alternative technologies</w:t>
      </w:r>
      <w:r w:rsidRPr="00A96110">
        <w:rPr>
          <w:color w:val="010101"/>
          <w:kern w:val="0"/>
        </w:rPr>
        <w:t xml:space="preserve"> that would provide greater spectrum efficiency using the interstitial channels?</w:t>
      </w:r>
      <w:r w:rsidR="00D9248B" w:rsidRPr="00A96110">
        <w:rPr>
          <w:color w:val="010101"/>
          <w:kern w:val="0"/>
        </w:rPr>
        <w:t xml:space="preserve">  Is it preferable, as UTC suggests, to await completion of the still</w:t>
      </w:r>
      <w:r w:rsidR="0034060E" w:rsidRPr="00A96110">
        <w:rPr>
          <w:color w:val="010101"/>
          <w:kern w:val="0"/>
        </w:rPr>
        <w:t xml:space="preserve"> incomplete </w:t>
      </w:r>
      <w:r w:rsidR="00D9248B" w:rsidRPr="00A96110">
        <w:rPr>
          <w:color w:val="010101"/>
          <w:kern w:val="0"/>
        </w:rPr>
        <w:t>800 MHz rebanding before pursuing EWA’s proposal?</w:t>
      </w:r>
    </w:p>
    <w:p w14:paraId="3DF70260" w14:textId="3016A695" w:rsidR="00843FDA" w:rsidRPr="00A96110" w:rsidRDefault="00843FDA" w:rsidP="00CD7CAC">
      <w:pPr>
        <w:pStyle w:val="ParaNum"/>
        <w:widowControl/>
        <w:tabs>
          <w:tab w:val="clear" w:pos="1440"/>
          <w:tab w:val="num" w:pos="1430"/>
        </w:tabs>
      </w:pPr>
      <w:r w:rsidRPr="00A96110">
        <w:rPr>
          <w:kern w:val="0"/>
        </w:rPr>
        <w:t xml:space="preserve">We also seek comment on UTC’s view that interstitial channels would recreate the interference problem that led to rebanding.  We note that the interference problem that prompted the 800 MHz rebanding proceeding was a result of high-power, low site systems creating near-far and intermodulation interference, neither of which is typical of the high site systems that would use the interstitial Mid-Band channels. </w:t>
      </w:r>
      <w:r w:rsidR="00B46F20" w:rsidRPr="00A96110">
        <w:rPr>
          <w:kern w:val="0"/>
        </w:rPr>
        <w:t xml:space="preserve"> </w:t>
      </w:r>
      <w:r w:rsidRPr="00A96110">
        <w:rPr>
          <w:kern w:val="0"/>
        </w:rPr>
        <w:t xml:space="preserve">Further, most commenters contend that we can establish suitable interference protection criteria in this rulemaking to ensure that incumbent 25 kHz operations will not receive unacceptable interference from interstitial channel systems.  </w:t>
      </w:r>
      <w:r w:rsidR="00C45A15" w:rsidRPr="003B0CAC">
        <w:rPr>
          <w:szCs w:val="22"/>
        </w:rPr>
        <w:t>The LMCC</w:t>
      </w:r>
      <w:r w:rsidR="00C45A15" w:rsidRPr="001B1A29">
        <w:t xml:space="preserve"> membership unanimously approved </w:t>
      </w:r>
      <w:r w:rsidR="00C45A15" w:rsidRPr="003B0CAC">
        <w:rPr>
          <w:szCs w:val="22"/>
        </w:rPr>
        <w:t>a table of "Interstitial 800 MHz Coordination Procedures,” which LMCC submitted in the record</w:t>
      </w:r>
      <w:r w:rsidR="00C45A15" w:rsidRPr="001B1A29">
        <w:t xml:space="preserve"> for consideration in this rulemaking</w:t>
      </w:r>
      <w:r w:rsidR="00C45A15" w:rsidRPr="003B0CAC">
        <w:rPr>
          <w:szCs w:val="22"/>
        </w:rPr>
        <w:t>.</w:t>
      </w:r>
      <w:r w:rsidRPr="00C6580C">
        <w:rPr>
          <w:rStyle w:val="FootnoteReference"/>
          <w:kern w:val="0"/>
          <w:szCs w:val="22"/>
        </w:rPr>
        <w:footnoteReference w:id="69"/>
      </w:r>
      <w:r w:rsidRPr="00A96110">
        <w:rPr>
          <w:kern w:val="0"/>
        </w:rPr>
        <w:t xml:space="preserve">  We seek comment on whether these measures are sufficient to mitigate interference concerns.  </w:t>
      </w:r>
      <w:bookmarkStart w:id="64" w:name="SR;453"/>
      <w:bookmarkEnd w:id="64"/>
    </w:p>
    <w:p w14:paraId="4822EA0D" w14:textId="77777777" w:rsidR="00843FDA" w:rsidRPr="00C6580C" w:rsidRDefault="00843FDA" w:rsidP="00CD7CAC">
      <w:pPr>
        <w:pStyle w:val="Heading2"/>
        <w:widowControl/>
        <w:rPr>
          <w:szCs w:val="22"/>
        </w:rPr>
      </w:pPr>
      <w:r w:rsidRPr="00C6580C">
        <w:rPr>
          <w:szCs w:val="22"/>
        </w:rPr>
        <w:t>Interference Protection Criteria.</w:t>
      </w:r>
    </w:p>
    <w:p w14:paraId="7E79D201" w14:textId="77777777" w:rsidR="00843FDA" w:rsidRPr="00A96110" w:rsidRDefault="00843FDA" w:rsidP="00CD7CAC">
      <w:pPr>
        <w:pStyle w:val="ParaNum"/>
        <w:widowControl/>
        <w:tabs>
          <w:tab w:val="clear" w:pos="1440"/>
          <w:tab w:val="num" w:pos="1430"/>
        </w:tabs>
      </w:pPr>
      <w:r w:rsidRPr="00A96110">
        <w:rPr>
          <w:kern w:val="0"/>
        </w:rPr>
        <w:t>The current 800 MHz rules generally protect licensees against co-channel interference, and only recently have been revised to afford adjacent channel interference protection from TETRA systems.</w:t>
      </w:r>
      <w:r w:rsidR="0034060E">
        <w:rPr>
          <w:rStyle w:val="FootnoteReference"/>
          <w:kern w:val="0"/>
          <w:szCs w:val="22"/>
        </w:rPr>
        <w:footnoteReference w:id="70"/>
      </w:r>
      <w:r w:rsidRPr="00A96110">
        <w:rPr>
          <w:kern w:val="0"/>
        </w:rPr>
        <w:t xml:space="preserve">  The co-channel interference rules are based on distance separation, </w:t>
      </w:r>
      <w:r w:rsidRPr="00A96110">
        <w:rPr>
          <w:i/>
          <w:kern w:val="0"/>
        </w:rPr>
        <w:t xml:space="preserve">i.e. </w:t>
      </w:r>
      <w:r w:rsidRPr="00A96110">
        <w:rPr>
          <w:kern w:val="0"/>
        </w:rPr>
        <w:t xml:space="preserve">a </w:t>
      </w:r>
      <w:r w:rsidRPr="00A96110">
        <w:t>co-channel station must maintain</w:t>
      </w:r>
      <w:r w:rsidRPr="00A96110">
        <w:rPr>
          <w:kern w:val="0"/>
        </w:rPr>
        <w:t xml:space="preserve"> at least 113 kilometers (70 miles) separation from other co-channel stations.</w:t>
      </w:r>
      <w:r w:rsidRPr="00C6580C">
        <w:rPr>
          <w:rStyle w:val="FootnoteReference"/>
          <w:kern w:val="0"/>
          <w:szCs w:val="22"/>
        </w:rPr>
        <w:footnoteReference w:id="71"/>
      </w:r>
      <w:r w:rsidRPr="00A96110">
        <w:rPr>
          <w:kern w:val="0"/>
        </w:rPr>
        <w:t xml:space="preserve"> </w:t>
      </w:r>
      <w:bookmarkStart w:id="65" w:name="FN[FN17]"/>
      <w:bookmarkEnd w:id="65"/>
      <w:r w:rsidRPr="00A96110">
        <w:rPr>
          <w:kern w:val="0"/>
        </w:rPr>
        <w:t xml:space="preserve"> Section 90.621(b)(4) of the Commission’s rules, however, permits distances fewer than 113 kilometers but no fewer than 88 kilometers (55 miles) if the applicant proposes power and antenna height reductions consistent with the cited rule's Short-Spacing Separation Table.</w:t>
      </w:r>
      <w:r w:rsidRPr="00C6580C">
        <w:rPr>
          <w:rStyle w:val="FootnoteReference"/>
          <w:szCs w:val="22"/>
        </w:rPr>
        <w:footnoteReference w:id="72"/>
      </w:r>
      <w:r w:rsidRPr="00A96110">
        <w:t xml:space="preserve"> </w:t>
      </w:r>
      <w:r w:rsidR="008A7157" w:rsidRPr="00A96110">
        <w:rPr>
          <w:kern w:val="0"/>
        </w:rPr>
        <w:t>An applicant may propose shorter distances than the minimum spacing distances listed in the table if it “submits with its application letters of concurrence indicating that the applicant and each co-channel licensee within the specified separation agree to accept any interference resulting from the reduced separation between their systems.”</w:t>
      </w:r>
      <w:r w:rsidR="008A7157" w:rsidRPr="008A7157">
        <w:rPr>
          <w:rStyle w:val="FootnoteReference"/>
          <w:kern w:val="0"/>
          <w:szCs w:val="22"/>
        </w:rPr>
        <w:footnoteReference w:id="73"/>
      </w:r>
      <w:r w:rsidR="008A7157" w:rsidRPr="00A96110">
        <w:rPr>
          <w:kern w:val="0"/>
        </w:rPr>
        <w:t xml:space="preserve">  </w:t>
      </w:r>
    </w:p>
    <w:p w14:paraId="227A760A" w14:textId="77777777" w:rsidR="00843FDA" w:rsidRPr="00A96110" w:rsidRDefault="00843FDA" w:rsidP="00CD7CAC">
      <w:pPr>
        <w:pStyle w:val="ParaNum"/>
        <w:widowControl/>
        <w:tabs>
          <w:tab w:val="clear" w:pos="1440"/>
          <w:tab w:val="num" w:pos="1430"/>
        </w:tabs>
      </w:pPr>
      <w:r w:rsidRPr="00A96110">
        <w:t>EWA observes that most 800 MHz incumbents obtained exclusive rights to channels with a protected service contour,</w:t>
      </w:r>
      <w:r w:rsidRPr="00C6580C">
        <w:rPr>
          <w:rStyle w:val="FootnoteReference"/>
          <w:szCs w:val="22"/>
        </w:rPr>
        <w:footnoteReference w:id="74"/>
      </w:r>
      <w:r w:rsidRPr="00A96110">
        <w:t xml:space="preserve"> and suggests that licensees on interstitial channels should protect existing users on adjacent 25 kHz-spaced standard channels from interference based on a contour overlap standard.</w:t>
      </w:r>
      <w:r w:rsidRPr="00C6580C">
        <w:rPr>
          <w:rStyle w:val="FootnoteReference"/>
          <w:szCs w:val="22"/>
        </w:rPr>
        <w:footnoteReference w:id="75"/>
      </w:r>
      <w:r w:rsidRPr="00A96110">
        <w:t xml:space="preserve">  </w:t>
      </w:r>
      <w:r w:rsidRPr="00A96110">
        <w:rPr>
          <w:kern w:val="0"/>
        </w:rPr>
        <w:t>RadioSoft, however, proposes using T</w:t>
      </w:r>
      <w:r w:rsidR="00374EED" w:rsidRPr="00A96110">
        <w:rPr>
          <w:kern w:val="0"/>
        </w:rPr>
        <w:t>elecommunications Industry Association (T</w:t>
      </w:r>
      <w:r w:rsidRPr="00A96110">
        <w:rPr>
          <w:kern w:val="0"/>
        </w:rPr>
        <w:t>IA</w:t>
      </w:r>
      <w:r w:rsidR="00374EED" w:rsidRPr="00A96110">
        <w:rPr>
          <w:kern w:val="0"/>
        </w:rPr>
        <w:t>)</w:t>
      </w:r>
      <w:r w:rsidRPr="00A96110">
        <w:rPr>
          <w:kern w:val="0"/>
        </w:rPr>
        <w:t xml:space="preserve"> Technical Service Bulletin 88 (TSB-88),</w:t>
      </w:r>
      <w:r w:rsidRPr="00C6580C">
        <w:rPr>
          <w:rStyle w:val="FootnoteReference"/>
          <w:kern w:val="0"/>
          <w:szCs w:val="22"/>
        </w:rPr>
        <w:footnoteReference w:id="76"/>
      </w:r>
      <w:r w:rsidRPr="00A96110">
        <w:rPr>
          <w:kern w:val="0"/>
        </w:rPr>
        <w:t xml:space="preserve"> which it characterizes as “an evolving frequency coordination</w:t>
      </w:r>
      <w:r w:rsidRPr="00A96110">
        <w:t xml:space="preserve"> </w:t>
      </w:r>
      <w:r w:rsidRPr="00A96110">
        <w:rPr>
          <w:kern w:val="0"/>
        </w:rPr>
        <w:t>standard.”</w:t>
      </w:r>
      <w:r w:rsidRPr="00C6580C">
        <w:rPr>
          <w:rStyle w:val="FootnoteReference"/>
          <w:kern w:val="0"/>
          <w:szCs w:val="22"/>
        </w:rPr>
        <w:footnoteReference w:id="77"/>
      </w:r>
      <w:r w:rsidRPr="00A96110">
        <w:rPr>
          <w:kern w:val="0"/>
        </w:rPr>
        <w:t xml:space="preserve">  RadioSoft argues that contour overlap analysis is “over-conservative” insofar as it introduces “5 dB of unnecessary protection,” and that the analysis fails to differentiate between analog and digital modulation schemes.</w:t>
      </w:r>
      <w:r w:rsidRPr="00C6580C">
        <w:rPr>
          <w:rStyle w:val="FootnoteReference"/>
          <w:kern w:val="0"/>
          <w:szCs w:val="22"/>
        </w:rPr>
        <w:footnoteReference w:id="78"/>
      </w:r>
      <w:r w:rsidRPr="00A96110">
        <w:rPr>
          <w:kern w:val="0"/>
        </w:rPr>
        <w:t xml:space="preserve">  The State of Florida suggests using the Okumura propagation model to calculate contour overlap.</w:t>
      </w:r>
      <w:r w:rsidRPr="00C6580C">
        <w:rPr>
          <w:rStyle w:val="FootnoteReference"/>
          <w:szCs w:val="22"/>
        </w:rPr>
        <w:footnoteReference w:id="79"/>
      </w:r>
      <w:r w:rsidRPr="00A96110">
        <w:rPr>
          <w:kern w:val="0"/>
        </w:rPr>
        <w:t xml:space="preserve">    </w:t>
      </w:r>
    </w:p>
    <w:p w14:paraId="4F0F12E8" w14:textId="77777777" w:rsidR="008F5037" w:rsidRPr="00A96110" w:rsidRDefault="00843FDA" w:rsidP="00CD7CAC">
      <w:pPr>
        <w:pStyle w:val="ParaNum"/>
        <w:widowControl/>
        <w:tabs>
          <w:tab w:val="clear" w:pos="1440"/>
          <w:tab w:val="num" w:pos="1430"/>
        </w:tabs>
      </w:pPr>
      <w:r w:rsidRPr="00A96110">
        <w:t>In its reply comments, EWA endorsed the views of other commenters that recommended deferring to LMCC to develop appropriate coordination procedures.</w:t>
      </w:r>
      <w:r w:rsidRPr="00C6580C">
        <w:rPr>
          <w:rStyle w:val="FootnoteReference"/>
          <w:szCs w:val="22"/>
        </w:rPr>
        <w:footnoteReference w:id="80"/>
      </w:r>
      <w:r w:rsidRPr="00A96110">
        <w:t xml:space="preserve">  In an </w:t>
      </w:r>
      <w:r w:rsidRPr="00A96110">
        <w:rPr>
          <w:i/>
        </w:rPr>
        <w:t>ex parte</w:t>
      </w:r>
      <w:r w:rsidRPr="00A96110">
        <w:t xml:space="preserve"> presentation, LMCC states that its members unanimously approved the following interference protection criteria for stations operating on interstitial channels.</w:t>
      </w:r>
      <w:r w:rsidRPr="00C6580C">
        <w:rPr>
          <w:rStyle w:val="FootnoteReference"/>
          <w:szCs w:val="22"/>
        </w:rPr>
        <w:footnoteReference w:id="81"/>
      </w:r>
      <w:r w:rsidRPr="00A96110">
        <w:t xml:space="preserve">  The criteria are based on </w:t>
      </w:r>
      <w:r w:rsidR="00774731" w:rsidRPr="00A96110">
        <w:t xml:space="preserve">reciprocal contour </w:t>
      </w:r>
      <w:r w:rsidRPr="00A96110">
        <w:t xml:space="preserve">overlap </w:t>
      </w:r>
      <w:r w:rsidR="00774731" w:rsidRPr="00A96110">
        <w:t xml:space="preserve">analysis </w:t>
      </w:r>
      <w:r w:rsidRPr="00A96110">
        <w:t>of F(50,50) coverage and interference contours.</w:t>
      </w:r>
      <w:r w:rsidRPr="00C6580C">
        <w:rPr>
          <w:rStyle w:val="FootnoteReference"/>
          <w:szCs w:val="22"/>
        </w:rPr>
        <w:footnoteReference w:id="82"/>
      </w:r>
      <w:r w:rsidRPr="00A96110">
        <w:t xml:space="preserve">  </w:t>
      </w:r>
    </w:p>
    <w:p w14:paraId="6011F603" w14:textId="741B37FC" w:rsidR="00843FDA" w:rsidRPr="00575411" w:rsidRDefault="008F5037" w:rsidP="00CD7CAC">
      <w:pPr>
        <w:pStyle w:val="ParaNum"/>
        <w:widowControl/>
      </w:pPr>
      <w:r w:rsidRPr="00A96110">
        <w:t xml:space="preserve">LMCC supports reciprocal </w:t>
      </w:r>
      <w:r w:rsidR="00E512ED" w:rsidRPr="00A96110">
        <w:t xml:space="preserve">contour </w:t>
      </w:r>
      <w:r w:rsidRPr="00A96110">
        <w:t>analyses whereby: “[t]he applicant’s interference contour cannot overlap the service contour of any affected incumbent and the incumbent(s)’ interference contour cannot overlap the applicant’s service contour.”</w:t>
      </w:r>
      <w:r>
        <w:rPr>
          <w:rStyle w:val="FootnoteReference"/>
          <w:szCs w:val="22"/>
        </w:rPr>
        <w:footnoteReference w:id="83"/>
      </w:r>
      <w:r w:rsidRPr="00A96110">
        <w:t xml:space="preserve">  LMCC argues that a reciprocal analysis “will provide superior interference protection for both applicants and incumbents.”</w:t>
      </w:r>
      <w:r w:rsidR="00532119">
        <w:rPr>
          <w:rStyle w:val="FootnoteReference"/>
          <w:szCs w:val="22"/>
        </w:rPr>
        <w:footnoteReference w:id="84"/>
      </w:r>
      <w:r w:rsidRPr="00A96110">
        <w:t xml:space="preserve">  </w:t>
      </w:r>
      <w:r w:rsidR="00774731" w:rsidRPr="00A96110">
        <w:t xml:space="preserve">LMCC </w:t>
      </w:r>
      <w:r w:rsidRPr="00A96110">
        <w:t xml:space="preserve">also supports using the F(50,50) curves for both the service and interfering contours because according to LMCC </w:t>
      </w:r>
      <w:r w:rsidR="00774731" w:rsidRPr="00A96110">
        <w:t>the F(50,50) curves “represent an appropriate balance of promoting more intensive use of spectrum without burdening applicants with the need to conduct an overly complex and costly coordination analysis.”</w:t>
      </w:r>
      <w:r w:rsidR="00774731">
        <w:rPr>
          <w:rStyle w:val="FootnoteReference"/>
          <w:szCs w:val="22"/>
        </w:rPr>
        <w:footnoteReference w:id="85"/>
      </w:r>
      <w:r w:rsidR="00774731" w:rsidRPr="00A96110">
        <w:t xml:space="preserve">  </w:t>
      </w:r>
      <w:r w:rsidR="00843FDA" w:rsidRPr="00A96110">
        <w:t>Interference, however, typically is related to the F(50,10) contour.</w:t>
      </w:r>
      <w:r w:rsidR="00843FDA" w:rsidRPr="00C6580C">
        <w:rPr>
          <w:rStyle w:val="FootnoteReference"/>
          <w:szCs w:val="22"/>
        </w:rPr>
        <w:footnoteReference w:id="86"/>
      </w:r>
      <w:r w:rsidR="00843FDA" w:rsidRPr="00A96110">
        <w:t xml:space="preserve">  We therefore seek comment on </w:t>
      </w:r>
      <w:r w:rsidR="00E512ED" w:rsidRPr="00A96110">
        <w:t xml:space="preserve">LMCC’s reciprocal contour analysis proposal and </w:t>
      </w:r>
      <w:r w:rsidR="00843FDA" w:rsidRPr="00A96110">
        <w:t>whether the interfering contour in the table, below, should be based on the F(50,10) contour rather than the F(50,50) contour.</w:t>
      </w:r>
      <w:r w:rsidR="00035ED9" w:rsidRPr="00A96110">
        <w:t xml:space="preserve">  </w:t>
      </w:r>
    </w:p>
    <w:p w14:paraId="2C17BB6A" w14:textId="77777777" w:rsidR="00843FDA" w:rsidRPr="00C6580C" w:rsidRDefault="00843FDA" w:rsidP="00CD7CAC">
      <w:pPr>
        <w:keepNext/>
        <w:keepLines/>
        <w:widowControl/>
        <w:autoSpaceDE w:val="0"/>
        <w:autoSpaceDN w:val="0"/>
        <w:adjustRightInd w:val="0"/>
        <w:jc w:val="center"/>
        <w:rPr>
          <w:b/>
          <w:szCs w:val="22"/>
        </w:rPr>
      </w:pPr>
      <w:r w:rsidRPr="00C6580C">
        <w:rPr>
          <w:b/>
          <w:szCs w:val="22"/>
        </w:rPr>
        <w:t>Interstitial 800 MHz Coordination Procedures</w:t>
      </w:r>
    </w:p>
    <w:p w14:paraId="257DA1AF" w14:textId="77777777" w:rsidR="00843FDA" w:rsidRPr="00C6580C" w:rsidRDefault="00843FDA" w:rsidP="00CD7CAC">
      <w:pPr>
        <w:keepNext/>
        <w:keepLines/>
        <w:widowControl/>
        <w:autoSpaceDE w:val="0"/>
        <w:autoSpaceDN w:val="0"/>
        <w:adjustRightInd w:val="0"/>
        <w:jc w:val="center"/>
        <w:rPr>
          <w:b/>
          <w:szCs w:val="22"/>
        </w:rPr>
      </w:pPr>
      <w:r w:rsidRPr="00C6580C">
        <w:rPr>
          <w:b/>
          <w:szCs w:val="22"/>
        </w:rPr>
        <w:t>Land Mobile Communications Council</w:t>
      </w:r>
    </w:p>
    <w:p w14:paraId="5FB077AF" w14:textId="77777777" w:rsidR="00843FDA" w:rsidRPr="00C6580C" w:rsidRDefault="00843FDA" w:rsidP="00CD7CAC">
      <w:pPr>
        <w:keepNext/>
        <w:keepLines/>
        <w:widowControl/>
        <w:autoSpaceDE w:val="0"/>
        <w:autoSpaceDN w:val="0"/>
        <w:adjustRightInd w:val="0"/>
        <w:ind w:firstLine="720"/>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843FDA" w:rsidRPr="00C6580C" w14:paraId="354D9756" w14:textId="77777777">
        <w:tc>
          <w:tcPr>
            <w:tcW w:w="2952" w:type="dxa"/>
          </w:tcPr>
          <w:p w14:paraId="0FEC6EDC" w14:textId="77777777" w:rsidR="00843FDA" w:rsidRPr="00C6580C" w:rsidRDefault="00843FDA" w:rsidP="00CD7CAC">
            <w:pPr>
              <w:keepNext/>
              <w:keepLines/>
              <w:widowControl/>
              <w:autoSpaceDE w:val="0"/>
              <w:autoSpaceDN w:val="0"/>
              <w:adjustRightInd w:val="0"/>
              <w:jc w:val="center"/>
              <w:rPr>
                <w:b/>
                <w:bCs/>
                <w:szCs w:val="22"/>
              </w:rPr>
            </w:pPr>
            <w:r w:rsidRPr="00C6580C">
              <w:rPr>
                <w:b/>
                <w:bCs/>
                <w:szCs w:val="22"/>
              </w:rPr>
              <w:t>ADJACENT STANDARD CHANNEL</w:t>
            </w:r>
          </w:p>
          <w:p w14:paraId="7C65B22E" w14:textId="77777777" w:rsidR="00843FDA" w:rsidRPr="00C6580C" w:rsidRDefault="00843FDA" w:rsidP="00CD7CAC">
            <w:pPr>
              <w:keepNext/>
              <w:keepLines/>
              <w:widowControl/>
              <w:autoSpaceDE w:val="0"/>
              <w:autoSpaceDN w:val="0"/>
              <w:adjustRightInd w:val="0"/>
              <w:jc w:val="center"/>
              <w:rPr>
                <w:b/>
                <w:bCs/>
                <w:szCs w:val="22"/>
              </w:rPr>
            </w:pPr>
            <w:r w:rsidRPr="00C6580C">
              <w:rPr>
                <w:b/>
                <w:bCs/>
                <w:szCs w:val="22"/>
              </w:rPr>
              <w:t>INCUMBENT</w:t>
            </w:r>
          </w:p>
          <w:p w14:paraId="64717AC1" w14:textId="77777777" w:rsidR="00843FDA" w:rsidRPr="00C6580C" w:rsidRDefault="00843FDA" w:rsidP="00CD7CAC">
            <w:pPr>
              <w:keepNext/>
              <w:keepLines/>
              <w:widowControl/>
              <w:autoSpaceDE w:val="0"/>
              <w:autoSpaceDN w:val="0"/>
              <w:adjustRightInd w:val="0"/>
              <w:jc w:val="center"/>
              <w:rPr>
                <w:szCs w:val="22"/>
              </w:rPr>
            </w:pPr>
            <w:r w:rsidRPr="00C6580C">
              <w:rPr>
                <w:b/>
                <w:bCs/>
                <w:szCs w:val="22"/>
              </w:rPr>
              <w:t>EMISSION</w:t>
            </w:r>
          </w:p>
        </w:tc>
        <w:tc>
          <w:tcPr>
            <w:tcW w:w="2952" w:type="dxa"/>
          </w:tcPr>
          <w:p w14:paraId="707F3B9E" w14:textId="77777777" w:rsidR="00843FDA" w:rsidRPr="00C6580C" w:rsidRDefault="00843FDA" w:rsidP="00CD7CAC">
            <w:pPr>
              <w:keepNext/>
              <w:keepLines/>
              <w:widowControl/>
              <w:autoSpaceDE w:val="0"/>
              <w:autoSpaceDN w:val="0"/>
              <w:adjustRightInd w:val="0"/>
              <w:jc w:val="center"/>
              <w:rPr>
                <w:b/>
                <w:bCs/>
                <w:szCs w:val="22"/>
              </w:rPr>
            </w:pPr>
            <w:r w:rsidRPr="00C6580C">
              <w:rPr>
                <w:b/>
                <w:bCs/>
                <w:szCs w:val="22"/>
              </w:rPr>
              <w:t>INTERSTITIAL PROPOSED</w:t>
            </w:r>
          </w:p>
          <w:p w14:paraId="5C1EFFC1" w14:textId="77777777" w:rsidR="00843FDA" w:rsidRPr="00C6580C" w:rsidRDefault="00843FDA" w:rsidP="00CD7CAC">
            <w:pPr>
              <w:keepNext/>
              <w:keepLines/>
              <w:widowControl/>
              <w:autoSpaceDE w:val="0"/>
              <w:autoSpaceDN w:val="0"/>
              <w:adjustRightInd w:val="0"/>
              <w:jc w:val="center"/>
              <w:rPr>
                <w:b/>
                <w:bCs/>
                <w:szCs w:val="22"/>
              </w:rPr>
            </w:pPr>
            <w:r w:rsidRPr="00C6580C">
              <w:rPr>
                <w:b/>
                <w:bCs/>
                <w:szCs w:val="22"/>
              </w:rPr>
              <w:t>EMISSION DESIGNATOR</w:t>
            </w:r>
          </w:p>
          <w:p w14:paraId="2C46638F" w14:textId="77777777" w:rsidR="00843FDA" w:rsidRPr="00C6580C" w:rsidRDefault="00843FDA" w:rsidP="00CD7CAC">
            <w:pPr>
              <w:keepNext/>
              <w:keepLines/>
              <w:widowControl/>
              <w:autoSpaceDE w:val="0"/>
              <w:autoSpaceDN w:val="0"/>
              <w:adjustRightInd w:val="0"/>
              <w:jc w:val="center"/>
              <w:rPr>
                <w:szCs w:val="22"/>
              </w:rPr>
            </w:pPr>
            <w:r w:rsidRPr="00C6580C">
              <w:rPr>
                <w:szCs w:val="22"/>
              </w:rPr>
              <w:t>7K-11K Emission (B/ILT or PS)</w:t>
            </w:r>
          </w:p>
        </w:tc>
        <w:tc>
          <w:tcPr>
            <w:tcW w:w="2952" w:type="dxa"/>
          </w:tcPr>
          <w:p w14:paraId="236633A0" w14:textId="77777777" w:rsidR="00843FDA" w:rsidRPr="00C6580C" w:rsidRDefault="00843FDA" w:rsidP="00CD7CAC">
            <w:pPr>
              <w:keepNext/>
              <w:keepLines/>
              <w:widowControl/>
              <w:autoSpaceDE w:val="0"/>
              <w:autoSpaceDN w:val="0"/>
              <w:adjustRightInd w:val="0"/>
              <w:jc w:val="center"/>
              <w:rPr>
                <w:b/>
                <w:bCs/>
                <w:szCs w:val="22"/>
              </w:rPr>
            </w:pPr>
            <w:r w:rsidRPr="00C6580C">
              <w:rPr>
                <w:b/>
                <w:bCs/>
                <w:szCs w:val="22"/>
              </w:rPr>
              <w:t>INTERSTITIAL PROPOSED</w:t>
            </w:r>
          </w:p>
          <w:p w14:paraId="22D75054" w14:textId="77777777" w:rsidR="00843FDA" w:rsidRPr="00C6580C" w:rsidRDefault="00843FDA" w:rsidP="00CD7CAC">
            <w:pPr>
              <w:keepNext/>
              <w:keepLines/>
              <w:widowControl/>
              <w:autoSpaceDE w:val="0"/>
              <w:autoSpaceDN w:val="0"/>
              <w:adjustRightInd w:val="0"/>
              <w:jc w:val="center"/>
              <w:rPr>
                <w:b/>
                <w:bCs/>
                <w:szCs w:val="22"/>
              </w:rPr>
            </w:pPr>
            <w:r w:rsidRPr="00C6580C">
              <w:rPr>
                <w:b/>
                <w:bCs/>
                <w:szCs w:val="22"/>
              </w:rPr>
              <w:t>EMISSION DESIGNATOR</w:t>
            </w:r>
          </w:p>
          <w:p w14:paraId="393159C4" w14:textId="77777777" w:rsidR="00843FDA" w:rsidRPr="00C6580C" w:rsidRDefault="00843FDA" w:rsidP="00CD7CAC">
            <w:pPr>
              <w:keepNext/>
              <w:keepLines/>
              <w:widowControl/>
              <w:autoSpaceDE w:val="0"/>
              <w:autoSpaceDN w:val="0"/>
              <w:adjustRightInd w:val="0"/>
              <w:jc w:val="center"/>
              <w:rPr>
                <w:szCs w:val="22"/>
              </w:rPr>
            </w:pPr>
            <w:r w:rsidRPr="00C6580C">
              <w:rPr>
                <w:szCs w:val="22"/>
              </w:rPr>
              <w:t>4K Emission (B/ILT or PS)</w:t>
            </w:r>
          </w:p>
        </w:tc>
      </w:tr>
      <w:tr w:rsidR="00843FDA" w:rsidRPr="00C6580C" w14:paraId="00C15B7B" w14:textId="77777777">
        <w:tc>
          <w:tcPr>
            <w:tcW w:w="2952" w:type="dxa"/>
          </w:tcPr>
          <w:p w14:paraId="7CB37DA1" w14:textId="77777777" w:rsidR="00843FDA" w:rsidRPr="00C6580C" w:rsidRDefault="00843FDA" w:rsidP="00CD7CAC">
            <w:pPr>
              <w:widowControl/>
              <w:autoSpaceDE w:val="0"/>
              <w:autoSpaceDN w:val="0"/>
              <w:adjustRightInd w:val="0"/>
              <w:jc w:val="center"/>
              <w:rPr>
                <w:szCs w:val="22"/>
              </w:rPr>
            </w:pPr>
            <w:r w:rsidRPr="00C6580C">
              <w:rPr>
                <w:szCs w:val="22"/>
              </w:rPr>
              <w:t>16K or greater analog</w:t>
            </w:r>
          </w:p>
          <w:p w14:paraId="0CE77CF5" w14:textId="77777777" w:rsidR="00843FDA" w:rsidRPr="00C6580C" w:rsidRDefault="00843FDA" w:rsidP="00CD7CAC">
            <w:pPr>
              <w:widowControl/>
              <w:autoSpaceDE w:val="0"/>
              <w:autoSpaceDN w:val="0"/>
              <w:adjustRightInd w:val="0"/>
              <w:jc w:val="center"/>
              <w:rPr>
                <w:szCs w:val="22"/>
              </w:rPr>
            </w:pPr>
            <w:r w:rsidRPr="00C6580C">
              <w:rPr>
                <w:szCs w:val="22"/>
              </w:rPr>
              <w:t>(B/ILT or PS)</w:t>
            </w:r>
          </w:p>
        </w:tc>
        <w:tc>
          <w:tcPr>
            <w:tcW w:w="2952" w:type="dxa"/>
          </w:tcPr>
          <w:p w14:paraId="27B17309" w14:textId="77777777" w:rsidR="00843FDA" w:rsidRPr="00C6580C" w:rsidRDefault="00843FDA" w:rsidP="00CD7CAC">
            <w:pPr>
              <w:widowControl/>
              <w:autoSpaceDE w:val="0"/>
              <w:autoSpaceDN w:val="0"/>
              <w:adjustRightInd w:val="0"/>
              <w:jc w:val="center"/>
              <w:rPr>
                <w:szCs w:val="22"/>
              </w:rPr>
            </w:pPr>
            <w:r w:rsidRPr="00C6580C">
              <w:rPr>
                <w:szCs w:val="22"/>
              </w:rPr>
              <w:t>40/38 (50/50) (reciprocal)</w:t>
            </w:r>
            <w:bookmarkStart w:id="66" w:name="_Ref353191221"/>
            <w:r w:rsidRPr="00C6580C">
              <w:rPr>
                <w:rStyle w:val="FootnoteReference"/>
                <w:szCs w:val="22"/>
              </w:rPr>
              <w:footnoteReference w:id="87"/>
            </w:r>
            <w:bookmarkEnd w:id="66"/>
          </w:p>
        </w:tc>
        <w:tc>
          <w:tcPr>
            <w:tcW w:w="2952" w:type="dxa"/>
          </w:tcPr>
          <w:p w14:paraId="5D96E44E" w14:textId="77777777" w:rsidR="00843FDA" w:rsidRPr="00C6580C" w:rsidRDefault="00843FDA" w:rsidP="00CD7CAC">
            <w:pPr>
              <w:widowControl/>
              <w:autoSpaceDE w:val="0"/>
              <w:autoSpaceDN w:val="0"/>
              <w:adjustRightInd w:val="0"/>
              <w:jc w:val="center"/>
              <w:rPr>
                <w:szCs w:val="22"/>
              </w:rPr>
            </w:pPr>
            <w:r w:rsidRPr="00C6580C">
              <w:rPr>
                <w:szCs w:val="22"/>
              </w:rPr>
              <w:t>No analysis required</w:t>
            </w:r>
          </w:p>
        </w:tc>
      </w:tr>
      <w:tr w:rsidR="00843FDA" w:rsidRPr="00C6580C" w14:paraId="71F4D650" w14:textId="77777777">
        <w:tc>
          <w:tcPr>
            <w:tcW w:w="2952" w:type="dxa"/>
          </w:tcPr>
          <w:p w14:paraId="14DF3AAE" w14:textId="77777777" w:rsidR="00843FDA" w:rsidRPr="00C6580C" w:rsidRDefault="00843FDA" w:rsidP="00CD7CAC">
            <w:pPr>
              <w:widowControl/>
              <w:autoSpaceDE w:val="0"/>
              <w:autoSpaceDN w:val="0"/>
              <w:adjustRightInd w:val="0"/>
              <w:jc w:val="center"/>
              <w:rPr>
                <w:szCs w:val="22"/>
              </w:rPr>
            </w:pPr>
            <w:r w:rsidRPr="00C6580C">
              <w:rPr>
                <w:szCs w:val="22"/>
              </w:rPr>
              <w:t>16K or greater digital</w:t>
            </w:r>
          </w:p>
          <w:p w14:paraId="52DAD324" w14:textId="77777777" w:rsidR="00843FDA" w:rsidRPr="00C6580C" w:rsidRDefault="00843FDA" w:rsidP="00CD7CAC">
            <w:pPr>
              <w:widowControl/>
              <w:autoSpaceDE w:val="0"/>
              <w:autoSpaceDN w:val="0"/>
              <w:adjustRightInd w:val="0"/>
              <w:jc w:val="center"/>
              <w:rPr>
                <w:szCs w:val="22"/>
              </w:rPr>
            </w:pPr>
            <w:r w:rsidRPr="00C6580C">
              <w:rPr>
                <w:szCs w:val="22"/>
              </w:rPr>
              <w:t>(B/ILT or PS)</w:t>
            </w:r>
          </w:p>
        </w:tc>
        <w:tc>
          <w:tcPr>
            <w:tcW w:w="2952" w:type="dxa"/>
          </w:tcPr>
          <w:p w14:paraId="2FE2FEAF" w14:textId="77777777" w:rsidR="00843FDA" w:rsidRPr="00C6580C" w:rsidRDefault="00843FDA" w:rsidP="00CD7CAC">
            <w:pPr>
              <w:widowControl/>
              <w:autoSpaceDE w:val="0"/>
              <w:autoSpaceDN w:val="0"/>
              <w:adjustRightInd w:val="0"/>
              <w:jc w:val="center"/>
              <w:rPr>
                <w:szCs w:val="22"/>
              </w:rPr>
            </w:pPr>
            <w:r w:rsidRPr="00C6580C">
              <w:rPr>
                <w:szCs w:val="22"/>
              </w:rPr>
              <w:t>40/23 (50/50) (reciprocal)</w:t>
            </w:r>
            <w:r w:rsidRPr="00C6580C">
              <w:rPr>
                <w:rStyle w:val="FootnoteReference"/>
                <w:szCs w:val="22"/>
              </w:rPr>
              <w:footnoteReference w:id="88"/>
            </w:r>
          </w:p>
        </w:tc>
        <w:tc>
          <w:tcPr>
            <w:tcW w:w="2952" w:type="dxa"/>
          </w:tcPr>
          <w:p w14:paraId="32513F44" w14:textId="77777777" w:rsidR="00843FDA" w:rsidRPr="00C6580C" w:rsidRDefault="00843FDA" w:rsidP="00CD7CAC">
            <w:pPr>
              <w:widowControl/>
              <w:autoSpaceDE w:val="0"/>
              <w:autoSpaceDN w:val="0"/>
              <w:adjustRightInd w:val="0"/>
              <w:jc w:val="center"/>
              <w:rPr>
                <w:szCs w:val="22"/>
              </w:rPr>
            </w:pPr>
            <w:r w:rsidRPr="00C6580C">
              <w:rPr>
                <w:szCs w:val="22"/>
              </w:rPr>
              <w:t>No analysis required</w:t>
            </w:r>
          </w:p>
        </w:tc>
      </w:tr>
      <w:tr w:rsidR="00843FDA" w:rsidRPr="00C6580C" w14:paraId="2CF85DCB" w14:textId="77777777">
        <w:tc>
          <w:tcPr>
            <w:tcW w:w="2952" w:type="dxa"/>
          </w:tcPr>
          <w:p w14:paraId="58CEA742" w14:textId="77777777" w:rsidR="00843FDA" w:rsidRPr="00C6580C" w:rsidRDefault="00843FDA" w:rsidP="00CD7CAC">
            <w:pPr>
              <w:widowControl/>
              <w:autoSpaceDE w:val="0"/>
              <w:autoSpaceDN w:val="0"/>
              <w:adjustRightInd w:val="0"/>
              <w:jc w:val="center"/>
              <w:rPr>
                <w:szCs w:val="22"/>
              </w:rPr>
            </w:pPr>
            <w:r w:rsidRPr="00C6580C">
              <w:rPr>
                <w:szCs w:val="22"/>
              </w:rPr>
              <w:t>11K or less (B/ILT or PS)</w:t>
            </w:r>
          </w:p>
        </w:tc>
        <w:tc>
          <w:tcPr>
            <w:tcW w:w="2952" w:type="dxa"/>
          </w:tcPr>
          <w:p w14:paraId="0AF373E9" w14:textId="77777777" w:rsidR="00843FDA" w:rsidRPr="00C6580C" w:rsidRDefault="00843FDA" w:rsidP="00CD7CAC">
            <w:pPr>
              <w:widowControl/>
              <w:autoSpaceDE w:val="0"/>
              <w:autoSpaceDN w:val="0"/>
              <w:adjustRightInd w:val="0"/>
              <w:jc w:val="center"/>
              <w:rPr>
                <w:szCs w:val="22"/>
              </w:rPr>
            </w:pPr>
            <w:r w:rsidRPr="00C6580C">
              <w:rPr>
                <w:szCs w:val="22"/>
              </w:rPr>
              <w:t>No analysis required</w:t>
            </w:r>
          </w:p>
        </w:tc>
        <w:tc>
          <w:tcPr>
            <w:tcW w:w="2952" w:type="dxa"/>
          </w:tcPr>
          <w:p w14:paraId="38B25875" w14:textId="77777777" w:rsidR="00843FDA" w:rsidRPr="00C6580C" w:rsidRDefault="00843FDA" w:rsidP="00CD7CAC">
            <w:pPr>
              <w:widowControl/>
              <w:autoSpaceDE w:val="0"/>
              <w:autoSpaceDN w:val="0"/>
              <w:adjustRightInd w:val="0"/>
              <w:jc w:val="center"/>
              <w:rPr>
                <w:szCs w:val="22"/>
              </w:rPr>
            </w:pPr>
            <w:r w:rsidRPr="00C6580C">
              <w:rPr>
                <w:szCs w:val="22"/>
              </w:rPr>
              <w:t>No analysis required</w:t>
            </w:r>
          </w:p>
        </w:tc>
      </w:tr>
    </w:tbl>
    <w:p w14:paraId="4F32EDB1" w14:textId="77777777" w:rsidR="00843FDA" w:rsidRPr="00A96110" w:rsidRDefault="00843FDA" w:rsidP="00CD7CAC">
      <w:pPr>
        <w:pStyle w:val="ParaNum"/>
        <w:widowControl/>
        <w:numPr>
          <w:ilvl w:val="0"/>
          <w:numId w:val="0"/>
        </w:numPr>
      </w:pPr>
    </w:p>
    <w:p w14:paraId="6FD57AEF" w14:textId="77777777" w:rsidR="000451B7" w:rsidRPr="00A96110" w:rsidRDefault="00843FDA" w:rsidP="00CD7CAC">
      <w:pPr>
        <w:pStyle w:val="ParaNum"/>
        <w:widowControl/>
        <w:tabs>
          <w:tab w:val="clear" w:pos="1440"/>
          <w:tab w:val="num" w:pos="1430"/>
        </w:tabs>
      </w:pPr>
      <w:r w:rsidRPr="00A96110">
        <w:t>We seek comment on LMCC’s proposed interference protection criteria, the foregoing alternatives, and any other interference protection approaches that may be viable.</w:t>
      </w:r>
      <w:r w:rsidRPr="00C6580C">
        <w:rPr>
          <w:rStyle w:val="FootnoteReference"/>
          <w:szCs w:val="22"/>
        </w:rPr>
        <w:footnoteReference w:id="89"/>
      </w:r>
      <w:r w:rsidRPr="00A96110">
        <w:t xml:space="preserve">  </w:t>
      </w:r>
      <w:r w:rsidR="000451B7" w:rsidRPr="00A96110">
        <w:t xml:space="preserve">For instance, APCO requests that we seek comment on </w:t>
      </w:r>
      <w:r w:rsidR="00AA7F5D" w:rsidRPr="00A96110">
        <w:t>how LMCC derived</w:t>
      </w:r>
      <w:r w:rsidR="003B078B" w:rsidRPr="00A96110">
        <w:t xml:space="preserve"> </w:t>
      </w:r>
      <w:r w:rsidR="00AA7F5D" w:rsidRPr="00A96110">
        <w:t xml:space="preserve">the contour values in its proposal and </w:t>
      </w:r>
      <w:r w:rsidR="000451B7" w:rsidRPr="00A96110">
        <w:t>whether or not the</w:t>
      </w:r>
      <w:r w:rsidR="00AA7F5D" w:rsidRPr="00A96110">
        <w:t xml:space="preserve">se </w:t>
      </w:r>
      <w:r w:rsidR="000451B7" w:rsidRPr="00A96110">
        <w:t>contour</w:t>
      </w:r>
      <w:r w:rsidR="00AA7F5D" w:rsidRPr="00A96110">
        <w:t>s</w:t>
      </w:r>
      <w:r w:rsidR="000451B7" w:rsidRPr="00A96110">
        <w:t xml:space="preserve"> “need to be revisited to ensure protection to incumbent licensees operating with bandwidths of 20 kHz and greater.”</w:t>
      </w:r>
      <w:r w:rsidR="000451B7">
        <w:rPr>
          <w:rStyle w:val="FootnoteReference"/>
          <w:szCs w:val="22"/>
        </w:rPr>
        <w:footnoteReference w:id="90"/>
      </w:r>
      <w:r w:rsidR="000451B7" w:rsidRPr="00A96110">
        <w:t xml:space="preserve">  APCO also </w:t>
      </w:r>
      <w:r w:rsidR="00AA7F5D" w:rsidRPr="00A96110">
        <w:t xml:space="preserve">asks </w:t>
      </w:r>
      <w:r w:rsidR="000451B7" w:rsidRPr="00A96110">
        <w:t>that we seek comment on whether or not “there has been testing of the interference values to ensure proper protection is provided to incumbent licensees, and whether appropriate coordination standards will be established.”</w:t>
      </w:r>
      <w:r w:rsidR="000451B7">
        <w:rPr>
          <w:rStyle w:val="FootnoteReference"/>
          <w:szCs w:val="22"/>
        </w:rPr>
        <w:footnoteReference w:id="91"/>
      </w:r>
      <w:r w:rsidR="000451B7">
        <w:t xml:space="preserve"> </w:t>
      </w:r>
      <w:r w:rsidR="000451B7" w:rsidRPr="00A96110">
        <w:t xml:space="preserve"> We seek comment on these matters.</w:t>
      </w:r>
    </w:p>
    <w:p w14:paraId="6BDA28A5" w14:textId="77777777" w:rsidR="00843FDA" w:rsidRPr="00A96110" w:rsidRDefault="000451B7" w:rsidP="00CD7CAC">
      <w:pPr>
        <w:pStyle w:val="ParaNum"/>
        <w:widowControl/>
        <w:tabs>
          <w:tab w:val="clear" w:pos="1440"/>
          <w:tab w:val="num" w:pos="1430"/>
        </w:tabs>
      </w:pPr>
      <w:r w:rsidRPr="00A96110">
        <w:t>We also</w:t>
      </w:r>
      <w:r w:rsidR="00843FDA" w:rsidRPr="00A96110">
        <w:t xml:space="preserve"> inquire whether contour overlap or other analytical methods, such as TSB-88, are the most appropriate for protecting adjacent-channel incumbents.  Proponents of contour overlap should address whether a contour method provides efficient, adequate and accurate interference protection</w:t>
      </w:r>
      <w:r w:rsidR="008A7157" w:rsidRPr="00A96110">
        <w:t xml:space="preserve"> on a consistent basis and whether the contour overlap </w:t>
      </w:r>
      <w:r w:rsidR="00374EED" w:rsidRPr="00A96110">
        <w:t xml:space="preserve">process </w:t>
      </w:r>
      <w:r w:rsidR="008A7157" w:rsidRPr="00A96110">
        <w:t>would be less burdensome on applicants and frequency coordinators than alternative proposals</w:t>
      </w:r>
      <w:r w:rsidR="00843FDA" w:rsidRPr="00A96110">
        <w:t xml:space="preserve">.  </w:t>
      </w:r>
      <w:r w:rsidR="008A7157" w:rsidRPr="00A96110">
        <w:t>Additionally, should applicants be allowed to obtain letters of concurrence, similar to our existing short-spacing rules, from adjacent channel licensees as an alternative to the contour overlap analysis</w:t>
      </w:r>
      <w:r w:rsidR="00374EED" w:rsidRPr="00A96110">
        <w:t>?</w:t>
      </w:r>
      <w:r w:rsidR="008A7157" w:rsidRPr="00A96110">
        <w:t xml:space="preserve">  </w:t>
      </w:r>
      <w:r w:rsidR="00843FDA" w:rsidRPr="00A96110">
        <w:t>Should we accept analyses based on terrain-sensitive models such as Technical Note 101 (Longley-Rice)?</w:t>
      </w:r>
      <w:r w:rsidR="00843FDA" w:rsidRPr="00C6580C">
        <w:rPr>
          <w:rStyle w:val="FootnoteReference"/>
          <w:szCs w:val="22"/>
        </w:rPr>
        <w:footnoteReference w:id="92"/>
      </w:r>
      <w:r w:rsidR="00843FDA" w:rsidRPr="00A96110">
        <w:t xml:space="preserve">  Are protected contours still an appropriate model for interference protection for digital modulation schemes?</w:t>
      </w:r>
      <w:r w:rsidR="00843FDA" w:rsidRPr="00C6580C">
        <w:rPr>
          <w:rStyle w:val="FootnoteReference"/>
          <w:szCs w:val="22"/>
        </w:rPr>
        <w:footnoteReference w:id="93"/>
      </w:r>
      <w:r w:rsidR="00843FDA" w:rsidRPr="00A96110">
        <w:t xml:space="preserve">  For instance, how does the introduction of TETRA technology into the Mid-Band impact adjacent-channel use and the LMCC contour overlap proposal?  Should the contour values proposed by LMCC be adjusted to account for TETRA systems?  P</w:t>
      </w:r>
      <w:r w:rsidR="00843FDA" w:rsidRPr="00A96110">
        <w:rPr>
          <w:kern w:val="0"/>
        </w:rPr>
        <w:t xml:space="preserve">roponents of the TSB-88 or Okumura methodologies should address whether these methods can provide adequate interference protection with repeatable results but without being overly-complex or excessively costly.  </w:t>
      </w:r>
      <w:r w:rsidR="00843FDA" w:rsidRPr="00A96110">
        <w:t xml:space="preserve">Finally, we seek comment on whether or not to extend interference protection to licensees on the new full power interstitial channels and, if so, what interference criteria should be used to protect these licensees, </w:t>
      </w:r>
      <w:r w:rsidR="00843FDA" w:rsidRPr="00A96110">
        <w:rPr>
          <w:i/>
        </w:rPr>
        <w:t>e.g.</w:t>
      </w:r>
      <w:r w:rsidR="00843FDA" w:rsidRPr="00A96110">
        <w:t xml:space="preserve">, </w:t>
      </w:r>
      <w:r w:rsidR="00D9248B" w:rsidRPr="00A96110">
        <w:t>whether</w:t>
      </w:r>
      <w:r w:rsidR="00843FDA" w:rsidRPr="00A96110">
        <w:t xml:space="preserve"> the interference criteria in the table </w:t>
      </w:r>
      <w:r w:rsidR="00843FDA" w:rsidRPr="00A96110">
        <w:rPr>
          <w:i/>
        </w:rPr>
        <w:t>supra</w:t>
      </w:r>
      <w:r w:rsidR="00843FDA" w:rsidRPr="00A96110">
        <w:t xml:space="preserve"> </w:t>
      </w:r>
      <w:r w:rsidR="00D9248B" w:rsidRPr="00A96110">
        <w:t xml:space="preserve">should </w:t>
      </w:r>
      <w:r w:rsidR="00843FDA" w:rsidRPr="00A96110">
        <w:t>be reciprocal as LMCC proposes</w:t>
      </w:r>
      <w:r w:rsidR="00301E51" w:rsidRPr="00A96110">
        <w:t>.</w:t>
      </w:r>
      <w:r w:rsidR="00843FDA" w:rsidRPr="00C6580C">
        <w:rPr>
          <w:rStyle w:val="FootnoteReference"/>
          <w:szCs w:val="22"/>
        </w:rPr>
        <w:footnoteReference w:id="94"/>
      </w:r>
    </w:p>
    <w:p w14:paraId="2B562BAB" w14:textId="77777777" w:rsidR="00843FDA" w:rsidRPr="00C6580C" w:rsidRDefault="00843FDA" w:rsidP="00CD7CAC">
      <w:pPr>
        <w:pStyle w:val="Heading2"/>
        <w:widowControl/>
        <w:rPr>
          <w:szCs w:val="22"/>
        </w:rPr>
      </w:pPr>
      <w:r w:rsidRPr="00C6580C">
        <w:rPr>
          <w:szCs w:val="22"/>
        </w:rPr>
        <w:t xml:space="preserve"> Eligibility and Licensing Requirements </w:t>
      </w:r>
    </w:p>
    <w:p w14:paraId="23D5FDFD" w14:textId="77777777" w:rsidR="00843FDA" w:rsidRPr="00A96110" w:rsidRDefault="00843FDA" w:rsidP="00CD7CAC">
      <w:pPr>
        <w:pStyle w:val="ParaNum"/>
        <w:widowControl/>
        <w:tabs>
          <w:tab w:val="clear" w:pos="1440"/>
          <w:tab w:val="num" w:pos="1430"/>
        </w:tabs>
      </w:pPr>
      <w:r w:rsidRPr="00A96110">
        <w:t>Our rules establish four eligibility pools or categories</w:t>
      </w:r>
      <w:r w:rsidRPr="00A96110">
        <w:rPr>
          <w:color w:val="000000"/>
        </w:rPr>
        <w:t xml:space="preserve"> for the Mid-Band portion of the 800 MHz band:</w:t>
      </w:r>
      <w:r w:rsidRPr="00C6580C">
        <w:rPr>
          <w:rStyle w:val="FootnoteReference"/>
          <w:szCs w:val="22"/>
        </w:rPr>
        <w:footnoteReference w:id="95"/>
      </w:r>
      <w:r w:rsidRPr="00A96110">
        <w:rPr>
          <w:color w:val="000000"/>
        </w:rPr>
        <w:t xml:space="preserve"> General Category,</w:t>
      </w:r>
      <w:r w:rsidRPr="00C6580C">
        <w:rPr>
          <w:rStyle w:val="FootnoteReference"/>
          <w:szCs w:val="22"/>
        </w:rPr>
        <w:footnoteReference w:id="96"/>
      </w:r>
      <w:r w:rsidRPr="00A96110">
        <w:rPr>
          <w:color w:val="000000"/>
        </w:rPr>
        <w:t xml:space="preserve"> Public Safety,</w:t>
      </w:r>
      <w:r w:rsidRPr="00C6580C">
        <w:rPr>
          <w:rStyle w:val="FootnoteReference"/>
          <w:szCs w:val="22"/>
        </w:rPr>
        <w:footnoteReference w:id="97"/>
      </w:r>
      <w:r w:rsidRPr="00A96110">
        <w:rPr>
          <w:color w:val="000000"/>
        </w:rPr>
        <w:t xml:space="preserve"> B/ILT,</w:t>
      </w:r>
      <w:r w:rsidRPr="00C6580C">
        <w:rPr>
          <w:rStyle w:val="FootnoteReference"/>
          <w:szCs w:val="22"/>
        </w:rPr>
        <w:footnoteReference w:id="98"/>
      </w:r>
      <w:r w:rsidRPr="00A96110">
        <w:rPr>
          <w:color w:val="000000"/>
        </w:rPr>
        <w:t xml:space="preserve"> and high-site SMR.</w:t>
      </w:r>
      <w:r w:rsidRPr="00C6580C">
        <w:rPr>
          <w:rStyle w:val="FootnoteReference"/>
          <w:szCs w:val="22"/>
        </w:rPr>
        <w:footnoteReference w:id="99"/>
      </w:r>
      <w:r w:rsidRPr="00A96110">
        <w:t xml:space="preserve">  </w:t>
      </w:r>
      <w:r w:rsidRPr="00A96110">
        <w:rPr>
          <w:color w:val="000000"/>
        </w:rPr>
        <w:t>Each category has specific eligibility requirements.</w:t>
      </w:r>
      <w:r w:rsidRPr="00C6580C">
        <w:rPr>
          <w:rStyle w:val="FootnoteReference"/>
          <w:szCs w:val="22"/>
        </w:rPr>
        <w:footnoteReference w:id="100"/>
      </w:r>
      <w:r w:rsidRPr="00A96110">
        <w:rPr>
          <w:color w:val="000000"/>
        </w:rPr>
        <w:t xml:space="preserve">  Our rules allocate the channels to each category by grouping them into five-channel blocks and interspersing the blocks among the categories.     </w:t>
      </w:r>
    </w:p>
    <w:p w14:paraId="637D9598" w14:textId="77777777" w:rsidR="00843FDA" w:rsidRPr="00A96110" w:rsidRDefault="00843FDA" w:rsidP="00CD7CAC">
      <w:pPr>
        <w:pStyle w:val="ParaNum"/>
        <w:widowControl/>
        <w:tabs>
          <w:tab w:val="clear" w:pos="1440"/>
          <w:tab w:val="num" w:pos="1430"/>
        </w:tabs>
      </w:pPr>
      <w:r w:rsidRPr="00A96110">
        <w:t>EWA suggests that applicants of all of the above categories should be eligible for licensing on new interstitial channels independent of their eligibility on adjacent standard 25 kHz bandwidth channels.</w:t>
      </w:r>
      <w:r w:rsidRPr="00C6580C">
        <w:rPr>
          <w:rStyle w:val="FootnoteReference"/>
          <w:szCs w:val="22"/>
        </w:rPr>
        <w:footnoteReference w:id="101"/>
      </w:r>
      <w:r w:rsidRPr="00A96110">
        <w:t xml:space="preserve">  UTC and </w:t>
      </w:r>
      <w:r w:rsidRPr="00A96110">
        <w:rPr>
          <w:color w:val="000000"/>
        </w:rPr>
        <w:t>the American Petroleum Institute (API), however, argue against reducing the amount of spectrum available to B/ILT users that would result from making the interstitial channels available to applicants from all categories</w:t>
      </w:r>
      <w:r w:rsidRPr="00A96110">
        <w:t>.</w:t>
      </w:r>
      <w:r w:rsidRPr="00C6580C">
        <w:rPr>
          <w:rStyle w:val="FootnoteReference"/>
          <w:szCs w:val="22"/>
        </w:rPr>
        <w:footnoteReference w:id="102"/>
      </w:r>
      <w:r w:rsidRPr="00A96110">
        <w:t xml:space="preserve">  One commenter argues that any new interstitial channels should be reserved for public safety use consistent with the three and five-year criteria applicable to ESMR-vacated channels.</w:t>
      </w:r>
      <w:r w:rsidRPr="00C6580C">
        <w:rPr>
          <w:rStyle w:val="FootnoteReference"/>
          <w:szCs w:val="22"/>
        </w:rPr>
        <w:footnoteReference w:id="103"/>
      </w:r>
      <w:r w:rsidRPr="00A96110">
        <w:t xml:space="preserve">  </w:t>
      </w:r>
    </w:p>
    <w:p w14:paraId="63E0DB62" w14:textId="77777777" w:rsidR="00843FDA" w:rsidRPr="00A96110" w:rsidRDefault="00843FDA" w:rsidP="00CD7CAC">
      <w:pPr>
        <w:pStyle w:val="ParaNum"/>
        <w:widowControl/>
        <w:tabs>
          <w:tab w:val="clear" w:pos="1440"/>
          <w:tab w:val="num" w:pos="1430"/>
        </w:tabs>
        <w:rPr>
          <w:kern w:val="0"/>
        </w:rPr>
      </w:pPr>
      <w:r w:rsidRPr="00A96110">
        <w:t>We seek comment on what eligibility requirements should be established for interstitial channels.  Should all interstitial channels be available for licensing to all Part 90 eligibles, or should subsets of the interstitial channels be reserved for specific eligibility categories?  Should eligibility for each interstitial channel track the applicable eligibility for the adjacent 25 kHz bandwidth channels?  For example, in our proposed rules we assign eligibility to each interstitial channel based on the category of the lower-adjacent standard channel.</w:t>
      </w:r>
      <w:r w:rsidRPr="00C6580C">
        <w:rPr>
          <w:rStyle w:val="FootnoteReference"/>
          <w:szCs w:val="22"/>
        </w:rPr>
        <w:footnoteReference w:id="104"/>
      </w:r>
      <w:r w:rsidRPr="00A96110">
        <w:rPr>
          <w:color w:val="010101"/>
          <w:kern w:val="0"/>
        </w:rPr>
        <w:t xml:space="preserve">  In this manner, a set of interstitial channels </w:t>
      </w:r>
      <w:r w:rsidR="00D9248B" w:rsidRPr="00A96110">
        <w:rPr>
          <w:color w:val="010101"/>
          <w:kern w:val="0"/>
        </w:rPr>
        <w:t>would be</w:t>
      </w:r>
      <w:r w:rsidRPr="00A96110">
        <w:rPr>
          <w:color w:val="010101"/>
          <w:kern w:val="0"/>
        </w:rPr>
        <w:t xml:space="preserve"> reserved for each category of user.  </w:t>
      </w:r>
    </w:p>
    <w:p w14:paraId="444D1F69" w14:textId="77777777" w:rsidR="00843FDA" w:rsidRPr="00A96110" w:rsidRDefault="00107E69" w:rsidP="00CD7CAC">
      <w:pPr>
        <w:pStyle w:val="ParaNum"/>
        <w:widowControl/>
        <w:tabs>
          <w:tab w:val="clear" w:pos="1440"/>
          <w:tab w:val="num" w:pos="1430"/>
        </w:tabs>
      </w:pPr>
      <w:r w:rsidRPr="00A96110">
        <w:t>We also seek comment on whether public safety eligibles should receive preferential or exclusive access to interstitial channels for some period of time.  In this regard, we note that since comments were filed on EWA’s proposal, Congress enacted Section 6103 of the Middle Class Tax Relief and Job Creation Act of 2012 (Spectrum Act), which requires public safety licensees in the 470-512 MHz band (T-Band) to relocate from the band.</w:t>
      </w:r>
      <w:r w:rsidRPr="00C6580C">
        <w:rPr>
          <w:rStyle w:val="FootnoteReference"/>
          <w:szCs w:val="22"/>
        </w:rPr>
        <w:t xml:space="preserve"> </w:t>
      </w:r>
      <w:r w:rsidRPr="00C6580C">
        <w:rPr>
          <w:rStyle w:val="FootnoteReference"/>
          <w:szCs w:val="22"/>
        </w:rPr>
        <w:footnoteReference w:id="105"/>
      </w:r>
      <w:r w:rsidRPr="00A96110">
        <w:t xml:space="preserve">  Should public safety T-Band incumbents be afforded preferential or exclusive access to interstitial channels in their geographic areas for relocation purposes? In that connection, we note that the Commission recently established an application priority for T-Band licensees relocating from the T-Band to 700 MHz narrowband channels that previously had been held in reserve.</w:t>
      </w:r>
      <w:r w:rsidRPr="00A96110">
        <w:rPr>
          <w:vertAlign w:val="superscript"/>
        </w:rPr>
        <w:footnoteReference w:id="106"/>
      </w:r>
      <w:r w:rsidRPr="00A96110">
        <w:t xml:space="preserve">  Would the application priority process set out in that proceeding appropriately be applied to the 800 MHz interstitial channels?</w:t>
      </w:r>
      <w:r w:rsidRPr="00C6580C">
        <w:rPr>
          <w:rStyle w:val="FootnoteReference"/>
          <w:szCs w:val="22"/>
        </w:rPr>
        <w:t xml:space="preserve"> </w:t>
      </w:r>
      <w:r w:rsidRPr="00C6580C">
        <w:rPr>
          <w:rStyle w:val="FootnoteReference"/>
          <w:szCs w:val="22"/>
        </w:rPr>
        <w:footnoteReference w:id="107"/>
      </w:r>
      <w:r w:rsidRPr="00A96110">
        <w:t xml:space="preserve"> If we afford the T-Band incumbents priority access, how long should they be afforded such access before interstitial channels are made available to other applicants?  To what extent, if any, should the provision of such preferential access to these frequencies affect the disposition of the eligibility issues presented for comment above?  As for licensing processes more generally – </w:t>
      </w:r>
      <w:r w:rsidRPr="00A96110">
        <w:rPr>
          <w:i/>
        </w:rPr>
        <w:t>i.e.</w:t>
      </w:r>
      <w:r w:rsidRPr="00A96110">
        <w:t>, the overall procedures for filing and granting applications – we propose to use those rules currently in place for the overarching band (</w:t>
      </w:r>
      <w:r w:rsidRPr="00A96110">
        <w:rPr>
          <w:i/>
        </w:rPr>
        <w:t>i.e.</w:t>
      </w:r>
      <w:r w:rsidRPr="00A96110">
        <w:t>, the Mid-Band).</w:t>
      </w:r>
      <w:r>
        <w:rPr>
          <w:rStyle w:val="FootnoteReference"/>
          <w:szCs w:val="22"/>
        </w:rPr>
        <w:footnoteReference w:id="108"/>
      </w:r>
      <w:r w:rsidRPr="00A96110">
        <w:t xml:space="preserve">  We seek comment on this proposal and any alternatives.</w:t>
      </w:r>
    </w:p>
    <w:p w14:paraId="5DBACCB2" w14:textId="77777777" w:rsidR="00843FDA" w:rsidRPr="00C6580C" w:rsidRDefault="00843FDA" w:rsidP="00CD7CAC">
      <w:pPr>
        <w:pStyle w:val="Heading2"/>
        <w:widowControl/>
        <w:rPr>
          <w:szCs w:val="22"/>
        </w:rPr>
      </w:pPr>
      <w:r w:rsidRPr="00C6580C">
        <w:rPr>
          <w:szCs w:val="22"/>
        </w:rPr>
        <w:t>Authorized Bandwidth and Emission Mask.</w:t>
      </w:r>
    </w:p>
    <w:p w14:paraId="624BA26D" w14:textId="77777777" w:rsidR="00843FDA" w:rsidRPr="00A96110" w:rsidRDefault="00843FDA" w:rsidP="00CD7CAC">
      <w:pPr>
        <w:pStyle w:val="ParaNum"/>
        <w:widowControl/>
        <w:tabs>
          <w:tab w:val="clear" w:pos="1440"/>
          <w:tab w:val="num" w:pos="1430"/>
        </w:tabs>
      </w:pPr>
      <w:r w:rsidRPr="00A96110">
        <w:rPr>
          <w:color w:val="000000"/>
        </w:rPr>
        <w:t>Section 90.209 of our rules lists the standard channel spacing and authorized bandwidth for various PLMR bands.</w:t>
      </w:r>
      <w:r w:rsidRPr="00C6580C">
        <w:rPr>
          <w:rStyle w:val="FootnoteReference"/>
          <w:szCs w:val="22"/>
        </w:rPr>
        <w:footnoteReference w:id="109"/>
      </w:r>
      <w:r w:rsidRPr="00A96110">
        <w:rPr>
          <w:color w:val="000000"/>
        </w:rPr>
        <w:t xml:space="preserve">  Under our proposal, we would reduce the spectral spacing between the center frequencies of each channel in the Mid-Band from 25 kHz to 12.5 kHz by adding interstitial channels.  The authorized bandwidth for licensees operating in the Mid-Band on standard 25 kHz bandwidth channels would remain unchanged at 22 kHz.</w:t>
      </w:r>
      <w:r w:rsidRPr="00C6580C">
        <w:rPr>
          <w:rStyle w:val="FootnoteReference"/>
          <w:szCs w:val="22"/>
        </w:rPr>
        <w:footnoteReference w:id="110"/>
      </w:r>
      <w:r w:rsidRPr="00A96110">
        <w:rPr>
          <w:color w:val="000000"/>
        </w:rPr>
        <w:t xml:space="preserve">  We propose establishing an authorized bandwidth of 11.25 kHz for licensees operating on interstitial 12.5 kHz bandwidth channels.  We seek comment on our proposal.</w:t>
      </w:r>
    </w:p>
    <w:p w14:paraId="0AA320AB" w14:textId="77777777" w:rsidR="00843FDA" w:rsidRPr="00A96110" w:rsidRDefault="00843FDA" w:rsidP="00CD7CAC">
      <w:pPr>
        <w:pStyle w:val="ParaNum"/>
        <w:widowControl/>
        <w:tabs>
          <w:tab w:val="clear" w:pos="1440"/>
          <w:tab w:val="num" w:pos="1430"/>
        </w:tabs>
      </w:pPr>
      <w:r w:rsidRPr="00A96110">
        <w:rPr>
          <w:color w:val="000000"/>
        </w:rPr>
        <w:t>Further, Section 90.210 of our rules lists the emission masks applicable to transmitters used in the PLMR bands.</w:t>
      </w:r>
      <w:r w:rsidRPr="00C6580C">
        <w:rPr>
          <w:rStyle w:val="FootnoteReference"/>
          <w:szCs w:val="22"/>
        </w:rPr>
        <w:footnoteReference w:id="111"/>
      </w:r>
      <w:r w:rsidRPr="00A96110">
        <w:rPr>
          <w:color w:val="000000"/>
        </w:rPr>
        <w:t xml:space="preserve">  We propose applying emission mask “D” to licensees operating on interstitial channels in the Mid-Band.  This is the emission mask required of licensees operating on interstitial 12.5 kHz bandwidth channels in other PLMR bands.</w:t>
      </w:r>
      <w:r w:rsidRPr="00C6580C">
        <w:rPr>
          <w:rStyle w:val="FootnoteReference"/>
          <w:szCs w:val="22"/>
        </w:rPr>
        <w:footnoteReference w:id="112"/>
      </w:r>
      <w:r w:rsidRPr="00A96110">
        <w:rPr>
          <w:color w:val="000000"/>
        </w:rPr>
        <w:t xml:space="preserve">  Emission mask D was designed to allow licensees operating on 12.5 kHz bandwidth channels to employ various modulation techniques while offering interference protection to licensees operating on adjacent 25 kHz bandwidth channels.</w:t>
      </w:r>
      <w:r w:rsidRPr="00C6580C">
        <w:rPr>
          <w:rStyle w:val="FootnoteReference"/>
          <w:szCs w:val="22"/>
        </w:rPr>
        <w:footnoteReference w:id="113"/>
      </w:r>
      <w:r w:rsidRPr="00A96110">
        <w:rPr>
          <w:color w:val="000000"/>
        </w:rPr>
        <w:t xml:space="preserve">  Consequently, we seek comment on whether applying emission mask D would suffice to limit the potential for interference to licensees operating on the adjacent standard 25 kHz bandwidth channels in the Mid-Band.</w:t>
      </w:r>
      <w:r w:rsidR="00FE23AB" w:rsidRPr="00A96110">
        <w:rPr>
          <w:color w:val="000000"/>
        </w:rPr>
        <w:t xml:space="preserve">  </w:t>
      </w:r>
      <w:r w:rsidR="00FE23AB" w:rsidRPr="00A96110">
        <w:t>Furthermore, we note that Section 90.210 of the Commission’s rules currently requires compliance with either Emission Mask B or G.</w:t>
      </w:r>
      <w:r w:rsidR="00FE23AB" w:rsidRPr="00FE23AB">
        <w:rPr>
          <w:rStyle w:val="FootnoteReference"/>
          <w:szCs w:val="22"/>
        </w:rPr>
        <w:footnoteReference w:id="114"/>
      </w:r>
      <w:r w:rsidR="00FE23AB" w:rsidRPr="00A96110">
        <w:t xml:space="preserve"> </w:t>
      </w:r>
      <w:r w:rsidR="00FE23AB" w:rsidRPr="00A96110">
        <w:rPr>
          <w:color w:val="000000"/>
        </w:rPr>
        <w:t xml:space="preserve"> Therefore we seek comment on whether or not equipment manufacturers would </w:t>
      </w:r>
      <w:r w:rsidR="00161E3C" w:rsidRPr="00A96110">
        <w:rPr>
          <w:color w:val="000000"/>
        </w:rPr>
        <w:t>need to</w:t>
      </w:r>
      <w:r w:rsidR="00FE23AB" w:rsidRPr="00A96110">
        <w:rPr>
          <w:color w:val="000000"/>
        </w:rPr>
        <w:t xml:space="preserve"> update their equipment authorizations to comply with mask D in the 800 MHz band</w:t>
      </w:r>
      <w:r w:rsidR="00301E51" w:rsidRPr="00A96110">
        <w:rPr>
          <w:color w:val="000000"/>
        </w:rPr>
        <w:t>.</w:t>
      </w:r>
    </w:p>
    <w:p w14:paraId="2F28F745" w14:textId="77777777" w:rsidR="00843FDA" w:rsidRPr="00A96110" w:rsidRDefault="00843FDA" w:rsidP="00CD7CAC">
      <w:pPr>
        <w:pStyle w:val="ParaNum"/>
        <w:widowControl/>
        <w:tabs>
          <w:tab w:val="clear" w:pos="1440"/>
          <w:tab w:val="num" w:pos="1430"/>
        </w:tabs>
      </w:pPr>
      <w:r w:rsidRPr="00A96110">
        <w:rPr>
          <w:kern w:val="0"/>
        </w:rPr>
        <w:t xml:space="preserve">One commenter suggests that we license interstitial channels with a channel bandwidth of 25 kHz, similar to the NPSPAC band where 25 kHz channels are spaced every 12.5 kHz </w:t>
      </w:r>
      <w:r w:rsidRPr="00C6580C">
        <w:rPr>
          <w:rStyle w:val="FootnoteReference"/>
          <w:kern w:val="0"/>
          <w:szCs w:val="22"/>
        </w:rPr>
        <w:footnoteReference w:id="115"/>
      </w:r>
      <w:r w:rsidRPr="00A96110">
        <w:rPr>
          <w:kern w:val="0"/>
        </w:rPr>
        <w:t xml:space="preserve"> </w:t>
      </w:r>
      <w:r w:rsidRPr="00A96110">
        <w:t xml:space="preserve"> </w:t>
      </w:r>
      <w:r w:rsidRPr="00A96110">
        <w:rPr>
          <w:kern w:val="0"/>
        </w:rPr>
        <w:t>This commenter argues that a 12.5 kHz bandwidth interstitial channel would provide no benefit to the vast majority of existing 800 MHz systems that operate in a wideband mode of up to 20 kHz emission bandwidth.</w:t>
      </w:r>
      <w:bookmarkStart w:id="67" w:name="_Ref353441075"/>
      <w:r w:rsidRPr="00C6580C">
        <w:rPr>
          <w:rStyle w:val="FootnoteReference"/>
          <w:kern w:val="0"/>
          <w:szCs w:val="22"/>
        </w:rPr>
        <w:footnoteReference w:id="116"/>
      </w:r>
      <w:bookmarkEnd w:id="67"/>
      <w:r w:rsidRPr="00A96110">
        <w:t xml:space="preserve">  W</w:t>
      </w:r>
      <w:r w:rsidRPr="00A96110">
        <w:rPr>
          <w:kern w:val="0"/>
        </w:rPr>
        <w:t>e seek comment on this alternative.  We note that limiting the channel bandwidth of interstitial channels to 12.5 kHz would minimize bandwidth overlap from these interstitial channels to the adjacent standard channels, thus reducing interference potential to incumbent licensees and increasing the ability of PLMR users to license these interstitial channels in areas where the standard channels are heavily used.</w:t>
      </w:r>
      <w:r w:rsidRPr="00C6580C">
        <w:rPr>
          <w:rStyle w:val="FootnoteReference"/>
          <w:kern w:val="0"/>
          <w:szCs w:val="22"/>
        </w:rPr>
        <w:footnoteReference w:id="117"/>
      </w:r>
      <w:r w:rsidRPr="00A96110">
        <w:rPr>
          <w:kern w:val="0"/>
        </w:rPr>
        <w:t xml:space="preserve">  If we were to authorize 25 kHz channel bandwidth on the interstitial channels, would we have to adopt more rigorous distance separations between stations?  What would be the impact on availability of interstitial channels, particularly in spectrum-congested areas where they are most needed? </w:t>
      </w:r>
    </w:p>
    <w:p w14:paraId="51A2DFEB" w14:textId="77777777" w:rsidR="00843FDA" w:rsidRPr="00A96110" w:rsidRDefault="00843FDA" w:rsidP="00CD7CAC">
      <w:pPr>
        <w:pStyle w:val="ParaNum"/>
        <w:widowControl/>
        <w:tabs>
          <w:tab w:val="clear" w:pos="1440"/>
          <w:tab w:val="num" w:pos="1430"/>
        </w:tabs>
      </w:pPr>
      <w:r w:rsidRPr="00A96110">
        <w:t>The record to date also suggests</w:t>
      </w:r>
      <w:r w:rsidRPr="00A96110">
        <w:rPr>
          <w:kern w:val="0"/>
        </w:rPr>
        <w:t xml:space="preserve"> that it would be beneficial to update the channelization scheme for the Mid-Band to support new PLMR equipment.  For example, TIA suggests that interstitial channels would encourage the adoption of new wireless technologies, </w:t>
      </w:r>
      <w:r w:rsidRPr="00A96110">
        <w:rPr>
          <w:i/>
          <w:kern w:val="0"/>
        </w:rPr>
        <w:t>e.g.</w:t>
      </w:r>
      <w:r w:rsidRPr="00A96110">
        <w:rPr>
          <w:kern w:val="0"/>
        </w:rPr>
        <w:t>, narrowband (12.5 kHz) equipment similar to what is currently used in the VHF and UHF bands.</w:t>
      </w:r>
      <w:r w:rsidRPr="00C6580C">
        <w:rPr>
          <w:rStyle w:val="FootnoteReference"/>
          <w:kern w:val="0"/>
          <w:szCs w:val="22"/>
        </w:rPr>
        <w:footnoteReference w:id="118"/>
      </w:r>
      <w:r w:rsidRPr="00A96110">
        <w:rPr>
          <w:kern w:val="0"/>
        </w:rPr>
        <w:t xml:space="preserve">  LMCC notes that FDMA and TDMA equipment is already available in the 800 MHz band and can provide two voice or data paths within an interstitial channel’s 12.5 kHz bandwidth.  We thus seek comment on whether we should restrict the interstitial channels to spectrum efficient technologies capable of providing two, or more, voice or data paths per channel.</w:t>
      </w:r>
      <w:r w:rsidRPr="00C6580C">
        <w:rPr>
          <w:rStyle w:val="FootnoteReference"/>
          <w:kern w:val="0"/>
          <w:szCs w:val="22"/>
        </w:rPr>
        <w:footnoteReference w:id="119"/>
      </w:r>
      <w:r w:rsidRPr="00A96110">
        <w:rPr>
          <w:kern w:val="0"/>
        </w:rPr>
        <w:t xml:space="preserve"> </w:t>
      </w:r>
    </w:p>
    <w:p w14:paraId="707509A5" w14:textId="77777777" w:rsidR="00843FDA" w:rsidRPr="00C6580C" w:rsidRDefault="00843FDA" w:rsidP="00CD7CAC">
      <w:pPr>
        <w:pStyle w:val="Heading1"/>
        <w:widowControl/>
        <w:rPr>
          <w:szCs w:val="22"/>
        </w:rPr>
      </w:pPr>
      <w:r w:rsidRPr="00C6580C">
        <w:rPr>
          <w:szCs w:val="22"/>
        </w:rPr>
        <w:t>Procedural Matters</w:t>
      </w:r>
      <w:bookmarkEnd w:id="45"/>
      <w:bookmarkEnd w:id="46"/>
      <w:bookmarkEnd w:id="47"/>
      <w:bookmarkEnd w:id="48"/>
      <w:bookmarkEnd w:id="49"/>
      <w:bookmarkEnd w:id="50"/>
      <w:bookmarkEnd w:id="51"/>
      <w:bookmarkEnd w:id="52"/>
      <w:bookmarkEnd w:id="53"/>
    </w:p>
    <w:p w14:paraId="54FFDF86" w14:textId="77777777" w:rsidR="00843FDA" w:rsidRPr="00C6580C" w:rsidRDefault="00843FDA" w:rsidP="00CD7CAC">
      <w:pPr>
        <w:pStyle w:val="Heading2"/>
        <w:widowControl/>
        <w:rPr>
          <w:szCs w:val="22"/>
        </w:rPr>
      </w:pPr>
      <w:bookmarkStart w:id="72" w:name="_Toc316910086"/>
      <w:bookmarkStart w:id="73" w:name="_Toc316892337"/>
      <w:bookmarkStart w:id="74" w:name="_Toc316673696"/>
      <w:bookmarkStart w:id="75" w:name="_Toc315290089"/>
      <w:bookmarkStart w:id="76" w:name="_Toc315274888"/>
      <w:bookmarkStart w:id="77" w:name="_Toc315090438"/>
      <w:bookmarkStart w:id="78" w:name="_Toc314648943"/>
      <w:bookmarkStart w:id="79" w:name="_Toc314645312"/>
      <w:bookmarkStart w:id="80" w:name="_Toc310524890"/>
      <w:bookmarkStart w:id="81" w:name="_Toc310524622"/>
      <w:bookmarkStart w:id="82" w:name="_Toc302587524"/>
      <w:bookmarkStart w:id="83" w:name="_Toc302580122"/>
      <w:bookmarkStart w:id="84" w:name="_Toc300324798"/>
      <w:bookmarkStart w:id="85" w:name="_Toc300306022"/>
      <w:bookmarkStart w:id="86" w:name="_Toc299985458"/>
      <w:bookmarkStart w:id="87" w:name="_Toc299985223"/>
      <w:bookmarkStart w:id="88" w:name="_Toc299714836"/>
      <w:bookmarkStart w:id="89" w:name="_Toc299714100"/>
      <w:bookmarkStart w:id="90" w:name="_Toc299710712"/>
      <w:bookmarkStart w:id="91" w:name="_Toc299455291"/>
      <w:bookmarkStart w:id="92" w:name="_Toc299453428"/>
      <w:bookmarkStart w:id="93" w:name="_Toc295918334"/>
      <w:bookmarkStart w:id="94" w:name="_Toc295489440"/>
      <w:bookmarkStart w:id="95" w:name="_Toc295488147"/>
      <w:bookmarkStart w:id="96" w:name="_Toc295488037"/>
      <w:bookmarkStart w:id="97" w:name="_Toc295487874"/>
      <w:bookmarkStart w:id="98" w:name="_Toc295480106"/>
      <w:bookmarkStart w:id="99" w:name="_Toc295480073"/>
      <w:bookmarkStart w:id="100" w:name="_Toc295479920"/>
      <w:bookmarkStart w:id="101" w:name="_Toc295479451"/>
      <w:r w:rsidRPr="00C6580C">
        <w:rPr>
          <w:i/>
          <w:szCs w:val="22"/>
        </w:rPr>
        <w:t>Ex Parte</w:t>
      </w:r>
      <w:r w:rsidRPr="00C6580C">
        <w:rPr>
          <w:szCs w:val="22"/>
        </w:rPr>
        <w:t xml:space="preserve"> Rules – Permit-But-Disclose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72EF6C3" w14:textId="77777777" w:rsidR="00843FDA" w:rsidRPr="00A96110" w:rsidRDefault="00843FDA" w:rsidP="00CD7CAC">
      <w:pPr>
        <w:pStyle w:val="ParaNum"/>
        <w:widowControl/>
        <w:tabs>
          <w:tab w:val="clear" w:pos="1440"/>
          <w:tab w:val="num" w:pos="1430"/>
        </w:tabs>
      </w:pPr>
      <w:r w:rsidRPr="00A96110">
        <w:t xml:space="preserve">This proceeding shall be treated as a “permit-but-disclose” proceeding in accordance with the Commission’s </w:t>
      </w:r>
      <w:r w:rsidRPr="00A96110">
        <w:rPr>
          <w:i/>
        </w:rPr>
        <w:t xml:space="preserve">ex parte </w:t>
      </w:r>
      <w:r w:rsidRPr="00A96110">
        <w:t>rules.</w:t>
      </w:r>
      <w:r w:rsidRPr="00C6580C">
        <w:rPr>
          <w:rStyle w:val="FootnoteReference"/>
          <w:szCs w:val="22"/>
        </w:rPr>
        <w:footnoteReference w:id="120"/>
      </w:r>
      <w:r w:rsidRPr="00A96110">
        <w:t xml:space="preserve">  Persons making </w:t>
      </w:r>
      <w:r w:rsidRPr="00A96110">
        <w:rPr>
          <w:i/>
        </w:rPr>
        <w:t xml:space="preserve">ex parte </w:t>
      </w:r>
      <w:r w:rsidRPr="00A9611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96110">
        <w:rPr>
          <w:i/>
        </w:rPr>
        <w:t xml:space="preserve">ex parte </w:t>
      </w:r>
      <w:r w:rsidRPr="00A96110">
        <w:t xml:space="preserve">presentations are reminded that memoranda summarizing the presentation must (1) list all persons attending or otherwise participating in the meeting at which the </w:t>
      </w:r>
      <w:r w:rsidRPr="00A96110">
        <w:rPr>
          <w:i/>
        </w:rPr>
        <w:t xml:space="preserve">ex parte </w:t>
      </w:r>
      <w:r w:rsidRPr="00A9611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96110">
        <w:rPr>
          <w:i/>
        </w:rPr>
        <w:t xml:space="preserve">ex parte </w:t>
      </w:r>
      <w:r w:rsidRPr="00A96110">
        <w:t xml:space="preserve">meetings are deemed to be written </w:t>
      </w:r>
      <w:r w:rsidRPr="00A96110">
        <w:rPr>
          <w:i/>
        </w:rPr>
        <w:t>ex parte</w:t>
      </w:r>
      <w:r w:rsidRPr="00A96110">
        <w:t xml:space="preserve"> presentations and must be filed consistent with Section 1.1206(b).</w:t>
      </w:r>
      <w:r w:rsidRPr="00A96110">
        <w:rPr>
          <w:vertAlign w:val="superscript"/>
        </w:rPr>
        <w:footnoteReference w:id="121"/>
      </w:r>
      <w:r w:rsidRPr="00A96110">
        <w:t xml:space="preserve">  In proceedings governed by Section 1.49(f)</w:t>
      </w:r>
      <w:r w:rsidRPr="00C6580C">
        <w:rPr>
          <w:rStyle w:val="FootnoteReference"/>
          <w:szCs w:val="22"/>
        </w:rPr>
        <w:footnoteReference w:id="122"/>
      </w:r>
      <w:r w:rsidRPr="00A96110">
        <w:t xml:space="preserve"> or for which the Commission has made available a method of electronic filing, written </w:t>
      </w:r>
      <w:r w:rsidRPr="00A96110">
        <w:rPr>
          <w:i/>
        </w:rPr>
        <w:t xml:space="preserve">ex parte </w:t>
      </w:r>
      <w:r w:rsidRPr="00A96110">
        <w:t xml:space="preserve">presentations and memoranda summarizing oral </w:t>
      </w:r>
      <w:r w:rsidRPr="00A96110">
        <w:rPr>
          <w:i/>
        </w:rPr>
        <w:t xml:space="preserve">ex parte </w:t>
      </w:r>
      <w:r w:rsidRPr="00A96110">
        <w:t>presentations, and all attachments thereto, must be filed through the electronic comment filing system available for that proceeding, and must be filed in their native format (</w:t>
      </w:r>
      <w:r w:rsidRPr="00A96110">
        <w:rPr>
          <w:i/>
        </w:rPr>
        <w:t>e.g.</w:t>
      </w:r>
      <w:r w:rsidRPr="00A96110">
        <w:t xml:space="preserve">, .doc, .xml, .ppt, searchable .pdf).  Participants in this proceeding should familiarize themselves with the Commission’s </w:t>
      </w:r>
      <w:r w:rsidRPr="00A96110">
        <w:rPr>
          <w:i/>
        </w:rPr>
        <w:t xml:space="preserve">ex parte </w:t>
      </w:r>
      <w:r w:rsidRPr="00A96110">
        <w:t>rules.</w:t>
      </w:r>
    </w:p>
    <w:p w14:paraId="5FBD83EF" w14:textId="77777777" w:rsidR="00843FDA" w:rsidRPr="00C6580C" w:rsidRDefault="00843FDA" w:rsidP="00CD7CAC">
      <w:pPr>
        <w:pStyle w:val="Heading2"/>
        <w:widowControl/>
        <w:rPr>
          <w:szCs w:val="22"/>
        </w:rPr>
      </w:pPr>
      <w:bookmarkStart w:id="102" w:name="_Toc316910087"/>
      <w:bookmarkStart w:id="103" w:name="_Toc316892338"/>
      <w:bookmarkStart w:id="104" w:name="_Toc316673697"/>
      <w:bookmarkStart w:id="105" w:name="_Toc315290090"/>
      <w:bookmarkStart w:id="106" w:name="_Toc315274889"/>
      <w:bookmarkStart w:id="107" w:name="_Toc315090439"/>
      <w:bookmarkStart w:id="108" w:name="_Toc314648944"/>
      <w:bookmarkStart w:id="109" w:name="_Toc314645313"/>
      <w:bookmarkStart w:id="110" w:name="_Toc310524891"/>
      <w:bookmarkStart w:id="111" w:name="_Toc310524623"/>
      <w:bookmarkStart w:id="112" w:name="_Toc302587525"/>
      <w:bookmarkStart w:id="113" w:name="_Toc302580123"/>
      <w:bookmarkStart w:id="114" w:name="_Toc300324799"/>
      <w:bookmarkStart w:id="115" w:name="_Toc300306023"/>
      <w:bookmarkStart w:id="116" w:name="_Toc299985459"/>
      <w:bookmarkStart w:id="117" w:name="_Toc299985224"/>
      <w:bookmarkStart w:id="118" w:name="_Toc299714837"/>
      <w:bookmarkStart w:id="119" w:name="_Toc299714101"/>
      <w:bookmarkStart w:id="120" w:name="_Toc299710713"/>
      <w:bookmarkStart w:id="121" w:name="_Toc299455292"/>
      <w:bookmarkStart w:id="122" w:name="_Toc299453429"/>
      <w:bookmarkStart w:id="123" w:name="_Toc295918335"/>
      <w:bookmarkStart w:id="124" w:name="_Toc295489441"/>
      <w:bookmarkStart w:id="125" w:name="_Toc295488148"/>
      <w:bookmarkStart w:id="126" w:name="_Toc295488038"/>
      <w:bookmarkStart w:id="127" w:name="_Toc295487875"/>
      <w:bookmarkStart w:id="128" w:name="_Toc295480107"/>
      <w:bookmarkStart w:id="129" w:name="_Toc295480074"/>
      <w:bookmarkStart w:id="130" w:name="_Toc295479921"/>
      <w:bookmarkStart w:id="131" w:name="_Toc295479452"/>
      <w:r w:rsidRPr="00C6580C">
        <w:rPr>
          <w:szCs w:val="22"/>
        </w:rPr>
        <w:t>Comment Period and Procedures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47B53A6" w14:textId="77777777" w:rsidR="00843FDA" w:rsidRPr="00A96110" w:rsidRDefault="00843FDA" w:rsidP="00CD7CAC">
      <w:pPr>
        <w:pStyle w:val="ParaNum"/>
        <w:widowControl/>
        <w:tabs>
          <w:tab w:val="clear" w:pos="1440"/>
          <w:tab w:val="num" w:pos="1430"/>
        </w:tabs>
        <w:ind w:firstLine="770"/>
      </w:pPr>
      <w:r w:rsidRPr="00A96110">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96110">
        <w:rPr>
          <w:i/>
        </w:rPr>
        <w:t>See Electronic Filing of Documents in Rulemaking Proceedings</w:t>
      </w:r>
      <w:r w:rsidRPr="00A96110">
        <w:t>, 63 FR 24121 (1998).</w:t>
      </w:r>
    </w:p>
    <w:p w14:paraId="0A44C965" w14:textId="3D7C7483" w:rsidR="00843FDA" w:rsidRPr="00C6580C" w:rsidRDefault="00843FDA" w:rsidP="00CD7CAC">
      <w:pPr>
        <w:widowControl/>
        <w:numPr>
          <w:ilvl w:val="0"/>
          <w:numId w:val="44"/>
        </w:numPr>
        <w:rPr>
          <w:szCs w:val="22"/>
        </w:rPr>
      </w:pPr>
      <w:r w:rsidRPr="00C6580C">
        <w:rPr>
          <w:szCs w:val="22"/>
        </w:rPr>
        <w:t xml:space="preserve">Electronic Filers:  Comments may be filed electronically using the Internet by accessing the ECFS:  </w:t>
      </w:r>
      <w:hyperlink r:id="rId10" w:history="1">
        <w:r w:rsidRPr="00C6580C">
          <w:rPr>
            <w:rStyle w:val="Hyperlink"/>
            <w:szCs w:val="22"/>
          </w:rPr>
          <w:t>http://fjallfoss.fcc.gov/ecfs2/</w:t>
        </w:r>
      </w:hyperlink>
      <w:r w:rsidRPr="00C6580C">
        <w:rPr>
          <w:szCs w:val="22"/>
        </w:rPr>
        <w:t xml:space="preserve">.  </w:t>
      </w:r>
    </w:p>
    <w:p w14:paraId="0BEEE31D" w14:textId="77777777" w:rsidR="00843FDA" w:rsidRPr="00C6580C" w:rsidRDefault="00843FDA" w:rsidP="00CD7CAC">
      <w:pPr>
        <w:widowControl/>
        <w:rPr>
          <w:szCs w:val="22"/>
        </w:rPr>
      </w:pPr>
    </w:p>
    <w:p w14:paraId="668B8495" w14:textId="77777777" w:rsidR="00843FDA" w:rsidRPr="00C6580C" w:rsidRDefault="00843FDA" w:rsidP="00CD7CAC">
      <w:pPr>
        <w:widowControl/>
        <w:numPr>
          <w:ilvl w:val="0"/>
          <w:numId w:val="28"/>
        </w:numPr>
        <w:rPr>
          <w:szCs w:val="22"/>
        </w:rPr>
      </w:pPr>
      <w:r w:rsidRPr="00C6580C">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116A390D" w14:textId="77777777" w:rsidR="00843FDA" w:rsidRPr="00C6580C" w:rsidRDefault="00843FDA" w:rsidP="00CD7CAC">
      <w:pPr>
        <w:widowControl/>
        <w:rPr>
          <w:szCs w:val="22"/>
        </w:rPr>
      </w:pPr>
    </w:p>
    <w:p w14:paraId="331B50EF" w14:textId="77777777" w:rsidR="00843FDA" w:rsidRPr="00C6580C" w:rsidRDefault="00843FDA" w:rsidP="00CD7CAC">
      <w:pPr>
        <w:widowControl/>
        <w:ind w:left="720"/>
        <w:rPr>
          <w:szCs w:val="22"/>
        </w:rPr>
      </w:pPr>
      <w:r w:rsidRPr="00C6580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39FCB6EB" w14:textId="77777777" w:rsidR="00843FDA" w:rsidRPr="00C6580C" w:rsidRDefault="00843FDA" w:rsidP="00CD7CAC">
      <w:pPr>
        <w:widowControl/>
        <w:rPr>
          <w:szCs w:val="22"/>
        </w:rPr>
      </w:pPr>
    </w:p>
    <w:p w14:paraId="2F0223E6" w14:textId="77777777" w:rsidR="00843FDA" w:rsidRPr="00C6580C" w:rsidRDefault="00843FDA" w:rsidP="00CD7CAC">
      <w:pPr>
        <w:widowControl/>
        <w:numPr>
          <w:ilvl w:val="0"/>
          <w:numId w:val="43"/>
        </w:numPr>
        <w:rPr>
          <w:szCs w:val="22"/>
        </w:rPr>
      </w:pPr>
      <w:r w:rsidRPr="00C6580C">
        <w:rPr>
          <w:szCs w:val="22"/>
        </w:rPr>
        <w:t>All hand-delivered or messenger-delivered paper filings for the Commission’s Secretary must be delivered to FCC Headquarters at 445 12</w:t>
      </w:r>
      <w:r w:rsidRPr="00C6580C">
        <w:rPr>
          <w:szCs w:val="22"/>
          <w:vertAlign w:val="superscript"/>
        </w:rPr>
        <w:t>th</w:t>
      </w:r>
      <w:r w:rsidRPr="00C6580C">
        <w:rPr>
          <w:szCs w:val="22"/>
        </w:rPr>
        <w:t xml:space="preserve"> St., SW, Room TW-A325, Washington, DC 20554.  The filing hours are 8:00 a.m. to 7:00 p.m.   All hand deliveries must be held together with rubber bands or fasteners.  Any envelopes and boxes must be disposed of </w:t>
      </w:r>
      <w:r w:rsidRPr="00C6580C">
        <w:rPr>
          <w:szCs w:val="22"/>
          <w:u w:val="single"/>
        </w:rPr>
        <w:t>before</w:t>
      </w:r>
      <w:r w:rsidRPr="00C6580C">
        <w:rPr>
          <w:szCs w:val="22"/>
        </w:rPr>
        <w:t xml:space="preserve"> entering the building.  </w:t>
      </w:r>
    </w:p>
    <w:p w14:paraId="0027EFD2" w14:textId="77777777" w:rsidR="00843FDA" w:rsidRPr="00C6580C" w:rsidRDefault="00843FDA" w:rsidP="00CD7CAC">
      <w:pPr>
        <w:widowControl/>
        <w:ind w:left="1080"/>
        <w:rPr>
          <w:szCs w:val="22"/>
        </w:rPr>
      </w:pPr>
    </w:p>
    <w:p w14:paraId="172806C9" w14:textId="77777777" w:rsidR="00843FDA" w:rsidRPr="00C6580C" w:rsidRDefault="00843FDA" w:rsidP="00CD7CAC">
      <w:pPr>
        <w:widowControl/>
        <w:numPr>
          <w:ilvl w:val="0"/>
          <w:numId w:val="43"/>
        </w:numPr>
        <w:rPr>
          <w:szCs w:val="22"/>
        </w:rPr>
      </w:pPr>
      <w:r w:rsidRPr="00C6580C">
        <w:rPr>
          <w:szCs w:val="22"/>
        </w:rPr>
        <w:t>Commercial overnight mail (other than U.S. Postal Service Express Mail and Priority Mail) must be sent to 9300 East Hampton Drive, Capitol Heights, MD  20743.</w:t>
      </w:r>
    </w:p>
    <w:p w14:paraId="75990909" w14:textId="77777777" w:rsidR="00843FDA" w:rsidRPr="00C6580C" w:rsidRDefault="00843FDA" w:rsidP="00CD7CAC">
      <w:pPr>
        <w:widowControl/>
        <w:rPr>
          <w:szCs w:val="22"/>
        </w:rPr>
      </w:pPr>
    </w:p>
    <w:p w14:paraId="0AFC9970" w14:textId="77777777" w:rsidR="00843FDA" w:rsidRPr="00C6580C" w:rsidRDefault="00843FDA" w:rsidP="00CD7CAC">
      <w:pPr>
        <w:widowControl/>
        <w:numPr>
          <w:ilvl w:val="0"/>
          <w:numId w:val="43"/>
        </w:numPr>
        <w:rPr>
          <w:szCs w:val="22"/>
        </w:rPr>
      </w:pPr>
      <w:r w:rsidRPr="00C6580C">
        <w:rPr>
          <w:szCs w:val="22"/>
        </w:rPr>
        <w:t>U.S. Postal Service first-class, Express, and Priority mail must be addressed to 445 12</w:t>
      </w:r>
      <w:r w:rsidRPr="00C6580C">
        <w:rPr>
          <w:szCs w:val="22"/>
          <w:vertAlign w:val="superscript"/>
        </w:rPr>
        <w:t>th</w:t>
      </w:r>
      <w:r w:rsidRPr="00C6580C">
        <w:rPr>
          <w:szCs w:val="22"/>
        </w:rPr>
        <w:t xml:space="preserve"> Street, SW, Washington DC  20554.</w:t>
      </w:r>
    </w:p>
    <w:p w14:paraId="17970A6C" w14:textId="77777777" w:rsidR="00843FDA" w:rsidRPr="00C6580C" w:rsidRDefault="00843FDA" w:rsidP="00CD7CAC">
      <w:pPr>
        <w:widowControl/>
        <w:rPr>
          <w:szCs w:val="22"/>
        </w:rPr>
      </w:pPr>
    </w:p>
    <w:p w14:paraId="18779592" w14:textId="34756FA7" w:rsidR="00843FDA" w:rsidRDefault="00843FDA" w:rsidP="00CD7CAC">
      <w:pPr>
        <w:widowControl/>
        <w:rPr>
          <w:szCs w:val="22"/>
        </w:rPr>
      </w:pPr>
      <w:r w:rsidRPr="00C6580C">
        <w:rPr>
          <w:szCs w:val="22"/>
        </w:rPr>
        <w:t xml:space="preserve">People with Disabilities:  To request materials in accessible formats for people with disabilities (braille, large print, electronic files, audio format), send an e-mail to </w:t>
      </w:r>
      <w:hyperlink r:id="rId11" w:history="1">
        <w:r w:rsidRPr="00C6580C">
          <w:rPr>
            <w:szCs w:val="22"/>
          </w:rPr>
          <w:t>fcc504@fcc.gov</w:t>
        </w:r>
      </w:hyperlink>
      <w:r w:rsidRPr="00C6580C">
        <w:rPr>
          <w:szCs w:val="22"/>
        </w:rPr>
        <w:t xml:space="preserve"> or call the Consumer &amp; Governmental Affairs Bureau at 202-418-0530 (voice), 202-418-0432 (tty).</w:t>
      </w:r>
    </w:p>
    <w:p w14:paraId="74E3BA9B" w14:textId="77777777" w:rsidR="00B05BDA" w:rsidRPr="00C6580C" w:rsidRDefault="00B05BDA" w:rsidP="00CD7CAC">
      <w:pPr>
        <w:widowControl/>
        <w:rPr>
          <w:szCs w:val="22"/>
        </w:rPr>
      </w:pPr>
    </w:p>
    <w:p w14:paraId="3EB1CEB1" w14:textId="77777777" w:rsidR="00843FDA" w:rsidRPr="00C6580C" w:rsidRDefault="00843FDA" w:rsidP="00CD7CAC">
      <w:pPr>
        <w:pStyle w:val="Heading2"/>
        <w:widowControl/>
        <w:rPr>
          <w:szCs w:val="22"/>
        </w:rPr>
      </w:pPr>
      <w:bookmarkStart w:id="132" w:name="_Toc316910088"/>
      <w:bookmarkStart w:id="133" w:name="_Toc316892339"/>
      <w:bookmarkStart w:id="134" w:name="_Toc316673698"/>
      <w:bookmarkStart w:id="135" w:name="_Toc315290091"/>
      <w:bookmarkStart w:id="136" w:name="_Toc315274890"/>
      <w:bookmarkStart w:id="137" w:name="_Toc315090440"/>
      <w:bookmarkStart w:id="138" w:name="_Toc314648945"/>
      <w:bookmarkStart w:id="139" w:name="_Toc314645314"/>
      <w:bookmarkStart w:id="140" w:name="_Toc310524892"/>
      <w:bookmarkStart w:id="141" w:name="_Toc310524624"/>
      <w:bookmarkStart w:id="142" w:name="_Toc302587526"/>
      <w:bookmarkStart w:id="143" w:name="_Toc302580124"/>
      <w:bookmarkStart w:id="144" w:name="_Toc300324800"/>
      <w:bookmarkStart w:id="145" w:name="_Toc300306024"/>
      <w:bookmarkStart w:id="146" w:name="_Toc299985460"/>
      <w:bookmarkStart w:id="147" w:name="_Toc299985225"/>
      <w:bookmarkStart w:id="148" w:name="_Toc299714838"/>
      <w:bookmarkStart w:id="149" w:name="_Toc299714102"/>
      <w:bookmarkStart w:id="150" w:name="_Toc299710714"/>
      <w:bookmarkStart w:id="151" w:name="_Toc299455293"/>
      <w:bookmarkStart w:id="152" w:name="_Toc299453430"/>
      <w:bookmarkStart w:id="153" w:name="_Toc295918336"/>
      <w:bookmarkStart w:id="154" w:name="_Toc295489442"/>
      <w:bookmarkStart w:id="155" w:name="_Toc295488149"/>
      <w:bookmarkStart w:id="156" w:name="_Toc295488039"/>
      <w:bookmarkStart w:id="157" w:name="_Toc295487876"/>
      <w:bookmarkStart w:id="158" w:name="_Toc295480108"/>
      <w:bookmarkStart w:id="159" w:name="_Toc295480075"/>
      <w:bookmarkStart w:id="160" w:name="_Toc295479922"/>
      <w:bookmarkStart w:id="161" w:name="_Toc295479453"/>
      <w:r w:rsidRPr="00C6580C">
        <w:rPr>
          <w:szCs w:val="22"/>
        </w:rPr>
        <w:t>Initial Regulatory Flexibility Analysis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6532F2C" w14:textId="77777777" w:rsidR="00843FDA" w:rsidRPr="00A96110" w:rsidRDefault="00843FDA" w:rsidP="00CD7CAC">
      <w:pPr>
        <w:pStyle w:val="ParaNum"/>
        <w:widowControl/>
        <w:tabs>
          <w:tab w:val="clear" w:pos="1440"/>
          <w:tab w:val="num" w:pos="1430"/>
        </w:tabs>
        <w:snapToGrid w:val="0"/>
      </w:pPr>
      <w:bookmarkStart w:id="162" w:name="_Ref24960765"/>
      <w:r w:rsidRPr="00A96110">
        <w:t>As required by the Regulatory Flexibility Act of 1980 (RFA),</w:t>
      </w:r>
      <w:r w:rsidRPr="00C6580C">
        <w:rPr>
          <w:rStyle w:val="FootnoteReference"/>
          <w:color w:val="000000"/>
          <w:szCs w:val="22"/>
        </w:rPr>
        <w:footnoteReference w:id="123"/>
      </w:r>
      <w:r w:rsidRPr="00A96110">
        <w:t xml:space="preserve"> the Commission has prepared an Initial Regulatory Flexibility Analysis (IRFA) of the possible significant economic impact on small entities of the policies and rules proposed in the </w:t>
      </w:r>
      <w:r w:rsidRPr="00A96110">
        <w:rPr>
          <w:i/>
        </w:rPr>
        <w:t>NPRM</w:t>
      </w:r>
      <w:r w:rsidRPr="00A96110">
        <w:t xml:space="preserve">.  The analysis is found in Appendix </w:t>
      </w:r>
      <w:r w:rsidR="00262820" w:rsidRPr="00A96110">
        <w:t>A</w:t>
      </w:r>
      <w:r w:rsidRPr="00A96110">
        <w:t>.  We request written public comment on the analysis.  Comments must be filed by the same dates as listed on the first page of this document and must have a separate and distinct heading designating them as responses to the IRFA.  The Commission</w:t>
      </w:r>
      <w:r w:rsidRPr="00A96110">
        <w:rPr>
          <w:b/>
        </w:rPr>
        <w:t>’</w:t>
      </w:r>
      <w:r w:rsidRPr="00A96110">
        <w:t>s Consumer and Governmental Affairs Bureau, Reference Information Center, will send a copy of this Notice, including the IRFA, to the Chief Counsel for Advocacy of the Small Business Administration.</w:t>
      </w:r>
      <w:bookmarkEnd w:id="162"/>
    </w:p>
    <w:p w14:paraId="004580C8" w14:textId="77777777" w:rsidR="00843FDA" w:rsidRPr="00C6580C" w:rsidRDefault="00843FDA" w:rsidP="00CD7CAC">
      <w:pPr>
        <w:pStyle w:val="Heading2"/>
        <w:widowControl/>
        <w:rPr>
          <w:szCs w:val="22"/>
        </w:rPr>
      </w:pPr>
      <w:bookmarkStart w:id="163" w:name="_Toc316910089"/>
      <w:bookmarkStart w:id="164" w:name="_Toc316892340"/>
      <w:bookmarkStart w:id="165" w:name="_Toc316673699"/>
      <w:bookmarkStart w:id="166" w:name="_Toc315290092"/>
      <w:bookmarkStart w:id="167" w:name="_Toc315274891"/>
      <w:bookmarkStart w:id="168" w:name="_Toc315090441"/>
      <w:bookmarkStart w:id="169" w:name="_Toc314648946"/>
      <w:bookmarkStart w:id="170" w:name="_Toc314645315"/>
      <w:bookmarkStart w:id="171" w:name="_Toc310524893"/>
      <w:bookmarkStart w:id="172" w:name="_Toc310524625"/>
      <w:bookmarkStart w:id="173" w:name="_Toc302587527"/>
      <w:bookmarkStart w:id="174" w:name="_Toc302580125"/>
      <w:bookmarkStart w:id="175" w:name="_Toc300324801"/>
      <w:bookmarkStart w:id="176" w:name="_Toc300306025"/>
      <w:bookmarkStart w:id="177" w:name="_Toc299985461"/>
      <w:bookmarkStart w:id="178" w:name="_Toc299985226"/>
      <w:bookmarkStart w:id="179" w:name="_Toc299714839"/>
      <w:bookmarkStart w:id="180" w:name="_Toc299714103"/>
      <w:bookmarkStart w:id="181" w:name="_Toc299710715"/>
      <w:bookmarkStart w:id="182" w:name="_Toc299455294"/>
      <w:bookmarkStart w:id="183" w:name="_Toc299453431"/>
      <w:bookmarkStart w:id="184" w:name="_Toc295918337"/>
      <w:bookmarkStart w:id="185" w:name="_Toc295489443"/>
      <w:bookmarkStart w:id="186" w:name="_Toc295488150"/>
      <w:bookmarkStart w:id="187" w:name="_Toc295488040"/>
      <w:bookmarkStart w:id="188" w:name="_Toc295487877"/>
      <w:bookmarkStart w:id="189" w:name="_Toc295480109"/>
      <w:bookmarkStart w:id="190" w:name="_Toc295480076"/>
      <w:bookmarkStart w:id="191" w:name="_Toc295479923"/>
      <w:bookmarkStart w:id="192" w:name="_Toc295479454"/>
      <w:r w:rsidRPr="00C6580C">
        <w:rPr>
          <w:szCs w:val="22"/>
        </w:rPr>
        <w:t>Initial Paperwork Reduction Analysis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56A2B50" w14:textId="4B2E45F2" w:rsidR="00843FDA" w:rsidRPr="00A96110" w:rsidRDefault="003B464D" w:rsidP="00CD7CAC">
      <w:pPr>
        <w:pStyle w:val="ParaNum"/>
        <w:widowControl/>
      </w:pPr>
      <w:r w:rsidRPr="00A96110">
        <w:rPr>
          <w:color w:val="000000"/>
        </w:rPr>
        <w:t xml:space="preserve">This </w:t>
      </w:r>
      <w:r w:rsidRPr="00A96110">
        <w:rPr>
          <w:i/>
          <w:color w:val="000000"/>
        </w:rPr>
        <w:t>NPRM</w:t>
      </w:r>
      <w:r w:rsidRPr="00A96110">
        <w:rPr>
          <w:color w:val="000000"/>
        </w:rPr>
        <w:t xml:space="preserve"> contains proposed new or modified information collection requirements. </w:t>
      </w:r>
      <w:r w:rsidRPr="00A96110">
        <w:t>Specifically, the Commission seeks comment on rule changes that would increase the number of channels available to Private Land Mobile Radio users, thus revising the number of respondents subject to certain existing information collection requirements</w:t>
      </w:r>
      <w:r w:rsidRPr="00A96110">
        <w:rPr>
          <w:i/>
        </w:rPr>
        <w:t xml:space="preserve"> </w:t>
      </w:r>
      <w:r w:rsidRPr="00A96110">
        <w:t>(</w:t>
      </w:r>
      <w:r w:rsidRPr="00A96110">
        <w:rPr>
          <w:i/>
        </w:rPr>
        <w:t>i.e.</w:t>
      </w:r>
      <w:r w:rsidRPr="00A96110">
        <w:t xml:space="preserve"> ICR Reference Number: 201311-3060-018, OMB Control No. 3060-0798).</w:t>
      </w:r>
      <w:r w:rsidR="009F373B" w:rsidRPr="00A96110">
        <w:t xml:space="preserve">  Additionally, the </w:t>
      </w:r>
      <w:r w:rsidR="009F373B" w:rsidRPr="00A96110">
        <w:rPr>
          <w:i/>
        </w:rPr>
        <w:t>NPRM</w:t>
      </w:r>
      <w:r w:rsidR="009F373B" w:rsidRPr="00A96110">
        <w:t xml:space="preserve"> seeks comment on interference protection criteria that would </w:t>
      </w:r>
      <w:r w:rsidR="003E0AE1" w:rsidRPr="00A96110">
        <w:t>modify</w:t>
      </w:r>
      <w:r w:rsidR="009F373B" w:rsidRPr="00A96110">
        <w:t xml:space="preserve"> frequency coordination requirements</w:t>
      </w:r>
      <w:r w:rsidR="003E0AE1" w:rsidRPr="00A96110">
        <w:t xml:space="preserve"> and frequency selection and assignment criteria</w:t>
      </w:r>
      <w:r w:rsidR="009F373B" w:rsidRPr="00A96110">
        <w:t xml:space="preserve"> for 800 MHz PLMR spectrum</w:t>
      </w:r>
      <w:r w:rsidR="003E0AE1" w:rsidRPr="00A96110">
        <w:t>.</w:t>
      </w:r>
      <w:r w:rsidR="009F373B" w:rsidRPr="00A96110">
        <w:t xml:space="preserve"> </w:t>
      </w:r>
      <w:r w:rsidR="003E0AE1" w:rsidRPr="00A96110">
        <w:t xml:space="preserve"> </w:t>
      </w:r>
      <w:r w:rsidR="009F373B" w:rsidRPr="00A96110">
        <w:rPr>
          <w:color w:val="000000"/>
        </w:rPr>
        <w:t>The Commission, as part of its continuing effort to reduce paperwork burdens, invites the general public and the Office of Management and Budget (OMB) to comment on the information collection requirements contained in this document, as required by the Paperwork Reduction Act of 1995,</w:t>
      </w:r>
      <w:r w:rsidR="00000090">
        <w:rPr>
          <w:color w:val="000000"/>
        </w:rPr>
        <w:t xml:space="preserve"> Public Law 104-13.</w:t>
      </w:r>
      <w:r w:rsidR="009F373B" w:rsidRPr="00A96110">
        <w:rPr>
          <w:color w:val="000000"/>
        </w:rPr>
        <w:t xml:space="preserve">  Written comments on the PRA proposed information collection requirements must be submitted by the public, the OMB, and other interested parties on or before 60 days after publication of the Notice in the </w:t>
      </w:r>
      <w:r w:rsidR="009F373B" w:rsidRPr="00A96110">
        <w:rPr>
          <w:i/>
          <w:color w:val="000000"/>
        </w:rPr>
        <w:t>Federal Register</w:t>
      </w:r>
      <w:r w:rsidR="009F373B" w:rsidRPr="00A96110">
        <w:rPr>
          <w:color w:val="000000"/>
        </w:rPr>
        <w:t>.  Comments should address: (a) whether the proposed collection of information is necessary for the proper performance of the functions of the Commission, including whether the information shall have practical utility; (b) the accuracy of the Commission's burden estimates; (c) ways to enhance the quality, utility, and clarity of the information collected; and (d) ways to minimize the burden of the collection of information on the respondents, including the use of automated collection techniques or other forms of information technology.  In addition, pursuant to the Small Business Paperwork Relief Act of 2002,</w:t>
      </w:r>
      <w:r w:rsidR="00000090">
        <w:rPr>
          <w:color w:val="000000"/>
        </w:rPr>
        <w:t xml:space="preserve"> Public Law 107-198</w:t>
      </w:r>
      <w:r w:rsidR="009F373B" w:rsidRPr="00A96110">
        <w:rPr>
          <w:color w:val="000000"/>
        </w:rPr>
        <w:t xml:space="preserve">, </w:t>
      </w:r>
      <w:r w:rsidR="009F373B" w:rsidRPr="00A96110">
        <w:rPr>
          <w:i/>
          <w:color w:val="000000"/>
        </w:rPr>
        <w:t>see</w:t>
      </w:r>
      <w:r w:rsidR="009F373B" w:rsidRPr="00A96110">
        <w:rPr>
          <w:color w:val="000000"/>
        </w:rPr>
        <w:t xml:space="preserve"> </w:t>
      </w:r>
      <w:r w:rsidR="00000090">
        <w:rPr>
          <w:color w:val="000000"/>
        </w:rPr>
        <w:t>44 U.S.C. 3506(c)(4)</w:t>
      </w:r>
      <w:r w:rsidR="009F373B" w:rsidRPr="00A96110">
        <w:rPr>
          <w:color w:val="000000"/>
        </w:rPr>
        <w:t>, we seek specific comment on how we might further reduce the information collection burden for small business concerns with fewer than 25 employees.</w:t>
      </w:r>
    </w:p>
    <w:p w14:paraId="550C4772" w14:textId="77777777" w:rsidR="00843FDA" w:rsidRPr="00C6580C" w:rsidRDefault="00843FDA" w:rsidP="00CD7CAC">
      <w:pPr>
        <w:pStyle w:val="Heading2"/>
        <w:widowControl/>
        <w:rPr>
          <w:szCs w:val="22"/>
        </w:rPr>
      </w:pPr>
      <w:bookmarkStart w:id="193" w:name="_Toc316910090"/>
      <w:bookmarkStart w:id="194" w:name="_Toc316892341"/>
      <w:bookmarkStart w:id="195" w:name="_Toc316673700"/>
      <w:bookmarkStart w:id="196" w:name="_Toc315290093"/>
      <w:bookmarkStart w:id="197" w:name="_Toc315274892"/>
      <w:bookmarkStart w:id="198" w:name="_Toc315090442"/>
      <w:bookmarkStart w:id="199" w:name="_Toc314648947"/>
      <w:bookmarkStart w:id="200" w:name="_Toc314645316"/>
      <w:bookmarkStart w:id="201" w:name="_Toc310524894"/>
      <w:bookmarkStart w:id="202" w:name="_Toc310524626"/>
      <w:bookmarkStart w:id="203" w:name="_Toc302587528"/>
      <w:bookmarkStart w:id="204" w:name="_Toc302580126"/>
      <w:bookmarkStart w:id="205" w:name="_Toc300324802"/>
      <w:bookmarkStart w:id="206" w:name="_Toc300306026"/>
      <w:bookmarkStart w:id="207" w:name="_Toc299985462"/>
      <w:bookmarkStart w:id="208" w:name="_Toc299985227"/>
      <w:bookmarkStart w:id="209" w:name="_Toc299714840"/>
      <w:bookmarkStart w:id="210" w:name="_Toc299714104"/>
      <w:bookmarkStart w:id="211" w:name="_Toc299710716"/>
      <w:bookmarkStart w:id="212" w:name="_Toc299455295"/>
      <w:bookmarkStart w:id="213" w:name="_Toc299453432"/>
      <w:bookmarkStart w:id="214" w:name="_Toc295918338"/>
      <w:bookmarkStart w:id="215" w:name="_Toc295489444"/>
      <w:bookmarkStart w:id="216" w:name="_Toc295488151"/>
      <w:bookmarkStart w:id="217" w:name="_Toc295488041"/>
      <w:bookmarkStart w:id="218" w:name="_Toc295487878"/>
      <w:bookmarkStart w:id="219" w:name="_Toc295480110"/>
      <w:bookmarkStart w:id="220" w:name="_Toc295480077"/>
      <w:bookmarkStart w:id="221" w:name="_Toc295479924"/>
      <w:bookmarkStart w:id="222" w:name="_Toc295479455"/>
      <w:r w:rsidRPr="00C6580C">
        <w:rPr>
          <w:szCs w:val="22"/>
        </w:rPr>
        <w:t>Further Information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31DCF25" w14:textId="749BBF0F" w:rsidR="00843FDA" w:rsidRPr="00A96110" w:rsidRDefault="00843FDA" w:rsidP="00CD7CAC">
      <w:pPr>
        <w:pStyle w:val="ParaNum"/>
        <w:widowControl/>
        <w:tabs>
          <w:tab w:val="clear" w:pos="1440"/>
          <w:tab w:val="num" w:pos="1430"/>
        </w:tabs>
        <w:snapToGrid w:val="0"/>
      </w:pPr>
      <w:r w:rsidRPr="00A96110">
        <w:t xml:space="preserve">For further information, contact John Evanoff, Esq., of the Public Safety and Homeland Security Bureau, Policy and Licensing Division, at (202) 418-0848, or by email to </w:t>
      </w:r>
      <w:hyperlink r:id="rId12" w:history="1">
        <w:r w:rsidRPr="00A96110">
          <w:rPr>
            <w:rStyle w:val="Hyperlink"/>
          </w:rPr>
          <w:t>john.evanoff@fcc.gov</w:t>
        </w:r>
      </w:hyperlink>
      <w:r w:rsidRPr="00A96110">
        <w:t xml:space="preserve"> or Rodney Conway, Wireless Telecommunications Bureau, Mobility Division, at (202) 418-2904, or by email to rodney.conway@fcc.gov.</w:t>
      </w:r>
    </w:p>
    <w:p w14:paraId="39A09343" w14:textId="77777777" w:rsidR="00843FDA" w:rsidRPr="00C6580C" w:rsidRDefault="00843FDA" w:rsidP="00CD7CAC">
      <w:pPr>
        <w:pStyle w:val="Heading1"/>
        <w:widowControl/>
        <w:tabs>
          <w:tab w:val="num" w:pos="0"/>
        </w:tabs>
        <w:ind w:left="0" w:firstLine="0"/>
        <w:rPr>
          <w:szCs w:val="22"/>
        </w:rPr>
      </w:pPr>
      <w:bookmarkStart w:id="223" w:name="_Toc316910091"/>
      <w:bookmarkStart w:id="224" w:name="_Toc316892342"/>
      <w:bookmarkStart w:id="225" w:name="_Toc316673701"/>
      <w:bookmarkStart w:id="226" w:name="_Toc315290094"/>
      <w:bookmarkStart w:id="227" w:name="_Toc315274893"/>
      <w:bookmarkStart w:id="228" w:name="_Toc315090443"/>
      <w:bookmarkStart w:id="229" w:name="_Toc314648948"/>
      <w:r w:rsidRPr="00C6580C">
        <w:rPr>
          <w:szCs w:val="22"/>
        </w:rPr>
        <w:t>ORDERING CLAUSES</w:t>
      </w:r>
      <w:bookmarkEnd w:id="223"/>
      <w:bookmarkEnd w:id="224"/>
      <w:bookmarkEnd w:id="225"/>
      <w:bookmarkEnd w:id="226"/>
      <w:bookmarkEnd w:id="227"/>
      <w:bookmarkEnd w:id="228"/>
      <w:bookmarkEnd w:id="229"/>
    </w:p>
    <w:p w14:paraId="603E3C7E" w14:textId="77777777" w:rsidR="00843FDA" w:rsidRPr="00A96110" w:rsidRDefault="00843FDA" w:rsidP="00CD7CAC">
      <w:pPr>
        <w:pStyle w:val="ParaNum"/>
        <w:widowControl/>
        <w:tabs>
          <w:tab w:val="clear" w:pos="1440"/>
          <w:tab w:val="num" w:pos="1430"/>
        </w:tabs>
      </w:pPr>
      <w:r w:rsidRPr="00A96110">
        <w:t xml:space="preserve">Accordingly, IT IS ORDERED, pursuant to Sections 1, 2, 4(i), 4(j), 301, 302, 303, 308, 309, </w:t>
      </w:r>
      <w:r w:rsidR="00186175" w:rsidRPr="00A96110">
        <w:t xml:space="preserve">316, </w:t>
      </w:r>
      <w:r w:rsidRPr="00A96110">
        <w:t xml:space="preserve">324, and 332 of the Communications Act of 1934, as amended, 47 U.S.C. §§ 151, 152, 154(i), 154(j), 301, 302a, 303, 308, 309, 324, </w:t>
      </w:r>
      <w:r w:rsidR="00186175" w:rsidRPr="00A96110">
        <w:t xml:space="preserve">316, </w:t>
      </w:r>
      <w:r w:rsidRPr="00A96110">
        <w:t xml:space="preserve">and 332, that this </w:t>
      </w:r>
      <w:r w:rsidRPr="00A96110">
        <w:rPr>
          <w:i/>
        </w:rPr>
        <w:t>Notice of Proposed Rulemaking</w:t>
      </w:r>
      <w:r w:rsidRPr="00A96110">
        <w:t xml:space="preserve"> is hereby ADOPTED.</w:t>
      </w:r>
    </w:p>
    <w:p w14:paraId="72314DA1" w14:textId="77777777" w:rsidR="00CD7CAC" w:rsidRDefault="00CD7CAC">
      <w:pPr>
        <w:widowControl/>
      </w:pPr>
      <w:r>
        <w:br w:type="page"/>
      </w:r>
    </w:p>
    <w:p w14:paraId="4EA38EBB" w14:textId="3D369650" w:rsidR="00843FDA" w:rsidRPr="00A96110" w:rsidRDefault="00843FDA" w:rsidP="00CD7CAC">
      <w:pPr>
        <w:pStyle w:val="ParaNum"/>
        <w:widowControl/>
        <w:tabs>
          <w:tab w:val="clear" w:pos="1440"/>
          <w:tab w:val="num" w:pos="1430"/>
        </w:tabs>
      </w:pPr>
      <w:r w:rsidRPr="00A96110">
        <w:t xml:space="preserve">IT IS FURTHER ORDERED that the Commission’s Consumer and Governmental Affairs Bureau, Reference Information Center, SHALL SEND a copy of this </w:t>
      </w:r>
      <w:r w:rsidRPr="00A96110">
        <w:rPr>
          <w:i/>
        </w:rPr>
        <w:t>Notice of Proposed Rulemaking</w:t>
      </w:r>
      <w:r w:rsidRPr="00A96110">
        <w:t>, including the Initial Regulatory Flexibility Analysis, to the Chief Counsel for Advocacy of the Small Business Administration.</w:t>
      </w:r>
    </w:p>
    <w:p w14:paraId="73A7776B" w14:textId="77777777" w:rsidR="007770C0" w:rsidRDefault="007770C0" w:rsidP="00CD7CAC">
      <w:pPr>
        <w:keepNext/>
        <w:widowControl/>
        <w:ind w:firstLine="4320"/>
        <w:rPr>
          <w:szCs w:val="22"/>
        </w:rPr>
      </w:pPr>
    </w:p>
    <w:p w14:paraId="7A9D3BC1" w14:textId="77777777" w:rsidR="001C4E81" w:rsidRDefault="001C4E81" w:rsidP="00CD7CAC">
      <w:pPr>
        <w:widowControl/>
      </w:pPr>
      <w:r>
        <w:tab/>
      </w:r>
      <w:r>
        <w:tab/>
      </w:r>
      <w:r>
        <w:tab/>
      </w:r>
      <w:r>
        <w:tab/>
      </w:r>
      <w:r>
        <w:tab/>
      </w:r>
      <w:r>
        <w:tab/>
        <w:t>FEDERAL COMMUNICATIONS COMMISSION</w:t>
      </w:r>
    </w:p>
    <w:p w14:paraId="7D0A4CED" w14:textId="77777777" w:rsidR="001C4E81" w:rsidRDefault="001C4E81" w:rsidP="00CD7CAC">
      <w:pPr>
        <w:widowControl/>
      </w:pPr>
    </w:p>
    <w:p w14:paraId="0F361D02" w14:textId="77777777" w:rsidR="001C4E81" w:rsidRDefault="001C4E81" w:rsidP="00CD7CAC">
      <w:pPr>
        <w:widowControl/>
      </w:pPr>
    </w:p>
    <w:p w14:paraId="2A038169" w14:textId="77777777" w:rsidR="001C4E81" w:rsidRDefault="001C4E81" w:rsidP="00CD7CAC">
      <w:pPr>
        <w:widowControl/>
      </w:pPr>
    </w:p>
    <w:p w14:paraId="63886F03" w14:textId="77777777" w:rsidR="001C4E81" w:rsidRDefault="001C4E81" w:rsidP="00CD7CAC">
      <w:pPr>
        <w:widowControl/>
      </w:pPr>
    </w:p>
    <w:p w14:paraId="0417A614" w14:textId="77777777" w:rsidR="001C4E81" w:rsidRDefault="001C4E81" w:rsidP="00CD7CAC">
      <w:pPr>
        <w:widowControl/>
      </w:pPr>
      <w:r>
        <w:tab/>
      </w:r>
      <w:r>
        <w:tab/>
      </w:r>
      <w:r>
        <w:tab/>
      </w:r>
      <w:r>
        <w:tab/>
      </w:r>
      <w:r>
        <w:tab/>
      </w:r>
      <w:r>
        <w:tab/>
        <w:t>Marlene H. Dortch</w:t>
      </w:r>
    </w:p>
    <w:p w14:paraId="1A4AF488" w14:textId="32F4E72E" w:rsidR="001C4E81" w:rsidRDefault="001C4E81" w:rsidP="00CD7CAC">
      <w:pPr>
        <w:widowControl/>
        <w:sectPr w:rsidR="001C4E81" w:rsidSect="00575411">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docGrid w:linePitch="299"/>
        </w:sectPr>
      </w:pPr>
      <w:r>
        <w:tab/>
      </w:r>
      <w:r>
        <w:tab/>
      </w:r>
      <w:r>
        <w:tab/>
      </w:r>
      <w:r>
        <w:tab/>
      </w:r>
      <w:r>
        <w:tab/>
      </w:r>
      <w:r>
        <w:tab/>
        <w:t>Secretary</w:t>
      </w:r>
    </w:p>
    <w:p w14:paraId="4893BFC6" w14:textId="77777777" w:rsidR="00843FDA" w:rsidRPr="00A96110" w:rsidRDefault="00843FDA" w:rsidP="00CD7CAC">
      <w:pPr>
        <w:pStyle w:val="ParaNum"/>
        <w:widowControl/>
        <w:numPr>
          <w:ilvl w:val="0"/>
          <w:numId w:val="0"/>
        </w:numPr>
        <w:tabs>
          <w:tab w:val="left" w:pos="720"/>
        </w:tabs>
        <w:jc w:val="center"/>
        <w:rPr>
          <w:b/>
        </w:rPr>
      </w:pPr>
      <w:r w:rsidRPr="00A96110">
        <w:rPr>
          <w:b/>
        </w:rPr>
        <w:t>APPENDIX A</w:t>
      </w:r>
    </w:p>
    <w:p w14:paraId="6730FBE0" w14:textId="77777777" w:rsidR="004F1C68" w:rsidRPr="00C6580C" w:rsidRDefault="004F1C68" w:rsidP="00CD7CAC">
      <w:pPr>
        <w:widowControl/>
        <w:jc w:val="center"/>
        <w:rPr>
          <w:b/>
          <w:szCs w:val="22"/>
        </w:rPr>
      </w:pPr>
      <w:r w:rsidRPr="00C6580C">
        <w:rPr>
          <w:b/>
          <w:szCs w:val="22"/>
        </w:rPr>
        <w:t>Initial Regulatory Flexibility Analysis</w:t>
      </w:r>
    </w:p>
    <w:p w14:paraId="5D3B9E42" w14:textId="77777777" w:rsidR="004F1C68" w:rsidRPr="00A96110" w:rsidRDefault="004F1C68" w:rsidP="00CD7CAC">
      <w:pPr>
        <w:pStyle w:val="ParaNum"/>
        <w:widowControl/>
        <w:numPr>
          <w:ilvl w:val="0"/>
          <w:numId w:val="0"/>
        </w:numPr>
        <w:tabs>
          <w:tab w:val="left" w:pos="720"/>
        </w:tabs>
        <w:spacing w:after="0"/>
      </w:pPr>
    </w:p>
    <w:p w14:paraId="53333AAB" w14:textId="77777777" w:rsidR="004F1C68" w:rsidRPr="00A96110" w:rsidRDefault="004F1C68" w:rsidP="00CD7CAC">
      <w:pPr>
        <w:pStyle w:val="ParaNum"/>
        <w:widowControl/>
        <w:numPr>
          <w:ilvl w:val="0"/>
          <w:numId w:val="10"/>
        </w:numPr>
        <w:tabs>
          <w:tab w:val="num" w:pos="1430"/>
        </w:tabs>
        <w:snapToGrid w:val="0"/>
        <w:spacing w:after="0"/>
      </w:pPr>
      <w:r w:rsidRPr="00A96110">
        <w:t>As required by the Regulatory Flexibility Act of 1980, as amended (RFA),</w:t>
      </w:r>
      <w:r w:rsidRPr="00C6580C">
        <w:rPr>
          <w:rStyle w:val="FootnoteReference"/>
          <w:szCs w:val="22"/>
        </w:rPr>
        <w:footnoteReference w:id="124"/>
      </w:r>
      <w:r w:rsidRPr="00A96110">
        <w:t xml:space="preserve"> the Commission prepared this Initial Regulatory Flexibility Analysis (IRFA) of the possible significant economic impact on a substantial number of small entities by the policies and rules proposed in this </w:t>
      </w:r>
      <w:r w:rsidRPr="00A96110">
        <w:rPr>
          <w:i/>
        </w:rPr>
        <w:t>Notice of Proposed Rulemaking (NPRM)</w:t>
      </w:r>
      <w:r w:rsidRPr="00A96110">
        <w:t xml:space="preserve">.  Written public comments are requested on this IRFA.  Comments must be filed by the same dates as listed on the first page of the </w:t>
      </w:r>
      <w:r w:rsidRPr="00A96110">
        <w:rPr>
          <w:i/>
        </w:rPr>
        <w:t xml:space="preserve">NPRM </w:t>
      </w:r>
      <w:r w:rsidRPr="00A96110">
        <w:t xml:space="preserve">and must have a separate and distinct heading designating them as responses to this IRFA.  The Commission will send a copy of the </w:t>
      </w:r>
      <w:r w:rsidRPr="00A96110">
        <w:rPr>
          <w:i/>
        </w:rPr>
        <w:t>NPRM</w:t>
      </w:r>
      <w:r w:rsidRPr="00A96110">
        <w:t>, including this IRFA, to the Chief Counsel for Advocacy of the Small Business Administration (SBA).</w:t>
      </w:r>
      <w:r w:rsidRPr="00C6580C">
        <w:rPr>
          <w:rStyle w:val="FootnoteReference"/>
          <w:szCs w:val="22"/>
        </w:rPr>
        <w:footnoteReference w:id="125"/>
      </w:r>
      <w:r w:rsidRPr="00A96110">
        <w:t xml:space="preserve">  In addition, the </w:t>
      </w:r>
      <w:r w:rsidRPr="00A96110">
        <w:rPr>
          <w:i/>
        </w:rPr>
        <w:t>NPRM</w:t>
      </w:r>
      <w:r w:rsidRPr="00A96110">
        <w:t xml:space="preserve"> and IRFA (or summaries thereof) will be published in the </w:t>
      </w:r>
      <w:r w:rsidRPr="00A96110">
        <w:rPr>
          <w:i/>
        </w:rPr>
        <w:t>Federal Register</w:t>
      </w:r>
      <w:r w:rsidRPr="00A96110">
        <w:t>.</w:t>
      </w:r>
      <w:r w:rsidRPr="00C6580C">
        <w:rPr>
          <w:rStyle w:val="FootnoteReference"/>
          <w:szCs w:val="22"/>
        </w:rPr>
        <w:footnoteReference w:id="126"/>
      </w:r>
    </w:p>
    <w:p w14:paraId="6F5E9327" w14:textId="77777777" w:rsidR="001C4E81" w:rsidRPr="00C67551" w:rsidRDefault="001C4E81" w:rsidP="00F55777">
      <w:pPr>
        <w:pStyle w:val="ParaNum"/>
        <w:widowControl/>
        <w:numPr>
          <w:ilvl w:val="0"/>
          <w:numId w:val="0"/>
        </w:numPr>
        <w:tabs>
          <w:tab w:val="num" w:pos="1430"/>
        </w:tabs>
        <w:snapToGrid w:val="0"/>
        <w:spacing w:after="0"/>
        <w:rPr>
          <w:szCs w:val="22"/>
        </w:rPr>
      </w:pPr>
    </w:p>
    <w:p w14:paraId="1A4021A0" w14:textId="77777777" w:rsidR="004F1C68" w:rsidRPr="00C6580C" w:rsidRDefault="004F1C68" w:rsidP="00CD7CAC">
      <w:pPr>
        <w:pStyle w:val="Heading2"/>
        <w:widowControl/>
        <w:ind w:firstLine="0"/>
        <w:rPr>
          <w:szCs w:val="22"/>
        </w:rPr>
      </w:pPr>
      <w:bookmarkStart w:id="230" w:name="_Toc314738918"/>
      <w:bookmarkStart w:id="231" w:name="_Toc314738875"/>
      <w:bookmarkStart w:id="232" w:name="_Toc314648949"/>
      <w:bookmarkStart w:id="233" w:name="_Toc314645318"/>
      <w:bookmarkStart w:id="234" w:name="_Toc310524896"/>
      <w:bookmarkStart w:id="235" w:name="_Toc310524628"/>
      <w:bookmarkStart w:id="236" w:name="_Toc262465660"/>
      <w:r w:rsidRPr="00C6580C">
        <w:rPr>
          <w:szCs w:val="22"/>
        </w:rPr>
        <w:t>Need for, and Objectives of, the Proposed Rules</w:t>
      </w:r>
      <w:bookmarkEnd w:id="230"/>
      <w:bookmarkEnd w:id="231"/>
      <w:bookmarkEnd w:id="232"/>
      <w:bookmarkEnd w:id="233"/>
      <w:bookmarkEnd w:id="234"/>
      <w:bookmarkEnd w:id="235"/>
      <w:bookmarkEnd w:id="236"/>
    </w:p>
    <w:p w14:paraId="2956C4AD" w14:textId="77777777" w:rsidR="004F1C68" w:rsidRPr="00A96110" w:rsidRDefault="004F1C68" w:rsidP="00CD7CAC">
      <w:pPr>
        <w:pStyle w:val="ParaNum"/>
        <w:widowControl/>
        <w:tabs>
          <w:tab w:val="clear" w:pos="1440"/>
          <w:tab w:val="num" w:pos="1430"/>
        </w:tabs>
      </w:pPr>
      <w:r w:rsidRPr="00A96110">
        <w:t xml:space="preserve">The proposed changes to the </w:t>
      </w:r>
      <w:r w:rsidR="007B6D5C" w:rsidRPr="00A96110">
        <w:t xml:space="preserve">800 MHz </w:t>
      </w:r>
      <w:r w:rsidRPr="00A96110">
        <w:t>band plan between 809-</w:t>
      </w:r>
      <w:r w:rsidR="007B6D5C" w:rsidRPr="00A96110">
        <w:t xml:space="preserve">817 </w:t>
      </w:r>
      <w:r w:rsidRPr="00A96110">
        <w:t>MHz/854-</w:t>
      </w:r>
      <w:r w:rsidR="007B6D5C" w:rsidRPr="00A96110">
        <w:t xml:space="preserve">862 </w:t>
      </w:r>
      <w:r w:rsidRPr="00A96110">
        <w:t xml:space="preserve">MHz </w:t>
      </w:r>
      <w:r w:rsidR="007B6D5C" w:rsidRPr="00A96110">
        <w:t xml:space="preserve">(the 800 MHz “Mid-Band”) </w:t>
      </w:r>
      <w:r w:rsidRPr="00A96110">
        <w:t>provide flexibility in channel spacing and bandwidth limitation governing 800 MHz Private Land Mobile Radio (PLMR) licensees.  Specifically, we propose to modify the band plan to accommodate full power, interstitial 12.5 kHz “offset” channels in the 800 MHz Mid-Band, subject to certain protections designed to safeguard 800 MHz incumbents from interference.  These proposed band plan changes provide licensees with the flexibility to deploy advanced PLMR technologies while also continuing to protect 800 MHz incumbents, including public safety licensees, from any potential interference.  The proposed band plan changes allow 800 MHz PLMR licensees in the 809-</w:t>
      </w:r>
      <w:r w:rsidR="007B6D5C" w:rsidRPr="00A96110">
        <w:t xml:space="preserve">817 </w:t>
      </w:r>
      <w:r w:rsidRPr="00A96110">
        <w:t>MHz/854-</w:t>
      </w:r>
      <w:r w:rsidR="007B6D5C" w:rsidRPr="00A96110">
        <w:t xml:space="preserve">862 </w:t>
      </w:r>
      <w:r w:rsidRPr="00A96110">
        <w:t xml:space="preserve">MHz band to reduce the channel spacing and bandwidth limits in Section 90.209 of the Commission’s rules, upon completion of 800 MHz reconfiguration.  We believe these proposed band plan changes will reduce barriers to innovation and investment and allow 800 MHz PLMR licensees to deploy advanced technologies at reduced cost and to the benefit of safety of life, health, and property as well as small businesses.  </w:t>
      </w:r>
    </w:p>
    <w:p w14:paraId="00C3FA9E" w14:textId="77777777" w:rsidR="00035ED9" w:rsidRPr="00A96110" w:rsidRDefault="00035ED9" w:rsidP="00CD7CAC">
      <w:pPr>
        <w:pStyle w:val="ParaNum"/>
        <w:widowControl/>
        <w:tabs>
          <w:tab w:val="clear" w:pos="1440"/>
          <w:tab w:val="num" w:pos="1430"/>
        </w:tabs>
      </w:pPr>
      <w:r w:rsidRPr="00A96110">
        <w:t xml:space="preserve">The </w:t>
      </w:r>
      <w:r w:rsidRPr="00A96110">
        <w:rPr>
          <w:i/>
        </w:rPr>
        <w:t>NPRM</w:t>
      </w:r>
      <w:r w:rsidRPr="00A96110">
        <w:t xml:space="preserve"> seeks comment on the following implementation proposals.  First, the </w:t>
      </w:r>
      <w:r w:rsidRPr="00A96110">
        <w:rPr>
          <w:i/>
        </w:rPr>
        <w:t>NPRM</w:t>
      </w:r>
      <w:r w:rsidRPr="00A96110">
        <w:t xml:space="preserve"> seeks comment on licensing the proposed interstitial channels.  The </w:t>
      </w:r>
      <w:r w:rsidRPr="00A96110">
        <w:rPr>
          <w:i/>
        </w:rPr>
        <w:t>NPRM</w:t>
      </w:r>
      <w:r w:rsidRPr="00A96110">
        <w:t xml:space="preserve"> notes that licensing the interstitial channels would require frequency coordination (</w:t>
      </w:r>
      <w:r w:rsidRPr="00A96110">
        <w:rPr>
          <w:i/>
        </w:rPr>
        <w:t>e.g.</w:t>
      </w:r>
      <w:r w:rsidRPr="00A96110">
        <w:t xml:space="preserve"> PLMR licensees would be required to submit a license application on Form 601 demonstrating evidence of frequency coordination).  The Commission also seeks comment on appropriate eligibility requirements to ensure the efficient use of the interstitial channels.  </w:t>
      </w:r>
    </w:p>
    <w:p w14:paraId="797223BC" w14:textId="77777777" w:rsidR="00035ED9" w:rsidRPr="00A96110" w:rsidRDefault="00035ED9" w:rsidP="00CD7CAC">
      <w:pPr>
        <w:pStyle w:val="ParaNum"/>
        <w:widowControl/>
        <w:tabs>
          <w:tab w:val="clear" w:pos="1440"/>
          <w:tab w:val="num" w:pos="1430"/>
        </w:tabs>
      </w:pPr>
      <w:r w:rsidRPr="00A96110">
        <w:t xml:space="preserve">The </w:t>
      </w:r>
      <w:r w:rsidRPr="00A96110">
        <w:rPr>
          <w:i/>
        </w:rPr>
        <w:t>NPRM</w:t>
      </w:r>
      <w:r w:rsidRPr="00A96110">
        <w:t xml:space="preserve"> also seeks comment on adopting an adjacent channel interference analysis, which would modify the existing frequency coordination process for the 800 MHz PLMR spectrum.  Specifically, the </w:t>
      </w:r>
      <w:r w:rsidRPr="00A96110">
        <w:rPr>
          <w:i/>
        </w:rPr>
        <w:t>NPRM</w:t>
      </w:r>
      <w:r w:rsidRPr="00A96110">
        <w:t xml:space="preserve"> seeks comments on adopting a contour overlap analysis, which would be different than the existing co-channel mileage separation rules (</w:t>
      </w:r>
      <w:r w:rsidRPr="00A96110">
        <w:rPr>
          <w:i/>
        </w:rPr>
        <w:t>i.e.</w:t>
      </w:r>
      <w:r w:rsidRPr="00A96110">
        <w:t xml:space="preserve"> 47 C.F.R. § 90.621) used in the selection and assignment of 800 MHz PLMR channels.  The </w:t>
      </w:r>
      <w:r w:rsidRPr="00A96110">
        <w:rPr>
          <w:i/>
        </w:rPr>
        <w:t>NPRM</w:t>
      </w:r>
      <w:r w:rsidRPr="00A96110">
        <w:t xml:space="preserve"> seeks comment on alternatives to the contour overlap analysis, including  TSB-88, </w:t>
      </w:r>
      <w:r w:rsidR="00185715" w:rsidRPr="00A96110">
        <w:t xml:space="preserve">and whether such alternatives </w:t>
      </w:r>
      <w:r w:rsidR="00301E51" w:rsidRPr="00A96110">
        <w:t>are</w:t>
      </w:r>
      <w:r w:rsidRPr="00A96110">
        <w:t xml:space="preserve"> more appropriate for protecting adjacent channel incumbents.        </w:t>
      </w:r>
    </w:p>
    <w:p w14:paraId="2AD1E72C" w14:textId="77777777" w:rsidR="00035ED9" w:rsidRPr="00A96110" w:rsidRDefault="00035ED9" w:rsidP="00CD7CAC">
      <w:pPr>
        <w:pStyle w:val="ParaNum"/>
        <w:widowControl/>
        <w:tabs>
          <w:tab w:val="clear" w:pos="1440"/>
          <w:tab w:val="num" w:pos="1430"/>
        </w:tabs>
      </w:pPr>
      <w:r w:rsidRPr="00A96110">
        <w:t xml:space="preserve">Under the contour overlap analysis approach, the </w:t>
      </w:r>
      <w:r w:rsidRPr="00A96110">
        <w:rPr>
          <w:i/>
        </w:rPr>
        <w:t>NPRM</w:t>
      </w:r>
      <w:r w:rsidRPr="00A96110">
        <w:t xml:space="preserve"> also seeks comment on whether PLMR applicants should be allowed to provide letters of concurrence indicating that the applicant and each adjacent-channel licensee agree to accept any interference resulting from the reduced adjacent channel separation between systems, an approach that would be similar to the consensual short-spacing approach (</w:t>
      </w:r>
      <w:r w:rsidRPr="00A96110">
        <w:rPr>
          <w:i/>
        </w:rPr>
        <w:t>i.e.</w:t>
      </w:r>
      <w:r w:rsidRPr="00A96110">
        <w:t xml:space="preserve"> 47 C.F.R. § 90.621(e)(5)) or the concurrence approach below 512 MHz. </w:t>
      </w:r>
    </w:p>
    <w:p w14:paraId="519E5C60" w14:textId="77777777" w:rsidR="00035ED9" w:rsidRPr="00A96110" w:rsidRDefault="00035ED9" w:rsidP="00CD7CAC">
      <w:pPr>
        <w:pStyle w:val="ParaNum"/>
        <w:widowControl/>
        <w:tabs>
          <w:tab w:val="clear" w:pos="1440"/>
          <w:tab w:val="num" w:pos="1430"/>
        </w:tabs>
      </w:pPr>
      <w:r w:rsidRPr="00A96110">
        <w:t xml:space="preserve">The </w:t>
      </w:r>
      <w:r w:rsidRPr="00A96110">
        <w:rPr>
          <w:i/>
        </w:rPr>
        <w:t>NPRM</w:t>
      </w:r>
      <w:r w:rsidRPr="00A96110">
        <w:t xml:space="preserve"> seeks comment on whether or not the proposed band plan changes would require equipment manufacturers to update their equipment authorizations in order to comply with Emission Mask D and 12.5 kHz/11.25 kHz channel spacing/authorized bandwidth, important technical parameters that minimize adjacent channel interference.  As a general matter, the </w:t>
      </w:r>
      <w:r w:rsidRPr="00A96110">
        <w:rPr>
          <w:shd w:val="clear" w:color="auto" w:fill="FFFFFF"/>
        </w:rPr>
        <w:t xml:space="preserve">Commission rules require that manufacturers of certain radio frequency (RF) equipment file FCC Form 731 to obtain approval prior to marketing their equipment. Manufacturers may then market their RF equipment based on a showing of compliance with technical standards established in the FCC Rules for each type of equipment or device operated under the applicable FCC Rule part.  </w:t>
      </w:r>
    </w:p>
    <w:p w14:paraId="434A9D1A" w14:textId="77777777" w:rsidR="004F1C68" w:rsidRPr="00A96110" w:rsidRDefault="004F1C68" w:rsidP="00CD7CAC">
      <w:pPr>
        <w:pStyle w:val="ParaNum"/>
        <w:widowControl/>
        <w:tabs>
          <w:tab w:val="clear" w:pos="1440"/>
          <w:tab w:val="num" w:pos="1430"/>
        </w:tabs>
      </w:pPr>
      <w:r w:rsidRPr="00A96110">
        <w:t>The primary beneficiaries of the proposed band plan changes are PLMR licensees, including small governmental jurisdictions and small business entities, as well as small equipment manufacturers and small business associations that are certified to coordinate PLMR frequencies in the 800 MHz band.  The FCC notes that the proposed band plan changes do not require existing PLMR licensees, equipment manufacturers or certified frequency coordinators to make any changes unless they choose to take advantage of the proposed interstitial channels</w:t>
      </w:r>
      <w:r w:rsidR="007B6D5C" w:rsidRPr="00A96110">
        <w:t xml:space="preserve"> to make more intensive use of the 800 MHz Mid-Band</w:t>
      </w:r>
      <w:r w:rsidRPr="00A96110">
        <w:t xml:space="preserve">.  </w:t>
      </w:r>
      <w:r w:rsidR="00035ED9" w:rsidRPr="00A96110">
        <w:t>Thus, incumbent licensees, including small businesses and small governmental jurisdictions, will not be required to modify their systems and may continue to operate on their licensed spectrum.  PLMR entities seeking to apply for the proposed interstitial channels</w:t>
      </w:r>
      <w:r w:rsidR="00CA2D28" w:rsidRPr="00A96110">
        <w:t xml:space="preserve"> </w:t>
      </w:r>
      <w:r w:rsidRPr="00A96110">
        <w:t xml:space="preserve">may be required to obtain frequency coordination and submit a license application on FCC Form 601 in order to license, construct and operate base, control and mobile stations on the interstitial channels.  Additionally, frequency coordinators would be allowed to coordinate more PLMR spectrum provided they incorporate adjacent channel protection criteria in making frequency recommendations.  Further, equipment manufacturers may be allowed to exploit an expanded market for radio frequency equipment, provided they comply with the FCC’s technical </w:t>
      </w:r>
      <w:r w:rsidR="00B40A94" w:rsidRPr="00A96110">
        <w:t xml:space="preserve">and equipment certification </w:t>
      </w:r>
      <w:r w:rsidRPr="00A96110">
        <w:t xml:space="preserve">rules to avoid interference. </w:t>
      </w:r>
      <w:bookmarkStart w:id="237" w:name="_Toc314738919"/>
      <w:bookmarkStart w:id="238" w:name="_Toc314738876"/>
      <w:bookmarkStart w:id="239" w:name="_Toc314648950"/>
      <w:bookmarkStart w:id="240" w:name="_Toc314645319"/>
      <w:bookmarkStart w:id="241" w:name="_Toc310524897"/>
      <w:bookmarkStart w:id="242" w:name="_Toc310524629"/>
    </w:p>
    <w:p w14:paraId="2079BA33" w14:textId="77777777" w:rsidR="004F1C68" w:rsidRPr="00C6580C" w:rsidRDefault="004F1C68" w:rsidP="00CD7CAC">
      <w:pPr>
        <w:pStyle w:val="Heading2"/>
        <w:widowControl/>
        <w:ind w:firstLine="0"/>
        <w:rPr>
          <w:szCs w:val="22"/>
        </w:rPr>
      </w:pPr>
      <w:r w:rsidRPr="00C6580C">
        <w:rPr>
          <w:szCs w:val="22"/>
        </w:rPr>
        <w:t>Legal Basis</w:t>
      </w:r>
      <w:bookmarkEnd w:id="237"/>
      <w:bookmarkEnd w:id="238"/>
      <w:bookmarkEnd w:id="239"/>
      <w:bookmarkEnd w:id="240"/>
      <w:bookmarkEnd w:id="241"/>
      <w:bookmarkEnd w:id="242"/>
    </w:p>
    <w:p w14:paraId="78E90280" w14:textId="77777777" w:rsidR="004F1C68" w:rsidRPr="00A96110" w:rsidRDefault="004F1C68" w:rsidP="00CD7CAC">
      <w:pPr>
        <w:pStyle w:val="ParaNum"/>
        <w:widowControl/>
        <w:numPr>
          <w:ilvl w:val="0"/>
          <w:numId w:val="10"/>
        </w:numPr>
        <w:tabs>
          <w:tab w:val="num" w:pos="1430"/>
        </w:tabs>
        <w:snapToGrid w:val="0"/>
      </w:pPr>
      <w:r w:rsidRPr="00A96110">
        <w:t>The proposed action is taken under Sections 1, 2, 4(i), 4(j), 301, 302, 303, 308, 309, 316, 324, and 332 of the Communications Act of 1934, as amended, 47 U.S.C. §§ 151, 152, 154(i), 154(j), 301, 302a, 303, 308, 309, 316, 324, and 332.</w:t>
      </w:r>
      <w:r w:rsidRPr="00A96110">
        <w:rPr>
          <w:b/>
        </w:rPr>
        <w:tab/>
      </w:r>
    </w:p>
    <w:p w14:paraId="1E11EFBF" w14:textId="77777777" w:rsidR="004F1C68" w:rsidRPr="00C6580C" w:rsidRDefault="004F1C68" w:rsidP="00CD7CAC">
      <w:pPr>
        <w:pStyle w:val="Heading2"/>
        <w:widowControl/>
        <w:ind w:firstLine="0"/>
        <w:rPr>
          <w:szCs w:val="22"/>
        </w:rPr>
      </w:pPr>
      <w:bookmarkStart w:id="243" w:name="_Toc314738920"/>
      <w:bookmarkStart w:id="244" w:name="_Toc314738877"/>
      <w:bookmarkStart w:id="245" w:name="_Toc314648951"/>
      <w:bookmarkStart w:id="246" w:name="_Toc314645320"/>
      <w:bookmarkStart w:id="247" w:name="_Toc310524898"/>
      <w:bookmarkStart w:id="248" w:name="_Toc310524630"/>
      <w:bookmarkStart w:id="249" w:name="_Toc262465662"/>
      <w:r w:rsidRPr="00C6580C">
        <w:rPr>
          <w:szCs w:val="22"/>
        </w:rPr>
        <w:t>Description and Estimate of the Number of Small Entities To Which the Proposed Rules Will Apply</w:t>
      </w:r>
      <w:bookmarkEnd w:id="243"/>
      <w:bookmarkEnd w:id="244"/>
      <w:bookmarkEnd w:id="245"/>
      <w:bookmarkEnd w:id="246"/>
      <w:bookmarkEnd w:id="247"/>
      <w:bookmarkEnd w:id="248"/>
      <w:bookmarkEnd w:id="249"/>
    </w:p>
    <w:p w14:paraId="312746FB" w14:textId="77777777" w:rsidR="004F1C68" w:rsidRPr="00A96110" w:rsidRDefault="004F1C68" w:rsidP="00CD7CAC">
      <w:pPr>
        <w:pStyle w:val="ParaNum"/>
        <w:widowControl/>
        <w:numPr>
          <w:ilvl w:val="0"/>
          <w:numId w:val="10"/>
        </w:numPr>
        <w:tabs>
          <w:tab w:val="num" w:pos="1430"/>
        </w:tabs>
        <w:snapToGrid w:val="0"/>
      </w:pPr>
      <w:r w:rsidRPr="00A96110">
        <w:t>The RFA directs agencies to provide a description of and, where feasible, an estimate of the number of small entities that may be affected by the proposed rules, if adopted.</w:t>
      </w:r>
      <w:r w:rsidRPr="00C6580C">
        <w:rPr>
          <w:rStyle w:val="FootnoteReference"/>
          <w:szCs w:val="22"/>
        </w:rPr>
        <w:footnoteReference w:id="127"/>
      </w:r>
      <w:r w:rsidRPr="00A96110">
        <w:t xml:space="preserve">  The RFA generally defines the term “small entity” as having the same meaning as the terms “small business,” “small organization,” and “small governmental jurisdiction.”</w:t>
      </w:r>
      <w:r w:rsidRPr="00C6580C">
        <w:rPr>
          <w:rStyle w:val="FootnoteReference"/>
          <w:szCs w:val="22"/>
        </w:rPr>
        <w:footnoteReference w:id="128"/>
      </w:r>
      <w:r w:rsidRPr="00A96110">
        <w:t xml:space="preserve">  In addition, the term “small business” has the same meaning as the term “small business concern” under the Small Business Act.</w:t>
      </w:r>
      <w:r w:rsidRPr="00C6580C">
        <w:rPr>
          <w:rStyle w:val="FootnoteReference"/>
          <w:szCs w:val="22"/>
        </w:rPr>
        <w:footnoteReference w:id="129"/>
      </w:r>
      <w:r w:rsidRPr="00A96110">
        <w:t xml:space="preserve">  A small business concern is one which: (1) is independently owned and operated; (2) is not dominant in its field of operation; and (3) satisfies any additional criteria established by the SBA.</w:t>
      </w:r>
      <w:r w:rsidRPr="00C6580C">
        <w:rPr>
          <w:rStyle w:val="FootnoteReference"/>
          <w:szCs w:val="22"/>
        </w:rPr>
        <w:footnoteReference w:id="130"/>
      </w:r>
    </w:p>
    <w:p w14:paraId="4ADAE7CB" w14:textId="77777777" w:rsidR="004F1C68" w:rsidRPr="00A96110" w:rsidRDefault="004F1C68" w:rsidP="00CD7CAC">
      <w:pPr>
        <w:pStyle w:val="ParaNum"/>
        <w:widowControl/>
        <w:numPr>
          <w:ilvl w:val="0"/>
          <w:numId w:val="10"/>
        </w:numPr>
        <w:tabs>
          <w:tab w:val="num" w:pos="1430"/>
        </w:tabs>
        <w:snapToGrid w:val="0"/>
      </w:pPr>
      <w:r w:rsidRPr="00A96110">
        <w:rPr>
          <w:i/>
        </w:rPr>
        <w:t>Private Land Mobile Radio Licensees</w:t>
      </w:r>
      <w:r w:rsidRPr="00A96110">
        <w:t>.  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which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C6580C">
        <w:rPr>
          <w:rStyle w:val="FootnoteReference"/>
          <w:szCs w:val="22"/>
        </w:rPr>
        <w:footnoteReference w:id="131"/>
      </w:r>
      <w:r w:rsidRPr="00A96110">
        <w:t xml:space="preserve"> The appropriate size standard under SBA rules is for the category Wireless Telecommunications Carriers.  The size standard for that category is that a business is small if it has 1,500 or fewer employees.</w:t>
      </w:r>
      <w:r w:rsidRPr="00C6580C">
        <w:rPr>
          <w:rStyle w:val="FootnoteReference"/>
          <w:szCs w:val="22"/>
        </w:rPr>
        <w:footnoteReference w:id="132"/>
      </w:r>
      <w:r w:rsidRPr="00A96110">
        <w:t xml:space="preserve">    For this category, census data for 2007 show that there were 11,163 establishments that operated for the entire year.</w:t>
      </w:r>
      <w:r w:rsidRPr="00C6580C">
        <w:rPr>
          <w:rStyle w:val="FootnoteReference"/>
          <w:szCs w:val="22"/>
        </w:rPr>
        <w:footnoteReference w:id="133"/>
      </w:r>
      <w:r w:rsidRPr="00A96110">
        <w:t xml:space="preserve">  Of this total, 10,791 establishments had employment of 999 or fewer employees and 372 had employment of 1000 employees or more.</w:t>
      </w:r>
      <w:r w:rsidRPr="00C6580C">
        <w:rPr>
          <w:rStyle w:val="FootnoteReference"/>
          <w:szCs w:val="22"/>
        </w:rPr>
        <w:footnoteReference w:id="134"/>
      </w:r>
      <w:r w:rsidRPr="00A96110">
        <w:t xml:space="preserve"> Thus under this category and the associated small business size standard, the Commission estimates that the majority of wireless telecommunications carriers</w:t>
      </w:r>
      <w:r w:rsidR="00035ED9" w:rsidRPr="00A96110">
        <w:t xml:space="preserve"> </w:t>
      </w:r>
      <w:r w:rsidRPr="00A96110">
        <w:t>(except satellite) are small entities.</w:t>
      </w:r>
      <w:r w:rsidRPr="00C6580C">
        <w:rPr>
          <w:rStyle w:val="FootnoteReference"/>
          <w:szCs w:val="22"/>
        </w:rPr>
        <w:footnoteReference w:id="135"/>
      </w:r>
      <w:r w:rsidRPr="00A96110">
        <w:t xml:space="preserve"> </w:t>
      </w:r>
    </w:p>
    <w:p w14:paraId="4AFB4411" w14:textId="01626E65" w:rsidR="008B0DEB" w:rsidRPr="00A96110" w:rsidRDefault="008B0DEB" w:rsidP="00CD7CAC">
      <w:pPr>
        <w:pStyle w:val="ParaNum"/>
        <w:widowControl/>
        <w:numPr>
          <w:ilvl w:val="0"/>
          <w:numId w:val="10"/>
        </w:numPr>
        <w:tabs>
          <w:tab w:val="clear" w:pos="1080"/>
          <w:tab w:val="num" w:pos="1430"/>
        </w:tabs>
      </w:pPr>
      <w:r w:rsidRPr="008B0DEB">
        <w:rPr>
          <w:b/>
        </w:rPr>
        <w:t xml:space="preserve">Small Businesses, Small Organizations, and Small Governmental Jurisdictions.  </w:t>
      </w:r>
      <w:r w:rsidRPr="00826C5C">
        <w:t>Our action may, over time, affect small entities that are not easily categorized at present.  We therefore describe here, at the outset, three comprehensive, statutory small entity size standards</w:t>
      </w:r>
      <w:r>
        <w:t xml:space="preserve"> that encompass entities that could be directly affected by the proposals under consideration</w:t>
      </w:r>
      <w:r w:rsidRPr="00826C5C">
        <w:t>.</w:t>
      </w:r>
      <w:r w:rsidRPr="00826C5C">
        <w:rPr>
          <w:szCs w:val="22"/>
          <w:vertAlign w:val="superscript"/>
        </w:rPr>
        <w:footnoteReference w:id="136"/>
      </w:r>
      <w:r>
        <w:t xml:space="preserve">  As of 2009, small businesses represented 99.9% of the 27.5 million </w:t>
      </w:r>
      <w:r w:rsidRPr="008B0DEB">
        <w:rPr>
          <w:szCs w:val="22"/>
        </w:rPr>
        <w:t>businesses in the United States, according to the SBA.</w:t>
      </w:r>
      <w:r w:rsidRPr="00826C5C">
        <w:rPr>
          <w:szCs w:val="22"/>
          <w:vertAlign w:val="superscript"/>
        </w:rPr>
        <w:footnoteReference w:id="137"/>
      </w:r>
      <w:r w:rsidRPr="008B0DEB">
        <w:rPr>
          <w:szCs w:val="22"/>
        </w:rPr>
        <w:t xml:space="preserve">  </w:t>
      </w:r>
      <w:r>
        <w:t xml:space="preserve">Additionally, a </w:t>
      </w:r>
      <w:r w:rsidRPr="00826C5C">
        <w:t>“small organization” is generally “any not-for-profit enterprise which is independently owne</w:t>
      </w:r>
      <w:r w:rsidRPr="008B0DEB">
        <w:rPr>
          <w:iCs/>
        </w:rPr>
        <w:t>d and operated and is not dominant in its field.”</w:t>
      </w:r>
      <w:r w:rsidRPr="00826C5C">
        <w:rPr>
          <w:iCs/>
          <w:szCs w:val="22"/>
          <w:vertAlign w:val="superscript"/>
        </w:rPr>
        <w:footnoteReference w:id="138"/>
      </w:r>
      <w:r w:rsidRPr="008B0DEB">
        <w:rPr>
          <w:iCs/>
        </w:rPr>
        <w:t xml:space="preserve">  Nationwide, as of 2007, there were approximately 1,621,315 small organizations.</w:t>
      </w:r>
      <w:r w:rsidRPr="00826C5C">
        <w:rPr>
          <w:iCs/>
          <w:szCs w:val="22"/>
          <w:vertAlign w:val="superscript"/>
        </w:rPr>
        <w:footnoteReference w:id="139"/>
      </w:r>
      <w:r w:rsidRPr="008B0DEB">
        <w:rPr>
          <w:iCs/>
        </w:rPr>
        <w:t xml:space="preserve">  Finally, the term “small governmenta</w:t>
      </w:r>
      <w:r w:rsidRPr="00826C5C">
        <w:t>l</w:t>
      </w:r>
      <w:r w:rsidRPr="008B0DEB">
        <w:rPr>
          <w:iCs/>
        </w:rPr>
        <w:t xml:space="preserve"> jurisdiction” is defined generally as “governments of cities, counties</w:t>
      </w:r>
      <w:r w:rsidRPr="00A96110">
        <w:t>, towns, townships, villages, school districts, or special districts, with a population of less than fifty thousand.”</w:t>
      </w:r>
      <w:r w:rsidRPr="001B1A29">
        <w:footnoteReference w:id="140"/>
      </w:r>
      <w:r w:rsidRPr="00A96110">
        <w:t xml:space="preserve">  Census Bureau data for </w:t>
      </w:r>
      <w:r w:rsidRPr="008B0DEB">
        <w:rPr>
          <w:iCs/>
        </w:rPr>
        <w:t>2007</w:t>
      </w:r>
      <w:r w:rsidRPr="00A96110">
        <w:t xml:space="preserve"> indicate that there were 89,</w:t>
      </w:r>
      <w:r>
        <w:t>527</w:t>
      </w:r>
      <w:r w:rsidRPr="00A96110">
        <w:t xml:space="preserve"> governmental jurisdictions in the United States.</w:t>
      </w:r>
      <w:r w:rsidRPr="001B1A29">
        <w:footnoteReference w:id="141"/>
      </w:r>
      <w:r w:rsidRPr="00A96110">
        <w:t xml:space="preserve">  We estimate that, of this total, as many as 88,</w:t>
      </w:r>
      <w:r>
        <w:t>761</w:t>
      </w:r>
      <w:r w:rsidRPr="00A96110">
        <w:t xml:space="preserve"> entities may qualify as “small governmental jurisdictions.”</w:t>
      </w:r>
      <w:r w:rsidRPr="001B1A29">
        <w:footnoteReference w:id="142"/>
      </w:r>
      <w:r w:rsidRPr="00A96110">
        <w:t xml:space="preserve">  Thus, we estimate that most governmental jurisdictions are small.</w:t>
      </w:r>
    </w:p>
    <w:p w14:paraId="246F1A8B" w14:textId="77777777" w:rsidR="004F1C68" w:rsidRPr="00A96110" w:rsidRDefault="004F1C68" w:rsidP="00CD7CAC">
      <w:pPr>
        <w:pStyle w:val="ParaNum"/>
        <w:widowControl/>
        <w:numPr>
          <w:ilvl w:val="0"/>
          <w:numId w:val="10"/>
        </w:numPr>
        <w:snapToGrid w:val="0"/>
      </w:pPr>
      <w:r w:rsidRPr="00A96110" w:rsidDel="00232A7B">
        <w:t xml:space="preserve"> </w:t>
      </w:r>
      <w:r w:rsidRPr="00A96110">
        <w:rPr>
          <w:i/>
        </w:rPr>
        <w:t>Radio and Television Broadcasting and Wireless Communications Equipment Manufacturing.</w:t>
      </w:r>
      <w:r w:rsidRPr="00A96110">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A96110">
        <w:rPr>
          <w:rStyle w:val="FootnoteTextCharChar2"/>
          <w:vertAlign w:val="superscript"/>
        </w:rPr>
        <w:footnoteReference w:id="143"/>
      </w:r>
      <w:r w:rsidRPr="00A96110">
        <w:t xml:space="preserve">  The SBA has developed a small business size standard for Radio and Television Broadcasting and Wireless Communications Equipment Manufacturing</w:t>
      </w:r>
      <w:bookmarkStart w:id="250" w:name="SR;7360"/>
      <w:bookmarkEnd w:id="250"/>
      <w:r w:rsidRPr="00A96110">
        <w:t>, which is: all such firms having 750 or fewer employees.</w:t>
      </w:r>
      <w:bookmarkStart w:id="251" w:name="FN[FN9]"/>
      <w:bookmarkEnd w:id="251"/>
      <w:r w:rsidRPr="00A96110">
        <w:t xml:space="preserve">  According to Census Bureau data for 2007, there were a total of 939 establishments in this category that operated for part or all of the entire year.  Of this total, 912 had less than 500 employees and 17 had more than 1000 employees.</w:t>
      </w:r>
      <w:r w:rsidRPr="00C6580C">
        <w:rPr>
          <w:rStyle w:val="FootnoteReference"/>
          <w:szCs w:val="22"/>
        </w:rPr>
        <w:footnoteReference w:id="144"/>
      </w:r>
      <w:r w:rsidRPr="00A96110">
        <w:t xml:space="preserve">   Thus, under that size standard, the majority of firms can be considered small.</w:t>
      </w:r>
    </w:p>
    <w:p w14:paraId="5559FC38" w14:textId="77777777" w:rsidR="004F1C68" w:rsidRPr="00A96110" w:rsidRDefault="004F1C68" w:rsidP="00CD7CAC">
      <w:pPr>
        <w:pStyle w:val="ParaNum"/>
        <w:widowControl/>
        <w:numPr>
          <w:ilvl w:val="0"/>
          <w:numId w:val="10"/>
        </w:numPr>
        <w:snapToGrid w:val="0"/>
      </w:pPr>
      <w:r w:rsidRPr="00A96110">
        <w:rPr>
          <w:i/>
          <w:color w:val="000000"/>
        </w:rPr>
        <w:t>Frequency Coordinators</w:t>
      </w:r>
      <w:r w:rsidRPr="00A96110">
        <w:rPr>
          <w:color w:val="000000"/>
        </w:rPr>
        <w:t>.  Neither the Commission nor the SBA have developed a definition of small entities specifically applicable to frequency coordinators.  Therefore, the Commission concluded that the closest applicable definition under SBA rules is Business Associations (</w:t>
      </w:r>
      <w:r w:rsidR="00B34B1E" w:rsidRPr="00A96110">
        <w:rPr>
          <w:color w:val="000000"/>
        </w:rPr>
        <w:t>NAICS Code 813910</w:t>
      </w:r>
      <w:r w:rsidRPr="00A96110">
        <w:rPr>
          <w:color w:val="000000"/>
        </w:rPr>
        <w:t>).</w:t>
      </w:r>
      <w:r>
        <w:rPr>
          <w:rStyle w:val="FootnoteReference"/>
          <w:szCs w:val="22"/>
        </w:rPr>
        <w:footnoteReference w:id="145"/>
      </w:r>
      <w:r w:rsidRPr="00A96110">
        <w:rPr>
          <w:color w:val="000000"/>
        </w:rPr>
        <w:t xml:space="preserve">  The SBA defines a small business association as an entity with $</w:t>
      </w:r>
      <w:r w:rsidR="00B34B1E" w:rsidRPr="00A96110">
        <w:rPr>
          <w:color w:val="000000"/>
        </w:rPr>
        <w:t>7</w:t>
      </w:r>
      <w:r w:rsidR="00CB77E6" w:rsidRPr="00A96110">
        <w:rPr>
          <w:color w:val="000000"/>
        </w:rPr>
        <w:t xml:space="preserve"> </w:t>
      </w:r>
      <w:r w:rsidRPr="00A96110">
        <w:rPr>
          <w:color w:val="000000"/>
        </w:rPr>
        <w:t>million or less in annual receipts.  There are 1</w:t>
      </w:r>
      <w:r w:rsidR="00035ED9" w:rsidRPr="00A96110">
        <w:rPr>
          <w:color w:val="000000"/>
        </w:rPr>
        <w:t>8</w:t>
      </w:r>
      <w:r w:rsidRPr="00A96110">
        <w:rPr>
          <w:color w:val="000000"/>
        </w:rPr>
        <w:t xml:space="preserve"> entities certified to perform frequency coordination functions under Part 90 of our Rules.  However, the Commission is unable to ascertain how many of these frequency coordinators are classified as small entities under the SBA definition.</w:t>
      </w:r>
      <w:r w:rsidR="00CB77E6">
        <w:rPr>
          <w:rStyle w:val="FootnoteReference"/>
          <w:szCs w:val="22"/>
        </w:rPr>
        <w:footnoteReference w:id="146"/>
      </w:r>
      <w:r w:rsidRPr="00A96110">
        <w:rPr>
          <w:color w:val="000000"/>
        </w:rPr>
        <w:t xml:space="preserve"> </w:t>
      </w:r>
      <w:r w:rsidR="00CB77E6" w:rsidRPr="00A96110">
        <w:rPr>
          <w:color w:val="000000"/>
        </w:rPr>
        <w:t xml:space="preserve"> </w:t>
      </w:r>
      <w:r w:rsidRPr="00A96110">
        <w:rPr>
          <w:color w:val="000000"/>
        </w:rPr>
        <w:t>The Census Bureau indicates that 97% of business associations have annual receipts of $</w:t>
      </w:r>
      <w:r w:rsidR="00C056C4" w:rsidRPr="00A96110">
        <w:rPr>
          <w:color w:val="000000"/>
        </w:rPr>
        <w:t>7</w:t>
      </w:r>
      <w:r w:rsidRPr="00A96110">
        <w:rPr>
          <w:color w:val="000000"/>
        </w:rPr>
        <w:t xml:space="preserve"> million or less and would be classified as small entities. The Census Bureau category is very broad, and does not include specific figures for firms that are engaged in frequency coordination. Therefore, for the purposes of this IRFA, the Commission estimates that almost all of the 1</w:t>
      </w:r>
      <w:r w:rsidR="00035ED9" w:rsidRPr="00A96110">
        <w:rPr>
          <w:color w:val="000000"/>
        </w:rPr>
        <w:t>8</w:t>
      </w:r>
      <w:r w:rsidRPr="00A96110">
        <w:rPr>
          <w:color w:val="000000"/>
        </w:rPr>
        <w:t xml:space="preserve"> </w:t>
      </w:r>
      <w:r w:rsidR="00B34B1E" w:rsidRPr="00A96110">
        <w:rPr>
          <w:color w:val="000000"/>
        </w:rPr>
        <w:t>FCC-certified</w:t>
      </w:r>
      <w:r w:rsidRPr="00A96110">
        <w:rPr>
          <w:color w:val="000000"/>
        </w:rPr>
        <w:t xml:space="preserve"> frequency coordinators are small as defined by the SBA.</w:t>
      </w:r>
    </w:p>
    <w:p w14:paraId="782DD33F" w14:textId="77777777" w:rsidR="004F1C68" w:rsidRPr="00C6580C" w:rsidRDefault="004F1C68" w:rsidP="00CD7CAC">
      <w:pPr>
        <w:pStyle w:val="Heading2"/>
        <w:widowControl/>
        <w:ind w:firstLine="0"/>
        <w:rPr>
          <w:szCs w:val="22"/>
        </w:rPr>
      </w:pPr>
      <w:r w:rsidRPr="00C6580C">
        <w:rPr>
          <w:szCs w:val="22"/>
        </w:rPr>
        <w:t xml:space="preserve"> Description</w:t>
      </w:r>
      <w:r w:rsidRPr="00C6580C">
        <w:rPr>
          <w:bCs/>
          <w:szCs w:val="22"/>
        </w:rPr>
        <w:t xml:space="preserve"> of Projected Reporting, </w:t>
      </w:r>
      <w:r w:rsidRPr="00C6580C">
        <w:rPr>
          <w:szCs w:val="22"/>
        </w:rPr>
        <w:t>Recordkeeping</w:t>
      </w:r>
      <w:r w:rsidRPr="00C6580C">
        <w:rPr>
          <w:bCs/>
          <w:szCs w:val="22"/>
        </w:rPr>
        <w:t xml:space="preserve">, and Other </w:t>
      </w:r>
      <w:r w:rsidRPr="00C6580C">
        <w:rPr>
          <w:szCs w:val="22"/>
        </w:rPr>
        <w:t>Compliance</w:t>
      </w:r>
      <w:r w:rsidRPr="00C6580C">
        <w:rPr>
          <w:bCs/>
          <w:szCs w:val="22"/>
        </w:rPr>
        <w:t xml:space="preserve"> </w:t>
      </w:r>
      <w:r w:rsidRPr="00C6580C">
        <w:rPr>
          <w:szCs w:val="22"/>
        </w:rPr>
        <w:t>Requirements</w:t>
      </w:r>
    </w:p>
    <w:p w14:paraId="110E0F1A" w14:textId="77777777" w:rsidR="004F1C68" w:rsidRPr="00A96110" w:rsidRDefault="004F1C68" w:rsidP="00CD7CAC">
      <w:pPr>
        <w:pStyle w:val="ParaNum"/>
        <w:widowControl/>
        <w:tabs>
          <w:tab w:val="clear" w:pos="1440"/>
          <w:tab w:val="num" w:pos="1430"/>
        </w:tabs>
      </w:pPr>
      <w:r w:rsidRPr="00A96110">
        <w:t xml:space="preserve">The proposed rules provide regulatory flexibility to all 800 MHz PLMR licensees, including small governmental jurisdictions and small businesses.  The proposed rules would minimize the filing burden and paperwork burden for all PLMR licensees seeking to license 12.5 kHz full power channels, for which applicants would under the current rules have to request a waiver. </w:t>
      </w:r>
    </w:p>
    <w:p w14:paraId="63660B9F" w14:textId="77777777" w:rsidR="004F1C68" w:rsidRPr="00A96110" w:rsidRDefault="004F1C68" w:rsidP="00CD7CAC">
      <w:pPr>
        <w:pStyle w:val="ParaNum"/>
        <w:widowControl/>
      </w:pPr>
      <w:r w:rsidRPr="00A96110">
        <w:t xml:space="preserve">PLMR entities seeking licenses in the 800 MHz band are required to obtain coordination from certain frequency coordinators as specified in Sections 90.20 and 90.35 of the Commission’s rules, 47 C.F.R. § 90.20 and 90.35.  OMB has already approved the information collection requirements, including frequency coordination requirement associated with Form 601.  </w:t>
      </w:r>
      <w:r w:rsidRPr="00A96110">
        <w:rPr>
          <w:i/>
        </w:rPr>
        <w:t>See</w:t>
      </w:r>
      <w:r w:rsidRPr="00A96110">
        <w:t xml:space="preserve"> ICR Reference Number: 201311-3060-018, OMB Control No. 3060-0798.  We do not propose any substantive or material changes to the wording of this existing information collection.  Instead, if we amend to rules to allow PLMR licensees to license the proposed interstitial channels, then the number of respondents subject to the existing information collections would increase.    </w:t>
      </w:r>
    </w:p>
    <w:p w14:paraId="5CD8AEEC" w14:textId="77777777" w:rsidR="00035ED9" w:rsidRPr="00A96110" w:rsidRDefault="00035ED9" w:rsidP="00CD7CAC">
      <w:pPr>
        <w:pStyle w:val="ParaNum"/>
        <w:widowControl/>
      </w:pPr>
      <w:r w:rsidRPr="00A96110">
        <w:t xml:space="preserve">Frequency coordinators </w:t>
      </w:r>
      <w:r w:rsidRPr="00A96110">
        <w:rPr>
          <w:color w:val="000000"/>
          <w:shd w:val="clear" w:color="auto" w:fill="FFFFFF"/>
        </w:rPr>
        <w:t xml:space="preserve">have been certified by the Commission to recommend the most appropriate frequencies for applicants in the designated Part 90 radio services.  Section 90.175 requires coordinators to provide a statement recommending the most appropriate frequency.  In the below 512 MHz band, frequency coordinators are required to analyze </w:t>
      </w:r>
      <w:r w:rsidRPr="00A96110">
        <w:t xml:space="preserve">adjacent channel interference. However, in the 800 MHz band, coordinators generally consider co-channel mileage separation requirements.  If we amended the rules to permit frequency coordination of interstitial channels then the existing frequency coordination process for the 800 MHz PLMR spectrum would be modified.  We anticipate that the burden and cost levels would be comparable to the existing contour overlap analysis </w:t>
      </w:r>
      <w:r w:rsidR="00301E51" w:rsidRPr="00A96110">
        <w:t xml:space="preserve">in the </w:t>
      </w:r>
      <w:r w:rsidRPr="00A96110">
        <w:t>below 512</w:t>
      </w:r>
      <w:r w:rsidR="00301E51" w:rsidRPr="00A96110">
        <w:t xml:space="preserve"> MHz band</w:t>
      </w:r>
      <w:r w:rsidRPr="00A96110">
        <w:t xml:space="preserve">, which OMB approved.  </w:t>
      </w:r>
      <w:r w:rsidRPr="00A96110">
        <w:rPr>
          <w:i/>
        </w:rPr>
        <w:t>See</w:t>
      </w:r>
      <w:r w:rsidRPr="00A96110">
        <w:t xml:space="preserve"> ICR Reference No: 201311-3060-015, OMB Control No: 3060-0984.    </w:t>
      </w:r>
    </w:p>
    <w:p w14:paraId="7FBB7D9B" w14:textId="77777777" w:rsidR="00035ED9" w:rsidRPr="00A96110" w:rsidRDefault="00035ED9" w:rsidP="00CD7CAC">
      <w:pPr>
        <w:pStyle w:val="ParaNum"/>
        <w:widowControl/>
      </w:pPr>
      <w:r w:rsidRPr="00A96110">
        <w:t>Under the proposed contour overlap approach, PLMR applicants may be allowed to provide letters of concurrence indicating that the applicant and each adjacent-channel incumbent agree to accept any interference resulting from the reduced adjacent channel separation between systems, an approach that would be similar to the consensual short-spacing approach.  Currently PLMR applicants may provide letters of concurrence indicating that the applicant and each co-channel licensee agree to accept any interference resulting from the reduced co-channel separation between systems (</w:t>
      </w:r>
      <w:r w:rsidRPr="00A96110">
        <w:rPr>
          <w:i/>
        </w:rPr>
        <w:t>i.e.</w:t>
      </w:r>
      <w:r w:rsidRPr="00A96110">
        <w:t xml:space="preserve"> 47 C.F.R. § 90.621(e)(5)).  We envision that the estimated burden and cost levels would be comparable to the existing consensual short spacing rules.  </w:t>
      </w:r>
      <w:r w:rsidRPr="00A96110">
        <w:rPr>
          <w:i/>
        </w:rPr>
        <w:t>See</w:t>
      </w:r>
      <w:r w:rsidRPr="00A96110">
        <w:t xml:space="preserve"> ICR Reference No: 201205-3060-017, OMB Control No: 3060-0441.      </w:t>
      </w:r>
    </w:p>
    <w:p w14:paraId="56CE9666" w14:textId="77777777" w:rsidR="004F1C68" w:rsidRPr="00A96110" w:rsidRDefault="00035ED9" w:rsidP="00CD7CAC">
      <w:pPr>
        <w:pStyle w:val="ParaNum"/>
        <w:widowControl/>
      </w:pPr>
      <w:r w:rsidRPr="00A96110">
        <w:t xml:space="preserve">If we amend to rules to allow manufacturers to comply with Emission Mask D and 12.5 kHz/11.25 kHz channel spacing/authorized bandwidth, then manufacturers may be required to update their equipment certifications.  OMB has already approved the information collection requirements associated with updating equipment authorizations. </w:t>
      </w:r>
      <w:r w:rsidR="004F1C68" w:rsidRPr="00A96110">
        <w:t>OMB has already approved the information collection requirements associated with updating equipment authorizations.  The estimated burden and cost levels for equipment certification are described in more detail in the supporting statement for ICR Reference No: 201404-3060-029, OMB Control No. 3060-0057.  We do not propose any substantive or material changes to the wording of this existing information collection.  Instead, if we amend to rules to allow manufacturers to comply with Emission Mask D</w:t>
      </w:r>
      <w:r w:rsidR="001C7447" w:rsidRPr="00A96110">
        <w:t xml:space="preserve"> and 12.5 kHz/11.25 kHz channel spacing/authorized bandwidth</w:t>
      </w:r>
      <w:r w:rsidR="004F1C68" w:rsidRPr="00A96110">
        <w:t xml:space="preserve">, then the number of respondents subject to the existing information collections </w:t>
      </w:r>
      <w:r w:rsidR="001C7447" w:rsidRPr="00A96110">
        <w:t>may</w:t>
      </w:r>
      <w:r w:rsidR="004F1C68" w:rsidRPr="00A96110">
        <w:t xml:space="preserve"> increase.</w:t>
      </w:r>
    </w:p>
    <w:p w14:paraId="4E6CA0E5" w14:textId="77777777" w:rsidR="004F1C68" w:rsidRPr="00A96110" w:rsidRDefault="004F1C68" w:rsidP="00CD7CAC">
      <w:pPr>
        <w:pStyle w:val="ParaNum"/>
        <w:widowControl/>
        <w:tabs>
          <w:tab w:val="clear" w:pos="1440"/>
          <w:tab w:val="num" w:pos="1430"/>
        </w:tabs>
      </w:pPr>
      <w:r w:rsidRPr="00A96110">
        <w:rPr>
          <w:kern w:val="0"/>
        </w:rPr>
        <w:t>The Commission believes that applying the proposed information collections will promote spectrum efficiency, development of new technologies and mitigate adjacent channel interference.  The Commission does not believe that the costs and/or administrative burdens associated with the proposed rules will unduly burden small entities. The rule revisions the Commission proposes should benefit small governmental jurisdictions, small businesses, small equipment manufacturers and small business associations by giving them more flexibility, and more options for gaining access to PLMR spectrum.  As noted above, the FCC invites comment on these new or modified information collection requireme</w:t>
      </w:r>
      <w:r w:rsidR="00035ED9" w:rsidRPr="00A96110">
        <w:rPr>
          <w:kern w:val="0"/>
        </w:rPr>
        <w:t>n</w:t>
      </w:r>
      <w:r w:rsidRPr="00A96110">
        <w:rPr>
          <w:kern w:val="0"/>
        </w:rPr>
        <w:t>ts.</w:t>
      </w:r>
    </w:p>
    <w:p w14:paraId="386542DD" w14:textId="77777777" w:rsidR="004F1C68" w:rsidRPr="00C6580C" w:rsidRDefault="004F1C68" w:rsidP="00CD7CAC">
      <w:pPr>
        <w:pStyle w:val="Heading2"/>
        <w:widowControl/>
        <w:ind w:firstLine="0"/>
        <w:rPr>
          <w:szCs w:val="22"/>
        </w:rPr>
      </w:pPr>
      <w:r w:rsidRPr="00C6580C">
        <w:rPr>
          <w:szCs w:val="22"/>
        </w:rPr>
        <w:t>Steps Taken To Minimize Significant Economic Impact on Small Entities, and Significant Alternatives Considered</w:t>
      </w:r>
    </w:p>
    <w:p w14:paraId="1FC2F1AD" w14:textId="77777777" w:rsidR="004F1C68" w:rsidRPr="00A96110" w:rsidRDefault="004F1C68" w:rsidP="00CD7CAC">
      <w:pPr>
        <w:pStyle w:val="ParaNum"/>
        <w:widowControl/>
        <w:numPr>
          <w:ilvl w:val="0"/>
          <w:numId w:val="10"/>
        </w:numPr>
        <w:tabs>
          <w:tab w:val="num" w:pos="1430"/>
        </w:tabs>
        <w:snapToGrid w:val="0"/>
      </w:pPr>
      <w:r w:rsidRPr="00A9611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C6580C">
        <w:rPr>
          <w:rStyle w:val="FootnoteReference"/>
          <w:szCs w:val="22"/>
        </w:rPr>
        <w:footnoteReference w:id="147"/>
      </w:r>
    </w:p>
    <w:p w14:paraId="14BE4813" w14:textId="77777777" w:rsidR="004F1C68" w:rsidRPr="00A96110" w:rsidRDefault="007B6D5C" w:rsidP="00CD7CAC">
      <w:pPr>
        <w:pStyle w:val="ParaNum"/>
        <w:widowControl/>
        <w:numPr>
          <w:ilvl w:val="0"/>
          <w:numId w:val="10"/>
        </w:numPr>
        <w:tabs>
          <w:tab w:val="num" w:pos="1430"/>
        </w:tabs>
        <w:snapToGrid w:val="0"/>
      </w:pPr>
      <w:r w:rsidRPr="00A96110">
        <w:t xml:space="preserve">The </w:t>
      </w:r>
      <w:r w:rsidRPr="00A96110">
        <w:rPr>
          <w:i/>
        </w:rPr>
        <w:t>NPRM</w:t>
      </w:r>
      <w:r w:rsidRPr="00A96110">
        <w:t xml:space="preserve"> seeks comment on a proposal to make more intensive use of the 800 MHz Mid-Band.  Denying the proposal would preclude PLMR licensees and applicants, including small governmental jurisdictions and small businesses from making more effective use of the band and thus potentially increase costs on those entities.  </w:t>
      </w:r>
      <w:r w:rsidR="004F1C68" w:rsidRPr="00A96110">
        <w:t xml:space="preserve">The </w:t>
      </w:r>
      <w:r w:rsidR="004F1C68" w:rsidRPr="00A96110">
        <w:rPr>
          <w:i/>
        </w:rPr>
        <w:t>NPRM</w:t>
      </w:r>
      <w:r w:rsidR="004F1C68" w:rsidRPr="00A96110">
        <w:t xml:space="preserve"> is deregulatory in nature and seeks comment on appropriate interference and eligibility requirements on all affected entities, including small entities.  In recognition of the resources available to small entities, and in the interest of simplified compliance obligations, the </w:t>
      </w:r>
      <w:r w:rsidR="004F1C68" w:rsidRPr="00A96110">
        <w:rPr>
          <w:i/>
        </w:rPr>
        <w:t>NPRM</w:t>
      </w:r>
      <w:r w:rsidR="004F1C68" w:rsidRPr="00A96110">
        <w:t xml:space="preserve"> does not mandate a transition to 12.5 kHz technology.  Specifically, the </w:t>
      </w:r>
      <w:r w:rsidR="004F1C68" w:rsidRPr="00A96110">
        <w:rPr>
          <w:i/>
        </w:rPr>
        <w:t>NPRM</w:t>
      </w:r>
      <w:r w:rsidR="004F1C68" w:rsidRPr="00A96110">
        <w:t xml:space="preserve"> proposes to allow 800 MHz PLMR licensees the flexibility to increase capacity by reducing channel size and bandwidth as long as they meet interference protection criteria and eligibility requirements.  While we strive to provide flexibility to small entities, because we believe that protection of public safety licensees and PLMR entities is essential and in the public interest, we do not propose any exemption for small entities.  We invite comment on less burdensome alternatives.  </w:t>
      </w:r>
    </w:p>
    <w:p w14:paraId="62DFCCA7" w14:textId="77777777" w:rsidR="004F1C68" w:rsidRPr="00C6580C" w:rsidRDefault="004F1C68" w:rsidP="00CD7CAC">
      <w:pPr>
        <w:widowControl/>
        <w:ind w:firstLine="720"/>
        <w:rPr>
          <w:b/>
          <w:szCs w:val="22"/>
        </w:rPr>
      </w:pPr>
      <w:bookmarkStart w:id="252" w:name="_Toc314738923"/>
      <w:bookmarkStart w:id="253" w:name="_Toc314738880"/>
      <w:bookmarkStart w:id="254" w:name="_Toc314648954"/>
      <w:bookmarkStart w:id="255" w:name="_Toc314645323"/>
      <w:bookmarkStart w:id="256" w:name="_Toc310524901"/>
      <w:bookmarkStart w:id="257" w:name="_Toc310524633"/>
      <w:bookmarkStart w:id="258" w:name="_Toc262465665"/>
      <w:r w:rsidRPr="00C6580C">
        <w:rPr>
          <w:b/>
          <w:szCs w:val="22"/>
        </w:rPr>
        <w:t>F.</w:t>
      </w:r>
      <w:r w:rsidRPr="00C6580C">
        <w:rPr>
          <w:b/>
          <w:szCs w:val="22"/>
        </w:rPr>
        <w:tab/>
        <w:t>Federal Rules that May Duplicate, Overlap, or Conflict With the Proposed Rules</w:t>
      </w:r>
      <w:bookmarkEnd w:id="252"/>
      <w:bookmarkEnd w:id="253"/>
      <w:bookmarkEnd w:id="254"/>
      <w:bookmarkEnd w:id="255"/>
      <w:bookmarkEnd w:id="256"/>
      <w:bookmarkEnd w:id="257"/>
      <w:bookmarkEnd w:id="258"/>
    </w:p>
    <w:p w14:paraId="3EBB1502" w14:textId="77777777" w:rsidR="004F1C68" w:rsidRPr="00A96110" w:rsidRDefault="004F1C68" w:rsidP="00CD7CAC">
      <w:pPr>
        <w:pStyle w:val="ParaNum"/>
        <w:widowControl/>
        <w:numPr>
          <w:ilvl w:val="0"/>
          <w:numId w:val="0"/>
        </w:numPr>
        <w:tabs>
          <w:tab w:val="left" w:pos="720"/>
        </w:tabs>
        <w:spacing w:after="0"/>
      </w:pPr>
    </w:p>
    <w:p w14:paraId="2A21CE9C" w14:textId="77777777" w:rsidR="004F1C68" w:rsidRPr="00A96110" w:rsidRDefault="004F1C68" w:rsidP="00CD7CAC">
      <w:pPr>
        <w:pStyle w:val="ParaNum"/>
        <w:widowControl/>
        <w:numPr>
          <w:ilvl w:val="0"/>
          <w:numId w:val="0"/>
        </w:numPr>
        <w:ind w:firstLine="720"/>
      </w:pPr>
      <w:r w:rsidRPr="00A96110">
        <w:t xml:space="preserve">None.     </w:t>
      </w:r>
      <w:bookmarkStart w:id="259" w:name="FN[FN8]"/>
      <w:bookmarkStart w:id="260" w:name="FN[FN12]"/>
      <w:bookmarkStart w:id="261" w:name="FN[FN13]"/>
      <w:bookmarkStart w:id="262" w:name="sp_999_13"/>
      <w:bookmarkStart w:id="263" w:name="SDU_13"/>
      <w:bookmarkEnd w:id="259"/>
      <w:bookmarkEnd w:id="260"/>
      <w:bookmarkEnd w:id="261"/>
      <w:bookmarkEnd w:id="262"/>
      <w:bookmarkEnd w:id="263"/>
    </w:p>
    <w:p w14:paraId="6E000B30" w14:textId="77777777" w:rsidR="004F1C68" w:rsidRPr="00A96110" w:rsidRDefault="004F1C68" w:rsidP="00CD7CAC">
      <w:pPr>
        <w:pStyle w:val="ParaNum"/>
        <w:widowControl/>
        <w:numPr>
          <w:ilvl w:val="0"/>
          <w:numId w:val="0"/>
        </w:numPr>
        <w:tabs>
          <w:tab w:val="left" w:pos="720"/>
        </w:tabs>
        <w:rPr>
          <w:b/>
        </w:rPr>
      </w:pPr>
    </w:p>
    <w:p w14:paraId="12BA2C72" w14:textId="77777777" w:rsidR="00843FDA" w:rsidRPr="00C6580C" w:rsidRDefault="004F1C68" w:rsidP="00CD7CAC">
      <w:pPr>
        <w:pStyle w:val="Heading1"/>
        <w:widowControl/>
        <w:numPr>
          <w:ilvl w:val="0"/>
          <w:numId w:val="0"/>
        </w:numPr>
        <w:jc w:val="center"/>
        <w:rPr>
          <w:szCs w:val="22"/>
        </w:rPr>
      </w:pPr>
      <w:bookmarkStart w:id="264" w:name="_Toc312311900"/>
      <w:bookmarkStart w:id="265" w:name="_Toc315359423"/>
      <w:r>
        <w:rPr>
          <w:szCs w:val="22"/>
        </w:rPr>
        <w:br w:type="page"/>
      </w:r>
      <w:r w:rsidR="00843FDA" w:rsidRPr="00C6580C">
        <w:rPr>
          <w:szCs w:val="22"/>
        </w:rPr>
        <w:t xml:space="preserve">APPENDIX </w:t>
      </w:r>
      <w:bookmarkEnd w:id="264"/>
      <w:bookmarkEnd w:id="265"/>
      <w:r w:rsidR="00843FDA" w:rsidRPr="00C6580C">
        <w:rPr>
          <w:szCs w:val="22"/>
        </w:rPr>
        <w:t>B</w:t>
      </w:r>
    </w:p>
    <w:p w14:paraId="0B47DC92" w14:textId="77777777" w:rsidR="00843FDA" w:rsidRPr="00C6580C" w:rsidRDefault="00843FDA" w:rsidP="00CD7CAC">
      <w:pPr>
        <w:widowControl/>
        <w:jc w:val="center"/>
        <w:rPr>
          <w:b/>
          <w:szCs w:val="22"/>
        </w:rPr>
      </w:pPr>
      <w:r w:rsidRPr="00C6580C">
        <w:rPr>
          <w:b/>
          <w:szCs w:val="22"/>
        </w:rPr>
        <w:t>Proposed Rules</w:t>
      </w:r>
    </w:p>
    <w:p w14:paraId="5EE587A2" w14:textId="77777777" w:rsidR="00843FDA" w:rsidRPr="00C6580C" w:rsidRDefault="00843FDA" w:rsidP="00CD7CAC">
      <w:pPr>
        <w:widowControl/>
        <w:jc w:val="center"/>
        <w:rPr>
          <w:b/>
          <w:szCs w:val="22"/>
        </w:rPr>
      </w:pPr>
    </w:p>
    <w:p w14:paraId="26912D57" w14:textId="77777777" w:rsidR="00843FDA" w:rsidRPr="00C6580C" w:rsidRDefault="00843FDA" w:rsidP="00CD7CAC">
      <w:pPr>
        <w:widowControl/>
        <w:rPr>
          <w:szCs w:val="22"/>
        </w:rPr>
      </w:pPr>
      <w:r w:rsidRPr="00C6580C">
        <w:rPr>
          <w:szCs w:val="22"/>
        </w:rPr>
        <w:t>The Federal Communications Commission proposes to amend Part 90 of Title 47 of the Code of Federal Regulations (CFR) as set forth below:</w:t>
      </w:r>
    </w:p>
    <w:p w14:paraId="2A853421" w14:textId="77777777" w:rsidR="00843FDA" w:rsidRPr="00C6580C" w:rsidRDefault="00843FDA" w:rsidP="00CD7CAC">
      <w:pPr>
        <w:widowControl/>
        <w:rPr>
          <w:szCs w:val="22"/>
        </w:rPr>
      </w:pPr>
    </w:p>
    <w:p w14:paraId="532DA171" w14:textId="77777777" w:rsidR="00843FDA" w:rsidRPr="00C6580C" w:rsidRDefault="00843FDA" w:rsidP="00CD7CAC">
      <w:pPr>
        <w:widowControl/>
        <w:rPr>
          <w:szCs w:val="22"/>
        </w:rPr>
      </w:pPr>
    </w:p>
    <w:p w14:paraId="18974285" w14:textId="77777777" w:rsidR="00843FDA" w:rsidRPr="00C6580C" w:rsidRDefault="00843FDA" w:rsidP="00CD7CAC">
      <w:pPr>
        <w:widowControl/>
        <w:rPr>
          <w:szCs w:val="22"/>
        </w:rPr>
      </w:pPr>
      <w:r w:rsidRPr="00C6580C">
        <w:rPr>
          <w:szCs w:val="22"/>
        </w:rPr>
        <w:t>PART 90—Private Land Mobile Radio Service</w:t>
      </w:r>
    </w:p>
    <w:p w14:paraId="7DDFB351" w14:textId="77777777" w:rsidR="00843FDA" w:rsidRPr="00C6580C" w:rsidRDefault="00843FDA" w:rsidP="00CD7CAC">
      <w:pPr>
        <w:widowControl/>
        <w:rPr>
          <w:szCs w:val="22"/>
        </w:rPr>
      </w:pPr>
    </w:p>
    <w:p w14:paraId="09EF23D0" w14:textId="77777777" w:rsidR="00843FDA" w:rsidRPr="00C6580C" w:rsidRDefault="00843FDA" w:rsidP="00CD7CAC">
      <w:pPr>
        <w:widowControl/>
        <w:rPr>
          <w:szCs w:val="22"/>
        </w:rPr>
      </w:pPr>
      <w:r w:rsidRPr="00C6580C">
        <w:rPr>
          <w:szCs w:val="22"/>
        </w:rPr>
        <w:t>1.  The authority citation for Part 90 continues to read as follows:</w:t>
      </w:r>
    </w:p>
    <w:p w14:paraId="363D9FEE" w14:textId="77777777" w:rsidR="00843FDA" w:rsidRPr="00C6580C" w:rsidRDefault="00843FDA" w:rsidP="00CD7CAC">
      <w:pPr>
        <w:widowControl/>
        <w:rPr>
          <w:szCs w:val="22"/>
        </w:rPr>
      </w:pPr>
      <w:r w:rsidRPr="00C6580C">
        <w:rPr>
          <w:szCs w:val="22"/>
        </w:rPr>
        <w:tab/>
      </w:r>
    </w:p>
    <w:p w14:paraId="752D3E3B" w14:textId="77777777" w:rsidR="00843FDA" w:rsidRPr="00C6580C" w:rsidRDefault="00843FDA" w:rsidP="00CD7CAC">
      <w:pPr>
        <w:widowControl/>
        <w:ind w:left="720"/>
        <w:rPr>
          <w:szCs w:val="22"/>
        </w:rPr>
      </w:pPr>
      <w:r w:rsidRPr="00C6580C">
        <w:rPr>
          <w:szCs w:val="22"/>
        </w:rPr>
        <w:t>AUTHORITY:  Sections 4(i), 11, 303(g), 303(r), and 332(c)(7) of the Communications Act of 1934, as amended, 47 U.S.C. 154(i), 161, 303(g), 303(r), 332(c)(7).</w:t>
      </w:r>
    </w:p>
    <w:p w14:paraId="63B9564B" w14:textId="77777777" w:rsidR="00843FDA" w:rsidRPr="00A96110" w:rsidRDefault="00843FDA" w:rsidP="00CD7CAC">
      <w:pPr>
        <w:pStyle w:val="ParaNum"/>
        <w:widowControl/>
        <w:numPr>
          <w:ilvl w:val="0"/>
          <w:numId w:val="0"/>
        </w:numPr>
      </w:pPr>
    </w:p>
    <w:p w14:paraId="583054A2" w14:textId="77777777" w:rsidR="00843FDA" w:rsidRPr="00A96110" w:rsidRDefault="00843FDA" w:rsidP="00CD7CAC">
      <w:pPr>
        <w:pStyle w:val="ParaNum"/>
        <w:widowControl/>
        <w:numPr>
          <w:ilvl w:val="0"/>
          <w:numId w:val="0"/>
        </w:numPr>
      </w:pPr>
      <w:r w:rsidRPr="00A96110">
        <w:t>2.  Section 90.209 is amended by amending the table in paragraph (b)(5) and adding paragraph (b)(8) as follows:</w:t>
      </w:r>
    </w:p>
    <w:p w14:paraId="512BBF70" w14:textId="77777777" w:rsidR="00843FDA" w:rsidRPr="00A96110" w:rsidRDefault="00843FDA" w:rsidP="00CD7CAC">
      <w:pPr>
        <w:pStyle w:val="ParaNum"/>
        <w:widowControl/>
        <w:numPr>
          <w:ilvl w:val="0"/>
          <w:numId w:val="0"/>
        </w:numPr>
        <w:tabs>
          <w:tab w:val="left" w:pos="720"/>
        </w:tabs>
      </w:pPr>
      <w:r w:rsidRPr="00A96110">
        <w:tab/>
        <w:t>§ 90.209 Bandwidth limitations.</w:t>
      </w:r>
    </w:p>
    <w:p w14:paraId="165C1DCE" w14:textId="77777777" w:rsidR="00843FDA" w:rsidRPr="00A96110" w:rsidRDefault="00843FDA" w:rsidP="00CD7CAC">
      <w:pPr>
        <w:pStyle w:val="ParaNum"/>
        <w:widowControl/>
        <w:numPr>
          <w:ilvl w:val="0"/>
          <w:numId w:val="0"/>
        </w:numPr>
        <w:tabs>
          <w:tab w:val="left" w:pos="720"/>
        </w:tabs>
      </w:pPr>
      <w:r w:rsidRPr="00A96110">
        <w:tab/>
        <w:t>* * * * *</w:t>
      </w:r>
    </w:p>
    <w:p w14:paraId="66F033D0" w14:textId="77777777" w:rsidR="00843FDA" w:rsidRPr="00A96110" w:rsidRDefault="00843FDA" w:rsidP="00CD7CAC">
      <w:pPr>
        <w:pStyle w:val="ParaNum"/>
        <w:widowControl/>
        <w:numPr>
          <w:ilvl w:val="0"/>
          <w:numId w:val="0"/>
        </w:numPr>
        <w:tabs>
          <w:tab w:val="left" w:pos="720"/>
        </w:tabs>
      </w:pPr>
      <w:r w:rsidRPr="00A96110">
        <w:tab/>
        <w:t>(b) * * *</w:t>
      </w:r>
      <w:r w:rsidRPr="00A96110">
        <w:tab/>
      </w:r>
    </w:p>
    <w:p w14:paraId="28009372" w14:textId="77777777" w:rsidR="00843FDA" w:rsidRPr="00A96110" w:rsidRDefault="00843FDA" w:rsidP="00CD7CAC">
      <w:pPr>
        <w:pStyle w:val="ParaNum"/>
        <w:widowControl/>
        <w:numPr>
          <w:ilvl w:val="0"/>
          <w:numId w:val="0"/>
        </w:numPr>
        <w:tabs>
          <w:tab w:val="left" w:pos="720"/>
        </w:tabs>
      </w:pPr>
      <w:r w:rsidRPr="00A96110">
        <w:tab/>
        <w:t>(5) ***</w:t>
      </w:r>
    </w:p>
    <w:p w14:paraId="392550EF" w14:textId="77777777" w:rsidR="00843FDA" w:rsidRPr="00C6580C" w:rsidRDefault="00843FDA" w:rsidP="00CD7CAC">
      <w:pPr>
        <w:pStyle w:val="gpotbltitle"/>
        <w:rPr>
          <w:sz w:val="22"/>
          <w:szCs w:val="22"/>
        </w:rPr>
      </w:pPr>
      <w:r w:rsidRPr="00C6580C">
        <w:rPr>
          <w:sz w:val="22"/>
          <w:szCs w:val="22"/>
        </w:rPr>
        <w:t>Standard Channel Spacing/Bandwidth</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2933"/>
        <w:gridCol w:w="2853"/>
        <w:gridCol w:w="3604"/>
      </w:tblGrid>
      <w:tr w:rsidR="00843FDA" w:rsidRPr="00C6580C" w14:paraId="77882590"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679EB677" w14:textId="77777777" w:rsidR="00843FDA" w:rsidRPr="00C6580C" w:rsidRDefault="00843FDA" w:rsidP="00CD7CAC">
            <w:pPr>
              <w:widowControl/>
              <w:jc w:val="center"/>
              <w:rPr>
                <w:b/>
                <w:bCs/>
                <w:szCs w:val="22"/>
              </w:rPr>
            </w:pPr>
            <w:r w:rsidRPr="00C6580C">
              <w:rPr>
                <w:b/>
                <w:bCs/>
                <w:szCs w:val="22"/>
              </w:rPr>
              <w:t>Frequency band (MHz)</w:t>
            </w:r>
          </w:p>
        </w:tc>
        <w:tc>
          <w:tcPr>
            <w:tcW w:w="0" w:type="auto"/>
            <w:tcBorders>
              <w:top w:val="single" w:sz="4" w:space="0" w:color="000000"/>
              <w:left w:val="single" w:sz="4" w:space="0" w:color="000000"/>
              <w:bottom w:val="single" w:sz="4" w:space="0" w:color="000000"/>
              <w:right w:val="single" w:sz="4" w:space="0" w:color="000000"/>
            </w:tcBorders>
            <w:vAlign w:val="bottom"/>
          </w:tcPr>
          <w:p w14:paraId="4ECAE4AC" w14:textId="77777777" w:rsidR="00843FDA" w:rsidRPr="00C6580C" w:rsidRDefault="00843FDA" w:rsidP="00CD7CAC">
            <w:pPr>
              <w:widowControl/>
              <w:jc w:val="center"/>
              <w:rPr>
                <w:b/>
                <w:bCs/>
                <w:szCs w:val="22"/>
              </w:rPr>
            </w:pPr>
            <w:r w:rsidRPr="00C6580C">
              <w:rPr>
                <w:b/>
                <w:bCs/>
                <w:szCs w:val="22"/>
              </w:rPr>
              <w:t>Channel spacing (kHz)</w:t>
            </w:r>
          </w:p>
        </w:tc>
        <w:tc>
          <w:tcPr>
            <w:tcW w:w="0" w:type="auto"/>
            <w:tcBorders>
              <w:top w:val="single" w:sz="4" w:space="0" w:color="000000"/>
              <w:left w:val="single" w:sz="4" w:space="0" w:color="000000"/>
              <w:bottom w:val="single" w:sz="4" w:space="0" w:color="000000"/>
              <w:right w:val="single" w:sz="4" w:space="0" w:color="000000"/>
            </w:tcBorders>
            <w:vAlign w:val="bottom"/>
          </w:tcPr>
          <w:p w14:paraId="58B37479" w14:textId="77777777" w:rsidR="00843FDA" w:rsidRPr="00C6580C" w:rsidRDefault="00843FDA" w:rsidP="00CD7CAC">
            <w:pPr>
              <w:widowControl/>
              <w:jc w:val="center"/>
              <w:rPr>
                <w:b/>
                <w:bCs/>
                <w:szCs w:val="22"/>
              </w:rPr>
            </w:pPr>
            <w:r w:rsidRPr="00C6580C">
              <w:rPr>
                <w:b/>
                <w:bCs/>
                <w:szCs w:val="22"/>
              </w:rPr>
              <w:t>Authorized bandwidth (kHz)</w:t>
            </w:r>
          </w:p>
        </w:tc>
      </w:tr>
      <w:tr w:rsidR="00843FDA" w:rsidRPr="00C6580C" w14:paraId="6768898C" w14:textId="77777777">
        <w:tc>
          <w:tcPr>
            <w:tcW w:w="0" w:type="auto"/>
            <w:tcBorders>
              <w:top w:val="single" w:sz="4" w:space="0" w:color="000000"/>
              <w:left w:val="single" w:sz="4" w:space="0" w:color="000000"/>
              <w:bottom w:val="single" w:sz="4" w:space="0" w:color="000000"/>
              <w:right w:val="single" w:sz="4" w:space="0" w:color="000000"/>
            </w:tcBorders>
          </w:tcPr>
          <w:p w14:paraId="3D15FCD3" w14:textId="77777777" w:rsidR="00843FDA" w:rsidRPr="00C6580C" w:rsidRDefault="00843FDA" w:rsidP="00CD7CAC">
            <w:pPr>
              <w:widowControl/>
              <w:jc w:val="center"/>
              <w:rPr>
                <w:szCs w:val="22"/>
              </w:rPr>
            </w:pPr>
            <w:r w:rsidRPr="00C6580C">
              <w:rPr>
                <w:szCs w:val="22"/>
              </w:rPr>
              <w:t>***</w:t>
            </w:r>
          </w:p>
        </w:tc>
        <w:tc>
          <w:tcPr>
            <w:tcW w:w="0" w:type="auto"/>
            <w:tcBorders>
              <w:top w:val="single" w:sz="4" w:space="0" w:color="000000"/>
              <w:left w:val="single" w:sz="4" w:space="0" w:color="000000"/>
              <w:bottom w:val="single" w:sz="4" w:space="0" w:color="000000"/>
              <w:right w:val="single" w:sz="4" w:space="0" w:color="000000"/>
            </w:tcBorders>
          </w:tcPr>
          <w:p w14:paraId="0F90F9B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7C83A11" w14:textId="77777777" w:rsidR="00843FDA" w:rsidRPr="00C6580C" w:rsidRDefault="00843FDA" w:rsidP="00CD7CAC">
            <w:pPr>
              <w:widowControl/>
              <w:jc w:val="center"/>
              <w:rPr>
                <w:szCs w:val="22"/>
              </w:rPr>
            </w:pPr>
            <w:r w:rsidRPr="00C6580C">
              <w:rPr>
                <w:kern w:val="0"/>
                <w:szCs w:val="22"/>
              </w:rPr>
              <w:t>* * *</w:t>
            </w:r>
          </w:p>
        </w:tc>
      </w:tr>
      <w:tr w:rsidR="00843FDA" w:rsidRPr="00C6580C" w14:paraId="066CC250" w14:textId="77777777">
        <w:tc>
          <w:tcPr>
            <w:tcW w:w="0" w:type="auto"/>
            <w:tcBorders>
              <w:top w:val="single" w:sz="4" w:space="0" w:color="000000"/>
              <w:left w:val="single" w:sz="4" w:space="0" w:color="000000"/>
              <w:bottom w:val="single" w:sz="4" w:space="0" w:color="000000"/>
              <w:right w:val="single" w:sz="4" w:space="0" w:color="000000"/>
            </w:tcBorders>
          </w:tcPr>
          <w:p w14:paraId="3071A4DD" w14:textId="77777777" w:rsidR="00843FDA" w:rsidRPr="00C6580C" w:rsidRDefault="00843FDA" w:rsidP="00CD7CAC">
            <w:pPr>
              <w:widowControl/>
              <w:jc w:val="center"/>
              <w:rPr>
                <w:szCs w:val="22"/>
              </w:rPr>
            </w:pPr>
            <w:r w:rsidRPr="00C6580C">
              <w:rPr>
                <w:szCs w:val="22"/>
              </w:rPr>
              <w:t>809–817/854–869</w:t>
            </w:r>
          </w:p>
        </w:tc>
        <w:tc>
          <w:tcPr>
            <w:tcW w:w="0" w:type="auto"/>
            <w:tcBorders>
              <w:top w:val="single" w:sz="4" w:space="0" w:color="000000"/>
              <w:left w:val="single" w:sz="4" w:space="0" w:color="000000"/>
              <w:bottom w:val="single" w:sz="4" w:space="0" w:color="000000"/>
              <w:right w:val="single" w:sz="4" w:space="0" w:color="000000"/>
            </w:tcBorders>
          </w:tcPr>
          <w:p w14:paraId="12CE866F" w14:textId="77777777" w:rsidR="00843FDA" w:rsidRPr="00C6580C" w:rsidRDefault="00843FDA" w:rsidP="00CD7CAC">
            <w:pPr>
              <w:widowControl/>
              <w:jc w:val="center"/>
              <w:rPr>
                <w:szCs w:val="22"/>
              </w:rPr>
            </w:pPr>
            <w:r w:rsidRPr="00C6580C">
              <w:rPr>
                <w:szCs w:val="22"/>
              </w:rPr>
              <w:t>25/12.5</w:t>
            </w:r>
          </w:p>
        </w:tc>
        <w:tc>
          <w:tcPr>
            <w:tcW w:w="0" w:type="auto"/>
            <w:tcBorders>
              <w:top w:val="single" w:sz="4" w:space="0" w:color="000000"/>
              <w:left w:val="single" w:sz="4" w:space="0" w:color="000000"/>
              <w:bottom w:val="single" w:sz="4" w:space="0" w:color="000000"/>
              <w:right w:val="single" w:sz="4" w:space="0" w:color="000000"/>
            </w:tcBorders>
          </w:tcPr>
          <w:p w14:paraId="18080321" w14:textId="77777777" w:rsidR="00843FDA" w:rsidRPr="00C6580C" w:rsidRDefault="00843FDA" w:rsidP="00CD7CAC">
            <w:pPr>
              <w:widowControl/>
              <w:jc w:val="center"/>
              <w:rPr>
                <w:szCs w:val="22"/>
              </w:rPr>
            </w:pPr>
            <w:r w:rsidRPr="00C6580C">
              <w:rPr>
                <w:szCs w:val="22"/>
                <w:vertAlign w:val="superscript"/>
              </w:rPr>
              <w:t>6</w:t>
            </w:r>
            <w:r w:rsidRPr="00C6580C">
              <w:rPr>
                <w:szCs w:val="22"/>
              </w:rPr>
              <w:t>20/11.25</w:t>
            </w:r>
          </w:p>
        </w:tc>
      </w:tr>
      <w:tr w:rsidR="00843FDA" w:rsidRPr="00C6580C" w14:paraId="164FABA2" w14:textId="77777777">
        <w:tc>
          <w:tcPr>
            <w:tcW w:w="0" w:type="auto"/>
            <w:tcBorders>
              <w:top w:val="single" w:sz="4" w:space="0" w:color="000000"/>
              <w:left w:val="single" w:sz="4" w:space="0" w:color="000000"/>
              <w:bottom w:val="single" w:sz="4" w:space="0" w:color="000000"/>
              <w:right w:val="single" w:sz="4" w:space="0" w:color="000000"/>
            </w:tcBorders>
          </w:tcPr>
          <w:p w14:paraId="156728D1" w14:textId="77777777" w:rsidR="00843FDA" w:rsidRPr="00C6580C" w:rsidRDefault="00843FDA" w:rsidP="00CD7CAC">
            <w:pPr>
              <w:widowControl/>
              <w:jc w:val="center"/>
              <w:rPr>
                <w:szCs w:val="22"/>
              </w:rPr>
            </w:pPr>
            <w:r w:rsidRPr="00C6580C">
              <w:rPr>
                <w:szCs w:val="22"/>
              </w:rPr>
              <w:t>***</w:t>
            </w:r>
          </w:p>
        </w:tc>
        <w:tc>
          <w:tcPr>
            <w:tcW w:w="0" w:type="auto"/>
            <w:tcBorders>
              <w:top w:val="single" w:sz="4" w:space="0" w:color="000000"/>
              <w:left w:val="single" w:sz="4" w:space="0" w:color="000000"/>
              <w:bottom w:val="single" w:sz="4" w:space="0" w:color="000000"/>
              <w:right w:val="single" w:sz="4" w:space="0" w:color="000000"/>
            </w:tcBorders>
          </w:tcPr>
          <w:p w14:paraId="3195A4C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4DF51BD" w14:textId="77777777" w:rsidR="00843FDA" w:rsidRPr="00C6580C" w:rsidRDefault="00843FDA" w:rsidP="00CD7CAC">
            <w:pPr>
              <w:widowControl/>
              <w:jc w:val="center"/>
              <w:rPr>
                <w:szCs w:val="22"/>
              </w:rPr>
            </w:pPr>
            <w:r w:rsidRPr="00C6580C">
              <w:rPr>
                <w:kern w:val="0"/>
                <w:szCs w:val="22"/>
              </w:rPr>
              <w:t>* * *</w:t>
            </w:r>
          </w:p>
        </w:tc>
      </w:tr>
    </w:tbl>
    <w:p w14:paraId="097835E1" w14:textId="77777777" w:rsidR="00843FDA" w:rsidRPr="00C6580C" w:rsidRDefault="00843FDA" w:rsidP="00CD7CAC">
      <w:pPr>
        <w:widowControl/>
        <w:rPr>
          <w:szCs w:val="22"/>
        </w:rPr>
      </w:pPr>
    </w:p>
    <w:p w14:paraId="63B7ABEA" w14:textId="77777777" w:rsidR="00843FDA" w:rsidRPr="00C6580C" w:rsidRDefault="00843FDA" w:rsidP="00CD7CAC">
      <w:pPr>
        <w:widowControl/>
        <w:ind w:firstLine="720"/>
        <w:rPr>
          <w:szCs w:val="22"/>
        </w:rPr>
      </w:pPr>
      <w:r w:rsidRPr="00C6580C">
        <w:rPr>
          <w:szCs w:val="22"/>
        </w:rPr>
        <w:t>***</w:t>
      </w:r>
    </w:p>
    <w:p w14:paraId="184B0C2C" w14:textId="77777777" w:rsidR="00843FDA" w:rsidRPr="00C6580C" w:rsidRDefault="00843FDA" w:rsidP="00CD7CAC">
      <w:pPr>
        <w:widowControl/>
        <w:autoSpaceDE w:val="0"/>
        <w:autoSpaceDN w:val="0"/>
        <w:adjustRightInd w:val="0"/>
        <w:rPr>
          <w:color w:val="010101"/>
          <w:kern w:val="0"/>
          <w:szCs w:val="22"/>
        </w:rPr>
      </w:pPr>
      <w:r w:rsidRPr="00C6580C">
        <w:rPr>
          <w:szCs w:val="22"/>
          <w:vertAlign w:val="superscript"/>
        </w:rPr>
        <w:t>6</w:t>
      </w:r>
      <w:r w:rsidRPr="00C6580C">
        <w:rPr>
          <w:szCs w:val="22"/>
        </w:rPr>
        <w:t xml:space="preserve"> </w:t>
      </w:r>
      <w:r w:rsidRPr="00C6580C">
        <w:rPr>
          <w:color w:val="010101"/>
          <w:kern w:val="0"/>
          <w:szCs w:val="22"/>
        </w:rPr>
        <w:t>Operations using equipment designed to operate with a 25 kHz channel bandwidth may be authorized up to a 22 kHz bandwidth if the equipment meets the Adjacent Channel Power limits of § 90.221.</w:t>
      </w:r>
      <w:r w:rsidR="00186175">
        <w:rPr>
          <w:color w:val="010101"/>
          <w:kern w:val="0"/>
          <w:szCs w:val="22"/>
        </w:rPr>
        <w:t xml:space="preserve">  </w:t>
      </w:r>
      <w:r w:rsidRPr="00C6580C">
        <w:rPr>
          <w:szCs w:val="22"/>
        </w:rPr>
        <w:t>Operations using equipment designed to operate with a 12.5 kHz channel bandwidth will be authorized a 11.25 kHz bandwidth.</w:t>
      </w:r>
    </w:p>
    <w:p w14:paraId="121EB77F" w14:textId="77777777" w:rsidR="00843FDA" w:rsidRPr="00A96110" w:rsidRDefault="00843FDA" w:rsidP="00CD7CAC">
      <w:pPr>
        <w:pStyle w:val="ParaNum"/>
        <w:widowControl/>
        <w:numPr>
          <w:ilvl w:val="0"/>
          <w:numId w:val="0"/>
        </w:numPr>
        <w:tabs>
          <w:tab w:val="left" w:pos="720"/>
        </w:tabs>
        <w:ind w:left="270" w:firstLine="720"/>
      </w:pPr>
    </w:p>
    <w:p w14:paraId="3F724FDD" w14:textId="77777777" w:rsidR="00843FDA" w:rsidRPr="00A96110" w:rsidRDefault="00843FDA" w:rsidP="00CD7CAC">
      <w:pPr>
        <w:pStyle w:val="ParaNum"/>
        <w:widowControl/>
        <w:numPr>
          <w:ilvl w:val="0"/>
          <w:numId w:val="0"/>
        </w:numPr>
        <w:tabs>
          <w:tab w:val="left" w:pos="720"/>
        </w:tabs>
        <w:ind w:left="720"/>
      </w:pPr>
      <w:r w:rsidRPr="00A96110">
        <w:t>***</w:t>
      </w:r>
    </w:p>
    <w:p w14:paraId="1F6EAB20" w14:textId="77777777" w:rsidR="00843FDA" w:rsidRPr="00A96110" w:rsidRDefault="00843FDA" w:rsidP="00CD7CAC">
      <w:pPr>
        <w:pStyle w:val="ParaNum"/>
        <w:widowControl/>
        <w:numPr>
          <w:ilvl w:val="0"/>
          <w:numId w:val="0"/>
        </w:numPr>
        <w:tabs>
          <w:tab w:val="left" w:pos="720"/>
        </w:tabs>
        <w:ind w:left="720"/>
      </w:pPr>
      <w:r w:rsidRPr="00A96110">
        <w:t>(8)  Private Land Mobile Radio (PLMR) site-based licensees in frequencies 809-817/854-862 MHz may reduce the standard channel spacing and authorized bandwidth listed in paragraph (b)(5) of this section in any National Public Safety Planning Advisory Committee Region upon issuance of Public Notice announcing the availability of interstitial channels.  Licensees authorized to reduce the standard channel spacing and authorized bandwidth under this paragraph must meet the applicable co-channel and adjacent channel interference criteria and eligibility requirements prior to initiating service in the 809-817/854-862 MHz.</w:t>
      </w:r>
    </w:p>
    <w:p w14:paraId="73A7BC4B" w14:textId="77777777" w:rsidR="00843FDA" w:rsidRPr="00A96110" w:rsidRDefault="00843FDA" w:rsidP="00CD7CAC">
      <w:pPr>
        <w:pStyle w:val="ParaNum"/>
        <w:widowControl/>
        <w:numPr>
          <w:ilvl w:val="0"/>
          <w:numId w:val="0"/>
        </w:numPr>
      </w:pPr>
      <w:r w:rsidRPr="00A96110">
        <w:t>3.  Section 90.210 is revised by amending the introductory paragraph to revise footnote 5 to the table to read as follows:</w:t>
      </w:r>
    </w:p>
    <w:p w14:paraId="04EF8901" w14:textId="77777777" w:rsidR="00843FDA" w:rsidRPr="00C6580C" w:rsidRDefault="00843FDA" w:rsidP="00CD7CAC">
      <w:pPr>
        <w:pStyle w:val="RuleNum"/>
        <w:numPr>
          <w:ilvl w:val="0"/>
          <w:numId w:val="0"/>
        </w:numPr>
        <w:tabs>
          <w:tab w:val="clear" w:pos="990"/>
        </w:tabs>
        <w:jc w:val="left"/>
        <w:rPr>
          <w:rFonts w:ascii="Times New Roman" w:hAnsi="Times New Roman"/>
          <w:szCs w:val="22"/>
        </w:rPr>
      </w:pPr>
    </w:p>
    <w:p w14:paraId="7467934C" w14:textId="77777777" w:rsidR="00843FDA" w:rsidRPr="00C6580C" w:rsidRDefault="00843FDA" w:rsidP="00CD7CAC">
      <w:pPr>
        <w:pStyle w:val="RuleNum"/>
        <w:numPr>
          <w:ilvl w:val="0"/>
          <w:numId w:val="0"/>
        </w:numPr>
        <w:tabs>
          <w:tab w:val="clear" w:pos="270"/>
          <w:tab w:val="clear" w:pos="990"/>
          <w:tab w:val="left" w:pos="770"/>
        </w:tabs>
        <w:jc w:val="left"/>
        <w:rPr>
          <w:szCs w:val="22"/>
        </w:rPr>
      </w:pPr>
      <w:r w:rsidRPr="00C6580C">
        <w:rPr>
          <w:b/>
          <w:szCs w:val="22"/>
        </w:rPr>
        <w:tab/>
      </w:r>
      <w:r w:rsidRPr="00C6580C">
        <w:rPr>
          <w:szCs w:val="22"/>
        </w:rPr>
        <w:t>§ 90.210 Emission masks.</w:t>
      </w:r>
    </w:p>
    <w:p w14:paraId="448AC3B2" w14:textId="77777777" w:rsidR="00843FDA" w:rsidRPr="00C6580C" w:rsidRDefault="00843FDA" w:rsidP="00CD7CAC">
      <w:pPr>
        <w:pStyle w:val="NormalWeb"/>
        <w:ind w:firstLine="720"/>
        <w:rPr>
          <w:sz w:val="22"/>
          <w:szCs w:val="22"/>
        </w:rPr>
      </w:pPr>
      <w:r w:rsidRPr="00C6580C">
        <w:rPr>
          <w:sz w:val="22"/>
          <w:szCs w:val="22"/>
        </w:rPr>
        <w:t xml:space="preserve">* * * </w:t>
      </w:r>
    </w:p>
    <w:p w14:paraId="1A824B86" w14:textId="77777777" w:rsidR="00843FDA" w:rsidRPr="00C6580C" w:rsidRDefault="00843FDA" w:rsidP="00CD7CAC">
      <w:pPr>
        <w:widowControl/>
        <w:spacing w:before="100" w:beforeAutospacing="1" w:after="100" w:afterAutospacing="1"/>
        <w:jc w:val="center"/>
        <w:rPr>
          <w:rFonts w:cs="Arial"/>
          <w:kern w:val="0"/>
          <w:szCs w:val="22"/>
        </w:rPr>
      </w:pPr>
      <w:r w:rsidRPr="00C6580C">
        <w:rPr>
          <w:rFonts w:cs="Arial"/>
          <w:kern w:val="0"/>
          <w:szCs w:val="22"/>
        </w:rPr>
        <w:t>APPLICABLE EMISSION MASKS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464"/>
        <w:gridCol w:w="2772"/>
        <w:gridCol w:w="3212"/>
      </w:tblGrid>
      <w:tr w:rsidR="00843FDA" w:rsidRPr="00C6580C" w14:paraId="4785E291" w14:textId="77777777">
        <w:trPr>
          <w:tblCellSpacing w:w="7" w:type="dxa"/>
        </w:trPr>
        <w:tc>
          <w:tcPr>
            <w:tcW w:w="0" w:type="auto"/>
            <w:tcBorders>
              <w:top w:val="outset" w:sz="6" w:space="0" w:color="auto"/>
              <w:bottom w:val="outset" w:sz="6" w:space="0" w:color="auto"/>
              <w:right w:val="outset" w:sz="6" w:space="0" w:color="auto"/>
            </w:tcBorders>
            <w:vAlign w:val="center"/>
          </w:tcPr>
          <w:p w14:paraId="13980E94" w14:textId="77777777" w:rsidR="00843FDA" w:rsidRPr="00C6580C" w:rsidRDefault="00843FDA" w:rsidP="00CD7CAC">
            <w:pPr>
              <w:widowControl/>
              <w:jc w:val="center"/>
              <w:rPr>
                <w:rFonts w:ascii="Times New Roman Bold" w:hAnsi="Times New Roman Bold"/>
                <w:b/>
                <w:bCs/>
                <w:kern w:val="0"/>
                <w:szCs w:val="22"/>
              </w:rPr>
            </w:pPr>
            <w:r w:rsidRPr="00C6580C">
              <w:rPr>
                <w:rFonts w:ascii="Times New Roman Bold" w:hAnsi="Times New Roman Bold"/>
                <w:b/>
                <w:bCs/>
                <w:kern w:val="0"/>
                <w:szCs w:val="22"/>
              </w:rPr>
              <w:t>Frequency band</w:t>
            </w:r>
            <w:r w:rsidRPr="00C6580C">
              <w:rPr>
                <w:rFonts w:ascii="Times New Roman Bold" w:hAnsi="Times New Roman Bold"/>
                <w:b/>
                <w:bCs/>
                <w:kern w:val="0"/>
                <w:szCs w:val="22"/>
              </w:rPr>
              <w:br/>
              <w:t>(MHz)</w:t>
            </w:r>
          </w:p>
        </w:tc>
        <w:tc>
          <w:tcPr>
            <w:tcW w:w="0" w:type="auto"/>
            <w:tcBorders>
              <w:top w:val="outset" w:sz="6" w:space="0" w:color="auto"/>
              <w:left w:val="outset" w:sz="6" w:space="0" w:color="auto"/>
              <w:bottom w:val="outset" w:sz="6" w:space="0" w:color="auto"/>
              <w:right w:val="outset" w:sz="6" w:space="0" w:color="auto"/>
            </w:tcBorders>
            <w:vAlign w:val="center"/>
          </w:tcPr>
          <w:p w14:paraId="4B73EE66" w14:textId="77777777" w:rsidR="00843FDA" w:rsidRPr="00C6580C" w:rsidRDefault="00843FDA" w:rsidP="00CD7CAC">
            <w:pPr>
              <w:widowControl/>
              <w:jc w:val="center"/>
              <w:rPr>
                <w:rFonts w:ascii="Times New Roman Bold" w:hAnsi="Times New Roman Bold"/>
                <w:b/>
                <w:bCs/>
                <w:kern w:val="0"/>
                <w:szCs w:val="22"/>
              </w:rPr>
            </w:pPr>
            <w:r w:rsidRPr="00C6580C">
              <w:rPr>
                <w:rFonts w:ascii="Times New Roman Bold" w:hAnsi="Times New Roman Bold"/>
                <w:b/>
                <w:bCs/>
                <w:kern w:val="0"/>
                <w:szCs w:val="22"/>
              </w:rPr>
              <w:t>Mask for equip-</w:t>
            </w:r>
          </w:p>
          <w:p w14:paraId="398DA675" w14:textId="77777777" w:rsidR="00843FDA" w:rsidRPr="00C6580C" w:rsidRDefault="00843FDA" w:rsidP="00CD7CAC">
            <w:pPr>
              <w:widowControl/>
              <w:jc w:val="center"/>
              <w:rPr>
                <w:rFonts w:ascii="Times New Roman Bold" w:hAnsi="Times New Roman Bold"/>
                <w:b/>
                <w:bCs/>
                <w:kern w:val="0"/>
                <w:szCs w:val="22"/>
              </w:rPr>
            </w:pPr>
            <w:r w:rsidRPr="00C6580C">
              <w:rPr>
                <w:rFonts w:ascii="Times New Roman Bold" w:hAnsi="Times New Roman Bold"/>
                <w:b/>
                <w:bCs/>
                <w:kern w:val="0"/>
                <w:szCs w:val="22"/>
              </w:rPr>
              <w:t>ment with Audio</w:t>
            </w:r>
          </w:p>
          <w:p w14:paraId="0A37A375" w14:textId="77777777" w:rsidR="00843FDA" w:rsidRPr="00C6580C" w:rsidRDefault="00843FDA" w:rsidP="00CD7CAC">
            <w:pPr>
              <w:widowControl/>
              <w:jc w:val="center"/>
              <w:rPr>
                <w:rFonts w:ascii="Times New Roman Bold" w:hAnsi="Times New Roman Bold"/>
                <w:b/>
                <w:bCs/>
                <w:kern w:val="0"/>
                <w:szCs w:val="22"/>
              </w:rPr>
            </w:pPr>
            <w:r w:rsidRPr="00C6580C">
              <w:rPr>
                <w:rFonts w:ascii="Times New Roman Bold" w:hAnsi="Times New Roman Bold"/>
                <w:b/>
                <w:bCs/>
                <w:kern w:val="0"/>
                <w:szCs w:val="22"/>
              </w:rPr>
              <w:t xml:space="preserve"> low pass</w:t>
            </w:r>
            <w:r w:rsidRPr="00C6580C">
              <w:rPr>
                <w:rFonts w:ascii="Times New Roman Bold" w:hAnsi="Times New Roman Bold"/>
                <w:b/>
                <w:bCs/>
                <w:kern w:val="0"/>
                <w:szCs w:val="22"/>
              </w:rPr>
              <w:br/>
              <w:t>filter</w:t>
            </w:r>
          </w:p>
        </w:tc>
        <w:tc>
          <w:tcPr>
            <w:tcW w:w="0" w:type="auto"/>
            <w:tcBorders>
              <w:top w:val="outset" w:sz="6" w:space="0" w:color="auto"/>
              <w:left w:val="outset" w:sz="6" w:space="0" w:color="auto"/>
              <w:bottom w:val="outset" w:sz="6" w:space="0" w:color="auto"/>
            </w:tcBorders>
            <w:vAlign w:val="center"/>
          </w:tcPr>
          <w:p w14:paraId="138687E3" w14:textId="77777777" w:rsidR="00843FDA" w:rsidRPr="00C6580C" w:rsidRDefault="00843FDA" w:rsidP="00CD7CAC">
            <w:pPr>
              <w:widowControl/>
              <w:jc w:val="center"/>
              <w:rPr>
                <w:rFonts w:ascii="Times New Roman Bold" w:hAnsi="Times New Roman Bold"/>
                <w:b/>
                <w:bCs/>
                <w:kern w:val="0"/>
                <w:szCs w:val="22"/>
              </w:rPr>
            </w:pPr>
            <w:r w:rsidRPr="00C6580C">
              <w:rPr>
                <w:rFonts w:ascii="Times New Roman Bold" w:hAnsi="Times New Roman Bold"/>
                <w:b/>
                <w:bCs/>
                <w:kern w:val="0"/>
                <w:szCs w:val="22"/>
              </w:rPr>
              <w:t>Mask for equip-</w:t>
            </w:r>
          </w:p>
          <w:p w14:paraId="2B17D4C6" w14:textId="77777777" w:rsidR="00843FDA" w:rsidRPr="00C6580C" w:rsidRDefault="00843FDA" w:rsidP="00CD7CAC">
            <w:pPr>
              <w:widowControl/>
              <w:jc w:val="center"/>
              <w:rPr>
                <w:rFonts w:ascii="Times New Roman Bold" w:hAnsi="Times New Roman Bold"/>
                <w:b/>
                <w:bCs/>
                <w:kern w:val="0"/>
                <w:szCs w:val="22"/>
              </w:rPr>
            </w:pPr>
            <w:r w:rsidRPr="00C6580C">
              <w:rPr>
                <w:rFonts w:ascii="Times New Roman Bold" w:hAnsi="Times New Roman Bold"/>
                <w:b/>
                <w:bCs/>
                <w:kern w:val="0"/>
                <w:szCs w:val="22"/>
              </w:rPr>
              <w:t>ment without audio</w:t>
            </w:r>
          </w:p>
          <w:p w14:paraId="4C4A8A71" w14:textId="77777777" w:rsidR="00843FDA" w:rsidRPr="00C6580C" w:rsidRDefault="00843FDA" w:rsidP="00CD7CAC">
            <w:pPr>
              <w:widowControl/>
              <w:jc w:val="center"/>
              <w:rPr>
                <w:rFonts w:ascii="Times New Roman Bold" w:hAnsi="Times New Roman Bold"/>
                <w:b/>
                <w:bCs/>
                <w:kern w:val="0"/>
                <w:szCs w:val="22"/>
              </w:rPr>
            </w:pPr>
            <w:r w:rsidRPr="00C6580C">
              <w:rPr>
                <w:rFonts w:ascii="Times New Roman Bold" w:hAnsi="Times New Roman Bold"/>
                <w:b/>
                <w:bCs/>
                <w:kern w:val="0"/>
                <w:szCs w:val="22"/>
              </w:rPr>
              <w:t xml:space="preserve"> low pass</w:t>
            </w:r>
          </w:p>
          <w:p w14:paraId="62ADFB13" w14:textId="77777777" w:rsidR="00843FDA" w:rsidRPr="00C6580C" w:rsidRDefault="00843FDA" w:rsidP="00CD7CAC">
            <w:pPr>
              <w:widowControl/>
              <w:jc w:val="center"/>
              <w:rPr>
                <w:rFonts w:ascii="Times New Roman Bold" w:hAnsi="Times New Roman Bold"/>
                <w:b/>
                <w:bCs/>
                <w:kern w:val="0"/>
                <w:szCs w:val="22"/>
              </w:rPr>
            </w:pPr>
            <w:r w:rsidRPr="00C6580C">
              <w:rPr>
                <w:rFonts w:ascii="Times New Roman Bold" w:hAnsi="Times New Roman Bold"/>
                <w:b/>
                <w:bCs/>
                <w:kern w:val="0"/>
                <w:szCs w:val="22"/>
              </w:rPr>
              <w:t xml:space="preserve"> filter</w:t>
            </w:r>
          </w:p>
        </w:tc>
      </w:tr>
      <w:tr w:rsidR="00843FDA" w:rsidRPr="00C6580C" w14:paraId="121E4DE1" w14:textId="77777777">
        <w:trPr>
          <w:tblCellSpacing w:w="7" w:type="dxa"/>
        </w:trPr>
        <w:tc>
          <w:tcPr>
            <w:tcW w:w="0" w:type="auto"/>
            <w:tcBorders>
              <w:top w:val="outset" w:sz="6" w:space="0" w:color="auto"/>
              <w:bottom w:val="outset" w:sz="6" w:space="0" w:color="auto"/>
              <w:right w:val="outset" w:sz="6" w:space="0" w:color="auto"/>
            </w:tcBorders>
            <w:vAlign w:val="center"/>
          </w:tcPr>
          <w:p w14:paraId="7651A645" w14:textId="77777777" w:rsidR="00843FDA" w:rsidRPr="00C6580C" w:rsidRDefault="00843FDA" w:rsidP="00CD7CAC">
            <w:pPr>
              <w:widowControl/>
              <w:rPr>
                <w:kern w:val="0"/>
                <w:szCs w:val="22"/>
              </w:rPr>
            </w:pPr>
            <w:r w:rsidRPr="00C6580C">
              <w:rPr>
                <w:kern w:val="0"/>
                <w:szCs w:val="22"/>
              </w:rPr>
              <w:t>* * *</w:t>
            </w:r>
          </w:p>
        </w:tc>
        <w:tc>
          <w:tcPr>
            <w:tcW w:w="0" w:type="auto"/>
            <w:tcBorders>
              <w:top w:val="outset" w:sz="6" w:space="0" w:color="auto"/>
              <w:left w:val="outset" w:sz="6" w:space="0" w:color="auto"/>
              <w:bottom w:val="outset" w:sz="6" w:space="0" w:color="auto"/>
              <w:right w:val="outset" w:sz="6" w:space="0" w:color="auto"/>
            </w:tcBorders>
            <w:vAlign w:val="center"/>
          </w:tcPr>
          <w:p w14:paraId="35649DDA" w14:textId="77777777" w:rsidR="00843FDA" w:rsidRPr="00C6580C" w:rsidRDefault="00843FDA" w:rsidP="00CD7CAC">
            <w:pPr>
              <w:widowControl/>
              <w:rPr>
                <w:kern w:val="0"/>
                <w:szCs w:val="22"/>
              </w:rPr>
            </w:pPr>
            <w:r w:rsidRPr="00C6580C">
              <w:rPr>
                <w:kern w:val="0"/>
                <w:szCs w:val="22"/>
              </w:rPr>
              <w:t>* * *</w:t>
            </w:r>
          </w:p>
        </w:tc>
        <w:tc>
          <w:tcPr>
            <w:tcW w:w="0" w:type="auto"/>
            <w:tcBorders>
              <w:top w:val="outset" w:sz="6" w:space="0" w:color="auto"/>
              <w:left w:val="outset" w:sz="6" w:space="0" w:color="auto"/>
              <w:bottom w:val="outset" w:sz="6" w:space="0" w:color="auto"/>
            </w:tcBorders>
            <w:vAlign w:val="center"/>
          </w:tcPr>
          <w:p w14:paraId="7008868A" w14:textId="77777777" w:rsidR="00843FDA" w:rsidRPr="00C6580C" w:rsidRDefault="00843FDA" w:rsidP="00CD7CAC">
            <w:pPr>
              <w:widowControl/>
              <w:rPr>
                <w:kern w:val="0"/>
                <w:szCs w:val="22"/>
              </w:rPr>
            </w:pPr>
            <w:r w:rsidRPr="00C6580C">
              <w:rPr>
                <w:kern w:val="0"/>
                <w:szCs w:val="22"/>
              </w:rPr>
              <w:t>* * *</w:t>
            </w:r>
          </w:p>
        </w:tc>
      </w:tr>
      <w:tr w:rsidR="00843FDA" w:rsidRPr="00C6580C" w14:paraId="6F5A8D18" w14:textId="77777777">
        <w:trPr>
          <w:tblCellSpacing w:w="7" w:type="dxa"/>
        </w:trPr>
        <w:tc>
          <w:tcPr>
            <w:tcW w:w="0" w:type="auto"/>
            <w:tcBorders>
              <w:top w:val="outset" w:sz="6" w:space="0" w:color="auto"/>
              <w:bottom w:val="outset" w:sz="6" w:space="0" w:color="auto"/>
              <w:right w:val="outset" w:sz="6" w:space="0" w:color="auto"/>
            </w:tcBorders>
            <w:vAlign w:val="center"/>
          </w:tcPr>
          <w:p w14:paraId="2F9E5A06" w14:textId="77777777" w:rsidR="00843FDA" w:rsidRPr="00C6580C" w:rsidRDefault="00843FDA" w:rsidP="00CD7CAC">
            <w:pPr>
              <w:widowControl/>
              <w:rPr>
                <w:kern w:val="0"/>
                <w:szCs w:val="22"/>
              </w:rPr>
            </w:pPr>
            <w:r w:rsidRPr="00C6580C">
              <w:rPr>
                <w:kern w:val="0"/>
                <w:szCs w:val="22"/>
              </w:rPr>
              <w:t>809-824/854-869</w:t>
            </w:r>
            <w:r w:rsidRPr="00C6580C">
              <w:rPr>
                <w:szCs w:val="22"/>
                <w:vertAlign w:val="superscript"/>
              </w:rPr>
              <w:t>3, 5 ***</w:t>
            </w:r>
          </w:p>
        </w:tc>
        <w:tc>
          <w:tcPr>
            <w:tcW w:w="0" w:type="auto"/>
            <w:tcBorders>
              <w:top w:val="outset" w:sz="6" w:space="0" w:color="auto"/>
              <w:left w:val="outset" w:sz="6" w:space="0" w:color="auto"/>
              <w:bottom w:val="outset" w:sz="6" w:space="0" w:color="auto"/>
              <w:right w:val="outset" w:sz="6" w:space="0" w:color="auto"/>
            </w:tcBorders>
            <w:vAlign w:val="center"/>
          </w:tcPr>
          <w:p w14:paraId="68F0753D" w14:textId="77777777" w:rsidR="00843FDA" w:rsidRPr="00C6580C" w:rsidRDefault="00843FDA" w:rsidP="00CD7CAC">
            <w:pPr>
              <w:widowControl/>
              <w:rPr>
                <w:kern w:val="0"/>
                <w:szCs w:val="22"/>
              </w:rPr>
            </w:pPr>
            <w:r w:rsidRPr="00C6580C">
              <w:rPr>
                <w:kern w:val="0"/>
                <w:szCs w:val="22"/>
              </w:rPr>
              <w:t>B, D</w:t>
            </w:r>
          </w:p>
        </w:tc>
        <w:tc>
          <w:tcPr>
            <w:tcW w:w="0" w:type="auto"/>
            <w:tcBorders>
              <w:top w:val="outset" w:sz="6" w:space="0" w:color="auto"/>
              <w:left w:val="outset" w:sz="6" w:space="0" w:color="auto"/>
              <w:bottom w:val="outset" w:sz="6" w:space="0" w:color="auto"/>
            </w:tcBorders>
            <w:vAlign w:val="center"/>
          </w:tcPr>
          <w:p w14:paraId="6BCE95ED" w14:textId="77777777" w:rsidR="00843FDA" w:rsidRPr="00C6580C" w:rsidRDefault="00843FDA" w:rsidP="00CD7CAC">
            <w:pPr>
              <w:widowControl/>
              <w:rPr>
                <w:kern w:val="0"/>
                <w:szCs w:val="22"/>
              </w:rPr>
            </w:pPr>
            <w:r w:rsidRPr="00C6580C">
              <w:rPr>
                <w:kern w:val="0"/>
                <w:szCs w:val="22"/>
              </w:rPr>
              <w:t xml:space="preserve"> D, G</w:t>
            </w:r>
          </w:p>
        </w:tc>
      </w:tr>
      <w:tr w:rsidR="00843FDA" w:rsidRPr="00C6580C" w14:paraId="1B50CB24" w14:textId="77777777">
        <w:trPr>
          <w:tblCellSpacing w:w="7" w:type="dxa"/>
        </w:trPr>
        <w:tc>
          <w:tcPr>
            <w:tcW w:w="0" w:type="auto"/>
            <w:tcBorders>
              <w:top w:val="outset" w:sz="6" w:space="0" w:color="auto"/>
              <w:bottom w:val="outset" w:sz="6" w:space="0" w:color="auto"/>
              <w:right w:val="outset" w:sz="6" w:space="0" w:color="auto"/>
            </w:tcBorders>
            <w:vAlign w:val="center"/>
          </w:tcPr>
          <w:p w14:paraId="7FE3D66A" w14:textId="77777777" w:rsidR="00843FDA" w:rsidRPr="00C6580C" w:rsidRDefault="00843FDA" w:rsidP="00CD7CAC">
            <w:pPr>
              <w:widowControl/>
              <w:rPr>
                <w:kern w:val="0"/>
                <w:szCs w:val="22"/>
              </w:rPr>
            </w:pPr>
            <w:r w:rsidRPr="00C6580C">
              <w:rPr>
                <w:kern w:val="0"/>
                <w:szCs w:val="22"/>
              </w:rPr>
              <w:t>* * *</w:t>
            </w:r>
          </w:p>
        </w:tc>
        <w:tc>
          <w:tcPr>
            <w:tcW w:w="0" w:type="auto"/>
            <w:tcBorders>
              <w:top w:val="outset" w:sz="6" w:space="0" w:color="auto"/>
              <w:left w:val="outset" w:sz="6" w:space="0" w:color="auto"/>
              <w:bottom w:val="outset" w:sz="6" w:space="0" w:color="auto"/>
              <w:right w:val="outset" w:sz="6" w:space="0" w:color="auto"/>
            </w:tcBorders>
            <w:vAlign w:val="center"/>
          </w:tcPr>
          <w:p w14:paraId="62A594B8" w14:textId="77777777" w:rsidR="00843FDA" w:rsidRPr="00C6580C" w:rsidRDefault="00843FDA" w:rsidP="00CD7CAC">
            <w:pPr>
              <w:widowControl/>
              <w:rPr>
                <w:kern w:val="0"/>
                <w:szCs w:val="22"/>
              </w:rPr>
            </w:pPr>
            <w:r w:rsidRPr="00C6580C">
              <w:rPr>
                <w:kern w:val="0"/>
                <w:szCs w:val="22"/>
              </w:rPr>
              <w:t>* * *</w:t>
            </w:r>
          </w:p>
        </w:tc>
        <w:tc>
          <w:tcPr>
            <w:tcW w:w="0" w:type="auto"/>
            <w:tcBorders>
              <w:top w:val="outset" w:sz="6" w:space="0" w:color="auto"/>
              <w:left w:val="outset" w:sz="6" w:space="0" w:color="auto"/>
              <w:bottom w:val="outset" w:sz="6" w:space="0" w:color="auto"/>
            </w:tcBorders>
            <w:vAlign w:val="center"/>
          </w:tcPr>
          <w:p w14:paraId="05474C8F" w14:textId="77777777" w:rsidR="00843FDA" w:rsidRPr="00C6580C" w:rsidRDefault="00843FDA" w:rsidP="00CD7CAC">
            <w:pPr>
              <w:widowControl/>
              <w:rPr>
                <w:kern w:val="0"/>
                <w:szCs w:val="22"/>
              </w:rPr>
            </w:pPr>
            <w:r w:rsidRPr="00C6580C">
              <w:rPr>
                <w:kern w:val="0"/>
                <w:szCs w:val="22"/>
              </w:rPr>
              <w:t>* * *</w:t>
            </w:r>
          </w:p>
        </w:tc>
      </w:tr>
    </w:tbl>
    <w:p w14:paraId="058DD89B" w14:textId="77777777" w:rsidR="00843FDA" w:rsidRPr="00C6580C" w:rsidRDefault="00843FDA" w:rsidP="00CD7CAC">
      <w:pPr>
        <w:widowControl/>
        <w:autoSpaceDE w:val="0"/>
        <w:autoSpaceDN w:val="0"/>
        <w:adjustRightInd w:val="0"/>
        <w:rPr>
          <w:kern w:val="0"/>
          <w:szCs w:val="22"/>
        </w:rPr>
      </w:pPr>
    </w:p>
    <w:p w14:paraId="2DBB7273" w14:textId="77777777" w:rsidR="00843FDA" w:rsidRPr="00C6580C" w:rsidRDefault="00843FDA" w:rsidP="00CD7CAC">
      <w:pPr>
        <w:widowControl/>
        <w:autoSpaceDE w:val="0"/>
        <w:autoSpaceDN w:val="0"/>
        <w:adjustRightInd w:val="0"/>
        <w:rPr>
          <w:kern w:val="0"/>
          <w:szCs w:val="22"/>
        </w:rPr>
      </w:pPr>
      <w:r w:rsidRPr="00C6580C">
        <w:rPr>
          <w:szCs w:val="22"/>
          <w:vertAlign w:val="superscript"/>
        </w:rPr>
        <w:t>5</w:t>
      </w:r>
      <w:r w:rsidR="00F4028D">
        <w:rPr>
          <w:szCs w:val="22"/>
          <w:vertAlign w:val="superscript"/>
        </w:rPr>
        <w:t xml:space="preserve"> </w:t>
      </w:r>
      <w:r w:rsidRPr="00C6580C">
        <w:rPr>
          <w:color w:val="010101"/>
          <w:kern w:val="0"/>
          <w:szCs w:val="22"/>
        </w:rPr>
        <w:t>Equipment designed to operate with a 25 kHz channel bandwidth may alternatively meet the Adjacent Channel Power limits of § 90.221.</w:t>
      </w:r>
      <w:r w:rsidRPr="00C6580C">
        <w:rPr>
          <w:szCs w:val="22"/>
          <w:vertAlign w:val="superscript"/>
        </w:rPr>
        <w:t xml:space="preserve">  </w:t>
      </w:r>
      <w:r w:rsidRPr="00C6580C">
        <w:rPr>
          <w:kern w:val="0"/>
          <w:szCs w:val="22"/>
        </w:rPr>
        <w:t>Equipment designed to operate with a 12.5 kHz channel bandwidth must meet the requirements of Emission Mask D.</w:t>
      </w:r>
    </w:p>
    <w:p w14:paraId="0B226BD7" w14:textId="77777777" w:rsidR="00843FDA" w:rsidRPr="00C6580C" w:rsidRDefault="00843FDA" w:rsidP="00CD7CAC">
      <w:pPr>
        <w:widowControl/>
        <w:spacing w:before="100" w:beforeAutospacing="1" w:after="100" w:afterAutospacing="1"/>
        <w:rPr>
          <w:kern w:val="0"/>
          <w:szCs w:val="22"/>
          <w:vertAlign w:val="superscript"/>
        </w:rPr>
      </w:pPr>
      <w:r w:rsidRPr="00C6580C">
        <w:rPr>
          <w:kern w:val="0"/>
          <w:szCs w:val="22"/>
        </w:rPr>
        <w:t>* * *</w:t>
      </w:r>
    </w:p>
    <w:p w14:paraId="428FC436" w14:textId="77777777" w:rsidR="00843FDA" w:rsidRPr="00A96110" w:rsidRDefault="00843FDA" w:rsidP="00CD7CAC">
      <w:pPr>
        <w:pStyle w:val="ParaNum"/>
        <w:widowControl/>
        <w:numPr>
          <w:ilvl w:val="0"/>
          <w:numId w:val="0"/>
        </w:numPr>
      </w:pPr>
      <w:r w:rsidRPr="00A96110">
        <w:t>4.  Section 90.613 is revised by amending the introductory paragraph to add interstitial channel numbers and base frequency to the table to read as follows:</w:t>
      </w:r>
    </w:p>
    <w:p w14:paraId="206732CC" w14:textId="77777777" w:rsidR="00843FDA" w:rsidRPr="00C6580C" w:rsidRDefault="00843FDA" w:rsidP="00CD7CAC">
      <w:pPr>
        <w:pStyle w:val="RuleNum"/>
        <w:numPr>
          <w:ilvl w:val="0"/>
          <w:numId w:val="0"/>
        </w:numPr>
        <w:tabs>
          <w:tab w:val="clear" w:pos="990"/>
        </w:tabs>
        <w:jc w:val="left"/>
        <w:rPr>
          <w:rFonts w:ascii="Times New Roman" w:hAnsi="Times New Roman"/>
          <w:szCs w:val="22"/>
        </w:rPr>
      </w:pPr>
    </w:p>
    <w:p w14:paraId="32147428" w14:textId="77777777" w:rsidR="00843FDA" w:rsidRPr="00C6580C" w:rsidRDefault="00843FDA" w:rsidP="00CD7CAC">
      <w:pPr>
        <w:pStyle w:val="RuleNum"/>
        <w:numPr>
          <w:ilvl w:val="0"/>
          <w:numId w:val="0"/>
        </w:numPr>
        <w:tabs>
          <w:tab w:val="clear" w:pos="270"/>
          <w:tab w:val="clear" w:pos="990"/>
          <w:tab w:val="left" w:pos="770"/>
        </w:tabs>
        <w:jc w:val="left"/>
        <w:rPr>
          <w:szCs w:val="22"/>
        </w:rPr>
      </w:pPr>
      <w:r w:rsidRPr="00C6580C">
        <w:rPr>
          <w:b/>
          <w:szCs w:val="22"/>
        </w:rPr>
        <w:tab/>
      </w:r>
      <w:r w:rsidRPr="00C6580C">
        <w:rPr>
          <w:szCs w:val="22"/>
        </w:rPr>
        <w:t>§ 90.613 Frequencies available.</w:t>
      </w:r>
    </w:p>
    <w:p w14:paraId="55B8F746" w14:textId="77777777" w:rsidR="00843FDA" w:rsidRPr="00C6580C" w:rsidRDefault="00843FDA" w:rsidP="00CD7CAC">
      <w:pPr>
        <w:pStyle w:val="NormalWeb"/>
        <w:ind w:firstLine="720"/>
        <w:rPr>
          <w:sz w:val="22"/>
          <w:szCs w:val="22"/>
        </w:rPr>
      </w:pPr>
      <w:r w:rsidRPr="00C6580C">
        <w:rPr>
          <w:sz w:val="22"/>
          <w:szCs w:val="22"/>
        </w:rPr>
        <w:t xml:space="preserve">* * * </w:t>
      </w:r>
    </w:p>
    <w:p w14:paraId="33F322FB" w14:textId="77777777" w:rsidR="00843FDA" w:rsidRPr="00C6580C" w:rsidRDefault="00843FDA" w:rsidP="00CD7CAC">
      <w:pPr>
        <w:pStyle w:val="gpotbltitle"/>
        <w:rPr>
          <w:sz w:val="22"/>
          <w:szCs w:val="22"/>
        </w:rPr>
      </w:pPr>
      <w:r w:rsidRPr="00C6580C">
        <w:rPr>
          <w:sz w:val="22"/>
          <w:szCs w:val="22"/>
        </w:rPr>
        <w:t>Table of 806–824/851–869 MHz Channel Designations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5198"/>
        <w:gridCol w:w="4192"/>
      </w:tblGrid>
      <w:tr w:rsidR="00843FDA" w:rsidRPr="00C6580C" w14:paraId="7F5B9750" w14:textId="77777777">
        <w:tc>
          <w:tcPr>
            <w:tcW w:w="0" w:type="auto"/>
            <w:tcBorders>
              <w:top w:val="single" w:sz="4" w:space="0" w:color="000000"/>
              <w:left w:val="single" w:sz="4" w:space="0" w:color="000000"/>
              <w:bottom w:val="single" w:sz="4" w:space="0" w:color="000000"/>
              <w:right w:val="single" w:sz="4" w:space="0" w:color="000000"/>
            </w:tcBorders>
          </w:tcPr>
          <w:p w14:paraId="1191B5E7" w14:textId="77777777" w:rsidR="00843FDA" w:rsidRPr="00C6580C" w:rsidRDefault="00843FDA" w:rsidP="00CD7CAC">
            <w:pPr>
              <w:widowControl/>
              <w:jc w:val="center"/>
              <w:rPr>
                <w:b/>
                <w:bCs/>
                <w:szCs w:val="22"/>
              </w:rPr>
            </w:pPr>
          </w:p>
          <w:p w14:paraId="1DFC13AB" w14:textId="77777777" w:rsidR="00843FDA" w:rsidRPr="00C6580C" w:rsidRDefault="00843FDA" w:rsidP="00CD7CAC">
            <w:pPr>
              <w:widowControl/>
              <w:jc w:val="center"/>
              <w:rPr>
                <w:kern w:val="0"/>
                <w:szCs w:val="22"/>
              </w:rPr>
            </w:pPr>
            <w:r w:rsidRPr="00C6580C">
              <w:rPr>
                <w:b/>
                <w:bCs/>
                <w:szCs w:val="22"/>
              </w:rPr>
              <w:t>Channel No.</w:t>
            </w:r>
          </w:p>
        </w:tc>
        <w:tc>
          <w:tcPr>
            <w:tcW w:w="0" w:type="auto"/>
            <w:tcBorders>
              <w:top w:val="single" w:sz="4" w:space="0" w:color="000000"/>
              <w:left w:val="single" w:sz="4" w:space="0" w:color="000000"/>
              <w:bottom w:val="single" w:sz="4" w:space="0" w:color="000000"/>
              <w:right w:val="single" w:sz="4" w:space="0" w:color="000000"/>
            </w:tcBorders>
          </w:tcPr>
          <w:p w14:paraId="6A8B5C2A" w14:textId="77777777" w:rsidR="00843FDA" w:rsidRPr="00C6580C" w:rsidRDefault="00843FDA" w:rsidP="00CD7CAC">
            <w:pPr>
              <w:widowControl/>
              <w:jc w:val="center"/>
              <w:rPr>
                <w:kern w:val="0"/>
                <w:szCs w:val="22"/>
              </w:rPr>
            </w:pPr>
            <w:r w:rsidRPr="00C6580C">
              <w:rPr>
                <w:b/>
                <w:bCs/>
                <w:szCs w:val="22"/>
              </w:rPr>
              <w:t>Base</w:t>
            </w:r>
            <w:r w:rsidRPr="00C6580C">
              <w:rPr>
                <w:b/>
                <w:bCs/>
                <w:szCs w:val="22"/>
              </w:rPr>
              <w:br/>
              <w:t>frequency</w:t>
            </w:r>
            <w:r w:rsidRPr="00C6580C">
              <w:rPr>
                <w:b/>
                <w:bCs/>
                <w:szCs w:val="22"/>
              </w:rPr>
              <w:br/>
              <w:t>(MHz)</w:t>
            </w:r>
          </w:p>
        </w:tc>
      </w:tr>
      <w:tr w:rsidR="00843FDA" w:rsidRPr="00C6580C" w14:paraId="31AE79DD" w14:textId="77777777">
        <w:tc>
          <w:tcPr>
            <w:tcW w:w="0" w:type="auto"/>
            <w:tcBorders>
              <w:top w:val="single" w:sz="4" w:space="0" w:color="000000"/>
              <w:left w:val="single" w:sz="4" w:space="0" w:color="000000"/>
              <w:bottom w:val="single" w:sz="4" w:space="0" w:color="000000"/>
              <w:right w:val="single" w:sz="4" w:space="0" w:color="000000"/>
            </w:tcBorders>
          </w:tcPr>
          <w:p w14:paraId="77C8D30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E544380" w14:textId="77777777" w:rsidR="00843FDA" w:rsidRPr="00C6580C" w:rsidRDefault="00843FDA" w:rsidP="00CD7CAC">
            <w:pPr>
              <w:widowControl/>
              <w:jc w:val="center"/>
              <w:rPr>
                <w:szCs w:val="22"/>
              </w:rPr>
            </w:pPr>
            <w:r w:rsidRPr="00C6580C">
              <w:rPr>
                <w:kern w:val="0"/>
                <w:szCs w:val="22"/>
              </w:rPr>
              <w:t>* * *</w:t>
            </w:r>
          </w:p>
        </w:tc>
      </w:tr>
      <w:tr w:rsidR="00843FDA" w:rsidRPr="00C6580C" w14:paraId="2F9361F8" w14:textId="77777777">
        <w:tc>
          <w:tcPr>
            <w:tcW w:w="0" w:type="auto"/>
            <w:tcBorders>
              <w:top w:val="single" w:sz="4" w:space="0" w:color="000000"/>
              <w:left w:val="single" w:sz="4" w:space="0" w:color="000000"/>
              <w:bottom w:val="single" w:sz="4" w:space="0" w:color="000000"/>
              <w:right w:val="single" w:sz="4" w:space="0" w:color="000000"/>
            </w:tcBorders>
          </w:tcPr>
          <w:p w14:paraId="0D85F093" w14:textId="77777777" w:rsidR="00843FDA" w:rsidRPr="00C6580C" w:rsidRDefault="00843FDA" w:rsidP="00CD7CAC">
            <w:pPr>
              <w:widowControl/>
              <w:rPr>
                <w:kern w:val="0"/>
                <w:szCs w:val="22"/>
              </w:rPr>
            </w:pPr>
            <w:r w:rsidRPr="00C6580C">
              <w:rPr>
                <w:kern w:val="0"/>
                <w:szCs w:val="22"/>
              </w:rPr>
              <w:t>231a</w:t>
            </w:r>
          </w:p>
        </w:tc>
        <w:tc>
          <w:tcPr>
            <w:tcW w:w="0" w:type="auto"/>
            <w:tcBorders>
              <w:top w:val="single" w:sz="4" w:space="0" w:color="000000"/>
              <w:left w:val="single" w:sz="4" w:space="0" w:color="000000"/>
              <w:bottom w:val="single" w:sz="4" w:space="0" w:color="000000"/>
              <w:right w:val="single" w:sz="4" w:space="0" w:color="000000"/>
            </w:tcBorders>
          </w:tcPr>
          <w:p w14:paraId="666AF059" w14:textId="77777777" w:rsidR="00843FDA" w:rsidRPr="00C6580C" w:rsidRDefault="00843FDA" w:rsidP="00CD7CAC">
            <w:pPr>
              <w:widowControl/>
              <w:jc w:val="right"/>
              <w:rPr>
                <w:kern w:val="0"/>
                <w:szCs w:val="22"/>
              </w:rPr>
            </w:pPr>
            <w:r w:rsidRPr="00C6580C">
              <w:rPr>
                <w:kern w:val="0"/>
                <w:szCs w:val="22"/>
              </w:rPr>
              <w:t>.0250</w:t>
            </w:r>
          </w:p>
        </w:tc>
      </w:tr>
      <w:tr w:rsidR="00843FDA" w:rsidRPr="00C6580C" w14:paraId="0A9C0154" w14:textId="77777777">
        <w:tc>
          <w:tcPr>
            <w:tcW w:w="0" w:type="auto"/>
            <w:tcBorders>
              <w:top w:val="single" w:sz="4" w:space="0" w:color="000000"/>
              <w:left w:val="single" w:sz="4" w:space="0" w:color="000000"/>
              <w:bottom w:val="single" w:sz="4" w:space="0" w:color="000000"/>
              <w:right w:val="single" w:sz="4" w:space="0" w:color="000000"/>
            </w:tcBorders>
          </w:tcPr>
          <w:p w14:paraId="4422468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1F978CB" w14:textId="77777777" w:rsidR="00843FDA" w:rsidRPr="00C6580C" w:rsidRDefault="00843FDA" w:rsidP="00CD7CAC">
            <w:pPr>
              <w:widowControl/>
              <w:jc w:val="center"/>
              <w:rPr>
                <w:szCs w:val="22"/>
              </w:rPr>
            </w:pPr>
            <w:r w:rsidRPr="00C6580C">
              <w:rPr>
                <w:kern w:val="0"/>
                <w:szCs w:val="22"/>
              </w:rPr>
              <w:t>* * *</w:t>
            </w:r>
          </w:p>
        </w:tc>
      </w:tr>
      <w:tr w:rsidR="00843FDA" w:rsidRPr="00C6580C" w14:paraId="20293040" w14:textId="77777777">
        <w:tc>
          <w:tcPr>
            <w:tcW w:w="0" w:type="auto"/>
            <w:tcBorders>
              <w:top w:val="single" w:sz="4" w:space="0" w:color="000000"/>
              <w:left w:val="single" w:sz="4" w:space="0" w:color="000000"/>
              <w:bottom w:val="single" w:sz="4" w:space="0" w:color="000000"/>
              <w:right w:val="single" w:sz="4" w:space="0" w:color="000000"/>
            </w:tcBorders>
          </w:tcPr>
          <w:p w14:paraId="1DEBB77A" w14:textId="77777777" w:rsidR="00843FDA" w:rsidRPr="00C6580C" w:rsidRDefault="00843FDA" w:rsidP="00CD7CAC">
            <w:pPr>
              <w:widowControl/>
              <w:rPr>
                <w:kern w:val="0"/>
                <w:szCs w:val="22"/>
              </w:rPr>
            </w:pPr>
            <w:r w:rsidRPr="00C6580C">
              <w:rPr>
                <w:kern w:val="0"/>
                <w:szCs w:val="22"/>
              </w:rPr>
              <w:t>232a</w:t>
            </w:r>
          </w:p>
        </w:tc>
        <w:tc>
          <w:tcPr>
            <w:tcW w:w="0" w:type="auto"/>
            <w:tcBorders>
              <w:top w:val="single" w:sz="4" w:space="0" w:color="000000"/>
              <w:left w:val="single" w:sz="4" w:space="0" w:color="000000"/>
              <w:bottom w:val="single" w:sz="4" w:space="0" w:color="000000"/>
              <w:right w:val="single" w:sz="4" w:space="0" w:color="000000"/>
            </w:tcBorders>
          </w:tcPr>
          <w:p w14:paraId="76EA937E" w14:textId="77777777" w:rsidR="00843FDA" w:rsidRPr="00C6580C" w:rsidRDefault="00843FDA" w:rsidP="00CD7CAC">
            <w:pPr>
              <w:widowControl/>
              <w:jc w:val="right"/>
              <w:rPr>
                <w:kern w:val="0"/>
                <w:szCs w:val="22"/>
              </w:rPr>
            </w:pPr>
            <w:r w:rsidRPr="00C6580C">
              <w:rPr>
                <w:kern w:val="0"/>
                <w:szCs w:val="22"/>
              </w:rPr>
              <w:t>.0500</w:t>
            </w:r>
          </w:p>
        </w:tc>
      </w:tr>
      <w:tr w:rsidR="00843FDA" w:rsidRPr="00C6580C" w14:paraId="43F3FF76" w14:textId="77777777">
        <w:tc>
          <w:tcPr>
            <w:tcW w:w="0" w:type="auto"/>
            <w:tcBorders>
              <w:top w:val="single" w:sz="4" w:space="0" w:color="000000"/>
              <w:left w:val="single" w:sz="4" w:space="0" w:color="000000"/>
              <w:bottom w:val="single" w:sz="4" w:space="0" w:color="000000"/>
              <w:right w:val="single" w:sz="4" w:space="0" w:color="000000"/>
            </w:tcBorders>
          </w:tcPr>
          <w:p w14:paraId="672CDB3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EE3CB1D" w14:textId="77777777" w:rsidR="00843FDA" w:rsidRPr="00C6580C" w:rsidRDefault="00843FDA" w:rsidP="00CD7CAC">
            <w:pPr>
              <w:widowControl/>
              <w:jc w:val="center"/>
              <w:rPr>
                <w:szCs w:val="22"/>
              </w:rPr>
            </w:pPr>
            <w:r w:rsidRPr="00C6580C">
              <w:rPr>
                <w:kern w:val="0"/>
                <w:szCs w:val="22"/>
              </w:rPr>
              <w:t>* * *</w:t>
            </w:r>
          </w:p>
        </w:tc>
      </w:tr>
      <w:tr w:rsidR="00843FDA" w:rsidRPr="00C6580C" w14:paraId="1CAED89A" w14:textId="77777777">
        <w:tc>
          <w:tcPr>
            <w:tcW w:w="0" w:type="auto"/>
            <w:tcBorders>
              <w:top w:val="single" w:sz="4" w:space="0" w:color="000000"/>
              <w:left w:val="single" w:sz="4" w:space="0" w:color="000000"/>
              <w:bottom w:val="single" w:sz="4" w:space="0" w:color="000000"/>
              <w:right w:val="single" w:sz="4" w:space="0" w:color="000000"/>
            </w:tcBorders>
          </w:tcPr>
          <w:p w14:paraId="029C293D" w14:textId="77777777" w:rsidR="00843FDA" w:rsidRPr="00C6580C" w:rsidRDefault="00843FDA" w:rsidP="00CD7CAC">
            <w:pPr>
              <w:widowControl/>
              <w:rPr>
                <w:kern w:val="0"/>
                <w:szCs w:val="22"/>
              </w:rPr>
            </w:pPr>
            <w:r w:rsidRPr="00C6580C">
              <w:rPr>
                <w:kern w:val="0"/>
                <w:szCs w:val="22"/>
              </w:rPr>
              <w:t>233a</w:t>
            </w:r>
          </w:p>
        </w:tc>
        <w:tc>
          <w:tcPr>
            <w:tcW w:w="0" w:type="auto"/>
            <w:tcBorders>
              <w:top w:val="single" w:sz="4" w:space="0" w:color="000000"/>
              <w:left w:val="single" w:sz="4" w:space="0" w:color="000000"/>
              <w:bottom w:val="single" w:sz="4" w:space="0" w:color="000000"/>
              <w:right w:val="single" w:sz="4" w:space="0" w:color="000000"/>
            </w:tcBorders>
          </w:tcPr>
          <w:p w14:paraId="3BE6B4B2" w14:textId="77777777" w:rsidR="00843FDA" w:rsidRPr="00C6580C" w:rsidRDefault="00843FDA" w:rsidP="00CD7CAC">
            <w:pPr>
              <w:widowControl/>
              <w:jc w:val="right"/>
              <w:rPr>
                <w:kern w:val="0"/>
                <w:szCs w:val="22"/>
              </w:rPr>
            </w:pPr>
            <w:r w:rsidRPr="00C6580C">
              <w:rPr>
                <w:kern w:val="0"/>
                <w:szCs w:val="22"/>
              </w:rPr>
              <w:t>.0750</w:t>
            </w:r>
          </w:p>
        </w:tc>
      </w:tr>
      <w:tr w:rsidR="00843FDA" w:rsidRPr="00C6580C" w14:paraId="0B51B42C" w14:textId="77777777">
        <w:tc>
          <w:tcPr>
            <w:tcW w:w="0" w:type="auto"/>
            <w:tcBorders>
              <w:top w:val="single" w:sz="4" w:space="0" w:color="000000"/>
              <w:left w:val="single" w:sz="4" w:space="0" w:color="000000"/>
              <w:bottom w:val="single" w:sz="4" w:space="0" w:color="000000"/>
              <w:right w:val="single" w:sz="4" w:space="0" w:color="000000"/>
            </w:tcBorders>
          </w:tcPr>
          <w:p w14:paraId="7AB83E7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9408597" w14:textId="77777777" w:rsidR="00843FDA" w:rsidRPr="00C6580C" w:rsidRDefault="00843FDA" w:rsidP="00CD7CAC">
            <w:pPr>
              <w:widowControl/>
              <w:jc w:val="center"/>
              <w:rPr>
                <w:szCs w:val="22"/>
              </w:rPr>
            </w:pPr>
            <w:r w:rsidRPr="00C6580C">
              <w:rPr>
                <w:kern w:val="0"/>
                <w:szCs w:val="22"/>
              </w:rPr>
              <w:t>* * *</w:t>
            </w:r>
          </w:p>
        </w:tc>
      </w:tr>
      <w:tr w:rsidR="00843FDA" w:rsidRPr="00C6580C" w14:paraId="2604E669" w14:textId="77777777">
        <w:tc>
          <w:tcPr>
            <w:tcW w:w="0" w:type="auto"/>
            <w:tcBorders>
              <w:top w:val="single" w:sz="4" w:space="0" w:color="000000"/>
              <w:left w:val="single" w:sz="4" w:space="0" w:color="000000"/>
              <w:bottom w:val="single" w:sz="4" w:space="0" w:color="000000"/>
              <w:right w:val="single" w:sz="4" w:space="0" w:color="000000"/>
            </w:tcBorders>
          </w:tcPr>
          <w:p w14:paraId="5879A5F1" w14:textId="77777777" w:rsidR="00843FDA" w:rsidRPr="00C6580C" w:rsidRDefault="00843FDA" w:rsidP="00CD7CAC">
            <w:pPr>
              <w:widowControl/>
              <w:rPr>
                <w:kern w:val="0"/>
                <w:szCs w:val="22"/>
              </w:rPr>
            </w:pPr>
            <w:r w:rsidRPr="00C6580C">
              <w:rPr>
                <w:kern w:val="0"/>
                <w:szCs w:val="22"/>
              </w:rPr>
              <w:t>234a</w:t>
            </w:r>
          </w:p>
        </w:tc>
        <w:tc>
          <w:tcPr>
            <w:tcW w:w="0" w:type="auto"/>
            <w:tcBorders>
              <w:top w:val="single" w:sz="4" w:space="0" w:color="000000"/>
              <w:left w:val="single" w:sz="4" w:space="0" w:color="000000"/>
              <w:bottom w:val="single" w:sz="4" w:space="0" w:color="000000"/>
              <w:right w:val="single" w:sz="4" w:space="0" w:color="000000"/>
            </w:tcBorders>
          </w:tcPr>
          <w:p w14:paraId="4DE003F6" w14:textId="77777777" w:rsidR="00843FDA" w:rsidRPr="00C6580C" w:rsidRDefault="00843FDA" w:rsidP="00CD7CAC">
            <w:pPr>
              <w:widowControl/>
              <w:jc w:val="right"/>
              <w:rPr>
                <w:kern w:val="0"/>
                <w:szCs w:val="22"/>
              </w:rPr>
            </w:pPr>
            <w:r w:rsidRPr="00C6580C">
              <w:rPr>
                <w:kern w:val="0"/>
                <w:szCs w:val="22"/>
              </w:rPr>
              <w:t>.1000</w:t>
            </w:r>
          </w:p>
        </w:tc>
      </w:tr>
      <w:tr w:rsidR="00843FDA" w:rsidRPr="00C6580C" w14:paraId="7056DC20" w14:textId="77777777">
        <w:tc>
          <w:tcPr>
            <w:tcW w:w="0" w:type="auto"/>
            <w:tcBorders>
              <w:top w:val="single" w:sz="4" w:space="0" w:color="000000"/>
              <w:left w:val="single" w:sz="4" w:space="0" w:color="000000"/>
              <w:bottom w:val="single" w:sz="4" w:space="0" w:color="000000"/>
              <w:right w:val="single" w:sz="4" w:space="0" w:color="000000"/>
            </w:tcBorders>
          </w:tcPr>
          <w:p w14:paraId="25080F2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13A302C" w14:textId="77777777" w:rsidR="00843FDA" w:rsidRPr="00C6580C" w:rsidRDefault="00843FDA" w:rsidP="00CD7CAC">
            <w:pPr>
              <w:widowControl/>
              <w:jc w:val="center"/>
              <w:rPr>
                <w:szCs w:val="22"/>
              </w:rPr>
            </w:pPr>
            <w:r w:rsidRPr="00C6580C">
              <w:rPr>
                <w:kern w:val="0"/>
                <w:szCs w:val="22"/>
              </w:rPr>
              <w:t>* * *</w:t>
            </w:r>
          </w:p>
        </w:tc>
      </w:tr>
      <w:tr w:rsidR="00843FDA" w:rsidRPr="00C6580C" w14:paraId="72936D0D" w14:textId="77777777">
        <w:tc>
          <w:tcPr>
            <w:tcW w:w="0" w:type="auto"/>
            <w:tcBorders>
              <w:top w:val="single" w:sz="4" w:space="0" w:color="000000"/>
              <w:left w:val="single" w:sz="4" w:space="0" w:color="000000"/>
              <w:bottom w:val="single" w:sz="4" w:space="0" w:color="000000"/>
              <w:right w:val="single" w:sz="4" w:space="0" w:color="000000"/>
            </w:tcBorders>
          </w:tcPr>
          <w:p w14:paraId="4F47B727" w14:textId="77777777" w:rsidR="00843FDA" w:rsidRPr="00C6580C" w:rsidRDefault="00843FDA" w:rsidP="00CD7CAC">
            <w:pPr>
              <w:widowControl/>
              <w:rPr>
                <w:kern w:val="0"/>
                <w:szCs w:val="22"/>
              </w:rPr>
            </w:pPr>
            <w:r w:rsidRPr="00C6580C">
              <w:rPr>
                <w:kern w:val="0"/>
                <w:szCs w:val="22"/>
              </w:rPr>
              <w:t>235a</w:t>
            </w:r>
          </w:p>
        </w:tc>
        <w:tc>
          <w:tcPr>
            <w:tcW w:w="0" w:type="auto"/>
            <w:tcBorders>
              <w:top w:val="single" w:sz="4" w:space="0" w:color="000000"/>
              <w:left w:val="single" w:sz="4" w:space="0" w:color="000000"/>
              <w:bottom w:val="single" w:sz="4" w:space="0" w:color="000000"/>
              <w:right w:val="single" w:sz="4" w:space="0" w:color="000000"/>
            </w:tcBorders>
          </w:tcPr>
          <w:p w14:paraId="0D4A3301" w14:textId="77777777" w:rsidR="00843FDA" w:rsidRPr="00C6580C" w:rsidRDefault="00843FDA" w:rsidP="00CD7CAC">
            <w:pPr>
              <w:widowControl/>
              <w:jc w:val="right"/>
              <w:rPr>
                <w:kern w:val="0"/>
                <w:szCs w:val="22"/>
              </w:rPr>
            </w:pPr>
            <w:r w:rsidRPr="00C6580C">
              <w:rPr>
                <w:kern w:val="0"/>
                <w:szCs w:val="22"/>
              </w:rPr>
              <w:t>.1250</w:t>
            </w:r>
          </w:p>
        </w:tc>
      </w:tr>
      <w:tr w:rsidR="00843FDA" w:rsidRPr="00C6580C" w14:paraId="358508B9" w14:textId="77777777">
        <w:tc>
          <w:tcPr>
            <w:tcW w:w="0" w:type="auto"/>
            <w:tcBorders>
              <w:top w:val="single" w:sz="4" w:space="0" w:color="000000"/>
              <w:left w:val="single" w:sz="4" w:space="0" w:color="000000"/>
              <w:bottom w:val="single" w:sz="4" w:space="0" w:color="000000"/>
              <w:right w:val="single" w:sz="4" w:space="0" w:color="000000"/>
            </w:tcBorders>
          </w:tcPr>
          <w:p w14:paraId="1CCB74B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448BCEF" w14:textId="77777777" w:rsidR="00843FDA" w:rsidRPr="00C6580C" w:rsidRDefault="00843FDA" w:rsidP="00CD7CAC">
            <w:pPr>
              <w:widowControl/>
              <w:jc w:val="center"/>
              <w:rPr>
                <w:szCs w:val="22"/>
              </w:rPr>
            </w:pPr>
            <w:r w:rsidRPr="00C6580C">
              <w:rPr>
                <w:kern w:val="0"/>
                <w:szCs w:val="22"/>
              </w:rPr>
              <w:t>* * *</w:t>
            </w:r>
          </w:p>
        </w:tc>
      </w:tr>
      <w:tr w:rsidR="00843FDA" w:rsidRPr="00C6580C" w14:paraId="23705DCA" w14:textId="77777777">
        <w:tc>
          <w:tcPr>
            <w:tcW w:w="0" w:type="auto"/>
            <w:tcBorders>
              <w:top w:val="single" w:sz="4" w:space="0" w:color="000000"/>
              <w:left w:val="single" w:sz="4" w:space="0" w:color="000000"/>
              <w:bottom w:val="single" w:sz="4" w:space="0" w:color="000000"/>
              <w:right w:val="single" w:sz="4" w:space="0" w:color="000000"/>
            </w:tcBorders>
          </w:tcPr>
          <w:p w14:paraId="4BAC6A43" w14:textId="77777777" w:rsidR="00843FDA" w:rsidRPr="00C6580C" w:rsidRDefault="00843FDA" w:rsidP="00CD7CAC">
            <w:pPr>
              <w:widowControl/>
              <w:rPr>
                <w:kern w:val="0"/>
                <w:szCs w:val="22"/>
              </w:rPr>
            </w:pPr>
            <w:r w:rsidRPr="00C6580C">
              <w:rPr>
                <w:kern w:val="0"/>
                <w:szCs w:val="22"/>
              </w:rPr>
              <w:t>236a</w:t>
            </w:r>
          </w:p>
        </w:tc>
        <w:tc>
          <w:tcPr>
            <w:tcW w:w="0" w:type="auto"/>
            <w:tcBorders>
              <w:top w:val="single" w:sz="4" w:space="0" w:color="000000"/>
              <w:left w:val="single" w:sz="4" w:space="0" w:color="000000"/>
              <w:bottom w:val="single" w:sz="4" w:space="0" w:color="000000"/>
              <w:right w:val="single" w:sz="4" w:space="0" w:color="000000"/>
            </w:tcBorders>
          </w:tcPr>
          <w:p w14:paraId="30756A00" w14:textId="77777777" w:rsidR="00843FDA" w:rsidRPr="00C6580C" w:rsidRDefault="00843FDA" w:rsidP="00CD7CAC">
            <w:pPr>
              <w:widowControl/>
              <w:jc w:val="right"/>
              <w:rPr>
                <w:kern w:val="0"/>
                <w:szCs w:val="22"/>
              </w:rPr>
            </w:pPr>
            <w:r w:rsidRPr="00C6580C">
              <w:rPr>
                <w:kern w:val="0"/>
                <w:szCs w:val="22"/>
              </w:rPr>
              <w:t>.1500</w:t>
            </w:r>
          </w:p>
        </w:tc>
      </w:tr>
      <w:tr w:rsidR="00843FDA" w:rsidRPr="00C6580C" w14:paraId="6B142412" w14:textId="77777777">
        <w:tc>
          <w:tcPr>
            <w:tcW w:w="0" w:type="auto"/>
            <w:tcBorders>
              <w:top w:val="single" w:sz="4" w:space="0" w:color="000000"/>
              <w:left w:val="single" w:sz="4" w:space="0" w:color="000000"/>
              <w:bottom w:val="single" w:sz="4" w:space="0" w:color="000000"/>
              <w:right w:val="single" w:sz="4" w:space="0" w:color="000000"/>
            </w:tcBorders>
          </w:tcPr>
          <w:p w14:paraId="28CAD56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86A24D8" w14:textId="77777777" w:rsidR="00843FDA" w:rsidRPr="00C6580C" w:rsidRDefault="00843FDA" w:rsidP="00CD7CAC">
            <w:pPr>
              <w:widowControl/>
              <w:jc w:val="center"/>
              <w:rPr>
                <w:szCs w:val="22"/>
              </w:rPr>
            </w:pPr>
            <w:r w:rsidRPr="00C6580C">
              <w:rPr>
                <w:kern w:val="0"/>
                <w:szCs w:val="22"/>
              </w:rPr>
              <w:t>* * *</w:t>
            </w:r>
          </w:p>
        </w:tc>
      </w:tr>
      <w:tr w:rsidR="00843FDA" w:rsidRPr="00C6580C" w14:paraId="773C1433" w14:textId="77777777">
        <w:tc>
          <w:tcPr>
            <w:tcW w:w="0" w:type="auto"/>
            <w:tcBorders>
              <w:top w:val="single" w:sz="4" w:space="0" w:color="000000"/>
              <w:left w:val="single" w:sz="4" w:space="0" w:color="000000"/>
              <w:bottom w:val="single" w:sz="4" w:space="0" w:color="000000"/>
              <w:right w:val="single" w:sz="4" w:space="0" w:color="000000"/>
            </w:tcBorders>
          </w:tcPr>
          <w:p w14:paraId="7EB8A9D1" w14:textId="77777777" w:rsidR="00843FDA" w:rsidRPr="00C6580C" w:rsidRDefault="00843FDA" w:rsidP="00CD7CAC">
            <w:pPr>
              <w:widowControl/>
              <w:rPr>
                <w:kern w:val="0"/>
                <w:szCs w:val="22"/>
              </w:rPr>
            </w:pPr>
            <w:r w:rsidRPr="00C6580C">
              <w:rPr>
                <w:kern w:val="0"/>
                <w:szCs w:val="22"/>
              </w:rPr>
              <w:t>237a</w:t>
            </w:r>
          </w:p>
        </w:tc>
        <w:tc>
          <w:tcPr>
            <w:tcW w:w="0" w:type="auto"/>
            <w:tcBorders>
              <w:top w:val="single" w:sz="4" w:space="0" w:color="000000"/>
              <w:left w:val="single" w:sz="4" w:space="0" w:color="000000"/>
              <w:bottom w:val="single" w:sz="4" w:space="0" w:color="000000"/>
              <w:right w:val="single" w:sz="4" w:space="0" w:color="000000"/>
            </w:tcBorders>
          </w:tcPr>
          <w:p w14:paraId="0D57AAB2" w14:textId="77777777" w:rsidR="00843FDA" w:rsidRPr="00C6580C" w:rsidRDefault="00843FDA" w:rsidP="00CD7CAC">
            <w:pPr>
              <w:widowControl/>
              <w:jc w:val="right"/>
              <w:rPr>
                <w:kern w:val="0"/>
                <w:szCs w:val="22"/>
              </w:rPr>
            </w:pPr>
            <w:r w:rsidRPr="00C6580C">
              <w:rPr>
                <w:kern w:val="0"/>
                <w:szCs w:val="22"/>
              </w:rPr>
              <w:t>.1750</w:t>
            </w:r>
          </w:p>
        </w:tc>
      </w:tr>
      <w:tr w:rsidR="00843FDA" w:rsidRPr="00C6580C" w14:paraId="133FC097" w14:textId="77777777">
        <w:tc>
          <w:tcPr>
            <w:tcW w:w="0" w:type="auto"/>
            <w:tcBorders>
              <w:top w:val="single" w:sz="4" w:space="0" w:color="000000"/>
              <w:left w:val="single" w:sz="4" w:space="0" w:color="000000"/>
              <w:bottom w:val="single" w:sz="4" w:space="0" w:color="000000"/>
              <w:right w:val="single" w:sz="4" w:space="0" w:color="000000"/>
            </w:tcBorders>
          </w:tcPr>
          <w:p w14:paraId="56DFE8C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6F2FF79" w14:textId="77777777" w:rsidR="00843FDA" w:rsidRPr="00C6580C" w:rsidRDefault="00843FDA" w:rsidP="00CD7CAC">
            <w:pPr>
              <w:widowControl/>
              <w:jc w:val="center"/>
              <w:rPr>
                <w:szCs w:val="22"/>
              </w:rPr>
            </w:pPr>
            <w:r w:rsidRPr="00C6580C">
              <w:rPr>
                <w:kern w:val="0"/>
                <w:szCs w:val="22"/>
              </w:rPr>
              <w:t>* * *</w:t>
            </w:r>
          </w:p>
        </w:tc>
      </w:tr>
      <w:tr w:rsidR="00843FDA" w:rsidRPr="00C6580C" w14:paraId="2C100109" w14:textId="77777777">
        <w:tc>
          <w:tcPr>
            <w:tcW w:w="0" w:type="auto"/>
            <w:tcBorders>
              <w:top w:val="single" w:sz="4" w:space="0" w:color="000000"/>
              <w:left w:val="single" w:sz="4" w:space="0" w:color="000000"/>
              <w:bottom w:val="single" w:sz="4" w:space="0" w:color="000000"/>
              <w:right w:val="single" w:sz="4" w:space="0" w:color="000000"/>
            </w:tcBorders>
          </w:tcPr>
          <w:p w14:paraId="0FCC2F75" w14:textId="77777777" w:rsidR="00843FDA" w:rsidRPr="00C6580C" w:rsidRDefault="00843FDA" w:rsidP="00CD7CAC">
            <w:pPr>
              <w:widowControl/>
              <w:rPr>
                <w:kern w:val="0"/>
                <w:szCs w:val="22"/>
              </w:rPr>
            </w:pPr>
            <w:r w:rsidRPr="00C6580C">
              <w:rPr>
                <w:kern w:val="0"/>
                <w:szCs w:val="22"/>
              </w:rPr>
              <w:t>238a</w:t>
            </w:r>
          </w:p>
        </w:tc>
        <w:tc>
          <w:tcPr>
            <w:tcW w:w="0" w:type="auto"/>
            <w:tcBorders>
              <w:top w:val="single" w:sz="4" w:space="0" w:color="000000"/>
              <w:left w:val="single" w:sz="4" w:space="0" w:color="000000"/>
              <w:bottom w:val="single" w:sz="4" w:space="0" w:color="000000"/>
              <w:right w:val="single" w:sz="4" w:space="0" w:color="000000"/>
            </w:tcBorders>
          </w:tcPr>
          <w:p w14:paraId="274563BD" w14:textId="77777777" w:rsidR="00843FDA" w:rsidRPr="00C6580C" w:rsidRDefault="00843FDA" w:rsidP="00CD7CAC">
            <w:pPr>
              <w:widowControl/>
              <w:jc w:val="right"/>
              <w:rPr>
                <w:kern w:val="0"/>
                <w:szCs w:val="22"/>
              </w:rPr>
            </w:pPr>
            <w:r w:rsidRPr="00C6580C">
              <w:rPr>
                <w:kern w:val="0"/>
                <w:szCs w:val="22"/>
              </w:rPr>
              <w:t>.2000</w:t>
            </w:r>
          </w:p>
        </w:tc>
      </w:tr>
      <w:tr w:rsidR="00843FDA" w:rsidRPr="00C6580C" w14:paraId="2399CFE8" w14:textId="77777777">
        <w:tc>
          <w:tcPr>
            <w:tcW w:w="0" w:type="auto"/>
            <w:tcBorders>
              <w:top w:val="single" w:sz="4" w:space="0" w:color="000000"/>
              <w:left w:val="single" w:sz="4" w:space="0" w:color="000000"/>
              <w:bottom w:val="single" w:sz="4" w:space="0" w:color="000000"/>
              <w:right w:val="single" w:sz="4" w:space="0" w:color="000000"/>
            </w:tcBorders>
          </w:tcPr>
          <w:p w14:paraId="7D0472A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EAFA6AC" w14:textId="77777777" w:rsidR="00843FDA" w:rsidRPr="00C6580C" w:rsidRDefault="00843FDA" w:rsidP="00CD7CAC">
            <w:pPr>
              <w:widowControl/>
              <w:jc w:val="center"/>
              <w:rPr>
                <w:szCs w:val="22"/>
              </w:rPr>
            </w:pPr>
            <w:r w:rsidRPr="00C6580C">
              <w:rPr>
                <w:kern w:val="0"/>
                <w:szCs w:val="22"/>
              </w:rPr>
              <w:t>* * *</w:t>
            </w:r>
          </w:p>
        </w:tc>
      </w:tr>
      <w:tr w:rsidR="00843FDA" w:rsidRPr="00C6580C" w14:paraId="61C188E5" w14:textId="77777777">
        <w:tc>
          <w:tcPr>
            <w:tcW w:w="0" w:type="auto"/>
            <w:tcBorders>
              <w:top w:val="single" w:sz="4" w:space="0" w:color="000000"/>
              <w:left w:val="single" w:sz="4" w:space="0" w:color="000000"/>
              <w:bottom w:val="single" w:sz="4" w:space="0" w:color="000000"/>
              <w:right w:val="single" w:sz="4" w:space="0" w:color="000000"/>
            </w:tcBorders>
          </w:tcPr>
          <w:p w14:paraId="5EC9AC54" w14:textId="77777777" w:rsidR="00843FDA" w:rsidRPr="00C6580C" w:rsidRDefault="00843FDA" w:rsidP="00CD7CAC">
            <w:pPr>
              <w:widowControl/>
              <w:rPr>
                <w:kern w:val="0"/>
                <w:szCs w:val="22"/>
              </w:rPr>
            </w:pPr>
            <w:r w:rsidRPr="00C6580C">
              <w:rPr>
                <w:kern w:val="0"/>
                <w:szCs w:val="22"/>
              </w:rPr>
              <w:t>239a</w:t>
            </w:r>
          </w:p>
        </w:tc>
        <w:tc>
          <w:tcPr>
            <w:tcW w:w="0" w:type="auto"/>
            <w:tcBorders>
              <w:top w:val="single" w:sz="4" w:space="0" w:color="000000"/>
              <w:left w:val="single" w:sz="4" w:space="0" w:color="000000"/>
              <w:bottom w:val="single" w:sz="4" w:space="0" w:color="000000"/>
              <w:right w:val="single" w:sz="4" w:space="0" w:color="000000"/>
            </w:tcBorders>
          </w:tcPr>
          <w:p w14:paraId="79E5036E" w14:textId="77777777" w:rsidR="00843FDA" w:rsidRPr="00C6580C" w:rsidRDefault="00843FDA" w:rsidP="00CD7CAC">
            <w:pPr>
              <w:widowControl/>
              <w:jc w:val="right"/>
              <w:rPr>
                <w:kern w:val="0"/>
                <w:szCs w:val="22"/>
              </w:rPr>
            </w:pPr>
            <w:r w:rsidRPr="00C6580C">
              <w:rPr>
                <w:kern w:val="0"/>
                <w:szCs w:val="22"/>
              </w:rPr>
              <w:t>.2250</w:t>
            </w:r>
          </w:p>
        </w:tc>
      </w:tr>
      <w:tr w:rsidR="00843FDA" w:rsidRPr="00C6580C" w14:paraId="5641D36C" w14:textId="77777777">
        <w:tc>
          <w:tcPr>
            <w:tcW w:w="0" w:type="auto"/>
            <w:tcBorders>
              <w:top w:val="single" w:sz="4" w:space="0" w:color="000000"/>
              <w:left w:val="single" w:sz="4" w:space="0" w:color="000000"/>
              <w:bottom w:val="single" w:sz="4" w:space="0" w:color="000000"/>
              <w:right w:val="single" w:sz="4" w:space="0" w:color="000000"/>
            </w:tcBorders>
          </w:tcPr>
          <w:p w14:paraId="58ADB5C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B242F93" w14:textId="77777777" w:rsidR="00843FDA" w:rsidRPr="00C6580C" w:rsidRDefault="00843FDA" w:rsidP="00CD7CAC">
            <w:pPr>
              <w:widowControl/>
              <w:jc w:val="center"/>
              <w:rPr>
                <w:szCs w:val="22"/>
              </w:rPr>
            </w:pPr>
            <w:r w:rsidRPr="00C6580C">
              <w:rPr>
                <w:kern w:val="0"/>
                <w:szCs w:val="22"/>
              </w:rPr>
              <w:t>* * *</w:t>
            </w:r>
          </w:p>
        </w:tc>
      </w:tr>
      <w:tr w:rsidR="00843FDA" w:rsidRPr="00C6580C" w14:paraId="1ED03800" w14:textId="77777777">
        <w:tc>
          <w:tcPr>
            <w:tcW w:w="0" w:type="auto"/>
            <w:tcBorders>
              <w:top w:val="single" w:sz="4" w:space="0" w:color="000000"/>
              <w:left w:val="single" w:sz="4" w:space="0" w:color="000000"/>
              <w:bottom w:val="single" w:sz="4" w:space="0" w:color="000000"/>
              <w:right w:val="single" w:sz="4" w:space="0" w:color="000000"/>
            </w:tcBorders>
          </w:tcPr>
          <w:p w14:paraId="3658B8D7" w14:textId="77777777" w:rsidR="00843FDA" w:rsidRPr="00C6580C" w:rsidRDefault="00843FDA" w:rsidP="00CD7CAC">
            <w:pPr>
              <w:widowControl/>
              <w:rPr>
                <w:kern w:val="0"/>
                <w:szCs w:val="22"/>
              </w:rPr>
            </w:pPr>
            <w:r w:rsidRPr="00C6580C">
              <w:rPr>
                <w:kern w:val="0"/>
                <w:szCs w:val="22"/>
              </w:rPr>
              <w:t>240a</w:t>
            </w:r>
          </w:p>
        </w:tc>
        <w:tc>
          <w:tcPr>
            <w:tcW w:w="0" w:type="auto"/>
            <w:tcBorders>
              <w:top w:val="single" w:sz="4" w:space="0" w:color="000000"/>
              <w:left w:val="single" w:sz="4" w:space="0" w:color="000000"/>
              <w:bottom w:val="single" w:sz="4" w:space="0" w:color="000000"/>
              <w:right w:val="single" w:sz="4" w:space="0" w:color="000000"/>
            </w:tcBorders>
          </w:tcPr>
          <w:p w14:paraId="04B7EB72" w14:textId="77777777" w:rsidR="00843FDA" w:rsidRPr="00C6580C" w:rsidRDefault="00843FDA" w:rsidP="00CD7CAC">
            <w:pPr>
              <w:widowControl/>
              <w:jc w:val="right"/>
              <w:rPr>
                <w:kern w:val="0"/>
                <w:szCs w:val="22"/>
              </w:rPr>
            </w:pPr>
            <w:r w:rsidRPr="00C6580C">
              <w:rPr>
                <w:kern w:val="0"/>
                <w:szCs w:val="22"/>
              </w:rPr>
              <w:t>.2500</w:t>
            </w:r>
          </w:p>
        </w:tc>
      </w:tr>
      <w:tr w:rsidR="00843FDA" w:rsidRPr="00C6580C" w14:paraId="656B7EA5" w14:textId="77777777">
        <w:tc>
          <w:tcPr>
            <w:tcW w:w="0" w:type="auto"/>
            <w:tcBorders>
              <w:top w:val="single" w:sz="4" w:space="0" w:color="000000"/>
              <w:left w:val="single" w:sz="4" w:space="0" w:color="000000"/>
              <w:bottom w:val="single" w:sz="4" w:space="0" w:color="000000"/>
              <w:right w:val="single" w:sz="4" w:space="0" w:color="000000"/>
            </w:tcBorders>
          </w:tcPr>
          <w:p w14:paraId="35012BB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8F62163" w14:textId="77777777" w:rsidR="00843FDA" w:rsidRPr="00C6580C" w:rsidRDefault="00843FDA" w:rsidP="00CD7CAC">
            <w:pPr>
              <w:widowControl/>
              <w:jc w:val="center"/>
              <w:rPr>
                <w:szCs w:val="22"/>
              </w:rPr>
            </w:pPr>
            <w:r w:rsidRPr="00C6580C">
              <w:rPr>
                <w:kern w:val="0"/>
                <w:szCs w:val="22"/>
              </w:rPr>
              <w:t>* * *</w:t>
            </w:r>
          </w:p>
        </w:tc>
      </w:tr>
      <w:tr w:rsidR="00843FDA" w:rsidRPr="00C6580C" w14:paraId="16718EB9" w14:textId="77777777">
        <w:tc>
          <w:tcPr>
            <w:tcW w:w="0" w:type="auto"/>
            <w:tcBorders>
              <w:top w:val="single" w:sz="4" w:space="0" w:color="000000"/>
              <w:left w:val="single" w:sz="4" w:space="0" w:color="000000"/>
              <w:bottom w:val="single" w:sz="4" w:space="0" w:color="000000"/>
              <w:right w:val="single" w:sz="4" w:space="0" w:color="000000"/>
            </w:tcBorders>
          </w:tcPr>
          <w:p w14:paraId="67E67C2C" w14:textId="77777777" w:rsidR="00843FDA" w:rsidRPr="00C6580C" w:rsidRDefault="00843FDA" w:rsidP="00CD7CAC">
            <w:pPr>
              <w:widowControl/>
              <w:rPr>
                <w:kern w:val="0"/>
                <w:szCs w:val="22"/>
              </w:rPr>
            </w:pPr>
            <w:r w:rsidRPr="00C6580C">
              <w:rPr>
                <w:kern w:val="0"/>
                <w:szCs w:val="22"/>
              </w:rPr>
              <w:t>241a</w:t>
            </w:r>
          </w:p>
        </w:tc>
        <w:tc>
          <w:tcPr>
            <w:tcW w:w="0" w:type="auto"/>
            <w:tcBorders>
              <w:top w:val="single" w:sz="4" w:space="0" w:color="000000"/>
              <w:left w:val="single" w:sz="4" w:space="0" w:color="000000"/>
              <w:bottom w:val="single" w:sz="4" w:space="0" w:color="000000"/>
              <w:right w:val="single" w:sz="4" w:space="0" w:color="000000"/>
            </w:tcBorders>
          </w:tcPr>
          <w:p w14:paraId="103683F9" w14:textId="77777777" w:rsidR="00843FDA" w:rsidRPr="00C6580C" w:rsidRDefault="00843FDA" w:rsidP="00CD7CAC">
            <w:pPr>
              <w:widowControl/>
              <w:jc w:val="right"/>
              <w:rPr>
                <w:kern w:val="0"/>
                <w:szCs w:val="22"/>
              </w:rPr>
            </w:pPr>
            <w:r w:rsidRPr="00C6580C">
              <w:rPr>
                <w:kern w:val="0"/>
                <w:szCs w:val="22"/>
              </w:rPr>
              <w:t>.2750</w:t>
            </w:r>
          </w:p>
        </w:tc>
      </w:tr>
      <w:tr w:rsidR="00843FDA" w:rsidRPr="00C6580C" w14:paraId="54D5E937" w14:textId="77777777">
        <w:tc>
          <w:tcPr>
            <w:tcW w:w="0" w:type="auto"/>
            <w:tcBorders>
              <w:top w:val="single" w:sz="4" w:space="0" w:color="000000"/>
              <w:left w:val="single" w:sz="4" w:space="0" w:color="000000"/>
              <w:bottom w:val="single" w:sz="4" w:space="0" w:color="000000"/>
              <w:right w:val="single" w:sz="4" w:space="0" w:color="000000"/>
            </w:tcBorders>
          </w:tcPr>
          <w:p w14:paraId="1D7D099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0E53959" w14:textId="77777777" w:rsidR="00843FDA" w:rsidRPr="00C6580C" w:rsidRDefault="00843FDA" w:rsidP="00CD7CAC">
            <w:pPr>
              <w:widowControl/>
              <w:jc w:val="center"/>
              <w:rPr>
                <w:szCs w:val="22"/>
              </w:rPr>
            </w:pPr>
            <w:r w:rsidRPr="00C6580C">
              <w:rPr>
                <w:kern w:val="0"/>
                <w:szCs w:val="22"/>
              </w:rPr>
              <w:t>* * *</w:t>
            </w:r>
          </w:p>
        </w:tc>
      </w:tr>
      <w:tr w:rsidR="00843FDA" w:rsidRPr="00C6580C" w14:paraId="3EC20069" w14:textId="77777777">
        <w:tc>
          <w:tcPr>
            <w:tcW w:w="0" w:type="auto"/>
            <w:tcBorders>
              <w:top w:val="single" w:sz="4" w:space="0" w:color="000000"/>
              <w:left w:val="single" w:sz="4" w:space="0" w:color="000000"/>
              <w:bottom w:val="single" w:sz="4" w:space="0" w:color="000000"/>
              <w:right w:val="single" w:sz="4" w:space="0" w:color="000000"/>
            </w:tcBorders>
          </w:tcPr>
          <w:p w14:paraId="2D60D3AD" w14:textId="77777777" w:rsidR="00843FDA" w:rsidRPr="00C6580C" w:rsidRDefault="00843FDA" w:rsidP="00CD7CAC">
            <w:pPr>
              <w:widowControl/>
              <w:rPr>
                <w:kern w:val="0"/>
                <w:szCs w:val="22"/>
              </w:rPr>
            </w:pPr>
            <w:r w:rsidRPr="00C6580C">
              <w:rPr>
                <w:kern w:val="0"/>
                <w:szCs w:val="22"/>
              </w:rPr>
              <w:t>242a</w:t>
            </w:r>
          </w:p>
        </w:tc>
        <w:tc>
          <w:tcPr>
            <w:tcW w:w="0" w:type="auto"/>
            <w:tcBorders>
              <w:top w:val="single" w:sz="4" w:space="0" w:color="000000"/>
              <w:left w:val="single" w:sz="4" w:space="0" w:color="000000"/>
              <w:bottom w:val="single" w:sz="4" w:space="0" w:color="000000"/>
              <w:right w:val="single" w:sz="4" w:space="0" w:color="000000"/>
            </w:tcBorders>
          </w:tcPr>
          <w:p w14:paraId="76A54E83" w14:textId="77777777" w:rsidR="00843FDA" w:rsidRPr="00C6580C" w:rsidRDefault="00843FDA" w:rsidP="00CD7CAC">
            <w:pPr>
              <w:widowControl/>
              <w:jc w:val="right"/>
              <w:rPr>
                <w:kern w:val="0"/>
                <w:szCs w:val="22"/>
              </w:rPr>
            </w:pPr>
            <w:r w:rsidRPr="00C6580C">
              <w:rPr>
                <w:kern w:val="0"/>
                <w:szCs w:val="22"/>
              </w:rPr>
              <w:t>.3000</w:t>
            </w:r>
          </w:p>
        </w:tc>
      </w:tr>
      <w:tr w:rsidR="00843FDA" w:rsidRPr="00C6580C" w14:paraId="31B385AA" w14:textId="77777777">
        <w:tc>
          <w:tcPr>
            <w:tcW w:w="0" w:type="auto"/>
            <w:tcBorders>
              <w:top w:val="single" w:sz="4" w:space="0" w:color="000000"/>
              <w:left w:val="single" w:sz="4" w:space="0" w:color="000000"/>
              <w:bottom w:val="single" w:sz="4" w:space="0" w:color="000000"/>
              <w:right w:val="single" w:sz="4" w:space="0" w:color="000000"/>
            </w:tcBorders>
          </w:tcPr>
          <w:p w14:paraId="339689B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12D4B6E" w14:textId="77777777" w:rsidR="00843FDA" w:rsidRPr="00C6580C" w:rsidRDefault="00843FDA" w:rsidP="00CD7CAC">
            <w:pPr>
              <w:widowControl/>
              <w:jc w:val="center"/>
              <w:rPr>
                <w:szCs w:val="22"/>
              </w:rPr>
            </w:pPr>
            <w:r w:rsidRPr="00C6580C">
              <w:rPr>
                <w:kern w:val="0"/>
                <w:szCs w:val="22"/>
              </w:rPr>
              <w:t>* * *</w:t>
            </w:r>
          </w:p>
        </w:tc>
      </w:tr>
      <w:tr w:rsidR="00843FDA" w:rsidRPr="00C6580C" w14:paraId="41AF02A5" w14:textId="77777777">
        <w:tc>
          <w:tcPr>
            <w:tcW w:w="0" w:type="auto"/>
            <w:tcBorders>
              <w:top w:val="single" w:sz="4" w:space="0" w:color="000000"/>
              <w:left w:val="single" w:sz="4" w:space="0" w:color="000000"/>
              <w:bottom w:val="single" w:sz="4" w:space="0" w:color="000000"/>
              <w:right w:val="single" w:sz="4" w:space="0" w:color="000000"/>
            </w:tcBorders>
          </w:tcPr>
          <w:p w14:paraId="4F1BA845" w14:textId="77777777" w:rsidR="00843FDA" w:rsidRPr="00C6580C" w:rsidRDefault="00843FDA" w:rsidP="00CD7CAC">
            <w:pPr>
              <w:widowControl/>
              <w:rPr>
                <w:kern w:val="0"/>
                <w:szCs w:val="22"/>
              </w:rPr>
            </w:pPr>
            <w:r w:rsidRPr="00C6580C">
              <w:rPr>
                <w:kern w:val="0"/>
                <w:szCs w:val="22"/>
              </w:rPr>
              <w:t>243a</w:t>
            </w:r>
          </w:p>
        </w:tc>
        <w:tc>
          <w:tcPr>
            <w:tcW w:w="0" w:type="auto"/>
            <w:tcBorders>
              <w:top w:val="single" w:sz="4" w:space="0" w:color="000000"/>
              <w:left w:val="single" w:sz="4" w:space="0" w:color="000000"/>
              <w:bottom w:val="single" w:sz="4" w:space="0" w:color="000000"/>
              <w:right w:val="single" w:sz="4" w:space="0" w:color="000000"/>
            </w:tcBorders>
          </w:tcPr>
          <w:p w14:paraId="73132CEA" w14:textId="77777777" w:rsidR="00843FDA" w:rsidRPr="00C6580C" w:rsidRDefault="00843FDA" w:rsidP="00CD7CAC">
            <w:pPr>
              <w:widowControl/>
              <w:jc w:val="right"/>
              <w:rPr>
                <w:kern w:val="0"/>
                <w:szCs w:val="22"/>
              </w:rPr>
            </w:pPr>
            <w:r w:rsidRPr="00C6580C">
              <w:rPr>
                <w:kern w:val="0"/>
                <w:szCs w:val="22"/>
              </w:rPr>
              <w:t>.3250</w:t>
            </w:r>
          </w:p>
        </w:tc>
      </w:tr>
      <w:tr w:rsidR="00843FDA" w:rsidRPr="00C6580C" w14:paraId="57F154FF" w14:textId="77777777">
        <w:tc>
          <w:tcPr>
            <w:tcW w:w="0" w:type="auto"/>
            <w:tcBorders>
              <w:top w:val="single" w:sz="4" w:space="0" w:color="000000"/>
              <w:left w:val="single" w:sz="4" w:space="0" w:color="000000"/>
              <w:bottom w:val="single" w:sz="4" w:space="0" w:color="000000"/>
              <w:right w:val="single" w:sz="4" w:space="0" w:color="000000"/>
            </w:tcBorders>
          </w:tcPr>
          <w:p w14:paraId="720554A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18E376E" w14:textId="77777777" w:rsidR="00843FDA" w:rsidRPr="00C6580C" w:rsidRDefault="00843FDA" w:rsidP="00CD7CAC">
            <w:pPr>
              <w:widowControl/>
              <w:jc w:val="center"/>
              <w:rPr>
                <w:szCs w:val="22"/>
              </w:rPr>
            </w:pPr>
            <w:r w:rsidRPr="00C6580C">
              <w:rPr>
                <w:kern w:val="0"/>
                <w:szCs w:val="22"/>
              </w:rPr>
              <w:t>* * *</w:t>
            </w:r>
          </w:p>
        </w:tc>
      </w:tr>
      <w:tr w:rsidR="00843FDA" w:rsidRPr="00C6580C" w14:paraId="02AC82F7" w14:textId="77777777">
        <w:tc>
          <w:tcPr>
            <w:tcW w:w="0" w:type="auto"/>
            <w:tcBorders>
              <w:top w:val="single" w:sz="4" w:space="0" w:color="000000"/>
              <w:left w:val="single" w:sz="4" w:space="0" w:color="000000"/>
              <w:bottom w:val="single" w:sz="4" w:space="0" w:color="000000"/>
              <w:right w:val="single" w:sz="4" w:space="0" w:color="000000"/>
            </w:tcBorders>
          </w:tcPr>
          <w:p w14:paraId="605692E7" w14:textId="77777777" w:rsidR="00843FDA" w:rsidRPr="00C6580C" w:rsidRDefault="00843FDA" w:rsidP="00CD7CAC">
            <w:pPr>
              <w:widowControl/>
              <w:rPr>
                <w:kern w:val="0"/>
                <w:szCs w:val="22"/>
              </w:rPr>
            </w:pPr>
            <w:r w:rsidRPr="00C6580C">
              <w:rPr>
                <w:kern w:val="0"/>
                <w:szCs w:val="22"/>
              </w:rPr>
              <w:t>244a</w:t>
            </w:r>
          </w:p>
        </w:tc>
        <w:tc>
          <w:tcPr>
            <w:tcW w:w="0" w:type="auto"/>
            <w:tcBorders>
              <w:top w:val="single" w:sz="4" w:space="0" w:color="000000"/>
              <w:left w:val="single" w:sz="4" w:space="0" w:color="000000"/>
              <w:bottom w:val="single" w:sz="4" w:space="0" w:color="000000"/>
              <w:right w:val="single" w:sz="4" w:space="0" w:color="000000"/>
            </w:tcBorders>
          </w:tcPr>
          <w:p w14:paraId="744E80B5" w14:textId="77777777" w:rsidR="00843FDA" w:rsidRPr="00C6580C" w:rsidRDefault="00843FDA" w:rsidP="00CD7CAC">
            <w:pPr>
              <w:widowControl/>
              <w:jc w:val="right"/>
              <w:rPr>
                <w:kern w:val="0"/>
                <w:szCs w:val="22"/>
              </w:rPr>
            </w:pPr>
            <w:r w:rsidRPr="00C6580C">
              <w:rPr>
                <w:kern w:val="0"/>
                <w:szCs w:val="22"/>
              </w:rPr>
              <w:t>.3500</w:t>
            </w:r>
          </w:p>
        </w:tc>
      </w:tr>
      <w:tr w:rsidR="00843FDA" w:rsidRPr="00C6580C" w14:paraId="17159BEC" w14:textId="77777777">
        <w:tc>
          <w:tcPr>
            <w:tcW w:w="0" w:type="auto"/>
            <w:tcBorders>
              <w:top w:val="single" w:sz="4" w:space="0" w:color="000000"/>
              <w:left w:val="single" w:sz="4" w:space="0" w:color="000000"/>
              <w:bottom w:val="single" w:sz="4" w:space="0" w:color="000000"/>
              <w:right w:val="single" w:sz="4" w:space="0" w:color="000000"/>
            </w:tcBorders>
          </w:tcPr>
          <w:p w14:paraId="2F28DDB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DCEF18D" w14:textId="77777777" w:rsidR="00843FDA" w:rsidRPr="00C6580C" w:rsidRDefault="00843FDA" w:rsidP="00CD7CAC">
            <w:pPr>
              <w:widowControl/>
              <w:jc w:val="center"/>
              <w:rPr>
                <w:szCs w:val="22"/>
              </w:rPr>
            </w:pPr>
            <w:r w:rsidRPr="00C6580C">
              <w:rPr>
                <w:kern w:val="0"/>
                <w:szCs w:val="22"/>
              </w:rPr>
              <w:t>* * *</w:t>
            </w:r>
          </w:p>
        </w:tc>
      </w:tr>
      <w:tr w:rsidR="00843FDA" w:rsidRPr="00C6580C" w14:paraId="6B1469A5" w14:textId="77777777">
        <w:tc>
          <w:tcPr>
            <w:tcW w:w="0" w:type="auto"/>
            <w:tcBorders>
              <w:top w:val="single" w:sz="4" w:space="0" w:color="000000"/>
              <w:left w:val="single" w:sz="4" w:space="0" w:color="000000"/>
              <w:bottom w:val="single" w:sz="4" w:space="0" w:color="000000"/>
              <w:right w:val="single" w:sz="4" w:space="0" w:color="000000"/>
            </w:tcBorders>
          </w:tcPr>
          <w:p w14:paraId="330B5D37" w14:textId="77777777" w:rsidR="00843FDA" w:rsidRPr="00C6580C" w:rsidRDefault="00843FDA" w:rsidP="00CD7CAC">
            <w:pPr>
              <w:widowControl/>
              <w:rPr>
                <w:kern w:val="0"/>
                <w:szCs w:val="22"/>
              </w:rPr>
            </w:pPr>
            <w:r w:rsidRPr="00C6580C">
              <w:rPr>
                <w:kern w:val="0"/>
                <w:szCs w:val="22"/>
              </w:rPr>
              <w:t>245a</w:t>
            </w:r>
          </w:p>
        </w:tc>
        <w:tc>
          <w:tcPr>
            <w:tcW w:w="0" w:type="auto"/>
            <w:tcBorders>
              <w:top w:val="single" w:sz="4" w:space="0" w:color="000000"/>
              <w:left w:val="single" w:sz="4" w:space="0" w:color="000000"/>
              <w:bottom w:val="single" w:sz="4" w:space="0" w:color="000000"/>
              <w:right w:val="single" w:sz="4" w:space="0" w:color="000000"/>
            </w:tcBorders>
          </w:tcPr>
          <w:p w14:paraId="5603CE76" w14:textId="77777777" w:rsidR="00843FDA" w:rsidRPr="00C6580C" w:rsidRDefault="00843FDA" w:rsidP="00CD7CAC">
            <w:pPr>
              <w:widowControl/>
              <w:jc w:val="right"/>
              <w:rPr>
                <w:kern w:val="0"/>
                <w:szCs w:val="22"/>
              </w:rPr>
            </w:pPr>
            <w:r w:rsidRPr="00C6580C">
              <w:rPr>
                <w:kern w:val="0"/>
                <w:szCs w:val="22"/>
              </w:rPr>
              <w:t>.3750</w:t>
            </w:r>
          </w:p>
        </w:tc>
      </w:tr>
      <w:tr w:rsidR="00843FDA" w:rsidRPr="00C6580C" w14:paraId="44453ABD" w14:textId="77777777">
        <w:tc>
          <w:tcPr>
            <w:tcW w:w="0" w:type="auto"/>
            <w:tcBorders>
              <w:top w:val="single" w:sz="4" w:space="0" w:color="000000"/>
              <w:left w:val="single" w:sz="4" w:space="0" w:color="000000"/>
              <w:bottom w:val="single" w:sz="4" w:space="0" w:color="000000"/>
              <w:right w:val="single" w:sz="4" w:space="0" w:color="000000"/>
            </w:tcBorders>
          </w:tcPr>
          <w:p w14:paraId="0925C48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8F1EE07" w14:textId="77777777" w:rsidR="00843FDA" w:rsidRPr="00C6580C" w:rsidRDefault="00843FDA" w:rsidP="00CD7CAC">
            <w:pPr>
              <w:widowControl/>
              <w:jc w:val="center"/>
              <w:rPr>
                <w:szCs w:val="22"/>
              </w:rPr>
            </w:pPr>
            <w:r w:rsidRPr="00C6580C">
              <w:rPr>
                <w:kern w:val="0"/>
                <w:szCs w:val="22"/>
              </w:rPr>
              <w:t>* * *</w:t>
            </w:r>
          </w:p>
        </w:tc>
      </w:tr>
      <w:tr w:rsidR="00843FDA" w:rsidRPr="00C6580C" w14:paraId="4FA1EE79" w14:textId="77777777">
        <w:tc>
          <w:tcPr>
            <w:tcW w:w="0" w:type="auto"/>
            <w:tcBorders>
              <w:top w:val="single" w:sz="4" w:space="0" w:color="000000"/>
              <w:left w:val="single" w:sz="4" w:space="0" w:color="000000"/>
              <w:bottom w:val="single" w:sz="4" w:space="0" w:color="000000"/>
              <w:right w:val="single" w:sz="4" w:space="0" w:color="000000"/>
            </w:tcBorders>
          </w:tcPr>
          <w:p w14:paraId="2EEB4758" w14:textId="77777777" w:rsidR="00843FDA" w:rsidRPr="00C6580C" w:rsidRDefault="00843FDA" w:rsidP="00CD7CAC">
            <w:pPr>
              <w:widowControl/>
              <w:rPr>
                <w:kern w:val="0"/>
                <w:szCs w:val="22"/>
              </w:rPr>
            </w:pPr>
            <w:r w:rsidRPr="00C6580C">
              <w:rPr>
                <w:kern w:val="0"/>
                <w:szCs w:val="22"/>
              </w:rPr>
              <w:t>246a</w:t>
            </w:r>
          </w:p>
        </w:tc>
        <w:tc>
          <w:tcPr>
            <w:tcW w:w="0" w:type="auto"/>
            <w:tcBorders>
              <w:top w:val="single" w:sz="4" w:space="0" w:color="000000"/>
              <w:left w:val="single" w:sz="4" w:space="0" w:color="000000"/>
              <w:bottom w:val="single" w:sz="4" w:space="0" w:color="000000"/>
              <w:right w:val="single" w:sz="4" w:space="0" w:color="000000"/>
            </w:tcBorders>
          </w:tcPr>
          <w:p w14:paraId="131CB6EA" w14:textId="77777777" w:rsidR="00843FDA" w:rsidRPr="00C6580C" w:rsidRDefault="00843FDA" w:rsidP="00CD7CAC">
            <w:pPr>
              <w:widowControl/>
              <w:jc w:val="right"/>
              <w:rPr>
                <w:kern w:val="0"/>
                <w:szCs w:val="22"/>
              </w:rPr>
            </w:pPr>
            <w:r w:rsidRPr="00C6580C">
              <w:rPr>
                <w:kern w:val="0"/>
                <w:szCs w:val="22"/>
              </w:rPr>
              <w:t>.4000</w:t>
            </w:r>
          </w:p>
        </w:tc>
      </w:tr>
      <w:tr w:rsidR="00843FDA" w:rsidRPr="00C6580C" w14:paraId="692DA876" w14:textId="77777777">
        <w:tc>
          <w:tcPr>
            <w:tcW w:w="0" w:type="auto"/>
            <w:tcBorders>
              <w:top w:val="single" w:sz="4" w:space="0" w:color="000000"/>
              <w:left w:val="single" w:sz="4" w:space="0" w:color="000000"/>
              <w:bottom w:val="single" w:sz="4" w:space="0" w:color="000000"/>
              <w:right w:val="single" w:sz="4" w:space="0" w:color="000000"/>
            </w:tcBorders>
          </w:tcPr>
          <w:p w14:paraId="12466C0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2AB1ABE" w14:textId="77777777" w:rsidR="00843FDA" w:rsidRPr="00C6580C" w:rsidRDefault="00843FDA" w:rsidP="00CD7CAC">
            <w:pPr>
              <w:widowControl/>
              <w:jc w:val="center"/>
              <w:rPr>
                <w:szCs w:val="22"/>
              </w:rPr>
            </w:pPr>
            <w:r w:rsidRPr="00C6580C">
              <w:rPr>
                <w:kern w:val="0"/>
                <w:szCs w:val="22"/>
              </w:rPr>
              <w:t>* * *</w:t>
            </w:r>
          </w:p>
        </w:tc>
      </w:tr>
      <w:tr w:rsidR="00843FDA" w:rsidRPr="00C6580C" w14:paraId="620AFF11" w14:textId="77777777">
        <w:tc>
          <w:tcPr>
            <w:tcW w:w="0" w:type="auto"/>
            <w:tcBorders>
              <w:top w:val="single" w:sz="4" w:space="0" w:color="000000"/>
              <w:left w:val="single" w:sz="4" w:space="0" w:color="000000"/>
              <w:bottom w:val="single" w:sz="4" w:space="0" w:color="000000"/>
              <w:right w:val="single" w:sz="4" w:space="0" w:color="000000"/>
            </w:tcBorders>
          </w:tcPr>
          <w:p w14:paraId="17A4B4F9" w14:textId="77777777" w:rsidR="00843FDA" w:rsidRPr="00C6580C" w:rsidRDefault="00843FDA" w:rsidP="00CD7CAC">
            <w:pPr>
              <w:widowControl/>
              <w:rPr>
                <w:kern w:val="0"/>
                <w:szCs w:val="22"/>
              </w:rPr>
            </w:pPr>
            <w:r w:rsidRPr="00C6580C">
              <w:rPr>
                <w:kern w:val="0"/>
                <w:szCs w:val="22"/>
              </w:rPr>
              <w:t>247a</w:t>
            </w:r>
          </w:p>
        </w:tc>
        <w:tc>
          <w:tcPr>
            <w:tcW w:w="0" w:type="auto"/>
            <w:tcBorders>
              <w:top w:val="single" w:sz="4" w:space="0" w:color="000000"/>
              <w:left w:val="single" w:sz="4" w:space="0" w:color="000000"/>
              <w:bottom w:val="single" w:sz="4" w:space="0" w:color="000000"/>
              <w:right w:val="single" w:sz="4" w:space="0" w:color="000000"/>
            </w:tcBorders>
          </w:tcPr>
          <w:p w14:paraId="24BF82D6" w14:textId="77777777" w:rsidR="00843FDA" w:rsidRPr="00C6580C" w:rsidRDefault="00843FDA" w:rsidP="00CD7CAC">
            <w:pPr>
              <w:widowControl/>
              <w:jc w:val="right"/>
              <w:rPr>
                <w:kern w:val="0"/>
                <w:szCs w:val="22"/>
              </w:rPr>
            </w:pPr>
            <w:r w:rsidRPr="00C6580C">
              <w:rPr>
                <w:kern w:val="0"/>
                <w:szCs w:val="22"/>
              </w:rPr>
              <w:t>.4250</w:t>
            </w:r>
          </w:p>
        </w:tc>
      </w:tr>
      <w:tr w:rsidR="00843FDA" w:rsidRPr="00C6580C" w14:paraId="4C57574A" w14:textId="77777777">
        <w:tc>
          <w:tcPr>
            <w:tcW w:w="0" w:type="auto"/>
            <w:tcBorders>
              <w:top w:val="single" w:sz="4" w:space="0" w:color="000000"/>
              <w:left w:val="single" w:sz="4" w:space="0" w:color="000000"/>
              <w:bottom w:val="single" w:sz="4" w:space="0" w:color="000000"/>
              <w:right w:val="single" w:sz="4" w:space="0" w:color="000000"/>
            </w:tcBorders>
          </w:tcPr>
          <w:p w14:paraId="5AE8194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51E7410" w14:textId="77777777" w:rsidR="00843FDA" w:rsidRPr="00C6580C" w:rsidRDefault="00843FDA" w:rsidP="00CD7CAC">
            <w:pPr>
              <w:widowControl/>
              <w:jc w:val="center"/>
              <w:rPr>
                <w:szCs w:val="22"/>
              </w:rPr>
            </w:pPr>
            <w:r w:rsidRPr="00C6580C">
              <w:rPr>
                <w:kern w:val="0"/>
                <w:szCs w:val="22"/>
              </w:rPr>
              <w:t>* * *</w:t>
            </w:r>
          </w:p>
        </w:tc>
      </w:tr>
      <w:tr w:rsidR="00843FDA" w:rsidRPr="00C6580C" w14:paraId="7031F467" w14:textId="77777777">
        <w:tc>
          <w:tcPr>
            <w:tcW w:w="0" w:type="auto"/>
            <w:tcBorders>
              <w:top w:val="single" w:sz="4" w:space="0" w:color="000000"/>
              <w:left w:val="single" w:sz="4" w:space="0" w:color="000000"/>
              <w:bottom w:val="single" w:sz="4" w:space="0" w:color="000000"/>
              <w:right w:val="single" w:sz="4" w:space="0" w:color="000000"/>
            </w:tcBorders>
          </w:tcPr>
          <w:p w14:paraId="4DBC84AE" w14:textId="77777777" w:rsidR="00843FDA" w:rsidRPr="00C6580C" w:rsidRDefault="00843FDA" w:rsidP="00CD7CAC">
            <w:pPr>
              <w:widowControl/>
              <w:rPr>
                <w:kern w:val="0"/>
                <w:szCs w:val="22"/>
              </w:rPr>
            </w:pPr>
            <w:r w:rsidRPr="00C6580C">
              <w:rPr>
                <w:kern w:val="0"/>
                <w:szCs w:val="22"/>
              </w:rPr>
              <w:t>248a</w:t>
            </w:r>
          </w:p>
        </w:tc>
        <w:tc>
          <w:tcPr>
            <w:tcW w:w="0" w:type="auto"/>
            <w:tcBorders>
              <w:top w:val="single" w:sz="4" w:space="0" w:color="000000"/>
              <w:left w:val="single" w:sz="4" w:space="0" w:color="000000"/>
              <w:bottom w:val="single" w:sz="4" w:space="0" w:color="000000"/>
              <w:right w:val="single" w:sz="4" w:space="0" w:color="000000"/>
            </w:tcBorders>
          </w:tcPr>
          <w:p w14:paraId="543AD609" w14:textId="77777777" w:rsidR="00843FDA" w:rsidRPr="00C6580C" w:rsidRDefault="00843FDA" w:rsidP="00CD7CAC">
            <w:pPr>
              <w:widowControl/>
              <w:jc w:val="right"/>
              <w:rPr>
                <w:kern w:val="0"/>
                <w:szCs w:val="22"/>
              </w:rPr>
            </w:pPr>
            <w:r w:rsidRPr="00C6580C">
              <w:rPr>
                <w:kern w:val="0"/>
                <w:szCs w:val="22"/>
              </w:rPr>
              <w:t>.4500</w:t>
            </w:r>
          </w:p>
        </w:tc>
      </w:tr>
      <w:tr w:rsidR="00843FDA" w:rsidRPr="00C6580C" w14:paraId="26BC59D0" w14:textId="77777777">
        <w:tc>
          <w:tcPr>
            <w:tcW w:w="0" w:type="auto"/>
            <w:tcBorders>
              <w:top w:val="single" w:sz="4" w:space="0" w:color="000000"/>
              <w:left w:val="single" w:sz="4" w:space="0" w:color="000000"/>
              <w:bottom w:val="single" w:sz="4" w:space="0" w:color="000000"/>
              <w:right w:val="single" w:sz="4" w:space="0" w:color="000000"/>
            </w:tcBorders>
          </w:tcPr>
          <w:p w14:paraId="477A0B2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00ABB33" w14:textId="77777777" w:rsidR="00843FDA" w:rsidRPr="00C6580C" w:rsidRDefault="00843FDA" w:rsidP="00CD7CAC">
            <w:pPr>
              <w:widowControl/>
              <w:jc w:val="center"/>
              <w:rPr>
                <w:szCs w:val="22"/>
              </w:rPr>
            </w:pPr>
            <w:r w:rsidRPr="00C6580C">
              <w:rPr>
                <w:kern w:val="0"/>
                <w:szCs w:val="22"/>
              </w:rPr>
              <w:t>* * *</w:t>
            </w:r>
          </w:p>
        </w:tc>
      </w:tr>
      <w:tr w:rsidR="00843FDA" w:rsidRPr="00C6580C" w14:paraId="7CF90983" w14:textId="77777777">
        <w:tc>
          <w:tcPr>
            <w:tcW w:w="0" w:type="auto"/>
            <w:tcBorders>
              <w:top w:val="single" w:sz="4" w:space="0" w:color="000000"/>
              <w:left w:val="single" w:sz="4" w:space="0" w:color="000000"/>
              <w:bottom w:val="single" w:sz="4" w:space="0" w:color="000000"/>
              <w:right w:val="single" w:sz="4" w:space="0" w:color="000000"/>
            </w:tcBorders>
          </w:tcPr>
          <w:p w14:paraId="22CE4294" w14:textId="77777777" w:rsidR="00843FDA" w:rsidRPr="00C6580C" w:rsidRDefault="00843FDA" w:rsidP="00CD7CAC">
            <w:pPr>
              <w:widowControl/>
              <w:rPr>
                <w:kern w:val="0"/>
                <w:szCs w:val="22"/>
              </w:rPr>
            </w:pPr>
            <w:r w:rsidRPr="00C6580C">
              <w:rPr>
                <w:kern w:val="0"/>
                <w:szCs w:val="22"/>
              </w:rPr>
              <w:t>249a</w:t>
            </w:r>
          </w:p>
        </w:tc>
        <w:tc>
          <w:tcPr>
            <w:tcW w:w="0" w:type="auto"/>
            <w:tcBorders>
              <w:top w:val="single" w:sz="4" w:space="0" w:color="000000"/>
              <w:left w:val="single" w:sz="4" w:space="0" w:color="000000"/>
              <w:bottom w:val="single" w:sz="4" w:space="0" w:color="000000"/>
              <w:right w:val="single" w:sz="4" w:space="0" w:color="000000"/>
            </w:tcBorders>
          </w:tcPr>
          <w:p w14:paraId="5DDCDC37" w14:textId="77777777" w:rsidR="00843FDA" w:rsidRPr="00C6580C" w:rsidRDefault="00843FDA" w:rsidP="00CD7CAC">
            <w:pPr>
              <w:widowControl/>
              <w:jc w:val="right"/>
              <w:rPr>
                <w:kern w:val="0"/>
                <w:szCs w:val="22"/>
              </w:rPr>
            </w:pPr>
            <w:r w:rsidRPr="00C6580C">
              <w:rPr>
                <w:kern w:val="0"/>
                <w:szCs w:val="22"/>
              </w:rPr>
              <w:t>.4750</w:t>
            </w:r>
          </w:p>
        </w:tc>
      </w:tr>
      <w:tr w:rsidR="00843FDA" w:rsidRPr="00C6580C" w14:paraId="4AC9EDEE" w14:textId="77777777">
        <w:tc>
          <w:tcPr>
            <w:tcW w:w="0" w:type="auto"/>
            <w:tcBorders>
              <w:top w:val="single" w:sz="4" w:space="0" w:color="000000"/>
              <w:left w:val="single" w:sz="4" w:space="0" w:color="000000"/>
              <w:bottom w:val="single" w:sz="4" w:space="0" w:color="000000"/>
              <w:right w:val="single" w:sz="4" w:space="0" w:color="000000"/>
            </w:tcBorders>
          </w:tcPr>
          <w:p w14:paraId="78EED72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DC00698" w14:textId="77777777" w:rsidR="00843FDA" w:rsidRPr="00C6580C" w:rsidRDefault="00843FDA" w:rsidP="00CD7CAC">
            <w:pPr>
              <w:widowControl/>
              <w:jc w:val="center"/>
              <w:rPr>
                <w:szCs w:val="22"/>
              </w:rPr>
            </w:pPr>
            <w:r w:rsidRPr="00C6580C">
              <w:rPr>
                <w:kern w:val="0"/>
                <w:szCs w:val="22"/>
              </w:rPr>
              <w:t>* * *</w:t>
            </w:r>
          </w:p>
        </w:tc>
      </w:tr>
      <w:tr w:rsidR="00843FDA" w:rsidRPr="00C6580C" w14:paraId="10567C54" w14:textId="77777777">
        <w:tc>
          <w:tcPr>
            <w:tcW w:w="0" w:type="auto"/>
            <w:tcBorders>
              <w:top w:val="single" w:sz="4" w:space="0" w:color="000000"/>
              <w:left w:val="single" w:sz="4" w:space="0" w:color="000000"/>
              <w:bottom w:val="single" w:sz="4" w:space="0" w:color="000000"/>
              <w:right w:val="single" w:sz="4" w:space="0" w:color="000000"/>
            </w:tcBorders>
          </w:tcPr>
          <w:p w14:paraId="3FB98EEA" w14:textId="77777777" w:rsidR="00843FDA" w:rsidRPr="00C6580C" w:rsidRDefault="00843FDA" w:rsidP="00CD7CAC">
            <w:pPr>
              <w:widowControl/>
              <w:rPr>
                <w:kern w:val="0"/>
                <w:szCs w:val="22"/>
              </w:rPr>
            </w:pPr>
            <w:r w:rsidRPr="00C6580C">
              <w:rPr>
                <w:kern w:val="0"/>
                <w:szCs w:val="22"/>
              </w:rPr>
              <w:t>250a</w:t>
            </w:r>
          </w:p>
        </w:tc>
        <w:tc>
          <w:tcPr>
            <w:tcW w:w="0" w:type="auto"/>
            <w:tcBorders>
              <w:top w:val="single" w:sz="4" w:space="0" w:color="000000"/>
              <w:left w:val="single" w:sz="4" w:space="0" w:color="000000"/>
              <w:bottom w:val="single" w:sz="4" w:space="0" w:color="000000"/>
              <w:right w:val="single" w:sz="4" w:space="0" w:color="000000"/>
            </w:tcBorders>
          </w:tcPr>
          <w:p w14:paraId="4CAC7D7A" w14:textId="77777777" w:rsidR="00843FDA" w:rsidRPr="00C6580C" w:rsidRDefault="00843FDA" w:rsidP="00CD7CAC">
            <w:pPr>
              <w:widowControl/>
              <w:jc w:val="right"/>
              <w:rPr>
                <w:kern w:val="0"/>
                <w:szCs w:val="22"/>
              </w:rPr>
            </w:pPr>
            <w:r w:rsidRPr="00C6580C">
              <w:rPr>
                <w:kern w:val="0"/>
                <w:szCs w:val="22"/>
              </w:rPr>
              <w:t>.5000</w:t>
            </w:r>
          </w:p>
        </w:tc>
      </w:tr>
      <w:tr w:rsidR="00843FDA" w:rsidRPr="00C6580C" w14:paraId="565AF341" w14:textId="77777777">
        <w:tc>
          <w:tcPr>
            <w:tcW w:w="0" w:type="auto"/>
            <w:tcBorders>
              <w:top w:val="single" w:sz="4" w:space="0" w:color="000000"/>
              <w:left w:val="single" w:sz="4" w:space="0" w:color="000000"/>
              <w:bottom w:val="single" w:sz="4" w:space="0" w:color="000000"/>
              <w:right w:val="single" w:sz="4" w:space="0" w:color="000000"/>
            </w:tcBorders>
          </w:tcPr>
          <w:p w14:paraId="60EC4F2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4A62EB6" w14:textId="77777777" w:rsidR="00843FDA" w:rsidRPr="00C6580C" w:rsidRDefault="00843FDA" w:rsidP="00CD7CAC">
            <w:pPr>
              <w:widowControl/>
              <w:jc w:val="center"/>
              <w:rPr>
                <w:szCs w:val="22"/>
              </w:rPr>
            </w:pPr>
            <w:r w:rsidRPr="00C6580C">
              <w:rPr>
                <w:kern w:val="0"/>
                <w:szCs w:val="22"/>
              </w:rPr>
              <w:t>* * *</w:t>
            </w:r>
          </w:p>
        </w:tc>
      </w:tr>
      <w:tr w:rsidR="00843FDA" w:rsidRPr="00C6580C" w14:paraId="5B9850AA" w14:textId="77777777">
        <w:tc>
          <w:tcPr>
            <w:tcW w:w="0" w:type="auto"/>
            <w:tcBorders>
              <w:top w:val="single" w:sz="4" w:space="0" w:color="000000"/>
              <w:left w:val="single" w:sz="4" w:space="0" w:color="000000"/>
              <w:bottom w:val="single" w:sz="4" w:space="0" w:color="000000"/>
              <w:right w:val="single" w:sz="4" w:space="0" w:color="000000"/>
            </w:tcBorders>
          </w:tcPr>
          <w:p w14:paraId="7A32D71B" w14:textId="77777777" w:rsidR="00843FDA" w:rsidRPr="00C6580C" w:rsidRDefault="00843FDA" w:rsidP="00CD7CAC">
            <w:pPr>
              <w:widowControl/>
              <w:rPr>
                <w:kern w:val="0"/>
                <w:szCs w:val="22"/>
              </w:rPr>
            </w:pPr>
            <w:r w:rsidRPr="00C6580C">
              <w:rPr>
                <w:kern w:val="0"/>
                <w:szCs w:val="22"/>
              </w:rPr>
              <w:t>251a</w:t>
            </w:r>
          </w:p>
        </w:tc>
        <w:tc>
          <w:tcPr>
            <w:tcW w:w="0" w:type="auto"/>
            <w:tcBorders>
              <w:top w:val="single" w:sz="4" w:space="0" w:color="000000"/>
              <w:left w:val="single" w:sz="4" w:space="0" w:color="000000"/>
              <w:bottom w:val="single" w:sz="4" w:space="0" w:color="000000"/>
              <w:right w:val="single" w:sz="4" w:space="0" w:color="000000"/>
            </w:tcBorders>
          </w:tcPr>
          <w:p w14:paraId="0B73267D" w14:textId="77777777" w:rsidR="00843FDA" w:rsidRPr="00C6580C" w:rsidRDefault="00843FDA" w:rsidP="00CD7CAC">
            <w:pPr>
              <w:widowControl/>
              <w:jc w:val="right"/>
              <w:rPr>
                <w:kern w:val="0"/>
                <w:szCs w:val="22"/>
              </w:rPr>
            </w:pPr>
            <w:r w:rsidRPr="00C6580C">
              <w:rPr>
                <w:kern w:val="0"/>
                <w:szCs w:val="22"/>
              </w:rPr>
              <w:t>.5250</w:t>
            </w:r>
          </w:p>
        </w:tc>
      </w:tr>
      <w:tr w:rsidR="00843FDA" w:rsidRPr="00C6580C" w14:paraId="498379A4" w14:textId="77777777">
        <w:tc>
          <w:tcPr>
            <w:tcW w:w="0" w:type="auto"/>
            <w:tcBorders>
              <w:top w:val="single" w:sz="4" w:space="0" w:color="000000"/>
              <w:left w:val="single" w:sz="4" w:space="0" w:color="000000"/>
              <w:bottom w:val="single" w:sz="4" w:space="0" w:color="000000"/>
              <w:right w:val="single" w:sz="4" w:space="0" w:color="000000"/>
            </w:tcBorders>
          </w:tcPr>
          <w:p w14:paraId="7D5B7FF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A4A253D" w14:textId="77777777" w:rsidR="00843FDA" w:rsidRPr="00C6580C" w:rsidRDefault="00843FDA" w:rsidP="00CD7CAC">
            <w:pPr>
              <w:widowControl/>
              <w:jc w:val="center"/>
              <w:rPr>
                <w:szCs w:val="22"/>
              </w:rPr>
            </w:pPr>
            <w:r w:rsidRPr="00C6580C">
              <w:rPr>
                <w:kern w:val="0"/>
                <w:szCs w:val="22"/>
              </w:rPr>
              <w:t>* * *</w:t>
            </w:r>
          </w:p>
        </w:tc>
      </w:tr>
      <w:tr w:rsidR="00843FDA" w:rsidRPr="00C6580C" w14:paraId="45CAE365" w14:textId="77777777">
        <w:tc>
          <w:tcPr>
            <w:tcW w:w="0" w:type="auto"/>
            <w:tcBorders>
              <w:top w:val="single" w:sz="4" w:space="0" w:color="000000"/>
              <w:left w:val="single" w:sz="4" w:space="0" w:color="000000"/>
              <w:bottom w:val="single" w:sz="4" w:space="0" w:color="000000"/>
              <w:right w:val="single" w:sz="4" w:space="0" w:color="000000"/>
            </w:tcBorders>
          </w:tcPr>
          <w:p w14:paraId="53DE524F" w14:textId="77777777" w:rsidR="00843FDA" w:rsidRPr="00C6580C" w:rsidRDefault="00843FDA" w:rsidP="00CD7CAC">
            <w:pPr>
              <w:widowControl/>
              <w:rPr>
                <w:kern w:val="0"/>
                <w:szCs w:val="22"/>
              </w:rPr>
            </w:pPr>
            <w:r w:rsidRPr="00C6580C">
              <w:rPr>
                <w:kern w:val="0"/>
                <w:szCs w:val="22"/>
              </w:rPr>
              <w:t>252a</w:t>
            </w:r>
          </w:p>
        </w:tc>
        <w:tc>
          <w:tcPr>
            <w:tcW w:w="0" w:type="auto"/>
            <w:tcBorders>
              <w:top w:val="single" w:sz="4" w:space="0" w:color="000000"/>
              <w:left w:val="single" w:sz="4" w:space="0" w:color="000000"/>
              <w:bottom w:val="single" w:sz="4" w:space="0" w:color="000000"/>
              <w:right w:val="single" w:sz="4" w:space="0" w:color="000000"/>
            </w:tcBorders>
          </w:tcPr>
          <w:p w14:paraId="1308705A" w14:textId="77777777" w:rsidR="00843FDA" w:rsidRPr="00C6580C" w:rsidRDefault="00843FDA" w:rsidP="00CD7CAC">
            <w:pPr>
              <w:widowControl/>
              <w:jc w:val="right"/>
              <w:rPr>
                <w:kern w:val="0"/>
                <w:szCs w:val="22"/>
              </w:rPr>
            </w:pPr>
            <w:r w:rsidRPr="00C6580C">
              <w:rPr>
                <w:kern w:val="0"/>
                <w:szCs w:val="22"/>
              </w:rPr>
              <w:t>.5500</w:t>
            </w:r>
          </w:p>
        </w:tc>
      </w:tr>
      <w:tr w:rsidR="00843FDA" w:rsidRPr="00C6580C" w14:paraId="145B752E" w14:textId="77777777">
        <w:tc>
          <w:tcPr>
            <w:tcW w:w="0" w:type="auto"/>
            <w:tcBorders>
              <w:top w:val="single" w:sz="4" w:space="0" w:color="000000"/>
              <w:left w:val="single" w:sz="4" w:space="0" w:color="000000"/>
              <w:bottom w:val="single" w:sz="4" w:space="0" w:color="000000"/>
              <w:right w:val="single" w:sz="4" w:space="0" w:color="000000"/>
            </w:tcBorders>
          </w:tcPr>
          <w:p w14:paraId="1382641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C46D4B9" w14:textId="77777777" w:rsidR="00843FDA" w:rsidRPr="00C6580C" w:rsidRDefault="00843FDA" w:rsidP="00CD7CAC">
            <w:pPr>
              <w:widowControl/>
              <w:jc w:val="center"/>
              <w:rPr>
                <w:szCs w:val="22"/>
              </w:rPr>
            </w:pPr>
            <w:r w:rsidRPr="00C6580C">
              <w:rPr>
                <w:kern w:val="0"/>
                <w:szCs w:val="22"/>
              </w:rPr>
              <w:t>* * *</w:t>
            </w:r>
          </w:p>
        </w:tc>
      </w:tr>
      <w:tr w:rsidR="00843FDA" w:rsidRPr="00C6580C" w14:paraId="061EF330" w14:textId="77777777">
        <w:tc>
          <w:tcPr>
            <w:tcW w:w="0" w:type="auto"/>
            <w:tcBorders>
              <w:top w:val="single" w:sz="4" w:space="0" w:color="000000"/>
              <w:left w:val="single" w:sz="4" w:space="0" w:color="000000"/>
              <w:bottom w:val="single" w:sz="4" w:space="0" w:color="000000"/>
              <w:right w:val="single" w:sz="4" w:space="0" w:color="000000"/>
            </w:tcBorders>
          </w:tcPr>
          <w:p w14:paraId="13AB337D" w14:textId="77777777" w:rsidR="00843FDA" w:rsidRPr="00C6580C" w:rsidRDefault="00843FDA" w:rsidP="00CD7CAC">
            <w:pPr>
              <w:widowControl/>
              <w:rPr>
                <w:kern w:val="0"/>
                <w:szCs w:val="22"/>
              </w:rPr>
            </w:pPr>
            <w:r w:rsidRPr="00C6580C">
              <w:rPr>
                <w:kern w:val="0"/>
                <w:szCs w:val="22"/>
              </w:rPr>
              <w:t>253a</w:t>
            </w:r>
          </w:p>
        </w:tc>
        <w:tc>
          <w:tcPr>
            <w:tcW w:w="0" w:type="auto"/>
            <w:tcBorders>
              <w:top w:val="single" w:sz="4" w:space="0" w:color="000000"/>
              <w:left w:val="single" w:sz="4" w:space="0" w:color="000000"/>
              <w:bottom w:val="single" w:sz="4" w:space="0" w:color="000000"/>
              <w:right w:val="single" w:sz="4" w:space="0" w:color="000000"/>
            </w:tcBorders>
          </w:tcPr>
          <w:p w14:paraId="29E30AB8" w14:textId="77777777" w:rsidR="00843FDA" w:rsidRPr="00C6580C" w:rsidRDefault="00843FDA" w:rsidP="00CD7CAC">
            <w:pPr>
              <w:widowControl/>
              <w:jc w:val="right"/>
              <w:rPr>
                <w:kern w:val="0"/>
                <w:szCs w:val="22"/>
              </w:rPr>
            </w:pPr>
            <w:r w:rsidRPr="00C6580C">
              <w:rPr>
                <w:kern w:val="0"/>
                <w:szCs w:val="22"/>
              </w:rPr>
              <w:t>.5750</w:t>
            </w:r>
          </w:p>
        </w:tc>
      </w:tr>
      <w:tr w:rsidR="00843FDA" w:rsidRPr="00C6580C" w14:paraId="4C1742C1" w14:textId="77777777">
        <w:tc>
          <w:tcPr>
            <w:tcW w:w="0" w:type="auto"/>
            <w:tcBorders>
              <w:top w:val="single" w:sz="4" w:space="0" w:color="000000"/>
              <w:left w:val="single" w:sz="4" w:space="0" w:color="000000"/>
              <w:bottom w:val="single" w:sz="4" w:space="0" w:color="000000"/>
              <w:right w:val="single" w:sz="4" w:space="0" w:color="000000"/>
            </w:tcBorders>
          </w:tcPr>
          <w:p w14:paraId="6C6430B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AAD7967" w14:textId="77777777" w:rsidR="00843FDA" w:rsidRPr="00C6580C" w:rsidRDefault="00843FDA" w:rsidP="00CD7CAC">
            <w:pPr>
              <w:widowControl/>
              <w:jc w:val="center"/>
              <w:rPr>
                <w:szCs w:val="22"/>
              </w:rPr>
            </w:pPr>
            <w:r w:rsidRPr="00C6580C">
              <w:rPr>
                <w:kern w:val="0"/>
                <w:szCs w:val="22"/>
              </w:rPr>
              <w:t>* * *</w:t>
            </w:r>
          </w:p>
        </w:tc>
      </w:tr>
      <w:tr w:rsidR="00843FDA" w:rsidRPr="00C6580C" w14:paraId="298DCF0F" w14:textId="77777777">
        <w:tc>
          <w:tcPr>
            <w:tcW w:w="0" w:type="auto"/>
            <w:tcBorders>
              <w:top w:val="single" w:sz="4" w:space="0" w:color="000000"/>
              <w:left w:val="single" w:sz="4" w:space="0" w:color="000000"/>
              <w:bottom w:val="single" w:sz="4" w:space="0" w:color="000000"/>
              <w:right w:val="single" w:sz="4" w:space="0" w:color="000000"/>
            </w:tcBorders>
          </w:tcPr>
          <w:p w14:paraId="3368B3E4" w14:textId="77777777" w:rsidR="00843FDA" w:rsidRPr="00C6580C" w:rsidRDefault="00843FDA" w:rsidP="00CD7CAC">
            <w:pPr>
              <w:widowControl/>
              <w:rPr>
                <w:kern w:val="0"/>
                <w:szCs w:val="22"/>
              </w:rPr>
            </w:pPr>
            <w:r w:rsidRPr="00C6580C">
              <w:rPr>
                <w:kern w:val="0"/>
                <w:szCs w:val="22"/>
              </w:rPr>
              <w:t>254a</w:t>
            </w:r>
          </w:p>
        </w:tc>
        <w:tc>
          <w:tcPr>
            <w:tcW w:w="0" w:type="auto"/>
            <w:tcBorders>
              <w:top w:val="single" w:sz="4" w:space="0" w:color="000000"/>
              <w:left w:val="single" w:sz="4" w:space="0" w:color="000000"/>
              <w:bottom w:val="single" w:sz="4" w:space="0" w:color="000000"/>
              <w:right w:val="single" w:sz="4" w:space="0" w:color="000000"/>
            </w:tcBorders>
          </w:tcPr>
          <w:p w14:paraId="52C9FA22" w14:textId="77777777" w:rsidR="00843FDA" w:rsidRPr="00C6580C" w:rsidRDefault="00843FDA" w:rsidP="00CD7CAC">
            <w:pPr>
              <w:widowControl/>
              <w:jc w:val="right"/>
              <w:rPr>
                <w:kern w:val="0"/>
                <w:szCs w:val="22"/>
              </w:rPr>
            </w:pPr>
            <w:r w:rsidRPr="00C6580C">
              <w:rPr>
                <w:kern w:val="0"/>
                <w:szCs w:val="22"/>
              </w:rPr>
              <w:t>.6000</w:t>
            </w:r>
          </w:p>
        </w:tc>
      </w:tr>
      <w:tr w:rsidR="00843FDA" w:rsidRPr="00C6580C" w14:paraId="45D4C5F5" w14:textId="77777777">
        <w:tc>
          <w:tcPr>
            <w:tcW w:w="0" w:type="auto"/>
            <w:tcBorders>
              <w:top w:val="single" w:sz="4" w:space="0" w:color="000000"/>
              <w:left w:val="single" w:sz="4" w:space="0" w:color="000000"/>
              <w:bottom w:val="single" w:sz="4" w:space="0" w:color="000000"/>
              <w:right w:val="single" w:sz="4" w:space="0" w:color="000000"/>
            </w:tcBorders>
          </w:tcPr>
          <w:p w14:paraId="404D2AB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B6CBE7E" w14:textId="77777777" w:rsidR="00843FDA" w:rsidRPr="00C6580C" w:rsidRDefault="00843FDA" w:rsidP="00CD7CAC">
            <w:pPr>
              <w:widowControl/>
              <w:jc w:val="center"/>
              <w:rPr>
                <w:szCs w:val="22"/>
              </w:rPr>
            </w:pPr>
            <w:r w:rsidRPr="00C6580C">
              <w:rPr>
                <w:kern w:val="0"/>
                <w:szCs w:val="22"/>
              </w:rPr>
              <w:t>* * *</w:t>
            </w:r>
          </w:p>
        </w:tc>
      </w:tr>
      <w:tr w:rsidR="00843FDA" w:rsidRPr="00C6580C" w14:paraId="088F4152" w14:textId="77777777">
        <w:tc>
          <w:tcPr>
            <w:tcW w:w="0" w:type="auto"/>
            <w:tcBorders>
              <w:top w:val="single" w:sz="4" w:space="0" w:color="000000"/>
              <w:left w:val="single" w:sz="4" w:space="0" w:color="000000"/>
              <w:bottom w:val="single" w:sz="4" w:space="0" w:color="000000"/>
              <w:right w:val="single" w:sz="4" w:space="0" w:color="000000"/>
            </w:tcBorders>
          </w:tcPr>
          <w:p w14:paraId="0EBB2E49" w14:textId="77777777" w:rsidR="00843FDA" w:rsidRPr="00C6580C" w:rsidRDefault="00843FDA" w:rsidP="00CD7CAC">
            <w:pPr>
              <w:widowControl/>
              <w:rPr>
                <w:kern w:val="0"/>
                <w:szCs w:val="22"/>
              </w:rPr>
            </w:pPr>
            <w:r w:rsidRPr="00C6580C">
              <w:rPr>
                <w:kern w:val="0"/>
                <w:szCs w:val="22"/>
              </w:rPr>
              <w:t>255a</w:t>
            </w:r>
          </w:p>
        </w:tc>
        <w:tc>
          <w:tcPr>
            <w:tcW w:w="0" w:type="auto"/>
            <w:tcBorders>
              <w:top w:val="single" w:sz="4" w:space="0" w:color="000000"/>
              <w:left w:val="single" w:sz="4" w:space="0" w:color="000000"/>
              <w:bottom w:val="single" w:sz="4" w:space="0" w:color="000000"/>
              <w:right w:val="single" w:sz="4" w:space="0" w:color="000000"/>
            </w:tcBorders>
          </w:tcPr>
          <w:p w14:paraId="3DEB57AC" w14:textId="77777777" w:rsidR="00843FDA" w:rsidRPr="00C6580C" w:rsidRDefault="00843FDA" w:rsidP="00CD7CAC">
            <w:pPr>
              <w:widowControl/>
              <w:jc w:val="right"/>
              <w:rPr>
                <w:kern w:val="0"/>
                <w:szCs w:val="22"/>
              </w:rPr>
            </w:pPr>
            <w:r w:rsidRPr="00C6580C">
              <w:rPr>
                <w:kern w:val="0"/>
                <w:szCs w:val="22"/>
              </w:rPr>
              <w:t>.6250</w:t>
            </w:r>
          </w:p>
        </w:tc>
      </w:tr>
      <w:tr w:rsidR="00843FDA" w:rsidRPr="00C6580C" w14:paraId="38944C85" w14:textId="77777777">
        <w:tc>
          <w:tcPr>
            <w:tcW w:w="0" w:type="auto"/>
            <w:tcBorders>
              <w:top w:val="single" w:sz="4" w:space="0" w:color="000000"/>
              <w:left w:val="single" w:sz="4" w:space="0" w:color="000000"/>
              <w:bottom w:val="single" w:sz="4" w:space="0" w:color="000000"/>
              <w:right w:val="single" w:sz="4" w:space="0" w:color="000000"/>
            </w:tcBorders>
          </w:tcPr>
          <w:p w14:paraId="7AC9A67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5047F4C" w14:textId="77777777" w:rsidR="00843FDA" w:rsidRPr="00C6580C" w:rsidRDefault="00843FDA" w:rsidP="00CD7CAC">
            <w:pPr>
              <w:widowControl/>
              <w:jc w:val="center"/>
              <w:rPr>
                <w:szCs w:val="22"/>
              </w:rPr>
            </w:pPr>
            <w:r w:rsidRPr="00C6580C">
              <w:rPr>
                <w:kern w:val="0"/>
                <w:szCs w:val="22"/>
              </w:rPr>
              <w:t>* * *</w:t>
            </w:r>
          </w:p>
        </w:tc>
      </w:tr>
      <w:tr w:rsidR="00843FDA" w:rsidRPr="00C6580C" w14:paraId="51EA9FE9" w14:textId="77777777">
        <w:tc>
          <w:tcPr>
            <w:tcW w:w="0" w:type="auto"/>
            <w:tcBorders>
              <w:top w:val="single" w:sz="4" w:space="0" w:color="000000"/>
              <w:left w:val="single" w:sz="4" w:space="0" w:color="000000"/>
              <w:bottom w:val="single" w:sz="4" w:space="0" w:color="000000"/>
              <w:right w:val="single" w:sz="4" w:space="0" w:color="000000"/>
            </w:tcBorders>
          </w:tcPr>
          <w:p w14:paraId="2C484FDA" w14:textId="77777777" w:rsidR="00843FDA" w:rsidRPr="00C6580C" w:rsidRDefault="00843FDA" w:rsidP="00CD7CAC">
            <w:pPr>
              <w:widowControl/>
              <w:rPr>
                <w:kern w:val="0"/>
                <w:szCs w:val="22"/>
              </w:rPr>
            </w:pPr>
            <w:r w:rsidRPr="00C6580C">
              <w:rPr>
                <w:kern w:val="0"/>
                <w:szCs w:val="22"/>
              </w:rPr>
              <w:t>256a</w:t>
            </w:r>
          </w:p>
        </w:tc>
        <w:tc>
          <w:tcPr>
            <w:tcW w:w="0" w:type="auto"/>
            <w:tcBorders>
              <w:top w:val="single" w:sz="4" w:space="0" w:color="000000"/>
              <w:left w:val="single" w:sz="4" w:space="0" w:color="000000"/>
              <w:bottom w:val="single" w:sz="4" w:space="0" w:color="000000"/>
              <w:right w:val="single" w:sz="4" w:space="0" w:color="000000"/>
            </w:tcBorders>
          </w:tcPr>
          <w:p w14:paraId="6D2C273F" w14:textId="77777777" w:rsidR="00843FDA" w:rsidRPr="00C6580C" w:rsidRDefault="00843FDA" w:rsidP="00CD7CAC">
            <w:pPr>
              <w:widowControl/>
              <w:jc w:val="right"/>
              <w:rPr>
                <w:kern w:val="0"/>
                <w:szCs w:val="22"/>
              </w:rPr>
            </w:pPr>
            <w:r w:rsidRPr="00C6580C">
              <w:rPr>
                <w:kern w:val="0"/>
                <w:szCs w:val="22"/>
              </w:rPr>
              <w:t>.6500</w:t>
            </w:r>
          </w:p>
        </w:tc>
      </w:tr>
      <w:tr w:rsidR="00843FDA" w:rsidRPr="00C6580C" w14:paraId="796A0E2B" w14:textId="77777777">
        <w:tc>
          <w:tcPr>
            <w:tcW w:w="0" w:type="auto"/>
            <w:tcBorders>
              <w:top w:val="single" w:sz="4" w:space="0" w:color="000000"/>
              <w:left w:val="single" w:sz="4" w:space="0" w:color="000000"/>
              <w:bottom w:val="single" w:sz="4" w:space="0" w:color="000000"/>
              <w:right w:val="single" w:sz="4" w:space="0" w:color="000000"/>
            </w:tcBorders>
          </w:tcPr>
          <w:p w14:paraId="3105899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C7BEE19" w14:textId="77777777" w:rsidR="00843FDA" w:rsidRPr="00C6580C" w:rsidRDefault="00843FDA" w:rsidP="00CD7CAC">
            <w:pPr>
              <w:widowControl/>
              <w:jc w:val="center"/>
              <w:rPr>
                <w:szCs w:val="22"/>
              </w:rPr>
            </w:pPr>
            <w:r w:rsidRPr="00C6580C">
              <w:rPr>
                <w:kern w:val="0"/>
                <w:szCs w:val="22"/>
              </w:rPr>
              <w:t>* * *</w:t>
            </w:r>
          </w:p>
        </w:tc>
      </w:tr>
      <w:tr w:rsidR="00843FDA" w:rsidRPr="00C6580C" w14:paraId="4C70C442" w14:textId="77777777">
        <w:tc>
          <w:tcPr>
            <w:tcW w:w="0" w:type="auto"/>
            <w:tcBorders>
              <w:top w:val="single" w:sz="4" w:space="0" w:color="000000"/>
              <w:left w:val="single" w:sz="4" w:space="0" w:color="000000"/>
              <w:bottom w:val="single" w:sz="4" w:space="0" w:color="000000"/>
              <w:right w:val="single" w:sz="4" w:space="0" w:color="000000"/>
            </w:tcBorders>
          </w:tcPr>
          <w:p w14:paraId="74AE86B2" w14:textId="77777777" w:rsidR="00843FDA" w:rsidRPr="00C6580C" w:rsidRDefault="00843FDA" w:rsidP="00CD7CAC">
            <w:pPr>
              <w:widowControl/>
              <w:rPr>
                <w:kern w:val="0"/>
                <w:szCs w:val="22"/>
              </w:rPr>
            </w:pPr>
            <w:r w:rsidRPr="00C6580C">
              <w:rPr>
                <w:kern w:val="0"/>
                <w:szCs w:val="22"/>
              </w:rPr>
              <w:t>257a</w:t>
            </w:r>
          </w:p>
        </w:tc>
        <w:tc>
          <w:tcPr>
            <w:tcW w:w="0" w:type="auto"/>
            <w:tcBorders>
              <w:top w:val="single" w:sz="4" w:space="0" w:color="000000"/>
              <w:left w:val="single" w:sz="4" w:space="0" w:color="000000"/>
              <w:bottom w:val="single" w:sz="4" w:space="0" w:color="000000"/>
              <w:right w:val="single" w:sz="4" w:space="0" w:color="000000"/>
            </w:tcBorders>
          </w:tcPr>
          <w:p w14:paraId="66725D43" w14:textId="77777777" w:rsidR="00843FDA" w:rsidRPr="00C6580C" w:rsidRDefault="00843FDA" w:rsidP="00CD7CAC">
            <w:pPr>
              <w:widowControl/>
              <w:jc w:val="right"/>
              <w:rPr>
                <w:kern w:val="0"/>
                <w:szCs w:val="22"/>
              </w:rPr>
            </w:pPr>
            <w:r w:rsidRPr="00C6580C">
              <w:rPr>
                <w:kern w:val="0"/>
                <w:szCs w:val="22"/>
              </w:rPr>
              <w:t>.6750</w:t>
            </w:r>
          </w:p>
        </w:tc>
      </w:tr>
      <w:tr w:rsidR="00843FDA" w:rsidRPr="00C6580C" w14:paraId="38670BF4" w14:textId="77777777">
        <w:tc>
          <w:tcPr>
            <w:tcW w:w="0" w:type="auto"/>
            <w:tcBorders>
              <w:top w:val="single" w:sz="4" w:space="0" w:color="000000"/>
              <w:left w:val="single" w:sz="4" w:space="0" w:color="000000"/>
              <w:bottom w:val="single" w:sz="4" w:space="0" w:color="000000"/>
              <w:right w:val="single" w:sz="4" w:space="0" w:color="000000"/>
            </w:tcBorders>
          </w:tcPr>
          <w:p w14:paraId="1D25E78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230E251" w14:textId="77777777" w:rsidR="00843FDA" w:rsidRPr="00C6580C" w:rsidRDefault="00843FDA" w:rsidP="00CD7CAC">
            <w:pPr>
              <w:widowControl/>
              <w:jc w:val="center"/>
              <w:rPr>
                <w:szCs w:val="22"/>
              </w:rPr>
            </w:pPr>
            <w:r w:rsidRPr="00C6580C">
              <w:rPr>
                <w:kern w:val="0"/>
                <w:szCs w:val="22"/>
              </w:rPr>
              <w:t>* * *</w:t>
            </w:r>
          </w:p>
        </w:tc>
      </w:tr>
      <w:tr w:rsidR="00843FDA" w:rsidRPr="00C6580C" w14:paraId="6566814F" w14:textId="77777777">
        <w:tc>
          <w:tcPr>
            <w:tcW w:w="0" w:type="auto"/>
            <w:tcBorders>
              <w:top w:val="single" w:sz="4" w:space="0" w:color="000000"/>
              <w:left w:val="single" w:sz="4" w:space="0" w:color="000000"/>
              <w:bottom w:val="single" w:sz="4" w:space="0" w:color="000000"/>
              <w:right w:val="single" w:sz="4" w:space="0" w:color="000000"/>
            </w:tcBorders>
          </w:tcPr>
          <w:p w14:paraId="644250E7" w14:textId="77777777" w:rsidR="00843FDA" w:rsidRPr="00C6580C" w:rsidRDefault="00843FDA" w:rsidP="00CD7CAC">
            <w:pPr>
              <w:widowControl/>
              <w:rPr>
                <w:kern w:val="0"/>
                <w:szCs w:val="22"/>
              </w:rPr>
            </w:pPr>
            <w:r w:rsidRPr="00C6580C">
              <w:rPr>
                <w:kern w:val="0"/>
                <w:szCs w:val="22"/>
              </w:rPr>
              <w:t>258a</w:t>
            </w:r>
          </w:p>
        </w:tc>
        <w:tc>
          <w:tcPr>
            <w:tcW w:w="0" w:type="auto"/>
            <w:tcBorders>
              <w:top w:val="single" w:sz="4" w:space="0" w:color="000000"/>
              <w:left w:val="single" w:sz="4" w:space="0" w:color="000000"/>
              <w:bottom w:val="single" w:sz="4" w:space="0" w:color="000000"/>
              <w:right w:val="single" w:sz="4" w:space="0" w:color="000000"/>
            </w:tcBorders>
          </w:tcPr>
          <w:p w14:paraId="5F268FC6" w14:textId="77777777" w:rsidR="00843FDA" w:rsidRPr="00C6580C" w:rsidRDefault="00843FDA" w:rsidP="00CD7CAC">
            <w:pPr>
              <w:widowControl/>
              <w:jc w:val="right"/>
              <w:rPr>
                <w:kern w:val="0"/>
                <w:szCs w:val="22"/>
              </w:rPr>
            </w:pPr>
            <w:r w:rsidRPr="00C6580C">
              <w:rPr>
                <w:kern w:val="0"/>
                <w:szCs w:val="22"/>
              </w:rPr>
              <w:t>.7000</w:t>
            </w:r>
          </w:p>
        </w:tc>
      </w:tr>
      <w:tr w:rsidR="00843FDA" w:rsidRPr="00C6580C" w14:paraId="1DE23691" w14:textId="77777777">
        <w:tc>
          <w:tcPr>
            <w:tcW w:w="0" w:type="auto"/>
            <w:tcBorders>
              <w:top w:val="single" w:sz="4" w:space="0" w:color="000000"/>
              <w:left w:val="single" w:sz="4" w:space="0" w:color="000000"/>
              <w:bottom w:val="single" w:sz="4" w:space="0" w:color="000000"/>
              <w:right w:val="single" w:sz="4" w:space="0" w:color="000000"/>
            </w:tcBorders>
          </w:tcPr>
          <w:p w14:paraId="287BA07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9C8F816" w14:textId="77777777" w:rsidR="00843FDA" w:rsidRPr="00C6580C" w:rsidRDefault="00843FDA" w:rsidP="00CD7CAC">
            <w:pPr>
              <w:widowControl/>
              <w:jc w:val="center"/>
              <w:rPr>
                <w:szCs w:val="22"/>
              </w:rPr>
            </w:pPr>
            <w:r w:rsidRPr="00C6580C">
              <w:rPr>
                <w:kern w:val="0"/>
                <w:szCs w:val="22"/>
              </w:rPr>
              <w:t>* * *</w:t>
            </w:r>
          </w:p>
        </w:tc>
      </w:tr>
      <w:tr w:rsidR="00843FDA" w:rsidRPr="00C6580C" w14:paraId="5E8B7517" w14:textId="77777777">
        <w:tc>
          <w:tcPr>
            <w:tcW w:w="0" w:type="auto"/>
            <w:tcBorders>
              <w:top w:val="single" w:sz="4" w:space="0" w:color="000000"/>
              <w:left w:val="single" w:sz="4" w:space="0" w:color="000000"/>
              <w:bottom w:val="single" w:sz="4" w:space="0" w:color="000000"/>
              <w:right w:val="single" w:sz="4" w:space="0" w:color="000000"/>
            </w:tcBorders>
          </w:tcPr>
          <w:p w14:paraId="0A541299" w14:textId="77777777" w:rsidR="00843FDA" w:rsidRPr="00C6580C" w:rsidRDefault="00843FDA" w:rsidP="00CD7CAC">
            <w:pPr>
              <w:widowControl/>
              <w:rPr>
                <w:kern w:val="0"/>
                <w:szCs w:val="22"/>
              </w:rPr>
            </w:pPr>
            <w:r w:rsidRPr="00C6580C">
              <w:rPr>
                <w:kern w:val="0"/>
                <w:szCs w:val="22"/>
              </w:rPr>
              <w:t>259a</w:t>
            </w:r>
          </w:p>
        </w:tc>
        <w:tc>
          <w:tcPr>
            <w:tcW w:w="0" w:type="auto"/>
            <w:tcBorders>
              <w:top w:val="single" w:sz="4" w:space="0" w:color="000000"/>
              <w:left w:val="single" w:sz="4" w:space="0" w:color="000000"/>
              <w:bottom w:val="single" w:sz="4" w:space="0" w:color="000000"/>
              <w:right w:val="single" w:sz="4" w:space="0" w:color="000000"/>
            </w:tcBorders>
          </w:tcPr>
          <w:p w14:paraId="565A3AB7" w14:textId="77777777" w:rsidR="00843FDA" w:rsidRPr="00C6580C" w:rsidRDefault="00843FDA" w:rsidP="00CD7CAC">
            <w:pPr>
              <w:widowControl/>
              <w:jc w:val="right"/>
              <w:rPr>
                <w:kern w:val="0"/>
                <w:szCs w:val="22"/>
              </w:rPr>
            </w:pPr>
            <w:r w:rsidRPr="00C6580C">
              <w:rPr>
                <w:kern w:val="0"/>
                <w:szCs w:val="22"/>
              </w:rPr>
              <w:t>.7250</w:t>
            </w:r>
          </w:p>
        </w:tc>
      </w:tr>
      <w:tr w:rsidR="00843FDA" w:rsidRPr="00C6580C" w14:paraId="21F45311" w14:textId="77777777">
        <w:tc>
          <w:tcPr>
            <w:tcW w:w="0" w:type="auto"/>
            <w:tcBorders>
              <w:top w:val="single" w:sz="4" w:space="0" w:color="000000"/>
              <w:left w:val="single" w:sz="4" w:space="0" w:color="000000"/>
              <w:bottom w:val="single" w:sz="4" w:space="0" w:color="000000"/>
              <w:right w:val="single" w:sz="4" w:space="0" w:color="000000"/>
            </w:tcBorders>
          </w:tcPr>
          <w:p w14:paraId="2717E1C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A3E4545" w14:textId="77777777" w:rsidR="00843FDA" w:rsidRPr="00C6580C" w:rsidRDefault="00843FDA" w:rsidP="00CD7CAC">
            <w:pPr>
              <w:widowControl/>
              <w:jc w:val="center"/>
              <w:rPr>
                <w:szCs w:val="22"/>
              </w:rPr>
            </w:pPr>
            <w:r w:rsidRPr="00C6580C">
              <w:rPr>
                <w:kern w:val="0"/>
                <w:szCs w:val="22"/>
              </w:rPr>
              <w:t>* * *</w:t>
            </w:r>
          </w:p>
        </w:tc>
      </w:tr>
      <w:tr w:rsidR="00843FDA" w:rsidRPr="00C6580C" w14:paraId="78EB8390" w14:textId="77777777">
        <w:tc>
          <w:tcPr>
            <w:tcW w:w="0" w:type="auto"/>
            <w:tcBorders>
              <w:top w:val="single" w:sz="4" w:space="0" w:color="000000"/>
              <w:left w:val="single" w:sz="4" w:space="0" w:color="000000"/>
              <w:bottom w:val="single" w:sz="4" w:space="0" w:color="000000"/>
              <w:right w:val="single" w:sz="4" w:space="0" w:color="000000"/>
            </w:tcBorders>
          </w:tcPr>
          <w:p w14:paraId="35237557" w14:textId="77777777" w:rsidR="00843FDA" w:rsidRPr="00C6580C" w:rsidRDefault="00843FDA" w:rsidP="00CD7CAC">
            <w:pPr>
              <w:widowControl/>
              <w:rPr>
                <w:kern w:val="0"/>
                <w:szCs w:val="22"/>
              </w:rPr>
            </w:pPr>
            <w:r w:rsidRPr="00C6580C">
              <w:rPr>
                <w:kern w:val="0"/>
                <w:szCs w:val="22"/>
              </w:rPr>
              <w:t>260a</w:t>
            </w:r>
          </w:p>
        </w:tc>
        <w:tc>
          <w:tcPr>
            <w:tcW w:w="0" w:type="auto"/>
            <w:tcBorders>
              <w:top w:val="single" w:sz="4" w:space="0" w:color="000000"/>
              <w:left w:val="single" w:sz="4" w:space="0" w:color="000000"/>
              <w:bottom w:val="single" w:sz="4" w:space="0" w:color="000000"/>
              <w:right w:val="single" w:sz="4" w:space="0" w:color="000000"/>
            </w:tcBorders>
          </w:tcPr>
          <w:p w14:paraId="2C594CFE" w14:textId="77777777" w:rsidR="00843FDA" w:rsidRPr="00C6580C" w:rsidRDefault="00843FDA" w:rsidP="00CD7CAC">
            <w:pPr>
              <w:widowControl/>
              <w:jc w:val="right"/>
              <w:rPr>
                <w:kern w:val="0"/>
                <w:szCs w:val="22"/>
              </w:rPr>
            </w:pPr>
            <w:r w:rsidRPr="00C6580C">
              <w:rPr>
                <w:kern w:val="0"/>
                <w:szCs w:val="22"/>
              </w:rPr>
              <w:t>.7500</w:t>
            </w:r>
          </w:p>
        </w:tc>
      </w:tr>
      <w:tr w:rsidR="00843FDA" w:rsidRPr="00C6580C" w14:paraId="2951DB59" w14:textId="77777777">
        <w:tc>
          <w:tcPr>
            <w:tcW w:w="0" w:type="auto"/>
            <w:tcBorders>
              <w:top w:val="single" w:sz="4" w:space="0" w:color="000000"/>
              <w:left w:val="single" w:sz="4" w:space="0" w:color="000000"/>
              <w:bottom w:val="single" w:sz="4" w:space="0" w:color="000000"/>
              <w:right w:val="single" w:sz="4" w:space="0" w:color="000000"/>
            </w:tcBorders>
          </w:tcPr>
          <w:p w14:paraId="7E231C9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40D325D" w14:textId="77777777" w:rsidR="00843FDA" w:rsidRPr="00C6580C" w:rsidRDefault="00843FDA" w:rsidP="00CD7CAC">
            <w:pPr>
              <w:widowControl/>
              <w:jc w:val="center"/>
              <w:rPr>
                <w:szCs w:val="22"/>
              </w:rPr>
            </w:pPr>
            <w:r w:rsidRPr="00C6580C">
              <w:rPr>
                <w:kern w:val="0"/>
                <w:szCs w:val="22"/>
              </w:rPr>
              <w:t>* * *</w:t>
            </w:r>
          </w:p>
        </w:tc>
      </w:tr>
      <w:tr w:rsidR="00843FDA" w:rsidRPr="00C6580C" w14:paraId="4B667C07" w14:textId="77777777">
        <w:tc>
          <w:tcPr>
            <w:tcW w:w="0" w:type="auto"/>
            <w:tcBorders>
              <w:top w:val="single" w:sz="4" w:space="0" w:color="000000"/>
              <w:left w:val="single" w:sz="4" w:space="0" w:color="000000"/>
              <w:bottom w:val="single" w:sz="4" w:space="0" w:color="000000"/>
              <w:right w:val="single" w:sz="4" w:space="0" w:color="000000"/>
            </w:tcBorders>
          </w:tcPr>
          <w:p w14:paraId="4458BCB3" w14:textId="77777777" w:rsidR="00843FDA" w:rsidRPr="00C6580C" w:rsidRDefault="00843FDA" w:rsidP="00CD7CAC">
            <w:pPr>
              <w:widowControl/>
              <w:rPr>
                <w:kern w:val="0"/>
                <w:szCs w:val="22"/>
              </w:rPr>
            </w:pPr>
            <w:r w:rsidRPr="00C6580C">
              <w:rPr>
                <w:kern w:val="0"/>
                <w:szCs w:val="22"/>
              </w:rPr>
              <w:t>261a</w:t>
            </w:r>
          </w:p>
        </w:tc>
        <w:tc>
          <w:tcPr>
            <w:tcW w:w="0" w:type="auto"/>
            <w:tcBorders>
              <w:top w:val="single" w:sz="4" w:space="0" w:color="000000"/>
              <w:left w:val="single" w:sz="4" w:space="0" w:color="000000"/>
              <w:bottom w:val="single" w:sz="4" w:space="0" w:color="000000"/>
              <w:right w:val="single" w:sz="4" w:space="0" w:color="000000"/>
            </w:tcBorders>
          </w:tcPr>
          <w:p w14:paraId="1B4BF0ED" w14:textId="77777777" w:rsidR="00843FDA" w:rsidRPr="00C6580C" w:rsidRDefault="00843FDA" w:rsidP="00CD7CAC">
            <w:pPr>
              <w:widowControl/>
              <w:jc w:val="right"/>
              <w:rPr>
                <w:kern w:val="0"/>
                <w:szCs w:val="22"/>
              </w:rPr>
            </w:pPr>
            <w:r w:rsidRPr="00C6580C">
              <w:rPr>
                <w:kern w:val="0"/>
                <w:szCs w:val="22"/>
              </w:rPr>
              <w:t>.7750</w:t>
            </w:r>
          </w:p>
        </w:tc>
      </w:tr>
      <w:tr w:rsidR="00843FDA" w:rsidRPr="00C6580C" w14:paraId="16A2A0D4" w14:textId="77777777">
        <w:tc>
          <w:tcPr>
            <w:tcW w:w="0" w:type="auto"/>
            <w:tcBorders>
              <w:top w:val="single" w:sz="4" w:space="0" w:color="000000"/>
              <w:left w:val="single" w:sz="4" w:space="0" w:color="000000"/>
              <w:bottom w:val="single" w:sz="4" w:space="0" w:color="000000"/>
              <w:right w:val="single" w:sz="4" w:space="0" w:color="000000"/>
            </w:tcBorders>
          </w:tcPr>
          <w:p w14:paraId="35B100C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2775271" w14:textId="77777777" w:rsidR="00843FDA" w:rsidRPr="00C6580C" w:rsidRDefault="00843FDA" w:rsidP="00CD7CAC">
            <w:pPr>
              <w:widowControl/>
              <w:jc w:val="center"/>
              <w:rPr>
                <w:szCs w:val="22"/>
              </w:rPr>
            </w:pPr>
            <w:r w:rsidRPr="00C6580C">
              <w:rPr>
                <w:kern w:val="0"/>
                <w:szCs w:val="22"/>
              </w:rPr>
              <w:t>* * *</w:t>
            </w:r>
          </w:p>
        </w:tc>
      </w:tr>
      <w:tr w:rsidR="00843FDA" w:rsidRPr="00C6580C" w14:paraId="717A7FD7" w14:textId="77777777">
        <w:tc>
          <w:tcPr>
            <w:tcW w:w="0" w:type="auto"/>
            <w:tcBorders>
              <w:top w:val="single" w:sz="4" w:space="0" w:color="000000"/>
              <w:left w:val="single" w:sz="4" w:space="0" w:color="000000"/>
              <w:bottom w:val="single" w:sz="4" w:space="0" w:color="000000"/>
              <w:right w:val="single" w:sz="4" w:space="0" w:color="000000"/>
            </w:tcBorders>
          </w:tcPr>
          <w:p w14:paraId="7800AE71" w14:textId="77777777" w:rsidR="00843FDA" w:rsidRPr="00C6580C" w:rsidRDefault="00843FDA" w:rsidP="00CD7CAC">
            <w:pPr>
              <w:widowControl/>
              <w:rPr>
                <w:kern w:val="0"/>
                <w:szCs w:val="22"/>
              </w:rPr>
            </w:pPr>
            <w:r w:rsidRPr="00C6580C">
              <w:rPr>
                <w:kern w:val="0"/>
                <w:szCs w:val="22"/>
              </w:rPr>
              <w:t>262a</w:t>
            </w:r>
          </w:p>
        </w:tc>
        <w:tc>
          <w:tcPr>
            <w:tcW w:w="0" w:type="auto"/>
            <w:tcBorders>
              <w:top w:val="single" w:sz="4" w:space="0" w:color="000000"/>
              <w:left w:val="single" w:sz="4" w:space="0" w:color="000000"/>
              <w:bottom w:val="single" w:sz="4" w:space="0" w:color="000000"/>
              <w:right w:val="single" w:sz="4" w:space="0" w:color="000000"/>
            </w:tcBorders>
          </w:tcPr>
          <w:p w14:paraId="4D31258D" w14:textId="77777777" w:rsidR="00843FDA" w:rsidRPr="00C6580C" w:rsidRDefault="00843FDA" w:rsidP="00CD7CAC">
            <w:pPr>
              <w:widowControl/>
              <w:jc w:val="right"/>
              <w:rPr>
                <w:kern w:val="0"/>
                <w:szCs w:val="22"/>
              </w:rPr>
            </w:pPr>
            <w:r w:rsidRPr="00C6580C">
              <w:rPr>
                <w:kern w:val="0"/>
                <w:szCs w:val="22"/>
              </w:rPr>
              <w:t>.8000</w:t>
            </w:r>
          </w:p>
        </w:tc>
      </w:tr>
      <w:tr w:rsidR="00843FDA" w:rsidRPr="00C6580C" w14:paraId="69E64D2F" w14:textId="77777777">
        <w:tc>
          <w:tcPr>
            <w:tcW w:w="0" w:type="auto"/>
            <w:tcBorders>
              <w:top w:val="single" w:sz="4" w:space="0" w:color="000000"/>
              <w:left w:val="single" w:sz="4" w:space="0" w:color="000000"/>
              <w:bottom w:val="single" w:sz="4" w:space="0" w:color="000000"/>
              <w:right w:val="single" w:sz="4" w:space="0" w:color="000000"/>
            </w:tcBorders>
          </w:tcPr>
          <w:p w14:paraId="0387515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94868B8" w14:textId="77777777" w:rsidR="00843FDA" w:rsidRPr="00C6580C" w:rsidRDefault="00843FDA" w:rsidP="00CD7CAC">
            <w:pPr>
              <w:widowControl/>
              <w:jc w:val="center"/>
              <w:rPr>
                <w:szCs w:val="22"/>
              </w:rPr>
            </w:pPr>
            <w:r w:rsidRPr="00C6580C">
              <w:rPr>
                <w:kern w:val="0"/>
                <w:szCs w:val="22"/>
              </w:rPr>
              <w:t>* * *</w:t>
            </w:r>
          </w:p>
        </w:tc>
      </w:tr>
      <w:tr w:rsidR="00843FDA" w:rsidRPr="00C6580C" w14:paraId="7419411A" w14:textId="77777777">
        <w:tc>
          <w:tcPr>
            <w:tcW w:w="0" w:type="auto"/>
            <w:tcBorders>
              <w:top w:val="single" w:sz="4" w:space="0" w:color="000000"/>
              <w:left w:val="single" w:sz="4" w:space="0" w:color="000000"/>
              <w:bottom w:val="single" w:sz="4" w:space="0" w:color="000000"/>
              <w:right w:val="single" w:sz="4" w:space="0" w:color="000000"/>
            </w:tcBorders>
          </w:tcPr>
          <w:p w14:paraId="432BE51B" w14:textId="77777777" w:rsidR="00843FDA" w:rsidRPr="00C6580C" w:rsidRDefault="00843FDA" w:rsidP="00CD7CAC">
            <w:pPr>
              <w:widowControl/>
              <w:rPr>
                <w:kern w:val="0"/>
                <w:szCs w:val="22"/>
              </w:rPr>
            </w:pPr>
            <w:r w:rsidRPr="00C6580C">
              <w:rPr>
                <w:kern w:val="0"/>
                <w:szCs w:val="22"/>
              </w:rPr>
              <w:t>263a</w:t>
            </w:r>
          </w:p>
        </w:tc>
        <w:tc>
          <w:tcPr>
            <w:tcW w:w="0" w:type="auto"/>
            <w:tcBorders>
              <w:top w:val="single" w:sz="4" w:space="0" w:color="000000"/>
              <w:left w:val="single" w:sz="4" w:space="0" w:color="000000"/>
              <w:bottom w:val="single" w:sz="4" w:space="0" w:color="000000"/>
              <w:right w:val="single" w:sz="4" w:space="0" w:color="000000"/>
            </w:tcBorders>
          </w:tcPr>
          <w:p w14:paraId="06011F45" w14:textId="77777777" w:rsidR="00843FDA" w:rsidRPr="00C6580C" w:rsidRDefault="00843FDA" w:rsidP="00CD7CAC">
            <w:pPr>
              <w:widowControl/>
              <w:jc w:val="right"/>
              <w:rPr>
                <w:kern w:val="0"/>
                <w:szCs w:val="22"/>
              </w:rPr>
            </w:pPr>
            <w:r w:rsidRPr="00C6580C">
              <w:rPr>
                <w:kern w:val="0"/>
                <w:szCs w:val="22"/>
              </w:rPr>
              <w:t>.8250</w:t>
            </w:r>
          </w:p>
        </w:tc>
      </w:tr>
      <w:tr w:rsidR="00843FDA" w:rsidRPr="00C6580C" w14:paraId="295555A8" w14:textId="77777777">
        <w:tc>
          <w:tcPr>
            <w:tcW w:w="0" w:type="auto"/>
            <w:tcBorders>
              <w:top w:val="single" w:sz="4" w:space="0" w:color="000000"/>
              <w:left w:val="single" w:sz="4" w:space="0" w:color="000000"/>
              <w:bottom w:val="single" w:sz="4" w:space="0" w:color="000000"/>
              <w:right w:val="single" w:sz="4" w:space="0" w:color="000000"/>
            </w:tcBorders>
          </w:tcPr>
          <w:p w14:paraId="07E374A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BFE6429" w14:textId="77777777" w:rsidR="00843FDA" w:rsidRPr="00C6580C" w:rsidRDefault="00843FDA" w:rsidP="00CD7CAC">
            <w:pPr>
              <w:widowControl/>
              <w:jc w:val="center"/>
              <w:rPr>
                <w:szCs w:val="22"/>
              </w:rPr>
            </w:pPr>
            <w:r w:rsidRPr="00C6580C">
              <w:rPr>
                <w:kern w:val="0"/>
                <w:szCs w:val="22"/>
              </w:rPr>
              <w:t>* * *</w:t>
            </w:r>
          </w:p>
        </w:tc>
      </w:tr>
      <w:tr w:rsidR="00843FDA" w:rsidRPr="00C6580C" w14:paraId="4F0EF12E" w14:textId="77777777">
        <w:tc>
          <w:tcPr>
            <w:tcW w:w="0" w:type="auto"/>
            <w:tcBorders>
              <w:top w:val="single" w:sz="4" w:space="0" w:color="000000"/>
              <w:left w:val="single" w:sz="4" w:space="0" w:color="000000"/>
              <w:bottom w:val="single" w:sz="4" w:space="0" w:color="000000"/>
              <w:right w:val="single" w:sz="4" w:space="0" w:color="000000"/>
            </w:tcBorders>
          </w:tcPr>
          <w:p w14:paraId="49C3E2ED" w14:textId="77777777" w:rsidR="00843FDA" w:rsidRPr="00C6580C" w:rsidRDefault="00843FDA" w:rsidP="00CD7CAC">
            <w:pPr>
              <w:widowControl/>
              <w:rPr>
                <w:kern w:val="0"/>
                <w:szCs w:val="22"/>
              </w:rPr>
            </w:pPr>
            <w:r w:rsidRPr="00C6580C">
              <w:rPr>
                <w:kern w:val="0"/>
                <w:szCs w:val="22"/>
              </w:rPr>
              <w:t>264a</w:t>
            </w:r>
          </w:p>
        </w:tc>
        <w:tc>
          <w:tcPr>
            <w:tcW w:w="0" w:type="auto"/>
            <w:tcBorders>
              <w:top w:val="single" w:sz="4" w:space="0" w:color="000000"/>
              <w:left w:val="single" w:sz="4" w:space="0" w:color="000000"/>
              <w:bottom w:val="single" w:sz="4" w:space="0" w:color="000000"/>
              <w:right w:val="single" w:sz="4" w:space="0" w:color="000000"/>
            </w:tcBorders>
          </w:tcPr>
          <w:p w14:paraId="7AE57037" w14:textId="77777777" w:rsidR="00843FDA" w:rsidRPr="00C6580C" w:rsidRDefault="00843FDA" w:rsidP="00CD7CAC">
            <w:pPr>
              <w:widowControl/>
              <w:jc w:val="right"/>
              <w:rPr>
                <w:kern w:val="0"/>
                <w:szCs w:val="22"/>
              </w:rPr>
            </w:pPr>
            <w:r w:rsidRPr="00C6580C">
              <w:rPr>
                <w:kern w:val="0"/>
                <w:szCs w:val="22"/>
              </w:rPr>
              <w:t>.8500</w:t>
            </w:r>
          </w:p>
        </w:tc>
      </w:tr>
      <w:tr w:rsidR="00843FDA" w:rsidRPr="00C6580C" w14:paraId="027C8C86" w14:textId="77777777">
        <w:tc>
          <w:tcPr>
            <w:tcW w:w="0" w:type="auto"/>
            <w:tcBorders>
              <w:top w:val="single" w:sz="4" w:space="0" w:color="000000"/>
              <w:left w:val="single" w:sz="4" w:space="0" w:color="000000"/>
              <w:bottom w:val="single" w:sz="4" w:space="0" w:color="000000"/>
              <w:right w:val="single" w:sz="4" w:space="0" w:color="000000"/>
            </w:tcBorders>
          </w:tcPr>
          <w:p w14:paraId="0B474DA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97AAE46" w14:textId="77777777" w:rsidR="00843FDA" w:rsidRPr="00C6580C" w:rsidRDefault="00843FDA" w:rsidP="00CD7CAC">
            <w:pPr>
              <w:widowControl/>
              <w:jc w:val="center"/>
              <w:rPr>
                <w:szCs w:val="22"/>
              </w:rPr>
            </w:pPr>
            <w:r w:rsidRPr="00C6580C">
              <w:rPr>
                <w:kern w:val="0"/>
                <w:szCs w:val="22"/>
              </w:rPr>
              <w:t>* * *</w:t>
            </w:r>
          </w:p>
        </w:tc>
      </w:tr>
      <w:tr w:rsidR="00843FDA" w:rsidRPr="00C6580C" w14:paraId="3BDDDAEC" w14:textId="77777777">
        <w:tc>
          <w:tcPr>
            <w:tcW w:w="0" w:type="auto"/>
            <w:tcBorders>
              <w:top w:val="single" w:sz="4" w:space="0" w:color="000000"/>
              <w:left w:val="single" w:sz="4" w:space="0" w:color="000000"/>
              <w:bottom w:val="single" w:sz="4" w:space="0" w:color="000000"/>
              <w:right w:val="single" w:sz="4" w:space="0" w:color="000000"/>
            </w:tcBorders>
          </w:tcPr>
          <w:p w14:paraId="7F27A307" w14:textId="77777777" w:rsidR="00843FDA" w:rsidRPr="00C6580C" w:rsidRDefault="00843FDA" w:rsidP="00CD7CAC">
            <w:pPr>
              <w:widowControl/>
              <w:rPr>
                <w:kern w:val="0"/>
                <w:szCs w:val="22"/>
              </w:rPr>
            </w:pPr>
            <w:r w:rsidRPr="00C6580C">
              <w:rPr>
                <w:kern w:val="0"/>
                <w:szCs w:val="22"/>
              </w:rPr>
              <w:t>265a</w:t>
            </w:r>
          </w:p>
        </w:tc>
        <w:tc>
          <w:tcPr>
            <w:tcW w:w="0" w:type="auto"/>
            <w:tcBorders>
              <w:top w:val="single" w:sz="4" w:space="0" w:color="000000"/>
              <w:left w:val="single" w:sz="4" w:space="0" w:color="000000"/>
              <w:bottom w:val="single" w:sz="4" w:space="0" w:color="000000"/>
              <w:right w:val="single" w:sz="4" w:space="0" w:color="000000"/>
            </w:tcBorders>
          </w:tcPr>
          <w:p w14:paraId="2EA64626" w14:textId="77777777" w:rsidR="00843FDA" w:rsidRPr="00C6580C" w:rsidRDefault="00843FDA" w:rsidP="00CD7CAC">
            <w:pPr>
              <w:widowControl/>
              <w:jc w:val="right"/>
              <w:rPr>
                <w:kern w:val="0"/>
                <w:szCs w:val="22"/>
              </w:rPr>
            </w:pPr>
            <w:r w:rsidRPr="00C6580C">
              <w:rPr>
                <w:kern w:val="0"/>
                <w:szCs w:val="22"/>
              </w:rPr>
              <w:t>.8750</w:t>
            </w:r>
          </w:p>
        </w:tc>
      </w:tr>
      <w:tr w:rsidR="00843FDA" w:rsidRPr="00C6580C" w14:paraId="235290B1" w14:textId="77777777">
        <w:tc>
          <w:tcPr>
            <w:tcW w:w="0" w:type="auto"/>
            <w:tcBorders>
              <w:top w:val="single" w:sz="4" w:space="0" w:color="000000"/>
              <w:left w:val="single" w:sz="4" w:space="0" w:color="000000"/>
              <w:bottom w:val="single" w:sz="4" w:space="0" w:color="000000"/>
              <w:right w:val="single" w:sz="4" w:space="0" w:color="000000"/>
            </w:tcBorders>
          </w:tcPr>
          <w:p w14:paraId="492475A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6C1C941" w14:textId="77777777" w:rsidR="00843FDA" w:rsidRPr="00C6580C" w:rsidRDefault="00843FDA" w:rsidP="00CD7CAC">
            <w:pPr>
              <w:widowControl/>
              <w:jc w:val="center"/>
              <w:rPr>
                <w:szCs w:val="22"/>
              </w:rPr>
            </w:pPr>
            <w:r w:rsidRPr="00C6580C">
              <w:rPr>
                <w:kern w:val="0"/>
                <w:szCs w:val="22"/>
              </w:rPr>
              <w:t>* * *</w:t>
            </w:r>
          </w:p>
        </w:tc>
      </w:tr>
      <w:tr w:rsidR="00843FDA" w:rsidRPr="00C6580C" w14:paraId="6ED3BA07" w14:textId="77777777">
        <w:tc>
          <w:tcPr>
            <w:tcW w:w="0" w:type="auto"/>
            <w:tcBorders>
              <w:top w:val="single" w:sz="4" w:space="0" w:color="000000"/>
              <w:left w:val="single" w:sz="4" w:space="0" w:color="000000"/>
              <w:bottom w:val="single" w:sz="4" w:space="0" w:color="000000"/>
              <w:right w:val="single" w:sz="4" w:space="0" w:color="000000"/>
            </w:tcBorders>
          </w:tcPr>
          <w:p w14:paraId="3185941E" w14:textId="77777777" w:rsidR="00843FDA" w:rsidRPr="00C6580C" w:rsidRDefault="00843FDA" w:rsidP="00CD7CAC">
            <w:pPr>
              <w:widowControl/>
              <w:rPr>
                <w:kern w:val="0"/>
                <w:szCs w:val="22"/>
              </w:rPr>
            </w:pPr>
            <w:r w:rsidRPr="00C6580C">
              <w:rPr>
                <w:kern w:val="0"/>
                <w:szCs w:val="22"/>
              </w:rPr>
              <w:t>266a</w:t>
            </w:r>
          </w:p>
        </w:tc>
        <w:tc>
          <w:tcPr>
            <w:tcW w:w="0" w:type="auto"/>
            <w:tcBorders>
              <w:top w:val="single" w:sz="4" w:space="0" w:color="000000"/>
              <w:left w:val="single" w:sz="4" w:space="0" w:color="000000"/>
              <w:bottom w:val="single" w:sz="4" w:space="0" w:color="000000"/>
              <w:right w:val="single" w:sz="4" w:space="0" w:color="000000"/>
            </w:tcBorders>
          </w:tcPr>
          <w:p w14:paraId="6C90171E" w14:textId="77777777" w:rsidR="00843FDA" w:rsidRPr="00C6580C" w:rsidRDefault="00843FDA" w:rsidP="00CD7CAC">
            <w:pPr>
              <w:widowControl/>
              <w:jc w:val="right"/>
              <w:rPr>
                <w:kern w:val="0"/>
                <w:szCs w:val="22"/>
              </w:rPr>
            </w:pPr>
            <w:r w:rsidRPr="00C6580C">
              <w:rPr>
                <w:kern w:val="0"/>
                <w:szCs w:val="22"/>
              </w:rPr>
              <w:t>.9000</w:t>
            </w:r>
          </w:p>
        </w:tc>
      </w:tr>
      <w:tr w:rsidR="00843FDA" w:rsidRPr="00C6580C" w14:paraId="68D60115" w14:textId="77777777">
        <w:tc>
          <w:tcPr>
            <w:tcW w:w="0" w:type="auto"/>
            <w:tcBorders>
              <w:top w:val="single" w:sz="4" w:space="0" w:color="000000"/>
              <w:left w:val="single" w:sz="4" w:space="0" w:color="000000"/>
              <w:bottom w:val="single" w:sz="4" w:space="0" w:color="000000"/>
              <w:right w:val="single" w:sz="4" w:space="0" w:color="000000"/>
            </w:tcBorders>
          </w:tcPr>
          <w:p w14:paraId="4B94A08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FDFD408" w14:textId="77777777" w:rsidR="00843FDA" w:rsidRPr="00C6580C" w:rsidRDefault="00843FDA" w:rsidP="00CD7CAC">
            <w:pPr>
              <w:widowControl/>
              <w:jc w:val="center"/>
              <w:rPr>
                <w:szCs w:val="22"/>
              </w:rPr>
            </w:pPr>
            <w:r w:rsidRPr="00C6580C">
              <w:rPr>
                <w:kern w:val="0"/>
                <w:szCs w:val="22"/>
              </w:rPr>
              <w:t>* * *</w:t>
            </w:r>
          </w:p>
        </w:tc>
      </w:tr>
      <w:tr w:rsidR="00843FDA" w:rsidRPr="00C6580C" w14:paraId="2F904CF4" w14:textId="77777777">
        <w:tc>
          <w:tcPr>
            <w:tcW w:w="0" w:type="auto"/>
            <w:tcBorders>
              <w:top w:val="single" w:sz="4" w:space="0" w:color="000000"/>
              <w:left w:val="single" w:sz="4" w:space="0" w:color="000000"/>
              <w:bottom w:val="single" w:sz="4" w:space="0" w:color="000000"/>
              <w:right w:val="single" w:sz="4" w:space="0" w:color="000000"/>
            </w:tcBorders>
          </w:tcPr>
          <w:p w14:paraId="74F47C16" w14:textId="77777777" w:rsidR="00843FDA" w:rsidRPr="00C6580C" w:rsidRDefault="00843FDA" w:rsidP="00CD7CAC">
            <w:pPr>
              <w:widowControl/>
              <w:rPr>
                <w:kern w:val="0"/>
                <w:szCs w:val="22"/>
              </w:rPr>
            </w:pPr>
            <w:r w:rsidRPr="00C6580C">
              <w:rPr>
                <w:kern w:val="0"/>
                <w:szCs w:val="22"/>
              </w:rPr>
              <w:t>267a</w:t>
            </w:r>
          </w:p>
        </w:tc>
        <w:tc>
          <w:tcPr>
            <w:tcW w:w="0" w:type="auto"/>
            <w:tcBorders>
              <w:top w:val="single" w:sz="4" w:space="0" w:color="000000"/>
              <w:left w:val="single" w:sz="4" w:space="0" w:color="000000"/>
              <w:bottom w:val="single" w:sz="4" w:space="0" w:color="000000"/>
              <w:right w:val="single" w:sz="4" w:space="0" w:color="000000"/>
            </w:tcBorders>
          </w:tcPr>
          <w:p w14:paraId="624942B0" w14:textId="77777777" w:rsidR="00843FDA" w:rsidRPr="00C6580C" w:rsidRDefault="00843FDA" w:rsidP="00CD7CAC">
            <w:pPr>
              <w:widowControl/>
              <w:jc w:val="right"/>
              <w:rPr>
                <w:kern w:val="0"/>
                <w:szCs w:val="22"/>
              </w:rPr>
            </w:pPr>
            <w:r w:rsidRPr="00C6580C">
              <w:rPr>
                <w:kern w:val="0"/>
                <w:szCs w:val="22"/>
              </w:rPr>
              <w:t>.9250</w:t>
            </w:r>
          </w:p>
        </w:tc>
      </w:tr>
      <w:tr w:rsidR="00843FDA" w:rsidRPr="00C6580C" w14:paraId="419FFA9E" w14:textId="77777777">
        <w:tc>
          <w:tcPr>
            <w:tcW w:w="0" w:type="auto"/>
            <w:tcBorders>
              <w:top w:val="single" w:sz="4" w:space="0" w:color="000000"/>
              <w:left w:val="single" w:sz="4" w:space="0" w:color="000000"/>
              <w:bottom w:val="single" w:sz="4" w:space="0" w:color="000000"/>
              <w:right w:val="single" w:sz="4" w:space="0" w:color="000000"/>
            </w:tcBorders>
          </w:tcPr>
          <w:p w14:paraId="4DE4FF8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52B1A61" w14:textId="77777777" w:rsidR="00843FDA" w:rsidRPr="00C6580C" w:rsidRDefault="00843FDA" w:rsidP="00CD7CAC">
            <w:pPr>
              <w:widowControl/>
              <w:jc w:val="center"/>
              <w:rPr>
                <w:szCs w:val="22"/>
              </w:rPr>
            </w:pPr>
            <w:r w:rsidRPr="00C6580C">
              <w:rPr>
                <w:kern w:val="0"/>
                <w:szCs w:val="22"/>
              </w:rPr>
              <w:t>* * *</w:t>
            </w:r>
          </w:p>
        </w:tc>
      </w:tr>
      <w:tr w:rsidR="00843FDA" w:rsidRPr="00C6580C" w14:paraId="0098FA95" w14:textId="77777777">
        <w:tc>
          <w:tcPr>
            <w:tcW w:w="0" w:type="auto"/>
            <w:tcBorders>
              <w:top w:val="single" w:sz="4" w:space="0" w:color="000000"/>
              <w:left w:val="single" w:sz="4" w:space="0" w:color="000000"/>
              <w:bottom w:val="single" w:sz="4" w:space="0" w:color="000000"/>
              <w:right w:val="single" w:sz="4" w:space="0" w:color="000000"/>
            </w:tcBorders>
          </w:tcPr>
          <w:p w14:paraId="315E5125" w14:textId="77777777" w:rsidR="00843FDA" w:rsidRPr="00C6580C" w:rsidRDefault="00843FDA" w:rsidP="00CD7CAC">
            <w:pPr>
              <w:widowControl/>
              <w:rPr>
                <w:kern w:val="0"/>
                <w:szCs w:val="22"/>
              </w:rPr>
            </w:pPr>
            <w:r w:rsidRPr="00C6580C">
              <w:rPr>
                <w:kern w:val="0"/>
                <w:szCs w:val="22"/>
              </w:rPr>
              <w:t>268a</w:t>
            </w:r>
          </w:p>
        </w:tc>
        <w:tc>
          <w:tcPr>
            <w:tcW w:w="0" w:type="auto"/>
            <w:tcBorders>
              <w:top w:val="single" w:sz="4" w:space="0" w:color="000000"/>
              <w:left w:val="single" w:sz="4" w:space="0" w:color="000000"/>
              <w:bottom w:val="single" w:sz="4" w:space="0" w:color="000000"/>
              <w:right w:val="single" w:sz="4" w:space="0" w:color="000000"/>
            </w:tcBorders>
          </w:tcPr>
          <w:p w14:paraId="0A5BD8CE" w14:textId="77777777" w:rsidR="00843FDA" w:rsidRPr="00C6580C" w:rsidRDefault="00843FDA" w:rsidP="00CD7CAC">
            <w:pPr>
              <w:widowControl/>
              <w:jc w:val="right"/>
              <w:rPr>
                <w:kern w:val="0"/>
                <w:szCs w:val="22"/>
              </w:rPr>
            </w:pPr>
            <w:r w:rsidRPr="00C6580C">
              <w:rPr>
                <w:kern w:val="0"/>
                <w:szCs w:val="22"/>
              </w:rPr>
              <w:t>.9500</w:t>
            </w:r>
          </w:p>
        </w:tc>
      </w:tr>
      <w:tr w:rsidR="00843FDA" w:rsidRPr="00C6580C" w14:paraId="748F3015" w14:textId="77777777">
        <w:tc>
          <w:tcPr>
            <w:tcW w:w="0" w:type="auto"/>
            <w:tcBorders>
              <w:top w:val="single" w:sz="4" w:space="0" w:color="000000"/>
              <w:left w:val="single" w:sz="4" w:space="0" w:color="000000"/>
              <w:bottom w:val="single" w:sz="4" w:space="0" w:color="000000"/>
              <w:right w:val="single" w:sz="4" w:space="0" w:color="000000"/>
            </w:tcBorders>
          </w:tcPr>
          <w:p w14:paraId="07D1CBE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687D8A7" w14:textId="77777777" w:rsidR="00843FDA" w:rsidRPr="00C6580C" w:rsidRDefault="00843FDA" w:rsidP="00CD7CAC">
            <w:pPr>
              <w:widowControl/>
              <w:jc w:val="center"/>
              <w:rPr>
                <w:szCs w:val="22"/>
              </w:rPr>
            </w:pPr>
            <w:r w:rsidRPr="00C6580C">
              <w:rPr>
                <w:kern w:val="0"/>
                <w:szCs w:val="22"/>
              </w:rPr>
              <w:t>* * *</w:t>
            </w:r>
          </w:p>
        </w:tc>
      </w:tr>
      <w:tr w:rsidR="00843FDA" w:rsidRPr="00C6580C" w14:paraId="71F6D08D" w14:textId="77777777">
        <w:tc>
          <w:tcPr>
            <w:tcW w:w="0" w:type="auto"/>
            <w:tcBorders>
              <w:top w:val="single" w:sz="4" w:space="0" w:color="000000"/>
              <w:left w:val="single" w:sz="4" w:space="0" w:color="000000"/>
              <w:bottom w:val="single" w:sz="4" w:space="0" w:color="000000"/>
              <w:right w:val="single" w:sz="4" w:space="0" w:color="000000"/>
            </w:tcBorders>
          </w:tcPr>
          <w:p w14:paraId="34347AAC" w14:textId="77777777" w:rsidR="00843FDA" w:rsidRPr="00C6580C" w:rsidRDefault="00843FDA" w:rsidP="00CD7CAC">
            <w:pPr>
              <w:widowControl/>
              <w:rPr>
                <w:kern w:val="0"/>
                <w:szCs w:val="22"/>
              </w:rPr>
            </w:pPr>
            <w:r w:rsidRPr="00C6580C">
              <w:rPr>
                <w:kern w:val="0"/>
                <w:szCs w:val="22"/>
              </w:rPr>
              <w:t>269a</w:t>
            </w:r>
          </w:p>
        </w:tc>
        <w:tc>
          <w:tcPr>
            <w:tcW w:w="0" w:type="auto"/>
            <w:tcBorders>
              <w:top w:val="single" w:sz="4" w:space="0" w:color="000000"/>
              <w:left w:val="single" w:sz="4" w:space="0" w:color="000000"/>
              <w:bottom w:val="single" w:sz="4" w:space="0" w:color="000000"/>
              <w:right w:val="single" w:sz="4" w:space="0" w:color="000000"/>
            </w:tcBorders>
          </w:tcPr>
          <w:p w14:paraId="5C52DD0B" w14:textId="77777777" w:rsidR="00843FDA" w:rsidRPr="00C6580C" w:rsidRDefault="00843FDA" w:rsidP="00CD7CAC">
            <w:pPr>
              <w:widowControl/>
              <w:jc w:val="right"/>
              <w:rPr>
                <w:kern w:val="0"/>
                <w:szCs w:val="22"/>
              </w:rPr>
            </w:pPr>
            <w:r w:rsidRPr="00C6580C">
              <w:rPr>
                <w:kern w:val="0"/>
                <w:szCs w:val="22"/>
              </w:rPr>
              <w:t>.9750</w:t>
            </w:r>
          </w:p>
        </w:tc>
      </w:tr>
      <w:tr w:rsidR="00843FDA" w:rsidRPr="00C6580C" w14:paraId="40FF7C89" w14:textId="77777777">
        <w:tc>
          <w:tcPr>
            <w:tcW w:w="0" w:type="auto"/>
            <w:tcBorders>
              <w:top w:val="single" w:sz="4" w:space="0" w:color="000000"/>
              <w:left w:val="single" w:sz="4" w:space="0" w:color="000000"/>
              <w:bottom w:val="single" w:sz="4" w:space="0" w:color="000000"/>
              <w:right w:val="single" w:sz="4" w:space="0" w:color="000000"/>
            </w:tcBorders>
          </w:tcPr>
          <w:p w14:paraId="24AB9E1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6DCD5B5" w14:textId="77777777" w:rsidR="00843FDA" w:rsidRPr="00C6580C" w:rsidRDefault="00843FDA" w:rsidP="00CD7CAC">
            <w:pPr>
              <w:widowControl/>
              <w:jc w:val="center"/>
              <w:rPr>
                <w:szCs w:val="22"/>
              </w:rPr>
            </w:pPr>
            <w:r w:rsidRPr="00C6580C">
              <w:rPr>
                <w:kern w:val="0"/>
                <w:szCs w:val="22"/>
              </w:rPr>
              <w:t>* * *</w:t>
            </w:r>
          </w:p>
        </w:tc>
      </w:tr>
      <w:tr w:rsidR="00843FDA" w:rsidRPr="00C6580C" w14:paraId="3B42AC6C" w14:textId="77777777">
        <w:tc>
          <w:tcPr>
            <w:tcW w:w="0" w:type="auto"/>
            <w:tcBorders>
              <w:top w:val="single" w:sz="4" w:space="0" w:color="000000"/>
              <w:left w:val="single" w:sz="4" w:space="0" w:color="000000"/>
              <w:bottom w:val="single" w:sz="4" w:space="0" w:color="000000"/>
              <w:right w:val="single" w:sz="4" w:space="0" w:color="000000"/>
            </w:tcBorders>
          </w:tcPr>
          <w:p w14:paraId="2459704F" w14:textId="77777777" w:rsidR="00843FDA" w:rsidRPr="00C6580C" w:rsidRDefault="00843FDA" w:rsidP="00CD7CAC">
            <w:pPr>
              <w:widowControl/>
              <w:rPr>
                <w:kern w:val="0"/>
                <w:szCs w:val="22"/>
              </w:rPr>
            </w:pPr>
            <w:r w:rsidRPr="00C6580C">
              <w:rPr>
                <w:kern w:val="0"/>
                <w:szCs w:val="22"/>
              </w:rPr>
              <w:t>270a</w:t>
            </w:r>
          </w:p>
        </w:tc>
        <w:tc>
          <w:tcPr>
            <w:tcW w:w="0" w:type="auto"/>
            <w:tcBorders>
              <w:top w:val="single" w:sz="4" w:space="0" w:color="000000"/>
              <w:left w:val="single" w:sz="4" w:space="0" w:color="000000"/>
              <w:bottom w:val="single" w:sz="4" w:space="0" w:color="000000"/>
              <w:right w:val="single" w:sz="4" w:space="0" w:color="000000"/>
            </w:tcBorders>
          </w:tcPr>
          <w:p w14:paraId="163646B1" w14:textId="77777777" w:rsidR="00843FDA" w:rsidRPr="00C6580C" w:rsidRDefault="00843FDA" w:rsidP="00CD7CAC">
            <w:pPr>
              <w:widowControl/>
              <w:jc w:val="right"/>
              <w:rPr>
                <w:kern w:val="0"/>
                <w:szCs w:val="22"/>
              </w:rPr>
            </w:pPr>
            <w:r w:rsidRPr="00C6580C">
              <w:rPr>
                <w:kern w:val="0"/>
                <w:szCs w:val="22"/>
              </w:rPr>
              <w:t>855.0000</w:t>
            </w:r>
          </w:p>
        </w:tc>
      </w:tr>
      <w:tr w:rsidR="00843FDA" w:rsidRPr="00C6580C" w14:paraId="7B0E670E" w14:textId="77777777">
        <w:tc>
          <w:tcPr>
            <w:tcW w:w="0" w:type="auto"/>
            <w:tcBorders>
              <w:top w:val="single" w:sz="4" w:space="0" w:color="000000"/>
              <w:left w:val="single" w:sz="4" w:space="0" w:color="000000"/>
              <w:bottom w:val="single" w:sz="4" w:space="0" w:color="000000"/>
              <w:right w:val="single" w:sz="4" w:space="0" w:color="000000"/>
            </w:tcBorders>
          </w:tcPr>
          <w:p w14:paraId="07DD86F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88ED857" w14:textId="77777777" w:rsidR="00843FDA" w:rsidRPr="00C6580C" w:rsidRDefault="00843FDA" w:rsidP="00CD7CAC">
            <w:pPr>
              <w:widowControl/>
              <w:jc w:val="right"/>
              <w:rPr>
                <w:szCs w:val="22"/>
              </w:rPr>
            </w:pPr>
            <w:r w:rsidRPr="00C6580C">
              <w:rPr>
                <w:kern w:val="0"/>
                <w:szCs w:val="22"/>
              </w:rPr>
              <w:t>.0125</w:t>
            </w:r>
          </w:p>
        </w:tc>
      </w:tr>
      <w:tr w:rsidR="00843FDA" w:rsidRPr="00C6580C" w14:paraId="2B138434" w14:textId="77777777">
        <w:tc>
          <w:tcPr>
            <w:tcW w:w="0" w:type="auto"/>
            <w:tcBorders>
              <w:top w:val="single" w:sz="4" w:space="0" w:color="000000"/>
              <w:left w:val="single" w:sz="4" w:space="0" w:color="000000"/>
              <w:bottom w:val="single" w:sz="4" w:space="0" w:color="000000"/>
              <w:right w:val="single" w:sz="4" w:space="0" w:color="000000"/>
            </w:tcBorders>
          </w:tcPr>
          <w:p w14:paraId="7294820A" w14:textId="77777777" w:rsidR="00843FDA" w:rsidRPr="00C6580C" w:rsidRDefault="00843FDA" w:rsidP="00CD7CAC">
            <w:pPr>
              <w:widowControl/>
              <w:rPr>
                <w:kern w:val="0"/>
                <w:szCs w:val="22"/>
              </w:rPr>
            </w:pPr>
            <w:r w:rsidRPr="00C6580C">
              <w:rPr>
                <w:kern w:val="0"/>
                <w:szCs w:val="22"/>
              </w:rPr>
              <w:t>271a</w:t>
            </w:r>
          </w:p>
        </w:tc>
        <w:tc>
          <w:tcPr>
            <w:tcW w:w="0" w:type="auto"/>
            <w:tcBorders>
              <w:top w:val="single" w:sz="4" w:space="0" w:color="000000"/>
              <w:left w:val="single" w:sz="4" w:space="0" w:color="000000"/>
              <w:bottom w:val="single" w:sz="4" w:space="0" w:color="000000"/>
              <w:right w:val="single" w:sz="4" w:space="0" w:color="000000"/>
            </w:tcBorders>
          </w:tcPr>
          <w:p w14:paraId="464DA082" w14:textId="77777777" w:rsidR="00843FDA" w:rsidRPr="00C6580C" w:rsidRDefault="00843FDA" w:rsidP="00CD7CAC">
            <w:pPr>
              <w:widowControl/>
              <w:jc w:val="right"/>
              <w:rPr>
                <w:kern w:val="0"/>
                <w:szCs w:val="22"/>
              </w:rPr>
            </w:pPr>
            <w:r w:rsidRPr="00C6580C">
              <w:rPr>
                <w:kern w:val="0"/>
                <w:szCs w:val="22"/>
              </w:rPr>
              <w:t>.0250</w:t>
            </w:r>
          </w:p>
        </w:tc>
      </w:tr>
      <w:tr w:rsidR="00843FDA" w:rsidRPr="00C6580C" w14:paraId="443E15E4" w14:textId="77777777">
        <w:tc>
          <w:tcPr>
            <w:tcW w:w="0" w:type="auto"/>
            <w:tcBorders>
              <w:top w:val="single" w:sz="4" w:space="0" w:color="000000"/>
              <w:left w:val="single" w:sz="4" w:space="0" w:color="000000"/>
              <w:bottom w:val="single" w:sz="4" w:space="0" w:color="000000"/>
              <w:right w:val="single" w:sz="4" w:space="0" w:color="000000"/>
            </w:tcBorders>
          </w:tcPr>
          <w:p w14:paraId="26C384B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5C79223" w14:textId="77777777" w:rsidR="00843FDA" w:rsidRPr="00C6580C" w:rsidRDefault="00843FDA" w:rsidP="00CD7CAC">
            <w:pPr>
              <w:widowControl/>
              <w:jc w:val="center"/>
              <w:rPr>
                <w:szCs w:val="22"/>
              </w:rPr>
            </w:pPr>
            <w:r w:rsidRPr="00C6580C">
              <w:rPr>
                <w:kern w:val="0"/>
                <w:szCs w:val="22"/>
              </w:rPr>
              <w:t>* * *</w:t>
            </w:r>
          </w:p>
        </w:tc>
      </w:tr>
      <w:tr w:rsidR="00843FDA" w:rsidRPr="00C6580C" w14:paraId="2C0BE61C" w14:textId="77777777">
        <w:tc>
          <w:tcPr>
            <w:tcW w:w="0" w:type="auto"/>
            <w:tcBorders>
              <w:top w:val="single" w:sz="4" w:space="0" w:color="000000"/>
              <w:left w:val="single" w:sz="4" w:space="0" w:color="000000"/>
              <w:bottom w:val="single" w:sz="4" w:space="0" w:color="000000"/>
              <w:right w:val="single" w:sz="4" w:space="0" w:color="000000"/>
            </w:tcBorders>
          </w:tcPr>
          <w:p w14:paraId="1CDAA91E" w14:textId="77777777" w:rsidR="00843FDA" w:rsidRPr="00C6580C" w:rsidRDefault="00843FDA" w:rsidP="00CD7CAC">
            <w:pPr>
              <w:widowControl/>
              <w:rPr>
                <w:kern w:val="0"/>
                <w:szCs w:val="22"/>
              </w:rPr>
            </w:pPr>
            <w:r w:rsidRPr="00C6580C">
              <w:rPr>
                <w:kern w:val="0"/>
                <w:szCs w:val="22"/>
              </w:rPr>
              <w:t>272a</w:t>
            </w:r>
          </w:p>
        </w:tc>
        <w:tc>
          <w:tcPr>
            <w:tcW w:w="0" w:type="auto"/>
            <w:tcBorders>
              <w:top w:val="single" w:sz="4" w:space="0" w:color="000000"/>
              <w:left w:val="single" w:sz="4" w:space="0" w:color="000000"/>
              <w:bottom w:val="single" w:sz="4" w:space="0" w:color="000000"/>
              <w:right w:val="single" w:sz="4" w:space="0" w:color="000000"/>
            </w:tcBorders>
          </w:tcPr>
          <w:p w14:paraId="0B969CD9" w14:textId="77777777" w:rsidR="00843FDA" w:rsidRPr="00C6580C" w:rsidRDefault="00843FDA" w:rsidP="00CD7CAC">
            <w:pPr>
              <w:widowControl/>
              <w:jc w:val="right"/>
              <w:rPr>
                <w:kern w:val="0"/>
                <w:szCs w:val="22"/>
              </w:rPr>
            </w:pPr>
            <w:r w:rsidRPr="00C6580C">
              <w:rPr>
                <w:kern w:val="0"/>
                <w:szCs w:val="22"/>
              </w:rPr>
              <w:t>.0500</w:t>
            </w:r>
          </w:p>
        </w:tc>
      </w:tr>
      <w:tr w:rsidR="00843FDA" w:rsidRPr="00C6580C" w14:paraId="2D0AEE03" w14:textId="77777777">
        <w:tc>
          <w:tcPr>
            <w:tcW w:w="0" w:type="auto"/>
            <w:tcBorders>
              <w:top w:val="single" w:sz="4" w:space="0" w:color="000000"/>
              <w:left w:val="single" w:sz="4" w:space="0" w:color="000000"/>
              <w:bottom w:val="single" w:sz="4" w:space="0" w:color="000000"/>
              <w:right w:val="single" w:sz="4" w:space="0" w:color="000000"/>
            </w:tcBorders>
          </w:tcPr>
          <w:p w14:paraId="5F87794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B440F46" w14:textId="77777777" w:rsidR="00843FDA" w:rsidRPr="00C6580C" w:rsidRDefault="00843FDA" w:rsidP="00CD7CAC">
            <w:pPr>
              <w:widowControl/>
              <w:jc w:val="center"/>
              <w:rPr>
                <w:szCs w:val="22"/>
              </w:rPr>
            </w:pPr>
            <w:r w:rsidRPr="00C6580C">
              <w:rPr>
                <w:kern w:val="0"/>
                <w:szCs w:val="22"/>
              </w:rPr>
              <w:t>* * *</w:t>
            </w:r>
          </w:p>
        </w:tc>
      </w:tr>
      <w:tr w:rsidR="00843FDA" w:rsidRPr="00C6580C" w14:paraId="3D7987AB" w14:textId="77777777">
        <w:tc>
          <w:tcPr>
            <w:tcW w:w="0" w:type="auto"/>
            <w:tcBorders>
              <w:top w:val="single" w:sz="4" w:space="0" w:color="000000"/>
              <w:left w:val="single" w:sz="4" w:space="0" w:color="000000"/>
              <w:bottom w:val="single" w:sz="4" w:space="0" w:color="000000"/>
              <w:right w:val="single" w:sz="4" w:space="0" w:color="000000"/>
            </w:tcBorders>
          </w:tcPr>
          <w:p w14:paraId="1759AD0D" w14:textId="77777777" w:rsidR="00843FDA" w:rsidRPr="00C6580C" w:rsidRDefault="00843FDA" w:rsidP="00CD7CAC">
            <w:pPr>
              <w:widowControl/>
              <w:rPr>
                <w:kern w:val="0"/>
                <w:szCs w:val="22"/>
              </w:rPr>
            </w:pPr>
            <w:r w:rsidRPr="00C6580C">
              <w:rPr>
                <w:kern w:val="0"/>
                <w:szCs w:val="22"/>
              </w:rPr>
              <w:t>273a</w:t>
            </w:r>
          </w:p>
        </w:tc>
        <w:tc>
          <w:tcPr>
            <w:tcW w:w="0" w:type="auto"/>
            <w:tcBorders>
              <w:top w:val="single" w:sz="4" w:space="0" w:color="000000"/>
              <w:left w:val="single" w:sz="4" w:space="0" w:color="000000"/>
              <w:bottom w:val="single" w:sz="4" w:space="0" w:color="000000"/>
              <w:right w:val="single" w:sz="4" w:space="0" w:color="000000"/>
            </w:tcBorders>
          </w:tcPr>
          <w:p w14:paraId="66509BE5" w14:textId="77777777" w:rsidR="00843FDA" w:rsidRPr="00C6580C" w:rsidRDefault="00843FDA" w:rsidP="00CD7CAC">
            <w:pPr>
              <w:widowControl/>
              <w:jc w:val="right"/>
              <w:rPr>
                <w:kern w:val="0"/>
                <w:szCs w:val="22"/>
              </w:rPr>
            </w:pPr>
            <w:r w:rsidRPr="00C6580C">
              <w:rPr>
                <w:kern w:val="0"/>
                <w:szCs w:val="22"/>
              </w:rPr>
              <w:t>.0750</w:t>
            </w:r>
          </w:p>
        </w:tc>
      </w:tr>
      <w:tr w:rsidR="00843FDA" w:rsidRPr="00C6580C" w14:paraId="3DBBE2BC" w14:textId="77777777">
        <w:tc>
          <w:tcPr>
            <w:tcW w:w="0" w:type="auto"/>
            <w:tcBorders>
              <w:top w:val="single" w:sz="4" w:space="0" w:color="000000"/>
              <w:left w:val="single" w:sz="4" w:space="0" w:color="000000"/>
              <w:bottom w:val="single" w:sz="4" w:space="0" w:color="000000"/>
              <w:right w:val="single" w:sz="4" w:space="0" w:color="000000"/>
            </w:tcBorders>
          </w:tcPr>
          <w:p w14:paraId="7A567F0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3548D41" w14:textId="77777777" w:rsidR="00843FDA" w:rsidRPr="00C6580C" w:rsidRDefault="00843FDA" w:rsidP="00CD7CAC">
            <w:pPr>
              <w:widowControl/>
              <w:jc w:val="center"/>
              <w:rPr>
                <w:szCs w:val="22"/>
              </w:rPr>
            </w:pPr>
            <w:r w:rsidRPr="00C6580C">
              <w:rPr>
                <w:kern w:val="0"/>
                <w:szCs w:val="22"/>
              </w:rPr>
              <w:t>* * *</w:t>
            </w:r>
          </w:p>
        </w:tc>
      </w:tr>
      <w:tr w:rsidR="00843FDA" w:rsidRPr="00C6580C" w14:paraId="2A0B5F6B" w14:textId="77777777">
        <w:tc>
          <w:tcPr>
            <w:tcW w:w="0" w:type="auto"/>
            <w:tcBorders>
              <w:top w:val="single" w:sz="4" w:space="0" w:color="000000"/>
              <w:left w:val="single" w:sz="4" w:space="0" w:color="000000"/>
              <w:bottom w:val="single" w:sz="4" w:space="0" w:color="000000"/>
              <w:right w:val="single" w:sz="4" w:space="0" w:color="000000"/>
            </w:tcBorders>
          </w:tcPr>
          <w:p w14:paraId="6BF62441" w14:textId="77777777" w:rsidR="00843FDA" w:rsidRPr="00C6580C" w:rsidRDefault="00843FDA" w:rsidP="00CD7CAC">
            <w:pPr>
              <w:widowControl/>
              <w:rPr>
                <w:kern w:val="0"/>
                <w:szCs w:val="22"/>
              </w:rPr>
            </w:pPr>
            <w:r w:rsidRPr="00C6580C">
              <w:rPr>
                <w:kern w:val="0"/>
                <w:szCs w:val="22"/>
              </w:rPr>
              <w:t>274a</w:t>
            </w:r>
          </w:p>
        </w:tc>
        <w:tc>
          <w:tcPr>
            <w:tcW w:w="0" w:type="auto"/>
            <w:tcBorders>
              <w:top w:val="single" w:sz="4" w:space="0" w:color="000000"/>
              <w:left w:val="single" w:sz="4" w:space="0" w:color="000000"/>
              <w:bottom w:val="single" w:sz="4" w:space="0" w:color="000000"/>
              <w:right w:val="single" w:sz="4" w:space="0" w:color="000000"/>
            </w:tcBorders>
          </w:tcPr>
          <w:p w14:paraId="5CD9C946" w14:textId="77777777" w:rsidR="00843FDA" w:rsidRPr="00C6580C" w:rsidRDefault="00843FDA" w:rsidP="00CD7CAC">
            <w:pPr>
              <w:widowControl/>
              <w:jc w:val="right"/>
              <w:rPr>
                <w:kern w:val="0"/>
                <w:szCs w:val="22"/>
              </w:rPr>
            </w:pPr>
            <w:r w:rsidRPr="00C6580C">
              <w:rPr>
                <w:kern w:val="0"/>
                <w:szCs w:val="22"/>
              </w:rPr>
              <w:t>.1000</w:t>
            </w:r>
          </w:p>
        </w:tc>
      </w:tr>
      <w:tr w:rsidR="00843FDA" w:rsidRPr="00C6580C" w14:paraId="5BE01976" w14:textId="77777777">
        <w:tc>
          <w:tcPr>
            <w:tcW w:w="0" w:type="auto"/>
            <w:tcBorders>
              <w:top w:val="single" w:sz="4" w:space="0" w:color="000000"/>
              <w:left w:val="single" w:sz="4" w:space="0" w:color="000000"/>
              <w:bottom w:val="single" w:sz="4" w:space="0" w:color="000000"/>
              <w:right w:val="single" w:sz="4" w:space="0" w:color="000000"/>
            </w:tcBorders>
          </w:tcPr>
          <w:p w14:paraId="11584F4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3E74F76" w14:textId="77777777" w:rsidR="00843FDA" w:rsidRPr="00C6580C" w:rsidRDefault="00843FDA" w:rsidP="00CD7CAC">
            <w:pPr>
              <w:widowControl/>
              <w:jc w:val="center"/>
              <w:rPr>
                <w:szCs w:val="22"/>
              </w:rPr>
            </w:pPr>
            <w:r w:rsidRPr="00C6580C">
              <w:rPr>
                <w:kern w:val="0"/>
                <w:szCs w:val="22"/>
              </w:rPr>
              <w:t>* * *</w:t>
            </w:r>
          </w:p>
        </w:tc>
      </w:tr>
      <w:tr w:rsidR="00843FDA" w:rsidRPr="00C6580C" w14:paraId="1F27A179" w14:textId="77777777">
        <w:tc>
          <w:tcPr>
            <w:tcW w:w="0" w:type="auto"/>
            <w:tcBorders>
              <w:top w:val="single" w:sz="4" w:space="0" w:color="000000"/>
              <w:left w:val="single" w:sz="4" w:space="0" w:color="000000"/>
              <w:bottom w:val="single" w:sz="4" w:space="0" w:color="000000"/>
              <w:right w:val="single" w:sz="4" w:space="0" w:color="000000"/>
            </w:tcBorders>
          </w:tcPr>
          <w:p w14:paraId="3F3DBB87" w14:textId="77777777" w:rsidR="00843FDA" w:rsidRPr="00C6580C" w:rsidRDefault="00843FDA" w:rsidP="00CD7CAC">
            <w:pPr>
              <w:widowControl/>
              <w:rPr>
                <w:kern w:val="0"/>
                <w:szCs w:val="22"/>
              </w:rPr>
            </w:pPr>
            <w:r w:rsidRPr="00C6580C">
              <w:rPr>
                <w:kern w:val="0"/>
                <w:szCs w:val="22"/>
              </w:rPr>
              <w:t>275a</w:t>
            </w:r>
          </w:p>
        </w:tc>
        <w:tc>
          <w:tcPr>
            <w:tcW w:w="0" w:type="auto"/>
            <w:tcBorders>
              <w:top w:val="single" w:sz="4" w:space="0" w:color="000000"/>
              <w:left w:val="single" w:sz="4" w:space="0" w:color="000000"/>
              <w:bottom w:val="single" w:sz="4" w:space="0" w:color="000000"/>
              <w:right w:val="single" w:sz="4" w:space="0" w:color="000000"/>
            </w:tcBorders>
          </w:tcPr>
          <w:p w14:paraId="3E5006F4" w14:textId="77777777" w:rsidR="00843FDA" w:rsidRPr="00C6580C" w:rsidRDefault="00843FDA" w:rsidP="00CD7CAC">
            <w:pPr>
              <w:widowControl/>
              <w:jc w:val="right"/>
              <w:rPr>
                <w:kern w:val="0"/>
                <w:szCs w:val="22"/>
              </w:rPr>
            </w:pPr>
            <w:r w:rsidRPr="00C6580C">
              <w:rPr>
                <w:kern w:val="0"/>
                <w:szCs w:val="22"/>
              </w:rPr>
              <w:t>.1250</w:t>
            </w:r>
          </w:p>
        </w:tc>
      </w:tr>
      <w:tr w:rsidR="00843FDA" w:rsidRPr="00C6580C" w14:paraId="5E39E655" w14:textId="77777777">
        <w:tc>
          <w:tcPr>
            <w:tcW w:w="0" w:type="auto"/>
            <w:tcBorders>
              <w:top w:val="single" w:sz="4" w:space="0" w:color="000000"/>
              <w:left w:val="single" w:sz="4" w:space="0" w:color="000000"/>
              <w:bottom w:val="single" w:sz="4" w:space="0" w:color="000000"/>
              <w:right w:val="single" w:sz="4" w:space="0" w:color="000000"/>
            </w:tcBorders>
          </w:tcPr>
          <w:p w14:paraId="4E6A68D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344B753" w14:textId="77777777" w:rsidR="00843FDA" w:rsidRPr="00C6580C" w:rsidRDefault="00843FDA" w:rsidP="00CD7CAC">
            <w:pPr>
              <w:widowControl/>
              <w:jc w:val="center"/>
              <w:rPr>
                <w:szCs w:val="22"/>
              </w:rPr>
            </w:pPr>
            <w:r w:rsidRPr="00C6580C">
              <w:rPr>
                <w:kern w:val="0"/>
                <w:szCs w:val="22"/>
              </w:rPr>
              <w:t>* * *</w:t>
            </w:r>
          </w:p>
        </w:tc>
      </w:tr>
      <w:tr w:rsidR="00843FDA" w:rsidRPr="00C6580C" w14:paraId="5035EEF1" w14:textId="77777777">
        <w:tc>
          <w:tcPr>
            <w:tcW w:w="0" w:type="auto"/>
            <w:tcBorders>
              <w:top w:val="single" w:sz="4" w:space="0" w:color="000000"/>
              <w:left w:val="single" w:sz="4" w:space="0" w:color="000000"/>
              <w:bottom w:val="single" w:sz="4" w:space="0" w:color="000000"/>
              <w:right w:val="single" w:sz="4" w:space="0" w:color="000000"/>
            </w:tcBorders>
          </w:tcPr>
          <w:p w14:paraId="6E463C65" w14:textId="77777777" w:rsidR="00843FDA" w:rsidRPr="00C6580C" w:rsidRDefault="00843FDA" w:rsidP="00CD7CAC">
            <w:pPr>
              <w:widowControl/>
              <w:rPr>
                <w:kern w:val="0"/>
                <w:szCs w:val="22"/>
              </w:rPr>
            </w:pPr>
            <w:r w:rsidRPr="00C6580C">
              <w:rPr>
                <w:kern w:val="0"/>
                <w:szCs w:val="22"/>
              </w:rPr>
              <w:t>276a</w:t>
            </w:r>
          </w:p>
        </w:tc>
        <w:tc>
          <w:tcPr>
            <w:tcW w:w="0" w:type="auto"/>
            <w:tcBorders>
              <w:top w:val="single" w:sz="4" w:space="0" w:color="000000"/>
              <w:left w:val="single" w:sz="4" w:space="0" w:color="000000"/>
              <w:bottom w:val="single" w:sz="4" w:space="0" w:color="000000"/>
              <w:right w:val="single" w:sz="4" w:space="0" w:color="000000"/>
            </w:tcBorders>
          </w:tcPr>
          <w:p w14:paraId="1787CFA7" w14:textId="77777777" w:rsidR="00843FDA" w:rsidRPr="00C6580C" w:rsidRDefault="00843FDA" w:rsidP="00CD7CAC">
            <w:pPr>
              <w:widowControl/>
              <w:jc w:val="right"/>
              <w:rPr>
                <w:kern w:val="0"/>
                <w:szCs w:val="22"/>
              </w:rPr>
            </w:pPr>
            <w:r w:rsidRPr="00C6580C">
              <w:rPr>
                <w:kern w:val="0"/>
                <w:szCs w:val="22"/>
              </w:rPr>
              <w:t>.1500</w:t>
            </w:r>
          </w:p>
        </w:tc>
      </w:tr>
      <w:tr w:rsidR="00843FDA" w:rsidRPr="00C6580C" w14:paraId="09264A31" w14:textId="77777777">
        <w:tc>
          <w:tcPr>
            <w:tcW w:w="0" w:type="auto"/>
            <w:tcBorders>
              <w:top w:val="single" w:sz="4" w:space="0" w:color="000000"/>
              <w:left w:val="single" w:sz="4" w:space="0" w:color="000000"/>
              <w:bottom w:val="single" w:sz="4" w:space="0" w:color="000000"/>
              <w:right w:val="single" w:sz="4" w:space="0" w:color="000000"/>
            </w:tcBorders>
          </w:tcPr>
          <w:p w14:paraId="401C730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E74FD4E" w14:textId="77777777" w:rsidR="00843FDA" w:rsidRPr="00C6580C" w:rsidRDefault="00843FDA" w:rsidP="00CD7CAC">
            <w:pPr>
              <w:widowControl/>
              <w:jc w:val="center"/>
              <w:rPr>
                <w:szCs w:val="22"/>
              </w:rPr>
            </w:pPr>
            <w:r w:rsidRPr="00C6580C">
              <w:rPr>
                <w:kern w:val="0"/>
                <w:szCs w:val="22"/>
              </w:rPr>
              <w:t>* * *</w:t>
            </w:r>
          </w:p>
        </w:tc>
      </w:tr>
      <w:tr w:rsidR="00843FDA" w:rsidRPr="00C6580C" w14:paraId="0BF04492" w14:textId="77777777">
        <w:tc>
          <w:tcPr>
            <w:tcW w:w="0" w:type="auto"/>
            <w:tcBorders>
              <w:top w:val="single" w:sz="4" w:space="0" w:color="000000"/>
              <w:left w:val="single" w:sz="4" w:space="0" w:color="000000"/>
              <w:bottom w:val="single" w:sz="4" w:space="0" w:color="000000"/>
              <w:right w:val="single" w:sz="4" w:space="0" w:color="000000"/>
            </w:tcBorders>
          </w:tcPr>
          <w:p w14:paraId="1CF8FDC3" w14:textId="77777777" w:rsidR="00843FDA" w:rsidRPr="00C6580C" w:rsidRDefault="00843FDA" w:rsidP="00CD7CAC">
            <w:pPr>
              <w:widowControl/>
              <w:rPr>
                <w:kern w:val="0"/>
                <w:szCs w:val="22"/>
              </w:rPr>
            </w:pPr>
            <w:r w:rsidRPr="00C6580C">
              <w:rPr>
                <w:kern w:val="0"/>
                <w:szCs w:val="22"/>
              </w:rPr>
              <w:t>277a</w:t>
            </w:r>
          </w:p>
        </w:tc>
        <w:tc>
          <w:tcPr>
            <w:tcW w:w="0" w:type="auto"/>
            <w:tcBorders>
              <w:top w:val="single" w:sz="4" w:space="0" w:color="000000"/>
              <w:left w:val="single" w:sz="4" w:space="0" w:color="000000"/>
              <w:bottom w:val="single" w:sz="4" w:space="0" w:color="000000"/>
              <w:right w:val="single" w:sz="4" w:space="0" w:color="000000"/>
            </w:tcBorders>
          </w:tcPr>
          <w:p w14:paraId="172BF204" w14:textId="77777777" w:rsidR="00843FDA" w:rsidRPr="00C6580C" w:rsidRDefault="00843FDA" w:rsidP="00CD7CAC">
            <w:pPr>
              <w:widowControl/>
              <w:jc w:val="right"/>
              <w:rPr>
                <w:kern w:val="0"/>
                <w:szCs w:val="22"/>
              </w:rPr>
            </w:pPr>
            <w:r w:rsidRPr="00C6580C">
              <w:rPr>
                <w:kern w:val="0"/>
                <w:szCs w:val="22"/>
              </w:rPr>
              <w:t>.1750</w:t>
            </w:r>
          </w:p>
        </w:tc>
      </w:tr>
      <w:tr w:rsidR="00843FDA" w:rsidRPr="00C6580C" w14:paraId="03334328" w14:textId="77777777">
        <w:tc>
          <w:tcPr>
            <w:tcW w:w="0" w:type="auto"/>
            <w:tcBorders>
              <w:top w:val="single" w:sz="4" w:space="0" w:color="000000"/>
              <w:left w:val="single" w:sz="4" w:space="0" w:color="000000"/>
              <w:bottom w:val="single" w:sz="4" w:space="0" w:color="000000"/>
              <w:right w:val="single" w:sz="4" w:space="0" w:color="000000"/>
            </w:tcBorders>
          </w:tcPr>
          <w:p w14:paraId="1B83429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59EABD8" w14:textId="77777777" w:rsidR="00843FDA" w:rsidRPr="00C6580C" w:rsidRDefault="00843FDA" w:rsidP="00CD7CAC">
            <w:pPr>
              <w:widowControl/>
              <w:jc w:val="center"/>
              <w:rPr>
                <w:szCs w:val="22"/>
              </w:rPr>
            </w:pPr>
            <w:r w:rsidRPr="00C6580C">
              <w:rPr>
                <w:kern w:val="0"/>
                <w:szCs w:val="22"/>
              </w:rPr>
              <w:t>* * *</w:t>
            </w:r>
          </w:p>
        </w:tc>
      </w:tr>
      <w:tr w:rsidR="00843FDA" w:rsidRPr="00C6580C" w14:paraId="3550789A" w14:textId="77777777">
        <w:tc>
          <w:tcPr>
            <w:tcW w:w="0" w:type="auto"/>
            <w:tcBorders>
              <w:top w:val="single" w:sz="4" w:space="0" w:color="000000"/>
              <w:left w:val="single" w:sz="4" w:space="0" w:color="000000"/>
              <w:bottom w:val="single" w:sz="4" w:space="0" w:color="000000"/>
              <w:right w:val="single" w:sz="4" w:space="0" w:color="000000"/>
            </w:tcBorders>
          </w:tcPr>
          <w:p w14:paraId="60A40628" w14:textId="77777777" w:rsidR="00843FDA" w:rsidRPr="00C6580C" w:rsidRDefault="00843FDA" w:rsidP="00CD7CAC">
            <w:pPr>
              <w:widowControl/>
              <w:rPr>
                <w:kern w:val="0"/>
                <w:szCs w:val="22"/>
              </w:rPr>
            </w:pPr>
            <w:r w:rsidRPr="00C6580C">
              <w:rPr>
                <w:kern w:val="0"/>
                <w:szCs w:val="22"/>
              </w:rPr>
              <w:t>278a</w:t>
            </w:r>
          </w:p>
        </w:tc>
        <w:tc>
          <w:tcPr>
            <w:tcW w:w="0" w:type="auto"/>
            <w:tcBorders>
              <w:top w:val="single" w:sz="4" w:space="0" w:color="000000"/>
              <w:left w:val="single" w:sz="4" w:space="0" w:color="000000"/>
              <w:bottom w:val="single" w:sz="4" w:space="0" w:color="000000"/>
              <w:right w:val="single" w:sz="4" w:space="0" w:color="000000"/>
            </w:tcBorders>
          </w:tcPr>
          <w:p w14:paraId="0F8D2852" w14:textId="77777777" w:rsidR="00843FDA" w:rsidRPr="00C6580C" w:rsidRDefault="00843FDA" w:rsidP="00CD7CAC">
            <w:pPr>
              <w:widowControl/>
              <w:jc w:val="right"/>
              <w:rPr>
                <w:kern w:val="0"/>
                <w:szCs w:val="22"/>
              </w:rPr>
            </w:pPr>
            <w:r w:rsidRPr="00C6580C">
              <w:rPr>
                <w:kern w:val="0"/>
                <w:szCs w:val="22"/>
              </w:rPr>
              <w:t>.2000</w:t>
            </w:r>
          </w:p>
        </w:tc>
      </w:tr>
      <w:tr w:rsidR="00843FDA" w:rsidRPr="00C6580C" w14:paraId="228803AA" w14:textId="77777777">
        <w:tc>
          <w:tcPr>
            <w:tcW w:w="0" w:type="auto"/>
            <w:tcBorders>
              <w:top w:val="single" w:sz="4" w:space="0" w:color="000000"/>
              <w:left w:val="single" w:sz="4" w:space="0" w:color="000000"/>
              <w:bottom w:val="single" w:sz="4" w:space="0" w:color="000000"/>
              <w:right w:val="single" w:sz="4" w:space="0" w:color="000000"/>
            </w:tcBorders>
          </w:tcPr>
          <w:p w14:paraId="6B2F893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9B07BBF" w14:textId="77777777" w:rsidR="00843FDA" w:rsidRPr="00C6580C" w:rsidRDefault="00843FDA" w:rsidP="00CD7CAC">
            <w:pPr>
              <w:widowControl/>
              <w:jc w:val="center"/>
              <w:rPr>
                <w:szCs w:val="22"/>
              </w:rPr>
            </w:pPr>
            <w:r w:rsidRPr="00C6580C">
              <w:rPr>
                <w:kern w:val="0"/>
                <w:szCs w:val="22"/>
              </w:rPr>
              <w:t>* * *</w:t>
            </w:r>
          </w:p>
        </w:tc>
      </w:tr>
      <w:tr w:rsidR="00843FDA" w:rsidRPr="00C6580C" w14:paraId="789871C8" w14:textId="77777777">
        <w:tc>
          <w:tcPr>
            <w:tcW w:w="0" w:type="auto"/>
            <w:tcBorders>
              <w:top w:val="single" w:sz="4" w:space="0" w:color="000000"/>
              <w:left w:val="single" w:sz="4" w:space="0" w:color="000000"/>
              <w:bottom w:val="single" w:sz="4" w:space="0" w:color="000000"/>
              <w:right w:val="single" w:sz="4" w:space="0" w:color="000000"/>
            </w:tcBorders>
          </w:tcPr>
          <w:p w14:paraId="570149DA" w14:textId="77777777" w:rsidR="00843FDA" w:rsidRPr="00C6580C" w:rsidRDefault="00843FDA" w:rsidP="00CD7CAC">
            <w:pPr>
              <w:widowControl/>
              <w:rPr>
                <w:kern w:val="0"/>
                <w:szCs w:val="22"/>
              </w:rPr>
            </w:pPr>
            <w:r w:rsidRPr="00C6580C">
              <w:rPr>
                <w:kern w:val="0"/>
                <w:szCs w:val="22"/>
              </w:rPr>
              <w:t>279a</w:t>
            </w:r>
          </w:p>
        </w:tc>
        <w:tc>
          <w:tcPr>
            <w:tcW w:w="0" w:type="auto"/>
            <w:tcBorders>
              <w:top w:val="single" w:sz="4" w:space="0" w:color="000000"/>
              <w:left w:val="single" w:sz="4" w:space="0" w:color="000000"/>
              <w:bottom w:val="single" w:sz="4" w:space="0" w:color="000000"/>
              <w:right w:val="single" w:sz="4" w:space="0" w:color="000000"/>
            </w:tcBorders>
          </w:tcPr>
          <w:p w14:paraId="677B19C4" w14:textId="77777777" w:rsidR="00843FDA" w:rsidRPr="00C6580C" w:rsidRDefault="00843FDA" w:rsidP="00CD7CAC">
            <w:pPr>
              <w:widowControl/>
              <w:jc w:val="right"/>
              <w:rPr>
                <w:kern w:val="0"/>
                <w:szCs w:val="22"/>
              </w:rPr>
            </w:pPr>
            <w:r w:rsidRPr="00C6580C">
              <w:rPr>
                <w:kern w:val="0"/>
                <w:szCs w:val="22"/>
              </w:rPr>
              <w:t>.2250</w:t>
            </w:r>
          </w:p>
        </w:tc>
      </w:tr>
      <w:tr w:rsidR="00843FDA" w:rsidRPr="00C6580C" w14:paraId="2A64AA68" w14:textId="77777777">
        <w:tc>
          <w:tcPr>
            <w:tcW w:w="0" w:type="auto"/>
            <w:tcBorders>
              <w:top w:val="single" w:sz="4" w:space="0" w:color="000000"/>
              <w:left w:val="single" w:sz="4" w:space="0" w:color="000000"/>
              <w:bottom w:val="single" w:sz="4" w:space="0" w:color="000000"/>
              <w:right w:val="single" w:sz="4" w:space="0" w:color="000000"/>
            </w:tcBorders>
          </w:tcPr>
          <w:p w14:paraId="0B51EFF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170406E" w14:textId="77777777" w:rsidR="00843FDA" w:rsidRPr="00C6580C" w:rsidRDefault="00843FDA" w:rsidP="00CD7CAC">
            <w:pPr>
              <w:widowControl/>
              <w:jc w:val="center"/>
              <w:rPr>
                <w:szCs w:val="22"/>
              </w:rPr>
            </w:pPr>
            <w:r w:rsidRPr="00C6580C">
              <w:rPr>
                <w:kern w:val="0"/>
                <w:szCs w:val="22"/>
              </w:rPr>
              <w:t>* * *</w:t>
            </w:r>
          </w:p>
        </w:tc>
      </w:tr>
      <w:tr w:rsidR="00843FDA" w:rsidRPr="00C6580C" w14:paraId="5E1D785D" w14:textId="77777777">
        <w:tc>
          <w:tcPr>
            <w:tcW w:w="0" w:type="auto"/>
            <w:tcBorders>
              <w:top w:val="single" w:sz="4" w:space="0" w:color="000000"/>
              <w:left w:val="single" w:sz="4" w:space="0" w:color="000000"/>
              <w:bottom w:val="single" w:sz="4" w:space="0" w:color="000000"/>
              <w:right w:val="single" w:sz="4" w:space="0" w:color="000000"/>
            </w:tcBorders>
          </w:tcPr>
          <w:p w14:paraId="72EA2794" w14:textId="77777777" w:rsidR="00843FDA" w:rsidRPr="00C6580C" w:rsidRDefault="00843FDA" w:rsidP="00CD7CAC">
            <w:pPr>
              <w:widowControl/>
              <w:rPr>
                <w:kern w:val="0"/>
                <w:szCs w:val="22"/>
              </w:rPr>
            </w:pPr>
            <w:r w:rsidRPr="00C6580C">
              <w:rPr>
                <w:kern w:val="0"/>
                <w:szCs w:val="22"/>
              </w:rPr>
              <w:t>280a</w:t>
            </w:r>
          </w:p>
        </w:tc>
        <w:tc>
          <w:tcPr>
            <w:tcW w:w="0" w:type="auto"/>
            <w:tcBorders>
              <w:top w:val="single" w:sz="4" w:space="0" w:color="000000"/>
              <w:left w:val="single" w:sz="4" w:space="0" w:color="000000"/>
              <w:bottom w:val="single" w:sz="4" w:space="0" w:color="000000"/>
              <w:right w:val="single" w:sz="4" w:space="0" w:color="000000"/>
            </w:tcBorders>
          </w:tcPr>
          <w:p w14:paraId="1BFD43C4" w14:textId="77777777" w:rsidR="00843FDA" w:rsidRPr="00C6580C" w:rsidRDefault="00843FDA" w:rsidP="00CD7CAC">
            <w:pPr>
              <w:widowControl/>
              <w:jc w:val="right"/>
              <w:rPr>
                <w:kern w:val="0"/>
                <w:szCs w:val="22"/>
              </w:rPr>
            </w:pPr>
            <w:r w:rsidRPr="00C6580C">
              <w:rPr>
                <w:kern w:val="0"/>
                <w:szCs w:val="22"/>
              </w:rPr>
              <w:t>.2500</w:t>
            </w:r>
          </w:p>
        </w:tc>
      </w:tr>
      <w:tr w:rsidR="00843FDA" w:rsidRPr="00C6580C" w14:paraId="7027A3BD" w14:textId="77777777">
        <w:tc>
          <w:tcPr>
            <w:tcW w:w="0" w:type="auto"/>
            <w:tcBorders>
              <w:top w:val="single" w:sz="4" w:space="0" w:color="000000"/>
              <w:left w:val="single" w:sz="4" w:space="0" w:color="000000"/>
              <w:bottom w:val="single" w:sz="4" w:space="0" w:color="000000"/>
              <w:right w:val="single" w:sz="4" w:space="0" w:color="000000"/>
            </w:tcBorders>
          </w:tcPr>
          <w:p w14:paraId="2B9F708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EAD0F10" w14:textId="77777777" w:rsidR="00843FDA" w:rsidRPr="00C6580C" w:rsidRDefault="00843FDA" w:rsidP="00CD7CAC">
            <w:pPr>
              <w:widowControl/>
              <w:jc w:val="center"/>
              <w:rPr>
                <w:szCs w:val="22"/>
              </w:rPr>
            </w:pPr>
            <w:r w:rsidRPr="00C6580C">
              <w:rPr>
                <w:kern w:val="0"/>
                <w:szCs w:val="22"/>
              </w:rPr>
              <w:t>* * *</w:t>
            </w:r>
          </w:p>
        </w:tc>
      </w:tr>
      <w:tr w:rsidR="00843FDA" w:rsidRPr="00C6580C" w14:paraId="0DDBB863" w14:textId="77777777">
        <w:tc>
          <w:tcPr>
            <w:tcW w:w="0" w:type="auto"/>
            <w:tcBorders>
              <w:top w:val="single" w:sz="4" w:space="0" w:color="000000"/>
              <w:left w:val="single" w:sz="4" w:space="0" w:color="000000"/>
              <w:bottom w:val="single" w:sz="4" w:space="0" w:color="000000"/>
              <w:right w:val="single" w:sz="4" w:space="0" w:color="000000"/>
            </w:tcBorders>
          </w:tcPr>
          <w:p w14:paraId="3BC17C14" w14:textId="77777777" w:rsidR="00843FDA" w:rsidRPr="00C6580C" w:rsidRDefault="00843FDA" w:rsidP="00CD7CAC">
            <w:pPr>
              <w:widowControl/>
              <w:rPr>
                <w:kern w:val="0"/>
                <w:szCs w:val="22"/>
              </w:rPr>
            </w:pPr>
            <w:r w:rsidRPr="00C6580C">
              <w:rPr>
                <w:kern w:val="0"/>
                <w:szCs w:val="22"/>
              </w:rPr>
              <w:t>281a</w:t>
            </w:r>
          </w:p>
        </w:tc>
        <w:tc>
          <w:tcPr>
            <w:tcW w:w="0" w:type="auto"/>
            <w:tcBorders>
              <w:top w:val="single" w:sz="4" w:space="0" w:color="000000"/>
              <w:left w:val="single" w:sz="4" w:space="0" w:color="000000"/>
              <w:bottom w:val="single" w:sz="4" w:space="0" w:color="000000"/>
              <w:right w:val="single" w:sz="4" w:space="0" w:color="000000"/>
            </w:tcBorders>
          </w:tcPr>
          <w:p w14:paraId="08C1CCD5" w14:textId="77777777" w:rsidR="00843FDA" w:rsidRPr="00C6580C" w:rsidRDefault="00843FDA" w:rsidP="00CD7CAC">
            <w:pPr>
              <w:widowControl/>
              <w:jc w:val="right"/>
              <w:rPr>
                <w:kern w:val="0"/>
                <w:szCs w:val="22"/>
              </w:rPr>
            </w:pPr>
            <w:r w:rsidRPr="00C6580C">
              <w:rPr>
                <w:kern w:val="0"/>
                <w:szCs w:val="22"/>
              </w:rPr>
              <w:t>.2750</w:t>
            </w:r>
          </w:p>
        </w:tc>
      </w:tr>
      <w:tr w:rsidR="00843FDA" w:rsidRPr="00C6580C" w14:paraId="1F1DA330" w14:textId="77777777">
        <w:tc>
          <w:tcPr>
            <w:tcW w:w="0" w:type="auto"/>
            <w:tcBorders>
              <w:top w:val="single" w:sz="4" w:space="0" w:color="000000"/>
              <w:left w:val="single" w:sz="4" w:space="0" w:color="000000"/>
              <w:bottom w:val="single" w:sz="4" w:space="0" w:color="000000"/>
              <w:right w:val="single" w:sz="4" w:space="0" w:color="000000"/>
            </w:tcBorders>
          </w:tcPr>
          <w:p w14:paraId="413D598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99F4B6E" w14:textId="77777777" w:rsidR="00843FDA" w:rsidRPr="00C6580C" w:rsidRDefault="00843FDA" w:rsidP="00CD7CAC">
            <w:pPr>
              <w:widowControl/>
              <w:jc w:val="center"/>
              <w:rPr>
                <w:szCs w:val="22"/>
              </w:rPr>
            </w:pPr>
            <w:r w:rsidRPr="00C6580C">
              <w:rPr>
                <w:kern w:val="0"/>
                <w:szCs w:val="22"/>
              </w:rPr>
              <w:t>* * *</w:t>
            </w:r>
          </w:p>
        </w:tc>
      </w:tr>
      <w:tr w:rsidR="00843FDA" w:rsidRPr="00C6580C" w14:paraId="48347289" w14:textId="77777777">
        <w:tc>
          <w:tcPr>
            <w:tcW w:w="0" w:type="auto"/>
            <w:tcBorders>
              <w:top w:val="single" w:sz="4" w:space="0" w:color="000000"/>
              <w:left w:val="single" w:sz="4" w:space="0" w:color="000000"/>
              <w:bottom w:val="single" w:sz="4" w:space="0" w:color="000000"/>
              <w:right w:val="single" w:sz="4" w:space="0" w:color="000000"/>
            </w:tcBorders>
          </w:tcPr>
          <w:p w14:paraId="4F0A3550" w14:textId="77777777" w:rsidR="00843FDA" w:rsidRPr="00C6580C" w:rsidRDefault="00843FDA" w:rsidP="00CD7CAC">
            <w:pPr>
              <w:widowControl/>
              <w:rPr>
                <w:kern w:val="0"/>
                <w:szCs w:val="22"/>
              </w:rPr>
            </w:pPr>
            <w:r w:rsidRPr="00C6580C">
              <w:rPr>
                <w:kern w:val="0"/>
                <w:szCs w:val="22"/>
              </w:rPr>
              <w:t>282a</w:t>
            </w:r>
          </w:p>
        </w:tc>
        <w:tc>
          <w:tcPr>
            <w:tcW w:w="0" w:type="auto"/>
            <w:tcBorders>
              <w:top w:val="single" w:sz="4" w:space="0" w:color="000000"/>
              <w:left w:val="single" w:sz="4" w:space="0" w:color="000000"/>
              <w:bottom w:val="single" w:sz="4" w:space="0" w:color="000000"/>
              <w:right w:val="single" w:sz="4" w:space="0" w:color="000000"/>
            </w:tcBorders>
          </w:tcPr>
          <w:p w14:paraId="55AC25D6" w14:textId="77777777" w:rsidR="00843FDA" w:rsidRPr="00C6580C" w:rsidRDefault="00843FDA" w:rsidP="00CD7CAC">
            <w:pPr>
              <w:widowControl/>
              <w:jc w:val="right"/>
              <w:rPr>
                <w:kern w:val="0"/>
                <w:szCs w:val="22"/>
              </w:rPr>
            </w:pPr>
            <w:r w:rsidRPr="00C6580C">
              <w:rPr>
                <w:kern w:val="0"/>
                <w:szCs w:val="22"/>
              </w:rPr>
              <w:t>.3000</w:t>
            </w:r>
          </w:p>
        </w:tc>
      </w:tr>
      <w:tr w:rsidR="00843FDA" w:rsidRPr="00C6580C" w14:paraId="38AE3DEC" w14:textId="77777777">
        <w:tc>
          <w:tcPr>
            <w:tcW w:w="0" w:type="auto"/>
            <w:tcBorders>
              <w:top w:val="single" w:sz="4" w:space="0" w:color="000000"/>
              <w:left w:val="single" w:sz="4" w:space="0" w:color="000000"/>
              <w:bottom w:val="single" w:sz="4" w:space="0" w:color="000000"/>
              <w:right w:val="single" w:sz="4" w:space="0" w:color="000000"/>
            </w:tcBorders>
          </w:tcPr>
          <w:p w14:paraId="1F1ACBE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20D70D3" w14:textId="77777777" w:rsidR="00843FDA" w:rsidRPr="00C6580C" w:rsidRDefault="00843FDA" w:rsidP="00CD7CAC">
            <w:pPr>
              <w:widowControl/>
              <w:jc w:val="center"/>
              <w:rPr>
                <w:szCs w:val="22"/>
              </w:rPr>
            </w:pPr>
            <w:r w:rsidRPr="00C6580C">
              <w:rPr>
                <w:kern w:val="0"/>
                <w:szCs w:val="22"/>
              </w:rPr>
              <w:t>* * *</w:t>
            </w:r>
          </w:p>
        </w:tc>
      </w:tr>
      <w:tr w:rsidR="00843FDA" w:rsidRPr="00C6580C" w14:paraId="7852100D" w14:textId="77777777">
        <w:tc>
          <w:tcPr>
            <w:tcW w:w="0" w:type="auto"/>
            <w:tcBorders>
              <w:top w:val="single" w:sz="4" w:space="0" w:color="000000"/>
              <w:left w:val="single" w:sz="4" w:space="0" w:color="000000"/>
              <w:bottom w:val="single" w:sz="4" w:space="0" w:color="000000"/>
              <w:right w:val="single" w:sz="4" w:space="0" w:color="000000"/>
            </w:tcBorders>
          </w:tcPr>
          <w:p w14:paraId="0F8A5676" w14:textId="77777777" w:rsidR="00843FDA" w:rsidRPr="00C6580C" w:rsidRDefault="00843FDA" w:rsidP="00CD7CAC">
            <w:pPr>
              <w:widowControl/>
              <w:rPr>
                <w:kern w:val="0"/>
                <w:szCs w:val="22"/>
              </w:rPr>
            </w:pPr>
            <w:r w:rsidRPr="00C6580C">
              <w:rPr>
                <w:kern w:val="0"/>
                <w:szCs w:val="22"/>
              </w:rPr>
              <w:t>283a</w:t>
            </w:r>
          </w:p>
        </w:tc>
        <w:tc>
          <w:tcPr>
            <w:tcW w:w="0" w:type="auto"/>
            <w:tcBorders>
              <w:top w:val="single" w:sz="4" w:space="0" w:color="000000"/>
              <w:left w:val="single" w:sz="4" w:space="0" w:color="000000"/>
              <w:bottom w:val="single" w:sz="4" w:space="0" w:color="000000"/>
              <w:right w:val="single" w:sz="4" w:space="0" w:color="000000"/>
            </w:tcBorders>
          </w:tcPr>
          <w:p w14:paraId="4923AA88" w14:textId="77777777" w:rsidR="00843FDA" w:rsidRPr="00C6580C" w:rsidRDefault="00843FDA" w:rsidP="00CD7CAC">
            <w:pPr>
              <w:widowControl/>
              <w:jc w:val="right"/>
              <w:rPr>
                <w:kern w:val="0"/>
                <w:szCs w:val="22"/>
              </w:rPr>
            </w:pPr>
            <w:r w:rsidRPr="00C6580C">
              <w:rPr>
                <w:kern w:val="0"/>
                <w:szCs w:val="22"/>
              </w:rPr>
              <w:t>.3250</w:t>
            </w:r>
          </w:p>
        </w:tc>
      </w:tr>
      <w:tr w:rsidR="00843FDA" w:rsidRPr="00C6580C" w14:paraId="2862E8AC" w14:textId="77777777">
        <w:tc>
          <w:tcPr>
            <w:tcW w:w="0" w:type="auto"/>
            <w:tcBorders>
              <w:top w:val="single" w:sz="4" w:space="0" w:color="000000"/>
              <w:left w:val="single" w:sz="4" w:space="0" w:color="000000"/>
              <w:bottom w:val="single" w:sz="4" w:space="0" w:color="000000"/>
              <w:right w:val="single" w:sz="4" w:space="0" w:color="000000"/>
            </w:tcBorders>
          </w:tcPr>
          <w:p w14:paraId="7F3EAB1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236B8F9" w14:textId="77777777" w:rsidR="00843FDA" w:rsidRPr="00C6580C" w:rsidRDefault="00843FDA" w:rsidP="00CD7CAC">
            <w:pPr>
              <w:widowControl/>
              <w:jc w:val="center"/>
              <w:rPr>
                <w:szCs w:val="22"/>
              </w:rPr>
            </w:pPr>
            <w:r w:rsidRPr="00C6580C">
              <w:rPr>
                <w:kern w:val="0"/>
                <w:szCs w:val="22"/>
              </w:rPr>
              <w:t>* * *</w:t>
            </w:r>
          </w:p>
        </w:tc>
      </w:tr>
      <w:tr w:rsidR="00843FDA" w:rsidRPr="00C6580C" w14:paraId="069881D1" w14:textId="77777777">
        <w:tc>
          <w:tcPr>
            <w:tcW w:w="0" w:type="auto"/>
            <w:tcBorders>
              <w:top w:val="single" w:sz="4" w:space="0" w:color="000000"/>
              <w:left w:val="single" w:sz="4" w:space="0" w:color="000000"/>
              <w:bottom w:val="single" w:sz="4" w:space="0" w:color="000000"/>
              <w:right w:val="single" w:sz="4" w:space="0" w:color="000000"/>
            </w:tcBorders>
          </w:tcPr>
          <w:p w14:paraId="7584DB82" w14:textId="77777777" w:rsidR="00843FDA" w:rsidRPr="00C6580C" w:rsidRDefault="00843FDA" w:rsidP="00CD7CAC">
            <w:pPr>
              <w:widowControl/>
              <w:rPr>
                <w:kern w:val="0"/>
                <w:szCs w:val="22"/>
              </w:rPr>
            </w:pPr>
            <w:r w:rsidRPr="00C6580C">
              <w:rPr>
                <w:kern w:val="0"/>
                <w:szCs w:val="22"/>
              </w:rPr>
              <w:t>284a</w:t>
            </w:r>
          </w:p>
        </w:tc>
        <w:tc>
          <w:tcPr>
            <w:tcW w:w="0" w:type="auto"/>
            <w:tcBorders>
              <w:top w:val="single" w:sz="4" w:space="0" w:color="000000"/>
              <w:left w:val="single" w:sz="4" w:space="0" w:color="000000"/>
              <w:bottom w:val="single" w:sz="4" w:space="0" w:color="000000"/>
              <w:right w:val="single" w:sz="4" w:space="0" w:color="000000"/>
            </w:tcBorders>
          </w:tcPr>
          <w:p w14:paraId="04E5FFF1" w14:textId="77777777" w:rsidR="00843FDA" w:rsidRPr="00C6580C" w:rsidRDefault="00843FDA" w:rsidP="00CD7CAC">
            <w:pPr>
              <w:widowControl/>
              <w:jc w:val="right"/>
              <w:rPr>
                <w:kern w:val="0"/>
                <w:szCs w:val="22"/>
              </w:rPr>
            </w:pPr>
            <w:r w:rsidRPr="00C6580C">
              <w:rPr>
                <w:kern w:val="0"/>
                <w:szCs w:val="22"/>
              </w:rPr>
              <w:t>.3500</w:t>
            </w:r>
          </w:p>
        </w:tc>
      </w:tr>
      <w:tr w:rsidR="00843FDA" w:rsidRPr="00C6580C" w14:paraId="666B9D0B" w14:textId="77777777">
        <w:tc>
          <w:tcPr>
            <w:tcW w:w="0" w:type="auto"/>
            <w:tcBorders>
              <w:top w:val="single" w:sz="4" w:space="0" w:color="000000"/>
              <w:left w:val="single" w:sz="4" w:space="0" w:color="000000"/>
              <w:bottom w:val="single" w:sz="4" w:space="0" w:color="000000"/>
              <w:right w:val="single" w:sz="4" w:space="0" w:color="000000"/>
            </w:tcBorders>
          </w:tcPr>
          <w:p w14:paraId="23B8EA6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805ED41" w14:textId="77777777" w:rsidR="00843FDA" w:rsidRPr="00C6580C" w:rsidRDefault="00843FDA" w:rsidP="00CD7CAC">
            <w:pPr>
              <w:widowControl/>
              <w:jc w:val="center"/>
              <w:rPr>
                <w:szCs w:val="22"/>
              </w:rPr>
            </w:pPr>
            <w:r w:rsidRPr="00C6580C">
              <w:rPr>
                <w:kern w:val="0"/>
                <w:szCs w:val="22"/>
              </w:rPr>
              <w:t>* * *</w:t>
            </w:r>
          </w:p>
        </w:tc>
      </w:tr>
      <w:tr w:rsidR="00843FDA" w:rsidRPr="00C6580C" w14:paraId="0189295A" w14:textId="77777777">
        <w:tc>
          <w:tcPr>
            <w:tcW w:w="0" w:type="auto"/>
            <w:tcBorders>
              <w:top w:val="single" w:sz="4" w:space="0" w:color="000000"/>
              <w:left w:val="single" w:sz="4" w:space="0" w:color="000000"/>
              <w:bottom w:val="single" w:sz="4" w:space="0" w:color="000000"/>
              <w:right w:val="single" w:sz="4" w:space="0" w:color="000000"/>
            </w:tcBorders>
          </w:tcPr>
          <w:p w14:paraId="4974A54F" w14:textId="77777777" w:rsidR="00843FDA" w:rsidRPr="00C6580C" w:rsidRDefault="00843FDA" w:rsidP="00CD7CAC">
            <w:pPr>
              <w:widowControl/>
              <w:rPr>
                <w:kern w:val="0"/>
                <w:szCs w:val="22"/>
              </w:rPr>
            </w:pPr>
            <w:r w:rsidRPr="00C6580C">
              <w:rPr>
                <w:kern w:val="0"/>
                <w:szCs w:val="22"/>
              </w:rPr>
              <w:t>285a</w:t>
            </w:r>
          </w:p>
        </w:tc>
        <w:tc>
          <w:tcPr>
            <w:tcW w:w="0" w:type="auto"/>
            <w:tcBorders>
              <w:top w:val="single" w:sz="4" w:space="0" w:color="000000"/>
              <w:left w:val="single" w:sz="4" w:space="0" w:color="000000"/>
              <w:bottom w:val="single" w:sz="4" w:space="0" w:color="000000"/>
              <w:right w:val="single" w:sz="4" w:space="0" w:color="000000"/>
            </w:tcBorders>
          </w:tcPr>
          <w:p w14:paraId="1AF69A46" w14:textId="77777777" w:rsidR="00843FDA" w:rsidRPr="00C6580C" w:rsidRDefault="00843FDA" w:rsidP="00CD7CAC">
            <w:pPr>
              <w:widowControl/>
              <w:jc w:val="right"/>
              <w:rPr>
                <w:kern w:val="0"/>
                <w:szCs w:val="22"/>
              </w:rPr>
            </w:pPr>
            <w:r w:rsidRPr="00C6580C">
              <w:rPr>
                <w:kern w:val="0"/>
                <w:szCs w:val="22"/>
              </w:rPr>
              <w:t>.3750</w:t>
            </w:r>
          </w:p>
        </w:tc>
      </w:tr>
      <w:tr w:rsidR="00843FDA" w:rsidRPr="00C6580C" w14:paraId="41FB2711" w14:textId="77777777">
        <w:tc>
          <w:tcPr>
            <w:tcW w:w="0" w:type="auto"/>
            <w:tcBorders>
              <w:top w:val="single" w:sz="4" w:space="0" w:color="000000"/>
              <w:left w:val="single" w:sz="4" w:space="0" w:color="000000"/>
              <w:bottom w:val="single" w:sz="4" w:space="0" w:color="000000"/>
              <w:right w:val="single" w:sz="4" w:space="0" w:color="000000"/>
            </w:tcBorders>
          </w:tcPr>
          <w:p w14:paraId="060424D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805CFA0" w14:textId="77777777" w:rsidR="00843FDA" w:rsidRPr="00C6580C" w:rsidRDefault="00843FDA" w:rsidP="00CD7CAC">
            <w:pPr>
              <w:widowControl/>
              <w:jc w:val="center"/>
              <w:rPr>
                <w:szCs w:val="22"/>
              </w:rPr>
            </w:pPr>
            <w:r w:rsidRPr="00C6580C">
              <w:rPr>
                <w:kern w:val="0"/>
                <w:szCs w:val="22"/>
              </w:rPr>
              <w:t>* * *</w:t>
            </w:r>
          </w:p>
        </w:tc>
      </w:tr>
      <w:tr w:rsidR="00843FDA" w:rsidRPr="00C6580C" w14:paraId="0E97D164" w14:textId="77777777">
        <w:tc>
          <w:tcPr>
            <w:tcW w:w="0" w:type="auto"/>
            <w:tcBorders>
              <w:top w:val="single" w:sz="4" w:space="0" w:color="000000"/>
              <w:left w:val="single" w:sz="4" w:space="0" w:color="000000"/>
              <w:bottom w:val="single" w:sz="4" w:space="0" w:color="000000"/>
              <w:right w:val="single" w:sz="4" w:space="0" w:color="000000"/>
            </w:tcBorders>
          </w:tcPr>
          <w:p w14:paraId="5B168E04" w14:textId="77777777" w:rsidR="00843FDA" w:rsidRPr="00C6580C" w:rsidRDefault="00843FDA" w:rsidP="00CD7CAC">
            <w:pPr>
              <w:widowControl/>
              <w:rPr>
                <w:kern w:val="0"/>
                <w:szCs w:val="22"/>
              </w:rPr>
            </w:pPr>
            <w:r w:rsidRPr="00C6580C">
              <w:rPr>
                <w:kern w:val="0"/>
                <w:szCs w:val="22"/>
              </w:rPr>
              <w:t>286a</w:t>
            </w:r>
          </w:p>
        </w:tc>
        <w:tc>
          <w:tcPr>
            <w:tcW w:w="0" w:type="auto"/>
            <w:tcBorders>
              <w:top w:val="single" w:sz="4" w:space="0" w:color="000000"/>
              <w:left w:val="single" w:sz="4" w:space="0" w:color="000000"/>
              <w:bottom w:val="single" w:sz="4" w:space="0" w:color="000000"/>
              <w:right w:val="single" w:sz="4" w:space="0" w:color="000000"/>
            </w:tcBorders>
          </w:tcPr>
          <w:p w14:paraId="0B531D4D" w14:textId="77777777" w:rsidR="00843FDA" w:rsidRPr="00C6580C" w:rsidRDefault="00843FDA" w:rsidP="00CD7CAC">
            <w:pPr>
              <w:widowControl/>
              <w:jc w:val="right"/>
              <w:rPr>
                <w:kern w:val="0"/>
                <w:szCs w:val="22"/>
              </w:rPr>
            </w:pPr>
            <w:r w:rsidRPr="00C6580C">
              <w:rPr>
                <w:kern w:val="0"/>
                <w:szCs w:val="22"/>
              </w:rPr>
              <w:t>.4000</w:t>
            </w:r>
          </w:p>
        </w:tc>
      </w:tr>
      <w:tr w:rsidR="00843FDA" w:rsidRPr="00C6580C" w14:paraId="087CB187" w14:textId="77777777">
        <w:tc>
          <w:tcPr>
            <w:tcW w:w="0" w:type="auto"/>
            <w:tcBorders>
              <w:top w:val="single" w:sz="4" w:space="0" w:color="000000"/>
              <w:left w:val="single" w:sz="4" w:space="0" w:color="000000"/>
              <w:bottom w:val="single" w:sz="4" w:space="0" w:color="000000"/>
              <w:right w:val="single" w:sz="4" w:space="0" w:color="000000"/>
            </w:tcBorders>
          </w:tcPr>
          <w:p w14:paraId="7148A89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B77A835" w14:textId="77777777" w:rsidR="00843FDA" w:rsidRPr="00C6580C" w:rsidRDefault="00843FDA" w:rsidP="00CD7CAC">
            <w:pPr>
              <w:widowControl/>
              <w:jc w:val="center"/>
              <w:rPr>
                <w:szCs w:val="22"/>
              </w:rPr>
            </w:pPr>
            <w:r w:rsidRPr="00C6580C">
              <w:rPr>
                <w:kern w:val="0"/>
                <w:szCs w:val="22"/>
              </w:rPr>
              <w:t>* * *</w:t>
            </w:r>
          </w:p>
        </w:tc>
      </w:tr>
      <w:tr w:rsidR="00843FDA" w:rsidRPr="00C6580C" w14:paraId="5CC3C03A" w14:textId="77777777">
        <w:tc>
          <w:tcPr>
            <w:tcW w:w="0" w:type="auto"/>
            <w:tcBorders>
              <w:top w:val="single" w:sz="4" w:space="0" w:color="000000"/>
              <w:left w:val="single" w:sz="4" w:space="0" w:color="000000"/>
              <w:bottom w:val="single" w:sz="4" w:space="0" w:color="000000"/>
              <w:right w:val="single" w:sz="4" w:space="0" w:color="000000"/>
            </w:tcBorders>
          </w:tcPr>
          <w:p w14:paraId="32B34B54" w14:textId="77777777" w:rsidR="00843FDA" w:rsidRPr="00C6580C" w:rsidRDefault="00843FDA" w:rsidP="00CD7CAC">
            <w:pPr>
              <w:widowControl/>
              <w:rPr>
                <w:kern w:val="0"/>
                <w:szCs w:val="22"/>
              </w:rPr>
            </w:pPr>
            <w:r w:rsidRPr="00C6580C">
              <w:rPr>
                <w:kern w:val="0"/>
                <w:szCs w:val="22"/>
              </w:rPr>
              <w:t>287a</w:t>
            </w:r>
          </w:p>
        </w:tc>
        <w:tc>
          <w:tcPr>
            <w:tcW w:w="0" w:type="auto"/>
            <w:tcBorders>
              <w:top w:val="single" w:sz="4" w:space="0" w:color="000000"/>
              <w:left w:val="single" w:sz="4" w:space="0" w:color="000000"/>
              <w:bottom w:val="single" w:sz="4" w:space="0" w:color="000000"/>
              <w:right w:val="single" w:sz="4" w:space="0" w:color="000000"/>
            </w:tcBorders>
          </w:tcPr>
          <w:p w14:paraId="235DB3B4" w14:textId="77777777" w:rsidR="00843FDA" w:rsidRPr="00C6580C" w:rsidRDefault="00843FDA" w:rsidP="00CD7CAC">
            <w:pPr>
              <w:widowControl/>
              <w:jc w:val="right"/>
              <w:rPr>
                <w:kern w:val="0"/>
                <w:szCs w:val="22"/>
              </w:rPr>
            </w:pPr>
            <w:r w:rsidRPr="00C6580C">
              <w:rPr>
                <w:kern w:val="0"/>
                <w:szCs w:val="22"/>
              </w:rPr>
              <w:t>.4250</w:t>
            </w:r>
          </w:p>
        </w:tc>
      </w:tr>
      <w:tr w:rsidR="00843FDA" w:rsidRPr="00C6580C" w14:paraId="52AEE064" w14:textId="77777777">
        <w:tc>
          <w:tcPr>
            <w:tcW w:w="0" w:type="auto"/>
            <w:tcBorders>
              <w:top w:val="single" w:sz="4" w:space="0" w:color="000000"/>
              <w:left w:val="single" w:sz="4" w:space="0" w:color="000000"/>
              <w:bottom w:val="single" w:sz="4" w:space="0" w:color="000000"/>
              <w:right w:val="single" w:sz="4" w:space="0" w:color="000000"/>
            </w:tcBorders>
          </w:tcPr>
          <w:p w14:paraId="5CB267F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34BEC23" w14:textId="77777777" w:rsidR="00843FDA" w:rsidRPr="00C6580C" w:rsidRDefault="00843FDA" w:rsidP="00CD7CAC">
            <w:pPr>
              <w:widowControl/>
              <w:jc w:val="center"/>
              <w:rPr>
                <w:szCs w:val="22"/>
              </w:rPr>
            </w:pPr>
            <w:r w:rsidRPr="00C6580C">
              <w:rPr>
                <w:kern w:val="0"/>
                <w:szCs w:val="22"/>
              </w:rPr>
              <w:t>* * *</w:t>
            </w:r>
          </w:p>
        </w:tc>
      </w:tr>
      <w:tr w:rsidR="00843FDA" w:rsidRPr="00C6580C" w14:paraId="6BC9D269" w14:textId="77777777">
        <w:tc>
          <w:tcPr>
            <w:tcW w:w="0" w:type="auto"/>
            <w:tcBorders>
              <w:top w:val="single" w:sz="4" w:space="0" w:color="000000"/>
              <w:left w:val="single" w:sz="4" w:space="0" w:color="000000"/>
              <w:bottom w:val="single" w:sz="4" w:space="0" w:color="000000"/>
              <w:right w:val="single" w:sz="4" w:space="0" w:color="000000"/>
            </w:tcBorders>
          </w:tcPr>
          <w:p w14:paraId="19E348D4" w14:textId="77777777" w:rsidR="00843FDA" w:rsidRPr="00C6580C" w:rsidRDefault="00843FDA" w:rsidP="00CD7CAC">
            <w:pPr>
              <w:widowControl/>
              <w:rPr>
                <w:kern w:val="0"/>
                <w:szCs w:val="22"/>
              </w:rPr>
            </w:pPr>
            <w:r w:rsidRPr="00C6580C">
              <w:rPr>
                <w:kern w:val="0"/>
                <w:szCs w:val="22"/>
              </w:rPr>
              <w:t>288a</w:t>
            </w:r>
          </w:p>
        </w:tc>
        <w:tc>
          <w:tcPr>
            <w:tcW w:w="0" w:type="auto"/>
            <w:tcBorders>
              <w:top w:val="single" w:sz="4" w:space="0" w:color="000000"/>
              <w:left w:val="single" w:sz="4" w:space="0" w:color="000000"/>
              <w:bottom w:val="single" w:sz="4" w:space="0" w:color="000000"/>
              <w:right w:val="single" w:sz="4" w:space="0" w:color="000000"/>
            </w:tcBorders>
          </w:tcPr>
          <w:p w14:paraId="3F6DA117" w14:textId="77777777" w:rsidR="00843FDA" w:rsidRPr="00C6580C" w:rsidRDefault="00843FDA" w:rsidP="00CD7CAC">
            <w:pPr>
              <w:widowControl/>
              <w:jc w:val="right"/>
              <w:rPr>
                <w:kern w:val="0"/>
                <w:szCs w:val="22"/>
              </w:rPr>
            </w:pPr>
            <w:r w:rsidRPr="00C6580C">
              <w:rPr>
                <w:kern w:val="0"/>
                <w:szCs w:val="22"/>
              </w:rPr>
              <w:t>.4500</w:t>
            </w:r>
          </w:p>
        </w:tc>
      </w:tr>
      <w:tr w:rsidR="00843FDA" w:rsidRPr="00C6580C" w14:paraId="5830A263" w14:textId="77777777">
        <w:tc>
          <w:tcPr>
            <w:tcW w:w="0" w:type="auto"/>
            <w:tcBorders>
              <w:top w:val="single" w:sz="4" w:space="0" w:color="000000"/>
              <w:left w:val="single" w:sz="4" w:space="0" w:color="000000"/>
              <w:bottom w:val="single" w:sz="4" w:space="0" w:color="000000"/>
              <w:right w:val="single" w:sz="4" w:space="0" w:color="000000"/>
            </w:tcBorders>
          </w:tcPr>
          <w:p w14:paraId="3899E4E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2F04FC3" w14:textId="77777777" w:rsidR="00843FDA" w:rsidRPr="00C6580C" w:rsidRDefault="00843FDA" w:rsidP="00CD7CAC">
            <w:pPr>
              <w:widowControl/>
              <w:jc w:val="center"/>
              <w:rPr>
                <w:szCs w:val="22"/>
              </w:rPr>
            </w:pPr>
            <w:r w:rsidRPr="00C6580C">
              <w:rPr>
                <w:kern w:val="0"/>
                <w:szCs w:val="22"/>
              </w:rPr>
              <w:t>* * *</w:t>
            </w:r>
          </w:p>
        </w:tc>
      </w:tr>
      <w:tr w:rsidR="00843FDA" w:rsidRPr="00C6580C" w14:paraId="3205F0CB" w14:textId="77777777">
        <w:tc>
          <w:tcPr>
            <w:tcW w:w="0" w:type="auto"/>
            <w:tcBorders>
              <w:top w:val="single" w:sz="4" w:space="0" w:color="000000"/>
              <w:left w:val="single" w:sz="4" w:space="0" w:color="000000"/>
              <w:bottom w:val="single" w:sz="4" w:space="0" w:color="000000"/>
              <w:right w:val="single" w:sz="4" w:space="0" w:color="000000"/>
            </w:tcBorders>
          </w:tcPr>
          <w:p w14:paraId="5CD292CC" w14:textId="77777777" w:rsidR="00843FDA" w:rsidRPr="00C6580C" w:rsidRDefault="00843FDA" w:rsidP="00CD7CAC">
            <w:pPr>
              <w:widowControl/>
              <w:rPr>
                <w:kern w:val="0"/>
                <w:szCs w:val="22"/>
              </w:rPr>
            </w:pPr>
            <w:r w:rsidRPr="00C6580C">
              <w:rPr>
                <w:kern w:val="0"/>
                <w:szCs w:val="22"/>
              </w:rPr>
              <w:t>289a</w:t>
            </w:r>
          </w:p>
        </w:tc>
        <w:tc>
          <w:tcPr>
            <w:tcW w:w="0" w:type="auto"/>
            <w:tcBorders>
              <w:top w:val="single" w:sz="4" w:space="0" w:color="000000"/>
              <w:left w:val="single" w:sz="4" w:space="0" w:color="000000"/>
              <w:bottom w:val="single" w:sz="4" w:space="0" w:color="000000"/>
              <w:right w:val="single" w:sz="4" w:space="0" w:color="000000"/>
            </w:tcBorders>
          </w:tcPr>
          <w:p w14:paraId="15567CFF" w14:textId="77777777" w:rsidR="00843FDA" w:rsidRPr="00C6580C" w:rsidRDefault="00843FDA" w:rsidP="00CD7CAC">
            <w:pPr>
              <w:widowControl/>
              <w:jc w:val="right"/>
              <w:rPr>
                <w:kern w:val="0"/>
                <w:szCs w:val="22"/>
              </w:rPr>
            </w:pPr>
            <w:r w:rsidRPr="00C6580C">
              <w:rPr>
                <w:kern w:val="0"/>
                <w:szCs w:val="22"/>
              </w:rPr>
              <w:t>.4750</w:t>
            </w:r>
          </w:p>
        </w:tc>
      </w:tr>
      <w:tr w:rsidR="00843FDA" w:rsidRPr="00C6580C" w14:paraId="444E73C5" w14:textId="77777777">
        <w:tc>
          <w:tcPr>
            <w:tcW w:w="0" w:type="auto"/>
            <w:tcBorders>
              <w:top w:val="single" w:sz="4" w:space="0" w:color="000000"/>
              <w:left w:val="single" w:sz="4" w:space="0" w:color="000000"/>
              <w:bottom w:val="single" w:sz="4" w:space="0" w:color="000000"/>
              <w:right w:val="single" w:sz="4" w:space="0" w:color="000000"/>
            </w:tcBorders>
          </w:tcPr>
          <w:p w14:paraId="28F3716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E51D469" w14:textId="77777777" w:rsidR="00843FDA" w:rsidRPr="00C6580C" w:rsidRDefault="00843FDA" w:rsidP="00CD7CAC">
            <w:pPr>
              <w:widowControl/>
              <w:jc w:val="center"/>
              <w:rPr>
                <w:szCs w:val="22"/>
              </w:rPr>
            </w:pPr>
            <w:r w:rsidRPr="00C6580C">
              <w:rPr>
                <w:kern w:val="0"/>
                <w:szCs w:val="22"/>
              </w:rPr>
              <w:t>* * *</w:t>
            </w:r>
          </w:p>
        </w:tc>
      </w:tr>
      <w:tr w:rsidR="00843FDA" w:rsidRPr="00C6580C" w14:paraId="3CAF561D" w14:textId="77777777">
        <w:tc>
          <w:tcPr>
            <w:tcW w:w="0" w:type="auto"/>
            <w:tcBorders>
              <w:top w:val="single" w:sz="4" w:space="0" w:color="000000"/>
              <w:left w:val="single" w:sz="4" w:space="0" w:color="000000"/>
              <w:bottom w:val="single" w:sz="4" w:space="0" w:color="000000"/>
              <w:right w:val="single" w:sz="4" w:space="0" w:color="000000"/>
            </w:tcBorders>
          </w:tcPr>
          <w:p w14:paraId="10BC2C2E" w14:textId="77777777" w:rsidR="00843FDA" w:rsidRPr="00C6580C" w:rsidRDefault="00843FDA" w:rsidP="00CD7CAC">
            <w:pPr>
              <w:widowControl/>
              <w:rPr>
                <w:kern w:val="0"/>
                <w:szCs w:val="22"/>
              </w:rPr>
            </w:pPr>
            <w:r w:rsidRPr="00C6580C">
              <w:rPr>
                <w:kern w:val="0"/>
                <w:szCs w:val="22"/>
              </w:rPr>
              <w:t>290a</w:t>
            </w:r>
          </w:p>
        </w:tc>
        <w:tc>
          <w:tcPr>
            <w:tcW w:w="0" w:type="auto"/>
            <w:tcBorders>
              <w:top w:val="single" w:sz="4" w:space="0" w:color="000000"/>
              <w:left w:val="single" w:sz="4" w:space="0" w:color="000000"/>
              <w:bottom w:val="single" w:sz="4" w:space="0" w:color="000000"/>
              <w:right w:val="single" w:sz="4" w:space="0" w:color="000000"/>
            </w:tcBorders>
          </w:tcPr>
          <w:p w14:paraId="1DF78B7F" w14:textId="77777777" w:rsidR="00843FDA" w:rsidRPr="00C6580C" w:rsidRDefault="00843FDA" w:rsidP="00CD7CAC">
            <w:pPr>
              <w:widowControl/>
              <w:jc w:val="right"/>
              <w:rPr>
                <w:kern w:val="0"/>
                <w:szCs w:val="22"/>
              </w:rPr>
            </w:pPr>
            <w:r w:rsidRPr="00C6580C">
              <w:rPr>
                <w:kern w:val="0"/>
                <w:szCs w:val="22"/>
              </w:rPr>
              <w:t>.5000</w:t>
            </w:r>
          </w:p>
        </w:tc>
      </w:tr>
      <w:tr w:rsidR="00843FDA" w:rsidRPr="00C6580C" w14:paraId="51320315" w14:textId="77777777">
        <w:tc>
          <w:tcPr>
            <w:tcW w:w="0" w:type="auto"/>
            <w:tcBorders>
              <w:top w:val="single" w:sz="4" w:space="0" w:color="000000"/>
              <w:left w:val="single" w:sz="4" w:space="0" w:color="000000"/>
              <w:bottom w:val="single" w:sz="4" w:space="0" w:color="000000"/>
              <w:right w:val="single" w:sz="4" w:space="0" w:color="000000"/>
            </w:tcBorders>
          </w:tcPr>
          <w:p w14:paraId="2D875B3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CC44904" w14:textId="77777777" w:rsidR="00843FDA" w:rsidRPr="00C6580C" w:rsidRDefault="00843FDA" w:rsidP="00CD7CAC">
            <w:pPr>
              <w:widowControl/>
              <w:jc w:val="center"/>
              <w:rPr>
                <w:szCs w:val="22"/>
              </w:rPr>
            </w:pPr>
            <w:r w:rsidRPr="00C6580C">
              <w:rPr>
                <w:kern w:val="0"/>
                <w:szCs w:val="22"/>
              </w:rPr>
              <w:t>* * *</w:t>
            </w:r>
          </w:p>
        </w:tc>
      </w:tr>
      <w:tr w:rsidR="00843FDA" w:rsidRPr="00C6580C" w14:paraId="7ADFCA43" w14:textId="77777777">
        <w:tc>
          <w:tcPr>
            <w:tcW w:w="0" w:type="auto"/>
            <w:tcBorders>
              <w:top w:val="single" w:sz="4" w:space="0" w:color="000000"/>
              <w:left w:val="single" w:sz="4" w:space="0" w:color="000000"/>
              <w:bottom w:val="single" w:sz="4" w:space="0" w:color="000000"/>
              <w:right w:val="single" w:sz="4" w:space="0" w:color="000000"/>
            </w:tcBorders>
          </w:tcPr>
          <w:p w14:paraId="06AD144D" w14:textId="77777777" w:rsidR="00843FDA" w:rsidRPr="00C6580C" w:rsidRDefault="00843FDA" w:rsidP="00CD7CAC">
            <w:pPr>
              <w:widowControl/>
              <w:rPr>
                <w:kern w:val="0"/>
                <w:szCs w:val="22"/>
              </w:rPr>
            </w:pPr>
            <w:r w:rsidRPr="00C6580C">
              <w:rPr>
                <w:kern w:val="0"/>
                <w:szCs w:val="22"/>
              </w:rPr>
              <w:t>291a</w:t>
            </w:r>
          </w:p>
        </w:tc>
        <w:tc>
          <w:tcPr>
            <w:tcW w:w="0" w:type="auto"/>
            <w:tcBorders>
              <w:top w:val="single" w:sz="4" w:space="0" w:color="000000"/>
              <w:left w:val="single" w:sz="4" w:space="0" w:color="000000"/>
              <w:bottom w:val="single" w:sz="4" w:space="0" w:color="000000"/>
              <w:right w:val="single" w:sz="4" w:space="0" w:color="000000"/>
            </w:tcBorders>
          </w:tcPr>
          <w:p w14:paraId="38F06F04" w14:textId="77777777" w:rsidR="00843FDA" w:rsidRPr="00C6580C" w:rsidRDefault="00843FDA" w:rsidP="00CD7CAC">
            <w:pPr>
              <w:widowControl/>
              <w:jc w:val="right"/>
              <w:rPr>
                <w:kern w:val="0"/>
                <w:szCs w:val="22"/>
              </w:rPr>
            </w:pPr>
            <w:r w:rsidRPr="00C6580C">
              <w:rPr>
                <w:kern w:val="0"/>
                <w:szCs w:val="22"/>
              </w:rPr>
              <w:t>.5250</w:t>
            </w:r>
          </w:p>
        </w:tc>
      </w:tr>
      <w:tr w:rsidR="00843FDA" w:rsidRPr="00C6580C" w14:paraId="32172DC2" w14:textId="77777777">
        <w:tc>
          <w:tcPr>
            <w:tcW w:w="0" w:type="auto"/>
            <w:tcBorders>
              <w:top w:val="single" w:sz="4" w:space="0" w:color="000000"/>
              <w:left w:val="single" w:sz="4" w:space="0" w:color="000000"/>
              <w:bottom w:val="single" w:sz="4" w:space="0" w:color="000000"/>
              <w:right w:val="single" w:sz="4" w:space="0" w:color="000000"/>
            </w:tcBorders>
          </w:tcPr>
          <w:p w14:paraId="765F561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275890A" w14:textId="77777777" w:rsidR="00843FDA" w:rsidRPr="00C6580C" w:rsidRDefault="00843FDA" w:rsidP="00CD7CAC">
            <w:pPr>
              <w:widowControl/>
              <w:jc w:val="center"/>
              <w:rPr>
                <w:szCs w:val="22"/>
              </w:rPr>
            </w:pPr>
            <w:r w:rsidRPr="00C6580C">
              <w:rPr>
                <w:kern w:val="0"/>
                <w:szCs w:val="22"/>
              </w:rPr>
              <w:t>* * *</w:t>
            </w:r>
          </w:p>
        </w:tc>
      </w:tr>
      <w:tr w:rsidR="00843FDA" w:rsidRPr="00C6580C" w14:paraId="4AFA4554" w14:textId="77777777">
        <w:tc>
          <w:tcPr>
            <w:tcW w:w="0" w:type="auto"/>
            <w:tcBorders>
              <w:top w:val="single" w:sz="4" w:space="0" w:color="000000"/>
              <w:left w:val="single" w:sz="4" w:space="0" w:color="000000"/>
              <w:bottom w:val="single" w:sz="4" w:space="0" w:color="000000"/>
              <w:right w:val="single" w:sz="4" w:space="0" w:color="000000"/>
            </w:tcBorders>
          </w:tcPr>
          <w:p w14:paraId="3E433F3F" w14:textId="77777777" w:rsidR="00843FDA" w:rsidRPr="00C6580C" w:rsidRDefault="00843FDA" w:rsidP="00CD7CAC">
            <w:pPr>
              <w:widowControl/>
              <w:rPr>
                <w:kern w:val="0"/>
                <w:szCs w:val="22"/>
              </w:rPr>
            </w:pPr>
            <w:r w:rsidRPr="00C6580C">
              <w:rPr>
                <w:kern w:val="0"/>
                <w:szCs w:val="22"/>
              </w:rPr>
              <w:t>292a</w:t>
            </w:r>
          </w:p>
        </w:tc>
        <w:tc>
          <w:tcPr>
            <w:tcW w:w="0" w:type="auto"/>
            <w:tcBorders>
              <w:top w:val="single" w:sz="4" w:space="0" w:color="000000"/>
              <w:left w:val="single" w:sz="4" w:space="0" w:color="000000"/>
              <w:bottom w:val="single" w:sz="4" w:space="0" w:color="000000"/>
              <w:right w:val="single" w:sz="4" w:space="0" w:color="000000"/>
            </w:tcBorders>
          </w:tcPr>
          <w:p w14:paraId="34DE3093" w14:textId="77777777" w:rsidR="00843FDA" w:rsidRPr="00C6580C" w:rsidRDefault="00843FDA" w:rsidP="00CD7CAC">
            <w:pPr>
              <w:widowControl/>
              <w:jc w:val="right"/>
              <w:rPr>
                <w:kern w:val="0"/>
                <w:szCs w:val="22"/>
              </w:rPr>
            </w:pPr>
            <w:r w:rsidRPr="00C6580C">
              <w:rPr>
                <w:kern w:val="0"/>
                <w:szCs w:val="22"/>
              </w:rPr>
              <w:t>.5500</w:t>
            </w:r>
          </w:p>
        </w:tc>
      </w:tr>
      <w:tr w:rsidR="00843FDA" w:rsidRPr="00C6580C" w14:paraId="2E3D71B9" w14:textId="77777777">
        <w:tc>
          <w:tcPr>
            <w:tcW w:w="0" w:type="auto"/>
            <w:tcBorders>
              <w:top w:val="single" w:sz="4" w:space="0" w:color="000000"/>
              <w:left w:val="single" w:sz="4" w:space="0" w:color="000000"/>
              <w:bottom w:val="single" w:sz="4" w:space="0" w:color="000000"/>
              <w:right w:val="single" w:sz="4" w:space="0" w:color="000000"/>
            </w:tcBorders>
          </w:tcPr>
          <w:p w14:paraId="7E427DC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7DF57F0" w14:textId="77777777" w:rsidR="00843FDA" w:rsidRPr="00C6580C" w:rsidRDefault="00843FDA" w:rsidP="00CD7CAC">
            <w:pPr>
              <w:widowControl/>
              <w:jc w:val="center"/>
              <w:rPr>
                <w:szCs w:val="22"/>
              </w:rPr>
            </w:pPr>
            <w:r w:rsidRPr="00C6580C">
              <w:rPr>
                <w:kern w:val="0"/>
                <w:szCs w:val="22"/>
              </w:rPr>
              <w:t>* * *</w:t>
            </w:r>
          </w:p>
        </w:tc>
      </w:tr>
      <w:tr w:rsidR="00843FDA" w:rsidRPr="00C6580C" w14:paraId="12329F26" w14:textId="77777777">
        <w:tc>
          <w:tcPr>
            <w:tcW w:w="0" w:type="auto"/>
            <w:tcBorders>
              <w:top w:val="single" w:sz="4" w:space="0" w:color="000000"/>
              <w:left w:val="single" w:sz="4" w:space="0" w:color="000000"/>
              <w:bottom w:val="single" w:sz="4" w:space="0" w:color="000000"/>
              <w:right w:val="single" w:sz="4" w:space="0" w:color="000000"/>
            </w:tcBorders>
          </w:tcPr>
          <w:p w14:paraId="06409064" w14:textId="77777777" w:rsidR="00843FDA" w:rsidRPr="00C6580C" w:rsidRDefault="00843FDA" w:rsidP="00CD7CAC">
            <w:pPr>
              <w:widowControl/>
              <w:rPr>
                <w:kern w:val="0"/>
                <w:szCs w:val="22"/>
              </w:rPr>
            </w:pPr>
            <w:r w:rsidRPr="00C6580C">
              <w:rPr>
                <w:kern w:val="0"/>
                <w:szCs w:val="22"/>
              </w:rPr>
              <w:t>293a</w:t>
            </w:r>
          </w:p>
        </w:tc>
        <w:tc>
          <w:tcPr>
            <w:tcW w:w="0" w:type="auto"/>
            <w:tcBorders>
              <w:top w:val="single" w:sz="4" w:space="0" w:color="000000"/>
              <w:left w:val="single" w:sz="4" w:space="0" w:color="000000"/>
              <w:bottom w:val="single" w:sz="4" w:space="0" w:color="000000"/>
              <w:right w:val="single" w:sz="4" w:space="0" w:color="000000"/>
            </w:tcBorders>
          </w:tcPr>
          <w:p w14:paraId="75EFF90F" w14:textId="77777777" w:rsidR="00843FDA" w:rsidRPr="00C6580C" w:rsidRDefault="00843FDA" w:rsidP="00CD7CAC">
            <w:pPr>
              <w:widowControl/>
              <w:jc w:val="right"/>
              <w:rPr>
                <w:kern w:val="0"/>
                <w:szCs w:val="22"/>
              </w:rPr>
            </w:pPr>
            <w:r w:rsidRPr="00C6580C">
              <w:rPr>
                <w:kern w:val="0"/>
                <w:szCs w:val="22"/>
              </w:rPr>
              <w:t>.5750</w:t>
            </w:r>
          </w:p>
        </w:tc>
      </w:tr>
      <w:tr w:rsidR="00843FDA" w:rsidRPr="00C6580C" w14:paraId="556450AB" w14:textId="77777777">
        <w:tc>
          <w:tcPr>
            <w:tcW w:w="0" w:type="auto"/>
            <w:tcBorders>
              <w:top w:val="single" w:sz="4" w:space="0" w:color="000000"/>
              <w:left w:val="single" w:sz="4" w:space="0" w:color="000000"/>
              <w:bottom w:val="single" w:sz="4" w:space="0" w:color="000000"/>
              <w:right w:val="single" w:sz="4" w:space="0" w:color="000000"/>
            </w:tcBorders>
          </w:tcPr>
          <w:p w14:paraId="3B10417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9ABF85F" w14:textId="77777777" w:rsidR="00843FDA" w:rsidRPr="00C6580C" w:rsidRDefault="00843FDA" w:rsidP="00CD7CAC">
            <w:pPr>
              <w:widowControl/>
              <w:jc w:val="center"/>
              <w:rPr>
                <w:szCs w:val="22"/>
              </w:rPr>
            </w:pPr>
            <w:r w:rsidRPr="00C6580C">
              <w:rPr>
                <w:kern w:val="0"/>
                <w:szCs w:val="22"/>
              </w:rPr>
              <w:t>* * *</w:t>
            </w:r>
          </w:p>
        </w:tc>
      </w:tr>
      <w:tr w:rsidR="00843FDA" w:rsidRPr="00C6580C" w14:paraId="06545A1F" w14:textId="77777777">
        <w:tc>
          <w:tcPr>
            <w:tcW w:w="0" w:type="auto"/>
            <w:tcBorders>
              <w:top w:val="single" w:sz="4" w:space="0" w:color="000000"/>
              <w:left w:val="single" w:sz="4" w:space="0" w:color="000000"/>
              <w:bottom w:val="single" w:sz="4" w:space="0" w:color="000000"/>
              <w:right w:val="single" w:sz="4" w:space="0" w:color="000000"/>
            </w:tcBorders>
          </w:tcPr>
          <w:p w14:paraId="04778937" w14:textId="77777777" w:rsidR="00843FDA" w:rsidRPr="00C6580C" w:rsidRDefault="00843FDA" w:rsidP="00CD7CAC">
            <w:pPr>
              <w:widowControl/>
              <w:rPr>
                <w:kern w:val="0"/>
                <w:szCs w:val="22"/>
              </w:rPr>
            </w:pPr>
            <w:r w:rsidRPr="00C6580C">
              <w:rPr>
                <w:kern w:val="0"/>
                <w:szCs w:val="22"/>
              </w:rPr>
              <w:t>294a</w:t>
            </w:r>
          </w:p>
        </w:tc>
        <w:tc>
          <w:tcPr>
            <w:tcW w:w="0" w:type="auto"/>
            <w:tcBorders>
              <w:top w:val="single" w:sz="4" w:space="0" w:color="000000"/>
              <w:left w:val="single" w:sz="4" w:space="0" w:color="000000"/>
              <w:bottom w:val="single" w:sz="4" w:space="0" w:color="000000"/>
              <w:right w:val="single" w:sz="4" w:space="0" w:color="000000"/>
            </w:tcBorders>
          </w:tcPr>
          <w:p w14:paraId="78D7B554" w14:textId="77777777" w:rsidR="00843FDA" w:rsidRPr="00C6580C" w:rsidRDefault="00843FDA" w:rsidP="00CD7CAC">
            <w:pPr>
              <w:widowControl/>
              <w:jc w:val="right"/>
              <w:rPr>
                <w:kern w:val="0"/>
                <w:szCs w:val="22"/>
              </w:rPr>
            </w:pPr>
            <w:r w:rsidRPr="00C6580C">
              <w:rPr>
                <w:kern w:val="0"/>
                <w:szCs w:val="22"/>
              </w:rPr>
              <w:t>.6000</w:t>
            </w:r>
          </w:p>
        </w:tc>
      </w:tr>
      <w:tr w:rsidR="00843FDA" w:rsidRPr="00C6580C" w14:paraId="1ED322BA" w14:textId="77777777">
        <w:tc>
          <w:tcPr>
            <w:tcW w:w="0" w:type="auto"/>
            <w:tcBorders>
              <w:top w:val="single" w:sz="4" w:space="0" w:color="000000"/>
              <w:left w:val="single" w:sz="4" w:space="0" w:color="000000"/>
              <w:bottom w:val="single" w:sz="4" w:space="0" w:color="000000"/>
              <w:right w:val="single" w:sz="4" w:space="0" w:color="000000"/>
            </w:tcBorders>
          </w:tcPr>
          <w:p w14:paraId="6D11FB7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5E860B6" w14:textId="77777777" w:rsidR="00843FDA" w:rsidRPr="00C6580C" w:rsidRDefault="00843FDA" w:rsidP="00CD7CAC">
            <w:pPr>
              <w:widowControl/>
              <w:jc w:val="center"/>
              <w:rPr>
                <w:szCs w:val="22"/>
              </w:rPr>
            </w:pPr>
            <w:r w:rsidRPr="00C6580C">
              <w:rPr>
                <w:kern w:val="0"/>
                <w:szCs w:val="22"/>
              </w:rPr>
              <w:t>* * *</w:t>
            </w:r>
          </w:p>
        </w:tc>
      </w:tr>
      <w:tr w:rsidR="00843FDA" w:rsidRPr="00C6580C" w14:paraId="35840178" w14:textId="77777777">
        <w:tc>
          <w:tcPr>
            <w:tcW w:w="0" w:type="auto"/>
            <w:tcBorders>
              <w:top w:val="single" w:sz="4" w:space="0" w:color="000000"/>
              <w:left w:val="single" w:sz="4" w:space="0" w:color="000000"/>
              <w:bottom w:val="single" w:sz="4" w:space="0" w:color="000000"/>
              <w:right w:val="single" w:sz="4" w:space="0" w:color="000000"/>
            </w:tcBorders>
          </w:tcPr>
          <w:p w14:paraId="24E7EFAC" w14:textId="77777777" w:rsidR="00843FDA" w:rsidRPr="00C6580C" w:rsidRDefault="00843FDA" w:rsidP="00CD7CAC">
            <w:pPr>
              <w:widowControl/>
              <w:rPr>
                <w:kern w:val="0"/>
                <w:szCs w:val="22"/>
              </w:rPr>
            </w:pPr>
            <w:r w:rsidRPr="00C6580C">
              <w:rPr>
                <w:kern w:val="0"/>
                <w:szCs w:val="22"/>
              </w:rPr>
              <w:t>295a</w:t>
            </w:r>
          </w:p>
        </w:tc>
        <w:tc>
          <w:tcPr>
            <w:tcW w:w="0" w:type="auto"/>
            <w:tcBorders>
              <w:top w:val="single" w:sz="4" w:space="0" w:color="000000"/>
              <w:left w:val="single" w:sz="4" w:space="0" w:color="000000"/>
              <w:bottom w:val="single" w:sz="4" w:space="0" w:color="000000"/>
              <w:right w:val="single" w:sz="4" w:space="0" w:color="000000"/>
            </w:tcBorders>
          </w:tcPr>
          <w:p w14:paraId="70E25281" w14:textId="77777777" w:rsidR="00843FDA" w:rsidRPr="00C6580C" w:rsidRDefault="00843FDA" w:rsidP="00CD7CAC">
            <w:pPr>
              <w:widowControl/>
              <w:jc w:val="right"/>
              <w:rPr>
                <w:kern w:val="0"/>
                <w:szCs w:val="22"/>
              </w:rPr>
            </w:pPr>
            <w:r w:rsidRPr="00C6580C">
              <w:rPr>
                <w:kern w:val="0"/>
                <w:szCs w:val="22"/>
              </w:rPr>
              <w:t>.6250</w:t>
            </w:r>
          </w:p>
        </w:tc>
      </w:tr>
      <w:tr w:rsidR="00843FDA" w:rsidRPr="00C6580C" w14:paraId="6A4A5ED6" w14:textId="77777777">
        <w:tc>
          <w:tcPr>
            <w:tcW w:w="0" w:type="auto"/>
            <w:tcBorders>
              <w:top w:val="single" w:sz="4" w:space="0" w:color="000000"/>
              <w:left w:val="single" w:sz="4" w:space="0" w:color="000000"/>
              <w:bottom w:val="single" w:sz="4" w:space="0" w:color="000000"/>
              <w:right w:val="single" w:sz="4" w:space="0" w:color="000000"/>
            </w:tcBorders>
          </w:tcPr>
          <w:p w14:paraId="243933EF" w14:textId="77777777" w:rsidR="00843FDA" w:rsidRPr="00C6580C" w:rsidRDefault="00843FDA" w:rsidP="00CD7CAC">
            <w:pPr>
              <w:widowControl/>
              <w:rPr>
                <w:kern w:val="0"/>
                <w:szCs w:val="22"/>
              </w:rPr>
            </w:pPr>
          </w:p>
        </w:tc>
        <w:tc>
          <w:tcPr>
            <w:tcW w:w="0" w:type="auto"/>
            <w:tcBorders>
              <w:top w:val="single" w:sz="4" w:space="0" w:color="000000"/>
              <w:left w:val="single" w:sz="4" w:space="0" w:color="000000"/>
              <w:bottom w:val="single" w:sz="4" w:space="0" w:color="000000"/>
              <w:right w:val="single" w:sz="4" w:space="0" w:color="000000"/>
            </w:tcBorders>
          </w:tcPr>
          <w:p w14:paraId="418A1B69" w14:textId="77777777" w:rsidR="00843FDA" w:rsidRPr="00C6580C" w:rsidRDefault="00843FDA" w:rsidP="00CD7CAC">
            <w:pPr>
              <w:widowControl/>
              <w:jc w:val="right"/>
              <w:rPr>
                <w:kern w:val="0"/>
                <w:szCs w:val="22"/>
              </w:rPr>
            </w:pPr>
          </w:p>
        </w:tc>
      </w:tr>
      <w:tr w:rsidR="00843FDA" w:rsidRPr="00C6580C" w14:paraId="05C863E6" w14:textId="77777777">
        <w:tc>
          <w:tcPr>
            <w:tcW w:w="0" w:type="auto"/>
            <w:tcBorders>
              <w:top w:val="single" w:sz="4" w:space="0" w:color="000000"/>
              <w:left w:val="single" w:sz="4" w:space="0" w:color="000000"/>
              <w:bottom w:val="single" w:sz="4" w:space="0" w:color="000000"/>
              <w:right w:val="single" w:sz="4" w:space="0" w:color="000000"/>
            </w:tcBorders>
          </w:tcPr>
          <w:p w14:paraId="422533D3" w14:textId="77777777" w:rsidR="00843FDA" w:rsidRPr="00C6580C" w:rsidRDefault="00843FDA" w:rsidP="00CD7CAC">
            <w:pPr>
              <w:widowControl/>
              <w:rPr>
                <w:kern w:val="0"/>
                <w:szCs w:val="22"/>
              </w:rPr>
            </w:pPr>
            <w:r w:rsidRPr="00C6580C">
              <w:rPr>
                <w:kern w:val="0"/>
                <w:szCs w:val="22"/>
              </w:rPr>
              <w:t>296a</w:t>
            </w:r>
          </w:p>
        </w:tc>
        <w:tc>
          <w:tcPr>
            <w:tcW w:w="0" w:type="auto"/>
            <w:tcBorders>
              <w:top w:val="single" w:sz="4" w:space="0" w:color="000000"/>
              <w:left w:val="single" w:sz="4" w:space="0" w:color="000000"/>
              <w:bottom w:val="single" w:sz="4" w:space="0" w:color="000000"/>
              <w:right w:val="single" w:sz="4" w:space="0" w:color="000000"/>
            </w:tcBorders>
          </w:tcPr>
          <w:p w14:paraId="2841F7B3" w14:textId="77777777" w:rsidR="00843FDA" w:rsidRPr="00C6580C" w:rsidRDefault="00843FDA" w:rsidP="00CD7CAC">
            <w:pPr>
              <w:widowControl/>
              <w:jc w:val="right"/>
              <w:rPr>
                <w:kern w:val="0"/>
                <w:szCs w:val="22"/>
              </w:rPr>
            </w:pPr>
            <w:r w:rsidRPr="00C6580C">
              <w:rPr>
                <w:kern w:val="0"/>
                <w:szCs w:val="22"/>
              </w:rPr>
              <w:t>.6500</w:t>
            </w:r>
          </w:p>
        </w:tc>
      </w:tr>
      <w:tr w:rsidR="00843FDA" w:rsidRPr="00C6580C" w14:paraId="596A1830" w14:textId="77777777">
        <w:tc>
          <w:tcPr>
            <w:tcW w:w="0" w:type="auto"/>
            <w:tcBorders>
              <w:top w:val="single" w:sz="4" w:space="0" w:color="000000"/>
              <w:left w:val="single" w:sz="4" w:space="0" w:color="000000"/>
              <w:bottom w:val="single" w:sz="4" w:space="0" w:color="000000"/>
              <w:right w:val="single" w:sz="4" w:space="0" w:color="000000"/>
            </w:tcBorders>
          </w:tcPr>
          <w:p w14:paraId="73AD282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4EB13F9" w14:textId="77777777" w:rsidR="00843FDA" w:rsidRPr="00C6580C" w:rsidRDefault="00843FDA" w:rsidP="00CD7CAC">
            <w:pPr>
              <w:widowControl/>
              <w:jc w:val="center"/>
              <w:rPr>
                <w:szCs w:val="22"/>
              </w:rPr>
            </w:pPr>
            <w:r w:rsidRPr="00C6580C">
              <w:rPr>
                <w:kern w:val="0"/>
                <w:szCs w:val="22"/>
              </w:rPr>
              <w:t>* * *</w:t>
            </w:r>
          </w:p>
        </w:tc>
      </w:tr>
      <w:tr w:rsidR="00843FDA" w:rsidRPr="00C6580C" w14:paraId="73D3C4BC" w14:textId="77777777">
        <w:tc>
          <w:tcPr>
            <w:tcW w:w="0" w:type="auto"/>
            <w:tcBorders>
              <w:top w:val="single" w:sz="4" w:space="0" w:color="000000"/>
              <w:left w:val="single" w:sz="4" w:space="0" w:color="000000"/>
              <w:bottom w:val="single" w:sz="4" w:space="0" w:color="000000"/>
              <w:right w:val="single" w:sz="4" w:space="0" w:color="000000"/>
            </w:tcBorders>
          </w:tcPr>
          <w:p w14:paraId="562ED662" w14:textId="77777777" w:rsidR="00843FDA" w:rsidRPr="00C6580C" w:rsidRDefault="00843FDA" w:rsidP="00CD7CAC">
            <w:pPr>
              <w:widowControl/>
              <w:rPr>
                <w:kern w:val="0"/>
                <w:szCs w:val="22"/>
              </w:rPr>
            </w:pPr>
            <w:r w:rsidRPr="00C6580C">
              <w:rPr>
                <w:kern w:val="0"/>
                <w:szCs w:val="22"/>
              </w:rPr>
              <w:t>297a</w:t>
            </w:r>
          </w:p>
        </w:tc>
        <w:tc>
          <w:tcPr>
            <w:tcW w:w="0" w:type="auto"/>
            <w:tcBorders>
              <w:top w:val="single" w:sz="4" w:space="0" w:color="000000"/>
              <w:left w:val="single" w:sz="4" w:space="0" w:color="000000"/>
              <w:bottom w:val="single" w:sz="4" w:space="0" w:color="000000"/>
              <w:right w:val="single" w:sz="4" w:space="0" w:color="000000"/>
            </w:tcBorders>
          </w:tcPr>
          <w:p w14:paraId="5DE34B7C" w14:textId="77777777" w:rsidR="00843FDA" w:rsidRPr="00C6580C" w:rsidRDefault="00843FDA" w:rsidP="00CD7CAC">
            <w:pPr>
              <w:widowControl/>
              <w:jc w:val="right"/>
              <w:rPr>
                <w:kern w:val="0"/>
                <w:szCs w:val="22"/>
              </w:rPr>
            </w:pPr>
            <w:r w:rsidRPr="00C6580C">
              <w:rPr>
                <w:kern w:val="0"/>
                <w:szCs w:val="22"/>
              </w:rPr>
              <w:t>.6750</w:t>
            </w:r>
          </w:p>
        </w:tc>
      </w:tr>
      <w:tr w:rsidR="00843FDA" w:rsidRPr="00C6580C" w14:paraId="5D3066BF" w14:textId="77777777">
        <w:tc>
          <w:tcPr>
            <w:tcW w:w="0" w:type="auto"/>
            <w:tcBorders>
              <w:top w:val="single" w:sz="4" w:space="0" w:color="000000"/>
              <w:left w:val="single" w:sz="4" w:space="0" w:color="000000"/>
              <w:bottom w:val="single" w:sz="4" w:space="0" w:color="000000"/>
              <w:right w:val="single" w:sz="4" w:space="0" w:color="000000"/>
            </w:tcBorders>
          </w:tcPr>
          <w:p w14:paraId="1E2F67B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BA9D3D6" w14:textId="77777777" w:rsidR="00843FDA" w:rsidRPr="00C6580C" w:rsidRDefault="00843FDA" w:rsidP="00CD7CAC">
            <w:pPr>
              <w:widowControl/>
              <w:jc w:val="center"/>
              <w:rPr>
                <w:szCs w:val="22"/>
              </w:rPr>
            </w:pPr>
            <w:r w:rsidRPr="00C6580C">
              <w:rPr>
                <w:kern w:val="0"/>
                <w:szCs w:val="22"/>
              </w:rPr>
              <w:t>* * *</w:t>
            </w:r>
          </w:p>
        </w:tc>
      </w:tr>
      <w:tr w:rsidR="00843FDA" w:rsidRPr="00C6580C" w14:paraId="5E1039E4" w14:textId="77777777">
        <w:tc>
          <w:tcPr>
            <w:tcW w:w="0" w:type="auto"/>
            <w:tcBorders>
              <w:top w:val="single" w:sz="4" w:space="0" w:color="000000"/>
              <w:left w:val="single" w:sz="4" w:space="0" w:color="000000"/>
              <w:bottom w:val="single" w:sz="4" w:space="0" w:color="000000"/>
              <w:right w:val="single" w:sz="4" w:space="0" w:color="000000"/>
            </w:tcBorders>
          </w:tcPr>
          <w:p w14:paraId="24E29B75" w14:textId="77777777" w:rsidR="00843FDA" w:rsidRPr="00C6580C" w:rsidRDefault="00843FDA" w:rsidP="00CD7CAC">
            <w:pPr>
              <w:widowControl/>
              <w:rPr>
                <w:kern w:val="0"/>
                <w:szCs w:val="22"/>
              </w:rPr>
            </w:pPr>
            <w:r w:rsidRPr="00C6580C">
              <w:rPr>
                <w:kern w:val="0"/>
                <w:szCs w:val="22"/>
              </w:rPr>
              <w:t>298a</w:t>
            </w:r>
          </w:p>
        </w:tc>
        <w:tc>
          <w:tcPr>
            <w:tcW w:w="0" w:type="auto"/>
            <w:tcBorders>
              <w:top w:val="single" w:sz="4" w:space="0" w:color="000000"/>
              <w:left w:val="single" w:sz="4" w:space="0" w:color="000000"/>
              <w:bottom w:val="single" w:sz="4" w:space="0" w:color="000000"/>
              <w:right w:val="single" w:sz="4" w:space="0" w:color="000000"/>
            </w:tcBorders>
          </w:tcPr>
          <w:p w14:paraId="2472AAD4" w14:textId="77777777" w:rsidR="00843FDA" w:rsidRPr="00C6580C" w:rsidRDefault="00843FDA" w:rsidP="00CD7CAC">
            <w:pPr>
              <w:widowControl/>
              <w:jc w:val="right"/>
              <w:rPr>
                <w:kern w:val="0"/>
                <w:szCs w:val="22"/>
              </w:rPr>
            </w:pPr>
            <w:r w:rsidRPr="00C6580C">
              <w:rPr>
                <w:kern w:val="0"/>
                <w:szCs w:val="22"/>
              </w:rPr>
              <w:t>.7000</w:t>
            </w:r>
          </w:p>
        </w:tc>
      </w:tr>
      <w:tr w:rsidR="00843FDA" w:rsidRPr="00C6580C" w14:paraId="5DA84E70" w14:textId="77777777">
        <w:tc>
          <w:tcPr>
            <w:tcW w:w="0" w:type="auto"/>
            <w:tcBorders>
              <w:top w:val="single" w:sz="4" w:space="0" w:color="000000"/>
              <w:left w:val="single" w:sz="4" w:space="0" w:color="000000"/>
              <w:bottom w:val="single" w:sz="4" w:space="0" w:color="000000"/>
              <w:right w:val="single" w:sz="4" w:space="0" w:color="000000"/>
            </w:tcBorders>
          </w:tcPr>
          <w:p w14:paraId="2F89C67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39030AD" w14:textId="77777777" w:rsidR="00843FDA" w:rsidRPr="00C6580C" w:rsidRDefault="00843FDA" w:rsidP="00CD7CAC">
            <w:pPr>
              <w:widowControl/>
              <w:jc w:val="center"/>
              <w:rPr>
                <w:szCs w:val="22"/>
              </w:rPr>
            </w:pPr>
            <w:r w:rsidRPr="00C6580C">
              <w:rPr>
                <w:kern w:val="0"/>
                <w:szCs w:val="22"/>
              </w:rPr>
              <w:t>* * *</w:t>
            </w:r>
          </w:p>
        </w:tc>
      </w:tr>
      <w:tr w:rsidR="00843FDA" w:rsidRPr="00C6580C" w14:paraId="7DBF1D50" w14:textId="77777777">
        <w:tc>
          <w:tcPr>
            <w:tcW w:w="0" w:type="auto"/>
            <w:tcBorders>
              <w:top w:val="single" w:sz="4" w:space="0" w:color="000000"/>
              <w:left w:val="single" w:sz="4" w:space="0" w:color="000000"/>
              <w:bottom w:val="single" w:sz="4" w:space="0" w:color="000000"/>
              <w:right w:val="single" w:sz="4" w:space="0" w:color="000000"/>
            </w:tcBorders>
          </w:tcPr>
          <w:p w14:paraId="1CD6069E" w14:textId="77777777" w:rsidR="00843FDA" w:rsidRPr="00C6580C" w:rsidRDefault="00843FDA" w:rsidP="00CD7CAC">
            <w:pPr>
              <w:widowControl/>
              <w:rPr>
                <w:kern w:val="0"/>
                <w:szCs w:val="22"/>
              </w:rPr>
            </w:pPr>
            <w:r w:rsidRPr="00C6580C">
              <w:rPr>
                <w:kern w:val="0"/>
                <w:szCs w:val="22"/>
              </w:rPr>
              <w:t>299a</w:t>
            </w:r>
          </w:p>
        </w:tc>
        <w:tc>
          <w:tcPr>
            <w:tcW w:w="0" w:type="auto"/>
            <w:tcBorders>
              <w:top w:val="single" w:sz="4" w:space="0" w:color="000000"/>
              <w:left w:val="single" w:sz="4" w:space="0" w:color="000000"/>
              <w:bottom w:val="single" w:sz="4" w:space="0" w:color="000000"/>
              <w:right w:val="single" w:sz="4" w:space="0" w:color="000000"/>
            </w:tcBorders>
          </w:tcPr>
          <w:p w14:paraId="59C88C66" w14:textId="77777777" w:rsidR="00843FDA" w:rsidRPr="00C6580C" w:rsidRDefault="00843FDA" w:rsidP="00CD7CAC">
            <w:pPr>
              <w:widowControl/>
              <w:jc w:val="right"/>
              <w:rPr>
                <w:kern w:val="0"/>
                <w:szCs w:val="22"/>
              </w:rPr>
            </w:pPr>
            <w:r w:rsidRPr="00C6580C">
              <w:rPr>
                <w:kern w:val="0"/>
                <w:szCs w:val="22"/>
              </w:rPr>
              <w:t>.7250</w:t>
            </w:r>
          </w:p>
        </w:tc>
      </w:tr>
      <w:tr w:rsidR="00843FDA" w:rsidRPr="00C6580C" w14:paraId="0FD15066" w14:textId="77777777">
        <w:tc>
          <w:tcPr>
            <w:tcW w:w="0" w:type="auto"/>
            <w:tcBorders>
              <w:top w:val="single" w:sz="4" w:space="0" w:color="000000"/>
              <w:left w:val="single" w:sz="4" w:space="0" w:color="000000"/>
              <w:bottom w:val="single" w:sz="4" w:space="0" w:color="000000"/>
              <w:right w:val="single" w:sz="4" w:space="0" w:color="000000"/>
            </w:tcBorders>
          </w:tcPr>
          <w:p w14:paraId="27D4745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C80AF49" w14:textId="77777777" w:rsidR="00843FDA" w:rsidRPr="00C6580C" w:rsidRDefault="00843FDA" w:rsidP="00CD7CAC">
            <w:pPr>
              <w:widowControl/>
              <w:jc w:val="center"/>
              <w:rPr>
                <w:szCs w:val="22"/>
              </w:rPr>
            </w:pPr>
            <w:r w:rsidRPr="00C6580C">
              <w:rPr>
                <w:kern w:val="0"/>
                <w:szCs w:val="22"/>
              </w:rPr>
              <w:t>* * *</w:t>
            </w:r>
          </w:p>
        </w:tc>
      </w:tr>
      <w:tr w:rsidR="00843FDA" w:rsidRPr="00C6580C" w14:paraId="3E75BB52" w14:textId="77777777">
        <w:tc>
          <w:tcPr>
            <w:tcW w:w="0" w:type="auto"/>
            <w:tcBorders>
              <w:top w:val="single" w:sz="4" w:space="0" w:color="000000"/>
              <w:left w:val="single" w:sz="4" w:space="0" w:color="000000"/>
              <w:bottom w:val="single" w:sz="4" w:space="0" w:color="000000"/>
              <w:right w:val="single" w:sz="4" w:space="0" w:color="000000"/>
            </w:tcBorders>
          </w:tcPr>
          <w:p w14:paraId="6C061A77" w14:textId="77777777" w:rsidR="00843FDA" w:rsidRPr="00C6580C" w:rsidRDefault="00843FDA" w:rsidP="00CD7CAC">
            <w:pPr>
              <w:widowControl/>
              <w:rPr>
                <w:kern w:val="0"/>
                <w:szCs w:val="22"/>
              </w:rPr>
            </w:pPr>
            <w:r w:rsidRPr="00C6580C">
              <w:rPr>
                <w:kern w:val="0"/>
                <w:szCs w:val="22"/>
              </w:rPr>
              <w:t>300a</w:t>
            </w:r>
          </w:p>
        </w:tc>
        <w:tc>
          <w:tcPr>
            <w:tcW w:w="0" w:type="auto"/>
            <w:tcBorders>
              <w:top w:val="single" w:sz="4" w:space="0" w:color="000000"/>
              <w:left w:val="single" w:sz="4" w:space="0" w:color="000000"/>
              <w:bottom w:val="single" w:sz="4" w:space="0" w:color="000000"/>
              <w:right w:val="single" w:sz="4" w:space="0" w:color="000000"/>
            </w:tcBorders>
          </w:tcPr>
          <w:p w14:paraId="41323706" w14:textId="77777777" w:rsidR="00843FDA" w:rsidRPr="00C6580C" w:rsidRDefault="00843FDA" w:rsidP="00CD7CAC">
            <w:pPr>
              <w:widowControl/>
              <w:jc w:val="right"/>
              <w:rPr>
                <w:kern w:val="0"/>
                <w:szCs w:val="22"/>
              </w:rPr>
            </w:pPr>
            <w:r w:rsidRPr="00C6580C">
              <w:rPr>
                <w:kern w:val="0"/>
                <w:szCs w:val="22"/>
              </w:rPr>
              <w:t>.7500</w:t>
            </w:r>
          </w:p>
        </w:tc>
      </w:tr>
      <w:tr w:rsidR="00843FDA" w:rsidRPr="00C6580C" w14:paraId="76E60B81" w14:textId="77777777">
        <w:tc>
          <w:tcPr>
            <w:tcW w:w="0" w:type="auto"/>
            <w:tcBorders>
              <w:top w:val="single" w:sz="4" w:space="0" w:color="000000"/>
              <w:left w:val="single" w:sz="4" w:space="0" w:color="000000"/>
              <w:bottom w:val="single" w:sz="4" w:space="0" w:color="000000"/>
              <w:right w:val="single" w:sz="4" w:space="0" w:color="000000"/>
            </w:tcBorders>
          </w:tcPr>
          <w:p w14:paraId="459FFFF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62BBC5D" w14:textId="77777777" w:rsidR="00843FDA" w:rsidRPr="00C6580C" w:rsidRDefault="00843FDA" w:rsidP="00CD7CAC">
            <w:pPr>
              <w:widowControl/>
              <w:jc w:val="center"/>
              <w:rPr>
                <w:szCs w:val="22"/>
              </w:rPr>
            </w:pPr>
            <w:r w:rsidRPr="00C6580C">
              <w:rPr>
                <w:kern w:val="0"/>
                <w:szCs w:val="22"/>
              </w:rPr>
              <w:t>* * *</w:t>
            </w:r>
          </w:p>
        </w:tc>
      </w:tr>
      <w:tr w:rsidR="00843FDA" w:rsidRPr="00C6580C" w14:paraId="7F353C4B" w14:textId="77777777">
        <w:tc>
          <w:tcPr>
            <w:tcW w:w="0" w:type="auto"/>
            <w:tcBorders>
              <w:top w:val="single" w:sz="4" w:space="0" w:color="000000"/>
              <w:left w:val="single" w:sz="4" w:space="0" w:color="000000"/>
              <w:bottom w:val="single" w:sz="4" w:space="0" w:color="000000"/>
              <w:right w:val="single" w:sz="4" w:space="0" w:color="000000"/>
            </w:tcBorders>
          </w:tcPr>
          <w:p w14:paraId="72545E41" w14:textId="77777777" w:rsidR="00843FDA" w:rsidRPr="00C6580C" w:rsidRDefault="00843FDA" w:rsidP="00CD7CAC">
            <w:pPr>
              <w:widowControl/>
              <w:rPr>
                <w:kern w:val="0"/>
                <w:szCs w:val="22"/>
              </w:rPr>
            </w:pPr>
            <w:r w:rsidRPr="00C6580C">
              <w:rPr>
                <w:kern w:val="0"/>
                <w:szCs w:val="22"/>
              </w:rPr>
              <w:t>301a</w:t>
            </w:r>
          </w:p>
        </w:tc>
        <w:tc>
          <w:tcPr>
            <w:tcW w:w="0" w:type="auto"/>
            <w:tcBorders>
              <w:top w:val="single" w:sz="4" w:space="0" w:color="000000"/>
              <w:left w:val="single" w:sz="4" w:space="0" w:color="000000"/>
              <w:bottom w:val="single" w:sz="4" w:space="0" w:color="000000"/>
              <w:right w:val="single" w:sz="4" w:space="0" w:color="000000"/>
            </w:tcBorders>
          </w:tcPr>
          <w:p w14:paraId="29B0D056" w14:textId="77777777" w:rsidR="00843FDA" w:rsidRPr="00C6580C" w:rsidRDefault="00843FDA" w:rsidP="00CD7CAC">
            <w:pPr>
              <w:widowControl/>
              <w:jc w:val="right"/>
              <w:rPr>
                <w:kern w:val="0"/>
                <w:szCs w:val="22"/>
              </w:rPr>
            </w:pPr>
            <w:r w:rsidRPr="00C6580C">
              <w:rPr>
                <w:kern w:val="0"/>
                <w:szCs w:val="22"/>
              </w:rPr>
              <w:t>.7750</w:t>
            </w:r>
          </w:p>
        </w:tc>
      </w:tr>
      <w:tr w:rsidR="00843FDA" w:rsidRPr="00C6580C" w14:paraId="17FEB756" w14:textId="77777777">
        <w:tc>
          <w:tcPr>
            <w:tcW w:w="0" w:type="auto"/>
            <w:tcBorders>
              <w:top w:val="single" w:sz="4" w:space="0" w:color="000000"/>
              <w:left w:val="single" w:sz="4" w:space="0" w:color="000000"/>
              <w:bottom w:val="single" w:sz="4" w:space="0" w:color="000000"/>
              <w:right w:val="single" w:sz="4" w:space="0" w:color="000000"/>
            </w:tcBorders>
          </w:tcPr>
          <w:p w14:paraId="38570D4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EA4EC00" w14:textId="77777777" w:rsidR="00843FDA" w:rsidRPr="00C6580C" w:rsidRDefault="00843FDA" w:rsidP="00CD7CAC">
            <w:pPr>
              <w:widowControl/>
              <w:jc w:val="center"/>
              <w:rPr>
                <w:szCs w:val="22"/>
              </w:rPr>
            </w:pPr>
            <w:r w:rsidRPr="00C6580C">
              <w:rPr>
                <w:kern w:val="0"/>
                <w:szCs w:val="22"/>
              </w:rPr>
              <w:t>* * *</w:t>
            </w:r>
          </w:p>
        </w:tc>
      </w:tr>
      <w:tr w:rsidR="00843FDA" w:rsidRPr="00C6580C" w14:paraId="6637FF37" w14:textId="77777777">
        <w:tc>
          <w:tcPr>
            <w:tcW w:w="0" w:type="auto"/>
            <w:tcBorders>
              <w:top w:val="single" w:sz="4" w:space="0" w:color="000000"/>
              <w:left w:val="single" w:sz="4" w:space="0" w:color="000000"/>
              <w:bottom w:val="single" w:sz="4" w:space="0" w:color="000000"/>
              <w:right w:val="single" w:sz="4" w:space="0" w:color="000000"/>
            </w:tcBorders>
          </w:tcPr>
          <w:p w14:paraId="21CC111F" w14:textId="77777777" w:rsidR="00843FDA" w:rsidRPr="00C6580C" w:rsidRDefault="00843FDA" w:rsidP="00CD7CAC">
            <w:pPr>
              <w:widowControl/>
              <w:rPr>
                <w:kern w:val="0"/>
                <w:szCs w:val="22"/>
              </w:rPr>
            </w:pPr>
            <w:r w:rsidRPr="00C6580C">
              <w:rPr>
                <w:kern w:val="0"/>
                <w:szCs w:val="22"/>
              </w:rPr>
              <w:t>302a</w:t>
            </w:r>
          </w:p>
        </w:tc>
        <w:tc>
          <w:tcPr>
            <w:tcW w:w="0" w:type="auto"/>
            <w:tcBorders>
              <w:top w:val="single" w:sz="4" w:space="0" w:color="000000"/>
              <w:left w:val="single" w:sz="4" w:space="0" w:color="000000"/>
              <w:bottom w:val="single" w:sz="4" w:space="0" w:color="000000"/>
              <w:right w:val="single" w:sz="4" w:space="0" w:color="000000"/>
            </w:tcBorders>
          </w:tcPr>
          <w:p w14:paraId="2CB9928D" w14:textId="77777777" w:rsidR="00843FDA" w:rsidRPr="00C6580C" w:rsidRDefault="00843FDA" w:rsidP="00CD7CAC">
            <w:pPr>
              <w:widowControl/>
              <w:jc w:val="right"/>
              <w:rPr>
                <w:kern w:val="0"/>
                <w:szCs w:val="22"/>
              </w:rPr>
            </w:pPr>
            <w:r w:rsidRPr="00C6580C">
              <w:rPr>
                <w:kern w:val="0"/>
                <w:szCs w:val="22"/>
              </w:rPr>
              <w:t>.8000</w:t>
            </w:r>
          </w:p>
        </w:tc>
      </w:tr>
      <w:tr w:rsidR="00843FDA" w:rsidRPr="00C6580C" w14:paraId="0429651A" w14:textId="77777777">
        <w:tc>
          <w:tcPr>
            <w:tcW w:w="0" w:type="auto"/>
            <w:tcBorders>
              <w:top w:val="single" w:sz="4" w:space="0" w:color="000000"/>
              <w:left w:val="single" w:sz="4" w:space="0" w:color="000000"/>
              <w:bottom w:val="single" w:sz="4" w:space="0" w:color="000000"/>
              <w:right w:val="single" w:sz="4" w:space="0" w:color="000000"/>
            </w:tcBorders>
          </w:tcPr>
          <w:p w14:paraId="0D46D29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10912F6" w14:textId="77777777" w:rsidR="00843FDA" w:rsidRPr="00C6580C" w:rsidRDefault="00843FDA" w:rsidP="00CD7CAC">
            <w:pPr>
              <w:widowControl/>
              <w:jc w:val="center"/>
              <w:rPr>
                <w:szCs w:val="22"/>
              </w:rPr>
            </w:pPr>
            <w:r w:rsidRPr="00C6580C">
              <w:rPr>
                <w:kern w:val="0"/>
                <w:szCs w:val="22"/>
              </w:rPr>
              <w:t>* * *</w:t>
            </w:r>
          </w:p>
        </w:tc>
      </w:tr>
      <w:tr w:rsidR="00843FDA" w:rsidRPr="00C6580C" w14:paraId="68F2CE8A" w14:textId="77777777">
        <w:tc>
          <w:tcPr>
            <w:tcW w:w="0" w:type="auto"/>
            <w:tcBorders>
              <w:top w:val="single" w:sz="4" w:space="0" w:color="000000"/>
              <w:left w:val="single" w:sz="4" w:space="0" w:color="000000"/>
              <w:bottom w:val="single" w:sz="4" w:space="0" w:color="000000"/>
              <w:right w:val="single" w:sz="4" w:space="0" w:color="000000"/>
            </w:tcBorders>
          </w:tcPr>
          <w:p w14:paraId="43184221" w14:textId="77777777" w:rsidR="00843FDA" w:rsidRPr="00C6580C" w:rsidRDefault="00843FDA" w:rsidP="00CD7CAC">
            <w:pPr>
              <w:widowControl/>
              <w:rPr>
                <w:kern w:val="0"/>
                <w:szCs w:val="22"/>
              </w:rPr>
            </w:pPr>
            <w:r w:rsidRPr="00C6580C">
              <w:rPr>
                <w:kern w:val="0"/>
                <w:szCs w:val="22"/>
              </w:rPr>
              <w:t>303a</w:t>
            </w:r>
          </w:p>
        </w:tc>
        <w:tc>
          <w:tcPr>
            <w:tcW w:w="0" w:type="auto"/>
            <w:tcBorders>
              <w:top w:val="single" w:sz="4" w:space="0" w:color="000000"/>
              <w:left w:val="single" w:sz="4" w:space="0" w:color="000000"/>
              <w:bottom w:val="single" w:sz="4" w:space="0" w:color="000000"/>
              <w:right w:val="single" w:sz="4" w:space="0" w:color="000000"/>
            </w:tcBorders>
          </w:tcPr>
          <w:p w14:paraId="14ADC1DC" w14:textId="77777777" w:rsidR="00843FDA" w:rsidRPr="00C6580C" w:rsidRDefault="00843FDA" w:rsidP="00CD7CAC">
            <w:pPr>
              <w:widowControl/>
              <w:jc w:val="right"/>
              <w:rPr>
                <w:kern w:val="0"/>
                <w:szCs w:val="22"/>
              </w:rPr>
            </w:pPr>
            <w:r w:rsidRPr="00C6580C">
              <w:rPr>
                <w:kern w:val="0"/>
                <w:szCs w:val="22"/>
              </w:rPr>
              <w:t>.8250</w:t>
            </w:r>
          </w:p>
        </w:tc>
      </w:tr>
      <w:tr w:rsidR="00843FDA" w:rsidRPr="00C6580C" w14:paraId="11FE8639" w14:textId="77777777">
        <w:tc>
          <w:tcPr>
            <w:tcW w:w="0" w:type="auto"/>
            <w:tcBorders>
              <w:top w:val="single" w:sz="4" w:space="0" w:color="000000"/>
              <w:left w:val="single" w:sz="4" w:space="0" w:color="000000"/>
              <w:bottom w:val="single" w:sz="4" w:space="0" w:color="000000"/>
              <w:right w:val="single" w:sz="4" w:space="0" w:color="000000"/>
            </w:tcBorders>
          </w:tcPr>
          <w:p w14:paraId="45EA781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F0F1DFE" w14:textId="77777777" w:rsidR="00843FDA" w:rsidRPr="00C6580C" w:rsidRDefault="00843FDA" w:rsidP="00CD7CAC">
            <w:pPr>
              <w:widowControl/>
              <w:jc w:val="center"/>
              <w:rPr>
                <w:szCs w:val="22"/>
              </w:rPr>
            </w:pPr>
            <w:r w:rsidRPr="00C6580C">
              <w:rPr>
                <w:kern w:val="0"/>
                <w:szCs w:val="22"/>
              </w:rPr>
              <w:t>* * *</w:t>
            </w:r>
          </w:p>
        </w:tc>
      </w:tr>
      <w:tr w:rsidR="00843FDA" w:rsidRPr="00C6580C" w14:paraId="7FFF06DE" w14:textId="77777777">
        <w:tc>
          <w:tcPr>
            <w:tcW w:w="0" w:type="auto"/>
            <w:tcBorders>
              <w:top w:val="single" w:sz="4" w:space="0" w:color="000000"/>
              <w:left w:val="single" w:sz="4" w:space="0" w:color="000000"/>
              <w:bottom w:val="single" w:sz="4" w:space="0" w:color="000000"/>
              <w:right w:val="single" w:sz="4" w:space="0" w:color="000000"/>
            </w:tcBorders>
          </w:tcPr>
          <w:p w14:paraId="6C6FF03A" w14:textId="77777777" w:rsidR="00843FDA" w:rsidRPr="00C6580C" w:rsidRDefault="00843FDA" w:rsidP="00CD7CAC">
            <w:pPr>
              <w:widowControl/>
              <w:rPr>
                <w:kern w:val="0"/>
                <w:szCs w:val="22"/>
              </w:rPr>
            </w:pPr>
            <w:r w:rsidRPr="00C6580C">
              <w:rPr>
                <w:kern w:val="0"/>
                <w:szCs w:val="22"/>
              </w:rPr>
              <w:t>304a</w:t>
            </w:r>
          </w:p>
        </w:tc>
        <w:tc>
          <w:tcPr>
            <w:tcW w:w="0" w:type="auto"/>
            <w:tcBorders>
              <w:top w:val="single" w:sz="4" w:space="0" w:color="000000"/>
              <w:left w:val="single" w:sz="4" w:space="0" w:color="000000"/>
              <w:bottom w:val="single" w:sz="4" w:space="0" w:color="000000"/>
              <w:right w:val="single" w:sz="4" w:space="0" w:color="000000"/>
            </w:tcBorders>
          </w:tcPr>
          <w:p w14:paraId="1D5FD1C4" w14:textId="77777777" w:rsidR="00843FDA" w:rsidRPr="00C6580C" w:rsidRDefault="00843FDA" w:rsidP="00CD7CAC">
            <w:pPr>
              <w:widowControl/>
              <w:jc w:val="right"/>
              <w:rPr>
                <w:kern w:val="0"/>
                <w:szCs w:val="22"/>
              </w:rPr>
            </w:pPr>
            <w:r w:rsidRPr="00C6580C">
              <w:rPr>
                <w:kern w:val="0"/>
                <w:szCs w:val="22"/>
              </w:rPr>
              <w:t>.8500</w:t>
            </w:r>
          </w:p>
        </w:tc>
      </w:tr>
      <w:tr w:rsidR="00843FDA" w:rsidRPr="00C6580C" w14:paraId="2EF5FD48" w14:textId="77777777">
        <w:tc>
          <w:tcPr>
            <w:tcW w:w="0" w:type="auto"/>
            <w:tcBorders>
              <w:top w:val="single" w:sz="4" w:space="0" w:color="000000"/>
              <w:left w:val="single" w:sz="4" w:space="0" w:color="000000"/>
              <w:bottom w:val="single" w:sz="4" w:space="0" w:color="000000"/>
              <w:right w:val="single" w:sz="4" w:space="0" w:color="000000"/>
            </w:tcBorders>
          </w:tcPr>
          <w:p w14:paraId="75B77B7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B087826" w14:textId="77777777" w:rsidR="00843FDA" w:rsidRPr="00C6580C" w:rsidRDefault="00843FDA" w:rsidP="00CD7CAC">
            <w:pPr>
              <w:widowControl/>
              <w:jc w:val="center"/>
              <w:rPr>
                <w:szCs w:val="22"/>
              </w:rPr>
            </w:pPr>
            <w:r w:rsidRPr="00C6580C">
              <w:rPr>
                <w:kern w:val="0"/>
                <w:szCs w:val="22"/>
              </w:rPr>
              <w:t>* * *</w:t>
            </w:r>
          </w:p>
        </w:tc>
      </w:tr>
      <w:tr w:rsidR="00843FDA" w:rsidRPr="00C6580C" w14:paraId="11336E02" w14:textId="77777777">
        <w:tc>
          <w:tcPr>
            <w:tcW w:w="0" w:type="auto"/>
            <w:tcBorders>
              <w:top w:val="single" w:sz="4" w:space="0" w:color="000000"/>
              <w:left w:val="single" w:sz="4" w:space="0" w:color="000000"/>
              <w:bottom w:val="single" w:sz="4" w:space="0" w:color="000000"/>
              <w:right w:val="single" w:sz="4" w:space="0" w:color="000000"/>
            </w:tcBorders>
          </w:tcPr>
          <w:p w14:paraId="2E0284D4" w14:textId="77777777" w:rsidR="00843FDA" w:rsidRPr="00C6580C" w:rsidRDefault="00843FDA" w:rsidP="00CD7CAC">
            <w:pPr>
              <w:widowControl/>
              <w:rPr>
                <w:kern w:val="0"/>
                <w:szCs w:val="22"/>
              </w:rPr>
            </w:pPr>
            <w:r w:rsidRPr="00C6580C">
              <w:rPr>
                <w:kern w:val="0"/>
                <w:szCs w:val="22"/>
              </w:rPr>
              <w:t>305a</w:t>
            </w:r>
          </w:p>
        </w:tc>
        <w:tc>
          <w:tcPr>
            <w:tcW w:w="0" w:type="auto"/>
            <w:tcBorders>
              <w:top w:val="single" w:sz="4" w:space="0" w:color="000000"/>
              <w:left w:val="single" w:sz="4" w:space="0" w:color="000000"/>
              <w:bottom w:val="single" w:sz="4" w:space="0" w:color="000000"/>
              <w:right w:val="single" w:sz="4" w:space="0" w:color="000000"/>
            </w:tcBorders>
          </w:tcPr>
          <w:p w14:paraId="31AE9268" w14:textId="77777777" w:rsidR="00843FDA" w:rsidRPr="00C6580C" w:rsidRDefault="00843FDA" w:rsidP="00CD7CAC">
            <w:pPr>
              <w:widowControl/>
              <w:jc w:val="right"/>
              <w:rPr>
                <w:kern w:val="0"/>
                <w:szCs w:val="22"/>
              </w:rPr>
            </w:pPr>
            <w:r w:rsidRPr="00C6580C">
              <w:rPr>
                <w:kern w:val="0"/>
                <w:szCs w:val="22"/>
              </w:rPr>
              <w:t>.8750</w:t>
            </w:r>
          </w:p>
        </w:tc>
      </w:tr>
      <w:tr w:rsidR="00843FDA" w:rsidRPr="00C6580C" w14:paraId="160B446E" w14:textId="77777777">
        <w:tc>
          <w:tcPr>
            <w:tcW w:w="0" w:type="auto"/>
            <w:tcBorders>
              <w:top w:val="single" w:sz="4" w:space="0" w:color="000000"/>
              <w:left w:val="single" w:sz="4" w:space="0" w:color="000000"/>
              <w:bottom w:val="single" w:sz="4" w:space="0" w:color="000000"/>
              <w:right w:val="single" w:sz="4" w:space="0" w:color="000000"/>
            </w:tcBorders>
          </w:tcPr>
          <w:p w14:paraId="7D100E7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C0850A9" w14:textId="77777777" w:rsidR="00843FDA" w:rsidRPr="00C6580C" w:rsidRDefault="00843FDA" w:rsidP="00CD7CAC">
            <w:pPr>
              <w:widowControl/>
              <w:jc w:val="center"/>
              <w:rPr>
                <w:szCs w:val="22"/>
              </w:rPr>
            </w:pPr>
            <w:r w:rsidRPr="00C6580C">
              <w:rPr>
                <w:kern w:val="0"/>
                <w:szCs w:val="22"/>
              </w:rPr>
              <w:t>* * *</w:t>
            </w:r>
          </w:p>
        </w:tc>
      </w:tr>
      <w:tr w:rsidR="00843FDA" w:rsidRPr="00C6580C" w14:paraId="7F94CB20" w14:textId="77777777">
        <w:tc>
          <w:tcPr>
            <w:tcW w:w="0" w:type="auto"/>
            <w:tcBorders>
              <w:top w:val="single" w:sz="4" w:space="0" w:color="000000"/>
              <w:left w:val="single" w:sz="4" w:space="0" w:color="000000"/>
              <w:bottom w:val="single" w:sz="4" w:space="0" w:color="000000"/>
              <w:right w:val="single" w:sz="4" w:space="0" w:color="000000"/>
            </w:tcBorders>
          </w:tcPr>
          <w:p w14:paraId="494CEC21" w14:textId="77777777" w:rsidR="00843FDA" w:rsidRPr="00C6580C" w:rsidRDefault="00843FDA" w:rsidP="00CD7CAC">
            <w:pPr>
              <w:widowControl/>
              <w:rPr>
                <w:kern w:val="0"/>
                <w:szCs w:val="22"/>
              </w:rPr>
            </w:pPr>
            <w:r w:rsidRPr="00C6580C">
              <w:rPr>
                <w:kern w:val="0"/>
                <w:szCs w:val="22"/>
              </w:rPr>
              <w:t>306a</w:t>
            </w:r>
          </w:p>
        </w:tc>
        <w:tc>
          <w:tcPr>
            <w:tcW w:w="0" w:type="auto"/>
            <w:tcBorders>
              <w:top w:val="single" w:sz="4" w:space="0" w:color="000000"/>
              <w:left w:val="single" w:sz="4" w:space="0" w:color="000000"/>
              <w:bottom w:val="single" w:sz="4" w:space="0" w:color="000000"/>
              <w:right w:val="single" w:sz="4" w:space="0" w:color="000000"/>
            </w:tcBorders>
          </w:tcPr>
          <w:p w14:paraId="270B825C" w14:textId="77777777" w:rsidR="00843FDA" w:rsidRPr="00C6580C" w:rsidRDefault="00843FDA" w:rsidP="00CD7CAC">
            <w:pPr>
              <w:widowControl/>
              <w:jc w:val="right"/>
              <w:rPr>
                <w:kern w:val="0"/>
                <w:szCs w:val="22"/>
              </w:rPr>
            </w:pPr>
            <w:r w:rsidRPr="00C6580C">
              <w:rPr>
                <w:kern w:val="0"/>
                <w:szCs w:val="22"/>
              </w:rPr>
              <w:t>.9000</w:t>
            </w:r>
          </w:p>
        </w:tc>
      </w:tr>
      <w:tr w:rsidR="00843FDA" w:rsidRPr="00C6580C" w14:paraId="050714D8" w14:textId="77777777">
        <w:tc>
          <w:tcPr>
            <w:tcW w:w="0" w:type="auto"/>
            <w:tcBorders>
              <w:top w:val="single" w:sz="4" w:space="0" w:color="000000"/>
              <w:left w:val="single" w:sz="4" w:space="0" w:color="000000"/>
              <w:bottom w:val="single" w:sz="4" w:space="0" w:color="000000"/>
              <w:right w:val="single" w:sz="4" w:space="0" w:color="000000"/>
            </w:tcBorders>
          </w:tcPr>
          <w:p w14:paraId="0A41845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E7DA3F1" w14:textId="77777777" w:rsidR="00843FDA" w:rsidRPr="00C6580C" w:rsidRDefault="00843FDA" w:rsidP="00CD7CAC">
            <w:pPr>
              <w:widowControl/>
              <w:jc w:val="center"/>
              <w:rPr>
                <w:szCs w:val="22"/>
              </w:rPr>
            </w:pPr>
            <w:r w:rsidRPr="00C6580C">
              <w:rPr>
                <w:kern w:val="0"/>
                <w:szCs w:val="22"/>
              </w:rPr>
              <w:t>* * *</w:t>
            </w:r>
          </w:p>
        </w:tc>
      </w:tr>
      <w:tr w:rsidR="00843FDA" w:rsidRPr="00C6580C" w14:paraId="13546E6A" w14:textId="77777777">
        <w:tc>
          <w:tcPr>
            <w:tcW w:w="0" w:type="auto"/>
            <w:tcBorders>
              <w:top w:val="single" w:sz="4" w:space="0" w:color="000000"/>
              <w:left w:val="single" w:sz="4" w:space="0" w:color="000000"/>
              <w:bottom w:val="single" w:sz="4" w:space="0" w:color="000000"/>
              <w:right w:val="single" w:sz="4" w:space="0" w:color="000000"/>
            </w:tcBorders>
          </w:tcPr>
          <w:p w14:paraId="7BB75019" w14:textId="77777777" w:rsidR="00843FDA" w:rsidRPr="00C6580C" w:rsidRDefault="00843FDA" w:rsidP="00CD7CAC">
            <w:pPr>
              <w:widowControl/>
              <w:rPr>
                <w:kern w:val="0"/>
                <w:szCs w:val="22"/>
              </w:rPr>
            </w:pPr>
            <w:r w:rsidRPr="00C6580C">
              <w:rPr>
                <w:kern w:val="0"/>
                <w:szCs w:val="22"/>
              </w:rPr>
              <w:t>307a</w:t>
            </w:r>
          </w:p>
        </w:tc>
        <w:tc>
          <w:tcPr>
            <w:tcW w:w="0" w:type="auto"/>
            <w:tcBorders>
              <w:top w:val="single" w:sz="4" w:space="0" w:color="000000"/>
              <w:left w:val="single" w:sz="4" w:space="0" w:color="000000"/>
              <w:bottom w:val="single" w:sz="4" w:space="0" w:color="000000"/>
              <w:right w:val="single" w:sz="4" w:space="0" w:color="000000"/>
            </w:tcBorders>
          </w:tcPr>
          <w:p w14:paraId="4288C0AC" w14:textId="77777777" w:rsidR="00843FDA" w:rsidRPr="00C6580C" w:rsidRDefault="00843FDA" w:rsidP="00CD7CAC">
            <w:pPr>
              <w:widowControl/>
              <w:jc w:val="right"/>
              <w:rPr>
                <w:kern w:val="0"/>
                <w:szCs w:val="22"/>
              </w:rPr>
            </w:pPr>
            <w:r w:rsidRPr="00C6580C">
              <w:rPr>
                <w:kern w:val="0"/>
                <w:szCs w:val="22"/>
              </w:rPr>
              <w:t>.9250</w:t>
            </w:r>
          </w:p>
        </w:tc>
      </w:tr>
      <w:tr w:rsidR="00843FDA" w:rsidRPr="00C6580C" w14:paraId="5687DB57" w14:textId="77777777">
        <w:tc>
          <w:tcPr>
            <w:tcW w:w="0" w:type="auto"/>
            <w:tcBorders>
              <w:top w:val="single" w:sz="4" w:space="0" w:color="000000"/>
              <w:left w:val="single" w:sz="4" w:space="0" w:color="000000"/>
              <w:bottom w:val="single" w:sz="4" w:space="0" w:color="000000"/>
              <w:right w:val="single" w:sz="4" w:space="0" w:color="000000"/>
            </w:tcBorders>
          </w:tcPr>
          <w:p w14:paraId="291C898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6D4387D" w14:textId="77777777" w:rsidR="00843FDA" w:rsidRPr="00C6580C" w:rsidRDefault="00843FDA" w:rsidP="00CD7CAC">
            <w:pPr>
              <w:widowControl/>
              <w:jc w:val="center"/>
              <w:rPr>
                <w:szCs w:val="22"/>
              </w:rPr>
            </w:pPr>
            <w:r w:rsidRPr="00C6580C">
              <w:rPr>
                <w:kern w:val="0"/>
                <w:szCs w:val="22"/>
              </w:rPr>
              <w:t>* * *</w:t>
            </w:r>
          </w:p>
        </w:tc>
      </w:tr>
      <w:tr w:rsidR="00843FDA" w:rsidRPr="00C6580C" w14:paraId="2FAFFD64" w14:textId="77777777">
        <w:tc>
          <w:tcPr>
            <w:tcW w:w="0" w:type="auto"/>
            <w:tcBorders>
              <w:top w:val="single" w:sz="4" w:space="0" w:color="000000"/>
              <w:left w:val="single" w:sz="4" w:space="0" w:color="000000"/>
              <w:bottom w:val="single" w:sz="4" w:space="0" w:color="000000"/>
              <w:right w:val="single" w:sz="4" w:space="0" w:color="000000"/>
            </w:tcBorders>
          </w:tcPr>
          <w:p w14:paraId="34F680D5" w14:textId="77777777" w:rsidR="00843FDA" w:rsidRPr="00C6580C" w:rsidRDefault="00843FDA" w:rsidP="00CD7CAC">
            <w:pPr>
              <w:widowControl/>
              <w:rPr>
                <w:kern w:val="0"/>
                <w:szCs w:val="22"/>
              </w:rPr>
            </w:pPr>
            <w:r w:rsidRPr="00C6580C">
              <w:rPr>
                <w:kern w:val="0"/>
                <w:szCs w:val="22"/>
              </w:rPr>
              <w:t>308a</w:t>
            </w:r>
          </w:p>
        </w:tc>
        <w:tc>
          <w:tcPr>
            <w:tcW w:w="0" w:type="auto"/>
            <w:tcBorders>
              <w:top w:val="single" w:sz="4" w:space="0" w:color="000000"/>
              <w:left w:val="single" w:sz="4" w:space="0" w:color="000000"/>
              <w:bottom w:val="single" w:sz="4" w:space="0" w:color="000000"/>
              <w:right w:val="single" w:sz="4" w:space="0" w:color="000000"/>
            </w:tcBorders>
          </w:tcPr>
          <w:p w14:paraId="6FB93841" w14:textId="77777777" w:rsidR="00843FDA" w:rsidRPr="00C6580C" w:rsidRDefault="00843FDA" w:rsidP="00CD7CAC">
            <w:pPr>
              <w:widowControl/>
              <w:jc w:val="right"/>
              <w:rPr>
                <w:kern w:val="0"/>
                <w:szCs w:val="22"/>
              </w:rPr>
            </w:pPr>
            <w:r w:rsidRPr="00C6580C">
              <w:rPr>
                <w:kern w:val="0"/>
                <w:szCs w:val="22"/>
              </w:rPr>
              <w:t>.9500</w:t>
            </w:r>
          </w:p>
        </w:tc>
      </w:tr>
      <w:tr w:rsidR="00843FDA" w:rsidRPr="00C6580C" w14:paraId="58043878" w14:textId="77777777">
        <w:tc>
          <w:tcPr>
            <w:tcW w:w="0" w:type="auto"/>
            <w:tcBorders>
              <w:top w:val="single" w:sz="4" w:space="0" w:color="000000"/>
              <w:left w:val="single" w:sz="4" w:space="0" w:color="000000"/>
              <w:bottom w:val="single" w:sz="4" w:space="0" w:color="000000"/>
              <w:right w:val="single" w:sz="4" w:space="0" w:color="000000"/>
            </w:tcBorders>
          </w:tcPr>
          <w:p w14:paraId="0D98AED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578027D" w14:textId="77777777" w:rsidR="00843FDA" w:rsidRPr="00C6580C" w:rsidRDefault="00843FDA" w:rsidP="00CD7CAC">
            <w:pPr>
              <w:widowControl/>
              <w:jc w:val="center"/>
              <w:rPr>
                <w:szCs w:val="22"/>
              </w:rPr>
            </w:pPr>
            <w:r w:rsidRPr="00C6580C">
              <w:rPr>
                <w:kern w:val="0"/>
                <w:szCs w:val="22"/>
              </w:rPr>
              <w:t>* * *</w:t>
            </w:r>
          </w:p>
        </w:tc>
      </w:tr>
      <w:tr w:rsidR="00843FDA" w:rsidRPr="00C6580C" w14:paraId="534D8A35" w14:textId="77777777">
        <w:tc>
          <w:tcPr>
            <w:tcW w:w="0" w:type="auto"/>
            <w:tcBorders>
              <w:top w:val="single" w:sz="4" w:space="0" w:color="000000"/>
              <w:left w:val="single" w:sz="4" w:space="0" w:color="000000"/>
              <w:bottom w:val="single" w:sz="4" w:space="0" w:color="000000"/>
              <w:right w:val="single" w:sz="4" w:space="0" w:color="000000"/>
            </w:tcBorders>
          </w:tcPr>
          <w:p w14:paraId="34F7433D" w14:textId="77777777" w:rsidR="00843FDA" w:rsidRPr="00C6580C" w:rsidRDefault="00843FDA" w:rsidP="00CD7CAC">
            <w:pPr>
              <w:widowControl/>
              <w:rPr>
                <w:kern w:val="0"/>
                <w:szCs w:val="22"/>
              </w:rPr>
            </w:pPr>
            <w:r w:rsidRPr="00C6580C">
              <w:rPr>
                <w:kern w:val="0"/>
                <w:szCs w:val="22"/>
              </w:rPr>
              <w:t>309a</w:t>
            </w:r>
          </w:p>
        </w:tc>
        <w:tc>
          <w:tcPr>
            <w:tcW w:w="0" w:type="auto"/>
            <w:tcBorders>
              <w:top w:val="single" w:sz="4" w:space="0" w:color="000000"/>
              <w:left w:val="single" w:sz="4" w:space="0" w:color="000000"/>
              <w:bottom w:val="single" w:sz="4" w:space="0" w:color="000000"/>
              <w:right w:val="single" w:sz="4" w:space="0" w:color="000000"/>
            </w:tcBorders>
          </w:tcPr>
          <w:p w14:paraId="0CDB475E" w14:textId="77777777" w:rsidR="00843FDA" w:rsidRPr="00C6580C" w:rsidRDefault="00843FDA" w:rsidP="00CD7CAC">
            <w:pPr>
              <w:widowControl/>
              <w:jc w:val="right"/>
              <w:rPr>
                <w:kern w:val="0"/>
                <w:szCs w:val="22"/>
              </w:rPr>
            </w:pPr>
            <w:r w:rsidRPr="00C6580C">
              <w:rPr>
                <w:kern w:val="0"/>
                <w:szCs w:val="22"/>
              </w:rPr>
              <w:t>.9750</w:t>
            </w:r>
          </w:p>
        </w:tc>
      </w:tr>
      <w:tr w:rsidR="00843FDA" w:rsidRPr="00C6580C" w14:paraId="483E968A" w14:textId="77777777">
        <w:tc>
          <w:tcPr>
            <w:tcW w:w="0" w:type="auto"/>
            <w:tcBorders>
              <w:top w:val="single" w:sz="4" w:space="0" w:color="000000"/>
              <w:left w:val="single" w:sz="4" w:space="0" w:color="000000"/>
              <w:bottom w:val="single" w:sz="4" w:space="0" w:color="000000"/>
              <w:right w:val="single" w:sz="4" w:space="0" w:color="000000"/>
            </w:tcBorders>
          </w:tcPr>
          <w:p w14:paraId="60BC01C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79CDFB3" w14:textId="77777777" w:rsidR="00843FDA" w:rsidRPr="00C6580C" w:rsidRDefault="00843FDA" w:rsidP="00CD7CAC">
            <w:pPr>
              <w:widowControl/>
              <w:jc w:val="center"/>
              <w:rPr>
                <w:szCs w:val="22"/>
              </w:rPr>
            </w:pPr>
            <w:r w:rsidRPr="00C6580C">
              <w:rPr>
                <w:kern w:val="0"/>
                <w:szCs w:val="22"/>
              </w:rPr>
              <w:t>* * *</w:t>
            </w:r>
          </w:p>
        </w:tc>
      </w:tr>
      <w:tr w:rsidR="00843FDA" w:rsidRPr="00C6580C" w14:paraId="3A043667" w14:textId="77777777">
        <w:tc>
          <w:tcPr>
            <w:tcW w:w="0" w:type="auto"/>
            <w:tcBorders>
              <w:top w:val="single" w:sz="4" w:space="0" w:color="000000"/>
              <w:left w:val="single" w:sz="4" w:space="0" w:color="000000"/>
              <w:bottom w:val="single" w:sz="4" w:space="0" w:color="000000"/>
              <w:right w:val="single" w:sz="4" w:space="0" w:color="000000"/>
            </w:tcBorders>
          </w:tcPr>
          <w:p w14:paraId="24221509" w14:textId="77777777" w:rsidR="00843FDA" w:rsidRPr="00C6580C" w:rsidRDefault="00843FDA" w:rsidP="00CD7CAC">
            <w:pPr>
              <w:widowControl/>
              <w:rPr>
                <w:kern w:val="0"/>
                <w:szCs w:val="22"/>
              </w:rPr>
            </w:pPr>
            <w:r w:rsidRPr="00C6580C">
              <w:rPr>
                <w:kern w:val="0"/>
                <w:szCs w:val="22"/>
              </w:rPr>
              <w:t>310a</w:t>
            </w:r>
          </w:p>
        </w:tc>
        <w:tc>
          <w:tcPr>
            <w:tcW w:w="0" w:type="auto"/>
            <w:tcBorders>
              <w:top w:val="single" w:sz="4" w:space="0" w:color="000000"/>
              <w:left w:val="single" w:sz="4" w:space="0" w:color="000000"/>
              <w:bottom w:val="single" w:sz="4" w:space="0" w:color="000000"/>
              <w:right w:val="single" w:sz="4" w:space="0" w:color="000000"/>
            </w:tcBorders>
          </w:tcPr>
          <w:p w14:paraId="4A8DB922" w14:textId="77777777" w:rsidR="00843FDA" w:rsidRPr="00C6580C" w:rsidRDefault="00843FDA" w:rsidP="00CD7CAC">
            <w:pPr>
              <w:widowControl/>
              <w:jc w:val="right"/>
              <w:rPr>
                <w:kern w:val="0"/>
                <w:szCs w:val="22"/>
              </w:rPr>
            </w:pPr>
            <w:r w:rsidRPr="00C6580C">
              <w:rPr>
                <w:kern w:val="0"/>
                <w:szCs w:val="22"/>
              </w:rPr>
              <w:t>856.0000</w:t>
            </w:r>
          </w:p>
        </w:tc>
      </w:tr>
      <w:tr w:rsidR="00843FDA" w:rsidRPr="00C6580C" w14:paraId="6DC6E0B7" w14:textId="77777777">
        <w:tc>
          <w:tcPr>
            <w:tcW w:w="0" w:type="auto"/>
            <w:tcBorders>
              <w:top w:val="single" w:sz="4" w:space="0" w:color="000000"/>
              <w:left w:val="single" w:sz="4" w:space="0" w:color="000000"/>
              <w:bottom w:val="single" w:sz="4" w:space="0" w:color="000000"/>
              <w:right w:val="single" w:sz="4" w:space="0" w:color="000000"/>
            </w:tcBorders>
          </w:tcPr>
          <w:p w14:paraId="4EA7DA3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86B7727" w14:textId="77777777" w:rsidR="00843FDA" w:rsidRPr="00C6580C" w:rsidRDefault="00843FDA" w:rsidP="00CD7CAC">
            <w:pPr>
              <w:widowControl/>
              <w:jc w:val="right"/>
              <w:rPr>
                <w:szCs w:val="22"/>
              </w:rPr>
            </w:pPr>
            <w:r w:rsidRPr="00C6580C">
              <w:rPr>
                <w:kern w:val="0"/>
                <w:szCs w:val="22"/>
              </w:rPr>
              <w:t>.0125</w:t>
            </w:r>
          </w:p>
        </w:tc>
      </w:tr>
      <w:tr w:rsidR="00843FDA" w:rsidRPr="00C6580C" w14:paraId="3801CB21" w14:textId="77777777">
        <w:tc>
          <w:tcPr>
            <w:tcW w:w="0" w:type="auto"/>
            <w:tcBorders>
              <w:top w:val="single" w:sz="4" w:space="0" w:color="000000"/>
              <w:left w:val="single" w:sz="4" w:space="0" w:color="000000"/>
              <w:bottom w:val="single" w:sz="4" w:space="0" w:color="000000"/>
              <w:right w:val="single" w:sz="4" w:space="0" w:color="000000"/>
            </w:tcBorders>
          </w:tcPr>
          <w:p w14:paraId="01A7CC9D" w14:textId="77777777" w:rsidR="00843FDA" w:rsidRPr="00C6580C" w:rsidRDefault="00843FDA" w:rsidP="00CD7CAC">
            <w:pPr>
              <w:widowControl/>
              <w:rPr>
                <w:kern w:val="0"/>
                <w:szCs w:val="22"/>
              </w:rPr>
            </w:pPr>
            <w:r w:rsidRPr="00C6580C">
              <w:rPr>
                <w:kern w:val="0"/>
                <w:szCs w:val="22"/>
              </w:rPr>
              <w:t>311a</w:t>
            </w:r>
          </w:p>
        </w:tc>
        <w:tc>
          <w:tcPr>
            <w:tcW w:w="0" w:type="auto"/>
            <w:tcBorders>
              <w:top w:val="single" w:sz="4" w:space="0" w:color="000000"/>
              <w:left w:val="single" w:sz="4" w:space="0" w:color="000000"/>
              <w:bottom w:val="single" w:sz="4" w:space="0" w:color="000000"/>
              <w:right w:val="single" w:sz="4" w:space="0" w:color="000000"/>
            </w:tcBorders>
          </w:tcPr>
          <w:p w14:paraId="1D614787" w14:textId="77777777" w:rsidR="00843FDA" w:rsidRPr="00C6580C" w:rsidRDefault="00843FDA" w:rsidP="00CD7CAC">
            <w:pPr>
              <w:widowControl/>
              <w:jc w:val="right"/>
              <w:rPr>
                <w:kern w:val="0"/>
                <w:szCs w:val="22"/>
              </w:rPr>
            </w:pPr>
            <w:r w:rsidRPr="00C6580C">
              <w:rPr>
                <w:kern w:val="0"/>
                <w:szCs w:val="22"/>
              </w:rPr>
              <w:t>.0250</w:t>
            </w:r>
          </w:p>
        </w:tc>
      </w:tr>
      <w:tr w:rsidR="00843FDA" w:rsidRPr="00C6580C" w14:paraId="120C5101" w14:textId="77777777">
        <w:tc>
          <w:tcPr>
            <w:tcW w:w="0" w:type="auto"/>
            <w:tcBorders>
              <w:top w:val="single" w:sz="4" w:space="0" w:color="000000"/>
              <w:left w:val="single" w:sz="4" w:space="0" w:color="000000"/>
              <w:bottom w:val="single" w:sz="4" w:space="0" w:color="000000"/>
              <w:right w:val="single" w:sz="4" w:space="0" w:color="000000"/>
            </w:tcBorders>
          </w:tcPr>
          <w:p w14:paraId="37DA821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4BDD7CA" w14:textId="77777777" w:rsidR="00843FDA" w:rsidRPr="00C6580C" w:rsidRDefault="00843FDA" w:rsidP="00CD7CAC">
            <w:pPr>
              <w:widowControl/>
              <w:jc w:val="center"/>
              <w:rPr>
                <w:szCs w:val="22"/>
              </w:rPr>
            </w:pPr>
            <w:r w:rsidRPr="00C6580C">
              <w:rPr>
                <w:kern w:val="0"/>
                <w:szCs w:val="22"/>
              </w:rPr>
              <w:t>* * *</w:t>
            </w:r>
          </w:p>
        </w:tc>
      </w:tr>
      <w:tr w:rsidR="00843FDA" w:rsidRPr="00C6580C" w14:paraId="5181246E" w14:textId="77777777">
        <w:tc>
          <w:tcPr>
            <w:tcW w:w="0" w:type="auto"/>
            <w:tcBorders>
              <w:top w:val="single" w:sz="4" w:space="0" w:color="000000"/>
              <w:left w:val="single" w:sz="4" w:space="0" w:color="000000"/>
              <w:bottom w:val="single" w:sz="4" w:space="0" w:color="000000"/>
              <w:right w:val="single" w:sz="4" w:space="0" w:color="000000"/>
            </w:tcBorders>
          </w:tcPr>
          <w:p w14:paraId="7D8C470F" w14:textId="77777777" w:rsidR="00843FDA" w:rsidRPr="00C6580C" w:rsidRDefault="00843FDA" w:rsidP="00CD7CAC">
            <w:pPr>
              <w:widowControl/>
              <w:rPr>
                <w:kern w:val="0"/>
                <w:szCs w:val="22"/>
              </w:rPr>
            </w:pPr>
            <w:r w:rsidRPr="00C6580C">
              <w:rPr>
                <w:kern w:val="0"/>
                <w:szCs w:val="22"/>
              </w:rPr>
              <w:t>312a</w:t>
            </w:r>
          </w:p>
        </w:tc>
        <w:tc>
          <w:tcPr>
            <w:tcW w:w="0" w:type="auto"/>
            <w:tcBorders>
              <w:top w:val="single" w:sz="4" w:space="0" w:color="000000"/>
              <w:left w:val="single" w:sz="4" w:space="0" w:color="000000"/>
              <w:bottom w:val="single" w:sz="4" w:space="0" w:color="000000"/>
              <w:right w:val="single" w:sz="4" w:space="0" w:color="000000"/>
            </w:tcBorders>
          </w:tcPr>
          <w:p w14:paraId="098F1765" w14:textId="77777777" w:rsidR="00843FDA" w:rsidRPr="00C6580C" w:rsidRDefault="00843FDA" w:rsidP="00CD7CAC">
            <w:pPr>
              <w:widowControl/>
              <w:jc w:val="right"/>
              <w:rPr>
                <w:kern w:val="0"/>
                <w:szCs w:val="22"/>
              </w:rPr>
            </w:pPr>
            <w:r w:rsidRPr="00C6580C">
              <w:rPr>
                <w:kern w:val="0"/>
                <w:szCs w:val="22"/>
              </w:rPr>
              <w:t>.0500</w:t>
            </w:r>
          </w:p>
        </w:tc>
      </w:tr>
      <w:tr w:rsidR="00843FDA" w:rsidRPr="00C6580C" w14:paraId="35E086F8" w14:textId="77777777">
        <w:tc>
          <w:tcPr>
            <w:tcW w:w="0" w:type="auto"/>
            <w:tcBorders>
              <w:top w:val="single" w:sz="4" w:space="0" w:color="000000"/>
              <w:left w:val="single" w:sz="4" w:space="0" w:color="000000"/>
              <w:bottom w:val="single" w:sz="4" w:space="0" w:color="000000"/>
              <w:right w:val="single" w:sz="4" w:space="0" w:color="000000"/>
            </w:tcBorders>
          </w:tcPr>
          <w:p w14:paraId="625F664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0E3953A" w14:textId="77777777" w:rsidR="00843FDA" w:rsidRPr="00C6580C" w:rsidRDefault="00843FDA" w:rsidP="00CD7CAC">
            <w:pPr>
              <w:widowControl/>
              <w:jc w:val="center"/>
              <w:rPr>
                <w:szCs w:val="22"/>
              </w:rPr>
            </w:pPr>
            <w:r w:rsidRPr="00C6580C">
              <w:rPr>
                <w:kern w:val="0"/>
                <w:szCs w:val="22"/>
              </w:rPr>
              <w:t>* * *</w:t>
            </w:r>
          </w:p>
        </w:tc>
      </w:tr>
      <w:tr w:rsidR="00843FDA" w:rsidRPr="00C6580C" w14:paraId="2EAAF767" w14:textId="77777777">
        <w:tc>
          <w:tcPr>
            <w:tcW w:w="0" w:type="auto"/>
            <w:tcBorders>
              <w:top w:val="single" w:sz="4" w:space="0" w:color="000000"/>
              <w:left w:val="single" w:sz="4" w:space="0" w:color="000000"/>
              <w:bottom w:val="single" w:sz="4" w:space="0" w:color="000000"/>
              <w:right w:val="single" w:sz="4" w:space="0" w:color="000000"/>
            </w:tcBorders>
          </w:tcPr>
          <w:p w14:paraId="01A6BB14" w14:textId="77777777" w:rsidR="00843FDA" w:rsidRPr="00C6580C" w:rsidRDefault="00843FDA" w:rsidP="00CD7CAC">
            <w:pPr>
              <w:widowControl/>
              <w:rPr>
                <w:kern w:val="0"/>
                <w:szCs w:val="22"/>
              </w:rPr>
            </w:pPr>
            <w:r w:rsidRPr="00C6580C">
              <w:rPr>
                <w:kern w:val="0"/>
                <w:szCs w:val="22"/>
              </w:rPr>
              <w:t>313a</w:t>
            </w:r>
          </w:p>
        </w:tc>
        <w:tc>
          <w:tcPr>
            <w:tcW w:w="0" w:type="auto"/>
            <w:tcBorders>
              <w:top w:val="single" w:sz="4" w:space="0" w:color="000000"/>
              <w:left w:val="single" w:sz="4" w:space="0" w:color="000000"/>
              <w:bottom w:val="single" w:sz="4" w:space="0" w:color="000000"/>
              <w:right w:val="single" w:sz="4" w:space="0" w:color="000000"/>
            </w:tcBorders>
          </w:tcPr>
          <w:p w14:paraId="7463AB2E" w14:textId="77777777" w:rsidR="00843FDA" w:rsidRPr="00C6580C" w:rsidRDefault="00843FDA" w:rsidP="00CD7CAC">
            <w:pPr>
              <w:widowControl/>
              <w:jc w:val="right"/>
              <w:rPr>
                <w:kern w:val="0"/>
                <w:szCs w:val="22"/>
              </w:rPr>
            </w:pPr>
            <w:r w:rsidRPr="00C6580C">
              <w:rPr>
                <w:kern w:val="0"/>
                <w:szCs w:val="22"/>
              </w:rPr>
              <w:t>.0750</w:t>
            </w:r>
          </w:p>
        </w:tc>
      </w:tr>
      <w:tr w:rsidR="00843FDA" w:rsidRPr="00C6580C" w14:paraId="3C048079" w14:textId="77777777">
        <w:tc>
          <w:tcPr>
            <w:tcW w:w="0" w:type="auto"/>
            <w:tcBorders>
              <w:top w:val="single" w:sz="4" w:space="0" w:color="000000"/>
              <w:left w:val="single" w:sz="4" w:space="0" w:color="000000"/>
              <w:bottom w:val="single" w:sz="4" w:space="0" w:color="000000"/>
              <w:right w:val="single" w:sz="4" w:space="0" w:color="000000"/>
            </w:tcBorders>
          </w:tcPr>
          <w:p w14:paraId="6FE1FAD0" w14:textId="77777777" w:rsidR="00843FDA" w:rsidRPr="00C6580C" w:rsidRDefault="00843FDA" w:rsidP="00CD7CAC">
            <w:pPr>
              <w:widowControl/>
              <w:rPr>
                <w:kern w:val="0"/>
                <w:szCs w:val="22"/>
              </w:rPr>
            </w:pPr>
          </w:p>
        </w:tc>
        <w:tc>
          <w:tcPr>
            <w:tcW w:w="0" w:type="auto"/>
            <w:tcBorders>
              <w:top w:val="single" w:sz="4" w:space="0" w:color="000000"/>
              <w:left w:val="single" w:sz="4" w:space="0" w:color="000000"/>
              <w:bottom w:val="single" w:sz="4" w:space="0" w:color="000000"/>
              <w:right w:val="single" w:sz="4" w:space="0" w:color="000000"/>
            </w:tcBorders>
          </w:tcPr>
          <w:p w14:paraId="4B5FF9F1" w14:textId="77777777" w:rsidR="00843FDA" w:rsidRPr="00C6580C" w:rsidRDefault="00843FDA" w:rsidP="00CD7CAC">
            <w:pPr>
              <w:widowControl/>
              <w:jc w:val="right"/>
              <w:rPr>
                <w:kern w:val="0"/>
                <w:szCs w:val="22"/>
              </w:rPr>
            </w:pPr>
          </w:p>
        </w:tc>
      </w:tr>
      <w:tr w:rsidR="00843FDA" w:rsidRPr="00C6580C" w14:paraId="71416FE4" w14:textId="77777777">
        <w:tc>
          <w:tcPr>
            <w:tcW w:w="0" w:type="auto"/>
            <w:tcBorders>
              <w:top w:val="single" w:sz="4" w:space="0" w:color="000000"/>
              <w:left w:val="single" w:sz="4" w:space="0" w:color="000000"/>
              <w:bottom w:val="single" w:sz="4" w:space="0" w:color="000000"/>
              <w:right w:val="single" w:sz="4" w:space="0" w:color="000000"/>
            </w:tcBorders>
          </w:tcPr>
          <w:p w14:paraId="13C16758" w14:textId="77777777" w:rsidR="00843FDA" w:rsidRPr="00C6580C" w:rsidRDefault="00843FDA" w:rsidP="00CD7CAC">
            <w:pPr>
              <w:widowControl/>
              <w:rPr>
                <w:kern w:val="0"/>
                <w:szCs w:val="22"/>
              </w:rPr>
            </w:pPr>
            <w:r w:rsidRPr="00C6580C">
              <w:rPr>
                <w:kern w:val="0"/>
                <w:szCs w:val="22"/>
              </w:rPr>
              <w:t>314a</w:t>
            </w:r>
          </w:p>
        </w:tc>
        <w:tc>
          <w:tcPr>
            <w:tcW w:w="0" w:type="auto"/>
            <w:tcBorders>
              <w:top w:val="single" w:sz="4" w:space="0" w:color="000000"/>
              <w:left w:val="single" w:sz="4" w:space="0" w:color="000000"/>
              <w:bottom w:val="single" w:sz="4" w:space="0" w:color="000000"/>
              <w:right w:val="single" w:sz="4" w:space="0" w:color="000000"/>
            </w:tcBorders>
          </w:tcPr>
          <w:p w14:paraId="7DA65615" w14:textId="77777777" w:rsidR="00843FDA" w:rsidRPr="00C6580C" w:rsidRDefault="00843FDA" w:rsidP="00CD7CAC">
            <w:pPr>
              <w:widowControl/>
              <w:jc w:val="right"/>
              <w:rPr>
                <w:kern w:val="0"/>
                <w:szCs w:val="22"/>
              </w:rPr>
            </w:pPr>
            <w:r w:rsidRPr="00C6580C">
              <w:rPr>
                <w:kern w:val="0"/>
                <w:szCs w:val="22"/>
              </w:rPr>
              <w:t>.1000</w:t>
            </w:r>
          </w:p>
        </w:tc>
      </w:tr>
      <w:tr w:rsidR="00843FDA" w:rsidRPr="00C6580C" w14:paraId="7A02E759" w14:textId="77777777">
        <w:tc>
          <w:tcPr>
            <w:tcW w:w="0" w:type="auto"/>
            <w:tcBorders>
              <w:top w:val="single" w:sz="4" w:space="0" w:color="000000"/>
              <w:left w:val="single" w:sz="4" w:space="0" w:color="000000"/>
              <w:bottom w:val="single" w:sz="4" w:space="0" w:color="000000"/>
              <w:right w:val="single" w:sz="4" w:space="0" w:color="000000"/>
            </w:tcBorders>
          </w:tcPr>
          <w:p w14:paraId="766E7F3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813C896" w14:textId="77777777" w:rsidR="00843FDA" w:rsidRPr="00C6580C" w:rsidRDefault="00843FDA" w:rsidP="00CD7CAC">
            <w:pPr>
              <w:widowControl/>
              <w:jc w:val="center"/>
              <w:rPr>
                <w:szCs w:val="22"/>
              </w:rPr>
            </w:pPr>
            <w:r w:rsidRPr="00C6580C">
              <w:rPr>
                <w:kern w:val="0"/>
                <w:szCs w:val="22"/>
              </w:rPr>
              <w:t>* * *</w:t>
            </w:r>
          </w:p>
        </w:tc>
      </w:tr>
      <w:tr w:rsidR="00843FDA" w:rsidRPr="00C6580C" w14:paraId="67FB983A" w14:textId="77777777">
        <w:tc>
          <w:tcPr>
            <w:tcW w:w="0" w:type="auto"/>
            <w:tcBorders>
              <w:top w:val="single" w:sz="4" w:space="0" w:color="000000"/>
              <w:left w:val="single" w:sz="4" w:space="0" w:color="000000"/>
              <w:bottom w:val="single" w:sz="4" w:space="0" w:color="000000"/>
              <w:right w:val="single" w:sz="4" w:space="0" w:color="000000"/>
            </w:tcBorders>
          </w:tcPr>
          <w:p w14:paraId="5C723EC3" w14:textId="77777777" w:rsidR="00843FDA" w:rsidRPr="00C6580C" w:rsidRDefault="00843FDA" w:rsidP="00CD7CAC">
            <w:pPr>
              <w:widowControl/>
              <w:rPr>
                <w:kern w:val="0"/>
                <w:szCs w:val="22"/>
              </w:rPr>
            </w:pPr>
            <w:r w:rsidRPr="00C6580C">
              <w:rPr>
                <w:kern w:val="0"/>
                <w:szCs w:val="22"/>
              </w:rPr>
              <w:t>315a</w:t>
            </w:r>
          </w:p>
        </w:tc>
        <w:tc>
          <w:tcPr>
            <w:tcW w:w="0" w:type="auto"/>
            <w:tcBorders>
              <w:top w:val="single" w:sz="4" w:space="0" w:color="000000"/>
              <w:left w:val="single" w:sz="4" w:space="0" w:color="000000"/>
              <w:bottom w:val="single" w:sz="4" w:space="0" w:color="000000"/>
              <w:right w:val="single" w:sz="4" w:space="0" w:color="000000"/>
            </w:tcBorders>
          </w:tcPr>
          <w:p w14:paraId="25DE9B61" w14:textId="77777777" w:rsidR="00843FDA" w:rsidRPr="00C6580C" w:rsidRDefault="00843FDA" w:rsidP="00CD7CAC">
            <w:pPr>
              <w:widowControl/>
              <w:jc w:val="right"/>
              <w:rPr>
                <w:kern w:val="0"/>
                <w:szCs w:val="22"/>
              </w:rPr>
            </w:pPr>
            <w:r w:rsidRPr="00C6580C">
              <w:rPr>
                <w:kern w:val="0"/>
                <w:szCs w:val="22"/>
              </w:rPr>
              <w:t>.1250</w:t>
            </w:r>
          </w:p>
        </w:tc>
      </w:tr>
      <w:tr w:rsidR="00843FDA" w:rsidRPr="00C6580C" w14:paraId="45DB4009" w14:textId="77777777">
        <w:tc>
          <w:tcPr>
            <w:tcW w:w="0" w:type="auto"/>
            <w:tcBorders>
              <w:top w:val="single" w:sz="4" w:space="0" w:color="000000"/>
              <w:left w:val="single" w:sz="4" w:space="0" w:color="000000"/>
              <w:bottom w:val="single" w:sz="4" w:space="0" w:color="000000"/>
              <w:right w:val="single" w:sz="4" w:space="0" w:color="000000"/>
            </w:tcBorders>
          </w:tcPr>
          <w:p w14:paraId="3A0BC78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0F36E4C" w14:textId="77777777" w:rsidR="00843FDA" w:rsidRPr="00C6580C" w:rsidRDefault="00843FDA" w:rsidP="00CD7CAC">
            <w:pPr>
              <w:widowControl/>
              <w:jc w:val="center"/>
              <w:rPr>
                <w:szCs w:val="22"/>
              </w:rPr>
            </w:pPr>
            <w:r w:rsidRPr="00C6580C">
              <w:rPr>
                <w:kern w:val="0"/>
                <w:szCs w:val="22"/>
              </w:rPr>
              <w:t>* * *</w:t>
            </w:r>
          </w:p>
        </w:tc>
      </w:tr>
      <w:tr w:rsidR="00843FDA" w:rsidRPr="00C6580C" w14:paraId="57CB20CD" w14:textId="77777777">
        <w:tc>
          <w:tcPr>
            <w:tcW w:w="0" w:type="auto"/>
            <w:tcBorders>
              <w:top w:val="single" w:sz="4" w:space="0" w:color="000000"/>
              <w:left w:val="single" w:sz="4" w:space="0" w:color="000000"/>
              <w:bottom w:val="single" w:sz="4" w:space="0" w:color="000000"/>
              <w:right w:val="single" w:sz="4" w:space="0" w:color="000000"/>
            </w:tcBorders>
          </w:tcPr>
          <w:p w14:paraId="07347ECD" w14:textId="77777777" w:rsidR="00843FDA" w:rsidRPr="00C6580C" w:rsidRDefault="00843FDA" w:rsidP="00CD7CAC">
            <w:pPr>
              <w:widowControl/>
              <w:rPr>
                <w:kern w:val="0"/>
                <w:szCs w:val="22"/>
              </w:rPr>
            </w:pPr>
            <w:r w:rsidRPr="00C6580C">
              <w:rPr>
                <w:kern w:val="0"/>
                <w:szCs w:val="22"/>
              </w:rPr>
              <w:t>316a</w:t>
            </w:r>
          </w:p>
        </w:tc>
        <w:tc>
          <w:tcPr>
            <w:tcW w:w="0" w:type="auto"/>
            <w:tcBorders>
              <w:top w:val="single" w:sz="4" w:space="0" w:color="000000"/>
              <w:left w:val="single" w:sz="4" w:space="0" w:color="000000"/>
              <w:bottom w:val="single" w:sz="4" w:space="0" w:color="000000"/>
              <w:right w:val="single" w:sz="4" w:space="0" w:color="000000"/>
            </w:tcBorders>
          </w:tcPr>
          <w:p w14:paraId="03F136AC" w14:textId="77777777" w:rsidR="00843FDA" w:rsidRPr="00C6580C" w:rsidRDefault="00843FDA" w:rsidP="00CD7CAC">
            <w:pPr>
              <w:widowControl/>
              <w:jc w:val="right"/>
              <w:rPr>
                <w:kern w:val="0"/>
                <w:szCs w:val="22"/>
              </w:rPr>
            </w:pPr>
            <w:r w:rsidRPr="00C6580C">
              <w:rPr>
                <w:kern w:val="0"/>
                <w:szCs w:val="22"/>
              </w:rPr>
              <w:t>.1500</w:t>
            </w:r>
          </w:p>
        </w:tc>
      </w:tr>
      <w:tr w:rsidR="00843FDA" w:rsidRPr="00C6580C" w14:paraId="04CBDB56" w14:textId="77777777">
        <w:tc>
          <w:tcPr>
            <w:tcW w:w="0" w:type="auto"/>
            <w:tcBorders>
              <w:top w:val="single" w:sz="4" w:space="0" w:color="000000"/>
              <w:left w:val="single" w:sz="4" w:space="0" w:color="000000"/>
              <w:bottom w:val="single" w:sz="4" w:space="0" w:color="000000"/>
              <w:right w:val="single" w:sz="4" w:space="0" w:color="000000"/>
            </w:tcBorders>
          </w:tcPr>
          <w:p w14:paraId="26B63AC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7F9CA1F" w14:textId="77777777" w:rsidR="00843FDA" w:rsidRPr="00C6580C" w:rsidRDefault="00843FDA" w:rsidP="00CD7CAC">
            <w:pPr>
              <w:widowControl/>
              <w:jc w:val="center"/>
              <w:rPr>
                <w:szCs w:val="22"/>
              </w:rPr>
            </w:pPr>
            <w:r w:rsidRPr="00C6580C">
              <w:rPr>
                <w:kern w:val="0"/>
                <w:szCs w:val="22"/>
              </w:rPr>
              <w:t>* * *</w:t>
            </w:r>
          </w:p>
        </w:tc>
      </w:tr>
      <w:tr w:rsidR="00843FDA" w:rsidRPr="00C6580C" w14:paraId="787ED17E" w14:textId="77777777">
        <w:tc>
          <w:tcPr>
            <w:tcW w:w="0" w:type="auto"/>
            <w:tcBorders>
              <w:top w:val="single" w:sz="4" w:space="0" w:color="000000"/>
              <w:left w:val="single" w:sz="4" w:space="0" w:color="000000"/>
              <w:bottom w:val="single" w:sz="4" w:space="0" w:color="000000"/>
              <w:right w:val="single" w:sz="4" w:space="0" w:color="000000"/>
            </w:tcBorders>
          </w:tcPr>
          <w:p w14:paraId="1BAA1E14" w14:textId="77777777" w:rsidR="00843FDA" w:rsidRPr="00C6580C" w:rsidRDefault="00843FDA" w:rsidP="00CD7CAC">
            <w:pPr>
              <w:widowControl/>
              <w:rPr>
                <w:kern w:val="0"/>
                <w:szCs w:val="22"/>
              </w:rPr>
            </w:pPr>
            <w:r w:rsidRPr="00C6580C">
              <w:rPr>
                <w:kern w:val="0"/>
                <w:szCs w:val="22"/>
              </w:rPr>
              <w:t>317a</w:t>
            </w:r>
          </w:p>
        </w:tc>
        <w:tc>
          <w:tcPr>
            <w:tcW w:w="0" w:type="auto"/>
            <w:tcBorders>
              <w:top w:val="single" w:sz="4" w:space="0" w:color="000000"/>
              <w:left w:val="single" w:sz="4" w:space="0" w:color="000000"/>
              <w:bottom w:val="single" w:sz="4" w:space="0" w:color="000000"/>
              <w:right w:val="single" w:sz="4" w:space="0" w:color="000000"/>
            </w:tcBorders>
          </w:tcPr>
          <w:p w14:paraId="6850A2B4" w14:textId="77777777" w:rsidR="00843FDA" w:rsidRPr="00C6580C" w:rsidRDefault="00843FDA" w:rsidP="00CD7CAC">
            <w:pPr>
              <w:widowControl/>
              <w:jc w:val="right"/>
              <w:rPr>
                <w:kern w:val="0"/>
                <w:szCs w:val="22"/>
              </w:rPr>
            </w:pPr>
            <w:r w:rsidRPr="00C6580C">
              <w:rPr>
                <w:kern w:val="0"/>
                <w:szCs w:val="22"/>
              </w:rPr>
              <w:t>.1750</w:t>
            </w:r>
          </w:p>
        </w:tc>
      </w:tr>
      <w:tr w:rsidR="00843FDA" w:rsidRPr="00C6580C" w14:paraId="6FEB17A1" w14:textId="77777777">
        <w:tc>
          <w:tcPr>
            <w:tcW w:w="0" w:type="auto"/>
            <w:tcBorders>
              <w:top w:val="single" w:sz="4" w:space="0" w:color="000000"/>
              <w:left w:val="single" w:sz="4" w:space="0" w:color="000000"/>
              <w:bottom w:val="single" w:sz="4" w:space="0" w:color="000000"/>
              <w:right w:val="single" w:sz="4" w:space="0" w:color="000000"/>
            </w:tcBorders>
          </w:tcPr>
          <w:p w14:paraId="3437C38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A54526D" w14:textId="77777777" w:rsidR="00843FDA" w:rsidRPr="00C6580C" w:rsidRDefault="00843FDA" w:rsidP="00CD7CAC">
            <w:pPr>
              <w:widowControl/>
              <w:jc w:val="center"/>
              <w:rPr>
                <w:szCs w:val="22"/>
              </w:rPr>
            </w:pPr>
            <w:r w:rsidRPr="00C6580C">
              <w:rPr>
                <w:kern w:val="0"/>
                <w:szCs w:val="22"/>
              </w:rPr>
              <w:t>* * *</w:t>
            </w:r>
          </w:p>
        </w:tc>
      </w:tr>
      <w:tr w:rsidR="00843FDA" w:rsidRPr="00C6580C" w14:paraId="2118BC60" w14:textId="77777777">
        <w:tc>
          <w:tcPr>
            <w:tcW w:w="0" w:type="auto"/>
            <w:tcBorders>
              <w:top w:val="single" w:sz="4" w:space="0" w:color="000000"/>
              <w:left w:val="single" w:sz="4" w:space="0" w:color="000000"/>
              <w:bottom w:val="single" w:sz="4" w:space="0" w:color="000000"/>
              <w:right w:val="single" w:sz="4" w:space="0" w:color="000000"/>
            </w:tcBorders>
          </w:tcPr>
          <w:p w14:paraId="28F67B3E" w14:textId="77777777" w:rsidR="00843FDA" w:rsidRPr="00C6580C" w:rsidRDefault="00843FDA" w:rsidP="00CD7CAC">
            <w:pPr>
              <w:widowControl/>
              <w:rPr>
                <w:kern w:val="0"/>
                <w:szCs w:val="22"/>
              </w:rPr>
            </w:pPr>
            <w:r w:rsidRPr="00C6580C">
              <w:rPr>
                <w:kern w:val="0"/>
                <w:szCs w:val="22"/>
              </w:rPr>
              <w:t>318a</w:t>
            </w:r>
          </w:p>
        </w:tc>
        <w:tc>
          <w:tcPr>
            <w:tcW w:w="0" w:type="auto"/>
            <w:tcBorders>
              <w:top w:val="single" w:sz="4" w:space="0" w:color="000000"/>
              <w:left w:val="single" w:sz="4" w:space="0" w:color="000000"/>
              <w:bottom w:val="single" w:sz="4" w:space="0" w:color="000000"/>
              <w:right w:val="single" w:sz="4" w:space="0" w:color="000000"/>
            </w:tcBorders>
          </w:tcPr>
          <w:p w14:paraId="12E2C7D4" w14:textId="77777777" w:rsidR="00843FDA" w:rsidRPr="00C6580C" w:rsidRDefault="00843FDA" w:rsidP="00CD7CAC">
            <w:pPr>
              <w:widowControl/>
              <w:jc w:val="right"/>
              <w:rPr>
                <w:kern w:val="0"/>
                <w:szCs w:val="22"/>
              </w:rPr>
            </w:pPr>
            <w:r w:rsidRPr="00C6580C">
              <w:rPr>
                <w:kern w:val="0"/>
                <w:szCs w:val="22"/>
              </w:rPr>
              <w:t>.2000</w:t>
            </w:r>
          </w:p>
        </w:tc>
      </w:tr>
      <w:tr w:rsidR="00843FDA" w:rsidRPr="00C6580C" w14:paraId="23EBB9CD" w14:textId="77777777">
        <w:tc>
          <w:tcPr>
            <w:tcW w:w="0" w:type="auto"/>
            <w:tcBorders>
              <w:top w:val="single" w:sz="4" w:space="0" w:color="000000"/>
              <w:left w:val="single" w:sz="4" w:space="0" w:color="000000"/>
              <w:bottom w:val="single" w:sz="4" w:space="0" w:color="000000"/>
              <w:right w:val="single" w:sz="4" w:space="0" w:color="000000"/>
            </w:tcBorders>
          </w:tcPr>
          <w:p w14:paraId="4CFF76B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F7AC530" w14:textId="77777777" w:rsidR="00843FDA" w:rsidRPr="00C6580C" w:rsidRDefault="00843FDA" w:rsidP="00CD7CAC">
            <w:pPr>
              <w:widowControl/>
              <w:jc w:val="center"/>
              <w:rPr>
                <w:szCs w:val="22"/>
              </w:rPr>
            </w:pPr>
            <w:r w:rsidRPr="00C6580C">
              <w:rPr>
                <w:kern w:val="0"/>
                <w:szCs w:val="22"/>
              </w:rPr>
              <w:t>* * *</w:t>
            </w:r>
          </w:p>
        </w:tc>
      </w:tr>
      <w:tr w:rsidR="00843FDA" w:rsidRPr="00C6580C" w14:paraId="401D9AC5" w14:textId="77777777">
        <w:tc>
          <w:tcPr>
            <w:tcW w:w="0" w:type="auto"/>
            <w:tcBorders>
              <w:top w:val="single" w:sz="4" w:space="0" w:color="000000"/>
              <w:left w:val="single" w:sz="4" w:space="0" w:color="000000"/>
              <w:bottom w:val="single" w:sz="4" w:space="0" w:color="000000"/>
              <w:right w:val="single" w:sz="4" w:space="0" w:color="000000"/>
            </w:tcBorders>
          </w:tcPr>
          <w:p w14:paraId="2543AE96" w14:textId="77777777" w:rsidR="00843FDA" w:rsidRPr="00C6580C" w:rsidRDefault="00843FDA" w:rsidP="00CD7CAC">
            <w:pPr>
              <w:widowControl/>
              <w:rPr>
                <w:kern w:val="0"/>
                <w:szCs w:val="22"/>
              </w:rPr>
            </w:pPr>
            <w:r w:rsidRPr="00C6580C">
              <w:rPr>
                <w:kern w:val="0"/>
                <w:szCs w:val="22"/>
              </w:rPr>
              <w:t>319a</w:t>
            </w:r>
          </w:p>
        </w:tc>
        <w:tc>
          <w:tcPr>
            <w:tcW w:w="0" w:type="auto"/>
            <w:tcBorders>
              <w:top w:val="single" w:sz="4" w:space="0" w:color="000000"/>
              <w:left w:val="single" w:sz="4" w:space="0" w:color="000000"/>
              <w:bottom w:val="single" w:sz="4" w:space="0" w:color="000000"/>
              <w:right w:val="single" w:sz="4" w:space="0" w:color="000000"/>
            </w:tcBorders>
          </w:tcPr>
          <w:p w14:paraId="308D846A" w14:textId="77777777" w:rsidR="00843FDA" w:rsidRPr="00C6580C" w:rsidRDefault="00843FDA" w:rsidP="00CD7CAC">
            <w:pPr>
              <w:widowControl/>
              <w:jc w:val="right"/>
              <w:rPr>
                <w:kern w:val="0"/>
                <w:szCs w:val="22"/>
              </w:rPr>
            </w:pPr>
            <w:r w:rsidRPr="00C6580C">
              <w:rPr>
                <w:kern w:val="0"/>
                <w:szCs w:val="22"/>
              </w:rPr>
              <w:t>.2250</w:t>
            </w:r>
          </w:p>
        </w:tc>
      </w:tr>
      <w:tr w:rsidR="00843FDA" w:rsidRPr="00C6580C" w14:paraId="1807FAF2" w14:textId="77777777">
        <w:tc>
          <w:tcPr>
            <w:tcW w:w="0" w:type="auto"/>
            <w:tcBorders>
              <w:top w:val="single" w:sz="4" w:space="0" w:color="000000"/>
              <w:left w:val="single" w:sz="4" w:space="0" w:color="000000"/>
              <w:bottom w:val="single" w:sz="4" w:space="0" w:color="000000"/>
              <w:right w:val="single" w:sz="4" w:space="0" w:color="000000"/>
            </w:tcBorders>
          </w:tcPr>
          <w:p w14:paraId="4AC73D4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885973E" w14:textId="77777777" w:rsidR="00843FDA" w:rsidRPr="00C6580C" w:rsidRDefault="00843FDA" w:rsidP="00CD7CAC">
            <w:pPr>
              <w:widowControl/>
              <w:jc w:val="center"/>
              <w:rPr>
                <w:szCs w:val="22"/>
              </w:rPr>
            </w:pPr>
            <w:r w:rsidRPr="00C6580C">
              <w:rPr>
                <w:kern w:val="0"/>
                <w:szCs w:val="22"/>
              </w:rPr>
              <w:t>* * *</w:t>
            </w:r>
          </w:p>
        </w:tc>
      </w:tr>
      <w:tr w:rsidR="00843FDA" w:rsidRPr="00C6580C" w14:paraId="20E66475" w14:textId="77777777">
        <w:tc>
          <w:tcPr>
            <w:tcW w:w="0" w:type="auto"/>
            <w:tcBorders>
              <w:top w:val="single" w:sz="4" w:space="0" w:color="000000"/>
              <w:left w:val="single" w:sz="4" w:space="0" w:color="000000"/>
              <w:bottom w:val="single" w:sz="4" w:space="0" w:color="000000"/>
              <w:right w:val="single" w:sz="4" w:space="0" w:color="000000"/>
            </w:tcBorders>
          </w:tcPr>
          <w:p w14:paraId="0532CC17" w14:textId="77777777" w:rsidR="00843FDA" w:rsidRPr="00C6580C" w:rsidRDefault="00843FDA" w:rsidP="00CD7CAC">
            <w:pPr>
              <w:widowControl/>
              <w:rPr>
                <w:kern w:val="0"/>
                <w:szCs w:val="22"/>
              </w:rPr>
            </w:pPr>
            <w:r w:rsidRPr="00C6580C">
              <w:rPr>
                <w:kern w:val="0"/>
                <w:szCs w:val="22"/>
              </w:rPr>
              <w:t>320a</w:t>
            </w:r>
          </w:p>
        </w:tc>
        <w:tc>
          <w:tcPr>
            <w:tcW w:w="0" w:type="auto"/>
            <w:tcBorders>
              <w:top w:val="single" w:sz="4" w:space="0" w:color="000000"/>
              <w:left w:val="single" w:sz="4" w:space="0" w:color="000000"/>
              <w:bottom w:val="single" w:sz="4" w:space="0" w:color="000000"/>
              <w:right w:val="single" w:sz="4" w:space="0" w:color="000000"/>
            </w:tcBorders>
          </w:tcPr>
          <w:p w14:paraId="08CC4E59" w14:textId="77777777" w:rsidR="00843FDA" w:rsidRPr="00C6580C" w:rsidRDefault="00843FDA" w:rsidP="00CD7CAC">
            <w:pPr>
              <w:widowControl/>
              <w:jc w:val="right"/>
              <w:rPr>
                <w:kern w:val="0"/>
                <w:szCs w:val="22"/>
              </w:rPr>
            </w:pPr>
            <w:r w:rsidRPr="00C6580C">
              <w:rPr>
                <w:kern w:val="0"/>
                <w:szCs w:val="22"/>
              </w:rPr>
              <w:t>.2500</w:t>
            </w:r>
          </w:p>
        </w:tc>
      </w:tr>
      <w:tr w:rsidR="00843FDA" w:rsidRPr="00C6580C" w14:paraId="6D9F3F36" w14:textId="77777777">
        <w:tc>
          <w:tcPr>
            <w:tcW w:w="0" w:type="auto"/>
            <w:tcBorders>
              <w:top w:val="single" w:sz="4" w:space="0" w:color="000000"/>
              <w:left w:val="single" w:sz="4" w:space="0" w:color="000000"/>
              <w:bottom w:val="single" w:sz="4" w:space="0" w:color="000000"/>
              <w:right w:val="single" w:sz="4" w:space="0" w:color="000000"/>
            </w:tcBorders>
          </w:tcPr>
          <w:p w14:paraId="41A891D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AF03E9E" w14:textId="77777777" w:rsidR="00843FDA" w:rsidRPr="00C6580C" w:rsidRDefault="00843FDA" w:rsidP="00CD7CAC">
            <w:pPr>
              <w:widowControl/>
              <w:jc w:val="center"/>
              <w:rPr>
                <w:szCs w:val="22"/>
              </w:rPr>
            </w:pPr>
            <w:r w:rsidRPr="00C6580C">
              <w:rPr>
                <w:kern w:val="0"/>
                <w:szCs w:val="22"/>
              </w:rPr>
              <w:t>* * *</w:t>
            </w:r>
          </w:p>
        </w:tc>
      </w:tr>
      <w:tr w:rsidR="00843FDA" w:rsidRPr="00C6580C" w14:paraId="764BD0B0" w14:textId="77777777">
        <w:tc>
          <w:tcPr>
            <w:tcW w:w="0" w:type="auto"/>
            <w:tcBorders>
              <w:top w:val="single" w:sz="4" w:space="0" w:color="000000"/>
              <w:left w:val="single" w:sz="4" w:space="0" w:color="000000"/>
              <w:bottom w:val="single" w:sz="4" w:space="0" w:color="000000"/>
              <w:right w:val="single" w:sz="4" w:space="0" w:color="000000"/>
            </w:tcBorders>
          </w:tcPr>
          <w:p w14:paraId="1148F8BA" w14:textId="77777777" w:rsidR="00843FDA" w:rsidRPr="00C6580C" w:rsidRDefault="00843FDA" w:rsidP="00CD7CAC">
            <w:pPr>
              <w:widowControl/>
              <w:rPr>
                <w:kern w:val="0"/>
                <w:szCs w:val="22"/>
              </w:rPr>
            </w:pPr>
            <w:r w:rsidRPr="00C6580C">
              <w:rPr>
                <w:kern w:val="0"/>
                <w:szCs w:val="22"/>
              </w:rPr>
              <w:t>321a</w:t>
            </w:r>
          </w:p>
        </w:tc>
        <w:tc>
          <w:tcPr>
            <w:tcW w:w="0" w:type="auto"/>
            <w:tcBorders>
              <w:top w:val="single" w:sz="4" w:space="0" w:color="000000"/>
              <w:left w:val="single" w:sz="4" w:space="0" w:color="000000"/>
              <w:bottom w:val="single" w:sz="4" w:space="0" w:color="000000"/>
              <w:right w:val="single" w:sz="4" w:space="0" w:color="000000"/>
            </w:tcBorders>
          </w:tcPr>
          <w:p w14:paraId="377A9FA8" w14:textId="77777777" w:rsidR="00843FDA" w:rsidRPr="00C6580C" w:rsidRDefault="00843FDA" w:rsidP="00CD7CAC">
            <w:pPr>
              <w:widowControl/>
              <w:jc w:val="right"/>
              <w:rPr>
                <w:kern w:val="0"/>
                <w:szCs w:val="22"/>
              </w:rPr>
            </w:pPr>
            <w:r w:rsidRPr="00C6580C">
              <w:rPr>
                <w:kern w:val="0"/>
                <w:szCs w:val="22"/>
              </w:rPr>
              <w:t>.2750</w:t>
            </w:r>
          </w:p>
        </w:tc>
      </w:tr>
      <w:tr w:rsidR="00843FDA" w:rsidRPr="00C6580C" w14:paraId="5E4EC747" w14:textId="77777777">
        <w:tc>
          <w:tcPr>
            <w:tcW w:w="0" w:type="auto"/>
            <w:tcBorders>
              <w:top w:val="single" w:sz="4" w:space="0" w:color="000000"/>
              <w:left w:val="single" w:sz="4" w:space="0" w:color="000000"/>
              <w:bottom w:val="single" w:sz="4" w:space="0" w:color="000000"/>
              <w:right w:val="single" w:sz="4" w:space="0" w:color="000000"/>
            </w:tcBorders>
          </w:tcPr>
          <w:p w14:paraId="5591D5E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6C85416" w14:textId="77777777" w:rsidR="00843FDA" w:rsidRPr="00C6580C" w:rsidRDefault="00843FDA" w:rsidP="00CD7CAC">
            <w:pPr>
              <w:widowControl/>
              <w:jc w:val="center"/>
              <w:rPr>
                <w:szCs w:val="22"/>
              </w:rPr>
            </w:pPr>
            <w:r w:rsidRPr="00C6580C">
              <w:rPr>
                <w:kern w:val="0"/>
                <w:szCs w:val="22"/>
              </w:rPr>
              <w:t>* * *</w:t>
            </w:r>
          </w:p>
        </w:tc>
      </w:tr>
      <w:tr w:rsidR="00843FDA" w:rsidRPr="00C6580C" w14:paraId="291B1473" w14:textId="77777777">
        <w:tc>
          <w:tcPr>
            <w:tcW w:w="0" w:type="auto"/>
            <w:tcBorders>
              <w:top w:val="single" w:sz="4" w:space="0" w:color="000000"/>
              <w:left w:val="single" w:sz="4" w:space="0" w:color="000000"/>
              <w:bottom w:val="single" w:sz="4" w:space="0" w:color="000000"/>
              <w:right w:val="single" w:sz="4" w:space="0" w:color="000000"/>
            </w:tcBorders>
          </w:tcPr>
          <w:p w14:paraId="0F3FCF3B" w14:textId="77777777" w:rsidR="00843FDA" w:rsidRPr="00C6580C" w:rsidRDefault="00843FDA" w:rsidP="00CD7CAC">
            <w:pPr>
              <w:widowControl/>
              <w:rPr>
                <w:kern w:val="0"/>
                <w:szCs w:val="22"/>
              </w:rPr>
            </w:pPr>
            <w:r w:rsidRPr="00C6580C">
              <w:rPr>
                <w:kern w:val="0"/>
                <w:szCs w:val="22"/>
              </w:rPr>
              <w:t>322a</w:t>
            </w:r>
          </w:p>
        </w:tc>
        <w:tc>
          <w:tcPr>
            <w:tcW w:w="0" w:type="auto"/>
            <w:tcBorders>
              <w:top w:val="single" w:sz="4" w:space="0" w:color="000000"/>
              <w:left w:val="single" w:sz="4" w:space="0" w:color="000000"/>
              <w:bottom w:val="single" w:sz="4" w:space="0" w:color="000000"/>
              <w:right w:val="single" w:sz="4" w:space="0" w:color="000000"/>
            </w:tcBorders>
          </w:tcPr>
          <w:p w14:paraId="1DFDB525" w14:textId="77777777" w:rsidR="00843FDA" w:rsidRPr="00C6580C" w:rsidRDefault="00843FDA" w:rsidP="00CD7CAC">
            <w:pPr>
              <w:widowControl/>
              <w:jc w:val="right"/>
              <w:rPr>
                <w:kern w:val="0"/>
                <w:szCs w:val="22"/>
              </w:rPr>
            </w:pPr>
            <w:r w:rsidRPr="00C6580C">
              <w:rPr>
                <w:kern w:val="0"/>
                <w:szCs w:val="22"/>
              </w:rPr>
              <w:t>.3000</w:t>
            </w:r>
          </w:p>
        </w:tc>
      </w:tr>
      <w:tr w:rsidR="00843FDA" w:rsidRPr="00C6580C" w14:paraId="3602AAC0" w14:textId="77777777">
        <w:tc>
          <w:tcPr>
            <w:tcW w:w="0" w:type="auto"/>
            <w:tcBorders>
              <w:top w:val="single" w:sz="4" w:space="0" w:color="000000"/>
              <w:left w:val="single" w:sz="4" w:space="0" w:color="000000"/>
              <w:bottom w:val="single" w:sz="4" w:space="0" w:color="000000"/>
              <w:right w:val="single" w:sz="4" w:space="0" w:color="000000"/>
            </w:tcBorders>
          </w:tcPr>
          <w:p w14:paraId="0EEC489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9AA516E" w14:textId="77777777" w:rsidR="00843FDA" w:rsidRPr="00C6580C" w:rsidRDefault="00843FDA" w:rsidP="00CD7CAC">
            <w:pPr>
              <w:widowControl/>
              <w:jc w:val="center"/>
              <w:rPr>
                <w:szCs w:val="22"/>
              </w:rPr>
            </w:pPr>
            <w:r w:rsidRPr="00C6580C">
              <w:rPr>
                <w:kern w:val="0"/>
                <w:szCs w:val="22"/>
              </w:rPr>
              <w:t>* * *</w:t>
            </w:r>
          </w:p>
        </w:tc>
      </w:tr>
      <w:tr w:rsidR="00843FDA" w:rsidRPr="00C6580C" w14:paraId="14B1A085" w14:textId="77777777">
        <w:tc>
          <w:tcPr>
            <w:tcW w:w="0" w:type="auto"/>
            <w:tcBorders>
              <w:top w:val="single" w:sz="4" w:space="0" w:color="000000"/>
              <w:left w:val="single" w:sz="4" w:space="0" w:color="000000"/>
              <w:bottom w:val="single" w:sz="4" w:space="0" w:color="000000"/>
              <w:right w:val="single" w:sz="4" w:space="0" w:color="000000"/>
            </w:tcBorders>
          </w:tcPr>
          <w:p w14:paraId="1F5D4DA9" w14:textId="77777777" w:rsidR="00843FDA" w:rsidRPr="00C6580C" w:rsidRDefault="00843FDA" w:rsidP="00CD7CAC">
            <w:pPr>
              <w:widowControl/>
              <w:rPr>
                <w:kern w:val="0"/>
                <w:szCs w:val="22"/>
              </w:rPr>
            </w:pPr>
            <w:r w:rsidRPr="00C6580C">
              <w:rPr>
                <w:kern w:val="0"/>
                <w:szCs w:val="22"/>
              </w:rPr>
              <w:t>323a</w:t>
            </w:r>
          </w:p>
        </w:tc>
        <w:tc>
          <w:tcPr>
            <w:tcW w:w="0" w:type="auto"/>
            <w:tcBorders>
              <w:top w:val="single" w:sz="4" w:space="0" w:color="000000"/>
              <w:left w:val="single" w:sz="4" w:space="0" w:color="000000"/>
              <w:bottom w:val="single" w:sz="4" w:space="0" w:color="000000"/>
              <w:right w:val="single" w:sz="4" w:space="0" w:color="000000"/>
            </w:tcBorders>
          </w:tcPr>
          <w:p w14:paraId="597911ED" w14:textId="77777777" w:rsidR="00843FDA" w:rsidRPr="00C6580C" w:rsidRDefault="00843FDA" w:rsidP="00CD7CAC">
            <w:pPr>
              <w:widowControl/>
              <w:jc w:val="right"/>
              <w:rPr>
                <w:kern w:val="0"/>
                <w:szCs w:val="22"/>
              </w:rPr>
            </w:pPr>
            <w:r w:rsidRPr="00C6580C">
              <w:rPr>
                <w:kern w:val="0"/>
                <w:szCs w:val="22"/>
              </w:rPr>
              <w:t>.3250</w:t>
            </w:r>
          </w:p>
        </w:tc>
      </w:tr>
      <w:tr w:rsidR="00843FDA" w:rsidRPr="00C6580C" w14:paraId="6BDAACC2" w14:textId="77777777">
        <w:tc>
          <w:tcPr>
            <w:tcW w:w="0" w:type="auto"/>
            <w:tcBorders>
              <w:top w:val="single" w:sz="4" w:space="0" w:color="000000"/>
              <w:left w:val="single" w:sz="4" w:space="0" w:color="000000"/>
              <w:bottom w:val="single" w:sz="4" w:space="0" w:color="000000"/>
              <w:right w:val="single" w:sz="4" w:space="0" w:color="000000"/>
            </w:tcBorders>
          </w:tcPr>
          <w:p w14:paraId="7D67C59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114F3D3" w14:textId="77777777" w:rsidR="00843FDA" w:rsidRPr="00C6580C" w:rsidRDefault="00843FDA" w:rsidP="00CD7CAC">
            <w:pPr>
              <w:widowControl/>
              <w:jc w:val="center"/>
              <w:rPr>
                <w:szCs w:val="22"/>
              </w:rPr>
            </w:pPr>
            <w:r w:rsidRPr="00C6580C">
              <w:rPr>
                <w:kern w:val="0"/>
                <w:szCs w:val="22"/>
              </w:rPr>
              <w:t>* * *</w:t>
            </w:r>
          </w:p>
        </w:tc>
      </w:tr>
      <w:tr w:rsidR="00843FDA" w:rsidRPr="00C6580C" w14:paraId="5B61165E" w14:textId="77777777">
        <w:tc>
          <w:tcPr>
            <w:tcW w:w="0" w:type="auto"/>
            <w:tcBorders>
              <w:top w:val="single" w:sz="4" w:space="0" w:color="000000"/>
              <w:left w:val="single" w:sz="4" w:space="0" w:color="000000"/>
              <w:bottom w:val="single" w:sz="4" w:space="0" w:color="000000"/>
              <w:right w:val="single" w:sz="4" w:space="0" w:color="000000"/>
            </w:tcBorders>
          </w:tcPr>
          <w:p w14:paraId="3F2276C7" w14:textId="77777777" w:rsidR="00843FDA" w:rsidRPr="00C6580C" w:rsidRDefault="00843FDA" w:rsidP="00CD7CAC">
            <w:pPr>
              <w:widowControl/>
              <w:rPr>
                <w:kern w:val="0"/>
                <w:szCs w:val="22"/>
              </w:rPr>
            </w:pPr>
            <w:r w:rsidRPr="00C6580C">
              <w:rPr>
                <w:kern w:val="0"/>
                <w:szCs w:val="22"/>
              </w:rPr>
              <w:t>324a</w:t>
            </w:r>
          </w:p>
        </w:tc>
        <w:tc>
          <w:tcPr>
            <w:tcW w:w="0" w:type="auto"/>
            <w:tcBorders>
              <w:top w:val="single" w:sz="4" w:space="0" w:color="000000"/>
              <w:left w:val="single" w:sz="4" w:space="0" w:color="000000"/>
              <w:bottom w:val="single" w:sz="4" w:space="0" w:color="000000"/>
              <w:right w:val="single" w:sz="4" w:space="0" w:color="000000"/>
            </w:tcBorders>
          </w:tcPr>
          <w:p w14:paraId="28338424" w14:textId="77777777" w:rsidR="00843FDA" w:rsidRPr="00C6580C" w:rsidRDefault="00843FDA" w:rsidP="00CD7CAC">
            <w:pPr>
              <w:widowControl/>
              <w:jc w:val="right"/>
              <w:rPr>
                <w:kern w:val="0"/>
                <w:szCs w:val="22"/>
              </w:rPr>
            </w:pPr>
            <w:r w:rsidRPr="00C6580C">
              <w:rPr>
                <w:kern w:val="0"/>
                <w:szCs w:val="22"/>
              </w:rPr>
              <w:t>.3500</w:t>
            </w:r>
          </w:p>
        </w:tc>
      </w:tr>
      <w:tr w:rsidR="00843FDA" w:rsidRPr="00C6580C" w14:paraId="21F874F0" w14:textId="77777777">
        <w:tc>
          <w:tcPr>
            <w:tcW w:w="0" w:type="auto"/>
            <w:tcBorders>
              <w:top w:val="single" w:sz="4" w:space="0" w:color="000000"/>
              <w:left w:val="single" w:sz="4" w:space="0" w:color="000000"/>
              <w:bottom w:val="single" w:sz="4" w:space="0" w:color="000000"/>
              <w:right w:val="single" w:sz="4" w:space="0" w:color="000000"/>
            </w:tcBorders>
          </w:tcPr>
          <w:p w14:paraId="36A4045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D466E0B" w14:textId="77777777" w:rsidR="00843FDA" w:rsidRPr="00C6580C" w:rsidRDefault="00843FDA" w:rsidP="00CD7CAC">
            <w:pPr>
              <w:widowControl/>
              <w:jc w:val="center"/>
              <w:rPr>
                <w:szCs w:val="22"/>
              </w:rPr>
            </w:pPr>
            <w:r w:rsidRPr="00C6580C">
              <w:rPr>
                <w:kern w:val="0"/>
                <w:szCs w:val="22"/>
              </w:rPr>
              <w:t>* * *</w:t>
            </w:r>
          </w:p>
        </w:tc>
      </w:tr>
      <w:tr w:rsidR="00843FDA" w:rsidRPr="00C6580C" w14:paraId="1BE4F659" w14:textId="77777777">
        <w:tc>
          <w:tcPr>
            <w:tcW w:w="0" w:type="auto"/>
            <w:tcBorders>
              <w:top w:val="single" w:sz="4" w:space="0" w:color="000000"/>
              <w:left w:val="single" w:sz="4" w:space="0" w:color="000000"/>
              <w:bottom w:val="single" w:sz="4" w:space="0" w:color="000000"/>
              <w:right w:val="single" w:sz="4" w:space="0" w:color="000000"/>
            </w:tcBorders>
          </w:tcPr>
          <w:p w14:paraId="53AAE5F7" w14:textId="77777777" w:rsidR="00843FDA" w:rsidRPr="00C6580C" w:rsidRDefault="00843FDA" w:rsidP="00CD7CAC">
            <w:pPr>
              <w:widowControl/>
              <w:rPr>
                <w:kern w:val="0"/>
                <w:szCs w:val="22"/>
              </w:rPr>
            </w:pPr>
            <w:r w:rsidRPr="00C6580C">
              <w:rPr>
                <w:kern w:val="0"/>
                <w:szCs w:val="22"/>
              </w:rPr>
              <w:t>325a</w:t>
            </w:r>
          </w:p>
        </w:tc>
        <w:tc>
          <w:tcPr>
            <w:tcW w:w="0" w:type="auto"/>
            <w:tcBorders>
              <w:top w:val="single" w:sz="4" w:space="0" w:color="000000"/>
              <w:left w:val="single" w:sz="4" w:space="0" w:color="000000"/>
              <w:bottom w:val="single" w:sz="4" w:space="0" w:color="000000"/>
              <w:right w:val="single" w:sz="4" w:space="0" w:color="000000"/>
            </w:tcBorders>
          </w:tcPr>
          <w:p w14:paraId="5E451935" w14:textId="77777777" w:rsidR="00843FDA" w:rsidRPr="00C6580C" w:rsidRDefault="00843FDA" w:rsidP="00CD7CAC">
            <w:pPr>
              <w:widowControl/>
              <w:jc w:val="right"/>
              <w:rPr>
                <w:kern w:val="0"/>
                <w:szCs w:val="22"/>
              </w:rPr>
            </w:pPr>
            <w:r w:rsidRPr="00C6580C">
              <w:rPr>
                <w:kern w:val="0"/>
                <w:szCs w:val="22"/>
              </w:rPr>
              <w:t>.3750</w:t>
            </w:r>
          </w:p>
        </w:tc>
      </w:tr>
      <w:tr w:rsidR="00843FDA" w:rsidRPr="00C6580C" w14:paraId="5809684A" w14:textId="77777777">
        <w:tc>
          <w:tcPr>
            <w:tcW w:w="0" w:type="auto"/>
            <w:tcBorders>
              <w:top w:val="single" w:sz="4" w:space="0" w:color="000000"/>
              <w:left w:val="single" w:sz="4" w:space="0" w:color="000000"/>
              <w:bottom w:val="single" w:sz="4" w:space="0" w:color="000000"/>
              <w:right w:val="single" w:sz="4" w:space="0" w:color="000000"/>
            </w:tcBorders>
          </w:tcPr>
          <w:p w14:paraId="39CB83F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F93113E" w14:textId="77777777" w:rsidR="00843FDA" w:rsidRPr="00C6580C" w:rsidRDefault="00843FDA" w:rsidP="00CD7CAC">
            <w:pPr>
              <w:widowControl/>
              <w:jc w:val="center"/>
              <w:rPr>
                <w:szCs w:val="22"/>
              </w:rPr>
            </w:pPr>
            <w:r w:rsidRPr="00C6580C">
              <w:rPr>
                <w:kern w:val="0"/>
                <w:szCs w:val="22"/>
              </w:rPr>
              <w:t>* * *</w:t>
            </w:r>
          </w:p>
        </w:tc>
      </w:tr>
      <w:tr w:rsidR="00843FDA" w:rsidRPr="00C6580C" w14:paraId="32CB588A" w14:textId="77777777">
        <w:tc>
          <w:tcPr>
            <w:tcW w:w="0" w:type="auto"/>
            <w:tcBorders>
              <w:top w:val="single" w:sz="4" w:space="0" w:color="000000"/>
              <w:left w:val="single" w:sz="4" w:space="0" w:color="000000"/>
              <w:bottom w:val="single" w:sz="4" w:space="0" w:color="000000"/>
              <w:right w:val="single" w:sz="4" w:space="0" w:color="000000"/>
            </w:tcBorders>
          </w:tcPr>
          <w:p w14:paraId="7BF2C6E1" w14:textId="77777777" w:rsidR="00843FDA" w:rsidRPr="00C6580C" w:rsidRDefault="00843FDA" w:rsidP="00CD7CAC">
            <w:pPr>
              <w:widowControl/>
              <w:rPr>
                <w:kern w:val="0"/>
                <w:szCs w:val="22"/>
              </w:rPr>
            </w:pPr>
            <w:r w:rsidRPr="00C6580C">
              <w:rPr>
                <w:kern w:val="0"/>
                <w:szCs w:val="22"/>
              </w:rPr>
              <w:t>326a</w:t>
            </w:r>
          </w:p>
        </w:tc>
        <w:tc>
          <w:tcPr>
            <w:tcW w:w="0" w:type="auto"/>
            <w:tcBorders>
              <w:top w:val="single" w:sz="4" w:space="0" w:color="000000"/>
              <w:left w:val="single" w:sz="4" w:space="0" w:color="000000"/>
              <w:bottom w:val="single" w:sz="4" w:space="0" w:color="000000"/>
              <w:right w:val="single" w:sz="4" w:space="0" w:color="000000"/>
            </w:tcBorders>
          </w:tcPr>
          <w:p w14:paraId="2BC4AA70" w14:textId="77777777" w:rsidR="00843FDA" w:rsidRPr="00C6580C" w:rsidRDefault="00843FDA" w:rsidP="00CD7CAC">
            <w:pPr>
              <w:widowControl/>
              <w:jc w:val="right"/>
              <w:rPr>
                <w:kern w:val="0"/>
                <w:szCs w:val="22"/>
              </w:rPr>
            </w:pPr>
            <w:r w:rsidRPr="00C6580C">
              <w:rPr>
                <w:kern w:val="0"/>
                <w:szCs w:val="22"/>
              </w:rPr>
              <w:t>.4000</w:t>
            </w:r>
          </w:p>
        </w:tc>
      </w:tr>
      <w:tr w:rsidR="00843FDA" w:rsidRPr="00C6580C" w14:paraId="5A4289CB" w14:textId="77777777">
        <w:tc>
          <w:tcPr>
            <w:tcW w:w="0" w:type="auto"/>
            <w:tcBorders>
              <w:top w:val="single" w:sz="4" w:space="0" w:color="000000"/>
              <w:left w:val="single" w:sz="4" w:space="0" w:color="000000"/>
              <w:bottom w:val="single" w:sz="4" w:space="0" w:color="000000"/>
              <w:right w:val="single" w:sz="4" w:space="0" w:color="000000"/>
            </w:tcBorders>
          </w:tcPr>
          <w:p w14:paraId="3E10756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874F75E" w14:textId="77777777" w:rsidR="00843FDA" w:rsidRPr="00C6580C" w:rsidRDefault="00843FDA" w:rsidP="00CD7CAC">
            <w:pPr>
              <w:widowControl/>
              <w:jc w:val="center"/>
              <w:rPr>
                <w:szCs w:val="22"/>
              </w:rPr>
            </w:pPr>
            <w:r w:rsidRPr="00C6580C">
              <w:rPr>
                <w:kern w:val="0"/>
                <w:szCs w:val="22"/>
              </w:rPr>
              <w:t>* * *</w:t>
            </w:r>
          </w:p>
        </w:tc>
      </w:tr>
      <w:tr w:rsidR="00843FDA" w:rsidRPr="00C6580C" w14:paraId="448870B7" w14:textId="77777777">
        <w:tc>
          <w:tcPr>
            <w:tcW w:w="0" w:type="auto"/>
            <w:tcBorders>
              <w:top w:val="single" w:sz="4" w:space="0" w:color="000000"/>
              <w:left w:val="single" w:sz="4" w:space="0" w:color="000000"/>
              <w:bottom w:val="single" w:sz="4" w:space="0" w:color="000000"/>
              <w:right w:val="single" w:sz="4" w:space="0" w:color="000000"/>
            </w:tcBorders>
          </w:tcPr>
          <w:p w14:paraId="45AD16E0" w14:textId="77777777" w:rsidR="00843FDA" w:rsidRPr="00C6580C" w:rsidRDefault="00843FDA" w:rsidP="00CD7CAC">
            <w:pPr>
              <w:widowControl/>
              <w:rPr>
                <w:kern w:val="0"/>
                <w:szCs w:val="22"/>
              </w:rPr>
            </w:pPr>
            <w:r w:rsidRPr="00C6580C">
              <w:rPr>
                <w:kern w:val="0"/>
                <w:szCs w:val="22"/>
              </w:rPr>
              <w:t>327a</w:t>
            </w:r>
          </w:p>
        </w:tc>
        <w:tc>
          <w:tcPr>
            <w:tcW w:w="0" w:type="auto"/>
            <w:tcBorders>
              <w:top w:val="single" w:sz="4" w:space="0" w:color="000000"/>
              <w:left w:val="single" w:sz="4" w:space="0" w:color="000000"/>
              <w:bottom w:val="single" w:sz="4" w:space="0" w:color="000000"/>
              <w:right w:val="single" w:sz="4" w:space="0" w:color="000000"/>
            </w:tcBorders>
          </w:tcPr>
          <w:p w14:paraId="1C5358F5" w14:textId="77777777" w:rsidR="00843FDA" w:rsidRPr="00C6580C" w:rsidRDefault="00843FDA" w:rsidP="00CD7CAC">
            <w:pPr>
              <w:widowControl/>
              <w:jc w:val="right"/>
              <w:rPr>
                <w:kern w:val="0"/>
                <w:szCs w:val="22"/>
              </w:rPr>
            </w:pPr>
            <w:r w:rsidRPr="00C6580C">
              <w:rPr>
                <w:kern w:val="0"/>
                <w:szCs w:val="22"/>
              </w:rPr>
              <w:t>.4250</w:t>
            </w:r>
          </w:p>
        </w:tc>
      </w:tr>
      <w:tr w:rsidR="00843FDA" w:rsidRPr="00C6580C" w14:paraId="1BCBC688" w14:textId="77777777">
        <w:tc>
          <w:tcPr>
            <w:tcW w:w="0" w:type="auto"/>
            <w:tcBorders>
              <w:top w:val="single" w:sz="4" w:space="0" w:color="000000"/>
              <w:left w:val="single" w:sz="4" w:space="0" w:color="000000"/>
              <w:bottom w:val="single" w:sz="4" w:space="0" w:color="000000"/>
              <w:right w:val="single" w:sz="4" w:space="0" w:color="000000"/>
            </w:tcBorders>
          </w:tcPr>
          <w:p w14:paraId="415901C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EA645AD" w14:textId="77777777" w:rsidR="00843FDA" w:rsidRPr="00C6580C" w:rsidRDefault="00843FDA" w:rsidP="00CD7CAC">
            <w:pPr>
              <w:widowControl/>
              <w:jc w:val="center"/>
              <w:rPr>
                <w:szCs w:val="22"/>
              </w:rPr>
            </w:pPr>
            <w:r w:rsidRPr="00C6580C">
              <w:rPr>
                <w:kern w:val="0"/>
                <w:szCs w:val="22"/>
              </w:rPr>
              <w:t>* * *</w:t>
            </w:r>
          </w:p>
        </w:tc>
      </w:tr>
      <w:tr w:rsidR="00843FDA" w:rsidRPr="00C6580C" w14:paraId="3476339B" w14:textId="77777777">
        <w:tc>
          <w:tcPr>
            <w:tcW w:w="0" w:type="auto"/>
            <w:tcBorders>
              <w:top w:val="single" w:sz="4" w:space="0" w:color="000000"/>
              <w:left w:val="single" w:sz="4" w:space="0" w:color="000000"/>
              <w:bottom w:val="single" w:sz="4" w:space="0" w:color="000000"/>
              <w:right w:val="single" w:sz="4" w:space="0" w:color="000000"/>
            </w:tcBorders>
          </w:tcPr>
          <w:p w14:paraId="738C0A39" w14:textId="77777777" w:rsidR="00843FDA" w:rsidRPr="00C6580C" w:rsidRDefault="00843FDA" w:rsidP="00CD7CAC">
            <w:pPr>
              <w:widowControl/>
              <w:rPr>
                <w:kern w:val="0"/>
                <w:szCs w:val="22"/>
              </w:rPr>
            </w:pPr>
            <w:r w:rsidRPr="00C6580C">
              <w:rPr>
                <w:kern w:val="0"/>
                <w:szCs w:val="22"/>
              </w:rPr>
              <w:t>328a</w:t>
            </w:r>
          </w:p>
        </w:tc>
        <w:tc>
          <w:tcPr>
            <w:tcW w:w="0" w:type="auto"/>
            <w:tcBorders>
              <w:top w:val="single" w:sz="4" w:space="0" w:color="000000"/>
              <w:left w:val="single" w:sz="4" w:space="0" w:color="000000"/>
              <w:bottom w:val="single" w:sz="4" w:space="0" w:color="000000"/>
              <w:right w:val="single" w:sz="4" w:space="0" w:color="000000"/>
            </w:tcBorders>
          </w:tcPr>
          <w:p w14:paraId="5E711D19" w14:textId="77777777" w:rsidR="00843FDA" w:rsidRPr="00C6580C" w:rsidRDefault="00843FDA" w:rsidP="00CD7CAC">
            <w:pPr>
              <w:widowControl/>
              <w:jc w:val="right"/>
              <w:rPr>
                <w:kern w:val="0"/>
                <w:szCs w:val="22"/>
              </w:rPr>
            </w:pPr>
            <w:r w:rsidRPr="00C6580C">
              <w:rPr>
                <w:kern w:val="0"/>
                <w:szCs w:val="22"/>
              </w:rPr>
              <w:t>.4500</w:t>
            </w:r>
          </w:p>
        </w:tc>
      </w:tr>
      <w:tr w:rsidR="00843FDA" w:rsidRPr="00C6580C" w14:paraId="36DA3510" w14:textId="77777777">
        <w:tc>
          <w:tcPr>
            <w:tcW w:w="0" w:type="auto"/>
            <w:tcBorders>
              <w:top w:val="single" w:sz="4" w:space="0" w:color="000000"/>
              <w:left w:val="single" w:sz="4" w:space="0" w:color="000000"/>
              <w:bottom w:val="single" w:sz="4" w:space="0" w:color="000000"/>
              <w:right w:val="single" w:sz="4" w:space="0" w:color="000000"/>
            </w:tcBorders>
          </w:tcPr>
          <w:p w14:paraId="35A68DE3" w14:textId="77777777" w:rsidR="00843FDA" w:rsidRPr="00C6580C" w:rsidRDefault="00843FDA" w:rsidP="00CD7CAC">
            <w:pPr>
              <w:widowControl/>
              <w:rPr>
                <w:kern w:val="0"/>
                <w:szCs w:val="22"/>
              </w:rPr>
            </w:pPr>
          </w:p>
        </w:tc>
        <w:tc>
          <w:tcPr>
            <w:tcW w:w="0" w:type="auto"/>
            <w:tcBorders>
              <w:top w:val="single" w:sz="4" w:space="0" w:color="000000"/>
              <w:left w:val="single" w:sz="4" w:space="0" w:color="000000"/>
              <w:bottom w:val="single" w:sz="4" w:space="0" w:color="000000"/>
              <w:right w:val="single" w:sz="4" w:space="0" w:color="000000"/>
            </w:tcBorders>
          </w:tcPr>
          <w:p w14:paraId="519E095E" w14:textId="77777777" w:rsidR="00843FDA" w:rsidRPr="00C6580C" w:rsidRDefault="00843FDA" w:rsidP="00CD7CAC">
            <w:pPr>
              <w:widowControl/>
              <w:jc w:val="right"/>
              <w:rPr>
                <w:kern w:val="0"/>
                <w:szCs w:val="22"/>
              </w:rPr>
            </w:pPr>
          </w:p>
        </w:tc>
      </w:tr>
      <w:tr w:rsidR="00843FDA" w:rsidRPr="00C6580C" w14:paraId="6DA93CE4" w14:textId="77777777">
        <w:tc>
          <w:tcPr>
            <w:tcW w:w="0" w:type="auto"/>
            <w:tcBorders>
              <w:top w:val="single" w:sz="4" w:space="0" w:color="000000"/>
              <w:left w:val="single" w:sz="4" w:space="0" w:color="000000"/>
              <w:bottom w:val="single" w:sz="4" w:space="0" w:color="000000"/>
              <w:right w:val="single" w:sz="4" w:space="0" w:color="000000"/>
            </w:tcBorders>
          </w:tcPr>
          <w:p w14:paraId="6C327F73" w14:textId="77777777" w:rsidR="00843FDA" w:rsidRPr="00C6580C" w:rsidRDefault="00843FDA" w:rsidP="00CD7CAC">
            <w:pPr>
              <w:widowControl/>
              <w:rPr>
                <w:kern w:val="0"/>
                <w:szCs w:val="22"/>
              </w:rPr>
            </w:pPr>
            <w:r w:rsidRPr="00C6580C">
              <w:rPr>
                <w:kern w:val="0"/>
                <w:szCs w:val="22"/>
              </w:rPr>
              <w:t>329a</w:t>
            </w:r>
          </w:p>
        </w:tc>
        <w:tc>
          <w:tcPr>
            <w:tcW w:w="0" w:type="auto"/>
            <w:tcBorders>
              <w:top w:val="single" w:sz="4" w:space="0" w:color="000000"/>
              <w:left w:val="single" w:sz="4" w:space="0" w:color="000000"/>
              <w:bottom w:val="single" w:sz="4" w:space="0" w:color="000000"/>
              <w:right w:val="single" w:sz="4" w:space="0" w:color="000000"/>
            </w:tcBorders>
          </w:tcPr>
          <w:p w14:paraId="68505A68" w14:textId="77777777" w:rsidR="00843FDA" w:rsidRPr="00C6580C" w:rsidRDefault="00843FDA" w:rsidP="00CD7CAC">
            <w:pPr>
              <w:widowControl/>
              <w:jc w:val="right"/>
              <w:rPr>
                <w:kern w:val="0"/>
                <w:szCs w:val="22"/>
              </w:rPr>
            </w:pPr>
            <w:r w:rsidRPr="00C6580C">
              <w:rPr>
                <w:kern w:val="0"/>
                <w:szCs w:val="22"/>
              </w:rPr>
              <w:t>.4750</w:t>
            </w:r>
          </w:p>
        </w:tc>
      </w:tr>
      <w:tr w:rsidR="00843FDA" w:rsidRPr="00C6580C" w14:paraId="7753E540" w14:textId="77777777">
        <w:tc>
          <w:tcPr>
            <w:tcW w:w="0" w:type="auto"/>
            <w:tcBorders>
              <w:top w:val="single" w:sz="4" w:space="0" w:color="000000"/>
              <w:left w:val="single" w:sz="4" w:space="0" w:color="000000"/>
              <w:bottom w:val="single" w:sz="4" w:space="0" w:color="000000"/>
              <w:right w:val="single" w:sz="4" w:space="0" w:color="000000"/>
            </w:tcBorders>
          </w:tcPr>
          <w:p w14:paraId="1091F35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A31E611" w14:textId="77777777" w:rsidR="00843FDA" w:rsidRPr="00C6580C" w:rsidRDefault="00843FDA" w:rsidP="00CD7CAC">
            <w:pPr>
              <w:widowControl/>
              <w:jc w:val="center"/>
              <w:rPr>
                <w:szCs w:val="22"/>
              </w:rPr>
            </w:pPr>
            <w:r w:rsidRPr="00C6580C">
              <w:rPr>
                <w:kern w:val="0"/>
                <w:szCs w:val="22"/>
              </w:rPr>
              <w:t>* * *</w:t>
            </w:r>
          </w:p>
        </w:tc>
      </w:tr>
      <w:tr w:rsidR="00843FDA" w:rsidRPr="00C6580C" w14:paraId="0709479C" w14:textId="77777777">
        <w:tc>
          <w:tcPr>
            <w:tcW w:w="0" w:type="auto"/>
            <w:tcBorders>
              <w:top w:val="single" w:sz="4" w:space="0" w:color="000000"/>
              <w:left w:val="single" w:sz="4" w:space="0" w:color="000000"/>
              <w:bottom w:val="single" w:sz="4" w:space="0" w:color="000000"/>
              <w:right w:val="single" w:sz="4" w:space="0" w:color="000000"/>
            </w:tcBorders>
          </w:tcPr>
          <w:p w14:paraId="688EC89A" w14:textId="77777777" w:rsidR="00843FDA" w:rsidRPr="00C6580C" w:rsidRDefault="00843FDA" w:rsidP="00CD7CAC">
            <w:pPr>
              <w:widowControl/>
              <w:rPr>
                <w:kern w:val="0"/>
                <w:szCs w:val="22"/>
              </w:rPr>
            </w:pPr>
            <w:r w:rsidRPr="00C6580C">
              <w:rPr>
                <w:kern w:val="0"/>
                <w:szCs w:val="22"/>
              </w:rPr>
              <w:t>330a</w:t>
            </w:r>
          </w:p>
        </w:tc>
        <w:tc>
          <w:tcPr>
            <w:tcW w:w="0" w:type="auto"/>
            <w:tcBorders>
              <w:top w:val="single" w:sz="4" w:space="0" w:color="000000"/>
              <w:left w:val="single" w:sz="4" w:space="0" w:color="000000"/>
              <w:bottom w:val="single" w:sz="4" w:space="0" w:color="000000"/>
              <w:right w:val="single" w:sz="4" w:space="0" w:color="000000"/>
            </w:tcBorders>
          </w:tcPr>
          <w:p w14:paraId="48B29BA1" w14:textId="77777777" w:rsidR="00843FDA" w:rsidRPr="00C6580C" w:rsidRDefault="00843FDA" w:rsidP="00CD7CAC">
            <w:pPr>
              <w:widowControl/>
              <w:jc w:val="right"/>
              <w:rPr>
                <w:kern w:val="0"/>
                <w:szCs w:val="22"/>
              </w:rPr>
            </w:pPr>
            <w:r w:rsidRPr="00C6580C">
              <w:rPr>
                <w:kern w:val="0"/>
                <w:szCs w:val="22"/>
              </w:rPr>
              <w:t>.5000</w:t>
            </w:r>
          </w:p>
        </w:tc>
      </w:tr>
      <w:tr w:rsidR="00843FDA" w:rsidRPr="00C6580C" w14:paraId="4F061594" w14:textId="77777777">
        <w:tc>
          <w:tcPr>
            <w:tcW w:w="0" w:type="auto"/>
            <w:tcBorders>
              <w:top w:val="single" w:sz="4" w:space="0" w:color="000000"/>
              <w:left w:val="single" w:sz="4" w:space="0" w:color="000000"/>
              <w:bottom w:val="single" w:sz="4" w:space="0" w:color="000000"/>
              <w:right w:val="single" w:sz="4" w:space="0" w:color="000000"/>
            </w:tcBorders>
          </w:tcPr>
          <w:p w14:paraId="0A0CD02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89AA058" w14:textId="77777777" w:rsidR="00843FDA" w:rsidRPr="00C6580C" w:rsidRDefault="00843FDA" w:rsidP="00CD7CAC">
            <w:pPr>
              <w:widowControl/>
              <w:jc w:val="center"/>
              <w:rPr>
                <w:szCs w:val="22"/>
              </w:rPr>
            </w:pPr>
            <w:r w:rsidRPr="00C6580C">
              <w:rPr>
                <w:kern w:val="0"/>
                <w:szCs w:val="22"/>
              </w:rPr>
              <w:t>* * *</w:t>
            </w:r>
          </w:p>
        </w:tc>
      </w:tr>
      <w:tr w:rsidR="00843FDA" w:rsidRPr="00C6580C" w14:paraId="61162DE5" w14:textId="77777777">
        <w:tc>
          <w:tcPr>
            <w:tcW w:w="0" w:type="auto"/>
            <w:tcBorders>
              <w:top w:val="single" w:sz="4" w:space="0" w:color="000000"/>
              <w:left w:val="single" w:sz="4" w:space="0" w:color="000000"/>
              <w:bottom w:val="single" w:sz="4" w:space="0" w:color="000000"/>
              <w:right w:val="single" w:sz="4" w:space="0" w:color="000000"/>
            </w:tcBorders>
          </w:tcPr>
          <w:p w14:paraId="37769ECA" w14:textId="77777777" w:rsidR="00843FDA" w:rsidRPr="00C6580C" w:rsidRDefault="00843FDA" w:rsidP="00CD7CAC">
            <w:pPr>
              <w:widowControl/>
              <w:rPr>
                <w:kern w:val="0"/>
                <w:szCs w:val="22"/>
              </w:rPr>
            </w:pPr>
            <w:r w:rsidRPr="00C6580C">
              <w:rPr>
                <w:kern w:val="0"/>
                <w:szCs w:val="22"/>
              </w:rPr>
              <w:t>331a</w:t>
            </w:r>
          </w:p>
        </w:tc>
        <w:tc>
          <w:tcPr>
            <w:tcW w:w="0" w:type="auto"/>
            <w:tcBorders>
              <w:top w:val="single" w:sz="4" w:space="0" w:color="000000"/>
              <w:left w:val="single" w:sz="4" w:space="0" w:color="000000"/>
              <w:bottom w:val="single" w:sz="4" w:space="0" w:color="000000"/>
              <w:right w:val="single" w:sz="4" w:space="0" w:color="000000"/>
            </w:tcBorders>
          </w:tcPr>
          <w:p w14:paraId="5CB684EC" w14:textId="77777777" w:rsidR="00843FDA" w:rsidRPr="00C6580C" w:rsidRDefault="00843FDA" w:rsidP="00CD7CAC">
            <w:pPr>
              <w:widowControl/>
              <w:jc w:val="right"/>
              <w:rPr>
                <w:kern w:val="0"/>
                <w:szCs w:val="22"/>
              </w:rPr>
            </w:pPr>
            <w:r w:rsidRPr="00C6580C">
              <w:rPr>
                <w:kern w:val="0"/>
                <w:szCs w:val="22"/>
              </w:rPr>
              <w:t>.5250</w:t>
            </w:r>
          </w:p>
        </w:tc>
      </w:tr>
      <w:tr w:rsidR="00843FDA" w:rsidRPr="00C6580C" w14:paraId="420DA3C2" w14:textId="77777777">
        <w:tc>
          <w:tcPr>
            <w:tcW w:w="0" w:type="auto"/>
            <w:tcBorders>
              <w:top w:val="single" w:sz="4" w:space="0" w:color="000000"/>
              <w:left w:val="single" w:sz="4" w:space="0" w:color="000000"/>
              <w:bottom w:val="single" w:sz="4" w:space="0" w:color="000000"/>
              <w:right w:val="single" w:sz="4" w:space="0" w:color="000000"/>
            </w:tcBorders>
          </w:tcPr>
          <w:p w14:paraId="2AEB941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A9C1CE7" w14:textId="77777777" w:rsidR="00843FDA" w:rsidRPr="00C6580C" w:rsidRDefault="00843FDA" w:rsidP="00CD7CAC">
            <w:pPr>
              <w:widowControl/>
              <w:jc w:val="center"/>
              <w:rPr>
                <w:szCs w:val="22"/>
              </w:rPr>
            </w:pPr>
            <w:r w:rsidRPr="00C6580C">
              <w:rPr>
                <w:kern w:val="0"/>
                <w:szCs w:val="22"/>
              </w:rPr>
              <w:t>* * *</w:t>
            </w:r>
          </w:p>
        </w:tc>
      </w:tr>
      <w:tr w:rsidR="00843FDA" w:rsidRPr="00C6580C" w14:paraId="5946FE63" w14:textId="77777777">
        <w:tc>
          <w:tcPr>
            <w:tcW w:w="0" w:type="auto"/>
            <w:tcBorders>
              <w:top w:val="single" w:sz="4" w:space="0" w:color="000000"/>
              <w:left w:val="single" w:sz="4" w:space="0" w:color="000000"/>
              <w:bottom w:val="single" w:sz="4" w:space="0" w:color="000000"/>
              <w:right w:val="single" w:sz="4" w:space="0" w:color="000000"/>
            </w:tcBorders>
          </w:tcPr>
          <w:p w14:paraId="20501B27" w14:textId="77777777" w:rsidR="00843FDA" w:rsidRPr="00C6580C" w:rsidRDefault="00843FDA" w:rsidP="00CD7CAC">
            <w:pPr>
              <w:widowControl/>
              <w:rPr>
                <w:kern w:val="0"/>
                <w:szCs w:val="22"/>
              </w:rPr>
            </w:pPr>
            <w:r w:rsidRPr="00C6580C">
              <w:rPr>
                <w:kern w:val="0"/>
                <w:szCs w:val="22"/>
              </w:rPr>
              <w:t>332a</w:t>
            </w:r>
          </w:p>
        </w:tc>
        <w:tc>
          <w:tcPr>
            <w:tcW w:w="0" w:type="auto"/>
            <w:tcBorders>
              <w:top w:val="single" w:sz="4" w:space="0" w:color="000000"/>
              <w:left w:val="single" w:sz="4" w:space="0" w:color="000000"/>
              <w:bottom w:val="single" w:sz="4" w:space="0" w:color="000000"/>
              <w:right w:val="single" w:sz="4" w:space="0" w:color="000000"/>
            </w:tcBorders>
          </w:tcPr>
          <w:p w14:paraId="3C2E5A32" w14:textId="77777777" w:rsidR="00843FDA" w:rsidRPr="00C6580C" w:rsidRDefault="00843FDA" w:rsidP="00CD7CAC">
            <w:pPr>
              <w:widowControl/>
              <w:jc w:val="right"/>
              <w:rPr>
                <w:kern w:val="0"/>
                <w:szCs w:val="22"/>
              </w:rPr>
            </w:pPr>
            <w:r w:rsidRPr="00C6580C">
              <w:rPr>
                <w:kern w:val="0"/>
                <w:szCs w:val="22"/>
              </w:rPr>
              <w:t>.5500</w:t>
            </w:r>
          </w:p>
        </w:tc>
      </w:tr>
      <w:tr w:rsidR="00843FDA" w:rsidRPr="00C6580C" w14:paraId="5FFFA630" w14:textId="77777777">
        <w:tc>
          <w:tcPr>
            <w:tcW w:w="0" w:type="auto"/>
            <w:tcBorders>
              <w:top w:val="single" w:sz="4" w:space="0" w:color="000000"/>
              <w:left w:val="single" w:sz="4" w:space="0" w:color="000000"/>
              <w:bottom w:val="single" w:sz="4" w:space="0" w:color="000000"/>
              <w:right w:val="single" w:sz="4" w:space="0" w:color="000000"/>
            </w:tcBorders>
          </w:tcPr>
          <w:p w14:paraId="139A0E1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81B079C" w14:textId="77777777" w:rsidR="00843FDA" w:rsidRPr="00C6580C" w:rsidRDefault="00843FDA" w:rsidP="00CD7CAC">
            <w:pPr>
              <w:widowControl/>
              <w:jc w:val="center"/>
              <w:rPr>
                <w:szCs w:val="22"/>
              </w:rPr>
            </w:pPr>
            <w:r w:rsidRPr="00C6580C">
              <w:rPr>
                <w:kern w:val="0"/>
                <w:szCs w:val="22"/>
              </w:rPr>
              <w:t>* * *</w:t>
            </w:r>
          </w:p>
        </w:tc>
      </w:tr>
      <w:tr w:rsidR="00843FDA" w:rsidRPr="00C6580C" w14:paraId="14D87A7B" w14:textId="77777777">
        <w:tc>
          <w:tcPr>
            <w:tcW w:w="0" w:type="auto"/>
            <w:tcBorders>
              <w:top w:val="single" w:sz="4" w:space="0" w:color="000000"/>
              <w:left w:val="single" w:sz="4" w:space="0" w:color="000000"/>
              <w:bottom w:val="single" w:sz="4" w:space="0" w:color="000000"/>
              <w:right w:val="single" w:sz="4" w:space="0" w:color="000000"/>
            </w:tcBorders>
          </w:tcPr>
          <w:p w14:paraId="6D977A51" w14:textId="77777777" w:rsidR="00843FDA" w:rsidRPr="00C6580C" w:rsidRDefault="00843FDA" w:rsidP="00CD7CAC">
            <w:pPr>
              <w:widowControl/>
              <w:rPr>
                <w:kern w:val="0"/>
                <w:szCs w:val="22"/>
              </w:rPr>
            </w:pPr>
            <w:r w:rsidRPr="00C6580C">
              <w:rPr>
                <w:kern w:val="0"/>
                <w:szCs w:val="22"/>
              </w:rPr>
              <w:t>333a</w:t>
            </w:r>
          </w:p>
        </w:tc>
        <w:tc>
          <w:tcPr>
            <w:tcW w:w="0" w:type="auto"/>
            <w:tcBorders>
              <w:top w:val="single" w:sz="4" w:space="0" w:color="000000"/>
              <w:left w:val="single" w:sz="4" w:space="0" w:color="000000"/>
              <w:bottom w:val="single" w:sz="4" w:space="0" w:color="000000"/>
              <w:right w:val="single" w:sz="4" w:space="0" w:color="000000"/>
            </w:tcBorders>
          </w:tcPr>
          <w:p w14:paraId="673C716E" w14:textId="77777777" w:rsidR="00843FDA" w:rsidRPr="00C6580C" w:rsidRDefault="00843FDA" w:rsidP="00CD7CAC">
            <w:pPr>
              <w:widowControl/>
              <w:jc w:val="right"/>
              <w:rPr>
                <w:kern w:val="0"/>
                <w:szCs w:val="22"/>
              </w:rPr>
            </w:pPr>
            <w:r w:rsidRPr="00C6580C">
              <w:rPr>
                <w:kern w:val="0"/>
                <w:szCs w:val="22"/>
              </w:rPr>
              <w:t>.5750</w:t>
            </w:r>
          </w:p>
        </w:tc>
      </w:tr>
      <w:tr w:rsidR="00843FDA" w:rsidRPr="00C6580C" w14:paraId="68C151AD" w14:textId="77777777">
        <w:tc>
          <w:tcPr>
            <w:tcW w:w="0" w:type="auto"/>
            <w:tcBorders>
              <w:top w:val="single" w:sz="4" w:space="0" w:color="000000"/>
              <w:left w:val="single" w:sz="4" w:space="0" w:color="000000"/>
              <w:bottom w:val="single" w:sz="4" w:space="0" w:color="000000"/>
              <w:right w:val="single" w:sz="4" w:space="0" w:color="000000"/>
            </w:tcBorders>
          </w:tcPr>
          <w:p w14:paraId="4FDF7B4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B892E48" w14:textId="77777777" w:rsidR="00843FDA" w:rsidRPr="00C6580C" w:rsidRDefault="00843FDA" w:rsidP="00CD7CAC">
            <w:pPr>
              <w:widowControl/>
              <w:jc w:val="center"/>
              <w:rPr>
                <w:szCs w:val="22"/>
              </w:rPr>
            </w:pPr>
            <w:r w:rsidRPr="00C6580C">
              <w:rPr>
                <w:kern w:val="0"/>
                <w:szCs w:val="22"/>
              </w:rPr>
              <w:t>* * *</w:t>
            </w:r>
          </w:p>
        </w:tc>
      </w:tr>
      <w:tr w:rsidR="00843FDA" w:rsidRPr="00C6580C" w14:paraId="23596F13" w14:textId="77777777">
        <w:tc>
          <w:tcPr>
            <w:tcW w:w="0" w:type="auto"/>
            <w:tcBorders>
              <w:top w:val="single" w:sz="4" w:space="0" w:color="000000"/>
              <w:left w:val="single" w:sz="4" w:space="0" w:color="000000"/>
              <w:bottom w:val="single" w:sz="4" w:space="0" w:color="000000"/>
              <w:right w:val="single" w:sz="4" w:space="0" w:color="000000"/>
            </w:tcBorders>
          </w:tcPr>
          <w:p w14:paraId="5B674BAA" w14:textId="77777777" w:rsidR="00843FDA" w:rsidRPr="00C6580C" w:rsidRDefault="00843FDA" w:rsidP="00CD7CAC">
            <w:pPr>
              <w:widowControl/>
              <w:rPr>
                <w:kern w:val="0"/>
                <w:szCs w:val="22"/>
              </w:rPr>
            </w:pPr>
            <w:r w:rsidRPr="00C6580C">
              <w:rPr>
                <w:kern w:val="0"/>
                <w:szCs w:val="22"/>
              </w:rPr>
              <w:t>334a</w:t>
            </w:r>
          </w:p>
        </w:tc>
        <w:tc>
          <w:tcPr>
            <w:tcW w:w="0" w:type="auto"/>
            <w:tcBorders>
              <w:top w:val="single" w:sz="4" w:space="0" w:color="000000"/>
              <w:left w:val="single" w:sz="4" w:space="0" w:color="000000"/>
              <w:bottom w:val="single" w:sz="4" w:space="0" w:color="000000"/>
              <w:right w:val="single" w:sz="4" w:space="0" w:color="000000"/>
            </w:tcBorders>
          </w:tcPr>
          <w:p w14:paraId="24CE8F3A" w14:textId="77777777" w:rsidR="00843FDA" w:rsidRPr="00C6580C" w:rsidRDefault="00843FDA" w:rsidP="00CD7CAC">
            <w:pPr>
              <w:widowControl/>
              <w:jc w:val="right"/>
              <w:rPr>
                <w:kern w:val="0"/>
                <w:szCs w:val="22"/>
              </w:rPr>
            </w:pPr>
            <w:r w:rsidRPr="00C6580C">
              <w:rPr>
                <w:kern w:val="0"/>
                <w:szCs w:val="22"/>
              </w:rPr>
              <w:t>.6000</w:t>
            </w:r>
          </w:p>
        </w:tc>
      </w:tr>
      <w:tr w:rsidR="00843FDA" w:rsidRPr="00C6580C" w14:paraId="174FB102" w14:textId="77777777">
        <w:tc>
          <w:tcPr>
            <w:tcW w:w="0" w:type="auto"/>
            <w:tcBorders>
              <w:top w:val="single" w:sz="4" w:space="0" w:color="000000"/>
              <w:left w:val="single" w:sz="4" w:space="0" w:color="000000"/>
              <w:bottom w:val="single" w:sz="4" w:space="0" w:color="000000"/>
              <w:right w:val="single" w:sz="4" w:space="0" w:color="000000"/>
            </w:tcBorders>
          </w:tcPr>
          <w:p w14:paraId="3906FEE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C6E8776" w14:textId="77777777" w:rsidR="00843FDA" w:rsidRPr="00C6580C" w:rsidRDefault="00843FDA" w:rsidP="00CD7CAC">
            <w:pPr>
              <w:widowControl/>
              <w:jc w:val="center"/>
              <w:rPr>
                <w:szCs w:val="22"/>
              </w:rPr>
            </w:pPr>
            <w:r w:rsidRPr="00C6580C">
              <w:rPr>
                <w:kern w:val="0"/>
                <w:szCs w:val="22"/>
              </w:rPr>
              <w:t>* * *</w:t>
            </w:r>
          </w:p>
        </w:tc>
      </w:tr>
      <w:tr w:rsidR="00843FDA" w:rsidRPr="00C6580C" w14:paraId="39DE056B" w14:textId="77777777">
        <w:tc>
          <w:tcPr>
            <w:tcW w:w="0" w:type="auto"/>
            <w:tcBorders>
              <w:top w:val="single" w:sz="4" w:space="0" w:color="000000"/>
              <w:left w:val="single" w:sz="4" w:space="0" w:color="000000"/>
              <w:bottom w:val="single" w:sz="4" w:space="0" w:color="000000"/>
              <w:right w:val="single" w:sz="4" w:space="0" w:color="000000"/>
            </w:tcBorders>
          </w:tcPr>
          <w:p w14:paraId="674645DB" w14:textId="77777777" w:rsidR="00843FDA" w:rsidRPr="00C6580C" w:rsidRDefault="00843FDA" w:rsidP="00CD7CAC">
            <w:pPr>
              <w:widowControl/>
              <w:rPr>
                <w:kern w:val="0"/>
                <w:szCs w:val="22"/>
              </w:rPr>
            </w:pPr>
            <w:r w:rsidRPr="00C6580C">
              <w:rPr>
                <w:kern w:val="0"/>
                <w:szCs w:val="22"/>
              </w:rPr>
              <w:t>335a</w:t>
            </w:r>
          </w:p>
        </w:tc>
        <w:tc>
          <w:tcPr>
            <w:tcW w:w="0" w:type="auto"/>
            <w:tcBorders>
              <w:top w:val="single" w:sz="4" w:space="0" w:color="000000"/>
              <w:left w:val="single" w:sz="4" w:space="0" w:color="000000"/>
              <w:bottom w:val="single" w:sz="4" w:space="0" w:color="000000"/>
              <w:right w:val="single" w:sz="4" w:space="0" w:color="000000"/>
            </w:tcBorders>
          </w:tcPr>
          <w:p w14:paraId="0DF2E23D" w14:textId="77777777" w:rsidR="00843FDA" w:rsidRPr="00C6580C" w:rsidRDefault="00843FDA" w:rsidP="00CD7CAC">
            <w:pPr>
              <w:widowControl/>
              <w:jc w:val="right"/>
              <w:rPr>
                <w:kern w:val="0"/>
                <w:szCs w:val="22"/>
              </w:rPr>
            </w:pPr>
            <w:r w:rsidRPr="00C6580C">
              <w:rPr>
                <w:kern w:val="0"/>
                <w:szCs w:val="22"/>
              </w:rPr>
              <w:t>.6250</w:t>
            </w:r>
          </w:p>
        </w:tc>
      </w:tr>
      <w:tr w:rsidR="00843FDA" w:rsidRPr="00C6580C" w14:paraId="10560151" w14:textId="77777777">
        <w:tc>
          <w:tcPr>
            <w:tcW w:w="0" w:type="auto"/>
            <w:tcBorders>
              <w:top w:val="single" w:sz="4" w:space="0" w:color="000000"/>
              <w:left w:val="single" w:sz="4" w:space="0" w:color="000000"/>
              <w:bottom w:val="single" w:sz="4" w:space="0" w:color="000000"/>
              <w:right w:val="single" w:sz="4" w:space="0" w:color="000000"/>
            </w:tcBorders>
          </w:tcPr>
          <w:p w14:paraId="1582A9B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0B6CFFD" w14:textId="77777777" w:rsidR="00843FDA" w:rsidRPr="00C6580C" w:rsidRDefault="00843FDA" w:rsidP="00CD7CAC">
            <w:pPr>
              <w:widowControl/>
              <w:jc w:val="center"/>
              <w:rPr>
                <w:szCs w:val="22"/>
              </w:rPr>
            </w:pPr>
            <w:r w:rsidRPr="00C6580C">
              <w:rPr>
                <w:kern w:val="0"/>
                <w:szCs w:val="22"/>
              </w:rPr>
              <w:t>* * *</w:t>
            </w:r>
          </w:p>
        </w:tc>
      </w:tr>
      <w:tr w:rsidR="00843FDA" w:rsidRPr="00C6580C" w14:paraId="01E939F2" w14:textId="77777777">
        <w:tc>
          <w:tcPr>
            <w:tcW w:w="0" w:type="auto"/>
            <w:tcBorders>
              <w:top w:val="single" w:sz="4" w:space="0" w:color="000000"/>
              <w:left w:val="single" w:sz="4" w:space="0" w:color="000000"/>
              <w:bottom w:val="single" w:sz="4" w:space="0" w:color="000000"/>
              <w:right w:val="single" w:sz="4" w:space="0" w:color="000000"/>
            </w:tcBorders>
          </w:tcPr>
          <w:p w14:paraId="4E7D4330" w14:textId="77777777" w:rsidR="00843FDA" w:rsidRPr="00C6580C" w:rsidRDefault="00843FDA" w:rsidP="00CD7CAC">
            <w:pPr>
              <w:widowControl/>
              <w:rPr>
                <w:kern w:val="0"/>
                <w:szCs w:val="22"/>
              </w:rPr>
            </w:pPr>
            <w:r w:rsidRPr="00C6580C">
              <w:rPr>
                <w:kern w:val="0"/>
                <w:szCs w:val="22"/>
              </w:rPr>
              <w:t>336a</w:t>
            </w:r>
          </w:p>
        </w:tc>
        <w:tc>
          <w:tcPr>
            <w:tcW w:w="0" w:type="auto"/>
            <w:tcBorders>
              <w:top w:val="single" w:sz="4" w:space="0" w:color="000000"/>
              <w:left w:val="single" w:sz="4" w:space="0" w:color="000000"/>
              <w:bottom w:val="single" w:sz="4" w:space="0" w:color="000000"/>
              <w:right w:val="single" w:sz="4" w:space="0" w:color="000000"/>
            </w:tcBorders>
          </w:tcPr>
          <w:p w14:paraId="36875C35" w14:textId="77777777" w:rsidR="00843FDA" w:rsidRPr="00C6580C" w:rsidRDefault="00843FDA" w:rsidP="00CD7CAC">
            <w:pPr>
              <w:widowControl/>
              <w:jc w:val="right"/>
              <w:rPr>
                <w:kern w:val="0"/>
                <w:szCs w:val="22"/>
              </w:rPr>
            </w:pPr>
            <w:r w:rsidRPr="00C6580C">
              <w:rPr>
                <w:kern w:val="0"/>
                <w:szCs w:val="22"/>
              </w:rPr>
              <w:t>.6500</w:t>
            </w:r>
          </w:p>
        </w:tc>
      </w:tr>
      <w:tr w:rsidR="00843FDA" w:rsidRPr="00C6580C" w14:paraId="18E20DC8" w14:textId="77777777">
        <w:tc>
          <w:tcPr>
            <w:tcW w:w="0" w:type="auto"/>
            <w:tcBorders>
              <w:top w:val="single" w:sz="4" w:space="0" w:color="000000"/>
              <w:left w:val="single" w:sz="4" w:space="0" w:color="000000"/>
              <w:bottom w:val="single" w:sz="4" w:space="0" w:color="000000"/>
              <w:right w:val="single" w:sz="4" w:space="0" w:color="000000"/>
            </w:tcBorders>
          </w:tcPr>
          <w:p w14:paraId="6B60A07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4F93E90" w14:textId="77777777" w:rsidR="00843FDA" w:rsidRPr="00C6580C" w:rsidRDefault="00843FDA" w:rsidP="00CD7CAC">
            <w:pPr>
              <w:widowControl/>
              <w:jc w:val="center"/>
              <w:rPr>
                <w:szCs w:val="22"/>
              </w:rPr>
            </w:pPr>
            <w:r w:rsidRPr="00C6580C">
              <w:rPr>
                <w:kern w:val="0"/>
                <w:szCs w:val="22"/>
              </w:rPr>
              <w:t>* * *</w:t>
            </w:r>
          </w:p>
        </w:tc>
      </w:tr>
      <w:tr w:rsidR="00843FDA" w:rsidRPr="00C6580C" w14:paraId="3FB40799" w14:textId="77777777">
        <w:tc>
          <w:tcPr>
            <w:tcW w:w="0" w:type="auto"/>
            <w:tcBorders>
              <w:top w:val="single" w:sz="4" w:space="0" w:color="000000"/>
              <w:left w:val="single" w:sz="4" w:space="0" w:color="000000"/>
              <w:bottom w:val="single" w:sz="4" w:space="0" w:color="000000"/>
              <w:right w:val="single" w:sz="4" w:space="0" w:color="000000"/>
            </w:tcBorders>
          </w:tcPr>
          <w:p w14:paraId="333761B0" w14:textId="77777777" w:rsidR="00843FDA" w:rsidRPr="00C6580C" w:rsidRDefault="00843FDA" w:rsidP="00CD7CAC">
            <w:pPr>
              <w:widowControl/>
              <w:rPr>
                <w:kern w:val="0"/>
                <w:szCs w:val="22"/>
              </w:rPr>
            </w:pPr>
            <w:r w:rsidRPr="00C6580C">
              <w:rPr>
                <w:kern w:val="0"/>
                <w:szCs w:val="22"/>
              </w:rPr>
              <w:t>337a</w:t>
            </w:r>
          </w:p>
        </w:tc>
        <w:tc>
          <w:tcPr>
            <w:tcW w:w="0" w:type="auto"/>
            <w:tcBorders>
              <w:top w:val="single" w:sz="4" w:space="0" w:color="000000"/>
              <w:left w:val="single" w:sz="4" w:space="0" w:color="000000"/>
              <w:bottom w:val="single" w:sz="4" w:space="0" w:color="000000"/>
              <w:right w:val="single" w:sz="4" w:space="0" w:color="000000"/>
            </w:tcBorders>
          </w:tcPr>
          <w:p w14:paraId="6EAB60F8" w14:textId="77777777" w:rsidR="00843FDA" w:rsidRPr="00C6580C" w:rsidRDefault="00843FDA" w:rsidP="00CD7CAC">
            <w:pPr>
              <w:widowControl/>
              <w:jc w:val="right"/>
              <w:rPr>
                <w:kern w:val="0"/>
                <w:szCs w:val="22"/>
              </w:rPr>
            </w:pPr>
            <w:r w:rsidRPr="00C6580C">
              <w:rPr>
                <w:kern w:val="0"/>
                <w:szCs w:val="22"/>
              </w:rPr>
              <w:t>.6750</w:t>
            </w:r>
          </w:p>
        </w:tc>
      </w:tr>
      <w:tr w:rsidR="00843FDA" w:rsidRPr="00C6580C" w14:paraId="40EBF1D3" w14:textId="77777777">
        <w:tc>
          <w:tcPr>
            <w:tcW w:w="0" w:type="auto"/>
            <w:tcBorders>
              <w:top w:val="single" w:sz="4" w:space="0" w:color="000000"/>
              <w:left w:val="single" w:sz="4" w:space="0" w:color="000000"/>
              <w:bottom w:val="single" w:sz="4" w:space="0" w:color="000000"/>
              <w:right w:val="single" w:sz="4" w:space="0" w:color="000000"/>
            </w:tcBorders>
          </w:tcPr>
          <w:p w14:paraId="78945C0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E9ABA5A" w14:textId="77777777" w:rsidR="00843FDA" w:rsidRPr="00C6580C" w:rsidRDefault="00843FDA" w:rsidP="00CD7CAC">
            <w:pPr>
              <w:widowControl/>
              <w:jc w:val="center"/>
              <w:rPr>
                <w:szCs w:val="22"/>
              </w:rPr>
            </w:pPr>
            <w:r w:rsidRPr="00C6580C">
              <w:rPr>
                <w:kern w:val="0"/>
                <w:szCs w:val="22"/>
              </w:rPr>
              <w:t>* * *</w:t>
            </w:r>
          </w:p>
        </w:tc>
      </w:tr>
      <w:tr w:rsidR="00843FDA" w:rsidRPr="00C6580C" w14:paraId="049C1150" w14:textId="77777777">
        <w:tc>
          <w:tcPr>
            <w:tcW w:w="0" w:type="auto"/>
            <w:tcBorders>
              <w:top w:val="single" w:sz="4" w:space="0" w:color="000000"/>
              <w:left w:val="single" w:sz="4" w:space="0" w:color="000000"/>
              <w:bottom w:val="single" w:sz="4" w:space="0" w:color="000000"/>
              <w:right w:val="single" w:sz="4" w:space="0" w:color="000000"/>
            </w:tcBorders>
          </w:tcPr>
          <w:p w14:paraId="36A9117B" w14:textId="77777777" w:rsidR="00843FDA" w:rsidRPr="00C6580C" w:rsidRDefault="00843FDA" w:rsidP="00CD7CAC">
            <w:pPr>
              <w:widowControl/>
              <w:rPr>
                <w:kern w:val="0"/>
                <w:szCs w:val="22"/>
              </w:rPr>
            </w:pPr>
            <w:r w:rsidRPr="00C6580C">
              <w:rPr>
                <w:kern w:val="0"/>
                <w:szCs w:val="22"/>
              </w:rPr>
              <w:t>338a</w:t>
            </w:r>
          </w:p>
        </w:tc>
        <w:tc>
          <w:tcPr>
            <w:tcW w:w="0" w:type="auto"/>
            <w:tcBorders>
              <w:top w:val="single" w:sz="4" w:space="0" w:color="000000"/>
              <w:left w:val="single" w:sz="4" w:space="0" w:color="000000"/>
              <w:bottom w:val="single" w:sz="4" w:space="0" w:color="000000"/>
              <w:right w:val="single" w:sz="4" w:space="0" w:color="000000"/>
            </w:tcBorders>
          </w:tcPr>
          <w:p w14:paraId="0F106FC2" w14:textId="77777777" w:rsidR="00843FDA" w:rsidRPr="00C6580C" w:rsidRDefault="00843FDA" w:rsidP="00CD7CAC">
            <w:pPr>
              <w:widowControl/>
              <w:jc w:val="right"/>
              <w:rPr>
                <w:kern w:val="0"/>
                <w:szCs w:val="22"/>
              </w:rPr>
            </w:pPr>
            <w:r w:rsidRPr="00C6580C">
              <w:rPr>
                <w:kern w:val="0"/>
                <w:szCs w:val="22"/>
              </w:rPr>
              <w:t>.7000</w:t>
            </w:r>
          </w:p>
        </w:tc>
      </w:tr>
      <w:tr w:rsidR="00843FDA" w:rsidRPr="00C6580C" w14:paraId="116C63C3" w14:textId="77777777">
        <w:tc>
          <w:tcPr>
            <w:tcW w:w="0" w:type="auto"/>
            <w:tcBorders>
              <w:top w:val="single" w:sz="4" w:space="0" w:color="000000"/>
              <w:left w:val="single" w:sz="4" w:space="0" w:color="000000"/>
              <w:bottom w:val="single" w:sz="4" w:space="0" w:color="000000"/>
              <w:right w:val="single" w:sz="4" w:space="0" w:color="000000"/>
            </w:tcBorders>
          </w:tcPr>
          <w:p w14:paraId="7250E78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4CE179B" w14:textId="77777777" w:rsidR="00843FDA" w:rsidRPr="00C6580C" w:rsidRDefault="00843FDA" w:rsidP="00CD7CAC">
            <w:pPr>
              <w:widowControl/>
              <w:jc w:val="center"/>
              <w:rPr>
                <w:szCs w:val="22"/>
              </w:rPr>
            </w:pPr>
            <w:r w:rsidRPr="00C6580C">
              <w:rPr>
                <w:kern w:val="0"/>
                <w:szCs w:val="22"/>
              </w:rPr>
              <w:t>* * *</w:t>
            </w:r>
          </w:p>
        </w:tc>
      </w:tr>
      <w:tr w:rsidR="00843FDA" w:rsidRPr="00C6580C" w14:paraId="53237885" w14:textId="77777777">
        <w:tc>
          <w:tcPr>
            <w:tcW w:w="0" w:type="auto"/>
            <w:tcBorders>
              <w:top w:val="single" w:sz="4" w:space="0" w:color="000000"/>
              <w:left w:val="single" w:sz="4" w:space="0" w:color="000000"/>
              <w:bottom w:val="single" w:sz="4" w:space="0" w:color="000000"/>
              <w:right w:val="single" w:sz="4" w:space="0" w:color="000000"/>
            </w:tcBorders>
          </w:tcPr>
          <w:p w14:paraId="063BEA23" w14:textId="77777777" w:rsidR="00843FDA" w:rsidRPr="00C6580C" w:rsidRDefault="00843FDA" w:rsidP="00CD7CAC">
            <w:pPr>
              <w:widowControl/>
              <w:rPr>
                <w:kern w:val="0"/>
                <w:szCs w:val="22"/>
              </w:rPr>
            </w:pPr>
            <w:r w:rsidRPr="00C6580C">
              <w:rPr>
                <w:kern w:val="0"/>
                <w:szCs w:val="22"/>
              </w:rPr>
              <w:t>339a</w:t>
            </w:r>
          </w:p>
        </w:tc>
        <w:tc>
          <w:tcPr>
            <w:tcW w:w="0" w:type="auto"/>
            <w:tcBorders>
              <w:top w:val="single" w:sz="4" w:space="0" w:color="000000"/>
              <w:left w:val="single" w:sz="4" w:space="0" w:color="000000"/>
              <w:bottom w:val="single" w:sz="4" w:space="0" w:color="000000"/>
              <w:right w:val="single" w:sz="4" w:space="0" w:color="000000"/>
            </w:tcBorders>
          </w:tcPr>
          <w:p w14:paraId="43920054" w14:textId="77777777" w:rsidR="00843FDA" w:rsidRPr="00C6580C" w:rsidRDefault="00843FDA" w:rsidP="00CD7CAC">
            <w:pPr>
              <w:widowControl/>
              <w:jc w:val="right"/>
              <w:rPr>
                <w:kern w:val="0"/>
                <w:szCs w:val="22"/>
              </w:rPr>
            </w:pPr>
            <w:r w:rsidRPr="00C6580C">
              <w:rPr>
                <w:kern w:val="0"/>
                <w:szCs w:val="22"/>
              </w:rPr>
              <w:t>.7250</w:t>
            </w:r>
          </w:p>
        </w:tc>
      </w:tr>
      <w:tr w:rsidR="00843FDA" w:rsidRPr="00C6580C" w14:paraId="6C24AB7A" w14:textId="77777777">
        <w:tc>
          <w:tcPr>
            <w:tcW w:w="0" w:type="auto"/>
            <w:tcBorders>
              <w:top w:val="single" w:sz="4" w:space="0" w:color="000000"/>
              <w:left w:val="single" w:sz="4" w:space="0" w:color="000000"/>
              <w:bottom w:val="single" w:sz="4" w:space="0" w:color="000000"/>
              <w:right w:val="single" w:sz="4" w:space="0" w:color="000000"/>
            </w:tcBorders>
          </w:tcPr>
          <w:p w14:paraId="12D376A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57B0968" w14:textId="77777777" w:rsidR="00843FDA" w:rsidRPr="00C6580C" w:rsidRDefault="00843FDA" w:rsidP="00CD7CAC">
            <w:pPr>
              <w:widowControl/>
              <w:jc w:val="center"/>
              <w:rPr>
                <w:szCs w:val="22"/>
              </w:rPr>
            </w:pPr>
            <w:r w:rsidRPr="00C6580C">
              <w:rPr>
                <w:kern w:val="0"/>
                <w:szCs w:val="22"/>
              </w:rPr>
              <w:t>* * *</w:t>
            </w:r>
          </w:p>
        </w:tc>
      </w:tr>
      <w:tr w:rsidR="00843FDA" w:rsidRPr="00C6580C" w14:paraId="60AFC1F7" w14:textId="77777777">
        <w:tc>
          <w:tcPr>
            <w:tcW w:w="0" w:type="auto"/>
            <w:tcBorders>
              <w:top w:val="single" w:sz="4" w:space="0" w:color="000000"/>
              <w:left w:val="single" w:sz="4" w:space="0" w:color="000000"/>
              <w:bottom w:val="single" w:sz="4" w:space="0" w:color="000000"/>
              <w:right w:val="single" w:sz="4" w:space="0" w:color="000000"/>
            </w:tcBorders>
          </w:tcPr>
          <w:p w14:paraId="55D35936" w14:textId="77777777" w:rsidR="00843FDA" w:rsidRPr="00C6580C" w:rsidRDefault="00843FDA" w:rsidP="00CD7CAC">
            <w:pPr>
              <w:widowControl/>
              <w:rPr>
                <w:kern w:val="0"/>
                <w:szCs w:val="22"/>
              </w:rPr>
            </w:pPr>
            <w:r w:rsidRPr="00C6580C">
              <w:rPr>
                <w:kern w:val="0"/>
                <w:szCs w:val="22"/>
              </w:rPr>
              <w:t>340a</w:t>
            </w:r>
          </w:p>
        </w:tc>
        <w:tc>
          <w:tcPr>
            <w:tcW w:w="0" w:type="auto"/>
            <w:tcBorders>
              <w:top w:val="single" w:sz="4" w:space="0" w:color="000000"/>
              <w:left w:val="single" w:sz="4" w:space="0" w:color="000000"/>
              <w:bottom w:val="single" w:sz="4" w:space="0" w:color="000000"/>
              <w:right w:val="single" w:sz="4" w:space="0" w:color="000000"/>
            </w:tcBorders>
          </w:tcPr>
          <w:p w14:paraId="28124A0E" w14:textId="77777777" w:rsidR="00843FDA" w:rsidRPr="00C6580C" w:rsidRDefault="00843FDA" w:rsidP="00CD7CAC">
            <w:pPr>
              <w:widowControl/>
              <w:jc w:val="right"/>
              <w:rPr>
                <w:kern w:val="0"/>
                <w:szCs w:val="22"/>
              </w:rPr>
            </w:pPr>
            <w:r w:rsidRPr="00C6580C">
              <w:rPr>
                <w:kern w:val="0"/>
                <w:szCs w:val="22"/>
              </w:rPr>
              <w:t>.7500</w:t>
            </w:r>
          </w:p>
        </w:tc>
      </w:tr>
      <w:tr w:rsidR="00843FDA" w:rsidRPr="00C6580C" w14:paraId="70E148ED" w14:textId="77777777">
        <w:tc>
          <w:tcPr>
            <w:tcW w:w="0" w:type="auto"/>
            <w:tcBorders>
              <w:top w:val="single" w:sz="4" w:space="0" w:color="000000"/>
              <w:left w:val="single" w:sz="4" w:space="0" w:color="000000"/>
              <w:bottom w:val="single" w:sz="4" w:space="0" w:color="000000"/>
              <w:right w:val="single" w:sz="4" w:space="0" w:color="000000"/>
            </w:tcBorders>
          </w:tcPr>
          <w:p w14:paraId="51B11A7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2520D9F" w14:textId="77777777" w:rsidR="00843FDA" w:rsidRPr="00C6580C" w:rsidRDefault="00843FDA" w:rsidP="00CD7CAC">
            <w:pPr>
              <w:widowControl/>
              <w:jc w:val="center"/>
              <w:rPr>
                <w:szCs w:val="22"/>
              </w:rPr>
            </w:pPr>
            <w:r w:rsidRPr="00C6580C">
              <w:rPr>
                <w:kern w:val="0"/>
                <w:szCs w:val="22"/>
              </w:rPr>
              <w:t>* * *</w:t>
            </w:r>
          </w:p>
        </w:tc>
      </w:tr>
      <w:tr w:rsidR="00843FDA" w:rsidRPr="00C6580C" w14:paraId="51A43C0E" w14:textId="77777777">
        <w:tc>
          <w:tcPr>
            <w:tcW w:w="0" w:type="auto"/>
            <w:tcBorders>
              <w:top w:val="single" w:sz="4" w:space="0" w:color="000000"/>
              <w:left w:val="single" w:sz="4" w:space="0" w:color="000000"/>
              <w:bottom w:val="single" w:sz="4" w:space="0" w:color="000000"/>
              <w:right w:val="single" w:sz="4" w:space="0" w:color="000000"/>
            </w:tcBorders>
          </w:tcPr>
          <w:p w14:paraId="0DB7A6D5" w14:textId="77777777" w:rsidR="00843FDA" w:rsidRPr="00C6580C" w:rsidRDefault="00843FDA" w:rsidP="00CD7CAC">
            <w:pPr>
              <w:widowControl/>
              <w:rPr>
                <w:kern w:val="0"/>
                <w:szCs w:val="22"/>
              </w:rPr>
            </w:pPr>
            <w:r w:rsidRPr="00C6580C">
              <w:rPr>
                <w:kern w:val="0"/>
                <w:szCs w:val="22"/>
              </w:rPr>
              <w:t>341a</w:t>
            </w:r>
          </w:p>
        </w:tc>
        <w:tc>
          <w:tcPr>
            <w:tcW w:w="0" w:type="auto"/>
            <w:tcBorders>
              <w:top w:val="single" w:sz="4" w:space="0" w:color="000000"/>
              <w:left w:val="single" w:sz="4" w:space="0" w:color="000000"/>
              <w:bottom w:val="single" w:sz="4" w:space="0" w:color="000000"/>
              <w:right w:val="single" w:sz="4" w:space="0" w:color="000000"/>
            </w:tcBorders>
          </w:tcPr>
          <w:p w14:paraId="5988013C" w14:textId="77777777" w:rsidR="00843FDA" w:rsidRPr="00C6580C" w:rsidRDefault="00843FDA" w:rsidP="00CD7CAC">
            <w:pPr>
              <w:widowControl/>
              <w:jc w:val="right"/>
              <w:rPr>
                <w:kern w:val="0"/>
                <w:szCs w:val="22"/>
              </w:rPr>
            </w:pPr>
            <w:r w:rsidRPr="00C6580C">
              <w:rPr>
                <w:kern w:val="0"/>
                <w:szCs w:val="22"/>
              </w:rPr>
              <w:t>.7750</w:t>
            </w:r>
          </w:p>
        </w:tc>
      </w:tr>
      <w:tr w:rsidR="00843FDA" w:rsidRPr="00C6580C" w14:paraId="045D9EDD" w14:textId="77777777">
        <w:tc>
          <w:tcPr>
            <w:tcW w:w="0" w:type="auto"/>
            <w:tcBorders>
              <w:top w:val="single" w:sz="4" w:space="0" w:color="000000"/>
              <w:left w:val="single" w:sz="4" w:space="0" w:color="000000"/>
              <w:bottom w:val="single" w:sz="4" w:space="0" w:color="000000"/>
              <w:right w:val="single" w:sz="4" w:space="0" w:color="000000"/>
            </w:tcBorders>
          </w:tcPr>
          <w:p w14:paraId="24A0B61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4762B08" w14:textId="77777777" w:rsidR="00843FDA" w:rsidRPr="00C6580C" w:rsidRDefault="00843FDA" w:rsidP="00CD7CAC">
            <w:pPr>
              <w:widowControl/>
              <w:jc w:val="center"/>
              <w:rPr>
                <w:szCs w:val="22"/>
              </w:rPr>
            </w:pPr>
            <w:r w:rsidRPr="00C6580C">
              <w:rPr>
                <w:kern w:val="0"/>
                <w:szCs w:val="22"/>
              </w:rPr>
              <w:t>* * *</w:t>
            </w:r>
          </w:p>
        </w:tc>
      </w:tr>
      <w:tr w:rsidR="00843FDA" w:rsidRPr="00C6580C" w14:paraId="6555EB74" w14:textId="77777777">
        <w:tc>
          <w:tcPr>
            <w:tcW w:w="0" w:type="auto"/>
            <w:tcBorders>
              <w:top w:val="single" w:sz="4" w:space="0" w:color="000000"/>
              <w:left w:val="single" w:sz="4" w:space="0" w:color="000000"/>
              <w:bottom w:val="single" w:sz="4" w:space="0" w:color="000000"/>
              <w:right w:val="single" w:sz="4" w:space="0" w:color="000000"/>
            </w:tcBorders>
          </w:tcPr>
          <w:p w14:paraId="16A4264E" w14:textId="77777777" w:rsidR="00843FDA" w:rsidRPr="00C6580C" w:rsidRDefault="00843FDA" w:rsidP="00CD7CAC">
            <w:pPr>
              <w:widowControl/>
              <w:rPr>
                <w:kern w:val="0"/>
                <w:szCs w:val="22"/>
              </w:rPr>
            </w:pPr>
            <w:r w:rsidRPr="00C6580C">
              <w:rPr>
                <w:kern w:val="0"/>
                <w:szCs w:val="22"/>
              </w:rPr>
              <w:t>342a</w:t>
            </w:r>
          </w:p>
        </w:tc>
        <w:tc>
          <w:tcPr>
            <w:tcW w:w="0" w:type="auto"/>
            <w:tcBorders>
              <w:top w:val="single" w:sz="4" w:space="0" w:color="000000"/>
              <w:left w:val="single" w:sz="4" w:space="0" w:color="000000"/>
              <w:bottom w:val="single" w:sz="4" w:space="0" w:color="000000"/>
              <w:right w:val="single" w:sz="4" w:space="0" w:color="000000"/>
            </w:tcBorders>
          </w:tcPr>
          <w:p w14:paraId="325E43A5" w14:textId="77777777" w:rsidR="00843FDA" w:rsidRPr="00C6580C" w:rsidRDefault="00843FDA" w:rsidP="00CD7CAC">
            <w:pPr>
              <w:widowControl/>
              <w:jc w:val="right"/>
              <w:rPr>
                <w:kern w:val="0"/>
                <w:szCs w:val="22"/>
              </w:rPr>
            </w:pPr>
            <w:r w:rsidRPr="00C6580C">
              <w:rPr>
                <w:kern w:val="0"/>
                <w:szCs w:val="22"/>
              </w:rPr>
              <w:t>.8000</w:t>
            </w:r>
          </w:p>
        </w:tc>
      </w:tr>
      <w:tr w:rsidR="00843FDA" w:rsidRPr="00C6580C" w14:paraId="70CDE354" w14:textId="77777777">
        <w:tc>
          <w:tcPr>
            <w:tcW w:w="0" w:type="auto"/>
            <w:tcBorders>
              <w:top w:val="single" w:sz="4" w:space="0" w:color="000000"/>
              <w:left w:val="single" w:sz="4" w:space="0" w:color="000000"/>
              <w:bottom w:val="single" w:sz="4" w:space="0" w:color="000000"/>
              <w:right w:val="single" w:sz="4" w:space="0" w:color="000000"/>
            </w:tcBorders>
          </w:tcPr>
          <w:p w14:paraId="2C36AB2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85144EC" w14:textId="77777777" w:rsidR="00843FDA" w:rsidRPr="00C6580C" w:rsidRDefault="00843FDA" w:rsidP="00CD7CAC">
            <w:pPr>
              <w:widowControl/>
              <w:jc w:val="center"/>
              <w:rPr>
                <w:szCs w:val="22"/>
              </w:rPr>
            </w:pPr>
            <w:r w:rsidRPr="00C6580C">
              <w:rPr>
                <w:kern w:val="0"/>
                <w:szCs w:val="22"/>
              </w:rPr>
              <w:t>* * *</w:t>
            </w:r>
          </w:p>
        </w:tc>
      </w:tr>
      <w:tr w:rsidR="00843FDA" w:rsidRPr="00C6580C" w14:paraId="0D9C372C" w14:textId="77777777">
        <w:tc>
          <w:tcPr>
            <w:tcW w:w="0" w:type="auto"/>
            <w:tcBorders>
              <w:top w:val="single" w:sz="4" w:space="0" w:color="000000"/>
              <w:left w:val="single" w:sz="4" w:space="0" w:color="000000"/>
              <w:bottom w:val="single" w:sz="4" w:space="0" w:color="000000"/>
              <w:right w:val="single" w:sz="4" w:space="0" w:color="000000"/>
            </w:tcBorders>
          </w:tcPr>
          <w:p w14:paraId="2597064D" w14:textId="77777777" w:rsidR="00843FDA" w:rsidRPr="00C6580C" w:rsidRDefault="00843FDA" w:rsidP="00CD7CAC">
            <w:pPr>
              <w:widowControl/>
              <w:rPr>
                <w:kern w:val="0"/>
                <w:szCs w:val="22"/>
              </w:rPr>
            </w:pPr>
            <w:r w:rsidRPr="00C6580C">
              <w:rPr>
                <w:kern w:val="0"/>
                <w:szCs w:val="22"/>
              </w:rPr>
              <w:t>343a</w:t>
            </w:r>
          </w:p>
        </w:tc>
        <w:tc>
          <w:tcPr>
            <w:tcW w:w="0" w:type="auto"/>
            <w:tcBorders>
              <w:top w:val="single" w:sz="4" w:space="0" w:color="000000"/>
              <w:left w:val="single" w:sz="4" w:space="0" w:color="000000"/>
              <w:bottom w:val="single" w:sz="4" w:space="0" w:color="000000"/>
              <w:right w:val="single" w:sz="4" w:space="0" w:color="000000"/>
            </w:tcBorders>
          </w:tcPr>
          <w:p w14:paraId="2DD98A52" w14:textId="77777777" w:rsidR="00843FDA" w:rsidRPr="00C6580C" w:rsidRDefault="00843FDA" w:rsidP="00CD7CAC">
            <w:pPr>
              <w:widowControl/>
              <w:jc w:val="right"/>
              <w:rPr>
                <w:kern w:val="0"/>
                <w:szCs w:val="22"/>
              </w:rPr>
            </w:pPr>
            <w:r w:rsidRPr="00C6580C">
              <w:rPr>
                <w:kern w:val="0"/>
                <w:szCs w:val="22"/>
              </w:rPr>
              <w:t>.8250</w:t>
            </w:r>
          </w:p>
        </w:tc>
      </w:tr>
      <w:tr w:rsidR="00843FDA" w:rsidRPr="00C6580C" w14:paraId="23CAE89D" w14:textId="77777777">
        <w:tc>
          <w:tcPr>
            <w:tcW w:w="0" w:type="auto"/>
            <w:tcBorders>
              <w:top w:val="single" w:sz="4" w:space="0" w:color="000000"/>
              <w:left w:val="single" w:sz="4" w:space="0" w:color="000000"/>
              <w:bottom w:val="single" w:sz="4" w:space="0" w:color="000000"/>
              <w:right w:val="single" w:sz="4" w:space="0" w:color="000000"/>
            </w:tcBorders>
          </w:tcPr>
          <w:p w14:paraId="3CFD3C1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9F84062" w14:textId="77777777" w:rsidR="00843FDA" w:rsidRPr="00C6580C" w:rsidRDefault="00843FDA" w:rsidP="00CD7CAC">
            <w:pPr>
              <w:widowControl/>
              <w:jc w:val="center"/>
              <w:rPr>
                <w:szCs w:val="22"/>
              </w:rPr>
            </w:pPr>
            <w:r w:rsidRPr="00C6580C">
              <w:rPr>
                <w:kern w:val="0"/>
                <w:szCs w:val="22"/>
              </w:rPr>
              <w:t>* * *</w:t>
            </w:r>
          </w:p>
        </w:tc>
      </w:tr>
      <w:tr w:rsidR="00843FDA" w:rsidRPr="00C6580C" w14:paraId="26A8C729" w14:textId="77777777">
        <w:tc>
          <w:tcPr>
            <w:tcW w:w="0" w:type="auto"/>
            <w:tcBorders>
              <w:top w:val="single" w:sz="4" w:space="0" w:color="000000"/>
              <w:left w:val="single" w:sz="4" w:space="0" w:color="000000"/>
              <w:bottom w:val="single" w:sz="4" w:space="0" w:color="000000"/>
              <w:right w:val="single" w:sz="4" w:space="0" w:color="000000"/>
            </w:tcBorders>
          </w:tcPr>
          <w:p w14:paraId="3A4A8FEC" w14:textId="77777777" w:rsidR="00843FDA" w:rsidRPr="00C6580C" w:rsidRDefault="00843FDA" w:rsidP="00CD7CAC">
            <w:pPr>
              <w:widowControl/>
              <w:rPr>
                <w:kern w:val="0"/>
                <w:szCs w:val="22"/>
              </w:rPr>
            </w:pPr>
            <w:r w:rsidRPr="00C6580C">
              <w:rPr>
                <w:kern w:val="0"/>
                <w:szCs w:val="22"/>
              </w:rPr>
              <w:t>344a</w:t>
            </w:r>
          </w:p>
        </w:tc>
        <w:tc>
          <w:tcPr>
            <w:tcW w:w="0" w:type="auto"/>
            <w:tcBorders>
              <w:top w:val="single" w:sz="4" w:space="0" w:color="000000"/>
              <w:left w:val="single" w:sz="4" w:space="0" w:color="000000"/>
              <w:bottom w:val="single" w:sz="4" w:space="0" w:color="000000"/>
              <w:right w:val="single" w:sz="4" w:space="0" w:color="000000"/>
            </w:tcBorders>
          </w:tcPr>
          <w:p w14:paraId="5980361C" w14:textId="77777777" w:rsidR="00843FDA" w:rsidRPr="00C6580C" w:rsidRDefault="00843FDA" w:rsidP="00CD7CAC">
            <w:pPr>
              <w:widowControl/>
              <w:jc w:val="right"/>
              <w:rPr>
                <w:kern w:val="0"/>
                <w:szCs w:val="22"/>
              </w:rPr>
            </w:pPr>
            <w:r w:rsidRPr="00C6580C">
              <w:rPr>
                <w:kern w:val="0"/>
                <w:szCs w:val="22"/>
              </w:rPr>
              <w:t>.8500</w:t>
            </w:r>
          </w:p>
        </w:tc>
      </w:tr>
      <w:tr w:rsidR="00843FDA" w:rsidRPr="00C6580C" w14:paraId="23B9C489" w14:textId="77777777">
        <w:tc>
          <w:tcPr>
            <w:tcW w:w="0" w:type="auto"/>
            <w:tcBorders>
              <w:top w:val="single" w:sz="4" w:space="0" w:color="000000"/>
              <w:left w:val="single" w:sz="4" w:space="0" w:color="000000"/>
              <w:bottom w:val="single" w:sz="4" w:space="0" w:color="000000"/>
              <w:right w:val="single" w:sz="4" w:space="0" w:color="000000"/>
            </w:tcBorders>
          </w:tcPr>
          <w:p w14:paraId="33ED347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E0227B3" w14:textId="77777777" w:rsidR="00843FDA" w:rsidRPr="00C6580C" w:rsidRDefault="00843FDA" w:rsidP="00CD7CAC">
            <w:pPr>
              <w:widowControl/>
              <w:jc w:val="center"/>
              <w:rPr>
                <w:szCs w:val="22"/>
              </w:rPr>
            </w:pPr>
            <w:r w:rsidRPr="00C6580C">
              <w:rPr>
                <w:kern w:val="0"/>
                <w:szCs w:val="22"/>
              </w:rPr>
              <w:t>* * *</w:t>
            </w:r>
          </w:p>
        </w:tc>
      </w:tr>
      <w:tr w:rsidR="00843FDA" w:rsidRPr="00C6580C" w14:paraId="3A850E9F" w14:textId="77777777">
        <w:tc>
          <w:tcPr>
            <w:tcW w:w="0" w:type="auto"/>
            <w:tcBorders>
              <w:top w:val="single" w:sz="4" w:space="0" w:color="000000"/>
              <w:left w:val="single" w:sz="4" w:space="0" w:color="000000"/>
              <w:bottom w:val="single" w:sz="4" w:space="0" w:color="000000"/>
              <w:right w:val="single" w:sz="4" w:space="0" w:color="000000"/>
            </w:tcBorders>
          </w:tcPr>
          <w:p w14:paraId="28B592B0" w14:textId="77777777" w:rsidR="00843FDA" w:rsidRPr="00C6580C" w:rsidRDefault="00843FDA" w:rsidP="00CD7CAC">
            <w:pPr>
              <w:widowControl/>
              <w:rPr>
                <w:kern w:val="0"/>
                <w:szCs w:val="22"/>
              </w:rPr>
            </w:pPr>
            <w:r w:rsidRPr="00C6580C">
              <w:rPr>
                <w:kern w:val="0"/>
                <w:szCs w:val="22"/>
              </w:rPr>
              <w:t>345a</w:t>
            </w:r>
          </w:p>
        </w:tc>
        <w:tc>
          <w:tcPr>
            <w:tcW w:w="0" w:type="auto"/>
            <w:tcBorders>
              <w:top w:val="single" w:sz="4" w:space="0" w:color="000000"/>
              <w:left w:val="single" w:sz="4" w:space="0" w:color="000000"/>
              <w:bottom w:val="single" w:sz="4" w:space="0" w:color="000000"/>
              <w:right w:val="single" w:sz="4" w:space="0" w:color="000000"/>
            </w:tcBorders>
          </w:tcPr>
          <w:p w14:paraId="58C93863" w14:textId="77777777" w:rsidR="00843FDA" w:rsidRPr="00C6580C" w:rsidRDefault="00843FDA" w:rsidP="00CD7CAC">
            <w:pPr>
              <w:widowControl/>
              <w:jc w:val="right"/>
              <w:rPr>
                <w:kern w:val="0"/>
                <w:szCs w:val="22"/>
              </w:rPr>
            </w:pPr>
            <w:r w:rsidRPr="00C6580C">
              <w:rPr>
                <w:kern w:val="0"/>
                <w:szCs w:val="22"/>
              </w:rPr>
              <w:t>.8750</w:t>
            </w:r>
          </w:p>
        </w:tc>
      </w:tr>
      <w:tr w:rsidR="00843FDA" w:rsidRPr="00C6580C" w14:paraId="2BC9D514" w14:textId="77777777">
        <w:tc>
          <w:tcPr>
            <w:tcW w:w="0" w:type="auto"/>
            <w:tcBorders>
              <w:top w:val="single" w:sz="4" w:space="0" w:color="000000"/>
              <w:left w:val="single" w:sz="4" w:space="0" w:color="000000"/>
              <w:bottom w:val="single" w:sz="4" w:space="0" w:color="000000"/>
              <w:right w:val="single" w:sz="4" w:space="0" w:color="000000"/>
            </w:tcBorders>
          </w:tcPr>
          <w:p w14:paraId="1D8ECFB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AC467AC" w14:textId="77777777" w:rsidR="00843FDA" w:rsidRPr="00C6580C" w:rsidRDefault="00843FDA" w:rsidP="00CD7CAC">
            <w:pPr>
              <w:widowControl/>
              <w:jc w:val="center"/>
              <w:rPr>
                <w:szCs w:val="22"/>
              </w:rPr>
            </w:pPr>
            <w:r w:rsidRPr="00C6580C">
              <w:rPr>
                <w:kern w:val="0"/>
                <w:szCs w:val="22"/>
              </w:rPr>
              <w:t>* * *</w:t>
            </w:r>
          </w:p>
        </w:tc>
      </w:tr>
      <w:tr w:rsidR="00843FDA" w:rsidRPr="00C6580C" w14:paraId="6F8E797E" w14:textId="77777777">
        <w:tc>
          <w:tcPr>
            <w:tcW w:w="0" w:type="auto"/>
            <w:tcBorders>
              <w:top w:val="single" w:sz="4" w:space="0" w:color="000000"/>
              <w:left w:val="single" w:sz="4" w:space="0" w:color="000000"/>
              <w:bottom w:val="single" w:sz="4" w:space="0" w:color="000000"/>
              <w:right w:val="single" w:sz="4" w:space="0" w:color="000000"/>
            </w:tcBorders>
          </w:tcPr>
          <w:p w14:paraId="79001E74" w14:textId="77777777" w:rsidR="00843FDA" w:rsidRPr="00C6580C" w:rsidRDefault="00843FDA" w:rsidP="00CD7CAC">
            <w:pPr>
              <w:widowControl/>
              <w:rPr>
                <w:kern w:val="0"/>
                <w:szCs w:val="22"/>
              </w:rPr>
            </w:pPr>
            <w:r w:rsidRPr="00C6580C">
              <w:rPr>
                <w:kern w:val="0"/>
                <w:szCs w:val="22"/>
              </w:rPr>
              <w:t>346a</w:t>
            </w:r>
          </w:p>
        </w:tc>
        <w:tc>
          <w:tcPr>
            <w:tcW w:w="0" w:type="auto"/>
            <w:tcBorders>
              <w:top w:val="single" w:sz="4" w:space="0" w:color="000000"/>
              <w:left w:val="single" w:sz="4" w:space="0" w:color="000000"/>
              <w:bottom w:val="single" w:sz="4" w:space="0" w:color="000000"/>
              <w:right w:val="single" w:sz="4" w:space="0" w:color="000000"/>
            </w:tcBorders>
          </w:tcPr>
          <w:p w14:paraId="149D3F34" w14:textId="77777777" w:rsidR="00843FDA" w:rsidRPr="00C6580C" w:rsidRDefault="00843FDA" w:rsidP="00CD7CAC">
            <w:pPr>
              <w:widowControl/>
              <w:jc w:val="right"/>
              <w:rPr>
                <w:kern w:val="0"/>
                <w:szCs w:val="22"/>
              </w:rPr>
            </w:pPr>
            <w:r w:rsidRPr="00C6580C">
              <w:rPr>
                <w:kern w:val="0"/>
                <w:szCs w:val="22"/>
              </w:rPr>
              <w:t>.9000</w:t>
            </w:r>
          </w:p>
        </w:tc>
      </w:tr>
      <w:tr w:rsidR="00843FDA" w:rsidRPr="00C6580C" w14:paraId="0E7D73BB" w14:textId="77777777">
        <w:tc>
          <w:tcPr>
            <w:tcW w:w="0" w:type="auto"/>
            <w:tcBorders>
              <w:top w:val="single" w:sz="4" w:space="0" w:color="000000"/>
              <w:left w:val="single" w:sz="4" w:space="0" w:color="000000"/>
              <w:bottom w:val="single" w:sz="4" w:space="0" w:color="000000"/>
              <w:right w:val="single" w:sz="4" w:space="0" w:color="000000"/>
            </w:tcBorders>
          </w:tcPr>
          <w:p w14:paraId="47D7BB2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A349679" w14:textId="77777777" w:rsidR="00843FDA" w:rsidRPr="00C6580C" w:rsidRDefault="00843FDA" w:rsidP="00CD7CAC">
            <w:pPr>
              <w:widowControl/>
              <w:jc w:val="center"/>
              <w:rPr>
                <w:szCs w:val="22"/>
              </w:rPr>
            </w:pPr>
            <w:r w:rsidRPr="00C6580C">
              <w:rPr>
                <w:kern w:val="0"/>
                <w:szCs w:val="22"/>
              </w:rPr>
              <w:t>* * *</w:t>
            </w:r>
          </w:p>
        </w:tc>
      </w:tr>
      <w:tr w:rsidR="00843FDA" w:rsidRPr="00C6580C" w14:paraId="0DC69C2A" w14:textId="77777777">
        <w:tc>
          <w:tcPr>
            <w:tcW w:w="0" w:type="auto"/>
            <w:tcBorders>
              <w:top w:val="single" w:sz="4" w:space="0" w:color="000000"/>
              <w:left w:val="single" w:sz="4" w:space="0" w:color="000000"/>
              <w:bottom w:val="single" w:sz="4" w:space="0" w:color="000000"/>
              <w:right w:val="single" w:sz="4" w:space="0" w:color="000000"/>
            </w:tcBorders>
          </w:tcPr>
          <w:p w14:paraId="7DCD8341" w14:textId="77777777" w:rsidR="00843FDA" w:rsidRPr="00C6580C" w:rsidRDefault="00843FDA" w:rsidP="00CD7CAC">
            <w:pPr>
              <w:widowControl/>
              <w:rPr>
                <w:kern w:val="0"/>
                <w:szCs w:val="22"/>
              </w:rPr>
            </w:pPr>
            <w:r w:rsidRPr="00C6580C">
              <w:rPr>
                <w:kern w:val="0"/>
                <w:szCs w:val="22"/>
              </w:rPr>
              <w:t>347a</w:t>
            </w:r>
          </w:p>
        </w:tc>
        <w:tc>
          <w:tcPr>
            <w:tcW w:w="0" w:type="auto"/>
            <w:tcBorders>
              <w:top w:val="single" w:sz="4" w:space="0" w:color="000000"/>
              <w:left w:val="single" w:sz="4" w:space="0" w:color="000000"/>
              <w:bottom w:val="single" w:sz="4" w:space="0" w:color="000000"/>
              <w:right w:val="single" w:sz="4" w:space="0" w:color="000000"/>
            </w:tcBorders>
          </w:tcPr>
          <w:p w14:paraId="503148E7" w14:textId="77777777" w:rsidR="00843FDA" w:rsidRPr="00C6580C" w:rsidRDefault="00843FDA" w:rsidP="00CD7CAC">
            <w:pPr>
              <w:widowControl/>
              <w:jc w:val="right"/>
              <w:rPr>
                <w:kern w:val="0"/>
                <w:szCs w:val="22"/>
              </w:rPr>
            </w:pPr>
            <w:r w:rsidRPr="00C6580C">
              <w:rPr>
                <w:kern w:val="0"/>
                <w:szCs w:val="22"/>
              </w:rPr>
              <w:t>.9250</w:t>
            </w:r>
          </w:p>
        </w:tc>
      </w:tr>
      <w:tr w:rsidR="00843FDA" w:rsidRPr="00C6580C" w14:paraId="6E74E0A7" w14:textId="77777777">
        <w:tc>
          <w:tcPr>
            <w:tcW w:w="0" w:type="auto"/>
            <w:tcBorders>
              <w:top w:val="single" w:sz="4" w:space="0" w:color="000000"/>
              <w:left w:val="single" w:sz="4" w:space="0" w:color="000000"/>
              <w:bottom w:val="single" w:sz="4" w:space="0" w:color="000000"/>
              <w:right w:val="single" w:sz="4" w:space="0" w:color="000000"/>
            </w:tcBorders>
          </w:tcPr>
          <w:p w14:paraId="1761AD5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9445B72" w14:textId="77777777" w:rsidR="00843FDA" w:rsidRPr="00C6580C" w:rsidRDefault="00843FDA" w:rsidP="00CD7CAC">
            <w:pPr>
              <w:widowControl/>
              <w:jc w:val="center"/>
              <w:rPr>
                <w:szCs w:val="22"/>
              </w:rPr>
            </w:pPr>
            <w:r w:rsidRPr="00C6580C">
              <w:rPr>
                <w:kern w:val="0"/>
                <w:szCs w:val="22"/>
              </w:rPr>
              <w:t>* * *</w:t>
            </w:r>
          </w:p>
        </w:tc>
      </w:tr>
      <w:tr w:rsidR="00843FDA" w:rsidRPr="00C6580C" w14:paraId="69EF1AA5" w14:textId="77777777">
        <w:tc>
          <w:tcPr>
            <w:tcW w:w="0" w:type="auto"/>
            <w:tcBorders>
              <w:top w:val="single" w:sz="4" w:space="0" w:color="000000"/>
              <w:left w:val="single" w:sz="4" w:space="0" w:color="000000"/>
              <w:bottom w:val="single" w:sz="4" w:space="0" w:color="000000"/>
              <w:right w:val="single" w:sz="4" w:space="0" w:color="000000"/>
            </w:tcBorders>
          </w:tcPr>
          <w:p w14:paraId="14DB685F" w14:textId="77777777" w:rsidR="00843FDA" w:rsidRPr="00C6580C" w:rsidRDefault="00843FDA" w:rsidP="00CD7CAC">
            <w:pPr>
              <w:widowControl/>
              <w:rPr>
                <w:kern w:val="0"/>
                <w:szCs w:val="22"/>
              </w:rPr>
            </w:pPr>
            <w:r w:rsidRPr="00C6580C">
              <w:rPr>
                <w:kern w:val="0"/>
                <w:szCs w:val="22"/>
              </w:rPr>
              <w:t>348a</w:t>
            </w:r>
          </w:p>
        </w:tc>
        <w:tc>
          <w:tcPr>
            <w:tcW w:w="0" w:type="auto"/>
            <w:tcBorders>
              <w:top w:val="single" w:sz="4" w:space="0" w:color="000000"/>
              <w:left w:val="single" w:sz="4" w:space="0" w:color="000000"/>
              <w:bottom w:val="single" w:sz="4" w:space="0" w:color="000000"/>
              <w:right w:val="single" w:sz="4" w:space="0" w:color="000000"/>
            </w:tcBorders>
          </w:tcPr>
          <w:p w14:paraId="403FC82C" w14:textId="77777777" w:rsidR="00843FDA" w:rsidRPr="00C6580C" w:rsidRDefault="00843FDA" w:rsidP="00CD7CAC">
            <w:pPr>
              <w:widowControl/>
              <w:jc w:val="right"/>
              <w:rPr>
                <w:kern w:val="0"/>
                <w:szCs w:val="22"/>
              </w:rPr>
            </w:pPr>
            <w:r w:rsidRPr="00C6580C">
              <w:rPr>
                <w:kern w:val="0"/>
                <w:szCs w:val="22"/>
              </w:rPr>
              <w:t>.9500</w:t>
            </w:r>
          </w:p>
        </w:tc>
      </w:tr>
      <w:tr w:rsidR="00843FDA" w:rsidRPr="00C6580C" w14:paraId="053606F5" w14:textId="77777777">
        <w:tc>
          <w:tcPr>
            <w:tcW w:w="0" w:type="auto"/>
            <w:tcBorders>
              <w:top w:val="single" w:sz="4" w:space="0" w:color="000000"/>
              <w:left w:val="single" w:sz="4" w:space="0" w:color="000000"/>
              <w:bottom w:val="single" w:sz="4" w:space="0" w:color="000000"/>
              <w:right w:val="single" w:sz="4" w:space="0" w:color="000000"/>
            </w:tcBorders>
          </w:tcPr>
          <w:p w14:paraId="14DE23E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9142757" w14:textId="77777777" w:rsidR="00843FDA" w:rsidRPr="00C6580C" w:rsidRDefault="00843FDA" w:rsidP="00CD7CAC">
            <w:pPr>
              <w:widowControl/>
              <w:jc w:val="center"/>
              <w:rPr>
                <w:szCs w:val="22"/>
              </w:rPr>
            </w:pPr>
            <w:r w:rsidRPr="00C6580C">
              <w:rPr>
                <w:kern w:val="0"/>
                <w:szCs w:val="22"/>
              </w:rPr>
              <w:t>* * *</w:t>
            </w:r>
          </w:p>
        </w:tc>
      </w:tr>
      <w:tr w:rsidR="00843FDA" w:rsidRPr="00C6580C" w14:paraId="21AB3F8D" w14:textId="77777777">
        <w:tc>
          <w:tcPr>
            <w:tcW w:w="0" w:type="auto"/>
            <w:tcBorders>
              <w:top w:val="single" w:sz="4" w:space="0" w:color="000000"/>
              <w:left w:val="single" w:sz="4" w:space="0" w:color="000000"/>
              <w:bottom w:val="single" w:sz="4" w:space="0" w:color="000000"/>
              <w:right w:val="single" w:sz="4" w:space="0" w:color="000000"/>
            </w:tcBorders>
          </w:tcPr>
          <w:p w14:paraId="04B58A06" w14:textId="77777777" w:rsidR="00843FDA" w:rsidRPr="00C6580C" w:rsidRDefault="00843FDA" w:rsidP="00CD7CAC">
            <w:pPr>
              <w:widowControl/>
              <w:rPr>
                <w:kern w:val="0"/>
                <w:szCs w:val="22"/>
              </w:rPr>
            </w:pPr>
            <w:r w:rsidRPr="00C6580C">
              <w:rPr>
                <w:kern w:val="0"/>
                <w:szCs w:val="22"/>
              </w:rPr>
              <w:t>349a</w:t>
            </w:r>
          </w:p>
        </w:tc>
        <w:tc>
          <w:tcPr>
            <w:tcW w:w="0" w:type="auto"/>
            <w:tcBorders>
              <w:top w:val="single" w:sz="4" w:space="0" w:color="000000"/>
              <w:left w:val="single" w:sz="4" w:space="0" w:color="000000"/>
              <w:bottom w:val="single" w:sz="4" w:space="0" w:color="000000"/>
              <w:right w:val="single" w:sz="4" w:space="0" w:color="000000"/>
            </w:tcBorders>
          </w:tcPr>
          <w:p w14:paraId="437CB151" w14:textId="77777777" w:rsidR="00843FDA" w:rsidRPr="00C6580C" w:rsidRDefault="00843FDA" w:rsidP="00CD7CAC">
            <w:pPr>
              <w:widowControl/>
              <w:jc w:val="right"/>
              <w:rPr>
                <w:kern w:val="0"/>
                <w:szCs w:val="22"/>
              </w:rPr>
            </w:pPr>
            <w:r w:rsidRPr="00C6580C">
              <w:rPr>
                <w:kern w:val="0"/>
                <w:szCs w:val="22"/>
              </w:rPr>
              <w:t>.9750</w:t>
            </w:r>
          </w:p>
        </w:tc>
      </w:tr>
      <w:tr w:rsidR="00843FDA" w:rsidRPr="00C6580C" w14:paraId="5EF601EE" w14:textId="77777777">
        <w:tc>
          <w:tcPr>
            <w:tcW w:w="0" w:type="auto"/>
            <w:tcBorders>
              <w:top w:val="single" w:sz="4" w:space="0" w:color="000000"/>
              <w:left w:val="single" w:sz="4" w:space="0" w:color="000000"/>
              <w:bottom w:val="single" w:sz="4" w:space="0" w:color="000000"/>
              <w:right w:val="single" w:sz="4" w:space="0" w:color="000000"/>
            </w:tcBorders>
          </w:tcPr>
          <w:p w14:paraId="41B1D6D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E8CE9E6" w14:textId="77777777" w:rsidR="00843FDA" w:rsidRPr="00C6580C" w:rsidRDefault="00843FDA" w:rsidP="00CD7CAC">
            <w:pPr>
              <w:widowControl/>
              <w:jc w:val="center"/>
              <w:rPr>
                <w:szCs w:val="22"/>
              </w:rPr>
            </w:pPr>
            <w:r w:rsidRPr="00C6580C">
              <w:rPr>
                <w:kern w:val="0"/>
                <w:szCs w:val="22"/>
              </w:rPr>
              <w:t>* * *</w:t>
            </w:r>
          </w:p>
        </w:tc>
      </w:tr>
      <w:tr w:rsidR="00843FDA" w:rsidRPr="00C6580C" w14:paraId="26A132CD" w14:textId="77777777">
        <w:tc>
          <w:tcPr>
            <w:tcW w:w="0" w:type="auto"/>
            <w:tcBorders>
              <w:top w:val="single" w:sz="4" w:space="0" w:color="000000"/>
              <w:left w:val="single" w:sz="4" w:space="0" w:color="000000"/>
              <w:bottom w:val="single" w:sz="4" w:space="0" w:color="000000"/>
              <w:right w:val="single" w:sz="4" w:space="0" w:color="000000"/>
            </w:tcBorders>
          </w:tcPr>
          <w:p w14:paraId="1EB4FE73" w14:textId="77777777" w:rsidR="00843FDA" w:rsidRPr="00C6580C" w:rsidRDefault="00843FDA" w:rsidP="00CD7CAC">
            <w:pPr>
              <w:widowControl/>
              <w:rPr>
                <w:kern w:val="0"/>
                <w:szCs w:val="22"/>
              </w:rPr>
            </w:pPr>
            <w:r w:rsidRPr="00C6580C">
              <w:rPr>
                <w:kern w:val="0"/>
                <w:szCs w:val="22"/>
              </w:rPr>
              <w:t>350a</w:t>
            </w:r>
          </w:p>
        </w:tc>
        <w:tc>
          <w:tcPr>
            <w:tcW w:w="0" w:type="auto"/>
            <w:tcBorders>
              <w:top w:val="single" w:sz="4" w:space="0" w:color="000000"/>
              <w:left w:val="single" w:sz="4" w:space="0" w:color="000000"/>
              <w:bottom w:val="single" w:sz="4" w:space="0" w:color="000000"/>
              <w:right w:val="single" w:sz="4" w:space="0" w:color="000000"/>
            </w:tcBorders>
          </w:tcPr>
          <w:p w14:paraId="20924657" w14:textId="77777777" w:rsidR="00843FDA" w:rsidRPr="00C6580C" w:rsidRDefault="00843FDA" w:rsidP="00CD7CAC">
            <w:pPr>
              <w:widowControl/>
              <w:jc w:val="right"/>
              <w:rPr>
                <w:kern w:val="0"/>
                <w:szCs w:val="22"/>
              </w:rPr>
            </w:pPr>
            <w:r w:rsidRPr="00C6580C">
              <w:rPr>
                <w:kern w:val="0"/>
                <w:szCs w:val="22"/>
              </w:rPr>
              <w:t>857.0000</w:t>
            </w:r>
          </w:p>
        </w:tc>
      </w:tr>
      <w:tr w:rsidR="00843FDA" w:rsidRPr="00C6580C" w14:paraId="52FEBFE5" w14:textId="77777777">
        <w:tc>
          <w:tcPr>
            <w:tcW w:w="0" w:type="auto"/>
            <w:tcBorders>
              <w:top w:val="single" w:sz="4" w:space="0" w:color="000000"/>
              <w:left w:val="single" w:sz="4" w:space="0" w:color="000000"/>
              <w:bottom w:val="single" w:sz="4" w:space="0" w:color="000000"/>
              <w:right w:val="single" w:sz="4" w:space="0" w:color="000000"/>
            </w:tcBorders>
          </w:tcPr>
          <w:p w14:paraId="1126A8F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32D7C1A" w14:textId="77777777" w:rsidR="00843FDA" w:rsidRPr="00C6580C" w:rsidRDefault="00843FDA" w:rsidP="00CD7CAC">
            <w:pPr>
              <w:widowControl/>
              <w:jc w:val="right"/>
              <w:rPr>
                <w:szCs w:val="22"/>
              </w:rPr>
            </w:pPr>
            <w:r w:rsidRPr="00C6580C">
              <w:rPr>
                <w:kern w:val="0"/>
                <w:szCs w:val="22"/>
              </w:rPr>
              <w:t>.1250</w:t>
            </w:r>
          </w:p>
        </w:tc>
      </w:tr>
      <w:tr w:rsidR="00843FDA" w:rsidRPr="00C6580C" w14:paraId="07D39D36" w14:textId="77777777">
        <w:tc>
          <w:tcPr>
            <w:tcW w:w="0" w:type="auto"/>
            <w:tcBorders>
              <w:top w:val="single" w:sz="4" w:space="0" w:color="000000"/>
              <w:left w:val="single" w:sz="4" w:space="0" w:color="000000"/>
              <w:bottom w:val="single" w:sz="4" w:space="0" w:color="000000"/>
              <w:right w:val="single" w:sz="4" w:space="0" w:color="000000"/>
            </w:tcBorders>
          </w:tcPr>
          <w:p w14:paraId="121494DA" w14:textId="77777777" w:rsidR="00843FDA" w:rsidRPr="00C6580C" w:rsidRDefault="00843FDA" w:rsidP="00CD7CAC">
            <w:pPr>
              <w:widowControl/>
              <w:rPr>
                <w:kern w:val="0"/>
                <w:szCs w:val="22"/>
              </w:rPr>
            </w:pPr>
            <w:r w:rsidRPr="00C6580C">
              <w:rPr>
                <w:kern w:val="0"/>
                <w:szCs w:val="22"/>
              </w:rPr>
              <w:t>351a</w:t>
            </w:r>
          </w:p>
        </w:tc>
        <w:tc>
          <w:tcPr>
            <w:tcW w:w="0" w:type="auto"/>
            <w:tcBorders>
              <w:top w:val="single" w:sz="4" w:space="0" w:color="000000"/>
              <w:left w:val="single" w:sz="4" w:space="0" w:color="000000"/>
              <w:bottom w:val="single" w:sz="4" w:space="0" w:color="000000"/>
              <w:right w:val="single" w:sz="4" w:space="0" w:color="000000"/>
            </w:tcBorders>
          </w:tcPr>
          <w:p w14:paraId="3A9F2ECF" w14:textId="77777777" w:rsidR="00843FDA" w:rsidRPr="00C6580C" w:rsidRDefault="00843FDA" w:rsidP="00CD7CAC">
            <w:pPr>
              <w:widowControl/>
              <w:jc w:val="right"/>
              <w:rPr>
                <w:kern w:val="0"/>
                <w:szCs w:val="22"/>
              </w:rPr>
            </w:pPr>
            <w:r w:rsidRPr="00C6580C">
              <w:rPr>
                <w:kern w:val="0"/>
                <w:szCs w:val="22"/>
              </w:rPr>
              <w:t>.2500</w:t>
            </w:r>
          </w:p>
        </w:tc>
      </w:tr>
      <w:tr w:rsidR="00843FDA" w:rsidRPr="00C6580C" w14:paraId="007B1AE7" w14:textId="77777777">
        <w:tc>
          <w:tcPr>
            <w:tcW w:w="0" w:type="auto"/>
            <w:tcBorders>
              <w:top w:val="single" w:sz="4" w:space="0" w:color="000000"/>
              <w:left w:val="single" w:sz="4" w:space="0" w:color="000000"/>
              <w:bottom w:val="single" w:sz="4" w:space="0" w:color="000000"/>
              <w:right w:val="single" w:sz="4" w:space="0" w:color="000000"/>
            </w:tcBorders>
          </w:tcPr>
          <w:p w14:paraId="5C42C43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86E09D0" w14:textId="77777777" w:rsidR="00843FDA" w:rsidRPr="00C6580C" w:rsidRDefault="00843FDA" w:rsidP="00CD7CAC">
            <w:pPr>
              <w:widowControl/>
              <w:jc w:val="center"/>
              <w:rPr>
                <w:szCs w:val="22"/>
              </w:rPr>
            </w:pPr>
            <w:r w:rsidRPr="00C6580C">
              <w:rPr>
                <w:kern w:val="0"/>
                <w:szCs w:val="22"/>
              </w:rPr>
              <w:t>* * *</w:t>
            </w:r>
          </w:p>
        </w:tc>
      </w:tr>
      <w:tr w:rsidR="00843FDA" w:rsidRPr="00C6580C" w14:paraId="269C9290" w14:textId="77777777">
        <w:tc>
          <w:tcPr>
            <w:tcW w:w="0" w:type="auto"/>
            <w:tcBorders>
              <w:top w:val="single" w:sz="4" w:space="0" w:color="000000"/>
              <w:left w:val="single" w:sz="4" w:space="0" w:color="000000"/>
              <w:bottom w:val="single" w:sz="4" w:space="0" w:color="000000"/>
              <w:right w:val="single" w:sz="4" w:space="0" w:color="000000"/>
            </w:tcBorders>
          </w:tcPr>
          <w:p w14:paraId="0DC3B516" w14:textId="77777777" w:rsidR="00843FDA" w:rsidRPr="00C6580C" w:rsidRDefault="00843FDA" w:rsidP="00CD7CAC">
            <w:pPr>
              <w:widowControl/>
              <w:rPr>
                <w:kern w:val="0"/>
                <w:szCs w:val="22"/>
              </w:rPr>
            </w:pPr>
            <w:r w:rsidRPr="00C6580C">
              <w:rPr>
                <w:kern w:val="0"/>
                <w:szCs w:val="22"/>
              </w:rPr>
              <w:t>352a</w:t>
            </w:r>
          </w:p>
        </w:tc>
        <w:tc>
          <w:tcPr>
            <w:tcW w:w="0" w:type="auto"/>
            <w:tcBorders>
              <w:top w:val="single" w:sz="4" w:space="0" w:color="000000"/>
              <w:left w:val="single" w:sz="4" w:space="0" w:color="000000"/>
              <w:bottom w:val="single" w:sz="4" w:space="0" w:color="000000"/>
              <w:right w:val="single" w:sz="4" w:space="0" w:color="000000"/>
            </w:tcBorders>
          </w:tcPr>
          <w:p w14:paraId="2806C411" w14:textId="77777777" w:rsidR="00843FDA" w:rsidRPr="00C6580C" w:rsidRDefault="00843FDA" w:rsidP="00CD7CAC">
            <w:pPr>
              <w:widowControl/>
              <w:jc w:val="right"/>
              <w:rPr>
                <w:kern w:val="0"/>
                <w:szCs w:val="22"/>
              </w:rPr>
            </w:pPr>
            <w:r w:rsidRPr="00C6580C">
              <w:rPr>
                <w:kern w:val="0"/>
                <w:szCs w:val="22"/>
              </w:rPr>
              <w:t>.0500</w:t>
            </w:r>
          </w:p>
        </w:tc>
      </w:tr>
      <w:tr w:rsidR="00843FDA" w:rsidRPr="00C6580C" w14:paraId="08B23178" w14:textId="77777777">
        <w:tc>
          <w:tcPr>
            <w:tcW w:w="0" w:type="auto"/>
            <w:tcBorders>
              <w:top w:val="single" w:sz="4" w:space="0" w:color="000000"/>
              <w:left w:val="single" w:sz="4" w:space="0" w:color="000000"/>
              <w:bottom w:val="single" w:sz="4" w:space="0" w:color="000000"/>
              <w:right w:val="single" w:sz="4" w:space="0" w:color="000000"/>
            </w:tcBorders>
          </w:tcPr>
          <w:p w14:paraId="5FAF59FE" w14:textId="77777777" w:rsidR="00843FDA" w:rsidRPr="00C6580C" w:rsidRDefault="00843FDA" w:rsidP="00CD7CAC">
            <w:pPr>
              <w:widowControl/>
              <w:rPr>
                <w:kern w:val="0"/>
                <w:szCs w:val="22"/>
              </w:rPr>
            </w:pPr>
          </w:p>
        </w:tc>
        <w:tc>
          <w:tcPr>
            <w:tcW w:w="0" w:type="auto"/>
            <w:tcBorders>
              <w:top w:val="single" w:sz="4" w:space="0" w:color="000000"/>
              <w:left w:val="single" w:sz="4" w:space="0" w:color="000000"/>
              <w:bottom w:val="single" w:sz="4" w:space="0" w:color="000000"/>
              <w:right w:val="single" w:sz="4" w:space="0" w:color="000000"/>
            </w:tcBorders>
          </w:tcPr>
          <w:p w14:paraId="651C45E4" w14:textId="77777777" w:rsidR="00843FDA" w:rsidRPr="00C6580C" w:rsidRDefault="00843FDA" w:rsidP="00CD7CAC">
            <w:pPr>
              <w:widowControl/>
              <w:jc w:val="right"/>
              <w:rPr>
                <w:kern w:val="0"/>
                <w:szCs w:val="22"/>
              </w:rPr>
            </w:pPr>
          </w:p>
        </w:tc>
      </w:tr>
      <w:tr w:rsidR="00843FDA" w:rsidRPr="00C6580C" w14:paraId="4A1E7B2B" w14:textId="77777777">
        <w:tc>
          <w:tcPr>
            <w:tcW w:w="0" w:type="auto"/>
            <w:tcBorders>
              <w:top w:val="single" w:sz="4" w:space="0" w:color="000000"/>
              <w:left w:val="single" w:sz="4" w:space="0" w:color="000000"/>
              <w:bottom w:val="single" w:sz="4" w:space="0" w:color="000000"/>
              <w:right w:val="single" w:sz="4" w:space="0" w:color="000000"/>
            </w:tcBorders>
          </w:tcPr>
          <w:p w14:paraId="372082D0" w14:textId="77777777" w:rsidR="00843FDA" w:rsidRPr="00C6580C" w:rsidRDefault="00843FDA" w:rsidP="00CD7CAC">
            <w:pPr>
              <w:widowControl/>
              <w:rPr>
                <w:kern w:val="0"/>
                <w:szCs w:val="22"/>
              </w:rPr>
            </w:pPr>
            <w:r w:rsidRPr="00C6580C">
              <w:rPr>
                <w:kern w:val="0"/>
                <w:szCs w:val="22"/>
              </w:rPr>
              <w:t>353a</w:t>
            </w:r>
          </w:p>
        </w:tc>
        <w:tc>
          <w:tcPr>
            <w:tcW w:w="0" w:type="auto"/>
            <w:tcBorders>
              <w:top w:val="single" w:sz="4" w:space="0" w:color="000000"/>
              <w:left w:val="single" w:sz="4" w:space="0" w:color="000000"/>
              <w:bottom w:val="single" w:sz="4" w:space="0" w:color="000000"/>
              <w:right w:val="single" w:sz="4" w:space="0" w:color="000000"/>
            </w:tcBorders>
          </w:tcPr>
          <w:p w14:paraId="75474492" w14:textId="77777777" w:rsidR="00843FDA" w:rsidRPr="00C6580C" w:rsidRDefault="00843FDA" w:rsidP="00CD7CAC">
            <w:pPr>
              <w:widowControl/>
              <w:jc w:val="right"/>
              <w:rPr>
                <w:kern w:val="0"/>
                <w:szCs w:val="22"/>
              </w:rPr>
            </w:pPr>
            <w:r w:rsidRPr="00C6580C">
              <w:rPr>
                <w:kern w:val="0"/>
                <w:szCs w:val="22"/>
              </w:rPr>
              <w:t>.0750</w:t>
            </w:r>
          </w:p>
        </w:tc>
      </w:tr>
      <w:tr w:rsidR="00843FDA" w:rsidRPr="00C6580C" w14:paraId="0A01F925" w14:textId="77777777">
        <w:tc>
          <w:tcPr>
            <w:tcW w:w="0" w:type="auto"/>
            <w:tcBorders>
              <w:top w:val="single" w:sz="4" w:space="0" w:color="000000"/>
              <w:left w:val="single" w:sz="4" w:space="0" w:color="000000"/>
              <w:bottom w:val="single" w:sz="4" w:space="0" w:color="000000"/>
              <w:right w:val="single" w:sz="4" w:space="0" w:color="000000"/>
            </w:tcBorders>
          </w:tcPr>
          <w:p w14:paraId="0E67EA4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3936E79" w14:textId="77777777" w:rsidR="00843FDA" w:rsidRPr="00C6580C" w:rsidRDefault="00843FDA" w:rsidP="00CD7CAC">
            <w:pPr>
              <w:widowControl/>
              <w:jc w:val="center"/>
              <w:rPr>
                <w:szCs w:val="22"/>
              </w:rPr>
            </w:pPr>
            <w:r w:rsidRPr="00C6580C">
              <w:rPr>
                <w:kern w:val="0"/>
                <w:szCs w:val="22"/>
              </w:rPr>
              <w:t>* * *</w:t>
            </w:r>
          </w:p>
        </w:tc>
      </w:tr>
      <w:tr w:rsidR="00843FDA" w:rsidRPr="00C6580C" w14:paraId="2B790875" w14:textId="77777777">
        <w:tc>
          <w:tcPr>
            <w:tcW w:w="0" w:type="auto"/>
            <w:tcBorders>
              <w:top w:val="single" w:sz="4" w:space="0" w:color="000000"/>
              <w:left w:val="single" w:sz="4" w:space="0" w:color="000000"/>
              <w:bottom w:val="single" w:sz="4" w:space="0" w:color="000000"/>
              <w:right w:val="single" w:sz="4" w:space="0" w:color="000000"/>
            </w:tcBorders>
          </w:tcPr>
          <w:p w14:paraId="08BFA41C" w14:textId="77777777" w:rsidR="00843FDA" w:rsidRPr="00C6580C" w:rsidRDefault="00843FDA" w:rsidP="00CD7CAC">
            <w:pPr>
              <w:widowControl/>
              <w:rPr>
                <w:kern w:val="0"/>
                <w:szCs w:val="22"/>
              </w:rPr>
            </w:pPr>
            <w:r w:rsidRPr="00C6580C">
              <w:rPr>
                <w:kern w:val="0"/>
                <w:szCs w:val="22"/>
              </w:rPr>
              <w:t>354a</w:t>
            </w:r>
          </w:p>
        </w:tc>
        <w:tc>
          <w:tcPr>
            <w:tcW w:w="0" w:type="auto"/>
            <w:tcBorders>
              <w:top w:val="single" w:sz="4" w:space="0" w:color="000000"/>
              <w:left w:val="single" w:sz="4" w:space="0" w:color="000000"/>
              <w:bottom w:val="single" w:sz="4" w:space="0" w:color="000000"/>
              <w:right w:val="single" w:sz="4" w:space="0" w:color="000000"/>
            </w:tcBorders>
          </w:tcPr>
          <w:p w14:paraId="3B078B55" w14:textId="77777777" w:rsidR="00843FDA" w:rsidRPr="00C6580C" w:rsidRDefault="00843FDA" w:rsidP="00CD7CAC">
            <w:pPr>
              <w:widowControl/>
              <w:jc w:val="right"/>
              <w:rPr>
                <w:kern w:val="0"/>
                <w:szCs w:val="22"/>
              </w:rPr>
            </w:pPr>
            <w:r w:rsidRPr="00C6580C">
              <w:rPr>
                <w:kern w:val="0"/>
                <w:szCs w:val="22"/>
              </w:rPr>
              <w:t>.1000</w:t>
            </w:r>
          </w:p>
        </w:tc>
      </w:tr>
      <w:tr w:rsidR="00843FDA" w:rsidRPr="00C6580C" w14:paraId="0766F44F" w14:textId="77777777">
        <w:tc>
          <w:tcPr>
            <w:tcW w:w="0" w:type="auto"/>
            <w:tcBorders>
              <w:top w:val="single" w:sz="4" w:space="0" w:color="000000"/>
              <w:left w:val="single" w:sz="4" w:space="0" w:color="000000"/>
              <w:bottom w:val="single" w:sz="4" w:space="0" w:color="000000"/>
              <w:right w:val="single" w:sz="4" w:space="0" w:color="000000"/>
            </w:tcBorders>
          </w:tcPr>
          <w:p w14:paraId="5D463C6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A883BB1" w14:textId="77777777" w:rsidR="00843FDA" w:rsidRPr="00C6580C" w:rsidRDefault="00843FDA" w:rsidP="00CD7CAC">
            <w:pPr>
              <w:widowControl/>
              <w:jc w:val="center"/>
              <w:rPr>
                <w:szCs w:val="22"/>
              </w:rPr>
            </w:pPr>
            <w:r w:rsidRPr="00C6580C">
              <w:rPr>
                <w:kern w:val="0"/>
                <w:szCs w:val="22"/>
              </w:rPr>
              <w:t>* * *</w:t>
            </w:r>
          </w:p>
        </w:tc>
      </w:tr>
      <w:tr w:rsidR="00843FDA" w:rsidRPr="00C6580C" w14:paraId="1B8ACBE1" w14:textId="77777777">
        <w:tc>
          <w:tcPr>
            <w:tcW w:w="0" w:type="auto"/>
            <w:tcBorders>
              <w:top w:val="single" w:sz="4" w:space="0" w:color="000000"/>
              <w:left w:val="single" w:sz="4" w:space="0" w:color="000000"/>
              <w:bottom w:val="single" w:sz="4" w:space="0" w:color="000000"/>
              <w:right w:val="single" w:sz="4" w:space="0" w:color="000000"/>
            </w:tcBorders>
          </w:tcPr>
          <w:p w14:paraId="13B7299B" w14:textId="77777777" w:rsidR="00843FDA" w:rsidRPr="00C6580C" w:rsidRDefault="00843FDA" w:rsidP="00CD7CAC">
            <w:pPr>
              <w:widowControl/>
              <w:rPr>
                <w:kern w:val="0"/>
                <w:szCs w:val="22"/>
              </w:rPr>
            </w:pPr>
            <w:r w:rsidRPr="00C6580C">
              <w:rPr>
                <w:kern w:val="0"/>
                <w:szCs w:val="22"/>
              </w:rPr>
              <w:t>355a</w:t>
            </w:r>
          </w:p>
        </w:tc>
        <w:tc>
          <w:tcPr>
            <w:tcW w:w="0" w:type="auto"/>
            <w:tcBorders>
              <w:top w:val="single" w:sz="4" w:space="0" w:color="000000"/>
              <w:left w:val="single" w:sz="4" w:space="0" w:color="000000"/>
              <w:bottom w:val="single" w:sz="4" w:space="0" w:color="000000"/>
              <w:right w:val="single" w:sz="4" w:space="0" w:color="000000"/>
            </w:tcBorders>
          </w:tcPr>
          <w:p w14:paraId="74C3EDE8" w14:textId="77777777" w:rsidR="00843FDA" w:rsidRPr="00C6580C" w:rsidRDefault="00843FDA" w:rsidP="00CD7CAC">
            <w:pPr>
              <w:widowControl/>
              <w:jc w:val="right"/>
              <w:rPr>
                <w:kern w:val="0"/>
                <w:szCs w:val="22"/>
              </w:rPr>
            </w:pPr>
            <w:r w:rsidRPr="00C6580C">
              <w:rPr>
                <w:kern w:val="0"/>
                <w:szCs w:val="22"/>
              </w:rPr>
              <w:t>.1250</w:t>
            </w:r>
          </w:p>
        </w:tc>
      </w:tr>
      <w:tr w:rsidR="00843FDA" w:rsidRPr="00C6580C" w14:paraId="3312CF5F" w14:textId="77777777">
        <w:tc>
          <w:tcPr>
            <w:tcW w:w="0" w:type="auto"/>
            <w:tcBorders>
              <w:top w:val="single" w:sz="4" w:space="0" w:color="000000"/>
              <w:left w:val="single" w:sz="4" w:space="0" w:color="000000"/>
              <w:bottom w:val="single" w:sz="4" w:space="0" w:color="000000"/>
              <w:right w:val="single" w:sz="4" w:space="0" w:color="000000"/>
            </w:tcBorders>
          </w:tcPr>
          <w:p w14:paraId="36BC2E1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C41CAED" w14:textId="77777777" w:rsidR="00843FDA" w:rsidRPr="00C6580C" w:rsidRDefault="00843FDA" w:rsidP="00CD7CAC">
            <w:pPr>
              <w:widowControl/>
              <w:jc w:val="center"/>
              <w:rPr>
                <w:szCs w:val="22"/>
              </w:rPr>
            </w:pPr>
            <w:r w:rsidRPr="00C6580C">
              <w:rPr>
                <w:kern w:val="0"/>
                <w:szCs w:val="22"/>
              </w:rPr>
              <w:t>* * *</w:t>
            </w:r>
          </w:p>
        </w:tc>
      </w:tr>
      <w:tr w:rsidR="00843FDA" w:rsidRPr="00C6580C" w14:paraId="03FD6EF4" w14:textId="77777777">
        <w:tc>
          <w:tcPr>
            <w:tcW w:w="0" w:type="auto"/>
            <w:tcBorders>
              <w:top w:val="single" w:sz="4" w:space="0" w:color="000000"/>
              <w:left w:val="single" w:sz="4" w:space="0" w:color="000000"/>
              <w:bottom w:val="single" w:sz="4" w:space="0" w:color="000000"/>
              <w:right w:val="single" w:sz="4" w:space="0" w:color="000000"/>
            </w:tcBorders>
          </w:tcPr>
          <w:p w14:paraId="73AA514A" w14:textId="77777777" w:rsidR="00843FDA" w:rsidRPr="00C6580C" w:rsidRDefault="00843FDA" w:rsidP="00CD7CAC">
            <w:pPr>
              <w:widowControl/>
              <w:rPr>
                <w:kern w:val="0"/>
                <w:szCs w:val="22"/>
              </w:rPr>
            </w:pPr>
            <w:r w:rsidRPr="00C6580C">
              <w:rPr>
                <w:kern w:val="0"/>
                <w:szCs w:val="22"/>
              </w:rPr>
              <w:t>356a</w:t>
            </w:r>
          </w:p>
        </w:tc>
        <w:tc>
          <w:tcPr>
            <w:tcW w:w="0" w:type="auto"/>
            <w:tcBorders>
              <w:top w:val="single" w:sz="4" w:space="0" w:color="000000"/>
              <w:left w:val="single" w:sz="4" w:space="0" w:color="000000"/>
              <w:bottom w:val="single" w:sz="4" w:space="0" w:color="000000"/>
              <w:right w:val="single" w:sz="4" w:space="0" w:color="000000"/>
            </w:tcBorders>
          </w:tcPr>
          <w:p w14:paraId="67FD85A8" w14:textId="77777777" w:rsidR="00843FDA" w:rsidRPr="00C6580C" w:rsidRDefault="00843FDA" w:rsidP="00CD7CAC">
            <w:pPr>
              <w:widowControl/>
              <w:jc w:val="right"/>
              <w:rPr>
                <w:kern w:val="0"/>
                <w:szCs w:val="22"/>
              </w:rPr>
            </w:pPr>
            <w:r w:rsidRPr="00C6580C">
              <w:rPr>
                <w:kern w:val="0"/>
                <w:szCs w:val="22"/>
              </w:rPr>
              <w:t>.1500</w:t>
            </w:r>
          </w:p>
        </w:tc>
      </w:tr>
      <w:tr w:rsidR="00843FDA" w:rsidRPr="00C6580C" w14:paraId="2F63A969" w14:textId="77777777">
        <w:tc>
          <w:tcPr>
            <w:tcW w:w="0" w:type="auto"/>
            <w:tcBorders>
              <w:top w:val="single" w:sz="4" w:space="0" w:color="000000"/>
              <w:left w:val="single" w:sz="4" w:space="0" w:color="000000"/>
              <w:bottom w:val="single" w:sz="4" w:space="0" w:color="000000"/>
              <w:right w:val="single" w:sz="4" w:space="0" w:color="000000"/>
            </w:tcBorders>
          </w:tcPr>
          <w:p w14:paraId="2C962FD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8B6944A" w14:textId="77777777" w:rsidR="00843FDA" w:rsidRPr="00C6580C" w:rsidRDefault="00843FDA" w:rsidP="00CD7CAC">
            <w:pPr>
              <w:widowControl/>
              <w:jc w:val="center"/>
              <w:rPr>
                <w:szCs w:val="22"/>
              </w:rPr>
            </w:pPr>
            <w:r w:rsidRPr="00C6580C">
              <w:rPr>
                <w:kern w:val="0"/>
                <w:szCs w:val="22"/>
              </w:rPr>
              <w:t>* * *</w:t>
            </w:r>
          </w:p>
        </w:tc>
      </w:tr>
      <w:tr w:rsidR="00843FDA" w:rsidRPr="00C6580C" w14:paraId="56C7FC98" w14:textId="77777777">
        <w:tc>
          <w:tcPr>
            <w:tcW w:w="0" w:type="auto"/>
            <w:tcBorders>
              <w:top w:val="single" w:sz="4" w:space="0" w:color="000000"/>
              <w:left w:val="single" w:sz="4" w:space="0" w:color="000000"/>
              <w:bottom w:val="single" w:sz="4" w:space="0" w:color="000000"/>
              <w:right w:val="single" w:sz="4" w:space="0" w:color="000000"/>
            </w:tcBorders>
          </w:tcPr>
          <w:p w14:paraId="1D66E269" w14:textId="77777777" w:rsidR="00843FDA" w:rsidRPr="00C6580C" w:rsidRDefault="00843FDA" w:rsidP="00CD7CAC">
            <w:pPr>
              <w:widowControl/>
              <w:rPr>
                <w:kern w:val="0"/>
                <w:szCs w:val="22"/>
              </w:rPr>
            </w:pPr>
            <w:r w:rsidRPr="00C6580C">
              <w:rPr>
                <w:kern w:val="0"/>
                <w:szCs w:val="22"/>
              </w:rPr>
              <w:t>357a</w:t>
            </w:r>
          </w:p>
        </w:tc>
        <w:tc>
          <w:tcPr>
            <w:tcW w:w="0" w:type="auto"/>
            <w:tcBorders>
              <w:top w:val="single" w:sz="4" w:space="0" w:color="000000"/>
              <w:left w:val="single" w:sz="4" w:space="0" w:color="000000"/>
              <w:bottom w:val="single" w:sz="4" w:space="0" w:color="000000"/>
              <w:right w:val="single" w:sz="4" w:space="0" w:color="000000"/>
            </w:tcBorders>
          </w:tcPr>
          <w:p w14:paraId="0F0891A4" w14:textId="77777777" w:rsidR="00843FDA" w:rsidRPr="00C6580C" w:rsidRDefault="00843FDA" w:rsidP="00CD7CAC">
            <w:pPr>
              <w:widowControl/>
              <w:jc w:val="right"/>
              <w:rPr>
                <w:kern w:val="0"/>
                <w:szCs w:val="22"/>
              </w:rPr>
            </w:pPr>
            <w:r w:rsidRPr="00C6580C">
              <w:rPr>
                <w:kern w:val="0"/>
                <w:szCs w:val="22"/>
              </w:rPr>
              <w:t>.1750</w:t>
            </w:r>
          </w:p>
        </w:tc>
      </w:tr>
      <w:tr w:rsidR="00843FDA" w:rsidRPr="00C6580C" w14:paraId="0645A6FE" w14:textId="77777777">
        <w:tc>
          <w:tcPr>
            <w:tcW w:w="0" w:type="auto"/>
            <w:tcBorders>
              <w:top w:val="single" w:sz="4" w:space="0" w:color="000000"/>
              <w:left w:val="single" w:sz="4" w:space="0" w:color="000000"/>
              <w:bottom w:val="single" w:sz="4" w:space="0" w:color="000000"/>
              <w:right w:val="single" w:sz="4" w:space="0" w:color="000000"/>
            </w:tcBorders>
          </w:tcPr>
          <w:p w14:paraId="5132400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FCEA968" w14:textId="77777777" w:rsidR="00843FDA" w:rsidRPr="00C6580C" w:rsidRDefault="00843FDA" w:rsidP="00CD7CAC">
            <w:pPr>
              <w:widowControl/>
              <w:jc w:val="center"/>
              <w:rPr>
                <w:szCs w:val="22"/>
              </w:rPr>
            </w:pPr>
            <w:r w:rsidRPr="00C6580C">
              <w:rPr>
                <w:kern w:val="0"/>
                <w:szCs w:val="22"/>
              </w:rPr>
              <w:t>* * *</w:t>
            </w:r>
          </w:p>
        </w:tc>
      </w:tr>
      <w:tr w:rsidR="00843FDA" w:rsidRPr="00C6580C" w14:paraId="5E28CF38" w14:textId="77777777">
        <w:tc>
          <w:tcPr>
            <w:tcW w:w="0" w:type="auto"/>
            <w:tcBorders>
              <w:top w:val="single" w:sz="4" w:space="0" w:color="000000"/>
              <w:left w:val="single" w:sz="4" w:space="0" w:color="000000"/>
              <w:bottom w:val="single" w:sz="4" w:space="0" w:color="000000"/>
              <w:right w:val="single" w:sz="4" w:space="0" w:color="000000"/>
            </w:tcBorders>
          </w:tcPr>
          <w:p w14:paraId="39241832" w14:textId="77777777" w:rsidR="00843FDA" w:rsidRPr="00C6580C" w:rsidRDefault="00843FDA" w:rsidP="00CD7CAC">
            <w:pPr>
              <w:widowControl/>
              <w:rPr>
                <w:kern w:val="0"/>
                <w:szCs w:val="22"/>
              </w:rPr>
            </w:pPr>
            <w:r w:rsidRPr="00C6580C">
              <w:rPr>
                <w:kern w:val="0"/>
                <w:szCs w:val="22"/>
              </w:rPr>
              <w:t>358a</w:t>
            </w:r>
          </w:p>
        </w:tc>
        <w:tc>
          <w:tcPr>
            <w:tcW w:w="0" w:type="auto"/>
            <w:tcBorders>
              <w:top w:val="single" w:sz="4" w:space="0" w:color="000000"/>
              <w:left w:val="single" w:sz="4" w:space="0" w:color="000000"/>
              <w:bottom w:val="single" w:sz="4" w:space="0" w:color="000000"/>
              <w:right w:val="single" w:sz="4" w:space="0" w:color="000000"/>
            </w:tcBorders>
          </w:tcPr>
          <w:p w14:paraId="38C0F94D" w14:textId="77777777" w:rsidR="00843FDA" w:rsidRPr="00C6580C" w:rsidRDefault="00843FDA" w:rsidP="00CD7CAC">
            <w:pPr>
              <w:widowControl/>
              <w:jc w:val="right"/>
              <w:rPr>
                <w:kern w:val="0"/>
                <w:szCs w:val="22"/>
              </w:rPr>
            </w:pPr>
            <w:r w:rsidRPr="00C6580C">
              <w:rPr>
                <w:kern w:val="0"/>
                <w:szCs w:val="22"/>
              </w:rPr>
              <w:t>.2000</w:t>
            </w:r>
          </w:p>
        </w:tc>
      </w:tr>
      <w:tr w:rsidR="00843FDA" w:rsidRPr="00C6580C" w14:paraId="63A3DDB5" w14:textId="77777777">
        <w:tc>
          <w:tcPr>
            <w:tcW w:w="0" w:type="auto"/>
            <w:tcBorders>
              <w:top w:val="single" w:sz="4" w:space="0" w:color="000000"/>
              <w:left w:val="single" w:sz="4" w:space="0" w:color="000000"/>
              <w:bottom w:val="single" w:sz="4" w:space="0" w:color="000000"/>
              <w:right w:val="single" w:sz="4" w:space="0" w:color="000000"/>
            </w:tcBorders>
          </w:tcPr>
          <w:p w14:paraId="5EA285C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BF3662F" w14:textId="77777777" w:rsidR="00843FDA" w:rsidRPr="00C6580C" w:rsidRDefault="00843FDA" w:rsidP="00CD7CAC">
            <w:pPr>
              <w:widowControl/>
              <w:jc w:val="center"/>
              <w:rPr>
                <w:szCs w:val="22"/>
              </w:rPr>
            </w:pPr>
            <w:r w:rsidRPr="00C6580C">
              <w:rPr>
                <w:kern w:val="0"/>
                <w:szCs w:val="22"/>
              </w:rPr>
              <w:t>* * *</w:t>
            </w:r>
          </w:p>
        </w:tc>
      </w:tr>
      <w:tr w:rsidR="00843FDA" w:rsidRPr="00C6580C" w14:paraId="67A920C9" w14:textId="77777777">
        <w:tc>
          <w:tcPr>
            <w:tcW w:w="0" w:type="auto"/>
            <w:tcBorders>
              <w:top w:val="single" w:sz="4" w:space="0" w:color="000000"/>
              <w:left w:val="single" w:sz="4" w:space="0" w:color="000000"/>
              <w:bottom w:val="single" w:sz="4" w:space="0" w:color="000000"/>
              <w:right w:val="single" w:sz="4" w:space="0" w:color="000000"/>
            </w:tcBorders>
          </w:tcPr>
          <w:p w14:paraId="207D5148" w14:textId="77777777" w:rsidR="00843FDA" w:rsidRPr="00C6580C" w:rsidRDefault="00843FDA" w:rsidP="00CD7CAC">
            <w:pPr>
              <w:widowControl/>
              <w:rPr>
                <w:kern w:val="0"/>
                <w:szCs w:val="22"/>
              </w:rPr>
            </w:pPr>
            <w:r w:rsidRPr="00C6580C">
              <w:rPr>
                <w:kern w:val="0"/>
                <w:szCs w:val="22"/>
              </w:rPr>
              <w:t>359a</w:t>
            </w:r>
          </w:p>
        </w:tc>
        <w:tc>
          <w:tcPr>
            <w:tcW w:w="0" w:type="auto"/>
            <w:tcBorders>
              <w:top w:val="single" w:sz="4" w:space="0" w:color="000000"/>
              <w:left w:val="single" w:sz="4" w:space="0" w:color="000000"/>
              <w:bottom w:val="single" w:sz="4" w:space="0" w:color="000000"/>
              <w:right w:val="single" w:sz="4" w:space="0" w:color="000000"/>
            </w:tcBorders>
          </w:tcPr>
          <w:p w14:paraId="02A3F98C" w14:textId="77777777" w:rsidR="00843FDA" w:rsidRPr="00C6580C" w:rsidRDefault="00843FDA" w:rsidP="00CD7CAC">
            <w:pPr>
              <w:widowControl/>
              <w:jc w:val="right"/>
              <w:rPr>
                <w:kern w:val="0"/>
                <w:szCs w:val="22"/>
              </w:rPr>
            </w:pPr>
            <w:r w:rsidRPr="00C6580C">
              <w:rPr>
                <w:kern w:val="0"/>
                <w:szCs w:val="22"/>
              </w:rPr>
              <w:t>.2250</w:t>
            </w:r>
          </w:p>
        </w:tc>
      </w:tr>
      <w:tr w:rsidR="00843FDA" w:rsidRPr="00C6580C" w14:paraId="3B47EDAF" w14:textId="77777777">
        <w:tc>
          <w:tcPr>
            <w:tcW w:w="0" w:type="auto"/>
            <w:tcBorders>
              <w:top w:val="single" w:sz="4" w:space="0" w:color="000000"/>
              <w:left w:val="single" w:sz="4" w:space="0" w:color="000000"/>
              <w:bottom w:val="single" w:sz="4" w:space="0" w:color="000000"/>
              <w:right w:val="single" w:sz="4" w:space="0" w:color="000000"/>
            </w:tcBorders>
          </w:tcPr>
          <w:p w14:paraId="5E5BB05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E87D01D" w14:textId="77777777" w:rsidR="00843FDA" w:rsidRPr="00C6580C" w:rsidRDefault="00843FDA" w:rsidP="00CD7CAC">
            <w:pPr>
              <w:widowControl/>
              <w:jc w:val="center"/>
              <w:rPr>
                <w:szCs w:val="22"/>
              </w:rPr>
            </w:pPr>
            <w:r w:rsidRPr="00C6580C">
              <w:rPr>
                <w:kern w:val="0"/>
                <w:szCs w:val="22"/>
              </w:rPr>
              <w:t>* * *</w:t>
            </w:r>
          </w:p>
        </w:tc>
      </w:tr>
      <w:tr w:rsidR="00843FDA" w:rsidRPr="00C6580C" w14:paraId="24228691" w14:textId="77777777">
        <w:tc>
          <w:tcPr>
            <w:tcW w:w="0" w:type="auto"/>
            <w:tcBorders>
              <w:top w:val="single" w:sz="4" w:space="0" w:color="000000"/>
              <w:left w:val="single" w:sz="4" w:space="0" w:color="000000"/>
              <w:bottom w:val="single" w:sz="4" w:space="0" w:color="000000"/>
              <w:right w:val="single" w:sz="4" w:space="0" w:color="000000"/>
            </w:tcBorders>
          </w:tcPr>
          <w:p w14:paraId="517623DF" w14:textId="77777777" w:rsidR="00843FDA" w:rsidRPr="00C6580C" w:rsidRDefault="00843FDA" w:rsidP="00CD7CAC">
            <w:pPr>
              <w:widowControl/>
              <w:rPr>
                <w:kern w:val="0"/>
                <w:szCs w:val="22"/>
              </w:rPr>
            </w:pPr>
            <w:r w:rsidRPr="00C6580C">
              <w:rPr>
                <w:kern w:val="0"/>
                <w:szCs w:val="22"/>
              </w:rPr>
              <w:t>360a</w:t>
            </w:r>
          </w:p>
        </w:tc>
        <w:tc>
          <w:tcPr>
            <w:tcW w:w="0" w:type="auto"/>
            <w:tcBorders>
              <w:top w:val="single" w:sz="4" w:space="0" w:color="000000"/>
              <w:left w:val="single" w:sz="4" w:space="0" w:color="000000"/>
              <w:bottom w:val="single" w:sz="4" w:space="0" w:color="000000"/>
              <w:right w:val="single" w:sz="4" w:space="0" w:color="000000"/>
            </w:tcBorders>
          </w:tcPr>
          <w:p w14:paraId="3C4AFEEC" w14:textId="77777777" w:rsidR="00843FDA" w:rsidRPr="00C6580C" w:rsidRDefault="00843FDA" w:rsidP="00CD7CAC">
            <w:pPr>
              <w:widowControl/>
              <w:jc w:val="right"/>
              <w:rPr>
                <w:kern w:val="0"/>
                <w:szCs w:val="22"/>
              </w:rPr>
            </w:pPr>
            <w:r w:rsidRPr="00C6580C">
              <w:rPr>
                <w:kern w:val="0"/>
                <w:szCs w:val="22"/>
              </w:rPr>
              <w:t>.2500</w:t>
            </w:r>
          </w:p>
        </w:tc>
      </w:tr>
      <w:tr w:rsidR="00843FDA" w:rsidRPr="00C6580C" w14:paraId="6CE31FCD" w14:textId="77777777">
        <w:tc>
          <w:tcPr>
            <w:tcW w:w="0" w:type="auto"/>
            <w:tcBorders>
              <w:top w:val="single" w:sz="4" w:space="0" w:color="000000"/>
              <w:left w:val="single" w:sz="4" w:space="0" w:color="000000"/>
              <w:bottom w:val="single" w:sz="4" w:space="0" w:color="000000"/>
              <w:right w:val="single" w:sz="4" w:space="0" w:color="000000"/>
            </w:tcBorders>
          </w:tcPr>
          <w:p w14:paraId="5B91328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C4D4F2B" w14:textId="77777777" w:rsidR="00843FDA" w:rsidRPr="00C6580C" w:rsidRDefault="00843FDA" w:rsidP="00CD7CAC">
            <w:pPr>
              <w:widowControl/>
              <w:jc w:val="center"/>
              <w:rPr>
                <w:szCs w:val="22"/>
              </w:rPr>
            </w:pPr>
            <w:r w:rsidRPr="00C6580C">
              <w:rPr>
                <w:kern w:val="0"/>
                <w:szCs w:val="22"/>
              </w:rPr>
              <w:t>* * *</w:t>
            </w:r>
          </w:p>
        </w:tc>
      </w:tr>
      <w:tr w:rsidR="00843FDA" w:rsidRPr="00C6580C" w14:paraId="4C54AE02" w14:textId="77777777">
        <w:tc>
          <w:tcPr>
            <w:tcW w:w="0" w:type="auto"/>
            <w:tcBorders>
              <w:top w:val="single" w:sz="4" w:space="0" w:color="000000"/>
              <w:left w:val="single" w:sz="4" w:space="0" w:color="000000"/>
              <w:bottom w:val="single" w:sz="4" w:space="0" w:color="000000"/>
              <w:right w:val="single" w:sz="4" w:space="0" w:color="000000"/>
            </w:tcBorders>
          </w:tcPr>
          <w:p w14:paraId="6047ECFD" w14:textId="77777777" w:rsidR="00843FDA" w:rsidRPr="00C6580C" w:rsidRDefault="00843FDA" w:rsidP="00CD7CAC">
            <w:pPr>
              <w:widowControl/>
              <w:rPr>
                <w:kern w:val="0"/>
                <w:szCs w:val="22"/>
              </w:rPr>
            </w:pPr>
            <w:r w:rsidRPr="00C6580C">
              <w:rPr>
                <w:kern w:val="0"/>
                <w:szCs w:val="22"/>
              </w:rPr>
              <w:t>361a</w:t>
            </w:r>
          </w:p>
        </w:tc>
        <w:tc>
          <w:tcPr>
            <w:tcW w:w="0" w:type="auto"/>
            <w:tcBorders>
              <w:top w:val="single" w:sz="4" w:space="0" w:color="000000"/>
              <w:left w:val="single" w:sz="4" w:space="0" w:color="000000"/>
              <w:bottom w:val="single" w:sz="4" w:space="0" w:color="000000"/>
              <w:right w:val="single" w:sz="4" w:space="0" w:color="000000"/>
            </w:tcBorders>
          </w:tcPr>
          <w:p w14:paraId="425B86F1" w14:textId="77777777" w:rsidR="00843FDA" w:rsidRPr="00C6580C" w:rsidRDefault="00843FDA" w:rsidP="00CD7CAC">
            <w:pPr>
              <w:widowControl/>
              <w:jc w:val="right"/>
              <w:rPr>
                <w:kern w:val="0"/>
                <w:szCs w:val="22"/>
              </w:rPr>
            </w:pPr>
            <w:r w:rsidRPr="00C6580C">
              <w:rPr>
                <w:kern w:val="0"/>
                <w:szCs w:val="22"/>
              </w:rPr>
              <w:t>.2750</w:t>
            </w:r>
          </w:p>
        </w:tc>
      </w:tr>
      <w:tr w:rsidR="00843FDA" w:rsidRPr="00C6580C" w14:paraId="71BE9DDE" w14:textId="77777777">
        <w:tc>
          <w:tcPr>
            <w:tcW w:w="0" w:type="auto"/>
            <w:tcBorders>
              <w:top w:val="single" w:sz="4" w:space="0" w:color="000000"/>
              <w:left w:val="single" w:sz="4" w:space="0" w:color="000000"/>
              <w:bottom w:val="single" w:sz="4" w:space="0" w:color="000000"/>
              <w:right w:val="single" w:sz="4" w:space="0" w:color="000000"/>
            </w:tcBorders>
          </w:tcPr>
          <w:p w14:paraId="67A4502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5A2CDD1" w14:textId="77777777" w:rsidR="00843FDA" w:rsidRPr="00C6580C" w:rsidRDefault="00843FDA" w:rsidP="00CD7CAC">
            <w:pPr>
              <w:widowControl/>
              <w:jc w:val="center"/>
              <w:rPr>
                <w:szCs w:val="22"/>
              </w:rPr>
            </w:pPr>
            <w:r w:rsidRPr="00C6580C">
              <w:rPr>
                <w:kern w:val="0"/>
                <w:szCs w:val="22"/>
              </w:rPr>
              <w:t>* * *</w:t>
            </w:r>
          </w:p>
        </w:tc>
      </w:tr>
      <w:tr w:rsidR="00843FDA" w:rsidRPr="00C6580C" w14:paraId="4DC48084" w14:textId="77777777">
        <w:tc>
          <w:tcPr>
            <w:tcW w:w="0" w:type="auto"/>
            <w:tcBorders>
              <w:top w:val="single" w:sz="4" w:space="0" w:color="000000"/>
              <w:left w:val="single" w:sz="4" w:space="0" w:color="000000"/>
              <w:bottom w:val="single" w:sz="4" w:space="0" w:color="000000"/>
              <w:right w:val="single" w:sz="4" w:space="0" w:color="000000"/>
            </w:tcBorders>
          </w:tcPr>
          <w:p w14:paraId="38BB50C6" w14:textId="77777777" w:rsidR="00843FDA" w:rsidRPr="00C6580C" w:rsidRDefault="00843FDA" w:rsidP="00CD7CAC">
            <w:pPr>
              <w:widowControl/>
              <w:rPr>
                <w:kern w:val="0"/>
                <w:szCs w:val="22"/>
              </w:rPr>
            </w:pPr>
            <w:r w:rsidRPr="00C6580C">
              <w:rPr>
                <w:kern w:val="0"/>
                <w:szCs w:val="22"/>
              </w:rPr>
              <w:t>362a</w:t>
            </w:r>
          </w:p>
        </w:tc>
        <w:tc>
          <w:tcPr>
            <w:tcW w:w="0" w:type="auto"/>
            <w:tcBorders>
              <w:top w:val="single" w:sz="4" w:space="0" w:color="000000"/>
              <w:left w:val="single" w:sz="4" w:space="0" w:color="000000"/>
              <w:bottom w:val="single" w:sz="4" w:space="0" w:color="000000"/>
              <w:right w:val="single" w:sz="4" w:space="0" w:color="000000"/>
            </w:tcBorders>
          </w:tcPr>
          <w:p w14:paraId="051690FA" w14:textId="77777777" w:rsidR="00843FDA" w:rsidRPr="00C6580C" w:rsidRDefault="00843FDA" w:rsidP="00CD7CAC">
            <w:pPr>
              <w:widowControl/>
              <w:jc w:val="right"/>
              <w:rPr>
                <w:kern w:val="0"/>
                <w:szCs w:val="22"/>
              </w:rPr>
            </w:pPr>
            <w:r w:rsidRPr="00C6580C">
              <w:rPr>
                <w:kern w:val="0"/>
                <w:szCs w:val="22"/>
              </w:rPr>
              <w:t>.3000</w:t>
            </w:r>
          </w:p>
        </w:tc>
      </w:tr>
      <w:tr w:rsidR="00843FDA" w:rsidRPr="00C6580C" w14:paraId="48F0FFEA" w14:textId="77777777">
        <w:tc>
          <w:tcPr>
            <w:tcW w:w="0" w:type="auto"/>
            <w:tcBorders>
              <w:top w:val="single" w:sz="4" w:space="0" w:color="000000"/>
              <w:left w:val="single" w:sz="4" w:space="0" w:color="000000"/>
              <w:bottom w:val="single" w:sz="4" w:space="0" w:color="000000"/>
              <w:right w:val="single" w:sz="4" w:space="0" w:color="000000"/>
            </w:tcBorders>
          </w:tcPr>
          <w:p w14:paraId="06831C8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EEB0378" w14:textId="77777777" w:rsidR="00843FDA" w:rsidRPr="00C6580C" w:rsidRDefault="00843FDA" w:rsidP="00CD7CAC">
            <w:pPr>
              <w:widowControl/>
              <w:jc w:val="center"/>
              <w:rPr>
                <w:szCs w:val="22"/>
              </w:rPr>
            </w:pPr>
            <w:r w:rsidRPr="00C6580C">
              <w:rPr>
                <w:kern w:val="0"/>
                <w:szCs w:val="22"/>
              </w:rPr>
              <w:t>* * *</w:t>
            </w:r>
          </w:p>
        </w:tc>
      </w:tr>
      <w:tr w:rsidR="00843FDA" w:rsidRPr="00C6580C" w14:paraId="56DD7061" w14:textId="77777777">
        <w:tc>
          <w:tcPr>
            <w:tcW w:w="0" w:type="auto"/>
            <w:tcBorders>
              <w:top w:val="single" w:sz="4" w:space="0" w:color="000000"/>
              <w:left w:val="single" w:sz="4" w:space="0" w:color="000000"/>
              <w:bottom w:val="single" w:sz="4" w:space="0" w:color="000000"/>
              <w:right w:val="single" w:sz="4" w:space="0" w:color="000000"/>
            </w:tcBorders>
          </w:tcPr>
          <w:p w14:paraId="60968E72" w14:textId="77777777" w:rsidR="00843FDA" w:rsidRPr="00C6580C" w:rsidRDefault="00843FDA" w:rsidP="00CD7CAC">
            <w:pPr>
              <w:widowControl/>
              <w:rPr>
                <w:kern w:val="0"/>
                <w:szCs w:val="22"/>
              </w:rPr>
            </w:pPr>
            <w:r w:rsidRPr="00C6580C">
              <w:rPr>
                <w:kern w:val="0"/>
                <w:szCs w:val="22"/>
              </w:rPr>
              <w:t>363a</w:t>
            </w:r>
          </w:p>
        </w:tc>
        <w:tc>
          <w:tcPr>
            <w:tcW w:w="0" w:type="auto"/>
            <w:tcBorders>
              <w:top w:val="single" w:sz="4" w:space="0" w:color="000000"/>
              <w:left w:val="single" w:sz="4" w:space="0" w:color="000000"/>
              <w:bottom w:val="single" w:sz="4" w:space="0" w:color="000000"/>
              <w:right w:val="single" w:sz="4" w:space="0" w:color="000000"/>
            </w:tcBorders>
          </w:tcPr>
          <w:p w14:paraId="0AE38E79" w14:textId="77777777" w:rsidR="00843FDA" w:rsidRPr="00C6580C" w:rsidRDefault="00843FDA" w:rsidP="00CD7CAC">
            <w:pPr>
              <w:widowControl/>
              <w:jc w:val="right"/>
              <w:rPr>
                <w:kern w:val="0"/>
                <w:szCs w:val="22"/>
              </w:rPr>
            </w:pPr>
            <w:r w:rsidRPr="00C6580C">
              <w:rPr>
                <w:kern w:val="0"/>
                <w:szCs w:val="22"/>
              </w:rPr>
              <w:t>.3250</w:t>
            </w:r>
          </w:p>
        </w:tc>
      </w:tr>
      <w:tr w:rsidR="00843FDA" w:rsidRPr="00C6580C" w14:paraId="1E98BA27" w14:textId="77777777">
        <w:tc>
          <w:tcPr>
            <w:tcW w:w="0" w:type="auto"/>
            <w:tcBorders>
              <w:top w:val="single" w:sz="4" w:space="0" w:color="000000"/>
              <w:left w:val="single" w:sz="4" w:space="0" w:color="000000"/>
              <w:bottom w:val="single" w:sz="4" w:space="0" w:color="000000"/>
              <w:right w:val="single" w:sz="4" w:space="0" w:color="000000"/>
            </w:tcBorders>
          </w:tcPr>
          <w:p w14:paraId="082D0A7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2F726CF" w14:textId="77777777" w:rsidR="00843FDA" w:rsidRPr="00C6580C" w:rsidRDefault="00843FDA" w:rsidP="00CD7CAC">
            <w:pPr>
              <w:widowControl/>
              <w:jc w:val="center"/>
              <w:rPr>
                <w:szCs w:val="22"/>
              </w:rPr>
            </w:pPr>
            <w:r w:rsidRPr="00C6580C">
              <w:rPr>
                <w:kern w:val="0"/>
                <w:szCs w:val="22"/>
              </w:rPr>
              <w:t>* * *</w:t>
            </w:r>
          </w:p>
        </w:tc>
      </w:tr>
      <w:tr w:rsidR="00843FDA" w:rsidRPr="00C6580C" w14:paraId="0EC14048" w14:textId="77777777">
        <w:tc>
          <w:tcPr>
            <w:tcW w:w="0" w:type="auto"/>
            <w:tcBorders>
              <w:top w:val="single" w:sz="4" w:space="0" w:color="000000"/>
              <w:left w:val="single" w:sz="4" w:space="0" w:color="000000"/>
              <w:bottom w:val="single" w:sz="4" w:space="0" w:color="000000"/>
              <w:right w:val="single" w:sz="4" w:space="0" w:color="000000"/>
            </w:tcBorders>
          </w:tcPr>
          <w:p w14:paraId="642A33AC" w14:textId="77777777" w:rsidR="00843FDA" w:rsidRPr="00C6580C" w:rsidRDefault="00843FDA" w:rsidP="00CD7CAC">
            <w:pPr>
              <w:widowControl/>
              <w:rPr>
                <w:kern w:val="0"/>
                <w:szCs w:val="22"/>
              </w:rPr>
            </w:pPr>
            <w:r w:rsidRPr="00C6580C">
              <w:rPr>
                <w:kern w:val="0"/>
                <w:szCs w:val="22"/>
              </w:rPr>
              <w:t>364a</w:t>
            </w:r>
          </w:p>
        </w:tc>
        <w:tc>
          <w:tcPr>
            <w:tcW w:w="0" w:type="auto"/>
            <w:tcBorders>
              <w:top w:val="single" w:sz="4" w:space="0" w:color="000000"/>
              <w:left w:val="single" w:sz="4" w:space="0" w:color="000000"/>
              <w:bottom w:val="single" w:sz="4" w:space="0" w:color="000000"/>
              <w:right w:val="single" w:sz="4" w:space="0" w:color="000000"/>
            </w:tcBorders>
          </w:tcPr>
          <w:p w14:paraId="420D2E97" w14:textId="77777777" w:rsidR="00843FDA" w:rsidRPr="00C6580C" w:rsidRDefault="00843FDA" w:rsidP="00CD7CAC">
            <w:pPr>
              <w:widowControl/>
              <w:jc w:val="right"/>
              <w:rPr>
                <w:kern w:val="0"/>
                <w:szCs w:val="22"/>
              </w:rPr>
            </w:pPr>
            <w:r w:rsidRPr="00C6580C">
              <w:rPr>
                <w:kern w:val="0"/>
                <w:szCs w:val="22"/>
              </w:rPr>
              <w:t>.3500</w:t>
            </w:r>
          </w:p>
        </w:tc>
      </w:tr>
      <w:tr w:rsidR="00843FDA" w:rsidRPr="00C6580C" w14:paraId="36B56941" w14:textId="77777777">
        <w:tc>
          <w:tcPr>
            <w:tcW w:w="0" w:type="auto"/>
            <w:tcBorders>
              <w:top w:val="single" w:sz="4" w:space="0" w:color="000000"/>
              <w:left w:val="single" w:sz="4" w:space="0" w:color="000000"/>
              <w:bottom w:val="single" w:sz="4" w:space="0" w:color="000000"/>
              <w:right w:val="single" w:sz="4" w:space="0" w:color="000000"/>
            </w:tcBorders>
          </w:tcPr>
          <w:p w14:paraId="26CBD37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47B3BE3" w14:textId="77777777" w:rsidR="00843FDA" w:rsidRPr="00C6580C" w:rsidRDefault="00843FDA" w:rsidP="00CD7CAC">
            <w:pPr>
              <w:widowControl/>
              <w:jc w:val="center"/>
              <w:rPr>
                <w:szCs w:val="22"/>
              </w:rPr>
            </w:pPr>
            <w:r w:rsidRPr="00C6580C">
              <w:rPr>
                <w:kern w:val="0"/>
                <w:szCs w:val="22"/>
              </w:rPr>
              <w:t>* * *</w:t>
            </w:r>
          </w:p>
        </w:tc>
      </w:tr>
      <w:tr w:rsidR="00843FDA" w:rsidRPr="00C6580C" w14:paraId="399789C2" w14:textId="77777777">
        <w:tc>
          <w:tcPr>
            <w:tcW w:w="0" w:type="auto"/>
            <w:tcBorders>
              <w:top w:val="single" w:sz="4" w:space="0" w:color="000000"/>
              <w:left w:val="single" w:sz="4" w:space="0" w:color="000000"/>
              <w:bottom w:val="single" w:sz="4" w:space="0" w:color="000000"/>
              <w:right w:val="single" w:sz="4" w:space="0" w:color="000000"/>
            </w:tcBorders>
          </w:tcPr>
          <w:p w14:paraId="6893AAC4" w14:textId="77777777" w:rsidR="00843FDA" w:rsidRPr="00C6580C" w:rsidRDefault="00843FDA" w:rsidP="00CD7CAC">
            <w:pPr>
              <w:widowControl/>
              <w:rPr>
                <w:kern w:val="0"/>
                <w:szCs w:val="22"/>
              </w:rPr>
            </w:pPr>
            <w:r w:rsidRPr="00C6580C">
              <w:rPr>
                <w:kern w:val="0"/>
                <w:szCs w:val="22"/>
              </w:rPr>
              <w:t>365a</w:t>
            </w:r>
          </w:p>
        </w:tc>
        <w:tc>
          <w:tcPr>
            <w:tcW w:w="0" w:type="auto"/>
            <w:tcBorders>
              <w:top w:val="single" w:sz="4" w:space="0" w:color="000000"/>
              <w:left w:val="single" w:sz="4" w:space="0" w:color="000000"/>
              <w:bottom w:val="single" w:sz="4" w:space="0" w:color="000000"/>
              <w:right w:val="single" w:sz="4" w:space="0" w:color="000000"/>
            </w:tcBorders>
          </w:tcPr>
          <w:p w14:paraId="040B1E56" w14:textId="77777777" w:rsidR="00843FDA" w:rsidRPr="00C6580C" w:rsidRDefault="00843FDA" w:rsidP="00CD7CAC">
            <w:pPr>
              <w:widowControl/>
              <w:jc w:val="right"/>
              <w:rPr>
                <w:kern w:val="0"/>
                <w:szCs w:val="22"/>
              </w:rPr>
            </w:pPr>
            <w:r w:rsidRPr="00C6580C">
              <w:rPr>
                <w:kern w:val="0"/>
                <w:szCs w:val="22"/>
              </w:rPr>
              <w:t>.3750</w:t>
            </w:r>
          </w:p>
        </w:tc>
      </w:tr>
      <w:tr w:rsidR="00843FDA" w:rsidRPr="00C6580C" w14:paraId="7918EE79" w14:textId="77777777">
        <w:tc>
          <w:tcPr>
            <w:tcW w:w="0" w:type="auto"/>
            <w:tcBorders>
              <w:top w:val="single" w:sz="4" w:space="0" w:color="000000"/>
              <w:left w:val="single" w:sz="4" w:space="0" w:color="000000"/>
              <w:bottom w:val="single" w:sz="4" w:space="0" w:color="000000"/>
              <w:right w:val="single" w:sz="4" w:space="0" w:color="000000"/>
            </w:tcBorders>
          </w:tcPr>
          <w:p w14:paraId="058C9A0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DFD4A51" w14:textId="77777777" w:rsidR="00843FDA" w:rsidRPr="00C6580C" w:rsidRDefault="00843FDA" w:rsidP="00CD7CAC">
            <w:pPr>
              <w:widowControl/>
              <w:jc w:val="center"/>
              <w:rPr>
                <w:szCs w:val="22"/>
              </w:rPr>
            </w:pPr>
            <w:r w:rsidRPr="00C6580C">
              <w:rPr>
                <w:kern w:val="0"/>
                <w:szCs w:val="22"/>
              </w:rPr>
              <w:t>* * *</w:t>
            </w:r>
          </w:p>
        </w:tc>
      </w:tr>
      <w:tr w:rsidR="00843FDA" w:rsidRPr="00C6580C" w14:paraId="513604BE" w14:textId="77777777">
        <w:tc>
          <w:tcPr>
            <w:tcW w:w="0" w:type="auto"/>
            <w:tcBorders>
              <w:top w:val="single" w:sz="4" w:space="0" w:color="000000"/>
              <w:left w:val="single" w:sz="4" w:space="0" w:color="000000"/>
              <w:bottom w:val="single" w:sz="4" w:space="0" w:color="000000"/>
              <w:right w:val="single" w:sz="4" w:space="0" w:color="000000"/>
            </w:tcBorders>
          </w:tcPr>
          <w:p w14:paraId="4C818B45" w14:textId="77777777" w:rsidR="00843FDA" w:rsidRPr="00C6580C" w:rsidRDefault="00843FDA" w:rsidP="00CD7CAC">
            <w:pPr>
              <w:widowControl/>
              <w:rPr>
                <w:kern w:val="0"/>
                <w:szCs w:val="22"/>
              </w:rPr>
            </w:pPr>
            <w:r w:rsidRPr="00C6580C">
              <w:rPr>
                <w:kern w:val="0"/>
                <w:szCs w:val="22"/>
              </w:rPr>
              <w:t>366a</w:t>
            </w:r>
          </w:p>
        </w:tc>
        <w:tc>
          <w:tcPr>
            <w:tcW w:w="0" w:type="auto"/>
            <w:tcBorders>
              <w:top w:val="single" w:sz="4" w:space="0" w:color="000000"/>
              <w:left w:val="single" w:sz="4" w:space="0" w:color="000000"/>
              <w:bottom w:val="single" w:sz="4" w:space="0" w:color="000000"/>
              <w:right w:val="single" w:sz="4" w:space="0" w:color="000000"/>
            </w:tcBorders>
          </w:tcPr>
          <w:p w14:paraId="20C8C4E3" w14:textId="77777777" w:rsidR="00843FDA" w:rsidRPr="00C6580C" w:rsidRDefault="00843FDA" w:rsidP="00CD7CAC">
            <w:pPr>
              <w:widowControl/>
              <w:jc w:val="right"/>
              <w:rPr>
                <w:kern w:val="0"/>
                <w:szCs w:val="22"/>
              </w:rPr>
            </w:pPr>
            <w:r w:rsidRPr="00C6580C">
              <w:rPr>
                <w:kern w:val="0"/>
                <w:szCs w:val="22"/>
              </w:rPr>
              <w:t>.4000</w:t>
            </w:r>
          </w:p>
        </w:tc>
      </w:tr>
      <w:tr w:rsidR="00843FDA" w:rsidRPr="00C6580C" w14:paraId="13DDD26D" w14:textId="77777777">
        <w:tc>
          <w:tcPr>
            <w:tcW w:w="0" w:type="auto"/>
            <w:tcBorders>
              <w:top w:val="single" w:sz="4" w:space="0" w:color="000000"/>
              <w:left w:val="single" w:sz="4" w:space="0" w:color="000000"/>
              <w:bottom w:val="single" w:sz="4" w:space="0" w:color="000000"/>
              <w:right w:val="single" w:sz="4" w:space="0" w:color="000000"/>
            </w:tcBorders>
          </w:tcPr>
          <w:p w14:paraId="2060C36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B35A3E8" w14:textId="77777777" w:rsidR="00843FDA" w:rsidRPr="00C6580C" w:rsidRDefault="00843FDA" w:rsidP="00CD7CAC">
            <w:pPr>
              <w:widowControl/>
              <w:jc w:val="center"/>
              <w:rPr>
                <w:szCs w:val="22"/>
              </w:rPr>
            </w:pPr>
            <w:r w:rsidRPr="00C6580C">
              <w:rPr>
                <w:kern w:val="0"/>
                <w:szCs w:val="22"/>
              </w:rPr>
              <w:t>* * *</w:t>
            </w:r>
          </w:p>
        </w:tc>
      </w:tr>
      <w:tr w:rsidR="00843FDA" w:rsidRPr="00C6580C" w14:paraId="2DD455E8" w14:textId="77777777">
        <w:tc>
          <w:tcPr>
            <w:tcW w:w="0" w:type="auto"/>
            <w:tcBorders>
              <w:top w:val="single" w:sz="4" w:space="0" w:color="000000"/>
              <w:left w:val="single" w:sz="4" w:space="0" w:color="000000"/>
              <w:bottom w:val="single" w:sz="4" w:space="0" w:color="000000"/>
              <w:right w:val="single" w:sz="4" w:space="0" w:color="000000"/>
            </w:tcBorders>
          </w:tcPr>
          <w:p w14:paraId="3FDE5C97" w14:textId="77777777" w:rsidR="00843FDA" w:rsidRPr="00C6580C" w:rsidRDefault="00843FDA" w:rsidP="00CD7CAC">
            <w:pPr>
              <w:widowControl/>
              <w:rPr>
                <w:kern w:val="0"/>
                <w:szCs w:val="22"/>
              </w:rPr>
            </w:pPr>
            <w:r w:rsidRPr="00C6580C">
              <w:rPr>
                <w:kern w:val="0"/>
                <w:szCs w:val="22"/>
              </w:rPr>
              <w:t>367a</w:t>
            </w:r>
          </w:p>
        </w:tc>
        <w:tc>
          <w:tcPr>
            <w:tcW w:w="0" w:type="auto"/>
            <w:tcBorders>
              <w:top w:val="single" w:sz="4" w:space="0" w:color="000000"/>
              <w:left w:val="single" w:sz="4" w:space="0" w:color="000000"/>
              <w:bottom w:val="single" w:sz="4" w:space="0" w:color="000000"/>
              <w:right w:val="single" w:sz="4" w:space="0" w:color="000000"/>
            </w:tcBorders>
          </w:tcPr>
          <w:p w14:paraId="5092E126" w14:textId="77777777" w:rsidR="00843FDA" w:rsidRPr="00C6580C" w:rsidRDefault="00843FDA" w:rsidP="00CD7CAC">
            <w:pPr>
              <w:widowControl/>
              <w:jc w:val="right"/>
              <w:rPr>
                <w:kern w:val="0"/>
                <w:szCs w:val="22"/>
              </w:rPr>
            </w:pPr>
            <w:r w:rsidRPr="00C6580C">
              <w:rPr>
                <w:kern w:val="0"/>
                <w:szCs w:val="22"/>
              </w:rPr>
              <w:t>.4250</w:t>
            </w:r>
          </w:p>
        </w:tc>
      </w:tr>
      <w:tr w:rsidR="00843FDA" w:rsidRPr="00C6580C" w14:paraId="77D602B6" w14:textId="77777777">
        <w:tc>
          <w:tcPr>
            <w:tcW w:w="0" w:type="auto"/>
            <w:tcBorders>
              <w:top w:val="single" w:sz="4" w:space="0" w:color="000000"/>
              <w:left w:val="single" w:sz="4" w:space="0" w:color="000000"/>
              <w:bottom w:val="single" w:sz="4" w:space="0" w:color="000000"/>
              <w:right w:val="single" w:sz="4" w:space="0" w:color="000000"/>
            </w:tcBorders>
          </w:tcPr>
          <w:p w14:paraId="45F07CB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5ED9E13" w14:textId="77777777" w:rsidR="00843FDA" w:rsidRPr="00C6580C" w:rsidRDefault="00843FDA" w:rsidP="00CD7CAC">
            <w:pPr>
              <w:widowControl/>
              <w:jc w:val="center"/>
              <w:rPr>
                <w:szCs w:val="22"/>
              </w:rPr>
            </w:pPr>
            <w:r w:rsidRPr="00C6580C">
              <w:rPr>
                <w:kern w:val="0"/>
                <w:szCs w:val="22"/>
              </w:rPr>
              <w:t>* * *</w:t>
            </w:r>
          </w:p>
        </w:tc>
      </w:tr>
      <w:tr w:rsidR="00843FDA" w:rsidRPr="00C6580C" w14:paraId="73A60BB2" w14:textId="77777777">
        <w:tc>
          <w:tcPr>
            <w:tcW w:w="0" w:type="auto"/>
            <w:tcBorders>
              <w:top w:val="single" w:sz="4" w:space="0" w:color="000000"/>
              <w:left w:val="single" w:sz="4" w:space="0" w:color="000000"/>
              <w:bottom w:val="single" w:sz="4" w:space="0" w:color="000000"/>
              <w:right w:val="single" w:sz="4" w:space="0" w:color="000000"/>
            </w:tcBorders>
          </w:tcPr>
          <w:p w14:paraId="6832E8B7" w14:textId="77777777" w:rsidR="00843FDA" w:rsidRPr="00C6580C" w:rsidRDefault="00843FDA" w:rsidP="00CD7CAC">
            <w:pPr>
              <w:widowControl/>
              <w:rPr>
                <w:kern w:val="0"/>
                <w:szCs w:val="22"/>
              </w:rPr>
            </w:pPr>
            <w:r w:rsidRPr="00C6580C">
              <w:rPr>
                <w:kern w:val="0"/>
                <w:szCs w:val="22"/>
              </w:rPr>
              <w:t>368a</w:t>
            </w:r>
          </w:p>
        </w:tc>
        <w:tc>
          <w:tcPr>
            <w:tcW w:w="0" w:type="auto"/>
            <w:tcBorders>
              <w:top w:val="single" w:sz="4" w:space="0" w:color="000000"/>
              <w:left w:val="single" w:sz="4" w:space="0" w:color="000000"/>
              <w:bottom w:val="single" w:sz="4" w:space="0" w:color="000000"/>
              <w:right w:val="single" w:sz="4" w:space="0" w:color="000000"/>
            </w:tcBorders>
          </w:tcPr>
          <w:p w14:paraId="0416A434" w14:textId="77777777" w:rsidR="00843FDA" w:rsidRPr="00C6580C" w:rsidRDefault="00843FDA" w:rsidP="00CD7CAC">
            <w:pPr>
              <w:widowControl/>
              <w:jc w:val="right"/>
              <w:rPr>
                <w:kern w:val="0"/>
                <w:szCs w:val="22"/>
              </w:rPr>
            </w:pPr>
            <w:r w:rsidRPr="00C6580C">
              <w:rPr>
                <w:kern w:val="0"/>
                <w:szCs w:val="22"/>
              </w:rPr>
              <w:t>.4500</w:t>
            </w:r>
          </w:p>
        </w:tc>
      </w:tr>
      <w:tr w:rsidR="00843FDA" w:rsidRPr="00C6580C" w14:paraId="3CBA0543" w14:textId="77777777">
        <w:tc>
          <w:tcPr>
            <w:tcW w:w="0" w:type="auto"/>
            <w:tcBorders>
              <w:top w:val="single" w:sz="4" w:space="0" w:color="000000"/>
              <w:left w:val="single" w:sz="4" w:space="0" w:color="000000"/>
              <w:bottom w:val="single" w:sz="4" w:space="0" w:color="000000"/>
              <w:right w:val="single" w:sz="4" w:space="0" w:color="000000"/>
            </w:tcBorders>
          </w:tcPr>
          <w:p w14:paraId="441B9D5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26F8E7B" w14:textId="77777777" w:rsidR="00843FDA" w:rsidRPr="00C6580C" w:rsidRDefault="00843FDA" w:rsidP="00CD7CAC">
            <w:pPr>
              <w:widowControl/>
              <w:jc w:val="center"/>
              <w:rPr>
                <w:szCs w:val="22"/>
              </w:rPr>
            </w:pPr>
            <w:r w:rsidRPr="00C6580C">
              <w:rPr>
                <w:kern w:val="0"/>
                <w:szCs w:val="22"/>
              </w:rPr>
              <w:t>* * *</w:t>
            </w:r>
          </w:p>
        </w:tc>
      </w:tr>
      <w:tr w:rsidR="00843FDA" w:rsidRPr="00C6580C" w14:paraId="15373D0D" w14:textId="77777777">
        <w:tc>
          <w:tcPr>
            <w:tcW w:w="0" w:type="auto"/>
            <w:tcBorders>
              <w:top w:val="single" w:sz="4" w:space="0" w:color="000000"/>
              <w:left w:val="single" w:sz="4" w:space="0" w:color="000000"/>
              <w:bottom w:val="single" w:sz="4" w:space="0" w:color="000000"/>
              <w:right w:val="single" w:sz="4" w:space="0" w:color="000000"/>
            </w:tcBorders>
          </w:tcPr>
          <w:p w14:paraId="4768A97D" w14:textId="77777777" w:rsidR="00843FDA" w:rsidRPr="00C6580C" w:rsidRDefault="00843FDA" w:rsidP="00CD7CAC">
            <w:pPr>
              <w:widowControl/>
              <w:rPr>
                <w:kern w:val="0"/>
                <w:szCs w:val="22"/>
              </w:rPr>
            </w:pPr>
            <w:r w:rsidRPr="00C6580C">
              <w:rPr>
                <w:kern w:val="0"/>
                <w:szCs w:val="22"/>
              </w:rPr>
              <w:t>369a</w:t>
            </w:r>
          </w:p>
        </w:tc>
        <w:tc>
          <w:tcPr>
            <w:tcW w:w="0" w:type="auto"/>
            <w:tcBorders>
              <w:top w:val="single" w:sz="4" w:space="0" w:color="000000"/>
              <w:left w:val="single" w:sz="4" w:space="0" w:color="000000"/>
              <w:bottom w:val="single" w:sz="4" w:space="0" w:color="000000"/>
              <w:right w:val="single" w:sz="4" w:space="0" w:color="000000"/>
            </w:tcBorders>
          </w:tcPr>
          <w:p w14:paraId="153B0B90" w14:textId="77777777" w:rsidR="00843FDA" w:rsidRPr="00C6580C" w:rsidRDefault="00843FDA" w:rsidP="00CD7CAC">
            <w:pPr>
              <w:widowControl/>
              <w:jc w:val="right"/>
              <w:rPr>
                <w:kern w:val="0"/>
                <w:szCs w:val="22"/>
              </w:rPr>
            </w:pPr>
            <w:r w:rsidRPr="00C6580C">
              <w:rPr>
                <w:kern w:val="0"/>
                <w:szCs w:val="22"/>
              </w:rPr>
              <w:t>.4750</w:t>
            </w:r>
          </w:p>
        </w:tc>
      </w:tr>
      <w:tr w:rsidR="00843FDA" w:rsidRPr="00C6580C" w14:paraId="134CB331" w14:textId="77777777">
        <w:tc>
          <w:tcPr>
            <w:tcW w:w="0" w:type="auto"/>
            <w:tcBorders>
              <w:top w:val="single" w:sz="4" w:space="0" w:color="000000"/>
              <w:left w:val="single" w:sz="4" w:space="0" w:color="000000"/>
              <w:bottom w:val="single" w:sz="4" w:space="0" w:color="000000"/>
              <w:right w:val="single" w:sz="4" w:space="0" w:color="000000"/>
            </w:tcBorders>
          </w:tcPr>
          <w:p w14:paraId="032DD5D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0727DB1" w14:textId="77777777" w:rsidR="00843FDA" w:rsidRPr="00C6580C" w:rsidRDefault="00843FDA" w:rsidP="00CD7CAC">
            <w:pPr>
              <w:widowControl/>
              <w:jc w:val="center"/>
              <w:rPr>
                <w:szCs w:val="22"/>
              </w:rPr>
            </w:pPr>
            <w:r w:rsidRPr="00C6580C">
              <w:rPr>
                <w:kern w:val="0"/>
                <w:szCs w:val="22"/>
              </w:rPr>
              <w:t>* * *</w:t>
            </w:r>
          </w:p>
        </w:tc>
      </w:tr>
      <w:tr w:rsidR="00843FDA" w:rsidRPr="00C6580C" w14:paraId="24967A54" w14:textId="77777777">
        <w:tc>
          <w:tcPr>
            <w:tcW w:w="0" w:type="auto"/>
            <w:tcBorders>
              <w:top w:val="single" w:sz="4" w:space="0" w:color="000000"/>
              <w:left w:val="single" w:sz="4" w:space="0" w:color="000000"/>
              <w:bottom w:val="single" w:sz="4" w:space="0" w:color="000000"/>
              <w:right w:val="single" w:sz="4" w:space="0" w:color="000000"/>
            </w:tcBorders>
          </w:tcPr>
          <w:p w14:paraId="008318A6" w14:textId="77777777" w:rsidR="00843FDA" w:rsidRPr="00C6580C" w:rsidRDefault="00843FDA" w:rsidP="00CD7CAC">
            <w:pPr>
              <w:widowControl/>
              <w:rPr>
                <w:kern w:val="0"/>
                <w:szCs w:val="22"/>
              </w:rPr>
            </w:pPr>
            <w:r w:rsidRPr="00C6580C">
              <w:rPr>
                <w:kern w:val="0"/>
                <w:szCs w:val="22"/>
              </w:rPr>
              <w:t>370a</w:t>
            </w:r>
          </w:p>
        </w:tc>
        <w:tc>
          <w:tcPr>
            <w:tcW w:w="0" w:type="auto"/>
            <w:tcBorders>
              <w:top w:val="single" w:sz="4" w:space="0" w:color="000000"/>
              <w:left w:val="single" w:sz="4" w:space="0" w:color="000000"/>
              <w:bottom w:val="single" w:sz="4" w:space="0" w:color="000000"/>
              <w:right w:val="single" w:sz="4" w:space="0" w:color="000000"/>
            </w:tcBorders>
          </w:tcPr>
          <w:p w14:paraId="40555479" w14:textId="77777777" w:rsidR="00843FDA" w:rsidRPr="00C6580C" w:rsidRDefault="00843FDA" w:rsidP="00CD7CAC">
            <w:pPr>
              <w:widowControl/>
              <w:jc w:val="right"/>
              <w:rPr>
                <w:kern w:val="0"/>
                <w:szCs w:val="22"/>
              </w:rPr>
            </w:pPr>
            <w:r w:rsidRPr="00C6580C">
              <w:rPr>
                <w:kern w:val="0"/>
                <w:szCs w:val="22"/>
              </w:rPr>
              <w:t>.5000</w:t>
            </w:r>
          </w:p>
        </w:tc>
      </w:tr>
      <w:tr w:rsidR="00843FDA" w:rsidRPr="00C6580C" w14:paraId="7D6B850D" w14:textId="77777777">
        <w:tc>
          <w:tcPr>
            <w:tcW w:w="0" w:type="auto"/>
            <w:tcBorders>
              <w:top w:val="single" w:sz="4" w:space="0" w:color="000000"/>
              <w:left w:val="single" w:sz="4" w:space="0" w:color="000000"/>
              <w:bottom w:val="single" w:sz="4" w:space="0" w:color="000000"/>
              <w:right w:val="single" w:sz="4" w:space="0" w:color="000000"/>
            </w:tcBorders>
          </w:tcPr>
          <w:p w14:paraId="3BDFBBB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1301A3E" w14:textId="77777777" w:rsidR="00843FDA" w:rsidRPr="00C6580C" w:rsidRDefault="00843FDA" w:rsidP="00CD7CAC">
            <w:pPr>
              <w:widowControl/>
              <w:jc w:val="center"/>
              <w:rPr>
                <w:szCs w:val="22"/>
              </w:rPr>
            </w:pPr>
            <w:r w:rsidRPr="00C6580C">
              <w:rPr>
                <w:kern w:val="0"/>
                <w:szCs w:val="22"/>
              </w:rPr>
              <w:t>* * *</w:t>
            </w:r>
          </w:p>
        </w:tc>
      </w:tr>
      <w:tr w:rsidR="00843FDA" w:rsidRPr="00C6580C" w14:paraId="278D5473" w14:textId="77777777">
        <w:tc>
          <w:tcPr>
            <w:tcW w:w="0" w:type="auto"/>
            <w:tcBorders>
              <w:top w:val="single" w:sz="4" w:space="0" w:color="000000"/>
              <w:left w:val="single" w:sz="4" w:space="0" w:color="000000"/>
              <w:bottom w:val="single" w:sz="4" w:space="0" w:color="000000"/>
              <w:right w:val="single" w:sz="4" w:space="0" w:color="000000"/>
            </w:tcBorders>
          </w:tcPr>
          <w:p w14:paraId="20DC3D55" w14:textId="77777777" w:rsidR="00843FDA" w:rsidRPr="00C6580C" w:rsidRDefault="00843FDA" w:rsidP="00CD7CAC">
            <w:pPr>
              <w:widowControl/>
              <w:rPr>
                <w:kern w:val="0"/>
                <w:szCs w:val="22"/>
              </w:rPr>
            </w:pPr>
            <w:r w:rsidRPr="00C6580C">
              <w:rPr>
                <w:kern w:val="0"/>
                <w:szCs w:val="22"/>
              </w:rPr>
              <w:t>371a</w:t>
            </w:r>
          </w:p>
        </w:tc>
        <w:tc>
          <w:tcPr>
            <w:tcW w:w="0" w:type="auto"/>
            <w:tcBorders>
              <w:top w:val="single" w:sz="4" w:space="0" w:color="000000"/>
              <w:left w:val="single" w:sz="4" w:space="0" w:color="000000"/>
              <w:bottom w:val="single" w:sz="4" w:space="0" w:color="000000"/>
              <w:right w:val="single" w:sz="4" w:space="0" w:color="000000"/>
            </w:tcBorders>
          </w:tcPr>
          <w:p w14:paraId="3C29B83A" w14:textId="77777777" w:rsidR="00843FDA" w:rsidRPr="00C6580C" w:rsidRDefault="00843FDA" w:rsidP="00CD7CAC">
            <w:pPr>
              <w:widowControl/>
              <w:jc w:val="right"/>
              <w:rPr>
                <w:kern w:val="0"/>
                <w:szCs w:val="22"/>
              </w:rPr>
            </w:pPr>
            <w:r w:rsidRPr="00C6580C">
              <w:rPr>
                <w:kern w:val="0"/>
                <w:szCs w:val="22"/>
              </w:rPr>
              <w:t>.5250</w:t>
            </w:r>
          </w:p>
        </w:tc>
      </w:tr>
      <w:tr w:rsidR="00843FDA" w:rsidRPr="00C6580C" w14:paraId="06B8BB05" w14:textId="77777777">
        <w:tc>
          <w:tcPr>
            <w:tcW w:w="0" w:type="auto"/>
            <w:tcBorders>
              <w:top w:val="single" w:sz="4" w:space="0" w:color="000000"/>
              <w:left w:val="single" w:sz="4" w:space="0" w:color="000000"/>
              <w:bottom w:val="single" w:sz="4" w:space="0" w:color="000000"/>
              <w:right w:val="single" w:sz="4" w:space="0" w:color="000000"/>
            </w:tcBorders>
          </w:tcPr>
          <w:p w14:paraId="73ED8F4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B9E65EA" w14:textId="77777777" w:rsidR="00843FDA" w:rsidRPr="00C6580C" w:rsidRDefault="00843FDA" w:rsidP="00CD7CAC">
            <w:pPr>
              <w:widowControl/>
              <w:jc w:val="center"/>
              <w:rPr>
                <w:szCs w:val="22"/>
              </w:rPr>
            </w:pPr>
            <w:r w:rsidRPr="00C6580C">
              <w:rPr>
                <w:kern w:val="0"/>
                <w:szCs w:val="22"/>
              </w:rPr>
              <w:t>* * *</w:t>
            </w:r>
          </w:p>
        </w:tc>
      </w:tr>
      <w:tr w:rsidR="00843FDA" w:rsidRPr="00C6580C" w14:paraId="1BAD8D3B" w14:textId="77777777">
        <w:tc>
          <w:tcPr>
            <w:tcW w:w="0" w:type="auto"/>
            <w:tcBorders>
              <w:top w:val="single" w:sz="4" w:space="0" w:color="000000"/>
              <w:left w:val="single" w:sz="4" w:space="0" w:color="000000"/>
              <w:bottom w:val="single" w:sz="4" w:space="0" w:color="000000"/>
              <w:right w:val="single" w:sz="4" w:space="0" w:color="000000"/>
            </w:tcBorders>
          </w:tcPr>
          <w:p w14:paraId="77EB6FC7" w14:textId="77777777" w:rsidR="00843FDA" w:rsidRPr="00C6580C" w:rsidRDefault="00843FDA" w:rsidP="00CD7CAC">
            <w:pPr>
              <w:widowControl/>
              <w:rPr>
                <w:kern w:val="0"/>
                <w:szCs w:val="22"/>
              </w:rPr>
            </w:pPr>
            <w:r w:rsidRPr="00C6580C">
              <w:rPr>
                <w:kern w:val="0"/>
                <w:szCs w:val="22"/>
              </w:rPr>
              <w:t>372a</w:t>
            </w:r>
          </w:p>
        </w:tc>
        <w:tc>
          <w:tcPr>
            <w:tcW w:w="0" w:type="auto"/>
            <w:tcBorders>
              <w:top w:val="single" w:sz="4" w:space="0" w:color="000000"/>
              <w:left w:val="single" w:sz="4" w:space="0" w:color="000000"/>
              <w:bottom w:val="single" w:sz="4" w:space="0" w:color="000000"/>
              <w:right w:val="single" w:sz="4" w:space="0" w:color="000000"/>
            </w:tcBorders>
          </w:tcPr>
          <w:p w14:paraId="1E2C11A4" w14:textId="77777777" w:rsidR="00843FDA" w:rsidRPr="00C6580C" w:rsidRDefault="00843FDA" w:rsidP="00CD7CAC">
            <w:pPr>
              <w:widowControl/>
              <w:jc w:val="right"/>
              <w:rPr>
                <w:kern w:val="0"/>
                <w:szCs w:val="22"/>
              </w:rPr>
            </w:pPr>
            <w:r w:rsidRPr="00C6580C">
              <w:rPr>
                <w:kern w:val="0"/>
                <w:szCs w:val="22"/>
              </w:rPr>
              <w:t>.5500</w:t>
            </w:r>
          </w:p>
        </w:tc>
      </w:tr>
      <w:tr w:rsidR="00843FDA" w:rsidRPr="00C6580C" w14:paraId="06EEB415" w14:textId="77777777">
        <w:tc>
          <w:tcPr>
            <w:tcW w:w="0" w:type="auto"/>
            <w:tcBorders>
              <w:top w:val="single" w:sz="4" w:space="0" w:color="000000"/>
              <w:left w:val="single" w:sz="4" w:space="0" w:color="000000"/>
              <w:bottom w:val="single" w:sz="4" w:space="0" w:color="000000"/>
              <w:right w:val="single" w:sz="4" w:space="0" w:color="000000"/>
            </w:tcBorders>
          </w:tcPr>
          <w:p w14:paraId="6C0FE34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88FFD21" w14:textId="77777777" w:rsidR="00843FDA" w:rsidRPr="00C6580C" w:rsidRDefault="00843FDA" w:rsidP="00CD7CAC">
            <w:pPr>
              <w:widowControl/>
              <w:jc w:val="center"/>
              <w:rPr>
                <w:szCs w:val="22"/>
              </w:rPr>
            </w:pPr>
            <w:r w:rsidRPr="00C6580C">
              <w:rPr>
                <w:kern w:val="0"/>
                <w:szCs w:val="22"/>
              </w:rPr>
              <w:t>* * *</w:t>
            </w:r>
          </w:p>
        </w:tc>
      </w:tr>
      <w:tr w:rsidR="00843FDA" w:rsidRPr="00C6580C" w14:paraId="4FDD41B6" w14:textId="77777777">
        <w:tc>
          <w:tcPr>
            <w:tcW w:w="0" w:type="auto"/>
            <w:tcBorders>
              <w:top w:val="single" w:sz="4" w:space="0" w:color="000000"/>
              <w:left w:val="single" w:sz="4" w:space="0" w:color="000000"/>
              <w:bottom w:val="single" w:sz="4" w:space="0" w:color="000000"/>
              <w:right w:val="single" w:sz="4" w:space="0" w:color="000000"/>
            </w:tcBorders>
          </w:tcPr>
          <w:p w14:paraId="0E7F3BFC" w14:textId="77777777" w:rsidR="00843FDA" w:rsidRPr="00C6580C" w:rsidRDefault="00843FDA" w:rsidP="00CD7CAC">
            <w:pPr>
              <w:widowControl/>
              <w:rPr>
                <w:kern w:val="0"/>
                <w:szCs w:val="22"/>
              </w:rPr>
            </w:pPr>
            <w:r w:rsidRPr="00C6580C">
              <w:rPr>
                <w:kern w:val="0"/>
                <w:szCs w:val="22"/>
              </w:rPr>
              <w:t>373a</w:t>
            </w:r>
          </w:p>
        </w:tc>
        <w:tc>
          <w:tcPr>
            <w:tcW w:w="0" w:type="auto"/>
            <w:tcBorders>
              <w:top w:val="single" w:sz="4" w:space="0" w:color="000000"/>
              <w:left w:val="single" w:sz="4" w:space="0" w:color="000000"/>
              <w:bottom w:val="single" w:sz="4" w:space="0" w:color="000000"/>
              <w:right w:val="single" w:sz="4" w:space="0" w:color="000000"/>
            </w:tcBorders>
          </w:tcPr>
          <w:p w14:paraId="422CE86C" w14:textId="77777777" w:rsidR="00843FDA" w:rsidRPr="00C6580C" w:rsidRDefault="00843FDA" w:rsidP="00CD7CAC">
            <w:pPr>
              <w:widowControl/>
              <w:jc w:val="right"/>
              <w:rPr>
                <w:kern w:val="0"/>
                <w:szCs w:val="22"/>
              </w:rPr>
            </w:pPr>
            <w:r w:rsidRPr="00C6580C">
              <w:rPr>
                <w:kern w:val="0"/>
                <w:szCs w:val="22"/>
              </w:rPr>
              <w:t>.5750</w:t>
            </w:r>
          </w:p>
        </w:tc>
      </w:tr>
      <w:tr w:rsidR="00843FDA" w:rsidRPr="00C6580C" w14:paraId="5F636F67" w14:textId="77777777">
        <w:tc>
          <w:tcPr>
            <w:tcW w:w="0" w:type="auto"/>
            <w:tcBorders>
              <w:top w:val="single" w:sz="4" w:space="0" w:color="000000"/>
              <w:left w:val="single" w:sz="4" w:space="0" w:color="000000"/>
              <w:bottom w:val="single" w:sz="4" w:space="0" w:color="000000"/>
              <w:right w:val="single" w:sz="4" w:space="0" w:color="000000"/>
            </w:tcBorders>
          </w:tcPr>
          <w:p w14:paraId="762ED21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D3E7034" w14:textId="77777777" w:rsidR="00843FDA" w:rsidRPr="00C6580C" w:rsidRDefault="00843FDA" w:rsidP="00CD7CAC">
            <w:pPr>
              <w:widowControl/>
              <w:jc w:val="center"/>
              <w:rPr>
                <w:szCs w:val="22"/>
              </w:rPr>
            </w:pPr>
            <w:r w:rsidRPr="00C6580C">
              <w:rPr>
                <w:kern w:val="0"/>
                <w:szCs w:val="22"/>
              </w:rPr>
              <w:t>* * *</w:t>
            </w:r>
          </w:p>
        </w:tc>
      </w:tr>
      <w:tr w:rsidR="00843FDA" w:rsidRPr="00C6580C" w14:paraId="6BD6ED53" w14:textId="77777777">
        <w:tc>
          <w:tcPr>
            <w:tcW w:w="0" w:type="auto"/>
            <w:tcBorders>
              <w:top w:val="single" w:sz="4" w:space="0" w:color="000000"/>
              <w:left w:val="single" w:sz="4" w:space="0" w:color="000000"/>
              <w:bottom w:val="single" w:sz="4" w:space="0" w:color="000000"/>
              <w:right w:val="single" w:sz="4" w:space="0" w:color="000000"/>
            </w:tcBorders>
          </w:tcPr>
          <w:p w14:paraId="04B5ADA5" w14:textId="77777777" w:rsidR="00843FDA" w:rsidRPr="00C6580C" w:rsidRDefault="00843FDA" w:rsidP="00CD7CAC">
            <w:pPr>
              <w:widowControl/>
              <w:rPr>
                <w:kern w:val="0"/>
                <w:szCs w:val="22"/>
              </w:rPr>
            </w:pPr>
            <w:r w:rsidRPr="00C6580C">
              <w:rPr>
                <w:kern w:val="0"/>
                <w:szCs w:val="22"/>
              </w:rPr>
              <w:t>374a</w:t>
            </w:r>
          </w:p>
        </w:tc>
        <w:tc>
          <w:tcPr>
            <w:tcW w:w="0" w:type="auto"/>
            <w:tcBorders>
              <w:top w:val="single" w:sz="4" w:space="0" w:color="000000"/>
              <w:left w:val="single" w:sz="4" w:space="0" w:color="000000"/>
              <w:bottom w:val="single" w:sz="4" w:space="0" w:color="000000"/>
              <w:right w:val="single" w:sz="4" w:space="0" w:color="000000"/>
            </w:tcBorders>
          </w:tcPr>
          <w:p w14:paraId="48D343A5" w14:textId="77777777" w:rsidR="00843FDA" w:rsidRPr="00C6580C" w:rsidRDefault="00843FDA" w:rsidP="00CD7CAC">
            <w:pPr>
              <w:widowControl/>
              <w:jc w:val="right"/>
              <w:rPr>
                <w:kern w:val="0"/>
                <w:szCs w:val="22"/>
              </w:rPr>
            </w:pPr>
            <w:r w:rsidRPr="00C6580C">
              <w:rPr>
                <w:kern w:val="0"/>
                <w:szCs w:val="22"/>
              </w:rPr>
              <w:t>.6000</w:t>
            </w:r>
          </w:p>
        </w:tc>
      </w:tr>
      <w:tr w:rsidR="00843FDA" w:rsidRPr="00C6580C" w14:paraId="2BC6B867" w14:textId="77777777">
        <w:tc>
          <w:tcPr>
            <w:tcW w:w="0" w:type="auto"/>
            <w:tcBorders>
              <w:top w:val="single" w:sz="4" w:space="0" w:color="000000"/>
              <w:left w:val="single" w:sz="4" w:space="0" w:color="000000"/>
              <w:bottom w:val="single" w:sz="4" w:space="0" w:color="000000"/>
              <w:right w:val="single" w:sz="4" w:space="0" w:color="000000"/>
            </w:tcBorders>
          </w:tcPr>
          <w:p w14:paraId="2F5B87E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57A9C30" w14:textId="77777777" w:rsidR="00843FDA" w:rsidRPr="00C6580C" w:rsidRDefault="00843FDA" w:rsidP="00CD7CAC">
            <w:pPr>
              <w:widowControl/>
              <w:jc w:val="center"/>
              <w:rPr>
                <w:szCs w:val="22"/>
              </w:rPr>
            </w:pPr>
            <w:r w:rsidRPr="00C6580C">
              <w:rPr>
                <w:kern w:val="0"/>
                <w:szCs w:val="22"/>
              </w:rPr>
              <w:t>* * *</w:t>
            </w:r>
          </w:p>
        </w:tc>
      </w:tr>
      <w:tr w:rsidR="00843FDA" w:rsidRPr="00C6580C" w14:paraId="053BFB09" w14:textId="77777777">
        <w:tc>
          <w:tcPr>
            <w:tcW w:w="0" w:type="auto"/>
            <w:tcBorders>
              <w:top w:val="single" w:sz="4" w:space="0" w:color="000000"/>
              <w:left w:val="single" w:sz="4" w:space="0" w:color="000000"/>
              <w:bottom w:val="single" w:sz="4" w:space="0" w:color="000000"/>
              <w:right w:val="single" w:sz="4" w:space="0" w:color="000000"/>
            </w:tcBorders>
          </w:tcPr>
          <w:p w14:paraId="019D0E87" w14:textId="77777777" w:rsidR="00843FDA" w:rsidRPr="00C6580C" w:rsidRDefault="00843FDA" w:rsidP="00CD7CAC">
            <w:pPr>
              <w:widowControl/>
              <w:rPr>
                <w:kern w:val="0"/>
                <w:szCs w:val="22"/>
              </w:rPr>
            </w:pPr>
            <w:r w:rsidRPr="00C6580C">
              <w:rPr>
                <w:kern w:val="0"/>
                <w:szCs w:val="22"/>
              </w:rPr>
              <w:t>375a</w:t>
            </w:r>
          </w:p>
        </w:tc>
        <w:tc>
          <w:tcPr>
            <w:tcW w:w="0" w:type="auto"/>
            <w:tcBorders>
              <w:top w:val="single" w:sz="4" w:space="0" w:color="000000"/>
              <w:left w:val="single" w:sz="4" w:space="0" w:color="000000"/>
              <w:bottom w:val="single" w:sz="4" w:space="0" w:color="000000"/>
              <w:right w:val="single" w:sz="4" w:space="0" w:color="000000"/>
            </w:tcBorders>
          </w:tcPr>
          <w:p w14:paraId="014312FC" w14:textId="77777777" w:rsidR="00843FDA" w:rsidRPr="00C6580C" w:rsidRDefault="00843FDA" w:rsidP="00CD7CAC">
            <w:pPr>
              <w:widowControl/>
              <w:jc w:val="right"/>
              <w:rPr>
                <w:kern w:val="0"/>
                <w:szCs w:val="22"/>
              </w:rPr>
            </w:pPr>
            <w:r w:rsidRPr="00C6580C">
              <w:rPr>
                <w:kern w:val="0"/>
                <w:szCs w:val="22"/>
              </w:rPr>
              <w:t>.6250</w:t>
            </w:r>
          </w:p>
        </w:tc>
      </w:tr>
      <w:tr w:rsidR="00843FDA" w:rsidRPr="00C6580C" w14:paraId="05054265" w14:textId="77777777">
        <w:tc>
          <w:tcPr>
            <w:tcW w:w="0" w:type="auto"/>
            <w:tcBorders>
              <w:top w:val="single" w:sz="4" w:space="0" w:color="000000"/>
              <w:left w:val="single" w:sz="4" w:space="0" w:color="000000"/>
              <w:bottom w:val="single" w:sz="4" w:space="0" w:color="000000"/>
              <w:right w:val="single" w:sz="4" w:space="0" w:color="000000"/>
            </w:tcBorders>
          </w:tcPr>
          <w:p w14:paraId="691A2AB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BE4D67D" w14:textId="77777777" w:rsidR="00843FDA" w:rsidRPr="00C6580C" w:rsidRDefault="00843FDA" w:rsidP="00CD7CAC">
            <w:pPr>
              <w:widowControl/>
              <w:jc w:val="center"/>
              <w:rPr>
                <w:szCs w:val="22"/>
              </w:rPr>
            </w:pPr>
            <w:r w:rsidRPr="00C6580C">
              <w:rPr>
                <w:kern w:val="0"/>
                <w:szCs w:val="22"/>
              </w:rPr>
              <w:t>* * *</w:t>
            </w:r>
          </w:p>
        </w:tc>
      </w:tr>
      <w:tr w:rsidR="00843FDA" w:rsidRPr="00C6580C" w14:paraId="4FFF5E3A" w14:textId="77777777">
        <w:tc>
          <w:tcPr>
            <w:tcW w:w="0" w:type="auto"/>
            <w:tcBorders>
              <w:top w:val="single" w:sz="4" w:space="0" w:color="000000"/>
              <w:left w:val="single" w:sz="4" w:space="0" w:color="000000"/>
              <w:bottom w:val="single" w:sz="4" w:space="0" w:color="000000"/>
              <w:right w:val="single" w:sz="4" w:space="0" w:color="000000"/>
            </w:tcBorders>
          </w:tcPr>
          <w:p w14:paraId="35D0CD05" w14:textId="77777777" w:rsidR="00843FDA" w:rsidRPr="00C6580C" w:rsidRDefault="00843FDA" w:rsidP="00CD7CAC">
            <w:pPr>
              <w:widowControl/>
              <w:rPr>
                <w:kern w:val="0"/>
                <w:szCs w:val="22"/>
              </w:rPr>
            </w:pPr>
            <w:r w:rsidRPr="00C6580C">
              <w:rPr>
                <w:kern w:val="0"/>
                <w:szCs w:val="22"/>
              </w:rPr>
              <w:t>376a</w:t>
            </w:r>
          </w:p>
        </w:tc>
        <w:tc>
          <w:tcPr>
            <w:tcW w:w="0" w:type="auto"/>
            <w:tcBorders>
              <w:top w:val="single" w:sz="4" w:space="0" w:color="000000"/>
              <w:left w:val="single" w:sz="4" w:space="0" w:color="000000"/>
              <w:bottom w:val="single" w:sz="4" w:space="0" w:color="000000"/>
              <w:right w:val="single" w:sz="4" w:space="0" w:color="000000"/>
            </w:tcBorders>
          </w:tcPr>
          <w:p w14:paraId="265618BA" w14:textId="77777777" w:rsidR="00843FDA" w:rsidRPr="00C6580C" w:rsidRDefault="00843FDA" w:rsidP="00CD7CAC">
            <w:pPr>
              <w:widowControl/>
              <w:jc w:val="right"/>
              <w:rPr>
                <w:kern w:val="0"/>
                <w:szCs w:val="22"/>
              </w:rPr>
            </w:pPr>
            <w:r w:rsidRPr="00C6580C">
              <w:rPr>
                <w:kern w:val="0"/>
                <w:szCs w:val="22"/>
              </w:rPr>
              <w:t>.6500</w:t>
            </w:r>
          </w:p>
        </w:tc>
      </w:tr>
      <w:tr w:rsidR="00843FDA" w:rsidRPr="00C6580C" w14:paraId="0FFF46BF" w14:textId="77777777">
        <w:tc>
          <w:tcPr>
            <w:tcW w:w="0" w:type="auto"/>
            <w:tcBorders>
              <w:top w:val="single" w:sz="4" w:space="0" w:color="000000"/>
              <w:left w:val="single" w:sz="4" w:space="0" w:color="000000"/>
              <w:bottom w:val="single" w:sz="4" w:space="0" w:color="000000"/>
              <w:right w:val="single" w:sz="4" w:space="0" w:color="000000"/>
            </w:tcBorders>
          </w:tcPr>
          <w:p w14:paraId="12CEBBE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00C394F" w14:textId="77777777" w:rsidR="00843FDA" w:rsidRPr="00C6580C" w:rsidRDefault="00843FDA" w:rsidP="00CD7CAC">
            <w:pPr>
              <w:widowControl/>
              <w:jc w:val="center"/>
              <w:rPr>
                <w:szCs w:val="22"/>
              </w:rPr>
            </w:pPr>
            <w:r w:rsidRPr="00C6580C">
              <w:rPr>
                <w:kern w:val="0"/>
                <w:szCs w:val="22"/>
              </w:rPr>
              <w:t>* * *</w:t>
            </w:r>
          </w:p>
        </w:tc>
      </w:tr>
      <w:tr w:rsidR="00843FDA" w:rsidRPr="00C6580C" w14:paraId="0AB743F6" w14:textId="77777777">
        <w:tc>
          <w:tcPr>
            <w:tcW w:w="0" w:type="auto"/>
            <w:tcBorders>
              <w:top w:val="single" w:sz="4" w:space="0" w:color="000000"/>
              <w:left w:val="single" w:sz="4" w:space="0" w:color="000000"/>
              <w:bottom w:val="single" w:sz="4" w:space="0" w:color="000000"/>
              <w:right w:val="single" w:sz="4" w:space="0" w:color="000000"/>
            </w:tcBorders>
          </w:tcPr>
          <w:p w14:paraId="4F49C5F5" w14:textId="77777777" w:rsidR="00843FDA" w:rsidRPr="00C6580C" w:rsidRDefault="00843FDA" w:rsidP="00CD7CAC">
            <w:pPr>
              <w:widowControl/>
              <w:rPr>
                <w:kern w:val="0"/>
                <w:szCs w:val="22"/>
              </w:rPr>
            </w:pPr>
            <w:r w:rsidRPr="00C6580C">
              <w:rPr>
                <w:kern w:val="0"/>
                <w:szCs w:val="22"/>
              </w:rPr>
              <w:t>377a</w:t>
            </w:r>
          </w:p>
        </w:tc>
        <w:tc>
          <w:tcPr>
            <w:tcW w:w="0" w:type="auto"/>
            <w:tcBorders>
              <w:top w:val="single" w:sz="4" w:space="0" w:color="000000"/>
              <w:left w:val="single" w:sz="4" w:space="0" w:color="000000"/>
              <w:bottom w:val="single" w:sz="4" w:space="0" w:color="000000"/>
              <w:right w:val="single" w:sz="4" w:space="0" w:color="000000"/>
            </w:tcBorders>
          </w:tcPr>
          <w:p w14:paraId="5C3C2729" w14:textId="77777777" w:rsidR="00843FDA" w:rsidRPr="00C6580C" w:rsidRDefault="00843FDA" w:rsidP="00CD7CAC">
            <w:pPr>
              <w:widowControl/>
              <w:jc w:val="right"/>
              <w:rPr>
                <w:kern w:val="0"/>
                <w:szCs w:val="22"/>
              </w:rPr>
            </w:pPr>
            <w:r w:rsidRPr="00C6580C">
              <w:rPr>
                <w:kern w:val="0"/>
                <w:szCs w:val="22"/>
              </w:rPr>
              <w:t>.6750</w:t>
            </w:r>
          </w:p>
        </w:tc>
      </w:tr>
      <w:tr w:rsidR="00843FDA" w:rsidRPr="00C6580C" w14:paraId="5CA5933D" w14:textId="77777777">
        <w:tc>
          <w:tcPr>
            <w:tcW w:w="0" w:type="auto"/>
            <w:tcBorders>
              <w:top w:val="single" w:sz="4" w:space="0" w:color="000000"/>
              <w:left w:val="single" w:sz="4" w:space="0" w:color="000000"/>
              <w:bottom w:val="single" w:sz="4" w:space="0" w:color="000000"/>
              <w:right w:val="single" w:sz="4" w:space="0" w:color="000000"/>
            </w:tcBorders>
          </w:tcPr>
          <w:p w14:paraId="33B6F5B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CFCE338" w14:textId="77777777" w:rsidR="00843FDA" w:rsidRPr="00C6580C" w:rsidRDefault="00843FDA" w:rsidP="00CD7CAC">
            <w:pPr>
              <w:widowControl/>
              <w:jc w:val="center"/>
              <w:rPr>
                <w:szCs w:val="22"/>
              </w:rPr>
            </w:pPr>
            <w:r w:rsidRPr="00C6580C">
              <w:rPr>
                <w:kern w:val="0"/>
                <w:szCs w:val="22"/>
              </w:rPr>
              <w:t>* * *</w:t>
            </w:r>
          </w:p>
        </w:tc>
      </w:tr>
      <w:tr w:rsidR="00843FDA" w:rsidRPr="00C6580C" w14:paraId="4EA991AA" w14:textId="77777777">
        <w:tc>
          <w:tcPr>
            <w:tcW w:w="0" w:type="auto"/>
            <w:tcBorders>
              <w:top w:val="single" w:sz="4" w:space="0" w:color="000000"/>
              <w:left w:val="single" w:sz="4" w:space="0" w:color="000000"/>
              <w:bottom w:val="single" w:sz="4" w:space="0" w:color="000000"/>
              <w:right w:val="single" w:sz="4" w:space="0" w:color="000000"/>
            </w:tcBorders>
          </w:tcPr>
          <w:p w14:paraId="570E7854" w14:textId="77777777" w:rsidR="00843FDA" w:rsidRPr="00C6580C" w:rsidRDefault="00843FDA" w:rsidP="00CD7CAC">
            <w:pPr>
              <w:widowControl/>
              <w:rPr>
                <w:kern w:val="0"/>
                <w:szCs w:val="22"/>
              </w:rPr>
            </w:pPr>
            <w:r w:rsidRPr="00C6580C">
              <w:rPr>
                <w:kern w:val="0"/>
                <w:szCs w:val="22"/>
              </w:rPr>
              <w:t>378a</w:t>
            </w:r>
          </w:p>
        </w:tc>
        <w:tc>
          <w:tcPr>
            <w:tcW w:w="0" w:type="auto"/>
            <w:tcBorders>
              <w:top w:val="single" w:sz="4" w:space="0" w:color="000000"/>
              <w:left w:val="single" w:sz="4" w:space="0" w:color="000000"/>
              <w:bottom w:val="single" w:sz="4" w:space="0" w:color="000000"/>
              <w:right w:val="single" w:sz="4" w:space="0" w:color="000000"/>
            </w:tcBorders>
          </w:tcPr>
          <w:p w14:paraId="612B214E" w14:textId="77777777" w:rsidR="00843FDA" w:rsidRPr="00C6580C" w:rsidRDefault="00843FDA" w:rsidP="00CD7CAC">
            <w:pPr>
              <w:widowControl/>
              <w:jc w:val="right"/>
              <w:rPr>
                <w:kern w:val="0"/>
                <w:szCs w:val="22"/>
              </w:rPr>
            </w:pPr>
            <w:r w:rsidRPr="00C6580C">
              <w:rPr>
                <w:kern w:val="0"/>
                <w:szCs w:val="22"/>
              </w:rPr>
              <w:t>.7000</w:t>
            </w:r>
          </w:p>
        </w:tc>
      </w:tr>
      <w:tr w:rsidR="00843FDA" w:rsidRPr="00C6580C" w14:paraId="24EAE3DE" w14:textId="77777777">
        <w:tc>
          <w:tcPr>
            <w:tcW w:w="0" w:type="auto"/>
            <w:tcBorders>
              <w:top w:val="single" w:sz="4" w:space="0" w:color="000000"/>
              <w:left w:val="single" w:sz="4" w:space="0" w:color="000000"/>
              <w:bottom w:val="single" w:sz="4" w:space="0" w:color="000000"/>
              <w:right w:val="single" w:sz="4" w:space="0" w:color="000000"/>
            </w:tcBorders>
          </w:tcPr>
          <w:p w14:paraId="5A4608E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BD0D0E6" w14:textId="77777777" w:rsidR="00843FDA" w:rsidRPr="00C6580C" w:rsidRDefault="00843FDA" w:rsidP="00CD7CAC">
            <w:pPr>
              <w:widowControl/>
              <w:jc w:val="center"/>
              <w:rPr>
                <w:szCs w:val="22"/>
              </w:rPr>
            </w:pPr>
            <w:r w:rsidRPr="00C6580C">
              <w:rPr>
                <w:kern w:val="0"/>
                <w:szCs w:val="22"/>
              </w:rPr>
              <w:t>* * *</w:t>
            </w:r>
          </w:p>
        </w:tc>
      </w:tr>
      <w:tr w:rsidR="00843FDA" w:rsidRPr="00C6580C" w14:paraId="7DEFE143" w14:textId="77777777">
        <w:tc>
          <w:tcPr>
            <w:tcW w:w="0" w:type="auto"/>
            <w:tcBorders>
              <w:top w:val="single" w:sz="4" w:space="0" w:color="000000"/>
              <w:left w:val="single" w:sz="4" w:space="0" w:color="000000"/>
              <w:bottom w:val="single" w:sz="4" w:space="0" w:color="000000"/>
              <w:right w:val="single" w:sz="4" w:space="0" w:color="000000"/>
            </w:tcBorders>
          </w:tcPr>
          <w:p w14:paraId="62348D18" w14:textId="77777777" w:rsidR="00843FDA" w:rsidRPr="00C6580C" w:rsidRDefault="00843FDA" w:rsidP="00CD7CAC">
            <w:pPr>
              <w:widowControl/>
              <w:rPr>
                <w:kern w:val="0"/>
                <w:szCs w:val="22"/>
              </w:rPr>
            </w:pPr>
            <w:r w:rsidRPr="00C6580C">
              <w:rPr>
                <w:kern w:val="0"/>
                <w:szCs w:val="22"/>
              </w:rPr>
              <w:t>379a</w:t>
            </w:r>
          </w:p>
        </w:tc>
        <w:tc>
          <w:tcPr>
            <w:tcW w:w="0" w:type="auto"/>
            <w:tcBorders>
              <w:top w:val="single" w:sz="4" w:space="0" w:color="000000"/>
              <w:left w:val="single" w:sz="4" w:space="0" w:color="000000"/>
              <w:bottom w:val="single" w:sz="4" w:space="0" w:color="000000"/>
              <w:right w:val="single" w:sz="4" w:space="0" w:color="000000"/>
            </w:tcBorders>
          </w:tcPr>
          <w:p w14:paraId="1515BC92" w14:textId="77777777" w:rsidR="00843FDA" w:rsidRPr="00C6580C" w:rsidRDefault="00843FDA" w:rsidP="00CD7CAC">
            <w:pPr>
              <w:widowControl/>
              <w:jc w:val="right"/>
              <w:rPr>
                <w:kern w:val="0"/>
                <w:szCs w:val="22"/>
              </w:rPr>
            </w:pPr>
            <w:r w:rsidRPr="00C6580C">
              <w:rPr>
                <w:kern w:val="0"/>
                <w:szCs w:val="22"/>
              </w:rPr>
              <w:t>.7250</w:t>
            </w:r>
          </w:p>
        </w:tc>
      </w:tr>
      <w:tr w:rsidR="00843FDA" w:rsidRPr="00C6580C" w14:paraId="110AE049" w14:textId="77777777">
        <w:tc>
          <w:tcPr>
            <w:tcW w:w="0" w:type="auto"/>
            <w:tcBorders>
              <w:top w:val="single" w:sz="4" w:space="0" w:color="000000"/>
              <w:left w:val="single" w:sz="4" w:space="0" w:color="000000"/>
              <w:bottom w:val="single" w:sz="4" w:space="0" w:color="000000"/>
              <w:right w:val="single" w:sz="4" w:space="0" w:color="000000"/>
            </w:tcBorders>
          </w:tcPr>
          <w:p w14:paraId="76A1B85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5296B6C" w14:textId="77777777" w:rsidR="00843FDA" w:rsidRPr="00C6580C" w:rsidRDefault="00843FDA" w:rsidP="00CD7CAC">
            <w:pPr>
              <w:widowControl/>
              <w:jc w:val="center"/>
              <w:rPr>
                <w:szCs w:val="22"/>
              </w:rPr>
            </w:pPr>
            <w:r w:rsidRPr="00C6580C">
              <w:rPr>
                <w:kern w:val="0"/>
                <w:szCs w:val="22"/>
              </w:rPr>
              <w:t>* * *</w:t>
            </w:r>
          </w:p>
        </w:tc>
      </w:tr>
      <w:tr w:rsidR="00843FDA" w:rsidRPr="00C6580C" w14:paraId="055B06E3" w14:textId="77777777">
        <w:tc>
          <w:tcPr>
            <w:tcW w:w="0" w:type="auto"/>
            <w:tcBorders>
              <w:top w:val="single" w:sz="4" w:space="0" w:color="000000"/>
              <w:left w:val="single" w:sz="4" w:space="0" w:color="000000"/>
              <w:bottom w:val="single" w:sz="4" w:space="0" w:color="000000"/>
              <w:right w:val="single" w:sz="4" w:space="0" w:color="000000"/>
            </w:tcBorders>
          </w:tcPr>
          <w:p w14:paraId="694B0006" w14:textId="77777777" w:rsidR="00843FDA" w:rsidRPr="00C6580C" w:rsidRDefault="00843FDA" w:rsidP="00CD7CAC">
            <w:pPr>
              <w:widowControl/>
              <w:rPr>
                <w:kern w:val="0"/>
                <w:szCs w:val="22"/>
              </w:rPr>
            </w:pPr>
            <w:r w:rsidRPr="00C6580C">
              <w:rPr>
                <w:kern w:val="0"/>
                <w:szCs w:val="22"/>
              </w:rPr>
              <w:t>380a</w:t>
            </w:r>
          </w:p>
        </w:tc>
        <w:tc>
          <w:tcPr>
            <w:tcW w:w="0" w:type="auto"/>
            <w:tcBorders>
              <w:top w:val="single" w:sz="4" w:space="0" w:color="000000"/>
              <w:left w:val="single" w:sz="4" w:space="0" w:color="000000"/>
              <w:bottom w:val="single" w:sz="4" w:space="0" w:color="000000"/>
              <w:right w:val="single" w:sz="4" w:space="0" w:color="000000"/>
            </w:tcBorders>
          </w:tcPr>
          <w:p w14:paraId="7D4CC629" w14:textId="77777777" w:rsidR="00843FDA" w:rsidRPr="00C6580C" w:rsidRDefault="00843FDA" w:rsidP="00CD7CAC">
            <w:pPr>
              <w:widowControl/>
              <w:jc w:val="right"/>
              <w:rPr>
                <w:kern w:val="0"/>
                <w:szCs w:val="22"/>
              </w:rPr>
            </w:pPr>
            <w:r w:rsidRPr="00C6580C">
              <w:rPr>
                <w:kern w:val="0"/>
                <w:szCs w:val="22"/>
              </w:rPr>
              <w:t>.7500</w:t>
            </w:r>
          </w:p>
        </w:tc>
      </w:tr>
      <w:tr w:rsidR="00843FDA" w:rsidRPr="00C6580C" w14:paraId="67E41209" w14:textId="77777777">
        <w:tc>
          <w:tcPr>
            <w:tcW w:w="0" w:type="auto"/>
            <w:tcBorders>
              <w:top w:val="single" w:sz="4" w:space="0" w:color="000000"/>
              <w:left w:val="single" w:sz="4" w:space="0" w:color="000000"/>
              <w:bottom w:val="single" w:sz="4" w:space="0" w:color="000000"/>
              <w:right w:val="single" w:sz="4" w:space="0" w:color="000000"/>
            </w:tcBorders>
          </w:tcPr>
          <w:p w14:paraId="1023ECD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D419453" w14:textId="77777777" w:rsidR="00843FDA" w:rsidRPr="00C6580C" w:rsidRDefault="00843FDA" w:rsidP="00CD7CAC">
            <w:pPr>
              <w:widowControl/>
              <w:jc w:val="center"/>
              <w:rPr>
                <w:szCs w:val="22"/>
              </w:rPr>
            </w:pPr>
            <w:r w:rsidRPr="00C6580C">
              <w:rPr>
                <w:kern w:val="0"/>
                <w:szCs w:val="22"/>
              </w:rPr>
              <w:t>* * *</w:t>
            </w:r>
          </w:p>
        </w:tc>
      </w:tr>
      <w:tr w:rsidR="00843FDA" w:rsidRPr="00C6580C" w14:paraId="2B02DC83" w14:textId="77777777">
        <w:tc>
          <w:tcPr>
            <w:tcW w:w="0" w:type="auto"/>
            <w:tcBorders>
              <w:top w:val="single" w:sz="4" w:space="0" w:color="000000"/>
              <w:left w:val="single" w:sz="4" w:space="0" w:color="000000"/>
              <w:bottom w:val="single" w:sz="4" w:space="0" w:color="000000"/>
              <w:right w:val="single" w:sz="4" w:space="0" w:color="000000"/>
            </w:tcBorders>
          </w:tcPr>
          <w:p w14:paraId="3394D3F6" w14:textId="77777777" w:rsidR="00843FDA" w:rsidRPr="00C6580C" w:rsidRDefault="00843FDA" w:rsidP="00CD7CAC">
            <w:pPr>
              <w:widowControl/>
              <w:rPr>
                <w:kern w:val="0"/>
                <w:szCs w:val="22"/>
              </w:rPr>
            </w:pPr>
            <w:r w:rsidRPr="00C6580C">
              <w:rPr>
                <w:kern w:val="0"/>
                <w:szCs w:val="22"/>
              </w:rPr>
              <w:t>381a</w:t>
            </w:r>
          </w:p>
        </w:tc>
        <w:tc>
          <w:tcPr>
            <w:tcW w:w="0" w:type="auto"/>
            <w:tcBorders>
              <w:top w:val="single" w:sz="4" w:space="0" w:color="000000"/>
              <w:left w:val="single" w:sz="4" w:space="0" w:color="000000"/>
              <w:bottom w:val="single" w:sz="4" w:space="0" w:color="000000"/>
              <w:right w:val="single" w:sz="4" w:space="0" w:color="000000"/>
            </w:tcBorders>
          </w:tcPr>
          <w:p w14:paraId="6F946566" w14:textId="77777777" w:rsidR="00843FDA" w:rsidRPr="00C6580C" w:rsidRDefault="00843FDA" w:rsidP="00CD7CAC">
            <w:pPr>
              <w:widowControl/>
              <w:jc w:val="right"/>
              <w:rPr>
                <w:kern w:val="0"/>
                <w:szCs w:val="22"/>
              </w:rPr>
            </w:pPr>
            <w:r w:rsidRPr="00C6580C">
              <w:rPr>
                <w:kern w:val="0"/>
                <w:szCs w:val="22"/>
              </w:rPr>
              <w:t>.7750</w:t>
            </w:r>
          </w:p>
        </w:tc>
      </w:tr>
      <w:tr w:rsidR="00843FDA" w:rsidRPr="00C6580C" w14:paraId="1C5A222D" w14:textId="77777777">
        <w:tc>
          <w:tcPr>
            <w:tcW w:w="0" w:type="auto"/>
            <w:tcBorders>
              <w:top w:val="single" w:sz="4" w:space="0" w:color="000000"/>
              <w:left w:val="single" w:sz="4" w:space="0" w:color="000000"/>
              <w:bottom w:val="single" w:sz="4" w:space="0" w:color="000000"/>
              <w:right w:val="single" w:sz="4" w:space="0" w:color="000000"/>
            </w:tcBorders>
          </w:tcPr>
          <w:p w14:paraId="27D25B2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BFF4DD8" w14:textId="77777777" w:rsidR="00843FDA" w:rsidRPr="00C6580C" w:rsidRDefault="00843FDA" w:rsidP="00CD7CAC">
            <w:pPr>
              <w:widowControl/>
              <w:jc w:val="center"/>
              <w:rPr>
                <w:szCs w:val="22"/>
              </w:rPr>
            </w:pPr>
            <w:r w:rsidRPr="00C6580C">
              <w:rPr>
                <w:kern w:val="0"/>
                <w:szCs w:val="22"/>
              </w:rPr>
              <w:t>* * *</w:t>
            </w:r>
          </w:p>
        </w:tc>
      </w:tr>
      <w:tr w:rsidR="00843FDA" w:rsidRPr="00C6580C" w14:paraId="185BA130" w14:textId="77777777">
        <w:tc>
          <w:tcPr>
            <w:tcW w:w="0" w:type="auto"/>
            <w:tcBorders>
              <w:top w:val="single" w:sz="4" w:space="0" w:color="000000"/>
              <w:left w:val="single" w:sz="4" w:space="0" w:color="000000"/>
              <w:bottom w:val="single" w:sz="4" w:space="0" w:color="000000"/>
              <w:right w:val="single" w:sz="4" w:space="0" w:color="000000"/>
            </w:tcBorders>
          </w:tcPr>
          <w:p w14:paraId="48DDCF7F" w14:textId="77777777" w:rsidR="00843FDA" w:rsidRPr="00C6580C" w:rsidRDefault="00843FDA" w:rsidP="00CD7CAC">
            <w:pPr>
              <w:widowControl/>
              <w:rPr>
                <w:kern w:val="0"/>
                <w:szCs w:val="22"/>
              </w:rPr>
            </w:pPr>
            <w:r w:rsidRPr="00C6580C">
              <w:rPr>
                <w:kern w:val="0"/>
                <w:szCs w:val="22"/>
              </w:rPr>
              <w:t>382a</w:t>
            </w:r>
          </w:p>
        </w:tc>
        <w:tc>
          <w:tcPr>
            <w:tcW w:w="0" w:type="auto"/>
            <w:tcBorders>
              <w:top w:val="single" w:sz="4" w:space="0" w:color="000000"/>
              <w:left w:val="single" w:sz="4" w:space="0" w:color="000000"/>
              <w:bottom w:val="single" w:sz="4" w:space="0" w:color="000000"/>
              <w:right w:val="single" w:sz="4" w:space="0" w:color="000000"/>
            </w:tcBorders>
          </w:tcPr>
          <w:p w14:paraId="006E08FE" w14:textId="77777777" w:rsidR="00843FDA" w:rsidRPr="00C6580C" w:rsidRDefault="00843FDA" w:rsidP="00CD7CAC">
            <w:pPr>
              <w:widowControl/>
              <w:jc w:val="right"/>
              <w:rPr>
                <w:kern w:val="0"/>
                <w:szCs w:val="22"/>
              </w:rPr>
            </w:pPr>
            <w:r w:rsidRPr="00C6580C">
              <w:rPr>
                <w:kern w:val="0"/>
                <w:szCs w:val="22"/>
              </w:rPr>
              <w:t>.8000</w:t>
            </w:r>
          </w:p>
        </w:tc>
      </w:tr>
      <w:tr w:rsidR="00843FDA" w:rsidRPr="00C6580C" w14:paraId="2E16A5E9" w14:textId="77777777">
        <w:tc>
          <w:tcPr>
            <w:tcW w:w="0" w:type="auto"/>
            <w:tcBorders>
              <w:top w:val="single" w:sz="4" w:space="0" w:color="000000"/>
              <w:left w:val="single" w:sz="4" w:space="0" w:color="000000"/>
              <w:bottom w:val="single" w:sz="4" w:space="0" w:color="000000"/>
              <w:right w:val="single" w:sz="4" w:space="0" w:color="000000"/>
            </w:tcBorders>
          </w:tcPr>
          <w:p w14:paraId="0E4368A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B12DF8B" w14:textId="77777777" w:rsidR="00843FDA" w:rsidRPr="00C6580C" w:rsidRDefault="00843FDA" w:rsidP="00CD7CAC">
            <w:pPr>
              <w:widowControl/>
              <w:jc w:val="center"/>
              <w:rPr>
                <w:szCs w:val="22"/>
              </w:rPr>
            </w:pPr>
            <w:r w:rsidRPr="00C6580C">
              <w:rPr>
                <w:kern w:val="0"/>
                <w:szCs w:val="22"/>
              </w:rPr>
              <w:t>* * *</w:t>
            </w:r>
          </w:p>
        </w:tc>
      </w:tr>
      <w:tr w:rsidR="00843FDA" w:rsidRPr="00C6580C" w14:paraId="2939504E" w14:textId="77777777">
        <w:tc>
          <w:tcPr>
            <w:tcW w:w="0" w:type="auto"/>
            <w:tcBorders>
              <w:top w:val="single" w:sz="4" w:space="0" w:color="000000"/>
              <w:left w:val="single" w:sz="4" w:space="0" w:color="000000"/>
              <w:bottom w:val="single" w:sz="4" w:space="0" w:color="000000"/>
              <w:right w:val="single" w:sz="4" w:space="0" w:color="000000"/>
            </w:tcBorders>
          </w:tcPr>
          <w:p w14:paraId="35E7A5AD" w14:textId="77777777" w:rsidR="00843FDA" w:rsidRPr="00C6580C" w:rsidRDefault="00843FDA" w:rsidP="00CD7CAC">
            <w:pPr>
              <w:widowControl/>
              <w:rPr>
                <w:kern w:val="0"/>
                <w:szCs w:val="22"/>
              </w:rPr>
            </w:pPr>
            <w:r w:rsidRPr="00C6580C">
              <w:rPr>
                <w:kern w:val="0"/>
                <w:szCs w:val="22"/>
              </w:rPr>
              <w:t>383a</w:t>
            </w:r>
          </w:p>
        </w:tc>
        <w:tc>
          <w:tcPr>
            <w:tcW w:w="0" w:type="auto"/>
            <w:tcBorders>
              <w:top w:val="single" w:sz="4" w:space="0" w:color="000000"/>
              <w:left w:val="single" w:sz="4" w:space="0" w:color="000000"/>
              <w:bottom w:val="single" w:sz="4" w:space="0" w:color="000000"/>
              <w:right w:val="single" w:sz="4" w:space="0" w:color="000000"/>
            </w:tcBorders>
          </w:tcPr>
          <w:p w14:paraId="12CBA302" w14:textId="77777777" w:rsidR="00843FDA" w:rsidRPr="00C6580C" w:rsidRDefault="00843FDA" w:rsidP="00CD7CAC">
            <w:pPr>
              <w:widowControl/>
              <w:jc w:val="right"/>
              <w:rPr>
                <w:kern w:val="0"/>
                <w:szCs w:val="22"/>
              </w:rPr>
            </w:pPr>
            <w:r w:rsidRPr="00C6580C">
              <w:rPr>
                <w:kern w:val="0"/>
                <w:szCs w:val="22"/>
              </w:rPr>
              <w:t>.8250</w:t>
            </w:r>
          </w:p>
        </w:tc>
      </w:tr>
      <w:tr w:rsidR="00843FDA" w:rsidRPr="00C6580C" w14:paraId="1824E38C" w14:textId="77777777">
        <w:tc>
          <w:tcPr>
            <w:tcW w:w="0" w:type="auto"/>
            <w:tcBorders>
              <w:top w:val="single" w:sz="4" w:space="0" w:color="000000"/>
              <w:left w:val="single" w:sz="4" w:space="0" w:color="000000"/>
              <w:bottom w:val="single" w:sz="4" w:space="0" w:color="000000"/>
              <w:right w:val="single" w:sz="4" w:space="0" w:color="000000"/>
            </w:tcBorders>
          </w:tcPr>
          <w:p w14:paraId="16CA8C3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372DA12" w14:textId="77777777" w:rsidR="00843FDA" w:rsidRPr="00C6580C" w:rsidRDefault="00843FDA" w:rsidP="00CD7CAC">
            <w:pPr>
              <w:widowControl/>
              <w:jc w:val="center"/>
              <w:rPr>
                <w:szCs w:val="22"/>
              </w:rPr>
            </w:pPr>
            <w:r w:rsidRPr="00C6580C">
              <w:rPr>
                <w:kern w:val="0"/>
                <w:szCs w:val="22"/>
              </w:rPr>
              <w:t>* * *</w:t>
            </w:r>
          </w:p>
        </w:tc>
      </w:tr>
      <w:tr w:rsidR="00843FDA" w:rsidRPr="00C6580C" w14:paraId="4BB589F5" w14:textId="77777777">
        <w:tc>
          <w:tcPr>
            <w:tcW w:w="0" w:type="auto"/>
            <w:tcBorders>
              <w:top w:val="single" w:sz="4" w:space="0" w:color="000000"/>
              <w:left w:val="single" w:sz="4" w:space="0" w:color="000000"/>
              <w:bottom w:val="single" w:sz="4" w:space="0" w:color="000000"/>
              <w:right w:val="single" w:sz="4" w:space="0" w:color="000000"/>
            </w:tcBorders>
          </w:tcPr>
          <w:p w14:paraId="5A3A20D7" w14:textId="77777777" w:rsidR="00843FDA" w:rsidRPr="00C6580C" w:rsidRDefault="00843FDA" w:rsidP="00CD7CAC">
            <w:pPr>
              <w:widowControl/>
              <w:rPr>
                <w:kern w:val="0"/>
                <w:szCs w:val="22"/>
              </w:rPr>
            </w:pPr>
            <w:r w:rsidRPr="00C6580C">
              <w:rPr>
                <w:kern w:val="0"/>
                <w:szCs w:val="22"/>
              </w:rPr>
              <w:t>384a</w:t>
            </w:r>
          </w:p>
        </w:tc>
        <w:tc>
          <w:tcPr>
            <w:tcW w:w="0" w:type="auto"/>
            <w:tcBorders>
              <w:top w:val="single" w:sz="4" w:space="0" w:color="000000"/>
              <w:left w:val="single" w:sz="4" w:space="0" w:color="000000"/>
              <w:bottom w:val="single" w:sz="4" w:space="0" w:color="000000"/>
              <w:right w:val="single" w:sz="4" w:space="0" w:color="000000"/>
            </w:tcBorders>
          </w:tcPr>
          <w:p w14:paraId="030AADAD" w14:textId="77777777" w:rsidR="00843FDA" w:rsidRPr="00C6580C" w:rsidRDefault="00843FDA" w:rsidP="00CD7CAC">
            <w:pPr>
              <w:widowControl/>
              <w:jc w:val="right"/>
              <w:rPr>
                <w:kern w:val="0"/>
                <w:szCs w:val="22"/>
              </w:rPr>
            </w:pPr>
            <w:r w:rsidRPr="00C6580C">
              <w:rPr>
                <w:kern w:val="0"/>
                <w:szCs w:val="22"/>
              </w:rPr>
              <w:t>.8500</w:t>
            </w:r>
          </w:p>
        </w:tc>
      </w:tr>
      <w:tr w:rsidR="00843FDA" w:rsidRPr="00C6580C" w14:paraId="5A8A7788" w14:textId="77777777">
        <w:tc>
          <w:tcPr>
            <w:tcW w:w="0" w:type="auto"/>
            <w:tcBorders>
              <w:top w:val="single" w:sz="4" w:space="0" w:color="000000"/>
              <w:left w:val="single" w:sz="4" w:space="0" w:color="000000"/>
              <w:bottom w:val="single" w:sz="4" w:space="0" w:color="000000"/>
              <w:right w:val="single" w:sz="4" w:space="0" w:color="000000"/>
            </w:tcBorders>
          </w:tcPr>
          <w:p w14:paraId="0E7A5A1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6E000C7" w14:textId="77777777" w:rsidR="00843FDA" w:rsidRPr="00C6580C" w:rsidRDefault="00843FDA" w:rsidP="00CD7CAC">
            <w:pPr>
              <w:widowControl/>
              <w:jc w:val="center"/>
              <w:rPr>
                <w:szCs w:val="22"/>
              </w:rPr>
            </w:pPr>
            <w:r w:rsidRPr="00C6580C">
              <w:rPr>
                <w:kern w:val="0"/>
                <w:szCs w:val="22"/>
              </w:rPr>
              <w:t>* * *</w:t>
            </w:r>
          </w:p>
        </w:tc>
      </w:tr>
      <w:tr w:rsidR="00843FDA" w:rsidRPr="00C6580C" w14:paraId="5E1F39EC" w14:textId="77777777">
        <w:tc>
          <w:tcPr>
            <w:tcW w:w="0" w:type="auto"/>
            <w:tcBorders>
              <w:top w:val="single" w:sz="4" w:space="0" w:color="000000"/>
              <w:left w:val="single" w:sz="4" w:space="0" w:color="000000"/>
              <w:bottom w:val="single" w:sz="4" w:space="0" w:color="000000"/>
              <w:right w:val="single" w:sz="4" w:space="0" w:color="000000"/>
            </w:tcBorders>
          </w:tcPr>
          <w:p w14:paraId="0D1880D0" w14:textId="77777777" w:rsidR="00843FDA" w:rsidRPr="00C6580C" w:rsidRDefault="00843FDA" w:rsidP="00CD7CAC">
            <w:pPr>
              <w:widowControl/>
              <w:rPr>
                <w:kern w:val="0"/>
                <w:szCs w:val="22"/>
              </w:rPr>
            </w:pPr>
            <w:r w:rsidRPr="00C6580C">
              <w:rPr>
                <w:kern w:val="0"/>
                <w:szCs w:val="22"/>
              </w:rPr>
              <w:t>385a</w:t>
            </w:r>
          </w:p>
        </w:tc>
        <w:tc>
          <w:tcPr>
            <w:tcW w:w="0" w:type="auto"/>
            <w:tcBorders>
              <w:top w:val="single" w:sz="4" w:space="0" w:color="000000"/>
              <w:left w:val="single" w:sz="4" w:space="0" w:color="000000"/>
              <w:bottom w:val="single" w:sz="4" w:space="0" w:color="000000"/>
              <w:right w:val="single" w:sz="4" w:space="0" w:color="000000"/>
            </w:tcBorders>
          </w:tcPr>
          <w:p w14:paraId="00126E54" w14:textId="77777777" w:rsidR="00843FDA" w:rsidRPr="00C6580C" w:rsidRDefault="00843FDA" w:rsidP="00CD7CAC">
            <w:pPr>
              <w:widowControl/>
              <w:jc w:val="right"/>
              <w:rPr>
                <w:kern w:val="0"/>
                <w:szCs w:val="22"/>
              </w:rPr>
            </w:pPr>
            <w:r w:rsidRPr="00C6580C">
              <w:rPr>
                <w:kern w:val="0"/>
                <w:szCs w:val="22"/>
              </w:rPr>
              <w:t>.8750</w:t>
            </w:r>
          </w:p>
        </w:tc>
      </w:tr>
      <w:tr w:rsidR="00843FDA" w:rsidRPr="00C6580C" w14:paraId="3407B3C0" w14:textId="77777777">
        <w:tc>
          <w:tcPr>
            <w:tcW w:w="0" w:type="auto"/>
            <w:tcBorders>
              <w:top w:val="single" w:sz="4" w:space="0" w:color="000000"/>
              <w:left w:val="single" w:sz="4" w:space="0" w:color="000000"/>
              <w:bottom w:val="single" w:sz="4" w:space="0" w:color="000000"/>
              <w:right w:val="single" w:sz="4" w:space="0" w:color="000000"/>
            </w:tcBorders>
          </w:tcPr>
          <w:p w14:paraId="6EFDEF6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ED6DDCD" w14:textId="77777777" w:rsidR="00843FDA" w:rsidRPr="00C6580C" w:rsidRDefault="00843FDA" w:rsidP="00CD7CAC">
            <w:pPr>
              <w:widowControl/>
              <w:jc w:val="center"/>
              <w:rPr>
                <w:szCs w:val="22"/>
              </w:rPr>
            </w:pPr>
            <w:r w:rsidRPr="00C6580C">
              <w:rPr>
                <w:kern w:val="0"/>
                <w:szCs w:val="22"/>
              </w:rPr>
              <w:t>* * *</w:t>
            </w:r>
          </w:p>
        </w:tc>
      </w:tr>
      <w:tr w:rsidR="00843FDA" w:rsidRPr="00C6580C" w14:paraId="3335991A" w14:textId="77777777">
        <w:tc>
          <w:tcPr>
            <w:tcW w:w="0" w:type="auto"/>
            <w:tcBorders>
              <w:top w:val="single" w:sz="4" w:space="0" w:color="000000"/>
              <w:left w:val="single" w:sz="4" w:space="0" w:color="000000"/>
              <w:bottom w:val="single" w:sz="4" w:space="0" w:color="000000"/>
              <w:right w:val="single" w:sz="4" w:space="0" w:color="000000"/>
            </w:tcBorders>
          </w:tcPr>
          <w:p w14:paraId="2687A205" w14:textId="77777777" w:rsidR="00843FDA" w:rsidRPr="00C6580C" w:rsidRDefault="00843FDA" w:rsidP="00CD7CAC">
            <w:pPr>
              <w:widowControl/>
              <w:rPr>
                <w:kern w:val="0"/>
                <w:szCs w:val="22"/>
              </w:rPr>
            </w:pPr>
            <w:r w:rsidRPr="00C6580C">
              <w:rPr>
                <w:kern w:val="0"/>
                <w:szCs w:val="22"/>
              </w:rPr>
              <w:t>386a</w:t>
            </w:r>
          </w:p>
        </w:tc>
        <w:tc>
          <w:tcPr>
            <w:tcW w:w="0" w:type="auto"/>
            <w:tcBorders>
              <w:top w:val="single" w:sz="4" w:space="0" w:color="000000"/>
              <w:left w:val="single" w:sz="4" w:space="0" w:color="000000"/>
              <w:bottom w:val="single" w:sz="4" w:space="0" w:color="000000"/>
              <w:right w:val="single" w:sz="4" w:space="0" w:color="000000"/>
            </w:tcBorders>
          </w:tcPr>
          <w:p w14:paraId="3C5F686B" w14:textId="77777777" w:rsidR="00843FDA" w:rsidRPr="00C6580C" w:rsidRDefault="00843FDA" w:rsidP="00CD7CAC">
            <w:pPr>
              <w:widowControl/>
              <w:jc w:val="right"/>
              <w:rPr>
                <w:kern w:val="0"/>
                <w:szCs w:val="22"/>
              </w:rPr>
            </w:pPr>
            <w:r w:rsidRPr="00C6580C">
              <w:rPr>
                <w:kern w:val="0"/>
                <w:szCs w:val="22"/>
              </w:rPr>
              <w:t>.9000</w:t>
            </w:r>
          </w:p>
        </w:tc>
      </w:tr>
      <w:tr w:rsidR="00843FDA" w:rsidRPr="00C6580C" w14:paraId="788C2180" w14:textId="77777777">
        <w:tc>
          <w:tcPr>
            <w:tcW w:w="0" w:type="auto"/>
            <w:tcBorders>
              <w:top w:val="single" w:sz="4" w:space="0" w:color="000000"/>
              <w:left w:val="single" w:sz="4" w:space="0" w:color="000000"/>
              <w:bottom w:val="single" w:sz="4" w:space="0" w:color="000000"/>
              <w:right w:val="single" w:sz="4" w:space="0" w:color="000000"/>
            </w:tcBorders>
          </w:tcPr>
          <w:p w14:paraId="2A3F582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B26BF77" w14:textId="77777777" w:rsidR="00843FDA" w:rsidRPr="00C6580C" w:rsidRDefault="00843FDA" w:rsidP="00CD7CAC">
            <w:pPr>
              <w:widowControl/>
              <w:jc w:val="center"/>
              <w:rPr>
                <w:szCs w:val="22"/>
              </w:rPr>
            </w:pPr>
            <w:r w:rsidRPr="00C6580C">
              <w:rPr>
                <w:kern w:val="0"/>
                <w:szCs w:val="22"/>
              </w:rPr>
              <w:t>* * *</w:t>
            </w:r>
          </w:p>
        </w:tc>
      </w:tr>
      <w:tr w:rsidR="00843FDA" w:rsidRPr="00C6580C" w14:paraId="03462FBA" w14:textId="77777777">
        <w:tc>
          <w:tcPr>
            <w:tcW w:w="0" w:type="auto"/>
            <w:tcBorders>
              <w:top w:val="single" w:sz="4" w:space="0" w:color="000000"/>
              <w:left w:val="single" w:sz="4" w:space="0" w:color="000000"/>
              <w:bottom w:val="single" w:sz="4" w:space="0" w:color="000000"/>
              <w:right w:val="single" w:sz="4" w:space="0" w:color="000000"/>
            </w:tcBorders>
          </w:tcPr>
          <w:p w14:paraId="32EE3392" w14:textId="77777777" w:rsidR="00843FDA" w:rsidRPr="00C6580C" w:rsidRDefault="00843FDA" w:rsidP="00CD7CAC">
            <w:pPr>
              <w:widowControl/>
              <w:rPr>
                <w:kern w:val="0"/>
                <w:szCs w:val="22"/>
              </w:rPr>
            </w:pPr>
            <w:r w:rsidRPr="00C6580C">
              <w:rPr>
                <w:kern w:val="0"/>
                <w:szCs w:val="22"/>
              </w:rPr>
              <w:t>387a</w:t>
            </w:r>
          </w:p>
        </w:tc>
        <w:tc>
          <w:tcPr>
            <w:tcW w:w="0" w:type="auto"/>
            <w:tcBorders>
              <w:top w:val="single" w:sz="4" w:space="0" w:color="000000"/>
              <w:left w:val="single" w:sz="4" w:space="0" w:color="000000"/>
              <w:bottom w:val="single" w:sz="4" w:space="0" w:color="000000"/>
              <w:right w:val="single" w:sz="4" w:space="0" w:color="000000"/>
            </w:tcBorders>
          </w:tcPr>
          <w:p w14:paraId="773D3C7B" w14:textId="77777777" w:rsidR="00843FDA" w:rsidRPr="00C6580C" w:rsidRDefault="00843FDA" w:rsidP="00CD7CAC">
            <w:pPr>
              <w:widowControl/>
              <w:jc w:val="right"/>
              <w:rPr>
                <w:kern w:val="0"/>
                <w:szCs w:val="22"/>
              </w:rPr>
            </w:pPr>
            <w:r w:rsidRPr="00C6580C">
              <w:rPr>
                <w:kern w:val="0"/>
                <w:szCs w:val="22"/>
              </w:rPr>
              <w:t>.9250</w:t>
            </w:r>
          </w:p>
        </w:tc>
      </w:tr>
      <w:tr w:rsidR="00843FDA" w:rsidRPr="00C6580C" w14:paraId="62C8F69B" w14:textId="77777777">
        <w:tc>
          <w:tcPr>
            <w:tcW w:w="0" w:type="auto"/>
            <w:tcBorders>
              <w:top w:val="single" w:sz="4" w:space="0" w:color="000000"/>
              <w:left w:val="single" w:sz="4" w:space="0" w:color="000000"/>
              <w:bottom w:val="single" w:sz="4" w:space="0" w:color="000000"/>
              <w:right w:val="single" w:sz="4" w:space="0" w:color="000000"/>
            </w:tcBorders>
          </w:tcPr>
          <w:p w14:paraId="36A19B8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0D97E23" w14:textId="77777777" w:rsidR="00843FDA" w:rsidRPr="00C6580C" w:rsidRDefault="00843FDA" w:rsidP="00CD7CAC">
            <w:pPr>
              <w:widowControl/>
              <w:jc w:val="center"/>
              <w:rPr>
                <w:szCs w:val="22"/>
              </w:rPr>
            </w:pPr>
            <w:r w:rsidRPr="00C6580C">
              <w:rPr>
                <w:kern w:val="0"/>
                <w:szCs w:val="22"/>
              </w:rPr>
              <w:t>* * *</w:t>
            </w:r>
          </w:p>
        </w:tc>
      </w:tr>
      <w:tr w:rsidR="00843FDA" w:rsidRPr="00C6580C" w14:paraId="6BB31576" w14:textId="77777777">
        <w:tc>
          <w:tcPr>
            <w:tcW w:w="0" w:type="auto"/>
            <w:tcBorders>
              <w:top w:val="single" w:sz="4" w:space="0" w:color="000000"/>
              <w:left w:val="single" w:sz="4" w:space="0" w:color="000000"/>
              <w:bottom w:val="single" w:sz="4" w:space="0" w:color="000000"/>
              <w:right w:val="single" w:sz="4" w:space="0" w:color="000000"/>
            </w:tcBorders>
          </w:tcPr>
          <w:p w14:paraId="52A975BE" w14:textId="77777777" w:rsidR="00843FDA" w:rsidRPr="00C6580C" w:rsidRDefault="00843FDA" w:rsidP="00CD7CAC">
            <w:pPr>
              <w:widowControl/>
              <w:rPr>
                <w:kern w:val="0"/>
                <w:szCs w:val="22"/>
              </w:rPr>
            </w:pPr>
            <w:r w:rsidRPr="00C6580C">
              <w:rPr>
                <w:kern w:val="0"/>
                <w:szCs w:val="22"/>
              </w:rPr>
              <w:t>388a</w:t>
            </w:r>
          </w:p>
        </w:tc>
        <w:tc>
          <w:tcPr>
            <w:tcW w:w="0" w:type="auto"/>
            <w:tcBorders>
              <w:top w:val="single" w:sz="4" w:space="0" w:color="000000"/>
              <w:left w:val="single" w:sz="4" w:space="0" w:color="000000"/>
              <w:bottom w:val="single" w:sz="4" w:space="0" w:color="000000"/>
              <w:right w:val="single" w:sz="4" w:space="0" w:color="000000"/>
            </w:tcBorders>
          </w:tcPr>
          <w:p w14:paraId="4A16E745" w14:textId="77777777" w:rsidR="00843FDA" w:rsidRPr="00C6580C" w:rsidRDefault="00843FDA" w:rsidP="00CD7CAC">
            <w:pPr>
              <w:widowControl/>
              <w:jc w:val="right"/>
              <w:rPr>
                <w:kern w:val="0"/>
                <w:szCs w:val="22"/>
              </w:rPr>
            </w:pPr>
            <w:r w:rsidRPr="00C6580C">
              <w:rPr>
                <w:kern w:val="0"/>
                <w:szCs w:val="22"/>
              </w:rPr>
              <w:t>.9500</w:t>
            </w:r>
          </w:p>
        </w:tc>
      </w:tr>
      <w:tr w:rsidR="00843FDA" w:rsidRPr="00C6580C" w14:paraId="230F15B2" w14:textId="77777777">
        <w:tc>
          <w:tcPr>
            <w:tcW w:w="0" w:type="auto"/>
            <w:tcBorders>
              <w:top w:val="single" w:sz="4" w:space="0" w:color="000000"/>
              <w:left w:val="single" w:sz="4" w:space="0" w:color="000000"/>
              <w:bottom w:val="single" w:sz="4" w:space="0" w:color="000000"/>
              <w:right w:val="single" w:sz="4" w:space="0" w:color="000000"/>
            </w:tcBorders>
          </w:tcPr>
          <w:p w14:paraId="504B301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F802B6E" w14:textId="77777777" w:rsidR="00843FDA" w:rsidRPr="00C6580C" w:rsidRDefault="00843FDA" w:rsidP="00CD7CAC">
            <w:pPr>
              <w:widowControl/>
              <w:jc w:val="center"/>
              <w:rPr>
                <w:szCs w:val="22"/>
              </w:rPr>
            </w:pPr>
            <w:r w:rsidRPr="00C6580C">
              <w:rPr>
                <w:kern w:val="0"/>
                <w:szCs w:val="22"/>
              </w:rPr>
              <w:t>* * *</w:t>
            </w:r>
          </w:p>
        </w:tc>
      </w:tr>
      <w:tr w:rsidR="00843FDA" w:rsidRPr="00C6580C" w14:paraId="1A198867" w14:textId="77777777">
        <w:tc>
          <w:tcPr>
            <w:tcW w:w="0" w:type="auto"/>
            <w:tcBorders>
              <w:top w:val="single" w:sz="4" w:space="0" w:color="000000"/>
              <w:left w:val="single" w:sz="4" w:space="0" w:color="000000"/>
              <w:bottom w:val="single" w:sz="4" w:space="0" w:color="000000"/>
              <w:right w:val="single" w:sz="4" w:space="0" w:color="000000"/>
            </w:tcBorders>
          </w:tcPr>
          <w:p w14:paraId="14C01586" w14:textId="77777777" w:rsidR="00843FDA" w:rsidRPr="00C6580C" w:rsidRDefault="00843FDA" w:rsidP="00CD7CAC">
            <w:pPr>
              <w:widowControl/>
              <w:rPr>
                <w:kern w:val="0"/>
                <w:szCs w:val="22"/>
              </w:rPr>
            </w:pPr>
            <w:r w:rsidRPr="00C6580C">
              <w:rPr>
                <w:kern w:val="0"/>
                <w:szCs w:val="22"/>
              </w:rPr>
              <w:t>389a</w:t>
            </w:r>
          </w:p>
        </w:tc>
        <w:tc>
          <w:tcPr>
            <w:tcW w:w="0" w:type="auto"/>
            <w:tcBorders>
              <w:top w:val="single" w:sz="4" w:space="0" w:color="000000"/>
              <w:left w:val="single" w:sz="4" w:space="0" w:color="000000"/>
              <w:bottom w:val="single" w:sz="4" w:space="0" w:color="000000"/>
              <w:right w:val="single" w:sz="4" w:space="0" w:color="000000"/>
            </w:tcBorders>
          </w:tcPr>
          <w:p w14:paraId="28067093" w14:textId="77777777" w:rsidR="00843FDA" w:rsidRPr="00C6580C" w:rsidRDefault="00843FDA" w:rsidP="00CD7CAC">
            <w:pPr>
              <w:widowControl/>
              <w:jc w:val="right"/>
              <w:rPr>
                <w:kern w:val="0"/>
                <w:szCs w:val="22"/>
              </w:rPr>
            </w:pPr>
            <w:r w:rsidRPr="00C6580C">
              <w:rPr>
                <w:kern w:val="0"/>
                <w:szCs w:val="22"/>
              </w:rPr>
              <w:t>.9750</w:t>
            </w:r>
          </w:p>
        </w:tc>
      </w:tr>
      <w:tr w:rsidR="00843FDA" w:rsidRPr="00C6580C" w14:paraId="6B1289E2" w14:textId="77777777">
        <w:tc>
          <w:tcPr>
            <w:tcW w:w="0" w:type="auto"/>
            <w:tcBorders>
              <w:top w:val="single" w:sz="4" w:space="0" w:color="000000"/>
              <w:left w:val="single" w:sz="4" w:space="0" w:color="000000"/>
              <w:bottom w:val="single" w:sz="4" w:space="0" w:color="000000"/>
              <w:right w:val="single" w:sz="4" w:space="0" w:color="000000"/>
            </w:tcBorders>
          </w:tcPr>
          <w:p w14:paraId="6092987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2EF8D74" w14:textId="77777777" w:rsidR="00843FDA" w:rsidRPr="00C6580C" w:rsidRDefault="00843FDA" w:rsidP="00CD7CAC">
            <w:pPr>
              <w:widowControl/>
              <w:jc w:val="center"/>
              <w:rPr>
                <w:szCs w:val="22"/>
              </w:rPr>
            </w:pPr>
            <w:r w:rsidRPr="00C6580C">
              <w:rPr>
                <w:kern w:val="0"/>
                <w:szCs w:val="22"/>
              </w:rPr>
              <w:t>* * *</w:t>
            </w:r>
          </w:p>
        </w:tc>
      </w:tr>
      <w:tr w:rsidR="00843FDA" w:rsidRPr="00C6580C" w14:paraId="7C89B8B9" w14:textId="77777777">
        <w:tc>
          <w:tcPr>
            <w:tcW w:w="0" w:type="auto"/>
            <w:tcBorders>
              <w:top w:val="single" w:sz="4" w:space="0" w:color="000000"/>
              <w:left w:val="single" w:sz="4" w:space="0" w:color="000000"/>
              <w:bottom w:val="single" w:sz="4" w:space="0" w:color="000000"/>
              <w:right w:val="single" w:sz="4" w:space="0" w:color="000000"/>
            </w:tcBorders>
          </w:tcPr>
          <w:p w14:paraId="41408EEC" w14:textId="77777777" w:rsidR="00843FDA" w:rsidRPr="00C6580C" w:rsidRDefault="00843FDA" w:rsidP="00CD7CAC">
            <w:pPr>
              <w:widowControl/>
              <w:rPr>
                <w:kern w:val="0"/>
                <w:szCs w:val="22"/>
              </w:rPr>
            </w:pPr>
            <w:r w:rsidRPr="00C6580C">
              <w:rPr>
                <w:kern w:val="0"/>
                <w:szCs w:val="22"/>
              </w:rPr>
              <w:t>390a</w:t>
            </w:r>
          </w:p>
        </w:tc>
        <w:tc>
          <w:tcPr>
            <w:tcW w:w="0" w:type="auto"/>
            <w:tcBorders>
              <w:top w:val="single" w:sz="4" w:space="0" w:color="000000"/>
              <w:left w:val="single" w:sz="4" w:space="0" w:color="000000"/>
              <w:bottom w:val="single" w:sz="4" w:space="0" w:color="000000"/>
              <w:right w:val="single" w:sz="4" w:space="0" w:color="000000"/>
            </w:tcBorders>
          </w:tcPr>
          <w:p w14:paraId="64B7DC42" w14:textId="77777777" w:rsidR="00843FDA" w:rsidRPr="00C6580C" w:rsidRDefault="00843FDA" w:rsidP="00CD7CAC">
            <w:pPr>
              <w:widowControl/>
              <w:jc w:val="right"/>
              <w:rPr>
                <w:kern w:val="0"/>
                <w:szCs w:val="22"/>
              </w:rPr>
            </w:pPr>
            <w:r w:rsidRPr="00C6580C">
              <w:rPr>
                <w:kern w:val="0"/>
                <w:szCs w:val="22"/>
              </w:rPr>
              <w:t>858.0000</w:t>
            </w:r>
          </w:p>
        </w:tc>
      </w:tr>
      <w:tr w:rsidR="00843FDA" w:rsidRPr="00C6580C" w14:paraId="25210CE8" w14:textId="77777777">
        <w:tc>
          <w:tcPr>
            <w:tcW w:w="0" w:type="auto"/>
            <w:tcBorders>
              <w:top w:val="single" w:sz="4" w:space="0" w:color="000000"/>
              <w:left w:val="single" w:sz="4" w:space="0" w:color="000000"/>
              <w:bottom w:val="single" w:sz="4" w:space="0" w:color="000000"/>
              <w:right w:val="single" w:sz="4" w:space="0" w:color="000000"/>
            </w:tcBorders>
          </w:tcPr>
          <w:p w14:paraId="4A808ED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0F57F4A" w14:textId="77777777" w:rsidR="00843FDA" w:rsidRPr="00C6580C" w:rsidRDefault="00843FDA" w:rsidP="00CD7CAC">
            <w:pPr>
              <w:widowControl/>
              <w:jc w:val="right"/>
              <w:rPr>
                <w:szCs w:val="22"/>
              </w:rPr>
            </w:pPr>
            <w:r w:rsidRPr="00C6580C">
              <w:rPr>
                <w:kern w:val="0"/>
                <w:szCs w:val="22"/>
              </w:rPr>
              <w:t>.0125</w:t>
            </w:r>
          </w:p>
        </w:tc>
      </w:tr>
      <w:tr w:rsidR="00843FDA" w:rsidRPr="00C6580C" w14:paraId="2895A3EA" w14:textId="77777777">
        <w:tc>
          <w:tcPr>
            <w:tcW w:w="0" w:type="auto"/>
            <w:tcBorders>
              <w:top w:val="single" w:sz="4" w:space="0" w:color="000000"/>
              <w:left w:val="single" w:sz="4" w:space="0" w:color="000000"/>
              <w:bottom w:val="single" w:sz="4" w:space="0" w:color="000000"/>
              <w:right w:val="single" w:sz="4" w:space="0" w:color="000000"/>
            </w:tcBorders>
          </w:tcPr>
          <w:p w14:paraId="7FF8DDA5" w14:textId="77777777" w:rsidR="00843FDA" w:rsidRPr="00C6580C" w:rsidRDefault="00843FDA" w:rsidP="00CD7CAC">
            <w:pPr>
              <w:widowControl/>
              <w:rPr>
                <w:kern w:val="0"/>
                <w:szCs w:val="22"/>
              </w:rPr>
            </w:pPr>
            <w:r w:rsidRPr="00C6580C">
              <w:rPr>
                <w:kern w:val="0"/>
                <w:szCs w:val="22"/>
              </w:rPr>
              <w:t>391a</w:t>
            </w:r>
          </w:p>
        </w:tc>
        <w:tc>
          <w:tcPr>
            <w:tcW w:w="0" w:type="auto"/>
            <w:tcBorders>
              <w:top w:val="single" w:sz="4" w:space="0" w:color="000000"/>
              <w:left w:val="single" w:sz="4" w:space="0" w:color="000000"/>
              <w:bottom w:val="single" w:sz="4" w:space="0" w:color="000000"/>
              <w:right w:val="single" w:sz="4" w:space="0" w:color="000000"/>
            </w:tcBorders>
          </w:tcPr>
          <w:p w14:paraId="095BFA15" w14:textId="77777777" w:rsidR="00843FDA" w:rsidRPr="00C6580C" w:rsidRDefault="00843FDA" w:rsidP="00CD7CAC">
            <w:pPr>
              <w:widowControl/>
              <w:jc w:val="right"/>
              <w:rPr>
                <w:kern w:val="0"/>
                <w:szCs w:val="22"/>
              </w:rPr>
            </w:pPr>
            <w:r w:rsidRPr="00C6580C">
              <w:rPr>
                <w:kern w:val="0"/>
                <w:szCs w:val="22"/>
              </w:rPr>
              <w:t>.0250</w:t>
            </w:r>
          </w:p>
        </w:tc>
      </w:tr>
      <w:tr w:rsidR="00843FDA" w:rsidRPr="00C6580C" w14:paraId="1D6997AA" w14:textId="77777777">
        <w:tc>
          <w:tcPr>
            <w:tcW w:w="0" w:type="auto"/>
            <w:tcBorders>
              <w:top w:val="single" w:sz="4" w:space="0" w:color="000000"/>
              <w:left w:val="single" w:sz="4" w:space="0" w:color="000000"/>
              <w:bottom w:val="single" w:sz="4" w:space="0" w:color="000000"/>
              <w:right w:val="single" w:sz="4" w:space="0" w:color="000000"/>
            </w:tcBorders>
          </w:tcPr>
          <w:p w14:paraId="0FBE08E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8681E93" w14:textId="77777777" w:rsidR="00843FDA" w:rsidRPr="00C6580C" w:rsidRDefault="00843FDA" w:rsidP="00CD7CAC">
            <w:pPr>
              <w:widowControl/>
              <w:jc w:val="center"/>
              <w:rPr>
                <w:szCs w:val="22"/>
              </w:rPr>
            </w:pPr>
            <w:r w:rsidRPr="00C6580C">
              <w:rPr>
                <w:kern w:val="0"/>
                <w:szCs w:val="22"/>
              </w:rPr>
              <w:t>* * *</w:t>
            </w:r>
          </w:p>
        </w:tc>
      </w:tr>
      <w:tr w:rsidR="00843FDA" w:rsidRPr="00C6580C" w14:paraId="7EB59F33" w14:textId="77777777">
        <w:tc>
          <w:tcPr>
            <w:tcW w:w="0" w:type="auto"/>
            <w:tcBorders>
              <w:top w:val="single" w:sz="4" w:space="0" w:color="000000"/>
              <w:left w:val="single" w:sz="4" w:space="0" w:color="000000"/>
              <w:bottom w:val="single" w:sz="4" w:space="0" w:color="000000"/>
              <w:right w:val="single" w:sz="4" w:space="0" w:color="000000"/>
            </w:tcBorders>
          </w:tcPr>
          <w:p w14:paraId="76EC1950" w14:textId="77777777" w:rsidR="00843FDA" w:rsidRPr="00C6580C" w:rsidRDefault="00843FDA" w:rsidP="00CD7CAC">
            <w:pPr>
              <w:widowControl/>
              <w:rPr>
                <w:kern w:val="0"/>
                <w:szCs w:val="22"/>
              </w:rPr>
            </w:pPr>
            <w:r w:rsidRPr="00C6580C">
              <w:rPr>
                <w:kern w:val="0"/>
                <w:szCs w:val="22"/>
              </w:rPr>
              <w:t>392a</w:t>
            </w:r>
          </w:p>
        </w:tc>
        <w:tc>
          <w:tcPr>
            <w:tcW w:w="0" w:type="auto"/>
            <w:tcBorders>
              <w:top w:val="single" w:sz="4" w:space="0" w:color="000000"/>
              <w:left w:val="single" w:sz="4" w:space="0" w:color="000000"/>
              <w:bottom w:val="single" w:sz="4" w:space="0" w:color="000000"/>
              <w:right w:val="single" w:sz="4" w:space="0" w:color="000000"/>
            </w:tcBorders>
          </w:tcPr>
          <w:p w14:paraId="5A9419FB" w14:textId="77777777" w:rsidR="00843FDA" w:rsidRPr="00C6580C" w:rsidRDefault="00843FDA" w:rsidP="00CD7CAC">
            <w:pPr>
              <w:widowControl/>
              <w:jc w:val="right"/>
              <w:rPr>
                <w:kern w:val="0"/>
                <w:szCs w:val="22"/>
              </w:rPr>
            </w:pPr>
            <w:r w:rsidRPr="00C6580C">
              <w:rPr>
                <w:kern w:val="0"/>
                <w:szCs w:val="22"/>
              </w:rPr>
              <w:t>.0500</w:t>
            </w:r>
          </w:p>
        </w:tc>
      </w:tr>
      <w:tr w:rsidR="00843FDA" w:rsidRPr="00C6580C" w14:paraId="22659B5E" w14:textId="77777777">
        <w:tc>
          <w:tcPr>
            <w:tcW w:w="0" w:type="auto"/>
            <w:tcBorders>
              <w:top w:val="single" w:sz="4" w:space="0" w:color="000000"/>
              <w:left w:val="single" w:sz="4" w:space="0" w:color="000000"/>
              <w:bottom w:val="single" w:sz="4" w:space="0" w:color="000000"/>
              <w:right w:val="single" w:sz="4" w:space="0" w:color="000000"/>
            </w:tcBorders>
          </w:tcPr>
          <w:p w14:paraId="18A972B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7A3CFBF" w14:textId="77777777" w:rsidR="00843FDA" w:rsidRPr="00C6580C" w:rsidRDefault="00843FDA" w:rsidP="00CD7CAC">
            <w:pPr>
              <w:widowControl/>
              <w:jc w:val="center"/>
              <w:rPr>
                <w:szCs w:val="22"/>
              </w:rPr>
            </w:pPr>
            <w:r w:rsidRPr="00C6580C">
              <w:rPr>
                <w:kern w:val="0"/>
                <w:szCs w:val="22"/>
              </w:rPr>
              <w:t>* * *</w:t>
            </w:r>
          </w:p>
        </w:tc>
      </w:tr>
      <w:tr w:rsidR="00843FDA" w:rsidRPr="00C6580C" w14:paraId="36726B1D" w14:textId="77777777">
        <w:tc>
          <w:tcPr>
            <w:tcW w:w="0" w:type="auto"/>
            <w:tcBorders>
              <w:top w:val="single" w:sz="4" w:space="0" w:color="000000"/>
              <w:left w:val="single" w:sz="4" w:space="0" w:color="000000"/>
              <w:bottom w:val="single" w:sz="4" w:space="0" w:color="000000"/>
              <w:right w:val="single" w:sz="4" w:space="0" w:color="000000"/>
            </w:tcBorders>
          </w:tcPr>
          <w:p w14:paraId="2F063BD8" w14:textId="77777777" w:rsidR="00843FDA" w:rsidRPr="00C6580C" w:rsidRDefault="00843FDA" w:rsidP="00CD7CAC">
            <w:pPr>
              <w:widowControl/>
              <w:rPr>
                <w:kern w:val="0"/>
                <w:szCs w:val="22"/>
              </w:rPr>
            </w:pPr>
            <w:r w:rsidRPr="00C6580C">
              <w:rPr>
                <w:kern w:val="0"/>
                <w:szCs w:val="22"/>
              </w:rPr>
              <w:t>393a</w:t>
            </w:r>
          </w:p>
        </w:tc>
        <w:tc>
          <w:tcPr>
            <w:tcW w:w="0" w:type="auto"/>
            <w:tcBorders>
              <w:top w:val="single" w:sz="4" w:space="0" w:color="000000"/>
              <w:left w:val="single" w:sz="4" w:space="0" w:color="000000"/>
              <w:bottom w:val="single" w:sz="4" w:space="0" w:color="000000"/>
              <w:right w:val="single" w:sz="4" w:space="0" w:color="000000"/>
            </w:tcBorders>
          </w:tcPr>
          <w:p w14:paraId="1D328704" w14:textId="77777777" w:rsidR="00843FDA" w:rsidRPr="00C6580C" w:rsidRDefault="00843FDA" w:rsidP="00CD7CAC">
            <w:pPr>
              <w:widowControl/>
              <w:jc w:val="right"/>
              <w:rPr>
                <w:kern w:val="0"/>
                <w:szCs w:val="22"/>
              </w:rPr>
            </w:pPr>
            <w:r w:rsidRPr="00C6580C">
              <w:rPr>
                <w:kern w:val="0"/>
                <w:szCs w:val="22"/>
              </w:rPr>
              <w:t>.0750</w:t>
            </w:r>
          </w:p>
        </w:tc>
      </w:tr>
      <w:tr w:rsidR="00843FDA" w:rsidRPr="00C6580C" w14:paraId="28951729" w14:textId="77777777">
        <w:tc>
          <w:tcPr>
            <w:tcW w:w="0" w:type="auto"/>
            <w:tcBorders>
              <w:top w:val="single" w:sz="4" w:space="0" w:color="000000"/>
              <w:left w:val="single" w:sz="4" w:space="0" w:color="000000"/>
              <w:bottom w:val="single" w:sz="4" w:space="0" w:color="000000"/>
              <w:right w:val="single" w:sz="4" w:space="0" w:color="000000"/>
            </w:tcBorders>
          </w:tcPr>
          <w:p w14:paraId="5E83F60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78230C1" w14:textId="77777777" w:rsidR="00843FDA" w:rsidRPr="00C6580C" w:rsidRDefault="00843FDA" w:rsidP="00CD7CAC">
            <w:pPr>
              <w:widowControl/>
              <w:jc w:val="center"/>
              <w:rPr>
                <w:szCs w:val="22"/>
              </w:rPr>
            </w:pPr>
            <w:r w:rsidRPr="00C6580C">
              <w:rPr>
                <w:kern w:val="0"/>
                <w:szCs w:val="22"/>
              </w:rPr>
              <w:t>* * *</w:t>
            </w:r>
          </w:p>
        </w:tc>
      </w:tr>
      <w:tr w:rsidR="00843FDA" w:rsidRPr="00C6580C" w14:paraId="4FD5262E" w14:textId="77777777">
        <w:tc>
          <w:tcPr>
            <w:tcW w:w="0" w:type="auto"/>
            <w:tcBorders>
              <w:top w:val="single" w:sz="4" w:space="0" w:color="000000"/>
              <w:left w:val="single" w:sz="4" w:space="0" w:color="000000"/>
              <w:bottom w:val="single" w:sz="4" w:space="0" w:color="000000"/>
              <w:right w:val="single" w:sz="4" w:space="0" w:color="000000"/>
            </w:tcBorders>
          </w:tcPr>
          <w:p w14:paraId="7AA63876" w14:textId="77777777" w:rsidR="00843FDA" w:rsidRPr="00C6580C" w:rsidRDefault="00843FDA" w:rsidP="00CD7CAC">
            <w:pPr>
              <w:widowControl/>
              <w:rPr>
                <w:kern w:val="0"/>
                <w:szCs w:val="22"/>
              </w:rPr>
            </w:pPr>
            <w:r w:rsidRPr="00C6580C">
              <w:rPr>
                <w:kern w:val="0"/>
                <w:szCs w:val="22"/>
              </w:rPr>
              <w:t>394a</w:t>
            </w:r>
          </w:p>
        </w:tc>
        <w:tc>
          <w:tcPr>
            <w:tcW w:w="0" w:type="auto"/>
            <w:tcBorders>
              <w:top w:val="single" w:sz="4" w:space="0" w:color="000000"/>
              <w:left w:val="single" w:sz="4" w:space="0" w:color="000000"/>
              <w:bottom w:val="single" w:sz="4" w:space="0" w:color="000000"/>
              <w:right w:val="single" w:sz="4" w:space="0" w:color="000000"/>
            </w:tcBorders>
          </w:tcPr>
          <w:p w14:paraId="55D10C63" w14:textId="77777777" w:rsidR="00843FDA" w:rsidRPr="00C6580C" w:rsidRDefault="00843FDA" w:rsidP="00CD7CAC">
            <w:pPr>
              <w:widowControl/>
              <w:jc w:val="right"/>
              <w:rPr>
                <w:kern w:val="0"/>
                <w:szCs w:val="22"/>
              </w:rPr>
            </w:pPr>
            <w:r w:rsidRPr="00C6580C">
              <w:rPr>
                <w:kern w:val="0"/>
                <w:szCs w:val="22"/>
              </w:rPr>
              <w:t>.1000</w:t>
            </w:r>
          </w:p>
        </w:tc>
      </w:tr>
      <w:tr w:rsidR="00843FDA" w:rsidRPr="00C6580C" w14:paraId="4247ADFF" w14:textId="77777777">
        <w:tc>
          <w:tcPr>
            <w:tcW w:w="0" w:type="auto"/>
            <w:tcBorders>
              <w:top w:val="single" w:sz="4" w:space="0" w:color="000000"/>
              <w:left w:val="single" w:sz="4" w:space="0" w:color="000000"/>
              <w:bottom w:val="single" w:sz="4" w:space="0" w:color="000000"/>
              <w:right w:val="single" w:sz="4" w:space="0" w:color="000000"/>
            </w:tcBorders>
          </w:tcPr>
          <w:p w14:paraId="3F2681F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3558121" w14:textId="77777777" w:rsidR="00843FDA" w:rsidRPr="00C6580C" w:rsidRDefault="00843FDA" w:rsidP="00CD7CAC">
            <w:pPr>
              <w:widowControl/>
              <w:jc w:val="center"/>
              <w:rPr>
                <w:szCs w:val="22"/>
              </w:rPr>
            </w:pPr>
            <w:r w:rsidRPr="00C6580C">
              <w:rPr>
                <w:kern w:val="0"/>
                <w:szCs w:val="22"/>
              </w:rPr>
              <w:t>* * *</w:t>
            </w:r>
          </w:p>
        </w:tc>
      </w:tr>
      <w:tr w:rsidR="00843FDA" w:rsidRPr="00C6580C" w14:paraId="17C6C5BC" w14:textId="77777777">
        <w:tc>
          <w:tcPr>
            <w:tcW w:w="0" w:type="auto"/>
            <w:tcBorders>
              <w:top w:val="single" w:sz="4" w:space="0" w:color="000000"/>
              <w:left w:val="single" w:sz="4" w:space="0" w:color="000000"/>
              <w:bottom w:val="single" w:sz="4" w:space="0" w:color="000000"/>
              <w:right w:val="single" w:sz="4" w:space="0" w:color="000000"/>
            </w:tcBorders>
          </w:tcPr>
          <w:p w14:paraId="52EAF5C3" w14:textId="77777777" w:rsidR="00843FDA" w:rsidRPr="00C6580C" w:rsidRDefault="00843FDA" w:rsidP="00CD7CAC">
            <w:pPr>
              <w:widowControl/>
              <w:rPr>
                <w:kern w:val="0"/>
                <w:szCs w:val="22"/>
              </w:rPr>
            </w:pPr>
            <w:r w:rsidRPr="00C6580C">
              <w:rPr>
                <w:kern w:val="0"/>
                <w:szCs w:val="22"/>
              </w:rPr>
              <w:t>395a</w:t>
            </w:r>
          </w:p>
        </w:tc>
        <w:tc>
          <w:tcPr>
            <w:tcW w:w="0" w:type="auto"/>
            <w:tcBorders>
              <w:top w:val="single" w:sz="4" w:space="0" w:color="000000"/>
              <w:left w:val="single" w:sz="4" w:space="0" w:color="000000"/>
              <w:bottom w:val="single" w:sz="4" w:space="0" w:color="000000"/>
              <w:right w:val="single" w:sz="4" w:space="0" w:color="000000"/>
            </w:tcBorders>
          </w:tcPr>
          <w:p w14:paraId="1AE329C9" w14:textId="77777777" w:rsidR="00843FDA" w:rsidRPr="00C6580C" w:rsidRDefault="00843FDA" w:rsidP="00CD7CAC">
            <w:pPr>
              <w:widowControl/>
              <w:jc w:val="right"/>
              <w:rPr>
                <w:kern w:val="0"/>
                <w:szCs w:val="22"/>
              </w:rPr>
            </w:pPr>
            <w:r w:rsidRPr="00C6580C">
              <w:rPr>
                <w:kern w:val="0"/>
                <w:szCs w:val="22"/>
              </w:rPr>
              <w:t>.1250</w:t>
            </w:r>
          </w:p>
        </w:tc>
      </w:tr>
      <w:tr w:rsidR="00843FDA" w:rsidRPr="00C6580C" w14:paraId="30BA8F9C" w14:textId="77777777">
        <w:tc>
          <w:tcPr>
            <w:tcW w:w="0" w:type="auto"/>
            <w:tcBorders>
              <w:top w:val="single" w:sz="4" w:space="0" w:color="000000"/>
              <w:left w:val="single" w:sz="4" w:space="0" w:color="000000"/>
              <w:bottom w:val="single" w:sz="4" w:space="0" w:color="000000"/>
              <w:right w:val="single" w:sz="4" w:space="0" w:color="000000"/>
            </w:tcBorders>
          </w:tcPr>
          <w:p w14:paraId="3F9C7C3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156F9D0" w14:textId="77777777" w:rsidR="00843FDA" w:rsidRPr="00C6580C" w:rsidRDefault="00843FDA" w:rsidP="00CD7CAC">
            <w:pPr>
              <w:widowControl/>
              <w:jc w:val="center"/>
              <w:rPr>
                <w:szCs w:val="22"/>
              </w:rPr>
            </w:pPr>
            <w:r w:rsidRPr="00C6580C">
              <w:rPr>
                <w:kern w:val="0"/>
                <w:szCs w:val="22"/>
              </w:rPr>
              <w:t>* * *</w:t>
            </w:r>
          </w:p>
        </w:tc>
      </w:tr>
      <w:tr w:rsidR="00843FDA" w:rsidRPr="00C6580C" w14:paraId="324094C7" w14:textId="77777777">
        <w:tc>
          <w:tcPr>
            <w:tcW w:w="0" w:type="auto"/>
            <w:tcBorders>
              <w:top w:val="single" w:sz="4" w:space="0" w:color="000000"/>
              <w:left w:val="single" w:sz="4" w:space="0" w:color="000000"/>
              <w:bottom w:val="single" w:sz="4" w:space="0" w:color="000000"/>
              <w:right w:val="single" w:sz="4" w:space="0" w:color="000000"/>
            </w:tcBorders>
          </w:tcPr>
          <w:p w14:paraId="00240EA5" w14:textId="77777777" w:rsidR="00843FDA" w:rsidRPr="00C6580C" w:rsidRDefault="00843FDA" w:rsidP="00CD7CAC">
            <w:pPr>
              <w:widowControl/>
              <w:rPr>
                <w:kern w:val="0"/>
                <w:szCs w:val="22"/>
              </w:rPr>
            </w:pPr>
            <w:r w:rsidRPr="00C6580C">
              <w:rPr>
                <w:kern w:val="0"/>
                <w:szCs w:val="22"/>
              </w:rPr>
              <w:t>396a</w:t>
            </w:r>
          </w:p>
        </w:tc>
        <w:tc>
          <w:tcPr>
            <w:tcW w:w="0" w:type="auto"/>
            <w:tcBorders>
              <w:top w:val="single" w:sz="4" w:space="0" w:color="000000"/>
              <w:left w:val="single" w:sz="4" w:space="0" w:color="000000"/>
              <w:bottom w:val="single" w:sz="4" w:space="0" w:color="000000"/>
              <w:right w:val="single" w:sz="4" w:space="0" w:color="000000"/>
            </w:tcBorders>
          </w:tcPr>
          <w:p w14:paraId="0252818C" w14:textId="77777777" w:rsidR="00843FDA" w:rsidRPr="00C6580C" w:rsidRDefault="00843FDA" w:rsidP="00CD7CAC">
            <w:pPr>
              <w:widowControl/>
              <w:jc w:val="right"/>
              <w:rPr>
                <w:kern w:val="0"/>
                <w:szCs w:val="22"/>
              </w:rPr>
            </w:pPr>
            <w:r w:rsidRPr="00C6580C">
              <w:rPr>
                <w:kern w:val="0"/>
                <w:szCs w:val="22"/>
              </w:rPr>
              <w:t>.1500</w:t>
            </w:r>
          </w:p>
        </w:tc>
      </w:tr>
      <w:tr w:rsidR="00843FDA" w:rsidRPr="00C6580C" w14:paraId="61511F66" w14:textId="77777777">
        <w:tc>
          <w:tcPr>
            <w:tcW w:w="0" w:type="auto"/>
            <w:tcBorders>
              <w:top w:val="single" w:sz="4" w:space="0" w:color="000000"/>
              <w:left w:val="single" w:sz="4" w:space="0" w:color="000000"/>
              <w:bottom w:val="single" w:sz="4" w:space="0" w:color="000000"/>
              <w:right w:val="single" w:sz="4" w:space="0" w:color="000000"/>
            </w:tcBorders>
          </w:tcPr>
          <w:p w14:paraId="729871F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D5A03D0" w14:textId="77777777" w:rsidR="00843FDA" w:rsidRPr="00C6580C" w:rsidRDefault="00843FDA" w:rsidP="00CD7CAC">
            <w:pPr>
              <w:widowControl/>
              <w:jc w:val="center"/>
              <w:rPr>
                <w:szCs w:val="22"/>
              </w:rPr>
            </w:pPr>
            <w:r w:rsidRPr="00C6580C">
              <w:rPr>
                <w:kern w:val="0"/>
                <w:szCs w:val="22"/>
              </w:rPr>
              <w:t>* * *</w:t>
            </w:r>
          </w:p>
        </w:tc>
      </w:tr>
      <w:tr w:rsidR="00843FDA" w:rsidRPr="00C6580C" w14:paraId="5BC4C9B9" w14:textId="77777777">
        <w:tc>
          <w:tcPr>
            <w:tcW w:w="0" w:type="auto"/>
            <w:tcBorders>
              <w:top w:val="single" w:sz="4" w:space="0" w:color="000000"/>
              <w:left w:val="single" w:sz="4" w:space="0" w:color="000000"/>
              <w:bottom w:val="single" w:sz="4" w:space="0" w:color="000000"/>
              <w:right w:val="single" w:sz="4" w:space="0" w:color="000000"/>
            </w:tcBorders>
          </w:tcPr>
          <w:p w14:paraId="002E67EC" w14:textId="77777777" w:rsidR="00843FDA" w:rsidRPr="00C6580C" w:rsidRDefault="00843FDA" w:rsidP="00CD7CAC">
            <w:pPr>
              <w:widowControl/>
              <w:rPr>
                <w:kern w:val="0"/>
                <w:szCs w:val="22"/>
              </w:rPr>
            </w:pPr>
            <w:r w:rsidRPr="00C6580C">
              <w:rPr>
                <w:kern w:val="0"/>
                <w:szCs w:val="22"/>
              </w:rPr>
              <w:t>397a</w:t>
            </w:r>
          </w:p>
        </w:tc>
        <w:tc>
          <w:tcPr>
            <w:tcW w:w="0" w:type="auto"/>
            <w:tcBorders>
              <w:top w:val="single" w:sz="4" w:space="0" w:color="000000"/>
              <w:left w:val="single" w:sz="4" w:space="0" w:color="000000"/>
              <w:bottom w:val="single" w:sz="4" w:space="0" w:color="000000"/>
              <w:right w:val="single" w:sz="4" w:space="0" w:color="000000"/>
            </w:tcBorders>
          </w:tcPr>
          <w:p w14:paraId="0F557060" w14:textId="77777777" w:rsidR="00843FDA" w:rsidRPr="00C6580C" w:rsidRDefault="00843FDA" w:rsidP="00CD7CAC">
            <w:pPr>
              <w:widowControl/>
              <w:jc w:val="right"/>
              <w:rPr>
                <w:kern w:val="0"/>
                <w:szCs w:val="22"/>
              </w:rPr>
            </w:pPr>
            <w:r w:rsidRPr="00C6580C">
              <w:rPr>
                <w:kern w:val="0"/>
                <w:szCs w:val="22"/>
              </w:rPr>
              <w:t>.1750</w:t>
            </w:r>
          </w:p>
        </w:tc>
      </w:tr>
      <w:tr w:rsidR="00843FDA" w:rsidRPr="00C6580C" w14:paraId="3DD20CFC" w14:textId="77777777">
        <w:tc>
          <w:tcPr>
            <w:tcW w:w="0" w:type="auto"/>
            <w:tcBorders>
              <w:top w:val="single" w:sz="4" w:space="0" w:color="000000"/>
              <w:left w:val="single" w:sz="4" w:space="0" w:color="000000"/>
              <w:bottom w:val="single" w:sz="4" w:space="0" w:color="000000"/>
              <w:right w:val="single" w:sz="4" w:space="0" w:color="000000"/>
            </w:tcBorders>
          </w:tcPr>
          <w:p w14:paraId="277BA4E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D7287D6" w14:textId="77777777" w:rsidR="00843FDA" w:rsidRPr="00C6580C" w:rsidRDefault="00843FDA" w:rsidP="00CD7CAC">
            <w:pPr>
              <w:widowControl/>
              <w:jc w:val="center"/>
              <w:rPr>
                <w:szCs w:val="22"/>
              </w:rPr>
            </w:pPr>
            <w:r w:rsidRPr="00C6580C">
              <w:rPr>
                <w:kern w:val="0"/>
                <w:szCs w:val="22"/>
              </w:rPr>
              <w:t>* * *</w:t>
            </w:r>
          </w:p>
        </w:tc>
      </w:tr>
      <w:tr w:rsidR="00843FDA" w:rsidRPr="00C6580C" w14:paraId="26DC2124" w14:textId="77777777">
        <w:tc>
          <w:tcPr>
            <w:tcW w:w="0" w:type="auto"/>
            <w:tcBorders>
              <w:top w:val="single" w:sz="4" w:space="0" w:color="000000"/>
              <w:left w:val="single" w:sz="4" w:space="0" w:color="000000"/>
              <w:bottom w:val="single" w:sz="4" w:space="0" w:color="000000"/>
              <w:right w:val="single" w:sz="4" w:space="0" w:color="000000"/>
            </w:tcBorders>
          </w:tcPr>
          <w:p w14:paraId="3E48FD22" w14:textId="77777777" w:rsidR="00843FDA" w:rsidRPr="00C6580C" w:rsidRDefault="00843FDA" w:rsidP="00CD7CAC">
            <w:pPr>
              <w:widowControl/>
              <w:rPr>
                <w:kern w:val="0"/>
                <w:szCs w:val="22"/>
              </w:rPr>
            </w:pPr>
            <w:r w:rsidRPr="00C6580C">
              <w:rPr>
                <w:kern w:val="0"/>
                <w:szCs w:val="22"/>
              </w:rPr>
              <w:t>398a</w:t>
            </w:r>
          </w:p>
        </w:tc>
        <w:tc>
          <w:tcPr>
            <w:tcW w:w="0" w:type="auto"/>
            <w:tcBorders>
              <w:top w:val="single" w:sz="4" w:space="0" w:color="000000"/>
              <w:left w:val="single" w:sz="4" w:space="0" w:color="000000"/>
              <w:bottom w:val="single" w:sz="4" w:space="0" w:color="000000"/>
              <w:right w:val="single" w:sz="4" w:space="0" w:color="000000"/>
            </w:tcBorders>
          </w:tcPr>
          <w:p w14:paraId="1123D62C" w14:textId="77777777" w:rsidR="00843FDA" w:rsidRPr="00C6580C" w:rsidRDefault="00843FDA" w:rsidP="00CD7CAC">
            <w:pPr>
              <w:widowControl/>
              <w:jc w:val="right"/>
              <w:rPr>
                <w:kern w:val="0"/>
                <w:szCs w:val="22"/>
              </w:rPr>
            </w:pPr>
            <w:r w:rsidRPr="00C6580C">
              <w:rPr>
                <w:kern w:val="0"/>
                <w:szCs w:val="22"/>
              </w:rPr>
              <w:t>.2000</w:t>
            </w:r>
          </w:p>
        </w:tc>
      </w:tr>
      <w:tr w:rsidR="00843FDA" w:rsidRPr="00C6580C" w14:paraId="66529AFA" w14:textId="77777777">
        <w:tc>
          <w:tcPr>
            <w:tcW w:w="0" w:type="auto"/>
            <w:tcBorders>
              <w:top w:val="single" w:sz="4" w:space="0" w:color="000000"/>
              <w:left w:val="single" w:sz="4" w:space="0" w:color="000000"/>
              <w:bottom w:val="single" w:sz="4" w:space="0" w:color="000000"/>
              <w:right w:val="single" w:sz="4" w:space="0" w:color="000000"/>
            </w:tcBorders>
          </w:tcPr>
          <w:p w14:paraId="65F01CA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788CDF9" w14:textId="77777777" w:rsidR="00843FDA" w:rsidRPr="00C6580C" w:rsidRDefault="00843FDA" w:rsidP="00CD7CAC">
            <w:pPr>
              <w:widowControl/>
              <w:jc w:val="center"/>
              <w:rPr>
                <w:szCs w:val="22"/>
              </w:rPr>
            </w:pPr>
            <w:r w:rsidRPr="00C6580C">
              <w:rPr>
                <w:kern w:val="0"/>
                <w:szCs w:val="22"/>
              </w:rPr>
              <w:t>* * *</w:t>
            </w:r>
          </w:p>
        </w:tc>
      </w:tr>
      <w:tr w:rsidR="00843FDA" w:rsidRPr="00C6580C" w14:paraId="1EEB0594" w14:textId="77777777">
        <w:tc>
          <w:tcPr>
            <w:tcW w:w="0" w:type="auto"/>
            <w:tcBorders>
              <w:top w:val="single" w:sz="4" w:space="0" w:color="000000"/>
              <w:left w:val="single" w:sz="4" w:space="0" w:color="000000"/>
              <w:bottom w:val="single" w:sz="4" w:space="0" w:color="000000"/>
              <w:right w:val="single" w:sz="4" w:space="0" w:color="000000"/>
            </w:tcBorders>
          </w:tcPr>
          <w:p w14:paraId="0A105AA4" w14:textId="77777777" w:rsidR="00843FDA" w:rsidRPr="00C6580C" w:rsidRDefault="00843FDA" w:rsidP="00CD7CAC">
            <w:pPr>
              <w:widowControl/>
              <w:rPr>
                <w:kern w:val="0"/>
                <w:szCs w:val="22"/>
              </w:rPr>
            </w:pPr>
            <w:r w:rsidRPr="00C6580C">
              <w:rPr>
                <w:kern w:val="0"/>
                <w:szCs w:val="22"/>
              </w:rPr>
              <w:t>399a</w:t>
            </w:r>
          </w:p>
        </w:tc>
        <w:tc>
          <w:tcPr>
            <w:tcW w:w="0" w:type="auto"/>
            <w:tcBorders>
              <w:top w:val="single" w:sz="4" w:space="0" w:color="000000"/>
              <w:left w:val="single" w:sz="4" w:space="0" w:color="000000"/>
              <w:bottom w:val="single" w:sz="4" w:space="0" w:color="000000"/>
              <w:right w:val="single" w:sz="4" w:space="0" w:color="000000"/>
            </w:tcBorders>
          </w:tcPr>
          <w:p w14:paraId="3071F5AF" w14:textId="77777777" w:rsidR="00843FDA" w:rsidRPr="00C6580C" w:rsidRDefault="00843FDA" w:rsidP="00CD7CAC">
            <w:pPr>
              <w:widowControl/>
              <w:jc w:val="right"/>
              <w:rPr>
                <w:kern w:val="0"/>
                <w:szCs w:val="22"/>
              </w:rPr>
            </w:pPr>
            <w:r w:rsidRPr="00C6580C">
              <w:rPr>
                <w:kern w:val="0"/>
                <w:szCs w:val="22"/>
              </w:rPr>
              <w:t>.2250</w:t>
            </w:r>
          </w:p>
        </w:tc>
      </w:tr>
      <w:tr w:rsidR="00843FDA" w:rsidRPr="00C6580C" w14:paraId="570F6986" w14:textId="77777777">
        <w:tc>
          <w:tcPr>
            <w:tcW w:w="0" w:type="auto"/>
            <w:tcBorders>
              <w:top w:val="single" w:sz="4" w:space="0" w:color="000000"/>
              <w:left w:val="single" w:sz="4" w:space="0" w:color="000000"/>
              <w:bottom w:val="single" w:sz="4" w:space="0" w:color="000000"/>
              <w:right w:val="single" w:sz="4" w:space="0" w:color="000000"/>
            </w:tcBorders>
          </w:tcPr>
          <w:p w14:paraId="3941D1C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D19EFC0" w14:textId="77777777" w:rsidR="00843FDA" w:rsidRPr="00C6580C" w:rsidRDefault="00843FDA" w:rsidP="00CD7CAC">
            <w:pPr>
              <w:widowControl/>
              <w:jc w:val="center"/>
              <w:rPr>
                <w:szCs w:val="22"/>
              </w:rPr>
            </w:pPr>
            <w:r w:rsidRPr="00C6580C">
              <w:rPr>
                <w:kern w:val="0"/>
                <w:szCs w:val="22"/>
              </w:rPr>
              <w:t>* * *</w:t>
            </w:r>
          </w:p>
        </w:tc>
      </w:tr>
      <w:tr w:rsidR="00843FDA" w:rsidRPr="00C6580C" w14:paraId="12638805" w14:textId="77777777">
        <w:tc>
          <w:tcPr>
            <w:tcW w:w="0" w:type="auto"/>
            <w:tcBorders>
              <w:top w:val="single" w:sz="4" w:space="0" w:color="000000"/>
              <w:left w:val="single" w:sz="4" w:space="0" w:color="000000"/>
              <w:bottom w:val="single" w:sz="4" w:space="0" w:color="000000"/>
              <w:right w:val="single" w:sz="4" w:space="0" w:color="000000"/>
            </w:tcBorders>
          </w:tcPr>
          <w:p w14:paraId="05500C2E" w14:textId="77777777" w:rsidR="00843FDA" w:rsidRPr="00C6580C" w:rsidRDefault="00843FDA" w:rsidP="00CD7CAC">
            <w:pPr>
              <w:widowControl/>
              <w:rPr>
                <w:kern w:val="0"/>
                <w:szCs w:val="22"/>
              </w:rPr>
            </w:pPr>
            <w:r w:rsidRPr="00C6580C">
              <w:rPr>
                <w:kern w:val="0"/>
                <w:szCs w:val="22"/>
              </w:rPr>
              <w:t>400a</w:t>
            </w:r>
          </w:p>
        </w:tc>
        <w:tc>
          <w:tcPr>
            <w:tcW w:w="0" w:type="auto"/>
            <w:tcBorders>
              <w:top w:val="single" w:sz="4" w:space="0" w:color="000000"/>
              <w:left w:val="single" w:sz="4" w:space="0" w:color="000000"/>
              <w:bottom w:val="single" w:sz="4" w:space="0" w:color="000000"/>
              <w:right w:val="single" w:sz="4" w:space="0" w:color="000000"/>
            </w:tcBorders>
          </w:tcPr>
          <w:p w14:paraId="6AEFF3A9" w14:textId="77777777" w:rsidR="00843FDA" w:rsidRPr="00C6580C" w:rsidRDefault="00843FDA" w:rsidP="00CD7CAC">
            <w:pPr>
              <w:widowControl/>
              <w:jc w:val="right"/>
              <w:rPr>
                <w:kern w:val="0"/>
                <w:szCs w:val="22"/>
              </w:rPr>
            </w:pPr>
            <w:r w:rsidRPr="00C6580C">
              <w:rPr>
                <w:kern w:val="0"/>
                <w:szCs w:val="22"/>
              </w:rPr>
              <w:t>.2500</w:t>
            </w:r>
          </w:p>
        </w:tc>
      </w:tr>
      <w:tr w:rsidR="00843FDA" w:rsidRPr="00C6580C" w14:paraId="575A8031" w14:textId="77777777">
        <w:tc>
          <w:tcPr>
            <w:tcW w:w="0" w:type="auto"/>
            <w:tcBorders>
              <w:top w:val="single" w:sz="4" w:space="0" w:color="000000"/>
              <w:left w:val="single" w:sz="4" w:space="0" w:color="000000"/>
              <w:bottom w:val="single" w:sz="4" w:space="0" w:color="000000"/>
              <w:right w:val="single" w:sz="4" w:space="0" w:color="000000"/>
            </w:tcBorders>
          </w:tcPr>
          <w:p w14:paraId="0F65D16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01F2EFD" w14:textId="77777777" w:rsidR="00843FDA" w:rsidRPr="00C6580C" w:rsidRDefault="00843FDA" w:rsidP="00CD7CAC">
            <w:pPr>
              <w:widowControl/>
              <w:jc w:val="center"/>
              <w:rPr>
                <w:szCs w:val="22"/>
              </w:rPr>
            </w:pPr>
            <w:r w:rsidRPr="00C6580C">
              <w:rPr>
                <w:kern w:val="0"/>
                <w:szCs w:val="22"/>
              </w:rPr>
              <w:t>* * *</w:t>
            </w:r>
          </w:p>
        </w:tc>
      </w:tr>
      <w:tr w:rsidR="00843FDA" w:rsidRPr="00C6580C" w14:paraId="2EF28DCA" w14:textId="77777777">
        <w:tc>
          <w:tcPr>
            <w:tcW w:w="0" w:type="auto"/>
            <w:tcBorders>
              <w:top w:val="single" w:sz="4" w:space="0" w:color="000000"/>
              <w:left w:val="single" w:sz="4" w:space="0" w:color="000000"/>
              <w:bottom w:val="single" w:sz="4" w:space="0" w:color="000000"/>
              <w:right w:val="single" w:sz="4" w:space="0" w:color="000000"/>
            </w:tcBorders>
          </w:tcPr>
          <w:p w14:paraId="45F4C14D" w14:textId="77777777" w:rsidR="00843FDA" w:rsidRPr="00C6580C" w:rsidRDefault="00843FDA" w:rsidP="00CD7CAC">
            <w:pPr>
              <w:widowControl/>
              <w:rPr>
                <w:kern w:val="0"/>
                <w:szCs w:val="22"/>
              </w:rPr>
            </w:pPr>
            <w:r w:rsidRPr="00C6580C">
              <w:rPr>
                <w:kern w:val="0"/>
                <w:szCs w:val="22"/>
              </w:rPr>
              <w:t>401a</w:t>
            </w:r>
          </w:p>
        </w:tc>
        <w:tc>
          <w:tcPr>
            <w:tcW w:w="0" w:type="auto"/>
            <w:tcBorders>
              <w:top w:val="single" w:sz="4" w:space="0" w:color="000000"/>
              <w:left w:val="single" w:sz="4" w:space="0" w:color="000000"/>
              <w:bottom w:val="single" w:sz="4" w:space="0" w:color="000000"/>
              <w:right w:val="single" w:sz="4" w:space="0" w:color="000000"/>
            </w:tcBorders>
          </w:tcPr>
          <w:p w14:paraId="59A87738" w14:textId="77777777" w:rsidR="00843FDA" w:rsidRPr="00C6580C" w:rsidRDefault="00843FDA" w:rsidP="00CD7CAC">
            <w:pPr>
              <w:widowControl/>
              <w:jc w:val="right"/>
              <w:rPr>
                <w:kern w:val="0"/>
                <w:szCs w:val="22"/>
              </w:rPr>
            </w:pPr>
            <w:r w:rsidRPr="00C6580C">
              <w:rPr>
                <w:kern w:val="0"/>
                <w:szCs w:val="22"/>
              </w:rPr>
              <w:t>.2750</w:t>
            </w:r>
          </w:p>
        </w:tc>
      </w:tr>
      <w:tr w:rsidR="00843FDA" w:rsidRPr="00C6580C" w14:paraId="504D7947" w14:textId="77777777">
        <w:tc>
          <w:tcPr>
            <w:tcW w:w="0" w:type="auto"/>
            <w:tcBorders>
              <w:top w:val="single" w:sz="4" w:space="0" w:color="000000"/>
              <w:left w:val="single" w:sz="4" w:space="0" w:color="000000"/>
              <w:bottom w:val="single" w:sz="4" w:space="0" w:color="000000"/>
              <w:right w:val="single" w:sz="4" w:space="0" w:color="000000"/>
            </w:tcBorders>
          </w:tcPr>
          <w:p w14:paraId="2A364E2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06225B6" w14:textId="77777777" w:rsidR="00843FDA" w:rsidRPr="00C6580C" w:rsidRDefault="00843FDA" w:rsidP="00CD7CAC">
            <w:pPr>
              <w:widowControl/>
              <w:jc w:val="center"/>
              <w:rPr>
                <w:szCs w:val="22"/>
              </w:rPr>
            </w:pPr>
            <w:r w:rsidRPr="00C6580C">
              <w:rPr>
                <w:kern w:val="0"/>
                <w:szCs w:val="22"/>
              </w:rPr>
              <w:t>* * *</w:t>
            </w:r>
          </w:p>
        </w:tc>
      </w:tr>
      <w:tr w:rsidR="00843FDA" w:rsidRPr="00C6580C" w14:paraId="66D45F7A" w14:textId="77777777">
        <w:tc>
          <w:tcPr>
            <w:tcW w:w="0" w:type="auto"/>
            <w:tcBorders>
              <w:top w:val="single" w:sz="4" w:space="0" w:color="000000"/>
              <w:left w:val="single" w:sz="4" w:space="0" w:color="000000"/>
              <w:bottom w:val="single" w:sz="4" w:space="0" w:color="000000"/>
              <w:right w:val="single" w:sz="4" w:space="0" w:color="000000"/>
            </w:tcBorders>
          </w:tcPr>
          <w:p w14:paraId="4732818B" w14:textId="77777777" w:rsidR="00843FDA" w:rsidRPr="00C6580C" w:rsidRDefault="00843FDA" w:rsidP="00CD7CAC">
            <w:pPr>
              <w:widowControl/>
              <w:rPr>
                <w:kern w:val="0"/>
                <w:szCs w:val="22"/>
              </w:rPr>
            </w:pPr>
            <w:r w:rsidRPr="00C6580C">
              <w:rPr>
                <w:kern w:val="0"/>
                <w:szCs w:val="22"/>
              </w:rPr>
              <w:t>402a</w:t>
            </w:r>
          </w:p>
        </w:tc>
        <w:tc>
          <w:tcPr>
            <w:tcW w:w="0" w:type="auto"/>
            <w:tcBorders>
              <w:top w:val="single" w:sz="4" w:space="0" w:color="000000"/>
              <w:left w:val="single" w:sz="4" w:space="0" w:color="000000"/>
              <w:bottom w:val="single" w:sz="4" w:space="0" w:color="000000"/>
              <w:right w:val="single" w:sz="4" w:space="0" w:color="000000"/>
            </w:tcBorders>
          </w:tcPr>
          <w:p w14:paraId="77A0972C" w14:textId="77777777" w:rsidR="00843FDA" w:rsidRPr="00C6580C" w:rsidRDefault="00843FDA" w:rsidP="00CD7CAC">
            <w:pPr>
              <w:widowControl/>
              <w:jc w:val="right"/>
              <w:rPr>
                <w:kern w:val="0"/>
                <w:szCs w:val="22"/>
              </w:rPr>
            </w:pPr>
            <w:r w:rsidRPr="00C6580C">
              <w:rPr>
                <w:kern w:val="0"/>
                <w:szCs w:val="22"/>
              </w:rPr>
              <w:t>.3000</w:t>
            </w:r>
          </w:p>
        </w:tc>
      </w:tr>
      <w:tr w:rsidR="00843FDA" w:rsidRPr="00C6580C" w14:paraId="1F7A965D" w14:textId="77777777">
        <w:tc>
          <w:tcPr>
            <w:tcW w:w="0" w:type="auto"/>
            <w:tcBorders>
              <w:top w:val="single" w:sz="4" w:space="0" w:color="000000"/>
              <w:left w:val="single" w:sz="4" w:space="0" w:color="000000"/>
              <w:bottom w:val="single" w:sz="4" w:space="0" w:color="000000"/>
              <w:right w:val="single" w:sz="4" w:space="0" w:color="000000"/>
            </w:tcBorders>
          </w:tcPr>
          <w:p w14:paraId="7C5FCC1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226A452" w14:textId="77777777" w:rsidR="00843FDA" w:rsidRPr="00C6580C" w:rsidRDefault="00843FDA" w:rsidP="00CD7CAC">
            <w:pPr>
              <w:widowControl/>
              <w:jc w:val="center"/>
              <w:rPr>
                <w:szCs w:val="22"/>
              </w:rPr>
            </w:pPr>
            <w:r w:rsidRPr="00C6580C">
              <w:rPr>
                <w:kern w:val="0"/>
                <w:szCs w:val="22"/>
              </w:rPr>
              <w:t>* * *</w:t>
            </w:r>
          </w:p>
        </w:tc>
      </w:tr>
      <w:tr w:rsidR="00843FDA" w:rsidRPr="00C6580C" w14:paraId="03D2F804" w14:textId="77777777">
        <w:tc>
          <w:tcPr>
            <w:tcW w:w="0" w:type="auto"/>
            <w:tcBorders>
              <w:top w:val="single" w:sz="4" w:space="0" w:color="000000"/>
              <w:left w:val="single" w:sz="4" w:space="0" w:color="000000"/>
              <w:bottom w:val="single" w:sz="4" w:space="0" w:color="000000"/>
              <w:right w:val="single" w:sz="4" w:space="0" w:color="000000"/>
            </w:tcBorders>
          </w:tcPr>
          <w:p w14:paraId="3CE72695" w14:textId="77777777" w:rsidR="00843FDA" w:rsidRPr="00C6580C" w:rsidRDefault="00843FDA" w:rsidP="00CD7CAC">
            <w:pPr>
              <w:widowControl/>
              <w:rPr>
                <w:kern w:val="0"/>
                <w:szCs w:val="22"/>
              </w:rPr>
            </w:pPr>
            <w:r w:rsidRPr="00C6580C">
              <w:rPr>
                <w:kern w:val="0"/>
                <w:szCs w:val="22"/>
              </w:rPr>
              <w:t>403a</w:t>
            </w:r>
          </w:p>
        </w:tc>
        <w:tc>
          <w:tcPr>
            <w:tcW w:w="0" w:type="auto"/>
            <w:tcBorders>
              <w:top w:val="single" w:sz="4" w:space="0" w:color="000000"/>
              <w:left w:val="single" w:sz="4" w:space="0" w:color="000000"/>
              <w:bottom w:val="single" w:sz="4" w:space="0" w:color="000000"/>
              <w:right w:val="single" w:sz="4" w:space="0" w:color="000000"/>
            </w:tcBorders>
          </w:tcPr>
          <w:p w14:paraId="0AC006D6" w14:textId="77777777" w:rsidR="00843FDA" w:rsidRPr="00C6580C" w:rsidRDefault="00843FDA" w:rsidP="00CD7CAC">
            <w:pPr>
              <w:widowControl/>
              <w:jc w:val="right"/>
              <w:rPr>
                <w:kern w:val="0"/>
                <w:szCs w:val="22"/>
              </w:rPr>
            </w:pPr>
            <w:r w:rsidRPr="00C6580C">
              <w:rPr>
                <w:kern w:val="0"/>
                <w:szCs w:val="22"/>
              </w:rPr>
              <w:t>.3250</w:t>
            </w:r>
          </w:p>
        </w:tc>
      </w:tr>
      <w:tr w:rsidR="00843FDA" w:rsidRPr="00C6580C" w14:paraId="218BC8AC" w14:textId="77777777">
        <w:tc>
          <w:tcPr>
            <w:tcW w:w="0" w:type="auto"/>
            <w:tcBorders>
              <w:top w:val="single" w:sz="4" w:space="0" w:color="000000"/>
              <w:left w:val="single" w:sz="4" w:space="0" w:color="000000"/>
              <w:bottom w:val="single" w:sz="4" w:space="0" w:color="000000"/>
              <w:right w:val="single" w:sz="4" w:space="0" w:color="000000"/>
            </w:tcBorders>
          </w:tcPr>
          <w:p w14:paraId="4F8174B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46854D9" w14:textId="77777777" w:rsidR="00843FDA" w:rsidRPr="00C6580C" w:rsidRDefault="00843FDA" w:rsidP="00CD7CAC">
            <w:pPr>
              <w:widowControl/>
              <w:jc w:val="center"/>
              <w:rPr>
                <w:szCs w:val="22"/>
              </w:rPr>
            </w:pPr>
            <w:r w:rsidRPr="00C6580C">
              <w:rPr>
                <w:kern w:val="0"/>
                <w:szCs w:val="22"/>
              </w:rPr>
              <w:t>* * *</w:t>
            </w:r>
          </w:p>
        </w:tc>
      </w:tr>
      <w:tr w:rsidR="00843FDA" w:rsidRPr="00C6580C" w14:paraId="3252529A" w14:textId="77777777">
        <w:tc>
          <w:tcPr>
            <w:tcW w:w="0" w:type="auto"/>
            <w:tcBorders>
              <w:top w:val="single" w:sz="4" w:space="0" w:color="000000"/>
              <w:left w:val="single" w:sz="4" w:space="0" w:color="000000"/>
              <w:bottom w:val="single" w:sz="4" w:space="0" w:color="000000"/>
              <w:right w:val="single" w:sz="4" w:space="0" w:color="000000"/>
            </w:tcBorders>
          </w:tcPr>
          <w:p w14:paraId="0A9E3F09" w14:textId="77777777" w:rsidR="00843FDA" w:rsidRPr="00C6580C" w:rsidRDefault="00843FDA" w:rsidP="00CD7CAC">
            <w:pPr>
              <w:widowControl/>
              <w:rPr>
                <w:kern w:val="0"/>
                <w:szCs w:val="22"/>
              </w:rPr>
            </w:pPr>
            <w:r w:rsidRPr="00C6580C">
              <w:rPr>
                <w:kern w:val="0"/>
                <w:szCs w:val="22"/>
              </w:rPr>
              <w:t>404a</w:t>
            </w:r>
          </w:p>
        </w:tc>
        <w:tc>
          <w:tcPr>
            <w:tcW w:w="0" w:type="auto"/>
            <w:tcBorders>
              <w:top w:val="single" w:sz="4" w:space="0" w:color="000000"/>
              <w:left w:val="single" w:sz="4" w:space="0" w:color="000000"/>
              <w:bottom w:val="single" w:sz="4" w:space="0" w:color="000000"/>
              <w:right w:val="single" w:sz="4" w:space="0" w:color="000000"/>
            </w:tcBorders>
          </w:tcPr>
          <w:p w14:paraId="73E4F9DC" w14:textId="77777777" w:rsidR="00843FDA" w:rsidRPr="00C6580C" w:rsidRDefault="00843FDA" w:rsidP="00CD7CAC">
            <w:pPr>
              <w:widowControl/>
              <w:jc w:val="right"/>
              <w:rPr>
                <w:kern w:val="0"/>
                <w:szCs w:val="22"/>
              </w:rPr>
            </w:pPr>
            <w:r w:rsidRPr="00C6580C">
              <w:rPr>
                <w:kern w:val="0"/>
                <w:szCs w:val="22"/>
              </w:rPr>
              <w:t>.3500</w:t>
            </w:r>
          </w:p>
        </w:tc>
      </w:tr>
      <w:tr w:rsidR="00843FDA" w:rsidRPr="00C6580C" w14:paraId="0729DF57" w14:textId="77777777">
        <w:tc>
          <w:tcPr>
            <w:tcW w:w="0" w:type="auto"/>
            <w:tcBorders>
              <w:top w:val="single" w:sz="4" w:space="0" w:color="000000"/>
              <w:left w:val="single" w:sz="4" w:space="0" w:color="000000"/>
              <w:bottom w:val="single" w:sz="4" w:space="0" w:color="000000"/>
              <w:right w:val="single" w:sz="4" w:space="0" w:color="000000"/>
            </w:tcBorders>
          </w:tcPr>
          <w:p w14:paraId="1B37A42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0A14D93" w14:textId="77777777" w:rsidR="00843FDA" w:rsidRPr="00C6580C" w:rsidRDefault="00843FDA" w:rsidP="00CD7CAC">
            <w:pPr>
              <w:widowControl/>
              <w:jc w:val="center"/>
              <w:rPr>
                <w:szCs w:val="22"/>
              </w:rPr>
            </w:pPr>
            <w:r w:rsidRPr="00C6580C">
              <w:rPr>
                <w:kern w:val="0"/>
                <w:szCs w:val="22"/>
              </w:rPr>
              <w:t>* * *</w:t>
            </w:r>
          </w:p>
        </w:tc>
      </w:tr>
      <w:tr w:rsidR="00843FDA" w:rsidRPr="00C6580C" w14:paraId="55DE3CAC" w14:textId="77777777">
        <w:tc>
          <w:tcPr>
            <w:tcW w:w="0" w:type="auto"/>
            <w:tcBorders>
              <w:top w:val="single" w:sz="4" w:space="0" w:color="000000"/>
              <w:left w:val="single" w:sz="4" w:space="0" w:color="000000"/>
              <w:bottom w:val="single" w:sz="4" w:space="0" w:color="000000"/>
              <w:right w:val="single" w:sz="4" w:space="0" w:color="000000"/>
            </w:tcBorders>
          </w:tcPr>
          <w:p w14:paraId="6C69C566" w14:textId="77777777" w:rsidR="00843FDA" w:rsidRPr="00C6580C" w:rsidRDefault="00843FDA" w:rsidP="00CD7CAC">
            <w:pPr>
              <w:widowControl/>
              <w:rPr>
                <w:kern w:val="0"/>
                <w:szCs w:val="22"/>
              </w:rPr>
            </w:pPr>
            <w:r w:rsidRPr="00C6580C">
              <w:rPr>
                <w:kern w:val="0"/>
                <w:szCs w:val="22"/>
              </w:rPr>
              <w:t>405a</w:t>
            </w:r>
          </w:p>
        </w:tc>
        <w:tc>
          <w:tcPr>
            <w:tcW w:w="0" w:type="auto"/>
            <w:tcBorders>
              <w:top w:val="single" w:sz="4" w:space="0" w:color="000000"/>
              <w:left w:val="single" w:sz="4" w:space="0" w:color="000000"/>
              <w:bottom w:val="single" w:sz="4" w:space="0" w:color="000000"/>
              <w:right w:val="single" w:sz="4" w:space="0" w:color="000000"/>
            </w:tcBorders>
          </w:tcPr>
          <w:p w14:paraId="30C6CE1F" w14:textId="77777777" w:rsidR="00843FDA" w:rsidRPr="00C6580C" w:rsidRDefault="00843FDA" w:rsidP="00CD7CAC">
            <w:pPr>
              <w:widowControl/>
              <w:jc w:val="right"/>
              <w:rPr>
                <w:kern w:val="0"/>
                <w:szCs w:val="22"/>
              </w:rPr>
            </w:pPr>
            <w:r w:rsidRPr="00C6580C">
              <w:rPr>
                <w:kern w:val="0"/>
                <w:szCs w:val="22"/>
              </w:rPr>
              <w:t>.3750</w:t>
            </w:r>
          </w:p>
        </w:tc>
      </w:tr>
      <w:tr w:rsidR="00843FDA" w:rsidRPr="00C6580C" w14:paraId="5F411301" w14:textId="77777777">
        <w:tc>
          <w:tcPr>
            <w:tcW w:w="0" w:type="auto"/>
            <w:tcBorders>
              <w:top w:val="single" w:sz="4" w:space="0" w:color="000000"/>
              <w:left w:val="single" w:sz="4" w:space="0" w:color="000000"/>
              <w:bottom w:val="single" w:sz="4" w:space="0" w:color="000000"/>
              <w:right w:val="single" w:sz="4" w:space="0" w:color="000000"/>
            </w:tcBorders>
          </w:tcPr>
          <w:p w14:paraId="49CA8247" w14:textId="77777777" w:rsidR="00843FDA" w:rsidRPr="00C6580C" w:rsidRDefault="00843FDA" w:rsidP="00CD7CAC">
            <w:pPr>
              <w:widowControl/>
              <w:rPr>
                <w:kern w:val="0"/>
                <w:szCs w:val="22"/>
              </w:rPr>
            </w:pPr>
          </w:p>
        </w:tc>
        <w:tc>
          <w:tcPr>
            <w:tcW w:w="0" w:type="auto"/>
            <w:tcBorders>
              <w:top w:val="single" w:sz="4" w:space="0" w:color="000000"/>
              <w:left w:val="single" w:sz="4" w:space="0" w:color="000000"/>
              <w:bottom w:val="single" w:sz="4" w:space="0" w:color="000000"/>
              <w:right w:val="single" w:sz="4" w:space="0" w:color="000000"/>
            </w:tcBorders>
          </w:tcPr>
          <w:p w14:paraId="78F4B7EE" w14:textId="77777777" w:rsidR="00843FDA" w:rsidRPr="00C6580C" w:rsidRDefault="00843FDA" w:rsidP="00CD7CAC">
            <w:pPr>
              <w:widowControl/>
              <w:jc w:val="right"/>
              <w:rPr>
                <w:kern w:val="0"/>
                <w:szCs w:val="22"/>
              </w:rPr>
            </w:pPr>
          </w:p>
        </w:tc>
      </w:tr>
      <w:tr w:rsidR="00843FDA" w:rsidRPr="00C6580C" w14:paraId="42509937" w14:textId="77777777">
        <w:tc>
          <w:tcPr>
            <w:tcW w:w="0" w:type="auto"/>
            <w:tcBorders>
              <w:top w:val="single" w:sz="4" w:space="0" w:color="000000"/>
              <w:left w:val="single" w:sz="4" w:space="0" w:color="000000"/>
              <w:bottom w:val="single" w:sz="4" w:space="0" w:color="000000"/>
              <w:right w:val="single" w:sz="4" w:space="0" w:color="000000"/>
            </w:tcBorders>
          </w:tcPr>
          <w:p w14:paraId="5E82FCC8" w14:textId="77777777" w:rsidR="00843FDA" w:rsidRPr="00C6580C" w:rsidRDefault="00843FDA" w:rsidP="00CD7CAC">
            <w:pPr>
              <w:widowControl/>
              <w:rPr>
                <w:kern w:val="0"/>
                <w:szCs w:val="22"/>
              </w:rPr>
            </w:pPr>
            <w:r w:rsidRPr="00C6580C">
              <w:rPr>
                <w:kern w:val="0"/>
                <w:szCs w:val="22"/>
              </w:rPr>
              <w:t>406a</w:t>
            </w:r>
          </w:p>
        </w:tc>
        <w:tc>
          <w:tcPr>
            <w:tcW w:w="0" w:type="auto"/>
            <w:tcBorders>
              <w:top w:val="single" w:sz="4" w:space="0" w:color="000000"/>
              <w:left w:val="single" w:sz="4" w:space="0" w:color="000000"/>
              <w:bottom w:val="single" w:sz="4" w:space="0" w:color="000000"/>
              <w:right w:val="single" w:sz="4" w:space="0" w:color="000000"/>
            </w:tcBorders>
          </w:tcPr>
          <w:p w14:paraId="62286251" w14:textId="77777777" w:rsidR="00843FDA" w:rsidRPr="00C6580C" w:rsidRDefault="00843FDA" w:rsidP="00CD7CAC">
            <w:pPr>
              <w:widowControl/>
              <w:jc w:val="right"/>
              <w:rPr>
                <w:kern w:val="0"/>
                <w:szCs w:val="22"/>
              </w:rPr>
            </w:pPr>
            <w:r w:rsidRPr="00C6580C">
              <w:rPr>
                <w:kern w:val="0"/>
                <w:szCs w:val="22"/>
              </w:rPr>
              <w:t>.4000</w:t>
            </w:r>
          </w:p>
        </w:tc>
      </w:tr>
      <w:tr w:rsidR="00843FDA" w:rsidRPr="00C6580C" w14:paraId="4AB97533" w14:textId="77777777">
        <w:tc>
          <w:tcPr>
            <w:tcW w:w="0" w:type="auto"/>
            <w:tcBorders>
              <w:top w:val="single" w:sz="4" w:space="0" w:color="000000"/>
              <w:left w:val="single" w:sz="4" w:space="0" w:color="000000"/>
              <w:bottom w:val="single" w:sz="4" w:space="0" w:color="000000"/>
              <w:right w:val="single" w:sz="4" w:space="0" w:color="000000"/>
            </w:tcBorders>
          </w:tcPr>
          <w:p w14:paraId="29129A0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9AB466C" w14:textId="77777777" w:rsidR="00843FDA" w:rsidRPr="00C6580C" w:rsidRDefault="00843FDA" w:rsidP="00CD7CAC">
            <w:pPr>
              <w:widowControl/>
              <w:jc w:val="center"/>
              <w:rPr>
                <w:szCs w:val="22"/>
              </w:rPr>
            </w:pPr>
            <w:r w:rsidRPr="00C6580C">
              <w:rPr>
                <w:kern w:val="0"/>
                <w:szCs w:val="22"/>
              </w:rPr>
              <w:t>* * *</w:t>
            </w:r>
          </w:p>
        </w:tc>
      </w:tr>
      <w:tr w:rsidR="00843FDA" w:rsidRPr="00C6580C" w14:paraId="670891E6" w14:textId="77777777">
        <w:tc>
          <w:tcPr>
            <w:tcW w:w="0" w:type="auto"/>
            <w:tcBorders>
              <w:top w:val="single" w:sz="4" w:space="0" w:color="000000"/>
              <w:left w:val="single" w:sz="4" w:space="0" w:color="000000"/>
              <w:bottom w:val="single" w:sz="4" w:space="0" w:color="000000"/>
              <w:right w:val="single" w:sz="4" w:space="0" w:color="000000"/>
            </w:tcBorders>
          </w:tcPr>
          <w:p w14:paraId="47D208CF" w14:textId="77777777" w:rsidR="00843FDA" w:rsidRPr="00C6580C" w:rsidRDefault="00843FDA" w:rsidP="00CD7CAC">
            <w:pPr>
              <w:widowControl/>
              <w:rPr>
                <w:kern w:val="0"/>
                <w:szCs w:val="22"/>
              </w:rPr>
            </w:pPr>
            <w:r w:rsidRPr="00C6580C">
              <w:rPr>
                <w:kern w:val="0"/>
                <w:szCs w:val="22"/>
              </w:rPr>
              <w:t>407a</w:t>
            </w:r>
          </w:p>
        </w:tc>
        <w:tc>
          <w:tcPr>
            <w:tcW w:w="0" w:type="auto"/>
            <w:tcBorders>
              <w:top w:val="single" w:sz="4" w:space="0" w:color="000000"/>
              <w:left w:val="single" w:sz="4" w:space="0" w:color="000000"/>
              <w:bottom w:val="single" w:sz="4" w:space="0" w:color="000000"/>
              <w:right w:val="single" w:sz="4" w:space="0" w:color="000000"/>
            </w:tcBorders>
          </w:tcPr>
          <w:p w14:paraId="5FA8BA86" w14:textId="77777777" w:rsidR="00843FDA" w:rsidRPr="00C6580C" w:rsidRDefault="00843FDA" w:rsidP="00CD7CAC">
            <w:pPr>
              <w:widowControl/>
              <w:jc w:val="right"/>
              <w:rPr>
                <w:kern w:val="0"/>
                <w:szCs w:val="22"/>
              </w:rPr>
            </w:pPr>
            <w:r w:rsidRPr="00C6580C">
              <w:rPr>
                <w:kern w:val="0"/>
                <w:szCs w:val="22"/>
              </w:rPr>
              <w:t>.4250</w:t>
            </w:r>
          </w:p>
        </w:tc>
      </w:tr>
      <w:tr w:rsidR="00843FDA" w:rsidRPr="00C6580C" w14:paraId="2487553E" w14:textId="77777777">
        <w:tc>
          <w:tcPr>
            <w:tcW w:w="0" w:type="auto"/>
            <w:tcBorders>
              <w:top w:val="single" w:sz="4" w:space="0" w:color="000000"/>
              <w:left w:val="single" w:sz="4" w:space="0" w:color="000000"/>
              <w:bottom w:val="single" w:sz="4" w:space="0" w:color="000000"/>
              <w:right w:val="single" w:sz="4" w:space="0" w:color="000000"/>
            </w:tcBorders>
          </w:tcPr>
          <w:p w14:paraId="4ED221FC" w14:textId="77777777" w:rsidR="00843FDA" w:rsidRPr="00C6580C" w:rsidRDefault="00843FDA" w:rsidP="00CD7CAC">
            <w:pPr>
              <w:widowControl/>
              <w:rPr>
                <w:kern w:val="0"/>
                <w:szCs w:val="22"/>
              </w:rPr>
            </w:pPr>
          </w:p>
        </w:tc>
        <w:tc>
          <w:tcPr>
            <w:tcW w:w="0" w:type="auto"/>
            <w:tcBorders>
              <w:top w:val="single" w:sz="4" w:space="0" w:color="000000"/>
              <w:left w:val="single" w:sz="4" w:space="0" w:color="000000"/>
              <w:bottom w:val="single" w:sz="4" w:space="0" w:color="000000"/>
              <w:right w:val="single" w:sz="4" w:space="0" w:color="000000"/>
            </w:tcBorders>
          </w:tcPr>
          <w:p w14:paraId="6E6E9CEE" w14:textId="77777777" w:rsidR="00843FDA" w:rsidRPr="00C6580C" w:rsidRDefault="00843FDA" w:rsidP="00CD7CAC">
            <w:pPr>
              <w:widowControl/>
              <w:jc w:val="right"/>
              <w:rPr>
                <w:kern w:val="0"/>
                <w:szCs w:val="22"/>
              </w:rPr>
            </w:pPr>
          </w:p>
        </w:tc>
      </w:tr>
      <w:tr w:rsidR="00843FDA" w:rsidRPr="00C6580C" w14:paraId="6FFAC937" w14:textId="77777777">
        <w:tc>
          <w:tcPr>
            <w:tcW w:w="0" w:type="auto"/>
            <w:tcBorders>
              <w:top w:val="single" w:sz="4" w:space="0" w:color="000000"/>
              <w:left w:val="single" w:sz="4" w:space="0" w:color="000000"/>
              <w:bottom w:val="single" w:sz="4" w:space="0" w:color="000000"/>
              <w:right w:val="single" w:sz="4" w:space="0" w:color="000000"/>
            </w:tcBorders>
          </w:tcPr>
          <w:p w14:paraId="76DDEBE2" w14:textId="77777777" w:rsidR="00843FDA" w:rsidRPr="00C6580C" w:rsidRDefault="00843FDA" w:rsidP="00CD7CAC">
            <w:pPr>
              <w:widowControl/>
              <w:rPr>
                <w:kern w:val="0"/>
                <w:szCs w:val="22"/>
              </w:rPr>
            </w:pPr>
            <w:r w:rsidRPr="00C6580C">
              <w:rPr>
                <w:kern w:val="0"/>
                <w:szCs w:val="22"/>
              </w:rPr>
              <w:t>408a</w:t>
            </w:r>
          </w:p>
        </w:tc>
        <w:tc>
          <w:tcPr>
            <w:tcW w:w="0" w:type="auto"/>
            <w:tcBorders>
              <w:top w:val="single" w:sz="4" w:space="0" w:color="000000"/>
              <w:left w:val="single" w:sz="4" w:space="0" w:color="000000"/>
              <w:bottom w:val="single" w:sz="4" w:space="0" w:color="000000"/>
              <w:right w:val="single" w:sz="4" w:space="0" w:color="000000"/>
            </w:tcBorders>
          </w:tcPr>
          <w:p w14:paraId="3AAF3E6E" w14:textId="77777777" w:rsidR="00843FDA" w:rsidRPr="00C6580C" w:rsidRDefault="00843FDA" w:rsidP="00CD7CAC">
            <w:pPr>
              <w:widowControl/>
              <w:jc w:val="right"/>
              <w:rPr>
                <w:kern w:val="0"/>
                <w:szCs w:val="22"/>
              </w:rPr>
            </w:pPr>
            <w:r w:rsidRPr="00C6580C">
              <w:rPr>
                <w:kern w:val="0"/>
                <w:szCs w:val="22"/>
              </w:rPr>
              <w:t>.4500</w:t>
            </w:r>
          </w:p>
        </w:tc>
      </w:tr>
      <w:tr w:rsidR="00843FDA" w:rsidRPr="00C6580C" w14:paraId="15DABC11" w14:textId="77777777">
        <w:tc>
          <w:tcPr>
            <w:tcW w:w="0" w:type="auto"/>
            <w:tcBorders>
              <w:top w:val="single" w:sz="4" w:space="0" w:color="000000"/>
              <w:left w:val="single" w:sz="4" w:space="0" w:color="000000"/>
              <w:bottom w:val="single" w:sz="4" w:space="0" w:color="000000"/>
              <w:right w:val="single" w:sz="4" w:space="0" w:color="000000"/>
            </w:tcBorders>
          </w:tcPr>
          <w:p w14:paraId="0306393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0CDE519" w14:textId="77777777" w:rsidR="00843FDA" w:rsidRPr="00C6580C" w:rsidRDefault="00843FDA" w:rsidP="00CD7CAC">
            <w:pPr>
              <w:widowControl/>
              <w:jc w:val="center"/>
              <w:rPr>
                <w:szCs w:val="22"/>
              </w:rPr>
            </w:pPr>
            <w:r w:rsidRPr="00C6580C">
              <w:rPr>
                <w:kern w:val="0"/>
                <w:szCs w:val="22"/>
              </w:rPr>
              <w:t>* * *</w:t>
            </w:r>
          </w:p>
        </w:tc>
      </w:tr>
      <w:tr w:rsidR="00843FDA" w:rsidRPr="00C6580C" w14:paraId="0B029423" w14:textId="77777777">
        <w:tc>
          <w:tcPr>
            <w:tcW w:w="0" w:type="auto"/>
            <w:tcBorders>
              <w:top w:val="single" w:sz="4" w:space="0" w:color="000000"/>
              <w:left w:val="single" w:sz="4" w:space="0" w:color="000000"/>
              <w:bottom w:val="single" w:sz="4" w:space="0" w:color="000000"/>
              <w:right w:val="single" w:sz="4" w:space="0" w:color="000000"/>
            </w:tcBorders>
          </w:tcPr>
          <w:p w14:paraId="036D8357" w14:textId="77777777" w:rsidR="00843FDA" w:rsidRPr="00C6580C" w:rsidRDefault="00843FDA" w:rsidP="00CD7CAC">
            <w:pPr>
              <w:widowControl/>
              <w:rPr>
                <w:kern w:val="0"/>
                <w:szCs w:val="22"/>
              </w:rPr>
            </w:pPr>
            <w:r w:rsidRPr="00C6580C">
              <w:rPr>
                <w:kern w:val="0"/>
                <w:szCs w:val="22"/>
              </w:rPr>
              <w:t>409a</w:t>
            </w:r>
          </w:p>
        </w:tc>
        <w:tc>
          <w:tcPr>
            <w:tcW w:w="0" w:type="auto"/>
            <w:tcBorders>
              <w:top w:val="single" w:sz="4" w:space="0" w:color="000000"/>
              <w:left w:val="single" w:sz="4" w:space="0" w:color="000000"/>
              <w:bottom w:val="single" w:sz="4" w:space="0" w:color="000000"/>
              <w:right w:val="single" w:sz="4" w:space="0" w:color="000000"/>
            </w:tcBorders>
          </w:tcPr>
          <w:p w14:paraId="1B5445B3" w14:textId="77777777" w:rsidR="00843FDA" w:rsidRPr="00C6580C" w:rsidRDefault="00843FDA" w:rsidP="00CD7CAC">
            <w:pPr>
              <w:widowControl/>
              <w:jc w:val="right"/>
              <w:rPr>
                <w:kern w:val="0"/>
                <w:szCs w:val="22"/>
              </w:rPr>
            </w:pPr>
            <w:r w:rsidRPr="00C6580C">
              <w:rPr>
                <w:kern w:val="0"/>
                <w:szCs w:val="22"/>
              </w:rPr>
              <w:t>.4750</w:t>
            </w:r>
          </w:p>
        </w:tc>
      </w:tr>
      <w:tr w:rsidR="00843FDA" w:rsidRPr="00C6580C" w14:paraId="6A7FDFFE" w14:textId="77777777">
        <w:tc>
          <w:tcPr>
            <w:tcW w:w="0" w:type="auto"/>
            <w:tcBorders>
              <w:top w:val="single" w:sz="4" w:space="0" w:color="000000"/>
              <w:left w:val="single" w:sz="4" w:space="0" w:color="000000"/>
              <w:bottom w:val="single" w:sz="4" w:space="0" w:color="000000"/>
              <w:right w:val="single" w:sz="4" w:space="0" w:color="000000"/>
            </w:tcBorders>
          </w:tcPr>
          <w:p w14:paraId="7CF9A75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0962115" w14:textId="77777777" w:rsidR="00843FDA" w:rsidRPr="00C6580C" w:rsidRDefault="00843FDA" w:rsidP="00CD7CAC">
            <w:pPr>
              <w:widowControl/>
              <w:jc w:val="center"/>
              <w:rPr>
                <w:szCs w:val="22"/>
              </w:rPr>
            </w:pPr>
            <w:r w:rsidRPr="00C6580C">
              <w:rPr>
                <w:kern w:val="0"/>
                <w:szCs w:val="22"/>
              </w:rPr>
              <w:t>* * *</w:t>
            </w:r>
          </w:p>
        </w:tc>
      </w:tr>
      <w:tr w:rsidR="00843FDA" w:rsidRPr="00C6580C" w14:paraId="398BDCE5" w14:textId="77777777">
        <w:tc>
          <w:tcPr>
            <w:tcW w:w="0" w:type="auto"/>
            <w:tcBorders>
              <w:top w:val="single" w:sz="4" w:space="0" w:color="000000"/>
              <w:left w:val="single" w:sz="4" w:space="0" w:color="000000"/>
              <w:bottom w:val="single" w:sz="4" w:space="0" w:color="000000"/>
              <w:right w:val="single" w:sz="4" w:space="0" w:color="000000"/>
            </w:tcBorders>
          </w:tcPr>
          <w:p w14:paraId="46C10A69" w14:textId="77777777" w:rsidR="00843FDA" w:rsidRPr="00C6580C" w:rsidRDefault="00843FDA" w:rsidP="00CD7CAC">
            <w:pPr>
              <w:widowControl/>
              <w:rPr>
                <w:kern w:val="0"/>
                <w:szCs w:val="22"/>
              </w:rPr>
            </w:pPr>
            <w:r w:rsidRPr="00C6580C">
              <w:rPr>
                <w:kern w:val="0"/>
                <w:szCs w:val="22"/>
              </w:rPr>
              <w:t>410a</w:t>
            </w:r>
          </w:p>
        </w:tc>
        <w:tc>
          <w:tcPr>
            <w:tcW w:w="0" w:type="auto"/>
            <w:tcBorders>
              <w:top w:val="single" w:sz="4" w:space="0" w:color="000000"/>
              <w:left w:val="single" w:sz="4" w:space="0" w:color="000000"/>
              <w:bottom w:val="single" w:sz="4" w:space="0" w:color="000000"/>
              <w:right w:val="single" w:sz="4" w:space="0" w:color="000000"/>
            </w:tcBorders>
          </w:tcPr>
          <w:p w14:paraId="76B930A3" w14:textId="77777777" w:rsidR="00843FDA" w:rsidRPr="00C6580C" w:rsidRDefault="00843FDA" w:rsidP="00CD7CAC">
            <w:pPr>
              <w:widowControl/>
              <w:jc w:val="right"/>
              <w:rPr>
                <w:kern w:val="0"/>
                <w:szCs w:val="22"/>
              </w:rPr>
            </w:pPr>
            <w:r w:rsidRPr="00C6580C">
              <w:rPr>
                <w:kern w:val="0"/>
                <w:szCs w:val="22"/>
              </w:rPr>
              <w:t>.5000</w:t>
            </w:r>
          </w:p>
        </w:tc>
      </w:tr>
      <w:tr w:rsidR="00843FDA" w:rsidRPr="00C6580C" w14:paraId="26FEF546" w14:textId="77777777">
        <w:tc>
          <w:tcPr>
            <w:tcW w:w="0" w:type="auto"/>
            <w:tcBorders>
              <w:top w:val="single" w:sz="4" w:space="0" w:color="000000"/>
              <w:left w:val="single" w:sz="4" w:space="0" w:color="000000"/>
              <w:bottom w:val="single" w:sz="4" w:space="0" w:color="000000"/>
              <w:right w:val="single" w:sz="4" w:space="0" w:color="000000"/>
            </w:tcBorders>
          </w:tcPr>
          <w:p w14:paraId="45A6047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D057FA8" w14:textId="77777777" w:rsidR="00843FDA" w:rsidRPr="00C6580C" w:rsidRDefault="00843FDA" w:rsidP="00CD7CAC">
            <w:pPr>
              <w:widowControl/>
              <w:jc w:val="center"/>
              <w:rPr>
                <w:szCs w:val="22"/>
              </w:rPr>
            </w:pPr>
            <w:r w:rsidRPr="00C6580C">
              <w:rPr>
                <w:kern w:val="0"/>
                <w:szCs w:val="22"/>
              </w:rPr>
              <w:t>* * *</w:t>
            </w:r>
          </w:p>
        </w:tc>
      </w:tr>
      <w:tr w:rsidR="00843FDA" w:rsidRPr="00C6580C" w14:paraId="5D68569D" w14:textId="77777777">
        <w:tc>
          <w:tcPr>
            <w:tcW w:w="0" w:type="auto"/>
            <w:tcBorders>
              <w:top w:val="single" w:sz="4" w:space="0" w:color="000000"/>
              <w:left w:val="single" w:sz="4" w:space="0" w:color="000000"/>
              <w:bottom w:val="single" w:sz="4" w:space="0" w:color="000000"/>
              <w:right w:val="single" w:sz="4" w:space="0" w:color="000000"/>
            </w:tcBorders>
          </w:tcPr>
          <w:p w14:paraId="1E143C79" w14:textId="77777777" w:rsidR="00843FDA" w:rsidRPr="00C6580C" w:rsidRDefault="00843FDA" w:rsidP="00CD7CAC">
            <w:pPr>
              <w:widowControl/>
              <w:rPr>
                <w:kern w:val="0"/>
                <w:szCs w:val="22"/>
              </w:rPr>
            </w:pPr>
            <w:r w:rsidRPr="00C6580C">
              <w:rPr>
                <w:kern w:val="0"/>
                <w:szCs w:val="22"/>
              </w:rPr>
              <w:t>411a</w:t>
            </w:r>
          </w:p>
        </w:tc>
        <w:tc>
          <w:tcPr>
            <w:tcW w:w="0" w:type="auto"/>
            <w:tcBorders>
              <w:top w:val="single" w:sz="4" w:space="0" w:color="000000"/>
              <w:left w:val="single" w:sz="4" w:space="0" w:color="000000"/>
              <w:bottom w:val="single" w:sz="4" w:space="0" w:color="000000"/>
              <w:right w:val="single" w:sz="4" w:space="0" w:color="000000"/>
            </w:tcBorders>
          </w:tcPr>
          <w:p w14:paraId="0960B0B9" w14:textId="77777777" w:rsidR="00843FDA" w:rsidRPr="00C6580C" w:rsidRDefault="00843FDA" w:rsidP="00CD7CAC">
            <w:pPr>
              <w:widowControl/>
              <w:jc w:val="right"/>
              <w:rPr>
                <w:kern w:val="0"/>
                <w:szCs w:val="22"/>
              </w:rPr>
            </w:pPr>
            <w:r w:rsidRPr="00C6580C">
              <w:rPr>
                <w:kern w:val="0"/>
                <w:szCs w:val="22"/>
              </w:rPr>
              <w:t>.5250</w:t>
            </w:r>
          </w:p>
        </w:tc>
      </w:tr>
      <w:tr w:rsidR="00843FDA" w:rsidRPr="00C6580C" w14:paraId="3EB76298" w14:textId="77777777">
        <w:tc>
          <w:tcPr>
            <w:tcW w:w="0" w:type="auto"/>
            <w:tcBorders>
              <w:top w:val="single" w:sz="4" w:space="0" w:color="000000"/>
              <w:left w:val="single" w:sz="4" w:space="0" w:color="000000"/>
              <w:bottom w:val="single" w:sz="4" w:space="0" w:color="000000"/>
              <w:right w:val="single" w:sz="4" w:space="0" w:color="000000"/>
            </w:tcBorders>
          </w:tcPr>
          <w:p w14:paraId="06CFA1B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67C0421" w14:textId="77777777" w:rsidR="00843FDA" w:rsidRPr="00C6580C" w:rsidRDefault="00843FDA" w:rsidP="00CD7CAC">
            <w:pPr>
              <w:widowControl/>
              <w:jc w:val="center"/>
              <w:rPr>
                <w:szCs w:val="22"/>
              </w:rPr>
            </w:pPr>
            <w:r w:rsidRPr="00C6580C">
              <w:rPr>
                <w:kern w:val="0"/>
                <w:szCs w:val="22"/>
              </w:rPr>
              <w:t>* * *</w:t>
            </w:r>
          </w:p>
        </w:tc>
      </w:tr>
      <w:tr w:rsidR="00843FDA" w:rsidRPr="00C6580C" w14:paraId="3FAC78D3" w14:textId="77777777">
        <w:tc>
          <w:tcPr>
            <w:tcW w:w="0" w:type="auto"/>
            <w:tcBorders>
              <w:top w:val="single" w:sz="4" w:space="0" w:color="000000"/>
              <w:left w:val="single" w:sz="4" w:space="0" w:color="000000"/>
              <w:bottom w:val="single" w:sz="4" w:space="0" w:color="000000"/>
              <w:right w:val="single" w:sz="4" w:space="0" w:color="000000"/>
            </w:tcBorders>
          </w:tcPr>
          <w:p w14:paraId="1C4E3DAF" w14:textId="77777777" w:rsidR="00843FDA" w:rsidRPr="00C6580C" w:rsidRDefault="00843FDA" w:rsidP="00CD7CAC">
            <w:pPr>
              <w:widowControl/>
              <w:rPr>
                <w:kern w:val="0"/>
                <w:szCs w:val="22"/>
              </w:rPr>
            </w:pPr>
            <w:r w:rsidRPr="00C6580C">
              <w:rPr>
                <w:kern w:val="0"/>
                <w:szCs w:val="22"/>
              </w:rPr>
              <w:t>412a</w:t>
            </w:r>
          </w:p>
        </w:tc>
        <w:tc>
          <w:tcPr>
            <w:tcW w:w="0" w:type="auto"/>
            <w:tcBorders>
              <w:top w:val="single" w:sz="4" w:space="0" w:color="000000"/>
              <w:left w:val="single" w:sz="4" w:space="0" w:color="000000"/>
              <w:bottom w:val="single" w:sz="4" w:space="0" w:color="000000"/>
              <w:right w:val="single" w:sz="4" w:space="0" w:color="000000"/>
            </w:tcBorders>
          </w:tcPr>
          <w:p w14:paraId="00A11B99" w14:textId="77777777" w:rsidR="00843FDA" w:rsidRPr="00C6580C" w:rsidRDefault="00843FDA" w:rsidP="00CD7CAC">
            <w:pPr>
              <w:widowControl/>
              <w:jc w:val="right"/>
              <w:rPr>
                <w:kern w:val="0"/>
                <w:szCs w:val="22"/>
              </w:rPr>
            </w:pPr>
            <w:r w:rsidRPr="00C6580C">
              <w:rPr>
                <w:kern w:val="0"/>
                <w:szCs w:val="22"/>
              </w:rPr>
              <w:t>.5500</w:t>
            </w:r>
          </w:p>
        </w:tc>
      </w:tr>
      <w:tr w:rsidR="00843FDA" w:rsidRPr="00C6580C" w14:paraId="600C97D4" w14:textId="77777777">
        <w:tc>
          <w:tcPr>
            <w:tcW w:w="0" w:type="auto"/>
            <w:tcBorders>
              <w:top w:val="single" w:sz="4" w:space="0" w:color="000000"/>
              <w:left w:val="single" w:sz="4" w:space="0" w:color="000000"/>
              <w:bottom w:val="single" w:sz="4" w:space="0" w:color="000000"/>
              <w:right w:val="single" w:sz="4" w:space="0" w:color="000000"/>
            </w:tcBorders>
          </w:tcPr>
          <w:p w14:paraId="56A411F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F530C52" w14:textId="77777777" w:rsidR="00843FDA" w:rsidRPr="00C6580C" w:rsidRDefault="00843FDA" w:rsidP="00CD7CAC">
            <w:pPr>
              <w:widowControl/>
              <w:jc w:val="center"/>
              <w:rPr>
                <w:szCs w:val="22"/>
              </w:rPr>
            </w:pPr>
            <w:r w:rsidRPr="00C6580C">
              <w:rPr>
                <w:kern w:val="0"/>
                <w:szCs w:val="22"/>
              </w:rPr>
              <w:t>* * *</w:t>
            </w:r>
          </w:p>
        </w:tc>
      </w:tr>
      <w:tr w:rsidR="00843FDA" w:rsidRPr="00C6580C" w14:paraId="3DAA8705" w14:textId="77777777">
        <w:tc>
          <w:tcPr>
            <w:tcW w:w="0" w:type="auto"/>
            <w:tcBorders>
              <w:top w:val="single" w:sz="4" w:space="0" w:color="000000"/>
              <w:left w:val="single" w:sz="4" w:space="0" w:color="000000"/>
              <w:bottom w:val="single" w:sz="4" w:space="0" w:color="000000"/>
              <w:right w:val="single" w:sz="4" w:space="0" w:color="000000"/>
            </w:tcBorders>
          </w:tcPr>
          <w:p w14:paraId="5E298B89" w14:textId="77777777" w:rsidR="00843FDA" w:rsidRPr="00C6580C" w:rsidRDefault="00843FDA" w:rsidP="00CD7CAC">
            <w:pPr>
              <w:widowControl/>
              <w:rPr>
                <w:kern w:val="0"/>
                <w:szCs w:val="22"/>
              </w:rPr>
            </w:pPr>
            <w:r w:rsidRPr="00C6580C">
              <w:rPr>
                <w:kern w:val="0"/>
                <w:szCs w:val="22"/>
              </w:rPr>
              <w:t>413a</w:t>
            </w:r>
          </w:p>
        </w:tc>
        <w:tc>
          <w:tcPr>
            <w:tcW w:w="0" w:type="auto"/>
            <w:tcBorders>
              <w:top w:val="single" w:sz="4" w:space="0" w:color="000000"/>
              <w:left w:val="single" w:sz="4" w:space="0" w:color="000000"/>
              <w:bottom w:val="single" w:sz="4" w:space="0" w:color="000000"/>
              <w:right w:val="single" w:sz="4" w:space="0" w:color="000000"/>
            </w:tcBorders>
          </w:tcPr>
          <w:p w14:paraId="7ADAF9B5" w14:textId="77777777" w:rsidR="00843FDA" w:rsidRPr="00C6580C" w:rsidRDefault="00843FDA" w:rsidP="00CD7CAC">
            <w:pPr>
              <w:widowControl/>
              <w:jc w:val="right"/>
              <w:rPr>
                <w:kern w:val="0"/>
                <w:szCs w:val="22"/>
              </w:rPr>
            </w:pPr>
            <w:r w:rsidRPr="00C6580C">
              <w:rPr>
                <w:kern w:val="0"/>
                <w:szCs w:val="22"/>
              </w:rPr>
              <w:t>.5750</w:t>
            </w:r>
          </w:p>
        </w:tc>
      </w:tr>
      <w:tr w:rsidR="00843FDA" w:rsidRPr="00C6580C" w14:paraId="19A4B090" w14:textId="77777777">
        <w:tc>
          <w:tcPr>
            <w:tcW w:w="0" w:type="auto"/>
            <w:tcBorders>
              <w:top w:val="single" w:sz="4" w:space="0" w:color="000000"/>
              <w:left w:val="single" w:sz="4" w:space="0" w:color="000000"/>
              <w:bottom w:val="single" w:sz="4" w:space="0" w:color="000000"/>
              <w:right w:val="single" w:sz="4" w:space="0" w:color="000000"/>
            </w:tcBorders>
          </w:tcPr>
          <w:p w14:paraId="520AA4C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D615271" w14:textId="77777777" w:rsidR="00843FDA" w:rsidRPr="00C6580C" w:rsidRDefault="00843FDA" w:rsidP="00CD7CAC">
            <w:pPr>
              <w:widowControl/>
              <w:jc w:val="center"/>
              <w:rPr>
                <w:szCs w:val="22"/>
              </w:rPr>
            </w:pPr>
            <w:r w:rsidRPr="00C6580C">
              <w:rPr>
                <w:kern w:val="0"/>
                <w:szCs w:val="22"/>
              </w:rPr>
              <w:t>* * *</w:t>
            </w:r>
          </w:p>
        </w:tc>
      </w:tr>
      <w:tr w:rsidR="00843FDA" w:rsidRPr="00C6580C" w14:paraId="3364B43E" w14:textId="77777777">
        <w:tc>
          <w:tcPr>
            <w:tcW w:w="0" w:type="auto"/>
            <w:tcBorders>
              <w:top w:val="single" w:sz="4" w:space="0" w:color="000000"/>
              <w:left w:val="single" w:sz="4" w:space="0" w:color="000000"/>
              <w:bottom w:val="single" w:sz="4" w:space="0" w:color="000000"/>
              <w:right w:val="single" w:sz="4" w:space="0" w:color="000000"/>
            </w:tcBorders>
          </w:tcPr>
          <w:p w14:paraId="5E16535C" w14:textId="77777777" w:rsidR="00843FDA" w:rsidRPr="00C6580C" w:rsidRDefault="00843FDA" w:rsidP="00CD7CAC">
            <w:pPr>
              <w:widowControl/>
              <w:rPr>
                <w:kern w:val="0"/>
                <w:szCs w:val="22"/>
              </w:rPr>
            </w:pPr>
            <w:r w:rsidRPr="00C6580C">
              <w:rPr>
                <w:kern w:val="0"/>
                <w:szCs w:val="22"/>
              </w:rPr>
              <w:t>414a</w:t>
            </w:r>
          </w:p>
        </w:tc>
        <w:tc>
          <w:tcPr>
            <w:tcW w:w="0" w:type="auto"/>
            <w:tcBorders>
              <w:top w:val="single" w:sz="4" w:space="0" w:color="000000"/>
              <w:left w:val="single" w:sz="4" w:space="0" w:color="000000"/>
              <w:bottom w:val="single" w:sz="4" w:space="0" w:color="000000"/>
              <w:right w:val="single" w:sz="4" w:space="0" w:color="000000"/>
            </w:tcBorders>
          </w:tcPr>
          <w:p w14:paraId="1988E277" w14:textId="77777777" w:rsidR="00843FDA" w:rsidRPr="00C6580C" w:rsidRDefault="00843FDA" w:rsidP="00CD7CAC">
            <w:pPr>
              <w:widowControl/>
              <w:jc w:val="right"/>
              <w:rPr>
                <w:kern w:val="0"/>
                <w:szCs w:val="22"/>
              </w:rPr>
            </w:pPr>
            <w:r w:rsidRPr="00C6580C">
              <w:rPr>
                <w:kern w:val="0"/>
                <w:szCs w:val="22"/>
              </w:rPr>
              <w:t>.6000</w:t>
            </w:r>
          </w:p>
        </w:tc>
      </w:tr>
      <w:tr w:rsidR="00843FDA" w:rsidRPr="00C6580C" w14:paraId="11322096" w14:textId="77777777">
        <w:tc>
          <w:tcPr>
            <w:tcW w:w="0" w:type="auto"/>
            <w:tcBorders>
              <w:top w:val="single" w:sz="4" w:space="0" w:color="000000"/>
              <w:left w:val="single" w:sz="4" w:space="0" w:color="000000"/>
              <w:bottom w:val="single" w:sz="4" w:space="0" w:color="000000"/>
              <w:right w:val="single" w:sz="4" w:space="0" w:color="000000"/>
            </w:tcBorders>
          </w:tcPr>
          <w:p w14:paraId="39636D2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65FB867" w14:textId="77777777" w:rsidR="00843FDA" w:rsidRPr="00C6580C" w:rsidRDefault="00843FDA" w:rsidP="00CD7CAC">
            <w:pPr>
              <w:widowControl/>
              <w:jc w:val="center"/>
              <w:rPr>
                <w:szCs w:val="22"/>
              </w:rPr>
            </w:pPr>
            <w:r w:rsidRPr="00C6580C">
              <w:rPr>
                <w:kern w:val="0"/>
                <w:szCs w:val="22"/>
              </w:rPr>
              <w:t>* * *</w:t>
            </w:r>
          </w:p>
        </w:tc>
      </w:tr>
      <w:tr w:rsidR="00843FDA" w:rsidRPr="00C6580C" w14:paraId="39DAA011" w14:textId="77777777">
        <w:tc>
          <w:tcPr>
            <w:tcW w:w="0" w:type="auto"/>
            <w:tcBorders>
              <w:top w:val="single" w:sz="4" w:space="0" w:color="000000"/>
              <w:left w:val="single" w:sz="4" w:space="0" w:color="000000"/>
              <w:bottom w:val="single" w:sz="4" w:space="0" w:color="000000"/>
              <w:right w:val="single" w:sz="4" w:space="0" w:color="000000"/>
            </w:tcBorders>
          </w:tcPr>
          <w:p w14:paraId="4B18D3D0" w14:textId="77777777" w:rsidR="00843FDA" w:rsidRPr="00C6580C" w:rsidRDefault="00843FDA" w:rsidP="00CD7CAC">
            <w:pPr>
              <w:widowControl/>
              <w:rPr>
                <w:kern w:val="0"/>
                <w:szCs w:val="22"/>
              </w:rPr>
            </w:pPr>
            <w:r w:rsidRPr="00C6580C">
              <w:rPr>
                <w:kern w:val="0"/>
                <w:szCs w:val="22"/>
              </w:rPr>
              <w:t>415a</w:t>
            </w:r>
          </w:p>
        </w:tc>
        <w:tc>
          <w:tcPr>
            <w:tcW w:w="0" w:type="auto"/>
            <w:tcBorders>
              <w:top w:val="single" w:sz="4" w:space="0" w:color="000000"/>
              <w:left w:val="single" w:sz="4" w:space="0" w:color="000000"/>
              <w:bottom w:val="single" w:sz="4" w:space="0" w:color="000000"/>
              <w:right w:val="single" w:sz="4" w:space="0" w:color="000000"/>
            </w:tcBorders>
          </w:tcPr>
          <w:p w14:paraId="1282AAAE" w14:textId="77777777" w:rsidR="00843FDA" w:rsidRPr="00C6580C" w:rsidRDefault="00843FDA" w:rsidP="00CD7CAC">
            <w:pPr>
              <w:widowControl/>
              <w:jc w:val="right"/>
              <w:rPr>
                <w:kern w:val="0"/>
                <w:szCs w:val="22"/>
              </w:rPr>
            </w:pPr>
            <w:r w:rsidRPr="00C6580C">
              <w:rPr>
                <w:kern w:val="0"/>
                <w:szCs w:val="22"/>
              </w:rPr>
              <w:t>.6250</w:t>
            </w:r>
          </w:p>
        </w:tc>
      </w:tr>
      <w:tr w:rsidR="00843FDA" w:rsidRPr="00C6580C" w14:paraId="204D264E" w14:textId="77777777">
        <w:tc>
          <w:tcPr>
            <w:tcW w:w="0" w:type="auto"/>
            <w:tcBorders>
              <w:top w:val="single" w:sz="4" w:space="0" w:color="000000"/>
              <w:left w:val="single" w:sz="4" w:space="0" w:color="000000"/>
              <w:bottom w:val="single" w:sz="4" w:space="0" w:color="000000"/>
              <w:right w:val="single" w:sz="4" w:space="0" w:color="000000"/>
            </w:tcBorders>
          </w:tcPr>
          <w:p w14:paraId="133B714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A74DCF2" w14:textId="77777777" w:rsidR="00843FDA" w:rsidRPr="00C6580C" w:rsidRDefault="00843FDA" w:rsidP="00CD7CAC">
            <w:pPr>
              <w:widowControl/>
              <w:jc w:val="center"/>
              <w:rPr>
                <w:szCs w:val="22"/>
              </w:rPr>
            </w:pPr>
            <w:r w:rsidRPr="00C6580C">
              <w:rPr>
                <w:kern w:val="0"/>
                <w:szCs w:val="22"/>
              </w:rPr>
              <w:t>* * *</w:t>
            </w:r>
          </w:p>
        </w:tc>
      </w:tr>
      <w:tr w:rsidR="00843FDA" w:rsidRPr="00C6580C" w14:paraId="25F391A0" w14:textId="77777777">
        <w:tc>
          <w:tcPr>
            <w:tcW w:w="0" w:type="auto"/>
            <w:tcBorders>
              <w:top w:val="single" w:sz="4" w:space="0" w:color="000000"/>
              <w:left w:val="single" w:sz="4" w:space="0" w:color="000000"/>
              <w:bottom w:val="single" w:sz="4" w:space="0" w:color="000000"/>
              <w:right w:val="single" w:sz="4" w:space="0" w:color="000000"/>
            </w:tcBorders>
          </w:tcPr>
          <w:p w14:paraId="4AC33183" w14:textId="77777777" w:rsidR="00843FDA" w:rsidRPr="00C6580C" w:rsidRDefault="00843FDA" w:rsidP="00CD7CAC">
            <w:pPr>
              <w:widowControl/>
              <w:rPr>
                <w:kern w:val="0"/>
                <w:szCs w:val="22"/>
              </w:rPr>
            </w:pPr>
            <w:r w:rsidRPr="00C6580C">
              <w:rPr>
                <w:kern w:val="0"/>
                <w:szCs w:val="22"/>
              </w:rPr>
              <w:t>416a</w:t>
            </w:r>
          </w:p>
        </w:tc>
        <w:tc>
          <w:tcPr>
            <w:tcW w:w="0" w:type="auto"/>
            <w:tcBorders>
              <w:top w:val="single" w:sz="4" w:space="0" w:color="000000"/>
              <w:left w:val="single" w:sz="4" w:space="0" w:color="000000"/>
              <w:bottom w:val="single" w:sz="4" w:space="0" w:color="000000"/>
              <w:right w:val="single" w:sz="4" w:space="0" w:color="000000"/>
            </w:tcBorders>
          </w:tcPr>
          <w:p w14:paraId="3D4F4AC1" w14:textId="77777777" w:rsidR="00843FDA" w:rsidRPr="00C6580C" w:rsidRDefault="00843FDA" w:rsidP="00CD7CAC">
            <w:pPr>
              <w:widowControl/>
              <w:jc w:val="right"/>
              <w:rPr>
                <w:kern w:val="0"/>
                <w:szCs w:val="22"/>
              </w:rPr>
            </w:pPr>
            <w:r w:rsidRPr="00C6580C">
              <w:rPr>
                <w:kern w:val="0"/>
                <w:szCs w:val="22"/>
              </w:rPr>
              <w:t>.6500</w:t>
            </w:r>
          </w:p>
        </w:tc>
      </w:tr>
      <w:tr w:rsidR="00843FDA" w:rsidRPr="00C6580C" w14:paraId="766CC6F0" w14:textId="77777777">
        <w:tc>
          <w:tcPr>
            <w:tcW w:w="0" w:type="auto"/>
            <w:tcBorders>
              <w:top w:val="single" w:sz="4" w:space="0" w:color="000000"/>
              <w:left w:val="single" w:sz="4" w:space="0" w:color="000000"/>
              <w:bottom w:val="single" w:sz="4" w:space="0" w:color="000000"/>
              <w:right w:val="single" w:sz="4" w:space="0" w:color="000000"/>
            </w:tcBorders>
          </w:tcPr>
          <w:p w14:paraId="0C2673D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A374C09" w14:textId="77777777" w:rsidR="00843FDA" w:rsidRPr="00C6580C" w:rsidRDefault="00843FDA" w:rsidP="00CD7CAC">
            <w:pPr>
              <w:widowControl/>
              <w:jc w:val="center"/>
              <w:rPr>
                <w:szCs w:val="22"/>
              </w:rPr>
            </w:pPr>
            <w:r w:rsidRPr="00C6580C">
              <w:rPr>
                <w:kern w:val="0"/>
                <w:szCs w:val="22"/>
              </w:rPr>
              <w:t>* * *</w:t>
            </w:r>
          </w:p>
        </w:tc>
      </w:tr>
      <w:tr w:rsidR="00843FDA" w:rsidRPr="00C6580C" w14:paraId="44B3E0EB" w14:textId="77777777">
        <w:tc>
          <w:tcPr>
            <w:tcW w:w="0" w:type="auto"/>
            <w:tcBorders>
              <w:top w:val="single" w:sz="4" w:space="0" w:color="000000"/>
              <w:left w:val="single" w:sz="4" w:space="0" w:color="000000"/>
              <w:bottom w:val="single" w:sz="4" w:space="0" w:color="000000"/>
              <w:right w:val="single" w:sz="4" w:space="0" w:color="000000"/>
            </w:tcBorders>
          </w:tcPr>
          <w:p w14:paraId="4618E4F1" w14:textId="77777777" w:rsidR="00843FDA" w:rsidRPr="00C6580C" w:rsidRDefault="00843FDA" w:rsidP="00CD7CAC">
            <w:pPr>
              <w:widowControl/>
              <w:rPr>
                <w:kern w:val="0"/>
                <w:szCs w:val="22"/>
              </w:rPr>
            </w:pPr>
            <w:r w:rsidRPr="00C6580C">
              <w:rPr>
                <w:kern w:val="0"/>
                <w:szCs w:val="22"/>
              </w:rPr>
              <w:t>417a</w:t>
            </w:r>
          </w:p>
        </w:tc>
        <w:tc>
          <w:tcPr>
            <w:tcW w:w="0" w:type="auto"/>
            <w:tcBorders>
              <w:top w:val="single" w:sz="4" w:space="0" w:color="000000"/>
              <w:left w:val="single" w:sz="4" w:space="0" w:color="000000"/>
              <w:bottom w:val="single" w:sz="4" w:space="0" w:color="000000"/>
              <w:right w:val="single" w:sz="4" w:space="0" w:color="000000"/>
            </w:tcBorders>
          </w:tcPr>
          <w:p w14:paraId="4413BFDA" w14:textId="77777777" w:rsidR="00843FDA" w:rsidRPr="00C6580C" w:rsidRDefault="00843FDA" w:rsidP="00CD7CAC">
            <w:pPr>
              <w:widowControl/>
              <w:jc w:val="right"/>
              <w:rPr>
                <w:kern w:val="0"/>
                <w:szCs w:val="22"/>
              </w:rPr>
            </w:pPr>
            <w:r w:rsidRPr="00C6580C">
              <w:rPr>
                <w:kern w:val="0"/>
                <w:szCs w:val="22"/>
              </w:rPr>
              <w:t>.6750</w:t>
            </w:r>
          </w:p>
        </w:tc>
      </w:tr>
      <w:tr w:rsidR="00843FDA" w:rsidRPr="00C6580C" w14:paraId="2D110884" w14:textId="77777777">
        <w:tc>
          <w:tcPr>
            <w:tcW w:w="0" w:type="auto"/>
            <w:tcBorders>
              <w:top w:val="single" w:sz="4" w:space="0" w:color="000000"/>
              <w:left w:val="single" w:sz="4" w:space="0" w:color="000000"/>
              <w:bottom w:val="single" w:sz="4" w:space="0" w:color="000000"/>
              <w:right w:val="single" w:sz="4" w:space="0" w:color="000000"/>
            </w:tcBorders>
          </w:tcPr>
          <w:p w14:paraId="43C85F3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8FA1553" w14:textId="77777777" w:rsidR="00843FDA" w:rsidRPr="00C6580C" w:rsidRDefault="00843FDA" w:rsidP="00CD7CAC">
            <w:pPr>
              <w:widowControl/>
              <w:jc w:val="center"/>
              <w:rPr>
                <w:szCs w:val="22"/>
              </w:rPr>
            </w:pPr>
            <w:r w:rsidRPr="00C6580C">
              <w:rPr>
                <w:kern w:val="0"/>
                <w:szCs w:val="22"/>
              </w:rPr>
              <w:t>* * *</w:t>
            </w:r>
          </w:p>
        </w:tc>
      </w:tr>
      <w:tr w:rsidR="00843FDA" w:rsidRPr="00C6580C" w14:paraId="082C1C59" w14:textId="77777777">
        <w:tc>
          <w:tcPr>
            <w:tcW w:w="0" w:type="auto"/>
            <w:tcBorders>
              <w:top w:val="single" w:sz="4" w:space="0" w:color="000000"/>
              <w:left w:val="single" w:sz="4" w:space="0" w:color="000000"/>
              <w:bottom w:val="single" w:sz="4" w:space="0" w:color="000000"/>
              <w:right w:val="single" w:sz="4" w:space="0" w:color="000000"/>
            </w:tcBorders>
          </w:tcPr>
          <w:p w14:paraId="01807112" w14:textId="77777777" w:rsidR="00843FDA" w:rsidRPr="00C6580C" w:rsidRDefault="00843FDA" w:rsidP="00CD7CAC">
            <w:pPr>
              <w:widowControl/>
              <w:rPr>
                <w:kern w:val="0"/>
                <w:szCs w:val="22"/>
              </w:rPr>
            </w:pPr>
            <w:r w:rsidRPr="00C6580C">
              <w:rPr>
                <w:kern w:val="0"/>
                <w:szCs w:val="22"/>
              </w:rPr>
              <w:t>418a</w:t>
            </w:r>
          </w:p>
        </w:tc>
        <w:tc>
          <w:tcPr>
            <w:tcW w:w="0" w:type="auto"/>
            <w:tcBorders>
              <w:top w:val="single" w:sz="4" w:space="0" w:color="000000"/>
              <w:left w:val="single" w:sz="4" w:space="0" w:color="000000"/>
              <w:bottom w:val="single" w:sz="4" w:space="0" w:color="000000"/>
              <w:right w:val="single" w:sz="4" w:space="0" w:color="000000"/>
            </w:tcBorders>
          </w:tcPr>
          <w:p w14:paraId="377E6D19" w14:textId="77777777" w:rsidR="00843FDA" w:rsidRPr="00C6580C" w:rsidRDefault="00843FDA" w:rsidP="00CD7CAC">
            <w:pPr>
              <w:widowControl/>
              <w:jc w:val="right"/>
              <w:rPr>
                <w:kern w:val="0"/>
                <w:szCs w:val="22"/>
              </w:rPr>
            </w:pPr>
            <w:r w:rsidRPr="00C6580C">
              <w:rPr>
                <w:kern w:val="0"/>
                <w:szCs w:val="22"/>
              </w:rPr>
              <w:t>.7000</w:t>
            </w:r>
          </w:p>
        </w:tc>
      </w:tr>
      <w:tr w:rsidR="00843FDA" w:rsidRPr="00C6580C" w14:paraId="6DC9A415" w14:textId="77777777">
        <w:tc>
          <w:tcPr>
            <w:tcW w:w="0" w:type="auto"/>
            <w:tcBorders>
              <w:top w:val="single" w:sz="4" w:space="0" w:color="000000"/>
              <w:left w:val="single" w:sz="4" w:space="0" w:color="000000"/>
              <w:bottom w:val="single" w:sz="4" w:space="0" w:color="000000"/>
              <w:right w:val="single" w:sz="4" w:space="0" w:color="000000"/>
            </w:tcBorders>
          </w:tcPr>
          <w:p w14:paraId="1F482D1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EF7A6E0" w14:textId="77777777" w:rsidR="00843FDA" w:rsidRPr="00C6580C" w:rsidRDefault="00843FDA" w:rsidP="00CD7CAC">
            <w:pPr>
              <w:widowControl/>
              <w:jc w:val="center"/>
              <w:rPr>
                <w:szCs w:val="22"/>
              </w:rPr>
            </w:pPr>
            <w:r w:rsidRPr="00C6580C">
              <w:rPr>
                <w:kern w:val="0"/>
                <w:szCs w:val="22"/>
              </w:rPr>
              <w:t>* * *</w:t>
            </w:r>
          </w:p>
        </w:tc>
      </w:tr>
      <w:tr w:rsidR="00843FDA" w:rsidRPr="00C6580C" w14:paraId="2E157892" w14:textId="77777777">
        <w:tc>
          <w:tcPr>
            <w:tcW w:w="0" w:type="auto"/>
            <w:tcBorders>
              <w:top w:val="single" w:sz="4" w:space="0" w:color="000000"/>
              <w:left w:val="single" w:sz="4" w:space="0" w:color="000000"/>
              <w:bottom w:val="single" w:sz="4" w:space="0" w:color="000000"/>
              <w:right w:val="single" w:sz="4" w:space="0" w:color="000000"/>
            </w:tcBorders>
          </w:tcPr>
          <w:p w14:paraId="6BA8A91F" w14:textId="77777777" w:rsidR="00843FDA" w:rsidRPr="00C6580C" w:rsidRDefault="00843FDA" w:rsidP="00CD7CAC">
            <w:pPr>
              <w:widowControl/>
              <w:rPr>
                <w:kern w:val="0"/>
                <w:szCs w:val="22"/>
              </w:rPr>
            </w:pPr>
            <w:r w:rsidRPr="00C6580C">
              <w:rPr>
                <w:kern w:val="0"/>
                <w:szCs w:val="22"/>
              </w:rPr>
              <w:t>419a</w:t>
            </w:r>
          </w:p>
        </w:tc>
        <w:tc>
          <w:tcPr>
            <w:tcW w:w="0" w:type="auto"/>
            <w:tcBorders>
              <w:top w:val="single" w:sz="4" w:space="0" w:color="000000"/>
              <w:left w:val="single" w:sz="4" w:space="0" w:color="000000"/>
              <w:bottom w:val="single" w:sz="4" w:space="0" w:color="000000"/>
              <w:right w:val="single" w:sz="4" w:space="0" w:color="000000"/>
            </w:tcBorders>
          </w:tcPr>
          <w:p w14:paraId="406CEEE4" w14:textId="77777777" w:rsidR="00843FDA" w:rsidRPr="00C6580C" w:rsidRDefault="00843FDA" w:rsidP="00CD7CAC">
            <w:pPr>
              <w:widowControl/>
              <w:jc w:val="right"/>
              <w:rPr>
                <w:kern w:val="0"/>
                <w:szCs w:val="22"/>
              </w:rPr>
            </w:pPr>
            <w:r w:rsidRPr="00C6580C">
              <w:rPr>
                <w:kern w:val="0"/>
                <w:szCs w:val="22"/>
              </w:rPr>
              <w:t>.7250</w:t>
            </w:r>
          </w:p>
        </w:tc>
      </w:tr>
      <w:tr w:rsidR="00843FDA" w:rsidRPr="00C6580C" w14:paraId="47067343" w14:textId="77777777">
        <w:tc>
          <w:tcPr>
            <w:tcW w:w="0" w:type="auto"/>
            <w:tcBorders>
              <w:top w:val="single" w:sz="4" w:space="0" w:color="000000"/>
              <w:left w:val="single" w:sz="4" w:space="0" w:color="000000"/>
              <w:bottom w:val="single" w:sz="4" w:space="0" w:color="000000"/>
              <w:right w:val="single" w:sz="4" w:space="0" w:color="000000"/>
            </w:tcBorders>
          </w:tcPr>
          <w:p w14:paraId="08BF476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D238733" w14:textId="77777777" w:rsidR="00843FDA" w:rsidRPr="00C6580C" w:rsidRDefault="00843FDA" w:rsidP="00CD7CAC">
            <w:pPr>
              <w:widowControl/>
              <w:jc w:val="center"/>
              <w:rPr>
                <w:szCs w:val="22"/>
              </w:rPr>
            </w:pPr>
            <w:r w:rsidRPr="00C6580C">
              <w:rPr>
                <w:kern w:val="0"/>
                <w:szCs w:val="22"/>
              </w:rPr>
              <w:t>* * *</w:t>
            </w:r>
          </w:p>
        </w:tc>
      </w:tr>
      <w:tr w:rsidR="00843FDA" w:rsidRPr="00C6580C" w14:paraId="2828EE9F" w14:textId="77777777">
        <w:tc>
          <w:tcPr>
            <w:tcW w:w="0" w:type="auto"/>
            <w:tcBorders>
              <w:top w:val="single" w:sz="4" w:space="0" w:color="000000"/>
              <w:left w:val="single" w:sz="4" w:space="0" w:color="000000"/>
              <w:bottom w:val="single" w:sz="4" w:space="0" w:color="000000"/>
              <w:right w:val="single" w:sz="4" w:space="0" w:color="000000"/>
            </w:tcBorders>
          </w:tcPr>
          <w:p w14:paraId="5D80B2F8" w14:textId="77777777" w:rsidR="00843FDA" w:rsidRPr="00C6580C" w:rsidRDefault="00843FDA" w:rsidP="00CD7CAC">
            <w:pPr>
              <w:widowControl/>
              <w:rPr>
                <w:kern w:val="0"/>
                <w:szCs w:val="22"/>
              </w:rPr>
            </w:pPr>
            <w:r w:rsidRPr="00C6580C">
              <w:rPr>
                <w:kern w:val="0"/>
                <w:szCs w:val="22"/>
              </w:rPr>
              <w:t>420a</w:t>
            </w:r>
          </w:p>
        </w:tc>
        <w:tc>
          <w:tcPr>
            <w:tcW w:w="0" w:type="auto"/>
            <w:tcBorders>
              <w:top w:val="single" w:sz="4" w:space="0" w:color="000000"/>
              <w:left w:val="single" w:sz="4" w:space="0" w:color="000000"/>
              <w:bottom w:val="single" w:sz="4" w:space="0" w:color="000000"/>
              <w:right w:val="single" w:sz="4" w:space="0" w:color="000000"/>
            </w:tcBorders>
          </w:tcPr>
          <w:p w14:paraId="2D5EC7EF" w14:textId="77777777" w:rsidR="00843FDA" w:rsidRPr="00C6580C" w:rsidRDefault="00843FDA" w:rsidP="00CD7CAC">
            <w:pPr>
              <w:widowControl/>
              <w:jc w:val="right"/>
              <w:rPr>
                <w:kern w:val="0"/>
                <w:szCs w:val="22"/>
              </w:rPr>
            </w:pPr>
            <w:r w:rsidRPr="00C6580C">
              <w:rPr>
                <w:kern w:val="0"/>
                <w:szCs w:val="22"/>
              </w:rPr>
              <w:t>.7500</w:t>
            </w:r>
          </w:p>
        </w:tc>
      </w:tr>
      <w:tr w:rsidR="00843FDA" w:rsidRPr="00C6580C" w14:paraId="5BFF64DC" w14:textId="77777777">
        <w:tc>
          <w:tcPr>
            <w:tcW w:w="0" w:type="auto"/>
            <w:tcBorders>
              <w:top w:val="single" w:sz="4" w:space="0" w:color="000000"/>
              <w:left w:val="single" w:sz="4" w:space="0" w:color="000000"/>
              <w:bottom w:val="single" w:sz="4" w:space="0" w:color="000000"/>
              <w:right w:val="single" w:sz="4" w:space="0" w:color="000000"/>
            </w:tcBorders>
          </w:tcPr>
          <w:p w14:paraId="4557189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9570FA1" w14:textId="77777777" w:rsidR="00843FDA" w:rsidRPr="00C6580C" w:rsidRDefault="00843FDA" w:rsidP="00CD7CAC">
            <w:pPr>
              <w:widowControl/>
              <w:jc w:val="center"/>
              <w:rPr>
                <w:szCs w:val="22"/>
              </w:rPr>
            </w:pPr>
            <w:r w:rsidRPr="00C6580C">
              <w:rPr>
                <w:kern w:val="0"/>
                <w:szCs w:val="22"/>
              </w:rPr>
              <w:t>* * *</w:t>
            </w:r>
          </w:p>
        </w:tc>
      </w:tr>
      <w:tr w:rsidR="00843FDA" w:rsidRPr="00C6580C" w14:paraId="47209754" w14:textId="77777777">
        <w:tc>
          <w:tcPr>
            <w:tcW w:w="0" w:type="auto"/>
            <w:tcBorders>
              <w:top w:val="single" w:sz="4" w:space="0" w:color="000000"/>
              <w:left w:val="single" w:sz="4" w:space="0" w:color="000000"/>
              <w:bottom w:val="single" w:sz="4" w:space="0" w:color="000000"/>
              <w:right w:val="single" w:sz="4" w:space="0" w:color="000000"/>
            </w:tcBorders>
          </w:tcPr>
          <w:p w14:paraId="6FCD2FCC" w14:textId="77777777" w:rsidR="00843FDA" w:rsidRPr="00C6580C" w:rsidRDefault="00843FDA" w:rsidP="00CD7CAC">
            <w:pPr>
              <w:widowControl/>
              <w:rPr>
                <w:kern w:val="0"/>
                <w:szCs w:val="22"/>
              </w:rPr>
            </w:pPr>
            <w:r w:rsidRPr="00C6580C">
              <w:rPr>
                <w:kern w:val="0"/>
                <w:szCs w:val="22"/>
              </w:rPr>
              <w:t>421a</w:t>
            </w:r>
          </w:p>
        </w:tc>
        <w:tc>
          <w:tcPr>
            <w:tcW w:w="0" w:type="auto"/>
            <w:tcBorders>
              <w:top w:val="single" w:sz="4" w:space="0" w:color="000000"/>
              <w:left w:val="single" w:sz="4" w:space="0" w:color="000000"/>
              <w:bottom w:val="single" w:sz="4" w:space="0" w:color="000000"/>
              <w:right w:val="single" w:sz="4" w:space="0" w:color="000000"/>
            </w:tcBorders>
          </w:tcPr>
          <w:p w14:paraId="2DAFAA2F" w14:textId="77777777" w:rsidR="00843FDA" w:rsidRPr="00C6580C" w:rsidRDefault="00843FDA" w:rsidP="00CD7CAC">
            <w:pPr>
              <w:widowControl/>
              <w:jc w:val="right"/>
              <w:rPr>
                <w:kern w:val="0"/>
                <w:szCs w:val="22"/>
              </w:rPr>
            </w:pPr>
            <w:r w:rsidRPr="00C6580C">
              <w:rPr>
                <w:kern w:val="0"/>
                <w:szCs w:val="22"/>
              </w:rPr>
              <w:t>.7750</w:t>
            </w:r>
          </w:p>
        </w:tc>
      </w:tr>
      <w:tr w:rsidR="00843FDA" w:rsidRPr="00C6580C" w14:paraId="191423FF" w14:textId="77777777">
        <w:tc>
          <w:tcPr>
            <w:tcW w:w="0" w:type="auto"/>
            <w:tcBorders>
              <w:top w:val="single" w:sz="4" w:space="0" w:color="000000"/>
              <w:left w:val="single" w:sz="4" w:space="0" w:color="000000"/>
              <w:bottom w:val="single" w:sz="4" w:space="0" w:color="000000"/>
              <w:right w:val="single" w:sz="4" w:space="0" w:color="000000"/>
            </w:tcBorders>
          </w:tcPr>
          <w:p w14:paraId="485A4B9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B125358" w14:textId="77777777" w:rsidR="00843FDA" w:rsidRPr="00C6580C" w:rsidRDefault="00843FDA" w:rsidP="00CD7CAC">
            <w:pPr>
              <w:widowControl/>
              <w:jc w:val="center"/>
              <w:rPr>
                <w:szCs w:val="22"/>
              </w:rPr>
            </w:pPr>
            <w:r w:rsidRPr="00C6580C">
              <w:rPr>
                <w:kern w:val="0"/>
                <w:szCs w:val="22"/>
              </w:rPr>
              <w:t>* * *</w:t>
            </w:r>
          </w:p>
        </w:tc>
      </w:tr>
      <w:tr w:rsidR="00843FDA" w:rsidRPr="00C6580C" w14:paraId="545754F8" w14:textId="77777777">
        <w:tc>
          <w:tcPr>
            <w:tcW w:w="0" w:type="auto"/>
            <w:tcBorders>
              <w:top w:val="single" w:sz="4" w:space="0" w:color="000000"/>
              <w:left w:val="single" w:sz="4" w:space="0" w:color="000000"/>
              <w:bottom w:val="single" w:sz="4" w:space="0" w:color="000000"/>
              <w:right w:val="single" w:sz="4" w:space="0" w:color="000000"/>
            </w:tcBorders>
          </w:tcPr>
          <w:p w14:paraId="34B5BCFD" w14:textId="77777777" w:rsidR="00843FDA" w:rsidRPr="00C6580C" w:rsidRDefault="00843FDA" w:rsidP="00CD7CAC">
            <w:pPr>
              <w:widowControl/>
              <w:rPr>
                <w:kern w:val="0"/>
                <w:szCs w:val="22"/>
              </w:rPr>
            </w:pPr>
            <w:r w:rsidRPr="00C6580C">
              <w:rPr>
                <w:kern w:val="0"/>
                <w:szCs w:val="22"/>
              </w:rPr>
              <w:t>422a</w:t>
            </w:r>
          </w:p>
        </w:tc>
        <w:tc>
          <w:tcPr>
            <w:tcW w:w="0" w:type="auto"/>
            <w:tcBorders>
              <w:top w:val="single" w:sz="4" w:space="0" w:color="000000"/>
              <w:left w:val="single" w:sz="4" w:space="0" w:color="000000"/>
              <w:bottom w:val="single" w:sz="4" w:space="0" w:color="000000"/>
              <w:right w:val="single" w:sz="4" w:space="0" w:color="000000"/>
            </w:tcBorders>
          </w:tcPr>
          <w:p w14:paraId="3B1FF719" w14:textId="77777777" w:rsidR="00843FDA" w:rsidRPr="00C6580C" w:rsidRDefault="00843FDA" w:rsidP="00CD7CAC">
            <w:pPr>
              <w:widowControl/>
              <w:jc w:val="right"/>
              <w:rPr>
                <w:kern w:val="0"/>
                <w:szCs w:val="22"/>
              </w:rPr>
            </w:pPr>
            <w:r w:rsidRPr="00C6580C">
              <w:rPr>
                <w:kern w:val="0"/>
                <w:szCs w:val="22"/>
              </w:rPr>
              <w:t>.8000</w:t>
            </w:r>
          </w:p>
        </w:tc>
      </w:tr>
      <w:tr w:rsidR="00843FDA" w:rsidRPr="00C6580C" w14:paraId="1F22A20D" w14:textId="77777777">
        <w:tc>
          <w:tcPr>
            <w:tcW w:w="0" w:type="auto"/>
            <w:tcBorders>
              <w:top w:val="single" w:sz="4" w:space="0" w:color="000000"/>
              <w:left w:val="single" w:sz="4" w:space="0" w:color="000000"/>
              <w:bottom w:val="single" w:sz="4" w:space="0" w:color="000000"/>
              <w:right w:val="single" w:sz="4" w:space="0" w:color="000000"/>
            </w:tcBorders>
          </w:tcPr>
          <w:p w14:paraId="3563949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84877A4" w14:textId="77777777" w:rsidR="00843FDA" w:rsidRPr="00C6580C" w:rsidRDefault="00843FDA" w:rsidP="00CD7CAC">
            <w:pPr>
              <w:widowControl/>
              <w:jc w:val="center"/>
              <w:rPr>
                <w:szCs w:val="22"/>
              </w:rPr>
            </w:pPr>
            <w:r w:rsidRPr="00C6580C">
              <w:rPr>
                <w:kern w:val="0"/>
                <w:szCs w:val="22"/>
              </w:rPr>
              <w:t>* * *</w:t>
            </w:r>
          </w:p>
        </w:tc>
      </w:tr>
      <w:tr w:rsidR="00843FDA" w:rsidRPr="00C6580C" w14:paraId="41487C75" w14:textId="77777777">
        <w:tc>
          <w:tcPr>
            <w:tcW w:w="0" w:type="auto"/>
            <w:tcBorders>
              <w:top w:val="single" w:sz="4" w:space="0" w:color="000000"/>
              <w:left w:val="single" w:sz="4" w:space="0" w:color="000000"/>
              <w:bottom w:val="single" w:sz="4" w:space="0" w:color="000000"/>
              <w:right w:val="single" w:sz="4" w:space="0" w:color="000000"/>
            </w:tcBorders>
          </w:tcPr>
          <w:p w14:paraId="0EAF8D8A" w14:textId="77777777" w:rsidR="00843FDA" w:rsidRPr="00C6580C" w:rsidRDefault="00843FDA" w:rsidP="00CD7CAC">
            <w:pPr>
              <w:widowControl/>
              <w:rPr>
                <w:kern w:val="0"/>
                <w:szCs w:val="22"/>
              </w:rPr>
            </w:pPr>
            <w:r w:rsidRPr="00C6580C">
              <w:rPr>
                <w:kern w:val="0"/>
                <w:szCs w:val="22"/>
              </w:rPr>
              <w:t>423a</w:t>
            </w:r>
          </w:p>
        </w:tc>
        <w:tc>
          <w:tcPr>
            <w:tcW w:w="0" w:type="auto"/>
            <w:tcBorders>
              <w:top w:val="single" w:sz="4" w:space="0" w:color="000000"/>
              <w:left w:val="single" w:sz="4" w:space="0" w:color="000000"/>
              <w:bottom w:val="single" w:sz="4" w:space="0" w:color="000000"/>
              <w:right w:val="single" w:sz="4" w:space="0" w:color="000000"/>
            </w:tcBorders>
          </w:tcPr>
          <w:p w14:paraId="7FD59F2D" w14:textId="77777777" w:rsidR="00843FDA" w:rsidRPr="00C6580C" w:rsidRDefault="00843FDA" w:rsidP="00CD7CAC">
            <w:pPr>
              <w:widowControl/>
              <w:jc w:val="right"/>
              <w:rPr>
                <w:kern w:val="0"/>
                <w:szCs w:val="22"/>
              </w:rPr>
            </w:pPr>
            <w:r w:rsidRPr="00C6580C">
              <w:rPr>
                <w:kern w:val="0"/>
                <w:szCs w:val="22"/>
              </w:rPr>
              <w:t>.8250</w:t>
            </w:r>
          </w:p>
        </w:tc>
      </w:tr>
      <w:tr w:rsidR="00843FDA" w:rsidRPr="00C6580C" w14:paraId="33060775" w14:textId="77777777">
        <w:tc>
          <w:tcPr>
            <w:tcW w:w="0" w:type="auto"/>
            <w:tcBorders>
              <w:top w:val="single" w:sz="4" w:space="0" w:color="000000"/>
              <w:left w:val="single" w:sz="4" w:space="0" w:color="000000"/>
              <w:bottom w:val="single" w:sz="4" w:space="0" w:color="000000"/>
              <w:right w:val="single" w:sz="4" w:space="0" w:color="000000"/>
            </w:tcBorders>
          </w:tcPr>
          <w:p w14:paraId="14DB58C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DE91CE3" w14:textId="77777777" w:rsidR="00843FDA" w:rsidRPr="00C6580C" w:rsidRDefault="00843FDA" w:rsidP="00CD7CAC">
            <w:pPr>
              <w:widowControl/>
              <w:jc w:val="center"/>
              <w:rPr>
                <w:szCs w:val="22"/>
              </w:rPr>
            </w:pPr>
            <w:r w:rsidRPr="00C6580C">
              <w:rPr>
                <w:kern w:val="0"/>
                <w:szCs w:val="22"/>
              </w:rPr>
              <w:t>* * *</w:t>
            </w:r>
          </w:p>
        </w:tc>
      </w:tr>
      <w:tr w:rsidR="00843FDA" w:rsidRPr="00C6580C" w14:paraId="364E776B" w14:textId="77777777">
        <w:tc>
          <w:tcPr>
            <w:tcW w:w="0" w:type="auto"/>
            <w:tcBorders>
              <w:top w:val="single" w:sz="4" w:space="0" w:color="000000"/>
              <w:left w:val="single" w:sz="4" w:space="0" w:color="000000"/>
              <w:bottom w:val="single" w:sz="4" w:space="0" w:color="000000"/>
              <w:right w:val="single" w:sz="4" w:space="0" w:color="000000"/>
            </w:tcBorders>
          </w:tcPr>
          <w:p w14:paraId="0958E8ED" w14:textId="77777777" w:rsidR="00843FDA" w:rsidRPr="00C6580C" w:rsidRDefault="00843FDA" w:rsidP="00CD7CAC">
            <w:pPr>
              <w:widowControl/>
              <w:rPr>
                <w:kern w:val="0"/>
                <w:szCs w:val="22"/>
              </w:rPr>
            </w:pPr>
            <w:r w:rsidRPr="00C6580C">
              <w:rPr>
                <w:kern w:val="0"/>
                <w:szCs w:val="22"/>
              </w:rPr>
              <w:t>424a</w:t>
            </w:r>
          </w:p>
        </w:tc>
        <w:tc>
          <w:tcPr>
            <w:tcW w:w="0" w:type="auto"/>
            <w:tcBorders>
              <w:top w:val="single" w:sz="4" w:space="0" w:color="000000"/>
              <w:left w:val="single" w:sz="4" w:space="0" w:color="000000"/>
              <w:bottom w:val="single" w:sz="4" w:space="0" w:color="000000"/>
              <w:right w:val="single" w:sz="4" w:space="0" w:color="000000"/>
            </w:tcBorders>
          </w:tcPr>
          <w:p w14:paraId="32EC8246" w14:textId="77777777" w:rsidR="00843FDA" w:rsidRPr="00C6580C" w:rsidRDefault="00843FDA" w:rsidP="00CD7CAC">
            <w:pPr>
              <w:widowControl/>
              <w:jc w:val="right"/>
              <w:rPr>
                <w:kern w:val="0"/>
                <w:szCs w:val="22"/>
              </w:rPr>
            </w:pPr>
            <w:r w:rsidRPr="00C6580C">
              <w:rPr>
                <w:kern w:val="0"/>
                <w:szCs w:val="22"/>
              </w:rPr>
              <w:t>.8500</w:t>
            </w:r>
          </w:p>
        </w:tc>
      </w:tr>
      <w:tr w:rsidR="00843FDA" w:rsidRPr="00C6580C" w14:paraId="4D3AE3FE" w14:textId="77777777">
        <w:tc>
          <w:tcPr>
            <w:tcW w:w="0" w:type="auto"/>
            <w:tcBorders>
              <w:top w:val="single" w:sz="4" w:space="0" w:color="000000"/>
              <w:left w:val="single" w:sz="4" w:space="0" w:color="000000"/>
              <w:bottom w:val="single" w:sz="4" w:space="0" w:color="000000"/>
              <w:right w:val="single" w:sz="4" w:space="0" w:color="000000"/>
            </w:tcBorders>
          </w:tcPr>
          <w:p w14:paraId="7B48225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95AD8C6" w14:textId="77777777" w:rsidR="00843FDA" w:rsidRPr="00C6580C" w:rsidRDefault="00843FDA" w:rsidP="00CD7CAC">
            <w:pPr>
              <w:widowControl/>
              <w:jc w:val="center"/>
              <w:rPr>
                <w:szCs w:val="22"/>
              </w:rPr>
            </w:pPr>
            <w:r w:rsidRPr="00C6580C">
              <w:rPr>
                <w:kern w:val="0"/>
                <w:szCs w:val="22"/>
              </w:rPr>
              <w:t>* * *</w:t>
            </w:r>
          </w:p>
        </w:tc>
      </w:tr>
      <w:tr w:rsidR="00843FDA" w:rsidRPr="00C6580C" w14:paraId="656952B2" w14:textId="77777777">
        <w:tc>
          <w:tcPr>
            <w:tcW w:w="0" w:type="auto"/>
            <w:tcBorders>
              <w:top w:val="single" w:sz="4" w:space="0" w:color="000000"/>
              <w:left w:val="single" w:sz="4" w:space="0" w:color="000000"/>
              <w:bottom w:val="single" w:sz="4" w:space="0" w:color="000000"/>
              <w:right w:val="single" w:sz="4" w:space="0" w:color="000000"/>
            </w:tcBorders>
          </w:tcPr>
          <w:p w14:paraId="67496CB9" w14:textId="77777777" w:rsidR="00843FDA" w:rsidRPr="00C6580C" w:rsidRDefault="00843FDA" w:rsidP="00CD7CAC">
            <w:pPr>
              <w:widowControl/>
              <w:rPr>
                <w:kern w:val="0"/>
                <w:szCs w:val="22"/>
              </w:rPr>
            </w:pPr>
            <w:r w:rsidRPr="00C6580C">
              <w:rPr>
                <w:kern w:val="0"/>
                <w:szCs w:val="22"/>
              </w:rPr>
              <w:t>425a</w:t>
            </w:r>
          </w:p>
        </w:tc>
        <w:tc>
          <w:tcPr>
            <w:tcW w:w="0" w:type="auto"/>
            <w:tcBorders>
              <w:top w:val="single" w:sz="4" w:space="0" w:color="000000"/>
              <w:left w:val="single" w:sz="4" w:space="0" w:color="000000"/>
              <w:bottom w:val="single" w:sz="4" w:space="0" w:color="000000"/>
              <w:right w:val="single" w:sz="4" w:space="0" w:color="000000"/>
            </w:tcBorders>
          </w:tcPr>
          <w:p w14:paraId="06DCF32A" w14:textId="77777777" w:rsidR="00843FDA" w:rsidRPr="00C6580C" w:rsidRDefault="00843FDA" w:rsidP="00CD7CAC">
            <w:pPr>
              <w:widowControl/>
              <w:jc w:val="right"/>
              <w:rPr>
                <w:kern w:val="0"/>
                <w:szCs w:val="22"/>
              </w:rPr>
            </w:pPr>
            <w:r w:rsidRPr="00C6580C">
              <w:rPr>
                <w:kern w:val="0"/>
                <w:szCs w:val="22"/>
              </w:rPr>
              <w:t>.8750</w:t>
            </w:r>
          </w:p>
        </w:tc>
      </w:tr>
      <w:tr w:rsidR="00843FDA" w:rsidRPr="00C6580C" w14:paraId="143CAB5B" w14:textId="77777777">
        <w:tc>
          <w:tcPr>
            <w:tcW w:w="0" w:type="auto"/>
            <w:tcBorders>
              <w:top w:val="single" w:sz="4" w:space="0" w:color="000000"/>
              <w:left w:val="single" w:sz="4" w:space="0" w:color="000000"/>
              <w:bottom w:val="single" w:sz="4" w:space="0" w:color="000000"/>
              <w:right w:val="single" w:sz="4" w:space="0" w:color="000000"/>
            </w:tcBorders>
          </w:tcPr>
          <w:p w14:paraId="1496589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6D1A891" w14:textId="77777777" w:rsidR="00843FDA" w:rsidRPr="00C6580C" w:rsidRDefault="00843FDA" w:rsidP="00CD7CAC">
            <w:pPr>
              <w:widowControl/>
              <w:jc w:val="center"/>
              <w:rPr>
                <w:szCs w:val="22"/>
              </w:rPr>
            </w:pPr>
            <w:r w:rsidRPr="00C6580C">
              <w:rPr>
                <w:kern w:val="0"/>
                <w:szCs w:val="22"/>
              </w:rPr>
              <w:t>* * *</w:t>
            </w:r>
          </w:p>
        </w:tc>
      </w:tr>
      <w:tr w:rsidR="00843FDA" w:rsidRPr="00C6580C" w14:paraId="53757266" w14:textId="77777777">
        <w:tc>
          <w:tcPr>
            <w:tcW w:w="0" w:type="auto"/>
            <w:tcBorders>
              <w:top w:val="single" w:sz="4" w:space="0" w:color="000000"/>
              <w:left w:val="single" w:sz="4" w:space="0" w:color="000000"/>
              <w:bottom w:val="single" w:sz="4" w:space="0" w:color="000000"/>
              <w:right w:val="single" w:sz="4" w:space="0" w:color="000000"/>
            </w:tcBorders>
          </w:tcPr>
          <w:p w14:paraId="76866C04" w14:textId="77777777" w:rsidR="00843FDA" w:rsidRPr="00C6580C" w:rsidRDefault="00843FDA" w:rsidP="00CD7CAC">
            <w:pPr>
              <w:widowControl/>
              <w:rPr>
                <w:kern w:val="0"/>
                <w:szCs w:val="22"/>
              </w:rPr>
            </w:pPr>
            <w:r w:rsidRPr="00C6580C">
              <w:rPr>
                <w:kern w:val="0"/>
                <w:szCs w:val="22"/>
              </w:rPr>
              <w:t>426a</w:t>
            </w:r>
          </w:p>
        </w:tc>
        <w:tc>
          <w:tcPr>
            <w:tcW w:w="0" w:type="auto"/>
            <w:tcBorders>
              <w:top w:val="single" w:sz="4" w:space="0" w:color="000000"/>
              <w:left w:val="single" w:sz="4" w:space="0" w:color="000000"/>
              <w:bottom w:val="single" w:sz="4" w:space="0" w:color="000000"/>
              <w:right w:val="single" w:sz="4" w:space="0" w:color="000000"/>
            </w:tcBorders>
          </w:tcPr>
          <w:p w14:paraId="1DEACADE" w14:textId="77777777" w:rsidR="00843FDA" w:rsidRPr="00C6580C" w:rsidRDefault="00843FDA" w:rsidP="00CD7CAC">
            <w:pPr>
              <w:widowControl/>
              <w:jc w:val="right"/>
              <w:rPr>
                <w:kern w:val="0"/>
                <w:szCs w:val="22"/>
              </w:rPr>
            </w:pPr>
            <w:r w:rsidRPr="00C6580C">
              <w:rPr>
                <w:kern w:val="0"/>
                <w:szCs w:val="22"/>
              </w:rPr>
              <w:t>.9000</w:t>
            </w:r>
          </w:p>
        </w:tc>
      </w:tr>
      <w:tr w:rsidR="00843FDA" w:rsidRPr="00C6580C" w14:paraId="1AD67FED" w14:textId="77777777">
        <w:tc>
          <w:tcPr>
            <w:tcW w:w="0" w:type="auto"/>
            <w:tcBorders>
              <w:top w:val="single" w:sz="4" w:space="0" w:color="000000"/>
              <w:left w:val="single" w:sz="4" w:space="0" w:color="000000"/>
              <w:bottom w:val="single" w:sz="4" w:space="0" w:color="000000"/>
              <w:right w:val="single" w:sz="4" w:space="0" w:color="000000"/>
            </w:tcBorders>
          </w:tcPr>
          <w:p w14:paraId="5BB2A56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F7FF492" w14:textId="77777777" w:rsidR="00843FDA" w:rsidRPr="00C6580C" w:rsidRDefault="00843FDA" w:rsidP="00CD7CAC">
            <w:pPr>
              <w:widowControl/>
              <w:jc w:val="center"/>
              <w:rPr>
                <w:szCs w:val="22"/>
              </w:rPr>
            </w:pPr>
            <w:r w:rsidRPr="00C6580C">
              <w:rPr>
                <w:kern w:val="0"/>
                <w:szCs w:val="22"/>
              </w:rPr>
              <w:t>* * *</w:t>
            </w:r>
          </w:p>
        </w:tc>
      </w:tr>
      <w:tr w:rsidR="00843FDA" w:rsidRPr="00C6580C" w14:paraId="4466076A" w14:textId="77777777">
        <w:tc>
          <w:tcPr>
            <w:tcW w:w="0" w:type="auto"/>
            <w:tcBorders>
              <w:top w:val="single" w:sz="4" w:space="0" w:color="000000"/>
              <w:left w:val="single" w:sz="4" w:space="0" w:color="000000"/>
              <w:bottom w:val="single" w:sz="4" w:space="0" w:color="000000"/>
              <w:right w:val="single" w:sz="4" w:space="0" w:color="000000"/>
            </w:tcBorders>
          </w:tcPr>
          <w:p w14:paraId="31F65661" w14:textId="77777777" w:rsidR="00843FDA" w:rsidRPr="00C6580C" w:rsidRDefault="00843FDA" w:rsidP="00CD7CAC">
            <w:pPr>
              <w:widowControl/>
              <w:rPr>
                <w:kern w:val="0"/>
                <w:szCs w:val="22"/>
              </w:rPr>
            </w:pPr>
            <w:r w:rsidRPr="00C6580C">
              <w:rPr>
                <w:kern w:val="0"/>
                <w:szCs w:val="22"/>
              </w:rPr>
              <w:t>427a</w:t>
            </w:r>
          </w:p>
        </w:tc>
        <w:tc>
          <w:tcPr>
            <w:tcW w:w="0" w:type="auto"/>
            <w:tcBorders>
              <w:top w:val="single" w:sz="4" w:space="0" w:color="000000"/>
              <w:left w:val="single" w:sz="4" w:space="0" w:color="000000"/>
              <w:bottom w:val="single" w:sz="4" w:space="0" w:color="000000"/>
              <w:right w:val="single" w:sz="4" w:space="0" w:color="000000"/>
            </w:tcBorders>
          </w:tcPr>
          <w:p w14:paraId="525C9251" w14:textId="77777777" w:rsidR="00843FDA" w:rsidRPr="00C6580C" w:rsidRDefault="00843FDA" w:rsidP="00CD7CAC">
            <w:pPr>
              <w:widowControl/>
              <w:jc w:val="right"/>
              <w:rPr>
                <w:kern w:val="0"/>
                <w:szCs w:val="22"/>
              </w:rPr>
            </w:pPr>
            <w:r w:rsidRPr="00C6580C">
              <w:rPr>
                <w:kern w:val="0"/>
                <w:szCs w:val="22"/>
              </w:rPr>
              <w:t>.9250</w:t>
            </w:r>
          </w:p>
        </w:tc>
      </w:tr>
      <w:tr w:rsidR="00843FDA" w:rsidRPr="00C6580C" w14:paraId="157D2056" w14:textId="77777777">
        <w:tc>
          <w:tcPr>
            <w:tcW w:w="0" w:type="auto"/>
            <w:tcBorders>
              <w:top w:val="single" w:sz="4" w:space="0" w:color="000000"/>
              <w:left w:val="single" w:sz="4" w:space="0" w:color="000000"/>
              <w:bottom w:val="single" w:sz="4" w:space="0" w:color="000000"/>
              <w:right w:val="single" w:sz="4" w:space="0" w:color="000000"/>
            </w:tcBorders>
          </w:tcPr>
          <w:p w14:paraId="19374D1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996490B" w14:textId="77777777" w:rsidR="00843FDA" w:rsidRPr="00C6580C" w:rsidRDefault="00843FDA" w:rsidP="00CD7CAC">
            <w:pPr>
              <w:widowControl/>
              <w:jc w:val="center"/>
              <w:rPr>
                <w:szCs w:val="22"/>
              </w:rPr>
            </w:pPr>
            <w:r w:rsidRPr="00C6580C">
              <w:rPr>
                <w:kern w:val="0"/>
                <w:szCs w:val="22"/>
              </w:rPr>
              <w:t>* * *</w:t>
            </w:r>
          </w:p>
        </w:tc>
      </w:tr>
      <w:tr w:rsidR="00843FDA" w:rsidRPr="00C6580C" w14:paraId="08BB5221" w14:textId="77777777">
        <w:tc>
          <w:tcPr>
            <w:tcW w:w="0" w:type="auto"/>
            <w:tcBorders>
              <w:top w:val="single" w:sz="4" w:space="0" w:color="000000"/>
              <w:left w:val="single" w:sz="4" w:space="0" w:color="000000"/>
              <w:bottom w:val="single" w:sz="4" w:space="0" w:color="000000"/>
              <w:right w:val="single" w:sz="4" w:space="0" w:color="000000"/>
            </w:tcBorders>
          </w:tcPr>
          <w:p w14:paraId="7C4E4819" w14:textId="77777777" w:rsidR="00843FDA" w:rsidRPr="00C6580C" w:rsidRDefault="00843FDA" w:rsidP="00CD7CAC">
            <w:pPr>
              <w:widowControl/>
              <w:rPr>
                <w:kern w:val="0"/>
                <w:szCs w:val="22"/>
              </w:rPr>
            </w:pPr>
            <w:r w:rsidRPr="00C6580C">
              <w:rPr>
                <w:kern w:val="0"/>
                <w:szCs w:val="22"/>
              </w:rPr>
              <w:t>428a</w:t>
            </w:r>
          </w:p>
        </w:tc>
        <w:tc>
          <w:tcPr>
            <w:tcW w:w="0" w:type="auto"/>
            <w:tcBorders>
              <w:top w:val="single" w:sz="4" w:space="0" w:color="000000"/>
              <w:left w:val="single" w:sz="4" w:space="0" w:color="000000"/>
              <w:bottom w:val="single" w:sz="4" w:space="0" w:color="000000"/>
              <w:right w:val="single" w:sz="4" w:space="0" w:color="000000"/>
            </w:tcBorders>
          </w:tcPr>
          <w:p w14:paraId="6230E483" w14:textId="77777777" w:rsidR="00843FDA" w:rsidRPr="00C6580C" w:rsidRDefault="00843FDA" w:rsidP="00CD7CAC">
            <w:pPr>
              <w:widowControl/>
              <w:jc w:val="right"/>
              <w:rPr>
                <w:kern w:val="0"/>
                <w:szCs w:val="22"/>
              </w:rPr>
            </w:pPr>
            <w:r w:rsidRPr="00C6580C">
              <w:rPr>
                <w:kern w:val="0"/>
                <w:szCs w:val="22"/>
              </w:rPr>
              <w:t>.9500</w:t>
            </w:r>
          </w:p>
        </w:tc>
      </w:tr>
      <w:tr w:rsidR="00843FDA" w:rsidRPr="00C6580C" w14:paraId="6E49000C" w14:textId="77777777">
        <w:tc>
          <w:tcPr>
            <w:tcW w:w="0" w:type="auto"/>
            <w:tcBorders>
              <w:top w:val="single" w:sz="4" w:space="0" w:color="000000"/>
              <w:left w:val="single" w:sz="4" w:space="0" w:color="000000"/>
              <w:bottom w:val="single" w:sz="4" w:space="0" w:color="000000"/>
              <w:right w:val="single" w:sz="4" w:space="0" w:color="000000"/>
            </w:tcBorders>
          </w:tcPr>
          <w:p w14:paraId="154A7BF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583044E" w14:textId="77777777" w:rsidR="00843FDA" w:rsidRPr="00C6580C" w:rsidRDefault="00843FDA" w:rsidP="00CD7CAC">
            <w:pPr>
              <w:widowControl/>
              <w:jc w:val="center"/>
              <w:rPr>
                <w:szCs w:val="22"/>
              </w:rPr>
            </w:pPr>
            <w:r w:rsidRPr="00C6580C">
              <w:rPr>
                <w:kern w:val="0"/>
                <w:szCs w:val="22"/>
              </w:rPr>
              <w:t>* * *</w:t>
            </w:r>
          </w:p>
        </w:tc>
      </w:tr>
      <w:tr w:rsidR="00843FDA" w:rsidRPr="00C6580C" w14:paraId="71BB0F6B" w14:textId="77777777">
        <w:tc>
          <w:tcPr>
            <w:tcW w:w="0" w:type="auto"/>
            <w:tcBorders>
              <w:top w:val="single" w:sz="4" w:space="0" w:color="000000"/>
              <w:left w:val="single" w:sz="4" w:space="0" w:color="000000"/>
              <w:bottom w:val="single" w:sz="4" w:space="0" w:color="000000"/>
              <w:right w:val="single" w:sz="4" w:space="0" w:color="000000"/>
            </w:tcBorders>
          </w:tcPr>
          <w:p w14:paraId="0193B2CA" w14:textId="77777777" w:rsidR="00843FDA" w:rsidRPr="00C6580C" w:rsidRDefault="00843FDA" w:rsidP="00CD7CAC">
            <w:pPr>
              <w:widowControl/>
              <w:rPr>
                <w:kern w:val="0"/>
                <w:szCs w:val="22"/>
              </w:rPr>
            </w:pPr>
            <w:r w:rsidRPr="00C6580C">
              <w:rPr>
                <w:kern w:val="0"/>
                <w:szCs w:val="22"/>
              </w:rPr>
              <w:t>429a</w:t>
            </w:r>
          </w:p>
        </w:tc>
        <w:tc>
          <w:tcPr>
            <w:tcW w:w="0" w:type="auto"/>
            <w:tcBorders>
              <w:top w:val="single" w:sz="4" w:space="0" w:color="000000"/>
              <w:left w:val="single" w:sz="4" w:space="0" w:color="000000"/>
              <w:bottom w:val="single" w:sz="4" w:space="0" w:color="000000"/>
              <w:right w:val="single" w:sz="4" w:space="0" w:color="000000"/>
            </w:tcBorders>
          </w:tcPr>
          <w:p w14:paraId="1A3EAE8D" w14:textId="77777777" w:rsidR="00843FDA" w:rsidRPr="00C6580C" w:rsidRDefault="00843FDA" w:rsidP="00CD7CAC">
            <w:pPr>
              <w:widowControl/>
              <w:jc w:val="right"/>
              <w:rPr>
                <w:kern w:val="0"/>
                <w:szCs w:val="22"/>
              </w:rPr>
            </w:pPr>
            <w:r w:rsidRPr="00C6580C">
              <w:rPr>
                <w:kern w:val="0"/>
                <w:szCs w:val="22"/>
              </w:rPr>
              <w:t>.9750</w:t>
            </w:r>
          </w:p>
        </w:tc>
      </w:tr>
      <w:tr w:rsidR="00843FDA" w:rsidRPr="00C6580C" w14:paraId="53BDD3E4" w14:textId="77777777">
        <w:tc>
          <w:tcPr>
            <w:tcW w:w="0" w:type="auto"/>
            <w:tcBorders>
              <w:top w:val="single" w:sz="4" w:space="0" w:color="000000"/>
              <w:left w:val="single" w:sz="4" w:space="0" w:color="000000"/>
              <w:bottom w:val="single" w:sz="4" w:space="0" w:color="000000"/>
              <w:right w:val="single" w:sz="4" w:space="0" w:color="000000"/>
            </w:tcBorders>
          </w:tcPr>
          <w:p w14:paraId="304B6A0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83065CA" w14:textId="77777777" w:rsidR="00843FDA" w:rsidRPr="00C6580C" w:rsidRDefault="00843FDA" w:rsidP="00CD7CAC">
            <w:pPr>
              <w:widowControl/>
              <w:jc w:val="center"/>
              <w:rPr>
                <w:szCs w:val="22"/>
              </w:rPr>
            </w:pPr>
            <w:r w:rsidRPr="00C6580C">
              <w:rPr>
                <w:kern w:val="0"/>
                <w:szCs w:val="22"/>
              </w:rPr>
              <w:t>* * *</w:t>
            </w:r>
          </w:p>
        </w:tc>
      </w:tr>
      <w:tr w:rsidR="00843FDA" w:rsidRPr="00C6580C" w14:paraId="30252EA6" w14:textId="77777777">
        <w:tc>
          <w:tcPr>
            <w:tcW w:w="0" w:type="auto"/>
            <w:tcBorders>
              <w:top w:val="single" w:sz="4" w:space="0" w:color="000000"/>
              <w:left w:val="single" w:sz="4" w:space="0" w:color="000000"/>
              <w:bottom w:val="single" w:sz="4" w:space="0" w:color="000000"/>
              <w:right w:val="single" w:sz="4" w:space="0" w:color="000000"/>
            </w:tcBorders>
          </w:tcPr>
          <w:p w14:paraId="3476C60B" w14:textId="77777777" w:rsidR="00843FDA" w:rsidRPr="00C6580C" w:rsidRDefault="00843FDA" w:rsidP="00CD7CAC">
            <w:pPr>
              <w:widowControl/>
              <w:rPr>
                <w:kern w:val="0"/>
                <w:szCs w:val="22"/>
              </w:rPr>
            </w:pPr>
            <w:r w:rsidRPr="00C6580C">
              <w:rPr>
                <w:kern w:val="0"/>
                <w:szCs w:val="22"/>
              </w:rPr>
              <w:t>430a</w:t>
            </w:r>
          </w:p>
        </w:tc>
        <w:tc>
          <w:tcPr>
            <w:tcW w:w="0" w:type="auto"/>
            <w:tcBorders>
              <w:top w:val="single" w:sz="4" w:space="0" w:color="000000"/>
              <w:left w:val="single" w:sz="4" w:space="0" w:color="000000"/>
              <w:bottom w:val="single" w:sz="4" w:space="0" w:color="000000"/>
              <w:right w:val="single" w:sz="4" w:space="0" w:color="000000"/>
            </w:tcBorders>
          </w:tcPr>
          <w:p w14:paraId="4B986345" w14:textId="77777777" w:rsidR="00843FDA" w:rsidRPr="00C6580C" w:rsidRDefault="00843FDA" w:rsidP="00CD7CAC">
            <w:pPr>
              <w:widowControl/>
              <w:jc w:val="right"/>
              <w:rPr>
                <w:kern w:val="0"/>
                <w:szCs w:val="22"/>
              </w:rPr>
            </w:pPr>
            <w:r w:rsidRPr="00C6580C">
              <w:rPr>
                <w:kern w:val="0"/>
                <w:szCs w:val="22"/>
              </w:rPr>
              <w:t>859.0000</w:t>
            </w:r>
          </w:p>
        </w:tc>
      </w:tr>
      <w:tr w:rsidR="00843FDA" w:rsidRPr="00C6580C" w14:paraId="3B207562" w14:textId="77777777">
        <w:tc>
          <w:tcPr>
            <w:tcW w:w="0" w:type="auto"/>
            <w:tcBorders>
              <w:top w:val="single" w:sz="4" w:space="0" w:color="000000"/>
              <w:left w:val="single" w:sz="4" w:space="0" w:color="000000"/>
              <w:bottom w:val="single" w:sz="4" w:space="0" w:color="000000"/>
              <w:right w:val="single" w:sz="4" w:space="0" w:color="000000"/>
            </w:tcBorders>
          </w:tcPr>
          <w:p w14:paraId="1D7B7551"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4506431" w14:textId="77777777" w:rsidR="00843FDA" w:rsidRPr="00C6580C" w:rsidRDefault="00843FDA" w:rsidP="00CD7CAC">
            <w:pPr>
              <w:widowControl/>
              <w:jc w:val="right"/>
              <w:rPr>
                <w:kern w:val="0"/>
                <w:szCs w:val="22"/>
              </w:rPr>
            </w:pPr>
            <w:r w:rsidRPr="00C6580C">
              <w:rPr>
                <w:kern w:val="0"/>
                <w:szCs w:val="22"/>
              </w:rPr>
              <w:t>.0125</w:t>
            </w:r>
          </w:p>
        </w:tc>
      </w:tr>
      <w:tr w:rsidR="00843FDA" w:rsidRPr="00C6580C" w14:paraId="70B3FBCD" w14:textId="77777777">
        <w:tc>
          <w:tcPr>
            <w:tcW w:w="0" w:type="auto"/>
            <w:tcBorders>
              <w:top w:val="single" w:sz="4" w:space="0" w:color="000000"/>
              <w:left w:val="single" w:sz="4" w:space="0" w:color="000000"/>
              <w:bottom w:val="single" w:sz="4" w:space="0" w:color="000000"/>
              <w:right w:val="single" w:sz="4" w:space="0" w:color="000000"/>
            </w:tcBorders>
          </w:tcPr>
          <w:p w14:paraId="6743F250" w14:textId="77777777" w:rsidR="00843FDA" w:rsidRPr="00C6580C" w:rsidRDefault="00843FDA" w:rsidP="00CD7CAC">
            <w:pPr>
              <w:widowControl/>
              <w:rPr>
                <w:kern w:val="0"/>
                <w:szCs w:val="22"/>
              </w:rPr>
            </w:pPr>
            <w:r w:rsidRPr="00C6580C">
              <w:rPr>
                <w:kern w:val="0"/>
                <w:szCs w:val="22"/>
              </w:rPr>
              <w:t>431a</w:t>
            </w:r>
          </w:p>
        </w:tc>
        <w:tc>
          <w:tcPr>
            <w:tcW w:w="0" w:type="auto"/>
            <w:tcBorders>
              <w:top w:val="single" w:sz="4" w:space="0" w:color="000000"/>
              <w:left w:val="single" w:sz="4" w:space="0" w:color="000000"/>
              <w:bottom w:val="single" w:sz="4" w:space="0" w:color="000000"/>
              <w:right w:val="single" w:sz="4" w:space="0" w:color="000000"/>
            </w:tcBorders>
          </w:tcPr>
          <w:p w14:paraId="34B3CC5E" w14:textId="77777777" w:rsidR="00843FDA" w:rsidRPr="00C6580C" w:rsidRDefault="00843FDA" w:rsidP="00CD7CAC">
            <w:pPr>
              <w:widowControl/>
              <w:jc w:val="right"/>
              <w:rPr>
                <w:kern w:val="0"/>
                <w:szCs w:val="22"/>
              </w:rPr>
            </w:pPr>
            <w:r w:rsidRPr="00C6580C">
              <w:rPr>
                <w:kern w:val="0"/>
                <w:szCs w:val="22"/>
              </w:rPr>
              <w:t>.0250</w:t>
            </w:r>
          </w:p>
        </w:tc>
      </w:tr>
      <w:tr w:rsidR="00843FDA" w:rsidRPr="00C6580C" w14:paraId="2838337D" w14:textId="77777777">
        <w:tc>
          <w:tcPr>
            <w:tcW w:w="0" w:type="auto"/>
            <w:tcBorders>
              <w:top w:val="single" w:sz="4" w:space="0" w:color="000000"/>
              <w:left w:val="single" w:sz="4" w:space="0" w:color="000000"/>
              <w:bottom w:val="single" w:sz="4" w:space="0" w:color="000000"/>
              <w:right w:val="single" w:sz="4" w:space="0" w:color="000000"/>
            </w:tcBorders>
          </w:tcPr>
          <w:p w14:paraId="43CFD68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765674A" w14:textId="77777777" w:rsidR="00843FDA" w:rsidRPr="00C6580C" w:rsidRDefault="00843FDA" w:rsidP="00CD7CAC">
            <w:pPr>
              <w:widowControl/>
              <w:jc w:val="center"/>
              <w:rPr>
                <w:szCs w:val="22"/>
              </w:rPr>
            </w:pPr>
            <w:r w:rsidRPr="00C6580C">
              <w:rPr>
                <w:kern w:val="0"/>
                <w:szCs w:val="22"/>
              </w:rPr>
              <w:t>* * *</w:t>
            </w:r>
          </w:p>
        </w:tc>
      </w:tr>
      <w:tr w:rsidR="00843FDA" w:rsidRPr="00C6580C" w14:paraId="01565155" w14:textId="77777777">
        <w:tc>
          <w:tcPr>
            <w:tcW w:w="0" w:type="auto"/>
            <w:tcBorders>
              <w:top w:val="single" w:sz="4" w:space="0" w:color="000000"/>
              <w:left w:val="single" w:sz="4" w:space="0" w:color="000000"/>
              <w:bottom w:val="single" w:sz="4" w:space="0" w:color="000000"/>
              <w:right w:val="single" w:sz="4" w:space="0" w:color="000000"/>
            </w:tcBorders>
          </w:tcPr>
          <w:p w14:paraId="0F1BFF55" w14:textId="77777777" w:rsidR="00843FDA" w:rsidRPr="00C6580C" w:rsidRDefault="00843FDA" w:rsidP="00CD7CAC">
            <w:pPr>
              <w:widowControl/>
              <w:rPr>
                <w:kern w:val="0"/>
                <w:szCs w:val="22"/>
              </w:rPr>
            </w:pPr>
            <w:r w:rsidRPr="00C6580C">
              <w:rPr>
                <w:kern w:val="0"/>
                <w:szCs w:val="22"/>
              </w:rPr>
              <w:t>432a</w:t>
            </w:r>
          </w:p>
        </w:tc>
        <w:tc>
          <w:tcPr>
            <w:tcW w:w="0" w:type="auto"/>
            <w:tcBorders>
              <w:top w:val="single" w:sz="4" w:space="0" w:color="000000"/>
              <w:left w:val="single" w:sz="4" w:space="0" w:color="000000"/>
              <w:bottom w:val="single" w:sz="4" w:space="0" w:color="000000"/>
              <w:right w:val="single" w:sz="4" w:space="0" w:color="000000"/>
            </w:tcBorders>
          </w:tcPr>
          <w:p w14:paraId="401F06D8" w14:textId="77777777" w:rsidR="00843FDA" w:rsidRPr="00C6580C" w:rsidRDefault="00843FDA" w:rsidP="00CD7CAC">
            <w:pPr>
              <w:widowControl/>
              <w:jc w:val="right"/>
              <w:rPr>
                <w:kern w:val="0"/>
                <w:szCs w:val="22"/>
              </w:rPr>
            </w:pPr>
            <w:r w:rsidRPr="00C6580C">
              <w:rPr>
                <w:kern w:val="0"/>
                <w:szCs w:val="22"/>
              </w:rPr>
              <w:t>.0500</w:t>
            </w:r>
          </w:p>
        </w:tc>
      </w:tr>
      <w:tr w:rsidR="00843FDA" w:rsidRPr="00C6580C" w14:paraId="487045D5" w14:textId="77777777">
        <w:tc>
          <w:tcPr>
            <w:tcW w:w="0" w:type="auto"/>
            <w:tcBorders>
              <w:top w:val="single" w:sz="4" w:space="0" w:color="000000"/>
              <w:left w:val="single" w:sz="4" w:space="0" w:color="000000"/>
              <w:bottom w:val="single" w:sz="4" w:space="0" w:color="000000"/>
              <w:right w:val="single" w:sz="4" w:space="0" w:color="000000"/>
            </w:tcBorders>
          </w:tcPr>
          <w:p w14:paraId="677ADA9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F206284" w14:textId="77777777" w:rsidR="00843FDA" w:rsidRPr="00C6580C" w:rsidRDefault="00843FDA" w:rsidP="00CD7CAC">
            <w:pPr>
              <w:widowControl/>
              <w:jc w:val="center"/>
              <w:rPr>
                <w:szCs w:val="22"/>
              </w:rPr>
            </w:pPr>
            <w:r w:rsidRPr="00C6580C">
              <w:rPr>
                <w:kern w:val="0"/>
                <w:szCs w:val="22"/>
              </w:rPr>
              <w:t>* * *</w:t>
            </w:r>
          </w:p>
        </w:tc>
      </w:tr>
      <w:tr w:rsidR="00843FDA" w:rsidRPr="00C6580C" w14:paraId="639E63A0" w14:textId="77777777">
        <w:tc>
          <w:tcPr>
            <w:tcW w:w="0" w:type="auto"/>
            <w:tcBorders>
              <w:top w:val="single" w:sz="4" w:space="0" w:color="000000"/>
              <w:left w:val="single" w:sz="4" w:space="0" w:color="000000"/>
              <w:bottom w:val="single" w:sz="4" w:space="0" w:color="000000"/>
              <w:right w:val="single" w:sz="4" w:space="0" w:color="000000"/>
            </w:tcBorders>
          </w:tcPr>
          <w:p w14:paraId="1633DB2B" w14:textId="77777777" w:rsidR="00843FDA" w:rsidRPr="00C6580C" w:rsidRDefault="00843FDA" w:rsidP="00CD7CAC">
            <w:pPr>
              <w:widowControl/>
              <w:rPr>
                <w:kern w:val="0"/>
                <w:szCs w:val="22"/>
              </w:rPr>
            </w:pPr>
            <w:r w:rsidRPr="00C6580C">
              <w:rPr>
                <w:kern w:val="0"/>
                <w:szCs w:val="22"/>
              </w:rPr>
              <w:t>433a</w:t>
            </w:r>
          </w:p>
        </w:tc>
        <w:tc>
          <w:tcPr>
            <w:tcW w:w="0" w:type="auto"/>
            <w:tcBorders>
              <w:top w:val="single" w:sz="4" w:space="0" w:color="000000"/>
              <w:left w:val="single" w:sz="4" w:space="0" w:color="000000"/>
              <w:bottom w:val="single" w:sz="4" w:space="0" w:color="000000"/>
              <w:right w:val="single" w:sz="4" w:space="0" w:color="000000"/>
            </w:tcBorders>
          </w:tcPr>
          <w:p w14:paraId="5E6BAB7B" w14:textId="77777777" w:rsidR="00843FDA" w:rsidRPr="00C6580C" w:rsidRDefault="00843FDA" w:rsidP="00CD7CAC">
            <w:pPr>
              <w:widowControl/>
              <w:jc w:val="right"/>
              <w:rPr>
                <w:kern w:val="0"/>
                <w:szCs w:val="22"/>
              </w:rPr>
            </w:pPr>
            <w:r w:rsidRPr="00C6580C">
              <w:rPr>
                <w:kern w:val="0"/>
                <w:szCs w:val="22"/>
              </w:rPr>
              <w:t>.0750</w:t>
            </w:r>
          </w:p>
        </w:tc>
      </w:tr>
      <w:tr w:rsidR="00843FDA" w:rsidRPr="00C6580C" w14:paraId="7917A6AC" w14:textId="77777777">
        <w:tc>
          <w:tcPr>
            <w:tcW w:w="0" w:type="auto"/>
            <w:tcBorders>
              <w:top w:val="single" w:sz="4" w:space="0" w:color="000000"/>
              <w:left w:val="single" w:sz="4" w:space="0" w:color="000000"/>
              <w:bottom w:val="single" w:sz="4" w:space="0" w:color="000000"/>
              <w:right w:val="single" w:sz="4" w:space="0" w:color="000000"/>
            </w:tcBorders>
          </w:tcPr>
          <w:p w14:paraId="4E60D81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44E40C4" w14:textId="77777777" w:rsidR="00843FDA" w:rsidRPr="00C6580C" w:rsidRDefault="00843FDA" w:rsidP="00CD7CAC">
            <w:pPr>
              <w:widowControl/>
              <w:jc w:val="center"/>
              <w:rPr>
                <w:szCs w:val="22"/>
              </w:rPr>
            </w:pPr>
            <w:r w:rsidRPr="00C6580C">
              <w:rPr>
                <w:kern w:val="0"/>
                <w:szCs w:val="22"/>
              </w:rPr>
              <w:t>* * *</w:t>
            </w:r>
          </w:p>
        </w:tc>
      </w:tr>
      <w:tr w:rsidR="00843FDA" w:rsidRPr="00C6580C" w14:paraId="2AD1DC2C" w14:textId="77777777">
        <w:tc>
          <w:tcPr>
            <w:tcW w:w="0" w:type="auto"/>
            <w:tcBorders>
              <w:top w:val="single" w:sz="4" w:space="0" w:color="000000"/>
              <w:left w:val="single" w:sz="4" w:space="0" w:color="000000"/>
              <w:bottom w:val="single" w:sz="4" w:space="0" w:color="000000"/>
              <w:right w:val="single" w:sz="4" w:space="0" w:color="000000"/>
            </w:tcBorders>
          </w:tcPr>
          <w:p w14:paraId="1B61FDE9" w14:textId="77777777" w:rsidR="00843FDA" w:rsidRPr="00C6580C" w:rsidRDefault="00843FDA" w:rsidP="00CD7CAC">
            <w:pPr>
              <w:widowControl/>
              <w:rPr>
                <w:kern w:val="0"/>
                <w:szCs w:val="22"/>
              </w:rPr>
            </w:pPr>
            <w:r w:rsidRPr="00C6580C">
              <w:rPr>
                <w:kern w:val="0"/>
                <w:szCs w:val="22"/>
              </w:rPr>
              <w:t>434a</w:t>
            </w:r>
          </w:p>
        </w:tc>
        <w:tc>
          <w:tcPr>
            <w:tcW w:w="0" w:type="auto"/>
            <w:tcBorders>
              <w:top w:val="single" w:sz="4" w:space="0" w:color="000000"/>
              <w:left w:val="single" w:sz="4" w:space="0" w:color="000000"/>
              <w:bottom w:val="single" w:sz="4" w:space="0" w:color="000000"/>
              <w:right w:val="single" w:sz="4" w:space="0" w:color="000000"/>
            </w:tcBorders>
          </w:tcPr>
          <w:p w14:paraId="19569D01" w14:textId="77777777" w:rsidR="00843FDA" w:rsidRPr="00C6580C" w:rsidRDefault="00843FDA" w:rsidP="00CD7CAC">
            <w:pPr>
              <w:widowControl/>
              <w:jc w:val="right"/>
              <w:rPr>
                <w:kern w:val="0"/>
                <w:szCs w:val="22"/>
              </w:rPr>
            </w:pPr>
            <w:r w:rsidRPr="00C6580C">
              <w:rPr>
                <w:kern w:val="0"/>
                <w:szCs w:val="22"/>
              </w:rPr>
              <w:t>.1000</w:t>
            </w:r>
          </w:p>
        </w:tc>
      </w:tr>
      <w:tr w:rsidR="00843FDA" w:rsidRPr="00C6580C" w14:paraId="0B2BBFC2" w14:textId="77777777">
        <w:tc>
          <w:tcPr>
            <w:tcW w:w="0" w:type="auto"/>
            <w:tcBorders>
              <w:top w:val="single" w:sz="4" w:space="0" w:color="000000"/>
              <w:left w:val="single" w:sz="4" w:space="0" w:color="000000"/>
              <w:bottom w:val="single" w:sz="4" w:space="0" w:color="000000"/>
              <w:right w:val="single" w:sz="4" w:space="0" w:color="000000"/>
            </w:tcBorders>
          </w:tcPr>
          <w:p w14:paraId="4FF84F4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406926B" w14:textId="77777777" w:rsidR="00843FDA" w:rsidRPr="00C6580C" w:rsidRDefault="00843FDA" w:rsidP="00CD7CAC">
            <w:pPr>
              <w:widowControl/>
              <w:jc w:val="center"/>
              <w:rPr>
                <w:szCs w:val="22"/>
              </w:rPr>
            </w:pPr>
            <w:r w:rsidRPr="00C6580C">
              <w:rPr>
                <w:kern w:val="0"/>
                <w:szCs w:val="22"/>
              </w:rPr>
              <w:t>* * *</w:t>
            </w:r>
          </w:p>
        </w:tc>
      </w:tr>
      <w:tr w:rsidR="00843FDA" w:rsidRPr="00C6580C" w14:paraId="461D117F" w14:textId="77777777">
        <w:tc>
          <w:tcPr>
            <w:tcW w:w="0" w:type="auto"/>
            <w:tcBorders>
              <w:top w:val="single" w:sz="4" w:space="0" w:color="000000"/>
              <w:left w:val="single" w:sz="4" w:space="0" w:color="000000"/>
              <w:bottom w:val="single" w:sz="4" w:space="0" w:color="000000"/>
              <w:right w:val="single" w:sz="4" w:space="0" w:color="000000"/>
            </w:tcBorders>
          </w:tcPr>
          <w:p w14:paraId="28682163" w14:textId="77777777" w:rsidR="00843FDA" w:rsidRPr="00C6580C" w:rsidRDefault="00843FDA" w:rsidP="00CD7CAC">
            <w:pPr>
              <w:widowControl/>
              <w:rPr>
                <w:kern w:val="0"/>
                <w:szCs w:val="22"/>
              </w:rPr>
            </w:pPr>
            <w:r w:rsidRPr="00C6580C">
              <w:rPr>
                <w:kern w:val="0"/>
                <w:szCs w:val="22"/>
              </w:rPr>
              <w:t>435a</w:t>
            </w:r>
          </w:p>
        </w:tc>
        <w:tc>
          <w:tcPr>
            <w:tcW w:w="0" w:type="auto"/>
            <w:tcBorders>
              <w:top w:val="single" w:sz="4" w:space="0" w:color="000000"/>
              <w:left w:val="single" w:sz="4" w:space="0" w:color="000000"/>
              <w:bottom w:val="single" w:sz="4" w:space="0" w:color="000000"/>
              <w:right w:val="single" w:sz="4" w:space="0" w:color="000000"/>
            </w:tcBorders>
          </w:tcPr>
          <w:p w14:paraId="3DD59760" w14:textId="77777777" w:rsidR="00843FDA" w:rsidRPr="00C6580C" w:rsidRDefault="00843FDA" w:rsidP="00CD7CAC">
            <w:pPr>
              <w:widowControl/>
              <w:jc w:val="right"/>
              <w:rPr>
                <w:kern w:val="0"/>
                <w:szCs w:val="22"/>
              </w:rPr>
            </w:pPr>
            <w:r w:rsidRPr="00C6580C">
              <w:rPr>
                <w:kern w:val="0"/>
                <w:szCs w:val="22"/>
              </w:rPr>
              <w:t>.1250</w:t>
            </w:r>
          </w:p>
        </w:tc>
      </w:tr>
      <w:tr w:rsidR="00843FDA" w:rsidRPr="00C6580C" w14:paraId="7D5CA957" w14:textId="77777777">
        <w:tc>
          <w:tcPr>
            <w:tcW w:w="0" w:type="auto"/>
            <w:tcBorders>
              <w:top w:val="single" w:sz="4" w:space="0" w:color="000000"/>
              <w:left w:val="single" w:sz="4" w:space="0" w:color="000000"/>
              <w:bottom w:val="single" w:sz="4" w:space="0" w:color="000000"/>
              <w:right w:val="single" w:sz="4" w:space="0" w:color="000000"/>
            </w:tcBorders>
          </w:tcPr>
          <w:p w14:paraId="643503E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0E2F1A1" w14:textId="77777777" w:rsidR="00843FDA" w:rsidRPr="00C6580C" w:rsidRDefault="00843FDA" w:rsidP="00CD7CAC">
            <w:pPr>
              <w:widowControl/>
              <w:jc w:val="center"/>
              <w:rPr>
                <w:szCs w:val="22"/>
              </w:rPr>
            </w:pPr>
            <w:r w:rsidRPr="00C6580C">
              <w:rPr>
                <w:kern w:val="0"/>
                <w:szCs w:val="22"/>
              </w:rPr>
              <w:t>* * *</w:t>
            </w:r>
          </w:p>
        </w:tc>
      </w:tr>
      <w:tr w:rsidR="00843FDA" w:rsidRPr="00C6580C" w14:paraId="6647BC4B" w14:textId="77777777">
        <w:tc>
          <w:tcPr>
            <w:tcW w:w="0" w:type="auto"/>
            <w:tcBorders>
              <w:top w:val="single" w:sz="4" w:space="0" w:color="000000"/>
              <w:left w:val="single" w:sz="4" w:space="0" w:color="000000"/>
              <w:bottom w:val="single" w:sz="4" w:space="0" w:color="000000"/>
              <w:right w:val="single" w:sz="4" w:space="0" w:color="000000"/>
            </w:tcBorders>
          </w:tcPr>
          <w:p w14:paraId="66D97879" w14:textId="77777777" w:rsidR="00843FDA" w:rsidRPr="00C6580C" w:rsidRDefault="00843FDA" w:rsidP="00CD7CAC">
            <w:pPr>
              <w:widowControl/>
              <w:rPr>
                <w:kern w:val="0"/>
                <w:szCs w:val="22"/>
              </w:rPr>
            </w:pPr>
            <w:r w:rsidRPr="00C6580C">
              <w:rPr>
                <w:kern w:val="0"/>
                <w:szCs w:val="22"/>
              </w:rPr>
              <w:t>436a</w:t>
            </w:r>
          </w:p>
        </w:tc>
        <w:tc>
          <w:tcPr>
            <w:tcW w:w="0" w:type="auto"/>
            <w:tcBorders>
              <w:top w:val="single" w:sz="4" w:space="0" w:color="000000"/>
              <w:left w:val="single" w:sz="4" w:space="0" w:color="000000"/>
              <w:bottom w:val="single" w:sz="4" w:space="0" w:color="000000"/>
              <w:right w:val="single" w:sz="4" w:space="0" w:color="000000"/>
            </w:tcBorders>
          </w:tcPr>
          <w:p w14:paraId="3FEF9C30" w14:textId="77777777" w:rsidR="00843FDA" w:rsidRPr="00C6580C" w:rsidRDefault="00843FDA" w:rsidP="00CD7CAC">
            <w:pPr>
              <w:widowControl/>
              <w:jc w:val="right"/>
              <w:rPr>
                <w:kern w:val="0"/>
                <w:szCs w:val="22"/>
              </w:rPr>
            </w:pPr>
            <w:r w:rsidRPr="00C6580C">
              <w:rPr>
                <w:kern w:val="0"/>
                <w:szCs w:val="22"/>
              </w:rPr>
              <w:t>.1500</w:t>
            </w:r>
          </w:p>
        </w:tc>
      </w:tr>
      <w:tr w:rsidR="00843FDA" w:rsidRPr="00C6580C" w14:paraId="1D414593" w14:textId="77777777">
        <w:tc>
          <w:tcPr>
            <w:tcW w:w="0" w:type="auto"/>
            <w:tcBorders>
              <w:top w:val="single" w:sz="4" w:space="0" w:color="000000"/>
              <w:left w:val="single" w:sz="4" w:space="0" w:color="000000"/>
              <w:bottom w:val="single" w:sz="4" w:space="0" w:color="000000"/>
              <w:right w:val="single" w:sz="4" w:space="0" w:color="000000"/>
            </w:tcBorders>
          </w:tcPr>
          <w:p w14:paraId="690F87CC" w14:textId="77777777" w:rsidR="00843FDA" w:rsidRPr="00C6580C" w:rsidRDefault="00843FDA" w:rsidP="00CD7CAC">
            <w:pPr>
              <w:widowControl/>
              <w:rPr>
                <w:kern w:val="0"/>
                <w:szCs w:val="22"/>
              </w:rPr>
            </w:pPr>
            <w:r w:rsidRPr="00C6580C">
              <w:rPr>
                <w:kern w:val="0"/>
                <w:szCs w:val="22"/>
              </w:rPr>
              <w:t>437a</w:t>
            </w:r>
          </w:p>
        </w:tc>
        <w:tc>
          <w:tcPr>
            <w:tcW w:w="0" w:type="auto"/>
            <w:tcBorders>
              <w:top w:val="single" w:sz="4" w:space="0" w:color="000000"/>
              <w:left w:val="single" w:sz="4" w:space="0" w:color="000000"/>
              <w:bottom w:val="single" w:sz="4" w:space="0" w:color="000000"/>
              <w:right w:val="single" w:sz="4" w:space="0" w:color="000000"/>
            </w:tcBorders>
          </w:tcPr>
          <w:p w14:paraId="13D9954C" w14:textId="77777777" w:rsidR="00843FDA" w:rsidRPr="00C6580C" w:rsidRDefault="00843FDA" w:rsidP="00CD7CAC">
            <w:pPr>
              <w:widowControl/>
              <w:jc w:val="right"/>
              <w:rPr>
                <w:kern w:val="0"/>
                <w:szCs w:val="22"/>
              </w:rPr>
            </w:pPr>
            <w:r w:rsidRPr="00C6580C">
              <w:rPr>
                <w:kern w:val="0"/>
                <w:szCs w:val="22"/>
              </w:rPr>
              <w:t>.1750</w:t>
            </w:r>
          </w:p>
        </w:tc>
      </w:tr>
      <w:tr w:rsidR="00843FDA" w:rsidRPr="00C6580C" w14:paraId="700EE89A" w14:textId="77777777">
        <w:tc>
          <w:tcPr>
            <w:tcW w:w="0" w:type="auto"/>
            <w:tcBorders>
              <w:top w:val="single" w:sz="4" w:space="0" w:color="000000"/>
              <w:left w:val="single" w:sz="4" w:space="0" w:color="000000"/>
              <w:bottom w:val="single" w:sz="4" w:space="0" w:color="000000"/>
              <w:right w:val="single" w:sz="4" w:space="0" w:color="000000"/>
            </w:tcBorders>
          </w:tcPr>
          <w:p w14:paraId="6C16DE6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45E4877" w14:textId="77777777" w:rsidR="00843FDA" w:rsidRPr="00C6580C" w:rsidRDefault="00843FDA" w:rsidP="00CD7CAC">
            <w:pPr>
              <w:widowControl/>
              <w:jc w:val="center"/>
              <w:rPr>
                <w:szCs w:val="22"/>
              </w:rPr>
            </w:pPr>
            <w:r w:rsidRPr="00C6580C">
              <w:rPr>
                <w:kern w:val="0"/>
                <w:szCs w:val="22"/>
              </w:rPr>
              <w:t>* * *</w:t>
            </w:r>
          </w:p>
        </w:tc>
      </w:tr>
      <w:tr w:rsidR="00843FDA" w:rsidRPr="00C6580C" w14:paraId="3E14CE66" w14:textId="77777777">
        <w:tc>
          <w:tcPr>
            <w:tcW w:w="0" w:type="auto"/>
            <w:tcBorders>
              <w:top w:val="single" w:sz="4" w:space="0" w:color="000000"/>
              <w:left w:val="single" w:sz="4" w:space="0" w:color="000000"/>
              <w:bottom w:val="single" w:sz="4" w:space="0" w:color="000000"/>
              <w:right w:val="single" w:sz="4" w:space="0" w:color="000000"/>
            </w:tcBorders>
          </w:tcPr>
          <w:p w14:paraId="06FE40F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30E7E6C" w14:textId="77777777" w:rsidR="00843FDA" w:rsidRPr="00C6580C" w:rsidRDefault="00843FDA" w:rsidP="00CD7CAC">
            <w:pPr>
              <w:widowControl/>
              <w:jc w:val="center"/>
              <w:rPr>
                <w:szCs w:val="22"/>
              </w:rPr>
            </w:pPr>
            <w:r w:rsidRPr="00C6580C">
              <w:rPr>
                <w:kern w:val="0"/>
                <w:szCs w:val="22"/>
              </w:rPr>
              <w:t>* * *</w:t>
            </w:r>
          </w:p>
        </w:tc>
      </w:tr>
      <w:tr w:rsidR="00843FDA" w:rsidRPr="00C6580C" w14:paraId="41564D26" w14:textId="77777777">
        <w:tc>
          <w:tcPr>
            <w:tcW w:w="0" w:type="auto"/>
            <w:tcBorders>
              <w:top w:val="single" w:sz="4" w:space="0" w:color="000000"/>
              <w:left w:val="single" w:sz="4" w:space="0" w:color="000000"/>
              <w:bottom w:val="single" w:sz="4" w:space="0" w:color="000000"/>
              <w:right w:val="single" w:sz="4" w:space="0" w:color="000000"/>
            </w:tcBorders>
          </w:tcPr>
          <w:p w14:paraId="3F3EFEBD" w14:textId="77777777" w:rsidR="00843FDA" w:rsidRPr="00C6580C" w:rsidRDefault="00843FDA" w:rsidP="00CD7CAC">
            <w:pPr>
              <w:widowControl/>
              <w:rPr>
                <w:kern w:val="0"/>
                <w:szCs w:val="22"/>
              </w:rPr>
            </w:pPr>
            <w:r w:rsidRPr="00C6580C">
              <w:rPr>
                <w:kern w:val="0"/>
                <w:szCs w:val="22"/>
              </w:rPr>
              <w:t>438a</w:t>
            </w:r>
          </w:p>
        </w:tc>
        <w:tc>
          <w:tcPr>
            <w:tcW w:w="0" w:type="auto"/>
            <w:tcBorders>
              <w:top w:val="single" w:sz="4" w:space="0" w:color="000000"/>
              <w:left w:val="single" w:sz="4" w:space="0" w:color="000000"/>
              <w:bottom w:val="single" w:sz="4" w:space="0" w:color="000000"/>
              <w:right w:val="single" w:sz="4" w:space="0" w:color="000000"/>
            </w:tcBorders>
          </w:tcPr>
          <w:p w14:paraId="6EBF70C6" w14:textId="77777777" w:rsidR="00843FDA" w:rsidRPr="00C6580C" w:rsidRDefault="00843FDA" w:rsidP="00CD7CAC">
            <w:pPr>
              <w:widowControl/>
              <w:jc w:val="right"/>
              <w:rPr>
                <w:kern w:val="0"/>
                <w:szCs w:val="22"/>
              </w:rPr>
            </w:pPr>
            <w:r w:rsidRPr="00C6580C">
              <w:rPr>
                <w:kern w:val="0"/>
                <w:szCs w:val="22"/>
              </w:rPr>
              <w:t>.2000</w:t>
            </w:r>
          </w:p>
        </w:tc>
      </w:tr>
      <w:tr w:rsidR="00843FDA" w:rsidRPr="00C6580C" w14:paraId="77855999" w14:textId="77777777">
        <w:tc>
          <w:tcPr>
            <w:tcW w:w="0" w:type="auto"/>
            <w:tcBorders>
              <w:top w:val="single" w:sz="4" w:space="0" w:color="000000"/>
              <w:left w:val="single" w:sz="4" w:space="0" w:color="000000"/>
              <w:bottom w:val="single" w:sz="4" w:space="0" w:color="000000"/>
              <w:right w:val="single" w:sz="4" w:space="0" w:color="000000"/>
            </w:tcBorders>
          </w:tcPr>
          <w:p w14:paraId="26DA6FF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506234F" w14:textId="77777777" w:rsidR="00843FDA" w:rsidRPr="00C6580C" w:rsidRDefault="00843FDA" w:rsidP="00CD7CAC">
            <w:pPr>
              <w:widowControl/>
              <w:jc w:val="center"/>
              <w:rPr>
                <w:szCs w:val="22"/>
              </w:rPr>
            </w:pPr>
            <w:r w:rsidRPr="00C6580C">
              <w:rPr>
                <w:kern w:val="0"/>
                <w:szCs w:val="22"/>
              </w:rPr>
              <w:t>* * *</w:t>
            </w:r>
          </w:p>
        </w:tc>
      </w:tr>
      <w:tr w:rsidR="00843FDA" w:rsidRPr="00C6580C" w14:paraId="4DF7CB95" w14:textId="77777777">
        <w:tc>
          <w:tcPr>
            <w:tcW w:w="0" w:type="auto"/>
            <w:tcBorders>
              <w:top w:val="single" w:sz="4" w:space="0" w:color="000000"/>
              <w:left w:val="single" w:sz="4" w:space="0" w:color="000000"/>
              <w:bottom w:val="single" w:sz="4" w:space="0" w:color="000000"/>
              <w:right w:val="single" w:sz="4" w:space="0" w:color="000000"/>
            </w:tcBorders>
          </w:tcPr>
          <w:p w14:paraId="51CB42DC" w14:textId="77777777" w:rsidR="00843FDA" w:rsidRPr="00C6580C" w:rsidRDefault="00843FDA" w:rsidP="00CD7CAC">
            <w:pPr>
              <w:widowControl/>
              <w:rPr>
                <w:kern w:val="0"/>
                <w:szCs w:val="22"/>
              </w:rPr>
            </w:pPr>
            <w:r w:rsidRPr="00C6580C">
              <w:rPr>
                <w:kern w:val="0"/>
                <w:szCs w:val="22"/>
              </w:rPr>
              <w:t>439a</w:t>
            </w:r>
          </w:p>
        </w:tc>
        <w:tc>
          <w:tcPr>
            <w:tcW w:w="0" w:type="auto"/>
            <w:tcBorders>
              <w:top w:val="single" w:sz="4" w:space="0" w:color="000000"/>
              <w:left w:val="single" w:sz="4" w:space="0" w:color="000000"/>
              <w:bottom w:val="single" w:sz="4" w:space="0" w:color="000000"/>
              <w:right w:val="single" w:sz="4" w:space="0" w:color="000000"/>
            </w:tcBorders>
          </w:tcPr>
          <w:p w14:paraId="7DD0CA8F" w14:textId="77777777" w:rsidR="00843FDA" w:rsidRPr="00C6580C" w:rsidRDefault="00843FDA" w:rsidP="00CD7CAC">
            <w:pPr>
              <w:widowControl/>
              <w:jc w:val="right"/>
              <w:rPr>
                <w:kern w:val="0"/>
                <w:szCs w:val="22"/>
              </w:rPr>
            </w:pPr>
            <w:r w:rsidRPr="00C6580C">
              <w:rPr>
                <w:kern w:val="0"/>
                <w:szCs w:val="22"/>
              </w:rPr>
              <w:t>.2250</w:t>
            </w:r>
          </w:p>
        </w:tc>
      </w:tr>
      <w:tr w:rsidR="00843FDA" w:rsidRPr="00C6580C" w14:paraId="6E257BC6" w14:textId="77777777">
        <w:tc>
          <w:tcPr>
            <w:tcW w:w="0" w:type="auto"/>
            <w:tcBorders>
              <w:top w:val="single" w:sz="4" w:space="0" w:color="000000"/>
              <w:left w:val="single" w:sz="4" w:space="0" w:color="000000"/>
              <w:bottom w:val="single" w:sz="4" w:space="0" w:color="000000"/>
              <w:right w:val="single" w:sz="4" w:space="0" w:color="000000"/>
            </w:tcBorders>
          </w:tcPr>
          <w:p w14:paraId="3649E1E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B6B4AE8" w14:textId="77777777" w:rsidR="00843FDA" w:rsidRPr="00C6580C" w:rsidRDefault="00843FDA" w:rsidP="00CD7CAC">
            <w:pPr>
              <w:widowControl/>
              <w:jc w:val="center"/>
              <w:rPr>
                <w:szCs w:val="22"/>
              </w:rPr>
            </w:pPr>
            <w:r w:rsidRPr="00C6580C">
              <w:rPr>
                <w:kern w:val="0"/>
                <w:szCs w:val="22"/>
              </w:rPr>
              <w:t>* * *</w:t>
            </w:r>
          </w:p>
        </w:tc>
      </w:tr>
      <w:tr w:rsidR="00843FDA" w:rsidRPr="00C6580C" w14:paraId="1743C873" w14:textId="77777777">
        <w:tc>
          <w:tcPr>
            <w:tcW w:w="0" w:type="auto"/>
            <w:tcBorders>
              <w:top w:val="single" w:sz="4" w:space="0" w:color="000000"/>
              <w:left w:val="single" w:sz="4" w:space="0" w:color="000000"/>
              <w:bottom w:val="single" w:sz="4" w:space="0" w:color="000000"/>
              <w:right w:val="single" w:sz="4" w:space="0" w:color="000000"/>
            </w:tcBorders>
          </w:tcPr>
          <w:p w14:paraId="2F0A3E70" w14:textId="77777777" w:rsidR="00843FDA" w:rsidRPr="00C6580C" w:rsidRDefault="00843FDA" w:rsidP="00CD7CAC">
            <w:pPr>
              <w:widowControl/>
              <w:rPr>
                <w:kern w:val="0"/>
                <w:szCs w:val="22"/>
              </w:rPr>
            </w:pPr>
            <w:r w:rsidRPr="00C6580C">
              <w:rPr>
                <w:kern w:val="0"/>
                <w:szCs w:val="22"/>
              </w:rPr>
              <w:t>440a</w:t>
            </w:r>
          </w:p>
        </w:tc>
        <w:tc>
          <w:tcPr>
            <w:tcW w:w="0" w:type="auto"/>
            <w:tcBorders>
              <w:top w:val="single" w:sz="4" w:space="0" w:color="000000"/>
              <w:left w:val="single" w:sz="4" w:space="0" w:color="000000"/>
              <w:bottom w:val="single" w:sz="4" w:space="0" w:color="000000"/>
              <w:right w:val="single" w:sz="4" w:space="0" w:color="000000"/>
            </w:tcBorders>
          </w:tcPr>
          <w:p w14:paraId="370A0A8E" w14:textId="77777777" w:rsidR="00843FDA" w:rsidRPr="00C6580C" w:rsidRDefault="00843FDA" w:rsidP="00CD7CAC">
            <w:pPr>
              <w:widowControl/>
              <w:jc w:val="right"/>
              <w:rPr>
                <w:kern w:val="0"/>
                <w:szCs w:val="22"/>
              </w:rPr>
            </w:pPr>
            <w:r w:rsidRPr="00C6580C">
              <w:rPr>
                <w:kern w:val="0"/>
                <w:szCs w:val="22"/>
              </w:rPr>
              <w:t>.2500</w:t>
            </w:r>
          </w:p>
        </w:tc>
      </w:tr>
      <w:tr w:rsidR="00843FDA" w:rsidRPr="00C6580C" w14:paraId="46FD3250" w14:textId="77777777">
        <w:tc>
          <w:tcPr>
            <w:tcW w:w="0" w:type="auto"/>
            <w:tcBorders>
              <w:top w:val="single" w:sz="4" w:space="0" w:color="000000"/>
              <w:left w:val="single" w:sz="4" w:space="0" w:color="000000"/>
              <w:bottom w:val="single" w:sz="4" w:space="0" w:color="000000"/>
              <w:right w:val="single" w:sz="4" w:space="0" w:color="000000"/>
            </w:tcBorders>
          </w:tcPr>
          <w:p w14:paraId="1E6D959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D112D21" w14:textId="77777777" w:rsidR="00843FDA" w:rsidRPr="00C6580C" w:rsidRDefault="00843FDA" w:rsidP="00CD7CAC">
            <w:pPr>
              <w:widowControl/>
              <w:jc w:val="center"/>
              <w:rPr>
                <w:szCs w:val="22"/>
              </w:rPr>
            </w:pPr>
            <w:r w:rsidRPr="00C6580C">
              <w:rPr>
                <w:kern w:val="0"/>
                <w:szCs w:val="22"/>
              </w:rPr>
              <w:t>* * *</w:t>
            </w:r>
          </w:p>
        </w:tc>
      </w:tr>
      <w:tr w:rsidR="00843FDA" w:rsidRPr="00C6580C" w14:paraId="088F6248" w14:textId="77777777">
        <w:tc>
          <w:tcPr>
            <w:tcW w:w="0" w:type="auto"/>
            <w:tcBorders>
              <w:top w:val="single" w:sz="4" w:space="0" w:color="000000"/>
              <w:left w:val="single" w:sz="4" w:space="0" w:color="000000"/>
              <w:bottom w:val="single" w:sz="4" w:space="0" w:color="000000"/>
              <w:right w:val="single" w:sz="4" w:space="0" w:color="000000"/>
            </w:tcBorders>
          </w:tcPr>
          <w:p w14:paraId="7A80137B" w14:textId="77777777" w:rsidR="00843FDA" w:rsidRPr="00C6580C" w:rsidRDefault="00843FDA" w:rsidP="00CD7CAC">
            <w:pPr>
              <w:widowControl/>
              <w:rPr>
                <w:kern w:val="0"/>
                <w:szCs w:val="22"/>
              </w:rPr>
            </w:pPr>
            <w:r w:rsidRPr="00C6580C">
              <w:rPr>
                <w:kern w:val="0"/>
                <w:szCs w:val="22"/>
              </w:rPr>
              <w:t>441a</w:t>
            </w:r>
          </w:p>
        </w:tc>
        <w:tc>
          <w:tcPr>
            <w:tcW w:w="0" w:type="auto"/>
            <w:tcBorders>
              <w:top w:val="single" w:sz="4" w:space="0" w:color="000000"/>
              <w:left w:val="single" w:sz="4" w:space="0" w:color="000000"/>
              <w:bottom w:val="single" w:sz="4" w:space="0" w:color="000000"/>
              <w:right w:val="single" w:sz="4" w:space="0" w:color="000000"/>
            </w:tcBorders>
          </w:tcPr>
          <w:p w14:paraId="1E784F85" w14:textId="77777777" w:rsidR="00843FDA" w:rsidRPr="00C6580C" w:rsidRDefault="00843FDA" w:rsidP="00CD7CAC">
            <w:pPr>
              <w:widowControl/>
              <w:jc w:val="right"/>
              <w:rPr>
                <w:kern w:val="0"/>
                <w:szCs w:val="22"/>
              </w:rPr>
            </w:pPr>
            <w:r w:rsidRPr="00C6580C">
              <w:rPr>
                <w:kern w:val="0"/>
                <w:szCs w:val="22"/>
              </w:rPr>
              <w:t>.2750</w:t>
            </w:r>
          </w:p>
        </w:tc>
      </w:tr>
      <w:tr w:rsidR="00843FDA" w:rsidRPr="00C6580C" w14:paraId="3431E024" w14:textId="77777777">
        <w:tc>
          <w:tcPr>
            <w:tcW w:w="0" w:type="auto"/>
            <w:tcBorders>
              <w:top w:val="single" w:sz="4" w:space="0" w:color="000000"/>
              <w:left w:val="single" w:sz="4" w:space="0" w:color="000000"/>
              <w:bottom w:val="single" w:sz="4" w:space="0" w:color="000000"/>
              <w:right w:val="single" w:sz="4" w:space="0" w:color="000000"/>
            </w:tcBorders>
          </w:tcPr>
          <w:p w14:paraId="7FBA2A2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3EF7395" w14:textId="77777777" w:rsidR="00843FDA" w:rsidRPr="00C6580C" w:rsidRDefault="00843FDA" w:rsidP="00CD7CAC">
            <w:pPr>
              <w:widowControl/>
              <w:jc w:val="center"/>
              <w:rPr>
                <w:szCs w:val="22"/>
              </w:rPr>
            </w:pPr>
            <w:r w:rsidRPr="00C6580C">
              <w:rPr>
                <w:kern w:val="0"/>
                <w:szCs w:val="22"/>
              </w:rPr>
              <w:t>* * *</w:t>
            </w:r>
          </w:p>
        </w:tc>
      </w:tr>
      <w:tr w:rsidR="00843FDA" w:rsidRPr="00C6580C" w14:paraId="5611AC26" w14:textId="77777777">
        <w:tc>
          <w:tcPr>
            <w:tcW w:w="0" w:type="auto"/>
            <w:tcBorders>
              <w:top w:val="single" w:sz="4" w:space="0" w:color="000000"/>
              <w:left w:val="single" w:sz="4" w:space="0" w:color="000000"/>
              <w:bottom w:val="single" w:sz="4" w:space="0" w:color="000000"/>
              <w:right w:val="single" w:sz="4" w:space="0" w:color="000000"/>
            </w:tcBorders>
          </w:tcPr>
          <w:p w14:paraId="787083B7" w14:textId="77777777" w:rsidR="00843FDA" w:rsidRPr="00C6580C" w:rsidRDefault="00843FDA" w:rsidP="00CD7CAC">
            <w:pPr>
              <w:widowControl/>
              <w:rPr>
                <w:kern w:val="0"/>
                <w:szCs w:val="22"/>
              </w:rPr>
            </w:pPr>
            <w:r w:rsidRPr="00C6580C">
              <w:rPr>
                <w:kern w:val="0"/>
                <w:szCs w:val="22"/>
              </w:rPr>
              <w:t>442a</w:t>
            </w:r>
          </w:p>
        </w:tc>
        <w:tc>
          <w:tcPr>
            <w:tcW w:w="0" w:type="auto"/>
            <w:tcBorders>
              <w:top w:val="single" w:sz="4" w:space="0" w:color="000000"/>
              <w:left w:val="single" w:sz="4" w:space="0" w:color="000000"/>
              <w:bottom w:val="single" w:sz="4" w:space="0" w:color="000000"/>
              <w:right w:val="single" w:sz="4" w:space="0" w:color="000000"/>
            </w:tcBorders>
          </w:tcPr>
          <w:p w14:paraId="0F79FDFE" w14:textId="77777777" w:rsidR="00843FDA" w:rsidRPr="00C6580C" w:rsidRDefault="00843FDA" w:rsidP="00CD7CAC">
            <w:pPr>
              <w:widowControl/>
              <w:jc w:val="right"/>
              <w:rPr>
                <w:kern w:val="0"/>
                <w:szCs w:val="22"/>
              </w:rPr>
            </w:pPr>
            <w:r w:rsidRPr="00C6580C">
              <w:rPr>
                <w:kern w:val="0"/>
                <w:szCs w:val="22"/>
              </w:rPr>
              <w:t>.3000</w:t>
            </w:r>
          </w:p>
        </w:tc>
      </w:tr>
      <w:tr w:rsidR="00843FDA" w:rsidRPr="00C6580C" w14:paraId="1B5919CE" w14:textId="77777777">
        <w:tc>
          <w:tcPr>
            <w:tcW w:w="0" w:type="auto"/>
            <w:tcBorders>
              <w:top w:val="single" w:sz="4" w:space="0" w:color="000000"/>
              <w:left w:val="single" w:sz="4" w:space="0" w:color="000000"/>
              <w:bottom w:val="single" w:sz="4" w:space="0" w:color="000000"/>
              <w:right w:val="single" w:sz="4" w:space="0" w:color="000000"/>
            </w:tcBorders>
          </w:tcPr>
          <w:p w14:paraId="7F06147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74BA080" w14:textId="77777777" w:rsidR="00843FDA" w:rsidRPr="00C6580C" w:rsidRDefault="00843FDA" w:rsidP="00CD7CAC">
            <w:pPr>
              <w:widowControl/>
              <w:jc w:val="center"/>
              <w:rPr>
                <w:szCs w:val="22"/>
              </w:rPr>
            </w:pPr>
            <w:r w:rsidRPr="00C6580C">
              <w:rPr>
                <w:kern w:val="0"/>
                <w:szCs w:val="22"/>
              </w:rPr>
              <w:t>* * *</w:t>
            </w:r>
          </w:p>
        </w:tc>
      </w:tr>
      <w:tr w:rsidR="00843FDA" w:rsidRPr="00C6580C" w14:paraId="5A4F35F6" w14:textId="77777777">
        <w:tc>
          <w:tcPr>
            <w:tcW w:w="0" w:type="auto"/>
            <w:tcBorders>
              <w:top w:val="single" w:sz="4" w:space="0" w:color="000000"/>
              <w:left w:val="single" w:sz="4" w:space="0" w:color="000000"/>
              <w:bottom w:val="single" w:sz="4" w:space="0" w:color="000000"/>
              <w:right w:val="single" w:sz="4" w:space="0" w:color="000000"/>
            </w:tcBorders>
          </w:tcPr>
          <w:p w14:paraId="443FBC5E" w14:textId="77777777" w:rsidR="00843FDA" w:rsidRPr="00C6580C" w:rsidRDefault="00843FDA" w:rsidP="00CD7CAC">
            <w:pPr>
              <w:widowControl/>
              <w:rPr>
                <w:kern w:val="0"/>
                <w:szCs w:val="22"/>
              </w:rPr>
            </w:pPr>
            <w:r w:rsidRPr="00C6580C">
              <w:rPr>
                <w:kern w:val="0"/>
                <w:szCs w:val="22"/>
              </w:rPr>
              <w:t>443a</w:t>
            </w:r>
          </w:p>
        </w:tc>
        <w:tc>
          <w:tcPr>
            <w:tcW w:w="0" w:type="auto"/>
            <w:tcBorders>
              <w:top w:val="single" w:sz="4" w:space="0" w:color="000000"/>
              <w:left w:val="single" w:sz="4" w:space="0" w:color="000000"/>
              <w:bottom w:val="single" w:sz="4" w:space="0" w:color="000000"/>
              <w:right w:val="single" w:sz="4" w:space="0" w:color="000000"/>
            </w:tcBorders>
          </w:tcPr>
          <w:p w14:paraId="5C2A3564" w14:textId="77777777" w:rsidR="00843FDA" w:rsidRPr="00C6580C" w:rsidRDefault="00843FDA" w:rsidP="00CD7CAC">
            <w:pPr>
              <w:widowControl/>
              <w:jc w:val="right"/>
              <w:rPr>
                <w:kern w:val="0"/>
                <w:szCs w:val="22"/>
              </w:rPr>
            </w:pPr>
            <w:r w:rsidRPr="00C6580C">
              <w:rPr>
                <w:kern w:val="0"/>
                <w:szCs w:val="22"/>
              </w:rPr>
              <w:t>.3250</w:t>
            </w:r>
          </w:p>
        </w:tc>
      </w:tr>
      <w:tr w:rsidR="00843FDA" w:rsidRPr="00C6580C" w14:paraId="4BC80AC7" w14:textId="77777777">
        <w:tc>
          <w:tcPr>
            <w:tcW w:w="0" w:type="auto"/>
            <w:tcBorders>
              <w:top w:val="single" w:sz="4" w:space="0" w:color="000000"/>
              <w:left w:val="single" w:sz="4" w:space="0" w:color="000000"/>
              <w:bottom w:val="single" w:sz="4" w:space="0" w:color="000000"/>
              <w:right w:val="single" w:sz="4" w:space="0" w:color="000000"/>
            </w:tcBorders>
          </w:tcPr>
          <w:p w14:paraId="2BD6092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D297DB3" w14:textId="77777777" w:rsidR="00843FDA" w:rsidRPr="00C6580C" w:rsidRDefault="00843FDA" w:rsidP="00CD7CAC">
            <w:pPr>
              <w:widowControl/>
              <w:jc w:val="center"/>
              <w:rPr>
                <w:szCs w:val="22"/>
              </w:rPr>
            </w:pPr>
            <w:r w:rsidRPr="00C6580C">
              <w:rPr>
                <w:kern w:val="0"/>
                <w:szCs w:val="22"/>
              </w:rPr>
              <w:t>* * *</w:t>
            </w:r>
          </w:p>
        </w:tc>
      </w:tr>
      <w:tr w:rsidR="00843FDA" w:rsidRPr="00C6580C" w14:paraId="2806BAEE" w14:textId="77777777">
        <w:tc>
          <w:tcPr>
            <w:tcW w:w="0" w:type="auto"/>
            <w:tcBorders>
              <w:top w:val="single" w:sz="4" w:space="0" w:color="000000"/>
              <w:left w:val="single" w:sz="4" w:space="0" w:color="000000"/>
              <w:bottom w:val="single" w:sz="4" w:space="0" w:color="000000"/>
              <w:right w:val="single" w:sz="4" w:space="0" w:color="000000"/>
            </w:tcBorders>
          </w:tcPr>
          <w:p w14:paraId="54524A76" w14:textId="77777777" w:rsidR="00843FDA" w:rsidRPr="00C6580C" w:rsidRDefault="00843FDA" w:rsidP="00CD7CAC">
            <w:pPr>
              <w:widowControl/>
              <w:rPr>
                <w:kern w:val="0"/>
                <w:szCs w:val="22"/>
              </w:rPr>
            </w:pPr>
            <w:r w:rsidRPr="00C6580C">
              <w:rPr>
                <w:kern w:val="0"/>
                <w:szCs w:val="22"/>
              </w:rPr>
              <w:t>444a</w:t>
            </w:r>
          </w:p>
        </w:tc>
        <w:tc>
          <w:tcPr>
            <w:tcW w:w="0" w:type="auto"/>
            <w:tcBorders>
              <w:top w:val="single" w:sz="4" w:space="0" w:color="000000"/>
              <w:left w:val="single" w:sz="4" w:space="0" w:color="000000"/>
              <w:bottom w:val="single" w:sz="4" w:space="0" w:color="000000"/>
              <w:right w:val="single" w:sz="4" w:space="0" w:color="000000"/>
            </w:tcBorders>
          </w:tcPr>
          <w:p w14:paraId="73FF665C" w14:textId="77777777" w:rsidR="00843FDA" w:rsidRPr="00C6580C" w:rsidRDefault="00843FDA" w:rsidP="00CD7CAC">
            <w:pPr>
              <w:widowControl/>
              <w:jc w:val="right"/>
              <w:rPr>
                <w:kern w:val="0"/>
                <w:szCs w:val="22"/>
              </w:rPr>
            </w:pPr>
            <w:r w:rsidRPr="00C6580C">
              <w:rPr>
                <w:kern w:val="0"/>
                <w:szCs w:val="22"/>
              </w:rPr>
              <w:t>.3500</w:t>
            </w:r>
          </w:p>
        </w:tc>
      </w:tr>
      <w:tr w:rsidR="00843FDA" w:rsidRPr="00C6580C" w14:paraId="40787411" w14:textId="77777777">
        <w:tc>
          <w:tcPr>
            <w:tcW w:w="0" w:type="auto"/>
            <w:tcBorders>
              <w:top w:val="single" w:sz="4" w:space="0" w:color="000000"/>
              <w:left w:val="single" w:sz="4" w:space="0" w:color="000000"/>
              <w:bottom w:val="single" w:sz="4" w:space="0" w:color="000000"/>
              <w:right w:val="single" w:sz="4" w:space="0" w:color="000000"/>
            </w:tcBorders>
          </w:tcPr>
          <w:p w14:paraId="253DF85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56C8D60" w14:textId="77777777" w:rsidR="00843FDA" w:rsidRPr="00C6580C" w:rsidRDefault="00843FDA" w:rsidP="00CD7CAC">
            <w:pPr>
              <w:widowControl/>
              <w:jc w:val="center"/>
              <w:rPr>
                <w:szCs w:val="22"/>
              </w:rPr>
            </w:pPr>
            <w:r w:rsidRPr="00C6580C">
              <w:rPr>
                <w:kern w:val="0"/>
                <w:szCs w:val="22"/>
              </w:rPr>
              <w:t>* * *</w:t>
            </w:r>
          </w:p>
        </w:tc>
      </w:tr>
      <w:tr w:rsidR="00843FDA" w:rsidRPr="00C6580C" w14:paraId="05C49BB8" w14:textId="77777777">
        <w:tc>
          <w:tcPr>
            <w:tcW w:w="0" w:type="auto"/>
            <w:tcBorders>
              <w:top w:val="single" w:sz="4" w:space="0" w:color="000000"/>
              <w:left w:val="single" w:sz="4" w:space="0" w:color="000000"/>
              <w:bottom w:val="single" w:sz="4" w:space="0" w:color="000000"/>
              <w:right w:val="single" w:sz="4" w:space="0" w:color="000000"/>
            </w:tcBorders>
          </w:tcPr>
          <w:p w14:paraId="680981FF" w14:textId="77777777" w:rsidR="00843FDA" w:rsidRPr="00C6580C" w:rsidRDefault="00843FDA" w:rsidP="00CD7CAC">
            <w:pPr>
              <w:widowControl/>
              <w:rPr>
                <w:kern w:val="0"/>
                <w:szCs w:val="22"/>
              </w:rPr>
            </w:pPr>
            <w:r w:rsidRPr="00C6580C">
              <w:rPr>
                <w:kern w:val="0"/>
                <w:szCs w:val="22"/>
              </w:rPr>
              <w:t>445a</w:t>
            </w:r>
          </w:p>
        </w:tc>
        <w:tc>
          <w:tcPr>
            <w:tcW w:w="0" w:type="auto"/>
            <w:tcBorders>
              <w:top w:val="single" w:sz="4" w:space="0" w:color="000000"/>
              <w:left w:val="single" w:sz="4" w:space="0" w:color="000000"/>
              <w:bottom w:val="single" w:sz="4" w:space="0" w:color="000000"/>
              <w:right w:val="single" w:sz="4" w:space="0" w:color="000000"/>
            </w:tcBorders>
          </w:tcPr>
          <w:p w14:paraId="4FCCFAF6" w14:textId="77777777" w:rsidR="00843FDA" w:rsidRPr="00C6580C" w:rsidRDefault="00843FDA" w:rsidP="00CD7CAC">
            <w:pPr>
              <w:widowControl/>
              <w:jc w:val="right"/>
              <w:rPr>
                <w:kern w:val="0"/>
                <w:szCs w:val="22"/>
              </w:rPr>
            </w:pPr>
            <w:r w:rsidRPr="00C6580C">
              <w:rPr>
                <w:kern w:val="0"/>
                <w:szCs w:val="22"/>
              </w:rPr>
              <w:t>.3750</w:t>
            </w:r>
          </w:p>
        </w:tc>
      </w:tr>
      <w:tr w:rsidR="00843FDA" w:rsidRPr="00C6580C" w14:paraId="3F85B3B8" w14:textId="77777777">
        <w:tc>
          <w:tcPr>
            <w:tcW w:w="0" w:type="auto"/>
            <w:tcBorders>
              <w:top w:val="single" w:sz="4" w:space="0" w:color="000000"/>
              <w:left w:val="single" w:sz="4" w:space="0" w:color="000000"/>
              <w:bottom w:val="single" w:sz="4" w:space="0" w:color="000000"/>
              <w:right w:val="single" w:sz="4" w:space="0" w:color="000000"/>
            </w:tcBorders>
          </w:tcPr>
          <w:p w14:paraId="629687F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3EB937B" w14:textId="77777777" w:rsidR="00843FDA" w:rsidRPr="00C6580C" w:rsidRDefault="00843FDA" w:rsidP="00CD7CAC">
            <w:pPr>
              <w:widowControl/>
              <w:jc w:val="center"/>
              <w:rPr>
                <w:szCs w:val="22"/>
              </w:rPr>
            </w:pPr>
            <w:r w:rsidRPr="00C6580C">
              <w:rPr>
                <w:kern w:val="0"/>
                <w:szCs w:val="22"/>
              </w:rPr>
              <w:t>* * *</w:t>
            </w:r>
          </w:p>
        </w:tc>
      </w:tr>
      <w:tr w:rsidR="00843FDA" w:rsidRPr="00C6580C" w14:paraId="310DE493" w14:textId="77777777">
        <w:tc>
          <w:tcPr>
            <w:tcW w:w="0" w:type="auto"/>
            <w:tcBorders>
              <w:top w:val="single" w:sz="4" w:space="0" w:color="000000"/>
              <w:left w:val="single" w:sz="4" w:space="0" w:color="000000"/>
              <w:bottom w:val="single" w:sz="4" w:space="0" w:color="000000"/>
              <w:right w:val="single" w:sz="4" w:space="0" w:color="000000"/>
            </w:tcBorders>
          </w:tcPr>
          <w:p w14:paraId="074C721D" w14:textId="77777777" w:rsidR="00843FDA" w:rsidRPr="00C6580C" w:rsidRDefault="00843FDA" w:rsidP="00CD7CAC">
            <w:pPr>
              <w:widowControl/>
              <w:rPr>
                <w:kern w:val="0"/>
                <w:szCs w:val="22"/>
              </w:rPr>
            </w:pPr>
            <w:r w:rsidRPr="00C6580C">
              <w:rPr>
                <w:kern w:val="0"/>
                <w:szCs w:val="22"/>
              </w:rPr>
              <w:t>446a</w:t>
            </w:r>
          </w:p>
        </w:tc>
        <w:tc>
          <w:tcPr>
            <w:tcW w:w="0" w:type="auto"/>
            <w:tcBorders>
              <w:top w:val="single" w:sz="4" w:space="0" w:color="000000"/>
              <w:left w:val="single" w:sz="4" w:space="0" w:color="000000"/>
              <w:bottom w:val="single" w:sz="4" w:space="0" w:color="000000"/>
              <w:right w:val="single" w:sz="4" w:space="0" w:color="000000"/>
            </w:tcBorders>
          </w:tcPr>
          <w:p w14:paraId="1AC274F7" w14:textId="77777777" w:rsidR="00843FDA" w:rsidRPr="00C6580C" w:rsidRDefault="00843FDA" w:rsidP="00CD7CAC">
            <w:pPr>
              <w:widowControl/>
              <w:jc w:val="right"/>
              <w:rPr>
                <w:kern w:val="0"/>
                <w:szCs w:val="22"/>
              </w:rPr>
            </w:pPr>
            <w:r w:rsidRPr="00C6580C">
              <w:rPr>
                <w:kern w:val="0"/>
                <w:szCs w:val="22"/>
              </w:rPr>
              <w:t>.4000</w:t>
            </w:r>
          </w:p>
        </w:tc>
      </w:tr>
      <w:tr w:rsidR="00843FDA" w:rsidRPr="00C6580C" w14:paraId="63A61521" w14:textId="77777777">
        <w:tc>
          <w:tcPr>
            <w:tcW w:w="0" w:type="auto"/>
            <w:tcBorders>
              <w:top w:val="single" w:sz="4" w:space="0" w:color="000000"/>
              <w:left w:val="single" w:sz="4" w:space="0" w:color="000000"/>
              <w:bottom w:val="single" w:sz="4" w:space="0" w:color="000000"/>
              <w:right w:val="single" w:sz="4" w:space="0" w:color="000000"/>
            </w:tcBorders>
          </w:tcPr>
          <w:p w14:paraId="7D06A1C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2787ED3" w14:textId="77777777" w:rsidR="00843FDA" w:rsidRPr="00C6580C" w:rsidRDefault="00843FDA" w:rsidP="00CD7CAC">
            <w:pPr>
              <w:widowControl/>
              <w:jc w:val="center"/>
              <w:rPr>
                <w:szCs w:val="22"/>
              </w:rPr>
            </w:pPr>
            <w:r w:rsidRPr="00C6580C">
              <w:rPr>
                <w:kern w:val="0"/>
                <w:szCs w:val="22"/>
              </w:rPr>
              <w:t>* * *</w:t>
            </w:r>
          </w:p>
        </w:tc>
      </w:tr>
      <w:tr w:rsidR="00843FDA" w:rsidRPr="00C6580C" w14:paraId="79FE6C6E" w14:textId="77777777">
        <w:tc>
          <w:tcPr>
            <w:tcW w:w="0" w:type="auto"/>
            <w:tcBorders>
              <w:top w:val="single" w:sz="4" w:space="0" w:color="000000"/>
              <w:left w:val="single" w:sz="4" w:space="0" w:color="000000"/>
              <w:bottom w:val="single" w:sz="4" w:space="0" w:color="000000"/>
              <w:right w:val="single" w:sz="4" w:space="0" w:color="000000"/>
            </w:tcBorders>
          </w:tcPr>
          <w:p w14:paraId="758580D5" w14:textId="77777777" w:rsidR="00843FDA" w:rsidRPr="00C6580C" w:rsidRDefault="00843FDA" w:rsidP="00CD7CAC">
            <w:pPr>
              <w:widowControl/>
              <w:rPr>
                <w:kern w:val="0"/>
                <w:szCs w:val="22"/>
              </w:rPr>
            </w:pPr>
            <w:r w:rsidRPr="00C6580C">
              <w:rPr>
                <w:kern w:val="0"/>
                <w:szCs w:val="22"/>
              </w:rPr>
              <w:t>447a</w:t>
            </w:r>
          </w:p>
        </w:tc>
        <w:tc>
          <w:tcPr>
            <w:tcW w:w="0" w:type="auto"/>
            <w:tcBorders>
              <w:top w:val="single" w:sz="4" w:space="0" w:color="000000"/>
              <w:left w:val="single" w:sz="4" w:space="0" w:color="000000"/>
              <w:bottom w:val="single" w:sz="4" w:space="0" w:color="000000"/>
              <w:right w:val="single" w:sz="4" w:space="0" w:color="000000"/>
            </w:tcBorders>
          </w:tcPr>
          <w:p w14:paraId="1DAC672A" w14:textId="77777777" w:rsidR="00843FDA" w:rsidRPr="00C6580C" w:rsidRDefault="00843FDA" w:rsidP="00CD7CAC">
            <w:pPr>
              <w:widowControl/>
              <w:jc w:val="right"/>
              <w:rPr>
                <w:kern w:val="0"/>
                <w:szCs w:val="22"/>
              </w:rPr>
            </w:pPr>
            <w:r w:rsidRPr="00C6580C">
              <w:rPr>
                <w:kern w:val="0"/>
                <w:szCs w:val="22"/>
              </w:rPr>
              <w:t>.4250</w:t>
            </w:r>
          </w:p>
        </w:tc>
      </w:tr>
      <w:tr w:rsidR="00843FDA" w:rsidRPr="00C6580C" w14:paraId="67753350" w14:textId="77777777">
        <w:tc>
          <w:tcPr>
            <w:tcW w:w="0" w:type="auto"/>
            <w:tcBorders>
              <w:top w:val="single" w:sz="4" w:space="0" w:color="000000"/>
              <w:left w:val="single" w:sz="4" w:space="0" w:color="000000"/>
              <w:bottom w:val="single" w:sz="4" w:space="0" w:color="000000"/>
              <w:right w:val="single" w:sz="4" w:space="0" w:color="000000"/>
            </w:tcBorders>
          </w:tcPr>
          <w:p w14:paraId="30929E5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3D041B3" w14:textId="77777777" w:rsidR="00843FDA" w:rsidRPr="00C6580C" w:rsidRDefault="00843FDA" w:rsidP="00CD7CAC">
            <w:pPr>
              <w:widowControl/>
              <w:jc w:val="center"/>
              <w:rPr>
                <w:szCs w:val="22"/>
              </w:rPr>
            </w:pPr>
            <w:r w:rsidRPr="00C6580C">
              <w:rPr>
                <w:kern w:val="0"/>
                <w:szCs w:val="22"/>
              </w:rPr>
              <w:t>* * *</w:t>
            </w:r>
          </w:p>
        </w:tc>
      </w:tr>
      <w:tr w:rsidR="00843FDA" w:rsidRPr="00C6580C" w14:paraId="666CCFE7" w14:textId="77777777">
        <w:tc>
          <w:tcPr>
            <w:tcW w:w="0" w:type="auto"/>
            <w:tcBorders>
              <w:top w:val="single" w:sz="4" w:space="0" w:color="000000"/>
              <w:left w:val="single" w:sz="4" w:space="0" w:color="000000"/>
              <w:bottom w:val="single" w:sz="4" w:space="0" w:color="000000"/>
              <w:right w:val="single" w:sz="4" w:space="0" w:color="000000"/>
            </w:tcBorders>
          </w:tcPr>
          <w:p w14:paraId="163E6240" w14:textId="77777777" w:rsidR="00843FDA" w:rsidRPr="00C6580C" w:rsidRDefault="00843FDA" w:rsidP="00CD7CAC">
            <w:pPr>
              <w:widowControl/>
              <w:rPr>
                <w:kern w:val="0"/>
                <w:szCs w:val="22"/>
              </w:rPr>
            </w:pPr>
            <w:r w:rsidRPr="00C6580C">
              <w:rPr>
                <w:kern w:val="0"/>
                <w:szCs w:val="22"/>
              </w:rPr>
              <w:t>448a</w:t>
            </w:r>
          </w:p>
        </w:tc>
        <w:tc>
          <w:tcPr>
            <w:tcW w:w="0" w:type="auto"/>
            <w:tcBorders>
              <w:top w:val="single" w:sz="4" w:space="0" w:color="000000"/>
              <w:left w:val="single" w:sz="4" w:space="0" w:color="000000"/>
              <w:bottom w:val="single" w:sz="4" w:space="0" w:color="000000"/>
              <w:right w:val="single" w:sz="4" w:space="0" w:color="000000"/>
            </w:tcBorders>
          </w:tcPr>
          <w:p w14:paraId="724BF116" w14:textId="77777777" w:rsidR="00843FDA" w:rsidRPr="00C6580C" w:rsidRDefault="00843FDA" w:rsidP="00CD7CAC">
            <w:pPr>
              <w:widowControl/>
              <w:jc w:val="right"/>
              <w:rPr>
                <w:kern w:val="0"/>
                <w:szCs w:val="22"/>
              </w:rPr>
            </w:pPr>
            <w:r w:rsidRPr="00C6580C">
              <w:rPr>
                <w:kern w:val="0"/>
                <w:szCs w:val="22"/>
              </w:rPr>
              <w:t>.4500</w:t>
            </w:r>
          </w:p>
        </w:tc>
      </w:tr>
      <w:tr w:rsidR="00843FDA" w:rsidRPr="00C6580C" w14:paraId="11821A7A" w14:textId="77777777">
        <w:tc>
          <w:tcPr>
            <w:tcW w:w="0" w:type="auto"/>
            <w:tcBorders>
              <w:top w:val="single" w:sz="4" w:space="0" w:color="000000"/>
              <w:left w:val="single" w:sz="4" w:space="0" w:color="000000"/>
              <w:bottom w:val="single" w:sz="4" w:space="0" w:color="000000"/>
              <w:right w:val="single" w:sz="4" w:space="0" w:color="000000"/>
            </w:tcBorders>
          </w:tcPr>
          <w:p w14:paraId="7770B4F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9DA9490" w14:textId="77777777" w:rsidR="00843FDA" w:rsidRPr="00C6580C" w:rsidRDefault="00843FDA" w:rsidP="00CD7CAC">
            <w:pPr>
              <w:widowControl/>
              <w:jc w:val="center"/>
              <w:rPr>
                <w:szCs w:val="22"/>
              </w:rPr>
            </w:pPr>
            <w:r w:rsidRPr="00C6580C">
              <w:rPr>
                <w:kern w:val="0"/>
                <w:szCs w:val="22"/>
              </w:rPr>
              <w:t>* * *</w:t>
            </w:r>
          </w:p>
        </w:tc>
      </w:tr>
      <w:tr w:rsidR="00843FDA" w:rsidRPr="00C6580C" w14:paraId="7CD8AE49" w14:textId="77777777">
        <w:tc>
          <w:tcPr>
            <w:tcW w:w="0" w:type="auto"/>
            <w:tcBorders>
              <w:top w:val="single" w:sz="4" w:space="0" w:color="000000"/>
              <w:left w:val="single" w:sz="4" w:space="0" w:color="000000"/>
              <w:bottom w:val="single" w:sz="4" w:space="0" w:color="000000"/>
              <w:right w:val="single" w:sz="4" w:space="0" w:color="000000"/>
            </w:tcBorders>
          </w:tcPr>
          <w:p w14:paraId="473E7CB5" w14:textId="77777777" w:rsidR="00843FDA" w:rsidRPr="00C6580C" w:rsidRDefault="00843FDA" w:rsidP="00CD7CAC">
            <w:pPr>
              <w:widowControl/>
              <w:rPr>
                <w:kern w:val="0"/>
                <w:szCs w:val="22"/>
              </w:rPr>
            </w:pPr>
            <w:r w:rsidRPr="00C6580C">
              <w:rPr>
                <w:kern w:val="0"/>
                <w:szCs w:val="22"/>
              </w:rPr>
              <w:t>449a</w:t>
            </w:r>
          </w:p>
        </w:tc>
        <w:tc>
          <w:tcPr>
            <w:tcW w:w="0" w:type="auto"/>
            <w:tcBorders>
              <w:top w:val="single" w:sz="4" w:space="0" w:color="000000"/>
              <w:left w:val="single" w:sz="4" w:space="0" w:color="000000"/>
              <w:bottom w:val="single" w:sz="4" w:space="0" w:color="000000"/>
              <w:right w:val="single" w:sz="4" w:space="0" w:color="000000"/>
            </w:tcBorders>
          </w:tcPr>
          <w:p w14:paraId="4343030C" w14:textId="77777777" w:rsidR="00843FDA" w:rsidRPr="00C6580C" w:rsidRDefault="00843FDA" w:rsidP="00CD7CAC">
            <w:pPr>
              <w:widowControl/>
              <w:jc w:val="right"/>
              <w:rPr>
                <w:kern w:val="0"/>
                <w:szCs w:val="22"/>
              </w:rPr>
            </w:pPr>
            <w:r w:rsidRPr="00C6580C">
              <w:rPr>
                <w:kern w:val="0"/>
                <w:szCs w:val="22"/>
              </w:rPr>
              <w:t>.4750</w:t>
            </w:r>
          </w:p>
        </w:tc>
      </w:tr>
      <w:tr w:rsidR="00843FDA" w:rsidRPr="00C6580C" w14:paraId="5EF24D1D" w14:textId="77777777">
        <w:tc>
          <w:tcPr>
            <w:tcW w:w="0" w:type="auto"/>
            <w:tcBorders>
              <w:top w:val="single" w:sz="4" w:space="0" w:color="000000"/>
              <w:left w:val="single" w:sz="4" w:space="0" w:color="000000"/>
              <w:bottom w:val="single" w:sz="4" w:space="0" w:color="000000"/>
              <w:right w:val="single" w:sz="4" w:space="0" w:color="000000"/>
            </w:tcBorders>
          </w:tcPr>
          <w:p w14:paraId="1FA318F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F0070C0" w14:textId="77777777" w:rsidR="00843FDA" w:rsidRPr="00C6580C" w:rsidRDefault="00843FDA" w:rsidP="00CD7CAC">
            <w:pPr>
              <w:widowControl/>
              <w:jc w:val="center"/>
              <w:rPr>
                <w:szCs w:val="22"/>
              </w:rPr>
            </w:pPr>
            <w:r w:rsidRPr="00C6580C">
              <w:rPr>
                <w:kern w:val="0"/>
                <w:szCs w:val="22"/>
              </w:rPr>
              <w:t>* * *</w:t>
            </w:r>
          </w:p>
        </w:tc>
      </w:tr>
      <w:tr w:rsidR="00843FDA" w:rsidRPr="00C6580C" w14:paraId="3FB56ADC" w14:textId="77777777">
        <w:tc>
          <w:tcPr>
            <w:tcW w:w="0" w:type="auto"/>
            <w:tcBorders>
              <w:top w:val="single" w:sz="4" w:space="0" w:color="000000"/>
              <w:left w:val="single" w:sz="4" w:space="0" w:color="000000"/>
              <w:bottom w:val="single" w:sz="4" w:space="0" w:color="000000"/>
              <w:right w:val="single" w:sz="4" w:space="0" w:color="000000"/>
            </w:tcBorders>
          </w:tcPr>
          <w:p w14:paraId="108549CC" w14:textId="77777777" w:rsidR="00843FDA" w:rsidRPr="00C6580C" w:rsidRDefault="00843FDA" w:rsidP="00CD7CAC">
            <w:pPr>
              <w:widowControl/>
              <w:rPr>
                <w:kern w:val="0"/>
                <w:szCs w:val="22"/>
              </w:rPr>
            </w:pPr>
            <w:r w:rsidRPr="00C6580C">
              <w:rPr>
                <w:kern w:val="0"/>
                <w:szCs w:val="22"/>
              </w:rPr>
              <w:t>450a</w:t>
            </w:r>
          </w:p>
        </w:tc>
        <w:tc>
          <w:tcPr>
            <w:tcW w:w="0" w:type="auto"/>
            <w:tcBorders>
              <w:top w:val="single" w:sz="4" w:space="0" w:color="000000"/>
              <w:left w:val="single" w:sz="4" w:space="0" w:color="000000"/>
              <w:bottom w:val="single" w:sz="4" w:space="0" w:color="000000"/>
              <w:right w:val="single" w:sz="4" w:space="0" w:color="000000"/>
            </w:tcBorders>
          </w:tcPr>
          <w:p w14:paraId="646CDF0A" w14:textId="77777777" w:rsidR="00843FDA" w:rsidRPr="00C6580C" w:rsidRDefault="00843FDA" w:rsidP="00CD7CAC">
            <w:pPr>
              <w:widowControl/>
              <w:jc w:val="right"/>
              <w:rPr>
                <w:kern w:val="0"/>
                <w:szCs w:val="22"/>
              </w:rPr>
            </w:pPr>
            <w:r w:rsidRPr="00C6580C">
              <w:rPr>
                <w:kern w:val="0"/>
                <w:szCs w:val="22"/>
              </w:rPr>
              <w:t>.5000</w:t>
            </w:r>
          </w:p>
        </w:tc>
      </w:tr>
      <w:tr w:rsidR="00843FDA" w:rsidRPr="00C6580C" w14:paraId="21EDB8E6" w14:textId="77777777">
        <w:tc>
          <w:tcPr>
            <w:tcW w:w="0" w:type="auto"/>
            <w:tcBorders>
              <w:top w:val="single" w:sz="4" w:space="0" w:color="000000"/>
              <w:left w:val="single" w:sz="4" w:space="0" w:color="000000"/>
              <w:bottom w:val="single" w:sz="4" w:space="0" w:color="000000"/>
              <w:right w:val="single" w:sz="4" w:space="0" w:color="000000"/>
            </w:tcBorders>
          </w:tcPr>
          <w:p w14:paraId="2DD146C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095E7E2" w14:textId="77777777" w:rsidR="00843FDA" w:rsidRPr="00C6580C" w:rsidRDefault="00843FDA" w:rsidP="00CD7CAC">
            <w:pPr>
              <w:widowControl/>
              <w:jc w:val="center"/>
              <w:rPr>
                <w:szCs w:val="22"/>
              </w:rPr>
            </w:pPr>
            <w:r w:rsidRPr="00C6580C">
              <w:rPr>
                <w:kern w:val="0"/>
                <w:szCs w:val="22"/>
              </w:rPr>
              <w:t>* * *</w:t>
            </w:r>
          </w:p>
        </w:tc>
      </w:tr>
      <w:tr w:rsidR="00843FDA" w:rsidRPr="00C6580C" w14:paraId="06187DB9" w14:textId="77777777">
        <w:tc>
          <w:tcPr>
            <w:tcW w:w="0" w:type="auto"/>
            <w:tcBorders>
              <w:top w:val="single" w:sz="4" w:space="0" w:color="000000"/>
              <w:left w:val="single" w:sz="4" w:space="0" w:color="000000"/>
              <w:bottom w:val="single" w:sz="4" w:space="0" w:color="000000"/>
              <w:right w:val="single" w:sz="4" w:space="0" w:color="000000"/>
            </w:tcBorders>
          </w:tcPr>
          <w:p w14:paraId="37DB0355" w14:textId="77777777" w:rsidR="00843FDA" w:rsidRPr="00C6580C" w:rsidRDefault="00843FDA" w:rsidP="00CD7CAC">
            <w:pPr>
              <w:widowControl/>
              <w:rPr>
                <w:kern w:val="0"/>
                <w:szCs w:val="22"/>
              </w:rPr>
            </w:pPr>
            <w:r w:rsidRPr="00C6580C">
              <w:rPr>
                <w:kern w:val="0"/>
                <w:szCs w:val="22"/>
              </w:rPr>
              <w:t>451a</w:t>
            </w:r>
          </w:p>
        </w:tc>
        <w:tc>
          <w:tcPr>
            <w:tcW w:w="0" w:type="auto"/>
            <w:tcBorders>
              <w:top w:val="single" w:sz="4" w:space="0" w:color="000000"/>
              <w:left w:val="single" w:sz="4" w:space="0" w:color="000000"/>
              <w:bottom w:val="single" w:sz="4" w:space="0" w:color="000000"/>
              <w:right w:val="single" w:sz="4" w:space="0" w:color="000000"/>
            </w:tcBorders>
          </w:tcPr>
          <w:p w14:paraId="681B9B0F" w14:textId="77777777" w:rsidR="00843FDA" w:rsidRPr="00C6580C" w:rsidRDefault="00843FDA" w:rsidP="00CD7CAC">
            <w:pPr>
              <w:widowControl/>
              <w:jc w:val="right"/>
              <w:rPr>
                <w:kern w:val="0"/>
                <w:szCs w:val="22"/>
              </w:rPr>
            </w:pPr>
            <w:r w:rsidRPr="00C6580C">
              <w:rPr>
                <w:kern w:val="0"/>
                <w:szCs w:val="22"/>
              </w:rPr>
              <w:t>.5250</w:t>
            </w:r>
          </w:p>
        </w:tc>
      </w:tr>
      <w:tr w:rsidR="00843FDA" w:rsidRPr="00C6580C" w14:paraId="2260AF1D" w14:textId="77777777">
        <w:tc>
          <w:tcPr>
            <w:tcW w:w="0" w:type="auto"/>
            <w:tcBorders>
              <w:top w:val="single" w:sz="4" w:space="0" w:color="000000"/>
              <w:left w:val="single" w:sz="4" w:space="0" w:color="000000"/>
              <w:bottom w:val="single" w:sz="4" w:space="0" w:color="000000"/>
              <w:right w:val="single" w:sz="4" w:space="0" w:color="000000"/>
            </w:tcBorders>
          </w:tcPr>
          <w:p w14:paraId="749BCB9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7DD5DB5" w14:textId="77777777" w:rsidR="00843FDA" w:rsidRPr="00C6580C" w:rsidRDefault="00843FDA" w:rsidP="00CD7CAC">
            <w:pPr>
              <w:widowControl/>
              <w:jc w:val="center"/>
              <w:rPr>
                <w:szCs w:val="22"/>
              </w:rPr>
            </w:pPr>
            <w:r w:rsidRPr="00C6580C">
              <w:rPr>
                <w:kern w:val="0"/>
                <w:szCs w:val="22"/>
              </w:rPr>
              <w:t>* * *</w:t>
            </w:r>
          </w:p>
        </w:tc>
      </w:tr>
      <w:tr w:rsidR="00843FDA" w:rsidRPr="00C6580C" w14:paraId="43DE53ED" w14:textId="77777777">
        <w:tc>
          <w:tcPr>
            <w:tcW w:w="0" w:type="auto"/>
            <w:tcBorders>
              <w:top w:val="single" w:sz="4" w:space="0" w:color="000000"/>
              <w:left w:val="single" w:sz="4" w:space="0" w:color="000000"/>
              <w:bottom w:val="single" w:sz="4" w:space="0" w:color="000000"/>
              <w:right w:val="single" w:sz="4" w:space="0" w:color="000000"/>
            </w:tcBorders>
          </w:tcPr>
          <w:p w14:paraId="722AB483" w14:textId="77777777" w:rsidR="00843FDA" w:rsidRPr="00C6580C" w:rsidRDefault="00843FDA" w:rsidP="00CD7CAC">
            <w:pPr>
              <w:widowControl/>
              <w:rPr>
                <w:kern w:val="0"/>
                <w:szCs w:val="22"/>
              </w:rPr>
            </w:pPr>
            <w:r w:rsidRPr="00C6580C">
              <w:rPr>
                <w:kern w:val="0"/>
                <w:szCs w:val="22"/>
              </w:rPr>
              <w:t>452a</w:t>
            </w:r>
          </w:p>
        </w:tc>
        <w:tc>
          <w:tcPr>
            <w:tcW w:w="0" w:type="auto"/>
            <w:tcBorders>
              <w:top w:val="single" w:sz="4" w:space="0" w:color="000000"/>
              <w:left w:val="single" w:sz="4" w:space="0" w:color="000000"/>
              <w:bottom w:val="single" w:sz="4" w:space="0" w:color="000000"/>
              <w:right w:val="single" w:sz="4" w:space="0" w:color="000000"/>
            </w:tcBorders>
          </w:tcPr>
          <w:p w14:paraId="6B5C02A5" w14:textId="77777777" w:rsidR="00843FDA" w:rsidRPr="00C6580C" w:rsidRDefault="00843FDA" w:rsidP="00CD7CAC">
            <w:pPr>
              <w:widowControl/>
              <w:jc w:val="right"/>
              <w:rPr>
                <w:kern w:val="0"/>
                <w:szCs w:val="22"/>
              </w:rPr>
            </w:pPr>
            <w:r w:rsidRPr="00C6580C">
              <w:rPr>
                <w:kern w:val="0"/>
                <w:szCs w:val="22"/>
              </w:rPr>
              <w:t>.5500</w:t>
            </w:r>
          </w:p>
        </w:tc>
      </w:tr>
      <w:tr w:rsidR="00843FDA" w:rsidRPr="00C6580C" w14:paraId="4ED91B06" w14:textId="77777777">
        <w:tc>
          <w:tcPr>
            <w:tcW w:w="0" w:type="auto"/>
            <w:tcBorders>
              <w:top w:val="single" w:sz="4" w:space="0" w:color="000000"/>
              <w:left w:val="single" w:sz="4" w:space="0" w:color="000000"/>
              <w:bottom w:val="single" w:sz="4" w:space="0" w:color="000000"/>
              <w:right w:val="single" w:sz="4" w:space="0" w:color="000000"/>
            </w:tcBorders>
          </w:tcPr>
          <w:p w14:paraId="434678C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19511D0" w14:textId="77777777" w:rsidR="00843FDA" w:rsidRPr="00C6580C" w:rsidRDefault="00843FDA" w:rsidP="00CD7CAC">
            <w:pPr>
              <w:widowControl/>
              <w:jc w:val="center"/>
              <w:rPr>
                <w:szCs w:val="22"/>
              </w:rPr>
            </w:pPr>
            <w:r w:rsidRPr="00C6580C">
              <w:rPr>
                <w:kern w:val="0"/>
                <w:szCs w:val="22"/>
              </w:rPr>
              <w:t>* * *</w:t>
            </w:r>
          </w:p>
        </w:tc>
      </w:tr>
      <w:tr w:rsidR="00843FDA" w:rsidRPr="00C6580C" w14:paraId="6B66BCB6" w14:textId="77777777">
        <w:tc>
          <w:tcPr>
            <w:tcW w:w="0" w:type="auto"/>
            <w:tcBorders>
              <w:top w:val="single" w:sz="4" w:space="0" w:color="000000"/>
              <w:left w:val="single" w:sz="4" w:space="0" w:color="000000"/>
              <w:bottom w:val="single" w:sz="4" w:space="0" w:color="000000"/>
              <w:right w:val="single" w:sz="4" w:space="0" w:color="000000"/>
            </w:tcBorders>
          </w:tcPr>
          <w:p w14:paraId="79EE9370" w14:textId="77777777" w:rsidR="00843FDA" w:rsidRPr="00C6580C" w:rsidRDefault="00843FDA" w:rsidP="00CD7CAC">
            <w:pPr>
              <w:widowControl/>
              <w:rPr>
                <w:kern w:val="0"/>
                <w:szCs w:val="22"/>
              </w:rPr>
            </w:pPr>
            <w:r w:rsidRPr="00C6580C">
              <w:rPr>
                <w:kern w:val="0"/>
                <w:szCs w:val="22"/>
              </w:rPr>
              <w:t>453a</w:t>
            </w:r>
          </w:p>
        </w:tc>
        <w:tc>
          <w:tcPr>
            <w:tcW w:w="0" w:type="auto"/>
            <w:tcBorders>
              <w:top w:val="single" w:sz="4" w:space="0" w:color="000000"/>
              <w:left w:val="single" w:sz="4" w:space="0" w:color="000000"/>
              <w:bottom w:val="single" w:sz="4" w:space="0" w:color="000000"/>
              <w:right w:val="single" w:sz="4" w:space="0" w:color="000000"/>
            </w:tcBorders>
          </w:tcPr>
          <w:p w14:paraId="509B2852" w14:textId="77777777" w:rsidR="00843FDA" w:rsidRPr="00C6580C" w:rsidRDefault="00843FDA" w:rsidP="00CD7CAC">
            <w:pPr>
              <w:widowControl/>
              <w:jc w:val="right"/>
              <w:rPr>
                <w:kern w:val="0"/>
                <w:szCs w:val="22"/>
              </w:rPr>
            </w:pPr>
            <w:r w:rsidRPr="00C6580C">
              <w:rPr>
                <w:kern w:val="0"/>
                <w:szCs w:val="22"/>
              </w:rPr>
              <w:t>.5750</w:t>
            </w:r>
          </w:p>
        </w:tc>
      </w:tr>
      <w:tr w:rsidR="00843FDA" w:rsidRPr="00C6580C" w14:paraId="16F48BB8" w14:textId="77777777">
        <w:tc>
          <w:tcPr>
            <w:tcW w:w="0" w:type="auto"/>
            <w:tcBorders>
              <w:top w:val="single" w:sz="4" w:space="0" w:color="000000"/>
              <w:left w:val="single" w:sz="4" w:space="0" w:color="000000"/>
              <w:bottom w:val="single" w:sz="4" w:space="0" w:color="000000"/>
              <w:right w:val="single" w:sz="4" w:space="0" w:color="000000"/>
            </w:tcBorders>
          </w:tcPr>
          <w:p w14:paraId="5F6273A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EFC7A81" w14:textId="77777777" w:rsidR="00843FDA" w:rsidRPr="00C6580C" w:rsidRDefault="00843FDA" w:rsidP="00CD7CAC">
            <w:pPr>
              <w:widowControl/>
              <w:jc w:val="center"/>
              <w:rPr>
                <w:szCs w:val="22"/>
              </w:rPr>
            </w:pPr>
            <w:r w:rsidRPr="00C6580C">
              <w:rPr>
                <w:kern w:val="0"/>
                <w:szCs w:val="22"/>
              </w:rPr>
              <w:t>* * *</w:t>
            </w:r>
          </w:p>
        </w:tc>
      </w:tr>
      <w:tr w:rsidR="00843FDA" w:rsidRPr="00C6580C" w14:paraId="36AE6CEC" w14:textId="77777777">
        <w:tc>
          <w:tcPr>
            <w:tcW w:w="0" w:type="auto"/>
            <w:tcBorders>
              <w:top w:val="single" w:sz="4" w:space="0" w:color="000000"/>
              <w:left w:val="single" w:sz="4" w:space="0" w:color="000000"/>
              <w:bottom w:val="single" w:sz="4" w:space="0" w:color="000000"/>
              <w:right w:val="single" w:sz="4" w:space="0" w:color="000000"/>
            </w:tcBorders>
          </w:tcPr>
          <w:p w14:paraId="3EA0D80D" w14:textId="77777777" w:rsidR="00843FDA" w:rsidRPr="00C6580C" w:rsidRDefault="00843FDA" w:rsidP="00CD7CAC">
            <w:pPr>
              <w:widowControl/>
              <w:rPr>
                <w:kern w:val="0"/>
                <w:szCs w:val="22"/>
              </w:rPr>
            </w:pPr>
            <w:r w:rsidRPr="00C6580C">
              <w:rPr>
                <w:kern w:val="0"/>
                <w:szCs w:val="22"/>
              </w:rPr>
              <w:t>454a</w:t>
            </w:r>
          </w:p>
        </w:tc>
        <w:tc>
          <w:tcPr>
            <w:tcW w:w="0" w:type="auto"/>
            <w:tcBorders>
              <w:top w:val="single" w:sz="4" w:space="0" w:color="000000"/>
              <w:left w:val="single" w:sz="4" w:space="0" w:color="000000"/>
              <w:bottom w:val="single" w:sz="4" w:space="0" w:color="000000"/>
              <w:right w:val="single" w:sz="4" w:space="0" w:color="000000"/>
            </w:tcBorders>
          </w:tcPr>
          <w:p w14:paraId="3B8D4C21" w14:textId="77777777" w:rsidR="00843FDA" w:rsidRPr="00C6580C" w:rsidRDefault="00843FDA" w:rsidP="00CD7CAC">
            <w:pPr>
              <w:widowControl/>
              <w:jc w:val="right"/>
              <w:rPr>
                <w:kern w:val="0"/>
                <w:szCs w:val="22"/>
              </w:rPr>
            </w:pPr>
            <w:r w:rsidRPr="00C6580C">
              <w:rPr>
                <w:kern w:val="0"/>
                <w:szCs w:val="22"/>
              </w:rPr>
              <w:t>.6000</w:t>
            </w:r>
          </w:p>
        </w:tc>
      </w:tr>
      <w:tr w:rsidR="00843FDA" w:rsidRPr="00C6580C" w14:paraId="0CB43088" w14:textId="77777777">
        <w:tc>
          <w:tcPr>
            <w:tcW w:w="0" w:type="auto"/>
            <w:tcBorders>
              <w:top w:val="single" w:sz="4" w:space="0" w:color="000000"/>
              <w:left w:val="single" w:sz="4" w:space="0" w:color="000000"/>
              <w:bottom w:val="single" w:sz="4" w:space="0" w:color="000000"/>
              <w:right w:val="single" w:sz="4" w:space="0" w:color="000000"/>
            </w:tcBorders>
          </w:tcPr>
          <w:p w14:paraId="5C9578E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D4BB6E4" w14:textId="77777777" w:rsidR="00843FDA" w:rsidRPr="00C6580C" w:rsidRDefault="00843FDA" w:rsidP="00CD7CAC">
            <w:pPr>
              <w:widowControl/>
              <w:jc w:val="center"/>
              <w:rPr>
                <w:szCs w:val="22"/>
              </w:rPr>
            </w:pPr>
            <w:r w:rsidRPr="00C6580C">
              <w:rPr>
                <w:kern w:val="0"/>
                <w:szCs w:val="22"/>
              </w:rPr>
              <w:t>* * *</w:t>
            </w:r>
          </w:p>
        </w:tc>
      </w:tr>
      <w:tr w:rsidR="00843FDA" w:rsidRPr="00C6580C" w14:paraId="49DE769A" w14:textId="77777777">
        <w:tc>
          <w:tcPr>
            <w:tcW w:w="0" w:type="auto"/>
            <w:tcBorders>
              <w:top w:val="single" w:sz="4" w:space="0" w:color="000000"/>
              <w:left w:val="single" w:sz="4" w:space="0" w:color="000000"/>
              <w:bottom w:val="single" w:sz="4" w:space="0" w:color="000000"/>
              <w:right w:val="single" w:sz="4" w:space="0" w:color="000000"/>
            </w:tcBorders>
          </w:tcPr>
          <w:p w14:paraId="77B693DD" w14:textId="77777777" w:rsidR="00843FDA" w:rsidRPr="00C6580C" w:rsidRDefault="00843FDA" w:rsidP="00CD7CAC">
            <w:pPr>
              <w:widowControl/>
              <w:rPr>
                <w:kern w:val="0"/>
                <w:szCs w:val="22"/>
              </w:rPr>
            </w:pPr>
            <w:r w:rsidRPr="00C6580C">
              <w:rPr>
                <w:kern w:val="0"/>
                <w:szCs w:val="22"/>
              </w:rPr>
              <w:t>455a</w:t>
            </w:r>
          </w:p>
        </w:tc>
        <w:tc>
          <w:tcPr>
            <w:tcW w:w="0" w:type="auto"/>
            <w:tcBorders>
              <w:top w:val="single" w:sz="4" w:space="0" w:color="000000"/>
              <w:left w:val="single" w:sz="4" w:space="0" w:color="000000"/>
              <w:bottom w:val="single" w:sz="4" w:space="0" w:color="000000"/>
              <w:right w:val="single" w:sz="4" w:space="0" w:color="000000"/>
            </w:tcBorders>
          </w:tcPr>
          <w:p w14:paraId="325389E9" w14:textId="77777777" w:rsidR="00843FDA" w:rsidRPr="00C6580C" w:rsidRDefault="00843FDA" w:rsidP="00CD7CAC">
            <w:pPr>
              <w:widowControl/>
              <w:jc w:val="right"/>
              <w:rPr>
                <w:kern w:val="0"/>
                <w:szCs w:val="22"/>
              </w:rPr>
            </w:pPr>
            <w:r w:rsidRPr="00C6580C">
              <w:rPr>
                <w:kern w:val="0"/>
                <w:szCs w:val="22"/>
              </w:rPr>
              <w:t>.6250</w:t>
            </w:r>
          </w:p>
        </w:tc>
      </w:tr>
      <w:tr w:rsidR="00843FDA" w:rsidRPr="00C6580C" w14:paraId="0503D801" w14:textId="77777777">
        <w:tc>
          <w:tcPr>
            <w:tcW w:w="0" w:type="auto"/>
            <w:tcBorders>
              <w:top w:val="single" w:sz="4" w:space="0" w:color="000000"/>
              <w:left w:val="single" w:sz="4" w:space="0" w:color="000000"/>
              <w:bottom w:val="single" w:sz="4" w:space="0" w:color="000000"/>
              <w:right w:val="single" w:sz="4" w:space="0" w:color="000000"/>
            </w:tcBorders>
          </w:tcPr>
          <w:p w14:paraId="7678CC4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342CECA" w14:textId="77777777" w:rsidR="00843FDA" w:rsidRPr="00C6580C" w:rsidRDefault="00843FDA" w:rsidP="00CD7CAC">
            <w:pPr>
              <w:widowControl/>
              <w:jc w:val="center"/>
              <w:rPr>
                <w:szCs w:val="22"/>
              </w:rPr>
            </w:pPr>
            <w:r w:rsidRPr="00C6580C">
              <w:rPr>
                <w:kern w:val="0"/>
                <w:szCs w:val="22"/>
              </w:rPr>
              <w:t>* * *</w:t>
            </w:r>
          </w:p>
        </w:tc>
      </w:tr>
      <w:tr w:rsidR="00843FDA" w:rsidRPr="00C6580C" w14:paraId="4A8E5EB6" w14:textId="77777777">
        <w:tc>
          <w:tcPr>
            <w:tcW w:w="0" w:type="auto"/>
            <w:tcBorders>
              <w:top w:val="single" w:sz="4" w:space="0" w:color="000000"/>
              <w:left w:val="single" w:sz="4" w:space="0" w:color="000000"/>
              <w:bottom w:val="single" w:sz="4" w:space="0" w:color="000000"/>
              <w:right w:val="single" w:sz="4" w:space="0" w:color="000000"/>
            </w:tcBorders>
          </w:tcPr>
          <w:p w14:paraId="7F824FD0" w14:textId="77777777" w:rsidR="00843FDA" w:rsidRPr="00C6580C" w:rsidRDefault="00843FDA" w:rsidP="00CD7CAC">
            <w:pPr>
              <w:widowControl/>
              <w:rPr>
                <w:kern w:val="0"/>
                <w:szCs w:val="22"/>
              </w:rPr>
            </w:pPr>
            <w:r w:rsidRPr="00C6580C">
              <w:rPr>
                <w:kern w:val="0"/>
                <w:szCs w:val="22"/>
              </w:rPr>
              <w:t>456a</w:t>
            </w:r>
          </w:p>
        </w:tc>
        <w:tc>
          <w:tcPr>
            <w:tcW w:w="0" w:type="auto"/>
            <w:tcBorders>
              <w:top w:val="single" w:sz="4" w:space="0" w:color="000000"/>
              <w:left w:val="single" w:sz="4" w:space="0" w:color="000000"/>
              <w:bottom w:val="single" w:sz="4" w:space="0" w:color="000000"/>
              <w:right w:val="single" w:sz="4" w:space="0" w:color="000000"/>
            </w:tcBorders>
          </w:tcPr>
          <w:p w14:paraId="453CDA45" w14:textId="77777777" w:rsidR="00843FDA" w:rsidRPr="00C6580C" w:rsidRDefault="00843FDA" w:rsidP="00CD7CAC">
            <w:pPr>
              <w:widowControl/>
              <w:jc w:val="right"/>
              <w:rPr>
                <w:kern w:val="0"/>
                <w:szCs w:val="22"/>
              </w:rPr>
            </w:pPr>
            <w:r w:rsidRPr="00C6580C">
              <w:rPr>
                <w:kern w:val="0"/>
                <w:szCs w:val="22"/>
              </w:rPr>
              <w:t>.6500</w:t>
            </w:r>
          </w:p>
        </w:tc>
      </w:tr>
      <w:tr w:rsidR="00843FDA" w:rsidRPr="00C6580C" w14:paraId="34C0DEC7" w14:textId="77777777">
        <w:tc>
          <w:tcPr>
            <w:tcW w:w="0" w:type="auto"/>
            <w:tcBorders>
              <w:top w:val="single" w:sz="4" w:space="0" w:color="000000"/>
              <w:left w:val="single" w:sz="4" w:space="0" w:color="000000"/>
              <w:bottom w:val="single" w:sz="4" w:space="0" w:color="000000"/>
              <w:right w:val="single" w:sz="4" w:space="0" w:color="000000"/>
            </w:tcBorders>
          </w:tcPr>
          <w:p w14:paraId="52D4373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2565327" w14:textId="77777777" w:rsidR="00843FDA" w:rsidRPr="00C6580C" w:rsidRDefault="00843FDA" w:rsidP="00CD7CAC">
            <w:pPr>
              <w:widowControl/>
              <w:jc w:val="center"/>
              <w:rPr>
                <w:szCs w:val="22"/>
              </w:rPr>
            </w:pPr>
            <w:r w:rsidRPr="00C6580C">
              <w:rPr>
                <w:kern w:val="0"/>
                <w:szCs w:val="22"/>
              </w:rPr>
              <w:t>* * *</w:t>
            </w:r>
          </w:p>
        </w:tc>
      </w:tr>
      <w:tr w:rsidR="00843FDA" w:rsidRPr="00C6580C" w14:paraId="7A152840" w14:textId="77777777">
        <w:tc>
          <w:tcPr>
            <w:tcW w:w="0" w:type="auto"/>
            <w:tcBorders>
              <w:top w:val="single" w:sz="4" w:space="0" w:color="000000"/>
              <w:left w:val="single" w:sz="4" w:space="0" w:color="000000"/>
              <w:bottom w:val="single" w:sz="4" w:space="0" w:color="000000"/>
              <w:right w:val="single" w:sz="4" w:space="0" w:color="000000"/>
            </w:tcBorders>
          </w:tcPr>
          <w:p w14:paraId="662F4970" w14:textId="77777777" w:rsidR="00843FDA" w:rsidRPr="00C6580C" w:rsidRDefault="00843FDA" w:rsidP="00CD7CAC">
            <w:pPr>
              <w:widowControl/>
              <w:rPr>
                <w:kern w:val="0"/>
                <w:szCs w:val="22"/>
              </w:rPr>
            </w:pPr>
            <w:r w:rsidRPr="00C6580C">
              <w:rPr>
                <w:kern w:val="0"/>
                <w:szCs w:val="22"/>
              </w:rPr>
              <w:t>457a</w:t>
            </w:r>
          </w:p>
        </w:tc>
        <w:tc>
          <w:tcPr>
            <w:tcW w:w="0" w:type="auto"/>
            <w:tcBorders>
              <w:top w:val="single" w:sz="4" w:space="0" w:color="000000"/>
              <w:left w:val="single" w:sz="4" w:space="0" w:color="000000"/>
              <w:bottom w:val="single" w:sz="4" w:space="0" w:color="000000"/>
              <w:right w:val="single" w:sz="4" w:space="0" w:color="000000"/>
            </w:tcBorders>
          </w:tcPr>
          <w:p w14:paraId="3F214307" w14:textId="77777777" w:rsidR="00843FDA" w:rsidRPr="00C6580C" w:rsidRDefault="00843FDA" w:rsidP="00CD7CAC">
            <w:pPr>
              <w:widowControl/>
              <w:jc w:val="right"/>
              <w:rPr>
                <w:kern w:val="0"/>
                <w:szCs w:val="22"/>
              </w:rPr>
            </w:pPr>
            <w:r w:rsidRPr="00C6580C">
              <w:rPr>
                <w:kern w:val="0"/>
                <w:szCs w:val="22"/>
              </w:rPr>
              <w:t>.6750</w:t>
            </w:r>
          </w:p>
        </w:tc>
      </w:tr>
      <w:tr w:rsidR="00843FDA" w:rsidRPr="00C6580C" w14:paraId="5E41A555" w14:textId="77777777">
        <w:tc>
          <w:tcPr>
            <w:tcW w:w="0" w:type="auto"/>
            <w:tcBorders>
              <w:top w:val="single" w:sz="4" w:space="0" w:color="000000"/>
              <w:left w:val="single" w:sz="4" w:space="0" w:color="000000"/>
              <w:bottom w:val="single" w:sz="4" w:space="0" w:color="000000"/>
              <w:right w:val="single" w:sz="4" w:space="0" w:color="000000"/>
            </w:tcBorders>
          </w:tcPr>
          <w:p w14:paraId="18B60EB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B6073A8" w14:textId="77777777" w:rsidR="00843FDA" w:rsidRPr="00C6580C" w:rsidRDefault="00843FDA" w:rsidP="00CD7CAC">
            <w:pPr>
              <w:widowControl/>
              <w:jc w:val="center"/>
              <w:rPr>
                <w:szCs w:val="22"/>
              </w:rPr>
            </w:pPr>
            <w:r w:rsidRPr="00C6580C">
              <w:rPr>
                <w:kern w:val="0"/>
                <w:szCs w:val="22"/>
              </w:rPr>
              <w:t>* * *</w:t>
            </w:r>
          </w:p>
        </w:tc>
      </w:tr>
      <w:tr w:rsidR="00843FDA" w:rsidRPr="00C6580C" w14:paraId="40D3FB42" w14:textId="77777777">
        <w:tc>
          <w:tcPr>
            <w:tcW w:w="0" w:type="auto"/>
            <w:tcBorders>
              <w:top w:val="single" w:sz="4" w:space="0" w:color="000000"/>
              <w:left w:val="single" w:sz="4" w:space="0" w:color="000000"/>
              <w:bottom w:val="single" w:sz="4" w:space="0" w:color="000000"/>
              <w:right w:val="single" w:sz="4" w:space="0" w:color="000000"/>
            </w:tcBorders>
          </w:tcPr>
          <w:p w14:paraId="17709BA7" w14:textId="77777777" w:rsidR="00843FDA" w:rsidRPr="00C6580C" w:rsidRDefault="00843FDA" w:rsidP="00CD7CAC">
            <w:pPr>
              <w:widowControl/>
              <w:rPr>
                <w:kern w:val="0"/>
                <w:szCs w:val="22"/>
              </w:rPr>
            </w:pPr>
            <w:r w:rsidRPr="00C6580C">
              <w:rPr>
                <w:kern w:val="0"/>
                <w:szCs w:val="22"/>
              </w:rPr>
              <w:t>458a</w:t>
            </w:r>
          </w:p>
        </w:tc>
        <w:tc>
          <w:tcPr>
            <w:tcW w:w="0" w:type="auto"/>
            <w:tcBorders>
              <w:top w:val="single" w:sz="4" w:space="0" w:color="000000"/>
              <w:left w:val="single" w:sz="4" w:space="0" w:color="000000"/>
              <w:bottom w:val="single" w:sz="4" w:space="0" w:color="000000"/>
              <w:right w:val="single" w:sz="4" w:space="0" w:color="000000"/>
            </w:tcBorders>
          </w:tcPr>
          <w:p w14:paraId="56100D1D" w14:textId="77777777" w:rsidR="00843FDA" w:rsidRPr="00C6580C" w:rsidRDefault="00843FDA" w:rsidP="00CD7CAC">
            <w:pPr>
              <w:widowControl/>
              <w:jc w:val="right"/>
              <w:rPr>
                <w:kern w:val="0"/>
                <w:szCs w:val="22"/>
              </w:rPr>
            </w:pPr>
            <w:r w:rsidRPr="00C6580C">
              <w:rPr>
                <w:kern w:val="0"/>
                <w:szCs w:val="22"/>
              </w:rPr>
              <w:t>.7000</w:t>
            </w:r>
          </w:p>
        </w:tc>
      </w:tr>
      <w:tr w:rsidR="00843FDA" w:rsidRPr="00C6580C" w14:paraId="65863F76" w14:textId="77777777">
        <w:tc>
          <w:tcPr>
            <w:tcW w:w="0" w:type="auto"/>
            <w:tcBorders>
              <w:top w:val="single" w:sz="4" w:space="0" w:color="000000"/>
              <w:left w:val="single" w:sz="4" w:space="0" w:color="000000"/>
              <w:bottom w:val="single" w:sz="4" w:space="0" w:color="000000"/>
              <w:right w:val="single" w:sz="4" w:space="0" w:color="000000"/>
            </w:tcBorders>
          </w:tcPr>
          <w:p w14:paraId="1F5AF82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FEDEC11" w14:textId="77777777" w:rsidR="00843FDA" w:rsidRPr="00C6580C" w:rsidRDefault="00843FDA" w:rsidP="00CD7CAC">
            <w:pPr>
              <w:widowControl/>
              <w:jc w:val="center"/>
              <w:rPr>
                <w:szCs w:val="22"/>
              </w:rPr>
            </w:pPr>
            <w:r w:rsidRPr="00C6580C">
              <w:rPr>
                <w:kern w:val="0"/>
                <w:szCs w:val="22"/>
              </w:rPr>
              <w:t>* * *</w:t>
            </w:r>
          </w:p>
        </w:tc>
      </w:tr>
      <w:tr w:rsidR="00843FDA" w:rsidRPr="00C6580C" w14:paraId="65D2255D" w14:textId="77777777">
        <w:tc>
          <w:tcPr>
            <w:tcW w:w="0" w:type="auto"/>
            <w:tcBorders>
              <w:top w:val="single" w:sz="4" w:space="0" w:color="000000"/>
              <w:left w:val="single" w:sz="4" w:space="0" w:color="000000"/>
              <w:bottom w:val="single" w:sz="4" w:space="0" w:color="000000"/>
              <w:right w:val="single" w:sz="4" w:space="0" w:color="000000"/>
            </w:tcBorders>
          </w:tcPr>
          <w:p w14:paraId="6A3D724C" w14:textId="77777777" w:rsidR="00843FDA" w:rsidRPr="00C6580C" w:rsidRDefault="00843FDA" w:rsidP="00CD7CAC">
            <w:pPr>
              <w:widowControl/>
              <w:rPr>
                <w:kern w:val="0"/>
                <w:szCs w:val="22"/>
              </w:rPr>
            </w:pPr>
            <w:r w:rsidRPr="00C6580C">
              <w:rPr>
                <w:kern w:val="0"/>
                <w:szCs w:val="22"/>
              </w:rPr>
              <w:t>459a</w:t>
            </w:r>
          </w:p>
        </w:tc>
        <w:tc>
          <w:tcPr>
            <w:tcW w:w="0" w:type="auto"/>
            <w:tcBorders>
              <w:top w:val="single" w:sz="4" w:space="0" w:color="000000"/>
              <w:left w:val="single" w:sz="4" w:space="0" w:color="000000"/>
              <w:bottom w:val="single" w:sz="4" w:space="0" w:color="000000"/>
              <w:right w:val="single" w:sz="4" w:space="0" w:color="000000"/>
            </w:tcBorders>
          </w:tcPr>
          <w:p w14:paraId="5256C50B" w14:textId="77777777" w:rsidR="00843FDA" w:rsidRPr="00C6580C" w:rsidRDefault="00843FDA" w:rsidP="00CD7CAC">
            <w:pPr>
              <w:widowControl/>
              <w:jc w:val="right"/>
              <w:rPr>
                <w:kern w:val="0"/>
                <w:szCs w:val="22"/>
              </w:rPr>
            </w:pPr>
            <w:r w:rsidRPr="00C6580C">
              <w:rPr>
                <w:kern w:val="0"/>
                <w:szCs w:val="22"/>
              </w:rPr>
              <w:t>.7250</w:t>
            </w:r>
          </w:p>
        </w:tc>
      </w:tr>
      <w:tr w:rsidR="00843FDA" w:rsidRPr="00C6580C" w14:paraId="607E9756" w14:textId="77777777">
        <w:tc>
          <w:tcPr>
            <w:tcW w:w="0" w:type="auto"/>
            <w:tcBorders>
              <w:top w:val="single" w:sz="4" w:space="0" w:color="000000"/>
              <w:left w:val="single" w:sz="4" w:space="0" w:color="000000"/>
              <w:bottom w:val="single" w:sz="4" w:space="0" w:color="000000"/>
              <w:right w:val="single" w:sz="4" w:space="0" w:color="000000"/>
            </w:tcBorders>
          </w:tcPr>
          <w:p w14:paraId="49F04FF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33918F1" w14:textId="77777777" w:rsidR="00843FDA" w:rsidRPr="00C6580C" w:rsidRDefault="00843FDA" w:rsidP="00CD7CAC">
            <w:pPr>
              <w:widowControl/>
              <w:jc w:val="center"/>
              <w:rPr>
                <w:szCs w:val="22"/>
              </w:rPr>
            </w:pPr>
            <w:r w:rsidRPr="00C6580C">
              <w:rPr>
                <w:kern w:val="0"/>
                <w:szCs w:val="22"/>
              </w:rPr>
              <w:t>* * *</w:t>
            </w:r>
          </w:p>
        </w:tc>
      </w:tr>
      <w:tr w:rsidR="00843FDA" w:rsidRPr="00C6580C" w14:paraId="4E683777" w14:textId="77777777">
        <w:tc>
          <w:tcPr>
            <w:tcW w:w="0" w:type="auto"/>
            <w:tcBorders>
              <w:top w:val="single" w:sz="4" w:space="0" w:color="000000"/>
              <w:left w:val="single" w:sz="4" w:space="0" w:color="000000"/>
              <w:bottom w:val="single" w:sz="4" w:space="0" w:color="000000"/>
              <w:right w:val="single" w:sz="4" w:space="0" w:color="000000"/>
            </w:tcBorders>
          </w:tcPr>
          <w:p w14:paraId="7380AA83" w14:textId="77777777" w:rsidR="00843FDA" w:rsidRPr="00C6580C" w:rsidRDefault="00843FDA" w:rsidP="00CD7CAC">
            <w:pPr>
              <w:widowControl/>
              <w:rPr>
                <w:kern w:val="0"/>
                <w:szCs w:val="22"/>
              </w:rPr>
            </w:pPr>
            <w:r w:rsidRPr="00C6580C">
              <w:rPr>
                <w:kern w:val="0"/>
                <w:szCs w:val="22"/>
              </w:rPr>
              <w:t>460a</w:t>
            </w:r>
          </w:p>
        </w:tc>
        <w:tc>
          <w:tcPr>
            <w:tcW w:w="0" w:type="auto"/>
            <w:tcBorders>
              <w:top w:val="single" w:sz="4" w:space="0" w:color="000000"/>
              <w:left w:val="single" w:sz="4" w:space="0" w:color="000000"/>
              <w:bottom w:val="single" w:sz="4" w:space="0" w:color="000000"/>
              <w:right w:val="single" w:sz="4" w:space="0" w:color="000000"/>
            </w:tcBorders>
          </w:tcPr>
          <w:p w14:paraId="2A1A4F7D" w14:textId="77777777" w:rsidR="00843FDA" w:rsidRPr="00C6580C" w:rsidRDefault="00843FDA" w:rsidP="00CD7CAC">
            <w:pPr>
              <w:widowControl/>
              <w:jc w:val="right"/>
              <w:rPr>
                <w:kern w:val="0"/>
                <w:szCs w:val="22"/>
              </w:rPr>
            </w:pPr>
            <w:r w:rsidRPr="00C6580C">
              <w:rPr>
                <w:kern w:val="0"/>
                <w:szCs w:val="22"/>
              </w:rPr>
              <w:t>.7500</w:t>
            </w:r>
          </w:p>
        </w:tc>
      </w:tr>
      <w:tr w:rsidR="00843FDA" w:rsidRPr="00C6580C" w14:paraId="00A2776F" w14:textId="77777777">
        <w:tc>
          <w:tcPr>
            <w:tcW w:w="0" w:type="auto"/>
            <w:tcBorders>
              <w:top w:val="single" w:sz="4" w:space="0" w:color="000000"/>
              <w:left w:val="single" w:sz="4" w:space="0" w:color="000000"/>
              <w:bottom w:val="single" w:sz="4" w:space="0" w:color="000000"/>
              <w:right w:val="single" w:sz="4" w:space="0" w:color="000000"/>
            </w:tcBorders>
          </w:tcPr>
          <w:p w14:paraId="0F24ADE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D2FDF9E" w14:textId="77777777" w:rsidR="00843FDA" w:rsidRPr="00C6580C" w:rsidRDefault="00843FDA" w:rsidP="00CD7CAC">
            <w:pPr>
              <w:widowControl/>
              <w:jc w:val="center"/>
              <w:rPr>
                <w:szCs w:val="22"/>
              </w:rPr>
            </w:pPr>
            <w:r w:rsidRPr="00C6580C">
              <w:rPr>
                <w:kern w:val="0"/>
                <w:szCs w:val="22"/>
              </w:rPr>
              <w:t>* * *</w:t>
            </w:r>
          </w:p>
        </w:tc>
      </w:tr>
      <w:tr w:rsidR="00843FDA" w:rsidRPr="00C6580C" w14:paraId="65CDFF6F" w14:textId="77777777">
        <w:tc>
          <w:tcPr>
            <w:tcW w:w="0" w:type="auto"/>
            <w:tcBorders>
              <w:top w:val="single" w:sz="4" w:space="0" w:color="000000"/>
              <w:left w:val="single" w:sz="4" w:space="0" w:color="000000"/>
              <w:bottom w:val="single" w:sz="4" w:space="0" w:color="000000"/>
              <w:right w:val="single" w:sz="4" w:space="0" w:color="000000"/>
            </w:tcBorders>
          </w:tcPr>
          <w:p w14:paraId="73CC984A" w14:textId="77777777" w:rsidR="00843FDA" w:rsidRPr="00C6580C" w:rsidRDefault="00843FDA" w:rsidP="00CD7CAC">
            <w:pPr>
              <w:widowControl/>
              <w:rPr>
                <w:kern w:val="0"/>
                <w:szCs w:val="22"/>
              </w:rPr>
            </w:pPr>
            <w:r w:rsidRPr="00C6580C">
              <w:rPr>
                <w:kern w:val="0"/>
                <w:szCs w:val="22"/>
              </w:rPr>
              <w:t>461a</w:t>
            </w:r>
          </w:p>
        </w:tc>
        <w:tc>
          <w:tcPr>
            <w:tcW w:w="0" w:type="auto"/>
            <w:tcBorders>
              <w:top w:val="single" w:sz="4" w:space="0" w:color="000000"/>
              <w:left w:val="single" w:sz="4" w:space="0" w:color="000000"/>
              <w:bottom w:val="single" w:sz="4" w:space="0" w:color="000000"/>
              <w:right w:val="single" w:sz="4" w:space="0" w:color="000000"/>
            </w:tcBorders>
          </w:tcPr>
          <w:p w14:paraId="0AFB4D37" w14:textId="77777777" w:rsidR="00843FDA" w:rsidRPr="00C6580C" w:rsidRDefault="00843FDA" w:rsidP="00CD7CAC">
            <w:pPr>
              <w:widowControl/>
              <w:jc w:val="right"/>
              <w:rPr>
                <w:kern w:val="0"/>
                <w:szCs w:val="22"/>
              </w:rPr>
            </w:pPr>
            <w:r w:rsidRPr="00C6580C">
              <w:rPr>
                <w:kern w:val="0"/>
                <w:szCs w:val="22"/>
              </w:rPr>
              <w:t>.7750</w:t>
            </w:r>
          </w:p>
        </w:tc>
      </w:tr>
      <w:tr w:rsidR="00843FDA" w:rsidRPr="00C6580C" w14:paraId="0844F0AA" w14:textId="77777777">
        <w:tc>
          <w:tcPr>
            <w:tcW w:w="0" w:type="auto"/>
            <w:tcBorders>
              <w:top w:val="single" w:sz="4" w:space="0" w:color="000000"/>
              <w:left w:val="single" w:sz="4" w:space="0" w:color="000000"/>
              <w:bottom w:val="single" w:sz="4" w:space="0" w:color="000000"/>
              <w:right w:val="single" w:sz="4" w:space="0" w:color="000000"/>
            </w:tcBorders>
          </w:tcPr>
          <w:p w14:paraId="2ACD37F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DE8D520" w14:textId="77777777" w:rsidR="00843FDA" w:rsidRPr="00C6580C" w:rsidRDefault="00843FDA" w:rsidP="00CD7CAC">
            <w:pPr>
              <w:widowControl/>
              <w:jc w:val="center"/>
              <w:rPr>
                <w:szCs w:val="22"/>
              </w:rPr>
            </w:pPr>
            <w:r w:rsidRPr="00C6580C">
              <w:rPr>
                <w:kern w:val="0"/>
                <w:szCs w:val="22"/>
              </w:rPr>
              <w:t>* * *</w:t>
            </w:r>
          </w:p>
        </w:tc>
      </w:tr>
      <w:tr w:rsidR="00843FDA" w:rsidRPr="00C6580C" w14:paraId="14E928EC" w14:textId="77777777">
        <w:tc>
          <w:tcPr>
            <w:tcW w:w="0" w:type="auto"/>
            <w:tcBorders>
              <w:top w:val="single" w:sz="4" w:space="0" w:color="000000"/>
              <w:left w:val="single" w:sz="4" w:space="0" w:color="000000"/>
              <w:bottom w:val="single" w:sz="4" w:space="0" w:color="000000"/>
              <w:right w:val="single" w:sz="4" w:space="0" w:color="000000"/>
            </w:tcBorders>
          </w:tcPr>
          <w:p w14:paraId="57D15A89" w14:textId="77777777" w:rsidR="00843FDA" w:rsidRPr="00C6580C" w:rsidRDefault="00843FDA" w:rsidP="00CD7CAC">
            <w:pPr>
              <w:widowControl/>
              <w:rPr>
                <w:kern w:val="0"/>
                <w:szCs w:val="22"/>
              </w:rPr>
            </w:pPr>
            <w:r w:rsidRPr="00C6580C">
              <w:rPr>
                <w:kern w:val="0"/>
                <w:szCs w:val="22"/>
              </w:rPr>
              <w:t>462a</w:t>
            </w:r>
          </w:p>
        </w:tc>
        <w:tc>
          <w:tcPr>
            <w:tcW w:w="0" w:type="auto"/>
            <w:tcBorders>
              <w:top w:val="single" w:sz="4" w:space="0" w:color="000000"/>
              <w:left w:val="single" w:sz="4" w:space="0" w:color="000000"/>
              <w:bottom w:val="single" w:sz="4" w:space="0" w:color="000000"/>
              <w:right w:val="single" w:sz="4" w:space="0" w:color="000000"/>
            </w:tcBorders>
          </w:tcPr>
          <w:p w14:paraId="158B1D21" w14:textId="77777777" w:rsidR="00843FDA" w:rsidRPr="00C6580C" w:rsidRDefault="00843FDA" w:rsidP="00CD7CAC">
            <w:pPr>
              <w:widowControl/>
              <w:jc w:val="right"/>
              <w:rPr>
                <w:kern w:val="0"/>
                <w:szCs w:val="22"/>
              </w:rPr>
            </w:pPr>
            <w:r w:rsidRPr="00C6580C">
              <w:rPr>
                <w:kern w:val="0"/>
                <w:szCs w:val="22"/>
              </w:rPr>
              <w:t>.8000</w:t>
            </w:r>
          </w:p>
        </w:tc>
      </w:tr>
      <w:tr w:rsidR="00843FDA" w:rsidRPr="00C6580C" w14:paraId="570DECEB" w14:textId="77777777">
        <w:tc>
          <w:tcPr>
            <w:tcW w:w="0" w:type="auto"/>
            <w:tcBorders>
              <w:top w:val="single" w:sz="4" w:space="0" w:color="000000"/>
              <w:left w:val="single" w:sz="4" w:space="0" w:color="000000"/>
              <w:bottom w:val="single" w:sz="4" w:space="0" w:color="000000"/>
              <w:right w:val="single" w:sz="4" w:space="0" w:color="000000"/>
            </w:tcBorders>
          </w:tcPr>
          <w:p w14:paraId="4FD3A67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5A64767" w14:textId="77777777" w:rsidR="00843FDA" w:rsidRPr="00C6580C" w:rsidRDefault="00843FDA" w:rsidP="00CD7CAC">
            <w:pPr>
              <w:widowControl/>
              <w:jc w:val="center"/>
              <w:rPr>
                <w:szCs w:val="22"/>
              </w:rPr>
            </w:pPr>
            <w:r w:rsidRPr="00C6580C">
              <w:rPr>
                <w:kern w:val="0"/>
                <w:szCs w:val="22"/>
              </w:rPr>
              <w:t>* * *</w:t>
            </w:r>
          </w:p>
        </w:tc>
      </w:tr>
      <w:tr w:rsidR="00843FDA" w:rsidRPr="00C6580C" w14:paraId="102CB671" w14:textId="77777777">
        <w:tc>
          <w:tcPr>
            <w:tcW w:w="0" w:type="auto"/>
            <w:tcBorders>
              <w:top w:val="single" w:sz="4" w:space="0" w:color="000000"/>
              <w:left w:val="single" w:sz="4" w:space="0" w:color="000000"/>
              <w:bottom w:val="single" w:sz="4" w:space="0" w:color="000000"/>
              <w:right w:val="single" w:sz="4" w:space="0" w:color="000000"/>
            </w:tcBorders>
          </w:tcPr>
          <w:p w14:paraId="4C46DD8B" w14:textId="77777777" w:rsidR="00843FDA" w:rsidRPr="00C6580C" w:rsidRDefault="00843FDA" w:rsidP="00CD7CAC">
            <w:pPr>
              <w:widowControl/>
              <w:rPr>
                <w:kern w:val="0"/>
                <w:szCs w:val="22"/>
              </w:rPr>
            </w:pPr>
            <w:r w:rsidRPr="00C6580C">
              <w:rPr>
                <w:kern w:val="0"/>
                <w:szCs w:val="22"/>
              </w:rPr>
              <w:t>463a</w:t>
            </w:r>
          </w:p>
        </w:tc>
        <w:tc>
          <w:tcPr>
            <w:tcW w:w="0" w:type="auto"/>
            <w:tcBorders>
              <w:top w:val="single" w:sz="4" w:space="0" w:color="000000"/>
              <w:left w:val="single" w:sz="4" w:space="0" w:color="000000"/>
              <w:bottom w:val="single" w:sz="4" w:space="0" w:color="000000"/>
              <w:right w:val="single" w:sz="4" w:space="0" w:color="000000"/>
            </w:tcBorders>
          </w:tcPr>
          <w:p w14:paraId="55AE0618" w14:textId="77777777" w:rsidR="00843FDA" w:rsidRPr="00C6580C" w:rsidRDefault="00843FDA" w:rsidP="00CD7CAC">
            <w:pPr>
              <w:widowControl/>
              <w:jc w:val="right"/>
              <w:rPr>
                <w:kern w:val="0"/>
                <w:szCs w:val="22"/>
              </w:rPr>
            </w:pPr>
            <w:r w:rsidRPr="00C6580C">
              <w:rPr>
                <w:kern w:val="0"/>
                <w:szCs w:val="22"/>
              </w:rPr>
              <w:t>.8250</w:t>
            </w:r>
          </w:p>
        </w:tc>
      </w:tr>
      <w:tr w:rsidR="00843FDA" w:rsidRPr="00C6580C" w14:paraId="5164919A" w14:textId="77777777">
        <w:tc>
          <w:tcPr>
            <w:tcW w:w="0" w:type="auto"/>
            <w:tcBorders>
              <w:top w:val="single" w:sz="4" w:space="0" w:color="000000"/>
              <w:left w:val="single" w:sz="4" w:space="0" w:color="000000"/>
              <w:bottom w:val="single" w:sz="4" w:space="0" w:color="000000"/>
              <w:right w:val="single" w:sz="4" w:space="0" w:color="000000"/>
            </w:tcBorders>
          </w:tcPr>
          <w:p w14:paraId="1E5FB9D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969F839" w14:textId="77777777" w:rsidR="00843FDA" w:rsidRPr="00C6580C" w:rsidRDefault="00843FDA" w:rsidP="00CD7CAC">
            <w:pPr>
              <w:widowControl/>
              <w:jc w:val="center"/>
              <w:rPr>
                <w:szCs w:val="22"/>
              </w:rPr>
            </w:pPr>
            <w:r w:rsidRPr="00C6580C">
              <w:rPr>
                <w:kern w:val="0"/>
                <w:szCs w:val="22"/>
              </w:rPr>
              <w:t>* * *</w:t>
            </w:r>
          </w:p>
        </w:tc>
      </w:tr>
      <w:tr w:rsidR="00843FDA" w:rsidRPr="00C6580C" w14:paraId="44991350" w14:textId="77777777">
        <w:tc>
          <w:tcPr>
            <w:tcW w:w="0" w:type="auto"/>
            <w:tcBorders>
              <w:top w:val="single" w:sz="4" w:space="0" w:color="000000"/>
              <w:left w:val="single" w:sz="4" w:space="0" w:color="000000"/>
              <w:bottom w:val="single" w:sz="4" w:space="0" w:color="000000"/>
              <w:right w:val="single" w:sz="4" w:space="0" w:color="000000"/>
            </w:tcBorders>
          </w:tcPr>
          <w:p w14:paraId="1A329431" w14:textId="77777777" w:rsidR="00843FDA" w:rsidRPr="00C6580C" w:rsidRDefault="00843FDA" w:rsidP="00CD7CAC">
            <w:pPr>
              <w:widowControl/>
              <w:rPr>
                <w:kern w:val="0"/>
                <w:szCs w:val="22"/>
              </w:rPr>
            </w:pPr>
            <w:r w:rsidRPr="00C6580C">
              <w:rPr>
                <w:kern w:val="0"/>
                <w:szCs w:val="22"/>
              </w:rPr>
              <w:t>464a</w:t>
            </w:r>
          </w:p>
        </w:tc>
        <w:tc>
          <w:tcPr>
            <w:tcW w:w="0" w:type="auto"/>
            <w:tcBorders>
              <w:top w:val="single" w:sz="4" w:space="0" w:color="000000"/>
              <w:left w:val="single" w:sz="4" w:space="0" w:color="000000"/>
              <w:bottom w:val="single" w:sz="4" w:space="0" w:color="000000"/>
              <w:right w:val="single" w:sz="4" w:space="0" w:color="000000"/>
            </w:tcBorders>
          </w:tcPr>
          <w:p w14:paraId="216BEE13" w14:textId="77777777" w:rsidR="00843FDA" w:rsidRPr="00C6580C" w:rsidRDefault="00843FDA" w:rsidP="00CD7CAC">
            <w:pPr>
              <w:widowControl/>
              <w:jc w:val="right"/>
              <w:rPr>
                <w:kern w:val="0"/>
                <w:szCs w:val="22"/>
              </w:rPr>
            </w:pPr>
            <w:r w:rsidRPr="00C6580C">
              <w:rPr>
                <w:kern w:val="0"/>
                <w:szCs w:val="22"/>
              </w:rPr>
              <w:t>.8500</w:t>
            </w:r>
          </w:p>
        </w:tc>
      </w:tr>
      <w:tr w:rsidR="00843FDA" w:rsidRPr="00C6580C" w14:paraId="2257DD52" w14:textId="77777777">
        <w:tc>
          <w:tcPr>
            <w:tcW w:w="0" w:type="auto"/>
            <w:tcBorders>
              <w:top w:val="single" w:sz="4" w:space="0" w:color="000000"/>
              <w:left w:val="single" w:sz="4" w:space="0" w:color="000000"/>
              <w:bottom w:val="single" w:sz="4" w:space="0" w:color="000000"/>
              <w:right w:val="single" w:sz="4" w:space="0" w:color="000000"/>
            </w:tcBorders>
          </w:tcPr>
          <w:p w14:paraId="3F86B7A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E418353" w14:textId="77777777" w:rsidR="00843FDA" w:rsidRPr="00C6580C" w:rsidRDefault="00843FDA" w:rsidP="00CD7CAC">
            <w:pPr>
              <w:widowControl/>
              <w:jc w:val="center"/>
              <w:rPr>
                <w:szCs w:val="22"/>
              </w:rPr>
            </w:pPr>
            <w:r w:rsidRPr="00C6580C">
              <w:rPr>
                <w:kern w:val="0"/>
                <w:szCs w:val="22"/>
              </w:rPr>
              <w:t>* * *</w:t>
            </w:r>
          </w:p>
        </w:tc>
      </w:tr>
      <w:tr w:rsidR="00843FDA" w:rsidRPr="00C6580C" w14:paraId="6169B6A0" w14:textId="77777777">
        <w:tc>
          <w:tcPr>
            <w:tcW w:w="0" w:type="auto"/>
            <w:tcBorders>
              <w:top w:val="single" w:sz="4" w:space="0" w:color="000000"/>
              <w:left w:val="single" w:sz="4" w:space="0" w:color="000000"/>
              <w:bottom w:val="single" w:sz="4" w:space="0" w:color="000000"/>
              <w:right w:val="single" w:sz="4" w:space="0" w:color="000000"/>
            </w:tcBorders>
          </w:tcPr>
          <w:p w14:paraId="1FD26849" w14:textId="77777777" w:rsidR="00843FDA" w:rsidRPr="00C6580C" w:rsidRDefault="00843FDA" w:rsidP="00CD7CAC">
            <w:pPr>
              <w:widowControl/>
              <w:rPr>
                <w:kern w:val="0"/>
                <w:szCs w:val="22"/>
              </w:rPr>
            </w:pPr>
            <w:r w:rsidRPr="00C6580C">
              <w:rPr>
                <w:kern w:val="0"/>
                <w:szCs w:val="22"/>
              </w:rPr>
              <w:t>465a</w:t>
            </w:r>
          </w:p>
        </w:tc>
        <w:tc>
          <w:tcPr>
            <w:tcW w:w="0" w:type="auto"/>
            <w:tcBorders>
              <w:top w:val="single" w:sz="4" w:space="0" w:color="000000"/>
              <w:left w:val="single" w:sz="4" w:space="0" w:color="000000"/>
              <w:bottom w:val="single" w:sz="4" w:space="0" w:color="000000"/>
              <w:right w:val="single" w:sz="4" w:space="0" w:color="000000"/>
            </w:tcBorders>
          </w:tcPr>
          <w:p w14:paraId="65F775A9" w14:textId="77777777" w:rsidR="00843FDA" w:rsidRPr="00C6580C" w:rsidRDefault="00843FDA" w:rsidP="00CD7CAC">
            <w:pPr>
              <w:widowControl/>
              <w:jc w:val="right"/>
              <w:rPr>
                <w:kern w:val="0"/>
                <w:szCs w:val="22"/>
              </w:rPr>
            </w:pPr>
            <w:r w:rsidRPr="00C6580C">
              <w:rPr>
                <w:kern w:val="0"/>
                <w:szCs w:val="22"/>
              </w:rPr>
              <w:t>.8750</w:t>
            </w:r>
          </w:p>
        </w:tc>
      </w:tr>
      <w:tr w:rsidR="00843FDA" w:rsidRPr="00C6580C" w14:paraId="2A33997C" w14:textId="77777777">
        <w:tc>
          <w:tcPr>
            <w:tcW w:w="0" w:type="auto"/>
            <w:tcBorders>
              <w:top w:val="single" w:sz="4" w:space="0" w:color="000000"/>
              <w:left w:val="single" w:sz="4" w:space="0" w:color="000000"/>
              <w:bottom w:val="single" w:sz="4" w:space="0" w:color="000000"/>
              <w:right w:val="single" w:sz="4" w:space="0" w:color="000000"/>
            </w:tcBorders>
          </w:tcPr>
          <w:p w14:paraId="2F8FF6F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102F9BD" w14:textId="77777777" w:rsidR="00843FDA" w:rsidRPr="00C6580C" w:rsidRDefault="00843FDA" w:rsidP="00CD7CAC">
            <w:pPr>
              <w:widowControl/>
              <w:jc w:val="center"/>
              <w:rPr>
                <w:szCs w:val="22"/>
              </w:rPr>
            </w:pPr>
            <w:r w:rsidRPr="00C6580C">
              <w:rPr>
                <w:kern w:val="0"/>
                <w:szCs w:val="22"/>
              </w:rPr>
              <w:t>* * *</w:t>
            </w:r>
          </w:p>
        </w:tc>
      </w:tr>
      <w:tr w:rsidR="00843FDA" w:rsidRPr="00C6580C" w14:paraId="3AF5DD68" w14:textId="77777777">
        <w:tc>
          <w:tcPr>
            <w:tcW w:w="0" w:type="auto"/>
            <w:tcBorders>
              <w:top w:val="single" w:sz="4" w:space="0" w:color="000000"/>
              <w:left w:val="single" w:sz="4" w:space="0" w:color="000000"/>
              <w:bottom w:val="single" w:sz="4" w:space="0" w:color="000000"/>
              <w:right w:val="single" w:sz="4" w:space="0" w:color="000000"/>
            </w:tcBorders>
          </w:tcPr>
          <w:p w14:paraId="1893EB03" w14:textId="77777777" w:rsidR="00843FDA" w:rsidRPr="00C6580C" w:rsidRDefault="00843FDA" w:rsidP="00CD7CAC">
            <w:pPr>
              <w:widowControl/>
              <w:rPr>
                <w:kern w:val="0"/>
                <w:szCs w:val="22"/>
              </w:rPr>
            </w:pPr>
            <w:r w:rsidRPr="00C6580C">
              <w:rPr>
                <w:kern w:val="0"/>
                <w:szCs w:val="22"/>
              </w:rPr>
              <w:t>466a</w:t>
            </w:r>
          </w:p>
        </w:tc>
        <w:tc>
          <w:tcPr>
            <w:tcW w:w="0" w:type="auto"/>
            <w:tcBorders>
              <w:top w:val="single" w:sz="4" w:space="0" w:color="000000"/>
              <w:left w:val="single" w:sz="4" w:space="0" w:color="000000"/>
              <w:bottom w:val="single" w:sz="4" w:space="0" w:color="000000"/>
              <w:right w:val="single" w:sz="4" w:space="0" w:color="000000"/>
            </w:tcBorders>
          </w:tcPr>
          <w:p w14:paraId="7DAB9812" w14:textId="77777777" w:rsidR="00843FDA" w:rsidRPr="00C6580C" w:rsidRDefault="00843FDA" w:rsidP="00CD7CAC">
            <w:pPr>
              <w:widowControl/>
              <w:jc w:val="right"/>
              <w:rPr>
                <w:kern w:val="0"/>
                <w:szCs w:val="22"/>
              </w:rPr>
            </w:pPr>
            <w:r w:rsidRPr="00C6580C">
              <w:rPr>
                <w:kern w:val="0"/>
                <w:szCs w:val="22"/>
              </w:rPr>
              <w:t>.9000</w:t>
            </w:r>
          </w:p>
        </w:tc>
      </w:tr>
      <w:tr w:rsidR="00843FDA" w:rsidRPr="00C6580C" w14:paraId="222FE71D" w14:textId="77777777">
        <w:tc>
          <w:tcPr>
            <w:tcW w:w="0" w:type="auto"/>
            <w:tcBorders>
              <w:top w:val="single" w:sz="4" w:space="0" w:color="000000"/>
              <w:left w:val="single" w:sz="4" w:space="0" w:color="000000"/>
              <w:bottom w:val="single" w:sz="4" w:space="0" w:color="000000"/>
              <w:right w:val="single" w:sz="4" w:space="0" w:color="000000"/>
            </w:tcBorders>
          </w:tcPr>
          <w:p w14:paraId="053BA3C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C076162" w14:textId="77777777" w:rsidR="00843FDA" w:rsidRPr="00C6580C" w:rsidRDefault="00843FDA" w:rsidP="00CD7CAC">
            <w:pPr>
              <w:widowControl/>
              <w:jc w:val="center"/>
              <w:rPr>
                <w:szCs w:val="22"/>
              </w:rPr>
            </w:pPr>
            <w:r w:rsidRPr="00C6580C">
              <w:rPr>
                <w:kern w:val="0"/>
                <w:szCs w:val="22"/>
              </w:rPr>
              <w:t>* * *</w:t>
            </w:r>
          </w:p>
        </w:tc>
      </w:tr>
      <w:tr w:rsidR="00843FDA" w:rsidRPr="00C6580C" w14:paraId="4D3FFC36" w14:textId="77777777">
        <w:tc>
          <w:tcPr>
            <w:tcW w:w="0" w:type="auto"/>
            <w:tcBorders>
              <w:top w:val="single" w:sz="4" w:space="0" w:color="000000"/>
              <w:left w:val="single" w:sz="4" w:space="0" w:color="000000"/>
              <w:bottom w:val="single" w:sz="4" w:space="0" w:color="000000"/>
              <w:right w:val="single" w:sz="4" w:space="0" w:color="000000"/>
            </w:tcBorders>
          </w:tcPr>
          <w:p w14:paraId="22C1F657" w14:textId="77777777" w:rsidR="00843FDA" w:rsidRPr="00C6580C" w:rsidRDefault="00843FDA" w:rsidP="00CD7CAC">
            <w:pPr>
              <w:widowControl/>
              <w:rPr>
                <w:kern w:val="0"/>
                <w:szCs w:val="22"/>
              </w:rPr>
            </w:pPr>
            <w:r w:rsidRPr="00C6580C">
              <w:rPr>
                <w:kern w:val="0"/>
                <w:szCs w:val="22"/>
              </w:rPr>
              <w:t>467a</w:t>
            </w:r>
          </w:p>
        </w:tc>
        <w:tc>
          <w:tcPr>
            <w:tcW w:w="0" w:type="auto"/>
            <w:tcBorders>
              <w:top w:val="single" w:sz="4" w:space="0" w:color="000000"/>
              <w:left w:val="single" w:sz="4" w:space="0" w:color="000000"/>
              <w:bottom w:val="single" w:sz="4" w:space="0" w:color="000000"/>
              <w:right w:val="single" w:sz="4" w:space="0" w:color="000000"/>
            </w:tcBorders>
          </w:tcPr>
          <w:p w14:paraId="061420EE" w14:textId="77777777" w:rsidR="00843FDA" w:rsidRPr="00C6580C" w:rsidRDefault="00843FDA" w:rsidP="00CD7CAC">
            <w:pPr>
              <w:widowControl/>
              <w:jc w:val="right"/>
              <w:rPr>
                <w:kern w:val="0"/>
                <w:szCs w:val="22"/>
              </w:rPr>
            </w:pPr>
            <w:r w:rsidRPr="00C6580C">
              <w:rPr>
                <w:kern w:val="0"/>
                <w:szCs w:val="22"/>
              </w:rPr>
              <w:t>.9250</w:t>
            </w:r>
          </w:p>
        </w:tc>
      </w:tr>
      <w:tr w:rsidR="00843FDA" w:rsidRPr="00C6580C" w14:paraId="17C57CA0" w14:textId="77777777">
        <w:tc>
          <w:tcPr>
            <w:tcW w:w="0" w:type="auto"/>
            <w:tcBorders>
              <w:top w:val="single" w:sz="4" w:space="0" w:color="000000"/>
              <w:left w:val="single" w:sz="4" w:space="0" w:color="000000"/>
              <w:bottom w:val="single" w:sz="4" w:space="0" w:color="000000"/>
              <w:right w:val="single" w:sz="4" w:space="0" w:color="000000"/>
            </w:tcBorders>
          </w:tcPr>
          <w:p w14:paraId="2ABB94D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9499AD3" w14:textId="77777777" w:rsidR="00843FDA" w:rsidRPr="00C6580C" w:rsidRDefault="00843FDA" w:rsidP="00CD7CAC">
            <w:pPr>
              <w:widowControl/>
              <w:jc w:val="center"/>
              <w:rPr>
                <w:szCs w:val="22"/>
              </w:rPr>
            </w:pPr>
            <w:r w:rsidRPr="00C6580C">
              <w:rPr>
                <w:kern w:val="0"/>
                <w:szCs w:val="22"/>
              </w:rPr>
              <w:t>* * *</w:t>
            </w:r>
          </w:p>
        </w:tc>
      </w:tr>
      <w:tr w:rsidR="00843FDA" w:rsidRPr="00C6580C" w14:paraId="427EFB05" w14:textId="77777777">
        <w:tc>
          <w:tcPr>
            <w:tcW w:w="0" w:type="auto"/>
            <w:tcBorders>
              <w:top w:val="single" w:sz="4" w:space="0" w:color="000000"/>
              <w:left w:val="single" w:sz="4" w:space="0" w:color="000000"/>
              <w:bottom w:val="single" w:sz="4" w:space="0" w:color="000000"/>
              <w:right w:val="single" w:sz="4" w:space="0" w:color="000000"/>
            </w:tcBorders>
          </w:tcPr>
          <w:p w14:paraId="0E4AD63A" w14:textId="77777777" w:rsidR="00843FDA" w:rsidRPr="00C6580C" w:rsidRDefault="00843FDA" w:rsidP="00CD7CAC">
            <w:pPr>
              <w:widowControl/>
              <w:rPr>
                <w:kern w:val="0"/>
                <w:szCs w:val="22"/>
              </w:rPr>
            </w:pPr>
            <w:r w:rsidRPr="00C6580C">
              <w:rPr>
                <w:kern w:val="0"/>
                <w:szCs w:val="22"/>
              </w:rPr>
              <w:t>468a</w:t>
            </w:r>
          </w:p>
        </w:tc>
        <w:tc>
          <w:tcPr>
            <w:tcW w:w="0" w:type="auto"/>
            <w:tcBorders>
              <w:top w:val="single" w:sz="4" w:space="0" w:color="000000"/>
              <w:left w:val="single" w:sz="4" w:space="0" w:color="000000"/>
              <w:bottom w:val="single" w:sz="4" w:space="0" w:color="000000"/>
              <w:right w:val="single" w:sz="4" w:space="0" w:color="000000"/>
            </w:tcBorders>
          </w:tcPr>
          <w:p w14:paraId="68092936" w14:textId="77777777" w:rsidR="00843FDA" w:rsidRPr="00C6580C" w:rsidRDefault="00843FDA" w:rsidP="00CD7CAC">
            <w:pPr>
              <w:widowControl/>
              <w:jc w:val="right"/>
              <w:rPr>
                <w:kern w:val="0"/>
                <w:szCs w:val="22"/>
              </w:rPr>
            </w:pPr>
            <w:r w:rsidRPr="00C6580C">
              <w:rPr>
                <w:kern w:val="0"/>
                <w:szCs w:val="22"/>
              </w:rPr>
              <w:t>.9500</w:t>
            </w:r>
          </w:p>
        </w:tc>
      </w:tr>
      <w:tr w:rsidR="00843FDA" w:rsidRPr="00C6580C" w14:paraId="421AB6D6" w14:textId="77777777">
        <w:tc>
          <w:tcPr>
            <w:tcW w:w="0" w:type="auto"/>
            <w:tcBorders>
              <w:top w:val="single" w:sz="4" w:space="0" w:color="000000"/>
              <w:left w:val="single" w:sz="4" w:space="0" w:color="000000"/>
              <w:bottom w:val="single" w:sz="4" w:space="0" w:color="000000"/>
              <w:right w:val="single" w:sz="4" w:space="0" w:color="000000"/>
            </w:tcBorders>
          </w:tcPr>
          <w:p w14:paraId="1C70D91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0442A62" w14:textId="77777777" w:rsidR="00843FDA" w:rsidRPr="00C6580C" w:rsidRDefault="00843FDA" w:rsidP="00CD7CAC">
            <w:pPr>
              <w:widowControl/>
              <w:jc w:val="center"/>
              <w:rPr>
                <w:szCs w:val="22"/>
              </w:rPr>
            </w:pPr>
            <w:r w:rsidRPr="00C6580C">
              <w:rPr>
                <w:kern w:val="0"/>
                <w:szCs w:val="22"/>
              </w:rPr>
              <w:t>* * *</w:t>
            </w:r>
          </w:p>
        </w:tc>
      </w:tr>
      <w:tr w:rsidR="00843FDA" w:rsidRPr="00C6580C" w14:paraId="7ECC550B" w14:textId="77777777">
        <w:tc>
          <w:tcPr>
            <w:tcW w:w="0" w:type="auto"/>
            <w:tcBorders>
              <w:top w:val="single" w:sz="4" w:space="0" w:color="000000"/>
              <w:left w:val="single" w:sz="4" w:space="0" w:color="000000"/>
              <w:bottom w:val="single" w:sz="4" w:space="0" w:color="000000"/>
              <w:right w:val="single" w:sz="4" w:space="0" w:color="000000"/>
            </w:tcBorders>
          </w:tcPr>
          <w:p w14:paraId="15E5034A" w14:textId="77777777" w:rsidR="00843FDA" w:rsidRPr="00C6580C" w:rsidRDefault="00843FDA" w:rsidP="00CD7CAC">
            <w:pPr>
              <w:widowControl/>
              <w:rPr>
                <w:kern w:val="0"/>
                <w:szCs w:val="22"/>
              </w:rPr>
            </w:pPr>
            <w:r w:rsidRPr="00C6580C">
              <w:rPr>
                <w:kern w:val="0"/>
                <w:szCs w:val="22"/>
              </w:rPr>
              <w:t>469a</w:t>
            </w:r>
          </w:p>
        </w:tc>
        <w:tc>
          <w:tcPr>
            <w:tcW w:w="0" w:type="auto"/>
            <w:tcBorders>
              <w:top w:val="single" w:sz="4" w:space="0" w:color="000000"/>
              <w:left w:val="single" w:sz="4" w:space="0" w:color="000000"/>
              <w:bottom w:val="single" w:sz="4" w:space="0" w:color="000000"/>
              <w:right w:val="single" w:sz="4" w:space="0" w:color="000000"/>
            </w:tcBorders>
          </w:tcPr>
          <w:p w14:paraId="0DBBF5AB" w14:textId="77777777" w:rsidR="00843FDA" w:rsidRPr="00C6580C" w:rsidRDefault="00843FDA" w:rsidP="00CD7CAC">
            <w:pPr>
              <w:widowControl/>
              <w:jc w:val="right"/>
              <w:rPr>
                <w:kern w:val="0"/>
                <w:szCs w:val="22"/>
              </w:rPr>
            </w:pPr>
            <w:r w:rsidRPr="00C6580C">
              <w:rPr>
                <w:kern w:val="0"/>
                <w:szCs w:val="22"/>
              </w:rPr>
              <w:t>.9750</w:t>
            </w:r>
          </w:p>
        </w:tc>
      </w:tr>
      <w:tr w:rsidR="00843FDA" w:rsidRPr="00C6580C" w14:paraId="6C274BE1" w14:textId="77777777">
        <w:tc>
          <w:tcPr>
            <w:tcW w:w="0" w:type="auto"/>
            <w:tcBorders>
              <w:top w:val="single" w:sz="4" w:space="0" w:color="000000"/>
              <w:left w:val="single" w:sz="4" w:space="0" w:color="000000"/>
              <w:bottom w:val="single" w:sz="4" w:space="0" w:color="000000"/>
              <w:right w:val="single" w:sz="4" w:space="0" w:color="000000"/>
            </w:tcBorders>
          </w:tcPr>
          <w:p w14:paraId="7FE7827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F856958" w14:textId="77777777" w:rsidR="00843FDA" w:rsidRPr="00C6580C" w:rsidRDefault="00843FDA" w:rsidP="00CD7CAC">
            <w:pPr>
              <w:widowControl/>
              <w:jc w:val="center"/>
              <w:rPr>
                <w:szCs w:val="22"/>
              </w:rPr>
            </w:pPr>
            <w:r w:rsidRPr="00C6580C">
              <w:rPr>
                <w:kern w:val="0"/>
                <w:szCs w:val="22"/>
              </w:rPr>
              <w:t>* * *</w:t>
            </w:r>
          </w:p>
        </w:tc>
      </w:tr>
      <w:tr w:rsidR="00843FDA" w:rsidRPr="00C6580C" w14:paraId="4612B614" w14:textId="77777777">
        <w:tc>
          <w:tcPr>
            <w:tcW w:w="0" w:type="auto"/>
            <w:tcBorders>
              <w:top w:val="single" w:sz="4" w:space="0" w:color="000000"/>
              <w:left w:val="single" w:sz="4" w:space="0" w:color="000000"/>
              <w:bottom w:val="single" w:sz="4" w:space="0" w:color="000000"/>
              <w:right w:val="single" w:sz="4" w:space="0" w:color="000000"/>
            </w:tcBorders>
          </w:tcPr>
          <w:p w14:paraId="3A96DAC5" w14:textId="77777777" w:rsidR="00843FDA" w:rsidRPr="00C6580C" w:rsidRDefault="00843FDA" w:rsidP="00CD7CAC">
            <w:pPr>
              <w:widowControl/>
              <w:rPr>
                <w:kern w:val="0"/>
                <w:szCs w:val="22"/>
              </w:rPr>
            </w:pPr>
            <w:r w:rsidRPr="00C6580C">
              <w:rPr>
                <w:kern w:val="0"/>
                <w:szCs w:val="22"/>
              </w:rPr>
              <w:t>470a</w:t>
            </w:r>
          </w:p>
        </w:tc>
        <w:tc>
          <w:tcPr>
            <w:tcW w:w="0" w:type="auto"/>
            <w:tcBorders>
              <w:top w:val="single" w:sz="4" w:space="0" w:color="000000"/>
              <w:left w:val="single" w:sz="4" w:space="0" w:color="000000"/>
              <w:bottom w:val="single" w:sz="4" w:space="0" w:color="000000"/>
              <w:right w:val="single" w:sz="4" w:space="0" w:color="000000"/>
            </w:tcBorders>
          </w:tcPr>
          <w:p w14:paraId="48537DED" w14:textId="77777777" w:rsidR="00843FDA" w:rsidRPr="00C6580C" w:rsidRDefault="00843FDA" w:rsidP="00CD7CAC">
            <w:pPr>
              <w:widowControl/>
              <w:jc w:val="right"/>
              <w:rPr>
                <w:kern w:val="0"/>
                <w:szCs w:val="22"/>
              </w:rPr>
            </w:pPr>
            <w:r w:rsidRPr="00C6580C">
              <w:rPr>
                <w:kern w:val="0"/>
                <w:szCs w:val="22"/>
              </w:rPr>
              <w:t>860.0000</w:t>
            </w:r>
          </w:p>
        </w:tc>
      </w:tr>
      <w:tr w:rsidR="00843FDA" w:rsidRPr="00C6580C" w14:paraId="31B420AB" w14:textId="77777777">
        <w:tc>
          <w:tcPr>
            <w:tcW w:w="0" w:type="auto"/>
            <w:tcBorders>
              <w:top w:val="single" w:sz="4" w:space="0" w:color="000000"/>
              <w:left w:val="single" w:sz="4" w:space="0" w:color="000000"/>
              <w:bottom w:val="single" w:sz="4" w:space="0" w:color="000000"/>
              <w:right w:val="single" w:sz="4" w:space="0" w:color="000000"/>
            </w:tcBorders>
          </w:tcPr>
          <w:p w14:paraId="56DFF3F5"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89EDDE9" w14:textId="77777777" w:rsidR="00843FDA" w:rsidRPr="00C6580C" w:rsidRDefault="00843FDA" w:rsidP="00CD7CAC">
            <w:pPr>
              <w:widowControl/>
              <w:jc w:val="right"/>
              <w:rPr>
                <w:kern w:val="0"/>
                <w:szCs w:val="22"/>
              </w:rPr>
            </w:pPr>
            <w:r w:rsidRPr="00C6580C">
              <w:rPr>
                <w:kern w:val="0"/>
                <w:szCs w:val="22"/>
              </w:rPr>
              <w:t>.0125</w:t>
            </w:r>
          </w:p>
        </w:tc>
      </w:tr>
      <w:tr w:rsidR="00843FDA" w:rsidRPr="00C6580C" w14:paraId="32BE92EE" w14:textId="77777777">
        <w:tc>
          <w:tcPr>
            <w:tcW w:w="0" w:type="auto"/>
            <w:tcBorders>
              <w:top w:val="single" w:sz="4" w:space="0" w:color="000000"/>
              <w:left w:val="single" w:sz="4" w:space="0" w:color="000000"/>
              <w:bottom w:val="single" w:sz="4" w:space="0" w:color="000000"/>
              <w:right w:val="single" w:sz="4" w:space="0" w:color="000000"/>
            </w:tcBorders>
          </w:tcPr>
          <w:p w14:paraId="6655FE9C" w14:textId="77777777" w:rsidR="00843FDA" w:rsidRPr="00C6580C" w:rsidRDefault="00843FDA" w:rsidP="00CD7CAC">
            <w:pPr>
              <w:widowControl/>
              <w:rPr>
                <w:kern w:val="0"/>
                <w:szCs w:val="22"/>
              </w:rPr>
            </w:pPr>
            <w:r w:rsidRPr="00C6580C">
              <w:rPr>
                <w:kern w:val="0"/>
                <w:szCs w:val="22"/>
              </w:rPr>
              <w:t>471a</w:t>
            </w:r>
          </w:p>
        </w:tc>
        <w:tc>
          <w:tcPr>
            <w:tcW w:w="0" w:type="auto"/>
            <w:tcBorders>
              <w:top w:val="single" w:sz="4" w:space="0" w:color="000000"/>
              <w:left w:val="single" w:sz="4" w:space="0" w:color="000000"/>
              <w:bottom w:val="single" w:sz="4" w:space="0" w:color="000000"/>
              <w:right w:val="single" w:sz="4" w:space="0" w:color="000000"/>
            </w:tcBorders>
          </w:tcPr>
          <w:p w14:paraId="0C15933F" w14:textId="77777777" w:rsidR="00843FDA" w:rsidRPr="00C6580C" w:rsidRDefault="00843FDA" w:rsidP="00CD7CAC">
            <w:pPr>
              <w:widowControl/>
              <w:jc w:val="right"/>
              <w:rPr>
                <w:kern w:val="0"/>
                <w:szCs w:val="22"/>
              </w:rPr>
            </w:pPr>
            <w:r w:rsidRPr="00C6580C">
              <w:rPr>
                <w:kern w:val="0"/>
                <w:szCs w:val="22"/>
              </w:rPr>
              <w:t>.0250</w:t>
            </w:r>
          </w:p>
        </w:tc>
      </w:tr>
      <w:tr w:rsidR="00843FDA" w:rsidRPr="00C6580C" w14:paraId="378940E6" w14:textId="77777777">
        <w:tc>
          <w:tcPr>
            <w:tcW w:w="0" w:type="auto"/>
            <w:tcBorders>
              <w:top w:val="single" w:sz="4" w:space="0" w:color="000000"/>
              <w:left w:val="single" w:sz="4" w:space="0" w:color="000000"/>
              <w:bottom w:val="single" w:sz="4" w:space="0" w:color="000000"/>
              <w:right w:val="single" w:sz="4" w:space="0" w:color="000000"/>
            </w:tcBorders>
          </w:tcPr>
          <w:p w14:paraId="5417936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77E68DA" w14:textId="77777777" w:rsidR="00843FDA" w:rsidRPr="00C6580C" w:rsidRDefault="00843FDA" w:rsidP="00CD7CAC">
            <w:pPr>
              <w:widowControl/>
              <w:jc w:val="center"/>
              <w:rPr>
                <w:szCs w:val="22"/>
              </w:rPr>
            </w:pPr>
            <w:r w:rsidRPr="00C6580C">
              <w:rPr>
                <w:kern w:val="0"/>
                <w:szCs w:val="22"/>
              </w:rPr>
              <w:t>* * *</w:t>
            </w:r>
          </w:p>
        </w:tc>
      </w:tr>
      <w:tr w:rsidR="00843FDA" w:rsidRPr="00C6580C" w14:paraId="042B03EF" w14:textId="77777777">
        <w:tc>
          <w:tcPr>
            <w:tcW w:w="0" w:type="auto"/>
            <w:tcBorders>
              <w:top w:val="single" w:sz="4" w:space="0" w:color="000000"/>
              <w:left w:val="single" w:sz="4" w:space="0" w:color="000000"/>
              <w:bottom w:val="single" w:sz="4" w:space="0" w:color="000000"/>
              <w:right w:val="single" w:sz="4" w:space="0" w:color="000000"/>
            </w:tcBorders>
          </w:tcPr>
          <w:p w14:paraId="278B78E5" w14:textId="77777777" w:rsidR="00843FDA" w:rsidRPr="00C6580C" w:rsidRDefault="00843FDA" w:rsidP="00CD7CAC">
            <w:pPr>
              <w:widowControl/>
              <w:rPr>
                <w:kern w:val="0"/>
                <w:szCs w:val="22"/>
              </w:rPr>
            </w:pPr>
            <w:r w:rsidRPr="00C6580C">
              <w:rPr>
                <w:kern w:val="0"/>
                <w:szCs w:val="22"/>
              </w:rPr>
              <w:t>472a</w:t>
            </w:r>
          </w:p>
        </w:tc>
        <w:tc>
          <w:tcPr>
            <w:tcW w:w="0" w:type="auto"/>
            <w:tcBorders>
              <w:top w:val="single" w:sz="4" w:space="0" w:color="000000"/>
              <w:left w:val="single" w:sz="4" w:space="0" w:color="000000"/>
              <w:bottom w:val="single" w:sz="4" w:space="0" w:color="000000"/>
              <w:right w:val="single" w:sz="4" w:space="0" w:color="000000"/>
            </w:tcBorders>
          </w:tcPr>
          <w:p w14:paraId="2CA9ABA8" w14:textId="77777777" w:rsidR="00843FDA" w:rsidRPr="00C6580C" w:rsidRDefault="00843FDA" w:rsidP="00CD7CAC">
            <w:pPr>
              <w:widowControl/>
              <w:jc w:val="right"/>
              <w:rPr>
                <w:kern w:val="0"/>
                <w:szCs w:val="22"/>
              </w:rPr>
            </w:pPr>
            <w:r w:rsidRPr="00C6580C">
              <w:rPr>
                <w:kern w:val="0"/>
                <w:szCs w:val="22"/>
              </w:rPr>
              <w:t>.0500</w:t>
            </w:r>
          </w:p>
        </w:tc>
      </w:tr>
      <w:tr w:rsidR="00843FDA" w:rsidRPr="00C6580C" w14:paraId="755E451A" w14:textId="77777777">
        <w:tc>
          <w:tcPr>
            <w:tcW w:w="0" w:type="auto"/>
            <w:tcBorders>
              <w:top w:val="single" w:sz="4" w:space="0" w:color="000000"/>
              <w:left w:val="single" w:sz="4" w:space="0" w:color="000000"/>
              <w:bottom w:val="single" w:sz="4" w:space="0" w:color="000000"/>
              <w:right w:val="single" w:sz="4" w:space="0" w:color="000000"/>
            </w:tcBorders>
          </w:tcPr>
          <w:p w14:paraId="0142884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0728B7E" w14:textId="77777777" w:rsidR="00843FDA" w:rsidRPr="00C6580C" w:rsidRDefault="00843FDA" w:rsidP="00CD7CAC">
            <w:pPr>
              <w:widowControl/>
              <w:jc w:val="center"/>
              <w:rPr>
                <w:szCs w:val="22"/>
              </w:rPr>
            </w:pPr>
            <w:r w:rsidRPr="00C6580C">
              <w:rPr>
                <w:kern w:val="0"/>
                <w:szCs w:val="22"/>
              </w:rPr>
              <w:t>* * *</w:t>
            </w:r>
          </w:p>
        </w:tc>
      </w:tr>
      <w:tr w:rsidR="00843FDA" w:rsidRPr="00C6580C" w14:paraId="7C96E1F9" w14:textId="77777777">
        <w:tc>
          <w:tcPr>
            <w:tcW w:w="0" w:type="auto"/>
            <w:tcBorders>
              <w:top w:val="single" w:sz="4" w:space="0" w:color="000000"/>
              <w:left w:val="single" w:sz="4" w:space="0" w:color="000000"/>
              <w:bottom w:val="single" w:sz="4" w:space="0" w:color="000000"/>
              <w:right w:val="single" w:sz="4" w:space="0" w:color="000000"/>
            </w:tcBorders>
          </w:tcPr>
          <w:p w14:paraId="3C8DE437" w14:textId="77777777" w:rsidR="00843FDA" w:rsidRPr="00C6580C" w:rsidRDefault="00843FDA" w:rsidP="00CD7CAC">
            <w:pPr>
              <w:widowControl/>
              <w:rPr>
                <w:kern w:val="0"/>
                <w:szCs w:val="22"/>
              </w:rPr>
            </w:pPr>
            <w:r w:rsidRPr="00C6580C">
              <w:rPr>
                <w:kern w:val="0"/>
                <w:szCs w:val="22"/>
              </w:rPr>
              <w:t>473a</w:t>
            </w:r>
          </w:p>
        </w:tc>
        <w:tc>
          <w:tcPr>
            <w:tcW w:w="0" w:type="auto"/>
            <w:tcBorders>
              <w:top w:val="single" w:sz="4" w:space="0" w:color="000000"/>
              <w:left w:val="single" w:sz="4" w:space="0" w:color="000000"/>
              <w:bottom w:val="single" w:sz="4" w:space="0" w:color="000000"/>
              <w:right w:val="single" w:sz="4" w:space="0" w:color="000000"/>
            </w:tcBorders>
          </w:tcPr>
          <w:p w14:paraId="2A78EFDE" w14:textId="77777777" w:rsidR="00843FDA" w:rsidRPr="00C6580C" w:rsidRDefault="00843FDA" w:rsidP="00CD7CAC">
            <w:pPr>
              <w:widowControl/>
              <w:jc w:val="right"/>
              <w:rPr>
                <w:kern w:val="0"/>
                <w:szCs w:val="22"/>
              </w:rPr>
            </w:pPr>
            <w:r w:rsidRPr="00C6580C">
              <w:rPr>
                <w:kern w:val="0"/>
                <w:szCs w:val="22"/>
              </w:rPr>
              <w:t>.0750</w:t>
            </w:r>
          </w:p>
        </w:tc>
      </w:tr>
      <w:tr w:rsidR="00843FDA" w:rsidRPr="00C6580C" w14:paraId="6D1EA0F0" w14:textId="77777777">
        <w:tc>
          <w:tcPr>
            <w:tcW w:w="0" w:type="auto"/>
            <w:tcBorders>
              <w:top w:val="single" w:sz="4" w:space="0" w:color="000000"/>
              <w:left w:val="single" w:sz="4" w:space="0" w:color="000000"/>
              <w:bottom w:val="single" w:sz="4" w:space="0" w:color="000000"/>
              <w:right w:val="single" w:sz="4" w:space="0" w:color="000000"/>
            </w:tcBorders>
          </w:tcPr>
          <w:p w14:paraId="436814D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AF4D1BB" w14:textId="77777777" w:rsidR="00843FDA" w:rsidRPr="00C6580C" w:rsidRDefault="00843FDA" w:rsidP="00CD7CAC">
            <w:pPr>
              <w:widowControl/>
              <w:jc w:val="center"/>
              <w:rPr>
                <w:szCs w:val="22"/>
              </w:rPr>
            </w:pPr>
            <w:r w:rsidRPr="00C6580C">
              <w:rPr>
                <w:kern w:val="0"/>
                <w:szCs w:val="22"/>
              </w:rPr>
              <w:t>* * *</w:t>
            </w:r>
          </w:p>
        </w:tc>
      </w:tr>
      <w:tr w:rsidR="00843FDA" w:rsidRPr="00C6580C" w14:paraId="0D9384B9" w14:textId="77777777">
        <w:tc>
          <w:tcPr>
            <w:tcW w:w="0" w:type="auto"/>
            <w:tcBorders>
              <w:top w:val="single" w:sz="4" w:space="0" w:color="000000"/>
              <w:left w:val="single" w:sz="4" w:space="0" w:color="000000"/>
              <w:bottom w:val="single" w:sz="4" w:space="0" w:color="000000"/>
              <w:right w:val="single" w:sz="4" w:space="0" w:color="000000"/>
            </w:tcBorders>
          </w:tcPr>
          <w:p w14:paraId="4B110542" w14:textId="77777777" w:rsidR="00843FDA" w:rsidRPr="00C6580C" w:rsidRDefault="00843FDA" w:rsidP="00CD7CAC">
            <w:pPr>
              <w:widowControl/>
              <w:rPr>
                <w:kern w:val="0"/>
                <w:szCs w:val="22"/>
              </w:rPr>
            </w:pPr>
            <w:r w:rsidRPr="00C6580C">
              <w:rPr>
                <w:kern w:val="0"/>
                <w:szCs w:val="22"/>
              </w:rPr>
              <w:t>474a</w:t>
            </w:r>
          </w:p>
        </w:tc>
        <w:tc>
          <w:tcPr>
            <w:tcW w:w="0" w:type="auto"/>
            <w:tcBorders>
              <w:top w:val="single" w:sz="4" w:space="0" w:color="000000"/>
              <w:left w:val="single" w:sz="4" w:space="0" w:color="000000"/>
              <w:bottom w:val="single" w:sz="4" w:space="0" w:color="000000"/>
              <w:right w:val="single" w:sz="4" w:space="0" w:color="000000"/>
            </w:tcBorders>
          </w:tcPr>
          <w:p w14:paraId="6703885F" w14:textId="77777777" w:rsidR="00843FDA" w:rsidRPr="00C6580C" w:rsidRDefault="00843FDA" w:rsidP="00CD7CAC">
            <w:pPr>
              <w:widowControl/>
              <w:jc w:val="right"/>
              <w:rPr>
                <w:kern w:val="0"/>
                <w:szCs w:val="22"/>
              </w:rPr>
            </w:pPr>
            <w:r w:rsidRPr="00C6580C">
              <w:rPr>
                <w:kern w:val="0"/>
                <w:szCs w:val="22"/>
              </w:rPr>
              <w:t>.1000</w:t>
            </w:r>
          </w:p>
        </w:tc>
      </w:tr>
      <w:tr w:rsidR="00843FDA" w:rsidRPr="00C6580C" w14:paraId="4949A4BE" w14:textId="77777777">
        <w:tc>
          <w:tcPr>
            <w:tcW w:w="0" w:type="auto"/>
            <w:tcBorders>
              <w:top w:val="single" w:sz="4" w:space="0" w:color="000000"/>
              <w:left w:val="single" w:sz="4" w:space="0" w:color="000000"/>
              <w:bottom w:val="single" w:sz="4" w:space="0" w:color="000000"/>
              <w:right w:val="single" w:sz="4" w:space="0" w:color="000000"/>
            </w:tcBorders>
          </w:tcPr>
          <w:p w14:paraId="6F57695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7725C40" w14:textId="77777777" w:rsidR="00843FDA" w:rsidRPr="00C6580C" w:rsidRDefault="00843FDA" w:rsidP="00CD7CAC">
            <w:pPr>
              <w:widowControl/>
              <w:jc w:val="center"/>
              <w:rPr>
                <w:szCs w:val="22"/>
              </w:rPr>
            </w:pPr>
            <w:r w:rsidRPr="00C6580C">
              <w:rPr>
                <w:kern w:val="0"/>
                <w:szCs w:val="22"/>
              </w:rPr>
              <w:t>* * *</w:t>
            </w:r>
          </w:p>
        </w:tc>
      </w:tr>
      <w:tr w:rsidR="00843FDA" w:rsidRPr="00C6580C" w14:paraId="1721EC92" w14:textId="77777777">
        <w:tc>
          <w:tcPr>
            <w:tcW w:w="0" w:type="auto"/>
            <w:tcBorders>
              <w:top w:val="single" w:sz="4" w:space="0" w:color="000000"/>
              <w:left w:val="single" w:sz="4" w:space="0" w:color="000000"/>
              <w:bottom w:val="single" w:sz="4" w:space="0" w:color="000000"/>
              <w:right w:val="single" w:sz="4" w:space="0" w:color="000000"/>
            </w:tcBorders>
          </w:tcPr>
          <w:p w14:paraId="2941EE48" w14:textId="77777777" w:rsidR="00843FDA" w:rsidRPr="00C6580C" w:rsidRDefault="00843FDA" w:rsidP="00CD7CAC">
            <w:pPr>
              <w:widowControl/>
              <w:rPr>
                <w:kern w:val="0"/>
                <w:szCs w:val="22"/>
              </w:rPr>
            </w:pPr>
            <w:r w:rsidRPr="00C6580C">
              <w:rPr>
                <w:kern w:val="0"/>
                <w:szCs w:val="22"/>
              </w:rPr>
              <w:t>475a</w:t>
            </w:r>
          </w:p>
        </w:tc>
        <w:tc>
          <w:tcPr>
            <w:tcW w:w="0" w:type="auto"/>
            <w:tcBorders>
              <w:top w:val="single" w:sz="4" w:space="0" w:color="000000"/>
              <w:left w:val="single" w:sz="4" w:space="0" w:color="000000"/>
              <w:bottom w:val="single" w:sz="4" w:space="0" w:color="000000"/>
              <w:right w:val="single" w:sz="4" w:space="0" w:color="000000"/>
            </w:tcBorders>
          </w:tcPr>
          <w:p w14:paraId="615F1127" w14:textId="77777777" w:rsidR="00843FDA" w:rsidRPr="00C6580C" w:rsidRDefault="00843FDA" w:rsidP="00CD7CAC">
            <w:pPr>
              <w:widowControl/>
              <w:jc w:val="right"/>
              <w:rPr>
                <w:kern w:val="0"/>
                <w:szCs w:val="22"/>
              </w:rPr>
            </w:pPr>
            <w:r w:rsidRPr="00C6580C">
              <w:rPr>
                <w:kern w:val="0"/>
                <w:szCs w:val="22"/>
              </w:rPr>
              <w:t>.1250</w:t>
            </w:r>
          </w:p>
        </w:tc>
      </w:tr>
      <w:tr w:rsidR="00843FDA" w:rsidRPr="00C6580C" w14:paraId="7BAADB56" w14:textId="77777777">
        <w:tc>
          <w:tcPr>
            <w:tcW w:w="0" w:type="auto"/>
            <w:tcBorders>
              <w:top w:val="single" w:sz="4" w:space="0" w:color="000000"/>
              <w:left w:val="single" w:sz="4" w:space="0" w:color="000000"/>
              <w:bottom w:val="single" w:sz="4" w:space="0" w:color="000000"/>
              <w:right w:val="single" w:sz="4" w:space="0" w:color="000000"/>
            </w:tcBorders>
          </w:tcPr>
          <w:p w14:paraId="0B7D69F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557FDA7" w14:textId="77777777" w:rsidR="00843FDA" w:rsidRPr="00C6580C" w:rsidRDefault="00843FDA" w:rsidP="00CD7CAC">
            <w:pPr>
              <w:widowControl/>
              <w:jc w:val="center"/>
              <w:rPr>
                <w:szCs w:val="22"/>
              </w:rPr>
            </w:pPr>
            <w:r w:rsidRPr="00C6580C">
              <w:rPr>
                <w:kern w:val="0"/>
                <w:szCs w:val="22"/>
              </w:rPr>
              <w:t>* * *</w:t>
            </w:r>
          </w:p>
        </w:tc>
      </w:tr>
      <w:tr w:rsidR="00843FDA" w:rsidRPr="00C6580C" w14:paraId="6D094B65" w14:textId="77777777">
        <w:tc>
          <w:tcPr>
            <w:tcW w:w="0" w:type="auto"/>
            <w:tcBorders>
              <w:top w:val="single" w:sz="4" w:space="0" w:color="000000"/>
              <w:left w:val="single" w:sz="4" w:space="0" w:color="000000"/>
              <w:bottom w:val="single" w:sz="4" w:space="0" w:color="000000"/>
              <w:right w:val="single" w:sz="4" w:space="0" w:color="000000"/>
            </w:tcBorders>
          </w:tcPr>
          <w:p w14:paraId="64AD731E" w14:textId="77777777" w:rsidR="00843FDA" w:rsidRPr="00C6580C" w:rsidRDefault="00843FDA" w:rsidP="00CD7CAC">
            <w:pPr>
              <w:widowControl/>
              <w:rPr>
                <w:kern w:val="0"/>
                <w:szCs w:val="22"/>
              </w:rPr>
            </w:pPr>
            <w:r w:rsidRPr="00C6580C">
              <w:rPr>
                <w:kern w:val="0"/>
                <w:szCs w:val="22"/>
              </w:rPr>
              <w:t>476a</w:t>
            </w:r>
          </w:p>
        </w:tc>
        <w:tc>
          <w:tcPr>
            <w:tcW w:w="0" w:type="auto"/>
            <w:tcBorders>
              <w:top w:val="single" w:sz="4" w:space="0" w:color="000000"/>
              <w:left w:val="single" w:sz="4" w:space="0" w:color="000000"/>
              <w:bottom w:val="single" w:sz="4" w:space="0" w:color="000000"/>
              <w:right w:val="single" w:sz="4" w:space="0" w:color="000000"/>
            </w:tcBorders>
          </w:tcPr>
          <w:p w14:paraId="6D262FEB" w14:textId="77777777" w:rsidR="00843FDA" w:rsidRPr="00C6580C" w:rsidRDefault="00843FDA" w:rsidP="00CD7CAC">
            <w:pPr>
              <w:widowControl/>
              <w:jc w:val="right"/>
              <w:rPr>
                <w:kern w:val="0"/>
                <w:szCs w:val="22"/>
              </w:rPr>
            </w:pPr>
            <w:r w:rsidRPr="00C6580C">
              <w:rPr>
                <w:kern w:val="0"/>
                <w:szCs w:val="22"/>
              </w:rPr>
              <w:t>.1500</w:t>
            </w:r>
          </w:p>
        </w:tc>
      </w:tr>
      <w:tr w:rsidR="00843FDA" w:rsidRPr="00C6580C" w14:paraId="159EAE5B" w14:textId="77777777">
        <w:tc>
          <w:tcPr>
            <w:tcW w:w="0" w:type="auto"/>
            <w:tcBorders>
              <w:top w:val="single" w:sz="4" w:space="0" w:color="000000"/>
              <w:left w:val="single" w:sz="4" w:space="0" w:color="000000"/>
              <w:bottom w:val="single" w:sz="4" w:space="0" w:color="000000"/>
              <w:right w:val="single" w:sz="4" w:space="0" w:color="000000"/>
            </w:tcBorders>
          </w:tcPr>
          <w:p w14:paraId="189E59C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DE7EDE9" w14:textId="77777777" w:rsidR="00843FDA" w:rsidRPr="00C6580C" w:rsidRDefault="00843FDA" w:rsidP="00CD7CAC">
            <w:pPr>
              <w:widowControl/>
              <w:jc w:val="center"/>
              <w:rPr>
                <w:szCs w:val="22"/>
              </w:rPr>
            </w:pPr>
            <w:r w:rsidRPr="00C6580C">
              <w:rPr>
                <w:kern w:val="0"/>
                <w:szCs w:val="22"/>
              </w:rPr>
              <w:t>* * *</w:t>
            </w:r>
          </w:p>
        </w:tc>
      </w:tr>
      <w:tr w:rsidR="00843FDA" w:rsidRPr="00C6580C" w14:paraId="22035F7C" w14:textId="77777777">
        <w:tc>
          <w:tcPr>
            <w:tcW w:w="0" w:type="auto"/>
            <w:tcBorders>
              <w:top w:val="single" w:sz="4" w:space="0" w:color="000000"/>
              <w:left w:val="single" w:sz="4" w:space="0" w:color="000000"/>
              <w:bottom w:val="single" w:sz="4" w:space="0" w:color="000000"/>
              <w:right w:val="single" w:sz="4" w:space="0" w:color="000000"/>
            </w:tcBorders>
          </w:tcPr>
          <w:p w14:paraId="0393A112" w14:textId="77777777" w:rsidR="00843FDA" w:rsidRPr="00C6580C" w:rsidRDefault="00843FDA" w:rsidP="00CD7CAC">
            <w:pPr>
              <w:widowControl/>
              <w:rPr>
                <w:kern w:val="0"/>
                <w:szCs w:val="22"/>
              </w:rPr>
            </w:pPr>
            <w:r w:rsidRPr="00C6580C">
              <w:rPr>
                <w:kern w:val="0"/>
                <w:szCs w:val="22"/>
              </w:rPr>
              <w:t>477a</w:t>
            </w:r>
          </w:p>
        </w:tc>
        <w:tc>
          <w:tcPr>
            <w:tcW w:w="0" w:type="auto"/>
            <w:tcBorders>
              <w:top w:val="single" w:sz="4" w:space="0" w:color="000000"/>
              <w:left w:val="single" w:sz="4" w:space="0" w:color="000000"/>
              <w:bottom w:val="single" w:sz="4" w:space="0" w:color="000000"/>
              <w:right w:val="single" w:sz="4" w:space="0" w:color="000000"/>
            </w:tcBorders>
          </w:tcPr>
          <w:p w14:paraId="5196D201" w14:textId="77777777" w:rsidR="00843FDA" w:rsidRPr="00C6580C" w:rsidRDefault="00843FDA" w:rsidP="00CD7CAC">
            <w:pPr>
              <w:widowControl/>
              <w:jc w:val="right"/>
              <w:rPr>
                <w:kern w:val="0"/>
                <w:szCs w:val="22"/>
              </w:rPr>
            </w:pPr>
            <w:r w:rsidRPr="00C6580C">
              <w:rPr>
                <w:kern w:val="0"/>
                <w:szCs w:val="22"/>
              </w:rPr>
              <w:t>.1750</w:t>
            </w:r>
          </w:p>
        </w:tc>
      </w:tr>
      <w:tr w:rsidR="00843FDA" w:rsidRPr="00C6580C" w14:paraId="53BB4847" w14:textId="77777777">
        <w:tc>
          <w:tcPr>
            <w:tcW w:w="0" w:type="auto"/>
            <w:tcBorders>
              <w:top w:val="single" w:sz="4" w:space="0" w:color="000000"/>
              <w:left w:val="single" w:sz="4" w:space="0" w:color="000000"/>
              <w:bottom w:val="single" w:sz="4" w:space="0" w:color="000000"/>
              <w:right w:val="single" w:sz="4" w:space="0" w:color="000000"/>
            </w:tcBorders>
          </w:tcPr>
          <w:p w14:paraId="7672D9D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F1BACA7" w14:textId="77777777" w:rsidR="00843FDA" w:rsidRPr="00C6580C" w:rsidRDefault="00843FDA" w:rsidP="00CD7CAC">
            <w:pPr>
              <w:widowControl/>
              <w:jc w:val="center"/>
              <w:rPr>
                <w:szCs w:val="22"/>
              </w:rPr>
            </w:pPr>
            <w:r w:rsidRPr="00C6580C">
              <w:rPr>
                <w:kern w:val="0"/>
                <w:szCs w:val="22"/>
              </w:rPr>
              <w:t>* * *</w:t>
            </w:r>
          </w:p>
        </w:tc>
      </w:tr>
      <w:tr w:rsidR="00843FDA" w:rsidRPr="00C6580C" w14:paraId="35C50365" w14:textId="77777777">
        <w:tc>
          <w:tcPr>
            <w:tcW w:w="0" w:type="auto"/>
            <w:tcBorders>
              <w:top w:val="single" w:sz="4" w:space="0" w:color="000000"/>
              <w:left w:val="single" w:sz="4" w:space="0" w:color="000000"/>
              <w:bottom w:val="single" w:sz="4" w:space="0" w:color="000000"/>
              <w:right w:val="single" w:sz="4" w:space="0" w:color="000000"/>
            </w:tcBorders>
          </w:tcPr>
          <w:p w14:paraId="52D09BD1" w14:textId="77777777" w:rsidR="00843FDA" w:rsidRPr="00C6580C" w:rsidRDefault="00843FDA" w:rsidP="00CD7CAC">
            <w:pPr>
              <w:widowControl/>
              <w:rPr>
                <w:kern w:val="0"/>
                <w:szCs w:val="22"/>
              </w:rPr>
            </w:pPr>
            <w:r w:rsidRPr="00C6580C">
              <w:rPr>
                <w:kern w:val="0"/>
                <w:szCs w:val="22"/>
              </w:rPr>
              <w:t>478a</w:t>
            </w:r>
          </w:p>
        </w:tc>
        <w:tc>
          <w:tcPr>
            <w:tcW w:w="0" w:type="auto"/>
            <w:tcBorders>
              <w:top w:val="single" w:sz="4" w:space="0" w:color="000000"/>
              <w:left w:val="single" w:sz="4" w:space="0" w:color="000000"/>
              <w:bottom w:val="single" w:sz="4" w:space="0" w:color="000000"/>
              <w:right w:val="single" w:sz="4" w:space="0" w:color="000000"/>
            </w:tcBorders>
          </w:tcPr>
          <w:p w14:paraId="27F67A78" w14:textId="77777777" w:rsidR="00843FDA" w:rsidRPr="00C6580C" w:rsidRDefault="00843FDA" w:rsidP="00CD7CAC">
            <w:pPr>
              <w:widowControl/>
              <w:jc w:val="right"/>
              <w:rPr>
                <w:kern w:val="0"/>
                <w:szCs w:val="22"/>
              </w:rPr>
            </w:pPr>
            <w:r w:rsidRPr="00C6580C">
              <w:rPr>
                <w:kern w:val="0"/>
                <w:szCs w:val="22"/>
              </w:rPr>
              <w:t>.2000</w:t>
            </w:r>
          </w:p>
        </w:tc>
      </w:tr>
      <w:tr w:rsidR="00843FDA" w:rsidRPr="00C6580C" w14:paraId="6BF0073C" w14:textId="77777777">
        <w:tc>
          <w:tcPr>
            <w:tcW w:w="0" w:type="auto"/>
            <w:tcBorders>
              <w:top w:val="single" w:sz="4" w:space="0" w:color="000000"/>
              <w:left w:val="single" w:sz="4" w:space="0" w:color="000000"/>
              <w:bottom w:val="single" w:sz="4" w:space="0" w:color="000000"/>
              <w:right w:val="single" w:sz="4" w:space="0" w:color="000000"/>
            </w:tcBorders>
          </w:tcPr>
          <w:p w14:paraId="621FFD3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041809F" w14:textId="77777777" w:rsidR="00843FDA" w:rsidRPr="00C6580C" w:rsidRDefault="00843FDA" w:rsidP="00CD7CAC">
            <w:pPr>
              <w:widowControl/>
              <w:jc w:val="center"/>
              <w:rPr>
                <w:szCs w:val="22"/>
              </w:rPr>
            </w:pPr>
            <w:r w:rsidRPr="00C6580C">
              <w:rPr>
                <w:kern w:val="0"/>
                <w:szCs w:val="22"/>
              </w:rPr>
              <w:t>* * *</w:t>
            </w:r>
          </w:p>
        </w:tc>
      </w:tr>
      <w:tr w:rsidR="00843FDA" w:rsidRPr="00C6580C" w14:paraId="4CF3EF09" w14:textId="77777777">
        <w:tc>
          <w:tcPr>
            <w:tcW w:w="0" w:type="auto"/>
            <w:tcBorders>
              <w:top w:val="single" w:sz="4" w:space="0" w:color="000000"/>
              <w:left w:val="single" w:sz="4" w:space="0" w:color="000000"/>
              <w:bottom w:val="single" w:sz="4" w:space="0" w:color="000000"/>
              <w:right w:val="single" w:sz="4" w:space="0" w:color="000000"/>
            </w:tcBorders>
          </w:tcPr>
          <w:p w14:paraId="725280D5" w14:textId="77777777" w:rsidR="00843FDA" w:rsidRPr="00C6580C" w:rsidRDefault="00843FDA" w:rsidP="00CD7CAC">
            <w:pPr>
              <w:widowControl/>
              <w:rPr>
                <w:kern w:val="0"/>
                <w:szCs w:val="22"/>
              </w:rPr>
            </w:pPr>
            <w:r w:rsidRPr="00C6580C">
              <w:rPr>
                <w:kern w:val="0"/>
                <w:szCs w:val="22"/>
              </w:rPr>
              <w:t>479a</w:t>
            </w:r>
          </w:p>
        </w:tc>
        <w:tc>
          <w:tcPr>
            <w:tcW w:w="0" w:type="auto"/>
            <w:tcBorders>
              <w:top w:val="single" w:sz="4" w:space="0" w:color="000000"/>
              <w:left w:val="single" w:sz="4" w:space="0" w:color="000000"/>
              <w:bottom w:val="single" w:sz="4" w:space="0" w:color="000000"/>
              <w:right w:val="single" w:sz="4" w:space="0" w:color="000000"/>
            </w:tcBorders>
          </w:tcPr>
          <w:p w14:paraId="62255327" w14:textId="77777777" w:rsidR="00843FDA" w:rsidRPr="00C6580C" w:rsidRDefault="00843FDA" w:rsidP="00CD7CAC">
            <w:pPr>
              <w:widowControl/>
              <w:jc w:val="right"/>
              <w:rPr>
                <w:kern w:val="0"/>
                <w:szCs w:val="22"/>
              </w:rPr>
            </w:pPr>
            <w:r w:rsidRPr="00C6580C">
              <w:rPr>
                <w:kern w:val="0"/>
                <w:szCs w:val="22"/>
              </w:rPr>
              <w:t>.2250</w:t>
            </w:r>
          </w:p>
        </w:tc>
      </w:tr>
      <w:tr w:rsidR="00843FDA" w:rsidRPr="00C6580C" w14:paraId="16C42441" w14:textId="77777777">
        <w:tc>
          <w:tcPr>
            <w:tcW w:w="0" w:type="auto"/>
            <w:tcBorders>
              <w:top w:val="single" w:sz="4" w:space="0" w:color="000000"/>
              <w:left w:val="single" w:sz="4" w:space="0" w:color="000000"/>
              <w:bottom w:val="single" w:sz="4" w:space="0" w:color="000000"/>
              <w:right w:val="single" w:sz="4" w:space="0" w:color="000000"/>
            </w:tcBorders>
          </w:tcPr>
          <w:p w14:paraId="45260D6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FDC054C" w14:textId="77777777" w:rsidR="00843FDA" w:rsidRPr="00C6580C" w:rsidRDefault="00843FDA" w:rsidP="00CD7CAC">
            <w:pPr>
              <w:widowControl/>
              <w:jc w:val="center"/>
              <w:rPr>
                <w:szCs w:val="22"/>
              </w:rPr>
            </w:pPr>
            <w:r w:rsidRPr="00C6580C">
              <w:rPr>
                <w:kern w:val="0"/>
                <w:szCs w:val="22"/>
              </w:rPr>
              <w:t>* * *</w:t>
            </w:r>
          </w:p>
        </w:tc>
      </w:tr>
      <w:tr w:rsidR="00843FDA" w:rsidRPr="00C6580C" w14:paraId="7FD386D9" w14:textId="77777777">
        <w:tc>
          <w:tcPr>
            <w:tcW w:w="0" w:type="auto"/>
            <w:tcBorders>
              <w:top w:val="single" w:sz="4" w:space="0" w:color="000000"/>
              <w:left w:val="single" w:sz="4" w:space="0" w:color="000000"/>
              <w:bottom w:val="single" w:sz="4" w:space="0" w:color="000000"/>
              <w:right w:val="single" w:sz="4" w:space="0" w:color="000000"/>
            </w:tcBorders>
          </w:tcPr>
          <w:p w14:paraId="7DAF9DD0" w14:textId="77777777" w:rsidR="00843FDA" w:rsidRPr="00C6580C" w:rsidRDefault="00843FDA" w:rsidP="00CD7CAC">
            <w:pPr>
              <w:widowControl/>
              <w:rPr>
                <w:kern w:val="0"/>
                <w:szCs w:val="22"/>
              </w:rPr>
            </w:pPr>
            <w:r w:rsidRPr="00C6580C">
              <w:rPr>
                <w:kern w:val="0"/>
                <w:szCs w:val="22"/>
              </w:rPr>
              <w:t>480a</w:t>
            </w:r>
          </w:p>
        </w:tc>
        <w:tc>
          <w:tcPr>
            <w:tcW w:w="0" w:type="auto"/>
            <w:tcBorders>
              <w:top w:val="single" w:sz="4" w:space="0" w:color="000000"/>
              <w:left w:val="single" w:sz="4" w:space="0" w:color="000000"/>
              <w:bottom w:val="single" w:sz="4" w:space="0" w:color="000000"/>
              <w:right w:val="single" w:sz="4" w:space="0" w:color="000000"/>
            </w:tcBorders>
          </w:tcPr>
          <w:p w14:paraId="55462A59" w14:textId="77777777" w:rsidR="00843FDA" w:rsidRPr="00C6580C" w:rsidRDefault="00843FDA" w:rsidP="00CD7CAC">
            <w:pPr>
              <w:widowControl/>
              <w:jc w:val="right"/>
              <w:rPr>
                <w:kern w:val="0"/>
                <w:szCs w:val="22"/>
              </w:rPr>
            </w:pPr>
            <w:r w:rsidRPr="00C6580C">
              <w:rPr>
                <w:kern w:val="0"/>
                <w:szCs w:val="22"/>
              </w:rPr>
              <w:t>.2500</w:t>
            </w:r>
          </w:p>
        </w:tc>
      </w:tr>
      <w:tr w:rsidR="00843FDA" w:rsidRPr="00C6580C" w14:paraId="3F110E3D" w14:textId="77777777">
        <w:tc>
          <w:tcPr>
            <w:tcW w:w="0" w:type="auto"/>
            <w:tcBorders>
              <w:top w:val="single" w:sz="4" w:space="0" w:color="000000"/>
              <w:left w:val="single" w:sz="4" w:space="0" w:color="000000"/>
              <w:bottom w:val="single" w:sz="4" w:space="0" w:color="000000"/>
              <w:right w:val="single" w:sz="4" w:space="0" w:color="000000"/>
            </w:tcBorders>
          </w:tcPr>
          <w:p w14:paraId="70E92FF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CE1D765" w14:textId="77777777" w:rsidR="00843FDA" w:rsidRPr="00C6580C" w:rsidRDefault="00843FDA" w:rsidP="00CD7CAC">
            <w:pPr>
              <w:widowControl/>
              <w:jc w:val="center"/>
              <w:rPr>
                <w:szCs w:val="22"/>
              </w:rPr>
            </w:pPr>
            <w:r w:rsidRPr="00C6580C">
              <w:rPr>
                <w:kern w:val="0"/>
                <w:szCs w:val="22"/>
              </w:rPr>
              <w:t>* * *</w:t>
            </w:r>
          </w:p>
        </w:tc>
      </w:tr>
      <w:tr w:rsidR="00843FDA" w:rsidRPr="00C6580C" w14:paraId="1806181E" w14:textId="77777777">
        <w:tc>
          <w:tcPr>
            <w:tcW w:w="0" w:type="auto"/>
            <w:tcBorders>
              <w:top w:val="single" w:sz="4" w:space="0" w:color="000000"/>
              <w:left w:val="single" w:sz="4" w:space="0" w:color="000000"/>
              <w:bottom w:val="single" w:sz="4" w:space="0" w:color="000000"/>
              <w:right w:val="single" w:sz="4" w:space="0" w:color="000000"/>
            </w:tcBorders>
          </w:tcPr>
          <w:p w14:paraId="0C5C1E1E" w14:textId="77777777" w:rsidR="00843FDA" w:rsidRPr="00C6580C" w:rsidRDefault="00843FDA" w:rsidP="00CD7CAC">
            <w:pPr>
              <w:widowControl/>
              <w:rPr>
                <w:kern w:val="0"/>
                <w:szCs w:val="22"/>
              </w:rPr>
            </w:pPr>
            <w:r w:rsidRPr="00C6580C">
              <w:rPr>
                <w:kern w:val="0"/>
                <w:szCs w:val="22"/>
              </w:rPr>
              <w:t>481a</w:t>
            </w:r>
          </w:p>
        </w:tc>
        <w:tc>
          <w:tcPr>
            <w:tcW w:w="0" w:type="auto"/>
            <w:tcBorders>
              <w:top w:val="single" w:sz="4" w:space="0" w:color="000000"/>
              <w:left w:val="single" w:sz="4" w:space="0" w:color="000000"/>
              <w:bottom w:val="single" w:sz="4" w:space="0" w:color="000000"/>
              <w:right w:val="single" w:sz="4" w:space="0" w:color="000000"/>
            </w:tcBorders>
          </w:tcPr>
          <w:p w14:paraId="44FC2436" w14:textId="77777777" w:rsidR="00843FDA" w:rsidRPr="00C6580C" w:rsidRDefault="00843FDA" w:rsidP="00CD7CAC">
            <w:pPr>
              <w:widowControl/>
              <w:jc w:val="right"/>
              <w:rPr>
                <w:kern w:val="0"/>
                <w:szCs w:val="22"/>
              </w:rPr>
            </w:pPr>
            <w:r w:rsidRPr="00C6580C">
              <w:rPr>
                <w:kern w:val="0"/>
                <w:szCs w:val="22"/>
              </w:rPr>
              <w:t>.2750</w:t>
            </w:r>
          </w:p>
        </w:tc>
      </w:tr>
      <w:tr w:rsidR="00843FDA" w:rsidRPr="00C6580C" w14:paraId="3337C160" w14:textId="77777777">
        <w:tc>
          <w:tcPr>
            <w:tcW w:w="0" w:type="auto"/>
            <w:tcBorders>
              <w:top w:val="single" w:sz="4" w:space="0" w:color="000000"/>
              <w:left w:val="single" w:sz="4" w:space="0" w:color="000000"/>
              <w:bottom w:val="single" w:sz="4" w:space="0" w:color="000000"/>
              <w:right w:val="single" w:sz="4" w:space="0" w:color="000000"/>
            </w:tcBorders>
          </w:tcPr>
          <w:p w14:paraId="3CD7EAF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25E3583" w14:textId="77777777" w:rsidR="00843FDA" w:rsidRPr="00C6580C" w:rsidRDefault="00843FDA" w:rsidP="00CD7CAC">
            <w:pPr>
              <w:widowControl/>
              <w:jc w:val="center"/>
              <w:rPr>
                <w:szCs w:val="22"/>
              </w:rPr>
            </w:pPr>
            <w:r w:rsidRPr="00C6580C">
              <w:rPr>
                <w:kern w:val="0"/>
                <w:szCs w:val="22"/>
              </w:rPr>
              <w:t>* * *</w:t>
            </w:r>
          </w:p>
        </w:tc>
      </w:tr>
      <w:tr w:rsidR="00843FDA" w:rsidRPr="00C6580C" w14:paraId="31D08735" w14:textId="77777777">
        <w:tc>
          <w:tcPr>
            <w:tcW w:w="0" w:type="auto"/>
            <w:tcBorders>
              <w:top w:val="single" w:sz="4" w:space="0" w:color="000000"/>
              <w:left w:val="single" w:sz="4" w:space="0" w:color="000000"/>
              <w:bottom w:val="single" w:sz="4" w:space="0" w:color="000000"/>
              <w:right w:val="single" w:sz="4" w:space="0" w:color="000000"/>
            </w:tcBorders>
          </w:tcPr>
          <w:p w14:paraId="7D025118" w14:textId="77777777" w:rsidR="00843FDA" w:rsidRPr="00C6580C" w:rsidRDefault="00843FDA" w:rsidP="00CD7CAC">
            <w:pPr>
              <w:widowControl/>
              <w:rPr>
                <w:kern w:val="0"/>
                <w:szCs w:val="22"/>
              </w:rPr>
            </w:pPr>
            <w:r w:rsidRPr="00C6580C">
              <w:rPr>
                <w:kern w:val="0"/>
                <w:szCs w:val="22"/>
              </w:rPr>
              <w:t>482a</w:t>
            </w:r>
          </w:p>
        </w:tc>
        <w:tc>
          <w:tcPr>
            <w:tcW w:w="0" w:type="auto"/>
            <w:tcBorders>
              <w:top w:val="single" w:sz="4" w:space="0" w:color="000000"/>
              <w:left w:val="single" w:sz="4" w:space="0" w:color="000000"/>
              <w:bottom w:val="single" w:sz="4" w:space="0" w:color="000000"/>
              <w:right w:val="single" w:sz="4" w:space="0" w:color="000000"/>
            </w:tcBorders>
          </w:tcPr>
          <w:p w14:paraId="5CEE0206" w14:textId="77777777" w:rsidR="00843FDA" w:rsidRPr="00C6580C" w:rsidRDefault="00843FDA" w:rsidP="00CD7CAC">
            <w:pPr>
              <w:widowControl/>
              <w:jc w:val="right"/>
              <w:rPr>
                <w:kern w:val="0"/>
                <w:szCs w:val="22"/>
              </w:rPr>
            </w:pPr>
            <w:r w:rsidRPr="00C6580C">
              <w:rPr>
                <w:kern w:val="0"/>
                <w:szCs w:val="22"/>
              </w:rPr>
              <w:t>.3000</w:t>
            </w:r>
          </w:p>
        </w:tc>
      </w:tr>
      <w:tr w:rsidR="00843FDA" w:rsidRPr="00C6580C" w14:paraId="4129A963" w14:textId="77777777">
        <w:tc>
          <w:tcPr>
            <w:tcW w:w="0" w:type="auto"/>
            <w:tcBorders>
              <w:top w:val="single" w:sz="4" w:space="0" w:color="000000"/>
              <w:left w:val="single" w:sz="4" w:space="0" w:color="000000"/>
              <w:bottom w:val="single" w:sz="4" w:space="0" w:color="000000"/>
              <w:right w:val="single" w:sz="4" w:space="0" w:color="000000"/>
            </w:tcBorders>
          </w:tcPr>
          <w:p w14:paraId="27DFCCB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FBDD88E" w14:textId="77777777" w:rsidR="00843FDA" w:rsidRPr="00C6580C" w:rsidRDefault="00843FDA" w:rsidP="00CD7CAC">
            <w:pPr>
              <w:widowControl/>
              <w:jc w:val="center"/>
              <w:rPr>
                <w:szCs w:val="22"/>
              </w:rPr>
            </w:pPr>
            <w:r w:rsidRPr="00C6580C">
              <w:rPr>
                <w:kern w:val="0"/>
                <w:szCs w:val="22"/>
              </w:rPr>
              <w:t>* * *</w:t>
            </w:r>
          </w:p>
        </w:tc>
      </w:tr>
      <w:tr w:rsidR="00843FDA" w:rsidRPr="00C6580C" w14:paraId="6B301E11" w14:textId="77777777">
        <w:tc>
          <w:tcPr>
            <w:tcW w:w="0" w:type="auto"/>
            <w:tcBorders>
              <w:top w:val="single" w:sz="4" w:space="0" w:color="000000"/>
              <w:left w:val="single" w:sz="4" w:space="0" w:color="000000"/>
              <w:bottom w:val="single" w:sz="4" w:space="0" w:color="000000"/>
              <w:right w:val="single" w:sz="4" w:space="0" w:color="000000"/>
            </w:tcBorders>
          </w:tcPr>
          <w:p w14:paraId="765400B8" w14:textId="77777777" w:rsidR="00843FDA" w:rsidRPr="00C6580C" w:rsidRDefault="00843FDA" w:rsidP="00CD7CAC">
            <w:pPr>
              <w:widowControl/>
              <w:rPr>
                <w:kern w:val="0"/>
                <w:szCs w:val="22"/>
              </w:rPr>
            </w:pPr>
            <w:r w:rsidRPr="00C6580C">
              <w:rPr>
                <w:kern w:val="0"/>
                <w:szCs w:val="22"/>
              </w:rPr>
              <w:t>483a</w:t>
            </w:r>
          </w:p>
        </w:tc>
        <w:tc>
          <w:tcPr>
            <w:tcW w:w="0" w:type="auto"/>
            <w:tcBorders>
              <w:top w:val="single" w:sz="4" w:space="0" w:color="000000"/>
              <w:left w:val="single" w:sz="4" w:space="0" w:color="000000"/>
              <w:bottom w:val="single" w:sz="4" w:space="0" w:color="000000"/>
              <w:right w:val="single" w:sz="4" w:space="0" w:color="000000"/>
            </w:tcBorders>
          </w:tcPr>
          <w:p w14:paraId="0FAC972C" w14:textId="77777777" w:rsidR="00843FDA" w:rsidRPr="00C6580C" w:rsidRDefault="00843FDA" w:rsidP="00CD7CAC">
            <w:pPr>
              <w:widowControl/>
              <w:jc w:val="right"/>
              <w:rPr>
                <w:kern w:val="0"/>
                <w:szCs w:val="22"/>
              </w:rPr>
            </w:pPr>
            <w:r w:rsidRPr="00C6580C">
              <w:rPr>
                <w:kern w:val="0"/>
                <w:szCs w:val="22"/>
              </w:rPr>
              <w:t>.3250</w:t>
            </w:r>
          </w:p>
        </w:tc>
      </w:tr>
      <w:tr w:rsidR="00843FDA" w:rsidRPr="00C6580C" w14:paraId="560ED4EF" w14:textId="77777777">
        <w:tc>
          <w:tcPr>
            <w:tcW w:w="0" w:type="auto"/>
            <w:tcBorders>
              <w:top w:val="single" w:sz="4" w:space="0" w:color="000000"/>
              <w:left w:val="single" w:sz="4" w:space="0" w:color="000000"/>
              <w:bottom w:val="single" w:sz="4" w:space="0" w:color="000000"/>
              <w:right w:val="single" w:sz="4" w:space="0" w:color="000000"/>
            </w:tcBorders>
          </w:tcPr>
          <w:p w14:paraId="2FFE5D0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C4389EB" w14:textId="77777777" w:rsidR="00843FDA" w:rsidRPr="00C6580C" w:rsidRDefault="00843FDA" w:rsidP="00CD7CAC">
            <w:pPr>
              <w:widowControl/>
              <w:jc w:val="center"/>
              <w:rPr>
                <w:szCs w:val="22"/>
              </w:rPr>
            </w:pPr>
            <w:r w:rsidRPr="00C6580C">
              <w:rPr>
                <w:kern w:val="0"/>
                <w:szCs w:val="22"/>
              </w:rPr>
              <w:t>* * *</w:t>
            </w:r>
          </w:p>
        </w:tc>
      </w:tr>
      <w:tr w:rsidR="00843FDA" w:rsidRPr="00C6580C" w14:paraId="7A424734" w14:textId="77777777">
        <w:tc>
          <w:tcPr>
            <w:tcW w:w="0" w:type="auto"/>
            <w:tcBorders>
              <w:top w:val="single" w:sz="4" w:space="0" w:color="000000"/>
              <w:left w:val="single" w:sz="4" w:space="0" w:color="000000"/>
              <w:bottom w:val="single" w:sz="4" w:space="0" w:color="000000"/>
              <w:right w:val="single" w:sz="4" w:space="0" w:color="000000"/>
            </w:tcBorders>
          </w:tcPr>
          <w:p w14:paraId="120BC97E" w14:textId="77777777" w:rsidR="00843FDA" w:rsidRPr="00C6580C" w:rsidRDefault="00843FDA" w:rsidP="00CD7CAC">
            <w:pPr>
              <w:widowControl/>
              <w:rPr>
                <w:kern w:val="0"/>
                <w:szCs w:val="22"/>
              </w:rPr>
            </w:pPr>
            <w:r w:rsidRPr="00C6580C">
              <w:rPr>
                <w:kern w:val="0"/>
                <w:szCs w:val="22"/>
              </w:rPr>
              <w:t>484a</w:t>
            </w:r>
          </w:p>
        </w:tc>
        <w:tc>
          <w:tcPr>
            <w:tcW w:w="0" w:type="auto"/>
            <w:tcBorders>
              <w:top w:val="single" w:sz="4" w:space="0" w:color="000000"/>
              <w:left w:val="single" w:sz="4" w:space="0" w:color="000000"/>
              <w:bottom w:val="single" w:sz="4" w:space="0" w:color="000000"/>
              <w:right w:val="single" w:sz="4" w:space="0" w:color="000000"/>
            </w:tcBorders>
          </w:tcPr>
          <w:p w14:paraId="693D9321" w14:textId="77777777" w:rsidR="00843FDA" w:rsidRPr="00C6580C" w:rsidRDefault="00843FDA" w:rsidP="00CD7CAC">
            <w:pPr>
              <w:widowControl/>
              <w:jc w:val="right"/>
              <w:rPr>
                <w:kern w:val="0"/>
                <w:szCs w:val="22"/>
              </w:rPr>
            </w:pPr>
            <w:r w:rsidRPr="00C6580C">
              <w:rPr>
                <w:kern w:val="0"/>
                <w:szCs w:val="22"/>
              </w:rPr>
              <w:t>.3500</w:t>
            </w:r>
          </w:p>
        </w:tc>
      </w:tr>
      <w:tr w:rsidR="00843FDA" w:rsidRPr="00C6580C" w14:paraId="4704D0A2" w14:textId="77777777">
        <w:tc>
          <w:tcPr>
            <w:tcW w:w="0" w:type="auto"/>
            <w:tcBorders>
              <w:top w:val="single" w:sz="4" w:space="0" w:color="000000"/>
              <w:left w:val="single" w:sz="4" w:space="0" w:color="000000"/>
              <w:bottom w:val="single" w:sz="4" w:space="0" w:color="000000"/>
              <w:right w:val="single" w:sz="4" w:space="0" w:color="000000"/>
            </w:tcBorders>
          </w:tcPr>
          <w:p w14:paraId="5BB29D8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E517BBC" w14:textId="77777777" w:rsidR="00843FDA" w:rsidRPr="00C6580C" w:rsidRDefault="00843FDA" w:rsidP="00CD7CAC">
            <w:pPr>
              <w:widowControl/>
              <w:jc w:val="center"/>
              <w:rPr>
                <w:szCs w:val="22"/>
              </w:rPr>
            </w:pPr>
            <w:r w:rsidRPr="00C6580C">
              <w:rPr>
                <w:kern w:val="0"/>
                <w:szCs w:val="22"/>
              </w:rPr>
              <w:t>* * *</w:t>
            </w:r>
          </w:p>
        </w:tc>
      </w:tr>
      <w:tr w:rsidR="00843FDA" w:rsidRPr="00C6580C" w14:paraId="6D94EB7A" w14:textId="77777777">
        <w:tc>
          <w:tcPr>
            <w:tcW w:w="0" w:type="auto"/>
            <w:tcBorders>
              <w:top w:val="single" w:sz="4" w:space="0" w:color="000000"/>
              <w:left w:val="single" w:sz="4" w:space="0" w:color="000000"/>
              <w:bottom w:val="single" w:sz="4" w:space="0" w:color="000000"/>
              <w:right w:val="single" w:sz="4" w:space="0" w:color="000000"/>
            </w:tcBorders>
          </w:tcPr>
          <w:p w14:paraId="1EC4C214" w14:textId="77777777" w:rsidR="00843FDA" w:rsidRPr="00C6580C" w:rsidRDefault="00843FDA" w:rsidP="00CD7CAC">
            <w:pPr>
              <w:widowControl/>
              <w:rPr>
                <w:kern w:val="0"/>
                <w:szCs w:val="22"/>
              </w:rPr>
            </w:pPr>
            <w:r w:rsidRPr="00C6580C">
              <w:rPr>
                <w:kern w:val="0"/>
                <w:szCs w:val="22"/>
              </w:rPr>
              <w:t>485a</w:t>
            </w:r>
          </w:p>
        </w:tc>
        <w:tc>
          <w:tcPr>
            <w:tcW w:w="0" w:type="auto"/>
            <w:tcBorders>
              <w:top w:val="single" w:sz="4" w:space="0" w:color="000000"/>
              <w:left w:val="single" w:sz="4" w:space="0" w:color="000000"/>
              <w:bottom w:val="single" w:sz="4" w:space="0" w:color="000000"/>
              <w:right w:val="single" w:sz="4" w:space="0" w:color="000000"/>
            </w:tcBorders>
          </w:tcPr>
          <w:p w14:paraId="7D5629F7" w14:textId="77777777" w:rsidR="00843FDA" w:rsidRPr="00C6580C" w:rsidRDefault="00843FDA" w:rsidP="00CD7CAC">
            <w:pPr>
              <w:widowControl/>
              <w:jc w:val="right"/>
              <w:rPr>
                <w:kern w:val="0"/>
                <w:szCs w:val="22"/>
              </w:rPr>
            </w:pPr>
            <w:r w:rsidRPr="00C6580C">
              <w:rPr>
                <w:kern w:val="0"/>
                <w:szCs w:val="22"/>
              </w:rPr>
              <w:t>.3750</w:t>
            </w:r>
          </w:p>
        </w:tc>
      </w:tr>
      <w:tr w:rsidR="00843FDA" w:rsidRPr="00C6580C" w14:paraId="5F7970EC" w14:textId="77777777">
        <w:tc>
          <w:tcPr>
            <w:tcW w:w="0" w:type="auto"/>
            <w:tcBorders>
              <w:top w:val="single" w:sz="4" w:space="0" w:color="000000"/>
              <w:left w:val="single" w:sz="4" w:space="0" w:color="000000"/>
              <w:bottom w:val="single" w:sz="4" w:space="0" w:color="000000"/>
              <w:right w:val="single" w:sz="4" w:space="0" w:color="000000"/>
            </w:tcBorders>
          </w:tcPr>
          <w:p w14:paraId="051AA62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A65D3C1" w14:textId="77777777" w:rsidR="00843FDA" w:rsidRPr="00C6580C" w:rsidRDefault="00843FDA" w:rsidP="00CD7CAC">
            <w:pPr>
              <w:widowControl/>
              <w:jc w:val="center"/>
              <w:rPr>
                <w:szCs w:val="22"/>
              </w:rPr>
            </w:pPr>
            <w:r w:rsidRPr="00C6580C">
              <w:rPr>
                <w:kern w:val="0"/>
                <w:szCs w:val="22"/>
              </w:rPr>
              <w:t>* * *</w:t>
            </w:r>
          </w:p>
        </w:tc>
      </w:tr>
      <w:tr w:rsidR="00843FDA" w:rsidRPr="00C6580C" w14:paraId="7C93971C" w14:textId="77777777">
        <w:tc>
          <w:tcPr>
            <w:tcW w:w="0" w:type="auto"/>
            <w:tcBorders>
              <w:top w:val="single" w:sz="4" w:space="0" w:color="000000"/>
              <w:left w:val="single" w:sz="4" w:space="0" w:color="000000"/>
              <w:bottom w:val="single" w:sz="4" w:space="0" w:color="000000"/>
              <w:right w:val="single" w:sz="4" w:space="0" w:color="000000"/>
            </w:tcBorders>
          </w:tcPr>
          <w:p w14:paraId="50EDF775" w14:textId="77777777" w:rsidR="00843FDA" w:rsidRPr="00C6580C" w:rsidRDefault="00843FDA" w:rsidP="00CD7CAC">
            <w:pPr>
              <w:widowControl/>
              <w:rPr>
                <w:kern w:val="0"/>
                <w:szCs w:val="22"/>
              </w:rPr>
            </w:pPr>
            <w:r w:rsidRPr="00C6580C">
              <w:rPr>
                <w:kern w:val="0"/>
                <w:szCs w:val="22"/>
              </w:rPr>
              <w:t>486a</w:t>
            </w:r>
          </w:p>
        </w:tc>
        <w:tc>
          <w:tcPr>
            <w:tcW w:w="0" w:type="auto"/>
            <w:tcBorders>
              <w:top w:val="single" w:sz="4" w:space="0" w:color="000000"/>
              <w:left w:val="single" w:sz="4" w:space="0" w:color="000000"/>
              <w:bottom w:val="single" w:sz="4" w:space="0" w:color="000000"/>
              <w:right w:val="single" w:sz="4" w:space="0" w:color="000000"/>
            </w:tcBorders>
          </w:tcPr>
          <w:p w14:paraId="543B28A8" w14:textId="77777777" w:rsidR="00843FDA" w:rsidRPr="00C6580C" w:rsidRDefault="00843FDA" w:rsidP="00CD7CAC">
            <w:pPr>
              <w:widowControl/>
              <w:jc w:val="right"/>
              <w:rPr>
                <w:kern w:val="0"/>
                <w:szCs w:val="22"/>
              </w:rPr>
            </w:pPr>
            <w:r w:rsidRPr="00C6580C">
              <w:rPr>
                <w:kern w:val="0"/>
                <w:szCs w:val="22"/>
              </w:rPr>
              <w:t>.4000</w:t>
            </w:r>
          </w:p>
        </w:tc>
      </w:tr>
      <w:tr w:rsidR="00843FDA" w:rsidRPr="00C6580C" w14:paraId="2D44B443" w14:textId="77777777">
        <w:tc>
          <w:tcPr>
            <w:tcW w:w="0" w:type="auto"/>
            <w:tcBorders>
              <w:top w:val="single" w:sz="4" w:space="0" w:color="000000"/>
              <w:left w:val="single" w:sz="4" w:space="0" w:color="000000"/>
              <w:bottom w:val="single" w:sz="4" w:space="0" w:color="000000"/>
              <w:right w:val="single" w:sz="4" w:space="0" w:color="000000"/>
            </w:tcBorders>
          </w:tcPr>
          <w:p w14:paraId="4519047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BCCDCEF" w14:textId="77777777" w:rsidR="00843FDA" w:rsidRPr="00C6580C" w:rsidRDefault="00843FDA" w:rsidP="00CD7CAC">
            <w:pPr>
              <w:widowControl/>
              <w:jc w:val="center"/>
              <w:rPr>
                <w:szCs w:val="22"/>
              </w:rPr>
            </w:pPr>
            <w:r w:rsidRPr="00C6580C">
              <w:rPr>
                <w:kern w:val="0"/>
                <w:szCs w:val="22"/>
              </w:rPr>
              <w:t>* * *</w:t>
            </w:r>
          </w:p>
        </w:tc>
      </w:tr>
      <w:tr w:rsidR="00843FDA" w:rsidRPr="00C6580C" w14:paraId="67A390CB" w14:textId="77777777">
        <w:tc>
          <w:tcPr>
            <w:tcW w:w="0" w:type="auto"/>
            <w:tcBorders>
              <w:top w:val="single" w:sz="4" w:space="0" w:color="000000"/>
              <w:left w:val="single" w:sz="4" w:space="0" w:color="000000"/>
              <w:bottom w:val="single" w:sz="4" w:space="0" w:color="000000"/>
              <w:right w:val="single" w:sz="4" w:space="0" w:color="000000"/>
            </w:tcBorders>
          </w:tcPr>
          <w:p w14:paraId="3FC4367F" w14:textId="77777777" w:rsidR="00843FDA" w:rsidRPr="00C6580C" w:rsidRDefault="00843FDA" w:rsidP="00CD7CAC">
            <w:pPr>
              <w:widowControl/>
              <w:rPr>
                <w:kern w:val="0"/>
                <w:szCs w:val="22"/>
              </w:rPr>
            </w:pPr>
            <w:r w:rsidRPr="00C6580C">
              <w:rPr>
                <w:kern w:val="0"/>
                <w:szCs w:val="22"/>
              </w:rPr>
              <w:t>487a</w:t>
            </w:r>
          </w:p>
        </w:tc>
        <w:tc>
          <w:tcPr>
            <w:tcW w:w="0" w:type="auto"/>
            <w:tcBorders>
              <w:top w:val="single" w:sz="4" w:space="0" w:color="000000"/>
              <w:left w:val="single" w:sz="4" w:space="0" w:color="000000"/>
              <w:bottom w:val="single" w:sz="4" w:space="0" w:color="000000"/>
              <w:right w:val="single" w:sz="4" w:space="0" w:color="000000"/>
            </w:tcBorders>
          </w:tcPr>
          <w:p w14:paraId="656B7CE7" w14:textId="77777777" w:rsidR="00843FDA" w:rsidRPr="00C6580C" w:rsidRDefault="00843FDA" w:rsidP="00CD7CAC">
            <w:pPr>
              <w:widowControl/>
              <w:jc w:val="right"/>
              <w:rPr>
                <w:kern w:val="0"/>
                <w:szCs w:val="22"/>
              </w:rPr>
            </w:pPr>
            <w:r w:rsidRPr="00C6580C">
              <w:rPr>
                <w:kern w:val="0"/>
                <w:szCs w:val="22"/>
              </w:rPr>
              <w:t>.4250</w:t>
            </w:r>
          </w:p>
        </w:tc>
      </w:tr>
      <w:tr w:rsidR="00843FDA" w:rsidRPr="00C6580C" w14:paraId="0A12E1AD" w14:textId="77777777">
        <w:tc>
          <w:tcPr>
            <w:tcW w:w="0" w:type="auto"/>
            <w:tcBorders>
              <w:top w:val="single" w:sz="4" w:space="0" w:color="000000"/>
              <w:left w:val="single" w:sz="4" w:space="0" w:color="000000"/>
              <w:bottom w:val="single" w:sz="4" w:space="0" w:color="000000"/>
              <w:right w:val="single" w:sz="4" w:space="0" w:color="000000"/>
            </w:tcBorders>
          </w:tcPr>
          <w:p w14:paraId="08F6A4A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917332B" w14:textId="77777777" w:rsidR="00843FDA" w:rsidRPr="00C6580C" w:rsidRDefault="00843FDA" w:rsidP="00CD7CAC">
            <w:pPr>
              <w:widowControl/>
              <w:jc w:val="center"/>
              <w:rPr>
                <w:szCs w:val="22"/>
              </w:rPr>
            </w:pPr>
            <w:r w:rsidRPr="00C6580C">
              <w:rPr>
                <w:kern w:val="0"/>
                <w:szCs w:val="22"/>
              </w:rPr>
              <w:t>* * *</w:t>
            </w:r>
          </w:p>
        </w:tc>
      </w:tr>
      <w:tr w:rsidR="00843FDA" w:rsidRPr="00C6580C" w14:paraId="3649F4D9" w14:textId="77777777">
        <w:tc>
          <w:tcPr>
            <w:tcW w:w="0" w:type="auto"/>
            <w:tcBorders>
              <w:top w:val="single" w:sz="4" w:space="0" w:color="000000"/>
              <w:left w:val="single" w:sz="4" w:space="0" w:color="000000"/>
              <w:bottom w:val="single" w:sz="4" w:space="0" w:color="000000"/>
              <w:right w:val="single" w:sz="4" w:space="0" w:color="000000"/>
            </w:tcBorders>
          </w:tcPr>
          <w:p w14:paraId="11685070" w14:textId="77777777" w:rsidR="00843FDA" w:rsidRPr="00C6580C" w:rsidRDefault="00843FDA" w:rsidP="00CD7CAC">
            <w:pPr>
              <w:widowControl/>
              <w:rPr>
                <w:kern w:val="0"/>
                <w:szCs w:val="22"/>
              </w:rPr>
            </w:pPr>
            <w:r w:rsidRPr="00C6580C">
              <w:rPr>
                <w:kern w:val="0"/>
                <w:szCs w:val="22"/>
              </w:rPr>
              <w:t>488a</w:t>
            </w:r>
          </w:p>
        </w:tc>
        <w:tc>
          <w:tcPr>
            <w:tcW w:w="0" w:type="auto"/>
            <w:tcBorders>
              <w:top w:val="single" w:sz="4" w:space="0" w:color="000000"/>
              <w:left w:val="single" w:sz="4" w:space="0" w:color="000000"/>
              <w:bottom w:val="single" w:sz="4" w:space="0" w:color="000000"/>
              <w:right w:val="single" w:sz="4" w:space="0" w:color="000000"/>
            </w:tcBorders>
          </w:tcPr>
          <w:p w14:paraId="69E2A111" w14:textId="77777777" w:rsidR="00843FDA" w:rsidRPr="00C6580C" w:rsidRDefault="00843FDA" w:rsidP="00CD7CAC">
            <w:pPr>
              <w:widowControl/>
              <w:jc w:val="right"/>
              <w:rPr>
                <w:kern w:val="0"/>
                <w:szCs w:val="22"/>
              </w:rPr>
            </w:pPr>
            <w:r w:rsidRPr="00C6580C">
              <w:rPr>
                <w:kern w:val="0"/>
                <w:szCs w:val="22"/>
              </w:rPr>
              <w:t>.4500</w:t>
            </w:r>
          </w:p>
        </w:tc>
      </w:tr>
      <w:tr w:rsidR="00843FDA" w:rsidRPr="00C6580C" w14:paraId="7C385AEF" w14:textId="77777777">
        <w:tc>
          <w:tcPr>
            <w:tcW w:w="0" w:type="auto"/>
            <w:tcBorders>
              <w:top w:val="single" w:sz="4" w:space="0" w:color="000000"/>
              <w:left w:val="single" w:sz="4" w:space="0" w:color="000000"/>
              <w:bottom w:val="single" w:sz="4" w:space="0" w:color="000000"/>
              <w:right w:val="single" w:sz="4" w:space="0" w:color="000000"/>
            </w:tcBorders>
          </w:tcPr>
          <w:p w14:paraId="4E43035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BE430FD" w14:textId="77777777" w:rsidR="00843FDA" w:rsidRPr="00C6580C" w:rsidRDefault="00843FDA" w:rsidP="00CD7CAC">
            <w:pPr>
              <w:widowControl/>
              <w:jc w:val="center"/>
              <w:rPr>
                <w:szCs w:val="22"/>
              </w:rPr>
            </w:pPr>
            <w:r w:rsidRPr="00C6580C">
              <w:rPr>
                <w:kern w:val="0"/>
                <w:szCs w:val="22"/>
              </w:rPr>
              <w:t>* * *</w:t>
            </w:r>
          </w:p>
        </w:tc>
      </w:tr>
      <w:tr w:rsidR="00843FDA" w:rsidRPr="00C6580C" w14:paraId="6C6BCC0C" w14:textId="77777777">
        <w:tc>
          <w:tcPr>
            <w:tcW w:w="0" w:type="auto"/>
            <w:tcBorders>
              <w:top w:val="single" w:sz="4" w:space="0" w:color="000000"/>
              <w:left w:val="single" w:sz="4" w:space="0" w:color="000000"/>
              <w:bottom w:val="single" w:sz="4" w:space="0" w:color="000000"/>
              <w:right w:val="single" w:sz="4" w:space="0" w:color="000000"/>
            </w:tcBorders>
          </w:tcPr>
          <w:p w14:paraId="19057AF0" w14:textId="77777777" w:rsidR="00843FDA" w:rsidRPr="00C6580C" w:rsidRDefault="00843FDA" w:rsidP="00CD7CAC">
            <w:pPr>
              <w:widowControl/>
              <w:rPr>
                <w:kern w:val="0"/>
                <w:szCs w:val="22"/>
              </w:rPr>
            </w:pPr>
            <w:r w:rsidRPr="00C6580C">
              <w:rPr>
                <w:kern w:val="0"/>
                <w:szCs w:val="22"/>
              </w:rPr>
              <w:t>489a</w:t>
            </w:r>
          </w:p>
        </w:tc>
        <w:tc>
          <w:tcPr>
            <w:tcW w:w="0" w:type="auto"/>
            <w:tcBorders>
              <w:top w:val="single" w:sz="4" w:space="0" w:color="000000"/>
              <w:left w:val="single" w:sz="4" w:space="0" w:color="000000"/>
              <w:bottom w:val="single" w:sz="4" w:space="0" w:color="000000"/>
              <w:right w:val="single" w:sz="4" w:space="0" w:color="000000"/>
            </w:tcBorders>
          </w:tcPr>
          <w:p w14:paraId="024A0343" w14:textId="77777777" w:rsidR="00843FDA" w:rsidRPr="00C6580C" w:rsidRDefault="00843FDA" w:rsidP="00CD7CAC">
            <w:pPr>
              <w:widowControl/>
              <w:jc w:val="right"/>
              <w:rPr>
                <w:kern w:val="0"/>
                <w:szCs w:val="22"/>
              </w:rPr>
            </w:pPr>
            <w:r w:rsidRPr="00C6580C">
              <w:rPr>
                <w:kern w:val="0"/>
                <w:szCs w:val="22"/>
              </w:rPr>
              <w:t>.4750</w:t>
            </w:r>
          </w:p>
        </w:tc>
      </w:tr>
      <w:tr w:rsidR="00843FDA" w:rsidRPr="00C6580C" w14:paraId="68607C54" w14:textId="77777777">
        <w:tc>
          <w:tcPr>
            <w:tcW w:w="0" w:type="auto"/>
            <w:tcBorders>
              <w:top w:val="single" w:sz="4" w:space="0" w:color="000000"/>
              <w:left w:val="single" w:sz="4" w:space="0" w:color="000000"/>
              <w:bottom w:val="single" w:sz="4" w:space="0" w:color="000000"/>
              <w:right w:val="single" w:sz="4" w:space="0" w:color="000000"/>
            </w:tcBorders>
          </w:tcPr>
          <w:p w14:paraId="7E7FD6B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95DA3C5" w14:textId="77777777" w:rsidR="00843FDA" w:rsidRPr="00C6580C" w:rsidRDefault="00843FDA" w:rsidP="00CD7CAC">
            <w:pPr>
              <w:widowControl/>
              <w:jc w:val="center"/>
              <w:rPr>
                <w:szCs w:val="22"/>
              </w:rPr>
            </w:pPr>
            <w:r w:rsidRPr="00C6580C">
              <w:rPr>
                <w:kern w:val="0"/>
                <w:szCs w:val="22"/>
              </w:rPr>
              <w:t>* * *</w:t>
            </w:r>
          </w:p>
        </w:tc>
      </w:tr>
      <w:tr w:rsidR="00843FDA" w:rsidRPr="00C6580C" w14:paraId="318C6512" w14:textId="77777777">
        <w:tc>
          <w:tcPr>
            <w:tcW w:w="0" w:type="auto"/>
            <w:tcBorders>
              <w:top w:val="single" w:sz="4" w:space="0" w:color="000000"/>
              <w:left w:val="single" w:sz="4" w:space="0" w:color="000000"/>
              <w:bottom w:val="single" w:sz="4" w:space="0" w:color="000000"/>
              <w:right w:val="single" w:sz="4" w:space="0" w:color="000000"/>
            </w:tcBorders>
          </w:tcPr>
          <w:p w14:paraId="588E9275" w14:textId="77777777" w:rsidR="00843FDA" w:rsidRPr="00C6580C" w:rsidRDefault="00843FDA" w:rsidP="00CD7CAC">
            <w:pPr>
              <w:widowControl/>
              <w:rPr>
                <w:kern w:val="0"/>
                <w:szCs w:val="22"/>
              </w:rPr>
            </w:pPr>
            <w:r w:rsidRPr="00C6580C">
              <w:rPr>
                <w:kern w:val="0"/>
                <w:szCs w:val="22"/>
              </w:rPr>
              <w:t>490a</w:t>
            </w:r>
          </w:p>
        </w:tc>
        <w:tc>
          <w:tcPr>
            <w:tcW w:w="0" w:type="auto"/>
            <w:tcBorders>
              <w:top w:val="single" w:sz="4" w:space="0" w:color="000000"/>
              <w:left w:val="single" w:sz="4" w:space="0" w:color="000000"/>
              <w:bottom w:val="single" w:sz="4" w:space="0" w:color="000000"/>
              <w:right w:val="single" w:sz="4" w:space="0" w:color="000000"/>
            </w:tcBorders>
          </w:tcPr>
          <w:p w14:paraId="70957A94" w14:textId="77777777" w:rsidR="00843FDA" w:rsidRPr="00C6580C" w:rsidRDefault="00843FDA" w:rsidP="00CD7CAC">
            <w:pPr>
              <w:widowControl/>
              <w:jc w:val="right"/>
              <w:rPr>
                <w:kern w:val="0"/>
                <w:szCs w:val="22"/>
              </w:rPr>
            </w:pPr>
            <w:r w:rsidRPr="00C6580C">
              <w:rPr>
                <w:kern w:val="0"/>
                <w:szCs w:val="22"/>
              </w:rPr>
              <w:t>.5000</w:t>
            </w:r>
          </w:p>
        </w:tc>
      </w:tr>
      <w:tr w:rsidR="00843FDA" w:rsidRPr="00C6580C" w14:paraId="0B4902CE" w14:textId="77777777">
        <w:tc>
          <w:tcPr>
            <w:tcW w:w="0" w:type="auto"/>
            <w:tcBorders>
              <w:top w:val="single" w:sz="4" w:space="0" w:color="000000"/>
              <w:left w:val="single" w:sz="4" w:space="0" w:color="000000"/>
              <w:bottom w:val="single" w:sz="4" w:space="0" w:color="000000"/>
              <w:right w:val="single" w:sz="4" w:space="0" w:color="000000"/>
            </w:tcBorders>
          </w:tcPr>
          <w:p w14:paraId="720E2D3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4E89FD9" w14:textId="77777777" w:rsidR="00843FDA" w:rsidRPr="00C6580C" w:rsidRDefault="00843FDA" w:rsidP="00CD7CAC">
            <w:pPr>
              <w:widowControl/>
              <w:jc w:val="center"/>
              <w:rPr>
                <w:szCs w:val="22"/>
              </w:rPr>
            </w:pPr>
            <w:r w:rsidRPr="00C6580C">
              <w:rPr>
                <w:kern w:val="0"/>
                <w:szCs w:val="22"/>
              </w:rPr>
              <w:t>* * *</w:t>
            </w:r>
          </w:p>
        </w:tc>
      </w:tr>
      <w:tr w:rsidR="00843FDA" w:rsidRPr="00C6580C" w14:paraId="32DC306C" w14:textId="77777777">
        <w:tc>
          <w:tcPr>
            <w:tcW w:w="0" w:type="auto"/>
            <w:tcBorders>
              <w:top w:val="single" w:sz="4" w:space="0" w:color="000000"/>
              <w:left w:val="single" w:sz="4" w:space="0" w:color="000000"/>
              <w:bottom w:val="single" w:sz="4" w:space="0" w:color="000000"/>
              <w:right w:val="single" w:sz="4" w:space="0" w:color="000000"/>
            </w:tcBorders>
          </w:tcPr>
          <w:p w14:paraId="0AFD4A71" w14:textId="77777777" w:rsidR="00843FDA" w:rsidRPr="00C6580C" w:rsidRDefault="00843FDA" w:rsidP="00CD7CAC">
            <w:pPr>
              <w:widowControl/>
              <w:rPr>
                <w:kern w:val="0"/>
                <w:szCs w:val="22"/>
              </w:rPr>
            </w:pPr>
            <w:r w:rsidRPr="00C6580C">
              <w:rPr>
                <w:kern w:val="0"/>
                <w:szCs w:val="22"/>
              </w:rPr>
              <w:t>491a</w:t>
            </w:r>
          </w:p>
        </w:tc>
        <w:tc>
          <w:tcPr>
            <w:tcW w:w="0" w:type="auto"/>
            <w:tcBorders>
              <w:top w:val="single" w:sz="4" w:space="0" w:color="000000"/>
              <w:left w:val="single" w:sz="4" w:space="0" w:color="000000"/>
              <w:bottom w:val="single" w:sz="4" w:space="0" w:color="000000"/>
              <w:right w:val="single" w:sz="4" w:space="0" w:color="000000"/>
            </w:tcBorders>
          </w:tcPr>
          <w:p w14:paraId="321D8DF8" w14:textId="77777777" w:rsidR="00843FDA" w:rsidRPr="00C6580C" w:rsidRDefault="00843FDA" w:rsidP="00CD7CAC">
            <w:pPr>
              <w:widowControl/>
              <w:jc w:val="right"/>
              <w:rPr>
                <w:kern w:val="0"/>
                <w:szCs w:val="22"/>
              </w:rPr>
            </w:pPr>
            <w:r w:rsidRPr="00C6580C">
              <w:rPr>
                <w:kern w:val="0"/>
                <w:szCs w:val="22"/>
              </w:rPr>
              <w:t>.5250</w:t>
            </w:r>
          </w:p>
        </w:tc>
      </w:tr>
      <w:tr w:rsidR="00843FDA" w:rsidRPr="00C6580C" w14:paraId="2A49D268" w14:textId="77777777">
        <w:tc>
          <w:tcPr>
            <w:tcW w:w="0" w:type="auto"/>
            <w:tcBorders>
              <w:top w:val="single" w:sz="4" w:space="0" w:color="000000"/>
              <w:left w:val="single" w:sz="4" w:space="0" w:color="000000"/>
              <w:bottom w:val="single" w:sz="4" w:space="0" w:color="000000"/>
              <w:right w:val="single" w:sz="4" w:space="0" w:color="000000"/>
            </w:tcBorders>
          </w:tcPr>
          <w:p w14:paraId="443A641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F1EC3CA" w14:textId="77777777" w:rsidR="00843FDA" w:rsidRPr="00C6580C" w:rsidRDefault="00843FDA" w:rsidP="00CD7CAC">
            <w:pPr>
              <w:widowControl/>
              <w:jc w:val="center"/>
              <w:rPr>
                <w:szCs w:val="22"/>
              </w:rPr>
            </w:pPr>
            <w:r w:rsidRPr="00C6580C">
              <w:rPr>
                <w:kern w:val="0"/>
                <w:szCs w:val="22"/>
              </w:rPr>
              <w:t>* * *</w:t>
            </w:r>
          </w:p>
        </w:tc>
      </w:tr>
      <w:tr w:rsidR="00843FDA" w:rsidRPr="00C6580C" w14:paraId="6678D1DD" w14:textId="77777777">
        <w:tc>
          <w:tcPr>
            <w:tcW w:w="0" w:type="auto"/>
            <w:tcBorders>
              <w:top w:val="single" w:sz="4" w:space="0" w:color="000000"/>
              <w:left w:val="single" w:sz="4" w:space="0" w:color="000000"/>
              <w:bottom w:val="single" w:sz="4" w:space="0" w:color="000000"/>
              <w:right w:val="single" w:sz="4" w:space="0" w:color="000000"/>
            </w:tcBorders>
          </w:tcPr>
          <w:p w14:paraId="6D19B832" w14:textId="77777777" w:rsidR="00843FDA" w:rsidRPr="00C6580C" w:rsidRDefault="00843FDA" w:rsidP="00CD7CAC">
            <w:pPr>
              <w:widowControl/>
              <w:rPr>
                <w:kern w:val="0"/>
                <w:szCs w:val="22"/>
              </w:rPr>
            </w:pPr>
            <w:r w:rsidRPr="00C6580C">
              <w:rPr>
                <w:kern w:val="0"/>
                <w:szCs w:val="22"/>
              </w:rPr>
              <w:t>492a</w:t>
            </w:r>
          </w:p>
        </w:tc>
        <w:tc>
          <w:tcPr>
            <w:tcW w:w="0" w:type="auto"/>
            <w:tcBorders>
              <w:top w:val="single" w:sz="4" w:space="0" w:color="000000"/>
              <w:left w:val="single" w:sz="4" w:space="0" w:color="000000"/>
              <w:bottom w:val="single" w:sz="4" w:space="0" w:color="000000"/>
              <w:right w:val="single" w:sz="4" w:space="0" w:color="000000"/>
            </w:tcBorders>
          </w:tcPr>
          <w:p w14:paraId="0EBC3CE5" w14:textId="77777777" w:rsidR="00843FDA" w:rsidRPr="00C6580C" w:rsidRDefault="00843FDA" w:rsidP="00CD7CAC">
            <w:pPr>
              <w:widowControl/>
              <w:jc w:val="right"/>
              <w:rPr>
                <w:kern w:val="0"/>
                <w:szCs w:val="22"/>
              </w:rPr>
            </w:pPr>
            <w:r w:rsidRPr="00C6580C">
              <w:rPr>
                <w:kern w:val="0"/>
                <w:szCs w:val="22"/>
              </w:rPr>
              <w:t>.5500</w:t>
            </w:r>
          </w:p>
        </w:tc>
      </w:tr>
      <w:tr w:rsidR="00843FDA" w:rsidRPr="00C6580C" w14:paraId="6F44EA2F" w14:textId="77777777">
        <w:tc>
          <w:tcPr>
            <w:tcW w:w="0" w:type="auto"/>
            <w:tcBorders>
              <w:top w:val="single" w:sz="4" w:space="0" w:color="000000"/>
              <w:left w:val="single" w:sz="4" w:space="0" w:color="000000"/>
              <w:bottom w:val="single" w:sz="4" w:space="0" w:color="000000"/>
              <w:right w:val="single" w:sz="4" w:space="0" w:color="000000"/>
            </w:tcBorders>
          </w:tcPr>
          <w:p w14:paraId="4417FFB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7BA4062" w14:textId="77777777" w:rsidR="00843FDA" w:rsidRPr="00C6580C" w:rsidRDefault="00843FDA" w:rsidP="00CD7CAC">
            <w:pPr>
              <w:widowControl/>
              <w:jc w:val="center"/>
              <w:rPr>
                <w:szCs w:val="22"/>
              </w:rPr>
            </w:pPr>
            <w:r w:rsidRPr="00C6580C">
              <w:rPr>
                <w:kern w:val="0"/>
                <w:szCs w:val="22"/>
              </w:rPr>
              <w:t>* * *</w:t>
            </w:r>
          </w:p>
        </w:tc>
      </w:tr>
      <w:tr w:rsidR="00843FDA" w:rsidRPr="00C6580C" w14:paraId="35503B4A" w14:textId="77777777">
        <w:tc>
          <w:tcPr>
            <w:tcW w:w="0" w:type="auto"/>
            <w:tcBorders>
              <w:top w:val="single" w:sz="4" w:space="0" w:color="000000"/>
              <w:left w:val="single" w:sz="4" w:space="0" w:color="000000"/>
              <w:bottom w:val="single" w:sz="4" w:space="0" w:color="000000"/>
              <w:right w:val="single" w:sz="4" w:space="0" w:color="000000"/>
            </w:tcBorders>
          </w:tcPr>
          <w:p w14:paraId="41D8ED35" w14:textId="77777777" w:rsidR="00843FDA" w:rsidRPr="00C6580C" w:rsidRDefault="00843FDA" w:rsidP="00CD7CAC">
            <w:pPr>
              <w:widowControl/>
              <w:rPr>
                <w:kern w:val="0"/>
                <w:szCs w:val="22"/>
              </w:rPr>
            </w:pPr>
            <w:r w:rsidRPr="00C6580C">
              <w:rPr>
                <w:kern w:val="0"/>
                <w:szCs w:val="22"/>
              </w:rPr>
              <w:t>493a</w:t>
            </w:r>
          </w:p>
        </w:tc>
        <w:tc>
          <w:tcPr>
            <w:tcW w:w="0" w:type="auto"/>
            <w:tcBorders>
              <w:top w:val="single" w:sz="4" w:space="0" w:color="000000"/>
              <w:left w:val="single" w:sz="4" w:space="0" w:color="000000"/>
              <w:bottom w:val="single" w:sz="4" w:space="0" w:color="000000"/>
              <w:right w:val="single" w:sz="4" w:space="0" w:color="000000"/>
            </w:tcBorders>
          </w:tcPr>
          <w:p w14:paraId="3A10E5E4" w14:textId="77777777" w:rsidR="00843FDA" w:rsidRPr="00C6580C" w:rsidRDefault="00843FDA" w:rsidP="00CD7CAC">
            <w:pPr>
              <w:widowControl/>
              <w:jc w:val="right"/>
              <w:rPr>
                <w:kern w:val="0"/>
                <w:szCs w:val="22"/>
              </w:rPr>
            </w:pPr>
            <w:r w:rsidRPr="00C6580C">
              <w:rPr>
                <w:kern w:val="0"/>
                <w:szCs w:val="22"/>
              </w:rPr>
              <w:t>.5750</w:t>
            </w:r>
          </w:p>
        </w:tc>
      </w:tr>
      <w:tr w:rsidR="00843FDA" w:rsidRPr="00C6580C" w14:paraId="41F85F26" w14:textId="77777777">
        <w:tc>
          <w:tcPr>
            <w:tcW w:w="0" w:type="auto"/>
            <w:tcBorders>
              <w:top w:val="single" w:sz="4" w:space="0" w:color="000000"/>
              <w:left w:val="single" w:sz="4" w:space="0" w:color="000000"/>
              <w:bottom w:val="single" w:sz="4" w:space="0" w:color="000000"/>
              <w:right w:val="single" w:sz="4" w:space="0" w:color="000000"/>
            </w:tcBorders>
          </w:tcPr>
          <w:p w14:paraId="61FF491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9A3F4F0" w14:textId="77777777" w:rsidR="00843FDA" w:rsidRPr="00C6580C" w:rsidRDefault="00843FDA" w:rsidP="00CD7CAC">
            <w:pPr>
              <w:widowControl/>
              <w:jc w:val="center"/>
              <w:rPr>
                <w:szCs w:val="22"/>
              </w:rPr>
            </w:pPr>
            <w:r w:rsidRPr="00C6580C">
              <w:rPr>
                <w:kern w:val="0"/>
                <w:szCs w:val="22"/>
              </w:rPr>
              <w:t>* * *</w:t>
            </w:r>
          </w:p>
        </w:tc>
      </w:tr>
      <w:tr w:rsidR="00843FDA" w:rsidRPr="00C6580C" w14:paraId="412E819B" w14:textId="77777777">
        <w:tc>
          <w:tcPr>
            <w:tcW w:w="0" w:type="auto"/>
            <w:tcBorders>
              <w:top w:val="single" w:sz="4" w:space="0" w:color="000000"/>
              <w:left w:val="single" w:sz="4" w:space="0" w:color="000000"/>
              <w:bottom w:val="single" w:sz="4" w:space="0" w:color="000000"/>
              <w:right w:val="single" w:sz="4" w:space="0" w:color="000000"/>
            </w:tcBorders>
          </w:tcPr>
          <w:p w14:paraId="706704FA" w14:textId="77777777" w:rsidR="00843FDA" w:rsidRPr="00C6580C" w:rsidRDefault="00843FDA" w:rsidP="00CD7CAC">
            <w:pPr>
              <w:widowControl/>
              <w:rPr>
                <w:kern w:val="0"/>
                <w:szCs w:val="22"/>
              </w:rPr>
            </w:pPr>
            <w:r w:rsidRPr="00C6580C">
              <w:rPr>
                <w:kern w:val="0"/>
                <w:szCs w:val="22"/>
              </w:rPr>
              <w:t>494a</w:t>
            </w:r>
          </w:p>
        </w:tc>
        <w:tc>
          <w:tcPr>
            <w:tcW w:w="0" w:type="auto"/>
            <w:tcBorders>
              <w:top w:val="single" w:sz="4" w:space="0" w:color="000000"/>
              <w:left w:val="single" w:sz="4" w:space="0" w:color="000000"/>
              <w:bottom w:val="single" w:sz="4" w:space="0" w:color="000000"/>
              <w:right w:val="single" w:sz="4" w:space="0" w:color="000000"/>
            </w:tcBorders>
          </w:tcPr>
          <w:p w14:paraId="3B36D24C" w14:textId="77777777" w:rsidR="00843FDA" w:rsidRPr="00C6580C" w:rsidRDefault="00843FDA" w:rsidP="00CD7CAC">
            <w:pPr>
              <w:widowControl/>
              <w:jc w:val="right"/>
              <w:rPr>
                <w:kern w:val="0"/>
                <w:szCs w:val="22"/>
              </w:rPr>
            </w:pPr>
            <w:r w:rsidRPr="00C6580C">
              <w:rPr>
                <w:kern w:val="0"/>
                <w:szCs w:val="22"/>
              </w:rPr>
              <w:t>.6000</w:t>
            </w:r>
          </w:p>
        </w:tc>
      </w:tr>
      <w:tr w:rsidR="00843FDA" w:rsidRPr="00C6580C" w14:paraId="7C704907" w14:textId="77777777">
        <w:tc>
          <w:tcPr>
            <w:tcW w:w="0" w:type="auto"/>
            <w:tcBorders>
              <w:top w:val="single" w:sz="4" w:space="0" w:color="000000"/>
              <w:left w:val="single" w:sz="4" w:space="0" w:color="000000"/>
              <w:bottom w:val="single" w:sz="4" w:space="0" w:color="000000"/>
              <w:right w:val="single" w:sz="4" w:space="0" w:color="000000"/>
            </w:tcBorders>
          </w:tcPr>
          <w:p w14:paraId="302EE28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1B589B3" w14:textId="77777777" w:rsidR="00843FDA" w:rsidRPr="00C6580C" w:rsidRDefault="00843FDA" w:rsidP="00CD7CAC">
            <w:pPr>
              <w:widowControl/>
              <w:jc w:val="center"/>
              <w:rPr>
                <w:szCs w:val="22"/>
              </w:rPr>
            </w:pPr>
            <w:r w:rsidRPr="00C6580C">
              <w:rPr>
                <w:kern w:val="0"/>
                <w:szCs w:val="22"/>
              </w:rPr>
              <w:t>* * *</w:t>
            </w:r>
          </w:p>
        </w:tc>
      </w:tr>
      <w:tr w:rsidR="00843FDA" w:rsidRPr="00C6580C" w14:paraId="59DB065F" w14:textId="77777777">
        <w:tc>
          <w:tcPr>
            <w:tcW w:w="0" w:type="auto"/>
            <w:tcBorders>
              <w:top w:val="single" w:sz="4" w:space="0" w:color="000000"/>
              <w:left w:val="single" w:sz="4" w:space="0" w:color="000000"/>
              <w:bottom w:val="single" w:sz="4" w:space="0" w:color="000000"/>
              <w:right w:val="single" w:sz="4" w:space="0" w:color="000000"/>
            </w:tcBorders>
          </w:tcPr>
          <w:p w14:paraId="7AAE89CD" w14:textId="77777777" w:rsidR="00843FDA" w:rsidRPr="00C6580C" w:rsidRDefault="00843FDA" w:rsidP="00CD7CAC">
            <w:pPr>
              <w:widowControl/>
              <w:rPr>
                <w:kern w:val="0"/>
                <w:szCs w:val="22"/>
              </w:rPr>
            </w:pPr>
            <w:r w:rsidRPr="00C6580C">
              <w:rPr>
                <w:kern w:val="0"/>
                <w:szCs w:val="22"/>
              </w:rPr>
              <w:t>495a</w:t>
            </w:r>
          </w:p>
        </w:tc>
        <w:tc>
          <w:tcPr>
            <w:tcW w:w="0" w:type="auto"/>
            <w:tcBorders>
              <w:top w:val="single" w:sz="4" w:space="0" w:color="000000"/>
              <w:left w:val="single" w:sz="4" w:space="0" w:color="000000"/>
              <w:bottom w:val="single" w:sz="4" w:space="0" w:color="000000"/>
              <w:right w:val="single" w:sz="4" w:space="0" w:color="000000"/>
            </w:tcBorders>
          </w:tcPr>
          <w:p w14:paraId="14E96BD8" w14:textId="77777777" w:rsidR="00843FDA" w:rsidRPr="00C6580C" w:rsidRDefault="00843FDA" w:rsidP="00CD7CAC">
            <w:pPr>
              <w:widowControl/>
              <w:jc w:val="right"/>
              <w:rPr>
                <w:kern w:val="0"/>
                <w:szCs w:val="22"/>
              </w:rPr>
            </w:pPr>
            <w:r w:rsidRPr="00C6580C">
              <w:rPr>
                <w:kern w:val="0"/>
                <w:szCs w:val="22"/>
              </w:rPr>
              <w:t>.6250</w:t>
            </w:r>
          </w:p>
        </w:tc>
      </w:tr>
      <w:tr w:rsidR="00843FDA" w:rsidRPr="00C6580C" w14:paraId="42689A51" w14:textId="77777777">
        <w:tc>
          <w:tcPr>
            <w:tcW w:w="0" w:type="auto"/>
            <w:tcBorders>
              <w:top w:val="single" w:sz="4" w:space="0" w:color="000000"/>
              <w:left w:val="single" w:sz="4" w:space="0" w:color="000000"/>
              <w:bottom w:val="single" w:sz="4" w:space="0" w:color="000000"/>
              <w:right w:val="single" w:sz="4" w:space="0" w:color="000000"/>
            </w:tcBorders>
          </w:tcPr>
          <w:p w14:paraId="4290609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7D6B19D" w14:textId="77777777" w:rsidR="00843FDA" w:rsidRPr="00C6580C" w:rsidRDefault="00843FDA" w:rsidP="00CD7CAC">
            <w:pPr>
              <w:widowControl/>
              <w:jc w:val="center"/>
              <w:rPr>
                <w:szCs w:val="22"/>
              </w:rPr>
            </w:pPr>
            <w:r w:rsidRPr="00C6580C">
              <w:rPr>
                <w:kern w:val="0"/>
                <w:szCs w:val="22"/>
              </w:rPr>
              <w:t>* * *</w:t>
            </w:r>
          </w:p>
        </w:tc>
      </w:tr>
      <w:tr w:rsidR="00843FDA" w:rsidRPr="00C6580C" w14:paraId="5CE1DC0D" w14:textId="77777777">
        <w:tc>
          <w:tcPr>
            <w:tcW w:w="0" w:type="auto"/>
            <w:tcBorders>
              <w:top w:val="single" w:sz="4" w:space="0" w:color="000000"/>
              <w:left w:val="single" w:sz="4" w:space="0" w:color="000000"/>
              <w:bottom w:val="single" w:sz="4" w:space="0" w:color="000000"/>
              <w:right w:val="single" w:sz="4" w:space="0" w:color="000000"/>
            </w:tcBorders>
          </w:tcPr>
          <w:p w14:paraId="41F4FDCD" w14:textId="77777777" w:rsidR="00843FDA" w:rsidRPr="00C6580C" w:rsidRDefault="00843FDA" w:rsidP="00CD7CAC">
            <w:pPr>
              <w:widowControl/>
              <w:rPr>
                <w:kern w:val="0"/>
                <w:szCs w:val="22"/>
              </w:rPr>
            </w:pPr>
            <w:r w:rsidRPr="00C6580C">
              <w:rPr>
                <w:kern w:val="0"/>
                <w:szCs w:val="22"/>
              </w:rPr>
              <w:t>496a</w:t>
            </w:r>
          </w:p>
        </w:tc>
        <w:tc>
          <w:tcPr>
            <w:tcW w:w="0" w:type="auto"/>
            <w:tcBorders>
              <w:top w:val="single" w:sz="4" w:space="0" w:color="000000"/>
              <w:left w:val="single" w:sz="4" w:space="0" w:color="000000"/>
              <w:bottom w:val="single" w:sz="4" w:space="0" w:color="000000"/>
              <w:right w:val="single" w:sz="4" w:space="0" w:color="000000"/>
            </w:tcBorders>
          </w:tcPr>
          <w:p w14:paraId="6EB97C49" w14:textId="77777777" w:rsidR="00843FDA" w:rsidRPr="00C6580C" w:rsidRDefault="00843FDA" w:rsidP="00CD7CAC">
            <w:pPr>
              <w:widowControl/>
              <w:jc w:val="right"/>
              <w:rPr>
                <w:kern w:val="0"/>
                <w:szCs w:val="22"/>
              </w:rPr>
            </w:pPr>
            <w:r w:rsidRPr="00C6580C">
              <w:rPr>
                <w:kern w:val="0"/>
                <w:szCs w:val="22"/>
              </w:rPr>
              <w:t>.6500</w:t>
            </w:r>
          </w:p>
        </w:tc>
      </w:tr>
      <w:tr w:rsidR="00843FDA" w:rsidRPr="00C6580C" w14:paraId="7CD084B2" w14:textId="77777777">
        <w:tc>
          <w:tcPr>
            <w:tcW w:w="0" w:type="auto"/>
            <w:tcBorders>
              <w:top w:val="single" w:sz="4" w:space="0" w:color="000000"/>
              <w:left w:val="single" w:sz="4" w:space="0" w:color="000000"/>
              <w:bottom w:val="single" w:sz="4" w:space="0" w:color="000000"/>
              <w:right w:val="single" w:sz="4" w:space="0" w:color="000000"/>
            </w:tcBorders>
          </w:tcPr>
          <w:p w14:paraId="5FC3CF5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5F616AB" w14:textId="77777777" w:rsidR="00843FDA" w:rsidRPr="00C6580C" w:rsidRDefault="00843FDA" w:rsidP="00CD7CAC">
            <w:pPr>
              <w:widowControl/>
              <w:jc w:val="center"/>
              <w:rPr>
                <w:szCs w:val="22"/>
              </w:rPr>
            </w:pPr>
            <w:r w:rsidRPr="00C6580C">
              <w:rPr>
                <w:kern w:val="0"/>
                <w:szCs w:val="22"/>
              </w:rPr>
              <w:t>* * *</w:t>
            </w:r>
          </w:p>
        </w:tc>
      </w:tr>
      <w:tr w:rsidR="00843FDA" w:rsidRPr="00C6580C" w14:paraId="2AB04FA3" w14:textId="77777777">
        <w:tc>
          <w:tcPr>
            <w:tcW w:w="0" w:type="auto"/>
            <w:tcBorders>
              <w:top w:val="single" w:sz="4" w:space="0" w:color="000000"/>
              <w:left w:val="single" w:sz="4" w:space="0" w:color="000000"/>
              <w:bottom w:val="single" w:sz="4" w:space="0" w:color="000000"/>
              <w:right w:val="single" w:sz="4" w:space="0" w:color="000000"/>
            </w:tcBorders>
          </w:tcPr>
          <w:p w14:paraId="667F9420" w14:textId="77777777" w:rsidR="00843FDA" w:rsidRPr="00C6580C" w:rsidRDefault="00843FDA" w:rsidP="00CD7CAC">
            <w:pPr>
              <w:widowControl/>
              <w:rPr>
                <w:kern w:val="0"/>
                <w:szCs w:val="22"/>
              </w:rPr>
            </w:pPr>
            <w:r w:rsidRPr="00C6580C">
              <w:rPr>
                <w:kern w:val="0"/>
                <w:szCs w:val="22"/>
              </w:rPr>
              <w:t>497a</w:t>
            </w:r>
          </w:p>
        </w:tc>
        <w:tc>
          <w:tcPr>
            <w:tcW w:w="0" w:type="auto"/>
            <w:tcBorders>
              <w:top w:val="single" w:sz="4" w:space="0" w:color="000000"/>
              <w:left w:val="single" w:sz="4" w:space="0" w:color="000000"/>
              <w:bottom w:val="single" w:sz="4" w:space="0" w:color="000000"/>
              <w:right w:val="single" w:sz="4" w:space="0" w:color="000000"/>
            </w:tcBorders>
          </w:tcPr>
          <w:p w14:paraId="47628C61" w14:textId="77777777" w:rsidR="00843FDA" w:rsidRPr="00C6580C" w:rsidRDefault="00843FDA" w:rsidP="00CD7CAC">
            <w:pPr>
              <w:widowControl/>
              <w:jc w:val="right"/>
              <w:rPr>
                <w:kern w:val="0"/>
                <w:szCs w:val="22"/>
              </w:rPr>
            </w:pPr>
            <w:r w:rsidRPr="00C6580C">
              <w:rPr>
                <w:kern w:val="0"/>
                <w:szCs w:val="22"/>
              </w:rPr>
              <w:t>.6750</w:t>
            </w:r>
          </w:p>
        </w:tc>
      </w:tr>
      <w:tr w:rsidR="00843FDA" w:rsidRPr="00C6580C" w14:paraId="234353CE" w14:textId="77777777">
        <w:tc>
          <w:tcPr>
            <w:tcW w:w="0" w:type="auto"/>
            <w:tcBorders>
              <w:top w:val="single" w:sz="4" w:space="0" w:color="000000"/>
              <w:left w:val="single" w:sz="4" w:space="0" w:color="000000"/>
              <w:bottom w:val="single" w:sz="4" w:space="0" w:color="000000"/>
              <w:right w:val="single" w:sz="4" w:space="0" w:color="000000"/>
            </w:tcBorders>
          </w:tcPr>
          <w:p w14:paraId="48EBF75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F7D416A" w14:textId="77777777" w:rsidR="00843FDA" w:rsidRPr="00C6580C" w:rsidRDefault="00843FDA" w:rsidP="00CD7CAC">
            <w:pPr>
              <w:widowControl/>
              <w:jc w:val="center"/>
              <w:rPr>
                <w:szCs w:val="22"/>
              </w:rPr>
            </w:pPr>
            <w:r w:rsidRPr="00C6580C">
              <w:rPr>
                <w:kern w:val="0"/>
                <w:szCs w:val="22"/>
              </w:rPr>
              <w:t>* * *</w:t>
            </w:r>
          </w:p>
        </w:tc>
      </w:tr>
      <w:tr w:rsidR="00843FDA" w:rsidRPr="00C6580C" w14:paraId="00975357" w14:textId="77777777">
        <w:tc>
          <w:tcPr>
            <w:tcW w:w="0" w:type="auto"/>
            <w:tcBorders>
              <w:top w:val="single" w:sz="4" w:space="0" w:color="000000"/>
              <w:left w:val="single" w:sz="4" w:space="0" w:color="000000"/>
              <w:bottom w:val="single" w:sz="4" w:space="0" w:color="000000"/>
              <w:right w:val="single" w:sz="4" w:space="0" w:color="000000"/>
            </w:tcBorders>
          </w:tcPr>
          <w:p w14:paraId="68F2C692" w14:textId="77777777" w:rsidR="00843FDA" w:rsidRPr="00C6580C" w:rsidRDefault="00843FDA" w:rsidP="00CD7CAC">
            <w:pPr>
              <w:widowControl/>
              <w:rPr>
                <w:kern w:val="0"/>
                <w:szCs w:val="22"/>
              </w:rPr>
            </w:pPr>
            <w:r w:rsidRPr="00C6580C">
              <w:rPr>
                <w:kern w:val="0"/>
                <w:szCs w:val="22"/>
              </w:rPr>
              <w:t>498a</w:t>
            </w:r>
          </w:p>
        </w:tc>
        <w:tc>
          <w:tcPr>
            <w:tcW w:w="0" w:type="auto"/>
            <w:tcBorders>
              <w:top w:val="single" w:sz="4" w:space="0" w:color="000000"/>
              <w:left w:val="single" w:sz="4" w:space="0" w:color="000000"/>
              <w:bottom w:val="single" w:sz="4" w:space="0" w:color="000000"/>
              <w:right w:val="single" w:sz="4" w:space="0" w:color="000000"/>
            </w:tcBorders>
          </w:tcPr>
          <w:p w14:paraId="44B8CCD8" w14:textId="77777777" w:rsidR="00843FDA" w:rsidRPr="00C6580C" w:rsidRDefault="00843FDA" w:rsidP="00CD7CAC">
            <w:pPr>
              <w:widowControl/>
              <w:jc w:val="right"/>
              <w:rPr>
                <w:kern w:val="0"/>
                <w:szCs w:val="22"/>
              </w:rPr>
            </w:pPr>
            <w:r w:rsidRPr="00C6580C">
              <w:rPr>
                <w:kern w:val="0"/>
                <w:szCs w:val="22"/>
              </w:rPr>
              <w:t>.7000</w:t>
            </w:r>
          </w:p>
        </w:tc>
      </w:tr>
      <w:tr w:rsidR="00843FDA" w:rsidRPr="00C6580C" w14:paraId="193C91F9" w14:textId="77777777">
        <w:tc>
          <w:tcPr>
            <w:tcW w:w="0" w:type="auto"/>
            <w:tcBorders>
              <w:top w:val="single" w:sz="4" w:space="0" w:color="000000"/>
              <w:left w:val="single" w:sz="4" w:space="0" w:color="000000"/>
              <w:bottom w:val="single" w:sz="4" w:space="0" w:color="000000"/>
              <w:right w:val="single" w:sz="4" w:space="0" w:color="000000"/>
            </w:tcBorders>
          </w:tcPr>
          <w:p w14:paraId="4864CE0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E41B152" w14:textId="77777777" w:rsidR="00843FDA" w:rsidRPr="00C6580C" w:rsidRDefault="00843FDA" w:rsidP="00CD7CAC">
            <w:pPr>
              <w:widowControl/>
              <w:jc w:val="center"/>
              <w:rPr>
                <w:szCs w:val="22"/>
              </w:rPr>
            </w:pPr>
            <w:r w:rsidRPr="00C6580C">
              <w:rPr>
                <w:kern w:val="0"/>
                <w:szCs w:val="22"/>
              </w:rPr>
              <w:t>* * *</w:t>
            </w:r>
          </w:p>
        </w:tc>
      </w:tr>
      <w:tr w:rsidR="00843FDA" w:rsidRPr="00C6580C" w14:paraId="28B3A0FA" w14:textId="77777777">
        <w:tc>
          <w:tcPr>
            <w:tcW w:w="0" w:type="auto"/>
            <w:tcBorders>
              <w:top w:val="single" w:sz="4" w:space="0" w:color="000000"/>
              <w:left w:val="single" w:sz="4" w:space="0" w:color="000000"/>
              <w:bottom w:val="single" w:sz="4" w:space="0" w:color="000000"/>
              <w:right w:val="single" w:sz="4" w:space="0" w:color="000000"/>
            </w:tcBorders>
          </w:tcPr>
          <w:p w14:paraId="43B8C89C" w14:textId="77777777" w:rsidR="00843FDA" w:rsidRPr="00C6580C" w:rsidRDefault="00843FDA" w:rsidP="00CD7CAC">
            <w:pPr>
              <w:widowControl/>
              <w:rPr>
                <w:kern w:val="0"/>
                <w:szCs w:val="22"/>
              </w:rPr>
            </w:pPr>
            <w:r w:rsidRPr="00C6580C">
              <w:rPr>
                <w:kern w:val="0"/>
                <w:szCs w:val="22"/>
              </w:rPr>
              <w:t>499a</w:t>
            </w:r>
          </w:p>
        </w:tc>
        <w:tc>
          <w:tcPr>
            <w:tcW w:w="0" w:type="auto"/>
            <w:tcBorders>
              <w:top w:val="single" w:sz="4" w:space="0" w:color="000000"/>
              <w:left w:val="single" w:sz="4" w:space="0" w:color="000000"/>
              <w:bottom w:val="single" w:sz="4" w:space="0" w:color="000000"/>
              <w:right w:val="single" w:sz="4" w:space="0" w:color="000000"/>
            </w:tcBorders>
          </w:tcPr>
          <w:p w14:paraId="22F4E9A2" w14:textId="77777777" w:rsidR="00843FDA" w:rsidRPr="00C6580C" w:rsidRDefault="00843FDA" w:rsidP="00CD7CAC">
            <w:pPr>
              <w:widowControl/>
              <w:jc w:val="right"/>
              <w:rPr>
                <w:kern w:val="0"/>
                <w:szCs w:val="22"/>
              </w:rPr>
            </w:pPr>
            <w:r w:rsidRPr="00C6580C">
              <w:rPr>
                <w:kern w:val="0"/>
                <w:szCs w:val="22"/>
              </w:rPr>
              <w:t>.7250</w:t>
            </w:r>
          </w:p>
        </w:tc>
      </w:tr>
      <w:tr w:rsidR="00843FDA" w:rsidRPr="00C6580C" w14:paraId="00F3DCB5" w14:textId="77777777">
        <w:tc>
          <w:tcPr>
            <w:tcW w:w="0" w:type="auto"/>
            <w:tcBorders>
              <w:top w:val="single" w:sz="4" w:space="0" w:color="000000"/>
              <w:left w:val="single" w:sz="4" w:space="0" w:color="000000"/>
              <w:bottom w:val="single" w:sz="4" w:space="0" w:color="000000"/>
              <w:right w:val="single" w:sz="4" w:space="0" w:color="000000"/>
            </w:tcBorders>
          </w:tcPr>
          <w:p w14:paraId="0E33685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536C36B" w14:textId="77777777" w:rsidR="00843FDA" w:rsidRPr="00C6580C" w:rsidRDefault="00843FDA" w:rsidP="00CD7CAC">
            <w:pPr>
              <w:widowControl/>
              <w:jc w:val="center"/>
              <w:rPr>
                <w:szCs w:val="22"/>
              </w:rPr>
            </w:pPr>
            <w:r w:rsidRPr="00C6580C">
              <w:rPr>
                <w:kern w:val="0"/>
                <w:szCs w:val="22"/>
              </w:rPr>
              <w:t>* * *</w:t>
            </w:r>
          </w:p>
        </w:tc>
      </w:tr>
      <w:tr w:rsidR="00843FDA" w:rsidRPr="00C6580C" w14:paraId="613E6659" w14:textId="77777777">
        <w:tc>
          <w:tcPr>
            <w:tcW w:w="0" w:type="auto"/>
            <w:tcBorders>
              <w:top w:val="single" w:sz="4" w:space="0" w:color="000000"/>
              <w:left w:val="single" w:sz="4" w:space="0" w:color="000000"/>
              <w:bottom w:val="single" w:sz="4" w:space="0" w:color="000000"/>
              <w:right w:val="single" w:sz="4" w:space="0" w:color="000000"/>
            </w:tcBorders>
          </w:tcPr>
          <w:p w14:paraId="2666B065" w14:textId="77777777" w:rsidR="00843FDA" w:rsidRPr="00C6580C" w:rsidRDefault="00843FDA" w:rsidP="00CD7CAC">
            <w:pPr>
              <w:widowControl/>
              <w:rPr>
                <w:kern w:val="0"/>
                <w:szCs w:val="22"/>
              </w:rPr>
            </w:pPr>
            <w:r w:rsidRPr="00C6580C">
              <w:rPr>
                <w:kern w:val="0"/>
                <w:szCs w:val="22"/>
              </w:rPr>
              <w:t>500a</w:t>
            </w:r>
          </w:p>
        </w:tc>
        <w:tc>
          <w:tcPr>
            <w:tcW w:w="0" w:type="auto"/>
            <w:tcBorders>
              <w:top w:val="single" w:sz="4" w:space="0" w:color="000000"/>
              <w:left w:val="single" w:sz="4" w:space="0" w:color="000000"/>
              <w:bottom w:val="single" w:sz="4" w:space="0" w:color="000000"/>
              <w:right w:val="single" w:sz="4" w:space="0" w:color="000000"/>
            </w:tcBorders>
          </w:tcPr>
          <w:p w14:paraId="4C89E5B6" w14:textId="77777777" w:rsidR="00843FDA" w:rsidRPr="00C6580C" w:rsidRDefault="00843FDA" w:rsidP="00CD7CAC">
            <w:pPr>
              <w:widowControl/>
              <w:jc w:val="right"/>
              <w:rPr>
                <w:kern w:val="0"/>
                <w:szCs w:val="22"/>
              </w:rPr>
            </w:pPr>
            <w:r w:rsidRPr="00C6580C">
              <w:rPr>
                <w:kern w:val="0"/>
                <w:szCs w:val="22"/>
              </w:rPr>
              <w:t>.7500</w:t>
            </w:r>
          </w:p>
        </w:tc>
      </w:tr>
      <w:tr w:rsidR="00843FDA" w:rsidRPr="00C6580C" w14:paraId="4651DF38" w14:textId="77777777">
        <w:tc>
          <w:tcPr>
            <w:tcW w:w="0" w:type="auto"/>
            <w:tcBorders>
              <w:top w:val="single" w:sz="4" w:space="0" w:color="000000"/>
              <w:left w:val="single" w:sz="4" w:space="0" w:color="000000"/>
              <w:bottom w:val="single" w:sz="4" w:space="0" w:color="000000"/>
              <w:right w:val="single" w:sz="4" w:space="0" w:color="000000"/>
            </w:tcBorders>
          </w:tcPr>
          <w:p w14:paraId="31E943C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CDA85F5" w14:textId="77777777" w:rsidR="00843FDA" w:rsidRPr="00C6580C" w:rsidRDefault="00843FDA" w:rsidP="00CD7CAC">
            <w:pPr>
              <w:widowControl/>
              <w:jc w:val="center"/>
              <w:rPr>
                <w:szCs w:val="22"/>
              </w:rPr>
            </w:pPr>
            <w:r w:rsidRPr="00C6580C">
              <w:rPr>
                <w:kern w:val="0"/>
                <w:szCs w:val="22"/>
              </w:rPr>
              <w:t>* * *</w:t>
            </w:r>
          </w:p>
        </w:tc>
      </w:tr>
      <w:tr w:rsidR="00843FDA" w:rsidRPr="00C6580C" w14:paraId="7FD06DB8" w14:textId="77777777">
        <w:tc>
          <w:tcPr>
            <w:tcW w:w="0" w:type="auto"/>
            <w:tcBorders>
              <w:top w:val="single" w:sz="4" w:space="0" w:color="000000"/>
              <w:left w:val="single" w:sz="4" w:space="0" w:color="000000"/>
              <w:bottom w:val="single" w:sz="4" w:space="0" w:color="000000"/>
              <w:right w:val="single" w:sz="4" w:space="0" w:color="000000"/>
            </w:tcBorders>
          </w:tcPr>
          <w:p w14:paraId="4DED51AB" w14:textId="77777777" w:rsidR="00843FDA" w:rsidRPr="00C6580C" w:rsidRDefault="00843FDA" w:rsidP="00CD7CAC">
            <w:pPr>
              <w:widowControl/>
              <w:rPr>
                <w:kern w:val="0"/>
                <w:szCs w:val="22"/>
              </w:rPr>
            </w:pPr>
            <w:r w:rsidRPr="00C6580C">
              <w:rPr>
                <w:kern w:val="0"/>
                <w:szCs w:val="22"/>
              </w:rPr>
              <w:t>501a</w:t>
            </w:r>
          </w:p>
        </w:tc>
        <w:tc>
          <w:tcPr>
            <w:tcW w:w="0" w:type="auto"/>
            <w:tcBorders>
              <w:top w:val="single" w:sz="4" w:space="0" w:color="000000"/>
              <w:left w:val="single" w:sz="4" w:space="0" w:color="000000"/>
              <w:bottom w:val="single" w:sz="4" w:space="0" w:color="000000"/>
              <w:right w:val="single" w:sz="4" w:space="0" w:color="000000"/>
            </w:tcBorders>
          </w:tcPr>
          <w:p w14:paraId="2462DD4C" w14:textId="77777777" w:rsidR="00843FDA" w:rsidRPr="00C6580C" w:rsidRDefault="00843FDA" w:rsidP="00CD7CAC">
            <w:pPr>
              <w:widowControl/>
              <w:jc w:val="right"/>
              <w:rPr>
                <w:kern w:val="0"/>
                <w:szCs w:val="22"/>
              </w:rPr>
            </w:pPr>
            <w:r w:rsidRPr="00C6580C">
              <w:rPr>
                <w:kern w:val="0"/>
                <w:szCs w:val="22"/>
              </w:rPr>
              <w:t>.7750</w:t>
            </w:r>
          </w:p>
        </w:tc>
      </w:tr>
      <w:tr w:rsidR="00843FDA" w:rsidRPr="00C6580C" w14:paraId="32B35102" w14:textId="77777777">
        <w:tc>
          <w:tcPr>
            <w:tcW w:w="0" w:type="auto"/>
            <w:tcBorders>
              <w:top w:val="single" w:sz="4" w:space="0" w:color="000000"/>
              <w:left w:val="single" w:sz="4" w:space="0" w:color="000000"/>
              <w:bottom w:val="single" w:sz="4" w:space="0" w:color="000000"/>
              <w:right w:val="single" w:sz="4" w:space="0" w:color="000000"/>
            </w:tcBorders>
          </w:tcPr>
          <w:p w14:paraId="7A0E262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BD98440" w14:textId="77777777" w:rsidR="00843FDA" w:rsidRPr="00C6580C" w:rsidRDefault="00843FDA" w:rsidP="00CD7CAC">
            <w:pPr>
              <w:widowControl/>
              <w:jc w:val="center"/>
              <w:rPr>
                <w:szCs w:val="22"/>
              </w:rPr>
            </w:pPr>
            <w:r w:rsidRPr="00C6580C">
              <w:rPr>
                <w:kern w:val="0"/>
                <w:szCs w:val="22"/>
              </w:rPr>
              <w:t>* * *</w:t>
            </w:r>
          </w:p>
        </w:tc>
      </w:tr>
      <w:tr w:rsidR="00843FDA" w:rsidRPr="00C6580C" w14:paraId="6CB936B5" w14:textId="77777777">
        <w:tc>
          <w:tcPr>
            <w:tcW w:w="0" w:type="auto"/>
            <w:tcBorders>
              <w:top w:val="single" w:sz="4" w:space="0" w:color="000000"/>
              <w:left w:val="single" w:sz="4" w:space="0" w:color="000000"/>
              <w:bottom w:val="single" w:sz="4" w:space="0" w:color="000000"/>
              <w:right w:val="single" w:sz="4" w:space="0" w:color="000000"/>
            </w:tcBorders>
          </w:tcPr>
          <w:p w14:paraId="243797B0" w14:textId="77777777" w:rsidR="00843FDA" w:rsidRPr="00C6580C" w:rsidRDefault="00843FDA" w:rsidP="00CD7CAC">
            <w:pPr>
              <w:widowControl/>
              <w:rPr>
                <w:kern w:val="0"/>
                <w:szCs w:val="22"/>
              </w:rPr>
            </w:pPr>
            <w:r w:rsidRPr="00C6580C">
              <w:rPr>
                <w:kern w:val="0"/>
                <w:szCs w:val="22"/>
              </w:rPr>
              <w:t>502a</w:t>
            </w:r>
          </w:p>
        </w:tc>
        <w:tc>
          <w:tcPr>
            <w:tcW w:w="0" w:type="auto"/>
            <w:tcBorders>
              <w:top w:val="single" w:sz="4" w:space="0" w:color="000000"/>
              <w:left w:val="single" w:sz="4" w:space="0" w:color="000000"/>
              <w:bottom w:val="single" w:sz="4" w:space="0" w:color="000000"/>
              <w:right w:val="single" w:sz="4" w:space="0" w:color="000000"/>
            </w:tcBorders>
          </w:tcPr>
          <w:p w14:paraId="03C30C3D" w14:textId="77777777" w:rsidR="00843FDA" w:rsidRPr="00C6580C" w:rsidRDefault="00843FDA" w:rsidP="00CD7CAC">
            <w:pPr>
              <w:widowControl/>
              <w:jc w:val="right"/>
              <w:rPr>
                <w:kern w:val="0"/>
                <w:szCs w:val="22"/>
              </w:rPr>
            </w:pPr>
            <w:r w:rsidRPr="00C6580C">
              <w:rPr>
                <w:kern w:val="0"/>
                <w:szCs w:val="22"/>
              </w:rPr>
              <w:t>.8000</w:t>
            </w:r>
          </w:p>
        </w:tc>
      </w:tr>
      <w:tr w:rsidR="00843FDA" w:rsidRPr="00C6580C" w14:paraId="60B74DF7" w14:textId="77777777">
        <w:tc>
          <w:tcPr>
            <w:tcW w:w="0" w:type="auto"/>
            <w:tcBorders>
              <w:top w:val="single" w:sz="4" w:space="0" w:color="000000"/>
              <w:left w:val="single" w:sz="4" w:space="0" w:color="000000"/>
              <w:bottom w:val="single" w:sz="4" w:space="0" w:color="000000"/>
              <w:right w:val="single" w:sz="4" w:space="0" w:color="000000"/>
            </w:tcBorders>
          </w:tcPr>
          <w:p w14:paraId="1874A09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D416472" w14:textId="77777777" w:rsidR="00843FDA" w:rsidRPr="00C6580C" w:rsidRDefault="00843FDA" w:rsidP="00CD7CAC">
            <w:pPr>
              <w:widowControl/>
              <w:jc w:val="center"/>
              <w:rPr>
                <w:szCs w:val="22"/>
              </w:rPr>
            </w:pPr>
            <w:r w:rsidRPr="00C6580C">
              <w:rPr>
                <w:kern w:val="0"/>
                <w:szCs w:val="22"/>
              </w:rPr>
              <w:t>* * *</w:t>
            </w:r>
          </w:p>
        </w:tc>
      </w:tr>
      <w:tr w:rsidR="00843FDA" w:rsidRPr="00C6580C" w14:paraId="388020DE" w14:textId="77777777">
        <w:tc>
          <w:tcPr>
            <w:tcW w:w="0" w:type="auto"/>
            <w:tcBorders>
              <w:top w:val="single" w:sz="4" w:space="0" w:color="000000"/>
              <w:left w:val="single" w:sz="4" w:space="0" w:color="000000"/>
              <w:bottom w:val="single" w:sz="4" w:space="0" w:color="000000"/>
              <w:right w:val="single" w:sz="4" w:space="0" w:color="000000"/>
            </w:tcBorders>
          </w:tcPr>
          <w:p w14:paraId="7336F3CA" w14:textId="77777777" w:rsidR="00843FDA" w:rsidRPr="00C6580C" w:rsidRDefault="00843FDA" w:rsidP="00CD7CAC">
            <w:pPr>
              <w:widowControl/>
              <w:rPr>
                <w:kern w:val="0"/>
                <w:szCs w:val="22"/>
              </w:rPr>
            </w:pPr>
            <w:r w:rsidRPr="00C6580C">
              <w:rPr>
                <w:kern w:val="0"/>
                <w:szCs w:val="22"/>
              </w:rPr>
              <w:t>503a</w:t>
            </w:r>
          </w:p>
        </w:tc>
        <w:tc>
          <w:tcPr>
            <w:tcW w:w="0" w:type="auto"/>
            <w:tcBorders>
              <w:top w:val="single" w:sz="4" w:space="0" w:color="000000"/>
              <w:left w:val="single" w:sz="4" w:space="0" w:color="000000"/>
              <w:bottom w:val="single" w:sz="4" w:space="0" w:color="000000"/>
              <w:right w:val="single" w:sz="4" w:space="0" w:color="000000"/>
            </w:tcBorders>
          </w:tcPr>
          <w:p w14:paraId="1E337E47" w14:textId="77777777" w:rsidR="00843FDA" w:rsidRPr="00C6580C" w:rsidRDefault="00843FDA" w:rsidP="00CD7CAC">
            <w:pPr>
              <w:widowControl/>
              <w:jc w:val="right"/>
              <w:rPr>
                <w:kern w:val="0"/>
                <w:szCs w:val="22"/>
              </w:rPr>
            </w:pPr>
            <w:r w:rsidRPr="00C6580C">
              <w:rPr>
                <w:kern w:val="0"/>
                <w:szCs w:val="22"/>
              </w:rPr>
              <w:t>.8250</w:t>
            </w:r>
          </w:p>
        </w:tc>
      </w:tr>
      <w:tr w:rsidR="00843FDA" w:rsidRPr="00C6580C" w14:paraId="01B9BFAF" w14:textId="77777777">
        <w:tc>
          <w:tcPr>
            <w:tcW w:w="0" w:type="auto"/>
            <w:tcBorders>
              <w:top w:val="single" w:sz="4" w:space="0" w:color="000000"/>
              <w:left w:val="single" w:sz="4" w:space="0" w:color="000000"/>
              <w:bottom w:val="single" w:sz="4" w:space="0" w:color="000000"/>
              <w:right w:val="single" w:sz="4" w:space="0" w:color="000000"/>
            </w:tcBorders>
          </w:tcPr>
          <w:p w14:paraId="2679AB8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4B653CE" w14:textId="77777777" w:rsidR="00843FDA" w:rsidRPr="00C6580C" w:rsidRDefault="00843FDA" w:rsidP="00CD7CAC">
            <w:pPr>
              <w:widowControl/>
              <w:jc w:val="center"/>
              <w:rPr>
                <w:szCs w:val="22"/>
              </w:rPr>
            </w:pPr>
            <w:r w:rsidRPr="00C6580C">
              <w:rPr>
                <w:kern w:val="0"/>
                <w:szCs w:val="22"/>
              </w:rPr>
              <w:t>* * *</w:t>
            </w:r>
          </w:p>
        </w:tc>
      </w:tr>
      <w:tr w:rsidR="00843FDA" w:rsidRPr="00C6580C" w14:paraId="0CDB1267" w14:textId="77777777">
        <w:tc>
          <w:tcPr>
            <w:tcW w:w="0" w:type="auto"/>
            <w:tcBorders>
              <w:top w:val="single" w:sz="4" w:space="0" w:color="000000"/>
              <w:left w:val="single" w:sz="4" w:space="0" w:color="000000"/>
              <w:bottom w:val="single" w:sz="4" w:space="0" w:color="000000"/>
              <w:right w:val="single" w:sz="4" w:space="0" w:color="000000"/>
            </w:tcBorders>
          </w:tcPr>
          <w:p w14:paraId="4DFB58BE" w14:textId="77777777" w:rsidR="00843FDA" w:rsidRPr="00C6580C" w:rsidRDefault="00843FDA" w:rsidP="00CD7CAC">
            <w:pPr>
              <w:widowControl/>
              <w:rPr>
                <w:kern w:val="0"/>
                <w:szCs w:val="22"/>
              </w:rPr>
            </w:pPr>
            <w:r w:rsidRPr="00C6580C">
              <w:rPr>
                <w:kern w:val="0"/>
                <w:szCs w:val="22"/>
              </w:rPr>
              <w:t>504a</w:t>
            </w:r>
          </w:p>
        </w:tc>
        <w:tc>
          <w:tcPr>
            <w:tcW w:w="0" w:type="auto"/>
            <w:tcBorders>
              <w:top w:val="single" w:sz="4" w:space="0" w:color="000000"/>
              <w:left w:val="single" w:sz="4" w:space="0" w:color="000000"/>
              <w:bottom w:val="single" w:sz="4" w:space="0" w:color="000000"/>
              <w:right w:val="single" w:sz="4" w:space="0" w:color="000000"/>
            </w:tcBorders>
          </w:tcPr>
          <w:p w14:paraId="3E884565" w14:textId="77777777" w:rsidR="00843FDA" w:rsidRPr="00C6580C" w:rsidRDefault="00843FDA" w:rsidP="00CD7CAC">
            <w:pPr>
              <w:widowControl/>
              <w:jc w:val="right"/>
              <w:rPr>
                <w:kern w:val="0"/>
                <w:szCs w:val="22"/>
              </w:rPr>
            </w:pPr>
            <w:r w:rsidRPr="00C6580C">
              <w:rPr>
                <w:kern w:val="0"/>
                <w:szCs w:val="22"/>
              </w:rPr>
              <w:t>.8500</w:t>
            </w:r>
          </w:p>
        </w:tc>
      </w:tr>
      <w:tr w:rsidR="00843FDA" w:rsidRPr="00C6580C" w14:paraId="167F1C70" w14:textId="77777777">
        <w:tc>
          <w:tcPr>
            <w:tcW w:w="0" w:type="auto"/>
            <w:tcBorders>
              <w:top w:val="single" w:sz="4" w:space="0" w:color="000000"/>
              <w:left w:val="single" w:sz="4" w:space="0" w:color="000000"/>
              <w:bottom w:val="single" w:sz="4" w:space="0" w:color="000000"/>
              <w:right w:val="single" w:sz="4" w:space="0" w:color="000000"/>
            </w:tcBorders>
          </w:tcPr>
          <w:p w14:paraId="4B5DC3A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728778C" w14:textId="77777777" w:rsidR="00843FDA" w:rsidRPr="00C6580C" w:rsidRDefault="00843FDA" w:rsidP="00CD7CAC">
            <w:pPr>
              <w:widowControl/>
              <w:jc w:val="center"/>
              <w:rPr>
                <w:szCs w:val="22"/>
              </w:rPr>
            </w:pPr>
            <w:r w:rsidRPr="00C6580C">
              <w:rPr>
                <w:kern w:val="0"/>
                <w:szCs w:val="22"/>
              </w:rPr>
              <w:t>* * *</w:t>
            </w:r>
          </w:p>
        </w:tc>
      </w:tr>
      <w:tr w:rsidR="00843FDA" w:rsidRPr="00C6580C" w14:paraId="1022A492" w14:textId="77777777">
        <w:tc>
          <w:tcPr>
            <w:tcW w:w="0" w:type="auto"/>
            <w:tcBorders>
              <w:top w:val="single" w:sz="4" w:space="0" w:color="000000"/>
              <w:left w:val="single" w:sz="4" w:space="0" w:color="000000"/>
              <w:bottom w:val="single" w:sz="4" w:space="0" w:color="000000"/>
              <w:right w:val="single" w:sz="4" w:space="0" w:color="000000"/>
            </w:tcBorders>
          </w:tcPr>
          <w:p w14:paraId="2572C1B7" w14:textId="77777777" w:rsidR="00843FDA" w:rsidRPr="00C6580C" w:rsidRDefault="00843FDA" w:rsidP="00CD7CAC">
            <w:pPr>
              <w:widowControl/>
              <w:rPr>
                <w:kern w:val="0"/>
                <w:szCs w:val="22"/>
              </w:rPr>
            </w:pPr>
            <w:r w:rsidRPr="00C6580C">
              <w:rPr>
                <w:kern w:val="0"/>
                <w:szCs w:val="22"/>
              </w:rPr>
              <w:t>505a</w:t>
            </w:r>
          </w:p>
        </w:tc>
        <w:tc>
          <w:tcPr>
            <w:tcW w:w="0" w:type="auto"/>
            <w:tcBorders>
              <w:top w:val="single" w:sz="4" w:space="0" w:color="000000"/>
              <w:left w:val="single" w:sz="4" w:space="0" w:color="000000"/>
              <w:bottom w:val="single" w:sz="4" w:space="0" w:color="000000"/>
              <w:right w:val="single" w:sz="4" w:space="0" w:color="000000"/>
            </w:tcBorders>
          </w:tcPr>
          <w:p w14:paraId="3E7E58D4" w14:textId="77777777" w:rsidR="00843FDA" w:rsidRPr="00C6580C" w:rsidRDefault="00843FDA" w:rsidP="00CD7CAC">
            <w:pPr>
              <w:widowControl/>
              <w:jc w:val="right"/>
              <w:rPr>
                <w:kern w:val="0"/>
                <w:szCs w:val="22"/>
              </w:rPr>
            </w:pPr>
            <w:r w:rsidRPr="00C6580C">
              <w:rPr>
                <w:kern w:val="0"/>
                <w:szCs w:val="22"/>
              </w:rPr>
              <w:t>.8750</w:t>
            </w:r>
          </w:p>
        </w:tc>
      </w:tr>
      <w:tr w:rsidR="00843FDA" w:rsidRPr="00C6580C" w14:paraId="22C39AFC" w14:textId="77777777">
        <w:tc>
          <w:tcPr>
            <w:tcW w:w="0" w:type="auto"/>
            <w:tcBorders>
              <w:top w:val="single" w:sz="4" w:space="0" w:color="000000"/>
              <w:left w:val="single" w:sz="4" w:space="0" w:color="000000"/>
              <w:bottom w:val="single" w:sz="4" w:space="0" w:color="000000"/>
              <w:right w:val="single" w:sz="4" w:space="0" w:color="000000"/>
            </w:tcBorders>
          </w:tcPr>
          <w:p w14:paraId="1C10299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3175FD1" w14:textId="77777777" w:rsidR="00843FDA" w:rsidRPr="00C6580C" w:rsidRDefault="00843FDA" w:rsidP="00CD7CAC">
            <w:pPr>
              <w:widowControl/>
              <w:jc w:val="center"/>
              <w:rPr>
                <w:szCs w:val="22"/>
              </w:rPr>
            </w:pPr>
            <w:r w:rsidRPr="00C6580C">
              <w:rPr>
                <w:kern w:val="0"/>
                <w:szCs w:val="22"/>
              </w:rPr>
              <w:t>* * *</w:t>
            </w:r>
          </w:p>
        </w:tc>
      </w:tr>
      <w:tr w:rsidR="00843FDA" w:rsidRPr="00C6580C" w14:paraId="39620FE6" w14:textId="77777777">
        <w:tc>
          <w:tcPr>
            <w:tcW w:w="0" w:type="auto"/>
            <w:tcBorders>
              <w:top w:val="single" w:sz="4" w:space="0" w:color="000000"/>
              <w:left w:val="single" w:sz="4" w:space="0" w:color="000000"/>
              <w:bottom w:val="single" w:sz="4" w:space="0" w:color="000000"/>
              <w:right w:val="single" w:sz="4" w:space="0" w:color="000000"/>
            </w:tcBorders>
          </w:tcPr>
          <w:p w14:paraId="451D8904" w14:textId="77777777" w:rsidR="00843FDA" w:rsidRPr="00C6580C" w:rsidRDefault="00843FDA" w:rsidP="00CD7CAC">
            <w:pPr>
              <w:widowControl/>
              <w:rPr>
                <w:kern w:val="0"/>
                <w:szCs w:val="22"/>
              </w:rPr>
            </w:pPr>
            <w:r w:rsidRPr="00C6580C">
              <w:rPr>
                <w:kern w:val="0"/>
                <w:szCs w:val="22"/>
              </w:rPr>
              <w:t>506a</w:t>
            </w:r>
          </w:p>
        </w:tc>
        <w:tc>
          <w:tcPr>
            <w:tcW w:w="0" w:type="auto"/>
            <w:tcBorders>
              <w:top w:val="single" w:sz="4" w:space="0" w:color="000000"/>
              <w:left w:val="single" w:sz="4" w:space="0" w:color="000000"/>
              <w:bottom w:val="single" w:sz="4" w:space="0" w:color="000000"/>
              <w:right w:val="single" w:sz="4" w:space="0" w:color="000000"/>
            </w:tcBorders>
          </w:tcPr>
          <w:p w14:paraId="191E45A2" w14:textId="77777777" w:rsidR="00843FDA" w:rsidRPr="00C6580C" w:rsidRDefault="00843FDA" w:rsidP="00CD7CAC">
            <w:pPr>
              <w:widowControl/>
              <w:jc w:val="right"/>
              <w:rPr>
                <w:kern w:val="0"/>
                <w:szCs w:val="22"/>
              </w:rPr>
            </w:pPr>
            <w:r w:rsidRPr="00C6580C">
              <w:rPr>
                <w:kern w:val="0"/>
                <w:szCs w:val="22"/>
              </w:rPr>
              <w:t>.9000</w:t>
            </w:r>
          </w:p>
        </w:tc>
      </w:tr>
      <w:tr w:rsidR="00843FDA" w:rsidRPr="00C6580C" w14:paraId="1D5C309D" w14:textId="77777777">
        <w:tc>
          <w:tcPr>
            <w:tcW w:w="0" w:type="auto"/>
            <w:tcBorders>
              <w:top w:val="single" w:sz="4" w:space="0" w:color="000000"/>
              <w:left w:val="single" w:sz="4" w:space="0" w:color="000000"/>
              <w:bottom w:val="single" w:sz="4" w:space="0" w:color="000000"/>
              <w:right w:val="single" w:sz="4" w:space="0" w:color="000000"/>
            </w:tcBorders>
          </w:tcPr>
          <w:p w14:paraId="0208BF4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49FB129" w14:textId="77777777" w:rsidR="00843FDA" w:rsidRPr="00C6580C" w:rsidRDefault="00843FDA" w:rsidP="00CD7CAC">
            <w:pPr>
              <w:widowControl/>
              <w:jc w:val="center"/>
              <w:rPr>
                <w:szCs w:val="22"/>
              </w:rPr>
            </w:pPr>
            <w:r w:rsidRPr="00C6580C">
              <w:rPr>
                <w:kern w:val="0"/>
                <w:szCs w:val="22"/>
              </w:rPr>
              <w:t>* * *</w:t>
            </w:r>
          </w:p>
        </w:tc>
      </w:tr>
      <w:tr w:rsidR="00843FDA" w:rsidRPr="00C6580C" w14:paraId="54A12974" w14:textId="77777777">
        <w:tc>
          <w:tcPr>
            <w:tcW w:w="0" w:type="auto"/>
            <w:tcBorders>
              <w:top w:val="single" w:sz="4" w:space="0" w:color="000000"/>
              <w:left w:val="single" w:sz="4" w:space="0" w:color="000000"/>
              <w:bottom w:val="single" w:sz="4" w:space="0" w:color="000000"/>
              <w:right w:val="single" w:sz="4" w:space="0" w:color="000000"/>
            </w:tcBorders>
          </w:tcPr>
          <w:p w14:paraId="74C1C2C9" w14:textId="77777777" w:rsidR="00843FDA" w:rsidRPr="00C6580C" w:rsidRDefault="00843FDA" w:rsidP="00CD7CAC">
            <w:pPr>
              <w:widowControl/>
              <w:rPr>
                <w:kern w:val="0"/>
                <w:szCs w:val="22"/>
              </w:rPr>
            </w:pPr>
            <w:r w:rsidRPr="00C6580C">
              <w:rPr>
                <w:kern w:val="0"/>
                <w:szCs w:val="22"/>
              </w:rPr>
              <w:t>507a</w:t>
            </w:r>
          </w:p>
        </w:tc>
        <w:tc>
          <w:tcPr>
            <w:tcW w:w="0" w:type="auto"/>
            <w:tcBorders>
              <w:top w:val="single" w:sz="4" w:space="0" w:color="000000"/>
              <w:left w:val="single" w:sz="4" w:space="0" w:color="000000"/>
              <w:bottom w:val="single" w:sz="4" w:space="0" w:color="000000"/>
              <w:right w:val="single" w:sz="4" w:space="0" w:color="000000"/>
            </w:tcBorders>
          </w:tcPr>
          <w:p w14:paraId="485A8B5C" w14:textId="77777777" w:rsidR="00843FDA" w:rsidRPr="00C6580C" w:rsidRDefault="00843FDA" w:rsidP="00CD7CAC">
            <w:pPr>
              <w:widowControl/>
              <w:jc w:val="right"/>
              <w:rPr>
                <w:kern w:val="0"/>
                <w:szCs w:val="22"/>
              </w:rPr>
            </w:pPr>
            <w:r w:rsidRPr="00C6580C">
              <w:rPr>
                <w:kern w:val="0"/>
                <w:szCs w:val="22"/>
              </w:rPr>
              <w:t>.9250</w:t>
            </w:r>
          </w:p>
        </w:tc>
      </w:tr>
      <w:tr w:rsidR="00843FDA" w:rsidRPr="00C6580C" w14:paraId="7DEE525F" w14:textId="77777777">
        <w:tc>
          <w:tcPr>
            <w:tcW w:w="0" w:type="auto"/>
            <w:tcBorders>
              <w:top w:val="single" w:sz="4" w:space="0" w:color="000000"/>
              <w:left w:val="single" w:sz="4" w:space="0" w:color="000000"/>
              <w:bottom w:val="single" w:sz="4" w:space="0" w:color="000000"/>
              <w:right w:val="single" w:sz="4" w:space="0" w:color="000000"/>
            </w:tcBorders>
          </w:tcPr>
          <w:p w14:paraId="45C0299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8089FFB" w14:textId="77777777" w:rsidR="00843FDA" w:rsidRPr="00C6580C" w:rsidRDefault="00843FDA" w:rsidP="00CD7CAC">
            <w:pPr>
              <w:widowControl/>
              <w:jc w:val="center"/>
              <w:rPr>
                <w:szCs w:val="22"/>
              </w:rPr>
            </w:pPr>
            <w:r w:rsidRPr="00C6580C">
              <w:rPr>
                <w:kern w:val="0"/>
                <w:szCs w:val="22"/>
              </w:rPr>
              <w:t>* * *</w:t>
            </w:r>
          </w:p>
        </w:tc>
      </w:tr>
      <w:tr w:rsidR="00843FDA" w:rsidRPr="00C6580C" w14:paraId="33FFBF7D" w14:textId="77777777">
        <w:tc>
          <w:tcPr>
            <w:tcW w:w="0" w:type="auto"/>
            <w:tcBorders>
              <w:top w:val="single" w:sz="4" w:space="0" w:color="000000"/>
              <w:left w:val="single" w:sz="4" w:space="0" w:color="000000"/>
              <w:bottom w:val="single" w:sz="4" w:space="0" w:color="000000"/>
              <w:right w:val="single" w:sz="4" w:space="0" w:color="000000"/>
            </w:tcBorders>
          </w:tcPr>
          <w:p w14:paraId="3ADAFFD2" w14:textId="77777777" w:rsidR="00843FDA" w:rsidRPr="00C6580C" w:rsidRDefault="00843FDA" w:rsidP="00CD7CAC">
            <w:pPr>
              <w:widowControl/>
              <w:rPr>
                <w:kern w:val="0"/>
                <w:szCs w:val="22"/>
              </w:rPr>
            </w:pPr>
            <w:r w:rsidRPr="00C6580C">
              <w:rPr>
                <w:kern w:val="0"/>
                <w:szCs w:val="22"/>
              </w:rPr>
              <w:t>508a</w:t>
            </w:r>
          </w:p>
        </w:tc>
        <w:tc>
          <w:tcPr>
            <w:tcW w:w="0" w:type="auto"/>
            <w:tcBorders>
              <w:top w:val="single" w:sz="4" w:space="0" w:color="000000"/>
              <w:left w:val="single" w:sz="4" w:space="0" w:color="000000"/>
              <w:bottom w:val="single" w:sz="4" w:space="0" w:color="000000"/>
              <w:right w:val="single" w:sz="4" w:space="0" w:color="000000"/>
            </w:tcBorders>
          </w:tcPr>
          <w:p w14:paraId="7E94F81F" w14:textId="77777777" w:rsidR="00843FDA" w:rsidRPr="00C6580C" w:rsidRDefault="00843FDA" w:rsidP="00CD7CAC">
            <w:pPr>
              <w:widowControl/>
              <w:jc w:val="right"/>
              <w:rPr>
                <w:kern w:val="0"/>
                <w:szCs w:val="22"/>
              </w:rPr>
            </w:pPr>
            <w:r w:rsidRPr="00C6580C">
              <w:rPr>
                <w:kern w:val="0"/>
                <w:szCs w:val="22"/>
              </w:rPr>
              <w:t>.9500</w:t>
            </w:r>
          </w:p>
        </w:tc>
      </w:tr>
      <w:tr w:rsidR="00843FDA" w:rsidRPr="00C6580C" w14:paraId="18DF3055" w14:textId="77777777">
        <w:tc>
          <w:tcPr>
            <w:tcW w:w="0" w:type="auto"/>
            <w:tcBorders>
              <w:top w:val="single" w:sz="4" w:space="0" w:color="000000"/>
              <w:left w:val="single" w:sz="4" w:space="0" w:color="000000"/>
              <w:bottom w:val="single" w:sz="4" w:space="0" w:color="000000"/>
              <w:right w:val="single" w:sz="4" w:space="0" w:color="000000"/>
            </w:tcBorders>
          </w:tcPr>
          <w:p w14:paraId="7561EC8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8BD1519" w14:textId="77777777" w:rsidR="00843FDA" w:rsidRPr="00C6580C" w:rsidRDefault="00843FDA" w:rsidP="00CD7CAC">
            <w:pPr>
              <w:widowControl/>
              <w:jc w:val="center"/>
              <w:rPr>
                <w:szCs w:val="22"/>
              </w:rPr>
            </w:pPr>
            <w:r w:rsidRPr="00C6580C">
              <w:rPr>
                <w:kern w:val="0"/>
                <w:szCs w:val="22"/>
              </w:rPr>
              <w:t>* * *</w:t>
            </w:r>
          </w:p>
        </w:tc>
      </w:tr>
      <w:tr w:rsidR="00843FDA" w:rsidRPr="00C6580C" w14:paraId="5F25A341" w14:textId="77777777">
        <w:tc>
          <w:tcPr>
            <w:tcW w:w="0" w:type="auto"/>
            <w:tcBorders>
              <w:top w:val="single" w:sz="4" w:space="0" w:color="000000"/>
              <w:left w:val="single" w:sz="4" w:space="0" w:color="000000"/>
              <w:bottom w:val="single" w:sz="4" w:space="0" w:color="000000"/>
              <w:right w:val="single" w:sz="4" w:space="0" w:color="000000"/>
            </w:tcBorders>
          </w:tcPr>
          <w:p w14:paraId="454DF4F6" w14:textId="77777777" w:rsidR="00843FDA" w:rsidRPr="00C6580C" w:rsidRDefault="00843FDA" w:rsidP="00CD7CAC">
            <w:pPr>
              <w:widowControl/>
              <w:rPr>
                <w:kern w:val="0"/>
                <w:szCs w:val="22"/>
              </w:rPr>
            </w:pPr>
            <w:r w:rsidRPr="00C6580C">
              <w:rPr>
                <w:kern w:val="0"/>
                <w:szCs w:val="22"/>
              </w:rPr>
              <w:t>509a</w:t>
            </w:r>
          </w:p>
        </w:tc>
        <w:tc>
          <w:tcPr>
            <w:tcW w:w="0" w:type="auto"/>
            <w:tcBorders>
              <w:top w:val="single" w:sz="4" w:space="0" w:color="000000"/>
              <w:left w:val="single" w:sz="4" w:space="0" w:color="000000"/>
              <w:bottom w:val="single" w:sz="4" w:space="0" w:color="000000"/>
              <w:right w:val="single" w:sz="4" w:space="0" w:color="000000"/>
            </w:tcBorders>
          </w:tcPr>
          <w:p w14:paraId="5ABB512A" w14:textId="77777777" w:rsidR="00843FDA" w:rsidRPr="00C6580C" w:rsidRDefault="00843FDA" w:rsidP="00CD7CAC">
            <w:pPr>
              <w:widowControl/>
              <w:jc w:val="right"/>
              <w:rPr>
                <w:kern w:val="0"/>
                <w:szCs w:val="22"/>
              </w:rPr>
            </w:pPr>
            <w:r w:rsidRPr="00C6580C">
              <w:rPr>
                <w:kern w:val="0"/>
                <w:szCs w:val="22"/>
              </w:rPr>
              <w:t>.9750</w:t>
            </w:r>
          </w:p>
        </w:tc>
      </w:tr>
      <w:tr w:rsidR="00843FDA" w:rsidRPr="00C6580C" w14:paraId="15EB5C86" w14:textId="77777777">
        <w:tc>
          <w:tcPr>
            <w:tcW w:w="0" w:type="auto"/>
            <w:tcBorders>
              <w:top w:val="single" w:sz="4" w:space="0" w:color="000000"/>
              <w:left w:val="single" w:sz="4" w:space="0" w:color="000000"/>
              <w:bottom w:val="single" w:sz="4" w:space="0" w:color="000000"/>
              <w:right w:val="single" w:sz="4" w:space="0" w:color="000000"/>
            </w:tcBorders>
          </w:tcPr>
          <w:p w14:paraId="41F4DD23"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9D47076" w14:textId="77777777" w:rsidR="00843FDA" w:rsidRPr="00C6580C" w:rsidRDefault="00843FDA" w:rsidP="00CD7CAC">
            <w:pPr>
              <w:widowControl/>
              <w:jc w:val="center"/>
              <w:rPr>
                <w:szCs w:val="22"/>
              </w:rPr>
            </w:pPr>
            <w:r w:rsidRPr="00C6580C">
              <w:rPr>
                <w:kern w:val="0"/>
                <w:szCs w:val="22"/>
              </w:rPr>
              <w:t>* * *</w:t>
            </w:r>
          </w:p>
        </w:tc>
      </w:tr>
      <w:tr w:rsidR="00843FDA" w:rsidRPr="00C6580C" w14:paraId="69BF800E" w14:textId="77777777">
        <w:tc>
          <w:tcPr>
            <w:tcW w:w="0" w:type="auto"/>
            <w:tcBorders>
              <w:top w:val="single" w:sz="4" w:space="0" w:color="000000"/>
              <w:left w:val="single" w:sz="4" w:space="0" w:color="000000"/>
              <w:bottom w:val="single" w:sz="4" w:space="0" w:color="000000"/>
              <w:right w:val="single" w:sz="4" w:space="0" w:color="000000"/>
            </w:tcBorders>
          </w:tcPr>
          <w:p w14:paraId="01494B9D" w14:textId="77777777" w:rsidR="00843FDA" w:rsidRPr="00C6580C" w:rsidRDefault="00843FDA" w:rsidP="00CD7CAC">
            <w:pPr>
              <w:widowControl/>
              <w:rPr>
                <w:kern w:val="0"/>
                <w:szCs w:val="22"/>
              </w:rPr>
            </w:pPr>
            <w:r w:rsidRPr="00C6580C">
              <w:rPr>
                <w:kern w:val="0"/>
                <w:szCs w:val="22"/>
              </w:rPr>
              <w:t>510a</w:t>
            </w:r>
          </w:p>
        </w:tc>
        <w:tc>
          <w:tcPr>
            <w:tcW w:w="0" w:type="auto"/>
            <w:tcBorders>
              <w:top w:val="single" w:sz="4" w:space="0" w:color="000000"/>
              <w:left w:val="single" w:sz="4" w:space="0" w:color="000000"/>
              <w:bottom w:val="single" w:sz="4" w:space="0" w:color="000000"/>
              <w:right w:val="single" w:sz="4" w:space="0" w:color="000000"/>
            </w:tcBorders>
          </w:tcPr>
          <w:p w14:paraId="73E66BB9" w14:textId="77777777" w:rsidR="00843FDA" w:rsidRPr="00C6580C" w:rsidRDefault="00843FDA" w:rsidP="00CD7CAC">
            <w:pPr>
              <w:widowControl/>
              <w:jc w:val="right"/>
              <w:rPr>
                <w:kern w:val="0"/>
                <w:szCs w:val="22"/>
              </w:rPr>
            </w:pPr>
            <w:r w:rsidRPr="00C6580C">
              <w:rPr>
                <w:kern w:val="0"/>
                <w:szCs w:val="22"/>
              </w:rPr>
              <w:t>861.0000</w:t>
            </w:r>
          </w:p>
        </w:tc>
      </w:tr>
      <w:tr w:rsidR="00843FDA" w:rsidRPr="00C6580C" w14:paraId="47021F10" w14:textId="77777777">
        <w:tc>
          <w:tcPr>
            <w:tcW w:w="0" w:type="auto"/>
            <w:tcBorders>
              <w:top w:val="single" w:sz="4" w:space="0" w:color="000000"/>
              <w:left w:val="single" w:sz="4" w:space="0" w:color="000000"/>
              <w:bottom w:val="single" w:sz="4" w:space="0" w:color="000000"/>
              <w:right w:val="single" w:sz="4" w:space="0" w:color="000000"/>
            </w:tcBorders>
          </w:tcPr>
          <w:p w14:paraId="72A09B62"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675F9F0" w14:textId="77777777" w:rsidR="00843FDA" w:rsidRPr="00C6580C" w:rsidRDefault="00843FDA" w:rsidP="00CD7CAC">
            <w:pPr>
              <w:widowControl/>
              <w:jc w:val="right"/>
              <w:rPr>
                <w:kern w:val="0"/>
                <w:szCs w:val="22"/>
              </w:rPr>
            </w:pPr>
            <w:r w:rsidRPr="00C6580C">
              <w:rPr>
                <w:kern w:val="0"/>
                <w:szCs w:val="22"/>
              </w:rPr>
              <w:t>.0125</w:t>
            </w:r>
          </w:p>
        </w:tc>
      </w:tr>
      <w:tr w:rsidR="00843FDA" w:rsidRPr="00C6580C" w14:paraId="58B0284C" w14:textId="77777777">
        <w:tc>
          <w:tcPr>
            <w:tcW w:w="0" w:type="auto"/>
            <w:tcBorders>
              <w:top w:val="single" w:sz="4" w:space="0" w:color="000000"/>
              <w:left w:val="single" w:sz="4" w:space="0" w:color="000000"/>
              <w:bottom w:val="single" w:sz="4" w:space="0" w:color="000000"/>
              <w:right w:val="single" w:sz="4" w:space="0" w:color="000000"/>
            </w:tcBorders>
          </w:tcPr>
          <w:p w14:paraId="376E8F77" w14:textId="77777777" w:rsidR="00843FDA" w:rsidRPr="00C6580C" w:rsidRDefault="00843FDA" w:rsidP="00CD7CAC">
            <w:pPr>
              <w:widowControl/>
              <w:rPr>
                <w:kern w:val="0"/>
                <w:szCs w:val="22"/>
              </w:rPr>
            </w:pPr>
            <w:r w:rsidRPr="00C6580C">
              <w:rPr>
                <w:kern w:val="0"/>
                <w:szCs w:val="22"/>
              </w:rPr>
              <w:t>511a</w:t>
            </w:r>
          </w:p>
        </w:tc>
        <w:tc>
          <w:tcPr>
            <w:tcW w:w="0" w:type="auto"/>
            <w:tcBorders>
              <w:top w:val="single" w:sz="4" w:space="0" w:color="000000"/>
              <w:left w:val="single" w:sz="4" w:space="0" w:color="000000"/>
              <w:bottom w:val="single" w:sz="4" w:space="0" w:color="000000"/>
              <w:right w:val="single" w:sz="4" w:space="0" w:color="000000"/>
            </w:tcBorders>
          </w:tcPr>
          <w:p w14:paraId="27829C3A" w14:textId="77777777" w:rsidR="00843FDA" w:rsidRPr="00C6580C" w:rsidRDefault="00843FDA" w:rsidP="00CD7CAC">
            <w:pPr>
              <w:widowControl/>
              <w:jc w:val="right"/>
              <w:rPr>
                <w:kern w:val="0"/>
                <w:szCs w:val="22"/>
              </w:rPr>
            </w:pPr>
            <w:r w:rsidRPr="00C6580C">
              <w:rPr>
                <w:kern w:val="0"/>
                <w:szCs w:val="22"/>
              </w:rPr>
              <w:t>.0250</w:t>
            </w:r>
          </w:p>
        </w:tc>
      </w:tr>
      <w:tr w:rsidR="00843FDA" w:rsidRPr="00C6580C" w14:paraId="676E3EC2" w14:textId="77777777">
        <w:tc>
          <w:tcPr>
            <w:tcW w:w="0" w:type="auto"/>
            <w:tcBorders>
              <w:top w:val="single" w:sz="4" w:space="0" w:color="000000"/>
              <w:left w:val="single" w:sz="4" w:space="0" w:color="000000"/>
              <w:bottom w:val="single" w:sz="4" w:space="0" w:color="000000"/>
              <w:right w:val="single" w:sz="4" w:space="0" w:color="000000"/>
            </w:tcBorders>
          </w:tcPr>
          <w:p w14:paraId="7906D38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5EE0624" w14:textId="77777777" w:rsidR="00843FDA" w:rsidRPr="00C6580C" w:rsidRDefault="00843FDA" w:rsidP="00CD7CAC">
            <w:pPr>
              <w:widowControl/>
              <w:jc w:val="center"/>
              <w:rPr>
                <w:szCs w:val="22"/>
              </w:rPr>
            </w:pPr>
            <w:r w:rsidRPr="00C6580C">
              <w:rPr>
                <w:kern w:val="0"/>
                <w:szCs w:val="22"/>
              </w:rPr>
              <w:t>* * *</w:t>
            </w:r>
          </w:p>
        </w:tc>
      </w:tr>
      <w:tr w:rsidR="00843FDA" w:rsidRPr="00C6580C" w14:paraId="7A7CF748" w14:textId="77777777">
        <w:tc>
          <w:tcPr>
            <w:tcW w:w="0" w:type="auto"/>
            <w:tcBorders>
              <w:top w:val="single" w:sz="4" w:space="0" w:color="000000"/>
              <w:left w:val="single" w:sz="4" w:space="0" w:color="000000"/>
              <w:bottom w:val="single" w:sz="4" w:space="0" w:color="000000"/>
              <w:right w:val="single" w:sz="4" w:space="0" w:color="000000"/>
            </w:tcBorders>
          </w:tcPr>
          <w:p w14:paraId="0B6A94B6" w14:textId="77777777" w:rsidR="00843FDA" w:rsidRPr="00C6580C" w:rsidRDefault="00843FDA" w:rsidP="00CD7CAC">
            <w:pPr>
              <w:widowControl/>
              <w:rPr>
                <w:kern w:val="0"/>
                <w:szCs w:val="22"/>
              </w:rPr>
            </w:pPr>
            <w:r w:rsidRPr="00C6580C">
              <w:rPr>
                <w:kern w:val="0"/>
                <w:szCs w:val="22"/>
              </w:rPr>
              <w:t>512a</w:t>
            </w:r>
          </w:p>
        </w:tc>
        <w:tc>
          <w:tcPr>
            <w:tcW w:w="0" w:type="auto"/>
            <w:tcBorders>
              <w:top w:val="single" w:sz="4" w:space="0" w:color="000000"/>
              <w:left w:val="single" w:sz="4" w:space="0" w:color="000000"/>
              <w:bottom w:val="single" w:sz="4" w:space="0" w:color="000000"/>
              <w:right w:val="single" w:sz="4" w:space="0" w:color="000000"/>
            </w:tcBorders>
          </w:tcPr>
          <w:p w14:paraId="12D7C3BD" w14:textId="77777777" w:rsidR="00843FDA" w:rsidRPr="00C6580C" w:rsidRDefault="00843FDA" w:rsidP="00CD7CAC">
            <w:pPr>
              <w:widowControl/>
              <w:jc w:val="right"/>
              <w:rPr>
                <w:kern w:val="0"/>
                <w:szCs w:val="22"/>
              </w:rPr>
            </w:pPr>
            <w:r w:rsidRPr="00C6580C">
              <w:rPr>
                <w:kern w:val="0"/>
                <w:szCs w:val="22"/>
              </w:rPr>
              <w:t>.0500</w:t>
            </w:r>
          </w:p>
        </w:tc>
      </w:tr>
      <w:tr w:rsidR="00843FDA" w:rsidRPr="00C6580C" w14:paraId="2E461BEC" w14:textId="77777777">
        <w:tc>
          <w:tcPr>
            <w:tcW w:w="0" w:type="auto"/>
            <w:tcBorders>
              <w:top w:val="single" w:sz="4" w:space="0" w:color="000000"/>
              <w:left w:val="single" w:sz="4" w:space="0" w:color="000000"/>
              <w:bottom w:val="single" w:sz="4" w:space="0" w:color="000000"/>
              <w:right w:val="single" w:sz="4" w:space="0" w:color="000000"/>
            </w:tcBorders>
          </w:tcPr>
          <w:p w14:paraId="27278C4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33C6046" w14:textId="77777777" w:rsidR="00843FDA" w:rsidRPr="00C6580C" w:rsidRDefault="00843FDA" w:rsidP="00CD7CAC">
            <w:pPr>
              <w:widowControl/>
              <w:jc w:val="center"/>
              <w:rPr>
                <w:szCs w:val="22"/>
              </w:rPr>
            </w:pPr>
            <w:r w:rsidRPr="00C6580C">
              <w:rPr>
                <w:kern w:val="0"/>
                <w:szCs w:val="22"/>
              </w:rPr>
              <w:t>* * *</w:t>
            </w:r>
          </w:p>
        </w:tc>
      </w:tr>
      <w:tr w:rsidR="00843FDA" w:rsidRPr="00C6580C" w14:paraId="2ECADDF0" w14:textId="77777777">
        <w:tc>
          <w:tcPr>
            <w:tcW w:w="0" w:type="auto"/>
            <w:tcBorders>
              <w:top w:val="single" w:sz="4" w:space="0" w:color="000000"/>
              <w:left w:val="single" w:sz="4" w:space="0" w:color="000000"/>
              <w:bottom w:val="single" w:sz="4" w:space="0" w:color="000000"/>
              <w:right w:val="single" w:sz="4" w:space="0" w:color="000000"/>
            </w:tcBorders>
          </w:tcPr>
          <w:p w14:paraId="52A9F2F1" w14:textId="77777777" w:rsidR="00843FDA" w:rsidRPr="00C6580C" w:rsidRDefault="00843FDA" w:rsidP="00CD7CAC">
            <w:pPr>
              <w:widowControl/>
              <w:rPr>
                <w:kern w:val="0"/>
                <w:szCs w:val="22"/>
              </w:rPr>
            </w:pPr>
            <w:r w:rsidRPr="00C6580C">
              <w:rPr>
                <w:kern w:val="0"/>
                <w:szCs w:val="22"/>
              </w:rPr>
              <w:t>513a</w:t>
            </w:r>
          </w:p>
        </w:tc>
        <w:tc>
          <w:tcPr>
            <w:tcW w:w="0" w:type="auto"/>
            <w:tcBorders>
              <w:top w:val="single" w:sz="4" w:space="0" w:color="000000"/>
              <w:left w:val="single" w:sz="4" w:space="0" w:color="000000"/>
              <w:bottom w:val="single" w:sz="4" w:space="0" w:color="000000"/>
              <w:right w:val="single" w:sz="4" w:space="0" w:color="000000"/>
            </w:tcBorders>
          </w:tcPr>
          <w:p w14:paraId="5CD9E8F5" w14:textId="77777777" w:rsidR="00843FDA" w:rsidRPr="00C6580C" w:rsidRDefault="00843FDA" w:rsidP="00CD7CAC">
            <w:pPr>
              <w:widowControl/>
              <w:jc w:val="right"/>
              <w:rPr>
                <w:kern w:val="0"/>
                <w:szCs w:val="22"/>
              </w:rPr>
            </w:pPr>
            <w:r w:rsidRPr="00C6580C">
              <w:rPr>
                <w:kern w:val="0"/>
                <w:szCs w:val="22"/>
              </w:rPr>
              <w:t>.0750</w:t>
            </w:r>
          </w:p>
        </w:tc>
      </w:tr>
      <w:tr w:rsidR="00843FDA" w:rsidRPr="00C6580C" w14:paraId="73D9859B" w14:textId="77777777">
        <w:tc>
          <w:tcPr>
            <w:tcW w:w="0" w:type="auto"/>
            <w:tcBorders>
              <w:top w:val="single" w:sz="4" w:space="0" w:color="000000"/>
              <w:left w:val="single" w:sz="4" w:space="0" w:color="000000"/>
              <w:bottom w:val="single" w:sz="4" w:space="0" w:color="000000"/>
              <w:right w:val="single" w:sz="4" w:space="0" w:color="000000"/>
            </w:tcBorders>
          </w:tcPr>
          <w:p w14:paraId="37B11F5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10C6709" w14:textId="77777777" w:rsidR="00843FDA" w:rsidRPr="00C6580C" w:rsidRDefault="00843FDA" w:rsidP="00CD7CAC">
            <w:pPr>
              <w:widowControl/>
              <w:jc w:val="center"/>
              <w:rPr>
                <w:szCs w:val="22"/>
              </w:rPr>
            </w:pPr>
            <w:r w:rsidRPr="00C6580C">
              <w:rPr>
                <w:kern w:val="0"/>
                <w:szCs w:val="22"/>
              </w:rPr>
              <w:t>* * *</w:t>
            </w:r>
          </w:p>
        </w:tc>
      </w:tr>
      <w:tr w:rsidR="00843FDA" w:rsidRPr="00C6580C" w14:paraId="078F9FCB" w14:textId="77777777">
        <w:tc>
          <w:tcPr>
            <w:tcW w:w="0" w:type="auto"/>
            <w:tcBorders>
              <w:top w:val="single" w:sz="4" w:space="0" w:color="000000"/>
              <w:left w:val="single" w:sz="4" w:space="0" w:color="000000"/>
              <w:bottom w:val="single" w:sz="4" w:space="0" w:color="000000"/>
              <w:right w:val="single" w:sz="4" w:space="0" w:color="000000"/>
            </w:tcBorders>
          </w:tcPr>
          <w:p w14:paraId="7AE77421" w14:textId="77777777" w:rsidR="00843FDA" w:rsidRPr="00C6580C" w:rsidRDefault="00843FDA" w:rsidP="00CD7CAC">
            <w:pPr>
              <w:widowControl/>
              <w:rPr>
                <w:kern w:val="0"/>
                <w:szCs w:val="22"/>
              </w:rPr>
            </w:pPr>
            <w:r w:rsidRPr="00C6580C">
              <w:rPr>
                <w:kern w:val="0"/>
                <w:szCs w:val="22"/>
              </w:rPr>
              <w:t>514a</w:t>
            </w:r>
          </w:p>
        </w:tc>
        <w:tc>
          <w:tcPr>
            <w:tcW w:w="0" w:type="auto"/>
            <w:tcBorders>
              <w:top w:val="single" w:sz="4" w:space="0" w:color="000000"/>
              <w:left w:val="single" w:sz="4" w:space="0" w:color="000000"/>
              <w:bottom w:val="single" w:sz="4" w:space="0" w:color="000000"/>
              <w:right w:val="single" w:sz="4" w:space="0" w:color="000000"/>
            </w:tcBorders>
          </w:tcPr>
          <w:p w14:paraId="1C5F1AB0" w14:textId="77777777" w:rsidR="00843FDA" w:rsidRPr="00C6580C" w:rsidRDefault="00843FDA" w:rsidP="00CD7CAC">
            <w:pPr>
              <w:widowControl/>
              <w:jc w:val="right"/>
              <w:rPr>
                <w:kern w:val="0"/>
                <w:szCs w:val="22"/>
              </w:rPr>
            </w:pPr>
            <w:r w:rsidRPr="00C6580C">
              <w:rPr>
                <w:kern w:val="0"/>
                <w:szCs w:val="22"/>
              </w:rPr>
              <w:t>.1000</w:t>
            </w:r>
          </w:p>
        </w:tc>
      </w:tr>
      <w:tr w:rsidR="00843FDA" w:rsidRPr="00C6580C" w14:paraId="1381EE0C" w14:textId="77777777">
        <w:tc>
          <w:tcPr>
            <w:tcW w:w="0" w:type="auto"/>
            <w:tcBorders>
              <w:top w:val="single" w:sz="4" w:space="0" w:color="000000"/>
              <w:left w:val="single" w:sz="4" w:space="0" w:color="000000"/>
              <w:bottom w:val="single" w:sz="4" w:space="0" w:color="000000"/>
              <w:right w:val="single" w:sz="4" w:space="0" w:color="000000"/>
            </w:tcBorders>
          </w:tcPr>
          <w:p w14:paraId="2BF1D7A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7EB289C" w14:textId="77777777" w:rsidR="00843FDA" w:rsidRPr="00C6580C" w:rsidRDefault="00843FDA" w:rsidP="00CD7CAC">
            <w:pPr>
              <w:widowControl/>
              <w:jc w:val="center"/>
              <w:rPr>
                <w:szCs w:val="22"/>
              </w:rPr>
            </w:pPr>
            <w:r w:rsidRPr="00C6580C">
              <w:rPr>
                <w:kern w:val="0"/>
                <w:szCs w:val="22"/>
              </w:rPr>
              <w:t>* * *</w:t>
            </w:r>
          </w:p>
        </w:tc>
      </w:tr>
      <w:tr w:rsidR="00843FDA" w:rsidRPr="00C6580C" w14:paraId="09D7661F" w14:textId="77777777">
        <w:tc>
          <w:tcPr>
            <w:tcW w:w="0" w:type="auto"/>
            <w:tcBorders>
              <w:top w:val="single" w:sz="4" w:space="0" w:color="000000"/>
              <w:left w:val="single" w:sz="4" w:space="0" w:color="000000"/>
              <w:bottom w:val="single" w:sz="4" w:space="0" w:color="000000"/>
              <w:right w:val="single" w:sz="4" w:space="0" w:color="000000"/>
            </w:tcBorders>
          </w:tcPr>
          <w:p w14:paraId="7A96021F" w14:textId="77777777" w:rsidR="00843FDA" w:rsidRPr="00C6580C" w:rsidRDefault="00843FDA" w:rsidP="00CD7CAC">
            <w:pPr>
              <w:widowControl/>
              <w:rPr>
                <w:kern w:val="0"/>
                <w:szCs w:val="22"/>
              </w:rPr>
            </w:pPr>
            <w:r w:rsidRPr="00C6580C">
              <w:rPr>
                <w:kern w:val="0"/>
                <w:szCs w:val="22"/>
              </w:rPr>
              <w:t>515a</w:t>
            </w:r>
          </w:p>
        </w:tc>
        <w:tc>
          <w:tcPr>
            <w:tcW w:w="0" w:type="auto"/>
            <w:tcBorders>
              <w:top w:val="single" w:sz="4" w:space="0" w:color="000000"/>
              <w:left w:val="single" w:sz="4" w:space="0" w:color="000000"/>
              <w:bottom w:val="single" w:sz="4" w:space="0" w:color="000000"/>
              <w:right w:val="single" w:sz="4" w:space="0" w:color="000000"/>
            </w:tcBorders>
          </w:tcPr>
          <w:p w14:paraId="67DC4F34" w14:textId="77777777" w:rsidR="00843FDA" w:rsidRPr="00C6580C" w:rsidRDefault="00843FDA" w:rsidP="00CD7CAC">
            <w:pPr>
              <w:widowControl/>
              <w:jc w:val="right"/>
              <w:rPr>
                <w:kern w:val="0"/>
                <w:szCs w:val="22"/>
              </w:rPr>
            </w:pPr>
            <w:r w:rsidRPr="00C6580C">
              <w:rPr>
                <w:kern w:val="0"/>
                <w:szCs w:val="22"/>
              </w:rPr>
              <w:t>.1250</w:t>
            </w:r>
          </w:p>
        </w:tc>
      </w:tr>
      <w:tr w:rsidR="00843FDA" w:rsidRPr="00C6580C" w14:paraId="5049312F" w14:textId="77777777">
        <w:tc>
          <w:tcPr>
            <w:tcW w:w="0" w:type="auto"/>
            <w:tcBorders>
              <w:top w:val="single" w:sz="4" w:space="0" w:color="000000"/>
              <w:left w:val="single" w:sz="4" w:space="0" w:color="000000"/>
              <w:bottom w:val="single" w:sz="4" w:space="0" w:color="000000"/>
              <w:right w:val="single" w:sz="4" w:space="0" w:color="000000"/>
            </w:tcBorders>
          </w:tcPr>
          <w:p w14:paraId="277559C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C01E8B4" w14:textId="77777777" w:rsidR="00843FDA" w:rsidRPr="00C6580C" w:rsidRDefault="00843FDA" w:rsidP="00CD7CAC">
            <w:pPr>
              <w:widowControl/>
              <w:jc w:val="center"/>
              <w:rPr>
                <w:szCs w:val="22"/>
              </w:rPr>
            </w:pPr>
            <w:r w:rsidRPr="00C6580C">
              <w:rPr>
                <w:kern w:val="0"/>
                <w:szCs w:val="22"/>
              </w:rPr>
              <w:t>* * *</w:t>
            </w:r>
          </w:p>
        </w:tc>
      </w:tr>
      <w:tr w:rsidR="00843FDA" w:rsidRPr="00C6580C" w14:paraId="00D9A72B" w14:textId="77777777">
        <w:tc>
          <w:tcPr>
            <w:tcW w:w="0" w:type="auto"/>
            <w:tcBorders>
              <w:top w:val="single" w:sz="4" w:space="0" w:color="000000"/>
              <w:left w:val="single" w:sz="4" w:space="0" w:color="000000"/>
              <w:bottom w:val="single" w:sz="4" w:space="0" w:color="000000"/>
              <w:right w:val="single" w:sz="4" w:space="0" w:color="000000"/>
            </w:tcBorders>
          </w:tcPr>
          <w:p w14:paraId="22F0B237" w14:textId="77777777" w:rsidR="00843FDA" w:rsidRPr="00C6580C" w:rsidRDefault="00843FDA" w:rsidP="00CD7CAC">
            <w:pPr>
              <w:widowControl/>
              <w:rPr>
                <w:kern w:val="0"/>
                <w:szCs w:val="22"/>
              </w:rPr>
            </w:pPr>
            <w:r w:rsidRPr="00C6580C">
              <w:rPr>
                <w:kern w:val="0"/>
                <w:szCs w:val="22"/>
              </w:rPr>
              <w:t>516a</w:t>
            </w:r>
          </w:p>
        </w:tc>
        <w:tc>
          <w:tcPr>
            <w:tcW w:w="0" w:type="auto"/>
            <w:tcBorders>
              <w:top w:val="single" w:sz="4" w:space="0" w:color="000000"/>
              <w:left w:val="single" w:sz="4" w:space="0" w:color="000000"/>
              <w:bottom w:val="single" w:sz="4" w:space="0" w:color="000000"/>
              <w:right w:val="single" w:sz="4" w:space="0" w:color="000000"/>
            </w:tcBorders>
          </w:tcPr>
          <w:p w14:paraId="06F1AF2B" w14:textId="77777777" w:rsidR="00843FDA" w:rsidRPr="00C6580C" w:rsidRDefault="00843FDA" w:rsidP="00CD7CAC">
            <w:pPr>
              <w:widowControl/>
              <w:jc w:val="right"/>
              <w:rPr>
                <w:kern w:val="0"/>
                <w:szCs w:val="22"/>
              </w:rPr>
            </w:pPr>
            <w:r w:rsidRPr="00C6580C">
              <w:rPr>
                <w:kern w:val="0"/>
                <w:szCs w:val="22"/>
              </w:rPr>
              <w:t>.1500</w:t>
            </w:r>
          </w:p>
        </w:tc>
      </w:tr>
      <w:tr w:rsidR="00843FDA" w:rsidRPr="00C6580C" w14:paraId="717D99B9" w14:textId="77777777">
        <w:tc>
          <w:tcPr>
            <w:tcW w:w="0" w:type="auto"/>
            <w:tcBorders>
              <w:top w:val="single" w:sz="4" w:space="0" w:color="000000"/>
              <w:left w:val="single" w:sz="4" w:space="0" w:color="000000"/>
              <w:bottom w:val="single" w:sz="4" w:space="0" w:color="000000"/>
              <w:right w:val="single" w:sz="4" w:space="0" w:color="000000"/>
            </w:tcBorders>
          </w:tcPr>
          <w:p w14:paraId="38EEC5FB"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B2E1237" w14:textId="77777777" w:rsidR="00843FDA" w:rsidRPr="00C6580C" w:rsidRDefault="00843FDA" w:rsidP="00CD7CAC">
            <w:pPr>
              <w:widowControl/>
              <w:jc w:val="center"/>
              <w:rPr>
                <w:szCs w:val="22"/>
              </w:rPr>
            </w:pPr>
            <w:r w:rsidRPr="00C6580C">
              <w:rPr>
                <w:kern w:val="0"/>
                <w:szCs w:val="22"/>
              </w:rPr>
              <w:t>* * *</w:t>
            </w:r>
          </w:p>
        </w:tc>
      </w:tr>
      <w:tr w:rsidR="00843FDA" w:rsidRPr="00C6580C" w14:paraId="07F75E9F" w14:textId="77777777">
        <w:tc>
          <w:tcPr>
            <w:tcW w:w="0" w:type="auto"/>
            <w:tcBorders>
              <w:top w:val="single" w:sz="4" w:space="0" w:color="000000"/>
              <w:left w:val="single" w:sz="4" w:space="0" w:color="000000"/>
              <w:bottom w:val="single" w:sz="4" w:space="0" w:color="000000"/>
              <w:right w:val="single" w:sz="4" w:space="0" w:color="000000"/>
            </w:tcBorders>
          </w:tcPr>
          <w:p w14:paraId="7A7F54ED" w14:textId="77777777" w:rsidR="00843FDA" w:rsidRPr="00C6580C" w:rsidRDefault="00843FDA" w:rsidP="00CD7CAC">
            <w:pPr>
              <w:widowControl/>
              <w:rPr>
                <w:kern w:val="0"/>
                <w:szCs w:val="22"/>
              </w:rPr>
            </w:pPr>
            <w:r w:rsidRPr="00C6580C">
              <w:rPr>
                <w:kern w:val="0"/>
                <w:szCs w:val="22"/>
              </w:rPr>
              <w:t>517a</w:t>
            </w:r>
          </w:p>
        </w:tc>
        <w:tc>
          <w:tcPr>
            <w:tcW w:w="0" w:type="auto"/>
            <w:tcBorders>
              <w:top w:val="single" w:sz="4" w:space="0" w:color="000000"/>
              <w:left w:val="single" w:sz="4" w:space="0" w:color="000000"/>
              <w:bottom w:val="single" w:sz="4" w:space="0" w:color="000000"/>
              <w:right w:val="single" w:sz="4" w:space="0" w:color="000000"/>
            </w:tcBorders>
          </w:tcPr>
          <w:p w14:paraId="01E9F8B8" w14:textId="77777777" w:rsidR="00843FDA" w:rsidRPr="00C6580C" w:rsidRDefault="00843FDA" w:rsidP="00CD7CAC">
            <w:pPr>
              <w:widowControl/>
              <w:jc w:val="right"/>
              <w:rPr>
                <w:kern w:val="0"/>
                <w:szCs w:val="22"/>
              </w:rPr>
            </w:pPr>
            <w:r w:rsidRPr="00C6580C">
              <w:rPr>
                <w:kern w:val="0"/>
                <w:szCs w:val="22"/>
              </w:rPr>
              <w:t>.1750</w:t>
            </w:r>
          </w:p>
        </w:tc>
      </w:tr>
      <w:tr w:rsidR="00843FDA" w:rsidRPr="00C6580C" w14:paraId="65EB804C" w14:textId="77777777">
        <w:tc>
          <w:tcPr>
            <w:tcW w:w="0" w:type="auto"/>
            <w:tcBorders>
              <w:top w:val="single" w:sz="4" w:space="0" w:color="000000"/>
              <w:left w:val="single" w:sz="4" w:space="0" w:color="000000"/>
              <w:bottom w:val="single" w:sz="4" w:space="0" w:color="000000"/>
              <w:right w:val="single" w:sz="4" w:space="0" w:color="000000"/>
            </w:tcBorders>
          </w:tcPr>
          <w:p w14:paraId="37F5C0F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9F7E3D0" w14:textId="77777777" w:rsidR="00843FDA" w:rsidRPr="00C6580C" w:rsidRDefault="00843FDA" w:rsidP="00CD7CAC">
            <w:pPr>
              <w:widowControl/>
              <w:jc w:val="center"/>
              <w:rPr>
                <w:szCs w:val="22"/>
              </w:rPr>
            </w:pPr>
            <w:r w:rsidRPr="00C6580C">
              <w:rPr>
                <w:kern w:val="0"/>
                <w:szCs w:val="22"/>
              </w:rPr>
              <w:t>* * *</w:t>
            </w:r>
          </w:p>
        </w:tc>
      </w:tr>
      <w:tr w:rsidR="00843FDA" w:rsidRPr="00C6580C" w14:paraId="555C6C28" w14:textId="77777777">
        <w:tc>
          <w:tcPr>
            <w:tcW w:w="0" w:type="auto"/>
            <w:tcBorders>
              <w:top w:val="single" w:sz="4" w:space="0" w:color="000000"/>
              <w:left w:val="single" w:sz="4" w:space="0" w:color="000000"/>
              <w:bottom w:val="single" w:sz="4" w:space="0" w:color="000000"/>
              <w:right w:val="single" w:sz="4" w:space="0" w:color="000000"/>
            </w:tcBorders>
          </w:tcPr>
          <w:p w14:paraId="16A5C65E" w14:textId="77777777" w:rsidR="00843FDA" w:rsidRPr="00C6580C" w:rsidRDefault="00843FDA" w:rsidP="00CD7CAC">
            <w:pPr>
              <w:widowControl/>
              <w:rPr>
                <w:kern w:val="0"/>
                <w:szCs w:val="22"/>
              </w:rPr>
            </w:pPr>
            <w:r w:rsidRPr="00C6580C">
              <w:rPr>
                <w:kern w:val="0"/>
                <w:szCs w:val="22"/>
              </w:rPr>
              <w:t>518a</w:t>
            </w:r>
          </w:p>
        </w:tc>
        <w:tc>
          <w:tcPr>
            <w:tcW w:w="0" w:type="auto"/>
            <w:tcBorders>
              <w:top w:val="single" w:sz="4" w:space="0" w:color="000000"/>
              <w:left w:val="single" w:sz="4" w:space="0" w:color="000000"/>
              <w:bottom w:val="single" w:sz="4" w:space="0" w:color="000000"/>
              <w:right w:val="single" w:sz="4" w:space="0" w:color="000000"/>
            </w:tcBorders>
          </w:tcPr>
          <w:p w14:paraId="70B7C70F" w14:textId="77777777" w:rsidR="00843FDA" w:rsidRPr="00C6580C" w:rsidRDefault="00843FDA" w:rsidP="00CD7CAC">
            <w:pPr>
              <w:widowControl/>
              <w:jc w:val="right"/>
              <w:rPr>
                <w:kern w:val="0"/>
                <w:szCs w:val="22"/>
              </w:rPr>
            </w:pPr>
            <w:r w:rsidRPr="00C6580C">
              <w:rPr>
                <w:kern w:val="0"/>
                <w:szCs w:val="22"/>
              </w:rPr>
              <w:t>.2000</w:t>
            </w:r>
          </w:p>
        </w:tc>
      </w:tr>
      <w:tr w:rsidR="00843FDA" w:rsidRPr="00C6580C" w14:paraId="2A9FE656" w14:textId="77777777">
        <w:tc>
          <w:tcPr>
            <w:tcW w:w="0" w:type="auto"/>
            <w:tcBorders>
              <w:top w:val="single" w:sz="4" w:space="0" w:color="000000"/>
              <w:left w:val="single" w:sz="4" w:space="0" w:color="000000"/>
              <w:bottom w:val="single" w:sz="4" w:space="0" w:color="000000"/>
              <w:right w:val="single" w:sz="4" w:space="0" w:color="000000"/>
            </w:tcBorders>
          </w:tcPr>
          <w:p w14:paraId="55AE0EF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1815B80" w14:textId="77777777" w:rsidR="00843FDA" w:rsidRPr="00C6580C" w:rsidRDefault="00843FDA" w:rsidP="00CD7CAC">
            <w:pPr>
              <w:widowControl/>
              <w:jc w:val="center"/>
              <w:rPr>
                <w:szCs w:val="22"/>
              </w:rPr>
            </w:pPr>
            <w:r w:rsidRPr="00C6580C">
              <w:rPr>
                <w:kern w:val="0"/>
                <w:szCs w:val="22"/>
              </w:rPr>
              <w:t>* * *</w:t>
            </w:r>
          </w:p>
        </w:tc>
      </w:tr>
      <w:tr w:rsidR="00843FDA" w:rsidRPr="00C6580C" w14:paraId="2149C3B1" w14:textId="77777777">
        <w:tc>
          <w:tcPr>
            <w:tcW w:w="0" w:type="auto"/>
            <w:tcBorders>
              <w:top w:val="single" w:sz="4" w:space="0" w:color="000000"/>
              <w:left w:val="single" w:sz="4" w:space="0" w:color="000000"/>
              <w:bottom w:val="single" w:sz="4" w:space="0" w:color="000000"/>
              <w:right w:val="single" w:sz="4" w:space="0" w:color="000000"/>
            </w:tcBorders>
          </w:tcPr>
          <w:p w14:paraId="53544ADB" w14:textId="77777777" w:rsidR="00843FDA" w:rsidRPr="00C6580C" w:rsidRDefault="00843FDA" w:rsidP="00CD7CAC">
            <w:pPr>
              <w:widowControl/>
              <w:rPr>
                <w:kern w:val="0"/>
                <w:szCs w:val="22"/>
              </w:rPr>
            </w:pPr>
            <w:r w:rsidRPr="00C6580C">
              <w:rPr>
                <w:kern w:val="0"/>
                <w:szCs w:val="22"/>
              </w:rPr>
              <w:t>519a</w:t>
            </w:r>
          </w:p>
        </w:tc>
        <w:tc>
          <w:tcPr>
            <w:tcW w:w="0" w:type="auto"/>
            <w:tcBorders>
              <w:top w:val="single" w:sz="4" w:space="0" w:color="000000"/>
              <w:left w:val="single" w:sz="4" w:space="0" w:color="000000"/>
              <w:bottom w:val="single" w:sz="4" w:space="0" w:color="000000"/>
              <w:right w:val="single" w:sz="4" w:space="0" w:color="000000"/>
            </w:tcBorders>
          </w:tcPr>
          <w:p w14:paraId="63C896B0" w14:textId="77777777" w:rsidR="00843FDA" w:rsidRPr="00C6580C" w:rsidRDefault="00843FDA" w:rsidP="00CD7CAC">
            <w:pPr>
              <w:widowControl/>
              <w:jc w:val="right"/>
              <w:rPr>
                <w:kern w:val="0"/>
                <w:szCs w:val="22"/>
              </w:rPr>
            </w:pPr>
            <w:r w:rsidRPr="00C6580C">
              <w:rPr>
                <w:kern w:val="0"/>
                <w:szCs w:val="22"/>
              </w:rPr>
              <w:t>.2250</w:t>
            </w:r>
          </w:p>
        </w:tc>
      </w:tr>
      <w:tr w:rsidR="00843FDA" w:rsidRPr="00C6580C" w14:paraId="6D9C1AB9" w14:textId="77777777">
        <w:tc>
          <w:tcPr>
            <w:tcW w:w="0" w:type="auto"/>
            <w:tcBorders>
              <w:top w:val="single" w:sz="4" w:space="0" w:color="000000"/>
              <w:left w:val="single" w:sz="4" w:space="0" w:color="000000"/>
              <w:bottom w:val="single" w:sz="4" w:space="0" w:color="000000"/>
              <w:right w:val="single" w:sz="4" w:space="0" w:color="000000"/>
            </w:tcBorders>
          </w:tcPr>
          <w:p w14:paraId="25E52A6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39887BC" w14:textId="77777777" w:rsidR="00843FDA" w:rsidRPr="00C6580C" w:rsidRDefault="00843FDA" w:rsidP="00CD7CAC">
            <w:pPr>
              <w:widowControl/>
              <w:jc w:val="center"/>
              <w:rPr>
                <w:szCs w:val="22"/>
              </w:rPr>
            </w:pPr>
            <w:r w:rsidRPr="00C6580C">
              <w:rPr>
                <w:kern w:val="0"/>
                <w:szCs w:val="22"/>
              </w:rPr>
              <w:t>* * *</w:t>
            </w:r>
          </w:p>
        </w:tc>
      </w:tr>
      <w:tr w:rsidR="00843FDA" w:rsidRPr="00C6580C" w14:paraId="51A3C2FA" w14:textId="77777777">
        <w:tc>
          <w:tcPr>
            <w:tcW w:w="0" w:type="auto"/>
            <w:tcBorders>
              <w:top w:val="single" w:sz="4" w:space="0" w:color="000000"/>
              <w:left w:val="single" w:sz="4" w:space="0" w:color="000000"/>
              <w:bottom w:val="single" w:sz="4" w:space="0" w:color="000000"/>
              <w:right w:val="single" w:sz="4" w:space="0" w:color="000000"/>
            </w:tcBorders>
          </w:tcPr>
          <w:p w14:paraId="18BA2CD6" w14:textId="77777777" w:rsidR="00843FDA" w:rsidRPr="00C6580C" w:rsidRDefault="00843FDA" w:rsidP="00CD7CAC">
            <w:pPr>
              <w:widowControl/>
              <w:rPr>
                <w:kern w:val="0"/>
                <w:szCs w:val="22"/>
              </w:rPr>
            </w:pPr>
            <w:r w:rsidRPr="00C6580C">
              <w:rPr>
                <w:kern w:val="0"/>
                <w:szCs w:val="22"/>
              </w:rPr>
              <w:t>520a</w:t>
            </w:r>
          </w:p>
        </w:tc>
        <w:tc>
          <w:tcPr>
            <w:tcW w:w="0" w:type="auto"/>
            <w:tcBorders>
              <w:top w:val="single" w:sz="4" w:space="0" w:color="000000"/>
              <w:left w:val="single" w:sz="4" w:space="0" w:color="000000"/>
              <w:bottom w:val="single" w:sz="4" w:space="0" w:color="000000"/>
              <w:right w:val="single" w:sz="4" w:space="0" w:color="000000"/>
            </w:tcBorders>
          </w:tcPr>
          <w:p w14:paraId="3956CA83" w14:textId="77777777" w:rsidR="00843FDA" w:rsidRPr="00C6580C" w:rsidRDefault="00843FDA" w:rsidP="00CD7CAC">
            <w:pPr>
              <w:widowControl/>
              <w:jc w:val="right"/>
              <w:rPr>
                <w:kern w:val="0"/>
                <w:szCs w:val="22"/>
              </w:rPr>
            </w:pPr>
            <w:r w:rsidRPr="00C6580C">
              <w:rPr>
                <w:kern w:val="0"/>
                <w:szCs w:val="22"/>
              </w:rPr>
              <w:t>.2500</w:t>
            </w:r>
          </w:p>
        </w:tc>
      </w:tr>
      <w:tr w:rsidR="00843FDA" w:rsidRPr="00C6580C" w14:paraId="10CDE72D" w14:textId="77777777">
        <w:tc>
          <w:tcPr>
            <w:tcW w:w="0" w:type="auto"/>
            <w:tcBorders>
              <w:top w:val="single" w:sz="4" w:space="0" w:color="000000"/>
              <w:left w:val="single" w:sz="4" w:space="0" w:color="000000"/>
              <w:bottom w:val="single" w:sz="4" w:space="0" w:color="000000"/>
              <w:right w:val="single" w:sz="4" w:space="0" w:color="000000"/>
            </w:tcBorders>
          </w:tcPr>
          <w:p w14:paraId="127BE44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5F19AD6" w14:textId="77777777" w:rsidR="00843FDA" w:rsidRPr="00C6580C" w:rsidRDefault="00843FDA" w:rsidP="00CD7CAC">
            <w:pPr>
              <w:widowControl/>
              <w:jc w:val="center"/>
              <w:rPr>
                <w:szCs w:val="22"/>
              </w:rPr>
            </w:pPr>
            <w:r w:rsidRPr="00C6580C">
              <w:rPr>
                <w:kern w:val="0"/>
                <w:szCs w:val="22"/>
              </w:rPr>
              <w:t>* * *</w:t>
            </w:r>
          </w:p>
        </w:tc>
      </w:tr>
      <w:tr w:rsidR="00843FDA" w:rsidRPr="00C6580C" w14:paraId="43461177" w14:textId="77777777">
        <w:tc>
          <w:tcPr>
            <w:tcW w:w="0" w:type="auto"/>
            <w:tcBorders>
              <w:top w:val="single" w:sz="4" w:space="0" w:color="000000"/>
              <w:left w:val="single" w:sz="4" w:space="0" w:color="000000"/>
              <w:bottom w:val="single" w:sz="4" w:space="0" w:color="000000"/>
              <w:right w:val="single" w:sz="4" w:space="0" w:color="000000"/>
            </w:tcBorders>
          </w:tcPr>
          <w:p w14:paraId="462A5E3F" w14:textId="77777777" w:rsidR="00843FDA" w:rsidRPr="00C6580C" w:rsidRDefault="00843FDA" w:rsidP="00CD7CAC">
            <w:pPr>
              <w:widowControl/>
              <w:rPr>
                <w:kern w:val="0"/>
                <w:szCs w:val="22"/>
              </w:rPr>
            </w:pPr>
            <w:r w:rsidRPr="00C6580C">
              <w:rPr>
                <w:kern w:val="0"/>
                <w:szCs w:val="22"/>
              </w:rPr>
              <w:t>521a</w:t>
            </w:r>
          </w:p>
        </w:tc>
        <w:tc>
          <w:tcPr>
            <w:tcW w:w="0" w:type="auto"/>
            <w:tcBorders>
              <w:top w:val="single" w:sz="4" w:space="0" w:color="000000"/>
              <w:left w:val="single" w:sz="4" w:space="0" w:color="000000"/>
              <w:bottom w:val="single" w:sz="4" w:space="0" w:color="000000"/>
              <w:right w:val="single" w:sz="4" w:space="0" w:color="000000"/>
            </w:tcBorders>
          </w:tcPr>
          <w:p w14:paraId="626E79DD" w14:textId="77777777" w:rsidR="00843FDA" w:rsidRPr="00C6580C" w:rsidRDefault="00843FDA" w:rsidP="00CD7CAC">
            <w:pPr>
              <w:widowControl/>
              <w:jc w:val="right"/>
              <w:rPr>
                <w:kern w:val="0"/>
                <w:szCs w:val="22"/>
              </w:rPr>
            </w:pPr>
            <w:r w:rsidRPr="00C6580C">
              <w:rPr>
                <w:kern w:val="0"/>
                <w:szCs w:val="22"/>
              </w:rPr>
              <w:t>.2750</w:t>
            </w:r>
          </w:p>
        </w:tc>
      </w:tr>
      <w:tr w:rsidR="00843FDA" w:rsidRPr="00C6580C" w14:paraId="78BFCFB7" w14:textId="77777777">
        <w:tc>
          <w:tcPr>
            <w:tcW w:w="0" w:type="auto"/>
            <w:tcBorders>
              <w:top w:val="single" w:sz="4" w:space="0" w:color="000000"/>
              <w:left w:val="single" w:sz="4" w:space="0" w:color="000000"/>
              <w:bottom w:val="single" w:sz="4" w:space="0" w:color="000000"/>
              <w:right w:val="single" w:sz="4" w:space="0" w:color="000000"/>
            </w:tcBorders>
          </w:tcPr>
          <w:p w14:paraId="7218D79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E12F7F9" w14:textId="77777777" w:rsidR="00843FDA" w:rsidRPr="00C6580C" w:rsidRDefault="00843FDA" w:rsidP="00CD7CAC">
            <w:pPr>
              <w:widowControl/>
              <w:jc w:val="center"/>
              <w:rPr>
                <w:szCs w:val="22"/>
              </w:rPr>
            </w:pPr>
            <w:r w:rsidRPr="00C6580C">
              <w:rPr>
                <w:kern w:val="0"/>
                <w:szCs w:val="22"/>
              </w:rPr>
              <w:t>* * *</w:t>
            </w:r>
          </w:p>
        </w:tc>
      </w:tr>
      <w:tr w:rsidR="00843FDA" w:rsidRPr="00C6580C" w14:paraId="74DF9B80" w14:textId="77777777">
        <w:tc>
          <w:tcPr>
            <w:tcW w:w="0" w:type="auto"/>
            <w:tcBorders>
              <w:top w:val="single" w:sz="4" w:space="0" w:color="000000"/>
              <w:left w:val="single" w:sz="4" w:space="0" w:color="000000"/>
              <w:bottom w:val="single" w:sz="4" w:space="0" w:color="000000"/>
              <w:right w:val="single" w:sz="4" w:space="0" w:color="000000"/>
            </w:tcBorders>
          </w:tcPr>
          <w:p w14:paraId="71908B86" w14:textId="77777777" w:rsidR="00843FDA" w:rsidRPr="00C6580C" w:rsidRDefault="00843FDA" w:rsidP="00CD7CAC">
            <w:pPr>
              <w:widowControl/>
              <w:rPr>
                <w:kern w:val="0"/>
                <w:szCs w:val="22"/>
              </w:rPr>
            </w:pPr>
            <w:r w:rsidRPr="00C6580C">
              <w:rPr>
                <w:kern w:val="0"/>
                <w:szCs w:val="22"/>
              </w:rPr>
              <w:t>522a</w:t>
            </w:r>
          </w:p>
        </w:tc>
        <w:tc>
          <w:tcPr>
            <w:tcW w:w="0" w:type="auto"/>
            <w:tcBorders>
              <w:top w:val="single" w:sz="4" w:space="0" w:color="000000"/>
              <w:left w:val="single" w:sz="4" w:space="0" w:color="000000"/>
              <w:bottom w:val="single" w:sz="4" w:space="0" w:color="000000"/>
              <w:right w:val="single" w:sz="4" w:space="0" w:color="000000"/>
            </w:tcBorders>
          </w:tcPr>
          <w:p w14:paraId="5145912F" w14:textId="77777777" w:rsidR="00843FDA" w:rsidRPr="00C6580C" w:rsidRDefault="00843FDA" w:rsidP="00CD7CAC">
            <w:pPr>
              <w:widowControl/>
              <w:jc w:val="right"/>
              <w:rPr>
                <w:kern w:val="0"/>
                <w:szCs w:val="22"/>
              </w:rPr>
            </w:pPr>
            <w:r w:rsidRPr="00C6580C">
              <w:rPr>
                <w:kern w:val="0"/>
                <w:szCs w:val="22"/>
              </w:rPr>
              <w:t>.3000</w:t>
            </w:r>
          </w:p>
        </w:tc>
      </w:tr>
      <w:tr w:rsidR="00843FDA" w:rsidRPr="00C6580C" w14:paraId="2A95BEDE" w14:textId="77777777">
        <w:tc>
          <w:tcPr>
            <w:tcW w:w="0" w:type="auto"/>
            <w:tcBorders>
              <w:top w:val="single" w:sz="4" w:space="0" w:color="000000"/>
              <w:left w:val="single" w:sz="4" w:space="0" w:color="000000"/>
              <w:bottom w:val="single" w:sz="4" w:space="0" w:color="000000"/>
              <w:right w:val="single" w:sz="4" w:space="0" w:color="000000"/>
            </w:tcBorders>
          </w:tcPr>
          <w:p w14:paraId="415D7F2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AE2D1C1" w14:textId="77777777" w:rsidR="00843FDA" w:rsidRPr="00C6580C" w:rsidRDefault="00843FDA" w:rsidP="00CD7CAC">
            <w:pPr>
              <w:widowControl/>
              <w:jc w:val="center"/>
              <w:rPr>
                <w:szCs w:val="22"/>
              </w:rPr>
            </w:pPr>
            <w:r w:rsidRPr="00C6580C">
              <w:rPr>
                <w:kern w:val="0"/>
                <w:szCs w:val="22"/>
              </w:rPr>
              <w:t>* * *</w:t>
            </w:r>
          </w:p>
        </w:tc>
      </w:tr>
      <w:tr w:rsidR="00843FDA" w:rsidRPr="00C6580C" w14:paraId="1A6A2A9C" w14:textId="77777777">
        <w:tc>
          <w:tcPr>
            <w:tcW w:w="0" w:type="auto"/>
            <w:tcBorders>
              <w:top w:val="single" w:sz="4" w:space="0" w:color="000000"/>
              <w:left w:val="single" w:sz="4" w:space="0" w:color="000000"/>
              <w:bottom w:val="single" w:sz="4" w:space="0" w:color="000000"/>
              <w:right w:val="single" w:sz="4" w:space="0" w:color="000000"/>
            </w:tcBorders>
          </w:tcPr>
          <w:p w14:paraId="4DC817C0" w14:textId="77777777" w:rsidR="00843FDA" w:rsidRPr="00C6580C" w:rsidRDefault="00843FDA" w:rsidP="00CD7CAC">
            <w:pPr>
              <w:widowControl/>
              <w:rPr>
                <w:kern w:val="0"/>
                <w:szCs w:val="22"/>
              </w:rPr>
            </w:pPr>
            <w:r w:rsidRPr="00C6580C">
              <w:rPr>
                <w:kern w:val="0"/>
                <w:szCs w:val="22"/>
              </w:rPr>
              <w:t>523a</w:t>
            </w:r>
          </w:p>
        </w:tc>
        <w:tc>
          <w:tcPr>
            <w:tcW w:w="0" w:type="auto"/>
            <w:tcBorders>
              <w:top w:val="single" w:sz="4" w:space="0" w:color="000000"/>
              <w:left w:val="single" w:sz="4" w:space="0" w:color="000000"/>
              <w:bottom w:val="single" w:sz="4" w:space="0" w:color="000000"/>
              <w:right w:val="single" w:sz="4" w:space="0" w:color="000000"/>
            </w:tcBorders>
          </w:tcPr>
          <w:p w14:paraId="1043F712" w14:textId="77777777" w:rsidR="00843FDA" w:rsidRPr="00C6580C" w:rsidRDefault="00843FDA" w:rsidP="00CD7CAC">
            <w:pPr>
              <w:widowControl/>
              <w:jc w:val="right"/>
              <w:rPr>
                <w:kern w:val="0"/>
                <w:szCs w:val="22"/>
              </w:rPr>
            </w:pPr>
            <w:r w:rsidRPr="00C6580C">
              <w:rPr>
                <w:kern w:val="0"/>
                <w:szCs w:val="22"/>
              </w:rPr>
              <w:t>.3250</w:t>
            </w:r>
          </w:p>
        </w:tc>
      </w:tr>
      <w:tr w:rsidR="00843FDA" w:rsidRPr="00C6580C" w14:paraId="507F1AB5" w14:textId="77777777">
        <w:tc>
          <w:tcPr>
            <w:tcW w:w="0" w:type="auto"/>
            <w:tcBorders>
              <w:top w:val="single" w:sz="4" w:space="0" w:color="000000"/>
              <w:left w:val="single" w:sz="4" w:space="0" w:color="000000"/>
              <w:bottom w:val="single" w:sz="4" w:space="0" w:color="000000"/>
              <w:right w:val="single" w:sz="4" w:space="0" w:color="000000"/>
            </w:tcBorders>
          </w:tcPr>
          <w:p w14:paraId="75F1579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6B95F05" w14:textId="77777777" w:rsidR="00843FDA" w:rsidRPr="00C6580C" w:rsidRDefault="00843FDA" w:rsidP="00CD7CAC">
            <w:pPr>
              <w:widowControl/>
              <w:jc w:val="center"/>
              <w:rPr>
                <w:szCs w:val="22"/>
              </w:rPr>
            </w:pPr>
            <w:r w:rsidRPr="00C6580C">
              <w:rPr>
                <w:kern w:val="0"/>
                <w:szCs w:val="22"/>
              </w:rPr>
              <w:t>* * *</w:t>
            </w:r>
          </w:p>
        </w:tc>
      </w:tr>
      <w:tr w:rsidR="00843FDA" w:rsidRPr="00C6580C" w14:paraId="5FC3E59C" w14:textId="77777777">
        <w:tc>
          <w:tcPr>
            <w:tcW w:w="0" w:type="auto"/>
            <w:tcBorders>
              <w:top w:val="single" w:sz="4" w:space="0" w:color="000000"/>
              <w:left w:val="single" w:sz="4" w:space="0" w:color="000000"/>
              <w:bottom w:val="single" w:sz="4" w:space="0" w:color="000000"/>
              <w:right w:val="single" w:sz="4" w:space="0" w:color="000000"/>
            </w:tcBorders>
          </w:tcPr>
          <w:p w14:paraId="37306E11" w14:textId="77777777" w:rsidR="00843FDA" w:rsidRPr="00C6580C" w:rsidRDefault="00843FDA" w:rsidP="00CD7CAC">
            <w:pPr>
              <w:widowControl/>
              <w:rPr>
                <w:kern w:val="0"/>
                <w:szCs w:val="22"/>
              </w:rPr>
            </w:pPr>
            <w:r w:rsidRPr="00C6580C">
              <w:rPr>
                <w:kern w:val="0"/>
                <w:szCs w:val="22"/>
              </w:rPr>
              <w:t>524a</w:t>
            </w:r>
          </w:p>
        </w:tc>
        <w:tc>
          <w:tcPr>
            <w:tcW w:w="0" w:type="auto"/>
            <w:tcBorders>
              <w:top w:val="single" w:sz="4" w:space="0" w:color="000000"/>
              <w:left w:val="single" w:sz="4" w:space="0" w:color="000000"/>
              <w:bottom w:val="single" w:sz="4" w:space="0" w:color="000000"/>
              <w:right w:val="single" w:sz="4" w:space="0" w:color="000000"/>
            </w:tcBorders>
          </w:tcPr>
          <w:p w14:paraId="57FB539F" w14:textId="77777777" w:rsidR="00843FDA" w:rsidRPr="00C6580C" w:rsidRDefault="00843FDA" w:rsidP="00CD7CAC">
            <w:pPr>
              <w:widowControl/>
              <w:jc w:val="right"/>
              <w:rPr>
                <w:kern w:val="0"/>
                <w:szCs w:val="22"/>
              </w:rPr>
            </w:pPr>
            <w:r w:rsidRPr="00C6580C">
              <w:rPr>
                <w:kern w:val="0"/>
                <w:szCs w:val="22"/>
              </w:rPr>
              <w:t>.3500</w:t>
            </w:r>
          </w:p>
        </w:tc>
      </w:tr>
      <w:tr w:rsidR="00843FDA" w:rsidRPr="00C6580C" w14:paraId="12B1D0A4" w14:textId="77777777">
        <w:tc>
          <w:tcPr>
            <w:tcW w:w="0" w:type="auto"/>
            <w:tcBorders>
              <w:top w:val="single" w:sz="4" w:space="0" w:color="000000"/>
              <w:left w:val="single" w:sz="4" w:space="0" w:color="000000"/>
              <w:bottom w:val="single" w:sz="4" w:space="0" w:color="000000"/>
              <w:right w:val="single" w:sz="4" w:space="0" w:color="000000"/>
            </w:tcBorders>
          </w:tcPr>
          <w:p w14:paraId="794C6C4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3E210F9" w14:textId="77777777" w:rsidR="00843FDA" w:rsidRPr="00C6580C" w:rsidRDefault="00843FDA" w:rsidP="00CD7CAC">
            <w:pPr>
              <w:widowControl/>
              <w:jc w:val="center"/>
              <w:rPr>
                <w:szCs w:val="22"/>
              </w:rPr>
            </w:pPr>
            <w:r w:rsidRPr="00C6580C">
              <w:rPr>
                <w:kern w:val="0"/>
                <w:szCs w:val="22"/>
              </w:rPr>
              <w:t>* * *</w:t>
            </w:r>
          </w:p>
        </w:tc>
      </w:tr>
      <w:tr w:rsidR="00843FDA" w:rsidRPr="00C6580C" w14:paraId="72184E58" w14:textId="77777777">
        <w:tc>
          <w:tcPr>
            <w:tcW w:w="0" w:type="auto"/>
            <w:tcBorders>
              <w:top w:val="single" w:sz="4" w:space="0" w:color="000000"/>
              <w:left w:val="single" w:sz="4" w:space="0" w:color="000000"/>
              <w:bottom w:val="single" w:sz="4" w:space="0" w:color="000000"/>
              <w:right w:val="single" w:sz="4" w:space="0" w:color="000000"/>
            </w:tcBorders>
          </w:tcPr>
          <w:p w14:paraId="4A9DCF30" w14:textId="77777777" w:rsidR="00843FDA" w:rsidRPr="00C6580C" w:rsidRDefault="00843FDA" w:rsidP="00CD7CAC">
            <w:pPr>
              <w:widowControl/>
              <w:rPr>
                <w:kern w:val="0"/>
                <w:szCs w:val="22"/>
              </w:rPr>
            </w:pPr>
            <w:r w:rsidRPr="00C6580C">
              <w:rPr>
                <w:kern w:val="0"/>
                <w:szCs w:val="22"/>
              </w:rPr>
              <w:t>525a</w:t>
            </w:r>
          </w:p>
        </w:tc>
        <w:tc>
          <w:tcPr>
            <w:tcW w:w="0" w:type="auto"/>
            <w:tcBorders>
              <w:top w:val="single" w:sz="4" w:space="0" w:color="000000"/>
              <w:left w:val="single" w:sz="4" w:space="0" w:color="000000"/>
              <w:bottom w:val="single" w:sz="4" w:space="0" w:color="000000"/>
              <w:right w:val="single" w:sz="4" w:space="0" w:color="000000"/>
            </w:tcBorders>
          </w:tcPr>
          <w:p w14:paraId="23223357" w14:textId="77777777" w:rsidR="00843FDA" w:rsidRPr="00C6580C" w:rsidRDefault="00843FDA" w:rsidP="00CD7CAC">
            <w:pPr>
              <w:widowControl/>
              <w:jc w:val="right"/>
              <w:rPr>
                <w:kern w:val="0"/>
                <w:szCs w:val="22"/>
              </w:rPr>
            </w:pPr>
            <w:r w:rsidRPr="00C6580C">
              <w:rPr>
                <w:kern w:val="0"/>
                <w:szCs w:val="22"/>
              </w:rPr>
              <w:t>.3750</w:t>
            </w:r>
          </w:p>
        </w:tc>
      </w:tr>
      <w:tr w:rsidR="00843FDA" w:rsidRPr="00C6580C" w14:paraId="62FFC3A8" w14:textId="77777777">
        <w:tc>
          <w:tcPr>
            <w:tcW w:w="0" w:type="auto"/>
            <w:tcBorders>
              <w:top w:val="single" w:sz="4" w:space="0" w:color="000000"/>
              <w:left w:val="single" w:sz="4" w:space="0" w:color="000000"/>
              <w:bottom w:val="single" w:sz="4" w:space="0" w:color="000000"/>
              <w:right w:val="single" w:sz="4" w:space="0" w:color="000000"/>
            </w:tcBorders>
          </w:tcPr>
          <w:p w14:paraId="29827996"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D7F2D76" w14:textId="77777777" w:rsidR="00843FDA" w:rsidRPr="00C6580C" w:rsidRDefault="00843FDA" w:rsidP="00CD7CAC">
            <w:pPr>
              <w:widowControl/>
              <w:jc w:val="center"/>
              <w:rPr>
                <w:szCs w:val="22"/>
              </w:rPr>
            </w:pPr>
            <w:r w:rsidRPr="00C6580C">
              <w:rPr>
                <w:kern w:val="0"/>
                <w:szCs w:val="22"/>
              </w:rPr>
              <w:t>* * *</w:t>
            </w:r>
          </w:p>
        </w:tc>
      </w:tr>
      <w:tr w:rsidR="00843FDA" w:rsidRPr="00C6580C" w14:paraId="07276AD4" w14:textId="77777777">
        <w:tc>
          <w:tcPr>
            <w:tcW w:w="0" w:type="auto"/>
            <w:tcBorders>
              <w:top w:val="single" w:sz="4" w:space="0" w:color="000000"/>
              <w:left w:val="single" w:sz="4" w:space="0" w:color="000000"/>
              <w:bottom w:val="single" w:sz="4" w:space="0" w:color="000000"/>
              <w:right w:val="single" w:sz="4" w:space="0" w:color="000000"/>
            </w:tcBorders>
          </w:tcPr>
          <w:p w14:paraId="0902024A" w14:textId="77777777" w:rsidR="00843FDA" w:rsidRPr="00C6580C" w:rsidRDefault="00843FDA" w:rsidP="00CD7CAC">
            <w:pPr>
              <w:widowControl/>
              <w:rPr>
                <w:kern w:val="0"/>
                <w:szCs w:val="22"/>
              </w:rPr>
            </w:pPr>
            <w:r w:rsidRPr="00C6580C">
              <w:rPr>
                <w:kern w:val="0"/>
                <w:szCs w:val="22"/>
              </w:rPr>
              <w:t>526a</w:t>
            </w:r>
          </w:p>
        </w:tc>
        <w:tc>
          <w:tcPr>
            <w:tcW w:w="0" w:type="auto"/>
            <w:tcBorders>
              <w:top w:val="single" w:sz="4" w:space="0" w:color="000000"/>
              <w:left w:val="single" w:sz="4" w:space="0" w:color="000000"/>
              <w:bottom w:val="single" w:sz="4" w:space="0" w:color="000000"/>
              <w:right w:val="single" w:sz="4" w:space="0" w:color="000000"/>
            </w:tcBorders>
          </w:tcPr>
          <w:p w14:paraId="2D1E86D5" w14:textId="77777777" w:rsidR="00843FDA" w:rsidRPr="00C6580C" w:rsidRDefault="00843FDA" w:rsidP="00CD7CAC">
            <w:pPr>
              <w:widowControl/>
              <w:jc w:val="right"/>
              <w:rPr>
                <w:kern w:val="0"/>
                <w:szCs w:val="22"/>
              </w:rPr>
            </w:pPr>
            <w:r w:rsidRPr="00C6580C">
              <w:rPr>
                <w:kern w:val="0"/>
                <w:szCs w:val="22"/>
              </w:rPr>
              <w:t>.4000</w:t>
            </w:r>
          </w:p>
        </w:tc>
      </w:tr>
      <w:tr w:rsidR="00843FDA" w:rsidRPr="00C6580C" w14:paraId="71BB24FB" w14:textId="77777777">
        <w:tc>
          <w:tcPr>
            <w:tcW w:w="0" w:type="auto"/>
            <w:tcBorders>
              <w:top w:val="single" w:sz="4" w:space="0" w:color="000000"/>
              <w:left w:val="single" w:sz="4" w:space="0" w:color="000000"/>
              <w:bottom w:val="single" w:sz="4" w:space="0" w:color="000000"/>
              <w:right w:val="single" w:sz="4" w:space="0" w:color="000000"/>
            </w:tcBorders>
          </w:tcPr>
          <w:p w14:paraId="0E3A0B8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3D80816" w14:textId="77777777" w:rsidR="00843FDA" w:rsidRPr="00C6580C" w:rsidRDefault="00843FDA" w:rsidP="00CD7CAC">
            <w:pPr>
              <w:widowControl/>
              <w:jc w:val="center"/>
              <w:rPr>
                <w:szCs w:val="22"/>
              </w:rPr>
            </w:pPr>
            <w:r w:rsidRPr="00C6580C">
              <w:rPr>
                <w:kern w:val="0"/>
                <w:szCs w:val="22"/>
              </w:rPr>
              <w:t>* * *</w:t>
            </w:r>
          </w:p>
        </w:tc>
      </w:tr>
      <w:tr w:rsidR="00843FDA" w:rsidRPr="00C6580C" w14:paraId="0F51974A" w14:textId="77777777">
        <w:tc>
          <w:tcPr>
            <w:tcW w:w="0" w:type="auto"/>
            <w:tcBorders>
              <w:top w:val="single" w:sz="4" w:space="0" w:color="000000"/>
              <w:left w:val="single" w:sz="4" w:space="0" w:color="000000"/>
              <w:bottom w:val="single" w:sz="4" w:space="0" w:color="000000"/>
              <w:right w:val="single" w:sz="4" w:space="0" w:color="000000"/>
            </w:tcBorders>
          </w:tcPr>
          <w:p w14:paraId="3386AE17" w14:textId="77777777" w:rsidR="00843FDA" w:rsidRPr="00C6580C" w:rsidRDefault="00843FDA" w:rsidP="00CD7CAC">
            <w:pPr>
              <w:widowControl/>
              <w:rPr>
                <w:kern w:val="0"/>
                <w:szCs w:val="22"/>
              </w:rPr>
            </w:pPr>
            <w:r w:rsidRPr="00C6580C">
              <w:rPr>
                <w:kern w:val="0"/>
                <w:szCs w:val="22"/>
              </w:rPr>
              <w:t>527a</w:t>
            </w:r>
          </w:p>
        </w:tc>
        <w:tc>
          <w:tcPr>
            <w:tcW w:w="0" w:type="auto"/>
            <w:tcBorders>
              <w:top w:val="single" w:sz="4" w:space="0" w:color="000000"/>
              <w:left w:val="single" w:sz="4" w:space="0" w:color="000000"/>
              <w:bottom w:val="single" w:sz="4" w:space="0" w:color="000000"/>
              <w:right w:val="single" w:sz="4" w:space="0" w:color="000000"/>
            </w:tcBorders>
          </w:tcPr>
          <w:p w14:paraId="50D17A67" w14:textId="77777777" w:rsidR="00843FDA" w:rsidRPr="00C6580C" w:rsidRDefault="00843FDA" w:rsidP="00CD7CAC">
            <w:pPr>
              <w:widowControl/>
              <w:jc w:val="right"/>
              <w:rPr>
                <w:kern w:val="0"/>
                <w:szCs w:val="22"/>
              </w:rPr>
            </w:pPr>
            <w:r w:rsidRPr="00C6580C">
              <w:rPr>
                <w:kern w:val="0"/>
                <w:szCs w:val="22"/>
              </w:rPr>
              <w:t>.4250</w:t>
            </w:r>
          </w:p>
        </w:tc>
      </w:tr>
      <w:tr w:rsidR="00843FDA" w:rsidRPr="00C6580C" w14:paraId="44AA3925" w14:textId="77777777">
        <w:tc>
          <w:tcPr>
            <w:tcW w:w="0" w:type="auto"/>
            <w:tcBorders>
              <w:top w:val="single" w:sz="4" w:space="0" w:color="000000"/>
              <w:left w:val="single" w:sz="4" w:space="0" w:color="000000"/>
              <w:bottom w:val="single" w:sz="4" w:space="0" w:color="000000"/>
              <w:right w:val="single" w:sz="4" w:space="0" w:color="000000"/>
            </w:tcBorders>
          </w:tcPr>
          <w:p w14:paraId="4825AB8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831417D" w14:textId="77777777" w:rsidR="00843FDA" w:rsidRPr="00C6580C" w:rsidRDefault="00843FDA" w:rsidP="00CD7CAC">
            <w:pPr>
              <w:widowControl/>
              <w:jc w:val="center"/>
              <w:rPr>
                <w:szCs w:val="22"/>
              </w:rPr>
            </w:pPr>
            <w:r w:rsidRPr="00C6580C">
              <w:rPr>
                <w:kern w:val="0"/>
                <w:szCs w:val="22"/>
              </w:rPr>
              <w:t>* * *</w:t>
            </w:r>
          </w:p>
        </w:tc>
      </w:tr>
      <w:tr w:rsidR="00843FDA" w:rsidRPr="00C6580C" w14:paraId="3EEF0981" w14:textId="77777777">
        <w:tc>
          <w:tcPr>
            <w:tcW w:w="0" w:type="auto"/>
            <w:tcBorders>
              <w:top w:val="single" w:sz="4" w:space="0" w:color="000000"/>
              <w:left w:val="single" w:sz="4" w:space="0" w:color="000000"/>
              <w:bottom w:val="single" w:sz="4" w:space="0" w:color="000000"/>
              <w:right w:val="single" w:sz="4" w:space="0" w:color="000000"/>
            </w:tcBorders>
          </w:tcPr>
          <w:p w14:paraId="515F0706" w14:textId="77777777" w:rsidR="00843FDA" w:rsidRPr="00C6580C" w:rsidRDefault="00843FDA" w:rsidP="00CD7CAC">
            <w:pPr>
              <w:widowControl/>
              <w:rPr>
                <w:kern w:val="0"/>
                <w:szCs w:val="22"/>
              </w:rPr>
            </w:pPr>
            <w:r w:rsidRPr="00C6580C">
              <w:rPr>
                <w:kern w:val="0"/>
                <w:szCs w:val="22"/>
              </w:rPr>
              <w:t>528a</w:t>
            </w:r>
          </w:p>
        </w:tc>
        <w:tc>
          <w:tcPr>
            <w:tcW w:w="0" w:type="auto"/>
            <w:tcBorders>
              <w:top w:val="single" w:sz="4" w:space="0" w:color="000000"/>
              <w:left w:val="single" w:sz="4" w:space="0" w:color="000000"/>
              <w:bottom w:val="single" w:sz="4" w:space="0" w:color="000000"/>
              <w:right w:val="single" w:sz="4" w:space="0" w:color="000000"/>
            </w:tcBorders>
          </w:tcPr>
          <w:p w14:paraId="459D4F11" w14:textId="77777777" w:rsidR="00843FDA" w:rsidRPr="00C6580C" w:rsidRDefault="00843FDA" w:rsidP="00CD7CAC">
            <w:pPr>
              <w:widowControl/>
              <w:jc w:val="right"/>
              <w:rPr>
                <w:kern w:val="0"/>
                <w:szCs w:val="22"/>
              </w:rPr>
            </w:pPr>
            <w:r w:rsidRPr="00C6580C">
              <w:rPr>
                <w:kern w:val="0"/>
                <w:szCs w:val="22"/>
              </w:rPr>
              <w:t>.4500</w:t>
            </w:r>
          </w:p>
        </w:tc>
      </w:tr>
      <w:tr w:rsidR="00843FDA" w:rsidRPr="00C6580C" w14:paraId="7FFAFEDA" w14:textId="77777777">
        <w:tc>
          <w:tcPr>
            <w:tcW w:w="0" w:type="auto"/>
            <w:tcBorders>
              <w:top w:val="single" w:sz="4" w:space="0" w:color="000000"/>
              <w:left w:val="single" w:sz="4" w:space="0" w:color="000000"/>
              <w:bottom w:val="single" w:sz="4" w:space="0" w:color="000000"/>
              <w:right w:val="single" w:sz="4" w:space="0" w:color="000000"/>
            </w:tcBorders>
          </w:tcPr>
          <w:p w14:paraId="734C7AE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81385A5" w14:textId="77777777" w:rsidR="00843FDA" w:rsidRPr="00C6580C" w:rsidRDefault="00843FDA" w:rsidP="00CD7CAC">
            <w:pPr>
              <w:widowControl/>
              <w:jc w:val="center"/>
              <w:rPr>
                <w:szCs w:val="22"/>
              </w:rPr>
            </w:pPr>
            <w:r w:rsidRPr="00C6580C">
              <w:rPr>
                <w:kern w:val="0"/>
                <w:szCs w:val="22"/>
              </w:rPr>
              <w:t>* * *</w:t>
            </w:r>
          </w:p>
        </w:tc>
      </w:tr>
      <w:tr w:rsidR="00843FDA" w:rsidRPr="00C6580C" w14:paraId="456AB9CF" w14:textId="77777777">
        <w:tc>
          <w:tcPr>
            <w:tcW w:w="0" w:type="auto"/>
            <w:tcBorders>
              <w:top w:val="single" w:sz="4" w:space="0" w:color="000000"/>
              <w:left w:val="single" w:sz="4" w:space="0" w:color="000000"/>
              <w:bottom w:val="single" w:sz="4" w:space="0" w:color="000000"/>
              <w:right w:val="single" w:sz="4" w:space="0" w:color="000000"/>
            </w:tcBorders>
          </w:tcPr>
          <w:p w14:paraId="5B0FF152" w14:textId="77777777" w:rsidR="00843FDA" w:rsidRPr="00C6580C" w:rsidRDefault="00843FDA" w:rsidP="00CD7CAC">
            <w:pPr>
              <w:widowControl/>
              <w:rPr>
                <w:kern w:val="0"/>
                <w:szCs w:val="22"/>
              </w:rPr>
            </w:pPr>
            <w:r w:rsidRPr="00C6580C">
              <w:rPr>
                <w:kern w:val="0"/>
                <w:szCs w:val="22"/>
              </w:rPr>
              <w:t>529a</w:t>
            </w:r>
          </w:p>
        </w:tc>
        <w:tc>
          <w:tcPr>
            <w:tcW w:w="0" w:type="auto"/>
            <w:tcBorders>
              <w:top w:val="single" w:sz="4" w:space="0" w:color="000000"/>
              <w:left w:val="single" w:sz="4" w:space="0" w:color="000000"/>
              <w:bottom w:val="single" w:sz="4" w:space="0" w:color="000000"/>
              <w:right w:val="single" w:sz="4" w:space="0" w:color="000000"/>
            </w:tcBorders>
          </w:tcPr>
          <w:p w14:paraId="0DA9C802" w14:textId="77777777" w:rsidR="00843FDA" w:rsidRPr="00C6580C" w:rsidRDefault="00843FDA" w:rsidP="00CD7CAC">
            <w:pPr>
              <w:widowControl/>
              <w:jc w:val="right"/>
              <w:rPr>
                <w:kern w:val="0"/>
                <w:szCs w:val="22"/>
              </w:rPr>
            </w:pPr>
            <w:r w:rsidRPr="00C6580C">
              <w:rPr>
                <w:kern w:val="0"/>
                <w:szCs w:val="22"/>
              </w:rPr>
              <w:t>.4750</w:t>
            </w:r>
          </w:p>
        </w:tc>
      </w:tr>
      <w:tr w:rsidR="00843FDA" w:rsidRPr="00C6580C" w14:paraId="1E94C445" w14:textId="77777777">
        <w:tc>
          <w:tcPr>
            <w:tcW w:w="0" w:type="auto"/>
            <w:tcBorders>
              <w:top w:val="single" w:sz="4" w:space="0" w:color="000000"/>
              <w:left w:val="single" w:sz="4" w:space="0" w:color="000000"/>
              <w:bottom w:val="single" w:sz="4" w:space="0" w:color="000000"/>
              <w:right w:val="single" w:sz="4" w:space="0" w:color="000000"/>
            </w:tcBorders>
          </w:tcPr>
          <w:p w14:paraId="2A67262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2303602" w14:textId="77777777" w:rsidR="00843FDA" w:rsidRPr="00C6580C" w:rsidRDefault="00843FDA" w:rsidP="00CD7CAC">
            <w:pPr>
              <w:widowControl/>
              <w:jc w:val="center"/>
              <w:rPr>
                <w:szCs w:val="22"/>
              </w:rPr>
            </w:pPr>
            <w:r w:rsidRPr="00C6580C">
              <w:rPr>
                <w:kern w:val="0"/>
                <w:szCs w:val="22"/>
              </w:rPr>
              <w:t>* * *</w:t>
            </w:r>
          </w:p>
        </w:tc>
      </w:tr>
      <w:tr w:rsidR="00843FDA" w:rsidRPr="00C6580C" w14:paraId="6AF8199E" w14:textId="77777777">
        <w:tc>
          <w:tcPr>
            <w:tcW w:w="0" w:type="auto"/>
            <w:tcBorders>
              <w:top w:val="single" w:sz="4" w:space="0" w:color="000000"/>
              <w:left w:val="single" w:sz="4" w:space="0" w:color="000000"/>
              <w:bottom w:val="single" w:sz="4" w:space="0" w:color="000000"/>
              <w:right w:val="single" w:sz="4" w:space="0" w:color="000000"/>
            </w:tcBorders>
          </w:tcPr>
          <w:p w14:paraId="4C3A40DD" w14:textId="77777777" w:rsidR="00843FDA" w:rsidRPr="00C6580C" w:rsidRDefault="00843FDA" w:rsidP="00CD7CAC">
            <w:pPr>
              <w:widowControl/>
              <w:rPr>
                <w:kern w:val="0"/>
                <w:szCs w:val="22"/>
              </w:rPr>
            </w:pPr>
            <w:r w:rsidRPr="00C6580C">
              <w:rPr>
                <w:kern w:val="0"/>
                <w:szCs w:val="22"/>
              </w:rPr>
              <w:t>530a</w:t>
            </w:r>
          </w:p>
        </w:tc>
        <w:tc>
          <w:tcPr>
            <w:tcW w:w="0" w:type="auto"/>
            <w:tcBorders>
              <w:top w:val="single" w:sz="4" w:space="0" w:color="000000"/>
              <w:left w:val="single" w:sz="4" w:space="0" w:color="000000"/>
              <w:bottom w:val="single" w:sz="4" w:space="0" w:color="000000"/>
              <w:right w:val="single" w:sz="4" w:space="0" w:color="000000"/>
            </w:tcBorders>
          </w:tcPr>
          <w:p w14:paraId="71D74828" w14:textId="77777777" w:rsidR="00843FDA" w:rsidRPr="00C6580C" w:rsidRDefault="00843FDA" w:rsidP="00CD7CAC">
            <w:pPr>
              <w:widowControl/>
              <w:jc w:val="right"/>
              <w:rPr>
                <w:kern w:val="0"/>
                <w:szCs w:val="22"/>
              </w:rPr>
            </w:pPr>
            <w:r w:rsidRPr="00C6580C">
              <w:rPr>
                <w:kern w:val="0"/>
                <w:szCs w:val="22"/>
              </w:rPr>
              <w:t>.5000</w:t>
            </w:r>
          </w:p>
        </w:tc>
      </w:tr>
      <w:tr w:rsidR="00843FDA" w:rsidRPr="00C6580C" w14:paraId="4714E9A9" w14:textId="77777777">
        <w:tc>
          <w:tcPr>
            <w:tcW w:w="0" w:type="auto"/>
            <w:tcBorders>
              <w:top w:val="single" w:sz="4" w:space="0" w:color="000000"/>
              <w:left w:val="single" w:sz="4" w:space="0" w:color="000000"/>
              <w:bottom w:val="single" w:sz="4" w:space="0" w:color="000000"/>
              <w:right w:val="single" w:sz="4" w:space="0" w:color="000000"/>
            </w:tcBorders>
          </w:tcPr>
          <w:p w14:paraId="4AFBC29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7655FB1" w14:textId="77777777" w:rsidR="00843FDA" w:rsidRPr="00C6580C" w:rsidRDefault="00843FDA" w:rsidP="00CD7CAC">
            <w:pPr>
              <w:widowControl/>
              <w:jc w:val="center"/>
              <w:rPr>
                <w:szCs w:val="22"/>
              </w:rPr>
            </w:pPr>
            <w:r w:rsidRPr="00C6580C">
              <w:rPr>
                <w:kern w:val="0"/>
                <w:szCs w:val="22"/>
              </w:rPr>
              <w:t>* * *</w:t>
            </w:r>
          </w:p>
        </w:tc>
      </w:tr>
      <w:tr w:rsidR="00843FDA" w:rsidRPr="00C6580C" w14:paraId="10A50CF2" w14:textId="77777777">
        <w:tc>
          <w:tcPr>
            <w:tcW w:w="0" w:type="auto"/>
            <w:tcBorders>
              <w:top w:val="single" w:sz="4" w:space="0" w:color="000000"/>
              <w:left w:val="single" w:sz="4" w:space="0" w:color="000000"/>
              <w:bottom w:val="single" w:sz="4" w:space="0" w:color="000000"/>
              <w:right w:val="single" w:sz="4" w:space="0" w:color="000000"/>
            </w:tcBorders>
          </w:tcPr>
          <w:p w14:paraId="0854C281" w14:textId="77777777" w:rsidR="00843FDA" w:rsidRPr="00C6580C" w:rsidRDefault="00843FDA" w:rsidP="00CD7CAC">
            <w:pPr>
              <w:widowControl/>
              <w:rPr>
                <w:kern w:val="0"/>
                <w:szCs w:val="22"/>
              </w:rPr>
            </w:pPr>
            <w:r w:rsidRPr="00C6580C">
              <w:rPr>
                <w:kern w:val="0"/>
                <w:szCs w:val="22"/>
              </w:rPr>
              <w:t>531a</w:t>
            </w:r>
          </w:p>
        </w:tc>
        <w:tc>
          <w:tcPr>
            <w:tcW w:w="0" w:type="auto"/>
            <w:tcBorders>
              <w:top w:val="single" w:sz="4" w:space="0" w:color="000000"/>
              <w:left w:val="single" w:sz="4" w:space="0" w:color="000000"/>
              <w:bottom w:val="single" w:sz="4" w:space="0" w:color="000000"/>
              <w:right w:val="single" w:sz="4" w:space="0" w:color="000000"/>
            </w:tcBorders>
          </w:tcPr>
          <w:p w14:paraId="36B674A1" w14:textId="77777777" w:rsidR="00843FDA" w:rsidRPr="00C6580C" w:rsidRDefault="00843FDA" w:rsidP="00CD7CAC">
            <w:pPr>
              <w:widowControl/>
              <w:jc w:val="right"/>
              <w:rPr>
                <w:kern w:val="0"/>
                <w:szCs w:val="22"/>
              </w:rPr>
            </w:pPr>
            <w:r w:rsidRPr="00C6580C">
              <w:rPr>
                <w:kern w:val="0"/>
                <w:szCs w:val="22"/>
              </w:rPr>
              <w:t>.5250</w:t>
            </w:r>
          </w:p>
        </w:tc>
      </w:tr>
      <w:tr w:rsidR="00843FDA" w:rsidRPr="00C6580C" w14:paraId="1B2BC434" w14:textId="77777777">
        <w:tc>
          <w:tcPr>
            <w:tcW w:w="0" w:type="auto"/>
            <w:tcBorders>
              <w:top w:val="single" w:sz="4" w:space="0" w:color="000000"/>
              <w:left w:val="single" w:sz="4" w:space="0" w:color="000000"/>
              <w:bottom w:val="single" w:sz="4" w:space="0" w:color="000000"/>
              <w:right w:val="single" w:sz="4" w:space="0" w:color="000000"/>
            </w:tcBorders>
          </w:tcPr>
          <w:p w14:paraId="26EE6C3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3B96A32" w14:textId="77777777" w:rsidR="00843FDA" w:rsidRPr="00C6580C" w:rsidRDefault="00843FDA" w:rsidP="00CD7CAC">
            <w:pPr>
              <w:widowControl/>
              <w:jc w:val="center"/>
              <w:rPr>
                <w:szCs w:val="22"/>
              </w:rPr>
            </w:pPr>
            <w:r w:rsidRPr="00C6580C">
              <w:rPr>
                <w:kern w:val="0"/>
                <w:szCs w:val="22"/>
              </w:rPr>
              <w:t>* * *</w:t>
            </w:r>
          </w:p>
        </w:tc>
      </w:tr>
      <w:tr w:rsidR="00843FDA" w:rsidRPr="00C6580C" w14:paraId="1B6D1AC4" w14:textId="77777777">
        <w:tc>
          <w:tcPr>
            <w:tcW w:w="0" w:type="auto"/>
            <w:tcBorders>
              <w:top w:val="single" w:sz="4" w:space="0" w:color="000000"/>
              <w:left w:val="single" w:sz="4" w:space="0" w:color="000000"/>
              <w:bottom w:val="single" w:sz="4" w:space="0" w:color="000000"/>
              <w:right w:val="single" w:sz="4" w:space="0" w:color="000000"/>
            </w:tcBorders>
          </w:tcPr>
          <w:p w14:paraId="7912AFAA" w14:textId="77777777" w:rsidR="00843FDA" w:rsidRPr="00C6580C" w:rsidRDefault="00843FDA" w:rsidP="00CD7CAC">
            <w:pPr>
              <w:widowControl/>
              <w:rPr>
                <w:kern w:val="0"/>
                <w:szCs w:val="22"/>
              </w:rPr>
            </w:pPr>
            <w:r w:rsidRPr="00C6580C">
              <w:rPr>
                <w:kern w:val="0"/>
                <w:szCs w:val="22"/>
              </w:rPr>
              <w:t>532a</w:t>
            </w:r>
          </w:p>
        </w:tc>
        <w:tc>
          <w:tcPr>
            <w:tcW w:w="0" w:type="auto"/>
            <w:tcBorders>
              <w:top w:val="single" w:sz="4" w:space="0" w:color="000000"/>
              <w:left w:val="single" w:sz="4" w:space="0" w:color="000000"/>
              <w:bottom w:val="single" w:sz="4" w:space="0" w:color="000000"/>
              <w:right w:val="single" w:sz="4" w:space="0" w:color="000000"/>
            </w:tcBorders>
          </w:tcPr>
          <w:p w14:paraId="5CEA1679" w14:textId="77777777" w:rsidR="00843FDA" w:rsidRPr="00C6580C" w:rsidRDefault="00843FDA" w:rsidP="00CD7CAC">
            <w:pPr>
              <w:widowControl/>
              <w:jc w:val="right"/>
              <w:rPr>
                <w:kern w:val="0"/>
                <w:szCs w:val="22"/>
              </w:rPr>
            </w:pPr>
            <w:r w:rsidRPr="00C6580C">
              <w:rPr>
                <w:kern w:val="0"/>
                <w:szCs w:val="22"/>
              </w:rPr>
              <w:t>.5500</w:t>
            </w:r>
          </w:p>
        </w:tc>
      </w:tr>
      <w:tr w:rsidR="00843FDA" w:rsidRPr="00C6580C" w14:paraId="20C355CE" w14:textId="77777777">
        <w:tc>
          <w:tcPr>
            <w:tcW w:w="0" w:type="auto"/>
            <w:tcBorders>
              <w:top w:val="single" w:sz="4" w:space="0" w:color="000000"/>
              <w:left w:val="single" w:sz="4" w:space="0" w:color="000000"/>
              <w:bottom w:val="single" w:sz="4" w:space="0" w:color="000000"/>
              <w:right w:val="single" w:sz="4" w:space="0" w:color="000000"/>
            </w:tcBorders>
          </w:tcPr>
          <w:p w14:paraId="43A89FE1"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70A49F0" w14:textId="77777777" w:rsidR="00843FDA" w:rsidRPr="00C6580C" w:rsidRDefault="00843FDA" w:rsidP="00CD7CAC">
            <w:pPr>
              <w:widowControl/>
              <w:jc w:val="center"/>
              <w:rPr>
                <w:szCs w:val="22"/>
              </w:rPr>
            </w:pPr>
            <w:r w:rsidRPr="00C6580C">
              <w:rPr>
                <w:kern w:val="0"/>
                <w:szCs w:val="22"/>
              </w:rPr>
              <w:t>* * *</w:t>
            </w:r>
          </w:p>
        </w:tc>
      </w:tr>
      <w:tr w:rsidR="00843FDA" w:rsidRPr="00C6580C" w14:paraId="47137121" w14:textId="77777777">
        <w:tc>
          <w:tcPr>
            <w:tcW w:w="0" w:type="auto"/>
            <w:tcBorders>
              <w:top w:val="single" w:sz="4" w:space="0" w:color="000000"/>
              <w:left w:val="single" w:sz="4" w:space="0" w:color="000000"/>
              <w:bottom w:val="single" w:sz="4" w:space="0" w:color="000000"/>
              <w:right w:val="single" w:sz="4" w:space="0" w:color="000000"/>
            </w:tcBorders>
          </w:tcPr>
          <w:p w14:paraId="00BF7C9B" w14:textId="77777777" w:rsidR="00843FDA" w:rsidRPr="00C6580C" w:rsidRDefault="00843FDA" w:rsidP="00CD7CAC">
            <w:pPr>
              <w:widowControl/>
              <w:rPr>
                <w:kern w:val="0"/>
                <w:szCs w:val="22"/>
              </w:rPr>
            </w:pPr>
            <w:r w:rsidRPr="00C6580C">
              <w:rPr>
                <w:kern w:val="0"/>
                <w:szCs w:val="22"/>
              </w:rPr>
              <w:t>533a</w:t>
            </w:r>
          </w:p>
        </w:tc>
        <w:tc>
          <w:tcPr>
            <w:tcW w:w="0" w:type="auto"/>
            <w:tcBorders>
              <w:top w:val="single" w:sz="4" w:space="0" w:color="000000"/>
              <w:left w:val="single" w:sz="4" w:space="0" w:color="000000"/>
              <w:bottom w:val="single" w:sz="4" w:space="0" w:color="000000"/>
              <w:right w:val="single" w:sz="4" w:space="0" w:color="000000"/>
            </w:tcBorders>
          </w:tcPr>
          <w:p w14:paraId="4D1C05B3" w14:textId="77777777" w:rsidR="00843FDA" w:rsidRPr="00C6580C" w:rsidRDefault="00843FDA" w:rsidP="00CD7CAC">
            <w:pPr>
              <w:widowControl/>
              <w:jc w:val="right"/>
              <w:rPr>
                <w:kern w:val="0"/>
                <w:szCs w:val="22"/>
              </w:rPr>
            </w:pPr>
            <w:r w:rsidRPr="00C6580C">
              <w:rPr>
                <w:kern w:val="0"/>
                <w:szCs w:val="22"/>
              </w:rPr>
              <w:t>.5750</w:t>
            </w:r>
          </w:p>
        </w:tc>
      </w:tr>
      <w:tr w:rsidR="00843FDA" w:rsidRPr="00C6580C" w14:paraId="514627BD" w14:textId="77777777">
        <w:tc>
          <w:tcPr>
            <w:tcW w:w="0" w:type="auto"/>
            <w:tcBorders>
              <w:top w:val="single" w:sz="4" w:space="0" w:color="000000"/>
              <w:left w:val="single" w:sz="4" w:space="0" w:color="000000"/>
              <w:bottom w:val="single" w:sz="4" w:space="0" w:color="000000"/>
              <w:right w:val="single" w:sz="4" w:space="0" w:color="000000"/>
            </w:tcBorders>
          </w:tcPr>
          <w:p w14:paraId="4FE7E0C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DA6C0FB" w14:textId="77777777" w:rsidR="00843FDA" w:rsidRPr="00C6580C" w:rsidRDefault="00843FDA" w:rsidP="00CD7CAC">
            <w:pPr>
              <w:widowControl/>
              <w:jc w:val="center"/>
              <w:rPr>
                <w:szCs w:val="22"/>
              </w:rPr>
            </w:pPr>
            <w:r w:rsidRPr="00C6580C">
              <w:rPr>
                <w:kern w:val="0"/>
                <w:szCs w:val="22"/>
              </w:rPr>
              <w:t>* * *</w:t>
            </w:r>
          </w:p>
        </w:tc>
      </w:tr>
      <w:tr w:rsidR="00843FDA" w:rsidRPr="00C6580C" w14:paraId="48AB155A" w14:textId="77777777">
        <w:tc>
          <w:tcPr>
            <w:tcW w:w="0" w:type="auto"/>
            <w:tcBorders>
              <w:top w:val="single" w:sz="4" w:space="0" w:color="000000"/>
              <w:left w:val="single" w:sz="4" w:space="0" w:color="000000"/>
              <w:bottom w:val="single" w:sz="4" w:space="0" w:color="000000"/>
              <w:right w:val="single" w:sz="4" w:space="0" w:color="000000"/>
            </w:tcBorders>
          </w:tcPr>
          <w:p w14:paraId="0B6F4D3D" w14:textId="77777777" w:rsidR="00843FDA" w:rsidRPr="00C6580C" w:rsidRDefault="00843FDA" w:rsidP="00CD7CAC">
            <w:pPr>
              <w:widowControl/>
              <w:rPr>
                <w:kern w:val="0"/>
                <w:szCs w:val="22"/>
              </w:rPr>
            </w:pPr>
            <w:r w:rsidRPr="00C6580C">
              <w:rPr>
                <w:kern w:val="0"/>
                <w:szCs w:val="22"/>
              </w:rPr>
              <w:t>534a</w:t>
            </w:r>
          </w:p>
        </w:tc>
        <w:tc>
          <w:tcPr>
            <w:tcW w:w="0" w:type="auto"/>
            <w:tcBorders>
              <w:top w:val="single" w:sz="4" w:space="0" w:color="000000"/>
              <w:left w:val="single" w:sz="4" w:space="0" w:color="000000"/>
              <w:bottom w:val="single" w:sz="4" w:space="0" w:color="000000"/>
              <w:right w:val="single" w:sz="4" w:space="0" w:color="000000"/>
            </w:tcBorders>
          </w:tcPr>
          <w:p w14:paraId="47F2CCE4" w14:textId="77777777" w:rsidR="00843FDA" w:rsidRPr="00C6580C" w:rsidRDefault="00843FDA" w:rsidP="00CD7CAC">
            <w:pPr>
              <w:widowControl/>
              <w:jc w:val="right"/>
              <w:rPr>
                <w:kern w:val="0"/>
                <w:szCs w:val="22"/>
              </w:rPr>
            </w:pPr>
            <w:r w:rsidRPr="00C6580C">
              <w:rPr>
                <w:kern w:val="0"/>
                <w:szCs w:val="22"/>
              </w:rPr>
              <w:t>.6000</w:t>
            </w:r>
          </w:p>
        </w:tc>
      </w:tr>
      <w:tr w:rsidR="00843FDA" w:rsidRPr="00C6580C" w14:paraId="71F82852" w14:textId="77777777">
        <w:tc>
          <w:tcPr>
            <w:tcW w:w="0" w:type="auto"/>
            <w:tcBorders>
              <w:top w:val="single" w:sz="4" w:space="0" w:color="000000"/>
              <w:left w:val="single" w:sz="4" w:space="0" w:color="000000"/>
              <w:bottom w:val="single" w:sz="4" w:space="0" w:color="000000"/>
              <w:right w:val="single" w:sz="4" w:space="0" w:color="000000"/>
            </w:tcBorders>
          </w:tcPr>
          <w:p w14:paraId="665F0552"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65BFCA5" w14:textId="77777777" w:rsidR="00843FDA" w:rsidRPr="00C6580C" w:rsidRDefault="00843FDA" w:rsidP="00CD7CAC">
            <w:pPr>
              <w:widowControl/>
              <w:jc w:val="center"/>
              <w:rPr>
                <w:szCs w:val="22"/>
              </w:rPr>
            </w:pPr>
            <w:r w:rsidRPr="00C6580C">
              <w:rPr>
                <w:kern w:val="0"/>
                <w:szCs w:val="22"/>
              </w:rPr>
              <w:t>* * *</w:t>
            </w:r>
          </w:p>
        </w:tc>
      </w:tr>
      <w:tr w:rsidR="00843FDA" w:rsidRPr="00C6580C" w14:paraId="72ADD19E" w14:textId="77777777">
        <w:tc>
          <w:tcPr>
            <w:tcW w:w="0" w:type="auto"/>
            <w:tcBorders>
              <w:top w:val="single" w:sz="4" w:space="0" w:color="000000"/>
              <w:left w:val="single" w:sz="4" w:space="0" w:color="000000"/>
              <w:bottom w:val="single" w:sz="4" w:space="0" w:color="000000"/>
              <w:right w:val="single" w:sz="4" w:space="0" w:color="000000"/>
            </w:tcBorders>
          </w:tcPr>
          <w:p w14:paraId="582FBE95" w14:textId="77777777" w:rsidR="00843FDA" w:rsidRPr="00C6580C" w:rsidRDefault="00843FDA" w:rsidP="00CD7CAC">
            <w:pPr>
              <w:widowControl/>
              <w:rPr>
                <w:kern w:val="0"/>
                <w:szCs w:val="22"/>
              </w:rPr>
            </w:pPr>
            <w:r w:rsidRPr="00C6580C">
              <w:rPr>
                <w:kern w:val="0"/>
                <w:szCs w:val="22"/>
              </w:rPr>
              <w:t>535a</w:t>
            </w:r>
          </w:p>
        </w:tc>
        <w:tc>
          <w:tcPr>
            <w:tcW w:w="0" w:type="auto"/>
            <w:tcBorders>
              <w:top w:val="single" w:sz="4" w:space="0" w:color="000000"/>
              <w:left w:val="single" w:sz="4" w:space="0" w:color="000000"/>
              <w:bottom w:val="single" w:sz="4" w:space="0" w:color="000000"/>
              <w:right w:val="single" w:sz="4" w:space="0" w:color="000000"/>
            </w:tcBorders>
          </w:tcPr>
          <w:p w14:paraId="3AAF5071" w14:textId="77777777" w:rsidR="00843FDA" w:rsidRPr="00C6580C" w:rsidRDefault="00843FDA" w:rsidP="00CD7CAC">
            <w:pPr>
              <w:widowControl/>
              <w:jc w:val="right"/>
              <w:rPr>
                <w:kern w:val="0"/>
                <w:szCs w:val="22"/>
              </w:rPr>
            </w:pPr>
            <w:r w:rsidRPr="00C6580C">
              <w:rPr>
                <w:kern w:val="0"/>
                <w:szCs w:val="22"/>
              </w:rPr>
              <w:t>.6250</w:t>
            </w:r>
          </w:p>
        </w:tc>
      </w:tr>
      <w:tr w:rsidR="00843FDA" w:rsidRPr="00C6580C" w14:paraId="19091442" w14:textId="77777777">
        <w:tc>
          <w:tcPr>
            <w:tcW w:w="0" w:type="auto"/>
            <w:tcBorders>
              <w:top w:val="single" w:sz="4" w:space="0" w:color="000000"/>
              <w:left w:val="single" w:sz="4" w:space="0" w:color="000000"/>
              <w:bottom w:val="single" w:sz="4" w:space="0" w:color="000000"/>
              <w:right w:val="single" w:sz="4" w:space="0" w:color="000000"/>
            </w:tcBorders>
          </w:tcPr>
          <w:p w14:paraId="114FA10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6E20C92" w14:textId="77777777" w:rsidR="00843FDA" w:rsidRPr="00C6580C" w:rsidRDefault="00843FDA" w:rsidP="00CD7CAC">
            <w:pPr>
              <w:widowControl/>
              <w:jc w:val="center"/>
              <w:rPr>
                <w:szCs w:val="22"/>
              </w:rPr>
            </w:pPr>
            <w:r w:rsidRPr="00C6580C">
              <w:rPr>
                <w:kern w:val="0"/>
                <w:szCs w:val="22"/>
              </w:rPr>
              <w:t>* * *</w:t>
            </w:r>
          </w:p>
        </w:tc>
      </w:tr>
      <w:tr w:rsidR="00843FDA" w:rsidRPr="00C6580C" w14:paraId="613E7EE5" w14:textId="77777777">
        <w:tc>
          <w:tcPr>
            <w:tcW w:w="0" w:type="auto"/>
            <w:tcBorders>
              <w:top w:val="single" w:sz="4" w:space="0" w:color="000000"/>
              <w:left w:val="single" w:sz="4" w:space="0" w:color="000000"/>
              <w:bottom w:val="single" w:sz="4" w:space="0" w:color="000000"/>
              <w:right w:val="single" w:sz="4" w:space="0" w:color="000000"/>
            </w:tcBorders>
          </w:tcPr>
          <w:p w14:paraId="0C5AEBF1" w14:textId="77777777" w:rsidR="00843FDA" w:rsidRPr="00C6580C" w:rsidRDefault="00843FDA" w:rsidP="00CD7CAC">
            <w:pPr>
              <w:widowControl/>
              <w:rPr>
                <w:kern w:val="0"/>
                <w:szCs w:val="22"/>
              </w:rPr>
            </w:pPr>
            <w:r w:rsidRPr="00C6580C">
              <w:rPr>
                <w:kern w:val="0"/>
                <w:szCs w:val="22"/>
              </w:rPr>
              <w:t>536a</w:t>
            </w:r>
          </w:p>
        </w:tc>
        <w:tc>
          <w:tcPr>
            <w:tcW w:w="0" w:type="auto"/>
            <w:tcBorders>
              <w:top w:val="single" w:sz="4" w:space="0" w:color="000000"/>
              <w:left w:val="single" w:sz="4" w:space="0" w:color="000000"/>
              <w:bottom w:val="single" w:sz="4" w:space="0" w:color="000000"/>
              <w:right w:val="single" w:sz="4" w:space="0" w:color="000000"/>
            </w:tcBorders>
          </w:tcPr>
          <w:p w14:paraId="171A265D" w14:textId="77777777" w:rsidR="00843FDA" w:rsidRPr="00C6580C" w:rsidRDefault="00843FDA" w:rsidP="00CD7CAC">
            <w:pPr>
              <w:widowControl/>
              <w:jc w:val="right"/>
              <w:rPr>
                <w:kern w:val="0"/>
                <w:szCs w:val="22"/>
              </w:rPr>
            </w:pPr>
            <w:r w:rsidRPr="00C6580C">
              <w:rPr>
                <w:kern w:val="0"/>
                <w:szCs w:val="22"/>
              </w:rPr>
              <w:t>.6500</w:t>
            </w:r>
          </w:p>
        </w:tc>
      </w:tr>
      <w:tr w:rsidR="00843FDA" w:rsidRPr="00C6580C" w14:paraId="5B5BCED0" w14:textId="77777777">
        <w:tc>
          <w:tcPr>
            <w:tcW w:w="0" w:type="auto"/>
            <w:tcBorders>
              <w:top w:val="single" w:sz="4" w:space="0" w:color="000000"/>
              <w:left w:val="single" w:sz="4" w:space="0" w:color="000000"/>
              <w:bottom w:val="single" w:sz="4" w:space="0" w:color="000000"/>
              <w:right w:val="single" w:sz="4" w:space="0" w:color="000000"/>
            </w:tcBorders>
          </w:tcPr>
          <w:p w14:paraId="3597117A"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F863994" w14:textId="77777777" w:rsidR="00843FDA" w:rsidRPr="00C6580C" w:rsidRDefault="00843FDA" w:rsidP="00CD7CAC">
            <w:pPr>
              <w:widowControl/>
              <w:jc w:val="center"/>
              <w:rPr>
                <w:szCs w:val="22"/>
              </w:rPr>
            </w:pPr>
            <w:r w:rsidRPr="00C6580C">
              <w:rPr>
                <w:kern w:val="0"/>
                <w:szCs w:val="22"/>
              </w:rPr>
              <w:t>* * *</w:t>
            </w:r>
          </w:p>
        </w:tc>
      </w:tr>
      <w:tr w:rsidR="00843FDA" w:rsidRPr="00C6580C" w14:paraId="000EF7D6" w14:textId="77777777">
        <w:tc>
          <w:tcPr>
            <w:tcW w:w="0" w:type="auto"/>
            <w:tcBorders>
              <w:top w:val="single" w:sz="4" w:space="0" w:color="000000"/>
              <w:left w:val="single" w:sz="4" w:space="0" w:color="000000"/>
              <w:bottom w:val="single" w:sz="4" w:space="0" w:color="000000"/>
              <w:right w:val="single" w:sz="4" w:space="0" w:color="000000"/>
            </w:tcBorders>
          </w:tcPr>
          <w:p w14:paraId="6C19D8B4" w14:textId="77777777" w:rsidR="00843FDA" w:rsidRPr="00C6580C" w:rsidRDefault="00843FDA" w:rsidP="00CD7CAC">
            <w:pPr>
              <w:widowControl/>
              <w:rPr>
                <w:kern w:val="0"/>
                <w:szCs w:val="22"/>
              </w:rPr>
            </w:pPr>
            <w:r w:rsidRPr="00C6580C">
              <w:rPr>
                <w:kern w:val="0"/>
                <w:szCs w:val="22"/>
              </w:rPr>
              <w:t>537a</w:t>
            </w:r>
          </w:p>
        </w:tc>
        <w:tc>
          <w:tcPr>
            <w:tcW w:w="0" w:type="auto"/>
            <w:tcBorders>
              <w:top w:val="single" w:sz="4" w:space="0" w:color="000000"/>
              <w:left w:val="single" w:sz="4" w:space="0" w:color="000000"/>
              <w:bottom w:val="single" w:sz="4" w:space="0" w:color="000000"/>
              <w:right w:val="single" w:sz="4" w:space="0" w:color="000000"/>
            </w:tcBorders>
          </w:tcPr>
          <w:p w14:paraId="369B54BF" w14:textId="77777777" w:rsidR="00843FDA" w:rsidRPr="00C6580C" w:rsidRDefault="00843FDA" w:rsidP="00CD7CAC">
            <w:pPr>
              <w:widowControl/>
              <w:jc w:val="right"/>
              <w:rPr>
                <w:kern w:val="0"/>
                <w:szCs w:val="22"/>
              </w:rPr>
            </w:pPr>
            <w:r w:rsidRPr="00C6580C">
              <w:rPr>
                <w:kern w:val="0"/>
                <w:szCs w:val="22"/>
              </w:rPr>
              <w:t>.6750</w:t>
            </w:r>
          </w:p>
        </w:tc>
      </w:tr>
      <w:tr w:rsidR="00843FDA" w:rsidRPr="00C6580C" w14:paraId="0DA4FCC6" w14:textId="77777777">
        <w:tc>
          <w:tcPr>
            <w:tcW w:w="0" w:type="auto"/>
            <w:tcBorders>
              <w:top w:val="single" w:sz="4" w:space="0" w:color="000000"/>
              <w:left w:val="single" w:sz="4" w:space="0" w:color="000000"/>
              <w:bottom w:val="single" w:sz="4" w:space="0" w:color="000000"/>
              <w:right w:val="single" w:sz="4" w:space="0" w:color="000000"/>
            </w:tcBorders>
          </w:tcPr>
          <w:p w14:paraId="5946750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F056948" w14:textId="77777777" w:rsidR="00843FDA" w:rsidRPr="00C6580C" w:rsidRDefault="00843FDA" w:rsidP="00CD7CAC">
            <w:pPr>
              <w:widowControl/>
              <w:jc w:val="center"/>
              <w:rPr>
                <w:szCs w:val="22"/>
              </w:rPr>
            </w:pPr>
            <w:r w:rsidRPr="00C6580C">
              <w:rPr>
                <w:kern w:val="0"/>
                <w:szCs w:val="22"/>
              </w:rPr>
              <w:t>* * *</w:t>
            </w:r>
          </w:p>
        </w:tc>
      </w:tr>
      <w:tr w:rsidR="00843FDA" w:rsidRPr="00C6580C" w14:paraId="3922B079" w14:textId="77777777">
        <w:tc>
          <w:tcPr>
            <w:tcW w:w="0" w:type="auto"/>
            <w:tcBorders>
              <w:top w:val="single" w:sz="4" w:space="0" w:color="000000"/>
              <w:left w:val="single" w:sz="4" w:space="0" w:color="000000"/>
              <w:bottom w:val="single" w:sz="4" w:space="0" w:color="000000"/>
              <w:right w:val="single" w:sz="4" w:space="0" w:color="000000"/>
            </w:tcBorders>
          </w:tcPr>
          <w:p w14:paraId="0D81F719" w14:textId="77777777" w:rsidR="00843FDA" w:rsidRPr="00C6580C" w:rsidRDefault="00843FDA" w:rsidP="00CD7CAC">
            <w:pPr>
              <w:widowControl/>
              <w:rPr>
                <w:kern w:val="0"/>
                <w:szCs w:val="22"/>
              </w:rPr>
            </w:pPr>
            <w:r w:rsidRPr="00C6580C">
              <w:rPr>
                <w:kern w:val="0"/>
                <w:szCs w:val="22"/>
              </w:rPr>
              <w:t>538a</w:t>
            </w:r>
          </w:p>
        </w:tc>
        <w:tc>
          <w:tcPr>
            <w:tcW w:w="0" w:type="auto"/>
            <w:tcBorders>
              <w:top w:val="single" w:sz="4" w:space="0" w:color="000000"/>
              <w:left w:val="single" w:sz="4" w:space="0" w:color="000000"/>
              <w:bottom w:val="single" w:sz="4" w:space="0" w:color="000000"/>
              <w:right w:val="single" w:sz="4" w:space="0" w:color="000000"/>
            </w:tcBorders>
          </w:tcPr>
          <w:p w14:paraId="4DF13247" w14:textId="77777777" w:rsidR="00843FDA" w:rsidRPr="00C6580C" w:rsidRDefault="00843FDA" w:rsidP="00CD7CAC">
            <w:pPr>
              <w:widowControl/>
              <w:jc w:val="right"/>
              <w:rPr>
                <w:kern w:val="0"/>
                <w:szCs w:val="22"/>
              </w:rPr>
            </w:pPr>
            <w:r w:rsidRPr="00C6580C">
              <w:rPr>
                <w:kern w:val="0"/>
                <w:szCs w:val="22"/>
              </w:rPr>
              <w:t>.7000</w:t>
            </w:r>
          </w:p>
        </w:tc>
      </w:tr>
      <w:tr w:rsidR="00843FDA" w:rsidRPr="00C6580C" w14:paraId="4E8409B1" w14:textId="77777777">
        <w:tc>
          <w:tcPr>
            <w:tcW w:w="0" w:type="auto"/>
            <w:tcBorders>
              <w:top w:val="single" w:sz="4" w:space="0" w:color="000000"/>
              <w:left w:val="single" w:sz="4" w:space="0" w:color="000000"/>
              <w:bottom w:val="single" w:sz="4" w:space="0" w:color="000000"/>
              <w:right w:val="single" w:sz="4" w:space="0" w:color="000000"/>
            </w:tcBorders>
          </w:tcPr>
          <w:p w14:paraId="02D8F444"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81F942B" w14:textId="77777777" w:rsidR="00843FDA" w:rsidRPr="00C6580C" w:rsidRDefault="00843FDA" w:rsidP="00CD7CAC">
            <w:pPr>
              <w:widowControl/>
              <w:jc w:val="center"/>
              <w:rPr>
                <w:szCs w:val="22"/>
              </w:rPr>
            </w:pPr>
            <w:r w:rsidRPr="00C6580C">
              <w:rPr>
                <w:kern w:val="0"/>
                <w:szCs w:val="22"/>
              </w:rPr>
              <w:t>* * *</w:t>
            </w:r>
          </w:p>
        </w:tc>
      </w:tr>
      <w:tr w:rsidR="00843FDA" w:rsidRPr="00C6580C" w14:paraId="119495BB" w14:textId="77777777">
        <w:tc>
          <w:tcPr>
            <w:tcW w:w="0" w:type="auto"/>
            <w:tcBorders>
              <w:top w:val="single" w:sz="4" w:space="0" w:color="000000"/>
              <w:left w:val="single" w:sz="4" w:space="0" w:color="000000"/>
              <w:bottom w:val="single" w:sz="4" w:space="0" w:color="000000"/>
              <w:right w:val="single" w:sz="4" w:space="0" w:color="000000"/>
            </w:tcBorders>
          </w:tcPr>
          <w:p w14:paraId="3A74B480" w14:textId="77777777" w:rsidR="00843FDA" w:rsidRPr="00C6580C" w:rsidRDefault="00843FDA" w:rsidP="00CD7CAC">
            <w:pPr>
              <w:widowControl/>
              <w:rPr>
                <w:kern w:val="0"/>
                <w:szCs w:val="22"/>
              </w:rPr>
            </w:pPr>
            <w:r w:rsidRPr="00C6580C">
              <w:rPr>
                <w:kern w:val="0"/>
                <w:szCs w:val="22"/>
              </w:rPr>
              <w:t>539a</w:t>
            </w:r>
          </w:p>
        </w:tc>
        <w:tc>
          <w:tcPr>
            <w:tcW w:w="0" w:type="auto"/>
            <w:tcBorders>
              <w:top w:val="single" w:sz="4" w:space="0" w:color="000000"/>
              <w:left w:val="single" w:sz="4" w:space="0" w:color="000000"/>
              <w:bottom w:val="single" w:sz="4" w:space="0" w:color="000000"/>
              <w:right w:val="single" w:sz="4" w:space="0" w:color="000000"/>
            </w:tcBorders>
          </w:tcPr>
          <w:p w14:paraId="2A3D6D3D" w14:textId="77777777" w:rsidR="00843FDA" w:rsidRPr="00C6580C" w:rsidRDefault="00843FDA" w:rsidP="00CD7CAC">
            <w:pPr>
              <w:widowControl/>
              <w:jc w:val="right"/>
              <w:rPr>
                <w:kern w:val="0"/>
                <w:szCs w:val="22"/>
              </w:rPr>
            </w:pPr>
            <w:r w:rsidRPr="00C6580C">
              <w:rPr>
                <w:kern w:val="0"/>
                <w:szCs w:val="22"/>
              </w:rPr>
              <w:t>.7250</w:t>
            </w:r>
          </w:p>
        </w:tc>
      </w:tr>
      <w:tr w:rsidR="00843FDA" w:rsidRPr="00C6580C" w14:paraId="00FADB28" w14:textId="77777777">
        <w:tc>
          <w:tcPr>
            <w:tcW w:w="0" w:type="auto"/>
            <w:tcBorders>
              <w:top w:val="single" w:sz="4" w:space="0" w:color="000000"/>
              <w:left w:val="single" w:sz="4" w:space="0" w:color="000000"/>
              <w:bottom w:val="single" w:sz="4" w:space="0" w:color="000000"/>
              <w:right w:val="single" w:sz="4" w:space="0" w:color="000000"/>
            </w:tcBorders>
          </w:tcPr>
          <w:p w14:paraId="0C40CEE0"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D4D13BC" w14:textId="77777777" w:rsidR="00843FDA" w:rsidRPr="00C6580C" w:rsidRDefault="00843FDA" w:rsidP="00CD7CAC">
            <w:pPr>
              <w:widowControl/>
              <w:jc w:val="center"/>
              <w:rPr>
                <w:szCs w:val="22"/>
              </w:rPr>
            </w:pPr>
            <w:r w:rsidRPr="00C6580C">
              <w:rPr>
                <w:kern w:val="0"/>
                <w:szCs w:val="22"/>
              </w:rPr>
              <w:t>* * *</w:t>
            </w:r>
          </w:p>
        </w:tc>
      </w:tr>
      <w:tr w:rsidR="00843FDA" w:rsidRPr="00C6580C" w14:paraId="64A5101F" w14:textId="77777777">
        <w:tc>
          <w:tcPr>
            <w:tcW w:w="0" w:type="auto"/>
            <w:tcBorders>
              <w:top w:val="single" w:sz="4" w:space="0" w:color="000000"/>
              <w:left w:val="single" w:sz="4" w:space="0" w:color="000000"/>
              <w:bottom w:val="single" w:sz="4" w:space="0" w:color="000000"/>
              <w:right w:val="single" w:sz="4" w:space="0" w:color="000000"/>
            </w:tcBorders>
          </w:tcPr>
          <w:p w14:paraId="32B6486D" w14:textId="77777777" w:rsidR="00843FDA" w:rsidRPr="00C6580C" w:rsidRDefault="00843FDA" w:rsidP="00CD7CAC">
            <w:pPr>
              <w:widowControl/>
              <w:rPr>
                <w:kern w:val="0"/>
                <w:szCs w:val="22"/>
              </w:rPr>
            </w:pPr>
            <w:r w:rsidRPr="00C6580C">
              <w:rPr>
                <w:kern w:val="0"/>
                <w:szCs w:val="22"/>
              </w:rPr>
              <w:t>540a</w:t>
            </w:r>
          </w:p>
        </w:tc>
        <w:tc>
          <w:tcPr>
            <w:tcW w:w="0" w:type="auto"/>
            <w:tcBorders>
              <w:top w:val="single" w:sz="4" w:space="0" w:color="000000"/>
              <w:left w:val="single" w:sz="4" w:space="0" w:color="000000"/>
              <w:bottom w:val="single" w:sz="4" w:space="0" w:color="000000"/>
              <w:right w:val="single" w:sz="4" w:space="0" w:color="000000"/>
            </w:tcBorders>
          </w:tcPr>
          <w:p w14:paraId="16054E99" w14:textId="77777777" w:rsidR="00843FDA" w:rsidRPr="00C6580C" w:rsidRDefault="00843FDA" w:rsidP="00CD7CAC">
            <w:pPr>
              <w:widowControl/>
              <w:jc w:val="right"/>
              <w:rPr>
                <w:kern w:val="0"/>
                <w:szCs w:val="22"/>
              </w:rPr>
            </w:pPr>
            <w:r w:rsidRPr="00C6580C">
              <w:rPr>
                <w:kern w:val="0"/>
                <w:szCs w:val="22"/>
              </w:rPr>
              <w:t>.7500</w:t>
            </w:r>
          </w:p>
        </w:tc>
      </w:tr>
      <w:tr w:rsidR="00843FDA" w:rsidRPr="00C6580C" w14:paraId="12FF02A8" w14:textId="77777777">
        <w:tc>
          <w:tcPr>
            <w:tcW w:w="0" w:type="auto"/>
            <w:tcBorders>
              <w:top w:val="single" w:sz="4" w:space="0" w:color="000000"/>
              <w:left w:val="single" w:sz="4" w:space="0" w:color="000000"/>
              <w:bottom w:val="single" w:sz="4" w:space="0" w:color="000000"/>
              <w:right w:val="single" w:sz="4" w:space="0" w:color="000000"/>
            </w:tcBorders>
          </w:tcPr>
          <w:p w14:paraId="2B6850DD"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BF2F71D" w14:textId="77777777" w:rsidR="00843FDA" w:rsidRPr="00C6580C" w:rsidRDefault="00843FDA" w:rsidP="00CD7CAC">
            <w:pPr>
              <w:widowControl/>
              <w:jc w:val="center"/>
              <w:rPr>
                <w:szCs w:val="22"/>
              </w:rPr>
            </w:pPr>
            <w:r w:rsidRPr="00C6580C">
              <w:rPr>
                <w:kern w:val="0"/>
                <w:szCs w:val="22"/>
              </w:rPr>
              <w:t>* * *</w:t>
            </w:r>
          </w:p>
        </w:tc>
      </w:tr>
      <w:tr w:rsidR="00843FDA" w:rsidRPr="00C6580C" w14:paraId="2D63D810" w14:textId="77777777">
        <w:tc>
          <w:tcPr>
            <w:tcW w:w="0" w:type="auto"/>
            <w:tcBorders>
              <w:top w:val="single" w:sz="4" w:space="0" w:color="000000"/>
              <w:left w:val="single" w:sz="4" w:space="0" w:color="000000"/>
              <w:bottom w:val="single" w:sz="4" w:space="0" w:color="000000"/>
              <w:right w:val="single" w:sz="4" w:space="0" w:color="000000"/>
            </w:tcBorders>
          </w:tcPr>
          <w:p w14:paraId="5C15A8D1" w14:textId="77777777" w:rsidR="00843FDA" w:rsidRPr="00C6580C" w:rsidRDefault="00843FDA" w:rsidP="00CD7CAC">
            <w:pPr>
              <w:widowControl/>
              <w:rPr>
                <w:kern w:val="0"/>
                <w:szCs w:val="22"/>
              </w:rPr>
            </w:pPr>
            <w:r w:rsidRPr="00C6580C">
              <w:rPr>
                <w:kern w:val="0"/>
                <w:szCs w:val="22"/>
              </w:rPr>
              <w:t>541a</w:t>
            </w:r>
          </w:p>
        </w:tc>
        <w:tc>
          <w:tcPr>
            <w:tcW w:w="0" w:type="auto"/>
            <w:tcBorders>
              <w:top w:val="single" w:sz="4" w:space="0" w:color="000000"/>
              <w:left w:val="single" w:sz="4" w:space="0" w:color="000000"/>
              <w:bottom w:val="single" w:sz="4" w:space="0" w:color="000000"/>
              <w:right w:val="single" w:sz="4" w:space="0" w:color="000000"/>
            </w:tcBorders>
          </w:tcPr>
          <w:p w14:paraId="45FA4632" w14:textId="77777777" w:rsidR="00843FDA" w:rsidRPr="00C6580C" w:rsidRDefault="00843FDA" w:rsidP="00CD7CAC">
            <w:pPr>
              <w:widowControl/>
              <w:jc w:val="right"/>
              <w:rPr>
                <w:kern w:val="0"/>
                <w:szCs w:val="22"/>
              </w:rPr>
            </w:pPr>
            <w:r w:rsidRPr="00C6580C">
              <w:rPr>
                <w:kern w:val="0"/>
                <w:szCs w:val="22"/>
              </w:rPr>
              <w:t>.7750</w:t>
            </w:r>
          </w:p>
        </w:tc>
      </w:tr>
      <w:tr w:rsidR="00843FDA" w:rsidRPr="00C6580C" w14:paraId="057B627E" w14:textId="77777777">
        <w:tc>
          <w:tcPr>
            <w:tcW w:w="0" w:type="auto"/>
            <w:tcBorders>
              <w:top w:val="single" w:sz="4" w:space="0" w:color="000000"/>
              <w:left w:val="single" w:sz="4" w:space="0" w:color="000000"/>
              <w:bottom w:val="single" w:sz="4" w:space="0" w:color="000000"/>
              <w:right w:val="single" w:sz="4" w:space="0" w:color="000000"/>
            </w:tcBorders>
          </w:tcPr>
          <w:p w14:paraId="6A64A6DE"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262704F" w14:textId="77777777" w:rsidR="00843FDA" w:rsidRPr="00C6580C" w:rsidRDefault="00843FDA" w:rsidP="00CD7CAC">
            <w:pPr>
              <w:widowControl/>
              <w:jc w:val="center"/>
              <w:rPr>
                <w:szCs w:val="22"/>
              </w:rPr>
            </w:pPr>
            <w:r w:rsidRPr="00C6580C">
              <w:rPr>
                <w:kern w:val="0"/>
                <w:szCs w:val="22"/>
              </w:rPr>
              <w:t>* * *</w:t>
            </w:r>
          </w:p>
        </w:tc>
      </w:tr>
      <w:tr w:rsidR="00843FDA" w:rsidRPr="00C6580C" w14:paraId="34801392" w14:textId="77777777">
        <w:tc>
          <w:tcPr>
            <w:tcW w:w="0" w:type="auto"/>
            <w:tcBorders>
              <w:top w:val="single" w:sz="4" w:space="0" w:color="000000"/>
              <w:left w:val="single" w:sz="4" w:space="0" w:color="000000"/>
              <w:bottom w:val="single" w:sz="4" w:space="0" w:color="000000"/>
              <w:right w:val="single" w:sz="4" w:space="0" w:color="000000"/>
            </w:tcBorders>
          </w:tcPr>
          <w:p w14:paraId="697E1C71" w14:textId="77777777" w:rsidR="00843FDA" w:rsidRPr="00C6580C" w:rsidRDefault="00843FDA" w:rsidP="00CD7CAC">
            <w:pPr>
              <w:widowControl/>
              <w:rPr>
                <w:kern w:val="0"/>
                <w:szCs w:val="22"/>
              </w:rPr>
            </w:pPr>
            <w:r w:rsidRPr="00C6580C">
              <w:rPr>
                <w:kern w:val="0"/>
                <w:szCs w:val="22"/>
              </w:rPr>
              <w:t>542a</w:t>
            </w:r>
          </w:p>
        </w:tc>
        <w:tc>
          <w:tcPr>
            <w:tcW w:w="0" w:type="auto"/>
            <w:tcBorders>
              <w:top w:val="single" w:sz="4" w:space="0" w:color="000000"/>
              <w:left w:val="single" w:sz="4" w:space="0" w:color="000000"/>
              <w:bottom w:val="single" w:sz="4" w:space="0" w:color="000000"/>
              <w:right w:val="single" w:sz="4" w:space="0" w:color="000000"/>
            </w:tcBorders>
          </w:tcPr>
          <w:p w14:paraId="2615FC62" w14:textId="77777777" w:rsidR="00843FDA" w:rsidRPr="00C6580C" w:rsidRDefault="00843FDA" w:rsidP="00CD7CAC">
            <w:pPr>
              <w:widowControl/>
              <w:jc w:val="right"/>
              <w:rPr>
                <w:kern w:val="0"/>
                <w:szCs w:val="22"/>
              </w:rPr>
            </w:pPr>
            <w:r w:rsidRPr="00C6580C">
              <w:rPr>
                <w:kern w:val="0"/>
                <w:szCs w:val="22"/>
              </w:rPr>
              <w:t>.8000</w:t>
            </w:r>
          </w:p>
        </w:tc>
      </w:tr>
      <w:tr w:rsidR="00843FDA" w:rsidRPr="00C6580C" w14:paraId="131D19BE" w14:textId="77777777">
        <w:tc>
          <w:tcPr>
            <w:tcW w:w="0" w:type="auto"/>
            <w:tcBorders>
              <w:top w:val="single" w:sz="4" w:space="0" w:color="000000"/>
              <w:left w:val="single" w:sz="4" w:space="0" w:color="000000"/>
              <w:bottom w:val="single" w:sz="4" w:space="0" w:color="000000"/>
              <w:right w:val="single" w:sz="4" w:space="0" w:color="000000"/>
            </w:tcBorders>
          </w:tcPr>
          <w:p w14:paraId="307B84F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DA87855" w14:textId="77777777" w:rsidR="00843FDA" w:rsidRPr="00C6580C" w:rsidRDefault="00843FDA" w:rsidP="00CD7CAC">
            <w:pPr>
              <w:widowControl/>
              <w:jc w:val="center"/>
              <w:rPr>
                <w:szCs w:val="22"/>
              </w:rPr>
            </w:pPr>
            <w:r w:rsidRPr="00C6580C">
              <w:rPr>
                <w:kern w:val="0"/>
                <w:szCs w:val="22"/>
              </w:rPr>
              <w:t>* * *</w:t>
            </w:r>
          </w:p>
        </w:tc>
      </w:tr>
      <w:tr w:rsidR="00843FDA" w:rsidRPr="00C6580C" w14:paraId="086F2C6C" w14:textId="77777777">
        <w:tc>
          <w:tcPr>
            <w:tcW w:w="0" w:type="auto"/>
            <w:tcBorders>
              <w:top w:val="single" w:sz="4" w:space="0" w:color="000000"/>
              <w:left w:val="single" w:sz="4" w:space="0" w:color="000000"/>
              <w:bottom w:val="single" w:sz="4" w:space="0" w:color="000000"/>
              <w:right w:val="single" w:sz="4" w:space="0" w:color="000000"/>
            </w:tcBorders>
          </w:tcPr>
          <w:p w14:paraId="5E713EBA" w14:textId="77777777" w:rsidR="00843FDA" w:rsidRPr="00C6580C" w:rsidRDefault="00843FDA" w:rsidP="00CD7CAC">
            <w:pPr>
              <w:widowControl/>
              <w:rPr>
                <w:kern w:val="0"/>
                <w:szCs w:val="22"/>
              </w:rPr>
            </w:pPr>
            <w:r w:rsidRPr="00C6580C">
              <w:rPr>
                <w:kern w:val="0"/>
                <w:szCs w:val="22"/>
              </w:rPr>
              <w:t>543a</w:t>
            </w:r>
          </w:p>
        </w:tc>
        <w:tc>
          <w:tcPr>
            <w:tcW w:w="0" w:type="auto"/>
            <w:tcBorders>
              <w:top w:val="single" w:sz="4" w:space="0" w:color="000000"/>
              <w:left w:val="single" w:sz="4" w:space="0" w:color="000000"/>
              <w:bottom w:val="single" w:sz="4" w:space="0" w:color="000000"/>
              <w:right w:val="single" w:sz="4" w:space="0" w:color="000000"/>
            </w:tcBorders>
          </w:tcPr>
          <w:p w14:paraId="398041F5" w14:textId="77777777" w:rsidR="00843FDA" w:rsidRPr="00C6580C" w:rsidRDefault="00843FDA" w:rsidP="00CD7CAC">
            <w:pPr>
              <w:widowControl/>
              <w:jc w:val="right"/>
              <w:rPr>
                <w:kern w:val="0"/>
                <w:szCs w:val="22"/>
              </w:rPr>
            </w:pPr>
            <w:r w:rsidRPr="00C6580C">
              <w:rPr>
                <w:kern w:val="0"/>
                <w:szCs w:val="22"/>
              </w:rPr>
              <w:t>.8250</w:t>
            </w:r>
          </w:p>
        </w:tc>
      </w:tr>
      <w:tr w:rsidR="00843FDA" w:rsidRPr="00C6580C" w14:paraId="0687ECF8" w14:textId="77777777">
        <w:tc>
          <w:tcPr>
            <w:tcW w:w="0" w:type="auto"/>
            <w:tcBorders>
              <w:top w:val="single" w:sz="4" w:space="0" w:color="000000"/>
              <w:left w:val="single" w:sz="4" w:space="0" w:color="000000"/>
              <w:bottom w:val="single" w:sz="4" w:space="0" w:color="000000"/>
              <w:right w:val="single" w:sz="4" w:space="0" w:color="000000"/>
            </w:tcBorders>
          </w:tcPr>
          <w:p w14:paraId="2C07EB99"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6E6278B" w14:textId="77777777" w:rsidR="00843FDA" w:rsidRPr="00C6580C" w:rsidRDefault="00843FDA" w:rsidP="00CD7CAC">
            <w:pPr>
              <w:widowControl/>
              <w:jc w:val="center"/>
              <w:rPr>
                <w:szCs w:val="22"/>
              </w:rPr>
            </w:pPr>
            <w:r w:rsidRPr="00C6580C">
              <w:rPr>
                <w:kern w:val="0"/>
                <w:szCs w:val="22"/>
              </w:rPr>
              <w:t>* * *</w:t>
            </w:r>
          </w:p>
        </w:tc>
      </w:tr>
      <w:tr w:rsidR="00843FDA" w:rsidRPr="00C6580C" w14:paraId="229BBF68" w14:textId="77777777">
        <w:tc>
          <w:tcPr>
            <w:tcW w:w="0" w:type="auto"/>
            <w:tcBorders>
              <w:top w:val="single" w:sz="4" w:space="0" w:color="000000"/>
              <w:left w:val="single" w:sz="4" w:space="0" w:color="000000"/>
              <w:bottom w:val="single" w:sz="4" w:space="0" w:color="000000"/>
              <w:right w:val="single" w:sz="4" w:space="0" w:color="000000"/>
            </w:tcBorders>
          </w:tcPr>
          <w:p w14:paraId="279AA808" w14:textId="77777777" w:rsidR="00843FDA" w:rsidRPr="00C6580C" w:rsidRDefault="00843FDA" w:rsidP="00CD7CAC">
            <w:pPr>
              <w:widowControl/>
              <w:rPr>
                <w:kern w:val="0"/>
                <w:szCs w:val="22"/>
              </w:rPr>
            </w:pPr>
            <w:r w:rsidRPr="00C6580C">
              <w:rPr>
                <w:kern w:val="0"/>
                <w:szCs w:val="22"/>
              </w:rPr>
              <w:t>544a</w:t>
            </w:r>
          </w:p>
        </w:tc>
        <w:tc>
          <w:tcPr>
            <w:tcW w:w="0" w:type="auto"/>
            <w:tcBorders>
              <w:top w:val="single" w:sz="4" w:space="0" w:color="000000"/>
              <w:left w:val="single" w:sz="4" w:space="0" w:color="000000"/>
              <w:bottom w:val="single" w:sz="4" w:space="0" w:color="000000"/>
              <w:right w:val="single" w:sz="4" w:space="0" w:color="000000"/>
            </w:tcBorders>
          </w:tcPr>
          <w:p w14:paraId="732D0EC0" w14:textId="77777777" w:rsidR="00843FDA" w:rsidRPr="00C6580C" w:rsidRDefault="00843FDA" w:rsidP="00CD7CAC">
            <w:pPr>
              <w:widowControl/>
              <w:jc w:val="right"/>
              <w:rPr>
                <w:kern w:val="0"/>
                <w:szCs w:val="22"/>
              </w:rPr>
            </w:pPr>
            <w:r w:rsidRPr="00C6580C">
              <w:rPr>
                <w:kern w:val="0"/>
                <w:szCs w:val="22"/>
              </w:rPr>
              <w:t>.8500</w:t>
            </w:r>
          </w:p>
        </w:tc>
      </w:tr>
      <w:tr w:rsidR="00843FDA" w:rsidRPr="00C6580C" w14:paraId="75249DE4" w14:textId="77777777">
        <w:tc>
          <w:tcPr>
            <w:tcW w:w="0" w:type="auto"/>
            <w:tcBorders>
              <w:top w:val="single" w:sz="4" w:space="0" w:color="000000"/>
              <w:left w:val="single" w:sz="4" w:space="0" w:color="000000"/>
              <w:bottom w:val="single" w:sz="4" w:space="0" w:color="000000"/>
              <w:right w:val="single" w:sz="4" w:space="0" w:color="000000"/>
            </w:tcBorders>
          </w:tcPr>
          <w:p w14:paraId="4C0AC2BC"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3DD8ADA" w14:textId="77777777" w:rsidR="00843FDA" w:rsidRPr="00C6580C" w:rsidRDefault="00843FDA" w:rsidP="00CD7CAC">
            <w:pPr>
              <w:widowControl/>
              <w:jc w:val="center"/>
              <w:rPr>
                <w:szCs w:val="22"/>
              </w:rPr>
            </w:pPr>
            <w:r w:rsidRPr="00C6580C">
              <w:rPr>
                <w:kern w:val="0"/>
                <w:szCs w:val="22"/>
              </w:rPr>
              <w:t>* * *</w:t>
            </w:r>
          </w:p>
        </w:tc>
      </w:tr>
      <w:tr w:rsidR="00843FDA" w:rsidRPr="00C6580C" w14:paraId="48704E0A" w14:textId="77777777">
        <w:tc>
          <w:tcPr>
            <w:tcW w:w="0" w:type="auto"/>
            <w:tcBorders>
              <w:top w:val="single" w:sz="4" w:space="0" w:color="000000"/>
              <w:left w:val="single" w:sz="4" w:space="0" w:color="000000"/>
              <w:bottom w:val="single" w:sz="4" w:space="0" w:color="000000"/>
              <w:right w:val="single" w:sz="4" w:space="0" w:color="000000"/>
            </w:tcBorders>
          </w:tcPr>
          <w:p w14:paraId="18CA25B9" w14:textId="77777777" w:rsidR="00843FDA" w:rsidRPr="00C6580C" w:rsidRDefault="00843FDA" w:rsidP="00CD7CAC">
            <w:pPr>
              <w:widowControl/>
              <w:rPr>
                <w:kern w:val="0"/>
                <w:szCs w:val="22"/>
              </w:rPr>
            </w:pPr>
            <w:r w:rsidRPr="00C6580C">
              <w:rPr>
                <w:kern w:val="0"/>
                <w:szCs w:val="22"/>
              </w:rPr>
              <w:t>545a</w:t>
            </w:r>
          </w:p>
        </w:tc>
        <w:tc>
          <w:tcPr>
            <w:tcW w:w="0" w:type="auto"/>
            <w:tcBorders>
              <w:top w:val="single" w:sz="4" w:space="0" w:color="000000"/>
              <w:left w:val="single" w:sz="4" w:space="0" w:color="000000"/>
              <w:bottom w:val="single" w:sz="4" w:space="0" w:color="000000"/>
              <w:right w:val="single" w:sz="4" w:space="0" w:color="000000"/>
            </w:tcBorders>
          </w:tcPr>
          <w:p w14:paraId="1E15E148" w14:textId="77777777" w:rsidR="00843FDA" w:rsidRPr="00C6580C" w:rsidRDefault="00843FDA" w:rsidP="00CD7CAC">
            <w:pPr>
              <w:widowControl/>
              <w:jc w:val="right"/>
              <w:rPr>
                <w:kern w:val="0"/>
                <w:szCs w:val="22"/>
              </w:rPr>
            </w:pPr>
            <w:r w:rsidRPr="00C6580C">
              <w:rPr>
                <w:kern w:val="0"/>
                <w:szCs w:val="22"/>
              </w:rPr>
              <w:t>.8750</w:t>
            </w:r>
          </w:p>
        </w:tc>
      </w:tr>
      <w:tr w:rsidR="00843FDA" w:rsidRPr="00C6580C" w14:paraId="2FE81548" w14:textId="77777777">
        <w:tc>
          <w:tcPr>
            <w:tcW w:w="0" w:type="auto"/>
            <w:tcBorders>
              <w:top w:val="single" w:sz="4" w:space="0" w:color="000000"/>
              <w:left w:val="single" w:sz="4" w:space="0" w:color="000000"/>
              <w:bottom w:val="single" w:sz="4" w:space="0" w:color="000000"/>
              <w:right w:val="single" w:sz="4" w:space="0" w:color="000000"/>
            </w:tcBorders>
          </w:tcPr>
          <w:p w14:paraId="176EA908"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B5751C1" w14:textId="77777777" w:rsidR="00843FDA" w:rsidRPr="00C6580C" w:rsidRDefault="00843FDA" w:rsidP="00CD7CAC">
            <w:pPr>
              <w:widowControl/>
              <w:jc w:val="center"/>
              <w:rPr>
                <w:szCs w:val="22"/>
              </w:rPr>
            </w:pPr>
            <w:r w:rsidRPr="00C6580C">
              <w:rPr>
                <w:kern w:val="0"/>
                <w:szCs w:val="22"/>
              </w:rPr>
              <w:t>* * *</w:t>
            </w:r>
          </w:p>
        </w:tc>
      </w:tr>
      <w:tr w:rsidR="00843FDA" w:rsidRPr="00C6580C" w14:paraId="0294CA26" w14:textId="77777777">
        <w:tc>
          <w:tcPr>
            <w:tcW w:w="0" w:type="auto"/>
            <w:tcBorders>
              <w:top w:val="single" w:sz="4" w:space="0" w:color="000000"/>
              <w:left w:val="single" w:sz="4" w:space="0" w:color="000000"/>
              <w:bottom w:val="single" w:sz="4" w:space="0" w:color="000000"/>
              <w:right w:val="single" w:sz="4" w:space="0" w:color="000000"/>
            </w:tcBorders>
          </w:tcPr>
          <w:p w14:paraId="75853F86" w14:textId="77777777" w:rsidR="00843FDA" w:rsidRPr="00C6580C" w:rsidRDefault="00843FDA" w:rsidP="00CD7CAC">
            <w:pPr>
              <w:widowControl/>
              <w:rPr>
                <w:kern w:val="0"/>
                <w:szCs w:val="22"/>
              </w:rPr>
            </w:pPr>
            <w:r w:rsidRPr="00C6580C">
              <w:rPr>
                <w:kern w:val="0"/>
                <w:szCs w:val="22"/>
              </w:rPr>
              <w:t>546a</w:t>
            </w:r>
          </w:p>
        </w:tc>
        <w:tc>
          <w:tcPr>
            <w:tcW w:w="0" w:type="auto"/>
            <w:tcBorders>
              <w:top w:val="single" w:sz="4" w:space="0" w:color="000000"/>
              <w:left w:val="single" w:sz="4" w:space="0" w:color="000000"/>
              <w:bottom w:val="single" w:sz="4" w:space="0" w:color="000000"/>
              <w:right w:val="single" w:sz="4" w:space="0" w:color="000000"/>
            </w:tcBorders>
          </w:tcPr>
          <w:p w14:paraId="13E2E5C1" w14:textId="77777777" w:rsidR="00843FDA" w:rsidRPr="00C6580C" w:rsidRDefault="00843FDA" w:rsidP="00CD7CAC">
            <w:pPr>
              <w:widowControl/>
              <w:jc w:val="right"/>
              <w:rPr>
                <w:kern w:val="0"/>
                <w:szCs w:val="22"/>
              </w:rPr>
            </w:pPr>
            <w:r w:rsidRPr="00C6580C">
              <w:rPr>
                <w:kern w:val="0"/>
                <w:szCs w:val="22"/>
              </w:rPr>
              <w:t>.9000</w:t>
            </w:r>
          </w:p>
        </w:tc>
      </w:tr>
      <w:tr w:rsidR="00843FDA" w:rsidRPr="00C6580C" w14:paraId="0ADD6C1E" w14:textId="77777777">
        <w:tc>
          <w:tcPr>
            <w:tcW w:w="0" w:type="auto"/>
            <w:tcBorders>
              <w:top w:val="single" w:sz="4" w:space="0" w:color="000000"/>
              <w:left w:val="single" w:sz="4" w:space="0" w:color="000000"/>
              <w:bottom w:val="single" w:sz="4" w:space="0" w:color="000000"/>
              <w:right w:val="single" w:sz="4" w:space="0" w:color="000000"/>
            </w:tcBorders>
          </w:tcPr>
          <w:p w14:paraId="211BCDA7"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2AD3BD7" w14:textId="77777777" w:rsidR="00843FDA" w:rsidRPr="00C6580C" w:rsidRDefault="00843FDA" w:rsidP="00CD7CAC">
            <w:pPr>
              <w:widowControl/>
              <w:jc w:val="center"/>
              <w:rPr>
                <w:szCs w:val="22"/>
              </w:rPr>
            </w:pPr>
            <w:r w:rsidRPr="00C6580C">
              <w:rPr>
                <w:kern w:val="0"/>
                <w:szCs w:val="22"/>
              </w:rPr>
              <w:t>* * *</w:t>
            </w:r>
          </w:p>
        </w:tc>
      </w:tr>
      <w:tr w:rsidR="00843FDA" w:rsidRPr="00C6580C" w14:paraId="23D4B809" w14:textId="77777777">
        <w:tc>
          <w:tcPr>
            <w:tcW w:w="0" w:type="auto"/>
            <w:tcBorders>
              <w:top w:val="single" w:sz="4" w:space="0" w:color="000000"/>
              <w:left w:val="single" w:sz="4" w:space="0" w:color="000000"/>
              <w:bottom w:val="single" w:sz="4" w:space="0" w:color="000000"/>
              <w:right w:val="single" w:sz="4" w:space="0" w:color="000000"/>
            </w:tcBorders>
          </w:tcPr>
          <w:p w14:paraId="6B897989" w14:textId="77777777" w:rsidR="00843FDA" w:rsidRPr="00C6580C" w:rsidRDefault="00843FDA" w:rsidP="00CD7CAC">
            <w:pPr>
              <w:widowControl/>
              <w:rPr>
                <w:kern w:val="0"/>
                <w:szCs w:val="22"/>
              </w:rPr>
            </w:pPr>
            <w:r w:rsidRPr="00C6580C">
              <w:rPr>
                <w:kern w:val="0"/>
                <w:szCs w:val="22"/>
              </w:rPr>
              <w:t>547a</w:t>
            </w:r>
          </w:p>
        </w:tc>
        <w:tc>
          <w:tcPr>
            <w:tcW w:w="0" w:type="auto"/>
            <w:tcBorders>
              <w:top w:val="single" w:sz="4" w:space="0" w:color="000000"/>
              <w:left w:val="single" w:sz="4" w:space="0" w:color="000000"/>
              <w:bottom w:val="single" w:sz="4" w:space="0" w:color="000000"/>
              <w:right w:val="single" w:sz="4" w:space="0" w:color="000000"/>
            </w:tcBorders>
          </w:tcPr>
          <w:p w14:paraId="14087748" w14:textId="77777777" w:rsidR="00843FDA" w:rsidRPr="00C6580C" w:rsidRDefault="00843FDA" w:rsidP="00CD7CAC">
            <w:pPr>
              <w:widowControl/>
              <w:jc w:val="right"/>
              <w:rPr>
                <w:kern w:val="0"/>
                <w:szCs w:val="22"/>
              </w:rPr>
            </w:pPr>
            <w:r w:rsidRPr="00C6580C">
              <w:rPr>
                <w:kern w:val="0"/>
                <w:szCs w:val="22"/>
              </w:rPr>
              <w:t>.9250</w:t>
            </w:r>
          </w:p>
        </w:tc>
      </w:tr>
      <w:tr w:rsidR="00843FDA" w:rsidRPr="00C6580C" w14:paraId="64B6E524" w14:textId="77777777">
        <w:tc>
          <w:tcPr>
            <w:tcW w:w="0" w:type="auto"/>
            <w:tcBorders>
              <w:top w:val="single" w:sz="4" w:space="0" w:color="000000"/>
              <w:left w:val="single" w:sz="4" w:space="0" w:color="000000"/>
              <w:bottom w:val="single" w:sz="4" w:space="0" w:color="000000"/>
              <w:right w:val="single" w:sz="4" w:space="0" w:color="000000"/>
            </w:tcBorders>
          </w:tcPr>
          <w:p w14:paraId="32A4F18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CD3CEF1" w14:textId="77777777" w:rsidR="00843FDA" w:rsidRPr="00C6580C" w:rsidRDefault="00843FDA" w:rsidP="00CD7CAC">
            <w:pPr>
              <w:widowControl/>
              <w:jc w:val="center"/>
              <w:rPr>
                <w:szCs w:val="22"/>
              </w:rPr>
            </w:pPr>
            <w:r w:rsidRPr="00C6580C">
              <w:rPr>
                <w:kern w:val="0"/>
                <w:szCs w:val="22"/>
              </w:rPr>
              <w:t>* * *</w:t>
            </w:r>
          </w:p>
        </w:tc>
      </w:tr>
      <w:tr w:rsidR="00843FDA" w:rsidRPr="00C6580C" w14:paraId="2D20AED5" w14:textId="77777777">
        <w:tc>
          <w:tcPr>
            <w:tcW w:w="0" w:type="auto"/>
            <w:tcBorders>
              <w:top w:val="single" w:sz="4" w:space="0" w:color="000000"/>
              <w:left w:val="single" w:sz="4" w:space="0" w:color="000000"/>
              <w:bottom w:val="single" w:sz="4" w:space="0" w:color="000000"/>
              <w:right w:val="single" w:sz="4" w:space="0" w:color="000000"/>
            </w:tcBorders>
          </w:tcPr>
          <w:p w14:paraId="57817E01" w14:textId="77777777" w:rsidR="00843FDA" w:rsidRPr="00C6580C" w:rsidRDefault="00843FDA" w:rsidP="00CD7CAC">
            <w:pPr>
              <w:widowControl/>
              <w:rPr>
                <w:kern w:val="0"/>
                <w:szCs w:val="22"/>
              </w:rPr>
            </w:pPr>
            <w:r w:rsidRPr="00C6580C">
              <w:rPr>
                <w:kern w:val="0"/>
                <w:szCs w:val="22"/>
              </w:rPr>
              <w:t>548a</w:t>
            </w:r>
          </w:p>
        </w:tc>
        <w:tc>
          <w:tcPr>
            <w:tcW w:w="0" w:type="auto"/>
            <w:tcBorders>
              <w:top w:val="single" w:sz="4" w:space="0" w:color="000000"/>
              <w:left w:val="single" w:sz="4" w:space="0" w:color="000000"/>
              <w:bottom w:val="single" w:sz="4" w:space="0" w:color="000000"/>
              <w:right w:val="single" w:sz="4" w:space="0" w:color="000000"/>
            </w:tcBorders>
          </w:tcPr>
          <w:p w14:paraId="1DCBC3BB" w14:textId="77777777" w:rsidR="00843FDA" w:rsidRPr="00C6580C" w:rsidRDefault="00843FDA" w:rsidP="00CD7CAC">
            <w:pPr>
              <w:widowControl/>
              <w:jc w:val="right"/>
              <w:rPr>
                <w:kern w:val="0"/>
                <w:szCs w:val="22"/>
              </w:rPr>
            </w:pPr>
            <w:r w:rsidRPr="00C6580C">
              <w:rPr>
                <w:kern w:val="0"/>
                <w:szCs w:val="22"/>
              </w:rPr>
              <w:t>.9500</w:t>
            </w:r>
          </w:p>
        </w:tc>
      </w:tr>
      <w:tr w:rsidR="00843FDA" w:rsidRPr="00C6580C" w14:paraId="563447F9" w14:textId="77777777">
        <w:tc>
          <w:tcPr>
            <w:tcW w:w="0" w:type="auto"/>
            <w:tcBorders>
              <w:top w:val="single" w:sz="4" w:space="0" w:color="000000"/>
              <w:left w:val="single" w:sz="4" w:space="0" w:color="000000"/>
              <w:bottom w:val="single" w:sz="4" w:space="0" w:color="000000"/>
              <w:right w:val="single" w:sz="4" w:space="0" w:color="000000"/>
            </w:tcBorders>
          </w:tcPr>
          <w:p w14:paraId="59DFE94F"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E0663EC" w14:textId="77777777" w:rsidR="00843FDA" w:rsidRPr="00C6580C" w:rsidRDefault="00843FDA" w:rsidP="00CD7CAC">
            <w:pPr>
              <w:widowControl/>
              <w:jc w:val="center"/>
              <w:rPr>
                <w:szCs w:val="22"/>
              </w:rPr>
            </w:pPr>
            <w:r w:rsidRPr="00C6580C">
              <w:rPr>
                <w:kern w:val="0"/>
                <w:szCs w:val="22"/>
              </w:rPr>
              <w:t>* * *</w:t>
            </w:r>
          </w:p>
        </w:tc>
      </w:tr>
      <w:tr w:rsidR="00843FDA" w:rsidRPr="00C6580C" w14:paraId="4B5904FD" w14:textId="77777777">
        <w:tc>
          <w:tcPr>
            <w:tcW w:w="0" w:type="auto"/>
            <w:tcBorders>
              <w:top w:val="single" w:sz="4" w:space="0" w:color="000000"/>
              <w:left w:val="single" w:sz="4" w:space="0" w:color="000000"/>
              <w:bottom w:val="single" w:sz="4" w:space="0" w:color="000000"/>
              <w:right w:val="single" w:sz="4" w:space="0" w:color="000000"/>
            </w:tcBorders>
          </w:tcPr>
          <w:p w14:paraId="2EBA0362" w14:textId="77777777" w:rsidR="00843FDA" w:rsidRPr="00C6580C" w:rsidRDefault="00843FDA" w:rsidP="00CD7CAC">
            <w:pPr>
              <w:widowControl/>
              <w:rPr>
                <w:kern w:val="0"/>
                <w:szCs w:val="22"/>
              </w:rPr>
            </w:pPr>
            <w:r w:rsidRPr="00C6580C">
              <w:rPr>
                <w:kern w:val="0"/>
                <w:szCs w:val="22"/>
              </w:rPr>
              <w:t>549a</w:t>
            </w:r>
          </w:p>
        </w:tc>
        <w:tc>
          <w:tcPr>
            <w:tcW w:w="0" w:type="auto"/>
            <w:tcBorders>
              <w:top w:val="single" w:sz="4" w:space="0" w:color="000000"/>
              <w:left w:val="single" w:sz="4" w:space="0" w:color="000000"/>
              <w:bottom w:val="single" w:sz="4" w:space="0" w:color="000000"/>
              <w:right w:val="single" w:sz="4" w:space="0" w:color="000000"/>
            </w:tcBorders>
          </w:tcPr>
          <w:p w14:paraId="31209DF8" w14:textId="77777777" w:rsidR="00843FDA" w:rsidRPr="00C6580C" w:rsidRDefault="00843FDA" w:rsidP="00CD7CAC">
            <w:pPr>
              <w:widowControl/>
              <w:jc w:val="right"/>
              <w:rPr>
                <w:kern w:val="0"/>
                <w:szCs w:val="22"/>
              </w:rPr>
            </w:pPr>
            <w:r w:rsidRPr="00C6580C">
              <w:rPr>
                <w:kern w:val="0"/>
                <w:szCs w:val="22"/>
              </w:rPr>
              <w:t>.9750</w:t>
            </w:r>
          </w:p>
        </w:tc>
      </w:tr>
      <w:tr w:rsidR="00843FDA" w:rsidRPr="00C6580C" w14:paraId="6068FEC6" w14:textId="77777777">
        <w:tc>
          <w:tcPr>
            <w:tcW w:w="0" w:type="auto"/>
            <w:tcBorders>
              <w:top w:val="single" w:sz="4" w:space="0" w:color="000000"/>
              <w:left w:val="single" w:sz="4" w:space="0" w:color="000000"/>
              <w:bottom w:val="single" w:sz="4" w:space="0" w:color="000000"/>
              <w:right w:val="single" w:sz="4" w:space="0" w:color="000000"/>
            </w:tcBorders>
          </w:tcPr>
          <w:p w14:paraId="31214C35" w14:textId="77777777" w:rsidR="00843FDA" w:rsidRPr="00C6580C" w:rsidRDefault="00843FDA" w:rsidP="00CD7CAC">
            <w:pPr>
              <w:widowControl/>
              <w:jc w:val="center"/>
              <w:rPr>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5754F1D" w14:textId="77777777" w:rsidR="00843FDA" w:rsidRPr="00C6580C" w:rsidRDefault="00843FDA" w:rsidP="00CD7CAC">
            <w:pPr>
              <w:widowControl/>
              <w:jc w:val="center"/>
              <w:rPr>
                <w:szCs w:val="22"/>
              </w:rPr>
            </w:pPr>
            <w:r w:rsidRPr="00C6580C">
              <w:rPr>
                <w:kern w:val="0"/>
                <w:szCs w:val="22"/>
              </w:rPr>
              <w:t>* * *</w:t>
            </w:r>
          </w:p>
        </w:tc>
      </w:tr>
    </w:tbl>
    <w:p w14:paraId="3702D9B5" w14:textId="77777777" w:rsidR="00843FDA" w:rsidRPr="00A96110" w:rsidRDefault="00843FDA" w:rsidP="00CD7CAC">
      <w:pPr>
        <w:pStyle w:val="ParaNum"/>
        <w:widowControl/>
        <w:numPr>
          <w:ilvl w:val="0"/>
          <w:numId w:val="0"/>
        </w:numPr>
        <w:tabs>
          <w:tab w:val="left" w:pos="720"/>
        </w:tabs>
      </w:pPr>
    </w:p>
    <w:p w14:paraId="0366BE30" w14:textId="77777777" w:rsidR="00843FDA" w:rsidRPr="00A96110" w:rsidRDefault="00843FDA" w:rsidP="00CD7CAC">
      <w:pPr>
        <w:pStyle w:val="ParaNum"/>
        <w:widowControl/>
        <w:numPr>
          <w:ilvl w:val="0"/>
          <w:numId w:val="0"/>
        </w:numPr>
        <w:tabs>
          <w:tab w:val="left" w:pos="720"/>
        </w:tabs>
      </w:pPr>
      <w:r w:rsidRPr="00A96110">
        <w:tab/>
        <w:t>* * *</w:t>
      </w:r>
    </w:p>
    <w:p w14:paraId="179AEB37" w14:textId="77777777" w:rsidR="00843FDA" w:rsidRPr="00A96110" w:rsidRDefault="00843FDA" w:rsidP="00CD7CAC">
      <w:pPr>
        <w:pStyle w:val="ParaNum"/>
        <w:widowControl/>
        <w:numPr>
          <w:ilvl w:val="0"/>
          <w:numId w:val="0"/>
        </w:numPr>
      </w:pPr>
      <w:r w:rsidRPr="00A96110">
        <w:t>5.  Section 90.614 is revised by amending paragraph (a) to read as follows:</w:t>
      </w:r>
    </w:p>
    <w:p w14:paraId="2D3E642A" w14:textId="77777777" w:rsidR="00843FDA" w:rsidRPr="00C6580C" w:rsidRDefault="00843FDA" w:rsidP="00CD7CAC">
      <w:pPr>
        <w:pStyle w:val="Heading5"/>
        <w:widowControl/>
        <w:numPr>
          <w:ilvl w:val="0"/>
          <w:numId w:val="0"/>
        </w:numPr>
        <w:tabs>
          <w:tab w:val="clear" w:pos="3600"/>
          <w:tab w:val="left" w:pos="0"/>
        </w:tabs>
        <w:rPr>
          <w:b w:val="0"/>
          <w:szCs w:val="22"/>
        </w:rPr>
      </w:pPr>
      <w:bookmarkStart w:id="266" w:name="47:5.0.1.1.3.18.115.7"/>
      <w:bookmarkEnd w:id="266"/>
      <w:r w:rsidRPr="00C6580C">
        <w:rPr>
          <w:rFonts w:ascii="Arial" w:hAnsi="Arial" w:cs="Arial"/>
          <w:szCs w:val="22"/>
        </w:rPr>
        <w:tab/>
      </w:r>
      <w:r w:rsidRPr="00C6580C">
        <w:rPr>
          <w:b w:val="0"/>
          <w:szCs w:val="22"/>
        </w:rPr>
        <w:t>§ 90.614   Segments of the 806–824/851–869 MHz band for non-border areas.</w:t>
      </w:r>
    </w:p>
    <w:p w14:paraId="4D95682A" w14:textId="77777777" w:rsidR="00843FDA" w:rsidRPr="00A96110" w:rsidRDefault="00843FDA" w:rsidP="00CD7CAC">
      <w:pPr>
        <w:pStyle w:val="ParaNum"/>
        <w:widowControl/>
        <w:numPr>
          <w:ilvl w:val="0"/>
          <w:numId w:val="0"/>
        </w:numPr>
        <w:ind w:firstLine="720"/>
      </w:pPr>
      <w:r w:rsidRPr="00A96110">
        <w:t>* * *</w:t>
      </w:r>
    </w:p>
    <w:p w14:paraId="77C9E2FA" w14:textId="77777777" w:rsidR="00843FDA" w:rsidRPr="00C6580C" w:rsidRDefault="00843FDA" w:rsidP="00CD7CAC">
      <w:pPr>
        <w:pStyle w:val="NormalWeb"/>
        <w:ind w:left="720"/>
        <w:rPr>
          <w:sz w:val="22"/>
          <w:szCs w:val="22"/>
        </w:rPr>
      </w:pPr>
      <w:r w:rsidRPr="00C6580C">
        <w:rPr>
          <w:sz w:val="22"/>
          <w:szCs w:val="22"/>
        </w:rPr>
        <w:t>(a) 800 MHz high density cellular systems—as defined in §90.7—are prohibited from operating on channels 1–550 in non-border areas.</w:t>
      </w:r>
    </w:p>
    <w:p w14:paraId="17159B37" w14:textId="77777777" w:rsidR="00843FDA" w:rsidRPr="00A96110" w:rsidRDefault="00843FDA" w:rsidP="00CD7CAC">
      <w:pPr>
        <w:pStyle w:val="ParaNum"/>
        <w:widowControl/>
        <w:numPr>
          <w:ilvl w:val="0"/>
          <w:numId w:val="0"/>
        </w:numPr>
        <w:ind w:firstLine="720"/>
      </w:pPr>
      <w:r w:rsidRPr="00A96110">
        <w:t>* * *</w:t>
      </w:r>
    </w:p>
    <w:p w14:paraId="32F05357" w14:textId="77777777" w:rsidR="00843FDA" w:rsidRPr="00A96110" w:rsidRDefault="00843FDA" w:rsidP="00CD7CAC">
      <w:pPr>
        <w:pStyle w:val="ParaNum"/>
        <w:widowControl/>
        <w:numPr>
          <w:ilvl w:val="0"/>
          <w:numId w:val="0"/>
        </w:numPr>
        <w:ind w:left="720" w:hanging="720"/>
      </w:pPr>
      <w:r w:rsidRPr="00A96110">
        <w:t>6.</w:t>
      </w:r>
      <w:r w:rsidRPr="00A96110">
        <w:tab/>
        <w:t>Section 90.615 is revised by amending the introductory text and paragraphs (a), (b) and (c) to read as follows:</w:t>
      </w:r>
    </w:p>
    <w:p w14:paraId="48B9F996" w14:textId="77777777" w:rsidR="00843FDA" w:rsidRPr="00C6580C" w:rsidRDefault="00843FDA" w:rsidP="00CD7CAC">
      <w:pPr>
        <w:pStyle w:val="Heading5"/>
        <w:widowControl/>
        <w:numPr>
          <w:ilvl w:val="0"/>
          <w:numId w:val="0"/>
        </w:numPr>
        <w:tabs>
          <w:tab w:val="clear" w:pos="3600"/>
          <w:tab w:val="left" w:pos="0"/>
        </w:tabs>
        <w:ind w:left="720"/>
        <w:rPr>
          <w:b w:val="0"/>
          <w:szCs w:val="22"/>
        </w:rPr>
      </w:pPr>
      <w:r w:rsidRPr="00C6580C">
        <w:rPr>
          <w:b w:val="0"/>
          <w:szCs w:val="22"/>
        </w:rPr>
        <w:t>§ 90.615   Individual channels available in the General Category in 806–824/851–869 MHz band.</w:t>
      </w:r>
    </w:p>
    <w:p w14:paraId="21A8C630" w14:textId="77777777" w:rsidR="00843FDA" w:rsidRPr="00C6580C" w:rsidRDefault="00843FDA" w:rsidP="00CD7CAC">
      <w:pPr>
        <w:pStyle w:val="NormalWeb"/>
        <w:ind w:left="720"/>
        <w:rPr>
          <w:sz w:val="22"/>
          <w:szCs w:val="22"/>
        </w:rPr>
      </w:pPr>
      <w:r w:rsidRPr="00C6580C">
        <w:rPr>
          <w:sz w:val="22"/>
          <w:szCs w:val="22"/>
        </w:rPr>
        <w:t>The General Category will consist of channels 231–260a and 511–550 at locations farther th</w:t>
      </w:r>
      <w:r w:rsidR="00186175">
        <w:rPr>
          <w:sz w:val="22"/>
          <w:szCs w:val="22"/>
        </w:rPr>
        <w:t>a</w:t>
      </w:r>
      <w:r w:rsidRPr="00C6580C">
        <w:rPr>
          <w:sz w:val="22"/>
          <w:szCs w:val="22"/>
        </w:rPr>
        <w:t>n 110 km (68.4 miles) from the U.S./Mexico border and 140 km (87 miles) from the U.S./Canadian border.  All entities will be eligible for licensing on these channels except as described in paragraphs (a) and (b) of this section.</w:t>
      </w:r>
    </w:p>
    <w:p w14:paraId="62C7D8FB" w14:textId="77777777" w:rsidR="00843FDA" w:rsidRPr="00C6580C" w:rsidRDefault="00843FDA" w:rsidP="00CD7CAC">
      <w:pPr>
        <w:pStyle w:val="NormalWeb"/>
        <w:ind w:left="720"/>
        <w:rPr>
          <w:sz w:val="22"/>
          <w:szCs w:val="22"/>
        </w:rPr>
      </w:pPr>
      <w:r w:rsidRPr="00C6580C">
        <w:rPr>
          <w:sz w:val="22"/>
          <w:szCs w:val="22"/>
        </w:rPr>
        <w:t xml:space="preserve">(a) In a given 800 MHz NPSPAC region, any channel in the 231–260a range which is vacated by a licensee relocating to channels 551–830 and which remains vacant after band reconfiguration will be available as follows: </w:t>
      </w:r>
    </w:p>
    <w:p w14:paraId="27DC0235" w14:textId="77777777" w:rsidR="00843FDA" w:rsidRPr="00C6580C" w:rsidRDefault="00843FDA" w:rsidP="00CD7CAC">
      <w:pPr>
        <w:pStyle w:val="NormalWeb"/>
        <w:ind w:firstLine="720"/>
        <w:rPr>
          <w:sz w:val="22"/>
          <w:szCs w:val="22"/>
        </w:rPr>
      </w:pPr>
      <w:r w:rsidRPr="00C6580C">
        <w:rPr>
          <w:sz w:val="22"/>
          <w:szCs w:val="22"/>
        </w:rPr>
        <w:t>* * *</w:t>
      </w:r>
    </w:p>
    <w:p w14:paraId="3E4D69BF" w14:textId="77777777" w:rsidR="00843FDA" w:rsidRPr="00C6580C" w:rsidRDefault="00843FDA" w:rsidP="00CD7CAC">
      <w:pPr>
        <w:pStyle w:val="NormalWeb"/>
        <w:ind w:left="720"/>
        <w:rPr>
          <w:sz w:val="22"/>
          <w:szCs w:val="22"/>
        </w:rPr>
      </w:pPr>
      <w:r w:rsidRPr="00C6580C">
        <w:rPr>
          <w:sz w:val="22"/>
          <w:szCs w:val="22"/>
        </w:rPr>
        <w:t>(b) In a given 800 MHz NPSPAC region, any channel in the 231–260a range which is vacated by a licensee relocating to channels 511–550 and remains vacant after band reconfiguration will be available as follows:</w:t>
      </w:r>
    </w:p>
    <w:p w14:paraId="3ADE8A98" w14:textId="77777777" w:rsidR="00843FDA" w:rsidRPr="00C6580C" w:rsidRDefault="00843FDA" w:rsidP="00CD7CAC">
      <w:pPr>
        <w:pStyle w:val="NormalWeb"/>
        <w:ind w:firstLine="720"/>
        <w:rPr>
          <w:sz w:val="22"/>
          <w:szCs w:val="22"/>
        </w:rPr>
      </w:pPr>
      <w:r w:rsidRPr="00C6580C">
        <w:rPr>
          <w:sz w:val="22"/>
          <w:szCs w:val="22"/>
        </w:rPr>
        <w:t>* * *</w:t>
      </w:r>
    </w:p>
    <w:p w14:paraId="0677CAA1" w14:textId="77777777" w:rsidR="00843FDA" w:rsidRPr="00C6580C" w:rsidRDefault="00843FDA" w:rsidP="00CD7CAC">
      <w:pPr>
        <w:pStyle w:val="NormalWeb"/>
        <w:ind w:firstLine="720"/>
        <w:rPr>
          <w:sz w:val="22"/>
          <w:szCs w:val="22"/>
        </w:rPr>
      </w:pPr>
      <w:r w:rsidRPr="00C6580C">
        <w:rPr>
          <w:sz w:val="22"/>
          <w:szCs w:val="22"/>
        </w:rPr>
        <w:t>(c) Spectrum Block F1 consists of channels 236–260a.</w:t>
      </w:r>
    </w:p>
    <w:p w14:paraId="3CA53B0F" w14:textId="77777777" w:rsidR="00843FDA" w:rsidRPr="00C6580C" w:rsidRDefault="00843FDA" w:rsidP="00CD7CAC">
      <w:pPr>
        <w:pStyle w:val="NormalWeb"/>
        <w:ind w:firstLine="720"/>
        <w:rPr>
          <w:sz w:val="22"/>
          <w:szCs w:val="22"/>
        </w:rPr>
      </w:pPr>
      <w:r w:rsidRPr="00C6580C">
        <w:rPr>
          <w:sz w:val="22"/>
          <w:szCs w:val="22"/>
        </w:rPr>
        <w:t>* * *</w:t>
      </w:r>
    </w:p>
    <w:p w14:paraId="29D78D9C" w14:textId="77777777" w:rsidR="00843FDA" w:rsidRPr="00A96110" w:rsidRDefault="00843FDA" w:rsidP="00CD7CAC">
      <w:pPr>
        <w:pStyle w:val="ParaNum"/>
        <w:widowControl/>
        <w:numPr>
          <w:ilvl w:val="0"/>
          <w:numId w:val="0"/>
        </w:numPr>
      </w:pPr>
      <w:r w:rsidRPr="00A96110">
        <w:t>7.  Section 90.617 is revised by amending Table 1, Table 1A and Table 1B in paragraph (a); Table 2, Table 2A and Table 2B in paragraph (b); Table 4B, Table 4C and Table 4D in paragraph  (d)  to the table to read as follows:</w:t>
      </w:r>
    </w:p>
    <w:p w14:paraId="4D60675F" w14:textId="77777777" w:rsidR="00843FDA" w:rsidRPr="00C6580C" w:rsidRDefault="00843FDA" w:rsidP="00CD7CAC">
      <w:pPr>
        <w:pStyle w:val="RuleNum"/>
        <w:numPr>
          <w:ilvl w:val="0"/>
          <w:numId w:val="0"/>
        </w:numPr>
        <w:tabs>
          <w:tab w:val="clear" w:pos="990"/>
        </w:tabs>
        <w:jc w:val="left"/>
        <w:rPr>
          <w:rFonts w:ascii="Times New Roman" w:hAnsi="Times New Roman"/>
          <w:szCs w:val="22"/>
        </w:rPr>
      </w:pPr>
    </w:p>
    <w:p w14:paraId="066A8F37" w14:textId="77777777" w:rsidR="00843FDA" w:rsidRPr="00C6580C" w:rsidRDefault="00843FDA" w:rsidP="00CD7CAC">
      <w:pPr>
        <w:pStyle w:val="RuleNum"/>
        <w:numPr>
          <w:ilvl w:val="0"/>
          <w:numId w:val="0"/>
        </w:numPr>
        <w:tabs>
          <w:tab w:val="clear" w:pos="270"/>
          <w:tab w:val="clear" w:pos="990"/>
          <w:tab w:val="left" w:pos="770"/>
        </w:tabs>
        <w:ind w:left="720"/>
        <w:jc w:val="left"/>
        <w:rPr>
          <w:szCs w:val="22"/>
        </w:rPr>
      </w:pPr>
      <w:r w:rsidRPr="00C6580C">
        <w:rPr>
          <w:b/>
          <w:szCs w:val="22"/>
        </w:rPr>
        <w:tab/>
      </w:r>
      <w:r w:rsidRPr="00C6580C">
        <w:rPr>
          <w:szCs w:val="22"/>
        </w:rPr>
        <w:t>§ 90.617 Frequencies in the 809.750-824/854.750-869 MHz, and 896-901/935-940 MHz bands available for trunked, conventional or cellular system use in non-border areas.</w:t>
      </w:r>
    </w:p>
    <w:p w14:paraId="4104F371" w14:textId="77777777" w:rsidR="00843FDA" w:rsidRPr="00C6580C" w:rsidRDefault="00843FDA" w:rsidP="00CD7CAC">
      <w:pPr>
        <w:pStyle w:val="NormalWeb"/>
        <w:ind w:firstLine="720"/>
        <w:rPr>
          <w:sz w:val="22"/>
          <w:szCs w:val="22"/>
        </w:rPr>
      </w:pPr>
      <w:r w:rsidRPr="00C6580C">
        <w:rPr>
          <w:sz w:val="22"/>
          <w:szCs w:val="22"/>
        </w:rPr>
        <w:t xml:space="preserve">(a) * * * </w:t>
      </w:r>
    </w:p>
    <w:p w14:paraId="75FC144F"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1—Public Safety Pool 806–816/851–861 MHz Band Channels</w:t>
      </w:r>
    </w:p>
    <w:p w14:paraId="62A407DE" w14:textId="77777777" w:rsidR="00843FDA" w:rsidRPr="00C6580C" w:rsidRDefault="00843FDA" w:rsidP="00CD7CAC">
      <w:pPr>
        <w:widowControl/>
        <w:spacing w:before="100" w:beforeAutospacing="1" w:after="100" w:afterAutospacing="1"/>
        <w:jc w:val="center"/>
        <w:rPr>
          <w:kern w:val="0"/>
          <w:szCs w:val="22"/>
        </w:rPr>
      </w:pPr>
      <w:r w:rsidRPr="00C6580C">
        <w:rPr>
          <w:kern w:val="0"/>
          <w:szCs w:val="22"/>
        </w:rPr>
        <w:t>[140 Channels]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2037"/>
        <w:gridCol w:w="7353"/>
      </w:tblGrid>
      <w:tr w:rsidR="00843FDA" w:rsidRPr="00C6580C" w14:paraId="215A1081"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49CEC283" w14:textId="77777777" w:rsidR="00843FDA" w:rsidRPr="00C6580C" w:rsidRDefault="00843FDA" w:rsidP="00CD7CAC">
            <w:pPr>
              <w:widowControl/>
              <w:jc w:val="center"/>
              <w:rPr>
                <w:b/>
                <w:bCs/>
                <w:kern w:val="0"/>
                <w:szCs w:val="22"/>
              </w:rPr>
            </w:pPr>
            <w:r w:rsidRPr="00C6580C">
              <w:rPr>
                <w:b/>
                <w:bCs/>
                <w:kern w:val="0"/>
                <w:szCs w:val="22"/>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14:paraId="1C0906E4" w14:textId="77777777" w:rsidR="00843FDA" w:rsidRPr="00C6580C" w:rsidRDefault="00843FDA" w:rsidP="00CD7CAC">
            <w:pPr>
              <w:widowControl/>
              <w:jc w:val="center"/>
              <w:rPr>
                <w:b/>
                <w:bCs/>
                <w:kern w:val="0"/>
                <w:szCs w:val="22"/>
              </w:rPr>
            </w:pPr>
            <w:r w:rsidRPr="00C6580C">
              <w:rPr>
                <w:b/>
                <w:bCs/>
                <w:kern w:val="0"/>
                <w:szCs w:val="22"/>
              </w:rPr>
              <w:t>Channel Nos.</w:t>
            </w:r>
          </w:p>
        </w:tc>
      </w:tr>
      <w:tr w:rsidR="00843FDA" w:rsidRPr="00C6580C" w14:paraId="5B87F47A" w14:textId="77777777">
        <w:tc>
          <w:tcPr>
            <w:tcW w:w="0" w:type="auto"/>
            <w:tcBorders>
              <w:top w:val="single" w:sz="4" w:space="0" w:color="000000"/>
              <w:left w:val="single" w:sz="4" w:space="0" w:color="000000"/>
              <w:bottom w:val="single" w:sz="4" w:space="0" w:color="000000"/>
              <w:right w:val="single" w:sz="4" w:space="0" w:color="000000"/>
            </w:tcBorders>
          </w:tcPr>
          <w:p w14:paraId="1737D6C5"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436F5FE"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10ADA484" w14:textId="77777777">
        <w:tc>
          <w:tcPr>
            <w:tcW w:w="0" w:type="auto"/>
            <w:tcBorders>
              <w:top w:val="single" w:sz="4" w:space="0" w:color="000000"/>
              <w:left w:val="single" w:sz="4" w:space="0" w:color="000000"/>
              <w:bottom w:val="single" w:sz="4" w:space="0" w:color="000000"/>
              <w:right w:val="single" w:sz="4" w:space="0" w:color="000000"/>
            </w:tcBorders>
          </w:tcPr>
          <w:p w14:paraId="09BAD90B" w14:textId="77777777" w:rsidR="00843FDA" w:rsidRPr="00C6580C" w:rsidRDefault="00843FDA" w:rsidP="00CD7CAC">
            <w:pPr>
              <w:widowControl/>
              <w:rPr>
                <w:kern w:val="0"/>
                <w:szCs w:val="22"/>
              </w:rPr>
            </w:pPr>
            <w:r w:rsidRPr="00C6580C">
              <w:rPr>
                <w:kern w:val="0"/>
                <w:szCs w:val="22"/>
              </w:rPr>
              <w:t>269a</w:t>
            </w:r>
          </w:p>
        </w:tc>
        <w:tc>
          <w:tcPr>
            <w:tcW w:w="0" w:type="auto"/>
            <w:tcBorders>
              <w:top w:val="single" w:sz="4" w:space="0" w:color="000000"/>
              <w:left w:val="single" w:sz="4" w:space="0" w:color="000000"/>
              <w:bottom w:val="single" w:sz="4" w:space="0" w:color="000000"/>
              <w:right w:val="single" w:sz="4" w:space="0" w:color="000000"/>
            </w:tcBorders>
          </w:tcPr>
          <w:p w14:paraId="602543FA" w14:textId="77777777" w:rsidR="00843FDA" w:rsidRPr="00C6580C" w:rsidRDefault="00843FDA" w:rsidP="00CD7CAC">
            <w:pPr>
              <w:widowControl/>
              <w:rPr>
                <w:kern w:val="0"/>
                <w:szCs w:val="22"/>
              </w:rPr>
            </w:pPr>
            <w:r w:rsidRPr="00C6580C">
              <w:rPr>
                <w:kern w:val="0"/>
                <w:szCs w:val="22"/>
              </w:rPr>
              <w:t>269a–289a–311a–399a–439a</w:t>
            </w:r>
          </w:p>
        </w:tc>
      </w:tr>
      <w:tr w:rsidR="00843FDA" w:rsidRPr="00C6580C" w14:paraId="66536175" w14:textId="77777777">
        <w:tc>
          <w:tcPr>
            <w:tcW w:w="0" w:type="auto"/>
            <w:tcBorders>
              <w:top w:val="single" w:sz="4" w:space="0" w:color="000000"/>
              <w:left w:val="single" w:sz="4" w:space="0" w:color="000000"/>
              <w:bottom w:val="single" w:sz="4" w:space="0" w:color="000000"/>
              <w:right w:val="single" w:sz="4" w:space="0" w:color="000000"/>
            </w:tcBorders>
          </w:tcPr>
          <w:p w14:paraId="708D157F"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F7E9628"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6BF9EB5A" w14:textId="77777777">
        <w:tc>
          <w:tcPr>
            <w:tcW w:w="0" w:type="auto"/>
            <w:tcBorders>
              <w:top w:val="single" w:sz="4" w:space="0" w:color="000000"/>
              <w:left w:val="single" w:sz="4" w:space="0" w:color="000000"/>
              <w:bottom w:val="single" w:sz="4" w:space="0" w:color="000000"/>
              <w:right w:val="single" w:sz="4" w:space="0" w:color="000000"/>
            </w:tcBorders>
          </w:tcPr>
          <w:p w14:paraId="27CEB91F" w14:textId="77777777" w:rsidR="00843FDA" w:rsidRPr="00C6580C" w:rsidRDefault="00843FDA" w:rsidP="00CD7CAC">
            <w:pPr>
              <w:widowControl/>
              <w:rPr>
                <w:kern w:val="0"/>
                <w:szCs w:val="22"/>
              </w:rPr>
            </w:pPr>
            <w:r w:rsidRPr="00C6580C">
              <w:rPr>
                <w:kern w:val="0"/>
                <w:szCs w:val="22"/>
              </w:rPr>
              <w:t>270a</w:t>
            </w:r>
          </w:p>
        </w:tc>
        <w:tc>
          <w:tcPr>
            <w:tcW w:w="0" w:type="auto"/>
            <w:tcBorders>
              <w:top w:val="single" w:sz="4" w:space="0" w:color="000000"/>
              <w:left w:val="single" w:sz="4" w:space="0" w:color="000000"/>
              <w:bottom w:val="single" w:sz="4" w:space="0" w:color="000000"/>
              <w:right w:val="single" w:sz="4" w:space="0" w:color="000000"/>
            </w:tcBorders>
          </w:tcPr>
          <w:p w14:paraId="40A09827" w14:textId="77777777" w:rsidR="00843FDA" w:rsidRPr="00C6580C" w:rsidRDefault="00843FDA" w:rsidP="00CD7CAC">
            <w:pPr>
              <w:widowControl/>
              <w:rPr>
                <w:kern w:val="0"/>
                <w:szCs w:val="22"/>
              </w:rPr>
            </w:pPr>
            <w:r w:rsidRPr="00C6580C">
              <w:rPr>
                <w:kern w:val="0"/>
                <w:szCs w:val="22"/>
              </w:rPr>
              <w:t>270a–290a–312a–400a–440a</w:t>
            </w:r>
          </w:p>
        </w:tc>
      </w:tr>
      <w:tr w:rsidR="00843FDA" w:rsidRPr="00C6580C" w14:paraId="63E4015D" w14:textId="77777777">
        <w:tc>
          <w:tcPr>
            <w:tcW w:w="0" w:type="auto"/>
            <w:tcBorders>
              <w:top w:val="single" w:sz="4" w:space="0" w:color="000000"/>
              <w:left w:val="single" w:sz="4" w:space="0" w:color="000000"/>
              <w:bottom w:val="single" w:sz="4" w:space="0" w:color="000000"/>
              <w:right w:val="single" w:sz="4" w:space="0" w:color="000000"/>
            </w:tcBorders>
          </w:tcPr>
          <w:p w14:paraId="6DC6DE11"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142347B"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1CE021A4" w14:textId="77777777">
        <w:tc>
          <w:tcPr>
            <w:tcW w:w="0" w:type="auto"/>
            <w:tcBorders>
              <w:top w:val="single" w:sz="4" w:space="0" w:color="000000"/>
              <w:left w:val="single" w:sz="4" w:space="0" w:color="000000"/>
              <w:bottom w:val="single" w:sz="4" w:space="0" w:color="000000"/>
              <w:right w:val="single" w:sz="4" w:space="0" w:color="000000"/>
            </w:tcBorders>
          </w:tcPr>
          <w:p w14:paraId="3D152CD8" w14:textId="77777777" w:rsidR="00843FDA" w:rsidRPr="00C6580C" w:rsidRDefault="00843FDA" w:rsidP="00CD7CAC">
            <w:pPr>
              <w:widowControl/>
              <w:rPr>
                <w:kern w:val="0"/>
                <w:szCs w:val="22"/>
              </w:rPr>
            </w:pPr>
            <w:r w:rsidRPr="00C6580C">
              <w:rPr>
                <w:kern w:val="0"/>
                <w:szCs w:val="22"/>
              </w:rPr>
              <w:t>279a</w:t>
            </w:r>
          </w:p>
        </w:tc>
        <w:tc>
          <w:tcPr>
            <w:tcW w:w="0" w:type="auto"/>
            <w:tcBorders>
              <w:top w:val="single" w:sz="4" w:space="0" w:color="000000"/>
              <w:left w:val="single" w:sz="4" w:space="0" w:color="000000"/>
              <w:bottom w:val="single" w:sz="4" w:space="0" w:color="000000"/>
              <w:right w:val="single" w:sz="4" w:space="0" w:color="000000"/>
            </w:tcBorders>
          </w:tcPr>
          <w:p w14:paraId="70663A86" w14:textId="77777777" w:rsidR="00843FDA" w:rsidRPr="00C6580C" w:rsidRDefault="00843FDA" w:rsidP="00CD7CAC">
            <w:pPr>
              <w:widowControl/>
              <w:rPr>
                <w:kern w:val="0"/>
                <w:szCs w:val="22"/>
              </w:rPr>
            </w:pPr>
            <w:r w:rsidRPr="00C6580C">
              <w:rPr>
                <w:kern w:val="0"/>
                <w:szCs w:val="22"/>
              </w:rPr>
              <w:t>279a–299a–319a–339a–359a</w:t>
            </w:r>
          </w:p>
        </w:tc>
      </w:tr>
      <w:tr w:rsidR="00843FDA" w:rsidRPr="00C6580C" w14:paraId="309D09B6" w14:textId="77777777">
        <w:tc>
          <w:tcPr>
            <w:tcW w:w="0" w:type="auto"/>
            <w:tcBorders>
              <w:top w:val="single" w:sz="4" w:space="0" w:color="000000"/>
              <w:left w:val="single" w:sz="4" w:space="0" w:color="000000"/>
              <w:bottom w:val="single" w:sz="4" w:space="0" w:color="000000"/>
              <w:right w:val="single" w:sz="4" w:space="0" w:color="000000"/>
            </w:tcBorders>
          </w:tcPr>
          <w:p w14:paraId="5D7746E6"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3E7D9D8"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09722C6A" w14:textId="77777777">
        <w:tc>
          <w:tcPr>
            <w:tcW w:w="0" w:type="auto"/>
            <w:tcBorders>
              <w:top w:val="single" w:sz="4" w:space="0" w:color="000000"/>
              <w:left w:val="single" w:sz="4" w:space="0" w:color="000000"/>
              <w:bottom w:val="single" w:sz="4" w:space="0" w:color="000000"/>
              <w:right w:val="single" w:sz="4" w:space="0" w:color="000000"/>
            </w:tcBorders>
          </w:tcPr>
          <w:p w14:paraId="138A6795" w14:textId="77777777" w:rsidR="00843FDA" w:rsidRPr="00C6580C" w:rsidRDefault="00843FDA" w:rsidP="00CD7CAC">
            <w:pPr>
              <w:widowControl/>
              <w:rPr>
                <w:kern w:val="0"/>
                <w:szCs w:val="22"/>
              </w:rPr>
            </w:pPr>
            <w:r w:rsidRPr="00C6580C">
              <w:rPr>
                <w:kern w:val="0"/>
                <w:szCs w:val="22"/>
              </w:rPr>
              <w:t>280a</w:t>
            </w:r>
          </w:p>
        </w:tc>
        <w:tc>
          <w:tcPr>
            <w:tcW w:w="0" w:type="auto"/>
            <w:tcBorders>
              <w:top w:val="single" w:sz="4" w:space="0" w:color="000000"/>
              <w:left w:val="single" w:sz="4" w:space="0" w:color="000000"/>
              <w:bottom w:val="single" w:sz="4" w:space="0" w:color="000000"/>
              <w:right w:val="single" w:sz="4" w:space="0" w:color="000000"/>
            </w:tcBorders>
          </w:tcPr>
          <w:p w14:paraId="3FB47826" w14:textId="77777777" w:rsidR="00843FDA" w:rsidRPr="00C6580C" w:rsidRDefault="00843FDA" w:rsidP="00CD7CAC">
            <w:pPr>
              <w:widowControl/>
              <w:rPr>
                <w:kern w:val="0"/>
                <w:szCs w:val="22"/>
              </w:rPr>
            </w:pPr>
            <w:r w:rsidRPr="00C6580C">
              <w:rPr>
                <w:kern w:val="0"/>
                <w:szCs w:val="22"/>
              </w:rPr>
              <w:t>280a–300a–320a–340a–360a</w:t>
            </w:r>
          </w:p>
        </w:tc>
      </w:tr>
      <w:tr w:rsidR="00843FDA" w:rsidRPr="00C6580C" w14:paraId="50207DB2" w14:textId="77777777">
        <w:tc>
          <w:tcPr>
            <w:tcW w:w="0" w:type="auto"/>
            <w:tcBorders>
              <w:top w:val="single" w:sz="4" w:space="0" w:color="000000"/>
              <w:left w:val="single" w:sz="4" w:space="0" w:color="000000"/>
              <w:bottom w:val="single" w:sz="4" w:space="0" w:color="000000"/>
              <w:right w:val="single" w:sz="4" w:space="0" w:color="000000"/>
            </w:tcBorders>
          </w:tcPr>
          <w:p w14:paraId="7C1E937B"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C0CBFA2"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1CBC05D7" w14:textId="77777777">
        <w:tc>
          <w:tcPr>
            <w:tcW w:w="0" w:type="auto"/>
            <w:tcBorders>
              <w:top w:val="single" w:sz="4" w:space="0" w:color="000000"/>
              <w:left w:val="single" w:sz="4" w:space="0" w:color="000000"/>
              <w:bottom w:val="single" w:sz="4" w:space="0" w:color="000000"/>
              <w:right w:val="single" w:sz="4" w:space="0" w:color="000000"/>
            </w:tcBorders>
          </w:tcPr>
          <w:p w14:paraId="0982F953" w14:textId="77777777" w:rsidR="00843FDA" w:rsidRPr="00C6580C" w:rsidRDefault="00843FDA" w:rsidP="00CD7CAC">
            <w:pPr>
              <w:widowControl/>
              <w:rPr>
                <w:kern w:val="0"/>
                <w:szCs w:val="22"/>
              </w:rPr>
            </w:pPr>
            <w:r w:rsidRPr="00C6580C">
              <w:rPr>
                <w:kern w:val="0"/>
                <w:szCs w:val="22"/>
              </w:rPr>
              <w:t>309a</w:t>
            </w:r>
          </w:p>
        </w:tc>
        <w:tc>
          <w:tcPr>
            <w:tcW w:w="0" w:type="auto"/>
            <w:tcBorders>
              <w:top w:val="single" w:sz="4" w:space="0" w:color="000000"/>
              <w:left w:val="single" w:sz="4" w:space="0" w:color="000000"/>
              <w:bottom w:val="single" w:sz="4" w:space="0" w:color="000000"/>
              <w:right w:val="single" w:sz="4" w:space="0" w:color="000000"/>
            </w:tcBorders>
          </w:tcPr>
          <w:p w14:paraId="00A38899" w14:textId="77777777" w:rsidR="00843FDA" w:rsidRPr="00C6580C" w:rsidRDefault="00843FDA" w:rsidP="00CD7CAC">
            <w:pPr>
              <w:widowControl/>
              <w:rPr>
                <w:kern w:val="0"/>
                <w:szCs w:val="22"/>
              </w:rPr>
            </w:pPr>
            <w:r w:rsidRPr="00C6580C">
              <w:rPr>
                <w:kern w:val="0"/>
                <w:szCs w:val="22"/>
              </w:rPr>
              <w:t>309a–329a–349a–369a–389a</w:t>
            </w:r>
          </w:p>
        </w:tc>
      </w:tr>
      <w:tr w:rsidR="00843FDA" w:rsidRPr="00C6580C" w14:paraId="6C31E45C" w14:textId="77777777">
        <w:tc>
          <w:tcPr>
            <w:tcW w:w="0" w:type="auto"/>
            <w:tcBorders>
              <w:top w:val="single" w:sz="4" w:space="0" w:color="000000"/>
              <w:left w:val="single" w:sz="4" w:space="0" w:color="000000"/>
              <w:bottom w:val="single" w:sz="4" w:space="0" w:color="000000"/>
              <w:right w:val="single" w:sz="4" w:space="0" w:color="000000"/>
            </w:tcBorders>
          </w:tcPr>
          <w:p w14:paraId="7438BBAE"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F84FEDB"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78F21F4F" w14:textId="77777777">
        <w:tc>
          <w:tcPr>
            <w:tcW w:w="0" w:type="auto"/>
            <w:tcBorders>
              <w:top w:val="single" w:sz="4" w:space="0" w:color="000000"/>
              <w:left w:val="single" w:sz="4" w:space="0" w:color="000000"/>
              <w:bottom w:val="single" w:sz="4" w:space="0" w:color="000000"/>
              <w:right w:val="single" w:sz="4" w:space="0" w:color="000000"/>
            </w:tcBorders>
          </w:tcPr>
          <w:p w14:paraId="51127E3A" w14:textId="77777777" w:rsidR="00843FDA" w:rsidRPr="00C6580C" w:rsidRDefault="00843FDA" w:rsidP="00CD7CAC">
            <w:pPr>
              <w:widowControl/>
              <w:rPr>
                <w:kern w:val="0"/>
                <w:szCs w:val="22"/>
              </w:rPr>
            </w:pPr>
            <w:r w:rsidRPr="00C6580C">
              <w:rPr>
                <w:kern w:val="0"/>
                <w:szCs w:val="22"/>
              </w:rPr>
              <w:t>310a</w:t>
            </w:r>
          </w:p>
        </w:tc>
        <w:tc>
          <w:tcPr>
            <w:tcW w:w="0" w:type="auto"/>
            <w:tcBorders>
              <w:top w:val="single" w:sz="4" w:space="0" w:color="000000"/>
              <w:left w:val="single" w:sz="4" w:space="0" w:color="000000"/>
              <w:bottom w:val="single" w:sz="4" w:space="0" w:color="000000"/>
              <w:right w:val="single" w:sz="4" w:space="0" w:color="000000"/>
            </w:tcBorders>
          </w:tcPr>
          <w:p w14:paraId="4D816AFC" w14:textId="77777777" w:rsidR="00843FDA" w:rsidRPr="00C6580C" w:rsidRDefault="00843FDA" w:rsidP="00CD7CAC">
            <w:pPr>
              <w:widowControl/>
              <w:rPr>
                <w:kern w:val="0"/>
                <w:szCs w:val="22"/>
              </w:rPr>
            </w:pPr>
            <w:r w:rsidRPr="00C6580C">
              <w:rPr>
                <w:kern w:val="0"/>
                <w:szCs w:val="22"/>
              </w:rPr>
              <w:t>310a–330a–350a–370a–390a</w:t>
            </w:r>
          </w:p>
        </w:tc>
      </w:tr>
      <w:tr w:rsidR="00843FDA" w:rsidRPr="00C6580C" w14:paraId="5ABCC046" w14:textId="77777777">
        <w:tc>
          <w:tcPr>
            <w:tcW w:w="0" w:type="auto"/>
            <w:tcBorders>
              <w:top w:val="single" w:sz="4" w:space="0" w:color="000000"/>
              <w:left w:val="single" w:sz="4" w:space="0" w:color="000000"/>
              <w:bottom w:val="single" w:sz="4" w:space="0" w:color="000000"/>
              <w:right w:val="single" w:sz="4" w:space="0" w:color="000000"/>
            </w:tcBorders>
          </w:tcPr>
          <w:p w14:paraId="7BA80AC3"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8B1DEC9"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64865A38" w14:textId="77777777">
        <w:tc>
          <w:tcPr>
            <w:tcW w:w="0" w:type="auto"/>
            <w:tcBorders>
              <w:top w:val="single" w:sz="4" w:space="0" w:color="000000"/>
              <w:left w:val="single" w:sz="4" w:space="0" w:color="000000"/>
              <w:bottom w:val="single" w:sz="4" w:space="0" w:color="000000"/>
              <w:right w:val="single" w:sz="4" w:space="0" w:color="000000"/>
            </w:tcBorders>
          </w:tcPr>
          <w:p w14:paraId="162935FE" w14:textId="77777777" w:rsidR="00843FDA" w:rsidRPr="00C6580C" w:rsidRDefault="00843FDA" w:rsidP="00CD7CAC">
            <w:pPr>
              <w:widowControl/>
              <w:rPr>
                <w:kern w:val="0"/>
                <w:szCs w:val="22"/>
              </w:rPr>
            </w:pPr>
            <w:r w:rsidRPr="00C6580C">
              <w:rPr>
                <w:kern w:val="0"/>
                <w:szCs w:val="22"/>
              </w:rPr>
              <w:t>313a</w:t>
            </w:r>
          </w:p>
        </w:tc>
        <w:tc>
          <w:tcPr>
            <w:tcW w:w="0" w:type="auto"/>
            <w:tcBorders>
              <w:top w:val="single" w:sz="4" w:space="0" w:color="000000"/>
              <w:left w:val="single" w:sz="4" w:space="0" w:color="000000"/>
              <w:bottom w:val="single" w:sz="4" w:space="0" w:color="000000"/>
              <w:right w:val="single" w:sz="4" w:space="0" w:color="000000"/>
            </w:tcBorders>
          </w:tcPr>
          <w:p w14:paraId="46090EB7" w14:textId="77777777" w:rsidR="00843FDA" w:rsidRPr="00C6580C" w:rsidRDefault="00843FDA" w:rsidP="00CD7CAC">
            <w:pPr>
              <w:widowControl/>
              <w:rPr>
                <w:kern w:val="0"/>
                <w:szCs w:val="22"/>
              </w:rPr>
            </w:pPr>
            <w:r w:rsidRPr="00C6580C">
              <w:rPr>
                <w:kern w:val="0"/>
                <w:szCs w:val="22"/>
              </w:rPr>
              <w:t>313a–353a–393a–441a–461a</w:t>
            </w:r>
          </w:p>
        </w:tc>
      </w:tr>
      <w:tr w:rsidR="00843FDA" w:rsidRPr="00C6580C" w14:paraId="582A5386" w14:textId="77777777">
        <w:tc>
          <w:tcPr>
            <w:tcW w:w="0" w:type="auto"/>
            <w:tcBorders>
              <w:top w:val="single" w:sz="4" w:space="0" w:color="000000"/>
              <w:left w:val="single" w:sz="4" w:space="0" w:color="000000"/>
              <w:bottom w:val="single" w:sz="4" w:space="0" w:color="000000"/>
              <w:right w:val="single" w:sz="4" w:space="0" w:color="000000"/>
            </w:tcBorders>
          </w:tcPr>
          <w:p w14:paraId="11400B16"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0F5FE51"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0049A815" w14:textId="77777777">
        <w:tc>
          <w:tcPr>
            <w:tcW w:w="0" w:type="auto"/>
            <w:tcBorders>
              <w:top w:val="single" w:sz="4" w:space="0" w:color="000000"/>
              <w:left w:val="single" w:sz="4" w:space="0" w:color="000000"/>
              <w:bottom w:val="single" w:sz="4" w:space="0" w:color="000000"/>
              <w:right w:val="single" w:sz="4" w:space="0" w:color="000000"/>
            </w:tcBorders>
          </w:tcPr>
          <w:p w14:paraId="6AD31D4F" w14:textId="77777777" w:rsidR="00843FDA" w:rsidRPr="00C6580C" w:rsidRDefault="00843FDA" w:rsidP="00CD7CAC">
            <w:pPr>
              <w:widowControl/>
              <w:rPr>
                <w:kern w:val="0"/>
                <w:szCs w:val="22"/>
              </w:rPr>
            </w:pPr>
            <w:r w:rsidRPr="00C6580C">
              <w:rPr>
                <w:kern w:val="0"/>
                <w:szCs w:val="22"/>
              </w:rPr>
              <w:t>314a</w:t>
            </w:r>
          </w:p>
        </w:tc>
        <w:tc>
          <w:tcPr>
            <w:tcW w:w="0" w:type="auto"/>
            <w:tcBorders>
              <w:top w:val="single" w:sz="4" w:space="0" w:color="000000"/>
              <w:left w:val="single" w:sz="4" w:space="0" w:color="000000"/>
              <w:bottom w:val="single" w:sz="4" w:space="0" w:color="000000"/>
              <w:right w:val="single" w:sz="4" w:space="0" w:color="000000"/>
            </w:tcBorders>
          </w:tcPr>
          <w:p w14:paraId="4018538A" w14:textId="77777777" w:rsidR="00843FDA" w:rsidRPr="00C6580C" w:rsidRDefault="00843FDA" w:rsidP="00CD7CAC">
            <w:pPr>
              <w:widowControl/>
              <w:rPr>
                <w:kern w:val="0"/>
                <w:szCs w:val="22"/>
              </w:rPr>
            </w:pPr>
            <w:r w:rsidRPr="00C6580C">
              <w:rPr>
                <w:kern w:val="0"/>
                <w:szCs w:val="22"/>
              </w:rPr>
              <w:t>314a–354a–394a–448a–468a</w:t>
            </w:r>
          </w:p>
        </w:tc>
      </w:tr>
      <w:tr w:rsidR="00843FDA" w:rsidRPr="00C6580C" w14:paraId="1C1E6A33" w14:textId="77777777">
        <w:tc>
          <w:tcPr>
            <w:tcW w:w="0" w:type="auto"/>
            <w:tcBorders>
              <w:top w:val="single" w:sz="4" w:space="0" w:color="000000"/>
              <w:left w:val="single" w:sz="4" w:space="0" w:color="000000"/>
              <w:bottom w:val="single" w:sz="4" w:space="0" w:color="000000"/>
              <w:right w:val="single" w:sz="4" w:space="0" w:color="000000"/>
            </w:tcBorders>
          </w:tcPr>
          <w:p w14:paraId="24C1E407"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D55B570"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22538749" w14:textId="77777777">
        <w:tc>
          <w:tcPr>
            <w:tcW w:w="0" w:type="auto"/>
            <w:tcBorders>
              <w:top w:val="single" w:sz="4" w:space="0" w:color="000000"/>
              <w:left w:val="single" w:sz="4" w:space="0" w:color="000000"/>
              <w:bottom w:val="single" w:sz="4" w:space="0" w:color="000000"/>
              <w:right w:val="single" w:sz="4" w:space="0" w:color="000000"/>
            </w:tcBorders>
          </w:tcPr>
          <w:p w14:paraId="55DCD834" w14:textId="77777777" w:rsidR="00843FDA" w:rsidRPr="00C6580C" w:rsidRDefault="00843FDA" w:rsidP="00CD7CAC">
            <w:pPr>
              <w:widowControl/>
              <w:rPr>
                <w:kern w:val="0"/>
                <w:szCs w:val="22"/>
              </w:rPr>
            </w:pPr>
            <w:r w:rsidRPr="00C6580C">
              <w:rPr>
                <w:kern w:val="0"/>
                <w:szCs w:val="22"/>
              </w:rPr>
              <w:t>321a</w:t>
            </w:r>
          </w:p>
        </w:tc>
        <w:tc>
          <w:tcPr>
            <w:tcW w:w="0" w:type="auto"/>
            <w:tcBorders>
              <w:top w:val="single" w:sz="4" w:space="0" w:color="000000"/>
              <w:left w:val="single" w:sz="4" w:space="0" w:color="000000"/>
              <w:bottom w:val="single" w:sz="4" w:space="0" w:color="000000"/>
              <w:right w:val="single" w:sz="4" w:space="0" w:color="000000"/>
            </w:tcBorders>
          </w:tcPr>
          <w:p w14:paraId="145F2D24" w14:textId="77777777" w:rsidR="00843FDA" w:rsidRPr="00C6580C" w:rsidRDefault="00843FDA" w:rsidP="00CD7CAC">
            <w:pPr>
              <w:widowControl/>
              <w:rPr>
                <w:kern w:val="0"/>
                <w:szCs w:val="22"/>
              </w:rPr>
            </w:pPr>
            <w:r w:rsidRPr="00C6580C">
              <w:rPr>
                <w:kern w:val="0"/>
                <w:szCs w:val="22"/>
              </w:rPr>
              <w:t>321a–341a–361a–381a–419a</w:t>
            </w:r>
          </w:p>
        </w:tc>
      </w:tr>
      <w:tr w:rsidR="00843FDA" w:rsidRPr="00C6580C" w14:paraId="2F023E41" w14:textId="77777777">
        <w:tc>
          <w:tcPr>
            <w:tcW w:w="0" w:type="auto"/>
            <w:tcBorders>
              <w:top w:val="single" w:sz="4" w:space="0" w:color="000000"/>
              <w:left w:val="single" w:sz="4" w:space="0" w:color="000000"/>
              <w:bottom w:val="single" w:sz="4" w:space="0" w:color="000000"/>
              <w:right w:val="single" w:sz="4" w:space="0" w:color="000000"/>
            </w:tcBorders>
          </w:tcPr>
          <w:p w14:paraId="7979C0C0"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EE47FA8"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69D07C1B" w14:textId="77777777">
        <w:tc>
          <w:tcPr>
            <w:tcW w:w="0" w:type="auto"/>
            <w:tcBorders>
              <w:top w:val="single" w:sz="4" w:space="0" w:color="000000"/>
              <w:left w:val="single" w:sz="4" w:space="0" w:color="000000"/>
              <w:bottom w:val="single" w:sz="4" w:space="0" w:color="000000"/>
              <w:right w:val="single" w:sz="4" w:space="0" w:color="000000"/>
            </w:tcBorders>
          </w:tcPr>
          <w:p w14:paraId="041AFE83" w14:textId="77777777" w:rsidR="00843FDA" w:rsidRPr="00C6580C" w:rsidRDefault="00843FDA" w:rsidP="00CD7CAC">
            <w:pPr>
              <w:widowControl/>
              <w:rPr>
                <w:kern w:val="0"/>
                <w:szCs w:val="22"/>
              </w:rPr>
            </w:pPr>
            <w:r w:rsidRPr="00C6580C">
              <w:rPr>
                <w:kern w:val="0"/>
                <w:szCs w:val="22"/>
              </w:rPr>
              <w:t>328a</w:t>
            </w:r>
          </w:p>
        </w:tc>
        <w:tc>
          <w:tcPr>
            <w:tcW w:w="0" w:type="auto"/>
            <w:tcBorders>
              <w:top w:val="single" w:sz="4" w:space="0" w:color="000000"/>
              <w:left w:val="single" w:sz="4" w:space="0" w:color="000000"/>
              <w:bottom w:val="single" w:sz="4" w:space="0" w:color="000000"/>
              <w:right w:val="single" w:sz="4" w:space="0" w:color="000000"/>
            </w:tcBorders>
          </w:tcPr>
          <w:p w14:paraId="1AA2923A" w14:textId="77777777" w:rsidR="00843FDA" w:rsidRPr="00C6580C" w:rsidRDefault="00843FDA" w:rsidP="00CD7CAC">
            <w:pPr>
              <w:widowControl/>
              <w:rPr>
                <w:kern w:val="0"/>
                <w:szCs w:val="22"/>
              </w:rPr>
            </w:pPr>
            <w:r w:rsidRPr="00C6580C">
              <w:rPr>
                <w:kern w:val="0"/>
                <w:szCs w:val="22"/>
              </w:rPr>
              <w:t>328a–348a–368a–388a–420a</w:t>
            </w:r>
          </w:p>
        </w:tc>
      </w:tr>
      <w:tr w:rsidR="00843FDA" w:rsidRPr="00C6580C" w14:paraId="3FF5792F" w14:textId="77777777">
        <w:tc>
          <w:tcPr>
            <w:tcW w:w="0" w:type="auto"/>
            <w:tcBorders>
              <w:top w:val="single" w:sz="4" w:space="0" w:color="000000"/>
              <w:left w:val="single" w:sz="4" w:space="0" w:color="000000"/>
              <w:bottom w:val="single" w:sz="4" w:space="0" w:color="000000"/>
              <w:right w:val="single" w:sz="4" w:space="0" w:color="000000"/>
            </w:tcBorders>
          </w:tcPr>
          <w:p w14:paraId="7E360B1F"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A559301"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54467A2B" w14:textId="77777777">
        <w:tc>
          <w:tcPr>
            <w:tcW w:w="0" w:type="auto"/>
            <w:tcBorders>
              <w:top w:val="single" w:sz="4" w:space="0" w:color="000000"/>
              <w:left w:val="single" w:sz="4" w:space="0" w:color="000000"/>
              <w:bottom w:val="single" w:sz="4" w:space="0" w:color="000000"/>
              <w:right w:val="single" w:sz="4" w:space="0" w:color="000000"/>
            </w:tcBorders>
          </w:tcPr>
          <w:p w14:paraId="4736E899" w14:textId="77777777" w:rsidR="00843FDA" w:rsidRPr="00C6580C" w:rsidRDefault="00843FDA" w:rsidP="00CD7CAC">
            <w:pPr>
              <w:widowControl/>
              <w:rPr>
                <w:kern w:val="0"/>
                <w:szCs w:val="22"/>
              </w:rPr>
            </w:pPr>
            <w:r w:rsidRPr="00C6580C">
              <w:rPr>
                <w:kern w:val="0"/>
                <w:szCs w:val="22"/>
              </w:rPr>
              <w:t>351a</w:t>
            </w:r>
          </w:p>
        </w:tc>
        <w:tc>
          <w:tcPr>
            <w:tcW w:w="0" w:type="auto"/>
            <w:tcBorders>
              <w:top w:val="single" w:sz="4" w:space="0" w:color="000000"/>
              <w:left w:val="single" w:sz="4" w:space="0" w:color="000000"/>
              <w:bottom w:val="single" w:sz="4" w:space="0" w:color="000000"/>
              <w:right w:val="single" w:sz="4" w:space="0" w:color="000000"/>
            </w:tcBorders>
          </w:tcPr>
          <w:p w14:paraId="20861E56" w14:textId="77777777" w:rsidR="00843FDA" w:rsidRPr="00C6580C" w:rsidRDefault="00843FDA" w:rsidP="00CD7CAC">
            <w:pPr>
              <w:widowControl/>
              <w:rPr>
                <w:kern w:val="0"/>
                <w:szCs w:val="22"/>
              </w:rPr>
            </w:pPr>
            <w:r w:rsidRPr="00C6580C">
              <w:rPr>
                <w:kern w:val="0"/>
                <w:szCs w:val="22"/>
              </w:rPr>
              <w:t>351a–379a–409a–429a–449a</w:t>
            </w:r>
          </w:p>
        </w:tc>
      </w:tr>
      <w:tr w:rsidR="00843FDA" w:rsidRPr="00C6580C" w14:paraId="0882C44E" w14:textId="77777777">
        <w:tc>
          <w:tcPr>
            <w:tcW w:w="0" w:type="auto"/>
            <w:tcBorders>
              <w:top w:val="single" w:sz="4" w:space="0" w:color="000000"/>
              <w:left w:val="single" w:sz="4" w:space="0" w:color="000000"/>
              <w:bottom w:val="single" w:sz="4" w:space="0" w:color="000000"/>
              <w:right w:val="single" w:sz="4" w:space="0" w:color="000000"/>
            </w:tcBorders>
          </w:tcPr>
          <w:p w14:paraId="2EC9B4EA"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B2E4110"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3EE130F7" w14:textId="77777777">
        <w:tc>
          <w:tcPr>
            <w:tcW w:w="0" w:type="auto"/>
            <w:tcBorders>
              <w:top w:val="single" w:sz="4" w:space="0" w:color="000000"/>
              <w:left w:val="single" w:sz="4" w:space="0" w:color="000000"/>
              <w:bottom w:val="single" w:sz="4" w:space="0" w:color="000000"/>
              <w:right w:val="single" w:sz="4" w:space="0" w:color="000000"/>
            </w:tcBorders>
          </w:tcPr>
          <w:p w14:paraId="1BB18E60" w14:textId="77777777" w:rsidR="00843FDA" w:rsidRPr="00C6580C" w:rsidRDefault="00843FDA" w:rsidP="00CD7CAC">
            <w:pPr>
              <w:widowControl/>
              <w:rPr>
                <w:kern w:val="0"/>
                <w:szCs w:val="22"/>
              </w:rPr>
            </w:pPr>
            <w:r w:rsidRPr="00C6580C">
              <w:rPr>
                <w:kern w:val="0"/>
                <w:szCs w:val="22"/>
              </w:rPr>
              <w:t>332a</w:t>
            </w:r>
          </w:p>
        </w:tc>
        <w:tc>
          <w:tcPr>
            <w:tcW w:w="0" w:type="auto"/>
            <w:tcBorders>
              <w:top w:val="single" w:sz="4" w:space="0" w:color="000000"/>
              <w:left w:val="single" w:sz="4" w:space="0" w:color="000000"/>
              <w:bottom w:val="single" w:sz="4" w:space="0" w:color="000000"/>
              <w:right w:val="single" w:sz="4" w:space="0" w:color="000000"/>
            </w:tcBorders>
          </w:tcPr>
          <w:p w14:paraId="05AFA889" w14:textId="77777777" w:rsidR="00843FDA" w:rsidRPr="00C6580C" w:rsidRDefault="00843FDA" w:rsidP="00CD7CAC">
            <w:pPr>
              <w:widowControl/>
              <w:rPr>
                <w:kern w:val="0"/>
                <w:szCs w:val="22"/>
              </w:rPr>
            </w:pPr>
            <w:r w:rsidRPr="00C6580C">
              <w:rPr>
                <w:kern w:val="0"/>
                <w:szCs w:val="22"/>
              </w:rPr>
              <w:t>352a–380a–410a–430a–450a</w:t>
            </w:r>
          </w:p>
        </w:tc>
      </w:tr>
      <w:tr w:rsidR="00843FDA" w:rsidRPr="00C6580C" w14:paraId="365D4819" w14:textId="77777777">
        <w:tc>
          <w:tcPr>
            <w:tcW w:w="0" w:type="auto"/>
            <w:tcBorders>
              <w:top w:val="single" w:sz="4" w:space="0" w:color="000000"/>
              <w:left w:val="single" w:sz="4" w:space="0" w:color="000000"/>
              <w:bottom w:val="single" w:sz="4" w:space="0" w:color="000000"/>
              <w:right w:val="single" w:sz="4" w:space="0" w:color="000000"/>
            </w:tcBorders>
          </w:tcPr>
          <w:p w14:paraId="6020391D" w14:textId="77777777" w:rsidR="00843FDA" w:rsidRPr="00C6580C" w:rsidRDefault="00843FDA" w:rsidP="00CD7CAC">
            <w:pPr>
              <w:widowControl/>
              <w:rPr>
                <w:kern w:val="0"/>
                <w:szCs w:val="22"/>
              </w:rPr>
            </w:pPr>
            <w:r w:rsidRPr="00C6580C">
              <w:rPr>
                <w:kern w:val="0"/>
                <w:szCs w:val="22"/>
              </w:rPr>
              <w:t>Single Channels</w:t>
            </w:r>
          </w:p>
        </w:tc>
        <w:tc>
          <w:tcPr>
            <w:tcW w:w="0" w:type="auto"/>
            <w:tcBorders>
              <w:top w:val="single" w:sz="4" w:space="0" w:color="000000"/>
              <w:left w:val="single" w:sz="4" w:space="0" w:color="000000"/>
              <w:bottom w:val="single" w:sz="4" w:space="0" w:color="000000"/>
              <w:right w:val="single" w:sz="4" w:space="0" w:color="000000"/>
            </w:tcBorders>
          </w:tcPr>
          <w:p w14:paraId="4F3BEF04" w14:textId="77777777" w:rsidR="00843FDA" w:rsidRPr="00C6580C" w:rsidRDefault="00843FDA" w:rsidP="00CD7CAC">
            <w:pPr>
              <w:widowControl/>
              <w:rPr>
                <w:kern w:val="0"/>
                <w:szCs w:val="22"/>
              </w:rPr>
            </w:pPr>
            <w:r w:rsidRPr="00C6580C">
              <w:rPr>
                <w:kern w:val="0"/>
                <w:szCs w:val="22"/>
              </w:rPr>
              <w:t xml:space="preserve">*** </w:t>
            </w:r>
          </w:p>
          <w:p w14:paraId="494D525B" w14:textId="77777777" w:rsidR="00843FDA" w:rsidRPr="00C6580C" w:rsidRDefault="00843FDA" w:rsidP="00CD7CAC">
            <w:pPr>
              <w:widowControl/>
              <w:rPr>
                <w:kern w:val="0"/>
                <w:szCs w:val="22"/>
              </w:rPr>
            </w:pPr>
            <w:r w:rsidRPr="00C6580C">
              <w:rPr>
                <w:kern w:val="0"/>
                <w:szCs w:val="22"/>
              </w:rPr>
              <w:t>391a, 392a, 401a, 408a, 421a, 428a, 459a, 460a, 469a, 470a</w:t>
            </w:r>
          </w:p>
        </w:tc>
      </w:tr>
    </w:tbl>
    <w:p w14:paraId="33A3B529" w14:textId="77777777" w:rsidR="00843FDA" w:rsidRPr="00A96110" w:rsidRDefault="00843FDA" w:rsidP="00CD7CAC">
      <w:pPr>
        <w:pStyle w:val="ParaNum"/>
        <w:widowControl/>
        <w:numPr>
          <w:ilvl w:val="0"/>
          <w:numId w:val="0"/>
        </w:numPr>
        <w:tabs>
          <w:tab w:val="left" w:pos="720"/>
        </w:tabs>
      </w:pPr>
    </w:p>
    <w:p w14:paraId="2A69A3B6" w14:textId="77777777" w:rsidR="00843FDA" w:rsidRPr="00A96110" w:rsidRDefault="00843FDA" w:rsidP="00CD7CAC">
      <w:pPr>
        <w:pStyle w:val="ParaNum"/>
        <w:widowControl/>
        <w:numPr>
          <w:ilvl w:val="0"/>
          <w:numId w:val="0"/>
        </w:numPr>
        <w:tabs>
          <w:tab w:val="left" w:pos="720"/>
        </w:tabs>
      </w:pPr>
      <w:r w:rsidRPr="00A96110">
        <w:tab/>
        <w:t>(2) * * *</w:t>
      </w:r>
    </w:p>
    <w:p w14:paraId="31BA5156"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1A—Public Safety Pool 806–816/851–861 MHz Band Channels for Counties in Southeastern U.S.</w:t>
      </w:r>
    </w:p>
    <w:p w14:paraId="53CF3060" w14:textId="77777777" w:rsidR="00843FDA" w:rsidRPr="00C6580C" w:rsidRDefault="00843FDA" w:rsidP="00CD7CAC">
      <w:pPr>
        <w:widowControl/>
        <w:spacing w:before="100" w:beforeAutospacing="1" w:after="100" w:afterAutospacing="1"/>
        <w:jc w:val="center"/>
        <w:rPr>
          <w:kern w:val="0"/>
          <w:szCs w:val="22"/>
        </w:rPr>
      </w:pPr>
      <w:r w:rsidRPr="00C6580C">
        <w:rPr>
          <w:kern w:val="0"/>
          <w:szCs w:val="22"/>
        </w:rPr>
        <w:t>[140 Channels]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2037"/>
        <w:gridCol w:w="7353"/>
      </w:tblGrid>
      <w:tr w:rsidR="00843FDA" w:rsidRPr="00C6580C" w14:paraId="1272C70C"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4E7FAE70" w14:textId="77777777" w:rsidR="00843FDA" w:rsidRPr="00C6580C" w:rsidRDefault="00843FDA" w:rsidP="00CD7CAC">
            <w:pPr>
              <w:widowControl/>
              <w:jc w:val="center"/>
              <w:rPr>
                <w:b/>
                <w:bCs/>
                <w:kern w:val="0"/>
                <w:szCs w:val="22"/>
              </w:rPr>
            </w:pPr>
            <w:r w:rsidRPr="00C6580C">
              <w:rPr>
                <w:b/>
                <w:bCs/>
                <w:kern w:val="0"/>
                <w:szCs w:val="22"/>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14:paraId="1353D72E" w14:textId="77777777" w:rsidR="00843FDA" w:rsidRPr="00C6580C" w:rsidRDefault="00843FDA" w:rsidP="00CD7CAC">
            <w:pPr>
              <w:widowControl/>
              <w:jc w:val="center"/>
              <w:rPr>
                <w:b/>
                <w:bCs/>
                <w:kern w:val="0"/>
                <w:szCs w:val="22"/>
              </w:rPr>
            </w:pPr>
            <w:r w:rsidRPr="00C6580C">
              <w:rPr>
                <w:b/>
                <w:bCs/>
                <w:kern w:val="0"/>
                <w:szCs w:val="22"/>
              </w:rPr>
              <w:t>Channel Nos.</w:t>
            </w:r>
          </w:p>
        </w:tc>
      </w:tr>
      <w:tr w:rsidR="00843FDA" w:rsidRPr="00C6580C" w14:paraId="28F74146" w14:textId="77777777">
        <w:tc>
          <w:tcPr>
            <w:tcW w:w="0" w:type="auto"/>
            <w:tcBorders>
              <w:top w:val="single" w:sz="4" w:space="0" w:color="000000"/>
              <w:left w:val="single" w:sz="4" w:space="0" w:color="000000"/>
              <w:bottom w:val="single" w:sz="4" w:space="0" w:color="000000"/>
              <w:right w:val="single" w:sz="4" w:space="0" w:color="000000"/>
            </w:tcBorders>
          </w:tcPr>
          <w:p w14:paraId="584AC7D6"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7E14A96"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6B0870DD" w14:textId="77777777">
        <w:tc>
          <w:tcPr>
            <w:tcW w:w="0" w:type="auto"/>
            <w:tcBorders>
              <w:top w:val="single" w:sz="4" w:space="0" w:color="000000"/>
              <w:left w:val="single" w:sz="4" w:space="0" w:color="000000"/>
              <w:bottom w:val="single" w:sz="4" w:space="0" w:color="000000"/>
              <w:right w:val="single" w:sz="4" w:space="0" w:color="000000"/>
            </w:tcBorders>
          </w:tcPr>
          <w:p w14:paraId="308FD9AC" w14:textId="77777777" w:rsidR="00843FDA" w:rsidRPr="00C6580C" w:rsidRDefault="00843FDA" w:rsidP="00CD7CAC">
            <w:pPr>
              <w:widowControl/>
              <w:rPr>
                <w:kern w:val="0"/>
                <w:szCs w:val="22"/>
              </w:rPr>
            </w:pPr>
            <w:r w:rsidRPr="00C6580C">
              <w:rPr>
                <w:kern w:val="0"/>
                <w:szCs w:val="22"/>
              </w:rPr>
              <w:t>261a</w:t>
            </w:r>
          </w:p>
        </w:tc>
        <w:tc>
          <w:tcPr>
            <w:tcW w:w="0" w:type="auto"/>
            <w:tcBorders>
              <w:top w:val="single" w:sz="4" w:space="0" w:color="000000"/>
              <w:left w:val="single" w:sz="4" w:space="0" w:color="000000"/>
              <w:bottom w:val="single" w:sz="4" w:space="0" w:color="000000"/>
              <w:right w:val="single" w:sz="4" w:space="0" w:color="000000"/>
            </w:tcBorders>
          </w:tcPr>
          <w:p w14:paraId="199E5AA7" w14:textId="77777777" w:rsidR="00843FDA" w:rsidRPr="00C6580C" w:rsidRDefault="00843FDA" w:rsidP="00CD7CAC">
            <w:pPr>
              <w:widowControl/>
              <w:rPr>
                <w:kern w:val="0"/>
                <w:szCs w:val="22"/>
              </w:rPr>
            </w:pPr>
            <w:r w:rsidRPr="00C6580C">
              <w:rPr>
                <w:kern w:val="0"/>
                <w:szCs w:val="22"/>
              </w:rPr>
              <w:t>261a–313a–324a–335a–353a</w:t>
            </w:r>
          </w:p>
        </w:tc>
      </w:tr>
      <w:tr w:rsidR="00843FDA" w:rsidRPr="00C6580C" w14:paraId="301DDCF8" w14:textId="77777777">
        <w:tc>
          <w:tcPr>
            <w:tcW w:w="0" w:type="auto"/>
            <w:tcBorders>
              <w:top w:val="single" w:sz="4" w:space="0" w:color="000000"/>
              <w:left w:val="single" w:sz="4" w:space="0" w:color="000000"/>
              <w:bottom w:val="single" w:sz="4" w:space="0" w:color="000000"/>
              <w:right w:val="single" w:sz="4" w:space="0" w:color="000000"/>
            </w:tcBorders>
          </w:tcPr>
          <w:p w14:paraId="3DDEB0F7"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337D61D"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7378C8F5" w14:textId="77777777">
        <w:tc>
          <w:tcPr>
            <w:tcW w:w="0" w:type="auto"/>
            <w:tcBorders>
              <w:top w:val="single" w:sz="4" w:space="0" w:color="000000"/>
              <w:left w:val="single" w:sz="4" w:space="0" w:color="000000"/>
              <w:bottom w:val="single" w:sz="4" w:space="0" w:color="000000"/>
              <w:right w:val="single" w:sz="4" w:space="0" w:color="000000"/>
            </w:tcBorders>
          </w:tcPr>
          <w:p w14:paraId="04B2E60C" w14:textId="77777777" w:rsidR="00843FDA" w:rsidRPr="00C6580C" w:rsidRDefault="00843FDA" w:rsidP="00CD7CAC">
            <w:pPr>
              <w:widowControl/>
              <w:rPr>
                <w:kern w:val="0"/>
                <w:szCs w:val="22"/>
              </w:rPr>
            </w:pPr>
            <w:r w:rsidRPr="00C6580C">
              <w:rPr>
                <w:kern w:val="0"/>
                <w:szCs w:val="22"/>
              </w:rPr>
              <w:t>262a</w:t>
            </w:r>
          </w:p>
        </w:tc>
        <w:tc>
          <w:tcPr>
            <w:tcW w:w="0" w:type="auto"/>
            <w:tcBorders>
              <w:top w:val="single" w:sz="4" w:space="0" w:color="000000"/>
              <w:left w:val="single" w:sz="4" w:space="0" w:color="000000"/>
              <w:bottom w:val="single" w:sz="4" w:space="0" w:color="000000"/>
              <w:right w:val="single" w:sz="4" w:space="0" w:color="000000"/>
            </w:tcBorders>
          </w:tcPr>
          <w:p w14:paraId="5E300691" w14:textId="77777777" w:rsidR="00843FDA" w:rsidRPr="00C6580C" w:rsidRDefault="00843FDA" w:rsidP="00CD7CAC">
            <w:pPr>
              <w:widowControl/>
              <w:rPr>
                <w:kern w:val="0"/>
                <w:szCs w:val="22"/>
              </w:rPr>
            </w:pPr>
            <w:r w:rsidRPr="00C6580C">
              <w:rPr>
                <w:kern w:val="0"/>
                <w:szCs w:val="22"/>
              </w:rPr>
              <w:t>262a–314a–325a–336a–354a</w:t>
            </w:r>
          </w:p>
        </w:tc>
      </w:tr>
      <w:tr w:rsidR="00843FDA" w:rsidRPr="00C6580C" w14:paraId="0DEF19B2" w14:textId="77777777">
        <w:tc>
          <w:tcPr>
            <w:tcW w:w="0" w:type="auto"/>
            <w:tcBorders>
              <w:top w:val="single" w:sz="4" w:space="0" w:color="000000"/>
              <w:left w:val="single" w:sz="4" w:space="0" w:color="000000"/>
              <w:bottom w:val="single" w:sz="4" w:space="0" w:color="000000"/>
              <w:right w:val="single" w:sz="4" w:space="0" w:color="000000"/>
            </w:tcBorders>
          </w:tcPr>
          <w:p w14:paraId="7BC24880"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7644D1C"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2B8224A0" w14:textId="77777777">
        <w:tc>
          <w:tcPr>
            <w:tcW w:w="0" w:type="auto"/>
            <w:tcBorders>
              <w:top w:val="single" w:sz="4" w:space="0" w:color="000000"/>
              <w:left w:val="single" w:sz="4" w:space="0" w:color="000000"/>
              <w:bottom w:val="single" w:sz="4" w:space="0" w:color="000000"/>
              <w:right w:val="single" w:sz="4" w:space="0" w:color="000000"/>
            </w:tcBorders>
          </w:tcPr>
          <w:p w14:paraId="28B97212" w14:textId="77777777" w:rsidR="00843FDA" w:rsidRPr="00C6580C" w:rsidRDefault="00843FDA" w:rsidP="00CD7CAC">
            <w:pPr>
              <w:widowControl/>
              <w:rPr>
                <w:kern w:val="0"/>
                <w:szCs w:val="22"/>
              </w:rPr>
            </w:pPr>
            <w:r w:rsidRPr="00C6580C">
              <w:rPr>
                <w:kern w:val="0"/>
                <w:szCs w:val="22"/>
              </w:rPr>
              <w:t>265a</w:t>
            </w:r>
          </w:p>
        </w:tc>
        <w:tc>
          <w:tcPr>
            <w:tcW w:w="0" w:type="auto"/>
            <w:tcBorders>
              <w:top w:val="single" w:sz="4" w:space="0" w:color="000000"/>
              <w:left w:val="single" w:sz="4" w:space="0" w:color="000000"/>
              <w:bottom w:val="single" w:sz="4" w:space="0" w:color="000000"/>
              <w:right w:val="single" w:sz="4" w:space="0" w:color="000000"/>
            </w:tcBorders>
          </w:tcPr>
          <w:p w14:paraId="6D59DD0D" w14:textId="77777777" w:rsidR="00843FDA" w:rsidRPr="00C6580C" w:rsidRDefault="00843FDA" w:rsidP="00CD7CAC">
            <w:pPr>
              <w:widowControl/>
              <w:rPr>
                <w:kern w:val="0"/>
                <w:szCs w:val="22"/>
              </w:rPr>
            </w:pPr>
            <w:r w:rsidRPr="00C6580C">
              <w:rPr>
                <w:kern w:val="0"/>
                <w:szCs w:val="22"/>
              </w:rPr>
              <w:t>265a–285a–315a–333a–351a</w:t>
            </w:r>
          </w:p>
        </w:tc>
      </w:tr>
      <w:tr w:rsidR="00843FDA" w:rsidRPr="00C6580C" w14:paraId="6D2B202B" w14:textId="77777777">
        <w:tc>
          <w:tcPr>
            <w:tcW w:w="0" w:type="auto"/>
            <w:tcBorders>
              <w:top w:val="single" w:sz="4" w:space="0" w:color="000000"/>
              <w:left w:val="single" w:sz="4" w:space="0" w:color="000000"/>
              <w:bottom w:val="single" w:sz="4" w:space="0" w:color="000000"/>
              <w:right w:val="single" w:sz="4" w:space="0" w:color="000000"/>
            </w:tcBorders>
          </w:tcPr>
          <w:p w14:paraId="3AC3CCFE"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49BEEF7"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3427025B" w14:textId="77777777">
        <w:tc>
          <w:tcPr>
            <w:tcW w:w="0" w:type="auto"/>
            <w:tcBorders>
              <w:top w:val="single" w:sz="4" w:space="0" w:color="000000"/>
              <w:left w:val="single" w:sz="4" w:space="0" w:color="000000"/>
              <w:bottom w:val="single" w:sz="4" w:space="0" w:color="000000"/>
              <w:right w:val="single" w:sz="4" w:space="0" w:color="000000"/>
            </w:tcBorders>
          </w:tcPr>
          <w:p w14:paraId="2A7DF26E" w14:textId="77777777" w:rsidR="00843FDA" w:rsidRPr="00C6580C" w:rsidRDefault="00843FDA" w:rsidP="00CD7CAC">
            <w:pPr>
              <w:widowControl/>
              <w:rPr>
                <w:kern w:val="0"/>
                <w:szCs w:val="22"/>
              </w:rPr>
            </w:pPr>
            <w:r w:rsidRPr="00C6580C">
              <w:rPr>
                <w:kern w:val="0"/>
                <w:szCs w:val="22"/>
              </w:rPr>
              <w:t>266a</w:t>
            </w:r>
          </w:p>
        </w:tc>
        <w:tc>
          <w:tcPr>
            <w:tcW w:w="0" w:type="auto"/>
            <w:tcBorders>
              <w:top w:val="single" w:sz="4" w:space="0" w:color="000000"/>
              <w:left w:val="single" w:sz="4" w:space="0" w:color="000000"/>
              <w:bottom w:val="single" w:sz="4" w:space="0" w:color="000000"/>
              <w:right w:val="single" w:sz="4" w:space="0" w:color="000000"/>
            </w:tcBorders>
          </w:tcPr>
          <w:p w14:paraId="3CCA3383" w14:textId="77777777" w:rsidR="00843FDA" w:rsidRPr="00C6580C" w:rsidRDefault="00843FDA" w:rsidP="00CD7CAC">
            <w:pPr>
              <w:widowControl/>
              <w:rPr>
                <w:kern w:val="0"/>
                <w:szCs w:val="22"/>
              </w:rPr>
            </w:pPr>
            <w:r w:rsidRPr="00C6580C">
              <w:rPr>
                <w:kern w:val="0"/>
                <w:szCs w:val="22"/>
              </w:rPr>
              <w:t>266a–286a–316a–334a–352a</w:t>
            </w:r>
          </w:p>
        </w:tc>
      </w:tr>
      <w:tr w:rsidR="00843FDA" w:rsidRPr="00C6580C" w14:paraId="7A33E78B" w14:textId="77777777">
        <w:tc>
          <w:tcPr>
            <w:tcW w:w="0" w:type="auto"/>
            <w:tcBorders>
              <w:top w:val="single" w:sz="4" w:space="0" w:color="000000"/>
              <w:left w:val="single" w:sz="4" w:space="0" w:color="000000"/>
              <w:bottom w:val="single" w:sz="4" w:space="0" w:color="000000"/>
              <w:right w:val="single" w:sz="4" w:space="0" w:color="000000"/>
            </w:tcBorders>
          </w:tcPr>
          <w:p w14:paraId="579227C3"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D0C415A"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65B2A493" w14:textId="77777777">
        <w:tc>
          <w:tcPr>
            <w:tcW w:w="0" w:type="auto"/>
            <w:tcBorders>
              <w:top w:val="single" w:sz="4" w:space="0" w:color="000000"/>
              <w:left w:val="single" w:sz="4" w:space="0" w:color="000000"/>
              <w:bottom w:val="single" w:sz="4" w:space="0" w:color="000000"/>
              <w:right w:val="single" w:sz="4" w:space="0" w:color="000000"/>
            </w:tcBorders>
          </w:tcPr>
          <w:p w14:paraId="3446B522" w14:textId="77777777" w:rsidR="00843FDA" w:rsidRPr="00C6580C" w:rsidRDefault="00843FDA" w:rsidP="00CD7CAC">
            <w:pPr>
              <w:widowControl/>
              <w:rPr>
                <w:kern w:val="0"/>
                <w:szCs w:val="22"/>
              </w:rPr>
            </w:pPr>
            <w:r w:rsidRPr="00C6580C">
              <w:rPr>
                <w:kern w:val="0"/>
                <w:szCs w:val="22"/>
              </w:rPr>
              <w:t>269a</w:t>
            </w:r>
          </w:p>
        </w:tc>
        <w:tc>
          <w:tcPr>
            <w:tcW w:w="0" w:type="auto"/>
            <w:tcBorders>
              <w:top w:val="single" w:sz="4" w:space="0" w:color="000000"/>
              <w:left w:val="single" w:sz="4" w:space="0" w:color="000000"/>
              <w:bottom w:val="single" w:sz="4" w:space="0" w:color="000000"/>
              <w:right w:val="single" w:sz="4" w:space="0" w:color="000000"/>
            </w:tcBorders>
          </w:tcPr>
          <w:p w14:paraId="179FBA16" w14:textId="77777777" w:rsidR="00843FDA" w:rsidRPr="00C6580C" w:rsidRDefault="00843FDA" w:rsidP="00CD7CAC">
            <w:pPr>
              <w:widowControl/>
              <w:rPr>
                <w:kern w:val="0"/>
                <w:szCs w:val="22"/>
              </w:rPr>
            </w:pPr>
            <w:r w:rsidRPr="00C6580C">
              <w:rPr>
                <w:kern w:val="0"/>
                <w:szCs w:val="22"/>
              </w:rPr>
              <w:t>269a–289a–311a–322a–357a</w:t>
            </w:r>
          </w:p>
        </w:tc>
      </w:tr>
      <w:tr w:rsidR="00843FDA" w:rsidRPr="00C6580C" w14:paraId="233BB6A7" w14:textId="77777777">
        <w:tc>
          <w:tcPr>
            <w:tcW w:w="0" w:type="auto"/>
            <w:tcBorders>
              <w:top w:val="single" w:sz="4" w:space="0" w:color="000000"/>
              <w:left w:val="single" w:sz="4" w:space="0" w:color="000000"/>
              <w:bottom w:val="single" w:sz="4" w:space="0" w:color="000000"/>
              <w:right w:val="single" w:sz="4" w:space="0" w:color="000000"/>
            </w:tcBorders>
          </w:tcPr>
          <w:p w14:paraId="1160794A"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D19D636"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7D782459" w14:textId="77777777">
        <w:tc>
          <w:tcPr>
            <w:tcW w:w="0" w:type="auto"/>
            <w:tcBorders>
              <w:top w:val="single" w:sz="4" w:space="0" w:color="000000"/>
              <w:left w:val="single" w:sz="4" w:space="0" w:color="000000"/>
              <w:bottom w:val="single" w:sz="4" w:space="0" w:color="000000"/>
              <w:right w:val="single" w:sz="4" w:space="0" w:color="000000"/>
            </w:tcBorders>
          </w:tcPr>
          <w:p w14:paraId="44DAE0C3" w14:textId="77777777" w:rsidR="00843FDA" w:rsidRPr="00C6580C" w:rsidRDefault="00843FDA" w:rsidP="00CD7CAC">
            <w:pPr>
              <w:widowControl/>
              <w:rPr>
                <w:kern w:val="0"/>
                <w:szCs w:val="22"/>
              </w:rPr>
            </w:pPr>
            <w:r w:rsidRPr="00C6580C">
              <w:rPr>
                <w:kern w:val="0"/>
                <w:szCs w:val="22"/>
              </w:rPr>
              <w:t>270a</w:t>
            </w:r>
          </w:p>
        </w:tc>
        <w:tc>
          <w:tcPr>
            <w:tcW w:w="0" w:type="auto"/>
            <w:tcBorders>
              <w:top w:val="single" w:sz="4" w:space="0" w:color="000000"/>
              <w:left w:val="single" w:sz="4" w:space="0" w:color="000000"/>
              <w:bottom w:val="single" w:sz="4" w:space="0" w:color="000000"/>
              <w:right w:val="single" w:sz="4" w:space="0" w:color="000000"/>
            </w:tcBorders>
          </w:tcPr>
          <w:p w14:paraId="1BED663E" w14:textId="77777777" w:rsidR="00843FDA" w:rsidRPr="00C6580C" w:rsidRDefault="00843FDA" w:rsidP="00CD7CAC">
            <w:pPr>
              <w:widowControl/>
              <w:rPr>
                <w:kern w:val="0"/>
                <w:szCs w:val="22"/>
              </w:rPr>
            </w:pPr>
            <w:r w:rsidRPr="00C6580C">
              <w:rPr>
                <w:kern w:val="0"/>
                <w:szCs w:val="22"/>
              </w:rPr>
              <w:t>270a–290a–312a–323a–355a</w:t>
            </w:r>
          </w:p>
        </w:tc>
      </w:tr>
      <w:tr w:rsidR="00843FDA" w:rsidRPr="00C6580C" w14:paraId="26CA295F" w14:textId="77777777">
        <w:tc>
          <w:tcPr>
            <w:tcW w:w="0" w:type="auto"/>
            <w:tcBorders>
              <w:top w:val="single" w:sz="4" w:space="0" w:color="000000"/>
              <w:left w:val="single" w:sz="4" w:space="0" w:color="000000"/>
              <w:bottom w:val="single" w:sz="4" w:space="0" w:color="000000"/>
              <w:right w:val="single" w:sz="4" w:space="0" w:color="000000"/>
            </w:tcBorders>
          </w:tcPr>
          <w:p w14:paraId="051763A5"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D566769"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56D1D198" w14:textId="77777777">
        <w:tc>
          <w:tcPr>
            <w:tcW w:w="0" w:type="auto"/>
            <w:tcBorders>
              <w:top w:val="single" w:sz="4" w:space="0" w:color="000000"/>
              <w:left w:val="single" w:sz="4" w:space="0" w:color="000000"/>
              <w:bottom w:val="single" w:sz="4" w:space="0" w:color="000000"/>
              <w:right w:val="single" w:sz="4" w:space="0" w:color="000000"/>
            </w:tcBorders>
          </w:tcPr>
          <w:p w14:paraId="34A1EFAA" w14:textId="77777777" w:rsidR="00843FDA" w:rsidRPr="00C6580C" w:rsidRDefault="00843FDA" w:rsidP="00CD7CAC">
            <w:pPr>
              <w:widowControl/>
              <w:rPr>
                <w:kern w:val="0"/>
                <w:szCs w:val="22"/>
              </w:rPr>
            </w:pPr>
            <w:r w:rsidRPr="00C6580C">
              <w:rPr>
                <w:kern w:val="0"/>
                <w:szCs w:val="22"/>
              </w:rPr>
              <w:t>271a</w:t>
            </w:r>
          </w:p>
        </w:tc>
        <w:tc>
          <w:tcPr>
            <w:tcW w:w="0" w:type="auto"/>
            <w:tcBorders>
              <w:top w:val="single" w:sz="4" w:space="0" w:color="000000"/>
              <w:left w:val="single" w:sz="4" w:space="0" w:color="000000"/>
              <w:bottom w:val="single" w:sz="4" w:space="0" w:color="000000"/>
              <w:right w:val="single" w:sz="4" w:space="0" w:color="000000"/>
            </w:tcBorders>
          </w:tcPr>
          <w:p w14:paraId="4374118B" w14:textId="77777777" w:rsidR="00843FDA" w:rsidRPr="00C6580C" w:rsidRDefault="00843FDA" w:rsidP="00CD7CAC">
            <w:pPr>
              <w:widowControl/>
              <w:rPr>
                <w:kern w:val="0"/>
                <w:szCs w:val="22"/>
              </w:rPr>
            </w:pPr>
            <w:r w:rsidRPr="00C6580C">
              <w:rPr>
                <w:kern w:val="0"/>
                <w:szCs w:val="22"/>
              </w:rPr>
              <w:t>271a–328a–348a–358a–368a</w:t>
            </w:r>
          </w:p>
        </w:tc>
      </w:tr>
      <w:tr w:rsidR="00843FDA" w:rsidRPr="00C6580C" w14:paraId="1EC2F9EC" w14:textId="77777777">
        <w:tc>
          <w:tcPr>
            <w:tcW w:w="0" w:type="auto"/>
            <w:tcBorders>
              <w:top w:val="single" w:sz="4" w:space="0" w:color="000000"/>
              <w:left w:val="single" w:sz="4" w:space="0" w:color="000000"/>
              <w:bottom w:val="single" w:sz="4" w:space="0" w:color="000000"/>
              <w:right w:val="single" w:sz="4" w:space="0" w:color="000000"/>
            </w:tcBorders>
          </w:tcPr>
          <w:p w14:paraId="4A6294BA"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2F07B9C"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23ABBF91" w14:textId="77777777">
        <w:tc>
          <w:tcPr>
            <w:tcW w:w="0" w:type="auto"/>
            <w:tcBorders>
              <w:top w:val="single" w:sz="4" w:space="0" w:color="000000"/>
              <w:left w:val="single" w:sz="4" w:space="0" w:color="000000"/>
              <w:bottom w:val="single" w:sz="4" w:space="0" w:color="000000"/>
              <w:right w:val="single" w:sz="4" w:space="0" w:color="000000"/>
            </w:tcBorders>
          </w:tcPr>
          <w:p w14:paraId="38FA9BF1" w14:textId="77777777" w:rsidR="00843FDA" w:rsidRPr="00C6580C" w:rsidRDefault="00843FDA" w:rsidP="00CD7CAC">
            <w:pPr>
              <w:widowControl/>
              <w:rPr>
                <w:kern w:val="0"/>
                <w:szCs w:val="22"/>
              </w:rPr>
            </w:pPr>
            <w:r w:rsidRPr="00C6580C">
              <w:rPr>
                <w:kern w:val="0"/>
                <w:szCs w:val="22"/>
              </w:rPr>
              <w:t>279a</w:t>
            </w:r>
          </w:p>
        </w:tc>
        <w:tc>
          <w:tcPr>
            <w:tcW w:w="0" w:type="auto"/>
            <w:tcBorders>
              <w:top w:val="single" w:sz="4" w:space="0" w:color="000000"/>
              <w:left w:val="single" w:sz="4" w:space="0" w:color="000000"/>
              <w:bottom w:val="single" w:sz="4" w:space="0" w:color="000000"/>
              <w:right w:val="single" w:sz="4" w:space="0" w:color="000000"/>
            </w:tcBorders>
          </w:tcPr>
          <w:p w14:paraId="013D31CA" w14:textId="77777777" w:rsidR="00843FDA" w:rsidRPr="00C6580C" w:rsidRDefault="00843FDA" w:rsidP="00CD7CAC">
            <w:pPr>
              <w:widowControl/>
              <w:rPr>
                <w:kern w:val="0"/>
                <w:szCs w:val="22"/>
              </w:rPr>
            </w:pPr>
            <w:r w:rsidRPr="00C6580C">
              <w:rPr>
                <w:kern w:val="0"/>
                <w:szCs w:val="22"/>
              </w:rPr>
              <w:t>279a–299a–317a–339a–359a</w:t>
            </w:r>
          </w:p>
        </w:tc>
      </w:tr>
      <w:tr w:rsidR="00843FDA" w:rsidRPr="00C6580C" w14:paraId="0C1EE404" w14:textId="77777777">
        <w:tc>
          <w:tcPr>
            <w:tcW w:w="0" w:type="auto"/>
            <w:tcBorders>
              <w:top w:val="single" w:sz="4" w:space="0" w:color="000000"/>
              <w:left w:val="single" w:sz="4" w:space="0" w:color="000000"/>
              <w:bottom w:val="single" w:sz="4" w:space="0" w:color="000000"/>
              <w:right w:val="single" w:sz="4" w:space="0" w:color="000000"/>
            </w:tcBorders>
          </w:tcPr>
          <w:p w14:paraId="0EE0E576"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4CF9F4B"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3326FBF4" w14:textId="77777777">
        <w:tc>
          <w:tcPr>
            <w:tcW w:w="0" w:type="auto"/>
            <w:tcBorders>
              <w:top w:val="single" w:sz="4" w:space="0" w:color="000000"/>
              <w:left w:val="single" w:sz="4" w:space="0" w:color="000000"/>
              <w:bottom w:val="single" w:sz="4" w:space="0" w:color="000000"/>
              <w:right w:val="single" w:sz="4" w:space="0" w:color="000000"/>
            </w:tcBorders>
          </w:tcPr>
          <w:p w14:paraId="181E2E7E" w14:textId="77777777" w:rsidR="00843FDA" w:rsidRPr="00C6580C" w:rsidRDefault="00843FDA" w:rsidP="00CD7CAC">
            <w:pPr>
              <w:widowControl/>
              <w:rPr>
                <w:kern w:val="0"/>
                <w:szCs w:val="22"/>
              </w:rPr>
            </w:pPr>
            <w:r w:rsidRPr="00C6580C">
              <w:rPr>
                <w:kern w:val="0"/>
                <w:szCs w:val="22"/>
              </w:rPr>
              <w:t>280a</w:t>
            </w:r>
          </w:p>
        </w:tc>
        <w:tc>
          <w:tcPr>
            <w:tcW w:w="0" w:type="auto"/>
            <w:tcBorders>
              <w:top w:val="single" w:sz="4" w:space="0" w:color="000000"/>
              <w:left w:val="single" w:sz="4" w:space="0" w:color="000000"/>
              <w:bottom w:val="single" w:sz="4" w:space="0" w:color="000000"/>
              <w:right w:val="single" w:sz="4" w:space="0" w:color="000000"/>
            </w:tcBorders>
          </w:tcPr>
          <w:p w14:paraId="58EA64B9" w14:textId="77777777" w:rsidR="00843FDA" w:rsidRPr="00C6580C" w:rsidRDefault="00843FDA" w:rsidP="00CD7CAC">
            <w:pPr>
              <w:widowControl/>
              <w:rPr>
                <w:kern w:val="0"/>
                <w:szCs w:val="22"/>
              </w:rPr>
            </w:pPr>
            <w:r w:rsidRPr="00C6580C">
              <w:rPr>
                <w:kern w:val="0"/>
                <w:szCs w:val="22"/>
              </w:rPr>
              <w:t>280a–300a–318a–340a–360a</w:t>
            </w:r>
          </w:p>
        </w:tc>
      </w:tr>
      <w:tr w:rsidR="00843FDA" w:rsidRPr="00C6580C" w14:paraId="51808768" w14:textId="77777777">
        <w:tc>
          <w:tcPr>
            <w:tcW w:w="0" w:type="auto"/>
            <w:tcBorders>
              <w:top w:val="single" w:sz="4" w:space="0" w:color="000000"/>
              <w:left w:val="single" w:sz="4" w:space="0" w:color="000000"/>
              <w:bottom w:val="single" w:sz="4" w:space="0" w:color="000000"/>
              <w:right w:val="single" w:sz="4" w:space="0" w:color="000000"/>
            </w:tcBorders>
          </w:tcPr>
          <w:p w14:paraId="799C84F2"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4A538CB"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0332C384" w14:textId="77777777">
        <w:tc>
          <w:tcPr>
            <w:tcW w:w="0" w:type="auto"/>
            <w:tcBorders>
              <w:top w:val="single" w:sz="4" w:space="0" w:color="000000"/>
              <w:left w:val="single" w:sz="4" w:space="0" w:color="000000"/>
              <w:bottom w:val="single" w:sz="4" w:space="0" w:color="000000"/>
              <w:right w:val="single" w:sz="4" w:space="0" w:color="000000"/>
            </w:tcBorders>
          </w:tcPr>
          <w:p w14:paraId="4AD77B72" w14:textId="77777777" w:rsidR="00843FDA" w:rsidRPr="00C6580C" w:rsidRDefault="00843FDA" w:rsidP="00CD7CAC">
            <w:pPr>
              <w:widowControl/>
              <w:rPr>
                <w:kern w:val="0"/>
                <w:szCs w:val="22"/>
              </w:rPr>
            </w:pPr>
            <w:r w:rsidRPr="00C6580C">
              <w:rPr>
                <w:kern w:val="0"/>
                <w:szCs w:val="22"/>
              </w:rPr>
              <w:t>309a</w:t>
            </w:r>
          </w:p>
        </w:tc>
        <w:tc>
          <w:tcPr>
            <w:tcW w:w="0" w:type="auto"/>
            <w:tcBorders>
              <w:top w:val="single" w:sz="4" w:space="0" w:color="000000"/>
              <w:left w:val="single" w:sz="4" w:space="0" w:color="000000"/>
              <w:bottom w:val="single" w:sz="4" w:space="0" w:color="000000"/>
              <w:right w:val="single" w:sz="4" w:space="0" w:color="000000"/>
            </w:tcBorders>
          </w:tcPr>
          <w:p w14:paraId="47A79603" w14:textId="77777777" w:rsidR="00843FDA" w:rsidRPr="00C6580C" w:rsidRDefault="00843FDA" w:rsidP="00CD7CAC">
            <w:pPr>
              <w:widowControl/>
              <w:rPr>
                <w:kern w:val="0"/>
                <w:szCs w:val="22"/>
              </w:rPr>
            </w:pPr>
            <w:r w:rsidRPr="00C6580C">
              <w:rPr>
                <w:kern w:val="0"/>
                <w:szCs w:val="22"/>
              </w:rPr>
              <w:t>309a–319a–329a–349a–369a</w:t>
            </w:r>
          </w:p>
        </w:tc>
      </w:tr>
      <w:tr w:rsidR="00843FDA" w:rsidRPr="00C6580C" w14:paraId="385C352E" w14:textId="77777777">
        <w:tc>
          <w:tcPr>
            <w:tcW w:w="0" w:type="auto"/>
            <w:tcBorders>
              <w:top w:val="single" w:sz="4" w:space="0" w:color="000000"/>
              <w:left w:val="single" w:sz="4" w:space="0" w:color="000000"/>
              <w:bottom w:val="single" w:sz="4" w:space="0" w:color="000000"/>
              <w:right w:val="single" w:sz="4" w:space="0" w:color="000000"/>
            </w:tcBorders>
          </w:tcPr>
          <w:p w14:paraId="4D834AEF"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0DEA491"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31CE1872" w14:textId="77777777">
        <w:tc>
          <w:tcPr>
            <w:tcW w:w="0" w:type="auto"/>
            <w:tcBorders>
              <w:top w:val="single" w:sz="4" w:space="0" w:color="000000"/>
              <w:left w:val="single" w:sz="4" w:space="0" w:color="000000"/>
              <w:bottom w:val="single" w:sz="4" w:space="0" w:color="000000"/>
              <w:right w:val="single" w:sz="4" w:space="0" w:color="000000"/>
            </w:tcBorders>
          </w:tcPr>
          <w:p w14:paraId="4470EBC5" w14:textId="77777777" w:rsidR="00843FDA" w:rsidRPr="00C6580C" w:rsidRDefault="00843FDA" w:rsidP="00CD7CAC">
            <w:pPr>
              <w:widowControl/>
              <w:rPr>
                <w:kern w:val="0"/>
                <w:szCs w:val="22"/>
              </w:rPr>
            </w:pPr>
            <w:r w:rsidRPr="00C6580C">
              <w:rPr>
                <w:kern w:val="0"/>
                <w:szCs w:val="22"/>
              </w:rPr>
              <w:t>310a</w:t>
            </w:r>
          </w:p>
        </w:tc>
        <w:tc>
          <w:tcPr>
            <w:tcW w:w="0" w:type="auto"/>
            <w:tcBorders>
              <w:top w:val="single" w:sz="4" w:space="0" w:color="000000"/>
              <w:left w:val="single" w:sz="4" w:space="0" w:color="000000"/>
              <w:bottom w:val="single" w:sz="4" w:space="0" w:color="000000"/>
              <w:right w:val="single" w:sz="4" w:space="0" w:color="000000"/>
            </w:tcBorders>
          </w:tcPr>
          <w:p w14:paraId="3B11B80A" w14:textId="77777777" w:rsidR="00843FDA" w:rsidRPr="00C6580C" w:rsidRDefault="00843FDA" w:rsidP="00CD7CAC">
            <w:pPr>
              <w:widowControl/>
              <w:rPr>
                <w:kern w:val="0"/>
                <w:szCs w:val="22"/>
              </w:rPr>
            </w:pPr>
            <w:r w:rsidRPr="00C6580C">
              <w:rPr>
                <w:kern w:val="0"/>
                <w:szCs w:val="22"/>
              </w:rPr>
              <w:t>310a–320a–330a–350a–370a</w:t>
            </w:r>
          </w:p>
        </w:tc>
      </w:tr>
      <w:tr w:rsidR="00843FDA" w:rsidRPr="00C6580C" w14:paraId="0B05173E" w14:textId="77777777">
        <w:tc>
          <w:tcPr>
            <w:tcW w:w="0" w:type="auto"/>
            <w:tcBorders>
              <w:top w:val="single" w:sz="4" w:space="0" w:color="000000"/>
              <w:left w:val="single" w:sz="4" w:space="0" w:color="000000"/>
              <w:bottom w:val="single" w:sz="4" w:space="0" w:color="000000"/>
              <w:right w:val="single" w:sz="4" w:space="0" w:color="000000"/>
            </w:tcBorders>
          </w:tcPr>
          <w:p w14:paraId="4A8CABD3"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1A89266"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1BF2797A" w14:textId="77777777">
        <w:tc>
          <w:tcPr>
            <w:tcW w:w="0" w:type="auto"/>
            <w:tcBorders>
              <w:top w:val="single" w:sz="4" w:space="0" w:color="000000"/>
              <w:left w:val="single" w:sz="4" w:space="0" w:color="000000"/>
              <w:bottom w:val="single" w:sz="4" w:space="0" w:color="000000"/>
              <w:right w:val="single" w:sz="4" w:space="0" w:color="000000"/>
            </w:tcBorders>
          </w:tcPr>
          <w:p w14:paraId="5D59643D" w14:textId="77777777" w:rsidR="00843FDA" w:rsidRPr="00C6580C" w:rsidRDefault="00843FDA" w:rsidP="00CD7CAC">
            <w:pPr>
              <w:widowControl/>
              <w:rPr>
                <w:kern w:val="0"/>
                <w:szCs w:val="22"/>
              </w:rPr>
            </w:pPr>
            <w:r w:rsidRPr="00C6580C">
              <w:rPr>
                <w:kern w:val="0"/>
                <w:szCs w:val="22"/>
              </w:rPr>
              <w:t>321a</w:t>
            </w:r>
          </w:p>
        </w:tc>
        <w:tc>
          <w:tcPr>
            <w:tcW w:w="0" w:type="auto"/>
            <w:tcBorders>
              <w:top w:val="single" w:sz="4" w:space="0" w:color="000000"/>
              <w:left w:val="single" w:sz="4" w:space="0" w:color="000000"/>
              <w:bottom w:val="single" w:sz="4" w:space="0" w:color="000000"/>
              <w:right w:val="single" w:sz="4" w:space="0" w:color="000000"/>
            </w:tcBorders>
          </w:tcPr>
          <w:p w14:paraId="49675346" w14:textId="77777777" w:rsidR="00843FDA" w:rsidRPr="00C6580C" w:rsidRDefault="00843FDA" w:rsidP="00CD7CAC">
            <w:pPr>
              <w:widowControl/>
              <w:rPr>
                <w:kern w:val="0"/>
                <w:szCs w:val="22"/>
              </w:rPr>
            </w:pPr>
            <w:r w:rsidRPr="00C6580C">
              <w:rPr>
                <w:kern w:val="0"/>
                <w:szCs w:val="22"/>
              </w:rPr>
              <w:t>321a–331a–341a–361a–372a</w:t>
            </w:r>
          </w:p>
        </w:tc>
      </w:tr>
      <w:tr w:rsidR="00843FDA" w:rsidRPr="00C6580C" w14:paraId="3D05506A" w14:textId="77777777">
        <w:tc>
          <w:tcPr>
            <w:tcW w:w="0" w:type="auto"/>
            <w:tcBorders>
              <w:top w:val="single" w:sz="4" w:space="0" w:color="000000"/>
              <w:left w:val="single" w:sz="4" w:space="0" w:color="000000"/>
              <w:bottom w:val="single" w:sz="4" w:space="0" w:color="000000"/>
              <w:right w:val="single" w:sz="4" w:space="0" w:color="000000"/>
            </w:tcBorders>
          </w:tcPr>
          <w:p w14:paraId="402AF704" w14:textId="77777777" w:rsidR="00843FDA" w:rsidRPr="00C6580C" w:rsidRDefault="00843FDA" w:rsidP="00CD7CAC">
            <w:pPr>
              <w:widowControl/>
              <w:rPr>
                <w:kern w:val="0"/>
                <w:szCs w:val="22"/>
              </w:rPr>
            </w:pPr>
            <w:r w:rsidRPr="00C6580C">
              <w:rPr>
                <w:kern w:val="0"/>
                <w:szCs w:val="22"/>
              </w:rPr>
              <w:t>Single Channels</w:t>
            </w:r>
          </w:p>
        </w:tc>
        <w:tc>
          <w:tcPr>
            <w:tcW w:w="0" w:type="auto"/>
            <w:tcBorders>
              <w:top w:val="single" w:sz="4" w:space="0" w:color="000000"/>
              <w:left w:val="single" w:sz="4" w:space="0" w:color="000000"/>
              <w:bottom w:val="single" w:sz="4" w:space="0" w:color="000000"/>
              <w:right w:val="single" w:sz="4" w:space="0" w:color="000000"/>
            </w:tcBorders>
          </w:tcPr>
          <w:p w14:paraId="4B53290C" w14:textId="77777777" w:rsidR="00843FDA" w:rsidRPr="00C6580C" w:rsidRDefault="00843FDA" w:rsidP="00CD7CAC">
            <w:pPr>
              <w:widowControl/>
              <w:rPr>
                <w:kern w:val="0"/>
                <w:szCs w:val="22"/>
              </w:rPr>
            </w:pPr>
            <w:r w:rsidRPr="00C6580C">
              <w:rPr>
                <w:kern w:val="0"/>
                <w:szCs w:val="22"/>
              </w:rPr>
              <w:t xml:space="preserve">*** </w:t>
            </w:r>
          </w:p>
          <w:p w14:paraId="505A8DF8" w14:textId="77777777" w:rsidR="00843FDA" w:rsidRPr="00C6580C" w:rsidRDefault="00843FDA" w:rsidP="00CD7CAC">
            <w:pPr>
              <w:widowControl/>
              <w:rPr>
                <w:kern w:val="0"/>
                <w:szCs w:val="22"/>
              </w:rPr>
            </w:pPr>
            <w:r w:rsidRPr="00C6580C">
              <w:rPr>
                <w:kern w:val="0"/>
                <w:szCs w:val="22"/>
              </w:rPr>
              <w:t>326a, 327a, 332a, 337a, 338a, 342a, 343a, 344a, 345a, 356a</w:t>
            </w:r>
          </w:p>
        </w:tc>
      </w:tr>
    </w:tbl>
    <w:p w14:paraId="0FEACCE0" w14:textId="77777777" w:rsidR="00843FDA" w:rsidRPr="00A96110" w:rsidRDefault="00843FDA" w:rsidP="00CD7CAC">
      <w:pPr>
        <w:pStyle w:val="ParaNum"/>
        <w:widowControl/>
        <w:numPr>
          <w:ilvl w:val="0"/>
          <w:numId w:val="0"/>
        </w:numPr>
        <w:tabs>
          <w:tab w:val="left" w:pos="720"/>
        </w:tabs>
      </w:pPr>
    </w:p>
    <w:p w14:paraId="3DC26319" w14:textId="77777777" w:rsidR="00843FDA" w:rsidRPr="00A96110" w:rsidRDefault="00843FDA" w:rsidP="00CD7CAC">
      <w:pPr>
        <w:pStyle w:val="ParaNum"/>
        <w:widowControl/>
        <w:numPr>
          <w:ilvl w:val="0"/>
          <w:numId w:val="0"/>
        </w:numPr>
        <w:tabs>
          <w:tab w:val="left" w:pos="720"/>
        </w:tabs>
      </w:pPr>
      <w:r w:rsidRPr="00A96110">
        <w:tab/>
        <w:t>(3) * * *</w:t>
      </w:r>
    </w:p>
    <w:p w14:paraId="656098FC"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1B—Public Safety Pool 806–816/851–861 MHz Band Channels for Atlanta, GA</w:t>
      </w:r>
    </w:p>
    <w:p w14:paraId="45D9F2C2" w14:textId="77777777" w:rsidR="00843FDA" w:rsidRPr="00C6580C" w:rsidRDefault="00843FDA" w:rsidP="00CD7CAC">
      <w:pPr>
        <w:widowControl/>
        <w:spacing w:before="100" w:beforeAutospacing="1" w:after="100" w:afterAutospacing="1"/>
        <w:jc w:val="center"/>
        <w:rPr>
          <w:kern w:val="0"/>
          <w:szCs w:val="22"/>
        </w:rPr>
      </w:pPr>
      <w:r w:rsidRPr="00C6580C">
        <w:rPr>
          <w:kern w:val="0"/>
          <w:szCs w:val="22"/>
        </w:rPr>
        <w:t>[140 Channels]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2037"/>
        <w:gridCol w:w="7353"/>
      </w:tblGrid>
      <w:tr w:rsidR="00843FDA" w:rsidRPr="00C6580C" w14:paraId="73978E04"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5542D5F1" w14:textId="77777777" w:rsidR="00843FDA" w:rsidRPr="00C6580C" w:rsidRDefault="00843FDA" w:rsidP="00CD7CAC">
            <w:pPr>
              <w:widowControl/>
              <w:jc w:val="center"/>
              <w:rPr>
                <w:b/>
                <w:bCs/>
                <w:kern w:val="0"/>
                <w:szCs w:val="22"/>
              </w:rPr>
            </w:pPr>
            <w:r w:rsidRPr="00C6580C">
              <w:rPr>
                <w:b/>
                <w:bCs/>
                <w:kern w:val="0"/>
                <w:szCs w:val="22"/>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14:paraId="001653C0" w14:textId="77777777" w:rsidR="00843FDA" w:rsidRPr="00C6580C" w:rsidRDefault="00843FDA" w:rsidP="00CD7CAC">
            <w:pPr>
              <w:widowControl/>
              <w:jc w:val="center"/>
              <w:rPr>
                <w:b/>
                <w:bCs/>
                <w:kern w:val="0"/>
                <w:szCs w:val="22"/>
              </w:rPr>
            </w:pPr>
            <w:r w:rsidRPr="00C6580C">
              <w:rPr>
                <w:b/>
                <w:bCs/>
                <w:kern w:val="0"/>
                <w:szCs w:val="22"/>
              </w:rPr>
              <w:t>Channel Nos.</w:t>
            </w:r>
          </w:p>
        </w:tc>
      </w:tr>
      <w:tr w:rsidR="00843FDA" w:rsidRPr="00C6580C" w14:paraId="35BC93CC" w14:textId="77777777">
        <w:tc>
          <w:tcPr>
            <w:tcW w:w="0" w:type="auto"/>
            <w:tcBorders>
              <w:top w:val="single" w:sz="4" w:space="0" w:color="000000"/>
              <w:left w:val="single" w:sz="4" w:space="0" w:color="000000"/>
              <w:bottom w:val="single" w:sz="4" w:space="0" w:color="000000"/>
              <w:right w:val="single" w:sz="4" w:space="0" w:color="000000"/>
            </w:tcBorders>
          </w:tcPr>
          <w:p w14:paraId="1830222C"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99BB6B3"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063A5CE8" w14:textId="77777777">
        <w:tc>
          <w:tcPr>
            <w:tcW w:w="0" w:type="auto"/>
            <w:tcBorders>
              <w:top w:val="single" w:sz="4" w:space="0" w:color="000000"/>
              <w:left w:val="single" w:sz="4" w:space="0" w:color="000000"/>
              <w:bottom w:val="single" w:sz="4" w:space="0" w:color="000000"/>
              <w:right w:val="single" w:sz="4" w:space="0" w:color="000000"/>
            </w:tcBorders>
          </w:tcPr>
          <w:p w14:paraId="1E7EB761" w14:textId="77777777" w:rsidR="00843FDA" w:rsidRPr="00C6580C" w:rsidRDefault="00843FDA" w:rsidP="00CD7CAC">
            <w:pPr>
              <w:widowControl/>
              <w:rPr>
                <w:kern w:val="0"/>
                <w:szCs w:val="22"/>
              </w:rPr>
            </w:pPr>
            <w:r w:rsidRPr="00C6580C">
              <w:rPr>
                <w:kern w:val="0"/>
                <w:szCs w:val="22"/>
              </w:rPr>
              <w:t>261a</w:t>
            </w:r>
          </w:p>
        </w:tc>
        <w:tc>
          <w:tcPr>
            <w:tcW w:w="0" w:type="auto"/>
            <w:tcBorders>
              <w:top w:val="single" w:sz="4" w:space="0" w:color="000000"/>
              <w:left w:val="single" w:sz="4" w:space="0" w:color="000000"/>
              <w:bottom w:val="single" w:sz="4" w:space="0" w:color="000000"/>
              <w:right w:val="single" w:sz="4" w:space="0" w:color="000000"/>
            </w:tcBorders>
          </w:tcPr>
          <w:p w14:paraId="7E4DB58A" w14:textId="77777777" w:rsidR="00843FDA" w:rsidRPr="00C6580C" w:rsidRDefault="00843FDA" w:rsidP="00CD7CAC">
            <w:pPr>
              <w:widowControl/>
              <w:rPr>
                <w:kern w:val="0"/>
                <w:szCs w:val="22"/>
              </w:rPr>
            </w:pPr>
            <w:r w:rsidRPr="00C6580C">
              <w:rPr>
                <w:kern w:val="0"/>
                <w:szCs w:val="22"/>
              </w:rPr>
              <w:t>261a–313a–324a–335a–353a</w:t>
            </w:r>
          </w:p>
        </w:tc>
      </w:tr>
      <w:tr w:rsidR="00843FDA" w:rsidRPr="00C6580C" w14:paraId="2B1FF04B" w14:textId="77777777">
        <w:tc>
          <w:tcPr>
            <w:tcW w:w="0" w:type="auto"/>
            <w:tcBorders>
              <w:top w:val="single" w:sz="4" w:space="0" w:color="000000"/>
              <w:left w:val="single" w:sz="4" w:space="0" w:color="000000"/>
              <w:bottom w:val="single" w:sz="4" w:space="0" w:color="000000"/>
              <w:right w:val="single" w:sz="4" w:space="0" w:color="000000"/>
            </w:tcBorders>
          </w:tcPr>
          <w:p w14:paraId="080AE7CF"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56B942B"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2421648F" w14:textId="77777777">
        <w:tc>
          <w:tcPr>
            <w:tcW w:w="0" w:type="auto"/>
            <w:tcBorders>
              <w:top w:val="single" w:sz="4" w:space="0" w:color="000000"/>
              <w:left w:val="single" w:sz="4" w:space="0" w:color="000000"/>
              <w:bottom w:val="single" w:sz="4" w:space="0" w:color="000000"/>
              <w:right w:val="single" w:sz="4" w:space="0" w:color="000000"/>
            </w:tcBorders>
          </w:tcPr>
          <w:p w14:paraId="03522958" w14:textId="77777777" w:rsidR="00843FDA" w:rsidRPr="00C6580C" w:rsidRDefault="00843FDA" w:rsidP="00CD7CAC">
            <w:pPr>
              <w:widowControl/>
              <w:rPr>
                <w:kern w:val="0"/>
                <w:szCs w:val="22"/>
              </w:rPr>
            </w:pPr>
            <w:r w:rsidRPr="00C6580C">
              <w:rPr>
                <w:kern w:val="0"/>
                <w:szCs w:val="22"/>
              </w:rPr>
              <w:t>262a</w:t>
            </w:r>
          </w:p>
        </w:tc>
        <w:tc>
          <w:tcPr>
            <w:tcW w:w="0" w:type="auto"/>
            <w:tcBorders>
              <w:top w:val="single" w:sz="4" w:space="0" w:color="000000"/>
              <w:left w:val="single" w:sz="4" w:space="0" w:color="000000"/>
              <w:bottom w:val="single" w:sz="4" w:space="0" w:color="000000"/>
              <w:right w:val="single" w:sz="4" w:space="0" w:color="000000"/>
            </w:tcBorders>
          </w:tcPr>
          <w:p w14:paraId="0208BC03" w14:textId="77777777" w:rsidR="00843FDA" w:rsidRPr="00C6580C" w:rsidRDefault="00843FDA" w:rsidP="00CD7CAC">
            <w:pPr>
              <w:widowControl/>
              <w:rPr>
                <w:kern w:val="0"/>
                <w:szCs w:val="22"/>
              </w:rPr>
            </w:pPr>
            <w:r w:rsidRPr="00C6580C">
              <w:rPr>
                <w:kern w:val="0"/>
                <w:szCs w:val="22"/>
              </w:rPr>
              <w:t>262a–314a–325a–336a–354a</w:t>
            </w:r>
          </w:p>
        </w:tc>
      </w:tr>
      <w:tr w:rsidR="00843FDA" w:rsidRPr="00C6580C" w14:paraId="34A6365B" w14:textId="77777777">
        <w:tc>
          <w:tcPr>
            <w:tcW w:w="0" w:type="auto"/>
            <w:tcBorders>
              <w:top w:val="single" w:sz="4" w:space="0" w:color="000000"/>
              <w:left w:val="single" w:sz="4" w:space="0" w:color="000000"/>
              <w:bottom w:val="single" w:sz="4" w:space="0" w:color="000000"/>
              <w:right w:val="single" w:sz="4" w:space="0" w:color="000000"/>
            </w:tcBorders>
          </w:tcPr>
          <w:p w14:paraId="301B8588"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ADE7E76"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76375B3C" w14:textId="77777777">
        <w:tc>
          <w:tcPr>
            <w:tcW w:w="0" w:type="auto"/>
            <w:tcBorders>
              <w:top w:val="single" w:sz="4" w:space="0" w:color="000000"/>
              <w:left w:val="single" w:sz="4" w:space="0" w:color="000000"/>
              <w:bottom w:val="single" w:sz="4" w:space="0" w:color="000000"/>
              <w:right w:val="single" w:sz="4" w:space="0" w:color="000000"/>
            </w:tcBorders>
          </w:tcPr>
          <w:p w14:paraId="67801174" w14:textId="77777777" w:rsidR="00843FDA" w:rsidRPr="00C6580C" w:rsidRDefault="00843FDA" w:rsidP="00CD7CAC">
            <w:pPr>
              <w:widowControl/>
              <w:rPr>
                <w:kern w:val="0"/>
                <w:szCs w:val="22"/>
              </w:rPr>
            </w:pPr>
            <w:r w:rsidRPr="00C6580C">
              <w:rPr>
                <w:kern w:val="0"/>
                <w:szCs w:val="22"/>
              </w:rPr>
              <w:t>269a</w:t>
            </w:r>
          </w:p>
        </w:tc>
        <w:tc>
          <w:tcPr>
            <w:tcW w:w="0" w:type="auto"/>
            <w:tcBorders>
              <w:top w:val="single" w:sz="4" w:space="0" w:color="000000"/>
              <w:left w:val="single" w:sz="4" w:space="0" w:color="000000"/>
              <w:bottom w:val="single" w:sz="4" w:space="0" w:color="000000"/>
              <w:right w:val="single" w:sz="4" w:space="0" w:color="000000"/>
            </w:tcBorders>
          </w:tcPr>
          <w:p w14:paraId="372A8B86" w14:textId="77777777" w:rsidR="00843FDA" w:rsidRPr="00C6580C" w:rsidRDefault="00843FDA" w:rsidP="00CD7CAC">
            <w:pPr>
              <w:widowControl/>
              <w:rPr>
                <w:kern w:val="0"/>
                <w:szCs w:val="22"/>
              </w:rPr>
            </w:pPr>
            <w:r w:rsidRPr="00C6580C">
              <w:rPr>
                <w:kern w:val="0"/>
                <w:szCs w:val="22"/>
              </w:rPr>
              <w:t>269a–289a–311a–322a–357a</w:t>
            </w:r>
          </w:p>
        </w:tc>
      </w:tr>
      <w:tr w:rsidR="00843FDA" w:rsidRPr="00C6580C" w14:paraId="4EBA9577" w14:textId="77777777">
        <w:tc>
          <w:tcPr>
            <w:tcW w:w="0" w:type="auto"/>
            <w:tcBorders>
              <w:top w:val="single" w:sz="4" w:space="0" w:color="000000"/>
              <w:left w:val="single" w:sz="4" w:space="0" w:color="000000"/>
              <w:bottom w:val="single" w:sz="4" w:space="0" w:color="000000"/>
              <w:right w:val="single" w:sz="4" w:space="0" w:color="000000"/>
            </w:tcBorders>
          </w:tcPr>
          <w:p w14:paraId="44B3F88B"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752CE21"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5FCC5348" w14:textId="77777777">
        <w:tc>
          <w:tcPr>
            <w:tcW w:w="0" w:type="auto"/>
            <w:tcBorders>
              <w:top w:val="single" w:sz="4" w:space="0" w:color="000000"/>
              <w:left w:val="single" w:sz="4" w:space="0" w:color="000000"/>
              <w:bottom w:val="single" w:sz="4" w:space="0" w:color="000000"/>
              <w:right w:val="single" w:sz="4" w:space="0" w:color="000000"/>
            </w:tcBorders>
          </w:tcPr>
          <w:p w14:paraId="6704C906" w14:textId="77777777" w:rsidR="00843FDA" w:rsidRPr="00C6580C" w:rsidRDefault="00843FDA" w:rsidP="00CD7CAC">
            <w:pPr>
              <w:widowControl/>
              <w:rPr>
                <w:kern w:val="0"/>
                <w:szCs w:val="22"/>
              </w:rPr>
            </w:pPr>
            <w:r w:rsidRPr="00C6580C">
              <w:rPr>
                <w:kern w:val="0"/>
                <w:szCs w:val="22"/>
              </w:rPr>
              <w:t>270a</w:t>
            </w:r>
          </w:p>
        </w:tc>
        <w:tc>
          <w:tcPr>
            <w:tcW w:w="0" w:type="auto"/>
            <w:tcBorders>
              <w:top w:val="single" w:sz="4" w:space="0" w:color="000000"/>
              <w:left w:val="single" w:sz="4" w:space="0" w:color="000000"/>
              <w:bottom w:val="single" w:sz="4" w:space="0" w:color="000000"/>
              <w:right w:val="single" w:sz="4" w:space="0" w:color="000000"/>
            </w:tcBorders>
          </w:tcPr>
          <w:p w14:paraId="3DA0E05E" w14:textId="77777777" w:rsidR="00843FDA" w:rsidRPr="00C6580C" w:rsidRDefault="00843FDA" w:rsidP="00CD7CAC">
            <w:pPr>
              <w:widowControl/>
              <w:rPr>
                <w:kern w:val="0"/>
                <w:szCs w:val="22"/>
              </w:rPr>
            </w:pPr>
            <w:r w:rsidRPr="00C6580C">
              <w:rPr>
                <w:kern w:val="0"/>
                <w:szCs w:val="22"/>
              </w:rPr>
              <w:t>270a–290a–312a–323a–355a</w:t>
            </w:r>
          </w:p>
        </w:tc>
      </w:tr>
      <w:tr w:rsidR="00843FDA" w:rsidRPr="00C6580C" w14:paraId="2E4D3C77" w14:textId="77777777">
        <w:tc>
          <w:tcPr>
            <w:tcW w:w="0" w:type="auto"/>
            <w:tcBorders>
              <w:top w:val="single" w:sz="4" w:space="0" w:color="000000"/>
              <w:left w:val="single" w:sz="4" w:space="0" w:color="000000"/>
              <w:bottom w:val="single" w:sz="4" w:space="0" w:color="000000"/>
              <w:right w:val="single" w:sz="4" w:space="0" w:color="000000"/>
            </w:tcBorders>
          </w:tcPr>
          <w:p w14:paraId="3CA3E8E4"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72A56B4"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59C66EBF" w14:textId="77777777">
        <w:tc>
          <w:tcPr>
            <w:tcW w:w="0" w:type="auto"/>
            <w:tcBorders>
              <w:top w:val="single" w:sz="4" w:space="0" w:color="000000"/>
              <w:left w:val="single" w:sz="4" w:space="0" w:color="000000"/>
              <w:bottom w:val="single" w:sz="4" w:space="0" w:color="000000"/>
              <w:right w:val="single" w:sz="4" w:space="0" w:color="000000"/>
            </w:tcBorders>
          </w:tcPr>
          <w:p w14:paraId="64156B7C" w14:textId="77777777" w:rsidR="00843FDA" w:rsidRPr="00C6580C" w:rsidRDefault="00843FDA" w:rsidP="00CD7CAC">
            <w:pPr>
              <w:widowControl/>
              <w:rPr>
                <w:kern w:val="0"/>
                <w:szCs w:val="22"/>
              </w:rPr>
            </w:pPr>
            <w:r w:rsidRPr="00C6580C">
              <w:rPr>
                <w:kern w:val="0"/>
                <w:szCs w:val="22"/>
              </w:rPr>
              <w:t>279a</w:t>
            </w:r>
          </w:p>
        </w:tc>
        <w:tc>
          <w:tcPr>
            <w:tcW w:w="0" w:type="auto"/>
            <w:tcBorders>
              <w:top w:val="single" w:sz="4" w:space="0" w:color="000000"/>
              <w:left w:val="single" w:sz="4" w:space="0" w:color="000000"/>
              <w:bottom w:val="single" w:sz="4" w:space="0" w:color="000000"/>
              <w:right w:val="single" w:sz="4" w:space="0" w:color="000000"/>
            </w:tcBorders>
          </w:tcPr>
          <w:p w14:paraId="24C94E1D" w14:textId="77777777" w:rsidR="00843FDA" w:rsidRPr="00C6580C" w:rsidRDefault="00843FDA" w:rsidP="00CD7CAC">
            <w:pPr>
              <w:widowControl/>
              <w:rPr>
                <w:kern w:val="0"/>
                <w:szCs w:val="22"/>
              </w:rPr>
            </w:pPr>
            <w:r w:rsidRPr="00C6580C">
              <w:rPr>
                <w:kern w:val="0"/>
                <w:szCs w:val="22"/>
              </w:rPr>
              <w:t>279a–299a–319a–339a–359a</w:t>
            </w:r>
          </w:p>
        </w:tc>
      </w:tr>
      <w:tr w:rsidR="00843FDA" w:rsidRPr="00C6580C" w14:paraId="30C5C021" w14:textId="77777777">
        <w:tc>
          <w:tcPr>
            <w:tcW w:w="0" w:type="auto"/>
            <w:tcBorders>
              <w:top w:val="single" w:sz="4" w:space="0" w:color="000000"/>
              <w:left w:val="single" w:sz="4" w:space="0" w:color="000000"/>
              <w:bottom w:val="single" w:sz="4" w:space="0" w:color="000000"/>
              <w:right w:val="single" w:sz="4" w:space="0" w:color="000000"/>
            </w:tcBorders>
          </w:tcPr>
          <w:p w14:paraId="2C9388C7"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2F309A5"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2B2BA4CC" w14:textId="77777777">
        <w:tc>
          <w:tcPr>
            <w:tcW w:w="0" w:type="auto"/>
            <w:tcBorders>
              <w:top w:val="single" w:sz="4" w:space="0" w:color="000000"/>
              <w:left w:val="single" w:sz="4" w:space="0" w:color="000000"/>
              <w:bottom w:val="single" w:sz="4" w:space="0" w:color="000000"/>
              <w:right w:val="single" w:sz="4" w:space="0" w:color="000000"/>
            </w:tcBorders>
          </w:tcPr>
          <w:p w14:paraId="2D688CE1" w14:textId="77777777" w:rsidR="00843FDA" w:rsidRPr="00C6580C" w:rsidRDefault="00843FDA" w:rsidP="00CD7CAC">
            <w:pPr>
              <w:widowControl/>
              <w:rPr>
                <w:kern w:val="0"/>
                <w:szCs w:val="22"/>
              </w:rPr>
            </w:pPr>
            <w:r w:rsidRPr="00C6580C">
              <w:rPr>
                <w:kern w:val="0"/>
                <w:szCs w:val="22"/>
              </w:rPr>
              <w:t>280a</w:t>
            </w:r>
          </w:p>
        </w:tc>
        <w:tc>
          <w:tcPr>
            <w:tcW w:w="0" w:type="auto"/>
            <w:tcBorders>
              <w:top w:val="single" w:sz="4" w:space="0" w:color="000000"/>
              <w:left w:val="single" w:sz="4" w:space="0" w:color="000000"/>
              <w:bottom w:val="single" w:sz="4" w:space="0" w:color="000000"/>
              <w:right w:val="single" w:sz="4" w:space="0" w:color="000000"/>
            </w:tcBorders>
          </w:tcPr>
          <w:p w14:paraId="1EF153E1" w14:textId="77777777" w:rsidR="00843FDA" w:rsidRPr="00C6580C" w:rsidRDefault="00843FDA" w:rsidP="00CD7CAC">
            <w:pPr>
              <w:widowControl/>
              <w:rPr>
                <w:kern w:val="0"/>
                <w:szCs w:val="22"/>
              </w:rPr>
            </w:pPr>
            <w:r w:rsidRPr="00C6580C">
              <w:rPr>
                <w:kern w:val="0"/>
                <w:szCs w:val="22"/>
              </w:rPr>
              <w:t>280a–300a–320a–340a–360a</w:t>
            </w:r>
          </w:p>
        </w:tc>
      </w:tr>
      <w:tr w:rsidR="00843FDA" w:rsidRPr="00C6580C" w14:paraId="0184C0F7" w14:textId="77777777">
        <w:tc>
          <w:tcPr>
            <w:tcW w:w="0" w:type="auto"/>
            <w:tcBorders>
              <w:top w:val="single" w:sz="4" w:space="0" w:color="000000"/>
              <w:left w:val="single" w:sz="4" w:space="0" w:color="000000"/>
              <w:bottom w:val="single" w:sz="4" w:space="0" w:color="000000"/>
              <w:right w:val="single" w:sz="4" w:space="0" w:color="000000"/>
            </w:tcBorders>
          </w:tcPr>
          <w:p w14:paraId="445DF994"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43C89F1"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508E3163" w14:textId="77777777">
        <w:tc>
          <w:tcPr>
            <w:tcW w:w="0" w:type="auto"/>
            <w:tcBorders>
              <w:top w:val="single" w:sz="4" w:space="0" w:color="000000"/>
              <w:left w:val="single" w:sz="4" w:space="0" w:color="000000"/>
              <w:bottom w:val="single" w:sz="4" w:space="0" w:color="000000"/>
              <w:right w:val="single" w:sz="4" w:space="0" w:color="000000"/>
            </w:tcBorders>
          </w:tcPr>
          <w:p w14:paraId="5CEB721C" w14:textId="77777777" w:rsidR="00843FDA" w:rsidRPr="00C6580C" w:rsidRDefault="00843FDA" w:rsidP="00CD7CAC">
            <w:pPr>
              <w:widowControl/>
              <w:rPr>
                <w:kern w:val="0"/>
                <w:szCs w:val="22"/>
              </w:rPr>
            </w:pPr>
            <w:r w:rsidRPr="00C6580C">
              <w:rPr>
                <w:kern w:val="0"/>
                <w:szCs w:val="22"/>
              </w:rPr>
              <w:t>285a</w:t>
            </w:r>
          </w:p>
        </w:tc>
        <w:tc>
          <w:tcPr>
            <w:tcW w:w="0" w:type="auto"/>
            <w:tcBorders>
              <w:top w:val="single" w:sz="4" w:space="0" w:color="000000"/>
              <w:left w:val="single" w:sz="4" w:space="0" w:color="000000"/>
              <w:bottom w:val="single" w:sz="4" w:space="0" w:color="000000"/>
              <w:right w:val="single" w:sz="4" w:space="0" w:color="000000"/>
            </w:tcBorders>
          </w:tcPr>
          <w:p w14:paraId="4F8586B8" w14:textId="77777777" w:rsidR="00843FDA" w:rsidRPr="00C6580C" w:rsidRDefault="00843FDA" w:rsidP="00CD7CAC">
            <w:pPr>
              <w:widowControl/>
              <w:rPr>
                <w:kern w:val="0"/>
                <w:szCs w:val="22"/>
              </w:rPr>
            </w:pPr>
            <w:r w:rsidRPr="00C6580C">
              <w:rPr>
                <w:kern w:val="0"/>
                <w:szCs w:val="22"/>
              </w:rPr>
              <w:t>285a–315a–333a–351a–379a</w:t>
            </w:r>
          </w:p>
        </w:tc>
      </w:tr>
      <w:tr w:rsidR="00843FDA" w:rsidRPr="00C6580C" w14:paraId="075C6676" w14:textId="77777777">
        <w:tc>
          <w:tcPr>
            <w:tcW w:w="0" w:type="auto"/>
            <w:tcBorders>
              <w:top w:val="single" w:sz="4" w:space="0" w:color="000000"/>
              <w:left w:val="single" w:sz="4" w:space="0" w:color="000000"/>
              <w:bottom w:val="single" w:sz="4" w:space="0" w:color="000000"/>
              <w:right w:val="single" w:sz="4" w:space="0" w:color="000000"/>
            </w:tcBorders>
          </w:tcPr>
          <w:p w14:paraId="7A09760F"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58030825"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7DDC4235" w14:textId="77777777">
        <w:tc>
          <w:tcPr>
            <w:tcW w:w="0" w:type="auto"/>
            <w:tcBorders>
              <w:top w:val="single" w:sz="4" w:space="0" w:color="000000"/>
              <w:left w:val="single" w:sz="4" w:space="0" w:color="000000"/>
              <w:bottom w:val="single" w:sz="4" w:space="0" w:color="000000"/>
              <w:right w:val="single" w:sz="4" w:space="0" w:color="000000"/>
            </w:tcBorders>
          </w:tcPr>
          <w:p w14:paraId="7ED3695F" w14:textId="77777777" w:rsidR="00843FDA" w:rsidRPr="00C6580C" w:rsidRDefault="00843FDA" w:rsidP="00CD7CAC">
            <w:pPr>
              <w:widowControl/>
              <w:rPr>
                <w:kern w:val="0"/>
                <w:szCs w:val="22"/>
              </w:rPr>
            </w:pPr>
            <w:r w:rsidRPr="00C6580C">
              <w:rPr>
                <w:kern w:val="0"/>
                <w:szCs w:val="22"/>
              </w:rPr>
              <w:t>286a</w:t>
            </w:r>
          </w:p>
        </w:tc>
        <w:tc>
          <w:tcPr>
            <w:tcW w:w="0" w:type="auto"/>
            <w:tcBorders>
              <w:top w:val="single" w:sz="4" w:space="0" w:color="000000"/>
              <w:left w:val="single" w:sz="4" w:space="0" w:color="000000"/>
              <w:bottom w:val="single" w:sz="4" w:space="0" w:color="000000"/>
              <w:right w:val="single" w:sz="4" w:space="0" w:color="000000"/>
            </w:tcBorders>
          </w:tcPr>
          <w:p w14:paraId="0F7E5DAC" w14:textId="77777777" w:rsidR="00843FDA" w:rsidRPr="00C6580C" w:rsidRDefault="00843FDA" w:rsidP="00CD7CAC">
            <w:pPr>
              <w:widowControl/>
              <w:rPr>
                <w:kern w:val="0"/>
                <w:szCs w:val="22"/>
              </w:rPr>
            </w:pPr>
            <w:r w:rsidRPr="00C6580C">
              <w:rPr>
                <w:kern w:val="0"/>
                <w:szCs w:val="22"/>
              </w:rPr>
              <w:t>286a–316a–334a–352a–380a</w:t>
            </w:r>
          </w:p>
        </w:tc>
      </w:tr>
      <w:tr w:rsidR="00843FDA" w:rsidRPr="00C6580C" w14:paraId="77919860" w14:textId="77777777">
        <w:tc>
          <w:tcPr>
            <w:tcW w:w="0" w:type="auto"/>
            <w:tcBorders>
              <w:top w:val="single" w:sz="4" w:space="0" w:color="000000"/>
              <w:left w:val="single" w:sz="4" w:space="0" w:color="000000"/>
              <w:bottom w:val="single" w:sz="4" w:space="0" w:color="000000"/>
              <w:right w:val="single" w:sz="4" w:space="0" w:color="000000"/>
            </w:tcBorders>
          </w:tcPr>
          <w:p w14:paraId="05E4EA56"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9FE9B1E"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6FBED098" w14:textId="77777777">
        <w:tc>
          <w:tcPr>
            <w:tcW w:w="0" w:type="auto"/>
            <w:tcBorders>
              <w:top w:val="single" w:sz="4" w:space="0" w:color="000000"/>
              <w:left w:val="single" w:sz="4" w:space="0" w:color="000000"/>
              <w:bottom w:val="single" w:sz="4" w:space="0" w:color="000000"/>
              <w:right w:val="single" w:sz="4" w:space="0" w:color="000000"/>
            </w:tcBorders>
          </w:tcPr>
          <w:p w14:paraId="278F89D8" w14:textId="77777777" w:rsidR="00843FDA" w:rsidRPr="00C6580C" w:rsidRDefault="00843FDA" w:rsidP="00CD7CAC">
            <w:pPr>
              <w:widowControl/>
              <w:rPr>
                <w:kern w:val="0"/>
                <w:szCs w:val="22"/>
              </w:rPr>
            </w:pPr>
            <w:r w:rsidRPr="00C6580C">
              <w:rPr>
                <w:kern w:val="0"/>
                <w:szCs w:val="22"/>
              </w:rPr>
              <w:t>309a</w:t>
            </w:r>
          </w:p>
        </w:tc>
        <w:tc>
          <w:tcPr>
            <w:tcW w:w="0" w:type="auto"/>
            <w:tcBorders>
              <w:top w:val="single" w:sz="4" w:space="0" w:color="000000"/>
              <w:left w:val="single" w:sz="4" w:space="0" w:color="000000"/>
              <w:bottom w:val="single" w:sz="4" w:space="0" w:color="000000"/>
              <w:right w:val="single" w:sz="4" w:space="0" w:color="000000"/>
            </w:tcBorders>
          </w:tcPr>
          <w:p w14:paraId="48A7FDC2" w14:textId="77777777" w:rsidR="00843FDA" w:rsidRPr="00C6580C" w:rsidRDefault="00843FDA" w:rsidP="00CD7CAC">
            <w:pPr>
              <w:widowControl/>
              <w:rPr>
                <w:kern w:val="0"/>
                <w:szCs w:val="22"/>
              </w:rPr>
            </w:pPr>
            <w:r w:rsidRPr="00C6580C">
              <w:rPr>
                <w:kern w:val="0"/>
                <w:szCs w:val="22"/>
              </w:rPr>
              <w:t>309a–329a–349a–369a–389a</w:t>
            </w:r>
          </w:p>
        </w:tc>
      </w:tr>
      <w:tr w:rsidR="00843FDA" w:rsidRPr="00C6580C" w14:paraId="698CD147" w14:textId="77777777">
        <w:tc>
          <w:tcPr>
            <w:tcW w:w="0" w:type="auto"/>
            <w:tcBorders>
              <w:top w:val="single" w:sz="4" w:space="0" w:color="000000"/>
              <w:left w:val="single" w:sz="4" w:space="0" w:color="000000"/>
              <w:bottom w:val="single" w:sz="4" w:space="0" w:color="000000"/>
              <w:right w:val="single" w:sz="4" w:space="0" w:color="000000"/>
            </w:tcBorders>
          </w:tcPr>
          <w:p w14:paraId="06553E40"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F41C770"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3E623ACB" w14:textId="77777777">
        <w:tc>
          <w:tcPr>
            <w:tcW w:w="0" w:type="auto"/>
            <w:tcBorders>
              <w:top w:val="single" w:sz="4" w:space="0" w:color="000000"/>
              <w:left w:val="single" w:sz="4" w:space="0" w:color="000000"/>
              <w:bottom w:val="single" w:sz="4" w:space="0" w:color="000000"/>
              <w:right w:val="single" w:sz="4" w:space="0" w:color="000000"/>
            </w:tcBorders>
          </w:tcPr>
          <w:p w14:paraId="5A457678" w14:textId="77777777" w:rsidR="00843FDA" w:rsidRPr="00C6580C" w:rsidRDefault="00843FDA" w:rsidP="00CD7CAC">
            <w:pPr>
              <w:widowControl/>
              <w:rPr>
                <w:kern w:val="0"/>
                <w:szCs w:val="22"/>
              </w:rPr>
            </w:pPr>
            <w:r w:rsidRPr="00C6580C">
              <w:rPr>
                <w:kern w:val="0"/>
                <w:szCs w:val="22"/>
              </w:rPr>
              <w:t>310a</w:t>
            </w:r>
          </w:p>
        </w:tc>
        <w:tc>
          <w:tcPr>
            <w:tcW w:w="0" w:type="auto"/>
            <w:tcBorders>
              <w:top w:val="single" w:sz="4" w:space="0" w:color="000000"/>
              <w:left w:val="single" w:sz="4" w:space="0" w:color="000000"/>
              <w:bottom w:val="single" w:sz="4" w:space="0" w:color="000000"/>
              <w:right w:val="single" w:sz="4" w:space="0" w:color="000000"/>
            </w:tcBorders>
          </w:tcPr>
          <w:p w14:paraId="35DEC617" w14:textId="77777777" w:rsidR="00843FDA" w:rsidRPr="00C6580C" w:rsidRDefault="00843FDA" w:rsidP="00CD7CAC">
            <w:pPr>
              <w:widowControl/>
              <w:rPr>
                <w:kern w:val="0"/>
                <w:szCs w:val="22"/>
              </w:rPr>
            </w:pPr>
            <w:r w:rsidRPr="00C6580C">
              <w:rPr>
                <w:kern w:val="0"/>
                <w:szCs w:val="22"/>
              </w:rPr>
              <w:t>310a–330a–350a–370a–390a</w:t>
            </w:r>
          </w:p>
        </w:tc>
      </w:tr>
      <w:tr w:rsidR="00843FDA" w:rsidRPr="00C6580C" w14:paraId="3527F033" w14:textId="77777777">
        <w:tc>
          <w:tcPr>
            <w:tcW w:w="0" w:type="auto"/>
            <w:tcBorders>
              <w:top w:val="single" w:sz="4" w:space="0" w:color="000000"/>
              <w:left w:val="single" w:sz="4" w:space="0" w:color="000000"/>
              <w:bottom w:val="single" w:sz="4" w:space="0" w:color="000000"/>
              <w:right w:val="single" w:sz="4" w:space="0" w:color="000000"/>
            </w:tcBorders>
          </w:tcPr>
          <w:p w14:paraId="597660CD"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D6C7742"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7F53585C" w14:textId="77777777">
        <w:tc>
          <w:tcPr>
            <w:tcW w:w="0" w:type="auto"/>
            <w:tcBorders>
              <w:top w:val="single" w:sz="4" w:space="0" w:color="000000"/>
              <w:left w:val="single" w:sz="4" w:space="0" w:color="000000"/>
              <w:bottom w:val="single" w:sz="4" w:space="0" w:color="000000"/>
              <w:right w:val="single" w:sz="4" w:space="0" w:color="000000"/>
            </w:tcBorders>
          </w:tcPr>
          <w:p w14:paraId="5836AA78" w14:textId="77777777" w:rsidR="00843FDA" w:rsidRPr="00C6580C" w:rsidRDefault="00843FDA" w:rsidP="00CD7CAC">
            <w:pPr>
              <w:widowControl/>
              <w:rPr>
                <w:kern w:val="0"/>
                <w:szCs w:val="22"/>
              </w:rPr>
            </w:pPr>
            <w:r w:rsidRPr="00C6580C">
              <w:rPr>
                <w:kern w:val="0"/>
                <w:szCs w:val="22"/>
              </w:rPr>
              <w:t>321a</w:t>
            </w:r>
          </w:p>
        </w:tc>
        <w:tc>
          <w:tcPr>
            <w:tcW w:w="0" w:type="auto"/>
            <w:tcBorders>
              <w:top w:val="single" w:sz="4" w:space="0" w:color="000000"/>
              <w:left w:val="single" w:sz="4" w:space="0" w:color="000000"/>
              <w:bottom w:val="single" w:sz="4" w:space="0" w:color="000000"/>
              <w:right w:val="single" w:sz="4" w:space="0" w:color="000000"/>
            </w:tcBorders>
          </w:tcPr>
          <w:p w14:paraId="4436A48C" w14:textId="77777777" w:rsidR="00843FDA" w:rsidRPr="00C6580C" w:rsidRDefault="00843FDA" w:rsidP="00CD7CAC">
            <w:pPr>
              <w:widowControl/>
              <w:rPr>
                <w:kern w:val="0"/>
                <w:szCs w:val="22"/>
              </w:rPr>
            </w:pPr>
            <w:r w:rsidRPr="00C6580C">
              <w:rPr>
                <w:kern w:val="0"/>
                <w:szCs w:val="22"/>
              </w:rPr>
              <w:t>321a–331a–341a–361a–381a</w:t>
            </w:r>
          </w:p>
        </w:tc>
      </w:tr>
      <w:tr w:rsidR="00843FDA" w:rsidRPr="00C6580C" w14:paraId="5D26D2E4" w14:textId="77777777">
        <w:tc>
          <w:tcPr>
            <w:tcW w:w="0" w:type="auto"/>
            <w:tcBorders>
              <w:top w:val="single" w:sz="4" w:space="0" w:color="000000"/>
              <w:left w:val="single" w:sz="4" w:space="0" w:color="000000"/>
              <w:bottom w:val="single" w:sz="4" w:space="0" w:color="000000"/>
              <w:right w:val="single" w:sz="4" w:space="0" w:color="000000"/>
            </w:tcBorders>
          </w:tcPr>
          <w:p w14:paraId="3B71C8E5"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734BC41"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195D100F" w14:textId="77777777">
        <w:tc>
          <w:tcPr>
            <w:tcW w:w="0" w:type="auto"/>
            <w:tcBorders>
              <w:top w:val="single" w:sz="4" w:space="0" w:color="000000"/>
              <w:left w:val="single" w:sz="4" w:space="0" w:color="000000"/>
              <w:bottom w:val="single" w:sz="4" w:space="0" w:color="000000"/>
              <w:right w:val="single" w:sz="4" w:space="0" w:color="000000"/>
            </w:tcBorders>
          </w:tcPr>
          <w:p w14:paraId="35756765" w14:textId="77777777" w:rsidR="00843FDA" w:rsidRPr="00C6580C" w:rsidRDefault="00843FDA" w:rsidP="00CD7CAC">
            <w:pPr>
              <w:widowControl/>
              <w:rPr>
                <w:kern w:val="0"/>
                <w:szCs w:val="22"/>
              </w:rPr>
            </w:pPr>
            <w:r w:rsidRPr="00C6580C">
              <w:rPr>
                <w:kern w:val="0"/>
                <w:szCs w:val="22"/>
              </w:rPr>
              <w:t>328a</w:t>
            </w:r>
          </w:p>
        </w:tc>
        <w:tc>
          <w:tcPr>
            <w:tcW w:w="0" w:type="auto"/>
            <w:tcBorders>
              <w:top w:val="single" w:sz="4" w:space="0" w:color="000000"/>
              <w:left w:val="single" w:sz="4" w:space="0" w:color="000000"/>
              <w:bottom w:val="single" w:sz="4" w:space="0" w:color="000000"/>
              <w:right w:val="single" w:sz="4" w:space="0" w:color="000000"/>
            </w:tcBorders>
          </w:tcPr>
          <w:p w14:paraId="740C5D1D" w14:textId="77777777" w:rsidR="00843FDA" w:rsidRPr="00C6580C" w:rsidRDefault="00843FDA" w:rsidP="00CD7CAC">
            <w:pPr>
              <w:widowControl/>
              <w:rPr>
                <w:kern w:val="0"/>
                <w:szCs w:val="22"/>
              </w:rPr>
            </w:pPr>
            <w:r w:rsidRPr="00C6580C">
              <w:rPr>
                <w:kern w:val="0"/>
                <w:szCs w:val="22"/>
              </w:rPr>
              <w:t>328a–348a–358a–368a–388a</w:t>
            </w:r>
          </w:p>
        </w:tc>
      </w:tr>
      <w:tr w:rsidR="00843FDA" w:rsidRPr="00C6580C" w14:paraId="0315AA1F" w14:textId="77777777">
        <w:tc>
          <w:tcPr>
            <w:tcW w:w="0" w:type="auto"/>
            <w:tcBorders>
              <w:top w:val="single" w:sz="4" w:space="0" w:color="000000"/>
              <w:left w:val="single" w:sz="4" w:space="0" w:color="000000"/>
              <w:bottom w:val="single" w:sz="4" w:space="0" w:color="000000"/>
              <w:right w:val="single" w:sz="4" w:space="0" w:color="000000"/>
            </w:tcBorders>
          </w:tcPr>
          <w:p w14:paraId="223DBFEE" w14:textId="77777777" w:rsidR="00843FDA" w:rsidRPr="00C6580C" w:rsidRDefault="00843FDA" w:rsidP="00CD7CAC">
            <w:pPr>
              <w:widowControl/>
              <w:rPr>
                <w:kern w:val="0"/>
                <w:szCs w:val="22"/>
              </w:rPr>
            </w:pPr>
            <w:r w:rsidRPr="00C6580C">
              <w:rPr>
                <w:kern w:val="0"/>
                <w:szCs w:val="22"/>
              </w:rPr>
              <w:t>Single Channels</w:t>
            </w:r>
          </w:p>
        </w:tc>
        <w:tc>
          <w:tcPr>
            <w:tcW w:w="0" w:type="auto"/>
            <w:tcBorders>
              <w:top w:val="single" w:sz="4" w:space="0" w:color="000000"/>
              <w:left w:val="single" w:sz="4" w:space="0" w:color="000000"/>
              <w:bottom w:val="single" w:sz="4" w:space="0" w:color="000000"/>
              <w:right w:val="single" w:sz="4" w:space="0" w:color="000000"/>
            </w:tcBorders>
          </w:tcPr>
          <w:p w14:paraId="35F8D4F2" w14:textId="77777777" w:rsidR="00843FDA" w:rsidRPr="00C6580C" w:rsidRDefault="00843FDA" w:rsidP="00CD7CAC">
            <w:pPr>
              <w:widowControl/>
              <w:rPr>
                <w:kern w:val="0"/>
                <w:szCs w:val="22"/>
              </w:rPr>
            </w:pPr>
            <w:r w:rsidRPr="00C6580C">
              <w:rPr>
                <w:kern w:val="0"/>
                <w:szCs w:val="22"/>
              </w:rPr>
              <w:t xml:space="preserve">*** </w:t>
            </w:r>
          </w:p>
          <w:p w14:paraId="260E0655" w14:textId="77777777" w:rsidR="00843FDA" w:rsidRPr="00C6580C" w:rsidRDefault="00843FDA" w:rsidP="00CD7CAC">
            <w:pPr>
              <w:widowControl/>
              <w:rPr>
                <w:kern w:val="0"/>
                <w:szCs w:val="22"/>
              </w:rPr>
            </w:pPr>
            <w:r w:rsidRPr="00C6580C">
              <w:rPr>
                <w:kern w:val="0"/>
                <w:szCs w:val="22"/>
              </w:rPr>
              <w:t>317a, 318a, 326a, 327a, 332a, 337a, 338a, 356a, 371a, 372a</w:t>
            </w:r>
          </w:p>
        </w:tc>
      </w:tr>
    </w:tbl>
    <w:p w14:paraId="712C266C" w14:textId="77777777" w:rsidR="00843FDA" w:rsidRPr="00A96110" w:rsidRDefault="00843FDA" w:rsidP="00CD7CAC">
      <w:pPr>
        <w:pStyle w:val="ParaNum"/>
        <w:widowControl/>
        <w:numPr>
          <w:ilvl w:val="0"/>
          <w:numId w:val="0"/>
        </w:numPr>
        <w:tabs>
          <w:tab w:val="left" w:pos="720"/>
        </w:tabs>
      </w:pPr>
    </w:p>
    <w:p w14:paraId="45CB0229" w14:textId="77777777" w:rsidR="00843FDA" w:rsidRPr="00A96110" w:rsidRDefault="00843FDA" w:rsidP="00CD7CAC">
      <w:pPr>
        <w:pStyle w:val="ParaNum"/>
        <w:widowControl/>
        <w:numPr>
          <w:ilvl w:val="0"/>
          <w:numId w:val="0"/>
        </w:numPr>
        <w:tabs>
          <w:tab w:val="left" w:pos="720"/>
        </w:tabs>
      </w:pPr>
      <w:r w:rsidRPr="00A96110">
        <w:tab/>
        <w:t>(b) * * *</w:t>
      </w:r>
    </w:p>
    <w:p w14:paraId="181EB24B"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2—Business/Industrial/Land Transportation Pool 806–816/851–861 MHz Band Channels</w:t>
      </w:r>
    </w:p>
    <w:p w14:paraId="6CAAA117" w14:textId="77777777" w:rsidR="00843FDA" w:rsidRPr="00C6580C" w:rsidRDefault="00843FDA" w:rsidP="00CD7CAC">
      <w:pPr>
        <w:widowControl/>
        <w:spacing w:before="100" w:beforeAutospacing="1" w:after="100" w:afterAutospacing="1"/>
        <w:jc w:val="center"/>
        <w:rPr>
          <w:kern w:val="0"/>
          <w:szCs w:val="22"/>
        </w:rPr>
      </w:pPr>
      <w:r w:rsidRPr="00C6580C">
        <w:rPr>
          <w:kern w:val="0"/>
          <w:szCs w:val="22"/>
        </w:rPr>
        <w:t>[200 Channels]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073"/>
        <w:gridCol w:w="8317"/>
      </w:tblGrid>
      <w:tr w:rsidR="00843FDA" w:rsidRPr="00C6580C" w14:paraId="09374A53"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68F2D1E2" w14:textId="77777777" w:rsidR="00843FDA" w:rsidRPr="00C6580C" w:rsidRDefault="00843FDA" w:rsidP="00CD7CAC">
            <w:pPr>
              <w:widowControl/>
              <w:jc w:val="center"/>
              <w:rPr>
                <w:b/>
                <w:bCs/>
                <w:kern w:val="0"/>
                <w:szCs w:val="22"/>
              </w:rPr>
            </w:pPr>
            <w:r w:rsidRPr="00C6580C">
              <w:rPr>
                <w:b/>
                <w:bCs/>
                <w:kern w:val="0"/>
                <w:szCs w:val="22"/>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14:paraId="466AC5E9" w14:textId="77777777" w:rsidR="00843FDA" w:rsidRPr="00C6580C" w:rsidRDefault="00843FDA" w:rsidP="00CD7CAC">
            <w:pPr>
              <w:widowControl/>
              <w:jc w:val="center"/>
              <w:rPr>
                <w:b/>
                <w:bCs/>
                <w:kern w:val="0"/>
                <w:szCs w:val="22"/>
              </w:rPr>
            </w:pPr>
            <w:r w:rsidRPr="00C6580C">
              <w:rPr>
                <w:b/>
                <w:bCs/>
                <w:kern w:val="0"/>
                <w:szCs w:val="22"/>
              </w:rPr>
              <w:t>Channel Nos.</w:t>
            </w:r>
          </w:p>
        </w:tc>
      </w:tr>
      <w:tr w:rsidR="00843FDA" w:rsidRPr="00C6580C" w14:paraId="18D418D0" w14:textId="77777777">
        <w:tc>
          <w:tcPr>
            <w:tcW w:w="0" w:type="auto"/>
            <w:tcBorders>
              <w:top w:val="single" w:sz="4" w:space="0" w:color="000000"/>
              <w:left w:val="single" w:sz="4" w:space="0" w:color="000000"/>
              <w:bottom w:val="single" w:sz="4" w:space="0" w:color="000000"/>
              <w:right w:val="single" w:sz="4" w:space="0" w:color="000000"/>
            </w:tcBorders>
          </w:tcPr>
          <w:p w14:paraId="292AFAFD"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0EB9586"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0C4DB43C" w14:textId="77777777">
        <w:tc>
          <w:tcPr>
            <w:tcW w:w="0" w:type="auto"/>
            <w:tcBorders>
              <w:top w:val="single" w:sz="4" w:space="0" w:color="000000"/>
              <w:left w:val="single" w:sz="4" w:space="0" w:color="000000"/>
              <w:bottom w:val="single" w:sz="4" w:space="0" w:color="000000"/>
              <w:right w:val="single" w:sz="4" w:space="0" w:color="000000"/>
            </w:tcBorders>
          </w:tcPr>
          <w:p w14:paraId="1BC8A308" w14:textId="77777777" w:rsidR="00843FDA" w:rsidRPr="00C6580C" w:rsidRDefault="00843FDA" w:rsidP="00CD7CAC">
            <w:pPr>
              <w:widowControl/>
              <w:rPr>
                <w:kern w:val="0"/>
                <w:szCs w:val="22"/>
              </w:rPr>
            </w:pPr>
            <w:r w:rsidRPr="00C6580C">
              <w:rPr>
                <w:kern w:val="0"/>
                <w:szCs w:val="22"/>
              </w:rPr>
              <w:t>322a</w:t>
            </w:r>
          </w:p>
        </w:tc>
        <w:tc>
          <w:tcPr>
            <w:tcW w:w="0" w:type="auto"/>
            <w:tcBorders>
              <w:top w:val="single" w:sz="4" w:space="0" w:color="000000"/>
              <w:left w:val="single" w:sz="4" w:space="0" w:color="000000"/>
              <w:bottom w:val="single" w:sz="4" w:space="0" w:color="000000"/>
              <w:right w:val="single" w:sz="4" w:space="0" w:color="000000"/>
            </w:tcBorders>
          </w:tcPr>
          <w:p w14:paraId="7B23179C" w14:textId="77777777" w:rsidR="00843FDA" w:rsidRPr="00C6580C" w:rsidRDefault="00843FDA" w:rsidP="00CD7CAC">
            <w:pPr>
              <w:widowControl/>
              <w:rPr>
                <w:kern w:val="0"/>
                <w:szCs w:val="22"/>
              </w:rPr>
            </w:pPr>
            <w:r w:rsidRPr="00C6580C">
              <w:rPr>
                <w:kern w:val="0"/>
                <w:szCs w:val="22"/>
              </w:rPr>
              <w:t>322a–362a–402a–442a–482a</w:t>
            </w:r>
          </w:p>
        </w:tc>
      </w:tr>
      <w:tr w:rsidR="00843FDA" w:rsidRPr="00C6580C" w14:paraId="45F75C2F" w14:textId="77777777">
        <w:tc>
          <w:tcPr>
            <w:tcW w:w="0" w:type="auto"/>
            <w:tcBorders>
              <w:top w:val="single" w:sz="4" w:space="0" w:color="000000"/>
              <w:left w:val="single" w:sz="4" w:space="0" w:color="000000"/>
              <w:bottom w:val="single" w:sz="4" w:space="0" w:color="000000"/>
              <w:right w:val="single" w:sz="4" w:space="0" w:color="000000"/>
            </w:tcBorders>
          </w:tcPr>
          <w:p w14:paraId="1C081F51"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EA61EC5"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4FD87E2A" w14:textId="77777777">
        <w:tc>
          <w:tcPr>
            <w:tcW w:w="0" w:type="auto"/>
            <w:tcBorders>
              <w:top w:val="single" w:sz="4" w:space="0" w:color="000000"/>
              <w:left w:val="single" w:sz="4" w:space="0" w:color="000000"/>
              <w:bottom w:val="single" w:sz="4" w:space="0" w:color="000000"/>
              <w:right w:val="single" w:sz="4" w:space="0" w:color="000000"/>
            </w:tcBorders>
          </w:tcPr>
          <w:p w14:paraId="3D985137" w14:textId="77777777" w:rsidR="00843FDA" w:rsidRPr="00C6580C" w:rsidRDefault="00843FDA" w:rsidP="00CD7CAC">
            <w:pPr>
              <w:widowControl/>
              <w:rPr>
                <w:kern w:val="0"/>
                <w:szCs w:val="22"/>
              </w:rPr>
            </w:pPr>
            <w:r w:rsidRPr="00C6580C">
              <w:rPr>
                <w:kern w:val="0"/>
                <w:szCs w:val="22"/>
              </w:rPr>
              <w:t>323a</w:t>
            </w:r>
          </w:p>
        </w:tc>
        <w:tc>
          <w:tcPr>
            <w:tcW w:w="0" w:type="auto"/>
            <w:tcBorders>
              <w:top w:val="single" w:sz="4" w:space="0" w:color="000000"/>
              <w:left w:val="single" w:sz="4" w:space="0" w:color="000000"/>
              <w:bottom w:val="single" w:sz="4" w:space="0" w:color="000000"/>
              <w:right w:val="single" w:sz="4" w:space="0" w:color="000000"/>
            </w:tcBorders>
          </w:tcPr>
          <w:p w14:paraId="1770722A" w14:textId="77777777" w:rsidR="00843FDA" w:rsidRPr="00C6580C" w:rsidRDefault="00843FDA" w:rsidP="00CD7CAC">
            <w:pPr>
              <w:widowControl/>
              <w:rPr>
                <w:kern w:val="0"/>
                <w:szCs w:val="22"/>
              </w:rPr>
            </w:pPr>
            <w:r w:rsidRPr="00C6580C">
              <w:rPr>
                <w:kern w:val="0"/>
                <w:szCs w:val="22"/>
              </w:rPr>
              <w:t>323a–363a–403a–443a–483a</w:t>
            </w:r>
          </w:p>
        </w:tc>
      </w:tr>
      <w:tr w:rsidR="00843FDA" w:rsidRPr="00C6580C" w14:paraId="496FC143" w14:textId="77777777">
        <w:tc>
          <w:tcPr>
            <w:tcW w:w="0" w:type="auto"/>
            <w:tcBorders>
              <w:top w:val="single" w:sz="4" w:space="0" w:color="000000"/>
              <w:left w:val="single" w:sz="4" w:space="0" w:color="000000"/>
              <w:bottom w:val="single" w:sz="4" w:space="0" w:color="000000"/>
              <w:right w:val="single" w:sz="4" w:space="0" w:color="000000"/>
            </w:tcBorders>
          </w:tcPr>
          <w:p w14:paraId="3F6CE0FB"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EFFE136"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07E8AEC9" w14:textId="77777777">
        <w:tc>
          <w:tcPr>
            <w:tcW w:w="0" w:type="auto"/>
            <w:tcBorders>
              <w:top w:val="single" w:sz="4" w:space="0" w:color="000000"/>
              <w:left w:val="single" w:sz="4" w:space="0" w:color="000000"/>
              <w:bottom w:val="single" w:sz="4" w:space="0" w:color="000000"/>
              <w:right w:val="single" w:sz="4" w:space="0" w:color="000000"/>
            </w:tcBorders>
          </w:tcPr>
          <w:p w14:paraId="5F560FB7" w14:textId="77777777" w:rsidR="00843FDA" w:rsidRPr="00C6580C" w:rsidRDefault="00843FDA" w:rsidP="00CD7CAC">
            <w:pPr>
              <w:widowControl/>
              <w:rPr>
                <w:kern w:val="0"/>
                <w:szCs w:val="22"/>
              </w:rPr>
            </w:pPr>
            <w:r w:rsidRPr="00C6580C">
              <w:rPr>
                <w:kern w:val="0"/>
                <w:szCs w:val="22"/>
              </w:rPr>
              <w:t>324a</w:t>
            </w:r>
          </w:p>
        </w:tc>
        <w:tc>
          <w:tcPr>
            <w:tcW w:w="0" w:type="auto"/>
            <w:tcBorders>
              <w:top w:val="single" w:sz="4" w:space="0" w:color="000000"/>
              <w:left w:val="single" w:sz="4" w:space="0" w:color="000000"/>
              <w:bottom w:val="single" w:sz="4" w:space="0" w:color="000000"/>
              <w:right w:val="single" w:sz="4" w:space="0" w:color="000000"/>
            </w:tcBorders>
          </w:tcPr>
          <w:p w14:paraId="03A5BA4C" w14:textId="77777777" w:rsidR="00843FDA" w:rsidRPr="00C6580C" w:rsidRDefault="00843FDA" w:rsidP="00CD7CAC">
            <w:pPr>
              <w:widowControl/>
              <w:rPr>
                <w:kern w:val="0"/>
                <w:szCs w:val="22"/>
              </w:rPr>
            </w:pPr>
            <w:r w:rsidRPr="00C6580C">
              <w:rPr>
                <w:kern w:val="0"/>
                <w:szCs w:val="22"/>
              </w:rPr>
              <w:t>324a–364a–404a–444a–484a</w:t>
            </w:r>
          </w:p>
        </w:tc>
      </w:tr>
      <w:tr w:rsidR="00843FDA" w:rsidRPr="00C6580C" w14:paraId="219B8871" w14:textId="77777777">
        <w:tc>
          <w:tcPr>
            <w:tcW w:w="0" w:type="auto"/>
            <w:tcBorders>
              <w:top w:val="single" w:sz="4" w:space="0" w:color="000000"/>
              <w:left w:val="single" w:sz="4" w:space="0" w:color="000000"/>
              <w:bottom w:val="single" w:sz="4" w:space="0" w:color="000000"/>
              <w:right w:val="single" w:sz="4" w:space="0" w:color="000000"/>
            </w:tcBorders>
          </w:tcPr>
          <w:p w14:paraId="0485F8D7"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2A7FCD7"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65847721" w14:textId="77777777">
        <w:tc>
          <w:tcPr>
            <w:tcW w:w="0" w:type="auto"/>
            <w:tcBorders>
              <w:top w:val="single" w:sz="4" w:space="0" w:color="000000"/>
              <w:left w:val="single" w:sz="4" w:space="0" w:color="000000"/>
              <w:bottom w:val="single" w:sz="4" w:space="0" w:color="000000"/>
              <w:right w:val="single" w:sz="4" w:space="0" w:color="000000"/>
            </w:tcBorders>
          </w:tcPr>
          <w:p w14:paraId="66CE23B3" w14:textId="77777777" w:rsidR="00843FDA" w:rsidRPr="00C6580C" w:rsidRDefault="00843FDA" w:rsidP="00CD7CAC">
            <w:pPr>
              <w:widowControl/>
              <w:rPr>
                <w:kern w:val="0"/>
                <w:szCs w:val="22"/>
              </w:rPr>
            </w:pPr>
            <w:r w:rsidRPr="00C6580C">
              <w:rPr>
                <w:kern w:val="0"/>
                <w:szCs w:val="22"/>
              </w:rPr>
              <w:t>325a</w:t>
            </w:r>
          </w:p>
        </w:tc>
        <w:tc>
          <w:tcPr>
            <w:tcW w:w="0" w:type="auto"/>
            <w:tcBorders>
              <w:top w:val="single" w:sz="4" w:space="0" w:color="000000"/>
              <w:left w:val="single" w:sz="4" w:space="0" w:color="000000"/>
              <w:bottom w:val="single" w:sz="4" w:space="0" w:color="000000"/>
              <w:right w:val="single" w:sz="4" w:space="0" w:color="000000"/>
            </w:tcBorders>
          </w:tcPr>
          <w:p w14:paraId="0D3C8344" w14:textId="77777777" w:rsidR="00843FDA" w:rsidRPr="00C6580C" w:rsidRDefault="00843FDA" w:rsidP="00CD7CAC">
            <w:pPr>
              <w:widowControl/>
              <w:rPr>
                <w:kern w:val="0"/>
                <w:szCs w:val="22"/>
              </w:rPr>
            </w:pPr>
            <w:r w:rsidRPr="00C6580C">
              <w:rPr>
                <w:kern w:val="0"/>
                <w:szCs w:val="22"/>
              </w:rPr>
              <w:t>325a–365a–405a–445a–485a</w:t>
            </w:r>
          </w:p>
        </w:tc>
      </w:tr>
      <w:tr w:rsidR="00843FDA" w:rsidRPr="00C6580C" w14:paraId="4ED0A88C" w14:textId="77777777">
        <w:tc>
          <w:tcPr>
            <w:tcW w:w="0" w:type="auto"/>
            <w:tcBorders>
              <w:top w:val="single" w:sz="4" w:space="0" w:color="000000"/>
              <w:left w:val="single" w:sz="4" w:space="0" w:color="000000"/>
              <w:bottom w:val="single" w:sz="4" w:space="0" w:color="000000"/>
              <w:right w:val="single" w:sz="4" w:space="0" w:color="000000"/>
            </w:tcBorders>
          </w:tcPr>
          <w:p w14:paraId="25DB2C5E"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441E3E5"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6A5DE765" w14:textId="77777777">
        <w:tc>
          <w:tcPr>
            <w:tcW w:w="0" w:type="auto"/>
            <w:tcBorders>
              <w:top w:val="single" w:sz="4" w:space="0" w:color="000000"/>
              <w:left w:val="single" w:sz="4" w:space="0" w:color="000000"/>
              <w:bottom w:val="single" w:sz="4" w:space="0" w:color="000000"/>
              <w:right w:val="single" w:sz="4" w:space="0" w:color="000000"/>
            </w:tcBorders>
          </w:tcPr>
          <w:p w14:paraId="35DEF354" w14:textId="77777777" w:rsidR="00843FDA" w:rsidRPr="00C6580C" w:rsidRDefault="00843FDA" w:rsidP="00CD7CAC">
            <w:pPr>
              <w:widowControl/>
              <w:rPr>
                <w:kern w:val="0"/>
                <w:szCs w:val="22"/>
              </w:rPr>
            </w:pPr>
            <w:r w:rsidRPr="00C6580C">
              <w:rPr>
                <w:kern w:val="0"/>
                <w:szCs w:val="22"/>
              </w:rPr>
              <w:t>326a</w:t>
            </w:r>
          </w:p>
        </w:tc>
        <w:tc>
          <w:tcPr>
            <w:tcW w:w="0" w:type="auto"/>
            <w:tcBorders>
              <w:top w:val="single" w:sz="4" w:space="0" w:color="000000"/>
              <w:left w:val="single" w:sz="4" w:space="0" w:color="000000"/>
              <w:bottom w:val="single" w:sz="4" w:space="0" w:color="000000"/>
              <w:right w:val="single" w:sz="4" w:space="0" w:color="000000"/>
            </w:tcBorders>
          </w:tcPr>
          <w:p w14:paraId="4529A9A5" w14:textId="77777777" w:rsidR="00843FDA" w:rsidRPr="00C6580C" w:rsidRDefault="00843FDA" w:rsidP="00CD7CAC">
            <w:pPr>
              <w:widowControl/>
              <w:rPr>
                <w:kern w:val="0"/>
                <w:szCs w:val="22"/>
              </w:rPr>
            </w:pPr>
            <w:r w:rsidRPr="00C6580C">
              <w:rPr>
                <w:kern w:val="0"/>
                <w:szCs w:val="22"/>
              </w:rPr>
              <w:t>326a–366a–406a–446a–486a</w:t>
            </w:r>
          </w:p>
        </w:tc>
      </w:tr>
      <w:tr w:rsidR="00843FDA" w:rsidRPr="00C6580C" w14:paraId="440EA877" w14:textId="77777777">
        <w:tc>
          <w:tcPr>
            <w:tcW w:w="0" w:type="auto"/>
            <w:tcBorders>
              <w:top w:val="single" w:sz="4" w:space="0" w:color="000000"/>
              <w:left w:val="single" w:sz="4" w:space="0" w:color="000000"/>
              <w:bottom w:val="single" w:sz="4" w:space="0" w:color="000000"/>
              <w:right w:val="single" w:sz="4" w:space="0" w:color="000000"/>
            </w:tcBorders>
          </w:tcPr>
          <w:p w14:paraId="2F830055"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FB09345"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7E3CAFF1" w14:textId="77777777">
        <w:tc>
          <w:tcPr>
            <w:tcW w:w="0" w:type="auto"/>
            <w:tcBorders>
              <w:top w:val="single" w:sz="4" w:space="0" w:color="000000"/>
              <w:left w:val="single" w:sz="4" w:space="0" w:color="000000"/>
              <w:bottom w:val="single" w:sz="4" w:space="0" w:color="000000"/>
              <w:right w:val="single" w:sz="4" w:space="0" w:color="000000"/>
            </w:tcBorders>
          </w:tcPr>
          <w:p w14:paraId="0161B460" w14:textId="77777777" w:rsidR="00843FDA" w:rsidRPr="00C6580C" w:rsidRDefault="00843FDA" w:rsidP="00CD7CAC">
            <w:pPr>
              <w:widowControl/>
              <w:rPr>
                <w:kern w:val="0"/>
                <w:szCs w:val="22"/>
              </w:rPr>
            </w:pPr>
            <w:r w:rsidRPr="00C6580C">
              <w:rPr>
                <w:kern w:val="0"/>
                <w:szCs w:val="22"/>
              </w:rPr>
              <w:t>327a</w:t>
            </w:r>
          </w:p>
        </w:tc>
        <w:tc>
          <w:tcPr>
            <w:tcW w:w="0" w:type="auto"/>
            <w:tcBorders>
              <w:top w:val="single" w:sz="4" w:space="0" w:color="000000"/>
              <w:left w:val="single" w:sz="4" w:space="0" w:color="000000"/>
              <w:bottom w:val="single" w:sz="4" w:space="0" w:color="000000"/>
              <w:right w:val="single" w:sz="4" w:space="0" w:color="000000"/>
            </w:tcBorders>
          </w:tcPr>
          <w:p w14:paraId="1C5183DE" w14:textId="77777777" w:rsidR="00843FDA" w:rsidRPr="00C6580C" w:rsidRDefault="00843FDA" w:rsidP="00CD7CAC">
            <w:pPr>
              <w:widowControl/>
              <w:rPr>
                <w:kern w:val="0"/>
                <w:szCs w:val="22"/>
              </w:rPr>
            </w:pPr>
            <w:r w:rsidRPr="00C6580C">
              <w:rPr>
                <w:kern w:val="0"/>
                <w:szCs w:val="22"/>
              </w:rPr>
              <w:t>327a–367a–407a–447a–487a</w:t>
            </w:r>
          </w:p>
        </w:tc>
      </w:tr>
      <w:tr w:rsidR="00843FDA" w:rsidRPr="00C6580C" w14:paraId="58582E43" w14:textId="77777777">
        <w:tc>
          <w:tcPr>
            <w:tcW w:w="0" w:type="auto"/>
            <w:tcBorders>
              <w:top w:val="single" w:sz="4" w:space="0" w:color="000000"/>
              <w:left w:val="single" w:sz="4" w:space="0" w:color="000000"/>
              <w:bottom w:val="single" w:sz="4" w:space="0" w:color="000000"/>
              <w:right w:val="single" w:sz="4" w:space="0" w:color="000000"/>
            </w:tcBorders>
          </w:tcPr>
          <w:p w14:paraId="7936A327"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01DF54C"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1515A00D" w14:textId="77777777">
        <w:tc>
          <w:tcPr>
            <w:tcW w:w="0" w:type="auto"/>
            <w:tcBorders>
              <w:top w:val="single" w:sz="4" w:space="0" w:color="000000"/>
              <w:left w:val="single" w:sz="4" w:space="0" w:color="000000"/>
              <w:bottom w:val="single" w:sz="4" w:space="0" w:color="000000"/>
              <w:right w:val="single" w:sz="4" w:space="0" w:color="000000"/>
            </w:tcBorders>
          </w:tcPr>
          <w:p w14:paraId="49F3AF62" w14:textId="77777777" w:rsidR="00843FDA" w:rsidRPr="00C6580C" w:rsidRDefault="00843FDA" w:rsidP="00CD7CAC">
            <w:pPr>
              <w:widowControl/>
              <w:rPr>
                <w:kern w:val="0"/>
                <w:szCs w:val="22"/>
              </w:rPr>
            </w:pPr>
            <w:r w:rsidRPr="00C6580C">
              <w:rPr>
                <w:kern w:val="0"/>
                <w:szCs w:val="22"/>
              </w:rPr>
              <w:t>342a</w:t>
            </w:r>
          </w:p>
        </w:tc>
        <w:tc>
          <w:tcPr>
            <w:tcW w:w="0" w:type="auto"/>
            <w:tcBorders>
              <w:top w:val="single" w:sz="4" w:space="0" w:color="000000"/>
              <w:left w:val="single" w:sz="4" w:space="0" w:color="000000"/>
              <w:bottom w:val="single" w:sz="4" w:space="0" w:color="000000"/>
              <w:right w:val="single" w:sz="4" w:space="0" w:color="000000"/>
            </w:tcBorders>
          </w:tcPr>
          <w:p w14:paraId="249C23C9" w14:textId="77777777" w:rsidR="00843FDA" w:rsidRPr="00C6580C" w:rsidRDefault="00843FDA" w:rsidP="00CD7CAC">
            <w:pPr>
              <w:widowControl/>
              <w:rPr>
                <w:kern w:val="0"/>
                <w:szCs w:val="22"/>
              </w:rPr>
            </w:pPr>
            <w:r w:rsidRPr="00C6580C">
              <w:rPr>
                <w:kern w:val="0"/>
                <w:szCs w:val="22"/>
              </w:rPr>
              <w:t>342a–382a–422a–462a–502a</w:t>
            </w:r>
          </w:p>
        </w:tc>
      </w:tr>
      <w:tr w:rsidR="00843FDA" w:rsidRPr="00C6580C" w14:paraId="3B6B7044" w14:textId="77777777">
        <w:tc>
          <w:tcPr>
            <w:tcW w:w="0" w:type="auto"/>
            <w:tcBorders>
              <w:top w:val="single" w:sz="4" w:space="0" w:color="000000"/>
              <w:left w:val="single" w:sz="4" w:space="0" w:color="000000"/>
              <w:bottom w:val="single" w:sz="4" w:space="0" w:color="000000"/>
              <w:right w:val="single" w:sz="4" w:space="0" w:color="000000"/>
            </w:tcBorders>
          </w:tcPr>
          <w:p w14:paraId="79A9D7E1"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3CBC5AF"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1B9E348C" w14:textId="77777777">
        <w:tc>
          <w:tcPr>
            <w:tcW w:w="0" w:type="auto"/>
            <w:tcBorders>
              <w:top w:val="single" w:sz="4" w:space="0" w:color="000000"/>
              <w:left w:val="single" w:sz="4" w:space="0" w:color="000000"/>
              <w:bottom w:val="single" w:sz="4" w:space="0" w:color="000000"/>
              <w:right w:val="single" w:sz="4" w:space="0" w:color="000000"/>
            </w:tcBorders>
          </w:tcPr>
          <w:p w14:paraId="23BEA231" w14:textId="77777777" w:rsidR="00843FDA" w:rsidRPr="00C6580C" w:rsidRDefault="00843FDA" w:rsidP="00CD7CAC">
            <w:pPr>
              <w:widowControl/>
              <w:rPr>
                <w:kern w:val="0"/>
                <w:szCs w:val="22"/>
              </w:rPr>
            </w:pPr>
            <w:r w:rsidRPr="00C6580C">
              <w:rPr>
                <w:kern w:val="0"/>
                <w:szCs w:val="22"/>
              </w:rPr>
              <w:t>343a</w:t>
            </w:r>
          </w:p>
        </w:tc>
        <w:tc>
          <w:tcPr>
            <w:tcW w:w="0" w:type="auto"/>
            <w:tcBorders>
              <w:top w:val="single" w:sz="4" w:space="0" w:color="000000"/>
              <w:left w:val="single" w:sz="4" w:space="0" w:color="000000"/>
              <w:bottom w:val="single" w:sz="4" w:space="0" w:color="000000"/>
              <w:right w:val="single" w:sz="4" w:space="0" w:color="000000"/>
            </w:tcBorders>
          </w:tcPr>
          <w:p w14:paraId="63610232" w14:textId="77777777" w:rsidR="00843FDA" w:rsidRPr="00C6580C" w:rsidRDefault="00843FDA" w:rsidP="00CD7CAC">
            <w:pPr>
              <w:widowControl/>
              <w:rPr>
                <w:kern w:val="0"/>
                <w:szCs w:val="22"/>
              </w:rPr>
            </w:pPr>
            <w:r w:rsidRPr="00C6580C">
              <w:rPr>
                <w:kern w:val="0"/>
                <w:szCs w:val="22"/>
              </w:rPr>
              <w:t>343a–383a–423a–463a–503a</w:t>
            </w:r>
          </w:p>
        </w:tc>
      </w:tr>
      <w:tr w:rsidR="00843FDA" w:rsidRPr="00C6580C" w14:paraId="3193CB19" w14:textId="77777777">
        <w:tc>
          <w:tcPr>
            <w:tcW w:w="0" w:type="auto"/>
            <w:tcBorders>
              <w:top w:val="single" w:sz="4" w:space="0" w:color="000000"/>
              <w:left w:val="single" w:sz="4" w:space="0" w:color="000000"/>
              <w:bottom w:val="single" w:sz="4" w:space="0" w:color="000000"/>
              <w:right w:val="single" w:sz="4" w:space="0" w:color="000000"/>
            </w:tcBorders>
          </w:tcPr>
          <w:p w14:paraId="1F52A66B"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0C71C41"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17C6A18D" w14:textId="77777777">
        <w:tc>
          <w:tcPr>
            <w:tcW w:w="0" w:type="auto"/>
            <w:tcBorders>
              <w:top w:val="single" w:sz="4" w:space="0" w:color="000000"/>
              <w:left w:val="single" w:sz="4" w:space="0" w:color="000000"/>
              <w:bottom w:val="single" w:sz="4" w:space="0" w:color="000000"/>
              <w:right w:val="single" w:sz="4" w:space="0" w:color="000000"/>
            </w:tcBorders>
          </w:tcPr>
          <w:p w14:paraId="0DE33DA0" w14:textId="77777777" w:rsidR="00843FDA" w:rsidRPr="00C6580C" w:rsidRDefault="00843FDA" w:rsidP="00CD7CAC">
            <w:pPr>
              <w:widowControl/>
              <w:rPr>
                <w:kern w:val="0"/>
                <w:szCs w:val="22"/>
              </w:rPr>
            </w:pPr>
            <w:r w:rsidRPr="00C6580C">
              <w:rPr>
                <w:kern w:val="0"/>
                <w:szCs w:val="22"/>
              </w:rPr>
              <w:t>344a</w:t>
            </w:r>
          </w:p>
        </w:tc>
        <w:tc>
          <w:tcPr>
            <w:tcW w:w="0" w:type="auto"/>
            <w:tcBorders>
              <w:top w:val="single" w:sz="4" w:space="0" w:color="000000"/>
              <w:left w:val="single" w:sz="4" w:space="0" w:color="000000"/>
              <w:bottom w:val="single" w:sz="4" w:space="0" w:color="000000"/>
              <w:right w:val="single" w:sz="4" w:space="0" w:color="000000"/>
            </w:tcBorders>
          </w:tcPr>
          <w:p w14:paraId="61BFD7CC" w14:textId="77777777" w:rsidR="00843FDA" w:rsidRPr="00C6580C" w:rsidRDefault="00843FDA" w:rsidP="00CD7CAC">
            <w:pPr>
              <w:widowControl/>
              <w:rPr>
                <w:kern w:val="0"/>
                <w:szCs w:val="22"/>
              </w:rPr>
            </w:pPr>
            <w:r w:rsidRPr="00C6580C">
              <w:rPr>
                <w:kern w:val="0"/>
                <w:szCs w:val="22"/>
              </w:rPr>
              <w:t>344a–384a–424a–464a–504a</w:t>
            </w:r>
          </w:p>
        </w:tc>
      </w:tr>
      <w:tr w:rsidR="00843FDA" w:rsidRPr="00C6580C" w14:paraId="1797EE55" w14:textId="77777777">
        <w:tc>
          <w:tcPr>
            <w:tcW w:w="0" w:type="auto"/>
            <w:tcBorders>
              <w:top w:val="single" w:sz="4" w:space="0" w:color="000000"/>
              <w:left w:val="single" w:sz="4" w:space="0" w:color="000000"/>
              <w:bottom w:val="single" w:sz="4" w:space="0" w:color="000000"/>
              <w:right w:val="single" w:sz="4" w:space="0" w:color="000000"/>
            </w:tcBorders>
          </w:tcPr>
          <w:p w14:paraId="3A305C0A"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6C47BFDA"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282786B3" w14:textId="77777777">
        <w:tc>
          <w:tcPr>
            <w:tcW w:w="0" w:type="auto"/>
            <w:tcBorders>
              <w:top w:val="single" w:sz="4" w:space="0" w:color="000000"/>
              <w:left w:val="single" w:sz="4" w:space="0" w:color="000000"/>
              <w:bottom w:val="single" w:sz="4" w:space="0" w:color="000000"/>
              <w:right w:val="single" w:sz="4" w:space="0" w:color="000000"/>
            </w:tcBorders>
          </w:tcPr>
          <w:p w14:paraId="3A9EE827" w14:textId="77777777" w:rsidR="00843FDA" w:rsidRPr="00C6580C" w:rsidRDefault="00843FDA" w:rsidP="00CD7CAC">
            <w:pPr>
              <w:widowControl/>
              <w:rPr>
                <w:kern w:val="0"/>
                <w:szCs w:val="22"/>
              </w:rPr>
            </w:pPr>
            <w:r w:rsidRPr="00C6580C">
              <w:rPr>
                <w:kern w:val="0"/>
                <w:szCs w:val="22"/>
              </w:rPr>
              <w:t>345a</w:t>
            </w:r>
          </w:p>
        </w:tc>
        <w:tc>
          <w:tcPr>
            <w:tcW w:w="0" w:type="auto"/>
            <w:tcBorders>
              <w:top w:val="single" w:sz="4" w:space="0" w:color="000000"/>
              <w:left w:val="single" w:sz="4" w:space="0" w:color="000000"/>
              <w:bottom w:val="single" w:sz="4" w:space="0" w:color="000000"/>
              <w:right w:val="single" w:sz="4" w:space="0" w:color="000000"/>
            </w:tcBorders>
          </w:tcPr>
          <w:p w14:paraId="7D3CFFA0" w14:textId="77777777" w:rsidR="00843FDA" w:rsidRPr="00C6580C" w:rsidRDefault="00843FDA" w:rsidP="00CD7CAC">
            <w:pPr>
              <w:widowControl/>
              <w:rPr>
                <w:kern w:val="0"/>
                <w:szCs w:val="22"/>
              </w:rPr>
            </w:pPr>
            <w:r w:rsidRPr="00C6580C">
              <w:rPr>
                <w:kern w:val="0"/>
                <w:szCs w:val="22"/>
              </w:rPr>
              <w:t>345a–385a–425a–465a–505a</w:t>
            </w:r>
          </w:p>
        </w:tc>
      </w:tr>
      <w:tr w:rsidR="00843FDA" w:rsidRPr="00C6580C" w14:paraId="3858BAE6" w14:textId="77777777">
        <w:tc>
          <w:tcPr>
            <w:tcW w:w="0" w:type="auto"/>
            <w:tcBorders>
              <w:top w:val="single" w:sz="4" w:space="0" w:color="000000"/>
              <w:left w:val="single" w:sz="4" w:space="0" w:color="000000"/>
              <w:bottom w:val="single" w:sz="4" w:space="0" w:color="000000"/>
              <w:right w:val="single" w:sz="4" w:space="0" w:color="000000"/>
            </w:tcBorders>
          </w:tcPr>
          <w:p w14:paraId="0F675852"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AB40CB9"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0A1539B6" w14:textId="77777777">
        <w:tc>
          <w:tcPr>
            <w:tcW w:w="0" w:type="auto"/>
            <w:tcBorders>
              <w:top w:val="single" w:sz="4" w:space="0" w:color="000000"/>
              <w:left w:val="single" w:sz="4" w:space="0" w:color="000000"/>
              <w:bottom w:val="single" w:sz="4" w:space="0" w:color="000000"/>
              <w:right w:val="single" w:sz="4" w:space="0" w:color="000000"/>
            </w:tcBorders>
          </w:tcPr>
          <w:p w14:paraId="3F06CB0B" w14:textId="77777777" w:rsidR="00843FDA" w:rsidRPr="00C6580C" w:rsidRDefault="00843FDA" w:rsidP="00CD7CAC">
            <w:pPr>
              <w:widowControl/>
              <w:rPr>
                <w:kern w:val="0"/>
                <w:szCs w:val="22"/>
              </w:rPr>
            </w:pPr>
            <w:r w:rsidRPr="00C6580C">
              <w:rPr>
                <w:kern w:val="0"/>
                <w:szCs w:val="22"/>
              </w:rPr>
              <w:t>346a</w:t>
            </w:r>
          </w:p>
        </w:tc>
        <w:tc>
          <w:tcPr>
            <w:tcW w:w="0" w:type="auto"/>
            <w:tcBorders>
              <w:top w:val="single" w:sz="4" w:space="0" w:color="000000"/>
              <w:left w:val="single" w:sz="4" w:space="0" w:color="000000"/>
              <w:bottom w:val="single" w:sz="4" w:space="0" w:color="000000"/>
              <w:right w:val="single" w:sz="4" w:space="0" w:color="000000"/>
            </w:tcBorders>
          </w:tcPr>
          <w:p w14:paraId="02A83566" w14:textId="77777777" w:rsidR="00843FDA" w:rsidRPr="00C6580C" w:rsidRDefault="00843FDA" w:rsidP="00CD7CAC">
            <w:pPr>
              <w:widowControl/>
              <w:rPr>
                <w:kern w:val="0"/>
                <w:szCs w:val="22"/>
              </w:rPr>
            </w:pPr>
            <w:r w:rsidRPr="00C6580C">
              <w:rPr>
                <w:kern w:val="0"/>
                <w:szCs w:val="22"/>
              </w:rPr>
              <w:t>346a–386a–426a–466a–506a</w:t>
            </w:r>
          </w:p>
        </w:tc>
      </w:tr>
      <w:tr w:rsidR="00843FDA" w:rsidRPr="00C6580C" w14:paraId="12FFD147" w14:textId="77777777">
        <w:tc>
          <w:tcPr>
            <w:tcW w:w="0" w:type="auto"/>
            <w:tcBorders>
              <w:top w:val="single" w:sz="4" w:space="0" w:color="000000"/>
              <w:left w:val="single" w:sz="4" w:space="0" w:color="000000"/>
              <w:bottom w:val="single" w:sz="4" w:space="0" w:color="000000"/>
              <w:right w:val="single" w:sz="4" w:space="0" w:color="000000"/>
            </w:tcBorders>
          </w:tcPr>
          <w:p w14:paraId="6B53C2AC"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0760433B"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60882036" w14:textId="77777777">
        <w:tc>
          <w:tcPr>
            <w:tcW w:w="0" w:type="auto"/>
            <w:tcBorders>
              <w:top w:val="single" w:sz="4" w:space="0" w:color="000000"/>
              <w:left w:val="single" w:sz="4" w:space="0" w:color="000000"/>
              <w:bottom w:val="single" w:sz="4" w:space="0" w:color="000000"/>
              <w:right w:val="single" w:sz="4" w:space="0" w:color="000000"/>
            </w:tcBorders>
          </w:tcPr>
          <w:p w14:paraId="7B0C5606" w14:textId="77777777" w:rsidR="00843FDA" w:rsidRPr="00C6580C" w:rsidRDefault="00843FDA" w:rsidP="00CD7CAC">
            <w:pPr>
              <w:widowControl/>
              <w:rPr>
                <w:kern w:val="0"/>
                <w:szCs w:val="22"/>
              </w:rPr>
            </w:pPr>
            <w:r w:rsidRPr="00C6580C">
              <w:rPr>
                <w:kern w:val="0"/>
                <w:szCs w:val="22"/>
              </w:rPr>
              <w:t>347a</w:t>
            </w:r>
          </w:p>
        </w:tc>
        <w:tc>
          <w:tcPr>
            <w:tcW w:w="0" w:type="auto"/>
            <w:tcBorders>
              <w:top w:val="single" w:sz="4" w:space="0" w:color="000000"/>
              <w:left w:val="single" w:sz="4" w:space="0" w:color="000000"/>
              <w:bottom w:val="single" w:sz="4" w:space="0" w:color="000000"/>
              <w:right w:val="single" w:sz="4" w:space="0" w:color="000000"/>
            </w:tcBorders>
          </w:tcPr>
          <w:p w14:paraId="234D1E17" w14:textId="77777777" w:rsidR="00843FDA" w:rsidRPr="00C6580C" w:rsidRDefault="00843FDA" w:rsidP="00CD7CAC">
            <w:pPr>
              <w:widowControl/>
              <w:rPr>
                <w:kern w:val="0"/>
                <w:szCs w:val="22"/>
              </w:rPr>
            </w:pPr>
            <w:r w:rsidRPr="00C6580C">
              <w:rPr>
                <w:kern w:val="0"/>
                <w:szCs w:val="22"/>
              </w:rPr>
              <w:t>347a–387a–427a–467a–507a</w:t>
            </w:r>
          </w:p>
        </w:tc>
      </w:tr>
      <w:tr w:rsidR="00843FDA" w:rsidRPr="00C6580C" w14:paraId="142D7EF6" w14:textId="77777777">
        <w:tc>
          <w:tcPr>
            <w:tcW w:w="0" w:type="auto"/>
            <w:tcBorders>
              <w:top w:val="single" w:sz="4" w:space="0" w:color="000000"/>
              <w:left w:val="single" w:sz="4" w:space="0" w:color="000000"/>
              <w:bottom w:val="single" w:sz="4" w:space="0" w:color="000000"/>
              <w:right w:val="single" w:sz="4" w:space="0" w:color="000000"/>
            </w:tcBorders>
          </w:tcPr>
          <w:p w14:paraId="614898DF" w14:textId="77777777" w:rsidR="00843FDA" w:rsidRPr="00C6580C" w:rsidRDefault="00843FDA" w:rsidP="00CD7CAC">
            <w:pPr>
              <w:widowControl/>
              <w:rPr>
                <w:kern w:val="0"/>
                <w:szCs w:val="22"/>
              </w:rPr>
            </w:pPr>
            <w:r w:rsidRPr="00C6580C">
              <w:rPr>
                <w:kern w:val="0"/>
                <w:szCs w:val="22"/>
              </w:rPr>
              <w:t>Single Channels</w:t>
            </w:r>
          </w:p>
        </w:tc>
        <w:tc>
          <w:tcPr>
            <w:tcW w:w="0" w:type="auto"/>
            <w:tcBorders>
              <w:top w:val="single" w:sz="4" w:space="0" w:color="000000"/>
              <w:left w:val="single" w:sz="4" w:space="0" w:color="000000"/>
              <w:bottom w:val="single" w:sz="4" w:space="0" w:color="000000"/>
              <w:right w:val="single" w:sz="4" w:space="0" w:color="000000"/>
            </w:tcBorders>
          </w:tcPr>
          <w:p w14:paraId="391D9A60" w14:textId="77777777" w:rsidR="00843FDA" w:rsidRPr="00C6580C" w:rsidRDefault="00843FDA" w:rsidP="00CD7CAC">
            <w:pPr>
              <w:widowControl/>
              <w:rPr>
                <w:kern w:val="0"/>
                <w:szCs w:val="22"/>
              </w:rPr>
            </w:pPr>
            <w:r w:rsidRPr="00C6580C">
              <w:rPr>
                <w:kern w:val="0"/>
                <w:szCs w:val="22"/>
              </w:rPr>
              <w:t>***</w:t>
            </w:r>
          </w:p>
          <w:p w14:paraId="3FB815EA" w14:textId="77777777" w:rsidR="00843FDA" w:rsidRPr="00C6580C" w:rsidRDefault="00843FDA" w:rsidP="00CD7CAC">
            <w:pPr>
              <w:widowControl/>
              <w:rPr>
                <w:kern w:val="0"/>
                <w:szCs w:val="22"/>
              </w:rPr>
            </w:pPr>
            <w:r w:rsidRPr="00C6580C">
              <w:rPr>
                <w:kern w:val="0"/>
                <w:szCs w:val="22"/>
              </w:rPr>
              <w:t>261a, 271a, 281a, 291a, 301a, 262a, 272a, 282a, 292a, 302a, 263a, 273a, 283a, 293a, 303a, 264a, 274a,  284a, 294a, 304a, 265a, 275a, 285a, 295a, 305a, 266a, 276a, 286a, 296a, 306a, 267a, 277a, 287a, 297a, 307a, 268a, 278a, 288a, 298a, 308a</w:t>
            </w:r>
          </w:p>
        </w:tc>
      </w:tr>
    </w:tbl>
    <w:p w14:paraId="306C6BC0" w14:textId="77777777" w:rsidR="00843FDA" w:rsidRPr="00A96110" w:rsidRDefault="00843FDA" w:rsidP="00CD7CAC">
      <w:pPr>
        <w:pStyle w:val="ParaNum"/>
        <w:widowControl/>
        <w:numPr>
          <w:ilvl w:val="0"/>
          <w:numId w:val="0"/>
        </w:numPr>
        <w:tabs>
          <w:tab w:val="left" w:pos="720"/>
        </w:tabs>
      </w:pPr>
    </w:p>
    <w:p w14:paraId="4A6E6A0F" w14:textId="77777777" w:rsidR="00843FDA" w:rsidRPr="00A96110" w:rsidRDefault="00843FDA" w:rsidP="00CD7CAC">
      <w:pPr>
        <w:pStyle w:val="ParaNum"/>
        <w:widowControl/>
        <w:numPr>
          <w:ilvl w:val="0"/>
          <w:numId w:val="0"/>
        </w:numPr>
        <w:tabs>
          <w:tab w:val="left" w:pos="720"/>
        </w:tabs>
      </w:pPr>
      <w:r w:rsidRPr="00A96110">
        <w:tab/>
        <w:t>(1) * * *</w:t>
      </w:r>
    </w:p>
    <w:p w14:paraId="08E79BF7"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2A—Business/Industrial/Land Transportation Pool 806–816/851–861 MHz Band for Channels in Southeastern U.S.</w:t>
      </w:r>
    </w:p>
    <w:p w14:paraId="38571664" w14:textId="77777777" w:rsidR="00843FDA" w:rsidRPr="00C6580C" w:rsidRDefault="00843FDA" w:rsidP="00CD7CAC">
      <w:pPr>
        <w:widowControl/>
        <w:spacing w:before="100" w:beforeAutospacing="1" w:after="100" w:afterAutospacing="1"/>
        <w:jc w:val="center"/>
        <w:rPr>
          <w:kern w:val="0"/>
          <w:szCs w:val="22"/>
        </w:rPr>
      </w:pPr>
      <w:r w:rsidRPr="00C6580C">
        <w:rPr>
          <w:kern w:val="0"/>
          <w:szCs w:val="22"/>
        </w:rPr>
        <w:t>[138 Channels]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001"/>
        <w:gridCol w:w="8389"/>
      </w:tblGrid>
      <w:tr w:rsidR="00843FDA" w:rsidRPr="00C6580C" w14:paraId="4ECC6E6F"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0002D4FF" w14:textId="77777777" w:rsidR="00843FDA" w:rsidRPr="00C6580C" w:rsidRDefault="00843FDA" w:rsidP="00CD7CAC">
            <w:pPr>
              <w:widowControl/>
              <w:jc w:val="center"/>
              <w:rPr>
                <w:b/>
                <w:bCs/>
                <w:kern w:val="0"/>
                <w:szCs w:val="22"/>
              </w:rPr>
            </w:pPr>
            <w:r w:rsidRPr="00C6580C">
              <w:rPr>
                <w:b/>
                <w:bCs/>
                <w:kern w:val="0"/>
                <w:szCs w:val="22"/>
              </w:rPr>
              <w:t>  </w:t>
            </w:r>
          </w:p>
        </w:tc>
        <w:tc>
          <w:tcPr>
            <w:tcW w:w="0" w:type="auto"/>
            <w:tcBorders>
              <w:top w:val="single" w:sz="4" w:space="0" w:color="000000"/>
              <w:left w:val="single" w:sz="4" w:space="0" w:color="000000"/>
              <w:bottom w:val="single" w:sz="4" w:space="0" w:color="000000"/>
              <w:right w:val="single" w:sz="4" w:space="0" w:color="000000"/>
            </w:tcBorders>
            <w:vAlign w:val="bottom"/>
          </w:tcPr>
          <w:p w14:paraId="07B1E5E0" w14:textId="77777777" w:rsidR="00843FDA" w:rsidRPr="00C6580C" w:rsidRDefault="00843FDA" w:rsidP="00CD7CAC">
            <w:pPr>
              <w:widowControl/>
              <w:jc w:val="center"/>
              <w:rPr>
                <w:b/>
                <w:bCs/>
                <w:kern w:val="0"/>
                <w:szCs w:val="22"/>
              </w:rPr>
            </w:pPr>
            <w:r w:rsidRPr="00C6580C">
              <w:rPr>
                <w:b/>
                <w:bCs/>
                <w:kern w:val="0"/>
                <w:szCs w:val="22"/>
              </w:rPr>
              <w:t>Channel Nos.</w:t>
            </w:r>
          </w:p>
        </w:tc>
      </w:tr>
      <w:tr w:rsidR="00843FDA" w:rsidRPr="00C6580C" w14:paraId="23D87C58" w14:textId="77777777">
        <w:tc>
          <w:tcPr>
            <w:tcW w:w="0" w:type="auto"/>
            <w:tcBorders>
              <w:top w:val="single" w:sz="4" w:space="0" w:color="000000"/>
              <w:left w:val="single" w:sz="4" w:space="0" w:color="000000"/>
              <w:bottom w:val="single" w:sz="4" w:space="0" w:color="000000"/>
              <w:right w:val="single" w:sz="4" w:space="0" w:color="000000"/>
            </w:tcBorders>
          </w:tcPr>
          <w:p w14:paraId="13B57882" w14:textId="77777777" w:rsidR="00843FDA" w:rsidRPr="00C6580C" w:rsidRDefault="00843FDA" w:rsidP="00CD7CAC">
            <w:pPr>
              <w:widowControl/>
              <w:rPr>
                <w:kern w:val="0"/>
                <w:szCs w:val="22"/>
              </w:rPr>
            </w:pPr>
            <w:r w:rsidRPr="00C6580C">
              <w:rPr>
                <w:kern w:val="0"/>
                <w:szCs w:val="22"/>
              </w:rPr>
              <w:t>Single Channels</w:t>
            </w:r>
          </w:p>
        </w:tc>
        <w:tc>
          <w:tcPr>
            <w:tcW w:w="0" w:type="auto"/>
            <w:tcBorders>
              <w:top w:val="single" w:sz="4" w:space="0" w:color="000000"/>
              <w:left w:val="single" w:sz="4" w:space="0" w:color="000000"/>
              <w:bottom w:val="single" w:sz="4" w:space="0" w:color="000000"/>
              <w:right w:val="single" w:sz="4" w:space="0" w:color="000000"/>
            </w:tcBorders>
          </w:tcPr>
          <w:p w14:paraId="33DCC7FA" w14:textId="77777777" w:rsidR="00843FDA" w:rsidRPr="00C6580C" w:rsidRDefault="00843FDA" w:rsidP="00CD7CAC">
            <w:pPr>
              <w:widowControl/>
              <w:rPr>
                <w:kern w:val="0"/>
                <w:szCs w:val="22"/>
              </w:rPr>
            </w:pPr>
            <w:r w:rsidRPr="00C6580C">
              <w:rPr>
                <w:kern w:val="0"/>
                <w:szCs w:val="22"/>
              </w:rPr>
              <w:t>***</w:t>
            </w:r>
          </w:p>
          <w:p w14:paraId="37F096DD" w14:textId="77777777" w:rsidR="00843FDA" w:rsidRPr="00C6580C" w:rsidRDefault="00843FDA" w:rsidP="00CD7CAC">
            <w:pPr>
              <w:widowControl/>
              <w:rPr>
                <w:kern w:val="0"/>
                <w:szCs w:val="22"/>
              </w:rPr>
            </w:pPr>
            <w:r w:rsidRPr="00C6580C">
              <w:rPr>
                <w:kern w:val="0"/>
                <w:szCs w:val="22"/>
              </w:rPr>
              <w:t>263a, 264a, 267a, 268a, 272a, 273a, 274a, 275a, 276a, 277a, 278a, 281a, 282a, 283a, 284a, 287a, 288a, 291a, 292a, 293a, 294a, 295a, 296a, 297a, 298a, 301a, 302a, 303a, 304a, 305a, 306a, 307a, 308a, 346a, 347a, 362a, 363a, 364a, 365a, 366a, 367a, 379a, 380a, 381a, 382a, 383a, 384a, 385a, 386a, 387a, 388a, 389a, 390a, 391a, 392a, 393a, 394a, 399a, 400a, 401a, 403a, 403a, 404a, 405a, 406a, 407a, 408a, 409a, 410a</w:t>
            </w:r>
          </w:p>
        </w:tc>
      </w:tr>
    </w:tbl>
    <w:p w14:paraId="43271090" w14:textId="77777777" w:rsidR="00843FDA" w:rsidRPr="00A96110" w:rsidRDefault="00843FDA" w:rsidP="00CD7CAC">
      <w:pPr>
        <w:pStyle w:val="ParaNum"/>
        <w:widowControl/>
        <w:numPr>
          <w:ilvl w:val="0"/>
          <w:numId w:val="0"/>
        </w:numPr>
        <w:tabs>
          <w:tab w:val="left" w:pos="720"/>
        </w:tabs>
      </w:pPr>
    </w:p>
    <w:p w14:paraId="4CB340EC" w14:textId="77777777" w:rsidR="00843FDA" w:rsidRPr="00A96110" w:rsidRDefault="00843FDA" w:rsidP="00CD7CAC">
      <w:pPr>
        <w:pStyle w:val="ParaNum"/>
        <w:widowControl/>
        <w:numPr>
          <w:ilvl w:val="0"/>
          <w:numId w:val="0"/>
        </w:numPr>
        <w:tabs>
          <w:tab w:val="left" w:pos="720"/>
        </w:tabs>
      </w:pPr>
      <w:r w:rsidRPr="00A96110">
        <w:tab/>
        <w:t xml:space="preserve">(2) * * * </w:t>
      </w:r>
    </w:p>
    <w:p w14:paraId="13CE8B0F"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2B—Business/Industrial/Land Transportation Pool 806–816/851–861 MHz Band for Channels in Atlanta, GA</w:t>
      </w:r>
    </w:p>
    <w:p w14:paraId="75B97272" w14:textId="77777777" w:rsidR="00843FDA" w:rsidRPr="00C6580C" w:rsidRDefault="00843FDA" w:rsidP="00CD7CAC">
      <w:pPr>
        <w:widowControl/>
        <w:spacing w:before="100" w:beforeAutospacing="1" w:after="100" w:afterAutospacing="1"/>
        <w:jc w:val="center"/>
        <w:rPr>
          <w:kern w:val="0"/>
          <w:szCs w:val="22"/>
        </w:rPr>
      </w:pPr>
      <w:r w:rsidRPr="00C6580C">
        <w:rPr>
          <w:kern w:val="0"/>
          <w:szCs w:val="22"/>
        </w:rPr>
        <w:t>[138 Channels]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001"/>
        <w:gridCol w:w="8389"/>
      </w:tblGrid>
      <w:tr w:rsidR="00843FDA" w:rsidRPr="00C6580C" w14:paraId="1D3DAE86"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666881DD" w14:textId="77777777" w:rsidR="00843FDA" w:rsidRPr="00C6580C" w:rsidRDefault="00843FDA" w:rsidP="00CD7CAC">
            <w:pPr>
              <w:widowControl/>
              <w:jc w:val="center"/>
              <w:rPr>
                <w:b/>
                <w:bCs/>
                <w:kern w:val="0"/>
                <w:szCs w:val="22"/>
              </w:rPr>
            </w:pPr>
            <w:r w:rsidRPr="00C6580C">
              <w:rPr>
                <w:b/>
                <w:bCs/>
                <w:kern w:val="0"/>
                <w:szCs w:val="22"/>
              </w:rPr>
              <w:t>  </w:t>
            </w:r>
          </w:p>
        </w:tc>
        <w:tc>
          <w:tcPr>
            <w:tcW w:w="0" w:type="auto"/>
            <w:tcBorders>
              <w:top w:val="single" w:sz="4" w:space="0" w:color="000000"/>
              <w:left w:val="single" w:sz="4" w:space="0" w:color="000000"/>
              <w:bottom w:val="single" w:sz="4" w:space="0" w:color="000000"/>
              <w:right w:val="single" w:sz="4" w:space="0" w:color="000000"/>
            </w:tcBorders>
            <w:vAlign w:val="bottom"/>
          </w:tcPr>
          <w:p w14:paraId="524ADE44" w14:textId="77777777" w:rsidR="00843FDA" w:rsidRPr="00C6580C" w:rsidRDefault="00843FDA" w:rsidP="00CD7CAC">
            <w:pPr>
              <w:widowControl/>
              <w:jc w:val="center"/>
              <w:rPr>
                <w:b/>
                <w:bCs/>
                <w:kern w:val="0"/>
                <w:szCs w:val="22"/>
              </w:rPr>
            </w:pPr>
            <w:r w:rsidRPr="00C6580C">
              <w:rPr>
                <w:b/>
                <w:bCs/>
                <w:kern w:val="0"/>
                <w:szCs w:val="22"/>
              </w:rPr>
              <w:t>Channel Nos.</w:t>
            </w:r>
          </w:p>
        </w:tc>
      </w:tr>
      <w:tr w:rsidR="00843FDA" w:rsidRPr="00C6580C" w14:paraId="7DA2A636" w14:textId="77777777">
        <w:tc>
          <w:tcPr>
            <w:tcW w:w="0" w:type="auto"/>
            <w:tcBorders>
              <w:top w:val="single" w:sz="4" w:space="0" w:color="000000"/>
              <w:left w:val="single" w:sz="4" w:space="0" w:color="000000"/>
              <w:bottom w:val="single" w:sz="4" w:space="0" w:color="000000"/>
              <w:right w:val="single" w:sz="4" w:space="0" w:color="000000"/>
            </w:tcBorders>
          </w:tcPr>
          <w:p w14:paraId="625CF9A8" w14:textId="77777777" w:rsidR="00843FDA" w:rsidRPr="00C6580C" w:rsidRDefault="00843FDA" w:rsidP="00CD7CAC">
            <w:pPr>
              <w:widowControl/>
              <w:rPr>
                <w:kern w:val="0"/>
                <w:szCs w:val="22"/>
              </w:rPr>
            </w:pPr>
            <w:r w:rsidRPr="00C6580C">
              <w:rPr>
                <w:kern w:val="0"/>
                <w:szCs w:val="22"/>
              </w:rPr>
              <w:t>Single Channels</w:t>
            </w:r>
          </w:p>
        </w:tc>
        <w:tc>
          <w:tcPr>
            <w:tcW w:w="0" w:type="auto"/>
            <w:tcBorders>
              <w:top w:val="single" w:sz="4" w:space="0" w:color="000000"/>
              <w:left w:val="single" w:sz="4" w:space="0" w:color="000000"/>
              <w:bottom w:val="single" w:sz="4" w:space="0" w:color="000000"/>
              <w:right w:val="single" w:sz="4" w:space="0" w:color="000000"/>
            </w:tcBorders>
          </w:tcPr>
          <w:p w14:paraId="23E29DF7" w14:textId="77777777" w:rsidR="00843FDA" w:rsidRPr="00C6580C" w:rsidRDefault="00843FDA" w:rsidP="00CD7CAC">
            <w:pPr>
              <w:widowControl/>
              <w:rPr>
                <w:kern w:val="0"/>
                <w:szCs w:val="22"/>
              </w:rPr>
            </w:pPr>
            <w:r w:rsidRPr="00C6580C">
              <w:rPr>
                <w:kern w:val="0"/>
                <w:szCs w:val="22"/>
              </w:rPr>
              <w:t>***</w:t>
            </w:r>
          </w:p>
          <w:p w14:paraId="47D2D0D7" w14:textId="77777777" w:rsidR="00843FDA" w:rsidRPr="00C6580C" w:rsidRDefault="00843FDA" w:rsidP="00CD7CAC">
            <w:pPr>
              <w:widowControl/>
              <w:rPr>
                <w:kern w:val="0"/>
                <w:szCs w:val="22"/>
              </w:rPr>
            </w:pPr>
            <w:r w:rsidRPr="00C6580C">
              <w:rPr>
                <w:kern w:val="0"/>
                <w:szCs w:val="22"/>
              </w:rPr>
              <w:t>263a, 264a, 265a, 266a, 267a, 268a, 271a, 272a, 273a, 274a, 275a, 276a, 277a, 278a, 281a, 282a, 283a, 284a, 287a, 288a, 291a, 292a, 293a, 294a, 295a, 295a, 297a, 298a, 301a, 302a, 303a, 304a, 305a, 306a, 307a, 308a, 342a, 343a, 344a, 345a, 346a, 347a, 362a, 363a, 364a, 365a, 366a, 367a, 382a, 383a, 384a, 385a, 386a, 387a, 391a, 392a, 393a, 394a, 399a, 400a, 401a, 402a, 403a, 404a, 405a, 406a, 407a, 409a, 410a</w:t>
            </w:r>
          </w:p>
        </w:tc>
      </w:tr>
    </w:tbl>
    <w:p w14:paraId="2750F1BA" w14:textId="77777777" w:rsidR="00843FDA" w:rsidRPr="00A96110" w:rsidRDefault="00843FDA" w:rsidP="00CD7CAC">
      <w:pPr>
        <w:pStyle w:val="ParaNum"/>
        <w:widowControl/>
        <w:numPr>
          <w:ilvl w:val="0"/>
          <w:numId w:val="0"/>
        </w:numPr>
        <w:tabs>
          <w:tab w:val="left" w:pos="720"/>
        </w:tabs>
      </w:pPr>
    </w:p>
    <w:p w14:paraId="675630C1" w14:textId="77777777" w:rsidR="00843FDA" w:rsidRPr="00C6580C" w:rsidRDefault="00843FDA" w:rsidP="00CD7CAC">
      <w:pPr>
        <w:widowControl/>
        <w:spacing w:before="100" w:beforeAutospacing="1" w:after="100" w:afterAutospacing="1"/>
        <w:ind w:firstLine="720"/>
        <w:rPr>
          <w:bCs/>
          <w:kern w:val="0"/>
          <w:szCs w:val="22"/>
        </w:rPr>
      </w:pPr>
      <w:r w:rsidRPr="00C6580C">
        <w:rPr>
          <w:bCs/>
          <w:kern w:val="0"/>
          <w:szCs w:val="22"/>
        </w:rPr>
        <w:t>(d) * * *</w:t>
      </w:r>
    </w:p>
    <w:p w14:paraId="70994130"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4B—SMR Category 806–816/851–861 MHz Band Channels, Available After January 21, 2005, for Site-Based Licensing</w:t>
      </w:r>
    </w:p>
    <w:p w14:paraId="4266CFEA" w14:textId="77777777" w:rsidR="00843FDA" w:rsidRPr="00C6580C" w:rsidRDefault="00843FDA" w:rsidP="00CD7CAC">
      <w:pPr>
        <w:widowControl/>
        <w:spacing w:before="100" w:beforeAutospacing="1" w:after="100" w:afterAutospacing="1"/>
        <w:jc w:val="center"/>
        <w:rPr>
          <w:kern w:val="0"/>
          <w:szCs w:val="22"/>
        </w:rPr>
      </w:pPr>
      <w:r w:rsidRPr="00C6580C">
        <w:rPr>
          <w:kern w:val="0"/>
          <w:szCs w:val="22"/>
        </w:rPr>
        <w:t>[160 Channels]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305"/>
        <w:gridCol w:w="8085"/>
      </w:tblGrid>
      <w:tr w:rsidR="00843FDA" w:rsidRPr="00C6580C" w14:paraId="2CDCB867"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7D43190C" w14:textId="77777777" w:rsidR="00843FDA" w:rsidRPr="00C6580C" w:rsidRDefault="00843FDA" w:rsidP="00CD7CAC">
            <w:pPr>
              <w:widowControl/>
              <w:jc w:val="center"/>
              <w:rPr>
                <w:b/>
                <w:bCs/>
                <w:kern w:val="0"/>
                <w:szCs w:val="22"/>
              </w:rPr>
            </w:pPr>
            <w:r w:rsidRPr="00C6580C">
              <w:rPr>
                <w:b/>
                <w:bCs/>
                <w:kern w:val="0"/>
                <w:szCs w:val="22"/>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14:paraId="1224E7C9" w14:textId="77777777" w:rsidR="00843FDA" w:rsidRPr="00C6580C" w:rsidRDefault="00843FDA" w:rsidP="00CD7CAC">
            <w:pPr>
              <w:widowControl/>
              <w:jc w:val="center"/>
              <w:rPr>
                <w:b/>
                <w:bCs/>
                <w:kern w:val="0"/>
                <w:szCs w:val="22"/>
              </w:rPr>
            </w:pPr>
            <w:r w:rsidRPr="00C6580C">
              <w:rPr>
                <w:b/>
                <w:bCs/>
                <w:kern w:val="0"/>
                <w:szCs w:val="22"/>
              </w:rPr>
              <w:t>Channel Nos.</w:t>
            </w:r>
          </w:p>
        </w:tc>
      </w:tr>
      <w:tr w:rsidR="00843FDA" w:rsidRPr="00C6580C" w14:paraId="6DEFD94A" w14:textId="77777777">
        <w:tc>
          <w:tcPr>
            <w:tcW w:w="0" w:type="auto"/>
            <w:tcBorders>
              <w:top w:val="single" w:sz="4" w:space="0" w:color="000000"/>
              <w:left w:val="single" w:sz="4" w:space="0" w:color="000000"/>
              <w:bottom w:val="single" w:sz="4" w:space="0" w:color="000000"/>
              <w:right w:val="single" w:sz="4" w:space="0" w:color="000000"/>
            </w:tcBorders>
          </w:tcPr>
          <w:p w14:paraId="2A9B0B9B"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918F807"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5CD38F04" w14:textId="77777777">
        <w:tc>
          <w:tcPr>
            <w:tcW w:w="0" w:type="auto"/>
            <w:tcBorders>
              <w:top w:val="single" w:sz="4" w:space="0" w:color="000000"/>
              <w:left w:val="single" w:sz="4" w:space="0" w:color="000000"/>
              <w:bottom w:val="single" w:sz="4" w:space="0" w:color="000000"/>
              <w:right w:val="single" w:sz="4" w:space="0" w:color="000000"/>
            </w:tcBorders>
          </w:tcPr>
          <w:p w14:paraId="256FE74B" w14:textId="77777777" w:rsidR="00843FDA" w:rsidRPr="00C6580C" w:rsidRDefault="00843FDA" w:rsidP="00CD7CAC">
            <w:pPr>
              <w:widowControl/>
              <w:rPr>
                <w:kern w:val="0"/>
                <w:szCs w:val="22"/>
              </w:rPr>
            </w:pPr>
            <w:r w:rsidRPr="00C6580C">
              <w:rPr>
                <w:kern w:val="0"/>
                <w:szCs w:val="22"/>
              </w:rPr>
              <w:t>315a</w:t>
            </w:r>
          </w:p>
        </w:tc>
        <w:tc>
          <w:tcPr>
            <w:tcW w:w="0" w:type="auto"/>
            <w:tcBorders>
              <w:top w:val="single" w:sz="4" w:space="0" w:color="000000"/>
              <w:left w:val="single" w:sz="4" w:space="0" w:color="000000"/>
              <w:bottom w:val="single" w:sz="4" w:space="0" w:color="000000"/>
              <w:right w:val="single" w:sz="4" w:space="0" w:color="000000"/>
            </w:tcBorders>
          </w:tcPr>
          <w:p w14:paraId="5108E204" w14:textId="77777777" w:rsidR="00843FDA" w:rsidRPr="00C6580C" w:rsidRDefault="00843FDA" w:rsidP="00CD7CAC">
            <w:pPr>
              <w:widowControl/>
              <w:rPr>
                <w:kern w:val="0"/>
                <w:szCs w:val="22"/>
              </w:rPr>
            </w:pPr>
            <w:r w:rsidRPr="00C6580C">
              <w:rPr>
                <w:kern w:val="0"/>
                <w:szCs w:val="22"/>
              </w:rPr>
              <w:t>315a–355a–395a–435a–475a</w:t>
            </w:r>
          </w:p>
        </w:tc>
      </w:tr>
      <w:tr w:rsidR="00843FDA" w:rsidRPr="00C6580C" w14:paraId="315DCABB" w14:textId="77777777">
        <w:tc>
          <w:tcPr>
            <w:tcW w:w="0" w:type="auto"/>
            <w:tcBorders>
              <w:top w:val="single" w:sz="4" w:space="0" w:color="000000"/>
              <w:left w:val="single" w:sz="4" w:space="0" w:color="000000"/>
              <w:bottom w:val="single" w:sz="4" w:space="0" w:color="000000"/>
              <w:right w:val="single" w:sz="4" w:space="0" w:color="000000"/>
            </w:tcBorders>
          </w:tcPr>
          <w:p w14:paraId="3B2264F2"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1875F3F"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5A1D0832" w14:textId="77777777">
        <w:tc>
          <w:tcPr>
            <w:tcW w:w="0" w:type="auto"/>
            <w:tcBorders>
              <w:top w:val="single" w:sz="4" w:space="0" w:color="000000"/>
              <w:left w:val="single" w:sz="4" w:space="0" w:color="000000"/>
              <w:bottom w:val="single" w:sz="4" w:space="0" w:color="000000"/>
              <w:right w:val="single" w:sz="4" w:space="0" w:color="000000"/>
            </w:tcBorders>
          </w:tcPr>
          <w:p w14:paraId="76372F6A" w14:textId="77777777" w:rsidR="00843FDA" w:rsidRPr="00C6580C" w:rsidRDefault="00843FDA" w:rsidP="00CD7CAC">
            <w:pPr>
              <w:widowControl/>
              <w:rPr>
                <w:kern w:val="0"/>
                <w:szCs w:val="22"/>
              </w:rPr>
            </w:pPr>
            <w:r w:rsidRPr="00C6580C">
              <w:rPr>
                <w:kern w:val="0"/>
                <w:szCs w:val="22"/>
              </w:rPr>
              <w:t>316a</w:t>
            </w:r>
          </w:p>
        </w:tc>
        <w:tc>
          <w:tcPr>
            <w:tcW w:w="0" w:type="auto"/>
            <w:tcBorders>
              <w:top w:val="single" w:sz="4" w:space="0" w:color="000000"/>
              <w:left w:val="single" w:sz="4" w:space="0" w:color="000000"/>
              <w:bottom w:val="single" w:sz="4" w:space="0" w:color="000000"/>
              <w:right w:val="single" w:sz="4" w:space="0" w:color="000000"/>
            </w:tcBorders>
          </w:tcPr>
          <w:p w14:paraId="3E22DA49" w14:textId="77777777" w:rsidR="00843FDA" w:rsidRPr="00C6580C" w:rsidRDefault="00843FDA" w:rsidP="00CD7CAC">
            <w:pPr>
              <w:widowControl/>
              <w:rPr>
                <w:kern w:val="0"/>
                <w:szCs w:val="22"/>
              </w:rPr>
            </w:pPr>
            <w:r w:rsidRPr="00C6580C">
              <w:rPr>
                <w:kern w:val="0"/>
                <w:szCs w:val="22"/>
              </w:rPr>
              <w:t>316a–356a–396a–436a–476a</w:t>
            </w:r>
          </w:p>
        </w:tc>
      </w:tr>
      <w:tr w:rsidR="00843FDA" w:rsidRPr="00C6580C" w14:paraId="16D38970" w14:textId="77777777">
        <w:tc>
          <w:tcPr>
            <w:tcW w:w="0" w:type="auto"/>
            <w:tcBorders>
              <w:top w:val="single" w:sz="4" w:space="0" w:color="000000"/>
              <w:left w:val="single" w:sz="4" w:space="0" w:color="000000"/>
              <w:bottom w:val="single" w:sz="4" w:space="0" w:color="000000"/>
              <w:right w:val="single" w:sz="4" w:space="0" w:color="000000"/>
            </w:tcBorders>
          </w:tcPr>
          <w:p w14:paraId="26D052A9"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0FFF7D6"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684D05A2" w14:textId="77777777">
        <w:tc>
          <w:tcPr>
            <w:tcW w:w="0" w:type="auto"/>
            <w:tcBorders>
              <w:top w:val="single" w:sz="4" w:space="0" w:color="000000"/>
              <w:left w:val="single" w:sz="4" w:space="0" w:color="000000"/>
              <w:bottom w:val="single" w:sz="4" w:space="0" w:color="000000"/>
              <w:right w:val="single" w:sz="4" w:space="0" w:color="000000"/>
            </w:tcBorders>
          </w:tcPr>
          <w:p w14:paraId="4C4C461C" w14:textId="77777777" w:rsidR="00843FDA" w:rsidRPr="00C6580C" w:rsidRDefault="00843FDA" w:rsidP="00CD7CAC">
            <w:pPr>
              <w:widowControl/>
              <w:rPr>
                <w:kern w:val="0"/>
                <w:szCs w:val="22"/>
              </w:rPr>
            </w:pPr>
            <w:r w:rsidRPr="00C6580C">
              <w:rPr>
                <w:kern w:val="0"/>
                <w:szCs w:val="22"/>
              </w:rPr>
              <w:t>317a</w:t>
            </w:r>
          </w:p>
        </w:tc>
        <w:tc>
          <w:tcPr>
            <w:tcW w:w="0" w:type="auto"/>
            <w:tcBorders>
              <w:top w:val="single" w:sz="4" w:space="0" w:color="000000"/>
              <w:left w:val="single" w:sz="4" w:space="0" w:color="000000"/>
              <w:bottom w:val="single" w:sz="4" w:space="0" w:color="000000"/>
              <w:right w:val="single" w:sz="4" w:space="0" w:color="000000"/>
            </w:tcBorders>
          </w:tcPr>
          <w:p w14:paraId="252A7165" w14:textId="77777777" w:rsidR="00843FDA" w:rsidRPr="00C6580C" w:rsidRDefault="00843FDA" w:rsidP="00CD7CAC">
            <w:pPr>
              <w:widowControl/>
              <w:rPr>
                <w:kern w:val="0"/>
                <w:szCs w:val="22"/>
              </w:rPr>
            </w:pPr>
            <w:r w:rsidRPr="00C6580C">
              <w:rPr>
                <w:kern w:val="0"/>
                <w:szCs w:val="22"/>
              </w:rPr>
              <w:t>317a–357a–397a–437a–477a</w:t>
            </w:r>
          </w:p>
        </w:tc>
      </w:tr>
      <w:tr w:rsidR="00843FDA" w:rsidRPr="00C6580C" w14:paraId="1EB860CA" w14:textId="77777777">
        <w:tc>
          <w:tcPr>
            <w:tcW w:w="0" w:type="auto"/>
            <w:tcBorders>
              <w:top w:val="single" w:sz="4" w:space="0" w:color="000000"/>
              <w:left w:val="single" w:sz="4" w:space="0" w:color="000000"/>
              <w:bottom w:val="single" w:sz="4" w:space="0" w:color="000000"/>
              <w:right w:val="single" w:sz="4" w:space="0" w:color="000000"/>
            </w:tcBorders>
          </w:tcPr>
          <w:p w14:paraId="6DDDFECD"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884EE56"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381B2897" w14:textId="77777777">
        <w:tc>
          <w:tcPr>
            <w:tcW w:w="0" w:type="auto"/>
            <w:tcBorders>
              <w:top w:val="single" w:sz="4" w:space="0" w:color="000000"/>
              <w:left w:val="single" w:sz="4" w:space="0" w:color="000000"/>
              <w:bottom w:val="single" w:sz="4" w:space="0" w:color="000000"/>
              <w:right w:val="single" w:sz="4" w:space="0" w:color="000000"/>
            </w:tcBorders>
          </w:tcPr>
          <w:p w14:paraId="2265EF7D" w14:textId="77777777" w:rsidR="00843FDA" w:rsidRPr="00C6580C" w:rsidRDefault="00843FDA" w:rsidP="00CD7CAC">
            <w:pPr>
              <w:widowControl/>
              <w:rPr>
                <w:kern w:val="0"/>
                <w:szCs w:val="22"/>
              </w:rPr>
            </w:pPr>
            <w:r w:rsidRPr="00C6580C">
              <w:rPr>
                <w:kern w:val="0"/>
                <w:szCs w:val="22"/>
              </w:rPr>
              <w:t>318a</w:t>
            </w:r>
          </w:p>
        </w:tc>
        <w:tc>
          <w:tcPr>
            <w:tcW w:w="0" w:type="auto"/>
            <w:tcBorders>
              <w:top w:val="single" w:sz="4" w:space="0" w:color="000000"/>
              <w:left w:val="single" w:sz="4" w:space="0" w:color="000000"/>
              <w:bottom w:val="single" w:sz="4" w:space="0" w:color="000000"/>
              <w:right w:val="single" w:sz="4" w:space="0" w:color="000000"/>
            </w:tcBorders>
          </w:tcPr>
          <w:p w14:paraId="3BA15A8A" w14:textId="77777777" w:rsidR="00843FDA" w:rsidRPr="00C6580C" w:rsidRDefault="00843FDA" w:rsidP="00CD7CAC">
            <w:pPr>
              <w:widowControl/>
              <w:rPr>
                <w:kern w:val="0"/>
                <w:szCs w:val="22"/>
              </w:rPr>
            </w:pPr>
            <w:r w:rsidRPr="00C6580C">
              <w:rPr>
                <w:kern w:val="0"/>
                <w:szCs w:val="22"/>
              </w:rPr>
              <w:t>318a–358a–398a–438a–478a</w:t>
            </w:r>
          </w:p>
        </w:tc>
      </w:tr>
      <w:tr w:rsidR="00843FDA" w:rsidRPr="00C6580C" w14:paraId="2B12366C" w14:textId="77777777">
        <w:tc>
          <w:tcPr>
            <w:tcW w:w="0" w:type="auto"/>
            <w:tcBorders>
              <w:top w:val="single" w:sz="4" w:space="0" w:color="000000"/>
              <w:left w:val="single" w:sz="4" w:space="0" w:color="000000"/>
              <w:bottom w:val="single" w:sz="4" w:space="0" w:color="000000"/>
              <w:right w:val="single" w:sz="4" w:space="0" w:color="000000"/>
            </w:tcBorders>
          </w:tcPr>
          <w:p w14:paraId="04F0F523"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AF8EFBF"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4524DDE1" w14:textId="77777777">
        <w:tc>
          <w:tcPr>
            <w:tcW w:w="0" w:type="auto"/>
            <w:tcBorders>
              <w:top w:val="single" w:sz="4" w:space="0" w:color="000000"/>
              <w:left w:val="single" w:sz="4" w:space="0" w:color="000000"/>
              <w:bottom w:val="single" w:sz="4" w:space="0" w:color="000000"/>
              <w:right w:val="single" w:sz="4" w:space="0" w:color="000000"/>
            </w:tcBorders>
          </w:tcPr>
          <w:p w14:paraId="74BEA460" w14:textId="77777777" w:rsidR="00843FDA" w:rsidRPr="00C6580C" w:rsidRDefault="00843FDA" w:rsidP="00CD7CAC">
            <w:pPr>
              <w:widowControl/>
              <w:rPr>
                <w:kern w:val="0"/>
                <w:szCs w:val="22"/>
              </w:rPr>
            </w:pPr>
            <w:r w:rsidRPr="00C6580C">
              <w:rPr>
                <w:kern w:val="0"/>
                <w:szCs w:val="22"/>
              </w:rPr>
              <w:t>331a</w:t>
            </w:r>
          </w:p>
        </w:tc>
        <w:tc>
          <w:tcPr>
            <w:tcW w:w="0" w:type="auto"/>
            <w:tcBorders>
              <w:top w:val="single" w:sz="4" w:space="0" w:color="000000"/>
              <w:left w:val="single" w:sz="4" w:space="0" w:color="000000"/>
              <w:bottom w:val="single" w:sz="4" w:space="0" w:color="000000"/>
              <w:right w:val="single" w:sz="4" w:space="0" w:color="000000"/>
            </w:tcBorders>
          </w:tcPr>
          <w:p w14:paraId="50B4DA3B" w14:textId="77777777" w:rsidR="00843FDA" w:rsidRPr="00C6580C" w:rsidRDefault="00843FDA" w:rsidP="00CD7CAC">
            <w:pPr>
              <w:widowControl/>
              <w:rPr>
                <w:kern w:val="0"/>
                <w:szCs w:val="22"/>
              </w:rPr>
            </w:pPr>
            <w:r w:rsidRPr="00C6580C">
              <w:rPr>
                <w:kern w:val="0"/>
                <w:szCs w:val="22"/>
              </w:rPr>
              <w:t>331a–371a–411a–451a–491a</w:t>
            </w:r>
          </w:p>
        </w:tc>
      </w:tr>
      <w:tr w:rsidR="00843FDA" w:rsidRPr="00C6580C" w14:paraId="2EAFCD5F" w14:textId="77777777">
        <w:tc>
          <w:tcPr>
            <w:tcW w:w="0" w:type="auto"/>
            <w:tcBorders>
              <w:top w:val="single" w:sz="4" w:space="0" w:color="000000"/>
              <w:left w:val="single" w:sz="4" w:space="0" w:color="000000"/>
              <w:bottom w:val="single" w:sz="4" w:space="0" w:color="000000"/>
              <w:right w:val="single" w:sz="4" w:space="0" w:color="000000"/>
            </w:tcBorders>
          </w:tcPr>
          <w:p w14:paraId="3260CF6A"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4701E4B5"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229E0EF6" w14:textId="77777777">
        <w:tc>
          <w:tcPr>
            <w:tcW w:w="0" w:type="auto"/>
            <w:tcBorders>
              <w:top w:val="single" w:sz="4" w:space="0" w:color="000000"/>
              <w:left w:val="single" w:sz="4" w:space="0" w:color="000000"/>
              <w:bottom w:val="single" w:sz="4" w:space="0" w:color="000000"/>
              <w:right w:val="single" w:sz="4" w:space="0" w:color="000000"/>
            </w:tcBorders>
          </w:tcPr>
          <w:p w14:paraId="29667248" w14:textId="77777777" w:rsidR="00843FDA" w:rsidRPr="00C6580C" w:rsidRDefault="00843FDA" w:rsidP="00CD7CAC">
            <w:pPr>
              <w:widowControl/>
              <w:rPr>
                <w:kern w:val="0"/>
                <w:szCs w:val="22"/>
              </w:rPr>
            </w:pPr>
            <w:r w:rsidRPr="00C6580C">
              <w:rPr>
                <w:kern w:val="0"/>
                <w:szCs w:val="22"/>
              </w:rPr>
              <w:t>332a</w:t>
            </w:r>
          </w:p>
        </w:tc>
        <w:tc>
          <w:tcPr>
            <w:tcW w:w="0" w:type="auto"/>
            <w:tcBorders>
              <w:top w:val="single" w:sz="4" w:space="0" w:color="000000"/>
              <w:left w:val="single" w:sz="4" w:space="0" w:color="000000"/>
              <w:bottom w:val="single" w:sz="4" w:space="0" w:color="000000"/>
              <w:right w:val="single" w:sz="4" w:space="0" w:color="000000"/>
            </w:tcBorders>
          </w:tcPr>
          <w:p w14:paraId="5A3AF38B" w14:textId="77777777" w:rsidR="00843FDA" w:rsidRPr="00C6580C" w:rsidRDefault="00843FDA" w:rsidP="00CD7CAC">
            <w:pPr>
              <w:widowControl/>
              <w:rPr>
                <w:kern w:val="0"/>
                <w:szCs w:val="22"/>
              </w:rPr>
            </w:pPr>
            <w:r w:rsidRPr="00C6580C">
              <w:rPr>
                <w:kern w:val="0"/>
                <w:szCs w:val="22"/>
              </w:rPr>
              <w:t>332a–372a–412a–452a–492a</w:t>
            </w:r>
          </w:p>
        </w:tc>
      </w:tr>
      <w:tr w:rsidR="00843FDA" w:rsidRPr="00C6580C" w14:paraId="10C35BA1" w14:textId="77777777">
        <w:tc>
          <w:tcPr>
            <w:tcW w:w="0" w:type="auto"/>
            <w:tcBorders>
              <w:top w:val="single" w:sz="4" w:space="0" w:color="000000"/>
              <w:left w:val="single" w:sz="4" w:space="0" w:color="000000"/>
              <w:bottom w:val="single" w:sz="4" w:space="0" w:color="000000"/>
              <w:right w:val="single" w:sz="4" w:space="0" w:color="000000"/>
            </w:tcBorders>
          </w:tcPr>
          <w:p w14:paraId="24B0C9B0"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2D362201"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4FFC9278" w14:textId="77777777">
        <w:tc>
          <w:tcPr>
            <w:tcW w:w="0" w:type="auto"/>
            <w:tcBorders>
              <w:top w:val="single" w:sz="4" w:space="0" w:color="000000"/>
              <w:left w:val="single" w:sz="4" w:space="0" w:color="000000"/>
              <w:bottom w:val="single" w:sz="4" w:space="0" w:color="000000"/>
              <w:right w:val="single" w:sz="4" w:space="0" w:color="000000"/>
            </w:tcBorders>
          </w:tcPr>
          <w:p w14:paraId="319EEC1B" w14:textId="77777777" w:rsidR="00843FDA" w:rsidRPr="00C6580C" w:rsidRDefault="00843FDA" w:rsidP="00CD7CAC">
            <w:pPr>
              <w:widowControl/>
              <w:rPr>
                <w:kern w:val="0"/>
                <w:szCs w:val="22"/>
              </w:rPr>
            </w:pPr>
            <w:r w:rsidRPr="00C6580C">
              <w:rPr>
                <w:kern w:val="0"/>
                <w:szCs w:val="22"/>
              </w:rPr>
              <w:t>333a</w:t>
            </w:r>
          </w:p>
        </w:tc>
        <w:tc>
          <w:tcPr>
            <w:tcW w:w="0" w:type="auto"/>
            <w:tcBorders>
              <w:top w:val="single" w:sz="4" w:space="0" w:color="000000"/>
              <w:left w:val="single" w:sz="4" w:space="0" w:color="000000"/>
              <w:bottom w:val="single" w:sz="4" w:space="0" w:color="000000"/>
              <w:right w:val="single" w:sz="4" w:space="0" w:color="000000"/>
            </w:tcBorders>
          </w:tcPr>
          <w:p w14:paraId="38D49FA0" w14:textId="77777777" w:rsidR="00843FDA" w:rsidRPr="00C6580C" w:rsidRDefault="00843FDA" w:rsidP="00CD7CAC">
            <w:pPr>
              <w:widowControl/>
              <w:rPr>
                <w:kern w:val="0"/>
                <w:szCs w:val="22"/>
              </w:rPr>
            </w:pPr>
            <w:r w:rsidRPr="00C6580C">
              <w:rPr>
                <w:kern w:val="0"/>
                <w:szCs w:val="22"/>
              </w:rPr>
              <w:t>333a–373a–413a–453a–493a</w:t>
            </w:r>
          </w:p>
        </w:tc>
      </w:tr>
      <w:tr w:rsidR="00843FDA" w:rsidRPr="00C6580C" w14:paraId="77BF5A41" w14:textId="77777777">
        <w:tc>
          <w:tcPr>
            <w:tcW w:w="0" w:type="auto"/>
            <w:tcBorders>
              <w:top w:val="single" w:sz="4" w:space="0" w:color="000000"/>
              <w:left w:val="single" w:sz="4" w:space="0" w:color="000000"/>
              <w:bottom w:val="single" w:sz="4" w:space="0" w:color="000000"/>
              <w:right w:val="single" w:sz="4" w:space="0" w:color="000000"/>
            </w:tcBorders>
          </w:tcPr>
          <w:p w14:paraId="278BDB2A"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B639E5E"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1F9F4CF9" w14:textId="77777777">
        <w:tc>
          <w:tcPr>
            <w:tcW w:w="0" w:type="auto"/>
            <w:tcBorders>
              <w:top w:val="single" w:sz="4" w:space="0" w:color="000000"/>
              <w:left w:val="single" w:sz="4" w:space="0" w:color="000000"/>
              <w:bottom w:val="single" w:sz="4" w:space="0" w:color="000000"/>
              <w:right w:val="single" w:sz="4" w:space="0" w:color="000000"/>
            </w:tcBorders>
          </w:tcPr>
          <w:p w14:paraId="02F67537" w14:textId="77777777" w:rsidR="00843FDA" w:rsidRPr="00C6580C" w:rsidRDefault="00843FDA" w:rsidP="00CD7CAC">
            <w:pPr>
              <w:widowControl/>
              <w:rPr>
                <w:kern w:val="0"/>
                <w:szCs w:val="22"/>
              </w:rPr>
            </w:pPr>
            <w:r w:rsidRPr="00C6580C">
              <w:rPr>
                <w:kern w:val="0"/>
                <w:szCs w:val="22"/>
              </w:rPr>
              <w:t>334a</w:t>
            </w:r>
          </w:p>
        </w:tc>
        <w:tc>
          <w:tcPr>
            <w:tcW w:w="0" w:type="auto"/>
            <w:tcBorders>
              <w:top w:val="single" w:sz="4" w:space="0" w:color="000000"/>
              <w:left w:val="single" w:sz="4" w:space="0" w:color="000000"/>
              <w:bottom w:val="single" w:sz="4" w:space="0" w:color="000000"/>
              <w:right w:val="single" w:sz="4" w:space="0" w:color="000000"/>
            </w:tcBorders>
          </w:tcPr>
          <w:p w14:paraId="43FB6D5C" w14:textId="77777777" w:rsidR="00843FDA" w:rsidRPr="00C6580C" w:rsidRDefault="00843FDA" w:rsidP="00CD7CAC">
            <w:pPr>
              <w:widowControl/>
              <w:rPr>
                <w:kern w:val="0"/>
                <w:szCs w:val="22"/>
              </w:rPr>
            </w:pPr>
            <w:r w:rsidRPr="00C6580C">
              <w:rPr>
                <w:kern w:val="0"/>
                <w:szCs w:val="22"/>
              </w:rPr>
              <w:t>334a–374a–414a–454a–494a</w:t>
            </w:r>
          </w:p>
        </w:tc>
      </w:tr>
      <w:tr w:rsidR="00843FDA" w:rsidRPr="00C6580C" w14:paraId="48819A8F" w14:textId="77777777">
        <w:tc>
          <w:tcPr>
            <w:tcW w:w="0" w:type="auto"/>
            <w:tcBorders>
              <w:top w:val="single" w:sz="4" w:space="0" w:color="000000"/>
              <w:left w:val="single" w:sz="4" w:space="0" w:color="000000"/>
              <w:bottom w:val="single" w:sz="4" w:space="0" w:color="000000"/>
              <w:right w:val="single" w:sz="4" w:space="0" w:color="000000"/>
            </w:tcBorders>
          </w:tcPr>
          <w:p w14:paraId="3D58C22D"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111E0A66"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5FDAF982" w14:textId="77777777">
        <w:tc>
          <w:tcPr>
            <w:tcW w:w="0" w:type="auto"/>
            <w:tcBorders>
              <w:top w:val="single" w:sz="4" w:space="0" w:color="000000"/>
              <w:left w:val="single" w:sz="4" w:space="0" w:color="000000"/>
              <w:bottom w:val="single" w:sz="4" w:space="0" w:color="000000"/>
              <w:right w:val="single" w:sz="4" w:space="0" w:color="000000"/>
            </w:tcBorders>
          </w:tcPr>
          <w:p w14:paraId="2F133FEF" w14:textId="77777777" w:rsidR="00843FDA" w:rsidRPr="00C6580C" w:rsidRDefault="00843FDA" w:rsidP="00CD7CAC">
            <w:pPr>
              <w:widowControl/>
              <w:rPr>
                <w:kern w:val="0"/>
                <w:szCs w:val="22"/>
              </w:rPr>
            </w:pPr>
            <w:r w:rsidRPr="00C6580C">
              <w:rPr>
                <w:kern w:val="0"/>
                <w:szCs w:val="22"/>
              </w:rPr>
              <w:t>335a</w:t>
            </w:r>
          </w:p>
        </w:tc>
        <w:tc>
          <w:tcPr>
            <w:tcW w:w="0" w:type="auto"/>
            <w:tcBorders>
              <w:top w:val="single" w:sz="4" w:space="0" w:color="000000"/>
              <w:left w:val="single" w:sz="4" w:space="0" w:color="000000"/>
              <w:bottom w:val="single" w:sz="4" w:space="0" w:color="000000"/>
              <w:right w:val="single" w:sz="4" w:space="0" w:color="000000"/>
            </w:tcBorders>
          </w:tcPr>
          <w:p w14:paraId="10888174" w14:textId="77777777" w:rsidR="00843FDA" w:rsidRPr="00C6580C" w:rsidRDefault="00843FDA" w:rsidP="00CD7CAC">
            <w:pPr>
              <w:widowControl/>
              <w:rPr>
                <w:kern w:val="0"/>
                <w:szCs w:val="22"/>
              </w:rPr>
            </w:pPr>
            <w:r w:rsidRPr="00C6580C">
              <w:rPr>
                <w:kern w:val="0"/>
                <w:szCs w:val="22"/>
              </w:rPr>
              <w:t>335a–375a–415a–455a–495a</w:t>
            </w:r>
          </w:p>
        </w:tc>
      </w:tr>
      <w:tr w:rsidR="00843FDA" w:rsidRPr="00C6580C" w14:paraId="52A63B6A" w14:textId="77777777">
        <w:tc>
          <w:tcPr>
            <w:tcW w:w="0" w:type="auto"/>
            <w:tcBorders>
              <w:top w:val="single" w:sz="4" w:space="0" w:color="000000"/>
              <w:left w:val="single" w:sz="4" w:space="0" w:color="000000"/>
              <w:bottom w:val="single" w:sz="4" w:space="0" w:color="000000"/>
              <w:right w:val="single" w:sz="4" w:space="0" w:color="000000"/>
            </w:tcBorders>
          </w:tcPr>
          <w:p w14:paraId="6EA2DD2B"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90BBEDE"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0E72E1FB" w14:textId="77777777">
        <w:tc>
          <w:tcPr>
            <w:tcW w:w="0" w:type="auto"/>
            <w:tcBorders>
              <w:top w:val="single" w:sz="4" w:space="0" w:color="000000"/>
              <w:left w:val="single" w:sz="4" w:space="0" w:color="000000"/>
              <w:bottom w:val="single" w:sz="4" w:space="0" w:color="000000"/>
              <w:right w:val="single" w:sz="4" w:space="0" w:color="000000"/>
            </w:tcBorders>
          </w:tcPr>
          <w:p w14:paraId="4E423995" w14:textId="77777777" w:rsidR="00843FDA" w:rsidRPr="00C6580C" w:rsidRDefault="00843FDA" w:rsidP="00CD7CAC">
            <w:pPr>
              <w:widowControl/>
              <w:rPr>
                <w:kern w:val="0"/>
                <w:szCs w:val="22"/>
              </w:rPr>
            </w:pPr>
            <w:r w:rsidRPr="00C6580C">
              <w:rPr>
                <w:kern w:val="0"/>
                <w:szCs w:val="22"/>
              </w:rPr>
              <w:t>336a</w:t>
            </w:r>
          </w:p>
        </w:tc>
        <w:tc>
          <w:tcPr>
            <w:tcW w:w="0" w:type="auto"/>
            <w:tcBorders>
              <w:top w:val="single" w:sz="4" w:space="0" w:color="000000"/>
              <w:left w:val="single" w:sz="4" w:space="0" w:color="000000"/>
              <w:bottom w:val="single" w:sz="4" w:space="0" w:color="000000"/>
              <w:right w:val="single" w:sz="4" w:space="0" w:color="000000"/>
            </w:tcBorders>
          </w:tcPr>
          <w:p w14:paraId="5DA7EE6E" w14:textId="77777777" w:rsidR="00843FDA" w:rsidRPr="00C6580C" w:rsidRDefault="00843FDA" w:rsidP="00CD7CAC">
            <w:pPr>
              <w:widowControl/>
              <w:rPr>
                <w:kern w:val="0"/>
                <w:szCs w:val="22"/>
              </w:rPr>
            </w:pPr>
            <w:r w:rsidRPr="00C6580C">
              <w:rPr>
                <w:kern w:val="0"/>
                <w:szCs w:val="22"/>
              </w:rPr>
              <w:t>336a–376a–416a–456a–496a</w:t>
            </w:r>
          </w:p>
        </w:tc>
      </w:tr>
      <w:tr w:rsidR="00843FDA" w:rsidRPr="00C6580C" w14:paraId="33D71AA0" w14:textId="77777777">
        <w:tc>
          <w:tcPr>
            <w:tcW w:w="0" w:type="auto"/>
            <w:tcBorders>
              <w:top w:val="single" w:sz="4" w:space="0" w:color="000000"/>
              <w:left w:val="single" w:sz="4" w:space="0" w:color="000000"/>
              <w:bottom w:val="single" w:sz="4" w:space="0" w:color="000000"/>
              <w:right w:val="single" w:sz="4" w:space="0" w:color="000000"/>
            </w:tcBorders>
          </w:tcPr>
          <w:p w14:paraId="685422DD"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7ECA5977"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681EACFB" w14:textId="77777777">
        <w:tc>
          <w:tcPr>
            <w:tcW w:w="0" w:type="auto"/>
            <w:tcBorders>
              <w:top w:val="single" w:sz="4" w:space="0" w:color="000000"/>
              <w:left w:val="single" w:sz="4" w:space="0" w:color="000000"/>
              <w:bottom w:val="single" w:sz="4" w:space="0" w:color="000000"/>
              <w:right w:val="single" w:sz="4" w:space="0" w:color="000000"/>
            </w:tcBorders>
          </w:tcPr>
          <w:p w14:paraId="5E253148" w14:textId="77777777" w:rsidR="00843FDA" w:rsidRPr="00C6580C" w:rsidRDefault="00843FDA" w:rsidP="00CD7CAC">
            <w:pPr>
              <w:widowControl/>
              <w:rPr>
                <w:kern w:val="0"/>
                <w:szCs w:val="22"/>
              </w:rPr>
            </w:pPr>
            <w:r w:rsidRPr="00C6580C">
              <w:rPr>
                <w:kern w:val="0"/>
                <w:szCs w:val="22"/>
              </w:rPr>
              <w:t>337a</w:t>
            </w:r>
          </w:p>
        </w:tc>
        <w:tc>
          <w:tcPr>
            <w:tcW w:w="0" w:type="auto"/>
            <w:tcBorders>
              <w:top w:val="single" w:sz="4" w:space="0" w:color="000000"/>
              <w:left w:val="single" w:sz="4" w:space="0" w:color="000000"/>
              <w:bottom w:val="single" w:sz="4" w:space="0" w:color="000000"/>
              <w:right w:val="single" w:sz="4" w:space="0" w:color="000000"/>
            </w:tcBorders>
          </w:tcPr>
          <w:p w14:paraId="53E08A18" w14:textId="77777777" w:rsidR="00843FDA" w:rsidRPr="00C6580C" w:rsidRDefault="00843FDA" w:rsidP="00CD7CAC">
            <w:pPr>
              <w:widowControl/>
              <w:rPr>
                <w:kern w:val="0"/>
                <w:szCs w:val="22"/>
              </w:rPr>
            </w:pPr>
            <w:r w:rsidRPr="00C6580C">
              <w:rPr>
                <w:kern w:val="0"/>
                <w:szCs w:val="22"/>
              </w:rPr>
              <w:t>337a–377a–417a–457a–497a</w:t>
            </w:r>
          </w:p>
        </w:tc>
      </w:tr>
      <w:tr w:rsidR="00843FDA" w:rsidRPr="00C6580C" w14:paraId="1BE0FC93" w14:textId="77777777">
        <w:tc>
          <w:tcPr>
            <w:tcW w:w="0" w:type="auto"/>
            <w:tcBorders>
              <w:top w:val="single" w:sz="4" w:space="0" w:color="000000"/>
              <w:left w:val="single" w:sz="4" w:space="0" w:color="000000"/>
              <w:bottom w:val="single" w:sz="4" w:space="0" w:color="000000"/>
              <w:right w:val="single" w:sz="4" w:space="0" w:color="000000"/>
            </w:tcBorders>
          </w:tcPr>
          <w:p w14:paraId="7BDF1975" w14:textId="77777777" w:rsidR="00843FDA" w:rsidRPr="00C6580C" w:rsidRDefault="00843FDA" w:rsidP="00CD7CAC">
            <w:pPr>
              <w:widowControl/>
              <w:jc w:val="center"/>
              <w:rPr>
                <w:kern w:val="0"/>
                <w:szCs w:val="22"/>
              </w:rPr>
            </w:pPr>
            <w:r w:rsidRPr="00C6580C">
              <w:rPr>
                <w:kern w:val="0"/>
                <w:szCs w:val="22"/>
              </w:rPr>
              <w:t>* * *</w:t>
            </w:r>
          </w:p>
        </w:tc>
        <w:tc>
          <w:tcPr>
            <w:tcW w:w="0" w:type="auto"/>
            <w:tcBorders>
              <w:top w:val="single" w:sz="4" w:space="0" w:color="000000"/>
              <w:left w:val="single" w:sz="4" w:space="0" w:color="000000"/>
              <w:bottom w:val="single" w:sz="4" w:space="0" w:color="000000"/>
              <w:right w:val="single" w:sz="4" w:space="0" w:color="000000"/>
            </w:tcBorders>
          </w:tcPr>
          <w:p w14:paraId="38E09C82" w14:textId="77777777" w:rsidR="00843FDA" w:rsidRPr="00C6580C" w:rsidRDefault="00843FDA" w:rsidP="00CD7CAC">
            <w:pPr>
              <w:widowControl/>
              <w:jc w:val="center"/>
              <w:rPr>
                <w:kern w:val="0"/>
                <w:szCs w:val="22"/>
              </w:rPr>
            </w:pPr>
            <w:r w:rsidRPr="00C6580C">
              <w:rPr>
                <w:kern w:val="0"/>
                <w:szCs w:val="22"/>
              </w:rPr>
              <w:t>* * *</w:t>
            </w:r>
          </w:p>
        </w:tc>
      </w:tr>
      <w:tr w:rsidR="00843FDA" w:rsidRPr="00C6580C" w14:paraId="1187BCC5" w14:textId="77777777">
        <w:tc>
          <w:tcPr>
            <w:tcW w:w="0" w:type="auto"/>
            <w:tcBorders>
              <w:top w:val="single" w:sz="4" w:space="0" w:color="000000"/>
              <w:left w:val="single" w:sz="4" w:space="0" w:color="000000"/>
              <w:bottom w:val="single" w:sz="4" w:space="0" w:color="000000"/>
              <w:right w:val="single" w:sz="4" w:space="0" w:color="000000"/>
            </w:tcBorders>
          </w:tcPr>
          <w:p w14:paraId="2146429C" w14:textId="77777777" w:rsidR="00843FDA" w:rsidRPr="00C6580C" w:rsidRDefault="00843FDA" w:rsidP="00CD7CAC">
            <w:pPr>
              <w:widowControl/>
              <w:rPr>
                <w:kern w:val="0"/>
                <w:szCs w:val="22"/>
              </w:rPr>
            </w:pPr>
            <w:r w:rsidRPr="00C6580C">
              <w:rPr>
                <w:kern w:val="0"/>
                <w:szCs w:val="22"/>
              </w:rPr>
              <w:t>338a</w:t>
            </w:r>
          </w:p>
        </w:tc>
        <w:tc>
          <w:tcPr>
            <w:tcW w:w="0" w:type="auto"/>
            <w:tcBorders>
              <w:top w:val="single" w:sz="4" w:space="0" w:color="000000"/>
              <w:left w:val="single" w:sz="4" w:space="0" w:color="000000"/>
              <w:bottom w:val="single" w:sz="4" w:space="0" w:color="000000"/>
              <w:right w:val="single" w:sz="4" w:space="0" w:color="000000"/>
            </w:tcBorders>
          </w:tcPr>
          <w:p w14:paraId="1F761EC9" w14:textId="77777777" w:rsidR="00843FDA" w:rsidRPr="00C6580C" w:rsidRDefault="00843FDA" w:rsidP="00CD7CAC">
            <w:pPr>
              <w:widowControl/>
              <w:rPr>
                <w:kern w:val="0"/>
                <w:szCs w:val="22"/>
              </w:rPr>
            </w:pPr>
            <w:r w:rsidRPr="00C6580C">
              <w:rPr>
                <w:kern w:val="0"/>
                <w:szCs w:val="22"/>
              </w:rPr>
              <w:t>338a–378a–418a–458a–498a</w:t>
            </w:r>
          </w:p>
        </w:tc>
      </w:tr>
      <w:tr w:rsidR="00843FDA" w:rsidRPr="00C6580C" w14:paraId="3C8CFB7D" w14:textId="77777777">
        <w:tc>
          <w:tcPr>
            <w:tcW w:w="0" w:type="auto"/>
            <w:tcBorders>
              <w:top w:val="single" w:sz="4" w:space="0" w:color="000000"/>
              <w:left w:val="single" w:sz="4" w:space="0" w:color="000000"/>
              <w:bottom w:val="single" w:sz="4" w:space="0" w:color="000000"/>
              <w:right w:val="single" w:sz="4" w:space="0" w:color="000000"/>
            </w:tcBorders>
          </w:tcPr>
          <w:p w14:paraId="1F618A70" w14:textId="77777777" w:rsidR="00843FDA" w:rsidRPr="00C6580C" w:rsidRDefault="00843FDA" w:rsidP="00CD7CAC">
            <w:pPr>
              <w:widowControl/>
              <w:rPr>
                <w:kern w:val="0"/>
                <w:szCs w:val="22"/>
              </w:rPr>
            </w:pPr>
            <w:r w:rsidRPr="00C6580C">
              <w:rPr>
                <w:kern w:val="0"/>
                <w:szCs w:val="22"/>
              </w:rPr>
              <w:t>Single Channels</w:t>
            </w:r>
          </w:p>
        </w:tc>
        <w:tc>
          <w:tcPr>
            <w:tcW w:w="0" w:type="auto"/>
            <w:tcBorders>
              <w:top w:val="single" w:sz="4" w:space="0" w:color="000000"/>
              <w:left w:val="single" w:sz="4" w:space="0" w:color="000000"/>
              <w:bottom w:val="single" w:sz="4" w:space="0" w:color="000000"/>
              <w:right w:val="single" w:sz="4" w:space="0" w:color="000000"/>
            </w:tcBorders>
          </w:tcPr>
          <w:p w14:paraId="7C08BF5A" w14:textId="77777777" w:rsidR="00843FDA" w:rsidRPr="00C6580C" w:rsidRDefault="00843FDA" w:rsidP="00CD7CAC">
            <w:pPr>
              <w:widowControl/>
              <w:rPr>
                <w:kern w:val="0"/>
                <w:szCs w:val="22"/>
              </w:rPr>
            </w:pPr>
            <w:r w:rsidRPr="00C6580C">
              <w:rPr>
                <w:kern w:val="0"/>
                <w:szCs w:val="22"/>
              </w:rPr>
              <w:t>***</w:t>
            </w:r>
          </w:p>
          <w:p w14:paraId="76A1E9A3" w14:textId="77777777" w:rsidR="00843FDA" w:rsidRPr="00C6580C" w:rsidRDefault="00843FDA" w:rsidP="00CD7CAC">
            <w:pPr>
              <w:widowControl/>
              <w:rPr>
                <w:kern w:val="0"/>
                <w:szCs w:val="22"/>
              </w:rPr>
            </w:pPr>
            <w:r w:rsidRPr="00C6580C">
              <w:rPr>
                <w:kern w:val="0"/>
                <w:szCs w:val="22"/>
              </w:rPr>
              <w:t>431a, 432a, 433a, 434a, 471a, 472a, 473a, 474a, 479a, 480a, 481a, 488a, 489a, 490a, 499a, 500a, 501a, 508a, 509a, 510a</w:t>
            </w:r>
          </w:p>
        </w:tc>
      </w:tr>
    </w:tbl>
    <w:p w14:paraId="0798CC32" w14:textId="77777777" w:rsidR="00843FDA" w:rsidRPr="00A96110" w:rsidRDefault="00843FDA" w:rsidP="00CD7CAC">
      <w:pPr>
        <w:pStyle w:val="ParaNum"/>
        <w:widowControl/>
        <w:numPr>
          <w:ilvl w:val="0"/>
          <w:numId w:val="0"/>
        </w:numPr>
        <w:tabs>
          <w:tab w:val="left" w:pos="720"/>
        </w:tabs>
      </w:pPr>
    </w:p>
    <w:p w14:paraId="0BDE4F38" w14:textId="77777777" w:rsidR="00843FDA" w:rsidRPr="00A96110" w:rsidRDefault="00843FDA" w:rsidP="00CD7CAC">
      <w:pPr>
        <w:pStyle w:val="ParaNum"/>
        <w:widowControl/>
        <w:numPr>
          <w:ilvl w:val="0"/>
          <w:numId w:val="0"/>
        </w:numPr>
        <w:tabs>
          <w:tab w:val="left" w:pos="0"/>
        </w:tabs>
        <w:ind w:left="720"/>
        <w:rPr>
          <w:b/>
        </w:rPr>
      </w:pPr>
      <w:r w:rsidRPr="00A96110">
        <w:t>(1) * * *</w:t>
      </w:r>
      <w:r w:rsidRPr="00A96110">
        <w:rPr>
          <w:b/>
        </w:rPr>
        <w:t xml:space="preserve"> </w:t>
      </w:r>
    </w:p>
    <w:p w14:paraId="6A91BB88"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4C—SMR Category 806–816/851–861 MHz Band Channels Available for Site-Based Licensing in Southeastern U.S. After January 21, 2005</w:t>
      </w:r>
    </w:p>
    <w:p w14:paraId="73D44657" w14:textId="77777777" w:rsidR="00843FDA" w:rsidRPr="00C6580C" w:rsidRDefault="00843FDA" w:rsidP="00CD7CAC">
      <w:pPr>
        <w:widowControl/>
        <w:spacing w:before="100" w:beforeAutospacing="1" w:after="100" w:afterAutospacing="1"/>
        <w:jc w:val="center"/>
        <w:rPr>
          <w:kern w:val="0"/>
          <w:szCs w:val="22"/>
        </w:rPr>
      </w:pPr>
      <w:r w:rsidRPr="00C6580C">
        <w:rPr>
          <w:kern w:val="0"/>
          <w:szCs w:val="22"/>
        </w:rPr>
        <w:t>[22 Channels]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872"/>
        <w:gridCol w:w="7518"/>
      </w:tblGrid>
      <w:tr w:rsidR="00843FDA" w:rsidRPr="00C6580C" w14:paraId="750CA2BC"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319B7410" w14:textId="77777777" w:rsidR="00843FDA" w:rsidRPr="00C6580C" w:rsidRDefault="00843FDA" w:rsidP="00CD7CAC">
            <w:pPr>
              <w:widowControl/>
              <w:jc w:val="center"/>
              <w:rPr>
                <w:b/>
                <w:bCs/>
                <w:kern w:val="0"/>
                <w:szCs w:val="22"/>
              </w:rPr>
            </w:pPr>
          </w:p>
        </w:tc>
        <w:tc>
          <w:tcPr>
            <w:tcW w:w="0" w:type="auto"/>
            <w:tcBorders>
              <w:top w:val="single" w:sz="4" w:space="0" w:color="000000"/>
              <w:left w:val="single" w:sz="4" w:space="0" w:color="000000"/>
              <w:bottom w:val="single" w:sz="4" w:space="0" w:color="000000"/>
              <w:right w:val="single" w:sz="4" w:space="0" w:color="000000"/>
            </w:tcBorders>
            <w:vAlign w:val="bottom"/>
          </w:tcPr>
          <w:p w14:paraId="33C0586A" w14:textId="77777777" w:rsidR="00843FDA" w:rsidRPr="00C6580C" w:rsidRDefault="00843FDA" w:rsidP="00CD7CAC">
            <w:pPr>
              <w:widowControl/>
              <w:jc w:val="center"/>
              <w:rPr>
                <w:b/>
                <w:bCs/>
                <w:kern w:val="0"/>
                <w:szCs w:val="22"/>
              </w:rPr>
            </w:pPr>
            <w:r w:rsidRPr="00C6580C">
              <w:rPr>
                <w:b/>
                <w:bCs/>
                <w:kern w:val="0"/>
                <w:szCs w:val="22"/>
              </w:rPr>
              <w:t>Channel Nos.</w:t>
            </w:r>
          </w:p>
        </w:tc>
      </w:tr>
      <w:tr w:rsidR="00843FDA" w:rsidRPr="00C6580C" w14:paraId="34841C0A" w14:textId="77777777">
        <w:tc>
          <w:tcPr>
            <w:tcW w:w="0" w:type="auto"/>
            <w:tcBorders>
              <w:top w:val="single" w:sz="4" w:space="0" w:color="000000"/>
              <w:left w:val="single" w:sz="4" w:space="0" w:color="000000"/>
              <w:bottom w:val="single" w:sz="4" w:space="0" w:color="000000"/>
              <w:right w:val="single" w:sz="4" w:space="0" w:color="000000"/>
            </w:tcBorders>
          </w:tcPr>
          <w:p w14:paraId="00CC0A66" w14:textId="77777777" w:rsidR="00843FDA" w:rsidRPr="00C6580C" w:rsidRDefault="00843FDA" w:rsidP="00CD7CAC">
            <w:pPr>
              <w:widowControl/>
              <w:rPr>
                <w:kern w:val="0"/>
                <w:szCs w:val="22"/>
              </w:rPr>
            </w:pPr>
            <w:r w:rsidRPr="00C6580C">
              <w:rPr>
                <w:kern w:val="0"/>
                <w:szCs w:val="22"/>
              </w:rPr>
              <w:t>Single Channels</w:t>
            </w:r>
          </w:p>
        </w:tc>
        <w:tc>
          <w:tcPr>
            <w:tcW w:w="0" w:type="auto"/>
            <w:tcBorders>
              <w:top w:val="single" w:sz="4" w:space="0" w:color="000000"/>
              <w:left w:val="single" w:sz="4" w:space="0" w:color="000000"/>
              <w:bottom w:val="single" w:sz="4" w:space="0" w:color="000000"/>
              <w:right w:val="single" w:sz="4" w:space="0" w:color="000000"/>
            </w:tcBorders>
          </w:tcPr>
          <w:p w14:paraId="2EB7A786" w14:textId="77777777" w:rsidR="00843FDA" w:rsidRPr="00C6580C" w:rsidRDefault="00843FDA" w:rsidP="00CD7CAC">
            <w:pPr>
              <w:widowControl/>
              <w:rPr>
                <w:kern w:val="0"/>
                <w:szCs w:val="22"/>
              </w:rPr>
            </w:pPr>
            <w:r w:rsidRPr="00C6580C">
              <w:rPr>
                <w:kern w:val="0"/>
                <w:szCs w:val="22"/>
              </w:rPr>
              <w:t>***</w:t>
            </w:r>
          </w:p>
          <w:p w14:paraId="56A2898F" w14:textId="77777777" w:rsidR="00843FDA" w:rsidRPr="00C6580C" w:rsidRDefault="00843FDA" w:rsidP="00CD7CAC">
            <w:pPr>
              <w:widowControl/>
              <w:rPr>
                <w:kern w:val="0"/>
                <w:szCs w:val="22"/>
              </w:rPr>
            </w:pPr>
            <w:r w:rsidRPr="00C6580C">
              <w:rPr>
                <w:kern w:val="0"/>
                <w:szCs w:val="22"/>
              </w:rPr>
              <w:t xml:space="preserve"> 371a, 373a, 374a, 375a, 376a, 377a, 378a, 395a, 396a, 397a, 398a</w:t>
            </w:r>
          </w:p>
        </w:tc>
      </w:tr>
    </w:tbl>
    <w:p w14:paraId="4B3468C6" w14:textId="77777777" w:rsidR="00843FDA" w:rsidRPr="00A96110" w:rsidRDefault="00843FDA" w:rsidP="00CD7CAC">
      <w:pPr>
        <w:pStyle w:val="ParaNum"/>
        <w:widowControl/>
        <w:numPr>
          <w:ilvl w:val="0"/>
          <w:numId w:val="0"/>
        </w:numPr>
        <w:tabs>
          <w:tab w:val="left" w:pos="0"/>
        </w:tabs>
        <w:ind w:left="720"/>
        <w:rPr>
          <w:b/>
        </w:rPr>
      </w:pPr>
    </w:p>
    <w:p w14:paraId="34A45629" w14:textId="77777777" w:rsidR="00843FDA" w:rsidRPr="00A96110" w:rsidRDefault="00843FDA" w:rsidP="00CD7CAC">
      <w:pPr>
        <w:pStyle w:val="ParaNum"/>
        <w:widowControl/>
        <w:numPr>
          <w:ilvl w:val="0"/>
          <w:numId w:val="0"/>
        </w:numPr>
        <w:tabs>
          <w:tab w:val="left" w:pos="0"/>
        </w:tabs>
        <w:ind w:left="720"/>
      </w:pPr>
      <w:r w:rsidRPr="00A96110">
        <w:t>(2) * * *</w:t>
      </w:r>
    </w:p>
    <w:p w14:paraId="1F8A41C2"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4D—SMR Category 806–816/851–861 MHz Band Channels Available for Site-Based Licensing in Atlanta, GA after January 21, 2005</w:t>
      </w:r>
    </w:p>
    <w:p w14:paraId="1609614F" w14:textId="77777777" w:rsidR="00843FDA" w:rsidRPr="00C6580C" w:rsidRDefault="00843FDA" w:rsidP="00CD7CAC">
      <w:pPr>
        <w:widowControl/>
        <w:spacing w:before="100" w:beforeAutospacing="1" w:after="100" w:afterAutospacing="1"/>
        <w:jc w:val="center"/>
        <w:rPr>
          <w:kern w:val="0"/>
          <w:szCs w:val="22"/>
        </w:rPr>
      </w:pPr>
      <w:r w:rsidRPr="00C6580C">
        <w:rPr>
          <w:kern w:val="0"/>
          <w:szCs w:val="22"/>
        </w:rPr>
        <w:t>[22 Channels]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886"/>
        <w:gridCol w:w="7504"/>
      </w:tblGrid>
      <w:tr w:rsidR="00843FDA" w:rsidRPr="00C6580C" w14:paraId="5037E5E8"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00E6BF29" w14:textId="77777777" w:rsidR="00843FDA" w:rsidRPr="00C6580C" w:rsidRDefault="00843FDA" w:rsidP="00CD7CAC">
            <w:pPr>
              <w:widowControl/>
              <w:jc w:val="center"/>
              <w:rPr>
                <w:b/>
                <w:bCs/>
                <w:kern w:val="0"/>
                <w:szCs w:val="22"/>
              </w:rPr>
            </w:pPr>
          </w:p>
        </w:tc>
        <w:tc>
          <w:tcPr>
            <w:tcW w:w="0" w:type="auto"/>
            <w:tcBorders>
              <w:top w:val="single" w:sz="4" w:space="0" w:color="000000"/>
              <w:left w:val="single" w:sz="4" w:space="0" w:color="000000"/>
              <w:bottom w:val="single" w:sz="4" w:space="0" w:color="000000"/>
              <w:right w:val="single" w:sz="4" w:space="0" w:color="000000"/>
            </w:tcBorders>
            <w:vAlign w:val="bottom"/>
          </w:tcPr>
          <w:p w14:paraId="2F4048DC" w14:textId="77777777" w:rsidR="00843FDA" w:rsidRPr="00C6580C" w:rsidRDefault="00843FDA" w:rsidP="00CD7CAC">
            <w:pPr>
              <w:widowControl/>
              <w:jc w:val="center"/>
              <w:rPr>
                <w:b/>
                <w:bCs/>
                <w:kern w:val="0"/>
                <w:szCs w:val="22"/>
              </w:rPr>
            </w:pPr>
            <w:r w:rsidRPr="00C6580C">
              <w:rPr>
                <w:b/>
                <w:bCs/>
                <w:kern w:val="0"/>
                <w:szCs w:val="22"/>
              </w:rPr>
              <w:t>Channel Nos.</w:t>
            </w:r>
          </w:p>
        </w:tc>
      </w:tr>
      <w:tr w:rsidR="00843FDA" w:rsidRPr="00C6580C" w14:paraId="1A4B0730" w14:textId="77777777">
        <w:tc>
          <w:tcPr>
            <w:tcW w:w="0" w:type="auto"/>
            <w:tcBorders>
              <w:top w:val="single" w:sz="4" w:space="0" w:color="000000"/>
              <w:left w:val="single" w:sz="4" w:space="0" w:color="000000"/>
              <w:bottom w:val="single" w:sz="4" w:space="0" w:color="000000"/>
              <w:right w:val="single" w:sz="4" w:space="0" w:color="000000"/>
            </w:tcBorders>
          </w:tcPr>
          <w:p w14:paraId="0B7BCD4A" w14:textId="77777777" w:rsidR="00843FDA" w:rsidRPr="00C6580C" w:rsidRDefault="00843FDA" w:rsidP="00CD7CAC">
            <w:pPr>
              <w:widowControl/>
              <w:rPr>
                <w:kern w:val="0"/>
                <w:szCs w:val="22"/>
              </w:rPr>
            </w:pPr>
            <w:r w:rsidRPr="00C6580C">
              <w:rPr>
                <w:kern w:val="0"/>
                <w:szCs w:val="22"/>
              </w:rPr>
              <w:t>Single Channels</w:t>
            </w:r>
          </w:p>
        </w:tc>
        <w:tc>
          <w:tcPr>
            <w:tcW w:w="0" w:type="auto"/>
            <w:tcBorders>
              <w:top w:val="single" w:sz="4" w:space="0" w:color="000000"/>
              <w:left w:val="single" w:sz="4" w:space="0" w:color="000000"/>
              <w:bottom w:val="single" w:sz="4" w:space="0" w:color="000000"/>
              <w:right w:val="single" w:sz="4" w:space="0" w:color="000000"/>
            </w:tcBorders>
          </w:tcPr>
          <w:p w14:paraId="277F3D24" w14:textId="77777777" w:rsidR="00843FDA" w:rsidRPr="00C6580C" w:rsidRDefault="00843FDA" w:rsidP="00CD7CAC">
            <w:pPr>
              <w:widowControl/>
              <w:rPr>
                <w:kern w:val="0"/>
                <w:szCs w:val="22"/>
              </w:rPr>
            </w:pPr>
            <w:r w:rsidRPr="00C6580C">
              <w:rPr>
                <w:kern w:val="0"/>
                <w:szCs w:val="22"/>
              </w:rPr>
              <w:t>***</w:t>
            </w:r>
          </w:p>
          <w:p w14:paraId="57595CD4" w14:textId="77777777" w:rsidR="00843FDA" w:rsidRPr="00C6580C" w:rsidRDefault="00843FDA" w:rsidP="00CD7CAC">
            <w:pPr>
              <w:widowControl/>
              <w:rPr>
                <w:kern w:val="0"/>
                <w:szCs w:val="22"/>
              </w:rPr>
            </w:pPr>
            <w:r w:rsidRPr="00C6580C">
              <w:rPr>
                <w:kern w:val="0"/>
                <w:szCs w:val="22"/>
              </w:rPr>
              <w:t>373a, 374a, 375a, 376a, 377a, 378a, 395a, 396a, 397a, 398a, 408a</w:t>
            </w:r>
          </w:p>
        </w:tc>
      </w:tr>
    </w:tbl>
    <w:p w14:paraId="4B5F6B91" w14:textId="77777777" w:rsidR="00843FDA" w:rsidRPr="00A96110" w:rsidRDefault="00843FDA" w:rsidP="00CD7CAC">
      <w:pPr>
        <w:pStyle w:val="ParaNum"/>
        <w:widowControl/>
        <w:numPr>
          <w:ilvl w:val="0"/>
          <w:numId w:val="0"/>
        </w:numPr>
        <w:tabs>
          <w:tab w:val="left" w:pos="0"/>
        </w:tabs>
        <w:rPr>
          <w:b/>
        </w:rPr>
      </w:pPr>
    </w:p>
    <w:p w14:paraId="26AE7D2F" w14:textId="77777777" w:rsidR="00843FDA" w:rsidRPr="00A96110" w:rsidRDefault="00843FDA" w:rsidP="00CD7CAC">
      <w:pPr>
        <w:pStyle w:val="ParaNum"/>
        <w:widowControl/>
        <w:numPr>
          <w:ilvl w:val="0"/>
          <w:numId w:val="0"/>
        </w:numPr>
        <w:tabs>
          <w:tab w:val="left" w:pos="0"/>
        </w:tabs>
        <w:rPr>
          <w:rFonts w:ascii="Arial" w:hAnsi="Arial"/>
        </w:rPr>
      </w:pPr>
      <w:bookmarkStart w:id="267" w:name="47:5.0.1.1.3.18.115.10"/>
      <w:bookmarkEnd w:id="267"/>
      <w:r w:rsidRPr="00A96110">
        <w:tab/>
        <w:t>* * *</w:t>
      </w:r>
      <w:r w:rsidRPr="00A96110">
        <w:tab/>
      </w:r>
    </w:p>
    <w:p w14:paraId="0F052FF2" w14:textId="77777777" w:rsidR="00843FDA" w:rsidRPr="00A96110" w:rsidRDefault="00843FDA" w:rsidP="00CD7CAC">
      <w:pPr>
        <w:pStyle w:val="ParaNum"/>
        <w:widowControl/>
        <w:numPr>
          <w:ilvl w:val="0"/>
          <w:numId w:val="0"/>
        </w:numPr>
      </w:pPr>
      <w:r w:rsidRPr="00A96110">
        <w:t>7.  Section 90.619 is revised by amending Table C6, Table C7, Table C8 and Table C9 to read as follows:</w:t>
      </w:r>
    </w:p>
    <w:p w14:paraId="550D0F69" w14:textId="77777777" w:rsidR="00843FDA" w:rsidRPr="00C6580C" w:rsidRDefault="00843FDA" w:rsidP="00CD7CAC">
      <w:pPr>
        <w:pStyle w:val="RuleNum"/>
        <w:numPr>
          <w:ilvl w:val="0"/>
          <w:numId w:val="0"/>
        </w:numPr>
        <w:tabs>
          <w:tab w:val="clear" w:pos="990"/>
        </w:tabs>
        <w:jc w:val="left"/>
        <w:rPr>
          <w:rFonts w:ascii="Times New Roman" w:hAnsi="Times New Roman"/>
          <w:szCs w:val="22"/>
        </w:rPr>
      </w:pPr>
    </w:p>
    <w:p w14:paraId="71150755" w14:textId="77777777" w:rsidR="00843FDA" w:rsidRPr="00C6580C" w:rsidRDefault="00843FDA" w:rsidP="00CD7CAC">
      <w:pPr>
        <w:pStyle w:val="RuleNum"/>
        <w:numPr>
          <w:ilvl w:val="0"/>
          <w:numId w:val="0"/>
        </w:numPr>
        <w:tabs>
          <w:tab w:val="clear" w:pos="270"/>
          <w:tab w:val="clear" w:pos="990"/>
          <w:tab w:val="left" w:pos="770"/>
        </w:tabs>
        <w:jc w:val="left"/>
        <w:rPr>
          <w:szCs w:val="22"/>
        </w:rPr>
      </w:pPr>
      <w:r w:rsidRPr="00C6580C">
        <w:rPr>
          <w:b/>
          <w:szCs w:val="22"/>
        </w:rPr>
        <w:tab/>
      </w:r>
      <w:r w:rsidRPr="00C6580C">
        <w:rPr>
          <w:szCs w:val="22"/>
        </w:rPr>
        <w:t>§ 90.619 Operations within the U.S./Mexico and U.S./Canada border areas.</w:t>
      </w:r>
    </w:p>
    <w:p w14:paraId="4EC74010" w14:textId="77777777" w:rsidR="00843FDA" w:rsidRPr="00C6580C" w:rsidRDefault="00843FDA" w:rsidP="00CD7CAC">
      <w:pPr>
        <w:pStyle w:val="RuleNum"/>
        <w:numPr>
          <w:ilvl w:val="0"/>
          <w:numId w:val="0"/>
        </w:numPr>
        <w:tabs>
          <w:tab w:val="clear" w:pos="270"/>
          <w:tab w:val="clear" w:pos="990"/>
          <w:tab w:val="left" w:pos="770"/>
        </w:tabs>
        <w:jc w:val="left"/>
        <w:rPr>
          <w:szCs w:val="22"/>
        </w:rPr>
      </w:pPr>
    </w:p>
    <w:p w14:paraId="4CF18D23" w14:textId="77777777" w:rsidR="00843FDA" w:rsidRPr="00C6580C" w:rsidRDefault="00843FDA" w:rsidP="00CD7CAC">
      <w:pPr>
        <w:pStyle w:val="RuleNum"/>
        <w:numPr>
          <w:ilvl w:val="0"/>
          <w:numId w:val="0"/>
        </w:numPr>
        <w:tabs>
          <w:tab w:val="clear" w:pos="270"/>
          <w:tab w:val="clear" w:pos="990"/>
          <w:tab w:val="left" w:pos="770"/>
        </w:tabs>
        <w:jc w:val="left"/>
        <w:rPr>
          <w:rFonts w:ascii="Times New Roman" w:hAnsi="Times New Roman"/>
          <w:szCs w:val="22"/>
        </w:rPr>
      </w:pPr>
      <w:r w:rsidRPr="00C6580C">
        <w:rPr>
          <w:szCs w:val="22"/>
        </w:rPr>
        <w:tab/>
        <w:t xml:space="preserve">(6) * * * </w:t>
      </w:r>
    </w:p>
    <w:p w14:paraId="69C0640F"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C6—Public Safety Pool 806–816/851–861 MHz Band Channels in the Canada Border Regions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069"/>
        <w:gridCol w:w="7336"/>
        <w:gridCol w:w="985"/>
      </w:tblGrid>
      <w:tr w:rsidR="00843FDA" w:rsidRPr="00C6580C" w14:paraId="0516D1C6"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14CB8651" w14:textId="77777777" w:rsidR="00843FDA" w:rsidRPr="00C6580C" w:rsidRDefault="00843FDA" w:rsidP="00CD7CAC">
            <w:pPr>
              <w:widowControl/>
              <w:jc w:val="center"/>
              <w:rPr>
                <w:b/>
                <w:bCs/>
                <w:kern w:val="0"/>
                <w:szCs w:val="22"/>
              </w:rPr>
            </w:pPr>
            <w:r w:rsidRPr="00C6580C">
              <w:rPr>
                <w:b/>
                <w:bCs/>
                <w:kern w:val="0"/>
                <w:szCs w:val="22"/>
              </w:rPr>
              <w:t>Canada Border Region</w:t>
            </w:r>
          </w:p>
        </w:tc>
        <w:tc>
          <w:tcPr>
            <w:tcW w:w="0" w:type="auto"/>
            <w:tcBorders>
              <w:top w:val="single" w:sz="4" w:space="0" w:color="000000"/>
              <w:left w:val="single" w:sz="4" w:space="0" w:color="000000"/>
              <w:bottom w:val="single" w:sz="4" w:space="0" w:color="000000"/>
              <w:right w:val="single" w:sz="4" w:space="0" w:color="000000"/>
            </w:tcBorders>
            <w:vAlign w:val="bottom"/>
          </w:tcPr>
          <w:p w14:paraId="5EEC965C" w14:textId="77777777" w:rsidR="00843FDA" w:rsidRPr="00C6580C" w:rsidRDefault="00843FDA" w:rsidP="00CD7CAC">
            <w:pPr>
              <w:widowControl/>
              <w:jc w:val="center"/>
              <w:rPr>
                <w:b/>
                <w:bCs/>
                <w:kern w:val="0"/>
                <w:szCs w:val="22"/>
              </w:rPr>
            </w:pPr>
            <w:r w:rsidRPr="00C6580C">
              <w:rPr>
                <w:b/>
                <w:bCs/>
                <w:kern w:val="0"/>
                <w:szCs w:val="22"/>
              </w:rPr>
              <w:t>Channel Nos.</w:t>
            </w:r>
          </w:p>
        </w:tc>
        <w:tc>
          <w:tcPr>
            <w:tcW w:w="0" w:type="auto"/>
            <w:tcBorders>
              <w:top w:val="single" w:sz="4" w:space="0" w:color="000000"/>
              <w:left w:val="single" w:sz="4" w:space="0" w:color="000000"/>
              <w:bottom w:val="single" w:sz="4" w:space="0" w:color="000000"/>
              <w:right w:val="single" w:sz="4" w:space="0" w:color="000000"/>
            </w:tcBorders>
            <w:vAlign w:val="bottom"/>
          </w:tcPr>
          <w:p w14:paraId="35512575" w14:textId="77777777" w:rsidR="00843FDA" w:rsidRPr="00C6580C" w:rsidRDefault="00843FDA" w:rsidP="00CD7CAC">
            <w:pPr>
              <w:widowControl/>
              <w:jc w:val="center"/>
              <w:rPr>
                <w:b/>
                <w:bCs/>
                <w:kern w:val="0"/>
                <w:szCs w:val="22"/>
              </w:rPr>
            </w:pPr>
            <w:r w:rsidRPr="00C6580C">
              <w:rPr>
                <w:b/>
                <w:bCs/>
                <w:kern w:val="0"/>
                <w:szCs w:val="22"/>
              </w:rPr>
              <w:t>Total</w:t>
            </w:r>
          </w:p>
        </w:tc>
      </w:tr>
      <w:tr w:rsidR="00843FDA" w:rsidRPr="00C6580C" w14:paraId="42CD96CB" w14:textId="77777777">
        <w:tc>
          <w:tcPr>
            <w:tcW w:w="0" w:type="auto"/>
            <w:tcBorders>
              <w:top w:val="single" w:sz="4" w:space="0" w:color="000000"/>
              <w:left w:val="single" w:sz="4" w:space="0" w:color="000000"/>
              <w:bottom w:val="single" w:sz="4" w:space="0" w:color="000000"/>
              <w:right w:val="single" w:sz="4" w:space="0" w:color="000000"/>
            </w:tcBorders>
          </w:tcPr>
          <w:p w14:paraId="577A4B5B"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09A9C544" w14:textId="77777777" w:rsidR="00843FDA" w:rsidRPr="00C6580C" w:rsidRDefault="00843FDA" w:rsidP="00CD7CAC">
            <w:pPr>
              <w:widowControl/>
              <w:rPr>
                <w:kern w:val="0"/>
                <w:szCs w:val="22"/>
              </w:rPr>
            </w:pPr>
            <w:r w:rsidRPr="00C6580C">
              <w:rPr>
                <w:kern w:val="0"/>
                <w:szCs w:val="22"/>
              </w:rPr>
              <w:t>***–260a</w:t>
            </w:r>
          </w:p>
        </w:tc>
        <w:tc>
          <w:tcPr>
            <w:tcW w:w="0" w:type="auto"/>
            <w:tcBorders>
              <w:top w:val="single" w:sz="4" w:space="0" w:color="000000"/>
              <w:left w:val="single" w:sz="4" w:space="0" w:color="000000"/>
              <w:bottom w:val="single" w:sz="4" w:space="0" w:color="000000"/>
              <w:right w:val="single" w:sz="4" w:space="0" w:color="000000"/>
            </w:tcBorders>
          </w:tcPr>
          <w:p w14:paraId="5101880F" w14:textId="77777777" w:rsidR="00843FDA" w:rsidRPr="00C6580C" w:rsidRDefault="00843FDA" w:rsidP="00CD7CAC">
            <w:pPr>
              <w:widowControl/>
              <w:rPr>
                <w:kern w:val="0"/>
                <w:szCs w:val="22"/>
              </w:rPr>
            </w:pPr>
            <w:r w:rsidRPr="00C6580C">
              <w:rPr>
                <w:kern w:val="0"/>
                <w:szCs w:val="22"/>
              </w:rPr>
              <w:t>60 Channels.</w:t>
            </w:r>
          </w:p>
        </w:tc>
      </w:tr>
      <w:tr w:rsidR="00843FDA" w:rsidRPr="00C6580C" w14:paraId="05B11504" w14:textId="77777777">
        <w:tc>
          <w:tcPr>
            <w:tcW w:w="0" w:type="auto"/>
            <w:tcBorders>
              <w:top w:val="single" w:sz="4" w:space="0" w:color="000000"/>
              <w:left w:val="single" w:sz="4" w:space="0" w:color="000000"/>
              <w:bottom w:val="single" w:sz="4" w:space="0" w:color="000000"/>
              <w:right w:val="single" w:sz="4" w:space="0" w:color="000000"/>
            </w:tcBorders>
          </w:tcPr>
          <w:p w14:paraId="641EC070"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0AC96899"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6BBE7C3D" w14:textId="77777777" w:rsidR="00843FDA" w:rsidRPr="00C6580C" w:rsidRDefault="00843FDA" w:rsidP="00CD7CAC">
            <w:pPr>
              <w:widowControl/>
              <w:rPr>
                <w:kern w:val="0"/>
                <w:szCs w:val="22"/>
              </w:rPr>
            </w:pPr>
          </w:p>
        </w:tc>
      </w:tr>
      <w:tr w:rsidR="00843FDA" w:rsidRPr="00C6580C" w14:paraId="15DD8417" w14:textId="77777777">
        <w:tc>
          <w:tcPr>
            <w:tcW w:w="0" w:type="auto"/>
            <w:tcBorders>
              <w:top w:val="single" w:sz="4" w:space="0" w:color="000000"/>
              <w:left w:val="single" w:sz="4" w:space="0" w:color="000000"/>
              <w:bottom w:val="single" w:sz="4" w:space="0" w:color="000000"/>
              <w:right w:val="single" w:sz="4" w:space="0" w:color="000000"/>
            </w:tcBorders>
          </w:tcPr>
          <w:p w14:paraId="758000CF"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4AABF48B" w14:textId="77777777" w:rsidR="00843FDA" w:rsidRPr="00C6580C" w:rsidRDefault="00843FDA" w:rsidP="00CD7CAC">
            <w:pPr>
              <w:widowControl/>
              <w:rPr>
                <w:kern w:val="0"/>
                <w:szCs w:val="22"/>
              </w:rPr>
            </w:pPr>
            <w:r w:rsidRPr="00C6580C">
              <w:rPr>
                <w:kern w:val="0"/>
                <w:szCs w:val="22"/>
              </w:rPr>
              <w:t>***–320a, ***–508a</w:t>
            </w:r>
          </w:p>
        </w:tc>
        <w:tc>
          <w:tcPr>
            <w:tcW w:w="0" w:type="auto"/>
            <w:tcBorders>
              <w:top w:val="single" w:sz="4" w:space="0" w:color="000000"/>
              <w:left w:val="single" w:sz="4" w:space="0" w:color="000000"/>
              <w:bottom w:val="single" w:sz="4" w:space="0" w:color="000000"/>
              <w:right w:val="single" w:sz="4" w:space="0" w:color="000000"/>
            </w:tcBorders>
          </w:tcPr>
          <w:p w14:paraId="41D14F57" w14:textId="77777777" w:rsidR="00843FDA" w:rsidRPr="00C6580C" w:rsidRDefault="00843FDA" w:rsidP="00CD7CAC">
            <w:pPr>
              <w:widowControl/>
              <w:rPr>
                <w:kern w:val="0"/>
                <w:szCs w:val="22"/>
              </w:rPr>
            </w:pPr>
            <w:r w:rsidRPr="00C6580C">
              <w:rPr>
                <w:kern w:val="0"/>
                <w:szCs w:val="22"/>
              </w:rPr>
              <w:t>180 Channels.</w:t>
            </w:r>
          </w:p>
        </w:tc>
      </w:tr>
      <w:tr w:rsidR="00843FDA" w:rsidRPr="00C6580C" w14:paraId="3F99EC77" w14:textId="77777777">
        <w:tc>
          <w:tcPr>
            <w:tcW w:w="0" w:type="auto"/>
            <w:tcBorders>
              <w:top w:val="single" w:sz="4" w:space="0" w:color="000000"/>
              <w:left w:val="single" w:sz="4" w:space="0" w:color="000000"/>
              <w:bottom w:val="single" w:sz="4" w:space="0" w:color="000000"/>
              <w:right w:val="single" w:sz="4" w:space="0" w:color="000000"/>
            </w:tcBorders>
          </w:tcPr>
          <w:p w14:paraId="6E2124C5"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088C7F2C" w14:textId="77777777" w:rsidR="00843FDA" w:rsidRPr="00C6580C" w:rsidRDefault="00843FDA" w:rsidP="00CD7CAC">
            <w:pPr>
              <w:widowControl/>
              <w:rPr>
                <w:kern w:val="0"/>
                <w:szCs w:val="22"/>
              </w:rPr>
            </w:pPr>
            <w:r w:rsidRPr="00C6580C">
              <w:rPr>
                <w:kern w:val="0"/>
                <w:szCs w:val="22"/>
              </w:rPr>
              <w:t xml:space="preserve">*** </w:t>
            </w:r>
          </w:p>
          <w:p w14:paraId="10F77A27" w14:textId="77777777" w:rsidR="00843FDA" w:rsidRPr="00C6580C" w:rsidRDefault="00843FDA" w:rsidP="00CD7CAC">
            <w:pPr>
              <w:widowControl/>
              <w:rPr>
                <w:kern w:val="0"/>
                <w:szCs w:val="22"/>
              </w:rPr>
            </w:pPr>
            <w:r w:rsidRPr="00C6580C">
              <w:rPr>
                <w:szCs w:val="22"/>
              </w:rPr>
              <w:t>269a, 289a, 311a, 399a, 439a, 270a, 290a, 312a, 400a, 440a, 279a, 299a, 319a, 339a, 359a, 280a, 300a, 320a, 340a, 360a, 309a, 329a, 349a, 369a, 389a, 310a, 330a, 350a, 370a, 390a, 313a, 353a, 393a, 441a, 461a, 314a, 354a, 394a, 448a, 468a, 321a, 341a, 361a, 381a, 419a, 328a, 348a, 368a, 388a, 420a, 351a, 379a, 409a, 429a, 449a, 352a, 380a, 410a, 430a, 450a, 391a, 392a, 401a, 408a, 421a, 428a, 459a, 460a, 469a, 470a</w:t>
            </w:r>
          </w:p>
        </w:tc>
        <w:tc>
          <w:tcPr>
            <w:tcW w:w="0" w:type="auto"/>
            <w:tcBorders>
              <w:top w:val="single" w:sz="4" w:space="0" w:color="000000"/>
              <w:left w:val="single" w:sz="4" w:space="0" w:color="000000"/>
              <w:bottom w:val="single" w:sz="4" w:space="0" w:color="000000"/>
              <w:right w:val="single" w:sz="4" w:space="0" w:color="000000"/>
            </w:tcBorders>
          </w:tcPr>
          <w:p w14:paraId="0115E25E" w14:textId="77777777" w:rsidR="00843FDA" w:rsidRPr="00C6580C" w:rsidRDefault="00843FDA" w:rsidP="00CD7CAC">
            <w:pPr>
              <w:widowControl/>
              <w:rPr>
                <w:kern w:val="0"/>
                <w:szCs w:val="22"/>
              </w:rPr>
            </w:pPr>
            <w:r w:rsidRPr="00C6580C">
              <w:rPr>
                <w:kern w:val="0"/>
                <w:szCs w:val="22"/>
              </w:rPr>
              <w:t>140 Channels.</w:t>
            </w:r>
          </w:p>
        </w:tc>
      </w:tr>
      <w:tr w:rsidR="00843FDA" w:rsidRPr="00C6580C" w14:paraId="707BF643" w14:textId="77777777">
        <w:tc>
          <w:tcPr>
            <w:tcW w:w="0" w:type="auto"/>
            <w:tcBorders>
              <w:top w:val="single" w:sz="4" w:space="0" w:color="000000"/>
              <w:left w:val="single" w:sz="4" w:space="0" w:color="000000"/>
              <w:bottom w:val="single" w:sz="4" w:space="0" w:color="000000"/>
              <w:right w:val="single" w:sz="4" w:space="0" w:color="000000"/>
            </w:tcBorders>
          </w:tcPr>
          <w:p w14:paraId="0F11738A"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2B8A4010" w14:textId="77777777" w:rsidR="00843FDA" w:rsidRPr="00C6580C" w:rsidRDefault="00843FDA" w:rsidP="00CD7CAC">
            <w:pPr>
              <w:widowControl/>
              <w:rPr>
                <w:szCs w:val="22"/>
              </w:rPr>
            </w:pPr>
            <w:r w:rsidRPr="00C6580C">
              <w:rPr>
                <w:szCs w:val="22"/>
              </w:rPr>
              <w:t>***</w:t>
            </w:r>
          </w:p>
          <w:p w14:paraId="71C871DD" w14:textId="77777777" w:rsidR="00843FDA" w:rsidRPr="00C6580C" w:rsidRDefault="00843FDA" w:rsidP="00CD7CAC">
            <w:pPr>
              <w:widowControl/>
              <w:rPr>
                <w:kern w:val="0"/>
                <w:szCs w:val="22"/>
              </w:rPr>
            </w:pPr>
            <w:r w:rsidRPr="00C6580C">
              <w:rPr>
                <w:szCs w:val="22"/>
              </w:rPr>
              <w:t>231a–260a, 269a, 289a, 311a, 399a, 439a, 270a, 290a, 312a, 400a, 440a, 279a, 299a, 319a, 339a, 359a, 280a, 300a, 320a, 340a, 360a, 309a, 329a, 349a, 369a, 389a, 310a, 330a, 350a, 370a, 390a, 313a, 353a, 393a, 441a, 461a, 314a, 354a, 394a, 448a, 468a, 315a, 355a, 395a, 435a, 475a, 316a, 356a, 396a, 436a, 476a, 317a, 357a, 397a, 437a, 477a, 318a, 358a, 398a, 438a, 478a, 321a, 341a, 361a, 381a, 419a, 328a, 348a, 368a, 388a, 420a, 331a, 371a, 411a, 451a, 491a, 332a, 372a, 412a, 452a, 492a, 333a, 373a, 413a, 453a, 493a, 334a, 374a, 414a, 454a, 494a, 335a, 375a, 415a, 455a, 495a, 336a, 376a, 416a, 456a, 496a, 337a, 377a, 417a, 457a, 497a, 338a, 378a, 418a, 458a, 498a, 351a, 379a, 409a, 429a, 449a, 352a, 380a, 410a, 430a, 450a, 391a, 392a, 401a, 408a, 421a, 428a, 459a, 460a, 469a, 470a, 431a, 432a, 433a, 434a, 471a, 472a, 473a, 474a, 479a, 480a</w:t>
            </w:r>
          </w:p>
        </w:tc>
        <w:tc>
          <w:tcPr>
            <w:tcW w:w="0" w:type="auto"/>
            <w:tcBorders>
              <w:top w:val="single" w:sz="4" w:space="0" w:color="000000"/>
              <w:left w:val="single" w:sz="4" w:space="0" w:color="000000"/>
              <w:bottom w:val="single" w:sz="4" w:space="0" w:color="000000"/>
              <w:right w:val="single" w:sz="4" w:space="0" w:color="000000"/>
            </w:tcBorders>
          </w:tcPr>
          <w:p w14:paraId="31C51323" w14:textId="77777777" w:rsidR="00843FDA" w:rsidRPr="00C6580C" w:rsidRDefault="00843FDA" w:rsidP="00CD7CAC">
            <w:pPr>
              <w:widowControl/>
              <w:rPr>
                <w:kern w:val="0"/>
                <w:szCs w:val="22"/>
              </w:rPr>
            </w:pPr>
            <w:r w:rsidRPr="00C6580C">
              <w:rPr>
                <w:kern w:val="0"/>
                <w:szCs w:val="22"/>
              </w:rPr>
              <w:t>340 Channels.</w:t>
            </w:r>
          </w:p>
        </w:tc>
      </w:tr>
    </w:tbl>
    <w:p w14:paraId="5EA34C4B" w14:textId="77777777" w:rsidR="00843FDA" w:rsidRPr="00A96110" w:rsidRDefault="00843FDA" w:rsidP="00CD7CAC">
      <w:pPr>
        <w:pStyle w:val="ParaNum"/>
        <w:widowControl/>
        <w:numPr>
          <w:ilvl w:val="0"/>
          <w:numId w:val="0"/>
        </w:numPr>
        <w:tabs>
          <w:tab w:val="left" w:pos="0"/>
        </w:tabs>
        <w:ind w:left="270"/>
      </w:pPr>
    </w:p>
    <w:p w14:paraId="39B2BF13" w14:textId="77777777" w:rsidR="00843FDA" w:rsidRPr="00A96110" w:rsidRDefault="00843FDA" w:rsidP="00CD7CAC">
      <w:pPr>
        <w:pStyle w:val="ParaNum"/>
        <w:widowControl/>
        <w:numPr>
          <w:ilvl w:val="0"/>
          <w:numId w:val="0"/>
        </w:numPr>
        <w:tabs>
          <w:tab w:val="left" w:pos="0"/>
        </w:tabs>
        <w:ind w:firstLine="720"/>
      </w:pPr>
      <w:r w:rsidRPr="00A96110">
        <w:tab/>
      </w:r>
    </w:p>
    <w:p w14:paraId="19590FF9" w14:textId="77777777" w:rsidR="00843FDA" w:rsidRPr="00A96110" w:rsidRDefault="00843FDA" w:rsidP="00CD7CAC">
      <w:pPr>
        <w:pStyle w:val="ParaNum"/>
        <w:widowControl/>
        <w:numPr>
          <w:ilvl w:val="0"/>
          <w:numId w:val="0"/>
        </w:numPr>
        <w:tabs>
          <w:tab w:val="left" w:pos="0"/>
        </w:tabs>
        <w:ind w:left="270"/>
      </w:pPr>
      <w:r w:rsidRPr="00A96110">
        <w:t xml:space="preserve">(8) * * * </w:t>
      </w:r>
    </w:p>
    <w:p w14:paraId="08C695A8"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C8—Business/Industrial/Land Transportation Pool 806–816/851–861 MHz Band Channels in the Canada Border Regions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071"/>
        <w:gridCol w:w="7388"/>
        <w:gridCol w:w="931"/>
      </w:tblGrid>
      <w:tr w:rsidR="00843FDA" w:rsidRPr="00C6580C" w14:paraId="7F2E7E1B"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45680B79" w14:textId="77777777" w:rsidR="00843FDA" w:rsidRPr="00C6580C" w:rsidRDefault="00843FDA" w:rsidP="00CD7CAC">
            <w:pPr>
              <w:widowControl/>
              <w:jc w:val="center"/>
              <w:rPr>
                <w:b/>
                <w:bCs/>
                <w:kern w:val="0"/>
                <w:szCs w:val="22"/>
              </w:rPr>
            </w:pPr>
            <w:r w:rsidRPr="00C6580C">
              <w:rPr>
                <w:b/>
                <w:bCs/>
                <w:kern w:val="0"/>
                <w:szCs w:val="22"/>
              </w:rPr>
              <w:t>Canada Border Region</w:t>
            </w:r>
          </w:p>
        </w:tc>
        <w:tc>
          <w:tcPr>
            <w:tcW w:w="0" w:type="auto"/>
            <w:tcBorders>
              <w:top w:val="single" w:sz="4" w:space="0" w:color="000000"/>
              <w:left w:val="single" w:sz="4" w:space="0" w:color="000000"/>
              <w:bottom w:val="single" w:sz="4" w:space="0" w:color="000000"/>
              <w:right w:val="single" w:sz="4" w:space="0" w:color="000000"/>
            </w:tcBorders>
            <w:vAlign w:val="bottom"/>
          </w:tcPr>
          <w:p w14:paraId="438CF8B3" w14:textId="77777777" w:rsidR="00843FDA" w:rsidRPr="00C6580C" w:rsidRDefault="00843FDA" w:rsidP="00CD7CAC">
            <w:pPr>
              <w:widowControl/>
              <w:jc w:val="center"/>
              <w:rPr>
                <w:b/>
                <w:bCs/>
                <w:kern w:val="0"/>
                <w:szCs w:val="22"/>
              </w:rPr>
            </w:pPr>
            <w:r w:rsidRPr="00C6580C">
              <w:rPr>
                <w:b/>
                <w:bCs/>
                <w:kern w:val="0"/>
                <w:szCs w:val="22"/>
              </w:rPr>
              <w:t>Channel Nos.</w:t>
            </w:r>
          </w:p>
        </w:tc>
        <w:tc>
          <w:tcPr>
            <w:tcW w:w="0" w:type="auto"/>
            <w:tcBorders>
              <w:top w:val="single" w:sz="4" w:space="0" w:color="000000"/>
              <w:left w:val="single" w:sz="4" w:space="0" w:color="000000"/>
              <w:bottom w:val="single" w:sz="4" w:space="0" w:color="000000"/>
              <w:right w:val="single" w:sz="4" w:space="0" w:color="000000"/>
            </w:tcBorders>
            <w:vAlign w:val="bottom"/>
          </w:tcPr>
          <w:p w14:paraId="122DB968" w14:textId="77777777" w:rsidR="00843FDA" w:rsidRPr="00C6580C" w:rsidRDefault="00843FDA" w:rsidP="00CD7CAC">
            <w:pPr>
              <w:widowControl/>
              <w:jc w:val="center"/>
              <w:rPr>
                <w:b/>
                <w:bCs/>
                <w:kern w:val="0"/>
                <w:szCs w:val="22"/>
              </w:rPr>
            </w:pPr>
            <w:r w:rsidRPr="00C6580C">
              <w:rPr>
                <w:b/>
                <w:bCs/>
                <w:kern w:val="0"/>
                <w:szCs w:val="22"/>
              </w:rPr>
              <w:t>Total</w:t>
            </w:r>
          </w:p>
        </w:tc>
      </w:tr>
      <w:tr w:rsidR="00843FDA" w:rsidRPr="00C6580C" w14:paraId="361441D8" w14:textId="77777777">
        <w:tc>
          <w:tcPr>
            <w:tcW w:w="0" w:type="auto"/>
            <w:tcBorders>
              <w:top w:val="single" w:sz="4" w:space="0" w:color="000000"/>
              <w:left w:val="single" w:sz="4" w:space="0" w:color="000000"/>
              <w:bottom w:val="single" w:sz="4" w:space="0" w:color="000000"/>
              <w:right w:val="single" w:sz="4" w:space="0" w:color="000000"/>
            </w:tcBorders>
          </w:tcPr>
          <w:p w14:paraId="35A8BBE8"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253D94EA"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4686A27C" w14:textId="77777777" w:rsidR="00843FDA" w:rsidRPr="00C6580C" w:rsidRDefault="00843FDA" w:rsidP="00CD7CAC">
            <w:pPr>
              <w:widowControl/>
              <w:rPr>
                <w:kern w:val="0"/>
                <w:szCs w:val="22"/>
              </w:rPr>
            </w:pPr>
            <w:r w:rsidRPr="00C6580C">
              <w:rPr>
                <w:kern w:val="0"/>
                <w:szCs w:val="22"/>
              </w:rPr>
              <w:t>***</w:t>
            </w:r>
          </w:p>
        </w:tc>
      </w:tr>
      <w:tr w:rsidR="00843FDA" w:rsidRPr="00C6580C" w14:paraId="6B6791F3" w14:textId="77777777">
        <w:tc>
          <w:tcPr>
            <w:tcW w:w="0" w:type="auto"/>
            <w:tcBorders>
              <w:top w:val="single" w:sz="4" w:space="0" w:color="000000"/>
              <w:left w:val="single" w:sz="4" w:space="0" w:color="000000"/>
              <w:bottom w:val="single" w:sz="4" w:space="0" w:color="000000"/>
              <w:right w:val="single" w:sz="4" w:space="0" w:color="000000"/>
            </w:tcBorders>
          </w:tcPr>
          <w:p w14:paraId="422ECA4B"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18137C62" w14:textId="77777777" w:rsidR="00843FDA" w:rsidRPr="00C6580C" w:rsidRDefault="00843FDA" w:rsidP="00CD7CAC">
            <w:pPr>
              <w:widowControl/>
              <w:rPr>
                <w:kern w:val="0"/>
                <w:szCs w:val="22"/>
              </w:rPr>
            </w:pPr>
            <w:r w:rsidRPr="00C6580C">
              <w:rPr>
                <w:kern w:val="0"/>
                <w:szCs w:val="22"/>
              </w:rPr>
              <w:t>***</w:t>
            </w:r>
          </w:p>
          <w:p w14:paraId="3E978CF9" w14:textId="77777777" w:rsidR="00843FDA" w:rsidRPr="00C6580C" w:rsidRDefault="00843FDA" w:rsidP="00CD7CAC">
            <w:pPr>
              <w:widowControl/>
              <w:rPr>
                <w:kern w:val="0"/>
                <w:szCs w:val="22"/>
              </w:rPr>
            </w:pPr>
            <w:r w:rsidRPr="00C6580C">
              <w:rPr>
                <w:kern w:val="0"/>
                <w:szCs w:val="22"/>
              </w:rPr>
              <w:t>261a, 271a, 281a, 291a, 301a, 262a, 272a, 282a, 292a, 302a, 263a, 273a, 283a, 293a, 303a, 264a, 274a, 284a, 294a, 304a, 265a, 275a, 285a, 295a, 305a, 266a, 276a, 286a, 296a, 306a, 267a, 277a, 287a, 297a, 307a, 268a, 278a, 288a, 298a, 308a, 322a, 362a, 402a, 442a, 482a, 323a, 363a, 403a, 443a, 483a, 324a, 364a, 404a, 444a, 484a, 325a, 365a, 405a, 445a, 485a, 326a, 366a, 406a, 446a, 486a, 327a, 367a, 407a, 447a, 487a, 342a, 382a, 422a, 462a, 502a, 343a, 383a, 423a, 463a, 503a, 344a, 384a, 424a, 464a, 504a, 345a, 385a, 425a, 465a, 505a, 346a, 386a, 426a, 466a, 506a, 347a, 387a, 427a, 467a, 507a</w:t>
            </w:r>
          </w:p>
        </w:tc>
        <w:tc>
          <w:tcPr>
            <w:tcW w:w="0" w:type="auto"/>
            <w:tcBorders>
              <w:top w:val="single" w:sz="4" w:space="0" w:color="000000"/>
              <w:left w:val="single" w:sz="4" w:space="0" w:color="000000"/>
              <w:bottom w:val="single" w:sz="4" w:space="0" w:color="000000"/>
              <w:right w:val="single" w:sz="4" w:space="0" w:color="000000"/>
            </w:tcBorders>
          </w:tcPr>
          <w:p w14:paraId="57081056" w14:textId="77777777" w:rsidR="00843FDA" w:rsidRPr="00C6580C" w:rsidRDefault="00843FDA" w:rsidP="00CD7CAC">
            <w:pPr>
              <w:widowControl/>
              <w:rPr>
                <w:kern w:val="0"/>
                <w:szCs w:val="22"/>
              </w:rPr>
            </w:pPr>
            <w:r w:rsidRPr="00C6580C">
              <w:rPr>
                <w:kern w:val="0"/>
                <w:szCs w:val="22"/>
              </w:rPr>
              <w:t>200 Channels</w:t>
            </w:r>
          </w:p>
        </w:tc>
      </w:tr>
    </w:tbl>
    <w:p w14:paraId="7F5707E4" w14:textId="77777777" w:rsidR="00843FDA" w:rsidRPr="00A96110" w:rsidRDefault="00843FDA" w:rsidP="00CD7CAC">
      <w:pPr>
        <w:pStyle w:val="ParaNum"/>
        <w:widowControl/>
        <w:numPr>
          <w:ilvl w:val="0"/>
          <w:numId w:val="0"/>
        </w:numPr>
        <w:tabs>
          <w:tab w:val="left" w:pos="0"/>
        </w:tabs>
        <w:ind w:left="270"/>
      </w:pPr>
    </w:p>
    <w:p w14:paraId="48D6B654" w14:textId="77777777" w:rsidR="00843FDA" w:rsidRPr="00A96110" w:rsidRDefault="00843FDA" w:rsidP="00CD7CAC">
      <w:pPr>
        <w:pStyle w:val="ParaNum"/>
        <w:widowControl/>
        <w:numPr>
          <w:ilvl w:val="0"/>
          <w:numId w:val="0"/>
        </w:numPr>
        <w:tabs>
          <w:tab w:val="left" w:pos="0"/>
        </w:tabs>
        <w:ind w:left="270"/>
      </w:pPr>
      <w:r w:rsidRPr="00A96110">
        <w:t xml:space="preserve">(9) * * * </w:t>
      </w:r>
    </w:p>
    <w:p w14:paraId="701DA222" w14:textId="77777777" w:rsidR="00843FDA" w:rsidRPr="00C6580C" w:rsidRDefault="00843FDA" w:rsidP="00CD7CAC">
      <w:pPr>
        <w:widowControl/>
        <w:spacing w:before="100" w:beforeAutospacing="1" w:after="100" w:afterAutospacing="1"/>
        <w:jc w:val="center"/>
        <w:rPr>
          <w:b/>
          <w:bCs/>
          <w:kern w:val="0"/>
          <w:szCs w:val="22"/>
        </w:rPr>
      </w:pPr>
      <w:r w:rsidRPr="00C6580C">
        <w:rPr>
          <w:b/>
          <w:bCs/>
          <w:kern w:val="0"/>
          <w:szCs w:val="22"/>
        </w:rPr>
        <w:t>Table C9—SMR Category 806–816/851–861 MHz Channels Available for Site-Based Licensing in the Canada Border Regions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069"/>
        <w:gridCol w:w="7336"/>
        <w:gridCol w:w="985"/>
      </w:tblGrid>
      <w:tr w:rsidR="00843FDA" w:rsidRPr="00C6580C" w14:paraId="40071130" w14:textId="77777777">
        <w:tc>
          <w:tcPr>
            <w:tcW w:w="0" w:type="auto"/>
            <w:tcBorders>
              <w:top w:val="single" w:sz="4" w:space="0" w:color="000000"/>
              <w:left w:val="single" w:sz="4" w:space="0" w:color="000000"/>
              <w:bottom w:val="single" w:sz="4" w:space="0" w:color="000000"/>
              <w:right w:val="single" w:sz="4" w:space="0" w:color="000000"/>
            </w:tcBorders>
            <w:vAlign w:val="bottom"/>
          </w:tcPr>
          <w:p w14:paraId="3BE1E897" w14:textId="77777777" w:rsidR="00843FDA" w:rsidRPr="00C6580C" w:rsidRDefault="00843FDA" w:rsidP="00CD7CAC">
            <w:pPr>
              <w:widowControl/>
              <w:jc w:val="center"/>
              <w:rPr>
                <w:b/>
                <w:bCs/>
                <w:kern w:val="0"/>
                <w:szCs w:val="22"/>
              </w:rPr>
            </w:pPr>
            <w:r w:rsidRPr="00C6580C">
              <w:rPr>
                <w:b/>
                <w:bCs/>
                <w:kern w:val="0"/>
                <w:szCs w:val="22"/>
              </w:rPr>
              <w:t>Canada Border Region</w:t>
            </w:r>
          </w:p>
        </w:tc>
        <w:tc>
          <w:tcPr>
            <w:tcW w:w="0" w:type="auto"/>
            <w:tcBorders>
              <w:top w:val="single" w:sz="4" w:space="0" w:color="000000"/>
              <w:left w:val="single" w:sz="4" w:space="0" w:color="000000"/>
              <w:bottom w:val="single" w:sz="4" w:space="0" w:color="000000"/>
              <w:right w:val="single" w:sz="4" w:space="0" w:color="000000"/>
            </w:tcBorders>
            <w:vAlign w:val="bottom"/>
          </w:tcPr>
          <w:p w14:paraId="64A4B49B" w14:textId="77777777" w:rsidR="00843FDA" w:rsidRPr="00C6580C" w:rsidRDefault="00843FDA" w:rsidP="00CD7CAC">
            <w:pPr>
              <w:widowControl/>
              <w:jc w:val="center"/>
              <w:rPr>
                <w:b/>
                <w:bCs/>
                <w:kern w:val="0"/>
                <w:szCs w:val="22"/>
              </w:rPr>
            </w:pPr>
            <w:r w:rsidRPr="00C6580C">
              <w:rPr>
                <w:b/>
                <w:bCs/>
                <w:kern w:val="0"/>
                <w:szCs w:val="22"/>
              </w:rPr>
              <w:t>Channel Nos.</w:t>
            </w:r>
          </w:p>
        </w:tc>
        <w:tc>
          <w:tcPr>
            <w:tcW w:w="0" w:type="auto"/>
            <w:tcBorders>
              <w:top w:val="single" w:sz="4" w:space="0" w:color="000000"/>
              <w:left w:val="single" w:sz="4" w:space="0" w:color="000000"/>
              <w:bottom w:val="single" w:sz="4" w:space="0" w:color="000000"/>
              <w:right w:val="single" w:sz="4" w:space="0" w:color="000000"/>
            </w:tcBorders>
            <w:vAlign w:val="bottom"/>
          </w:tcPr>
          <w:p w14:paraId="1DB190A7" w14:textId="77777777" w:rsidR="00843FDA" w:rsidRPr="00C6580C" w:rsidRDefault="00843FDA" w:rsidP="00CD7CAC">
            <w:pPr>
              <w:widowControl/>
              <w:jc w:val="center"/>
              <w:rPr>
                <w:b/>
                <w:bCs/>
                <w:kern w:val="0"/>
                <w:szCs w:val="22"/>
              </w:rPr>
            </w:pPr>
            <w:r w:rsidRPr="00C6580C">
              <w:rPr>
                <w:b/>
                <w:bCs/>
                <w:kern w:val="0"/>
                <w:szCs w:val="22"/>
              </w:rPr>
              <w:t>Total</w:t>
            </w:r>
          </w:p>
        </w:tc>
      </w:tr>
      <w:tr w:rsidR="00843FDA" w:rsidRPr="00C6580C" w14:paraId="79578E96" w14:textId="77777777">
        <w:tc>
          <w:tcPr>
            <w:tcW w:w="0" w:type="auto"/>
            <w:tcBorders>
              <w:top w:val="single" w:sz="4" w:space="0" w:color="000000"/>
              <w:left w:val="single" w:sz="4" w:space="0" w:color="000000"/>
              <w:bottom w:val="single" w:sz="4" w:space="0" w:color="000000"/>
              <w:right w:val="single" w:sz="4" w:space="0" w:color="000000"/>
            </w:tcBorders>
          </w:tcPr>
          <w:p w14:paraId="6A2B32F4"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164EB6A6"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64C1C962" w14:textId="77777777" w:rsidR="00843FDA" w:rsidRPr="00C6580C" w:rsidRDefault="00843FDA" w:rsidP="00CD7CAC">
            <w:pPr>
              <w:widowControl/>
              <w:rPr>
                <w:kern w:val="0"/>
                <w:szCs w:val="22"/>
              </w:rPr>
            </w:pPr>
            <w:r w:rsidRPr="00C6580C">
              <w:rPr>
                <w:kern w:val="0"/>
                <w:szCs w:val="22"/>
              </w:rPr>
              <w:t>***</w:t>
            </w:r>
          </w:p>
        </w:tc>
      </w:tr>
      <w:tr w:rsidR="00843FDA" w:rsidRPr="00C6580C" w14:paraId="12A0556F" w14:textId="77777777">
        <w:tc>
          <w:tcPr>
            <w:tcW w:w="0" w:type="auto"/>
            <w:tcBorders>
              <w:top w:val="single" w:sz="4" w:space="0" w:color="000000"/>
              <w:left w:val="single" w:sz="4" w:space="0" w:color="000000"/>
              <w:bottom w:val="single" w:sz="4" w:space="0" w:color="000000"/>
              <w:right w:val="single" w:sz="4" w:space="0" w:color="000000"/>
            </w:tcBorders>
          </w:tcPr>
          <w:p w14:paraId="2F061677"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1798A461" w14:textId="77777777" w:rsidR="00843FDA" w:rsidRPr="00C6580C" w:rsidRDefault="00843FDA" w:rsidP="00CD7CAC">
            <w:pPr>
              <w:widowControl/>
              <w:rPr>
                <w:kern w:val="0"/>
                <w:szCs w:val="22"/>
              </w:rPr>
            </w:pPr>
            <w:r w:rsidRPr="00C6580C">
              <w:rPr>
                <w:kern w:val="0"/>
                <w:szCs w:val="22"/>
              </w:rPr>
              <w:t>***</w:t>
            </w:r>
          </w:p>
          <w:p w14:paraId="55E6EC36" w14:textId="77777777" w:rsidR="00843FDA" w:rsidRPr="00C6580C" w:rsidRDefault="00843FDA" w:rsidP="00CD7CAC">
            <w:pPr>
              <w:widowControl/>
              <w:rPr>
                <w:kern w:val="0"/>
                <w:szCs w:val="22"/>
              </w:rPr>
            </w:pPr>
            <w:r w:rsidRPr="00C6580C">
              <w:rPr>
                <w:kern w:val="0"/>
                <w:szCs w:val="22"/>
              </w:rPr>
              <w:t>315a, 355a, 395a, 435a, 475a, 316a, 356a, 396a, 436a, 476a, 317a, 357a, 397a, 437a, 477a, 318a, 358a, 398a, 438a, 478a, 331a, 371a, 411a, 451a, 491a, 332a, 372a, 412a, 452a, 492a, 333a, 373a, 413a, 453a, 493a, 334a, 374a, 414a, 454a, 494a, 335a, 375a, 415a, 455a, 495a, 336a, 376a, 416a, 456a, 496a, 337a, 377a, 417a, 457a, 497a, 338a, 378a, 418a, 458a, 498a, 431a, 432a, 433a, 434a, 471a, 472a, 473a, 474a, 479a, 480a, 481a, 488a, 489a, 490a, 499a, 500a, 501a, 508a, 509a, 510a</w:t>
            </w:r>
          </w:p>
        </w:tc>
        <w:tc>
          <w:tcPr>
            <w:tcW w:w="0" w:type="auto"/>
            <w:tcBorders>
              <w:top w:val="single" w:sz="4" w:space="0" w:color="000000"/>
              <w:left w:val="single" w:sz="4" w:space="0" w:color="000000"/>
              <w:bottom w:val="single" w:sz="4" w:space="0" w:color="000000"/>
              <w:right w:val="single" w:sz="4" w:space="0" w:color="000000"/>
            </w:tcBorders>
          </w:tcPr>
          <w:p w14:paraId="1700BEB1" w14:textId="77777777" w:rsidR="00843FDA" w:rsidRPr="00C6580C" w:rsidRDefault="00843FDA" w:rsidP="00CD7CAC">
            <w:pPr>
              <w:widowControl/>
              <w:rPr>
                <w:kern w:val="0"/>
                <w:szCs w:val="22"/>
              </w:rPr>
            </w:pPr>
            <w:r w:rsidRPr="00C6580C">
              <w:rPr>
                <w:kern w:val="0"/>
                <w:szCs w:val="22"/>
              </w:rPr>
              <w:t>160 Channels.</w:t>
            </w:r>
          </w:p>
        </w:tc>
      </w:tr>
      <w:tr w:rsidR="00843FDA" w:rsidRPr="00C6580C" w14:paraId="6640AC32" w14:textId="77777777">
        <w:tc>
          <w:tcPr>
            <w:tcW w:w="0" w:type="auto"/>
            <w:tcBorders>
              <w:top w:val="single" w:sz="4" w:space="0" w:color="000000"/>
              <w:left w:val="single" w:sz="4" w:space="0" w:color="000000"/>
              <w:bottom w:val="single" w:sz="4" w:space="0" w:color="000000"/>
              <w:right w:val="single" w:sz="4" w:space="0" w:color="000000"/>
            </w:tcBorders>
          </w:tcPr>
          <w:p w14:paraId="2BFA4197" w14:textId="77777777" w:rsidR="00843FDA" w:rsidRPr="00C6580C" w:rsidRDefault="00843FDA" w:rsidP="00CD7CAC">
            <w:pPr>
              <w:widowControl/>
              <w:rPr>
                <w:kern w:val="0"/>
                <w:szCs w:val="22"/>
              </w:rPr>
            </w:pPr>
            <w:r w:rsidRPr="00C6580C">
              <w:rPr>
                <w:kern w:val="0"/>
                <w:szCs w:val="22"/>
              </w:rPr>
              <w:t>***</w:t>
            </w:r>
          </w:p>
        </w:tc>
        <w:tc>
          <w:tcPr>
            <w:tcW w:w="0" w:type="auto"/>
            <w:tcBorders>
              <w:top w:val="single" w:sz="4" w:space="0" w:color="000000"/>
              <w:left w:val="single" w:sz="4" w:space="0" w:color="000000"/>
              <w:bottom w:val="single" w:sz="4" w:space="0" w:color="000000"/>
              <w:right w:val="single" w:sz="4" w:space="0" w:color="000000"/>
            </w:tcBorders>
          </w:tcPr>
          <w:p w14:paraId="3AB31586" w14:textId="77777777" w:rsidR="00843FDA" w:rsidRPr="00C6580C" w:rsidRDefault="00843FDA" w:rsidP="00CD7CAC">
            <w:pPr>
              <w:widowControl/>
              <w:rPr>
                <w:kern w:val="0"/>
                <w:szCs w:val="22"/>
              </w:rPr>
            </w:pPr>
            <w:r w:rsidRPr="00C6580C">
              <w:rPr>
                <w:kern w:val="0"/>
                <w:szCs w:val="22"/>
              </w:rPr>
              <w:t>***</w:t>
            </w:r>
          </w:p>
          <w:p w14:paraId="034D7D17" w14:textId="77777777" w:rsidR="00843FDA" w:rsidRPr="00C6580C" w:rsidRDefault="00843FDA" w:rsidP="00CD7CAC">
            <w:pPr>
              <w:widowControl/>
              <w:rPr>
                <w:kern w:val="0"/>
                <w:szCs w:val="22"/>
              </w:rPr>
            </w:pPr>
            <w:r w:rsidRPr="00C6580C">
              <w:rPr>
                <w:kern w:val="0"/>
                <w:szCs w:val="22"/>
              </w:rPr>
              <w:t>481a, 488a, 489a, 490a, 499a, 500a, 501a, 508a, 509a, 510a</w:t>
            </w:r>
          </w:p>
        </w:tc>
        <w:tc>
          <w:tcPr>
            <w:tcW w:w="0" w:type="auto"/>
            <w:tcBorders>
              <w:top w:val="single" w:sz="4" w:space="0" w:color="000000"/>
              <w:left w:val="single" w:sz="4" w:space="0" w:color="000000"/>
              <w:bottom w:val="single" w:sz="4" w:space="0" w:color="000000"/>
              <w:right w:val="single" w:sz="4" w:space="0" w:color="000000"/>
            </w:tcBorders>
          </w:tcPr>
          <w:p w14:paraId="4EC492CD" w14:textId="77777777" w:rsidR="00843FDA" w:rsidRPr="00C6580C" w:rsidRDefault="00843FDA" w:rsidP="00CD7CAC">
            <w:pPr>
              <w:widowControl/>
              <w:rPr>
                <w:kern w:val="0"/>
                <w:szCs w:val="22"/>
              </w:rPr>
            </w:pPr>
            <w:r w:rsidRPr="00C6580C">
              <w:rPr>
                <w:kern w:val="0"/>
                <w:szCs w:val="22"/>
              </w:rPr>
              <w:t>20 Channels.</w:t>
            </w:r>
          </w:p>
        </w:tc>
      </w:tr>
    </w:tbl>
    <w:p w14:paraId="5A1AF652" w14:textId="77777777" w:rsidR="007555B0" w:rsidRPr="00A96110" w:rsidRDefault="00843FDA" w:rsidP="00CD7CAC">
      <w:pPr>
        <w:pStyle w:val="ParaNum"/>
        <w:widowControl/>
        <w:numPr>
          <w:ilvl w:val="0"/>
          <w:numId w:val="0"/>
        </w:numPr>
        <w:tabs>
          <w:tab w:val="left" w:pos="0"/>
        </w:tabs>
        <w:ind w:left="270"/>
        <w:jc w:val="center"/>
        <w:rPr>
          <w:u w:val="single"/>
        </w:rPr>
      </w:pPr>
      <w:r w:rsidRPr="00A96110">
        <w:br w:type="page"/>
      </w:r>
      <w:r w:rsidRPr="00A96110">
        <w:rPr>
          <w:b/>
        </w:rPr>
        <w:t>APPENDIX C</w:t>
      </w:r>
    </w:p>
    <w:p w14:paraId="576880CE" w14:textId="77777777" w:rsidR="007555B0" w:rsidRPr="00A96110" w:rsidRDefault="007555B0" w:rsidP="00CD7CAC">
      <w:pPr>
        <w:pStyle w:val="ParaNum"/>
        <w:widowControl/>
        <w:numPr>
          <w:ilvl w:val="0"/>
          <w:numId w:val="0"/>
        </w:numPr>
        <w:tabs>
          <w:tab w:val="left" w:pos="720"/>
        </w:tabs>
        <w:jc w:val="center"/>
      </w:pPr>
      <w:r w:rsidRPr="00A96110">
        <w:rPr>
          <w:b/>
        </w:rPr>
        <w:t>List of Commenters</w:t>
      </w:r>
    </w:p>
    <w:p w14:paraId="5F223095" w14:textId="77777777" w:rsidR="007555B0" w:rsidRPr="00A96110" w:rsidRDefault="007555B0" w:rsidP="00CD7CAC">
      <w:pPr>
        <w:pStyle w:val="ParaNum"/>
        <w:widowControl/>
        <w:numPr>
          <w:ilvl w:val="0"/>
          <w:numId w:val="0"/>
        </w:numPr>
        <w:tabs>
          <w:tab w:val="left" w:pos="720"/>
        </w:tabs>
      </w:pPr>
    </w:p>
    <w:p w14:paraId="3DAEA47D" w14:textId="77777777" w:rsidR="007555B0" w:rsidRPr="00C6580C" w:rsidRDefault="007555B0" w:rsidP="00CD7CAC">
      <w:pPr>
        <w:widowControl/>
        <w:rPr>
          <w:szCs w:val="22"/>
        </w:rPr>
      </w:pPr>
      <w:r w:rsidRPr="00C6580C">
        <w:rPr>
          <w:b/>
          <w:szCs w:val="22"/>
        </w:rPr>
        <w:t>I.</w:t>
      </w:r>
      <w:r w:rsidRPr="00C6580C">
        <w:rPr>
          <w:szCs w:val="22"/>
        </w:rPr>
        <w:tab/>
      </w:r>
      <w:r w:rsidRPr="00C6580C">
        <w:rPr>
          <w:b/>
          <w:szCs w:val="22"/>
        </w:rPr>
        <w:t>Comments</w:t>
      </w:r>
    </w:p>
    <w:p w14:paraId="6FE91983" w14:textId="77777777" w:rsidR="007555B0" w:rsidRPr="00C6580C" w:rsidRDefault="007555B0" w:rsidP="00CD7CAC">
      <w:pPr>
        <w:widowControl/>
        <w:rPr>
          <w:b/>
          <w:szCs w:val="22"/>
        </w:rPr>
      </w:pPr>
    </w:p>
    <w:p w14:paraId="5C84A914" w14:textId="77777777" w:rsidR="007555B0" w:rsidRPr="00C6580C" w:rsidRDefault="007555B0" w:rsidP="00CD7CAC">
      <w:pPr>
        <w:widowControl/>
        <w:autoSpaceDE w:val="0"/>
        <w:autoSpaceDN w:val="0"/>
        <w:adjustRightInd w:val="0"/>
        <w:ind w:firstLine="720"/>
        <w:rPr>
          <w:kern w:val="0"/>
          <w:szCs w:val="22"/>
        </w:rPr>
      </w:pPr>
      <w:r w:rsidRPr="00C6580C">
        <w:rPr>
          <w:kern w:val="0"/>
          <w:szCs w:val="22"/>
        </w:rPr>
        <w:t>Association of Public-Safety Communications Officials-International, Inc. (APCO)</w:t>
      </w:r>
    </w:p>
    <w:p w14:paraId="68575315" w14:textId="77777777" w:rsidR="007555B0" w:rsidRPr="00C6580C" w:rsidRDefault="007555B0" w:rsidP="00CD7CAC">
      <w:pPr>
        <w:widowControl/>
        <w:autoSpaceDE w:val="0"/>
        <w:autoSpaceDN w:val="0"/>
        <w:adjustRightInd w:val="0"/>
        <w:ind w:firstLine="720"/>
        <w:rPr>
          <w:kern w:val="0"/>
          <w:szCs w:val="22"/>
        </w:rPr>
      </w:pPr>
      <w:r>
        <w:rPr>
          <w:kern w:val="0"/>
          <w:szCs w:val="22"/>
        </w:rPr>
        <w:t xml:space="preserve">Mr. </w:t>
      </w:r>
      <w:r w:rsidRPr="00C6580C">
        <w:rPr>
          <w:kern w:val="0"/>
          <w:szCs w:val="22"/>
        </w:rPr>
        <w:t>Bob Ferrell</w:t>
      </w:r>
    </w:p>
    <w:p w14:paraId="791B3F44" w14:textId="77777777" w:rsidR="007555B0" w:rsidRPr="00C6580C" w:rsidRDefault="007555B0" w:rsidP="00CD7CAC">
      <w:pPr>
        <w:widowControl/>
        <w:ind w:firstLine="720"/>
        <w:rPr>
          <w:szCs w:val="22"/>
        </w:rPr>
      </w:pPr>
      <w:r w:rsidRPr="00C6580C">
        <w:rPr>
          <w:szCs w:val="22"/>
        </w:rPr>
        <w:t>Enterprise Wireless Alliance (EWA)</w:t>
      </w:r>
    </w:p>
    <w:p w14:paraId="25571076" w14:textId="77777777" w:rsidR="007555B0" w:rsidRPr="00C6580C" w:rsidRDefault="007555B0" w:rsidP="00CD7CAC">
      <w:pPr>
        <w:widowControl/>
        <w:ind w:firstLine="720"/>
        <w:rPr>
          <w:szCs w:val="22"/>
        </w:rPr>
      </w:pPr>
      <w:r w:rsidRPr="00C6580C">
        <w:rPr>
          <w:szCs w:val="22"/>
        </w:rPr>
        <w:t>Fisher Wireless Service, Inc. (Fisher)</w:t>
      </w:r>
    </w:p>
    <w:p w14:paraId="181F42FB" w14:textId="77777777" w:rsidR="007555B0" w:rsidRPr="00C6580C" w:rsidRDefault="007555B0" w:rsidP="00CD7CAC">
      <w:pPr>
        <w:widowControl/>
        <w:ind w:firstLine="720"/>
        <w:rPr>
          <w:szCs w:val="22"/>
        </w:rPr>
      </w:pPr>
      <w:r w:rsidRPr="00C6580C">
        <w:rPr>
          <w:szCs w:val="22"/>
        </w:rPr>
        <w:t>Forest Industries Telecommunications (FIT)</w:t>
      </w:r>
    </w:p>
    <w:p w14:paraId="02594EEF" w14:textId="77777777" w:rsidR="007555B0" w:rsidRPr="00C6580C" w:rsidRDefault="007555B0" w:rsidP="00CD7CAC">
      <w:pPr>
        <w:widowControl/>
        <w:ind w:firstLine="720"/>
        <w:rPr>
          <w:szCs w:val="22"/>
        </w:rPr>
      </w:pPr>
      <w:r w:rsidRPr="00C6580C">
        <w:rPr>
          <w:kern w:val="0"/>
          <w:szCs w:val="22"/>
        </w:rPr>
        <w:t>Joint Council on Transit Wireless Communications</w:t>
      </w:r>
    </w:p>
    <w:p w14:paraId="3735DFB2" w14:textId="77777777" w:rsidR="007555B0" w:rsidRPr="00C6580C" w:rsidRDefault="007555B0" w:rsidP="00CD7CAC">
      <w:pPr>
        <w:widowControl/>
        <w:ind w:firstLine="720"/>
        <w:rPr>
          <w:szCs w:val="22"/>
        </w:rPr>
      </w:pPr>
      <w:r w:rsidRPr="00C6580C">
        <w:rPr>
          <w:szCs w:val="22"/>
        </w:rPr>
        <w:t>Land Mobile Communications Council (LMCC)</w:t>
      </w:r>
    </w:p>
    <w:p w14:paraId="28D38456" w14:textId="77777777" w:rsidR="007555B0" w:rsidRPr="00C6580C" w:rsidRDefault="007555B0" w:rsidP="00CD7CAC">
      <w:pPr>
        <w:widowControl/>
        <w:rPr>
          <w:szCs w:val="22"/>
        </w:rPr>
      </w:pPr>
      <w:r w:rsidRPr="00C6580C">
        <w:rPr>
          <w:szCs w:val="22"/>
        </w:rPr>
        <w:tab/>
      </w:r>
      <w:r>
        <w:rPr>
          <w:szCs w:val="22"/>
        </w:rPr>
        <w:t xml:space="preserve">Mr. </w:t>
      </w:r>
      <w:r w:rsidRPr="00C6580C">
        <w:rPr>
          <w:szCs w:val="22"/>
        </w:rPr>
        <w:t>Larry Sayers</w:t>
      </w:r>
    </w:p>
    <w:p w14:paraId="5588AB76" w14:textId="77777777" w:rsidR="007555B0" w:rsidRPr="00C6580C" w:rsidRDefault="007555B0" w:rsidP="00CD7CAC">
      <w:pPr>
        <w:widowControl/>
        <w:ind w:firstLine="720"/>
        <w:rPr>
          <w:color w:val="000000"/>
          <w:szCs w:val="22"/>
        </w:rPr>
      </w:pPr>
      <w:r w:rsidRPr="00C6580C">
        <w:rPr>
          <w:color w:val="000000"/>
          <w:szCs w:val="22"/>
        </w:rPr>
        <w:t>Motorola, Inc. (Motorola)</w:t>
      </w:r>
    </w:p>
    <w:p w14:paraId="7726ADFF" w14:textId="77777777" w:rsidR="007555B0" w:rsidRPr="00C6580C" w:rsidRDefault="007555B0" w:rsidP="00CD7CAC">
      <w:pPr>
        <w:widowControl/>
        <w:ind w:firstLine="720"/>
        <w:rPr>
          <w:szCs w:val="22"/>
        </w:rPr>
      </w:pPr>
      <w:r w:rsidRPr="00C6580C">
        <w:rPr>
          <w:color w:val="000000"/>
          <w:szCs w:val="22"/>
        </w:rPr>
        <w:t>National Public Safety Telecommunications Council (NPSTC)</w:t>
      </w:r>
    </w:p>
    <w:p w14:paraId="21EE1191" w14:textId="77777777" w:rsidR="007555B0" w:rsidRPr="00C6580C" w:rsidRDefault="007555B0" w:rsidP="00CD7CAC">
      <w:pPr>
        <w:widowControl/>
        <w:ind w:firstLine="720"/>
        <w:rPr>
          <w:szCs w:val="22"/>
        </w:rPr>
      </w:pPr>
      <w:r w:rsidRPr="00C6580C">
        <w:rPr>
          <w:szCs w:val="22"/>
        </w:rPr>
        <w:t>Utilities Telecom Council (UTC)</w:t>
      </w:r>
    </w:p>
    <w:p w14:paraId="452499F4" w14:textId="77777777" w:rsidR="007555B0" w:rsidRPr="00C6580C" w:rsidRDefault="007555B0" w:rsidP="00CD7CAC">
      <w:pPr>
        <w:widowControl/>
        <w:ind w:firstLine="720"/>
        <w:rPr>
          <w:szCs w:val="22"/>
        </w:rPr>
      </w:pPr>
      <w:r w:rsidRPr="00C6580C">
        <w:rPr>
          <w:szCs w:val="22"/>
        </w:rPr>
        <w:t>Radiosoft</w:t>
      </w:r>
    </w:p>
    <w:p w14:paraId="2832FAE9" w14:textId="77777777" w:rsidR="007555B0" w:rsidRPr="00C6580C" w:rsidRDefault="007555B0" w:rsidP="00CD7CAC">
      <w:pPr>
        <w:widowControl/>
        <w:ind w:firstLine="720"/>
        <w:rPr>
          <w:szCs w:val="22"/>
        </w:rPr>
      </w:pPr>
      <w:r w:rsidRPr="00C6580C">
        <w:rPr>
          <w:kern w:val="0"/>
          <w:szCs w:val="22"/>
        </w:rPr>
        <w:t>Southern Communications Services, Inc. d/b/a SouthernLINC Wireless (</w:t>
      </w:r>
      <w:r w:rsidRPr="00C6580C">
        <w:rPr>
          <w:szCs w:val="22"/>
        </w:rPr>
        <w:t xml:space="preserve">SouthernLINC) </w:t>
      </w:r>
    </w:p>
    <w:p w14:paraId="46D08B3F" w14:textId="77777777" w:rsidR="007555B0" w:rsidRPr="00C6580C" w:rsidRDefault="007555B0" w:rsidP="00CD7CAC">
      <w:pPr>
        <w:widowControl/>
        <w:ind w:firstLine="720"/>
        <w:rPr>
          <w:szCs w:val="22"/>
        </w:rPr>
      </w:pPr>
      <w:r w:rsidRPr="00C6580C">
        <w:rPr>
          <w:szCs w:val="22"/>
        </w:rPr>
        <w:t>State of Florida</w:t>
      </w:r>
    </w:p>
    <w:p w14:paraId="497AB81E" w14:textId="77777777" w:rsidR="007555B0" w:rsidRPr="00C6580C" w:rsidRDefault="007555B0" w:rsidP="00CD7CAC">
      <w:pPr>
        <w:widowControl/>
        <w:ind w:firstLine="720"/>
        <w:rPr>
          <w:szCs w:val="22"/>
        </w:rPr>
      </w:pPr>
      <w:r w:rsidRPr="00C6580C">
        <w:rPr>
          <w:szCs w:val="22"/>
        </w:rPr>
        <w:t>Telecommunications Industry Association (TIA)</w:t>
      </w:r>
    </w:p>
    <w:p w14:paraId="03F634A3" w14:textId="77777777" w:rsidR="007555B0" w:rsidRPr="00C6580C" w:rsidRDefault="007555B0" w:rsidP="00CD7CAC">
      <w:pPr>
        <w:widowControl/>
        <w:rPr>
          <w:szCs w:val="22"/>
        </w:rPr>
      </w:pPr>
    </w:p>
    <w:p w14:paraId="174E0D9C" w14:textId="77777777" w:rsidR="007555B0" w:rsidRPr="00C6580C" w:rsidRDefault="007555B0" w:rsidP="00CD7CAC">
      <w:pPr>
        <w:widowControl/>
        <w:rPr>
          <w:b/>
          <w:szCs w:val="22"/>
        </w:rPr>
      </w:pPr>
      <w:r w:rsidRPr="00C6580C">
        <w:rPr>
          <w:b/>
          <w:szCs w:val="22"/>
        </w:rPr>
        <w:t>II.</w:t>
      </w:r>
      <w:r w:rsidRPr="00C6580C">
        <w:rPr>
          <w:b/>
          <w:szCs w:val="22"/>
        </w:rPr>
        <w:tab/>
        <w:t>Reply Comments</w:t>
      </w:r>
    </w:p>
    <w:p w14:paraId="286CDC96" w14:textId="77777777" w:rsidR="007555B0" w:rsidRPr="00C6580C" w:rsidRDefault="007555B0" w:rsidP="00CD7CAC">
      <w:pPr>
        <w:widowControl/>
        <w:rPr>
          <w:b/>
          <w:szCs w:val="22"/>
        </w:rPr>
      </w:pPr>
    </w:p>
    <w:p w14:paraId="735721D5" w14:textId="77777777" w:rsidR="007555B0" w:rsidRPr="00C6580C" w:rsidRDefault="007555B0" w:rsidP="00CD7CAC">
      <w:pPr>
        <w:widowControl/>
        <w:ind w:firstLine="720"/>
        <w:rPr>
          <w:szCs w:val="22"/>
        </w:rPr>
      </w:pPr>
      <w:r w:rsidRPr="00C6580C">
        <w:rPr>
          <w:szCs w:val="22"/>
        </w:rPr>
        <w:t>American Petroleum Institute (API)</w:t>
      </w:r>
    </w:p>
    <w:p w14:paraId="70B9E32F" w14:textId="77777777" w:rsidR="007555B0" w:rsidRPr="00C6580C" w:rsidRDefault="007555B0" w:rsidP="00CD7CAC">
      <w:pPr>
        <w:widowControl/>
        <w:ind w:firstLine="720"/>
        <w:rPr>
          <w:szCs w:val="22"/>
        </w:rPr>
      </w:pPr>
      <w:r w:rsidRPr="00C6580C">
        <w:rPr>
          <w:szCs w:val="22"/>
        </w:rPr>
        <w:t>EWA</w:t>
      </w:r>
    </w:p>
    <w:p w14:paraId="264D7730" w14:textId="77777777" w:rsidR="007555B0" w:rsidRPr="00C6580C" w:rsidRDefault="007555B0" w:rsidP="00CD7CAC">
      <w:pPr>
        <w:widowControl/>
        <w:ind w:firstLine="720"/>
        <w:rPr>
          <w:kern w:val="0"/>
          <w:szCs w:val="22"/>
        </w:rPr>
      </w:pPr>
      <w:r w:rsidRPr="00C6580C">
        <w:rPr>
          <w:kern w:val="0"/>
          <w:szCs w:val="22"/>
        </w:rPr>
        <w:t>Third District Enterprises, LLC (TDE)</w:t>
      </w:r>
    </w:p>
    <w:p w14:paraId="04E242AF" w14:textId="77777777" w:rsidR="007555B0" w:rsidRPr="00C6580C" w:rsidRDefault="007555B0" w:rsidP="00CD7CAC">
      <w:pPr>
        <w:widowControl/>
        <w:ind w:firstLine="360"/>
        <w:rPr>
          <w:szCs w:val="22"/>
        </w:rPr>
      </w:pPr>
    </w:p>
    <w:p w14:paraId="7724E9AB" w14:textId="77777777" w:rsidR="007555B0" w:rsidRPr="00C6580C" w:rsidRDefault="007555B0" w:rsidP="00CD7CAC">
      <w:pPr>
        <w:widowControl/>
        <w:rPr>
          <w:b/>
          <w:szCs w:val="22"/>
        </w:rPr>
      </w:pPr>
      <w:r w:rsidRPr="00C6580C">
        <w:rPr>
          <w:b/>
          <w:szCs w:val="22"/>
        </w:rPr>
        <w:t>III.</w:t>
      </w:r>
      <w:r w:rsidRPr="00C6580C">
        <w:rPr>
          <w:b/>
          <w:szCs w:val="22"/>
        </w:rPr>
        <w:tab/>
      </w:r>
      <w:r w:rsidRPr="00C6580C">
        <w:rPr>
          <w:b/>
          <w:i/>
          <w:szCs w:val="22"/>
        </w:rPr>
        <w:t>Ex Parte</w:t>
      </w:r>
      <w:r w:rsidRPr="00C6580C">
        <w:rPr>
          <w:b/>
          <w:szCs w:val="22"/>
        </w:rPr>
        <w:t xml:space="preserve"> Filings</w:t>
      </w:r>
    </w:p>
    <w:p w14:paraId="5E254ADE" w14:textId="77777777" w:rsidR="007555B0" w:rsidRDefault="007555B0" w:rsidP="00CD7CAC">
      <w:pPr>
        <w:widowControl/>
        <w:rPr>
          <w:b/>
          <w:szCs w:val="22"/>
        </w:rPr>
      </w:pPr>
    </w:p>
    <w:p w14:paraId="57B60954" w14:textId="77777777" w:rsidR="00456276" w:rsidRPr="00117289" w:rsidRDefault="00456276" w:rsidP="00CD7CAC">
      <w:pPr>
        <w:widowControl/>
        <w:rPr>
          <w:szCs w:val="22"/>
        </w:rPr>
      </w:pPr>
      <w:r>
        <w:rPr>
          <w:b/>
          <w:szCs w:val="22"/>
        </w:rPr>
        <w:tab/>
      </w:r>
      <w:r w:rsidRPr="00CB6877">
        <w:rPr>
          <w:szCs w:val="22"/>
        </w:rPr>
        <w:t>APCO</w:t>
      </w:r>
      <w:r>
        <w:rPr>
          <w:szCs w:val="22"/>
        </w:rPr>
        <w:t xml:space="preserve"> (Oct. 15, 2014) </w:t>
      </w:r>
    </w:p>
    <w:p w14:paraId="7D90BDD1" w14:textId="77777777" w:rsidR="007555B0" w:rsidRPr="00C6580C" w:rsidRDefault="007555B0" w:rsidP="00CD7CAC">
      <w:pPr>
        <w:widowControl/>
        <w:rPr>
          <w:szCs w:val="22"/>
        </w:rPr>
      </w:pPr>
      <w:r w:rsidRPr="00C6580C">
        <w:rPr>
          <w:b/>
          <w:szCs w:val="22"/>
        </w:rPr>
        <w:tab/>
      </w:r>
      <w:r w:rsidRPr="00C6580C">
        <w:rPr>
          <w:szCs w:val="22"/>
        </w:rPr>
        <w:t>EWA (July 1, 2011 and March 3, 2012)</w:t>
      </w:r>
    </w:p>
    <w:p w14:paraId="34CF071E" w14:textId="77777777" w:rsidR="007555B0" w:rsidRPr="00C6580C" w:rsidRDefault="007555B0" w:rsidP="00CD7CAC">
      <w:pPr>
        <w:widowControl/>
        <w:rPr>
          <w:szCs w:val="22"/>
        </w:rPr>
      </w:pPr>
      <w:r w:rsidRPr="00C6580C">
        <w:rPr>
          <w:szCs w:val="22"/>
        </w:rPr>
        <w:tab/>
        <w:t>LMCC (June 23, 2010</w:t>
      </w:r>
      <w:r>
        <w:rPr>
          <w:szCs w:val="22"/>
        </w:rPr>
        <w:t xml:space="preserve"> and Oct. 4, 2014</w:t>
      </w:r>
      <w:r w:rsidRPr="00C6580C">
        <w:rPr>
          <w:szCs w:val="22"/>
        </w:rPr>
        <w:t>) (Interference Protection Criteria)</w:t>
      </w:r>
    </w:p>
    <w:p w14:paraId="0A63252A" w14:textId="68670B52" w:rsidR="007555B0" w:rsidRPr="00A96110" w:rsidRDefault="007555B0" w:rsidP="00CD7CAC">
      <w:pPr>
        <w:widowControl/>
      </w:pPr>
      <w:r w:rsidRPr="00C6580C">
        <w:rPr>
          <w:szCs w:val="22"/>
        </w:rPr>
        <w:tab/>
        <w:t>Motorola Solutions, Inc. (April 11, 2012</w:t>
      </w:r>
    </w:p>
    <w:sectPr w:rsidR="007555B0" w:rsidRPr="00A96110" w:rsidSect="00C950D8">
      <w:footerReference w:type="first" r:id="rId19"/>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ED960F" w15:done="0"/>
  <w15:commentEx w15:paraId="57A28382" w15:done="0"/>
  <w15:commentEx w15:paraId="109BE5B3" w15:done="0"/>
  <w15:commentEx w15:paraId="47C7C4D7" w15:done="0"/>
  <w15:commentEx w15:paraId="55D74A84" w15:done="0"/>
  <w15:commentEx w15:paraId="3F527EB3" w15:done="0"/>
  <w15:commentEx w15:paraId="5AD35D36" w15:done="0"/>
  <w15:commentEx w15:paraId="79ABC5B1" w15:done="0"/>
  <w15:commentEx w15:paraId="4DCC18C7" w15:done="0"/>
  <w15:commentEx w15:paraId="29DF5F57" w15:done="0"/>
  <w15:commentEx w15:paraId="7959464C" w15:done="0"/>
  <w15:commentEx w15:paraId="70EACC90" w15:done="0"/>
  <w15:commentEx w15:paraId="7AB6B3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13EF5" w14:textId="77777777" w:rsidR="006C5F19" w:rsidRDefault="006C5F19">
      <w:pPr>
        <w:spacing w:line="20" w:lineRule="exact"/>
      </w:pPr>
    </w:p>
  </w:endnote>
  <w:endnote w:type="continuationSeparator" w:id="0">
    <w:p w14:paraId="14E79B01" w14:textId="77777777" w:rsidR="006C5F19" w:rsidRDefault="006C5F19">
      <w:r>
        <w:t xml:space="preserve"> </w:t>
      </w:r>
    </w:p>
  </w:endnote>
  <w:endnote w:type="continuationNotice" w:id="1">
    <w:p w14:paraId="63D9CBD4" w14:textId="77777777" w:rsidR="006C5F19" w:rsidRDefault="006C5F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B6416" w14:textId="77777777" w:rsidR="00F11C65" w:rsidRDefault="00F11C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BB738A" w14:textId="77777777" w:rsidR="00F11C65" w:rsidRDefault="00F11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B74C" w14:textId="2CA856C2" w:rsidR="00F11C65" w:rsidRDefault="00F11C65" w:rsidP="003C36B9">
    <w:pPr>
      <w:pStyle w:val="Footer"/>
      <w:jc w:val="center"/>
    </w:pPr>
    <w:r>
      <w:fldChar w:fldCharType="begin"/>
    </w:r>
    <w:r>
      <w:instrText xml:space="preserve"> PAGE   \* MERGEFORMAT </w:instrText>
    </w:r>
    <w:r>
      <w:fldChar w:fldCharType="separate"/>
    </w:r>
    <w:r w:rsidR="0026502D">
      <w:rPr>
        <w:noProof/>
      </w:rPr>
      <w:t>56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FD99A" w14:textId="24D5539C" w:rsidR="00C950D8" w:rsidRDefault="00C950D8">
    <w:pPr>
      <w:pStyle w:val="Footer"/>
      <w:jc w:val="center"/>
    </w:pPr>
  </w:p>
  <w:p w14:paraId="6DE32E48" w14:textId="77777777" w:rsidR="00C950D8" w:rsidRDefault="00C950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49552"/>
      <w:docPartObj>
        <w:docPartGallery w:val="Page Numbers (Bottom of Page)"/>
        <w:docPartUnique/>
      </w:docPartObj>
    </w:sdtPr>
    <w:sdtEndPr>
      <w:rPr>
        <w:noProof/>
      </w:rPr>
    </w:sdtEndPr>
    <w:sdtContent>
      <w:p w14:paraId="3AD2C335" w14:textId="77777777" w:rsidR="00C950D8" w:rsidRDefault="00C950D8">
        <w:pPr>
          <w:pStyle w:val="Footer"/>
          <w:jc w:val="center"/>
        </w:pPr>
        <w:r>
          <w:fldChar w:fldCharType="begin"/>
        </w:r>
        <w:r>
          <w:instrText xml:space="preserve"> PAGE   \* MERGEFORMAT </w:instrText>
        </w:r>
        <w:r>
          <w:fldChar w:fldCharType="separate"/>
        </w:r>
        <w:r w:rsidR="0026502D">
          <w:rPr>
            <w:noProof/>
          </w:rPr>
          <w:t>20</w:t>
        </w:r>
        <w:r>
          <w:rPr>
            <w:noProof/>
          </w:rPr>
          <w:fldChar w:fldCharType="end"/>
        </w:r>
      </w:p>
    </w:sdtContent>
  </w:sdt>
  <w:p w14:paraId="429794D5" w14:textId="77777777" w:rsidR="00C950D8" w:rsidRDefault="00C95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7CD1A" w14:textId="77777777" w:rsidR="006C5F19" w:rsidRDefault="006C5F19">
      <w:r>
        <w:separator/>
      </w:r>
    </w:p>
  </w:footnote>
  <w:footnote w:type="continuationSeparator" w:id="0">
    <w:p w14:paraId="397D86F0" w14:textId="77777777" w:rsidR="006C5F19" w:rsidRDefault="006C5F19">
      <w:pPr>
        <w:rPr>
          <w:sz w:val="20"/>
        </w:rPr>
      </w:pPr>
      <w:r>
        <w:rPr>
          <w:sz w:val="20"/>
        </w:rPr>
        <w:t xml:space="preserve">(Continued from previous page)  </w:t>
      </w:r>
      <w:r>
        <w:rPr>
          <w:sz w:val="20"/>
        </w:rPr>
        <w:separator/>
      </w:r>
    </w:p>
  </w:footnote>
  <w:footnote w:type="continuationNotice" w:id="1">
    <w:p w14:paraId="0531F6DF" w14:textId="77777777" w:rsidR="006C5F19" w:rsidRDefault="006C5F19" w:rsidP="00534FCB">
      <w:pPr>
        <w:rPr>
          <w:sz w:val="20"/>
        </w:rPr>
      </w:pPr>
      <w:r>
        <w:rPr>
          <w:sz w:val="20"/>
        </w:rPr>
        <w:t>(continued….)</w:t>
      </w:r>
    </w:p>
  </w:footnote>
  <w:footnote w:id="2">
    <w:p w14:paraId="18957595" w14:textId="77777777" w:rsidR="00F11C65" w:rsidRDefault="00F11C65" w:rsidP="005078B0">
      <w:pPr>
        <w:pStyle w:val="FootnoteText"/>
      </w:pPr>
      <w:r>
        <w:rPr>
          <w:rStyle w:val="FootnoteReference"/>
        </w:rPr>
        <w:footnoteRef/>
      </w:r>
      <w:r>
        <w:t xml:space="preserve"> “Interstitial” refers to a narrow space or interval between things especially when one of a series of alternating uniform spaces, </w:t>
      </w:r>
      <w:r w:rsidRPr="00C46842">
        <w:rPr>
          <w:i/>
          <w:color w:val="010101"/>
        </w:rPr>
        <w:t>e.g.,</w:t>
      </w:r>
      <w:r>
        <w:rPr>
          <w:i/>
          <w:color w:val="010101"/>
        </w:rPr>
        <w:t xml:space="preserve"> </w:t>
      </w:r>
      <w:r>
        <w:rPr>
          <w:color w:val="010101"/>
        </w:rPr>
        <w:t xml:space="preserve">the </w:t>
      </w:r>
      <w:r>
        <w:t xml:space="preserve">interstices between the slats of a fence.  In this </w:t>
      </w:r>
      <w:r w:rsidRPr="00C46842">
        <w:rPr>
          <w:i/>
        </w:rPr>
        <w:t>NPRM</w:t>
      </w:r>
      <w:r>
        <w:t>, the interstices are the spaces between the regularly spaced 25 kilohertz channels in the 800 MHz band.</w:t>
      </w:r>
    </w:p>
  </w:footnote>
  <w:footnote w:id="3">
    <w:p w14:paraId="38CC86E2" w14:textId="77777777" w:rsidR="00F11C65" w:rsidRDefault="00F11C65" w:rsidP="00381AF6">
      <w:pPr>
        <w:pStyle w:val="FootnoteText"/>
      </w:pPr>
      <w:r>
        <w:rPr>
          <w:rStyle w:val="FootnoteReference"/>
        </w:rPr>
        <w:footnoteRef/>
      </w:r>
      <w:r>
        <w:t xml:space="preserve"> </w:t>
      </w:r>
      <w:r>
        <w:rPr>
          <w:i/>
        </w:rPr>
        <w:t>See</w:t>
      </w:r>
      <w:r>
        <w:t xml:space="preserve"> Petition for Rulemaking of the Enterprise Wireless Alliance, RM-11572, filed April 29, 2009.</w:t>
      </w:r>
    </w:p>
  </w:footnote>
  <w:footnote w:id="4">
    <w:p w14:paraId="195F56F5" w14:textId="77777777" w:rsidR="00F11C65" w:rsidRDefault="00F11C65">
      <w:pPr>
        <w:pStyle w:val="FootnoteText"/>
      </w:pPr>
      <w:r w:rsidRPr="00A96110">
        <w:rPr>
          <w:rStyle w:val="FootnoteReference"/>
        </w:rPr>
        <w:footnoteRef/>
      </w:r>
      <w:r w:rsidRPr="00C6580C">
        <w:t xml:space="preserve"> The proposal would supply 70 offset channels in the Public Safety pool, 100 offset channels in the Business/Industrial pool, 80 offset channels in the Specialized Mobile Radio </w:t>
      </w:r>
      <w:r>
        <w:t xml:space="preserve">(SMR) </w:t>
      </w:r>
      <w:r w:rsidRPr="00C6580C">
        <w:t>pool and 69 offset channels in the General Category pool.</w:t>
      </w:r>
    </w:p>
  </w:footnote>
  <w:footnote w:id="5">
    <w:p w14:paraId="7997BA16" w14:textId="77777777" w:rsidR="00F11C65" w:rsidRDefault="00F11C65">
      <w:pPr>
        <w:pStyle w:val="FootnoteText"/>
      </w:pPr>
      <w:r w:rsidRPr="00A96110">
        <w:rPr>
          <w:rStyle w:val="FootnoteReference"/>
        </w:rPr>
        <w:footnoteRef/>
      </w:r>
      <w:r w:rsidRPr="00C6580C">
        <w:t xml:space="preserve"> These frequency allotments vary slightly in some areas.  In the Southeast Region, the Interleaved Band covers 809-812.5 MHz/854-857.5 MHz, the Expansion Band is generally at 812.5-813.5 MHz/857.5-858.5 MHz, the ESMR Band covers 813.5-824 MHz/858.5-869 MHz, and the Guard Band has been eliminated.  </w:t>
      </w:r>
      <w:r w:rsidRPr="00C6580C">
        <w:rPr>
          <w:i/>
        </w:rPr>
        <w:t>See</w:t>
      </w:r>
      <w:r w:rsidRPr="00C6580C">
        <w:t xml:space="preserve"> </w:t>
      </w:r>
      <w:r>
        <w:t xml:space="preserve">Improving Public Safety Communications in the 800 MHz Band, </w:t>
      </w:r>
      <w:r w:rsidRPr="00C6580C">
        <w:rPr>
          <w:color w:val="010101"/>
        </w:rPr>
        <w:t xml:space="preserve">WT Docket 02-55, </w:t>
      </w:r>
      <w:r w:rsidRPr="00C6580C">
        <w:rPr>
          <w:iCs/>
        </w:rPr>
        <w:t xml:space="preserve">19 FCC Rcd </w:t>
      </w:r>
      <w:r>
        <w:rPr>
          <w:iCs/>
        </w:rPr>
        <w:t>14969,</w:t>
      </w:r>
      <w:r w:rsidRPr="00C6580C">
        <w:rPr>
          <w:iCs/>
        </w:rPr>
        <w:t xml:space="preserve"> 15058 ¶ 166</w:t>
      </w:r>
      <w:r>
        <w:rPr>
          <w:iCs/>
        </w:rPr>
        <w:t xml:space="preserve"> (2004) (</w:t>
      </w:r>
      <w:r w:rsidRPr="006D656A">
        <w:rPr>
          <w:i/>
          <w:iCs/>
        </w:rPr>
        <w:t>800 MHz Report and Order</w:t>
      </w:r>
      <w:r>
        <w:rPr>
          <w:iCs/>
        </w:rPr>
        <w:t>)</w:t>
      </w:r>
      <w:r w:rsidRPr="00C6580C">
        <w:rPr>
          <w:iCs/>
        </w:rPr>
        <w:t>.  Within a 70 mile radius of</w:t>
      </w:r>
      <w:r w:rsidRPr="00C6580C">
        <w:t xml:space="preserve"> Atlanta, however, the Expansion Band channels fall at 813.0125-813.4875 MHz/858.0125-858.4875 MHz.  </w:t>
      </w:r>
      <w:r w:rsidRPr="00C6580C">
        <w:rPr>
          <w:i/>
        </w:rPr>
        <w:t>See</w:t>
      </w:r>
      <w:r w:rsidRPr="00C6580C">
        <w:t xml:space="preserve"> </w:t>
      </w:r>
      <w:r w:rsidRPr="00C6580C">
        <w:rPr>
          <w:color w:val="010101"/>
        </w:rPr>
        <w:t xml:space="preserve">Improving Public Safety Communications in the 800 MHz Band, WT Docket 02-55, </w:t>
      </w:r>
      <w:r w:rsidRPr="00C6580C">
        <w:rPr>
          <w:i/>
        </w:rPr>
        <w:t>Memorandum Opinion and Order</w:t>
      </w:r>
      <w:r w:rsidRPr="00C6580C">
        <w:t xml:space="preserve">, 20 FCC Rcd </w:t>
      </w:r>
      <w:r>
        <w:t>16015,</w:t>
      </w:r>
      <w:r w:rsidRPr="00C6580C">
        <w:t xml:space="preserve"> 16035-36 ¶¶ 46-49.  In Puerto Rico and the U.S. Virgin Islands, the Expansion Band is 1.5 MHz wide and extends from 815-816.5 MHz/860-861.5 MHz, and the Guard Band is correspondingly narrower, a 0.5 MHz segment extending from 816.5-817 MHz/861.5-862 MHz.  </w:t>
      </w:r>
      <w:r w:rsidRPr="00C6580C">
        <w:rPr>
          <w:i/>
        </w:rPr>
        <w:t>See</w:t>
      </w:r>
      <w:r w:rsidRPr="00C6580C">
        <w:t xml:space="preserve"> </w:t>
      </w:r>
      <w:r w:rsidRPr="00C6580C">
        <w:rPr>
          <w:color w:val="010101"/>
        </w:rPr>
        <w:t xml:space="preserve">Improving Public Safety Communications in the 800 MHz Band, WT Docket 02-55, </w:t>
      </w:r>
      <w:r w:rsidRPr="00C6580C">
        <w:rPr>
          <w:i/>
          <w:iCs/>
          <w:color w:val="010101"/>
        </w:rPr>
        <w:t xml:space="preserve">Third Report and Order and Third Further Notice of Proposed Rule Making, </w:t>
      </w:r>
      <w:r w:rsidRPr="00C6580C">
        <w:rPr>
          <w:color w:val="010101"/>
        </w:rPr>
        <w:t>25 FCC Rcd 4443 (PSHSB 2010) (</w:t>
      </w:r>
      <w:r w:rsidRPr="00C6580C">
        <w:rPr>
          <w:i/>
          <w:iCs/>
          <w:color w:val="010101"/>
        </w:rPr>
        <w:t>Puerto Rico Order</w:t>
      </w:r>
      <w:r w:rsidRPr="00C6580C">
        <w:rPr>
          <w:color w:val="010101"/>
        </w:rPr>
        <w:t xml:space="preserve">); </w:t>
      </w:r>
      <w:r w:rsidRPr="00C6580C">
        <w:rPr>
          <w:i/>
          <w:color w:val="010101"/>
        </w:rPr>
        <w:t>Fourth Report and Order</w:t>
      </w:r>
      <w:r w:rsidRPr="00C6580C">
        <w:rPr>
          <w:color w:val="010101"/>
        </w:rPr>
        <w:t xml:space="preserve">, </w:t>
      </w:r>
      <w:r w:rsidRPr="00C6580C">
        <w:t>26 FCC Rcd 1937</w:t>
      </w:r>
      <w:r w:rsidRPr="00C6580C">
        <w:rPr>
          <w:color w:val="010101"/>
        </w:rPr>
        <w:t xml:space="preserve"> (PSHSB 2010).  There is no Guard Band or Expansion band in the Canada Border area.  </w:t>
      </w:r>
      <w:r w:rsidRPr="00C6580C">
        <w:rPr>
          <w:i/>
          <w:color w:val="010101"/>
        </w:rPr>
        <w:t>See</w:t>
      </w:r>
      <w:r w:rsidRPr="00C6580C">
        <w:rPr>
          <w:color w:val="010101"/>
        </w:rPr>
        <w:t xml:space="preserve"> Improving Public Safety Communications in the 800 MHz Band, WT Docket 02-55, </w:t>
      </w:r>
      <w:r w:rsidRPr="00C6580C">
        <w:rPr>
          <w:i/>
          <w:color w:val="010101"/>
        </w:rPr>
        <w:t>Second Report and Order</w:t>
      </w:r>
      <w:r w:rsidRPr="00C6580C">
        <w:rPr>
          <w:color w:val="010101"/>
        </w:rPr>
        <w:t xml:space="preserve">, 23 FCC Rcd 7605 (PSHSB 2008).  </w:t>
      </w:r>
    </w:p>
  </w:footnote>
  <w:footnote w:id="6">
    <w:p w14:paraId="4CCAC9F7" w14:textId="77777777" w:rsidR="00F11C65" w:rsidRDefault="00F11C65">
      <w:pPr>
        <w:pStyle w:val="FootnoteText"/>
      </w:pPr>
      <w:r w:rsidRPr="00A96110">
        <w:rPr>
          <w:rStyle w:val="FootnoteReference"/>
        </w:rPr>
        <w:footnoteRef/>
      </w:r>
      <w:r w:rsidRPr="00C6580C">
        <w:t xml:space="preserve"> 47 C.F.R. §§ 90.617 (Frequencies in the 809.750-824/854.750-869 MHz and 896-901/935-940 MHz bands available for trunked, conventional or cellular system use in non-border areas) and 90.619 (Operations within the U.S./Mexico and U.S./Canada border areas.).</w:t>
      </w:r>
    </w:p>
  </w:footnote>
  <w:footnote w:id="7">
    <w:p w14:paraId="1AB2D8D5" w14:textId="77777777" w:rsidR="00F11C65" w:rsidRDefault="00F11C65">
      <w:pPr>
        <w:pStyle w:val="FootnoteText"/>
      </w:pPr>
      <w:r w:rsidRPr="00A96110">
        <w:rPr>
          <w:rStyle w:val="FootnoteReference"/>
        </w:rPr>
        <w:footnoteRef/>
      </w:r>
      <w:r w:rsidRPr="00C6580C">
        <w:t xml:space="preserve"> 47 C.F.R. §§ 90.209 (Bandwidth limitations) and 90.613 (Frequency stability).  </w:t>
      </w:r>
    </w:p>
  </w:footnote>
  <w:footnote w:id="8">
    <w:p w14:paraId="5A351D86" w14:textId="77777777" w:rsidR="00F11C65" w:rsidRDefault="00F11C65">
      <w:pPr>
        <w:pStyle w:val="FootnoteText"/>
      </w:pPr>
      <w:r w:rsidRPr="00A96110">
        <w:rPr>
          <w:rStyle w:val="FootnoteReference"/>
        </w:rPr>
        <w:footnoteRef/>
      </w:r>
      <w:r w:rsidRPr="00C6580C">
        <w:t xml:space="preserve"> 47 C.F.R. §§ 90.631 (Trunked systems loading, construction and authorization requirements) and 90.633 (Conventional system loading requirements).</w:t>
      </w:r>
    </w:p>
  </w:footnote>
  <w:footnote w:id="9">
    <w:p w14:paraId="42BA75B8" w14:textId="77777777" w:rsidR="00F11C65" w:rsidRDefault="00F11C65">
      <w:pPr>
        <w:pStyle w:val="FootnoteText"/>
      </w:pPr>
      <w:r w:rsidRPr="00A96110">
        <w:rPr>
          <w:rStyle w:val="FootnoteReference"/>
        </w:rPr>
        <w:footnoteRef/>
      </w:r>
      <w:r w:rsidRPr="00C6580C">
        <w:t xml:space="preserve"> 47 C.F.R. § 90.621.  Exclusivity is obtained once a channel is fully loaded.  </w:t>
      </w:r>
      <w:r w:rsidRPr="00C6580C">
        <w:rPr>
          <w:i/>
        </w:rPr>
        <w:t xml:space="preserve">See </w:t>
      </w:r>
      <w:r w:rsidRPr="00C6580C">
        <w:t>47 C.F.R. §§ 90.631 and 90.633.</w:t>
      </w:r>
    </w:p>
  </w:footnote>
  <w:footnote w:id="10">
    <w:p w14:paraId="0642FE19" w14:textId="77777777" w:rsidR="00F11C65" w:rsidRDefault="00F11C65">
      <w:pPr>
        <w:pStyle w:val="FootnoteText"/>
      </w:pPr>
      <w:r w:rsidRPr="00A96110">
        <w:rPr>
          <w:rStyle w:val="FootnoteReference"/>
        </w:rPr>
        <w:footnoteRef/>
      </w:r>
      <w:r w:rsidRPr="00C6580C">
        <w:t xml:space="preserve"> In the Mexico border region, incumbent licensees on channels 231–710 currently operate with channel centers offset 12.5 kHz lower in frequency than those specified in the table in § 90.613.  These incumbent licensees, however, are retuning to replacement channels with standard channel centers as part of 800 MHz rebanding</w:t>
      </w:r>
      <w:r w:rsidRPr="00C6580C">
        <w:rPr>
          <w:i/>
        </w:rPr>
        <w:t xml:space="preserve">.  </w:t>
      </w:r>
      <w:r w:rsidRPr="00C6580C">
        <w:t xml:space="preserve">Improving Public Safety Communications in the 800 MHz Band, WT Docket 02-55, </w:t>
      </w:r>
      <w:r w:rsidRPr="00C6580C">
        <w:rPr>
          <w:i/>
        </w:rPr>
        <w:t>Fifth Report and Order</w:t>
      </w:r>
      <w:r w:rsidRPr="00C6580C">
        <w:t>, 28 FCC Rcd. 4085, 4090-94 ¶¶ 14-24 (PSHSB 2013).</w:t>
      </w:r>
    </w:p>
  </w:footnote>
  <w:footnote w:id="11">
    <w:p w14:paraId="531AA7EC" w14:textId="77777777" w:rsidR="00F11C65" w:rsidRDefault="00F11C65">
      <w:pPr>
        <w:pStyle w:val="FootnoteText"/>
      </w:pPr>
      <w:r w:rsidRPr="00A96110">
        <w:rPr>
          <w:rStyle w:val="FootnoteReference"/>
        </w:rPr>
        <w:footnoteRef/>
      </w:r>
      <w:r w:rsidRPr="00C6580C">
        <w:t xml:space="preserve"> </w:t>
      </w:r>
      <w:r w:rsidRPr="00C6580C">
        <w:rPr>
          <w:i/>
          <w:iCs/>
        </w:rPr>
        <w:t>See, e.g.</w:t>
      </w:r>
      <w:r w:rsidRPr="00C6580C">
        <w:rPr>
          <w:iCs/>
        </w:rPr>
        <w:t>,</w:t>
      </w:r>
      <w:r w:rsidRPr="00C6580C">
        <w:t xml:space="preserve"> State of Florida, </w:t>
      </w:r>
      <w:r w:rsidRPr="00C6580C">
        <w:rPr>
          <w:i/>
        </w:rPr>
        <w:t>Memorandum Opinion and Order</w:t>
      </w:r>
      <w:r w:rsidRPr="00C6580C">
        <w:t xml:space="preserve">, 16 FCC Rcd 2174 (WTB 2001); State of Florida, </w:t>
      </w:r>
      <w:r w:rsidRPr="00C6580C">
        <w:rPr>
          <w:i/>
        </w:rPr>
        <w:t>Memorandum Opinion and Order</w:t>
      </w:r>
      <w:r w:rsidRPr="00C6580C">
        <w:t>, 18 FCC Rcd 3843 (WTB 2003); State of Florida</w:t>
      </w:r>
      <w:r w:rsidRPr="00C6580C">
        <w:rPr>
          <w:i/>
        </w:rPr>
        <w:t>, Order</w:t>
      </w:r>
      <w:r w:rsidRPr="00C6580C">
        <w:t xml:space="preserve">, 23 FCC Rcd 1636 (PSHSB 2008).  </w:t>
      </w:r>
      <w:r w:rsidRPr="00C6580C">
        <w:rPr>
          <w:i/>
          <w:iCs/>
        </w:rPr>
        <w:t>But see</w:t>
      </w:r>
      <w:r w:rsidRPr="00C6580C">
        <w:t xml:space="preserve"> State of Florida, </w:t>
      </w:r>
      <w:r w:rsidRPr="00C6580C">
        <w:rPr>
          <w:i/>
        </w:rPr>
        <w:t>Order</w:t>
      </w:r>
      <w:r w:rsidRPr="00C6580C">
        <w:t>, 22 FCC Rcd 1782 (PSHSB 2007) (denying waiver request in which Florida contended that Telecommunications Industries Association TSB-88 methodology demonstrated that Florida’s proposed offset channel operations would not cause interference to incumbent stations operating on standard channels).</w:t>
      </w:r>
    </w:p>
  </w:footnote>
  <w:footnote w:id="12">
    <w:p w14:paraId="40A8F455" w14:textId="77777777" w:rsidR="00F11C65" w:rsidRDefault="00F11C65" w:rsidP="001B1A29">
      <w:pPr>
        <w:pStyle w:val="FootnoteText"/>
        <w:spacing w:before="120"/>
      </w:pPr>
      <w:r w:rsidRPr="00A96110">
        <w:rPr>
          <w:rStyle w:val="FootnoteReference"/>
        </w:rPr>
        <w:footnoteRef/>
      </w:r>
      <w:r w:rsidRPr="00C6580C">
        <w:t xml:space="preserve"> </w:t>
      </w:r>
      <w:r w:rsidRPr="00C6580C">
        <w:rPr>
          <w:i/>
        </w:rPr>
        <w:t>See</w:t>
      </w:r>
      <w:r w:rsidRPr="00C6580C">
        <w:t xml:space="preserve">, </w:t>
      </w:r>
      <w:r w:rsidRPr="00C6580C">
        <w:rPr>
          <w:i/>
        </w:rPr>
        <w:t>e.g.</w:t>
      </w:r>
      <w:r w:rsidRPr="00C6580C">
        <w:t xml:space="preserve">, City of Boynton Beach, Florida, </w:t>
      </w:r>
      <w:r w:rsidRPr="00C6580C">
        <w:rPr>
          <w:i/>
        </w:rPr>
        <w:t>Order</w:t>
      </w:r>
      <w:r w:rsidRPr="00C6580C">
        <w:t>, 25 FCC Rcd 4551 (PSHSB 2010) (noting that “(a) the Rules do not provide interference protection to offset channels, and (b) those [offset] channels must not cause interference to licensees operating on non-offset channels”).</w:t>
      </w:r>
    </w:p>
  </w:footnote>
  <w:footnote w:id="13">
    <w:p w14:paraId="2CB2346D" w14:textId="77777777" w:rsidR="00F11C65" w:rsidRDefault="00F11C65" w:rsidP="001B1A29">
      <w:pPr>
        <w:pStyle w:val="FootnoteText"/>
      </w:pPr>
      <w:r w:rsidRPr="00A96110">
        <w:rPr>
          <w:rStyle w:val="FootnoteReference"/>
        </w:rPr>
        <w:footnoteRef/>
      </w:r>
      <w:r w:rsidRPr="00C6580C">
        <w:t xml:space="preserve"> </w:t>
      </w:r>
      <w:r w:rsidRPr="001B1A29">
        <w:rPr>
          <w:i/>
        </w:rPr>
        <w:t xml:space="preserve">See </w:t>
      </w:r>
      <w:r w:rsidRPr="001B1A29">
        <w:t>Amendment of the Commission’s Rules governing the Private Land Mobile Radio Service to Provide a new Part 90 that reregulates and consolidates Parts 89, 91, and 93,</w:t>
      </w:r>
      <w:r w:rsidRPr="001B1A29">
        <w:rPr>
          <w:i/>
        </w:rPr>
        <w:t xml:space="preserve"> Report and Order</w:t>
      </w:r>
      <w:r w:rsidRPr="001B1A29">
        <w:t>, Docket No. 21348, 69 FCC 2d 1612 (1978); 43 Fed. Reg. 54788 (Nov. 22, 1978).</w:t>
      </w:r>
    </w:p>
  </w:footnote>
  <w:footnote w:id="14">
    <w:p w14:paraId="4B920161" w14:textId="77777777" w:rsidR="00F11C65" w:rsidRDefault="00F11C65" w:rsidP="00117289">
      <w:pPr>
        <w:pStyle w:val="FootnoteText"/>
        <w:spacing w:before="120"/>
      </w:pPr>
      <w:r>
        <w:rPr>
          <w:rStyle w:val="FootnoteReference"/>
        </w:rPr>
        <w:footnoteRef/>
      </w:r>
      <w:r>
        <w:t xml:space="preserve"> </w:t>
      </w:r>
      <w:r w:rsidRPr="006D656A">
        <w:rPr>
          <w:i/>
        </w:rPr>
        <w:t>See</w:t>
      </w:r>
      <w:r>
        <w:t xml:space="preserve"> Spectrum Efficiency in the Private Land Mobile Radio Bands in Use Prior to 1968, PR Docket 91-170, </w:t>
      </w:r>
      <w:r w:rsidRPr="006D656A">
        <w:rPr>
          <w:i/>
        </w:rPr>
        <w:t>Notice of Inquiry</w:t>
      </w:r>
      <w:r>
        <w:t xml:space="preserve">, 6 FCC Rcd 4126 (1991).  </w:t>
      </w:r>
    </w:p>
  </w:footnote>
  <w:footnote w:id="15">
    <w:p w14:paraId="3B4BC087" w14:textId="77777777" w:rsidR="00F11C65" w:rsidRDefault="00F11C65">
      <w:pPr>
        <w:pStyle w:val="FootnoteText"/>
      </w:pPr>
      <w:r>
        <w:rPr>
          <w:rStyle w:val="FootnoteReference"/>
        </w:rPr>
        <w:footnoteRef/>
      </w:r>
      <w:r>
        <w:t xml:space="preserve"> </w:t>
      </w:r>
      <w:r w:rsidRPr="006D656A">
        <w:rPr>
          <w:i/>
        </w:rPr>
        <w:t>Id</w:t>
      </w:r>
      <w:r>
        <w:t xml:space="preserve">. at 4127 ¶ 4.  </w:t>
      </w:r>
    </w:p>
  </w:footnote>
  <w:footnote w:id="16">
    <w:p w14:paraId="6425D029" w14:textId="77777777" w:rsidR="00F11C65" w:rsidRPr="00355A59" w:rsidRDefault="00F11C65">
      <w:pPr>
        <w:pStyle w:val="FootnoteText"/>
      </w:pPr>
      <w:r w:rsidRPr="00A96110">
        <w:rPr>
          <w:rStyle w:val="FootnoteReference"/>
        </w:rPr>
        <w:footnoteRef/>
      </w:r>
      <w:r w:rsidRPr="00B950F2">
        <w:t xml:space="preserve"> </w:t>
      </w:r>
      <w:r w:rsidRPr="00D814CF">
        <w:rPr>
          <w:color w:val="000000"/>
        </w:rPr>
        <w:t>Replacement of Part 90 by Part 88 to Revise the Private Land Mobile Radio Services and Modify the Policies Governing Them and Examination of Exclusivity and Frequency Assignment Policies of the Private Land Mobile Radio Services, PR Docket No. 92-235,</w:t>
      </w:r>
      <w:r w:rsidRPr="00B950F2">
        <w:rPr>
          <w:i/>
        </w:rPr>
        <w:t xml:space="preserve">Report and Order and Further Notice of Proposed Rule Making, </w:t>
      </w:r>
      <w:r w:rsidRPr="00185715">
        <w:t>10 FCC Rcd 10076</w:t>
      </w:r>
      <w:r>
        <w:t xml:space="preserve"> (1995).</w:t>
      </w:r>
    </w:p>
  </w:footnote>
  <w:footnote w:id="17">
    <w:p w14:paraId="19AF9BEC" w14:textId="77777777" w:rsidR="00F11C65" w:rsidRDefault="00F11C65" w:rsidP="007012FF">
      <w:pPr>
        <w:pStyle w:val="FootnoteText"/>
      </w:pPr>
      <w:r>
        <w:rPr>
          <w:rStyle w:val="FootnoteReference"/>
        </w:rPr>
        <w:footnoteRef/>
      </w:r>
      <w:r>
        <w:t xml:space="preserve"> 47 C.F.R. § 90.645(g).</w:t>
      </w:r>
    </w:p>
  </w:footnote>
  <w:footnote w:id="18">
    <w:p w14:paraId="00FD7D36" w14:textId="7B201688" w:rsidR="00F11C65" w:rsidRPr="00A56EE3" w:rsidRDefault="00F11C65">
      <w:pPr>
        <w:pStyle w:val="FootnoteText"/>
      </w:pPr>
      <w:r w:rsidRPr="00A96110">
        <w:rPr>
          <w:rStyle w:val="FootnoteReference"/>
        </w:rPr>
        <w:footnoteRef/>
      </w:r>
      <w:r w:rsidRPr="00A56EE3">
        <w:t xml:space="preserve"> </w:t>
      </w:r>
      <w:r>
        <w:t xml:space="preserve">The term “Mid-Band” was first used in reference to the interleaved, expansion and guard bands subsequent to the adoption of the 2004 rebanding order.  </w:t>
      </w:r>
      <w:r w:rsidRPr="005F3360">
        <w:rPr>
          <w:i/>
        </w:rPr>
        <w:t>See</w:t>
      </w:r>
      <w:r w:rsidR="002B75D6">
        <w:rPr>
          <w:i/>
        </w:rPr>
        <w:t>, e.g.,</w:t>
      </w:r>
      <w:r>
        <w:rPr>
          <w:i/>
        </w:rPr>
        <w:t xml:space="preserve"> </w:t>
      </w:r>
      <w:r w:rsidRPr="006D656A">
        <w:rPr>
          <w:color w:val="000000"/>
        </w:rPr>
        <w:t>Improving Public Safety Communications in the 800 MHz Band, WT Docket 02-55,</w:t>
      </w:r>
      <w:r>
        <w:rPr>
          <w:color w:val="000000"/>
        </w:rPr>
        <w:t xml:space="preserve"> </w:t>
      </w:r>
      <w:r w:rsidRPr="006D656A">
        <w:rPr>
          <w:i/>
          <w:color w:val="000000"/>
        </w:rPr>
        <w:t>Order</w:t>
      </w:r>
      <w:r>
        <w:rPr>
          <w:color w:val="000000"/>
        </w:rPr>
        <w:t xml:space="preserve">, 23 FCC Rcd 11271 (PSHSB 2008) </w:t>
      </w:r>
      <w:r w:rsidRPr="006D656A">
        <w:rPr>
          <w:i/>
          <w:color w:val="000000"/>
        </w:rPr>
        <w:t>citing</w:t>
      </w:r>
      <w:r>
        <w:rPr>
          <w:color w:val="000000"/>
        </w:rPr>
        <w:t xml:space="preserve"> </w:t>
      </w:r>
      <w:r w:rsidRPr="006D656A">
        <w:rPr>
          <w:i/>
          <w:color w:val="000000"/>
        </w:rPr>
        <w:t>Third Memorandum Opinion and Order</w:t>
      </w:r>
      <w:r>
        <w:rPr>
          <w:color w:val="000000"/>
        </w:rPr>
        <w:t>, 22 FCC Rcd 17209 (2007).</w:t>
      </w:r>
    </w:p>
  </w:footnote>
  <w:footnote w:id="19">
    <w:p w14:paraId="17B9373E" w14:textId="77777777" w:rsidR="00F11C65" w:rsidRDefault="00F11C65">
      <w:pPr>
        <w:pStyle w:val="FootnoteText"/>
      </w:pPr>
      <w:r w:rsidRPr="00A96110">
        <w:rPr>
          <w:rStyle w:val="FootnoteReference"/>
        </w:rPr>
        <w:footnoteRef/>
      </w:r>
      <w:r w:rsidRPr="00C6580C">
        <w:t xml:space="preserve"> 47 C.F.R § 90.617(a)(1).  The NPSPAC segment is comprised of 25 kHz bandwidth channels with channel centers spaced every 12.5 kHz.  </w:t>
      </w:r>
      <w:r w:rsidRPr="00C6580C">
        <w:rPr>
          <w:i/>
        </w:rPr>
        <w:t xml:space="preserve">See </w:t>
      </w:r>
      <w:r w:rsidRPr="00C6580C">
        <w:t>47 C.F.R. § 90.613.</w:t>
      </w:r>
    </w:p>
  </w:footnote>
  <w:footnote w:id="20">
    <w:p w14:paraId="378908F6" w14:textId="77777777" w:rsidR="00F11C65" w:rsidRDefault="00F11C65">
      <w:pPr>
        <w:pStyle w:val="FootnoteText"/>
      </w:pPr>
      <w:r w:rsidRPr="00A96110">
        <w:rPr>
          <w:rStyle w:val="FootnoteReference"/>
        </w:rPr>
        <w:footnoteRef/>
      </w:r>
      <w:r w:rsidRPr="00C6580C">
        <w:t xml:space="preserve"> ESMR refers to an 800 MHz SMR system that employs cellular architecture.  47 C.F.R. § 90.7.</w:t>
      </w:r>
    </w:p>
  </w:footnote>
  <w:footnote w:id="21">
    <w:p w14:paraId="1F2996A1" w14:textId="77777777" w:rsidR="00F11C65" w:rsidRDefault="00F11C65">
      <w:pPr>
        <w:pStyle w:val="FootnoteText"/>
      </w:pPr>
      <w:r w:rsidRPr="00A96110">
        <w:rPr>
          <w:rStyle w:val="FootnoteReference"/>
        </w:rPr>
        <w:footnoteRef/>
      </w:r>
      <w:r w:rsidRPr="00C6580C">
        <w:t xml:space="preserve"> </w:t>
      </w:r>
      <w:r w:rsidRPr="00C6580C">
        <w:rPr>
          <w:i/>
        </w:rPr>
        <w:t>800 MHz Report and Order</w:t>
      </w:r>
      <w:r w:rsidRPr="00C6580C">
        <w:t>, 19 FCC Rcd 14969.</w:t>
      </w:r>
    </w:p>
  </w:footnote>
  <w:footnote w:id="22">
    <w:p w14:paraId="198464C6" w14:textId="77777777" w:rsidR="00F11C65" w:rsidRDefault="00F11C65">
      <w:pPr>
        <w:pStyle w:val="FootnoteText"/>
      </w:pPr>
      <w:r w:rsidRPr="00A96110">
        <w:rPr>
          <w:rStyle w:val="FootnoteReference"/>
        </w:rPr>
        <w:footnoteRef/>
      </w:r>
      <w:r w:rsidRPr="00C6580C">
        <w:t xml:space="preserve"> 47 C.F.R. §§ 90.614 and 90.617. </w:t>
      </w:r>
    </w:p>
  </w:footnote>
  <w:footnote w:id="23">
    <w:p w14:paraId="071AC1F2" w14:textId="77777777" w:rsidR="00F11C65" w:rsidRDefault="00F11C65">
      <w:pPr>
        <w:pStyle w:val="FootnoteText"/>
      </w:pPr>
      <w:r w:rsidRPr="00A96110">
        <w:rPr>
          <w:rStyle w:val="FootnoteReference"/>
        </w:rPr>
        <w:footnoteRef/>
      </w:r>
      <w:r w:rsidRPr="00C6580C">
        <w:t xml:space="preserve"> 47 C.F.R. § 90.615.  </w:t>
      </w:r>
      <w:r w:rsidRPr="00C6580C">
        <w:rPr>
          <w:i/>
        </w:rPr>
        <w:t>See 800 MHz Report and Order</w:t>
      </w:r>
      <w:r w:rsidRPr="00C6580C">
        <w:t xml:space="preserve">, 19 FCC Rcd at 15046-47 ¶ </w:t>
      </w:r>
      <w:r>
        <w:t>152</w:t>
      </w:r>
      <w:r w:rsidRPr="00C6580C">
        <w:t>.</w:t>
      </w:r>
    </w:p>
  </w:footnote>
  <w:footnote w:id="24">
    <w:p w14:paraId="288F155E" w14:textId="77777777" w:rsidR="00F11C65" w:rsidRDefault="00F11C65">
      <w:pPr>
        <w:pStyle w:val="FootnoteText"/>
      </w:pPr>
      <w:r w:rsidRPr="00A96110">
        <w:rPr>
          <w:rStyle w:val="FootnoteReference"/>
        </w:rPr>
        <w:footnoteRef/>
      </w:r>
      <w:r w:rsidRPr="00C6580C">
        <w:t xml:space="preserve"> 47 C.F.R. § 90.617(g) and (h).</w:t>
      </w:r>
    </w:p>
  </w:footnote>
  <w:footnote w:id="25">
    <w:p w14:paraId="14337052" w14:textId="77777777" w:rsidR="00F11C65" w:rsidRDefault="00F11C65" w:rsidP="001B1A29">
      <w:pPr>
        <w:pStyle w:val="FootnoteText"/>
      </w:pPr>
      <w:r w:rsidRPr="00A96110">
        <w:rPr>
          <w:rStyle w:val="FootnoteReference"/>
        </w:rPr>
        <w:footnoteRef/>
      </w:r>
      <w:r w:rsidRPr="00A96110">
        <w:t xml:space="preserve"> </w:t>
      </w:r>
      <w:r w:rsidRPr="001B1A29">
        <w:rPr>
          <w:i/>
        </w:rPr>
        <w:t xml:space="preserve">See </w:t>
      </w:r>
      <w:r w:rsidRPr="001B1A29">
        <w:t xml:space="preserve">Public Safety and Homeland Security Bureau Announces Application and Licensing Procedures for Channels Relinquished by Sprint Nextel Corporation in the 809-809.5/854-854.5 MHz Band, </w:t>
      </w:r>
      <w:r w:rsidRPr="001B1A29">
        <w:rPr>
          <w:i/>
        </w:rPr>
        <w:t>Public Notice</w:t>
      </w:r>
      <w:r w:rsidRPr="001B1A29">
        <w:t xml:space="preserve">, 23 FCC Rcd18343 (PSHSB 2008); Public Safety and Homeland Security Bureau Announces Application and Licensing Procedures for Certain Channels Relinquished by Sprint Nextel Corporation in the 809.5-815/854.5-860 MHz Band, </w:t>
      </w:r>
      <w:r w:rsidRPr="001B1A29">
        <w:rPr>
          <w:i/>
        </w:rPr>
        <w:t>Public Notice</w:t>
      </w:r>
      <w:r w:rsidRPr="001B1A29">
        <w:t xml:space="preserve">, 24 FCC Rcd 13236 (PSHSB 2009); Public Safety and Homeland Security Bureau Announces Application and Licensing Procedures for Certain Channels Relinquished by Sprint Nextel Corporation in the 809.5-815/854.5-860 MHz Band, </w:t>
      </w:r>
      <w:r w:rsidRPr="001B1A29">
        <w:rPr>
          <w:i/>
        </w:rPr>
        <w:t>Public Notice</w:t>
      </w:r>
      <w:r w:rsidRPr="001B1A29">
        <w:t xml:space="preserve">, 25 FCC Rcd 16038 (PSHSB 2010); Public Safety and Homeland Security Bureau Announces the Opening of a Filing Window for Additional Locations Relinquished by Sprint Nextel Corporation in the 809.5-815/854.5-860 MHz Band Segment, </w:t>
      </w:r>
      <w:r w:rsidRPr="001B1A29">
        <w:rPr>
          <w:i/>
        </w:rPr>
        <w:t>Public Notice</w:t>
      </w:r>
      <w:r w:rsidRPr="001B1A29">
        <w:t>, 26 FCC Rcd 6639 (PSHSB 2011).</w:t>
      </w:r>
    </w:p>
  </w:footnote>
  <w:footnote w:id="26">
    <w:p w14:paraId="1468C3F9" w14:textId="3483B169" w:rsidR="00F11C65" w:rsidRPr="00C45A15" w:rsidRDefault="00F11C65" w:rsidP="00880A78">
      <w:pPr>
        <w:pStyle w:val="FootnoteText"/>
      </w:pPr>
      <w:r w:rsidRPr="00A96110">
        <w:rPr>
          <w:rStyle w:val="FootnoteReference"/>
        </w:rPr>
        <w:footnoteRef/>
      </w:r>
      <w:r w:rsidRPr="00C6580C">
        <w:t xml:space="preserve"> </w:t>
      </w:r>
      <w:r w:rsidRPr="00C6580C">
        <w:rPr>
          <w:i/>
        </w:rPr>
        <w:t xml:space="preserve">See </w:t>
      </w:r>
      <w:r w:rsidRPr="00C6580C">
        <w:t xml:space="preserve">Improving Public Safety Communications in the 800 MHz Band, </w:t>
      </w:r>
      <w:r w:rsidRPr="00C6580C">
        <w:rPr>
          <w:i/>
        </w:rPr>
        <w:t>Order</w:t>
      </w:r>
      <w:r w:rsidRPr="00C6580C">
        <w:t>,</w:t>
      </w:r>
      <w:r w:rsidRPr="00C6580C">
        <w:rPr>
          <w:i/>
        </w:rPr>
        <w:t xml:space="preserve"> </w:t>
      </w:r>
      <w:r w:rsidRPr="00C6580C">
        <w:t>23 FCC Rcd 15966, 15972-73 ¶ 17 (2008)</w:t>
      </w:r>
      <w:r w:rsidRPr="00C6580C">
        <w:rPr>
          <w:i/>
        </w:rPr>
        <w:t>.</w:t>
      </w:r>
      <w:r w:rsidRPr="00C6580C">
        <w:t xml:space="preserve">  Expansion and Guard Band channels have been made available for licensing in several regions which completed rebanding.  </w:t>
      </w:r>
      <w:r w:rsidRPr="00C6580C">
        <w:rPr>
          <w:i/>
        </w:rPr>
        <w:t>See</w:t>
      </w:r>
      <w:r w:rsidRPr="00C6580C">
        <w:t xml:space="preserve"> Public Safety and Homeland Security Bureau and Wireless Telecommunications Bureau Announce the Completion of 800 MHz Band Reconfiguration in Certain NPSPAC Regions, </w:t>
      </w:r>
      <w:r w:rsidRPr="00C6580C">
        <w:rPr>
          <w:i/>
        </w:rPr>
        <w:t>Public Notice</w:t>
      </w:r>
      <w:r w:rsidRPr="00C6580C">
        <w:t>, 27 FCC Rcd 14775, 14780-82 (PSHSB 2013)</w:t>
      </w:r>
      <w:r w:rsidR="00C45A15">
        <w:t>;</w:t>
      </w:r>
      <w:r w:rsidRPr="00C6580C">
        <w:t xml:space="preserve"> </w:t>
      </w:r>
      <w:r w:rsidR="00C45A15" w:rsidRPr="003B0CAC">
        <w:rPr>
          <w:bCs/>
        </w:rPr>
        <w:t xml:space="preserve">Public Safety and Homeland Security Bureau and Wireless Telecommunications Bureau Announce the Completion of 800 MHz Band Reconfiguration in Certain NPSPAC Regions and the Availability of Additional Sprint Vacated Channels, WT Docket No. 02-55, </w:t>
      </w:r>
      <w:r w:rsidR="00C45A15" w:rsidRPr="003B0CAC">
        <w:rPr>
          <w:bCs/>
          <w:i/>
          <w:iCs/>
        </w:rPr>
        <w:t>Public Notice</w:t>
      </w:r>
      <w:r w:rsidR="00C45A15" w:rsidRPr="003B0CAC">
        <w:rPr>
          <w:bCs/>
        </w:rPr>
        <w:t>, DA-14-1904 (PSHSB rel. Dec. 30, 2014).  To date, twenty 800 MHz NPSPAC regions have completed rebanding.</w:t>
      </w:r>
    </w:p>
  </w:footnote>
  <w:footnote w:id="27">
    <w:p w14:paraId="1232D431" w14:textId="77777777" w:rsidR="00F11C65" w:rsidRDefault="00F11C65">
      <w:pPr>
        <w:pStyle w:val="FootnoteText"/>
      </w:pPr>
      <w:r w:rsidRPr="00A96110">
        <w:rPr>
          <w:rStyle w:val="FootnoteReference"/>
        </w:rPr>
        <w:footnoteRef/>
      </w:r>
      <w:r w:rsidRPr="00C6580C">
        <w:t xml:space="preserve"> EWA Petition at 1 (EWA did not suggest interstitial channels in the Guard Band).</w:t>
      </w:r>
    </w:p>
  </w:footnote>
  <w:footnote w:id="28">
    <w:p w14:paraId="43032023"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at 3.</w:t>
      </w:r>
    </w:p>
  </w:footnote>
  <w:footnote w:id="29">
    <w:p w14:paraId="69F4AB5D"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at 4.</w:t>
      </w:r>
    </w:p>
  </w:footnote>
  <w:footnote w:id="30">
    <w:p w14:paraId="6A5F0804"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at 1.  </w:t>
      </w:r>
    </w:p>
  </w:footnote>
  <w:footnote w:id="31">
    <w:p w14:paraId="5AC37D9C"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w:t>
      </w:r>
    </w:p>
  </w:footnote>
  <w:footnote w:id="32">
    <w:p w14:paraId="18B6A2B0"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at 4.</w:t>
      </w:r>
    </w:p>
  </w:footnote>
  <w:footnote w:id="33">
    <w:p w14:paraId="318C0BAF" w14:textId="77777777" w:rsidR="00F11C65" w:rsidRDefault="00F11C65">
      <w:pPr>
        <w:pStyle w:val="FootnoteText"/>
      </w:pPr>
      <w:r w:rsidRPr="00A96110">
        <w:rPr>
          <w:rStyle w:val="FootnoteReference"/>
        </w:rPr>
        <w:footnoteRef/>
      </w:r>
      <w:r w:rsidRPr="00C6580C">
        <w:t xml:space="preserve"> </w:t>
      </w:r>
      <w:r w:rsidRPr="00C6580C">
        <w:rPr>
          <w:i/>
        </w:rPr>
        <w:t xml:space="preserve">Id. </w:t>
      </w:r>
      <w:r w:rsidRPr="00C6580C">
        <w:t>at 2.</w:t>
      </w:r>
    </w:p>
  </w:footnote>
  <w:footnote w:id="34">
    <w:p w14:paraId="64A918EE"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at 6.</w:t>
      </w:r>
    </w:p>
  </w:footnote>
  <w:footnote w:id="35">
    <w:p w14:paraId="462E52EE"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w:t>
      </w:r>
    </w:p>
  </w:footnote>
  <w:footnote w:id="36">
    <w:p w14:paraId="7A304096" w14:textId="77777777" w:rsidR="00F11C65" w:rsidRDefault="00F11C65">
      <w:pPr>
        <w:pStyle w:val="FootnoteText"/>
      </w:pPr>
      <w:r w:rsidRPr="00A96110">
        <w:rPr>
          <w:rStyle w:val="FootnoteReference"/>
        </w:rPr>
        <w:footnoteRef/>
      </w:r>
      <w:r w:rsidRPr="00C6580C">
        <w:t xml:space="preserve"> </w:t>
      </w:r>
      <w:r w:rsidRPr="00C6580C">
        <w:rPr>
          <w:i/>
        </w:rPr>
        <w:t xml:space="preserve">Id.  </w:t>
      </w:r>
      <w:r w:rsidRPr="00C6580C">
        <w:t xml:space="preserve">EWA’s petition recommends use of a 26 (rather than 34) dBu standard when protecting adjacent channel digital or data systems, because of their significantly wider receiver passbands.  </w:t>
      </w:r>
      <w:r w:rsidRPr="00C6580C">
        <w:rPr>
          <w:i/>
        </w:rPr>
        <w:t xml:space="preserve">Id. </w:t>
      </w:r>
      <w:r w:rsidRPr="00C6580C">
        <w:t>at 7.</w:t>
      </w:r>
      <w:r w:rsidRPr="00C6580C">
        <w:rPr>
          <w:i/>
        </w:rPr>
        <w:t xml:space="preserve"> </w:t>
      </w:r>
    </w:p>
  </w:footnote>
  <w:footnote w:id="37">
    <w:p w14:paraId="282AA950" w14:textId="77777777" w:rsidR="00F11C65" w:rsidRDefault="00F11C65">
      <w:pPr>
        <w:pStyle w:val="FootnoteText"/>
      </w:pPr>
      <w:r w:rsidRPr="00A96110">
        <w:rPr>
          <w:rStyle w:val="FootnoteReference"/>
        </w:rPr>
        <w:footnoteRef/>
      </w:r>
      <w:r w:rsidRPr="00C6580C">
        <w:t xml:space="preserve"> </w:t>
      </w:r>
      <w:r w:rsidRPr="00C6580C">
        <w:rPr>
          <w:i/>
        </w:rPr>
        <w:t xml:space="preserve">Id. </w:t>
      </w:r>
      <w:r w:rsidRPr="00C6580C">
        <w:t>at 6.</w:t>
      </w:r>
    </w:p>
  </w:footnote>
  <w:footnote w:id="38">
    <w:p w14:paraId="07AE2E6B" w14:textId="77777777" w:rsidR="00F11C65" w:rsidRDefault="00F11C65">
      <w:pPr>
        <w:pStyle w:val="FootnoteText"/>
      </w:pPr>
      <w:r w:rsidRPr="00A96110">
        <w:rPr>
          <w:rStyle w:val="FootnoteReference"/>
        </w:rPr>
        <w:footnoteRef/>
      </w:r>
      <w:r w:rsidRPr="00C6580C">
        <w:t xml:space="preserve"> </w:t>
      </w:r>
      <w:r w:rsidRPr="00C6580C">
        <w:rPr>
          <w:i/>
        </w:rPr>
        <w:t>See</w:t>
      </w:r>
      <w:r w:rsidRPr="00C6580C">
        <w:t xml:space="preserve"> Public Safety and Homeland Security Bureau and Wireless Telecommunications Bureau Seek Comment on the Petition by Enterprise Wireless Alliance Requesting the Creation of New, Full Power, Interstitial 12.5 kHz Channels in the 800 MHz Band, RM-11572, </w:t>
      </w:r>
      <w:r w:rsidRPr="00C6580C">
        <w:rPr>
          <w:i/>
          <w:iCs/>
        </w:rPr>
        <w:t>Public Notice</w:t>
      </w:r>
      <w:r w:rsidRPr="00C6580C">
        <w:rPr>
          <w:iCs/>
        </w:rPr>
        <w:t>, 24 FCC Rcd 12461 (2009)</w:t>
      </w:r>
      <w:r w:rsidRPr="00C6580C">
        <w:t>.</w:t>
      </w:r>
    </w:p>
  </w:footnote>
  <w:footnote w:id="39">
    <w:p w14:paraId="403775DE" w14:textId="77777777" w:rsidR="00F11C65" w:rsidRDefault="00F11C65">
      <w:pPr>
        <w:pStyle w:val="FootnoteText"/>
      </w:pPr>
      <w:r w:rsidRPr="00A96110">
        <w:rPr>
          <w:rStyle w:val="FootnoteReference"/>
        </w:rPr>
        <w:footnoteRef/>
      </w:r>
      <w:r w:rsidRPr="00C6580C">
        <w:t xml:space="preserve"> </w:t>
      </w:r>
      <w:r w:rsidRPr="00C6580C">
        <w:rPr>
          <w:i/>
        </w:rPr>
        <w:t>See, e.g.</w:t>
      </w:r>
      <w:r w:rsidRPr="00C6580C">
        <w:t>, Letter from Danielle Coffey, Vice President-Government Affairs, Telecommunications Industry Association to Marlene H. Dortch, Secretary, FCC (filed October 9, 2009) (TIA Letter); Comments of the Association of Public-Safety Communications Officials-International, Inc., at 2 (APCO Comments); Comments of Bob Ferrell at 1 (Bob Ferrell Comments); Comments of Fisher Wireless at 1 (Fisher Comments); Comments of Forest Industries Telecommunications at 1-2 (FIT Comments); Comments of Land Mobile Communications Council at 2-3 (LMCC Comments); Comments of Motorola, Inc., (Motorola Comments) at 1-2</w:t>
      </w:r>
      <w:r w:rsidRPr="00C6580C">
        <w:rPr>
          <w:color w:val="000000"/>
        </w:rPr>
        <w:t xml:space="preserve">; Comments of National Public Safety Telecommunications Council at 3 (NPSTC Comments); </w:t>
      </w:r>
      <w:r w:rsidRPr="00C6580C">
        <w:t xml:space="preserve">Comments of SouthernLINC Wireless at 1, 5 (SouthernLINC Comments) (cautioning that interstitial assignments cannot be made above 813.5/858.5 MHz in the Southeast region); Comments of the State of Florida at 1 (Florida Comments); EWA </w:t>
      </w:r>
      <w:r w:rsidRPr="00C6580C">
        <w:rPr>
          <w:i/>
        </w:rPr>
        <w:t>ex parte</w:t>
      </w:r>
      <w:r w:rsidRPr="00C6580C">
        <w:t xml:space="preserve"> (June 30, 2011).</w:t>
      </w:r>
    </w:p>
  </w:footnote>
  <w:footnote w:id="40">
    <w:p w14:paraId="2AB1ABED" w14:textId="77777777" w:rsidR="00F11C65" w:rsidRDefault="00F11C65">
      <w:pPr>
        <w:pStyle w:val="FootnoteText"/>
      </w:pPr>
      <w:r w:rsidRPr="00A96110">
        <w:rPr>
          <w:rStyle w:val="FootnoteReference"/>
        </w:rPr>
        <w:footnoteRef/>
      </w:r>
      <w:r w:rsidRPr="00C6580C">
        <w:t xml:space="preserve"> FDMA separates users by frequency:  each user occupies its own radio channel.  For example, two users share 12.5 kHz of bandwidth, each using a different 6.25 kHz channel.  Many 800 MHz Public Safety Pool licensees are adopting Phase I Project 25 technology, which operates with FDMA.  TDMA separates users by time: each user occupies the entire radio channel, but at different time intervals, </w:t>
      </w:r>
      <w:r w:rsidRPr="00C6580C">
        <w:rPr>
          <w:i/>
        </w:rPr>
        <w:t>e.g.</w:t>
      </w:r>
      <w:r w:rsidRPr="00C6580C">
        <w:t>,</w:t>
      </w:r>
      <w:r w:rsidRPr="00C6580C">
        <w:rPr>
          <w:i/>
        </w:rPr>
        <w:t xml:space="preserve"> </w:t>
      </w:r>
      <w:r w:rsidRPr="00C6580C">
        <w:t>a single TDMA 12.5 kHz channel employs two time slots per frame per user.  TDMA systems include Terrestrial Trunked Radio (TETRA), which may be deployed in the Mid-band.</w:t>
      </w:r>
      <w:bookmarkStart w:id="43" w:name="sp_1511_13361"/>
      <w:bookmarkStart w:id="44" w:name="SDU_13361"/>
      <w:bookmarkEnd w:id="43"/>
      <w:bookmarkEnd w:id="44"/>
      <w:r w:rsidRPr="00C6580C">
        <w:t xml:space="preserve">  </w:t>
      </w:r>
      <w:r w:rsidRPr="00C6580C">
        <w:rPr>
          <w:i/>
        </w:rPr>
        <w:t>See</w:t>
      </w:r>
      <w:r w:rsidRPr="00C6580C">
        <w:t xml:space="preserve"> Amendment of Part 90 of the Commission’s Rules to Permit Terrestrial Trunked Radio (TETRA) Technology, WT Docket No. 11-69, ET Docket No. 09-234, </w:t>
      </w:r>
      <w:r w:rsidRPr="00C6580C">
        <w:rPr>
          <w:i/>
        </w:rPr>
        <w:t>Report and Order</w:t>
      </w:r>
      <w:r w:rsidRPr="00C6580C">
        <w:t>,</w:t>
      </w:r>
      <w:r w:rsidRPr="00C6580C">
        <w:rPr>
          <w:i/>
        </w:rPr>
        <w:t xml:space="preserve"> </w:t>
      </w:r>
      <w:r w:rsidRPr="00C6580C">
        <w:t>27 FCC Rcd 11569 (2012) (</w:t>
      </w:r>
      <w:r w:rsidRPr="00C6580C">
        <w:rPr>
          <w:i/>
        </w:rPr>
        <w:t>TETRA</w:t>
      </w:r>
      <w:r w:rsidRPr="00C6580C">
        <w:t xml:space="preserve"> </w:t>
      </w:r>
      <w:r w:rsidRPr="00C6580C">
        <w:rPr>
          <w:i/>
        </w:rPr>
        <w:t>Report and Order</w:t>
      </w:r>
      <w:r w:rsidRPr="00C6580C">
        <w:t xml:space="preserve">) as clarified by </w:t>
      </w:r>
      <w:r w:rsidRPr="00C6580C">
        <w:rPr>
          <w:i/>
        </w:rPr>
        <w:t>Order on Reconsideration</w:t>
      </w:r>
      <w:r w:rsidRPr="00C6580C">
        <w:t xml:space="preserve">, 28 FCC Rcd 9639 (2013).  </w:t>
      </w:r>
    </w:p>
  </w:footnote>
  <w:footnote w:id="41">
    <w:p w14:paraId="7D1D7A9C" w14:textId="77777777" w:rsidR="00F11C65" w:rsidRDefault="00F11C65">
      <w:pPr>
        <w:pStyle w:val="FootnoteText"/>
      </w:pPr>
      <w:r w:rsidRPr="00A96110">
        <w:rPr>
          <w:rStyle w:val="FootnoteReference"/>
        </w:rPr>
        <w:footnoteRef/>
      </w:r>
      <w:r w:rsidRPr="00C6580C">
        <w:t xml:space="preserve"> LMCC Comments at 2.</w:t>
      </w:r>
    </w:p>
  </w:footnote>
  <w:footnote w:id="42">
    <w:p w14:paraId="6EF5B8DE"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at 3.</w:t>
      </w:r>
    </w:p>
  </w:footnote>
  <w:footnote w:id="43">
    <w:p w14:paraId="63C202C6" w14:textId="77777777" w:rsidR="00F11C65" w:rsidRDefault="00F11C65">
      <w:pPr>
        <w:pStyle w:val="FootnoteText"/>
      </w:pPr>
      <w:r w:rsidRPr="00A96110">
        <w:rPr>
          <w:rStyle w:val="FootnoteReference"/>
        </w:rPr>
        <w:footnoteRef/>
      </w:r>
      <w:r w:rsidRPr="00C6580C">
        <w:t xml:space="preserve"> </w:t>
      </w:r>
      <w:r w:rsidRPr="00C6580C">
        <w:rPr>
          <w:i/>
        </w:rPr>
        <w:t>Id.</w:t>
      </w:r>
    </w:p>
  </w:footnote>
  <w:footnote w:id="44">
    <w:p w14:paraId="24F155F3"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w:t>
      </w:r>
      <w:r w:rsidRPr="00C6580C">
        <w:rPr>
          <w:i/>
        </w:rPr>
        <w:t>See, e.g.,</w:t>
      </w:r>
      <w:r w:rsidRPr="00C6580C">
        <w:t xml:space="preserve"> APCO Comments at 2; United Telecom Council Comments at 5 (UTC Comments).</w:t>
      </w:r>
    </w:p>
  </w:footnote>
  <w:footnote w:id="45">
    <w:p w14:paraId="597B13F5"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w:t>
      </w:r>
    </w:p>
  </w:footnote>
  <w:footnote w:id="46">
    <w:p w14:paraId="61B97F2F" w14:textId="3928D7F3" w:rsidR="00F11C65" w:rsidRDefault="00F11C65">
      <w:pPr>
        <w:pStyle w:val="FootnoteText"/>
      </w:pPr>
      <w:r>
        <w:rPr>
          <w:rStyle w:val="FootnoteReference"/>
        </w:rPr>
        <w:footnoteRef/>
      </w:r>
      <w:r>
        <w:t xml:space="preserve"> UTC Comments at 2-4.</w:t>
      </w:r>
      <w:r w:rsidR="00C44AB5">
        <w:t xml:space="preserve">  </w:t>
      </w:r>
      <w:r w:rsidR="00C44AB5" w:rsidRPr="001B1A29">
        <w:t>Specifically, UTC proposes the aggregation of current 25 kHz frequencies rather than the introduction of 12.5 kHz interstitial channels. </w:t>
      </w:r>
      <w:r w:rsidR="00D12D4F" w:rsidRPr="001B1A29">
        <w:t xml:space="preserve"> </w:t>
      </w:r>
      <w:r w:rsidR="00C44AB5" w:rsidRPr="001B1A29">
        <w:t xml:space="preserve"> </w:t>
      </w:r>
      <w:r w:rsidR="00C44AB5" w:rsidRPr="001B1A29">
        <w:rPr>
          <w:i/>
          <w:iCs/>
        </w:rPr>
        <w:t>See</w:t>
      </w:r>
      <w:r w:rsidR="00C44AB5" w:rsidRPr="001B1A29">
        <w:t xml:space="preserve"> </w:t>
      </w:r>
      <w:r w:rsidR="00C44AB5" w:rsidRPr="001B1A29">
        <w:rPr>
          <w:i/>
          <w:iCs/>
        </w:rPr>
        <w:t>infra</w:t>
      </w:r>
      <w:r w:rsidR="00C44AB5" w:rsidRPr="001B1A29">
        <w:t xml:space="preserve"> paragraph </w:t>
      </w:r>
      <w:r w:rsidR="00C44AB5" w:rsidRPr="001B1A29">
        <w:fldChar w:fldCharType="begin"/>
      </w:r>
      <w:r w:rsidR="00C44AB5" w:rsidRPr="001B1A29">
        <w:instrText xml:space="preserve"> REF _Ref410812980 \r \h </w:instrText>
      </w:r>
      <w:r w:rsidR="00C44AB5" w:rsidRPr="001B1A29">
        <w:fldChar w:fldCharType="separate"/>
      </w:r>
      <w:r w:rsidR="00C44AB5" w:rsidRPr="001B1A29">
        <w:t>19</w:t>
      </w:r>
      <w:r w:rsidR="00C44AB5" w:rsidRPr="001B1A29">
        <w:fldChar w:fldCharType="end"/>
      </w:r>
      <w:r w:rsidR="00C44AB5" w:rsidRPr="001B1A29">
        <w:t xml:space="preserve">.  </w:t>
      </w:r>
    </w:p>
  </w:footnote>
  <w:footnote w:id="47">
    <w:p w14:paraId="24511E78" w14:textId="3287201B" w:rsidR="00F11C65" w:rsidRDefault="00F11C65">
      <w:pPr>
        <w:pStyle w:val="FootnoteText"/>
      </w:pPr>
      <w:r>
        <w:rPr>
          <w:rStyle w:val="FootnoteReference"/>
        </w:rPr>
        <w:footnoteRef/>
      </w:r>
      <w:r>
        <w:t xml:space="preserve"> </w:t>
      </w:r>
      <w:r w:rsidR="00C44AB5" w:rsidRPr="001B1A29">
        <w:t>UTC Comments</w:t>
      </w:r>
      <w:r>
        <w:t xml:space="preserve"> at 3.</w:t>
      </w:r>
    </w:p>
  </w:footnote>
  <w:footnote w:id="48">
    <w:p w14:paraId="570AA6C0" w14:textId="77777777" w:rsidR="00F11C65" w:rsidRDefault="00F11C65">
      <w:pPr>
        <w:pStyle w:val="FootnoteText"/>
      </w:pPr>
      <w:r>
        <w:rPr>
          <w:rStyle w:val="FootnoteReference"/>
        </w:rPr>
        <w:footnoteRef/>
      </w:r>
      <w:r>
        <w:t xml:space="preserve"> Mr. Bob Ferrell Comments at 2-4.</w:t>
      </w:r>
    </w:p>
  </w:footnote>
  <w:footnote w:id="49">
    <w:p w14:paraId="4EAC06B0" w14:textId="04E77611" w:rsidR="00F11C65" w:rsidRDefault="00F11C65">
      <w:pPr>
        <w:pStyle w:val="FootnoteText"/>
      </w:pPr>
      <w:r>
        <w:rPr>
          <w:rStyle w:val="FootnoteReference"/>
        </w:rPr>
        <w:footnoteRef/>
      </w:r>
      <w:r>
        <w:t xml:space="preserve"> Souther</w:t>
      </w:r>
      <w:r w:rsidR="008B0DEB">
        <w:t>n</w:t>
      </w:r>
      <w:r>
        <w:t>LINC Comments at 4.</w:t>
      </w:r>
    </w:p>
  </w:footnote>
  <w:footnote w:id="50">
    <w:p w14:paraId="38898034" w14:textId="77777777" w:rsidR="00F11C65" w:rsidRDefault="00F11C65">
      <w:pPr>
        <w:pStyle w:val="FootnoteText"/>
      </w:pPr>
      <w:r>
        <w:rPr>
          <w:rStyle w:val="FootnoteReference"/>
        </w:rPr>
        <w:footnoteRef/>
      </w:r>
      <w:r>
        <w:t xml:space="preserve"> EWA Reply Comments at note 5.</w:t>
      </w:r>
    </w:p>
  </w:footnote>
  <w:footnote w:id="51">
    <w:p w14:paraId="0E0824CF" w14:textId="77777777" w:rsidR="00F11C65" w:rsidRDefault="00F11C65">
      <w:pPr>
        <w:pStyle w:val="FootnoteText"/>
      </w:pPr>
      <w:r>
        <w:rPr>
          <w:rStyle w:val="FootnoteReference"/>
        </w:rPr>
        <w:footnoteRef/>
      </w:r>
      <w:r>
        <w:t xml:space="preserve"> </w:t>
      </w:r>
      <w:r w:rsidRPr="006D656A">
        <w:rPr>
          <w:i/>
        </w:rPr>
        <w:t>Id</w:t>
      </w:r>
      <w:r>
        <w:t>. at note 6.</w:t>
      </w:r>
    </w:p>
  </w:footnote>
  <w:footnote w:id="52">
    <w:p w14:paraId="6978CB79" w14:textId="77777777" w:rsidR="00F11C65" w:rsidRDefault="00F11C65">
      <w:pPr>
        <w:pStyle w:val="FootnoteText"/>
      </w:pPr>
      <w:r>
        <w:rPr>
          <w:rStyle w:val="FootnoteReference"/>
        </w:rPr>
        <w:footnoteRef/>
      </w:r>
      <w:r>
        <w:t xml:space="preserve"> </w:t>
      </w:r>
      <w:r w:rsidRPr="006D656A">
        <w:rPr>
          <w:i/>
        </w:rPr>
        <w:t>Id</w:t>
      </w:r>
      <w:r>
        <w:t>. at 3.</w:t>
      </w:r>
    </w:p>
  </w:footnote>
  <w:footnote w:id="53">
    <w:p w14:paraId="5A22DC96" w14:textId="77777777" w:rsidR="00F11C65" w:rsidRDefault="00F11C65" w:rsidP="005A62C8">
      <w:pPr>
        <w:pStyle w:val="FootnoteText"/>
      </w:pPr>
      <w:r w:rsidRPr="00A96110">
        <w:rPr>
          <w:rStyle w:val="FootnoteReference"/>
        </w:rPr>
        <w:footnoteRef/>
      </w:r>
      <w:r w:rsidRPr="00C6580C">
        <w:t xml:space="preserve"> Letter from Mark E. Crosby, LMCC, Secretary/Treasurer to Ruth Milkman, Wireless Telecommunications Bureau and Jamie A. Barnett, Jr., Public Safety and Homeland Security Bureau at 1 (June 23, 2010) (LMCC </w:t>
      </w:r>
      <w:r w:rsidRPr="00C6580C">
        <w:rPr>
          <w:i/>
        </w:rPr>
        <w:t>Ex Parte</w:t>
      </w:r>
      <w:r w:rsidRPr="00C6580C">
        <w:t>).</w:t>
      </w:r>
    </w:p>
  </w:footnote>
  <w:footnote w:id="54">
    <w:p w14:paraId="06755B76" w14:textId="77777777" w:rsidR="00F11C65" w:rsidRPr="005D7B35" w:rsidRDefault="00F11C65">
      <w:pPr>
        <w:pStyle w:val="FootnoteText"/>
      </w:pPr>
      <w:r w:rsidRPr="00A96110">
        <w:rPr>
          <w:rStyle w:val="FootnoteReference"/>
        </w:rPr>
        <w:footnoteRef/>
      </w:r>
      <w:r w:rsidRPr="008A7157">
        <w:t xml:space="preserve"> Letter from </w:t>
      </w:r>
      <w:r>
        <w:t>Gregory Kunkle</w:t>
      </w:r>
      <w:r w:rsidRPr="008A7157">
        <w:t xml:space="preserve">, LMCC, </w:t>
      </w:r>
      <w:r>
        <w:t>President</w:t>
      </w:r>
      <w:r w:rsidRPr="008A7157">
        <w:t xml:space="preserve"> to </w:t>
      </w:r>
      <w:r>
        <w:t>Marlene H. Dortch, Secretary, FCC</w:t>
      </w:r>
      <w:r w:rsidRPr="009F373B">
        <w:t xml:space="preserve"> at 1 (Oct. </w:t>
      </w:r>
      <w:r>
        <w:t>3</w:t>
      </w:r>
      <w:r w:rsidRPr="009F373B">
        <w:t xml:space="preserve">, 2014) (LMCC Oct. </w:t>
      </w:r>
      <w:r w:rsidRPr="009F373B">
        <w:rPr>
          <w:i/>
        </w:rPr>
        <w:t>Ex Parte</w:t>
      </w:r>
      <w:r w:rsidRPr="009F373B">
        <w:t>).</w:t>
      </w:r>
    </w:p>
  </w:footnote>
  <w:footnote w:id="55">
    <w:p w14:paraId="5F425FBC" w14:textId="77777777" w:rsidR="00F11C65" w:rsidRDefault="00F11C65">
      <w:pPr>
        <w:pStyle w:val="FootnoteText"/>
      </w:pPr>
      <w:r>
        <w:rPr>
          <w:rStyle w:val="FootnoteReference"/>
        </w:rPr>
        <w:footnoteRef/>
      </w:r>
      <w:r>
        <w:t xml:space="preserve"> </w:t>
      </w:r>
      <w:r w:rsidRPr="006D656A">
        <w:rPr>
          <w:i/>
        </w:rPr>
        <w:t>Id</w:t>
      </w:r>
      <w:r>
        <w:t>.</w:t>
      </w:r>
    </w:p>
  </w:footnote>
  <w:footnote w:id="56">
    <w:p w14:paraId="105F8D09" w14:textId="77777777" w:rsidR="00F11C65" w:rsidRDefault="00F11C65" w:rsidP="00035ED9">
      <w:pPr>
        <w:pStyle w:val="FootnoteText"/>
      </w:pPr>
      <w:r>
        <w:rPr>
          <w:rStyle w:val="FootnoteReference"/>
        </w:rPr>
        <w:footnoteRef/>
      </w:r>
      <w:r>
        <w:t xml:space="preserve"> Letter from Robert M. Gurss, Senior Regulatory Counsel, APCO to David L. Furth, Deputy Bureau Chief, Public Safety and Homeland Security Bureau (Oct. 15, 2014) (</w:t>
      </w:r>
      <w:r w:rsidRPr="00CB6877">
        <w:rPr>
          <w:i/>
        </w:rPr>
        <w:t>APCO Ex Parte</w:t>
      </w:r>
      <w:r>
        <w:t xml:space="preserve">). </w:t>
      </w:r>
    </w:p>
  </w:footnote>
  <w:footnote w:id="57">
    <w:p w14:paraId="3CB24EAA" w14:textId="77777777" w:rsidR="00F11C65" w:rsidRDefault="00F11C65">
      <w:pPr>
        <w:pStyle w:val="FootnoteText"/>
      </w:pPr>
      <w:r w:rsidRPr="00A96110">
        <w:rPr>
          <w:rStyle w:val="FootnoteReference"/>
        </w:rPr>
        <w:footnoteRef/>
      </w:r>
      <w:r w:rsidRPr="00C6580C">
        <w:t xml:space="preserve"> </w:t>
      </w:r>
      <w:r w:rsidRPr="00C6580C">
        <w:rPr>
          <w:i/>
        </w:rPr>
        <w:t>See, e.g.</w:t>
      </w:r>
      <w:r w:rsidRPr="00C6580C">
        <w:t>, TIA Letter at 1; FIT Comments at 2; LMCC Comments at 2-3; Motorola Comments at 1.</w:t>
      </w:r>
    </w:p>
  </w:footnote>
  <w:footnote w:id="58">
    <w:p w14:paraId="1F8092AC" w14:textId="77777777" w:rsidR="00F11C65" w:rsidRDefault="00F11C65">
      <w:pPr>
        <w:pStyle w:val="FootnoteText"/>
      </w:pPr>
      <w:r w:rsidRPr="00A96110">
        <w:rPr>
          <w:rStyle w:val="FootnoteReference"/>
        </w:rPr>
        <w:footnoteRef/>
      </w:r>
      <w:r w:rsidRPr="00C6580C">
        <w:t xml:space="preserve"> EWA Petition at 5.  </w:t>
      </w:r>
      <w:r w:rsidRPr="00C6580C">
        <w:rPr>
          <w:i/>
        </w:rPr>
        <w:t>See, e.g.,</w:t>
      </w:r>
      <w:r w:rsidRPr="00C6580C">
        <w:t xml:space="preserve"> LMCC Comments at 3.</w:t>
      </w:r>
    </w:p>
  </w:footnote>
  <w:footnote w:id="59">
    <w:p w14:paraId="22878BD4" w14:textId="77777777" w:rsidR="00F11C65" w:rsidRPr="001B1A29" w:rsidRDefault="00F11C65" w:rsidP="001B1A29">
      <w:pPr>
        <w:pStyle w:val="FootnoteText"/>
        <w:rPr>
          <w:i/>
        </w:rPr>
      </w:pPr>
      <w:r w:rsidRPr="00A96110">
        <w:rPr>
          <w:rStyle w:val="FootnoteReference"/>
        </w:rPr>
        <w:footnoteRef/>
      </w:r>
      <w:r w:rsidRPr="00C6580C">
        <w:t xml:space="preserve"> </w:t>
      </w:r>
      <w:r w:rsidRPr="00C6580C">
        <w:rPr>
          <w:i/>
        </w:rPr>
        <w:t>See</w:t>
      </w:r>
      <w:r w:rsidRPr="001B1A29">
        <w:rPr>
          <w:i/>
        </w:rPr>
        <w:t xml:space="preserve"> </w:t>
      </w:r>
      <w:r w:rsidRPr="001B1A29">
        <w:t xml:space="preserve">Amendment of Part 90 of the Commission’s Rules to Permit terrestrial Trunked Radio (TETRA) Technology, WT Docket No. 11-69, ET Docket No. 09-234, </w:t>
      </w:r>
      <w:r w:rsidRPr="001B1A29">
        <w:rPr>
          <w:i/>
        </w:rPr>
        <w:t>Report and Order</w:t>
      </w:r>
      <w:r w:rsidRPr="001B1A29">
        <w:t>, 27 FCC Rcd 11569 (2012)</w:t>
      </w:r>
      <w:r w:rsidRPr="001B1A29">
        <w:rPr>
          <w:i/>
        </w:rPr>
        <w:t xml:space="preserve"> </w:t>
      </w:r>
      <w:r>
        <w:t xml:space="preserve"> (</w:t>
      </w:r>
      <w:r w:rsidRPr="00C6580C">
        <w:rPr>
          <w:i/>
        </w:rPr>
        <w:t>TETRA</w:t>
      </w:r>
      <w:r w:rsidRPr="00C6580C">
        <w:t xml:space="preserve"> </w:t>
      </w:r>
      <w:r w:rsidRPr="00C6580C">
        <w:rPr>
          <w:i/>
        </w:rPr>
        <w:t>Report and Order</w:t>
      </w:r>
      <w:r>
        <w:t>)</w:t>
      </w:r>
      <w:r w:rsidRPr="00C6580C">
        <w:t>.</w:t>
      </w:r>
      <w:r w:rsidRPr="00C6580C">
        <w:rPr>
          <w:vertAlign w:val="superscript"/>
        </w:rPr>
        <w:t xml:space="preserve"> </w:t>
      </w:r>
      <w:r w:rsidRPr="00C6580C">
        <w:t xml:space="preserve"> </w:t>
      </w:r>
    </w:p>
  </w:footnote>
  <w:footnote w:id="60">
    <w:p w14:paraId="450C1876" w14:textId="77777777" w:rsidR="00F11C65" w:rsidRDefault="00F11C65" w:rsidP="001B015C">
      <w:pPr>
        <w:pStyle w:val="FootnoteText"/>
      </w:pPr>
      <w:r w:rsidRPr="00A96110">
        <w:rPr>
          <w:rStyle w:val="FootnoteReference"/>
        </w:rPr>
        <w:footnoteRef/>
      </w:r>
      <w:r w:rsidRPr="00C6580C">
        <w:t xml:space="preserve"> 47 C.F.R. § 90.221.</w:t>
      </w:r>
    </w:p>
  </w:footnote>
  <w:footnote w:id="61">
    <w:p w14:paraId="7C13358A" w14:textId="77777777" w:rsidR="00F11C65" w:rsidRDefault="00F11C65" w:rsidP="001B015C">
      <w:pPr>
        <w:pStyle w:val="FootnoteText"/>
      </w:pPr>
      <w:r w:rsidRPr="00A96110">
        <w:rPr>
          <w:rStyle w:val="FootnoteReference"/>
        </w:rPr>
        <w:footnoteRef/>
      </w:r>
      <w:r w:rsidRPr="00C6580C">
        <w:t xml:space="preserve"> </w:t>
      </w:r>
      <w:r w:rsidRPr="00C6580C">
        <w:rPr>
          <w:i/>
        </w:rPr>
        <w:t>TETRA Report and Order</w:t>
      </w:r>
      <w:r w:rsidRPr="00C6580C">
        <w:t>, 27 FCC Rcd at 11572-73 ¶ 5-7.  In other words, TETRA operations are premised on exclusive use of one 25 kHz bandwidth channel and the upper and lower adjacent 12.5 kHz bandwidth interstitial channels.</w:t>
      </w:r>
    </w:p>
  </w:footnote>
  <w:footnote w:id="62">
    <w:p w14:paraId="07F9E4B3" w14:textId="77777777" w:rsidR="00F11C65" w:rsidRDefault="00F11C65">
      <w:pPr>
        <w:pStyle w:val="FootnoteText"/>
      </w:pPr>
      <w:r w:rsidRPr="00A96110">
        <w:rPr>
          <w:rStyle w:val="FootnoteReference"/>
        </w:rPr>
        <w:footnoteRef/>
      </w:r>
      <w:r w:rsidRPr="00C6580C">
        <w:t xml:space="preserve"> </w:t>
      </w:r>
      <w:r w:rsidRPr="00C6580C">
        <w:rPr>
          <w:i/>
        </w:rPr>
        <w:t>See, e.g.,</w:t>
      </w:r>
      <w:r w:rsidRPr="00C6580C">
        <w:t xml:space="preserve"> Transit Wireless Communications Comments at 1; UTC Comments at 5.</w:t>
      </w:r>
    </w:p>
  </w:footnote>
  <w:footnote w:id="63">
    <w:p w14:paraId="18C75A5B" w14:textId="77777777" w:rsidR="00F11C65" w:rsidRDefault="00F11C65">
      <w:pPr>
        <w:pStyle w:val="FootnoteText"/>
      </w:pPr>
      <w:r w:rsidRPr="00A96110">
        <w:rPr>
          <w:rStyle w:val="FootnoteReference"/>
        </w:rPr>
        <w:footnoteRef/>
      </w:r>
      <w:r w:rsidRPr="00C6580C">
        <w:t xml:space="preserve"> Several NPSPAC regions have already completed 800 MHz rebanding.  </w:t>
      </w:r>
      <w:r w:rsidRPr="00C6580C">
        <w:rPr>
          <w:i/>
        </w:rPr>
        <w:t xml:space="preserve">See supra </w:t>
      </w:r>
      <w:r w:rsidRPr="00C6580C">
        <w:t xml:space="preserve">n. </w:t>
      </w:r>
      <w:r>
        <w:fldChar w:fldCharType="begin"/>
      </w:r>
      <w:r>
        <w:instrText xml:space="preserve"> NOTEREF _Ref381611956 \h  \* MERGEFORMAT </w:instrText>
      </w:r>
      <w:r>
        <w:fldChar w:fldCharType="separate"/>
      </w:r>
      <w:r w:rsidR="00534FCB">
        <w:t>25</w:t>
      </w:r>
      <w:r>
        <w:fldChar w:fldCharType="end"/>
      </w:r>
      <w:r w:rsidRPr="00C6580C">
        <w:t xml:space="preserve">.   </w:t>
      </w:r>
    </w:p>
  </w:footnote>
  <w:footnote w:id="64">
    <w:p w14:paraId="32E218CB" w14:textId="77777777" w:rsidR="00F11C65" w:rsidRDefault="00F11C65">
      <w:pPr>
        <w:pStyle w:val="FootnoteText"/>
      </w:pPr>
      <w:r w:rsidRPr="00A96110">
        <w:rPr>
          <w:rStyle w:val="FootnoteReference"/>
        </w:rPr>
        <w:footnoteRef/>
      </w:r>
      <w:r w:rsidRPr="00C6580C">
        <w:t xml:space="preserve"> UTC claims that many utilities rely on backbone 800 MHz networks and that these mission critical networks cannot tolerate interference.  UTC contends that utilities preparing for the future need broader channels, not narrower ones.  UTC Comments at 4.</w:t>
      </w:r>
    </w:p>
  </w:footnote>
  <w:footnote w:id="65">
    <w:p w14:paraId="26DE0561" w14:textId="77777777" w:rsidR="00F11C65" w:rsidRDefault="00F11C65">
      <w:pPr>
        <w:pStyle w:val="FootnoteText"/>
      </w:pPr>
      <w:r w:rsidRPr="00A96110">
        <w:rPr>
          <w:rStyle w:val="FootnoteReference"/>
        </w:rPr>
        <w:footnoteRef/>
      </w:r>
      <w:r w:rsidRPr="00C6580C">
        <w:t xml:space="preserve"> </w:t>
      </w:r>
      <w:r w:rsidRPr="00C6580C">
        <w:rPr>
          <w:i/>
        </w:rPr>
        <w:t>Id.</w:t>
      </w:r>
    </w:p>
  </w:footnote>
  <w:footnote w:id="66">
    <w:p w14:paraId="2E8127B7"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at 4-5</w:t>
      </w:r>
      <w:r w:rsidRPr="001B1A29">
        <w:rPr>
          <w:b/>
        </w:rPr>
        <w:t xml:space="preserve">. </w:t>
      </w:r>
    </w:p>
  </w:footnote>
  <w:footnote w:id="67">
    <w:p w14:paraId="2BDD6A47" w14:textId="77777777" w:rsidR="00F11C65" w:rsidRPr="00231F60" w:rsidRDefault="00F11C65">
      <w:pPr>
        <w:pStyle w:val="FootnoteText"/>
        <w:rPr>
          <w:color w:val="000000" w:themeColor="text1"/>
        </w:rPr>
      </w:pPr>
      <w:r w:rsidRPr="00A96110">
        <w:rPr>
          <w:rStyle w:val="FootnoteReference"/>
        </w:rPr>
        <w:footnoteRef/>
      </w:r>
      <w:r w:rsidRPr="00C6580C">
        <w:t xml:space="preserve"> </w:t>
      </w:r>
      <w:r w:rsidRPr="00C6580C">
        <w:rPr>
          <w:i/>
        </w:rPr>
        <w:t>See</w:t>
      </w:r>
      <w:r w:rsidRPr="00C6580C">
        <w:t xml:space="preserve"> UTC Comments at 2; Larry Sayers Comments at 1.</w:t>
      </w:r>
      <w:r>
        <w:t xml:space="preserve">  </w:t>
      </w:r>
      <w:r>
        <w:rPr>
          <w:color w:val="000000"/>
        </w:rPr>
        <w:t>T</w:t>
      </w:r>
      <w:r w:rsidRPr="00B46F20">
        <w:rPr>
          <w:color w:val="000000"/>
        </w:rPr>
        <w:t xml:space="preserve">he root </w:t>
      </w:r>
      <w:r>
        <w:rPr>
          <w:color w:val="000000"/>
        </w:rPr>
        <w:t xml:space="preserve">cause </w:t>
      </w:r>
      <w:r w:rsidRPr="00B46F20">
        <w:rPr>
          <w:color w:val="000000"/>
        </w:rPr>
        <w:t xml:space="preserve">of the </w:t>
      </w:r>
      <w:r>
        <w:rPr>
          <w:color w:val="000000"/>
        </w:rPr>
        <w:t>interference</w:t>
      </w:r>
      <w:r w:rsidRPr="006D656A">
        <w:rPr>
          <w:color w:val="000000"/>
        </w:rPr>
        <w:t xml:space="preserve"> problem </w:t>
      </w:r>
      <w:r>
        <w:rPr>
          <w:color w:val="000000"/>
        </w:rPr>
        <w:t>that led to rebanding resulted from</w:t>
      </w:r>
      <w:r w:rsidRPr="00B46F20">
        <w:rPr>
          <w:color w:val="000000"/>
        </w:rPr>
        <w:t xml:space="preserve"> </w:t>
      </w:r>
      <w:r>
        <w:rPr>
          <w:color w:val="000000"/>
        </w:rPr>
        <w:t>a</w:t>
      </w:r>
      <w:r w:rsidRPr="006D656A">
        <w:rPr>
          <w:color w:val="000000"/>
        </w:rPr>
        <w:t xml:space="preserve"> </w:t>
      </w:r>
      <w:r>
        <w:rPr>
          <w:color w:val="000000"/>
        </w:rPr>
        <w:t>“</w:t>
      </w:r>
      <w:r w:rsidRPr="006D656A">
        <w:rPr>
          <w:color w:val="000000"/>
        </w:rPr>
        <w:t>fundamentally</w:t>
      </w:r>
      <w:r>
        <w:rPr>
          <w:color w:val="000000"/>
        </w:rPr>
        <w:t xml:space="preserve"> incompatible mix</w:t>
      </w:r>
      <w:r w:rsidRPr="006D656A">
        <w:rPr>
          <w:color w:val="000000"/>
        </w:rPr>
        <w:t xml:space="preserve"> </w:t>
      </w:r>
      <w:bookmarkStart w:id="55" w:name="SR;28609"/>
      <w:bookmarkStart w:id="56" w:name="SR;28610"/>
      <w:bookmarkEnd w:id="55"/>
      <w:bookmarkEnd w:id="56"/>
      <w:r w:rsidRPr="006D656A">
        <w:rPr>
          <w:color w:val="000000"/>
        </w:rPr>
        <w:t>of two types of communications systems in the</w:t>
      </w:r>
      <w:r>
        <w:rPr>
          <w:color w:val="000000"/>
        </w:rPr>
        <w:t xml:space="preserve"> 800 MHz</w:t>
      </w:r>
      <w:r w:rsidRPr="006D656A">
        <w:rPr>
          <w:color w:val="000000"/>
        </w:rPr>
        <w:t xml:space="preserve"> </w:t>
      </w:r>
      <w:bookmarkStart w:id="57" w:name="SR;28619"/>
      <w:bookmarkStart w:id="58" w:name="SR;28620"/>
      <w:bookmarkEnd w:id="57"/>
      <w:bookmarkEnd w:id="58"/>
      <w:r w:rsidRPr="006D656A">
        <w:rPr>
          <w:color w:val="000000"/>
        </w:rPr>
        <w:t>band: cellular-architecture multi-cell systems–used by cellular telephone and ESMR licensees–and high site systems–used by public safety, private wireless and non-cellular SMR licensees</w:t>
      </w:r>
      <w:r>
        <w:rPr>
          <w:color w:val="000000"/>
        </w:rPr>
        <w:t xml:space="preserve">.”  </w:t>
      </w:r>
      <w:r w:rsidRPr="006D656A">
        <w:rPr>
          <w:i/>
          <w:color w:val="000000"/>
        </w:rPr>
        <w:t>See</w:t>
      </w:r>
      <w:r>
        <w:rPr>
          <w:color w:val="000000"/>
        </w:rPr>
        <w:t xml:space="preserve"> </w:t>
      </w:r>
      <w:r w:rsidRPr="006D656A">
        <w:rPr>
          <w:i/>
          <w:color w:val="000000"/>
        </w:rPr>
        <w:t>800 MHz Report and Order</w:t>
      </w:r>
      <w:r>
        <w:rPr>
          <w:color w:val="000000"/>
        </w:rPr>
        <w:t>, 19 FCC Rcd at 15045 ¶ 142</w:t>
      </w:r>
      <w:r w:rsidRPr="00F741D7">
        <w:rPr>
          <w:color w:val="000000"/>
        </w:rPr>
        <w:t xml:space="preserve">.  </w:t>
      </w:r>
      <w:r w:rsidRPr="00231F60">
        <w:rPr>
          <w:color w:val="000000" w:themeColor="text1"/>
        </w:rPr>
        <w:t xml:space="preserve">The Commission believed that reconfiguring the 800 MHz </w:t>
      </w:r>
      <w:bookmarkStart w:id="59" w:name="SR;28660"/>
      <w:bookmarkStart w:id="60" w:name="SR;28661"/>
      <w:bookmarkEnd w:id="59"/>
      <w:bookmarkEnd w:id="60"/>
      <w:r w:rsidRPr="00231F60">
        <w:rPr>
          <w:color w:val="000000" w:themeColor="text1"/>
        </w:rPr>
        <w:t xml:space="preserve">band to separate these incompatible </w:t>
      </w:r>
      <w:bookmarkStart w:id="61" w:name="SR;28666"/>
      <w:bookmarkEnd w:id="61"/>
      <w:r w:rsidRPr="00231F60">
        <w:rPr>
          <w:color w:val="000000" w:themeColor="text1"/>
        </w:rPr>
        <w:t>technologies, supplemented, when necessary with, “Enhanced Best Practices” (</w:t>
      </w:r>
      <w:r w:rsidRPr="00231F60">
        <w:rPr>
          <w:i/>
          <w:color w:val="000000" w:themeColor="text1"/>
        </w:rPr>
        <w:t>e.g.</w:t>
      </w:r>
      <w:r w:rsidRPr="00231F60">
        <w:rPr>
          <w:color w:val="000000" w:themeColor="text1"/>
        </w:rPr>
        <w:t xml:space="preserve"> procedures to remedy interference in the post-rebanded 800 MHz band) provided the best long-term solution to the problem of interference in the 800 MHz </w:t>
      </w:r>
      <w:bookmarkStart w:id="62" w:name="SR;28688"/>
      <w:bookmarkStart w:id="63" w:name="SR;28689"/>
      <w:bookmarkEnd w:id="62"/>
      <w:bookmarkEnd w:id="63"/>
      <w:r w:rsidRPr="00231F60">
        <w:rPr>
          <w:color w:val="000000" w:themeColor="text1"/>
        </w:rPr>
        <w:t xml:space="preserve">band.  </w:t>
      </w:r>
      <w:r w:rsidRPr="00231F60">
        <w:rPr>
          <w:i/>
          <w:color w:val="000000" w:themeColor="text1"/>
        </w:rPr>
        <w:t>Id</w:t>
      </w:r>
      <w:r w:rsidRPr="00231F60">
        <w:rPr>
          <w:color w:val="000000" w:themeColor="text1"/>
        </w:rPr>
        <w:t>.</w:t>
      </w:r>
    </w:p>
  </w:footnote>
  <w:footnote w:id="68">
    <w:p w14:paraId="6842F49E" w14:textId="77777777" w:rsidR="00F11C65" w:rsidRDefault="00F11C65">
      <w:pPr>
        <w:pStyle w:val="FootnoteText"/>
      </w:pPr>
      <w:r w:rsidRPr="00A96110">
        <w:rPr>
          <w:rStyle w:val="FootnoteReference"/>
        </w:rPr>
        <w:footnoteRef/>
      </w:r>
      <w:r w:rsidRPr="00C6580C">
        <w:t xml:space="preserve"> 47 C.F.R. § 90.645(g) </w:t>
      </w:r>
      <w:r>
        <w:t>(</w:t>
      </w:r>
      <w:r w:rsidRPr="00C6580C">
        <w:t>permitting licensees in the 809-816/854-861 MHz sub-band to aggregate up to five continuous channels</w:t>
      </w:r>
      <w:r>
        <w:t>.)</w:t>
      </w:r>
      <w:r w:rsidRPr="00C6580C">
        <w:t xml:space="preserve">.  Section 90.645(g) also provides: “[i]f necessary, licensees may trade channels amongst themselves in order to obtain contiguous frequencies.  Notification of such proposed exchanges shall be made to the appropriate frequency coordinator(s) and to the Commission by filing an application for license modification.”  </w:t>
      </w:r>
      <w:r w:rsidRPr="00C6580C">
        <w:rPr>
          <w:i/>
        </w:rPr>
        <w:t>Id</w:t>
      </w:r>
      <w:r w:rsidRPr="00C6580C">
        <w:t xml:space="preserve">.  By comparison, Section 90.209 has been amended to permit EA licensees in the ESMR band to exceed the standard channel spacing and authorized bandwidth once all public safety licensees complete rebanding in a given NPSPAC region.  </w:t>
      </w:r>
      <w:r w:rsidRPr="00C6580C">
        <w:rPr>
          <w:i/>
        </w:rPr>
        <w:t>See</w:t>
      </w:r>
      <w:r w:rsidRPr="00C6580C">
        <w:t xml:space="preserve"> 47 C.F.R. § 90.209(b)(7).</w:t>
      </w:r>
    </w:p>
  </w:footnote>
  <w:footnote w:id="69">
    <w:p w14:paraId="6BAF2E88" w14:textId="77777777" w:rsidR="00F11C65" w:rsidRDefault="00F11C65">
      <w:pPr>
        <w:pStyle w:val="FootnoteText"/>
      </w:pPr>
      <w:r w:rsidRPr="00A96110">
        <w:rPr>
          <w:rStyle w:val="FootnoteReference"/>
        </w:rPr>
        <w:footnoteRef/>
      </w:r>
      <w:r w:rsidRPr="00C6580C">
        <w:t xml:space="preserve"> LMCC </w:t>
      </w:r>
      <w:r w:rsidRPr="00C6580C">
        <w:rPr>
          <w:i/>
        </w:rPr>
        <w:t xml:space="preserve">Ex Parte </w:t>
      </w:r>
      <w:r w:rsidRPr="00C6580C">
        <w:t>at 1.</w:t>
      </w:r>
    </w:p>
  </w:footnote>
  <w:footnote w:id="70">
    <w:p w14:paraId="3A990F24" w14:textId="77777777" w:rsidR="00F11C65" w:rsidRPr="006D656A" w:rsidRDefault="00F11C65">
      <w:pPr>
        <w:pStyle w:val="FootnoteText"/>
        <w:rPr>
          <w:color w:val="000000" w:themeColor="text1"/>
        </w:rPr>
      </w:pPr>
      <w:r w:rsidRPr="006D656A">
        <w:rPr>
          <w:rStyle w:val="FootnoteReference"/>
          <w:color w:val="0D0D0D" w:themeColor="text1" w:themeTint="F2"/>
        </w:rPr>
        <w:footnoteRef/>
      </w:r>
      <w:r w:rsidRPr="006D656A">
        <w:rPr>
          <w:color w:val="0D0D0D" w:themeColor="text1" w:themeTint="F2"/>
        </w:rPr>
        <w:t xml:space="preserve"> </w:t>
      </w:r>
      <w:r w:rsidRPr="00A039BF">
        <w:rPr>
          <w:i/>
          <w:iCs/>
          <w:color w:val="0D0D0D" w:themeColor="text1" w:themeTint="F2"/>
        </w:rPr>
        <w:t>See</w:t>
      </w:r>
      <w:r w:rsidRPr="00A039BF">
        <w:rPr>
          <w:color w:val="0D0D0D" w:themeColor="text1" w:themeTint="F2"/>
        </w:rPr>
        <w:t xml:space="preserve"> </w:t>
      </w:r>
      <w:r w:rsidRPr="00A039BF">
        <w:rPr>
          <w:i/>
          <w:color w:val="0D0D0D" w:themeColor="text1" w:themeTint="F2"/>
        </w:rPr>
        <w:t>TETRA</w:t>
      </w:r>
      <w:r w:rsidRPr="00A039BF">
        <w:rPr>
          <w:color w:val="0D0D0D" w:themeColor="text1" w:themeTint="F2"/>
        </w:rPr>
        <w:t xml:space="preserve"> </w:t>
      </w:r>
      <w:r w:rsidRPr="00A039BF">
        <w:rPr>
          <w:i/>
          <w:color w:val="0D0D0D" w:themeColor="text1" w:themeTint="F2"/>
        </w:rPr>
        <w:t>Report and Order</w:t>
      </w:r>
      <w:r w:rsidRPr="00A039BF">
        <w:rPr>
          <w:color w:val="0D0D0D" w:themeColor="text1" w:themeTint="F2"/>
        </w:rPr>
        <w:t>,</w:t>
      </w:r>
      <w:r w:rsidRPr="00A039BF">
        <w:rPr>
          <w:i/>
          <w:color w:val="0D0D0D" w:themeColor="text1" w:themeTint="F2"/>
        </w:rPr>
        <w:t xml:space="preserve"> </w:t>
      </w:r>
      <w:r w:rsidRPr="00A039BF">
        <w:rPr>
          <w:color w:val="0D0D0D" w:themeColor="text1" w:themeTint="F2"/>
        </w:rPr>
        <w:t>27 FCC Rcd 11569.</w:t>
      </w:r>
    </w:p>
  </w:footnote>
  <w:footnote w:id="71">
    <w:p w14:paraId="1CE6BC1C" w14:textId="77777777" w:rsidR="00F11C65" w:rsidRDefault="00F11C65">
      <w:pPr>
        <w:pStyle w:val="FootnoteText"/>
      </w:pPr>
      <w:r w:rsidRPr="00A96110">
        <w:rPr>
          <w:rStyle w:val="FootnoteReference"/>
        </w:rPr>
        <w:footnoteRef/>
      </w:r>
      <w:r w:rsidRPr="00C6580C">
        <w:t xml:space="preserve"> 47 C.F.R. § 90.621(b).</w:t>
      </w:r>
    </w:p>
  </w:footnote>
  <w:footnote w:id="72">
    <w:p w14:paraId="5ACB4474" w14:textId="77777777" w:rsidR="00F11C65" w:rsidRDefault="00F11C65" w:rsidP="001B1A29">
      <w:pPr>
        <w:pStyle w:val="FootnoteText"/>
      </w:pPr>
      <w:r w:rsidRPr="00A96110">
        <w:rPr>
          <w:rStyle w:val="FootnoteReference"/>
        </w:rPr>
        <w:footnoteRef/>
      </w:r>
      <w:r w:rsidRPr="00C6580C">
        <w:t xml:space="preserve"> </w:t>
      </w:r>
      <w:r w:rsidRPr="00A96110">
        <w:t>The distances in the Short-Spacing Separation Table were derived using the Commission’s R-6602 curves and are premised on the 22 dBμV/m F(50,10) contour of a proposed station causing no o</w:t>
      </w:r>
      <w:r w:rsidRPr="001B1A29">
        <w:t xml:space="preserve">verlap with the 40 dBμV/m F(50,50) service contour of a co-channel station.  </w:t>
      </w:r>
      <w:r w:rsidRPr="001B1A29">
        <w:rPr>
          <w:i/>
        </w:rPr>
        <w:t xml:space="preserve">See </w:t>
      </w:r>
      <w:r w:rsidRPr="001B1A29">
        <w:t xml:space="preserve">47 C.F.R. § 90.621(b)(4).  </w:t>
      </w:r>
    </w:p>
  </w:footnote>
  <w:footnote w:id="73">
    <w:p w14:paraId="430DFE84" w14:textId="77777777" w:rsidR="00F11C65" w:rsidRDefault="00F11C65">
      <w:pPr>
        <w:pStyle w:val="FootnoteText"/>
      </w:pPr>
      <w:r>
        <w:rPr>
          <w:rStyle w:val="FootnoteReference"/>
        </w:rPr>
        <w:footnoteRef/>
      </w:r>
      <w:r>
        <w:t xml:space="preserve"> </w:t>
      </w:r>
      <w:r w:rsidRPr="00C6580C">
        <w:rPr>
          <w:i/>
        </w:rPr>
        <w:t xml:space="preserve">See </w:t>
      </w:r>
      <w:r w:rsidRPr="00C6580C">
        <w:t>47 C.F.R. § 90.621(b)(5).</w:t>
      </w:r>
      <w:r w:rsidRPr="00C6580C">
        <w:rPr>
          <w:vertAlign w:val="superscript"/>
        </w:rPr>
        <w:t xml:space="preserve">  </w:t>
      </w:r>
    </w:p>
  </w:footnote>
  <w:footnote w:id="74">
    <w:p w14:paraId="0AE9E8C5" w14:textId="77777777" w:rsidR="00F11C65" w:rsidRDefault="00F11C65">
      <w:pPr>
        <w:pStyle w:val="FootnoteText"/>
      </w:pPr>
      <w:r w:rsidRPr="00A96110">
        <w:rPr>
          <w:rStyle w:val="FootnoteReference"/>
        </w:rPr>
        <w:footnoteRef/>
      </w:r>
      <w:r w:rsidRPr="00C6580C">
        <w:t xml:space="preserve"> EWA Petition at 4.</w:t>
      </w:r>
    </w:p>
  </w:footnote>
  <w:footnote w:id="75">
    <w:p w14:paraId="4A9386BD" w14:textId="77777777" w:rsidR="00F11C65" w:rsidRDefault="00F11C65" w:rsidP="001B1A29">
      <w:pPr>
        <w:pStyle w:val="FootnoteText"/>
      </w:pPr>
      <w:r w:rsidRPr="00A96110">
        <w:rPr>
          <w:rStyle w:val="FootnoteReference"/>
        </w:rPr>
        <w:footnoteRef/>
      </w:r>
      <w:r w:rsidRPr="00C6580C">
        <w:t xml:space="preserve"> </w:t>
      </w:r>
      <w:r w:rsidRPr="00C6580C">
        <w:rPr>
          <w:i/>
        </w:rPr>
        <w:t>Id.</w:t>
      </w:r>
      <w:r w:rsidRPr="00C6580C">
        <w:t xml:space="preserve"> at 6.</w:t>
      </w:r>
    </w:p>
  </w:footnote>
  <w:footnote w:id="76">
    <w:p w14:paraId="18A4CAD8" w14:textId="77777777" w:rsidR="00F11C65" w:rsidRDefault="00F11C65">
      <w:pPr>
        <w:pStyle w:val="FootnoteText"/>
      </w:pPr>
      <w:r w:rsidRPr="00A96110">
        <w:rPr>
          <w:rStyle w:val="FootnoteReference"/>
        </w:rPr>
        <w:footnoteRef/>
      </w:r>
      <w:r w:rsidRPr="00C6580C">
        <w:t xml:space="preserve"> </w:t>
      </w:r>
      <w:r w:rsidRPr="00C6580C">
        <w:rPr>
          <w:i/>
        </w:rPr>
        <w:t>See</w:t>
      </w:r>
      <w:r w:rsidRPr="00C6580C">
        <w:t xml:space="preserve"> Telecommunications Industry Association, TIA TSB-88.1, Wireless Communications Systems Performance in Noise and Interference-Limited Situations Part 1: Recommended Methods for Technology Independent Performance Modeling (Oct 2013).</w:t>
      </w:r>
    </w:p>
  </w:footnote>
  <w:footnote w:id="77">
    <w:p w14:paraId="05066D34" w14:textId="77777777" w:rsidR="00F11C65" w:rsidRDefault="00F11C65">
      <w:pPr>
        <w:pStyle w:val="FootnoteText"/>
      </w:pPr>
      <w:r w:rsidRPr="00A96110">
        <w:rPr>
          <w:rStyle w:val="FootnoteReference"/>
        </w:rPr>
        <w:footnoteRef/>
      </w:r>
      <w:r w:rsidRPr="00C6580C">
        <w:t xml:space="preserve"> RadioSoft Comments at 1.  RadioSoft notes that TSB-88 has been used since 1997 for frequency coordination in the 470-512 MHz band.  </w:t>
      </w:r>
      <w:r w:rsidRPr="00C6580C">
        <w:rPr>
          <w:i/>
        </w:rPr>
        <w:t xml:space="preserve">Id. </w:t>
      </w:r>
      <w:r w:rsidRPr="00C6580C">
        <w:t xml:space="preserve">at n.1.   </w:t>
      </w:r>
    </w:p>
  </w:footnote>
  <w:footnote w:id="78">
    <w:p w14:paraId="62982839" w14:textId="77777777" w:rsidR="00F11C65" w:rsidRDefault="00F11C65">
      <w:pPr>
        <w:pStyle w:val="FootnoteText"/>
      </w:pPr>
      <w:r w:rsidRPr="00A96110">
        <w:rPr>
          <w:rStyle w:val="FootnoteReference"/>
        </w:rPr>
        <w:footnoteRef/>
      </w:r>
      <w:r w:rsidRPr="00C6580C">
        <w:t xml:space="preserve"> </w:t>
      </w:r>
      <w:r w:rsidRPr="00C6580C">
        <w:rPr>
          <w:i/>
        </w:rPr>
        <w:t xml:space="preserve">Id. </w:t>
      </w:r>
      <w:r w:rsidRPr="00C6580C">
        <w:t>at 2.</w:t>
      </w:r>
    </w:p>
  </w:footnote>
  <w:footnote w:id="79">
    <w:p w14:paraId="024C05BA" w14:textId="77777777" w:rsidR="00F11C65" w:rsidRDefault="00F11C65">
      <w:pPr>
        <w:pStyle w:val="FootnoteText"/>
      </w:pPr>
      <w:r w:rsidRPr="00A96110">
        <w:rPr>
          <w:rStyle w:val="FootnoteReference"/>
        </w:rPr>
        <w:footnoteRef/>
      </w:r>
      <w:r w:rsidRPr="00C6580C">
        <w:t xml:space="preserve"> Florida Comments at 1.  The </w:t>
      </w:r>
      <w:r w:rsidRPr="00C6580C">
        <w:rPr>
          <w:color w:val="000000"/>
        </w:rPr>
        <w:t xml:space="preserve">Okumura model uses curves derived from measurements taken in the Tokyo metropolitan area.  The curves give the median attenuation relative to free space in an urban area over quasi-smooth terrain.  </w:t>
      </w:r>
      <w:r w:rsidRPr="00C6580C">
        <w:rPr>
          <w:i/>
          <w:color w:val="000000"/>
        </w:rPr>
        <w:t>See</w:t>
      </w:r>
      <w:r w:rsidRPr="00C6580C">
        <w:rPr>
          <w:color w:val="000000"/>
        </w:rPr>
        <w:t xml:space="preserve"> Jacobsmeyer, J., </w:t>
      </w:r>
      <w:r w:rsidRPr="00C6580C">
        <w:rPr>
          <w:i/>
          <w:color w:val="000000"/>
        </w:rPr>
        <w:t>When Measurements Aren’t Feasible</w:t>
      </w:r>
      <w:r w:rsidRPr="00C6580C">
        <w:rPr>
          <w:color w:val="000000"/>
        </w:rPr>
        <w:t>, Urgent Communications, May 1, 2008.</w:t>
      </w:r>
    </w:p>
  </w:footnote>
  <w:footnote w:id="80">
    <w:p w14:paraId="39845D14" w14:textId="77777777" w:rsidR="00F11C65" w:rsidRDefault="00F11C65">
      <w:pPr>
        <w:pStyle w:val="FootnoteText"/>
      </w:pPr>
      <w:r w:rsidRPr="00A96110">
        <w:rPr>
          <w:rStyle w:val="FootnoteReference"/>
        </w:rPr>
        <w:footnoteRef/>
      </w:r>
      <w:r w:rsidRPr="00C6580C">
        <w:t xml:space="preserve"> EWA Reply Comments at 4.</w:t>
      </w:r>
    </w:p>
  </w:footnote>
  <w:footnote w:id="81">
    <w:p w14:paraId="25F39E10" w14:textId="77777777" w:rsidR="00F11C65" w:rsidRDefault="00F11C65">
      <w:pPr>
        <w:pStyle w:val="FootnoteText"/>
      </w:pPr>
      <w:r w:rsidRPr="00A96110">
        <w:rPr>
          <w:rStyle w:val="FootnoteReference"/>
        </w:rPr>
        <w:footnoteRef/>
      </w:r>
      <w:r w:rsidRPr="00C6580C">
        <w:t xml:space="preserve"> LMCC </w:t>
      </w:r>
      <w:r w:rsidRPr="00C6580C">
        <w:rPr>
          <w:i/>
        </w:rPr>
        <w:t xml:space="preserve">Ex Parte </w:t>
      </w:r>
      <w:r w:rsidRPr="00C6580C">
        <w:t>at 1.</w:t>
      </w:r>
    </w:p>
  </w:footnote>
  <w:footnote w:id="82">
    <w:p w14:paraId="0E039578" w14:textId="77777777" w:rsidR="00F11C65" w:rsidRDefault="00F11C65">
      <w:pPr>
        <w:pStyle w:val="FootnoteText"/>
      </w:pPr>
      <w:r w:rsidRPr="00A96110">
        <w:rPr>
          <w:rStyle w:val="FootnoteReference"/>
        </w:rPr>
        <w:footnoteRef/>
      </w:r>
      <w:r w:rsidRPr="00C6580C">
        <w:t xml:space="preserve"> </w:t>
      </w:r>
      <w:r w:rsidRPr="00C6580C">
        <w:rPr>
          <w:i/>
        </w:rPr>
        <w:t>Id</w:t>
      </w:r>
      <w:r w:rsidRPr="00C6580C">
        <w:t>. at Attachment A.</w:t>
      </w:r>
    </w:p>
  </w:footnote>
  <w:footnote w:id="83">
    <w:p w14:paraId="3A89E546" w14:textId="77777777" w:rsidR="00F11C65" w:rsidRDefault="00F11C65">
      <w:pPr>
        <w:pStyle w:val="FootnoteText"/>
      </w:pPr>
      <w:r>
        <w:rPr>
          <w:rStyle w:val="FootnoteReference"/>
        </w:rPr>
        <w:footnoteRef/>
      </w:r>
      <w:r>
        <w:t xml:space="preserve"> </w:t>
      </w:r>
      <w:r w:rsidRPr="007173EF">
        <w:rPr>
          <w:i/>
        </w:rPr>
        <w:t>LMCC Oct. Ex Parte</w:t>
      </w:r>
      <w:r>
        <w:t xml:space="preserve"> </w:t>
      </w:r>
      <w:r w:rsidRPr="00774731">
        <w:t xml:space="preserve">at </w:t>
      </w:r>
      <w:r>
        <w:t>2</w:t>
      </w:r>
      <w:r w:rsidRPr="00774731">
        <w:t>.</w:t>
      </w:r>
      <w:r w:rsidRPr="007B6D5C">
        <w:t xml:space="preserve">  </w:t>
      </w:r>
    </w:p>
  </w:footnote>
  <w:footnote w:id="84">
    <w:p w14:paraId="572D8F9C" w14:textId="77777777" w:rsidR="00F11C65" w:rsidRPr="006D656A" w:rsidRDefault="00F11C65">
      <w:pPr>
        <w:pStyle w:val="FootnoteText"/>
        <w:rPr>
          <w:i/>
        </w:rPr>
      </w:pPr>
      <w:r>
        <w:rPr>
          <w:rStyle w:val="FootnoteReference"/>
        </w:rPr>
        <w:footnoteRef/>
      </w:r>
      <w:r>
        <w:t xml:space="preserve"> </w:t>
      </w:r>
      <w:r>
        <w:rPr>
          <w:i/>
        </w:rPr>
        <w:t>Id.</w:t>
      </w:r>
    </w:p>
  </w:footnote>
  <w:footnote w:id="85">
    <w:p w14:paraId="09EB4411" w14:textId="77777777" w:rsidR="00F11C65" w:rsidRPr="00774731" w:rsidRDefault="00F11C65">
      <w:pPr>
        <w:pStyle w:val="FootnoteText"/>
      </w:pPr>
      <w:r>
        <w:rPr>
          <w:rStyle w:val="FootnoteReference"/>
        </w:rPr>
        <w:footnoteRef/>
      </w:r>
      <w:r>
        <w:t xml:space="preserve"> </w:t>
      </w:r>
      <w:r w:rsidRPr="006D656A">
        <w:rPr>
          <w:i/>
        </w:rPr>
        <w:t>Id</w:t>
      </w:r>
      <w:r w:rsidRPr="006D656A">
        <w:t xml:space="preserve">. at </w:t>
      </w:r>
      <w:r>
        <w:t>1</w:t>
      </w:r>
      <w:r w:rsidRPr="006D656A">
        <w:t>.</w:t>
      </w:r>
    </w:p>
  </w:footnote>
  <w:footnote w:id="86">
    <w:p w14:paraId="219F0556" w14:textId="77777777" w:rsidR="00F11C65" w:rsidRDefault="00F11C65">
      <w:pPr>
        <w:pStyle w:val="FootnoteText"/>
      </w:pPr>
      <w:r w:rsidRPr="00A96110">
        <w:rPr>
          <w:rStyle w:val="FootnoteReference"/>
        </w:rPr>
        <w:footnoteRef/>
      </w:r>
      <w:r w:rsidRPr="00C6580C">
        <w:t xml:space="preserve"> </w:t>
      </w:r>
      <w:r w:rsidRPr="00C6580C">
        <w:rPr>
          <w:i/>
        </w:rPr>
        <w:t>See</w:t>
      </w:r>
      <w:r w:rsidRPr="00C6580C">
        <w:t xml:space="preserve">, </w:t>
      </w:r>
      <w:r w:rsidRPr="00C6580C">
        <w:rPr>
          <w:i/>
          <w:color w:val="010101"/>
        </w:rPr>
        <w:t>e.g.,</w:t>
      </w:r>
      <w:r>
        <w:rPr>
          <w:i/>
          <w:color w:val="010101"/>
        </w:rPr>
        <w:t xml:space="preserve"> </w:t>
      </w:r>
      <w:r w:rsidRPr="00C6580C">
        <w:rPr>
          <w:color w:val="010101"/>
        </w:rPr>
        <w:t>47 C.F.R. §</w:t>
      </w:r>
      <w:r>
        <w:rPr>
          <w:color w:val="010101"/>
        </w:rPr>
        <w:t>§</w:t>
      </w:r>
      <w:r w:rsidRPr="00C6580C">
        <w:rPr>
          <w:color w:val="010101"/>
        </w:rPr>
        <w:t xml:space="preserve"> </w:t>
      </w:r>
      <w:r>
        <w:rPr>
          <w:color w:val="010101"/>
        </w:rPr>
        <w:t xml:space="preserve">90.621(b)(4) Short-Spacing Separation Table note 3; </w:t>
      </w:r>
      <w:r w:rsidRPr="00C6580C">
        <w:rPr>
          <w:color w:val="010101"/>
        </w:rPr>
        <w:t>90.723(k).</w:t>
      </w:r>
    </w:p>
  </w:footnote>
  <w:footnote w:id="87">
    <w:p w14:paraId="6C9C80D1" w14:textId="77777777" w:rsidR="00F11C65" w:rsidRDefault="00F11C65">
      <w:pPr>
        <w:pStyle w:val="FootnoteText"/>
      </w:pPr>
      <w:r w:rsidRPr="00A96110">
        <w:rPr>
          <w:rStyle w:val="FootnoteReference"/>
        </w:rPr>
        <w:footnoteRef/>
      </w:r>
      <w:r w:rsidRPr="00C6580C">
        <w:t xml:space="preserve"> 40/38 here refers to overlap of a licensee’s 40 dBµV/m service contour and the 38</w:t>
      </w:r>
      <w:r w:rsidRPr="00C6580C">
        <w:rPr>
          <w:kern w:val="28"/>
        </w:rPr>
        <w:t xml:space="preserve"> </w:t>
      </w:r>
      <w:r w:rsidRPr="00C6580C">
        <w:t xml:space="preserve">dBµV/m interference contour of a proposed station over a location/time distribution of 50% of the locations 50% of the time, </w:t>
      </w:r>
      <w:r w:rsidRPr="00C6580C">
        <w:rPr>
          <w:i/>
        </w:rPr>
        <w:t>i.e.</w:t>
      </w:r>
      <w:r w:rsidRPr="00C6580C">
        <w:t xml:space="preserve">, predicted interference will occur if the specified contours overlap. </w:t>
      </w:r>
    </w:p>
  </w:footnote>
  <w:footnote w:id="88">
    <w:p w14:paraId="4B06C431" w14:textId="77777777" w:rsidR="00F11C65" w:rsidRDefault="00F11C65">
      <w:pPr>
        <w:pStyle w:val="FootnoteText"/>
      </w:pPr>
      <w:r w:rsidRPr="00A96110">
        <w:rPr>
          <w:rStyle w:val="FootnoteReference"/>
        </w:rPr>
        <w:footnoteRef/>
      </w:r>
      <w:r w:rsidRPr="00C6580C">
        <w:t xml:space="preserve"> </w:t>
      </w:r>
      <w:r w:rsidRPr="00C6580C">
        <w:rPr>
          <w:i/>
        </w:rPr>
        <w:t>See</w:t>
      </w:r>
      <w:r w:rsidRPr="00C6580C">
        <w:t xml:space="preserve"> </w:t>
      </w:r>
      <w:r w:rsidRPr="00C6580C">
        <w:rPr>
          <w:i/>
        </w:rPr>
        <w:t>supra</w:t>
      </w:r>
      <w:r w:rsidRPr="00C6580C">
        <w:t xml:space="preserve"> n.</w:t>
      </w:r>
      <w:r w:rsidR="00B74DE4">
        <w:fldChar w:fldCharType="begin"/>
      </w:r>
      <w:r w:rsidR="00B74DE4">
        <w:instrText xml:space="preserve"> NOTEREF _Ref353191221  \* MERGEFORMAT </w:instrText>
      </w:r>
      <w:r w:rsidR="00B74DE4">
        <w:fldChar w:fldCharType="separate"/>
      </w:r>
      <w:r w:rsidR="00534FCB">
        <w:t>86</w:t>
      </w:r>
      <w:r w:rsidR="00B74DE4">
        <w:fldChar w:fldCharType="end"/>
      </w:r>
      <w:r w:rsidRPr="00C6580C">
        <w:t>.  Here 23 refers to the 23 dBµV/m interference contour.</w:t>
      </w:r>
    </w:p>
  </w:footnote>
  <w:footnote w:id="89">
    <w:p w14:paraId="5DA165CA" w14:textId="77777777" w:rsidR="00F11C65" w:rsidRDefault="00F11C65">
      <w:pPr>
        <w:pStyle w:val="FootnoteText"/>
      </w:pPr>
      <w:r w:rsidRPr="00A96110">
        <w:rPr>
          <w:rStyle w:val="FootnoteReference"/>
        </w:rPr>
        <w:footnoteRef/>
      </w:r>
      <w:r w:rsidRPr="00C6580C">
        <w:t xml:space="preserve"> </w:t>
      </w:r>
      <w:r w:rsidRPr="00C6580C">
        <w:rPr>
          <w:i/>
        </w:rPr>
        <w:t>See, e.g.</w:t>
      </w:r>
      <w:r w:rsidRPr="00C6580C">
        <w:t>, Third District Enterprise, LLC Comments at 4-7 (arguing that licensees and applicants should receive ample opportunity to comment on interference protection proposals).</w:t>
      </w:r>
    </w:p>
  </w:footnote>
  <w:footnote w:id="90">
    <w:p w14:paraId="13CAD5FF" w14:textId="77777777" w:rsidR="00F11C65" w:rsidRDefault="00F11C65" w:rsidP="000451B7">
      <w:pPr>
        <w:pStyle w:val="FootnoteText"/>
      </w:pPr>
      <w:r>
        <w:rPr>
          <w:rStyle w:val="FootnoteReference"/>
        </w:rPr>
        <w:footnoteRef/>
      </w:r>
      <w:r>
        <w:t xml:space="preserve"> </w:t>
      </w:r>
      <w:r w:rsidRPr="00CB6877">
        <w:rPr>
          <w:i/>
        </w:rPr>
        <w:t>See APCO Ex Parte</w:t>
      </w:r>
      <w:r>
        <w:t xml:space="preserve"> at 1.</w:t>
      </w:r>
    </w:p>
  </w:footnote>
  <w:footnote w:id="91">
    <w:p w14:paraId="6780426B" w14:textId="77777777" w:rsidR="00F11C65" w:rsidRDefault="00F11C65" w:rsidP="000451B7">
      <w:pPr>
        <w:pStyle w:val="FootnoteText"/>
      </w:pPr>
      <w:r>
        <w:rPr>
          <w:rStyle w:val="FootnoteReference"/>
        </w:rPr>
        <w:footnoteRef/>
      </w:r>
      <w:r>
        <w:t xml:space="preserve"> </w:t>
      </w:r>
      <w:r w:rsidRPr="00CB6877">
        <w:rPr>
          <w:i/>
        </w:rPr>
        <w:t>Id</w:t>
      </w:r>
      <w:r>
        <w:t>.</w:t>
      </w:r>
    </w:p>
  </w:footnote>
  <w:footnote w:id="92">
    <w:p w14:paraId="3E80F836" w14:textId="77777777" w:rsidR="00F11C65" w:rsidRDefault="00F11C65">
      <w:pPr>
        <w:pStyle w:val="FootnoteText"/>
      </w:pPr>
      <w:r w:rsidRPr="00A96110">
        <w:rPr>
          <w:rStyle w:val="FootnoteReference"/>
        </w:rPr>
        <w:footnoteRef/>
      </w:r>
      <w:r w:rsidRPr="00C6580C">
        <w:t xml:space="preserve"> NPSTC Comments at 4 (claiming that some NPSTC participants encountered situations in which the contour method did not provide adequate protection).  </w:t>
      </w:r>
      <w:r w:rsidRPr="00C6580C">
        <w:rPr>
          <w:i/>
        </w:rPr>
        <w:t>See</w:t>
      </w:r>
      <w:r w:rsidRPr="00C6580C">
        <w:t xml:space="preserve"> Rice, P.L., Longley, A.G., Norton, K.A., Barsis, A.P., “Transmission Loss Predictions for Tropospheric Communications Circuits,” NBS Technical Note 101 (Revised), Volumes I and II, U.S. Department of Commerce, 1967.</w:t>
      </w:r>
    </w:p>
  </w:footnote>
  <w:footnote w:id="93">
    <w:p w14:paraId="74BEF453" w14:textId="77777777" w:rsidR="00F11C65" w:rsidRDefault="00F11C65" w:rsidP="001B1A29">
      <w:pPr>
        <w:pStyle w:val="FootnoteText"/>
      </w:pPr>
      <w:r w:rsidRPr="00A96110">
        <w:rPr>
          <w:rStyle w:val="FootnoteReference"/>
        </w:rPr>
        <w:footnoteRef/>
      </w:r>
      <w:r w:rsidRPr="00C6580C">
        <w:t xml:space="preserve"> </w:t>
      </w:r>
      <w:r w:rsidRPr="00A96110">
        <w:t>RadioSoft further observes that the calculation of DHAAT specified in § 90.621(b)(4) closely approximates the claimed con</w:t>
      </w:r>
      <w:r w:rsidRPr="001B1A29">
        <w:t xml:space="preserve">tour protection, but is not identical.  Radiosoft Comments at 2.  Specifically, RadioSoft submits, the DHAAT tables presume the incumbent’s ability in most cases to upgrade to 1000 watts Effective Radiated Power (ERP).  </w:t>
      </w:r>
      <w:r w:rsidRPr="001B1A29">
        <w:rPr>
          <w:i/>
        </w:rPr>
        <w:t>Id</w:t>
      </w:r>
      <w:r w:rsidRPr="001B1A29">
        <w:t xml:space="preserve">.  RadioSoft argues that DHAAT has served its purpose, but that the actual use of the 800 MHz band has evolved and will increasingly favor smaller Protected Service Areas, especially with the introduction of interstitial channels.  </w:t>
      </w:r>
      <w:r w:rsidRPr="001B1A29">
        <w:rPr>
          <w:i/>
        </w:rPr>
        <w:t>Id</w:t>
      </w:r>
      <w:r w:rsidRPr="001B1A29">
        <w:t>.  While RadioSoft favors use of TSB-88, it agrees that “this portion of the Rule, with its presumed 1 kW ERP upgrade, should be retired altogether in all cases post-rebanding, as it would not only unnecessarily inhibit new interstitial assignments but even</w:t>
      </w:r>
      <w:r w:rsidRPr="00C6580C">
        <w:t xml:space="preserve"> </w:t>
      </w:r>
      <w:r w:rsidRPr="00A96110">
        <w:t xml:space="preserve">now, by successive application, has caused many unanticipated problems to existing users.”  </w:t>
      </w:r>
      <w:r w:rsidRPr="001B1A29">
        <w:rPr>
          <w:i/>
        </w:rPr>
        <w:t>Id</w:t>
      </w:r>
      <w:r w:rsidRPr="001B1A29">
        <w:t>.</w:t>
      </w:r>
    </w:p>
  </w:footnote>
  <w:footnote w:id="94">
    <w:p w14:paraId="5CB003A5" w14:textId="77777777" w:rsidR="00F11C65" w:rsidRDefault="00F11C65">
      <w:pPr>
        <w:pStyle w:val="FootnoteText"/>
      </w:pPr>
      <w:r w:rsidRPr="00A96110">
        <w:rPr>
          <w:rStyle w:val="FootnoteReference"/>
        </w:rPr>
        <w:footnoteRef/>
      </w:r>
      <w:r w:rsidRPr="00C6580C">
        <w:t xml:space="preserve"> </w:t>
      </w:r>
      <w:r w:rsidRPr="00C6580C">
        <w:rPr>
          <w:i/>
        </w:rPr>
        <w:t xml:space="preserve">See </w:t>
      </w:r>
      <w:r w:rsidRPr="00C6580C">
        <w:t xml:space="preserve">LMCC </w:t>
      </w:r>
      <w:r>
        <w:t xml:space="preserve">Oct. </w:t>
      </w:r>
      <w:r w:rsidRPr="00C6580C">
        <w:rPr>
          <w:i/>
        </w:rPr>
        <w:t>Ex Parte</w:t>
      </w:r>
      <w:r w:rsidRPr="00C6580C">
        <w:t xml:space="preserve"> at </w:t>
      </w:r>
      <w:r>
        <w:t>1-2.</w:t>
      </w:r>
    </w:p>
  </w:footnote>
  <w:footnote w:id="95">
    <w:p w14:paraId="6788B591" w14:textId="77777777" w:rsidR="00F11C65" w:rsidRDefault="00F11C65">
      <w:pPr>
        <w:pStyle w:val="FootnoteText"/>
      </w:pPr>
      <w:r w:rsidRPr="00A96110">
        <w:rPr>
          <w:rStyle w:val="FootnoteReference"/>
        </w:rPr>
        <w:footnoteRef/>
      </w:r>
      <w:r w:rsidRPr="00C6580C">
        <w:t xml:space="preserve"> </w:t>
      </w:r>
      <w:r w:rsidRPr="00C6580C">
        <w:rPr>
          <w:i/>
          <w:color w:val="000000"/>
        </w:rPr>
        <w:t>See</w:t>
      </w:r>
      <w:r w:rsidRPr="00C6580C">
        <w:rPr>
          <w:color w:val="000000"/>
        </w:rPr>
        <w:t xml:space="preserve"> </w:t>
      </w:r>
      <w:r w:rsidRPr="00C6580C">
        <w:rPr>
          <w:i/>
          <w:color w:val="000000"/>
        </w:rPr>
        <w:t>800 MHz Report and Order</w:t>
      </w:r>
      <w:r w:rsidRPr="00C6580C">
        <w:rPr>
          <w:color w:val="000000"/>
        </w:rPr>
        <w:t xml:space="preserve">, 19 FCC Rcd at 14977 ¶ 11; </w:t>
      </w:r>
      <w:r w:rsidRPr="00C6580C">
        <w:rPr>
          <w:i/>
          <w:color w:val="000000"/>
        </w:rPr>
        <w:t>see also</w:t>
      </w:r>
      <w:r w:rsidRPr="00C6580C">
        <w:rPr>
          <w:color w:val="000000"/>
        </w:rPr>
        <w:t xml:space="preserve"> </w:t>
      </w:r>
      <w:r w:rsidRPr="00C6580C">
        <w:rPr>
          <w:i/>
          <w:color w:val="000000"/>
        </w:rPr>
        <w:t>id</w:t>
      </w:r>
      <w:r w:rsidRPr="00C6580C">
        <w:rPr>
          <w:color w:val="000000"/>
        </w:rPr>
        <w:t xml:space="preserve">. at Appendix C, §§ 90.615 and 90.617, 19 FCC Rcd 15180-15185; </w:t>
      </w:r>
      <w:r w:rsidRPr="00C6580C">
        <w:rPr>
          <w:i/>
          <w:color w:val="000000"/>
        </w:rPr>
        <w:t>Supplemental Order</w:t>
      </w:r>
      <w:r w:rsidRPr="00C6580C">
        <w:rPr>
          <w:color w:val="000000"/>
        </w:rPr>
        <w:t>, 19 FCC Rcd at 25144-45 ¶ 57.</w:t>
      </w:r>
    </w:p>
  </w:footnote>
  <w:footnote w:id="96">
    <w:p w14:paraId="02AA79B6" w14:textId="77777777" w:rsidR="00F11C65" w:rsidRDefault="00F11C65" w:rsidP="001B1A29">
      <w:pPr>
        <w:pStyle w:val="FootnoteText"/>
      </w:pPr>
      <w:r w:rsidRPr="00A96110">
        <w:rPr>
          <w:rStyle w:val="FootnoteReference"/>
        </w:rPr>
        <w:footnoteRef/>
      </w:r>
      <w:r w:rsidRPr="00C6580C">
        <w:t xml:space="preserve"> </w:t>
      </w:r>
      <w:r w:rsidRPr="00A96110">
        <w:t xml:space="preserve">Under the </w:t>
      </w:r>
      <w:r w:rsidRPr="00A96110">
        <w:rPr>
          <w:i/>
        </w:rPr>
        <w:t>800 MHz Report and Order</w:t>
      </w:r>
      <w:r w:rsidRPr="001B1A29">
        <w:t xml:space="preserve">, the new General Category Pool consists of Channels 231-260 and 511-550.  </w:t>
      </w:r>
      <w:r w:rsidRPr="001B1A29">
        <w:rPr>
          <w:i/>
        </w:rPr>
        <w:t>See</w:t>
      </w:r>
      <w:r w:rsidRPr="001B1A29">
        <w:t xml:space="preserve"> </w:t>
      </w:r>
      <w:r w:rsidRPr="001B1A29">
        <w:rPr>
          <w:i/>
        </w:rPr>
        <w:t>800 MHz Report and Order</w:t>
      </w:r>
      <w:r w:rsidRPr="001B1A29">
        <w:t xml:space="preserve"> 19 FCC Rcd at 15051. </w:t>
      </w:r>
      <w:r w:rsidRPr="001B1A29" w:rsidDel="000278B4">
        <w:rPr>
          <w:position w:val="10"/>
          <w:vertAlign w:val="superscript"/>
        </w:rPr>
        <w:t xml:space="preserve"> </w:t>
      </w:r>
      <w:r w:rsidRPr="001B1A29">
        <w:t xml:space="preserve">Frequencies in this pool are available for public safety, B/ILT and SMR (site based, non-cellular) operations.  </w:t>
      </w:r>
      <w:r w:rsidRPr="001B1A29">
        <w:rPr>
          <w:i/>
        </w:rPr>
        <w:t xml:space="preserve">See </w:t>
      </w:r>
      <w:r w:rsidRPr="001B1A29">
        <w:t xml:space="preserve">47 C.F.R. § 90.603. </w:t>
      </w:r>
    </w:p>
  </w:footnote>
  <w:footnote w:id="97">
    <w:p w14:paraId="610BDC29" w14:textId="77777777" w:rsidR="00F11C65" w:rsidRDefault="00F11C65" w:rsidP="001B1A29">
      <w:pPr>
        <w:pStyle w:val="FootnoteText"/>
      </w:pPr>
      <w:r w:rsidRPr="00A96110">
        <w:rPr>
          <w:rStyle w:val="FootnoteReference"/>
        </w:rPr>
        <w:footnoteRef/>
      </w:r>
      <w:r w:rsidRPr="00C6580C">
        <w:t xml:space="preserve"> </w:t>
      </w:r>
      <w:r w:rsidRPr="00A96110">
        <w:t>The Public Safety Pool channels in the interleaved segment of the band are interspersed with channels in other pools throughout the 809-815/854-860 MHz band segment.</w:t>
      </w:r>
      <w:r w:rsidRPr="001B1A29">
        <w:rPr>
          <w:position w:val="10"/>
          <w:vertAlign w:val="superscript"/>
        </w:rPr>
        <w:t xml:space="preserve">  </w:t>
      </w:r>
      <w:r w:rsidRPr="001B1A29">
        <w:t xml:space="preserve">Frequencies in this group are available, in general, only to public safety eligibles.  </w:t>
      </w:r>
      <w:r w:rsidRPr="00C6580C">
        <w:rPr>
          <w:i/>
          <w:color w:val="000000"/>
        </w:rPr>
        <w:t>See</w:t>
      </w:r>
      <w:r w:rsidRPr="00C6580C">
        <w:rPr>
          <w:color w:val="000000"/>
        </w:rPr>
        <w:t xml:space="preserve"> 47 C.F.R. § 90.617(a)</w:t>
      </w:r>
      <w:r w:rsidRPr="00C6580C">
        <w:t xml:space="preserve">.  </w:t>
      </w:r>
    </w:p>
  </w:footnote>
  <w:footnote w:id="98">
    <w:p w14:paraId="1F09EEB6" w14:textId="77777777" w:rsidR="00F11C65" w:rsidRDefault="00F11C65" w:rsidP="001B1A29">
      <w:pPr>
        <w:pStyle w:val="FootnoteText"/>
      </w:pPr>
      <w:r w:rsidRPr="00A96110">
        <w:rPr>
          <w:rStyle w:val="FootnoteReference"/>
        </w:rPr>
        <w:footnoteRef/>
      </w:r>
      <w:r w:rsidRPr="00C6580C">
        <w:t xml:space="preserve"> </w:t>
      </w:r>
      <w:r w:rsidRPr="00A96110">
        <w:t>The B/ILT pool consists of interleaved channels in the 809-816/854-861 MHz band segment.</w:t>
      </w:r>
      <w:r w:rsidRPr="00A96110">
        <w:rPr>
          <w:position w:val="10"/>
          <w:vertAlign w:val="superscript"/>
        </w:rPr>
        <w:t xml:space="preserve">  </w:t>
      </w:r>
      <w:r w:rsidRPr="001B1A29">
        <w:t xml:space="preserve">Channels in this pool, in general, are available only to B/ILT eligibles.  </w:t>
      </w:r>
      <w:r w:rsidRPr="001B1A29">
        <w:rPr>
          <w:i/>
        </w:rPr>
        <w:t xml:space="preserve">See </w:t>
      </w:r>
      <w:r w:rsidRPr="001B1A29">
        <w:t>47 C.F.R. § 90.617(b)</w:t>
      </w:r>
      <w:r w:rsidRPr="00C6580C">
        <w:t xml:space="preserve">. </w:t>
      </w:r>
    </w:p>
  </w:footnote>
  <w:footnote w:id="99">
    <w:p w14:paraId="5B17701E" w14:textId="77777777" w:rsidR="00F11C65" w:rsidRDefault="00F11C65" w:rsidP="001B1A29">
      <w:pPr>
        <w:pStyle w:val="FootnoteText"/>
      </w:pPr>
      <w:r w:rsidRPr="00A96110">
        <w:rPr>
          <w:rStyle w:val="FootnoteReference"/>
        </w:rPr>
        <w:footnoteRef/>
      </w:r>
      <w:r w:rsidRPr="00C6580C">
        <w:t xml:space="preserve"> </w:t>
      </w:r>
      <w:r w:rsidRPr="00A96110">
        <w:t>This pool consists of interleaved channels in the 809-816/854-861 MHz band.</w:t>
      </w:r>
      <w:r w:rsidRPr="00A96110">
        <w:rPr>
          <w:position w:val="10"/>
          <w:vertAlign w:val="superscript"/>
        </w:rPr>
        <w:t xml:space="preserve">  </w:t>
      </w:r>
      <w:r w:rsidRPr="001B1A29">
        <w:t xml:space="preserve">Channels in this pool, in general, are available only to SMR eligibles.  </w:t>
      </w:r>
      <w:r w:rsidRPr="001B1A29">
        <w:rPr>
          <w:i/>
        </w:rPr>
        <w:t xml:space="preserve">See </w:t>
      </w:r>
      <w:r w:rsidRPr="001B1A29">
        <w:t>47 C.F.R. § 90.617(d).</w:t>
      </w:r>
    </w:p>
  </w:footnote>
  <w:footnote w:id="100">
    <w:p w14:paraId="2D350AFD" w14:textId="77777777" w:rsidR="00F11C65" w:rsidRDefault="00F11C65">
      <w:pPr>
        <w:pStyle w:val="FootnoteText"/>
      </w:pPr>
      <w:r w:rsidRPr="00A96110">
        <w:rPr>
          <w:rStyle w:val="FootnoteReference"/>
        </w:rPr>
        <w:footnoteRef/>
      </w:r>
      <w:r w:rsidRPr="00C6580C">
        <w:t xml:space="preserve"> </w:t>
      </w:r>
      <w:r w:rsidRPr="00C6580C">
        <w:rPr>
          <w:color w:val="000000"/>
        </w:rPr>
        <w:t xml:space="preserve">The rules also provide for “inter-category sharing,” under which an applicant may apply for a channel outside its category.  </w:t>
      </w:r>
      <w:r w:rsidRPr="00C6580C">
        <w:rPr>
          <w:i/>
        </w:rPr>
        <w:t xml:space="preserve">See </w:t>
      </w:r>
      <w:r w:rsidRPr="00C6580C">
        <w:t>47 C.F.R. § 90.621(e).  However, the Commission currently maintains a freeze on inter-category sharing.</w:t>
      </w:r>
      <w:r w:rsidRPr="00C6580C">
        <w:rPr>
          <w:color w:val="000000"/>
        </w:rPr>
        <w:t xml:space="preserve"> Licensing of General Category Frequencies in the 806-809.750/851-854.750 MHz Bands, </w:t>
      </w:r>
      <w:r w:rsidRPr="00C6580C">
        <w:rPr>
          <w:i/>
          <w:color w:val="000000"/>
        </w:rPr>
        <w:t>Order</w:t>
      </w:r>
      <w:r w:rsidRPr="00C6580C">
        <w:rPr>
          <w:color w:val="000000"/>
        </w:rPr>
        <w:t xml:space="preserve">, </w:t>
      </w:r>
      <w:r w:rsidRPr="00C6580C">
        <w:t>10 FCC Rcd 13190 (WTB 1995).</w:t>
      </w:r>
    </w:p>
  </w:footnote>
  <w:footnote w:id="101">
    <w:p w14:paraId="66F34873" w14:textId="77777777" w:rsidR="00F11C65" w:rsidRDefault="00F11C65">
      <w:pPr>
        <w:pStyle w:val="FootnoteText"/>
      </w:pPr>
      <w:r w:rsidRPr="00A96110">
        <w:rPr>
          <w:rStyle w:val="FootnoteReference"/>
        </w:rPr>
        <w:footnoteRef/>
      </w:r>
      <w:r w:rsidRPr="00C6580C">
        <w:t xml:space="preserve"> EWA Petition at 6.</w:t>
      </w:r>
    </w:p>
  </w:footnote>
  <w:footnote w:id="102">
    <w:p w14:paraId="1E2F5AFE" w14:textId="77777777" w:rsidR="00F11C65" w:rsidRDefault="00F11C65">
      <w:pPr>
        <w:pStyle w:val="FootnoteText"/>
      </w:pPr>
      <w:r w:rsidRPr="00A96110">
        <w:rPr>
          <w:rStyle w:val="FootnoteReference"/>
        </w:rPr>
        <w:footnoteRef/>
      </w:r>
      <w:r w:rsidRPr="00C6580C">
        <w:t xml:space="preserve"> UTC Comments at 3 (opposing making new interstitial channels available to all Part 90 applicants, irrespective of pool eligibility); API Reply Comments at 5 (opposing any reduction in the amount of spectrum available to B/ILT entities, including expanding eligibility for 800 MHz B/ILT channels to all Part 90 eligible entities).  </w:t>
      </w:r>
    </w:p>
  </w:footnote>
  <w:footnote w:id="103">
    <w:p w14:paraId="19C27561" w14:textId="77777777" w:rsidR="00F11C65" w:rsidRDefault="00F11C65">
      <w:pPr>
        <w:pStyle w:val="FootnoteText"/>
      </w:pPr>
      <w:r w:rsidRPr="00A96110">
        <w:rPr>
          <w:rStyle w:val="FootnoteReference"/>
        </w:rPr>
        <w:footnoteRef/>
      </w:r>
      <w:r w:rsidRPr="00C6580C">
        <w:t xml:space="preserve"> Bob Ferrell Comments at 4.  </w:t>
      </w:r>
    </w:p>
  </w:footnote>
  <w:footnote w:id="104">
    <w:p w14:paraId="541DB911" w14:textId="77777777" w:rsidR="00F11C65" w:rsidRDefault="00F11C65">
      <w:pPr>
        <w:pStyle w:val="FootnoteText"/>
      </w:pPr>
      <w:r w:rsidRPr="00A96110">
        <w:rPr>
          <w:rStyle w:val="FootnoteReference"/>
        </w:rPr>
        <w:footnoteRef/>
      </w:r>
      <w:r w:rsidRPr="00C6580C">
        <w:t xml:space="preserve"> </w:t>
      </w:r>
      <w:r w:rsidRPr="00C6580C">
        <w:rPr>
          <w:i/>
        </w:rPr>
        <w:t xml:space="preserve">See </w:t>
      </w:r>
      <w:r w:rsidRPr="00C6580C">
        <w:t xml:space="preserve">Appendix B, </w:t>
      </w:r>
      <w:r w:rsidRPr="00C6580C">
        <w:rPr>
          <w:i/>
        </w:rPr>
        <w:t>infra.</w:t>
      </w:r>
    </w:p>
  </w:footnote>
  <w:footnote w:id="105">
    <w:p w14:paraId="1351AF2C" w14:textId="77777777" w:rsidR="00F11C65" w:rsidRDefault="00F11C65" w:rsidP="001B1A29">
      <w:pPr>
        <w:pStyle w:val="FootnoteText"/>
      </w:pPr>
      <w:r w:rsidRPr="00A96110">
        <w:rPr>
          <w:rStyle w:val="FootnoteReference"/>
        </w:rPr>
        <w:footnoteRef/>
      </w:r>
      <w:r w:rsidRPr="00C6580C">
        <w:t xml:space="preserve"> Pub. L. No. 112-96, 126 Stat. 156 (2012).  </w:t>
      </w:r>
      <w:r w:rsidRPr="00A96110">
        <w:t xml:space="preserve">The Spectrum Act directs the Commission to reallocate the spectrum “used by public safety eligibles” in the 470-512 MHz band (also referred to as the “T Band”) no more than nine years after enactment, and within </w:t>
      </w:r>
      <w:r w:rsidRPr="001B1A29">
        <w:t xml:space="preserve">that same time period to begin a system of competitive bidding under section 309(j) of the Communications Act of 1934 to grant new initial licenses for the use of this spectrum. </w:t>
      </w:r>
      <w:r w:rsidRPr="00C6580C">
        <w:rPr>
          <w:i/>
        </w:rPr>
        <w:t xml:space="preserve"> Id.</w:t>
      </w:r>
      <w:r w:rsidRPr="00C6580C">
        <w:t xml:space="preserve"> at § 6103(a)(1) (citing 47 C.F.R. § 90.303), § 6103(a)(2) (</w:t>
      </w:r>
      <w:r w:rsidRPr="00D814CF">
        <w:rPr>
          <w:i/>
        </w:rPr>
        <w:t>citing</w:t>
      </w:r>
      <w:r w:rsidRPr="00C6580C">
        <w:t xml:space="preserve"> 47 U.S.C. § 309(j)).</w:t>
      </w:r>
      <w:r w:rsidRPr="00A96110">
        <w:t xml:space="preserve">  Congress also directed the National Telecommunications and Information Administration to administer grants from the auction proceeds to cover costs for the relocation of public safety licensees from the T-Band and mandated that relocation “b</w:t>
      </w:r>
      <w:r w:rsidRPr="001B1A29">
        <w:t>e completed not later than 2 years after the date on which the system of competitive bidding . . . is completed.”</w:t>
      </w:r>
      <w:r w:rsidRPr="00C6580C">
        <w:rPr>
          <w:i/>
        </w:rPr>
        <w:t xml:space="preserve">  Id.</w:t>
      </w:r>
      <w:r w:rsidRPr="00C6580C">
        <w:t xml:space="preserve"> at §§ 6103(b), 6103(c). </w:t>
      </w:r>
    </w:p>
  </w:footnote>
  <w:footnote w:id="106">
    <w:p w14:paraId="3FB9F756" w14:textId="7D2F3877" w:rsidR="00F11C65" w:rsidRDefault="00F11C65" w:rsidP="00107E69">
      <w:pPr>
        <w:pStyle w:val="FootnoteText"/>
      </w:pPr>
      <w:r>
        <w:rPr>
          <w:rStyle w:val="FootnoteReference"/>
        </w:rPr>
        <w:footnoteRef/>
      </w:r>
      <w:r>
        <w:t xml:space="preserve"> Proposed Amendments to the Service Rules Governing Public Safety Narrowband Operations in the 769-775/799-805 MHz Bands, </w:t>
      </w:r>
      <w:r w:rsidRPr="00672455">
        <w:rPr>
          <w:i/>
        </w:rPr>
        <w:t>Report and Order</w:t>
      </w:r>
      <w:r w:rsidR="00534FCB">
        <w:t xml:space="preserve">, 29 </w:t>
      </w:r>
      <w:r>
        <w:t xml:space="preserve">FCC Rcd </w:t>
      </w:r>
      <w:r w:rsidR="00534FCB">
        <w:t>13283 (</w:t>
      </w:r>
      <w:r>
        <w:t>2014) (2014).</w:t>
      </w:r>
    </w:p>
  </w:footnote>
  <w:footnote w:id="107">
    <w:p w14:paraId="5C527B9A" w14:textId="77777777" w:rsidR="00F11C65" w:rsidRDefault="00F11C65" w:rsidP="00107E69">
      <w:pPr>
        <w:pStyle w:val="FootnoteText"/>
      </w:pPr>
      <w:r w:rsidRPr="00A96110">
        <w:rPr>
          <w:rStyle w:val="FootnoteReference"/>
        </w:rPr>
        <w:footnoteRef/>
      </w:r>
      <w:r w:rsidRPr="00C6580C">
        <w:t xml:space="preserve"> Boston, Mass. Chicago, Ill, Cleveland, Ohio, Dallas/Fort Worth, Tex., Detroit, Mich., Houston, Tex, Los Angeles, Calif., Miami, Fla., New York, N.Y./NE N.J., Philadelphia, Penn., Pittsburgh, Penn., San Francisco/Oakland, Calif. and Washington, D.C./Maryland/Virginia.  47 C.F.R. § 90.303(b).  Additionally, 482-488 MHz (TV Channel 16) is available to Public Safety licensees in New York City, Nassau, Suffolk, and Westchester Counties, N.Y.  47 C.F.R. § 90.303(c).</w:t>
      </w:r>
    </w:p>
  </w:footnote>
  <w:footnote w:id="108">
    <w:p w14:paraId="635CA938" w14:textId="77777777" w:rsidR="00F11C65" w:rsidRPr="00183ABE" w:rsidRDefault="00F11C65" w:rsidP="00107E69">
      <w:pPr>
        <w:pStyle w:val="FootnoteText"/>
      </w:pPr>
      <w:r>
        <w:rPr>
          <w:rStyle w:val="FootnoteReference"/>
        </w:rPr>
        <w:footnoteRef/>
      </w:r>
      <w:r>
        <w:t xml:space="preserve"> </w:t>
      </w:r>
      <w:r w:rsidRPr="00183ABE">
        <w:rPr>
          <w:i/>
        </w:rPr>
        <w:t>See</w:t>
      </w:r>
      <w:r>
        <w:rPr>
          <w:i/>
        </w:rPr>
        <w:t xml:space="preserve"> </w:t>
      </w:r>
      <w:r>
        <w:t>47 C.F.R. §§ 90.110, 90.120, 90.175.</w:t>
      </w:r>
    </w:p>
  </w:footnote>
  <w:footnote w:id="109">
    <w:p w14:paraId="74D4C738" w14:textId="77777777" w:rsidR="00F11C65" w:rsidRDefault="00F11C65">
      <w:pPr>
        <w:pStyle w:val="FootnoteText"/>
      </w:pPr>
      <w:r w:rsidRPr="00A96110">
        <w:rPr>
          <w:rStyle w:val="FootnoteReference"/>
        </w:rPr>
        <w:footnoteRef/>
      </w:r>
      <w:r w:rsidRPr="00C6580C">
        <w:t xml:space="preserve"> 47 C.F.R. § 90.209(b)(5).  The authorized bandwidth is the frequency band specified in kilohertz and centered on the carrier frequency containing those frequencies in which a total of 99 percent of the radiated power appears.  </w:t>
      </w:r>
      <w:r w:rsidRPr="00C6580C">
        <w:rPr>
          <w:i/>
        </w:rPr>
        <w:t xml:space="preserve">See </w:t>
      </w:r>
      <w:r w:rsidRPr="00C6580C">
        <w:t xml:space="preserve">47 C.F.R. § 90.7.    </w:t>
      </w:r>
    </w:p>
  </w:footnote>
  <w:footnote w:id="110">
    <w:p w14:paraId="21EBB58B" w14:textId="77777777" w:rsidR="00F11C65" w:rsidRDefault="00F11C65">
      <w:pPr>
        <w:pStyle w:val="FootnoteText"/>
      </w:pPr>
      <w:r w:rsidRPr="00A96110">
        <w:rPr>
          <w:rStyle w:val="FootnoteReference"/>
        </w:rPr>
        <w:footnoteRef/>
      </w:r>
      <w:r w:rsidRPr="00C6580C">
        <w:t xml:space="preserve"> Licensees may only operate up to an authorized bandwidth of 22 kHz if they comply with the adjacent channel power limits listed in Section 90.221 otherwise the maximum authorized bandwidth is 20 kHz.  </w:t>
      </w:r>
      <w:r w:rsidRPr="00C6580C">
        <w:rPr>
          <w:i/>
        </w:rPr>
        <w:t xml:space="preserve">See </w:t>
      </w:r>
      <w:r w:rsidRPr="00C6580C">
        <w:t>47 C.F.R § 90.221(c)(1).</w:t>
      </w:r>
    </w:p>
  </w:footnote>
  <w:footnote w:id="111">
    <w:p w14:paraId="6AA05542" w14:textId="77777777" w:rsidR="00F11C65" w:rsidRDefault="00F11C65">
      <w:pPr>
        <w:pStyle w:val="FootnoteText"/>
      </w:pPr>
      <w:r w:rsidRPr="00A96110">
        <w:rPr>
          <w:rStyle w:val="FootnoteReference"/>
        </w:rPr>
        <w:footnoteRef/>
      </w:r>
      <w:r w:rsidRPr="00C6580C">
        <w:t xml:space="preserve"> </w:t>
      </w:r>
      <w:r w:rsidRPr="00C6580C">
        <w:rPr>
          <w:i/>
        </w:rPr>
        <w:t xml:space="preserve">See </w:t>
      </w:r>
      <w:r w:rsidRPr="00C6580C">
        <w:t xml:space="preserve">47 C.F.R. § 90.210.  </w:t>
      </w:r>
    </w:p>
  </w:footnote>
  <w:footnote w:id="112">
    <w:p w14:paraId="23F3B4EC" w14:textId="77777777" w:rsidR="00F11C65" w:rsidRDefault="00F11C65">
      <w:pPr>
        <w:pStyle w:val="FootnoteText"/>
      </w:pPr>
      <w:r w:rsidRPr="00A96110">
        <w:rPr>
          <w:rStyle w:val="FootnoteReference"/>
        </w:rPr>
        <w:footnoteRef/>
      </w:r>
      <w:r w:rsidRPr="00C6580C">
        <w:t xml:space="preserve"> </w:t>
      </w:r>
      <w:r w:rsidRPr="00C6580C">
        <w:rPr>
          <w:i/>
        </w:rPr>
        <w:t>Id</w:t>
      </w:r>
      <w:r w:rsidRPr="00C6580C">
        <w:t xml:space="preserve">.  Emission mask D applies to licensees operating on 12.5 kHz bandwidth channels in the 150-174 MHz and 421-512 MHz bands.  </w:t>
      </w:r>
    </w:p>
  </w:footnote>
  <w:footnote w:id="113">
    <w:p w14:paraId="57708372" w14:textId="77777777" w:rsidR="00F11C65" w:rsidRDefault="00F11C65">
      <w:pPr>
        <w:pStyle w:val="FootnoteText"/>
      </w:pPr>
      <w:r w:rsidRPr="00A96110">
        <w:rPr>
          <w:rStyle w:val="FootnoteReference"/>
        </w:rPr>
        <w:footnoteRef/>
      </w:r>
      <w:r w:rsidRPr="00C6580C">
        <w:t xml:space="preserve"> </w:t>
      </w:r>
      <w:r w:rsidRPr="00C6580C">
        <w:rPr>
          <w:i/>
        </w:rPr>
        <w:t>See</w:t>
      </w:r>
      <w:r w:rsidRPr="00C6580C">
        <w:t xml:space="preserve"> Replacement of Part 90 by Part 88 to Revise the Private Land Mobile Radio Services and Modify the Policies Governing Them, </w:t>
      </w:r>
      <w:r w:rsidRPr="00C6580C">
        <w:rPr>
          <w:i/>
        </w:rPr>
        <w:t>Report and Order</w:t>
      </w:r>
      <w:r w:rsidRPr="00C6580C">
        <w:t>, 10 FCC Rcd 10076, 10119 ¶ 87 (1995).</w:t>
      </w:r>
    </w:p>
  </w:footnote>
  <w:footnote w:id="114">
    <w:p w14:paraId="126F91B8" w14:textId="77777777" w:rsidR="00F11C65" w:rsidRDefault="00F11C65" w:rsidP="00FE23AB">
      <w:pPr>
        <w:pStyle w:val="FootnoteText"/>
      </w:pPr>
      <w:r>
        <w:rPr>
          <w:rStyle w:val="FootnoteReference"/>
        </w:rPr>
        <w:footnoteRef/>
      </w:r>
      <w:r>
        <w:t xml:space="preserve"> </w:t>
      </w:r>
      <w:r w:rsidRPr="00C6580C">
        <w:t>47 C.F.R. § 90.210.</w:t>
      </w:r>
      <w:r>
        <w:t xml:space="preserve">  Alternatively, equipment may meet the Adjacent Channel Power limits in Section 90.221, 47 C.F.R. </w:t>
      </w:r>
      <w:r w:rsidRPr="00C6580C">
        <w:t>§</w:t>
      </w:r>
      <w:r>
        <w:t xml:space="preserve"> 90.221.</w:t>
      </w:r>
      <w:r w:rsidRPr="00C6580C">
        <w:t xml:space="preserve">  </w:t>
      </w:r>
    </w:p>
  </w:footnote>
  <w:footnote w:id="115">
    <w:p w14:paraId="5D36097F" w14:textId="77777777" w:rsidR="00F11C65" w:rsidRDefault="00F11C65">
      <w:pPr>
        <w:pStyle w:val="FootnoteText"/>
      </w:pPr>
      <w:r w:rsidRPr="00A96110">
        <w:rPr>
          <w:rStyle w:val="FootnoteReference"/>
        </w:rPr>
        <w:footnoteRef/>
      </w:r>
      <w:r w:rsidRPr="00C6580C">
        <w:t xml:space="preserve"> Bob Ferrell Comments at 1.</w:t>
      </w:r>
    </w:p>
  </w:footnote>
  <w:footnote w:id="116">
    <w:p w14:paraId="7D173C2D" w14:textId="77777777" w:rsidR="00F11C65" w:rsidRDefault="00F11C65" w:rsidP="001B1A29">
      <w:pPr>
        <w:pStyle w:val="FootnoteText"/>
      </w:pPr>
      <w:r w:rsidRPr="00A96110">
        <w:rPr>
          <w:rStyle w:val="FootnoteReference"/>
        </w:rPr>
        <w:footnoteRef/>
      </w:r>
      <w:r w:rsidRPr="00A96110">
        <w:t xml:space="preserve"> </w:t>
      </w:r>
      <w:r w:rsidRPr="00A72279">
        <w:rPr>
          <w:i/>
        </w:rPr>
        <w:t xml:space="preserve">Id. </w:t>
      </w:r>
      <w:r w:rsidRPr="00A72279">
        <w:t xml:space="preserve">We note the Commission adopted changes </w:t>
      </w:r>
      <w:bookmarkStart w:id="68" w:name="SR;353"/>
      <w:bookmarkStart w:id="69" w:name="SearchTerm"/>
      <w:bookmarkEnd w:id="68"/>
      <w:r w:rsidRPr="00A72279">
        <w:t xml:space="preserve">to the bandwidth limit and emission </w:t>
      </w:r>
      <w:bookmarkStart w:id="70" w:name="SR;356"/>
      <w:bookmarkEnd w:id="70"/>
      <w:r w:rsidRPr="00A72279">
        <w:t>masks, which allows the use of TETRA</w:t>
      </w:r>
      <w:bookmarkStart w:id="71" w:name="SR;364"/>
      <w:bookmarkEnd w:id="69"/>
      <w:bookmarkEnd w:id="71"/>
      <w:r w:rsidRPr="00A72279">
        <w:t xml:space="preserve"> technology in the United States.  TETRA technology operates with an authorized bandwidth of up to 22 kHz.  We further note that Harris Corporati</w:t>
      </w:r>
      <w:r w:rsidRPr="00B05BDA">
        <w:t>on proposed (1) requiring digitally-modulated signals be certified under th</w:t>
      </w:r>
      <w:r w:rsidRPr="00A376B3">
        <w:t xml:space="preserve">e H-Mask for use in public safety spectrum and (2) adopting equipment certification “technical” mandates for operation on the mutual aid channels designated in 47 C.F.R. §§ 90.203(i) and 90.203(j)(1).  </w:t>
      </w:r>
      <w:r w:rsidRPr="00C44AB5">
        <w:rPr>
          <w:i/>
        </w:rPr>
        <w:t xml:space="preserve">See </w:t>
      </w:r>
      <w:r w:rsidRPr="00D12D4F">
        <w:t>Petition for Rulemaking (Apr. 30, 2012) (RM 11663)</w:t>
      </w:r>
      <w:r w:rsidRPr="001B1A29">
        <w:t xml:space="preserve">.  Emission Mask Requirements for Digital Technologies on 800 MHz NPSPAC Channels; Analog FM Capability on Mutual Aid and Interoperability Channels, PS Docket No. 13-209, RM-11663, </w:t>
      </w:r>
      <w:r w:rsidRPr="001B1A29">
        <w:rPr>
          <w:i/>
        </w:rPr>
        <w:t>Notice of Proposed Rulemaking</w:t>
      </w:r>
      <w:r w:rsidRPr="001B1A29">
        <w:t xml:space="preserve">, 28 FCC Rcd 13403 (2013).      </w:t>
      </w:r>
    </w:p>
  </w:footnote>
  <w:footnote w:id="117">
    <w:p w14:paraId="7F6C91E4" w14:textId="77777777" w:rsidR="00F11C65" w:rsidRDefault="00F11C65">
      <w:pPr>
        <w:pStyle w:val="FootnoteText"/>
      </w:pPr>
      <w:r w:rsidRPr="00A96110">
        <w:rPr>
          <w:rStyle w:val="FootnoteReference"/>
        </w:rPr>
        <w:footnoteRef/>
      </w:r>
      <w:r w:rsidRPr="00C6580C">
        <w:t xml:space="preserve"> </w:t>
      </w:r>
      <w:r w:rsidRPr="00C6580C">
        <w:rPr>
          <w:i/>
        </w:rPr>
        <w:t xml:space="preserve">See </w:t>
      </w:r>
      <w:r w:rsidRPr="00C6580C">
        <w:t xml:space="preserve">EWA Petition at 8 (noting that licensees operating with 25 kHz bandwidth systems on channels separated by only 12.5 kHz must be treated as “co-channel systems” whereas a licensee limited to 12.5 kHz on an interstitial channels need not be so treated).  </w:t>
      </w:r>
    </w:p>
  </w:footnote>
  <w:footnote w:id="118">
    <w:p w14:paraId="0325C84D" w14:textId="77777777" w:rsidR="00F11C65" w:rsidRDefault="00F11C65">
      <w:pPr>
        <w:pStyle w:val="FootnoteText"/>
      </w:pPr>
      <w:r w:rsidRPr="00A96110">
        <w:rPr>
          <w:rStyle w:val="FootnoteReference"/>
        </w:rPr>
        <w:footnoteRef/>
      </w:r>
      <w:r w:rsidRPr="00C6580C">
        <w:t xml:space="preserve"> TIA Comments at 1-2.</w:t>
      </w:r>
    </w:p>
  </w:footnote>
  <w:footnote w:id="119">
    <w:p w14:paraId="5B81D7CF" w14:textId="77777777" w:rsidR="00F11C65" w:rsidRDefault="00F11C65">
      <w:pPr>
        <w:pStyle w:val="FootnoteText"/>
      </w:pPr>
      <w:r w:rsidRPr="00A96110">
        <w:rPr>
          <w:rStyle w:val="FootnoteReference"/>
        </w:rPr>
        <w:footnoteRef/>
      </w:r>
      <w:r w:rsidRPr="00C6580C">
        <w:t xml:space="preserve"> </w:t>
      </w:r>
      <w:r w:rsidRPr="00C6580C">
        <w:rPr>
          <w:i/>
        </w:rPr>
        <w:t xml:space="preserve">See ex parte </w:t>
      </w:r>
      <w:r w:rsidRPr="00C6580C">
        <w:t>Letter from Catherine Seidel, Motorola Solutions, Inc. to Marlene Dortch, Secretary, FCC (April 11, 2012) (stating that ETSI DMR-standard equipment, and APCO Project 25, Phase II technologies are capable of realizing two voice or data channels within a 12.5 kHz channel).</w:t>
      </w:r>
    </w:p>
  </w:footnote>
  <w:footnote w:id="120">
    <w:p w14:paraId="1F4115FE" w14:textId="77777777" w:rsidR="00F11C65" w:rsidRDefault="00F11C65">
      <w:pPr>
        <w:pStyle w:val="FootnoteText"/>
      </w:pPr>
      <w:r w:rsidRPr="00A96110">
        <w:rPr>
          <w:rStyle w:val="FootnoteReference"/>
        </w:rPr>
        <w:footnoteRef/>
      </w:r>
      <w:r w:rsidRPr="00C6580C">
        <w:rPr>
          <w:lang w:val="fr-FR"/>
        </w:rPr>
        <w:t xml:space="preserve"> 47 C.F.R. §§ 1.1200 </w:t>
      </w:r>
      <w:r w:rsidRPr="00C6580C">
        <w:rPr>
          <w:i/>
          <w:iCs/>
          <w:lang w:val="fr-FR"/>
        </w:rPr>
        <w:t>et seq.</w:t>
      </w:r>
    </w:p>
  </w:footnote>
  <w:footnote w:id="121">
    <w:p w14:paraId="1EF56A12" w14:textId="77777777" w:rsidR="00F11C65" w:rsidRDefault="00F11C65">
      <w:pPr>
        <w:pStyle w:val="FootnoteText"/>
      </w:pPr>
      <w:r w:rsidRPr="00A96110">
        <w:rPr>
          <w:rStyle w:val="FootnoteReference"/>
        </w:rPr>
        <w:footnoteRef/>
      </w:r>
      <w:r w:rsidRPr="00C6580C">
        <w:rPr>
          <w:lang w:val="fr-FR"/>
        </w:rPr>
        <w:t xml:space="preserve"> 47 C.F.R. § 1.1206(b).</w:t>
      </w:r>
    </w:p>
  </w:footnote>
  <w:footnote w:id="122">
    <w:p w14:paraId="47F3023D" w14:textId="77777777" w:rsidR="00F11C65" w:rsidRDefault="00F11C65">
      <w:pPr>
        <w:pStyle w:val="FootnoteText"/>
      </w:pPr>
      <w:r w:rsidRPr="00A96110">
        <w:rPr>
          <w:rStyle w:val="FootnoteReference"/>
        </w:rPr>
        <w:footnoteRef/>
      </w:r>
      <w:r w:rsidRPr="00C6580C">
        <w:t xml:space="preserve"> 47 C.F.R. § 1.49(f).</w:t>
      </w:r>
    </w:p>
  </w:footnote>
  <w:footnote w:id="123">
    <w:p w14:paraId="50A9C5DC" w14:textId="77777777" w:rsidR="00F11C65" w:rsidRDefault="00F11C65">
      <w:pPr>
        <w:pStyle w:val="FootnoteText"/>
      </w:pPr>
      <w:r w:rsidRPr="00A96110">
        <w:rPr>
          <w:rStyle w:val="FootnoteReference"/>
        </w:rPr>
        <w:footnoteRef/>
      </w:r>
      <w:r w:rsidRPr="00C6580C">
        <w:t xml:space="preserve"> 5 U.S.C. § 603.</w:t>
      </w:r>
    </w:p>
  </w:footnote>
  <w:footnote w:id="124">
    <w:p w14:paraId="1C1871C0" w14:textId="77777777" w:rsidR="00F11C65" w:rsidRDefault="001C4E81" w:rsidP="004F1C68">
      <w:pPr>
        <w:pStyle w:val="FootnoteText"/>
      </w:pPr>
      <w:r w:rsidRPr="00A96110">
        <w:rPr>
          <w:rStyle w:val="FootnoteReference"/>
        </w:rPr>
        <w:footnoteRef/>
      </w:r>
      <w:r w:rsidR="00F11C65" w:rsidRPr="00C6580C">
        <w:t xml:space="preserve"> </w:t>
      </w:r>
      <w:r w:rsidR="00F11C65" w:rsidRPr="00C6580C">
        <w:rPr>
          <w:i/>
        </w:rPr>
        <w:t>See</w:t>
      </w:r>
      <w:r w:rsidR="00F11C65" w:rsidRPr="00C6580C">
        <w:t xml:space="preserve"> 5 U.S.C. § 603.  The RFA, </w:t>
      </w:r>
      <w:r w:rsidR="00F11C65" w:rsidRPr="00C6580C">
        <w:rPr>
          <w:i/>
        </w:rPr>
        <w:t>see</w:t>
      </w:r>
      <w:r w:rsidR="00F11C65" w:rsidRPr="00C6580C">
        <w:t xml:space="preserve"> 5 U.S.C. §§ 601–612, has been amended by the Small Business Regulatory Enforcement Fairness Act of 1996 (SBREFA), Pub. L. No. 104-121, Title II, 110 Stat. 857 (1996).</w:t>
      </w:r>
    </w:p>
  </w:footnote>
  <w:footnote w:id="125">
    <w:p w14:paraId="70D08AA5" w14:textId="77777777" w:rsidR="00F11C65" w:rsidRDefault="00F11C65" w:rsidP="004F1C68">
      <w:pPr>
        <w:pStyle w:val="FootnoteText"/>
      </w:pPr>
      <w:r w:rsidRPr="00A96110">
        <w:rPr>
          <w:rStyle w:val="FootnoteReference"/>
        </w:rPr>
        <w:footnoteRef/>
      </w:r>
      <w:r w:rsidRPr="00C6580C">
        <w:t xml:space="preserve"> </w:t>
      </w:r>
      <w:r w:rsidRPr="00C6580C">
        <w:rPr>
          <w:i/>
        </w:rPr>
        <w:t>See</w:t>
      </w:r>
      <w:r w:rsidRPr="00C6580C">
        <w:t xml:space="preserve"> 5 U.S.C. § 603(a).</w:t>
      </w:r>
    </w:p>
  </w:footnote>
  <w:footnote w:id="126">
    <w:p w14:paraId="0B63C91E" w14:textId="77777777" w:rsidR="00F11C65" w:rsidRDefault="00F11C65" w:rsidP="004F1C68">
      <w:pPr>
        <w:pStyle w:val="FootnoteText"/>
      </w:pPr>
      <w:r w:rsidRPr="00A96110">
        <w:rPr>
          <w:rStyle w:val="FootnoteReference"/>
        </w:rPr>
        <w:footnoteRef/>
      </w:r>
      <w:r w:rsidRPr="00C6580C">
        <w:t xml:space="preserve"> </w:t>
      </w:r>
      <w:r w:rsidRPr="00C6580C">
        <w:rPr>
          <w:i/>
        </w:rPr>
        <w:t>Id.</w:t>
      </w:r>
    </w:p>
  </w:footnote>
  <w:footnote w:id="127">
    <w:p w14:paraId="0E272A0A" w14:textId="77777777" w:rsidR="00F11C65" w:rsidRDefault="00F11C65" w:rsidP="004F1C68">
      <w:pPr>
        <w:pStyle w:val="FootnoteText"/>
      </w:pPr>
      <w:r w:rsidRPr="00A96110">
        <w:rPr>
          <w:rStyle w:val="FootnoteReference"/>
          <w:spacing w:val="-2"/>
        </w:rPr>
        <w:footnoteRef/>
      </w:r>
      <w:r w:rsidRPr="00C6580C">
        <w:rPr>
          <w:spacing w:val="-2"/>
        </w:rPr>
        <w:t xml:space="preserve"> 5 U.S.C. § 603(b)(3). </w:t>
      </w:r>
    </w:p>
  </w:footnote>
  <w:footnote w:id="128">
    <w:p w14:paraId="0F848692" w14:textId="77777777" w:rsidR="00F11C65" w:rsidRDefault="00F11C65" w:rsidP="004F1C68">
      <w:pPr>
        <w:pStyle w:val="FootnoteText"/>
      </w:pPr>
      <w:r w:rsidRPr="00A96110">
        <w:rPr>
          <w:rStyle w:val="FootnoteReference"/>
          <w:spacing w:val="-2"/>
        </w:rPr>
        <w:footnoteRef/>
      </w:r>
      <w:r w:rsidRPr="00C6580C">
        <w:rPr>
          <w:spacing w:val="-2"/>
        </w:rPr>
        <w:t xml:space="preserve"> 5 U.S.C. § 601(6).      </w:t>
      </w:r>
    </w:p>
  </w:footnote>
  <w:footnote w:id="129">
    <w:p w14:paraId="6A2B46B5" w14:textId="77777777" w:rsidR="00F11C65" w:rsidRDefault="00F11C65" w:rsidP="004F1C68">
      <w:pPr>
        <w:pStyle w:val="FootnoteText"/>
      </w:pPr>
      <w:r w:rsidRPr="00A96110">
        <w:rPr>
          <w:rStyle w:val="FootnoteReference"/>
          <w:spacing w:val="-2"/>
        </w:rPr>
        <w:footnoteRef/>
      </w:r>
      <w:r w:rsidRPr="00C6580C">
        <w:rPr>
          <w:spacing w:val="-2"/>
        </w:rP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C6580C">
        <w:rPr>
          <w:i/>
          <w:spacing w:val="-2"/>
        </w:rPr>
        <w:t>Id.</w:t>
      </w:r>
    </w:p>
  </w:footnote>
  <w:footnote w:id="130">
    <w:p w14:paraId="19448C63" w14:textId="77777777" w:rsidR="00F11C65" w:rsidRDefault="00F11C65" w:rsidP="004F1C68">
      <w:pPr>
        <w:pStyle w:val="FootnoteText"/>
      </w:pPr>
      <w:r w:rsidRPr="00A96110">
        <w:rPr>
          <w:rStyle w:val="FootnoteReference"/>
          <w:spacing w:val="-2"/>
        </w:rPr>
        <w:footnoteRef/>
      </w:r>
      <w:r w:rsidRPr="00C6580C">
        <w:rPr>
          <w:spacing w:val="-2"/>
        </w:rPr>
        <w:t xml:space="preserve"> Small Business Act, 15 U.S.C. § 632 (1996).</w:t>
      </w:r>
    </w:p>
  </w:footnote>
  <w:footnote w:id="131">
    <w:p w14:paraId="75CA6463" w14:textId="2AF2639B" w:rsidR="00F11C65" w:rsidRDefault="00F11C65" w:rsidP="004F1C68">
      <w:pPr>
        <w:pStyle w:val="FootnoteText"/>
      </w:pPr>
      <w:r w:rsidRPr="00A96110">
        <w:rPr>
          <w:rStyle w:val="FootnoteReference"/>
        </w:rPr>
        <w:footnoteRef/>
      </w:r>
      <w:r w:rsidRPr="00C6580C">
        <w:t xml:space="preserve">  </w:t>
      </w:r>
      <w:hyperlink r:id="rId1" w:history="1">
        <w:r w:rsidRPr="00C6580C">
          <w:rPr>
            <w:rStyle w:val="Hyperlink"/>
          </w:rPr>
          <w:t>http://www.census.gov/cgi-bin/sssd/naics/naicsrch?code=517210&amp;search=2007%20NAICS%20Search</w:t>
        </w:r>
      </w:hyperlink>
    </w:p>
  </w:footnote>
  <w:footnote w:id="132">
    <w:p w14:paraId="707A3388" w14:textId="77777777" w:rsidR="00F11C65" w:rsidRDefault="00F11C65" w:rsidP="004F1C68">
      <w:pPr>
        <w:pStyle w:val="FootnoteText"/>
        <w:spacing w:line="120" w:lineRule="atLeast"/>
      </w:pPr>
      <w:r w:rsidRPr="00A96110">
        <w:rPr>
          <w:rStyle w:val="FootnoteReference"/>
        </w:rPr>
        <w:footnoteRef/>
      </w:r>
      <w:r w:rsidRPr="00C6580C">
        <w:t xml:space="preserve"> 13 C.F.R. § 121.201, NAICS code 517210.</w:t>
      </w:r>
    </w:p>
  </w:footnote>
  <w:footnote w:id="133">
    <w:p w14:paraId="1B17D521" w14:textId="77777777" w:rsidR="00F11C65" w:rsidRDefault="00F11C65" w:rsidP="004F1C68">
      <w:pPr>
        <w:pStyle w:val="FootnoteText"/>
      </w:pPr>
      <w:r w:rsidRPr="00A96110">
        <w:rPr>
          <w:rStyle w:val="FootnoteReference"/>
        </w:rPr>
        <w:footnoteRef/>
      </w:r>
      <w:r w:rsidRPr="00C6580C">
        <w:t xml:space="preserve"> U.S. Census Bureau, Subject Series: Information, Table 5, “Establishment and Firm Size: Employment Size of Firms for the United States: 2007 NAICS Code 517210” (issued Nov. 2010).</w:t>
      </w:r>
    </w:p>
  </w:footnote>
  <w:footnote w:id="134">
    <w:p w14:paraId="7C581C0A" w14:textId="77777777" w:rsidR="00F11C65" w:rsidRDefault="00F11C65" w:rsidP="004F1C68">
      <w:pPr>
        <w:pStyle w:val="FootnoteText"/>
      </w:pPr>
      <w:r w:rsidRPr="00A96110">
        <w:rPr>
          <w:rStyle w:val="FootnoteReference"/>
        </w:rPr>
        <w:footnoteRef/>
      </w:r>
      <w:r w:rsidRPr="00C6580C">
        <w:t xml:space="preserve"> http://factfinder2.census.gov/faces/tableservices/jsf/pages/productview.xhtml?pid=ECN_2007_US_51SSSZ2&amp;prodType=table</w:t>
      </w:r>
      <w:r w:rsidRPr="00C6580C">
        <w:rPr>
          <w:i/>
        </w:rPr>
        <w:t>Id</w:t>
      </w:r>
      <w:r w:rsidRPr="00C6580C">
        <w:t>.  Available census data do not provide a more precise estimate of the number of firms that have employment of 1,500 or fewer employees; the largest category provided is for firms with “100 employees or more.”</w:t>
      </w:r>
    </w:p>
  </w:footnote>
  <w:footnote w:id="135">
    <w:p w14:paraId="5B38AFA8" w14:textId="77777777" w:rsidR="00F11C65" w:rsidRPr="00C94A89" w:rsidRDefault="00F11C65" w:rsidP="004F1C68">
      <w:pPr>
        <w:pStyle w:val="FootnoteText"/>
        <w:rPr>
          <w:i/>
        </w:rPr>
      </w:pPr>
      <w:r w:rsidRPr="00A96110">
        <w:rPr>
          <w:rStyle w:val="FootnoteReference"/>
        </w:rPr>
        <w:footnoteRef/>
      </w:r>
      <w:r w:rsidRPr="00C6580C">
        <w:rPr>
          <w:i/>
        </w:rPr>
        <w:t>See http://factfinder2.census.gov/faces/tableservices/jsf/pages/productview.xhtml?pid=ECN_2007_US_51SSSZ2&amp;prodType=table</w:t>
      </w:r>
    </w:p>
  </w:footnote>
  <w:footnote w:id="136">
    <w:p w14:paraId="28B79BF8" w14:textId="77777777" w:rsidR="008B0DEB" w:rsidRDefault="008B0DEB" w:rsidP="008B0DEB">
      <w:pPr>
        <w:pStyle w:val="FootnoteText"/>
      </w:pPr>
      <w:r>
        <w:rPr>
          <w:rStyle w:val="FootnoteReference"/>
        </w:rPr>
        <w:footnoteRef/>
      </w:r>
      <w:r>
        <w:rPr>
          <w:i/>
        </w:rPr>
        <w:t xml:space="preserve"> See</w:t>
      </w:r>
      <w:r>
        <w:t xml:space="preserve"> 5 U.S.C. § 601(3)–(6).</w:t>
      </w:r>
    </w:p>
  </w:footnote>
  <w:footnote w:id="137">
    <w:p w14:paraId="26E74E10" w14:textId="77777777" w:rsidR="008B0DEB" w:rsidRDefault="008B0DEB" w:rsidP="008B0DEB">
      <w:pPr>
        <w:pStyle w:val="FootnoteText"/>
      </w:pPr>
      <w:r w:rsidRPr="005A3505">
        <w:rPr>
          <w:rStyle w:val="FootnoteReference"/>
        </w:rPr>
        <w:footnoteRef/>
      </w:r>
      <w:r>
        <w:rPr>
          <w:i/>
        </w:rPr>
        <w:t xml:space="preserve"> </w:t>
      </w:r>
      <w:r w:rsidRPr="005A3505">
        <w:rPr>
          <w:i/>
        </w:rPr>
        <w:t>See</w:t>
      </w:r>
      <w:r w:rsidRPr="005A3505">
        <w:t xml:space="preserve"> SBA, Office of Advocacy, “Frequently Asked Questions,”</w:t>
      </w:r>
      <w:r>
        <w:t xml:space="preserve"> </w:t>
      </w:r>
      <w:r w:rsidRPr="00C117B9">
        <w:t>available at</w:t>
      </w:r>
      <w:r w:rsidRPr="00A7777D">
        <w:t xml:space="preserve"> </w:t>
      </w:r>
      <w:r w:rsidRPr="00C117B9">
        <w:t>http://web.sba.gov/faqs/faqindex.cfm?areaID=24</w:t>
      </w:r>
      <w:r>
        <w:t xml:space="preserve"> (</w:t>
      </w:r>
      <w:r w:rsidRPr="00C117B9">
        <w:t>last visited</w:t>
      </w:r>
      <w:r>
        <w:rPr>
          <w:i/>
        </w:rPr>
        <w:t xml:space="preserve"> </w:t>
      </w:r>
      <w:r>
        <w:t>Aug. 31, 2012)</w:t>
      </w:r>
      <w:r w:rsidRPr="005A3505">
        <w:t>.</w:t>
      </w:r>
    </w:p>
  </w:footnote>
  <w:footnote w:id="138">
    <w:p w14:paraId="12AA94E8" w14:textId="77777777" w:rsidR="008B0DEB" w:rsidRDefault="008B0DEB" w:rsidP="008B0DEB">
      <w:pPr>
        <w:pStyle w:val="FootnoteText"/>
      </w:pPr>
      <w:r>
        <w:rPr>
          <w:rStyle w:val="FootnoteReference"/>
        </w:rPr>
        <w:footnoteRef/>
      </w:r>
      <w:r>
        <w:rPr>
          <w:spacing w:val="-2"/>
        </w:rPr>
        <w:t xml:space="preserve"> 5 U.S.C.</w:t>
      </w:r>
      <w:r>
        <w:t xml:space="preserve"> § 601(4).</w:t>
      </w:r>
    </w:p>
  </w:footnote>
  <w:footnote w:id="139">
    <w:p w14:paraId="351F3AA2" w14:textId="77777777" w:rsidR="008B0DEB" w:rsidRDefault="008B0DEB" w:rsidP="008B0DEB">
      <w:pPr>
        <w:pStyle w:val="FootnoteText"/>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140">
    <w:p w14:paraId="0A193518" w14:textId="77777777" w:rsidR="008B0DEB" w:rsidRDefault="008B0DEB" w:rsidP="008B0DEB">
      <w:pPr>
        <w:pStyle w:val="FootnoteText"/>
      </w:pPr>
      <w:r>
        <w:rPr>
          <w:rStyle w:val="FootnoteReference"/>
          <w:spacing w:val="-2"/>
        </w:rPr>
        <w:footnoteRef/>
      </w:r>
      <w:r>
        <w:t xml:space="preserve"> 5 U.S.C. § 601(5).</w:t>
      </w:r>
    </w:p>
  </w:footnote>
  <w:footnote w:id="141">
    <w:p w14:paraId="04167DD7" w14:textId="7967D57A" w:rsidR="008B0DEB" w:rsidRDefault="008B0DEB" w:rsidP="008B0DEB">
      <w:pPr>
        <w:pStyle w:val="FootnoteText"/>
      </w:pPr>
      <w:r w:rsidRPr="001B1A29">
        <w:rPr>
          <w:rStyle w:val="FootnoteReference"/>
        </w:rPr>
        <w:footnoteRef/>
      </w:r>
      <w:r>
        <w:t xml:space="preserve"> </w:t>
      </w:r>
      <w:smartTag w:uri="urn:schemas-microsoft-com:office:smarttags" w:element="place">
        <w:smartTag w:uri="urn:schemas-microsoft-com:office:smarttags" w:element="country-region">
          <w:r w:rsidRPr="001B1A29">
            <w:t>U.S.</w:t>
          </w:r>
        </w:smartTag>
      </w:smartTag>
      <w:r w:rsidRPr="001B1A29">
        <w:t xml:space="preserve"> </w:t>
      </w:r>
      <w:r>
        <w:t>CENSUS BUREAU, STATISTICAL ABSTRACT OF THE UNITED STATES</w:t>
      </w:r>
      <w:r w:rsidRPr="001B1A29">
        <w:t>: 2011</w:t>
      </w:r>
      <w:r>
        <w:t>, Table 427 (2007)</w:t>
      </w:r>
      <w:r>
        <w:rPr>
          <w:rStyle w:val="Footnote"/>
        </w:rPr>
        <w:t>.</w:t>
      </w:r>
    </w:p>
  </w:footnote>
  <w:footnote w:id="142">
    <w:p w14:paraId="6DE64358" w14:textId="46FC2669" w:rsidR="008B0DEB" w:rsidRDefault="008B0DEB" w:rsidP="008B0DEB">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2" w:history="1">
        <w:r w:rsidRPr="006F3AAB">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143">
    <w:p w14:paraId="35B2878C" w14:textId="1FCBE881" w:rsidR="00F11C65" w:rsidRDefault="00F11C65" w:rsidP="004F1C68">
      <w:pPr>
        <w:pStyle w:val="FootnoteText"/>
      </w:pPr>
      <w:r w:rsidRPr="00A96110">
        <w:rPr>
          <w:rStyle w:val="FootnoteReference"/>
        </w:rPr>
        <w:footnoteRef/>
      </w:r>
      <w:r w:rsidRPr="00C6580C">
        <w:t xml:space="preserve"> The NAICS Code for this service 334220.  </w:t>
      </w:r>
      <w:r w:rsidRPr="00C6580C">
        <w:rPr>
          <w:i/>
        </w:rPr>
        <w:t>See</w:t>
      </w:r>
      <w:r w:rsidRPr="00C6580C">
        <w:t xml:space="preserve"> 13 C.F.R </w:t>
      </w:r>
      <w:r>
        <w:t xml:space="preserve">§ </w:t>
      </w:r>
      <w:r w:rsidRPr="00C6580C">
        <w:t>121</w:t>
      </w:r>
      <w:r>
        <w:t>.</w:t>
      </w:r>
      <w:r w:rsidRPr="00C6580C">
        <w:t xml:space="preserve">201.  </w:t>
      </w:r>
      <w:r w:rsidRPr="00C6580C">
        <w:rPr>
          <w:i/>
        </w:rPr>
        <w:t>See also</w:t>
      </w:r>
      <w:r w:rsidRPr="00C6580C">
        <w:t xml:space="preserve"> </w:t>
      </w:r>
      <w:hyperlink r:id="rId3" w:history="1">
        <w:r w:rsidRPr="00C6580C">
          <w:rPr>
            <w:rStyle w:val="Hyperlink"/>
          </w:rPr>
          <w:t>http://factfinder.census.gov/servlet/IBQTable?_bm=y&amp;-fds_name=EC0700A1&amp;-geo_id=&amp;-_skip=300&amp;-ds_name=EC0731SG2&amp;-_lang=en</w:t>
        </w:r>
      </w:hyperlink>
      <w:r w:rsidRPr="00C6580C">
        <w:t xml:space="preserve"> </w:t>
      </w:r>
    </w:p>
  </w:footnote>
  <w:footnote w:id="144">
    <w:p w14:paraId="1D06D403" w14:textId="22A12C09" w:rsidR="00F11C65" w:rsidRDefault="00F11C65" w:rsidP="001B1A29">
      <w:pPr>
        <w:pStyle w:val="FootnoteText"/>
      </w:pPr>
      <w:r w:rsidRPr="00A96110">
        <w:rPr>
          <w:rStyle w:val="FootnoteReference"/>
        </w:rPr>
        <w:footnoteRef/>
      </w:r>
      <w:r w:rsidRPr="00A96110">
        <w:t xml:space="preserve"> </w:t>
      </w:r>
      <w:r w:rsidRPr="00A72279">
        <w:rPr>
          <w:i/>
        </w:rPr>
        <w:t xml:space="preserve">See </w:t>
      </w:r>
      <w:hyperlink r:id="rId4" w:tooltip="http://factfinder.census.gov/servlet/IBQTable?_bm=y&amp;-geo_id=&amp;-fds_name=EC0700A1&amp;-_skip=4500&amp;-ds_name=EC0731SG3&amp;-_lang=en" w:history="1">
        <w:r w:rsidRPr="00A96110">
          <w:rPr>
            <w:rStyle w:val="Hyperlink"/>
          </w:rPr>
          <w:t>http://factfinder.census.gov/servlet/IBQTable?_bm=y&amp;-geo_id=&amp;-fds_name=EC0700A1&amp;-_skip=4500&amp;-ds_name=EC0731SG3&amp;-_lang=en</w:t>
        </w:r>
      </w:hyperlink>
    </w:p>
  </w:footnote>
  <w:footnote w:id="145">
    <w:p w14:paraId="2A003BE0" w14:textId="77777777" w:rsidR="00F11C65" w:rsidRPr="00891E48" w:rsidRDefault="00F11C65" w:rsidP="006D656A">
      <w:pPr>
        <w:pStyle w:val="FootnoteText"/>
        <w:spacing w:before="120"/>
      </w:pPr>
      <w:r w:rsidRPr="00A96110">
        <w:rPr>
          <w:rStyle w:val="FootnoteReference"/>
        </w:rPr>
        <w:footnoteRef/>
      </w:r>
      <w:r w:rsidRPr="00891E48">
        <w:t xml:space="preserve"> </w:t>
      </w:r>
      <w:r w:rsidRPr="00C6580C">
        <w:rPr>
          <w:i/>
        </w:rPr>
        <w:t>See</w:t>
      </w:r>
      <w:r w:rsidRPr="00C6580C">
        <w:t xml:space="preserve"> 13 C.F.R </w:t>
      </w:r>
      <w:r>
        <w:t xml:space="preserve"> § 121.201.  </w:t>
      </w:r>
      <w:r w:rsidRPr="006D656A">
        <w:rPr>
          <w:i/>
        </w:rPr>
        <w:t>See</w:t>
      </w:r>
      <w:r>
        <w:rPr>
          <w:i/>
        </w:rPr>
        <w:t>, e.g.,</w:t>
      </w:r>
      <w:r>
        <w:t xml:space="preserve"> </w:t>
      </w:r>
      <w:r w:rsidRPr="006D656A">
        <w:rPr>
          <w:color w:val="000000"/>
        </w:rPr>
        <w:t xml:space="preserve">Replacement of Part 90 by Part 88 to Revise the Private Land Mobile Radio Services and Modify the Policies Governing Them, PR Docket 92-235, </w:t>
      </w:r>
      <w:r w:rsidRPr="006D656A">
        <w:rPr>
          <w:i/>
          <w:color w:val="000000"/>
        </w:rPr>
        <w:t>Second Report and Order</w:t>
      </w:r>
      <w:r w:rsidRPr="006D656A">
        <w:rPr>
          <w:color w:val="000000"/>
        </w:rPr>
        <w:t>, 12 FCC Rcd 14307, 14353 (1997).</w:t>
      </w:r>
    </w:p>
  </w:footnote>
  <w:footnote w:id="146">
    <w:p w14:paraId="6605D079" w14:textId="77777777" w:rsidR="00F11C65" w:rsidRDefault="00F11C65">
      <w:pPr>
        <w:pStyle w:val="FootnoteText"/>
      </w:pPr>
      <w:r>
        <w:rPr>
          <w:rStyle w:val="FootnoteReference"/>
        </w:rPr>
        <w:footnoteRef/>
      </w:r>
      <w:r>
        <w:t xml:space="preserve"> </w:t>
      </w:r>
      <w:r w:rsidRPr="00C6580C">
        <w:rPr>
          <w:i/>
        </w:rPr>
        <w:t>See</w:t>
      </w:r>
      <w:r w:rsidRPr="00C6580C">
        <w:t xml:space="preserve"> 13 C.F.R </w:t>
      </w:r>
      <w:r>
        <w:t xml:space="preserve"> § 121.201.  </w:t>
      </w:r>
    </w:p>
  </w:footnote>
  <w:footnote w:id="147">
    <w:p w14:paraId="081B9278" w14:textId="77777777" w:rsidR="00F11C65" w:rsidRDefault="00F11C65" w:rsidP="004F1C68">
      <w:pPr>
        <w:pStyle w:val="FootnoteText"/>
      </w:pPr>
      <w:r w:rsidRPr="00A96110">
        <w:rPr>
          <w:rStyle w:val="FootnoteReference"/>
        </w:rPr>
        <w:footnoteRef/>
      </w:r>
      <w:r w:rsidRPr="00C6580C">
        <w:t xml:space="preserve"> 5 U.S.C. § 603(c)(1)-(4).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080D" w14:textId="77777777" w:rsidR="000716CA" w:rsidRDefault="00071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B746" w14:textId="05B8CF87" w:rsidR="00F11C65" w:rsidRDefault="00F11C65">
    <w:pPr>
      <w:pStyle w:val="Header"/>
      <w:pBdr>
        <w:bottom w:val="single" w:sz="12" w:space="1" w:color="auto"/>
      </w:pBdr>
      <w:rPr>
        <w:b w:val="0"/>
      </w:rPr>
    </w:pPr>
    <w:r>
      <w:tab/>
      <w:t>Federal Communications Commission</w:t>
    </w:r>
    <w:r>
      <w:tab/>
      <w:t>FCC 1</w:t>
    </w:r>
    <w:r w:rsidR="008801BD">
      <w:t>5</w:t>
    </w:r>
    <w:r>
      <w:t>-</w:t>
    </w:r>
    <w:r w:rsidR="001B1A29">
      <w:t>17</w:t>
    </w:r>
  </w:p>
  <w:p w14:paraId="2959BC51" w14:textId="77777777" w:rsidR="00F11C65" w:rsidRDefault="00F11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0CD99" w14:textId="6AA4502E" w:rsidR="00F11C65" w:rsidRDefault="00F11C65" w:rsidP="001B1A29">
    <w:pPr>
      <w:pStyle w:val="Header"/>
      <w:rPr>
        <w:b w:val="0"/>
      </w:rPr>
    </w:pPr>
    <w:r w:rsidRPr="001B1A29">
      <w:rPr>
        <w:noProof/>
        <w:snapToGrid/>
      </w:rPr>
      <mc:AlternateContent>
        <mc:Choice Requires="wps">
          <w:drawing>
            <wp:anchor distT="0" distB="0" distL="114300" distR="114300" simplePos="0" relativeHeight="251659264" behindDoc="1" locked="0" layoutInCell="0" allowOverlap="1" wp14:anchorId="0E336ECB" wp14:editId="662E130C">
              <wp:simplePos x="0" y="0"/>
              <wp:positionH relativeFrom="margin">
                <wp:posOffset>7620</wp:posOffset>
              </wp:positionH>
              <wp:positionV relativeFrom="paragraph">
                <wp:posOffset>160655</wp:posOffset>
              </wp:positionV>
              <wp:extent cx="5943600" cy="12065"/>
              <wp:effectExtent l="0" t="0" r="0" b="698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76gIAADY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C/ovz76gIAADY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sidR="001B1A29">
      <w:rPr>
        <w:spacing w:val="-2"/>
      </w:rPr>
      <w:t>FCC 15-17</w:t>
    </w:r>
  </w:p>
  <w:p w14:paraId="4B9C370E" w14:textId="77777777" w:rsidR="00F11C65" w:rsidRDefault="00F11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CB5236"/>
    <w:multiLevelType w:val="singleLevel"/>
    <w:tmpl w:val="97FC2BC8"/>
    <w:lvl w:ilvl="0">
      <w:start w:val="1"/>
      <w:numFmt w:val="decimal"/>
      <w:pStyle w:val="ParaNumCharChar"/>
      <w:lvlText w:val="%1."/>
      <w:lvlJc w:val="left"/>
      <w:pPr>
        <w:tabs>
          <w:tab w:val="num" w:pos="1080"/>
        </w:tabs>
        <w:ind w:firstLine="720"/>
      </w:pPr>
      <w:rPr>
        <w:rFonts w:ascii="Times New Roman" w:hAnsi="Times New Roman" w:cs="Times New Roman" w:hint="default"/>
        <w:b w:val="0"/>
        <w:i w:val="0"/>
        <w:sz w:val="22"/>
        <w:szCs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8A209C"/>
    <w:multiLevelType w:val="hybridMultilevel"/>
    <w:tmpl w:val="5282B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86A66"/>
    <w:multiLevelType w:val="hybridMultilevel"/>
    <w:tmpl w:val="82022A2A"/>
    <w:lvl w:ilvl="0" w:tplc="F2344932">
      <w:start w:val="1"/>
      <w:numFmt w:val="decimal"/>
      <w:lvlText w:val="%1."/>
      <w:lvlJc w:val="left"/>
      <w:pPr>
        <w:ind w:left="288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
    <w:nsid w:val="12F31FCC"/>
    <w:multiLevelType w:val="hybridMultilevel"/>
    <w:tmpl w:val="215C4684"/>
    <w:lvl w:ilvl="0" w:tplc="91863A64">
      <w:start w:val="1"/>
      <w:numFmt w:val="decimal"/>
      <w:lvlText w:val="%1."/>
      <w:lvlJc w:val="left"/>
      <w:pPr>
        <w:tabs>
          <w:tab w:val="num" w:pos="1080"/>
        </w:tabs>
        <w:ind w:firstLine="720"/>
      </w:pPr>
      <w:rPr>
        <w:rFonts w:cs="Times New Roman"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7535BE"/>
    <w:multiLevelType w:val="hybridMultilevel"/>
    <w:tmpl w:val="C8C6DE2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8A11731"/>
    <w:multiLevelType w:val="hybridMultilevel"/>
    <w:tmpl w:val="B888F0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nsid w:val="213400D5"/>
    <w:multiLevelType w:val="hybridMultilevel"/>
    <w:tmpl w:val="58260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8336141"/>
    <w:multiLevelType w:val="hybridMultilevel"/>
    <w:tmpl w:val="7AD4B53A"/>
    <w:lvl w:ilvl="0" w:tplc="04090001">
      <w:start w:val="1"/>
      <w:numFmt w:val="bullet"/>
      <w:lvlText w:val=""/>
      <w:lvlJc w:val="left"/>
      <w:pPr>
        <w:tabs>
          <w:tab w:val="num" w:pos="720"/>
        </w:tabs>
        <w:ind w:left="720" w:hanging="360"/>
      </w:pPr>
      <w:rPr>
        <w:rFonts w:ascii="Symbol" w:hAnsi="Symbol" w:hint="default"/>
      </w:rPr>
    </w:lvl>
    <w:lvl w:ilvl="1" w:tplc="43940B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36FDE"/>
    <w:multiLevelType w:val="singleLevel"/>
    <w:tmpl w:val="47888604"/>
    <w:lvl w:ilvl="0">
      <w:start w:val="1"/>
      <w:numFmt w:val="decimal"/>
      <w:pStyle w:val="RuleNum"/>
      <w:lvlText w:val="%1."/>
      <w:lvlJc w:val="left"/>
      <w:pPr>
        <w:tabs>
          <w:tab w:val="num" w:pos="630"/>
        </w:tabs>
        <w:ind w:left="270"/>
      </w:pPr>
      <w:rPr>
        <w:rFonts w:cs="Times New Roman"/>
      </w:rPr>
    </w:lvl>
  </w:abstractNum>
  <w:abstractNum w:abstractNumId="14">
    <w:nsid w:val="2CD34514"/>
    <w:multiLevelType w:val="multilevel"/>
    <w:tmpl w:val="70FA8180"/>
    <w:lvl w:ilvl="0">
      <w:start w:val="5"/>
      <w:numFmt w:val="lowerLetter"/>
      <w:lvlText w:val="(%1)"/>
      <w:lvlJc w:val="left"/>
      <w:pPr>
        <w:tabs>
          <w:tab w:val="num" w:pos="420"/>
        </w:tabs>
        <w:ind w:left="420" w:hanging="360"/>
      </w:pPr>
      <w:rPr>
        <w:rFonts w:cs="Times New Roman" w:hint="default"/>
      </w:rPr>
    </w:lvl>
    <w:lvl w:ilvl="1">
      <w:start w:val="1"/>
      <w:numFmt w:val="decimal"/>
      <w:lvlText w:val="(%2)"/>
      <w:lvlJc w:val="left"/>
      <w:pPr>
        <w:tabs>
          <w:tab w:val="num" w:pos="1560"/>
        </w:tabs>
        <w:ind w:left="1560" w:hanging="4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E8271BA"/>
    <w:multiLevelType w:val="hybridMultilevel"/>
    <w:tmpl w:val="7CE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A8716A"/>
    <w:multiLevelType w:val="hybridMultilevel"/>
    <w:tmpl w:val="89A05354"/>
    <w:lvl w:ilvl="0" w:tplc="04090001">
      <w:start w:val="1"/>
      <w:numFmt w:val="bullet"/>
      <w:lvlText w:val=""/>
      <w:lvlJc w:val="left"/>
      <w:pPr>
        <w:tabs>
          <w:tab w:val="num" w:pos="720"/>
        </w:tabs>
        <w:ind w:left="720" w:hanging="360"/>
      </w:pPr>
      <w:rPr>
        <w:rFonts w:ascii="Symbol" w:hAnsi="Symbol" w:hint="default"/>
      </w:rPr>
    </w:lvl>
    <w:lvl w:ilvl="1" w:tplc="BC628FC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50BEE"/>
    <w:multiLevelType w:val="hybridMultilevel"/>
    <w:tmpl w:val="A5D45872"/>
    <w:lvl w:ilvl="0" w:tplc="79621244">
      <w:start w:val="1"/>
      <w:numFmt w:val="decimal"/>
      <w:lvlText w:val="%1."/>
      <w:lvlJc w:val="left"/>
      <w:pPr>
        <w:tabs>
          <w:tab w:val="num" w:pos="1130"/>
        </w:tabs>
        <w:ind w:left="1130" w:hanging="360"/>
      </w:pPr>
      <w:rPr>
        <w:rFonts w:cs="Times New Roman" w:hint="default"/>
      </w:rPr>
    </w:lvl>
    <w:lvl w:ilvl="1" w:tplc="04090019" w:tentative="1">
      <w:start w:val="1"/>
      <w:numFmt w:val="lowerLetter"/>
      <w:lvlText w:val="%2."/>
      <w:lvlJc w:val="left"/>
      <w:pPr>
        <w:tabs>
          <w:tab w:val="num" w:pos="2840"/>
        </w:tabs>
        <w:ind w:left="2840" w:hanging="360"/>
      </w:pPr>
      <w:rPr>
        <w:rFonts w:cs="Times New Roman"/>
      </w:rPr>
    </w:lvl>
    <w:lvl w:ilvl="2" w:tplc="0409001B" w:tentative="1">
      <w:start w:val="1"/>
      <w:numFmt w:val="lowerRoman"/>
      <w:lvlText w:val="%3."/>
      <w:lvlJc w:val="right"/>
      <w:pPr>
        <w:tabs>
          <w:tab w:val="num" w:pos="3560"/>
        </w:tabs>
        <w:ind w:left="3560" w:hanging="180"/>
      </w:pPr>
      <w:rPr>
        <w:rFonts w:cs="Times New Roman"/>
      </w:rPr>
    </w:lvl>
    <w:lvl w:ilvl="3" w:tplc="0409000F" w:tentative="1">
      <w:start w:val="1"/>
      <w:numFmt w:val="decimal"/>
      <w:lvlText w:val="%4."/>
      <w:lvlJc w:val="left"/>
      <w:pPr>
        <w:tabs>
          <w:tab w:val="num" w:pos="4280"/>
        </w:tabs>
        <w:ind w:left="4280" w:hanging="360"/>
      </w:pPr>
      <w:rPr>
        <w:rFonts w:cs="Times New Roman"/>
      </w:rPr>
    </w:lvl>
    <w:lvl w:ilvl="4" w:tplc="04090019" w:tentative="1">
      <w:start w:val="1"/>
      <w:numFmt w:val="lowerLetter"/>
      <w:lvlText w:val="%5."/>
      <w:lvlJc w:val="left"/>
      <w:pPr>
        <w:tabs>
          <w:tab w:val="num" w:pos="5000"/>
        </w:tabs>
        <w:ind w:left="5000" w:hanging="360"/>
      </w:pPr>
      <w:rPr>
        <w:rFonts w:cs="Times New Roman"/>
      </w:rPr>
    </w:lvl>
    <w:lvl w:ilvl="5" w:tplc="0409001B" w:tentative="1">
      <w:start w:val="1"/>
      <w:numFmt w:val="lowerRoman"/>
      <w:lvlText w:val="%6."/>
      <w:lvlJc w:val="right"/>
      <w:pPr>
        <w:tabs>
          <w:tab w:val="num" w:pos="5720"/>
        </w:tabs>
        <w:ind w:left="5720" w:hanging="180"/>
      </w:pPr>
      <w:rPr>
        <w:rFonts w:cs="Times New Roman"/>
      </w:rPr>
    </w:lvl>
    <w:lvl w:ilvl="6" w:tplc="0409000F" w:tentative="1">
      <w:start w:val="1"/>
      <w:numFmt w:val="decimal"/>
      <w:lvlText w:val="%7."/>
      <w:lvlJc w:val="left"/>
      <w:pPr>
        <w:tabs>
          <w:tab w:val="num" w:pos="6440"/>
        </w:tabs>
        <w:ind w:left="6440" w:hanging="360"/>
      </w:pPr>
      <w:rPr>
        <w:rFonts w:cs="Times New Roman"/>
      </w:rPr>
    </w:lvl>
    <w:lvl w:ilvl="7" w:tplc="04090019" w:tentative="1">
      <w:start w:val="1"/>
      <w:numFmt w:val="lowerLetter"/>
      <w:lvlText w:val="%8."/>
      <w:lvlJc w:val="left"/>
      <w:pPr>
        <w:tabs>
          <w:tab w:val="num" w:pos="7160"/>
        </w:tabs>
        <w:ind w:left="7160" w:hanging="360"/>
      </w:pPr>
      <w:rPr>
        <w:rFonts w:cs="Times New Roman"/>
      </w:rPr>
    </w:lvl>
    <w:lvl w:ilvl="8" w:tplc="0409001B" w:tentative="1">
      <w:start w:val="1"/>
      <w:numFmt w:val="lowerRoman"/>
      <w:lvlText w:val="%9."/>
      <w:lvlJc w:val="right"/>
      <w:pPr>
        <w:tabs>
          <w:tab w:val="num" w:pos="7880"/>
        </w:tabs>
        <w:ind w:left="7880" w:hanging="180"/>
      </w:pPr>
      <w:rPr>
        <w:rFonts w:cs="Times New Roman"/>
      </w:rPr>
    </w:lvl>
  </w:abstractNum>
  <w:abstractNum w:abstractNumId="18">
    <w:nsid w:val="335035A3"/>
    <w:multiLevelType w:val="hybridMultilevel"/>
    <w:tmpl w:val="E46CA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C13B67"/>
    <w:multiLevelType w:val="hybridMultilevel"/>
    <w:tmpl w:val="4FCA6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8F960BE"/>
    <w:multiLevelType w:val="hybridMultilevel"/>
    <w:tmpl w:val="35EE7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0F1B3D"/>
    <w:multiLevelType w:val="singleLevel"/>
    <w:tmpl w:val="06D68F68"/>
    <w:lvl w:ilvl="0">
      <w:start w:val="1"/>
      <w:numFmt w:val="decimal"/>
      <w:pStyle w:val="ParaNumCharCharCharCharCharCharCharChar"/>
      <w:lvlText w:val="%1."/>
      <w:lvlJc w:val="left"/>
      <w:pPr>
        <w:tabs>
          <w:tab w:val="num" w:pos="1180"/>
        </w:tabs>
        <w:ind w:left="100" w:firstLine="780"/>
      </w:pPr>
      <w:rPr>
        <w:rFonts w:ascii="Times New Roman" w:hAnsi="Times New Roman" w:cs="Times New Roman" w:hint="default"/>
        <w:b w:val="0"/>
        <w:i w:val="0"/>
        <w:caps w:val="0"/>
        <w:strike w:val="0"/>
        <w:dstrike w:val="0"/>
        <w:vanish w:val="0"/>
        <w:color w:val="auto"/>
        <w:sz w:val="22"/>
        <w:szCs w:val="22"/>
        <w:u w:val="none"/>
        <w:vertAlign w:val="baseline"/>
      </w:rPr>
    </w:lvl>
  </w:abstractNum>
  <w:abstractNum w:abstractNumId="23">
    <w:nsid w:val="3F530B23"/>
    <w:multiLevelType w:val="hybridMultilevel"/>
    <w:tmpl w:val="F17A698C"/>
    <w:lvl w:ilvl="0" w:tplc="04090001">
      <w:start w:val="1"/>
      <w:numFmt w:val="bullet"/>
      <w:pStyle w:val="Style11ptJustifiedFirstline05After11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09C6DA9"/>
    <w:multiLevelType w:val="hybridMultilevel"/>
    <w:tmpl w:val="7CA67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F46CE5"/>
    <w:multiLevelType w:val="hybridMultilevel"/>
    <w:tmpl w:val="CF1AA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D408AC"/>
    <w:multiLevelType w:val="hybridMultilevel"/>
    <w:tmpl w:val="BB8EE4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BF07B28"/>
    <w:multiLevelType w:val="hybridMultilevel"/>
    <w:tmpl w:val="390AB9D4"/>
    <w:lvl w:ilvl="0" w:tplc="61F6767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3C60FE6"/>
    <w:multiLevelType w:val="hybridMultilevel"/>
    <w:tmpl w:val="41AE3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E22692"/>
    <w:multiLevelType w:val="hybridMultilevel"/>
    <w:tmpl w:val="CEA64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3">
    <w:nsid w:val="66AA5F65"/>
    <w:multiLevelType w:val="hybridMultilevel"/>
    <w:tmpl w:val="EC0AD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9"/>
  </w:num>
  <w:num w:numId="2">
    <w:abstractNumId w:val="22"/>
  </w:num>
  <w:num w:numId="3">
    <w:abstractNumId w:val="1"/>
  </w:num>
  <w:num w:numId="4">
    <w:abstractNumId w:val="27"/>
  </w:num>
  <w:num w:numId="5">
    <w:abstractNumId w:val="11"/>
  </w:num>
  <w:num w:numId="6">
    <w:abstractNumId w:val="14"/>
  </w:num>
  <w:num w:numId="7">
    <w:abstractNumId w:val="23"/>
  </w:num>
  <w:num w:numId="8">
    <w:abstractNumId w:val="31"/>
  </w:num>
  <w:num w:numId="9">
    <w:abstractNumId w:val="32"/>
  </w:num>
  <w:num w:numId="10">
    <w:abstractNumId w:val="32"/>
    <w:lvlOverride w:ilvl="0">
      <w:startOverride w:val="1"/>
    </w:lvlOverride>
  </w:num>
  <w:num w:numId="11">
    <w:abstractNumId w:val="8"/>
  </w:num>
  <w:num w:numId="12">
    <w:abstractNumId w:val="16"/>
  </w:num>
  <w:num w:numId="13">
    <w:abstractNumId w:val="12"/>
  </w:num>
  <w:num w:numId="14">
    <w:abstractNumId w:val="32"/>
  </w:num>
  <w:num w:numId="15">
    <w:abstractNumId w:val="32"/>
  </w:num>
  <w:num w:numId="16">
    <w:abstractNumId w:val="18"/>
  </w:num>
  <w:num w:numId="17">
    <w:abstractNumId w:val="15"/>
  </w:num>
  <w:num w:numId="18">
    <w:abstractNumId w:val="24"/>
  </w:num>
  <w:num w:numId="19">
    <w:abstractNumId w:val="30"/>
  </w:num>
  <w:num w:numId="20">
    <w:abstractNumId w:val="25"/>
  </w:num>
  <w:num w:numId="21">
    <w:abstractNumId w:val="33"/>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26"/>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32"/>
    <w:lvlOverride w:ilvl="0">
      <w:startOverride w:val="1"/>
    </w:lvlOverride>
  </w:num>
  <w:num w:numId="36">
    <w:abstractNumId w:val="3"/>
  </w:num>
  <w:num w:numId="37">
    <w:abstractNumId w:val="19"/>
  </w:num>
  <w:num w:numId="38">
    <w:abstractNumId w:val="7"/>
  </w:num>
  <w:num w:numId="3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6"/>
  </w:num>
  <w:num w:numId="42">
    <w:abstractNumId w:val="32"/>
    <w:lvlOverride w:ilvl="0">
      <w:startOverride w:val="3"/>
    </w:lvlOverride>
  </w:num>
  <w:num w:numId="43">
    <w:abstractNumId w:val="34"/>
  </w:num>
  <w:num w:numId="44">
    <w:abstractNumId w:val="20"/>
  </w:num>
  <w:num w:numId="45">
    <w:abstractNumId w:val="32"/>
  </w:num>
  <w:num w:numId="46">
    <w:abstractNumId w:val="32"/>
  </w:num>
  <w:num w:numId="47">
    <w:abstractNumId w:val="32"/>
  </w:num>
  <w:num w:numId="48">
    <w:abstractNumId w:val="32"/>
    <w:lvlOverride w:ilvl="0">
      <w:startOverride w:val="1"/>
    </w:lvlOverride>
  </w:num>
  <w:num w:numId="49">
    <w:abstractNumId w:val="32"/>
    <w:lvlOverride w:ilvl="0">
      <w:startOverride w:val="1"/>
    </w:lvlOverride>
  </w:num>
  <w:num w:numId="50">
    <w:abstractNumId w:val="4"/>
  </w:num>
  <w:num w:numId="51">
    <w:abstractNumId w:val="32"/>
  </w:num>
  <w:num w:numId="52">
    <w:abstractNumId w:val="32"/>
    <w:lvlOverride w:ilvl="0">
      <w:startOverride w:val="1"/>
    </w:lvlOverride>
  </w:num>
  <w:num w:numId="53">
    <w:abstractNumId w:val="28"/>
  </w:num>
  <w:num w:numId="54">
    <w:abstractNumId w:val="10"/>
  </w:num>
  <w:num w:numId="55">
    <w:abstractNumId w:val="2"/>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1F"/>
    <w:rsid w:val="00000090"/>
    <w:rsid w:val="00000BCC"/>
    <w:rsid w:val="00003536"/>
    <w:rsid w:val="00010264"/>
    <w:rsid w:val="0001383D"/>
    <w:rsid w:val="00014E16"/>
    <w:rsid w:val="00022BF9"/>
    <w:rsid w:val="00026F8E"/>
    <w:rsid w:val="000278B4"/>
    <w:rsid w:val="00030A68"/>
    <w:rsid w:val="00030F22"/>
    <w:rsid w:val="00035ED9"/>
    <w:rsid w:val="00040868"/>
    <w:rsid w:val="000451B7"/>
    <w:rsid w:val="00050A18"/>
    <w:rsid w:val="00051E8B"/>
    <w:rsid w:val="000553E1"/>
    <w:rsid w:val="0005741A"/>
    <w:rsid w:val="00067403"/>
    <w:rsid w:val="000716CA"/>
    <w:rsid w:val="0007659E"/>
    <w:rsid w:val="000849B7"/>
    <w:rsid w:val="00091FC1"/>
    <w:rsid w:val="000A2AC7"/>
    <w:rsid w:val="000A2E1F"/>
    <w:rsid w:val="000A3B43"/>
    <w:rsid w:val="000A7398"/>
    <w:rsid w:val="000B0CED"/>
    <w:rsid w:val="000B6EED"/>
    <w:rsid w:val="000B793A"/>
    <w:rsid w:val="000B7E34"/>
    <w:rsid w:val="000C6E4E"/>
    <w:rsid w:val="000D6613"/>
    <w:rsid w:val="000E4206"/>
    <w:rsid w:val="000E4687"/>
    <w:rsid w:val="000E47B3"/>
    <w:rsid w:val="0010240D"/>
    <w:rsid w:val="00102B7B"/>
    <w:rsid w:val="00107E69"/>
    <w:rsid w:val="001109D4"/>
    <w:rsid w:val="0011724E"/>
    <w:rsid w:val="00117289"/>
    <w:rsid w:val="00122549"/>
    <w:rsid w:val="00124B06"/>
    <w:rsid w:val="001277C7"/>
    <w:rsid w:val="00135B6A"/>
    <w:rsid w:val="001442BC"/>
    <w:rsid w:val="00145A63"/>
    <w:rsid w:val="00151982"/>
    <w:rsid w:val="00156EB1"/>
    <w:rsid w:val="00161E3C"/>
    <w:rsid w:val="00162225"/>
    <w:rsid w:val="00167F03"/>
    <w:rsid w:val="00173DEC"/>
    <w:rsid w:val="00182979"/>
    <w:rsid w:val="00185715"/>
    <w:rsid w:val="0018599B"/>
    <w:rsid w:val="00186175"/>
    <w:rsid w:val="0019107D"/>
    <w:rsid w:val="001929B7"/>
    <w:rsid w:val="001B015C"/>
    <w:rsid w:val="001B1A29"/>
    <w:rsid w:val="001B322C"/>
    <w:rsid w:val="001B7676"/>
    <w:rsid w:val="001B7FD2"/>
    <w:rsid w:val="001C2A74"/>
    <w:rsid w:val="001C4E81"/>
    <w:rsid w:val="001C7447"/>
    <w:rsid w:val="001E08C3"/>
    <w:rsid w:val="001E247E"/>
    <w:rsid w:val="001F19BA"/>
    <w:rsid w:val="00206860"/>
    <w:rsid w:val="00211744"/>
    <w:rsid w:val="00211A92"/>
    <w:rsid w:val="00213B81"/>
    <w:rsid w:val="00214DD1"/>
    <w:rsid w:val="00231F60"/>
    <w:rsid w:val="00232A7B"/>
    <w:rsid w:val="00235AE0"/>
    <w:rsid w:val="00246E5D"/>
    <w:rsid w:val="00262820"/>
    <w:rsid w:val="0026502D"/>
    <w:rsid w:val="002712A5"/>
    <w:rsid w:val="00274C5E"/>
    <w:rsid w:val="00280DEA"/>
    <w:rsid w:val="00291E8D"/>
    <w:rsid w:val="002968F6"/>
    <w:rsid w:val="00297C19"/>
    <w:rsid w:val="002A42D0"/>
    <w:rsid w:val="002A6C78"/>
    <w:rsid w:val="002B0C8A"/>
    <w:rsid w:val="002B75D6"/>
    <w:rsid w:val="002C24A7"/>
    <w:rsid w:val="002D0F30"/>
    <w:rsid w:val="002D16D8"/>
    <w:rsid w:val="002D2B1C"/>
    <w:rsid w:val="002D3A5A"/>
    <w:rsid w:val="002E76B1"/>
    <w:rsid w:val="002F2CAC"/>
    <w:rsid w:val="00301681"/>
    <w:rsid w:val="00301E51"/>
    <w:rsid w:val="003100BF"/>
    <w:rsid w:val="003148C7"/>
    <w:rsid w:val="00314B11"/>
    <w:rsid w:val="00314C82"/>
    <w:rsid w:val="00315F79"/>
    <w:rsid w:val="0031648F"/>
    <w:rsid w:val="0033268A"/>
    <w:rsid w:val="0033276A"/>
    <w:rsid w:val="00336BCF"/>
    <w:rsid w:val="003375B5"/>
    <w:rsid w:val="0034060E"/>
    <w:rsid w:val="00341E47"/>
    <w:rsid w:val="00354EBC"/>
    <w:rsid w:val="00355A59"/>
    <w:rsid w:val="00355A5F"/>
    <w:rsid w:val="00374EED"/>
    <w:rsid w:val="00381AF6"/>
    <w:rsid w:val="0038672A"/>
    <w:rsid w:val="00393E5D"/>
    <w:rsid w:val="003A0A14"/>
    <w:rsid w:val="003A2D3D"/>
    <w:rsid w:val="003B078B"/>
    <w:rsid w:val="003B0CAC"/>
    <w:rsid w:val="003B17CB"/>
    <w:rsid w:val="003B21A9"/>
    <w:rsid w:val="003B3DB8"/>
    <w:rsid w:val="003B464D"/>
    <w:rsid w:val="003B5CA8"/>
    <w:rsid w:val="003B6018"/>
    <w:rsid w:val="003C0A66"/>
    <w:rsid w:val="003C2C7E"/>
    <w:rsid w:val="003C3509"/>
    <w:rsid w:val="003C36B9"/>
    <w:rsid w:val="003C46B4"/>
    <w:rsid w:val="003C49DE"/>
    <w:rsid w:val="003D43BE"/>
    <w:rsid w:val="003D63BB"/>
    <w:rsid w:val="003E0AE1"/>
    <w:rsid w:val="003E5F6D"/>
    <w:rsid w:val="003F2517"/>
    <w:rsid w:val="003F2B94"/>
    <w:rsid w:val="003F3B46"/>
    <w:rsid w:val="003F52C9"/>
    <w:rsid w:val="00401B06"/>
    <w:rsid w:val="00403D28"/>
    <w:rsid w:val="00407815"/>
    <w:rsid w:val="00410CA1"/>
    <w:rsid w:val="0041135C"/>
    <w:rsid w:val="004127A3"/>
    <w:rsid w:val="004174C3"/>
    <w:rsid w:val="004421B1"/>
    <w:rsid w:val="0044271F"/>
    <w:rsid w:val="00447598"/>
    <w:rsid w:val="00456276"/>
    <w:rsid w:val="00462E27"/>
    <w:rsid w:val="00463066"/>
    <w:rsid w:val="004634AF"/>
    <w:rsid w:val="004657C6"/>
    <w:rsid w:val="00470DB8"/>
    <w:rsid w:val="004734C2"/>
    <w:rsid w:val="00486495"/>
    <w:rsid w:val="0049467A"/>
    <w:rsid w:val="00495129"/>
    <w:rsid w:val="004A14D2"/>
    <w:rsid w:val="004A3BC2"/>
    <w:rsid w:val="004A665F"/>
    <w:rsid w:val="004C0048"/>
    <w:rsid w:val="004C68FC"/>
    <w:rsid w:val="004C788B"/>
    <w:rsid w:val="004D3E01"/>
    <w:rsid w:val="004D4391"/>
    <w:rsid w:val="004E4450"/>
    <w:rsid w:val="004E483A"/>
    <w:rsid w:val="004F1C68"/>
    <w:rsid w:val="004F2339"/>
    <w:rsid w:val="004F65EC"/>
    <w:rsid w:val="00501D61"/>
    <w:rsid w:val="005078B0"/>
    <w:rsid w:val="00510CA3"/>
    <w:rsid w:val="00513C7F"/>
    <w:rsid w:val="00515EEE"/>
    <w:rsid w:val="0052059C"/>
    <w:rsid w:val="00531FDF"/>
    <w:rsid w:val="00532119"/>
    <w:rsid w:val="00534FCB"/>
    <w:rsid w:val="00540CFD"/>
    <w:rsid w:val="005524FC"/>
    <w:rsid w:val="00560876"/>
    <w:rsid w:val="00560D29"/>
    <w:rsid w:val="0056478E"/>
    <w:rsid w:val="00564BB9"/>
    <w:rsid w:val="00571F78"/>
    <w:rsid w:val="005738E1"/>
    <w:rsid w:val="00575411"/>
    <w:rsid w:val="00577DD7"/>
    <w:rsid w:val="0059098E"/>
    <w:rsid w:val="005943FD"/>
    <w:rsid w:val="00594584"/>
    <w:rsid w:val="005951E7"/>
    <w:rsid w:val="005A5806"/>
    <w:rsid w:val="005A62C8"/>
    <w:rsid w:val="005A6724"/>
    <w:rsid w:val="005A7C7B"/>
    <w:rsid w:val="005B7C51"/>
    <w:rsid w:val="005C0690"/>
    <w:rsid w:val="005C58E7"/>
    <w:rsid w:val="005D555C"/>
    <w:rsid w:val="005D7B35"/>
    <w:rsid w:val="005E3D18"/>
    <w:rsid w:val="005E4773"/>
    <w:rsid w:val="005F4402"/>
    <w:rsid w:val="005F7392"/>
    <w:rsid w:val="00610C53"/>
    <w:rsid w:val="006121F4"/>
    <w:rsid w:val="006129ED"/>
    <w:rsid w:val="006149B4"/>
    <w:rsid w:val="006167F1"/>
    <w:rsid w:val="006215E1"/>
    <w:rsid w:val="006312B2"/>
    <w:rsid w:val="00631D49"/>
    <w:rsid w:val="00646296"/>
    <w:rsid w:val="00646597"/>
    <w:rsid w:val="00650A34"/>
    <w:rsid w:val="00660901"/>
    <w:rsid w:val="0066098B"/>
    <w:rsid w:val="00672E66"/>
    <w:rsid w:val="00676C4A"/>
    <w:rsid w:val="006965CB"/>
    <w:rsid w:val="00696727"/>
    <w:rsid w:val="006A2991"/>
    <w:rsid w:val="006A2F88"/>
    <w:rsid w:val="006A37F3"/>
    <w:rsid w:val="006B18A4"/>
    <w:rsid w:val="006C1109"/>
    <w:rsid w:val="006C5F19"/>
    <w:rsid w:val="006C7D87"/>
    <w:rsid w:val="006D519D"/>
    <w:rsid w:val="006D656A"/>
    <w:rsid w:val="006F01C8"/>
    <w:rsid w:val="006F145B"/>
    <w:rsid w:val="006F34D8"/>
    <w:rsid w:val="006F7AA0"/>
    <w:rsid w:val="007012FF"/>
    <w:rsid w:val="00703F32"/>
    <w:rsid w:val="00717234"/>
    <w:rsid w:val="007221D5"/>
    <w:rsid w:val="00731E5A"/>
    <w:rsid w:val="00737EFF"/>
    <w:rsid w:val="00746841"/>
    <w:rsid w:val="007474E3"/>
    <w:rsid w:val="007555B0"/>
    <w:rsid w:val="00761FE1"/>
    <w:rsid w:val="0076312E"/>
    <w:rsid w:val="007640FC"/>
    <w:rsid w:val="00770E39"/>
    <w:rsid w:val="00771A85"/>
    <w:rsid w:val="00774731"/>
    <w:rsid w:val="00775659"/>
    <w:rsid w:val="00775918"/>
    <w:rsid w:val="007770C0"/>
    <w:rsid w:val="007A0047"/>
    <w:rsid w:val="007A1122"/>
    <w:rsid w:val="007A1BD1"/>
    <w:rsid w:val="007A6838"/>
    <w:rsid w:val="007A6B75"/>
    <w:rsid w:val="007B0B7C"/>
    <w:rsid w:val="007B49ED"/>
    <w:rsid w:val="007B6D5C"/>
    <w:rsid w:val="007C2743"/>
    <w:rsid w:val="007C4165"/>
    <w:rsid w:val="007C51ED"/>
    <w:rsid w:val="007D6CE2"/>
    <w:rsid w:val="007E0976"/>
    <w:rsid w:val="007F00E8"/>
    <w:rsid w:val="007F144F"/>
    <w:rsid w:val="007F5992"/>
    <w:rsid w:val="007F6748"/>
    <w:rsid w:val="007F76E4"/>
    <w:rsid w:val="008023B0"/>
    <w:rsid w:val="008119F3"/>
    <w:rsid w:val="00821105"/>
    <w:rsid w:val="00826B7B"/>
    <w:rsid w:val="00834F8F"/>
    <w:rsid w:val="0083569F"/>
    <w:rsid w:val="00841506"/>
    <w:rsid w:val="0084397D"/>
    <w:rsid w:val="00843FDA"/>
    <w:rsid w:val="00855021"/>
    <w:rsid w:val="00863786"/>
    <w:rsid w:val="008767A6"/>
    <w:rsid w:val="008801BD"/>
    <w:rsid w:val="008801ED"/>
    <w:rsid w:val="00880A78"/>
    <w:rsid w:val="0088208A"/>
    <w:rsid w:val="00891E48"/>
    <w:rsid w:val="008A2B58"/>
    <w:rsid w:val="008A45A4"/>
    <w:rsid w:val="008A7157"/>
    <w:rsid w:val="008B0DEB"/>
    <w:rsid w:val="008B54FB"/>
    <w:rsid w:val="008D0ED5"/>
    <w:rsid w:val="008D36A1"/>
    <w:rsid w:val="008D3C2A"/>
    <w:rsid w:val="008D6AB7"/>
    <w:rsid w:val="008D7355"/>
    <w:rsid w:val="008E19A1"/>
    <w:rsid w:val="008F27D4"/>
    <w:rsid w:val="008F4226"/>
    <w:rsid w:val="008F5037"/>
    <w:rsid w:val="0090231E"/>
    <w:rsid w:val="00902474"/>
    <w:rsid w:val="00902A68"/>
    <w:rsid w:val="00903C4A"/>
    <w:rsid w:val="00904615"/>
    <w:rsid w:val="00915D99"/>
    <w:rsid w:val="00920936"/>
    <w:rsid w:val="00920E6F"/>
    <w:rsid w:val="009218C3"/>
    <w:rsid w:val="00930A48"/>
    <w:rsid w:val="00933380"/>
    <w:rsid w:val="0093674F"/>
    <w:rsid w:val="009375A6"/>
    <w:rsid w:val="009443F2"/>
    <w:rsid w:val="00946D08"/>
    <w:rsid w:val="009509A4"/>
    <w:rsid w:val="00952BBF"/>
    <w:rsid w:val="0096132A"/>
    <w:rsid w:val="009628B4"/>
    <w:rsid w:val="009658A5"/>
    <w:rsid w:val="00967567"/>
    <w:rsid w:val="00967DFC"/>
    <w:rsid w:val="0097205D"/>
    <w:rsid w:val="00980E56"/>
    <w:rsid w:val="00982BD0"/>
    <w:rsid w:val="00984478"/>
    <w:rsid w:val="00984733"/>
    <w:rsid w:val="00994AA3"/>
    <w:rsid w:val="00994C56"/>
    <w:rsid w:val="009959F5"/>
    <w:rsid w:val="00996C6F"/>
    <w:rsid w:val="009A32C7"/>
    <w:rsid w:val="009A382E"/>
    <w:rsid w:val="009B5335"/>
    <w:rsid w:val="009B5FA6"/>
    <w:rsid w:val="009D0520"/>
    <w:rsid w:val="009E4EFB"/>
    <w:rsid w:val="009F23E5"/>
    <w:rsid w:val="009F373B"/>
    <w:rsid w:val="009F70C6"/>
    <w:rsid w:val="009F7456"/>
    <w:rsid w:val="00A039BF"/>
    <w:rsid w:val="00A04602"/>
    <w:rsid w:val="00A10996"/>
    <w:rsid w:val="00A10F42"/>
    <w:rsid w:val="00A213F6"/>
    <w:rsid w:val="00A25BA7"/>
    <w:rsid w:val="00A27FE8"/>
    <w:rsid w:val="00A33DFA"/>
    <w:rsid w:val="00A3718C"/>
    <w:rsid w:val="00A376B3"/>
    <w:rsid w:val="00A468AA"/>
    <w:rsid w:val="00A52D8B"/>
    <w:rsid w:val="00A52E29"/>
    <w:rsid w:val="00A56C6E"/>
    <w:rsid w:val="00A56EE3"/>
    <w:rsid w:val="00A61D8E"/>
    <w:rsid w:val="00A72279"/>
    <w:rsid w:val="00A7661D"/>
    <w:rsid w:val="00A8189B"/>
    <w:rsid w:val="00A91B8B"/>
    <w:rsid w:val="00A9247E"/>
    <w:rsid w:val="00A96110"/>
    <w:rsid w:val="00AA0273"/>
    <w:rsid w:val="00AA6557"/>
    <w:rsid w:val="00AA7F5D"/>
    <w:rsid w:val="00AB7F55"/>
    <w:rsid w:val="00AC0B9F"/>
    <w:rsid w:val="00AC406F"/>
    <w:rsid w:val="00AD31EA"/>
    <w:rsid w:val="00AD77A2"/>
    <w:rsid w:val="00B01A99"/>
    <w:rsid w:val="00B03A7E"/>
    <w:rsid w:val="00B0521E"/>
    <w:rsid w:val="00B05BDA"/>
    <w:rsid w:val="00B107CF"/>
    <w:rsid w:val="00B12CE5"/>
    <w:rsid w:val="00B24A10"/>
    <w:rsid w:val="00B25004"/>
    <w:rsid w:val="00B27C98"/>
    <w:rsid w:val="00B3137B"/>
    <w:rsid w:val="00B34B1E"/>
    <w:rsid w:val="00B40A94"/>
    <w:rsid w:val="00B42CB5"/>
    <w:rsid w:val="00B46F20"/>
    <w:rsid w:val="00B4777B"/>
    <w:rsid w:val="00B510FF"/>
    <w:rsid w:val="00B512F5"/>
    <w:rsid w:val="00B6475F"/>
    <w:rsid w:val="00B6599B"/>
    <w:rsid w:val="00B667B4"/>
    <w:rsid w:val="00B677DA"/>
    <w:rsid w:val="00B74DE4"/>
    <w:rsid w:val="00B76973"/>
    <w:rsid w:val="00B90171"/>
    <w:rsid w:val="00B92D57"/>
    <w:rsid w:val="00B93E40"/>
    <w:rsid w:val="00B950F2"/>
    <w:rsid w:val="00B9557F"/>
    <w:rsid w:val="00B966C4"/>
    <w:rsid w:val="00BA2CB8"/>
    <w:rsid w:val="00BA302D"/>
    <w:rsid w:val="00BA48E5"/>
    <w:rsid w:val="00BA63E7"/>
    <w:rsid w:val="00BB2296"/>
    <w:rsid w:val="00BC3201"/>
    <w:rsid w:val="00BC652D"/>
    <w:rsid w:val="00BC654D"/>
    <w:rsid w:val="00BC6D2E"/>
    <w:rsid w:val="00BE0907"/>
    <w:rsid w:val="00BF6E3E"/>
    <w:rsid w:val="00C016B8"/>
    <w:rsid w:val="00C04D4F"/>
    <w:rsid w:val="00C056C4"/>
    <w:rsid w:val="00C077F9"/>
    <w:rsid w:val="00C12382"/>
    <w:rsid w:val="00C1739D"/>
    <w:rsid w:val="00C24583"/>
    <w:rsid w:val="00C2630B"/>
    <w:rsid w:val="00C3350A"/>
    <w:rsid w:val="00C3666C"/>
    <w:rsid w:val="00C37BBD"/>
    <w:rsid w:val="00C44AB5"/>
    <w:rsid w:val="00C45A15"/>
    <w:rsid w:val="00C46979"/>
    <w:rsid w:val="00C46F40"/>
    <w:rsid w:val="00C61B83"/>
    <w:rsid w:val="00C6580C"/>
    <w:rsid w:val="00C67551"/>
    <w:rsid w:val="00C722C8"/>
    <w:rsid w:val="00C74749"/>
    <w:rsid w:val="00C81872"/>
    <w:rsid w:val="00C86DC3"/>
    <w:rsid w:val="00C906B3"/>
    <w:rsid w:val="00C926B1"/>
    <w:rsid w:val="00C94A89"/>
    <w:rsid w:val="00C950AE"/>
    <w:rsid w:val="00C950D8"/>
    <w:rsid w:val="00C97C9F"/>
    <w:rsid w:val="00CA1A63"/>
    <w:rsid w:val="00CA2D28"/>
    <w:rsid w:val="00CB77E6"/>
    <w:rsid w:val="00CD0CD2"/>
    <w:rsid w:val="00CD1E1B"/>
    <w:rsid w:val="00CD7CAC"/>
    <w:rsid w:val="00CE0720"/>
    <w:rsid w:val="00CE29DA"/>
    <w:rsid w:val="00CE3D08"/>
    <w:rsid w:val="00CE5C90"/>
    <w:rsid w:val="00CE6301"/>
    <w:rsid w:val="00CE6651"/>
    <w:rsid w:val="00CF02AC"/>
    <w:rsid w:val="00CF37D0"/>
    <w:rsid w:val="00CF62FD"/>
    <w:rsid w:val="00D04CE9"/>
    <w:rsid w:val="00D12D4F"/>
    <w:rsid w:val="00D2108B"/>
    <w:rsid w:val="00D25DC4"/>
    <w:rsid w:val="00D27A1B"/>
    <w:rsid w:val="00D553D2"/>
    <w:rsid w:val="00D702E5"/>
    <w:rsid w:val="00D70C72"/>
    <w:rsid w:val="00D774D2"/>
    <w:rsid w:val="00D77F16"/>
    <w:rsid w:val="00D814CF"/>
    <w:rsid w:val="00D9248B"/>
    <w:rsid w:val="00D96E43"/>
    <w:rsid w:val="00DA1823"/>
    <w:rsid w:val="00DA7562"/>
    <w:rsid w:val="00DA7649"/>
    <w:rsid w:val="00DB4901"/>
    <w:rsid w:val="00DB7887"/>
    <w:rsid w:val="00DC1AA3"/>
    <w:rsid w:val="00DC609B"/>
    <w:rsid w:val="00DC6661"/>
    <w:rsid w:val="00DD3172"/>
    <w:rsid w:val="00DE1AAF"/>
    <w:rsid w:val="00DE4C27"/>
    <w:rsid w:val="00DE5FE6"/>
    <w:rsid w:val="00DE7AEB"/>
    <w:rsid w:val="00E06267"/>
    <w:rsid w:val="00E135E2"/>
    <w:rsid w:val="00E37137"/>
    <w:rsid w:val="00E42A73"/>
    <w:rsid w:val="00E457C6"/>
    <w:rsid w:val="00E511FF"/>
    <w:rsid w:val="00E512ED"/>
    <w:rsid w:val="00E5382A"/>
    <w:rsid w:val="00E62BE1"/>
    <w:rsid w:val="00E63E36"/>
    <w:rsid w:val="00E71E06"/>
    <w:rsid w:val="00E768B1"/>
    <w:rsid w:val="00E83C48"/>
    <w:rsid w:val="00E8741C"/>
    <w:rsid w:val="00E918DA"/>
    <w:rsid w:val="00E93778"/>
    <w:rsid w:val="00E94B61"/>
    <w:rsid w:val="00EA235E"/>
    <w:rsid w:val="00EA2EDF"/>
    <w:rsid w:val="00EA5E7F"/>
    <w:rsid w:val="00EA776B"/>
    <w:rsid w:val="00EC0F1C"/>
    <w:rsid w:val="00EC1CCD"/>
    <w:rsid w:val="00EC7F7D"/>
    <w:rsid w:val="00ED3BEA"/>
    <w:rsid w:val="00ED7A95"/>
    <w:rsid w:val="00EE6EAE"/>
    <w:rsid w:val="00EE7256"/>
    <w:rsid w:val="00EF29C8"/>
    <w:rsid w:val="00F076E1"/>
    <w:rsid w:val="00F1061B"/>
    <w:rsid w:val="00F11C65"/>
    <w:rsid w:val="00F13C72"/>
    <w:rsid w:val="00F17443"/>
    <w:rsid w:val="00F20C98"/>
    <w:rsid w:val="00F238EA"/>
    <w:rsid w:val="00F24029"/>
    <w:rsid w:val="00F27961"/>
    <w:rsid w:val="00F27FD2"/>
    <w:rsid w:val="00F36CA8"/>
    <w:rsid w:val="00F4028D"/>
    <w:rsid w:val="00F46CA2"/>
    <w:rsid w:val="00F503A9"/>
    <w:rsid w:val="00F55777"/>
    <w:rsid w:val="00F73351"/>
    <w:rsid w:val="00F741D7"/>
    <w:rsid w:val="00F74623"/>
    <w:rsid w:val="00F82EC0"/>
    <w:rsid w:val="00F900C1"/>
    <w:rsid w:val="00F93A46"/>
    <w:rsid w:val="00F95217"/>
    <w:rsid w:val="00FA653E"/>
    <w:rsid w:val="00FA6674"/>
    <w:rsid w:val="00FA7BF4"/>
    <w:rsid w:val="00FB36CC"/>
    <w:rsid w:val="00FB7823"/>
    <w:rsid w:val="00FC1DCB"/>
    <w:rsid w:val="00FD0588"/>
    <w:rsid w:val="00FD2313"/>
    <w:rsid w:val="00FD2D0A"/>
    <w:rsid w:val="00FD3031"/>
    <w:rsid w:val="00FD3503"/>
    <w:rsid w:val="00FE0363"/>
    <w:rsid w:val="00FE0B43"/>
    <w:rsid w:val="00FE197E"/>
    <w:rsid w:val="00FE23AB"/>
    <w:rsid w:val="00FE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semiHidden="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E4"/>
    <w:pPr>
      <w:widowControl w:val="0"/>
    </w:pPr>
    <w:rPr>
      <w:snapToGrid w:val="0"/>
      <w:kern w:val="28"/>
      <w:szCs w:val="20"/>
    </w:rPr>
  </w:style>
  <w:style w:type="paragraph" w:styleId="Heading1">
    <w:name w:val="heading 1"/>
    <w:basedOn w:val="Normal"/>
    <w:next w:val="ParaNum"/>
    <w:link w:val="Heading1Char"/>
    <w:qFormat/>
    <w:rsid w:val="00B74DE4"/>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74DE4"/>
    <w:pPr>
      <w:keepNext/>
      <w:numPr>
        <w:ilvl w:val="1"/>
        <w:numId w:val="5"/>
      </w:numPr>
      <w:spacing w:after="120"/>
      <w:outlineLvl w:val="1"/>
    </w:pPr>
    <w:rPr>
      <w:b/>
    </w:rPr>
  </w:style>
  <w:style w:type="paragraph" w:styleId="Heading3">
    <w:name w:val="heading 3"/>
    <w:basedOn w:val="Normal"/>
    <w:next w:val="ParaNum"/>
    <w:link w:val="Heading3Char"/>
    <w:qFormat/>
    <w:rsid w:val="00B74DE4"/>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B74DE4"/>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B74DE4"/>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B74DE4"/>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B74DE4"/>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B74DE4"/>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74DE4"/>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4D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4DE4"/>
  </w:style>
  <w:style w:type="character" w:customStyle="1" w:styleId="Heading1Char">
    <w:name w:val="Heading 1 Char"/>
    <w:basedOn w:val="DefaultParagraphFont"/>
    <w:link w:val="Heading1"/>
    <w:locked/>
    <w:rsid w:val="00D96E43"/>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980E56"/>
    <w:rPr>
      <w:b/>
      <w:snapToGrid w:val="0"/>
      <w:kern w:val="28"/>
      <w:szCs w:val="20"/>
    </w:rPr>
  </w:style>
  <w:style w:type="character" w:customStyle="1" w:styleId="Heading3Char">
    <w:name w:val="Heading 3 Char"/>
    <w:basedOn w:val="DefaultParagraphFont"/>
    <w:link w:val="Heading3"/>
    <w:locked/>
    <w:rsid w:val="00D96E43"/>
    <w:rPr>
      <w:b/>
      <w:snapToGrid w:val="0"/>
      <w:kern w:val="28"/>
      <w:szCs w:val="20"/>
    </w:rPr>
  </w:style>
  <w:style w:type="character" w:customStyle="1" w:styleId="Heading4Char">
    <w:name w:val="Heading 4 Char"/>
    <w:basedOn w:val="DefaultParagraphFont"/>
    <w:link w:val="Heading4"/>
    <w:locked/>
    <w:rsid w:val="00D96E43"/>
    <w:rPr>
      <w:b/>
      <w:snapToGrid w:val="0"/>
      <w:kern w:val="28"/>
      <w:szCs w:val="20"/>
    </w:rPr>
  </w:style>
  <w:style w:type="character" w:customStyle="1" w:styleId="Heading5Char">
    <w:name w:val="Heading 5 Char"/>
    <w:basedOn w:val="DefaultParagraphFont"/>
    <w:link w:val="Heading5"/>
    <w:locked/>
    <w:rsid w:val="00D96E43"/>
    <w:rPr>
      <w:b/>
      <w:snapToGrid w:val="0"/>
      <w:kern w:val="28"/>
      <w:szCs w:val="20"/>
    </w:rPr>
  </w:style>
  <w:style w:type="character" w:customStyle="1" w:styleId="Heading6Char">
    <w:name w:val="Heading 6 Char"/>
    <w:basedOn w:val="DefaultParagraphFont"/>
    <w:link w:val="Heading6"/>
    <w:locked/>
    <w:rsid w:val="00D96E43"/>
    <w:rPr>
      <w:b/>
      <w:snapToGrid w:val="0"/>
      <w:kern w:val="28"/>
      <w:szCs w:val="20"/>
    </w:rPr>
  </w:style>
  <w:style w:type="character" w:customStyle="1" w:styleId="Heading7Char">
    <w:name w:val="Heading 7 Char"/>
    <w:basedOn w:val="DefaultParagraphFont"/>
    <w:link w:val="Heading7"/>
    <w:locked/>
    <w:rsid w:val="00D96E43"/>
    <w:rPr>
      <w:b/>
      <w:snapToGrid w:val="0"/>
      <w:kern w:val="28"/>
      <w:szCs w:val="20"/>
    </w:rPr>
  </w:style>
  <w:style w:type="character" w:customStyle="1" w:styleId="Heading8Char">
    <w:name w:val="Heading 8 Char"/>
    <w:basedOn w:val="DefaultParagraphFont"/>
    <w:link w:val="Heading8"/>
    <w:locked/>
    <w:rsid w:val="00D96E43"/>
    <w:rPr>
      <w:b/>
      <w:snapToGrid w:val="0"/>
      <w:kern w:val="28"/>
      <w:szCs w:val="20"/>
    </w:rPr>
  </w:style>
  <w:style w:type="character" w:customStyle="1" w:styleId="Heading9Char">
    <w:name w:val="Heading 9 Char"/>
    <w:basedOn w:val="DefaultParagraphFont"/>
    <w:link w:val="Heading9"/>
    <w:locked/>
    <w:rsid w:val="00D96E43"/>
    <w:rPr>
      <w:b/>
      <w:snapToGrid w:val="0"/>
      <w:kern w:val="28"/>
      <w:szCs w:val="20"/>
    </w:rPr>
  </w:style>
  <w:style w:type="paragraph" w:styleId="BalloonText">
    <w:name w:val="Balloon Text"/>
    <w:basedOn w:val="Normal"/>
    <w:link w:val="BalloonTextChar"/>
    <w:uiPriority w:val="99"/>
    <w:rsid w:val="00D96E43"/>
    <w:rPr>
      <w:sz w:val="16"/>
    </w:rPr>
  </w:style>
  <w:style w:type="character" w:customStyle="1" w:styleId="BalloonTextChar">
    <w:name w:val="Balloon Text Char"/>
    <w:basedOn w:val="DefaultParagraphFont"/>
    <w:link w:val="BalloonText"/>
    <w:uiPriority w:val="99"/>
    <w:semiHidden/>
    <w:locked/>
    <w:rsid w:val="00D96E43"/>
    <w:rPr>
      <w:rFonts w:cs="Times New Roman"/>
      <w:kern w:val="28"/>
      <w:sz w:val="16"/>
    </w:rPr>
  </w:style>
  <w:style w:type="paragraph" w:customStyle="1" w:styleId="ParaNum">
    <w:name w:val="ParaNum"/>
    <w:basedOn w:val="Normal"/>
    <w:link w:val="ParaNumChar"/>
    <w:rsid w:val="00B74DE4"/>
    <w:pPr>
      <w:numPr>
        <w:numId w:val="9"/>
      </w:numPr>
      <w:tabs>
        <w:tab w:val="clear" w:pos="1080"/>
        <w:tab w:val="num" w:pos="1440"/>
      </w:tabs>
      <w:spacing w:after="120"/>
    </w:pPr>
  </w:style>
  <w:style w:type="paragraph" w:styleId="EndnoteText">
    <w:name w:val="endnote text"/>
    <w:basedOn w:val="Normal"/>
    <w:link w:val="EndnoteTextChar"/>
    <w:semiHidden/>
    <w:rsid w:val="00B74DE4"/>
    <w:rPr>
      <w:sz w:val="20"/>
    </w:rPr>
  </w:style>
  <w:style w:type="character" w:customStyle="1" w:styleId="EndnoteTextChar">
    <w:name w:val="Endnote Text Char"/>
    <w:basedOn w:val="DefaultParagraphFont"/>
    <w:link w:val="EndnoteText"/>
    <w:semiHidden/>
    <w:locked/>
    <w:rsid w:val="00D96E43"/>
    <w:rPr>
      <w:snapToGrid w:val="0"/>
      <w:kern w:val="28"/>
      <w:sz w:val="20"/>
      <w:szCs w:val="20"/>
    </w:rPr>
  </w:style>
  <w:style w:type="character" w:styleId="EndnoteReference">
    <w:name w:val="endnote reference"/>
    <w:semiHidden/>
    <w:rsid w:val="00B74DE4"/>
    <w:rPr>
      <w:vertAlign w:val="superscript"/>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
    <w:link w:val="FootnoteTextChar4"/>
    <w:rsid w:val="00B74DE4"/>
    <w:pPr>
      <w:spacing w:after="120"/>
    </w:pPr>
    <w:rPr>
      <w:sz w:val="20"/>
      <w:szCs w:val="20"/>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
    <w:basedOn w:val="DefaultParagraphFont"/>
    <w:uiPriority w:val="99"/>
    <w:semiHidden/>
    <w:locked/>
    <w:rsid w:val="006A37F3"/>
    <w:rPr>
      <w:rFonts w:cs="Times New Roman"/>
      <w:kern w:val="28"/>
      <w:sz w:val="20"/>
      <w:szCs w:val="20"/>
    </w:rPr>
  </w:style>
  <w:style w:type="character" w:customStyle="1" w:styleId="FootnoteTextChar6">
    <w:name w:val="Footnote Text Char6"/>
    <w:aliases w:val="Footnote Text Char2 Char3,Footnote Text Char1 Char1 Char3,Footnote Text Char Char Char Char3,Footnote Text Char1 Char Char Char Char3,Footnote Text Char2 Char Char Char Char Char3,Footnote Text Char Char Char Char Char Char Char3"/>
    <w:uiPriority w:val="99"/>
    <w:locked/>
    <w:rsid w:val="00D96E43"/>
    <w:rPr>
      <w:kern w:val="28"/>
    </w:rPr>
  </w:style>
  <w:style w:type="character" w:styleId="FootnoteReference">
    <w:name w:val="footnote reference"/>
    <w:aliases w:val="(NECG) Footnote Reference,Style 12,Appel note de bas de p,Style 124,o,fr,Style 13,FR,Style 17,Style 3,Style 6,Footnote Reference/"/>
    <w:rsid w:val="00B74DE4"/>
    <w:rPr>
      <w:rFonts w:ascii="Times New Roman" w:hAnsi="Times New Roman"/>
      <w:dstrike w:val="0"/>
      <w:color w:val="auto"/>
      <w:sz w:val="20"/>
      <w:vertAlign w:val="superscript"/>
    </w:rPr>
  </w:style>
  <w:style w:type="paragraph" w:styleId="TOC1">
    <w:name w:val="toc 1"/>
    <w:basedOn w:val="Normal"/>
    <w:next w:val="Normal"/>
    <w:semiHidden/>
    <w:rsid w:val="00B74DE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74DE4"/>
    <w:pPr>
      <w:tabs>
        <w:tab w:val="left" w:pos="720"/>
        <w:tab w:val="right" w:leader="dot" w:pos="9360"/>
      </w:tabs>
      <w:suppressAutoHyphens/>
      <w:ind w:left="720" w:right="720" w:hanging="360"/>
    </w:pPr>
    <w:rPr>
      <w:noProof/>
    </w:rPr>
  </w:style>
  <w:style w:type="paragraph" w:styleId="TOC3">
    <w:name w:val="toc 3"/>
    <w:basedOn w:val="Normal"/>
    <w:next w:val="Normal"/>
    <w:semiHidden/>
    <w:rsid w:val="00B74D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4D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4D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4D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4D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4D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4D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74DE4"/>
    <w:pPr>
      <w:tabs>
        <w:tab w:val="right" w:pos="9360"/>
      </w:tabs>
      <w:suppressAutoHyphens/>
    </w:pPr>
  </w:style>
  <w:style w:type="character" w:customStyle="1" w:styleId="EquationCaption">
    <w:name w:val="_Equation Caption"/>
    <w:rsid w:val="00B74DE4"/>
  </w:style>
  <w:style w:type="paragraph" w:styleId="Header">
    <w:name w:val="header"/>
    <w:basedOn w:val="Normal"/>
    <w:link w:val="HeaderChar"/>
    <w:autoRedefine/>
    <w:rsid w:val="00B74DE4"/>
    <w:pPr>
      <w:tabs>
        <w:tab w:val="center" w:pos="4680"/>
        <w:tab w:val="right" w:pos="9360"/>
      </w:tabs>
    </w:pPr>
    <w:rPr>
      <w:b/>
    </w:rPr>
  </w:style>
  <w:style w:type="character" w:customStyle="1" w:styleId="HeaderChar">
    <w:name w:val="Header Char"/>
    <w:basedOn w:val="DefaultParagraphFont"/>
    <w:link w:val="Header"/>
    <w:locked/>
    <w:rsid w:val="00D96E43"/>
    <w:rPr>
      <w:b/>
      <w:snapToGrid w:val="0"/>
      <w:kern w:val="28"/>
      <w:szCs w:val="20"/>
    </w:rPr>
  </w:style>
  <w:style w:type="paragraph" w:styleId="Footer">
    <w:name w:val="footer"/>
    <w:basedOn w:val="Normal"/>
    <w:link w:val="FooterChar"/>
    <w:rsid w:val="00B74DE4"/>
    <w:pPr>
      <w:tabs>
        <w:tab w:val="center" w:pos="4320"/>
        <w:tab w:val="right" w:pos="8640"/>
      </w:tabs>
    </w:pPr>
  </w:style>
  <w:style w:type="character" w:customStyle="1" w:styleId="FooterChar">
    <w:name w:val="Footer Char"/>
    <w:basedOn w:val="DefaultParagraphFont"/>
    <w:link w:val="Footer"/>
    <w:locked/>
    <w:rsid w:val="00D96E43"/>
    <w:rPr>
      <w:snapToGrid w:val="0"/>
      <w:kern w:val="28"/>
      <w:szCs w:val="20"/>
    </w:rPr>
  </w:style>
  <w:style w:type="character" w:styleId="PageNumber">
    <w:name w:val="page number"/>
    <w:basedOn w:val="DefaultParagraphFont"/>
    <w:rsid w:val="00B74DE4"/>
  </w:style>
  <w:style w:type="paragraph" w:styleId="BlockText">
    <w:name w:val="Block Text"/>
    <w:basedOn w:val="Normal"/>
    <w:rsid w:val="00B74DE4"/>
    <w:pPr>
      <w:spacing w:after="240"/>
      <w:ind w:left="1440" w:right="1440"/>
    </w:pPr>
  </w:style>
  <w:style w:type="paragraph" w:customStyle="1" w:styleId="Paratitle">
    <w:name w:val="Para title"/>
    <w:basedOn w:val="Normal"/>
    <w:rsid w:val="00B74DE4"/>
    <w:pPr>
      <w:tabs>
        <w:tab w:val="center" w:pos="9270"/>
      </w:tabs>
      <w:spacing w:after="240"/>
    </w:pPr>
    <w:rPr>
      <w:spacing w:val="-2"/>
    </w:rPr>
  </w:style>
  <w:style w:type="paragraph" w:customStyle="1" w:styleId="Bullet">
    <w:name w:val="Bullet"/>
    <w:basedOn w:val="Normal"/>
    <w:rsid w:val="00B74DE4"/>
    <w:pPr>
      <w:tabs>
        <w:tab w:val="left" w:pos="2160"/>
      </w:tabs>
      <w:spacing w:after="220"/>
      <w:ind w:left="2160" w:hanging="720"/>
    </w:pPr>
  </w:style>
  <w:style w:type="paragraph" w:customStyle="1" w:styleId="TableFormat">
    <w:name w:val="TableFormat"/>
    <w:basedOn w:val="Bullet"/>
    <w:rsid w:val="00B74DE4"/>
    <w:pPr>
      <w:tabs>
        <w:tab w:val="clear" w:pos="2160"/>
        <w:tab w:val="left" w:pos="5040"/>
      </w:tabs>
      <w:ind w:left="5040" w:hanging="3600"/>
    </w:pPr>
  </w:style>
  <w:style w:type="paragraph" w:customStyle="1" w:styleId="TOCTitle">
    <w:name w:val="TOC Title"/>
    <w:basedOn w:val="Normal"/>
    <w:rsid w:val="00B74D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4DE4"/>
    <w:pPr>
      <w:jc w:val="center"/>
    </w:pPr>
    <w:rPr>
      <w:rFonts w:ascii="Times New Roman Bold" w:hAnsi="Times New Roman Bold"/>
      <w:b/>
      <w:bCs/>
      <w:caps/>
      <w:szCs w:val="22"/>
    </w:rPr>
  </w:style>
  <w:style w:type="character" w:styleId="Hyperlink">
    <w:name w:val="Hyperlink"/>
    <w:rsid w:val="00B74DE4"/>
    <w:rPr>
      <w:color w:val="0000FF"/>
      <w:u w:val="single"/>
    </w:rPr>
  </w:style>
  <w:style w:type="paragraph" w:customStyle="1" w:styleId="ParaNumCharCharChar">
    <w:name w:val="ParaNum Char Char Char"/>
    <w:basedOn w:val="Normal"/>
    <w:link w:val="ParaNumCharCharCharChar"/>
    <w:uiPriority w:val="99"/>
    <w:rsid w:val="00D96E43"/>
    <w:pPr>
      <w:tabs>
        <w:tab w:val="num" w:pos="1080"/>
      </w:tabs>
      <w:spacing w:after="120"/>
      <w:ind w:firstLine="720"/>
    </w:pPr>
  </w:style>
  <w:style w:type="character" w:customStyle="1" w:styleId="FootnoteTextChar5">
    <w:name w:val="Footnote Text Char5"/>
    <w:aliases w:val="Footnote Text Char2 Char2,Footnote Text Char1 Char1 Char1,Footnote Text Char Char Char Char2,Footnote Text Char1 Char Char Char Char2,Footnote Text Char2 Char Char Char Char Char2,Footnote Text Char Char Char Char Char Char Char2"/>
    <w:uiPriority w:val="99"/>
    <w:rsid w:val="00D96E43"/>
    <w:rPr>
      <w:lang w:val="en-US" w:eastAsia="en-US"/>
    </w:rPr>
  </w:style>
  <w:style w:type="paragraph" w:styleId="NormalWeb">
    <w:name w:val="Normal (Web)"/>
    <w:basedOn w:val="Normal"/>
    <w:uiPriority w:val="99"/>
    <w:rsid w:val="00D96E43"/>
    <w:pPr>
      <w:widowControl/>
      <w:spacing w:before="100" w:beforeAutospacing="1" w:after="100" w:afterAutospacing="1"/>
    </w:pPr>
    <w:rPr>
      <w:kern w:val="0"/>
      <w:sz w:val="24"/>
      <w:szCs w:val="24"/>
    </w:rPr>
  </w:style>
  <w:style w:type="character" w:customStyle="1" w:styleId="documentbody">
    <w:name w:val="documentbody"/>
    <w:uiPriority w:val="99"/>
    <w:rsid w:val="00D96E43"/>
  </w:style>
  <w:style w:type="character" w:customStyle="1" w:styleId="ParaNumCharCharCharChar">
    <w:name w:val="ParaNum Char Char Char Char"/>
    <w:link w:val="ParaNumCharCharChar"/>
    <w:uiPriority w:val="99"/>
    <w:locked/>
    <w:rsid w:val="00D96E43"/>
    <w:rPr>
      <w:snapToGrid w:val="0"/>
      <w:kern w:val="28"/>
      <w:sz w:val="22"/>
      <w:lang w:val="en-US" w:eastAsia="en-US"/>
    </w:rPr>
  </w:style>
  <w:style w:type="character" w:customStyle="1" w:styleId="groupheading">
    <w:name w:val="groupheading"/>
    <w:uiPriority w:val="99"/>
    <w:rsid w:val="00D96E43"/>
  </w:style>
  <w:style w:type="character" w:customStyle="1" w:styleId="resultsublistitem">
    <w:name w:val="resultsublistitem"/>
    <w:uiPriority w:val="99"/>
    <w:rsid w:val="00D96E43"/>
  </w:style>
  <w:style w:type="character" w:customStyle="1" w:styleId="FootnoteTextChar1Char">
    <w:name w:val="Footnote Text Char1 Char"/>
    <w:aliases w:val="Footnote Text Char2 Char Char Char,Footnote Text Char1 Char1 Char Char Char,Footnote Text Char1 Char Char Char Char Char Char,Footnote Text Char3,Footnote Text Char3 Char1 Char Char Char,Footnote Text Char1 Char Char Char1 Char"/>
    <w:uiPriority w:val="99"/>
    <w:rsid w:val="00D96E43"/>
    <w:rPr>
      <w:snapToGrid w:val="0"/>
      <w:kern w:val="28"/>
      <w:sz w:val="22"/>
      <w:lang w:val="en-US" w:eastAsia="en-US"/>
    </w:rPr>
  </w:style>
  <w:style w:type="character" w:customStyle="1" w:styleId="resultsublistitemfull">
    <w:name w:val="resultsublistitemfull"/>
    <w:uiPriority w:val="99"/>
    <w:rsid w:val="00D96E43"/>
  </w:style>
  <w:style w:type="character" w:customStyle="1" w:styleId="searchterm">
    <w:name w:val="searchterm"/>
    <w:uiPriority w:val="99"/>
    <w:rsid w:val="00D96E43"/>
  </w:style>
  <w:style w:type="character" w:customStyle="1" w:styleId="bestsection">
    <w:name w:val="bestsection"/>
    <w:uiPriority w:val="99"/>
    <w:rsid w:val="00D96E43"/>
  </w:style>
  <w:style w:type="character" w:customStyle="1" w:styleId="FootnoteTextCharChar1">
    <w:name w:val="Footnote Text Char Char1"/>
    <w:aliases w:val="Footnote Text Char2 Char Char,Footnote Text Char1 Char1 Char Char,Footnote Text Char2 Char Char Char Char Char Char,Footnote Text Char2 Char1 Char,Footnote Text Char Char1 Char2 Char,Footnote Text Char3 Char Char Char1 Char"/>
    <w:uiPriority w:val="99"/>
    <w:rsid w:val="00D96E43"/>
    <w:rPr>
      <w:lang w:val="en-US" w:eastAsia="en-US"/>
    </w:rPr>
  </w:style>
  <w:style w:type="paragraph" w:customStyle="1" w:styleId="Default">
    <w:name w:val="Default"/>
    <w:rsid w:val="00D96E43"/>
    <w:pPr>
      <w:autoSpaceDE w:val="0"/>
      <w:autoSpaceDN w:val="0"/>
      <w:adjustRightInd w:val="0"/>
    </w:pPr>
    <w:rPr>
      <w:rFonts w:ascii="NIJMAB+TimesNewRoman" w:hAnsi="NIJMAB+TimesNewRoman" w:cs="NIJMAB+TimesNewRoman"/>
      <w:color w:val="000000"/>
      <w:sz w:val="24"/>
      <w:szCs w:val="24"/>
    </w:rPr>
  </w:style>
  <w:style w:type="character" w:customStyle="1" w:styleId="ParaNumChar">
    <w:name w:val="ParaNum Char"/>
    <w:link w:val="ParaNum"/>
    <w:locked/>
    <w:rsid w:val="00D96E43"/>
    <w:rPr>
      <w:snapToGrid w:val="0"/>
      <w:kern w:val="28"/>
      <w:szCs w:val="20"/>
    </w:rPr>
  </w:style>
  <w:style w:type="character" w:styleId="Strong">
    <w:name w:val="Strong"/>
    <w:basedOn w:val="DefaultParagraphFont"/>
    <w:uiPriority w:val="99"/>
    <w:qFormat/>
    <w:rsid w:val="00D96E43"/>
    <w:rPr>
      <w:rFonts w:cs="Times New Roman"/>
      <w:b/>
    </w:rPr>
  </w:style>
  <w:style w:type="character" w:customStyle="1" w:styleId="FootnoteTextChar4">
    <w:name w:val="Footnote Text Char4"/>
    <w:aliases w:val="Footnote Text Char2 Char1,Footnote Text Char1 Char1 Char2,Footnote Text Char Char Char Char1,Footnote Text Char1 Char Char Char Char1,Footnote Text Char2 Char Char Char Char Char1,Footnote Text Char Char Char Char Char Char Char1"/>
    <w:link w:val="FootnoteText"/>
    <w:locked/>
    <w:rsid w:val="00D96E43"/>
    <w:rPr>
      <w:sz w:val="20"/>
      <w:szCs w:val="20"/>
    </w:rPr>
  </w:style>
  <w:style w:type="character" w:customStyle="1" w:styleId="FootnoteTextChar3Char">
    <w:name w:val="Footnote Text Char3 Char"/>
    <w:aliases w:val="Footnote Text Char Char Char Char Char,Footnote Text Char1 Char Char Char Char Char,ALTS FOOTNOTE Char1 Char1 Char Char Char Char,fn Char1 Char1 Char Char Char Char,Footnote Text Char2 Char Char1,Footnote Text Char1 Char Char"/>
    <w:uiPriority w:val="99"/>
    <w:rsid w:val="00D96E43"/>
    <w:rPr>
      <w:lang w:val="en-US" w:eastAsia="en-US"/>
    </w:rPr>
  </w:style>
  <w:style w:type="character" w:customStyle="1" w:styleId="FootnoteTextChar5Char">
    <w:name w:val="Footnote Text Char5 Char"/>
    <w:aliases w:val="Footnote Text Char2 Char4 Char,Footnote Text Char5 Char Char Char1,Footnote Text Char3 Char1 Char2 Char Char,Footnote Text Char2 Char1 Char1 Char Char40 Char,Footnote Text Char2 Char4 Char Char Char,Char1 Char"/>
    <w:uiPriority w:val="99"/>
    <w:rsid w:val="00D96E43"/>
    <w:rPr>
      <w:rFonts w:ascii="Times New Roman" w:hAnsi="Times New Roman"/>
      <w:snapToGrid w:val="0"/>
      <w:sz w:val="20"/>
    </w:rPr>
  </w:style>
  <w:style w:type="character" w:customStyle="1" w:styleId="StyleFootnoteReference11pt">
    <w:name w:val="Style Footnote Reference + 11 pt"/>
    <w:uiPriority w:val="99"/>
    <w:rsid w:val="00D96E43"/>
    <w:rPr>
      <w:rFonts w:ascii="Times New Roman" w:hAnsi="Times New Roman"/>
      <w:color w:val="auto"/>
      <w:kern w:val="28"/>
      <w:sz w:val="20"/>
      <w:vertAlign w:val="superscript"/>
      <w:lang w:val="en-US"/>
    </w:rPr>
  </w:style>
  <w:style w:type="character" w:customStyle="1" w:styleId="FootnoteTextCharCharChar1">
    <w:name w:val="Footnote Text Char Char Char1"/>
    <w:aliases w:val="Footnote Text Char2 Char Char Char1,Footnote Text Char3 Char1 Char Char Char1,Footnote Text Char2 Char1 Char1 Char Char Char1,Footnote Text Char3 Char1 Char Char Char Char Char1,fn Char Char"/>
    <w:uiPriority w:val="99"/>
    <w:rsid w:val="00D96E43"/>
    <w:rPr>
      <w:lang w:val="en-US" w:eastAsia="en-US"/>
    </w:rPr>
  </w:style>
  <w:style w:type="character" w:styleId="CommentReference">
    <w:name w:val="annotation reference"/>
    <w:basedOn w:val="DefaultParagraphFont"/>
    <w:uiPriority w:val="99"/>
    <w:semiHidden/>
    <w:rsid w:val="00D96E43"/>
    <w:rPr>
      <w:rFonts w:cs="Times New Roman"/>
      <w:sz w:val="16"/>
    </w:rPr>
  </w:style>
  <w:style w:type="paragraph" w:styleId="CommentText">
    <w:name w:val="annotation text"/>
    <w:basedOn w:val="Normal"/>
    <w:link w:val="CommentTextChar"/>
    <w:uiPriority w:val="99"/>
    <w:semiHidden/>
    <w:rsid w:val="00D96E43"/>
    <w:pPr>
      <w:widowControl/>
    </w:pPr>
    <w:rPr>
      <w:kern w:val="0"/>
      <w:sz w:val="20"/>
    </w:rPr>
  </w:style>
  <w:style w:type="character" w:customStyle="1" w:styleId="CommentTextChar">
    <w:name w:val="Comment Text Char"/>
    <w:basedOn w:val="DefaultParagraphFont"/>
    <w:link w:val="CommentText"/>
    <w:uiPriority w:val="99"/>
    <w:semiHidden/>
    <w:locked/>
    <w:rsid w:val="00D96E43"/>
    <w:rPr>
      <w:rFonts w:cs="Times New Roman"/>
      <w:lang w:val="en-US" w:eastAsia="en-US"/>
    </w:rPr>
  </w:style>
  <w:style w:type="paragraph" w:customStyle="1" w:styleId="ParaNumCharCharCharCharCharCharCharChar">
    <w:name w:val="ParaNum Char Char Char Char Char Char Char Char"/>
    <w:basedOn w:val="Normal"/>
    <w:link w:val="ParaNumCharCharCharCharCharCharCharCharChar"/>
    <w:uiPriority w:val="99"/>
    <w:rsid w:val="00D96E43"/>
    <w:pPr>
      <w:numPr>
        <w:numId w:val="2"/>
      </w:numPr>
      <w:tabs>
        <w:tab w:val="left" w:pos="1440"/>
      </w:tabs>
      <w:spacing w:after="220"/>
      <w:jc w:val="both"/>
    </w:pPr>
    <w:rPr>
      <w:kern w:val="0"/>
    </w:rPr>
  </w:style>
  <w:style w:type="character" w:customStyle="1" w:styleId="ParaNumCharCharCharCharCharCharCharCharChar">
    <w:name w:val="ParaNum Char Char Char Char Char Char Char Char Char"/>
    <w:link w:val="ParaNumCharCharCharCharCharCharCharChar"/>
    <w:uiPriority w:val="99"/>
    <w:locked/>
    <w:rsid w:val="00D96E43"/>
    <w:rPr>
      <w:sz w:val="22"/>
      <w:lang w:val="en-US" w:eastAsia="en-US"/>
    </w:rPr>
  </w:style>
  <w:style w:type="paragraph" w:customStyle="1" w:styleId="ParaNumCharChar">
    <w:name w:val="ParaNum Char Char"/>
    <w:basedOn w:val="Normal"/>
    <w:uiPriority w:val="99"/>
    <w:rsid w:val="00D96E43"/>
    <w:pPr>
      <w:widowControl/>
      <w:numPr>
        <w:numId w:val="3"/>
      </w:numPr>
      <w:tabs>
        <w:tab w:val="left" w:pos="1260"/>
      </w:tabs>
      <w:spacing w:after="220"/>
    </w:pPr>
    <w:rPr>
      <w:szCs w:val="22"/>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D96E43"/>
    <w:pPr>
      <w:widowControl/>
      <w:tabs>
        <w:tab w:val="num" w:pos="720"/>
        <w:tab w:val="left" w:pos="1080"/>
      </w:tabs>
      <w:spacing w:after="240"/>
      <w:ind w:firstLine="360"/>
    </w:pPr>
    <w:rPr>
      <w:kern w:val="0"/>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D96E43"/>
    <w:rPr>
      <w:snapToGrid w:val="0"/>
      <w:sz w:val="22"/>
      <w:lang w:val="en-US" w:eastAsia="en-US"/>
    </w:rPr>
  </w:style>
  <w:style w:type="character" w:customStyle="1" w:styleId="ParaNumChar1">
    <w:name w:val="ParaNum Char1"/>
    <w:uiPriority w:val="99"/>
    <w:rsid w:val="00D96E43"/>
    <w:rPr>
      <w:snapToGrid w:val="0"/>
      <w:kern w:val="28"/>
      <w:sz w:val="22"/>
      <w:lang w:val="en-US" w:eastAsia="en-US"/>
    </w:rPr>
  </w:style>
  <w:style w:type="paragraph" w:styleId="ListParagraph">
    <w:name w:val="List Paragraph"/>
    <w:basedOn w:val="Normal"/>
    <w:uiPriority w:val="99"/>
    <w:qFormat/>
    <w:rsid w:val="00D96E43"/>
    <w:pPr>
      <w:widowControl/>
      <w:ind w:left="720"/>
      <w:contextualSpacing/>
    </w:pPr>
    <w:rPr>
      <w:kern w:val="0"/>
      <w:sz w:val="24"/>
      <w:szCs w:val="24"/>
    </w:rPr>
  </w:style>
  <w:style w:type="paragraph" w:styleId="BodyText">
    <w:name w:val="Body Text"/>
    <w:basedOn w:val="Normal"/>
    <w:link w:val="BodyTextChar"/>
    <w:uiPriority w:val="99"/>
    <w:rsid w:val="00D96E43"/>
    <w:pPr>
      <w:widowControl/>
      <w:spacing w:line="480" w:lineRule="auto"/>
      <w:jc w:val="both"/>
    </w:pPr>
    <w:rPr>
      <w:kern w:val="0"/>
      <w:sz w:val="24"/>
    </w:rPr>
  </w:style>
  <w:style w:type="character" w:customStyle="1" w:styleId="BodyTextChar">
    <w:name w:val="Body Text Char"/>
    <w:basedOn w:val="DefaultParagraphFont"/>
    <w:link w:val="BodyText"/>
    <w:uiPriority w:val="99"/>
    <w:locked/>
    <w:rsid w:val="00D96E43"/>
    <w:rPr>
      <w:rFonts w:cs="Times New Roman"/>
      <w:sz w:val="24"/>
      <w:lang w:val="en-US" w:eastAsia="en-US"/>
    </w:rPr>
  </w:style>
  <w:style w:type="paragraph" w:customStyle="1" w:styleId="Style11ptJustifiedFirstline05After11pt">
    <w:name w:val="Style 11 pt Justified First line:  0.5&quot; After:  11 pt"/>
    <w:basedOn w:val="Normal"/>
    <w:uiPriority w:val="99"/>
    <w:rsid w:val="00D96E43"/>
    <w:pPr>
      <w:widowControl/>
      <w:numPr>
        <w:numId w:val="7"/>
      </w:numPr>
      <w:spacing w:after="220"/>
      <w:jc w:val="both"/>
    </w:pPr>
    <w:rPr>
      <w:rFonts w:eastAsia="Batang"/>
      <w:kern w:val="0"/>
      <w:sz w:val="24"/>
      <w:lang w:eastAsia="ko-KR"/>
    </w:rPr>
  </w:style>
  <w:style w:type="paragraph" w:styleId="BodyTextIndent">
    <w:name w:val="Body Text Indent"/>
    <w:basedOn w:val="Normal"/>
    <w:link w:val="BodyTextIndentChar"/>
    <w:uiPriority w:val="99"/>
    <w:rsid w:val="00D96E43"/>
    <w:pPr>
      <w:widowControl/>
      <w:spacing w:after="240"/>
      <w:ind w:firstLine="576"/>
      <w:jc w:val="both"/>
    </w:pPr>
    <w:rPr>
      <w:kern w:val="0"/>
      <w:sz w:val="24"/>
    </w:rPr>
  </w:style>
  <w:style w:type="character" w:customStyle="1" w:styleId="BodyTextIndentChar">
    <w:name w:val="Body Text Indent Char"/>
    <w:basedOn w:val="DefaultParagraphFont"/>
    <w:link w:val="BodyTextIndent"/>
    <w:uiPriority w:val="99"/>
    <w:locked/>
    <w:rsid w:val="00D96E43"/>
    <w:rPr>
      <w:rFonts w:cs="Times New Roman"/>
      <w:sz w:val="24"/>
      <w:lang w:val="en-US" w:eastAsia="en-US"/>
    </w:rPr>
  </w:style>
  <w:style w:type="paragraph" w:styleId="E-mailSignature">
    <w:name w:val="E-mail Signature"/>
    <w:basedOn w:val="Normal"/>
    <w:link w:val="E-mailSignatureChar"/>
    <w:uiPriority w:val="99"/>
    <w:rsid w:val="00D96E43"/>
    <w:pPr>
      <w:widowControl/>
    </w:pPr>
    <w:rPr>
      <w:kern w:val="0"/>
      <w:sz w:val="24"/>
    </w:rPr>
  </w:style>
  <w:style w:type="character" w:customStyle="1" w:styleId="E-mailSignatureChar">
    <w:name w:val="E-mail Signature Char"/>
    <w:basedOn w:val="DefaultParagraphFont"/>
    <w:link w:val="E-mailSignature"/>
    <w:uiPriority w:val="99"/>
    <w:locked/>
    <w:rsid w:val="00D96E43"/>
    <w:rPr>
      <w:rFonts w:cs="Times New Roman"/>
      <w:sz w:val="24"/>
      <w:lang w:val="en-US" w:eastAsia="en-US"/>
    </w:rPr>
  </w:style>
  <w:style w:type="paragraph" w:styleId="BodyText3">
    <w:name w:val="Body Text 3"/>
    <w:basedOn w:val="Normal"/>
    <w:link w:val="BodyText3Char"/>
    <w:uiPriority w:val="99"/>
    <w:rsid w:val="00D96E43"/>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jc w:val="both"/>
    </w:pPr>
    <w:rPr>
      <w:b/>
      <w:kern w:val="0"/>
      <w:sz w:val="24"/>
      <w:u w:val="single"/>
    </w:rPr>
  </w:style>
  <w:style w:type="character" w:customStyle="1" w:styleId="BodyText3Char">
    <w:name w:val="Body Text 3 Char"/>
    <w:basedOn w:val="DefaultParagraphFont"/>
    <w:link w:val="BodyText3"/>
    <w:uiPriority w:val="99"/>
    <w:locked/>
    <w:rsid w:val="00D96E43"/>
    <w:rPr>
      <w:rFonts w:cs="Times New Roman"/>
      <w:b/>
      <w:sz w:val="24"/>
      <w:u w:val="single"/>
      <w:lang w:val="en-US" w:eastAsia="en-US"/>
    </w:rPr>
  </w:style>
  <w:style w:type="paragraph" w:styleId="CommentSubject">
    <w:name w:val="annotation subject"/>
    <w:basedOn w:val="CommentText"/>
    <w:next w:val="CommentText"/>
    <w:link w:val="CommentSubjectChar"/>
    <w:uiPriority w:val="99"/>
    <w:semiHidden/>
    <w:rsid w:val="00D96E43"/>
    <w:pPr>
      <w:widowControl w:val="0"/>
    </w:pPr>
    <w:rPr>
      <w:b/>
      <w:bCs/>
      <w:kern w:val="28"/>
    </w:rPr>
  </w:style>
  <w:style w:type="character" w:customStyle="1" w:styleId="CommentSubjectChar">
    <w:name w:val="Comment Subject Char"/>
    <w:basedOn w:val="CommentTextChar"/>
    <w:link w:val="CommentSubject"/>
    <w:uiPriority w:val="99"/>
    <w:semiHidden/>
    <w:locked/>
    <w:rsid w:val="00D96E43"/>
    <w:rPr>
      <w:rFonts w:cs="Times New Roman"/>
      <w:b/>
      <w:kern w:val="28"/>
      <w:lang w:val="en-US" w:eastAsia="en-US"/>
    </w:rPr>
  </w:style>
  <w:style w:type="paragraph" w:styleId="Title">
    <w:name w:val="Title"/>
    <w:basedOn w:val="Normal"/>
    <w:link w:val="TitleChar"/>
    <w:uiPriority w:val="99"/>
    <w:qFormat/>
    <w:rsid w:val="00D96E43"/>
    <w:pPr>
      <w:widowControl/>
      <w:jc w:val="center"/>
    </w:pPr>
    <w:rPr>
      <w:rFonts w:ascii="Cambria" w:hAnsi="Cambria"/>
      <w:b/>
      <w:bCs/>
      <w:sz w:val="32"/>
      <w:szCs w:val="32"/>
    </w:rPr>
  </w:style>
  <w:style w:type="character" w:customStyle="1" w:styleId="TitleChar">
    <w:name w:val="Title Char"/>
    <w:basedOn w:val="DefaultParagraphFont"/>
    <w:link w:val="Title"/>
    <w:uiPriority w:val="99"/>
    <w:locked/>
    <w:rsid w:val="00D96E43"/>
    <w:rPr>
      <w:rFonts w:ascii="Cambria" w:hAnsi="Cambria" w:cs="Times New Roman"/>
      <w:b/>
      <w:kern w:val="28"/>
      <w:sz w:val="32"/>
    </w:rPr>
  </w:style>
  <w:style w:type="character" w:customStyle="1" w:styleId="pmterms21">
    <w:name w:val="pmterms21"/>
    <w:uiPriority w:val="99"/>
    <w:rsid w:val="00D96E43"/>
    <w:rPr>
      <w:b/>
      <w:color w:val="000000"/>
    </w:rPr>
  </w:style>
  <w:style w:type="paragraph" w:styleId="Revision">
    <w:name w:val="Revision"/>
    <w:hidden/>
    <w:uiPriority w:val="99"/>
    <w:semiHidden/>
    <w:rsid w:val="00D96E43"/>
    <w:rPr>
      <w:kern w:val="28"/>
      <w:szCs w:val="20"/>
    </w:rPr>
  </w:style>
  <w:style w:type="character" w:customStyle="1" w:styleId="term1">
    <w:name w:val="term1"/>
    <w:uiPriority w:val="99"/>
    <w:rsid w:val="00D96E43"/>
    <w:rPr>
      <w:b/>
    </w:rPr>
  </w:style>
  <w:style w:type="character" w:styleId="Emphasis">
    <w:name w:val="Emphasis"/>
    <w:basedOn w:val="DefaultParagraphFont"/>
    <w:uiPriority w:val="99"/>
    <w:qFormat/>
    <w:rsid w:val="00D96E43"/>
    <w:rPr>
      <w:rFonts w:cs="Times New Roman"/>
      <w:i/>
    </w:rPr>
  </w:style>
  <w:style w:type="character" w:styleId="FollowedHyperlink">
    <w:name w:val="FollowedHyperlink"/>
    <w:basedOn w:val="DefaultParagraphFont"/>
    <w:uiPriority w:val="99"/>
    <w:locked/>
    <w:rsid w:val="00D96E43"/>
    <w:rPr>
      <w:rFonts w:cs="Times New Roman"/>
      <w:color w:val="800080"/>
      <w:u w:val="single"/>
    </w:rPr>
  </w:style>
  <w:style w:type="paragraph" w:customStyle="1" w:styleId="typelabel">
    <w:name w:val="typelabel"/>
    <w:basedOn w:val="Normal"/>
    <w:uiPriority w:val="99"/>
    <w:rsid w:val="00D96E43"/>
    <w:pPr>
      <w:widowControl/>
      <w:spacing w:before="100" w:beforeAutospacing="1" w:after="100" w:afterAutospacing="1"/>
    </w:pPr>
    <w:rPr>
      <w:kern w:val="0"/>
      <w:sz w:val="24"/>
      <w:szCs w:val="24"/>
    </w:rPr>
  </w:style>
  <w:style w:type="paragraph" w:customStyle="1" w:styleId="paranum0">
    <w:name w:val="paranum"/>
    <w:basedOn w:val="Normal"/>
    <w:link w:val="paranumChar0"/>
    <w:uiPriority w:val="99"/>
    <w:rsid w:val="00D96E43"/>
    <w:pPr>
      <w:widowControl/>
      <w:tabs>
        <w:tab w:val="num" w:pos="1080"/>
      </w:tabs>
      <w:spacing w:after="120"/>
      <w:ind w:firstLine="720"/>
    </w:pPr>
    <w:rPr>
      <w:kern w:val="0"/>
    </w:rPr>
  </w:style>
  <w:style w:type="character" w:customStyle="1" w:styleId="pmterms11">
    <w:name w:val="pmterms11"/>
    <w:uiPriority w:val="99"/>
    <w:rsid w:val="00D96E43"/>
    <w:rPr>
      <w:b/>
      <w:color w:val="000000"/>
    </w:rPr>
  </w:style>
  <w:style w:type="character" w:customStyle="1" w:styleId="paranumChar0">
    <w:name w:val="paranum Char"/>
    <w:link w:val="paranum0"/>
    <w:uiPriority w:val="99"/>
    <w:locked/>
    <w:rsid w:val="00D96E43"/>
    <w:rPr>
      <w:snapToGrid w:val="0"/>
      <w:sz w:val="22"/>
      <w:lang w:val="en-US" w:eastAsia="en-US"/>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semiHidden/>
    <w:locked/>
    <w:rsid w:val="00D96E43"/>
    <w:rPr>
      <w:snapToGrid w:val="0"/>
      <w:kern w:val="28"/>
      <w:lang w:val="en-US" w:eastAsia="en-US"/>
    </w:rPr>
  </w:style>
  <w:style w:type="character" w:customStyle="1" w:styleId="Footnote">
    <w:name w:val="Footnote"/>
    <w:uiPriority w:val="99"/>
    <w:rsid w:val="00D96E43"/>
  </w:style>
  <w:style w:type="character" w:customStyle="1" w:styleId="Heading2CharChar2">
    <w:name w:val="Heading 2 Char Char2"/>
    <w:uiPriority w:val="99"/>
    <w:rsid w:val="00D96E43"/>
    <w:rPr>
      <w:b/>
      <w:snapToGrid w:val="0"/>
      <w:kern w:val="28"/>
      <w:sz w:val="24"/>
      <w:lang w:val="en-US" w:eastAsia="en-US"/>
    </w:rPr>
  </w:style>
  <w:style w:type="character" w:customStyle="1" w:styleId="FootnoteTextCharCharCharChar3CharCharChar1">
    <w:name w:val="Footnote Text Char Char Char Char3 Char Char Char1"/>
    <w:aliases w:val="Footnote Text Char Char3 Char,Footnote Text Char1 Char Char3 Char,Footnote Text Char Char Char Char3 Char"/>
    <w:uiPriority w:val="99"/>
    <w:rsid w:val="00D96E43"/>
    <w:rPr>
      <w:lang w:val="en-US" w:eastAsia="en-US"/>
    </w:rPr>
  </w:style>
  <w:style w:type="paragraph" w:customStyle="1" w:styleId="StyleParaNum">
    <w:name w:val="Style ParaNum +"/>
    <w:basedOn w:val="ParaNum"/>
    <w:link w:val="StyleParaNumChar"/>
    <w:autoRedefine/>
    <w:uiPriority w:val="99"/>
    <w:rsid w:val="00A96110"/>
    <w:rPr>
      <w:kern w:val="0"/>
    </w:rPr>
  </w:style>
  <w:style w:type="character" w:customStyle="1" w:styleId="StyleParaNumChar">
    <w:name w:val="Style ParaNum + Char"/>
    <w:basedOn w:val="ParaNumChar"/>
    <w:link w:val="StyleParaNum"/>
    <w:uiPriority w:val="99"/>
    <w:locked/>
    <w:rsid w:val="00D96E43"/>
    <w:rPr>
      <w:snapToGrid w:val="0"/>
      <w:kern w:val="28"/>
      <w:szCs w:val="20"/>
    </w:rPr>
  </w:style>
  <w:style w:type="paragraph" w:customStyle="1" w:styleId="ParaNumAppndx">
    <w:name w:val="ParaNum Appndx"/>
    <w:basedOn w:val="ParaNum"/>
    <w:uiPriority w:val="99"/>
    <w:rsid w:val="00A96110"/>
  </w:style>
  <w:style w:type="paragraph" w:customStyle="1" w:styleId="ParaNumChar1Char">
    <w:name w:val="ParaNum Char1 Char"/>
    <w:basedOn w:val="Normal"/>
    <w:link w:val="ParaNumChar1CharChar"/>
    <w:uiPriority w:val="99"/>
    <w:rsid w:val="00D96E43"/>
    <w:pPr>
      <w:tabs>
        <w:tab w:val="num" w:pos="1080"/>
        <w:tab w:val="left" w:pos="1440"/>
      </w:tabs>
      <w:spacing w:after="220"/>
      <w:ind w:firstLine="720"/>
    </w:pPr>
    <w:rPr>
      <w:kern w:val="0"/>
    </w:rPr>
  </w:style>
  <w:style w:type="character" w:customStyle="1" w:styleId="ParaNumChar1CharChar">
    <w:name w:val="ParaNum Char1 Char Char"/>
    <w:link w:val="ParaNumChar1Char"/>
    <w:uiPriority w:val="99"/>
    <w:locked/>
    <w:rsid w:val="00D96E43"/>
    <w:rPr>
      <w:sz w:val="22"/>
      <w:lang w:val="en-US" w:eastAsia="en-US"/>
    </w:rPr>
  </w:style>
  <w:style w:type="paragraph" w:styleId="Caption">
    <w:name w:val="caption"/>
    <w:basedOn w:val="Normal"/>
    <w:next w:val="Normal"/>
    <w:uiPriority w:val="99"/>
    <w:qFormat/>
    <w:rsid w:val="00D96E43"/>
    <w:rPr>
      <w:b/>
      <w:bCs/>
      <w:sz w:val="20"/>
    </w:rPr>
  </w:style>
  <w:style w:type="character" w:customStyle="1" w:styleId="StyleFootnoteReferenceStyle13Style12NECGFootnoteReferenc">
    <w:name w:val="Style Footnote ReferenceStyle 13Style 12(NECG) Footnote Referenc..."/>
    <w:uiPriority w:val="99"/>
    <w:rsid w:val="00D96E43"/>
    <w:rPr>
      <w:rFonts w:ascii="Times New Roman" w:hAnsi="Times New Roman"/>
      <w:color w:val="auto"/>
      <w:sz w:val="20"/>
      <w:vertAlign w:val="superscript"/>
    </w:rPr>
  </w:style>
  <w:style w:type="paragraph" w:styleId="PlainText">
    <w:name w:val="Plain Text"/>
    <w:basedOn w:val="Normal"/>
    <w:link w:val="PlainTextChar"/>
    <w:uiPriority w:val="99"/>
    <w:locked/>
    <w:rsid w:val="00D96E43"/>
    <w:pPr>
      <w:widowControl/>
    </w:pPr>
    <w:rPr>
      <w:rFonts w:ascii="Courier New" w:hAnsi="Courier New"/>
      <w:kern w:val="0"/>
      <w:sz w:val="20"/>
    </w:rPr>
  </w:style>
  <w:style w:type="character" w:customStyle="1" w:styleId="PlainTextChar">
    <w:name w:val="Plain Text Char"/>
    <w:basedOn w:val="DefaultParagraphFont"/>
    <w:link w:val="PlainText"/>
    <w:uiPriority w:val="99"/>
    <w:locked/>
    <w:rsid w:val="00D96E43"/>
    <w:rPr>
      <w:rFonts w:ascii="Courier New" w:hAnsi="Courier New" w:cs="Times New Roman"/>
    </w:rPr>
  </w:style>
  <w:style w:type="paragraph" w:customStyle="1" w:styleId="Title1">
    <w:name w:val="Title1"/>
    <w:basedOn w:val="Normal"/>
    <w:uiPriority w:val="99"/>
    <w:rsid w:val="00D96E43"/>
    <w:pPr>
      <w:widowControl/>
      <w:spacing w:before="100" w:beforeAutospacing="1" w:after="100" w:afterAutospacing="1"/>
    </w:pPr>
    <w:rPr>
      <w:rFonts w:ascii="Arial" w:hAnsi="Arial" w:cs="Arial"/>
      <w:b/>
      <w:bCs/>
      <w:kern w:val="0"/>
      <w:sz w:val="20"/>
    </w:rPr>
  </w:style>
  <w:style w:type="character" w:customStyle="1" w:styleId="informationalsmall">
    <w:name w:val="informationalsmall"/>
    <w:basedOn w:val="DefaultParagraphFont"/>
    <w:uiPriority w:val="99"/>
    <w:rsid w:val="00D96E43"/>
    <w:rPr>
      <w:rFonts w:cs="Times New Roman"/>
    </w:rPr>
  </w:style>
  <w:style w:type="paragraph" w:customStyle="1" w:styleId="StyleParaNumLeftAfter6pt">
    <w:name w:val="Style ParaNum + Left After:  6 pt"/>
    <w:basedOn w:val="ParaNum"/>
    <w:uiPriority w:val="99"/>
    <w:rsid w:val="00A96110"/>
    <w:pPr>
      <w:numPr>
        <w:numId w:val="0"/>
      </w:numPr>
      <w:tabs>
        <w:tab w:val="left" w:pos="1440"/>
      </w:tabs>
      <w:spacing w:after="220"/>
      <w:ind w:firstLine="720"/>
      <w:jc w:val="both"/>
    </w:p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uiPriority w:val="99"/>
    <w:semiHidden/>
    <w:locked/>
    <w:rsid w:val="00D96E43"/>
  </w:style>
  <w:style w:type="character" w:customStyle="1" w:styleId="CITE">
    <w:name w:val="CITE"/>
    <w:uiPriority w:val="99"/>
    <w:rsid w:val="00D96E43"/>
    <w:rPr>
      <w:i/>
    </w:rPr>
  </w:style>
  <w:style w:type="paragraph" w:customStyle="1" w:styleId="RuleNum">
    <w:name w:val="Rule Num"/>
    <w:basedOn w:val="Normal"/>
    <w:uiPriority w:val="99"/>
    <w:rsid w:val="00D96E43"/>
    <w:pPr>
      <w:widowControl/>
      <w:numPr>
        <w:numId w:val="40"/>
      </w:numPr>
      <w:tabs>
        <w:tab w:val="left" w:pos="0"/>
        <w:tab w:val="left" w:pos="270"/>
        <w:tab w:val="left" w:pos="990"/>
        <w:tab w:val="left" w:pos="2160"/>
        <w:tab w:val="left" w:pos="4320"/>
      </w:tabs>
      <w:suppressAutoHyphens/>
      <w:jc w:val="both"/>
    </w:pPr>
    <w:rPr>
      <w:rFonts w:ascii="Times" w:hAnsi="Times"/>
      <w:spacing w:val="-3"/>
      <w:kern w:val="0"/>
    </w:rPr>
  </w:style>
  <w:style w:type="paragraph" w:customStyle="1" w:styleId="gpotblnote">
    <w:name w:val="gpotbl_note"/>
    <w:basedOn w:val="Normal"/>
    <w:uiPriority w:val="99"/>
    <w:rsid w:val="00D96E43"/>
    <w:pPr>
      <w:widowControl/>
      <w:spacing w:before="100" w:beforeAutospacing="1" w:after="100" w:afterAutospacing="1"/>
    </w:pPr>
    <w:rPr>
      <w:kern w:val="0"/>
      <w:sz w:val="24"/>
      <w:szCs w:val="24"/>
    </w:rPr>
  </w:style>
  <w:style w:type="paragraph" w:customStyle="1" w:styleId="gpotbltitle">
    <w:name w:val="gpotbl_title"/>
    <w:basedOn w:val="Normal"/>
    <w:uiPriority w:val="99"/>
    <w:rsid w:val="00D96E43"/>
    <w:pPr>
      <w:widowControl/>
      <w:spacing w:before="100" w:beforeAutospacing="1" w:after="100" w:afterAutospacing="1"/>
      <w:jc w:val="center"/>
    </w:pPr>
    <w:rPr>
      <w:b/>
      <w:bCs/>
      <w:kern w:val="0"/>
      <w:sz w:val="24"/>
      <w:szCs w:val="24"/>
    </w:rPr>
  </w:style>
  <w:style w:type="paragraph" w:customStyle="1" w:styleId="gpotbldescription">
    <w:name w:val="gpotbl_description"/>
    <w:basedOn w:val="Normal"/>
    <w:uiPriority w:val="99"/>
    <w:rsid w:val="00D96E43"/>
    <w:pPr>
      <w:widowControl/>
      <w:spacing w:before="100" w:beforeAutospacing="1" w:after="100" w:afterAutospacing="1"/>
      <w:jc w:val="center"/>
    </w:pPr>
    <w:rPr>
      <w:kern w:val="0"/>
      <w:sz w:val="24"/>
      <w:szCs w:val="24"/>
    </w:rPr>
  </w:style>
  <w:style w:type="paragraph" w:customStyle="1" w:styleId="date1">
    <w:name w:val="date1"/>
    <w:basedOn w:val="Normal"/>
    <w:uiPriority w:val="99"/>
    <w:rsid w:val="00D96E43"/>
    <w:pPr>
      <w:widowControl/>
      <w:spacing w:after="150"/>
      <w:ind w:left="300" w:right="300"/>
    </w:pPr>
    <w:rPr>
      <w:rFonts w:ascii="Verdana" w:hAnsi="Verdana"/>
      <w:color w:val="666666"/>
      <w:kern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semiHidden="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E4"/>
    <w:pPr>
      <w:widowControl w:val="0"/>
    </w:pPr>
    <w:rPr>
      <w:snapToGrid w:val="0"/>
      <w:kern w:val="28"/>
      <w:szCs w:val="20"/>
    </w:rPr>
  </w:style>
  <w:style w:type="paragraph" w:styleId="Heading1">
    <w:name w:val="heading 1"/>
    <w:basedOn w:val="Normal"/>
    <w:next w:val="ParaNum"/>
    <w:link w:val="Heading1Char"/>
    <w:qFormat/>
    <w:rsid w:val="00B74DE4"/>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74DE4"/>
    <w:pPr>
      <w:keepNext/>
      <w:numPr>
        <w:ilvl w:val="1"/>
        <w:numId w:val="5"/>
      </w:numPr>
      <w:spacing w:after="120"/>
      <w:outlineLvl w:val="1"/>
    </w:pPr>
    <w:rPr>
      <w:b/>
    </w:rPr>
  </w:style>
  <w:style w:type="paragraph" w:styleId="Heading3">
    <w:name w:val="heading 3"/>
    <w:basedOn w:val="Normal"/>
    <w:next w:val="ParaNum"/>
    <w:link w:val="Heading3Char"/>
    <w:qFormat/>
    <w:rsid w:val="00B74DE4"/>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B74DE4"/>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B74DE4"/>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B74DE4"/>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B74DE4"/>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B74DE4"/>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74DE4"/>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4D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4DE4"/>
  </w:style>
  <w:style w:type="character" w:customStyle="1" w:styleId="Heading1Char">
    <w:name w:val="Heading 1 Char"/>
    <w:basedOn w:val="DefaultParagraphFont"/>
    <w:link w:val="Heading1"/>
    <w:locked/>
    <w:rsid w:val="00D96E43"/>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980E56"/>
    <w:rPr>
      <w:b/>
      <w:snapToGrid w:val="0"/>
      <w:kern w:val="28"/>
      <w:szCs w:val="20"/>
    </w:rPr>
  </w:style>
  <w:style w:type="character" w:customStyle="1" w:styleId="Heading3Char">
    <w:name w:val="Heading 3 Char"/>
    <w:basedOn w:val="DefaultParagraphFont"/>
    <w:link w:val="Heading3"/>
    <w:locked/>
    <w:rsid w:val="00D96E43"/>
    <w:rPr>
      <w:b/>
      <w:snapToGrid w:val="0"/>
      <w:kern w:val="28"/>
      <w:szCs w:val="20"/>
    </w:rPr>
  </w:style>
  <w:style w:type="character" w:customStyle="1" w:styleId="Heading4Char">
    <w:name w:val="Heading 4 Char"/>
    <w:basedOn w:val="DefaultParagraphFont"/>
    <w:link w:val="Heading4"/>
    <w:locked/>
    <w:rsid w:val="00D96E43"/>
    <w:rPr>
      <w:b/>
      <w:snapToGrid w:val="0"/>
      <w:kern w:val="28"/>
      <w:szCs w:val="20"/>
    </w:rPr>
  </w:style>
  <w:style w:type="character" w:customStyle="1" w:styleId="Heading5Char">
    <w:name w:val="Heading 5 Char"/>
    <w:basedOn w:val="DefaultParagraphFont"/>
    <w:link w:val="Heading5"/>
    <w:locked/>
    <w:rsid w:val="00D96E43"/>
    <w:rPr>
      <w:b/>
      <w:snapToGrid w:val="0"/>
      <w:kern w:val="28"/>
      <w:szCs w:val="20"/>
    </w:rPr>
  </w:style>
  <w:style w:type="character" w:customStyle="1" w:styleId="Heading6Char">
    <w:name w:val="Heading 6 Char"/>
    <w:basedOn w:val="DefaultParagraphFont"/>
    <w:link w:val="Heading6"/>
    <w:locked/>
    <w:rsid w:val="00D96E43"/>
    <w:rPr>
      <w:b/>
      <w:snapToGrid w:val="0"/>
      <w:kern w:val="28"/>
      <w:szCs w:val="20"/>
    </w:rPr>
  </w:style>
  <w:style w:type="character" w:customStyle="1" w:styleId="Heading7Char">
    <w:name w:val="Heading 7 Char"/>
    <w:basedOn w:val="DefaultParagraphFont"/>
    <w:link w:val="Heading7"/>
    <w:locked/>
    <w:rsid w:val="00D96E43"/>
    <w:rPr>
      <w:b/>
      <w:snapToGrid w:val="0"/>
      <w:kern w:val="28"/>
      <w:szCs w:val="20"/>
    </w:rPr>
  </w:style>
  <w:style w:type="character" w:customStyle="1" w:styleId="Heading8Char">
    <w:name w:val="Heading 8 Char"/>
    <w:basedOn w:val="DefaultParagraphFont"/>
    <w:link w:val="Heading8"/>
    <w:locked/>
    <w:rsid w:val="00D96E43"/>
    <w:rPr>
      <w:b/>
      <w:snapToGrid w:val="0"/>
      <w:kern w:val="28"/>
      <w:szCs w:val="20"/>
    </w:rPr>
  </w:style>
  <w:style w:type="character" w:customStyle="1" w:styleId="Heading9Char">
    <w:name w:val="Heading 9 Char"/>
    <w:basedOn w:val="DefaultParagraphFont"/>
    <w:link w:val="Heading9"/>
    <w:locked/>
    <w:rsid w:val="00D96E43"/>
    <w:rPr>
      <w:b/>
      <w:snapToGrid w:val="0"/>
      <w:kern w:val="28"/>
      <w:szCs w:val="20"/>
    </w:rPr>
  </w:style>
  <w:style w:type="paragraph" w:styleId="BalloonText">
    <w:name w:val="Balloon Text"/>
    <w:basedOn w:val="Normal"/>
    <w:link w:val="BalloonTextChar"/>
    <w:uiPriority w:val="99"/>
    <w:rsid w:val="00D96E43"/>
    <w:rPr>
      <w:sz w:val="16"/>
    </w:rPr>
  </w:style>
  <w:style w:type="character" w:customStyle="1" w:styleId="BalloonTextChar">
    <w:name w:val="Balloon Text Char"/>
    <w:basedOn w:val="DefaultParagraphFont"/>
    <w:link w:val="BalloonText"/>
    <w:uiPriority w:val="99"/>
    <w:semiHidden/>
    <w:locked/>
    <w:rsid w:val="00D96E43"/>
    <w:rPr>
      <w:rFonts w:cs="Times New Roman"/>
      <w:kern w:val="28"/>
      <w:sz w:val="16"/>
    </w:rPr>
  </w:style>
  <w:style w:type="paragraph" w:customStyle="1" w:styleId="ParaNum">
    <w:name w:val="ParaNum"/>
    <w:basedOn w:val="Normal"/>
    <w:link w:val="ParaNumChar"/>
    <w:rsid w:val="00B74DE4"/>
    <w:pPr>
      <w:numPr>
        <w:numId w:val="9"/>
      </w:numPr>
      <w:tabs>
        <w:tab w:val="clear" w:pos="1080"/>
        <w:tab w:val="num" w:pos="1440"/>
      </w:tabs>
      <w:spacing w:after="120"/>
    </w:pPr>
  </w:style>
  <w:style w:type="paragraph" w:styleId="EndnoteText">
    <w:name w:val="endnote text"/>
    <w:basedOn w:val="Normal"/>
    <w:link w:val="EndnoteTextChar"/>
    <w:semiHidden/>
    <w:rsid w:val="00B74DE4"/>
    <w:rPr>
      <w:sz w:val="20"/>
    </w:rPr>
  </w:style>
  <w:style w:type="character" w:customStyle="1" w:styleId="EndnoteTextChar">
    <w:name w:val="Endnote Text Char"/>
    <w:basedOn w:val="DefaultParagraphFont"/>
    <w:link w:val="EndnoteText"/>
    <w:semiHidden/>
    <w:locked/>
    <w:rsid w:val="00D96E43"/>
    <w:rPr>
      <w:snapToGrid w:val="0"/>
      <w:kern w:val="28"/>
      <w:sz w:val="20"/>
      <w:szCs w:val="20"/>
    </w:rPr>
  </w:style>
  <w:style w:type="character" w:styleId="EndnoteReference">
    <w:name w:val="endnote reference"/>
    <w:semiHidden/>
    <w:rsid w:val="00B74DE4"/>
    <w:rPr>
      <w:vertAlign w:val="superscript"/>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
    <w:link w:val="FootnoteTextChar4"/>
    <w:rsid w:val="00B74DE4"/>
    <w:pPr>
      <w:spacing w:after="120"/>
    </w:pPr>
    <w:rPr>
      <w:sz w:val="20"/>
      <w:szCs w:val="20"/>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
    <w:basedOn w:val="DefaultParagraphFont"/>
    <w:uiPriority w:val="99"/>
    <w:semiHidden/>
    <w:locked/>
    <w:rsid w:val="006A37F3"/>
    <w:rPr>
      <w:rFonts w:cs="Times New Roman"/>
      <w:kern w:val="28"/>
      <w:sz w:val="20"/>
      <w:szCs w:val="20"/>
    </w:rPr>
  </w:style>
  <w:style w:type="character" w:customStyle="1" w:styleId="FootnoteTextChar6">
    <w:name w:val="Footnote Text Char6"/>
    <w:aliases w:val="Footnote Text Char2 Char3,Footnote Text Char1 Char1 Char3,Footnote Text Char Char Char Char3,Footnote Text Char1 Char Char Char Char3,Footnote Text Char2 Char Char Char Char Char3,Footnote Text Char Char Char Char Char Char Char3"/>
    <w:uiPriority w:val="99"/>
    <w:locked/>
    <w:rsid w:val="00D96E43"/>
    <w:rPr>
      <w:kern w:val="28"/>
    </w:rPr>
  </w:style>
  <w:style w:type="character" w:styleId="FootnoteReference">
    <w:name w:val="footnote reference"/>
    <w:aliases w:val="(NECG) Footnote Reference,Style 12,Appel note de bas de p,Style 124,o,fr,Style 13,FR,Style 17,Style 3,Style 6,Footnote Reference/"/>
    <w:rsid w:val="00B74DE4"/>
    <w:rPr>
      <w:rFonts w:ascii="Times New Roman" w:hAnsi="Times New Roman"/>
      <w:dstrike w:val="0"/>
      <w:color w:val="auto"/>
      <w:sz w:val="20"/>
      <w:vertAlign w:val="superscript"/>
    </w:rPr>
  </w:style>
  <w:style w:type="paragraph" w:styleId="TOC1">
    <w:name w:val="toc 1"/>
    <w:basedOn w:val="Normal"/>
    <w:next w:val="Normal"/>
    <w:semiHidden/>
    <w:rsid w:val="00B74DE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74DE4"/>
    <w:pPr>
      <w:tabs>
        <w:tab w:val="left" w:pos="720"/>
        <w:tab w:val="right" w:leader="dot" w:pos="9360"/>
      </w:tabs>
      <w:suppressAutoHyphens/>
      <w:ind w:left="720" w:right="720" w:hanging="360"/>
    </w:pPr>
    <w:rPr>
      <w:noProof/>
    </w:rPr>
  </w:style>
  <w:style w:type="paragraph" w:styleId="TOC3">
    <w:name w:val="toc 3"/>
    <w:basedOn w:val="Normal"/>
    <w:next w:val="Normal"/>
    <w:semiHidden/>
    <w:rsid w:val="00B74D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4D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4D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4D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4D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4D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4D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74DE4"/>
    <w:pPr>
      <w:tabs>
        <w:tab w:val="right" w:pos="9360"/>
      </w:tabs>
      <w:suppressAutoHyphens/>
    </w:pPr>
  </w:style>
  <w:style w:type="character" w:customStyle="1" w:styleId="EquationCaption">
    <w:name w:val="_Equation Caption"/>
    <w:rsid w:val="00B74DE4"/>
  </w:style>
  <w:style w:type="paragraph" w:styleId="Header">
    <w:name w:val="header"/>
    <w:basedOn w:val="Normal"/>
    <w:link w:val="HeaderChar"/>
    <w:autoRedefine/>
    <w:rsid w:val="00B74DE4"/>
    <w:pPr>
      <w:tabs>
        <w:tab w:val="center" w:pos="4680"/>
        <w:tab w:val="right" w:pos="9360"/>
      </w:tabs>
    </w:pPr>
    <w:rPr>
      <w:b/>
    </w:rPr>
  </w:style>
  <w:style w:type="character" w:customStyle="1" w:styleId="HeaderChar">
    <w:name w:val="Header Char"/>
    <w:basedOn w:val="DefaultParagraphFont"/>
    <w:link w:val="Header"/>
    <w:locked/>
    <w:rsid w:val="00D96E43"/>
    <w:rPr>
      <w:b/>
      <w:snapToGrid w:val="0"/>
      <w:kern w:val="28"/>
      <w:szCs w:val="20"/>
    </w:rPr>
  </w:style>
  <w:style w:type="paragraph" w:styleId="Footer">
    <w:name w:val="footer"/>
    <w:basedOn w:val="Normal"/>
    <w:link w:val="FooterChar"/>
    <w:rsid w:val="00B74DE4"/>
    <w:pPr>
      <w:tabs>
        <w:tab w:val="center" w:pos="4320"/>
        <w:tab w:val="right" w:pos="8640"/>
      </w:tabs>
    </w:pPr>
  </w:style>
  <w:style w:type="character" w:customStyle="1" w:styleId="FooterChar">
    <w:name w:val="Footer Char"/>
    <w:basedOn w:val="DefaultParagraphFont"/>
    <w:link w:val="Footer"/>
    <w:locked/>
    <w:rsid w:val="00D96E43"/>
    <w:rPr>
      <w:snapToGrid w:val="0"/>
      <w:kern w:val="28"/>
      <w:szCs w:val="20"/>
    </w:rPr>
  </w:style>
  <w:style w:type="character" w:styleId="PageNumber">
    <w:name w:val="page number"/>
    <w:basedOn w:val="DefaultParagraphFont"/>
    <w:rsid w:val="00B74DE4"/>
  </w:style>
  <w:style w:type="paragraph" w:styleId="BlockText">
    <w:name w:val="Block Text"/>
    <w:basedOn w:val="Normal"/>
    <w:rsid w:val="00B74DE4"/>
    <w:pPr>
      <w:spacing w:after="240"/>
      <w:ind w:left="1440" w:right="1440"/>
    </w:pPr>
  </w:style>
  <w:style w:type="paragraph" w:customStyle="1" w:styleId="Paratitle">
    <w:name w:val="Para title"/>
    <w:basedOn w:val="Normal"/>
    <w:rsid w:val="00B74DE4"/>
    <w:pPr>
      <w:tabs>
        <w:tab w:val="center" w:pos="9270"/>
      </w:tabs>
      <w:spacing w:after="240"/>
    </w:pPr>
    <w:rPr>
      <w:spacing w:val="-2"/>
    </w:rPr>
  </w:style>
  <w:style w:type="paragraph" w:customStyle="1" w:styleId="Bullet">
    <w:name w:val="Bullet"/>
    <w:basedOn w:val="Normal"/>
    <w:rsid w:val="00B74DE4"/>
    <w:pPr>
      <w:tabs>
        <w:tab w:val="left" w:pos="2160"/>
      </w:tabs>
      <w:spacing w:after="220"/>
      <w:ind w:left="2160" w:hanging="720"/>
    </w:pPr>
  </w:style>
  <w:style w:type="paragraph" w:customStyle="1" w:styleId="TableFormat">
    <w:name w:val="TableFormat"/>
    <w:basedOn w:val="Bullet"/>
    <w:rsid w:val="00B74DE4"/>
    <w:pPr>
      <w:tabs>
        <w:tab w:val="clear" w:pos="2160"/>
        <w:tab w:val="left" w:pos="5040"/>
      </w:tabs>
      <w:ind w:left="5040" w:hanging="3600"/>
    </w:pPr>
  </w:style>
  <w:style w:type="paragraph" w:customStyle="1" w:styleId="TOCTitle">
    <w:name w:val="TOC Title"/>
    <w:basedOn w:val="Normal"/>
    <w:rsid w:val="00B74D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4DE4"/>
    <w:pPr>
      <w:jc w:val="center"/>
    </w:pPr>
    <w:rPr>
      <w:rFonts w:ascii="Times New Roman Bold" w:hAnsi="Times New Roman Bold"/>
      <w:b/>
      <w:bCs/>
      <w:caps/>
      <w:szCs w:val="22"/>
    </w:rPr>
  </w:style>
  <w:style w:type="character" w:styleId="Hyperlink">
    <w:name w:val="Hyperlink"/>
    <w:rsid w:val="00B74DE4"/>
    <w:rPr>
      <w:color w:val="0000FF"/>
      <w:u w:val="single"/>
    </w:rPr>
  </w:style>
  <w:style w:type="paragraph" w:customStyle="1" w:styleId="ParaNumCharCharChar">
    <w:name w:val="ParaNum Char Char Char"/>
    <w:basedOn w:val="Normal"/>
    <w:link w:val="ParaNumCharCharCharChar"/>
    <w:uiPriority w:val="99"/>
    <w:rsid w:val="00D96E43"/>
    <w:pPr>
      <w:tabs>
        <w:tab w:val="num" w:pos="1080"/>
      </w:tabs>
      <w:spacing w:after="120"/>
      <w:ind w:firstLine="720"/>
    </w:pPr>
  </w:style>
  <w:style w:type="character" w:customStyle="1" w:styleId="FootnoteTextChar5">
    <w:name w:val="Footnote Text Char5"/>
    <w:aliases w:val="Footnote Text Char2 Char2,Footnote Text Char1 Char1 Char1,Footnote Text Char Char Char Char2,Footnote Text Char1 Char Char Char Char2,Footnote Text Char2 Char Char Char Char Char2,Footnote Text Char Char Char Char Char Char Char2"/>
    <w:uiPriority w:val="99"/>
    <w:rsid w:val="00D96E43"/>
    <w:rPr>
      <w:lang w:val="en-US" w:eastAsia="en-US"/>
    </w:rPr>
  </w:style>
  <w:style w:type="paragraph" w:styleId="NormalWeb">
    <w:name w:val="Normal (Web)"/>
    <w:basedOn w:val="Normal"/>
    <w:uiPriority w:val="99"/>
    <w:rsid w:val="00D96E43"/>
    <w:pPr>
      <w:widowControl/>
      <w:spacing w:before="100" w:beforeAutospacing="1" w:after="100" w:afterAutospacing="1"/>
    </w:pPr>
    <w:rPr>
      <w:kern w:val="0"/>
      <w:sz w:val="24"/>
      <w:szCs w:val="24"/>
    </w:rPr>
  </w:style>
  <w:style w:type="character" w:customStyle="1" w:styleId="documentbody">
    <w:name w:val="documentbody"/>
    <w:uiPriority w:val="99"/>
    <w:rsid w:val="00D96E43"/>
  </w:style>
  <w:style w:type="character" w:customStyle="1" w:styleId="ParaNumCharCharCharChar">
    <w:name w:val="ParaNum Char Char Char Char"/>
    <w:link w:val="ParaNumCharCharChar"/>
    <w:uiPriority w:val="99"/>
    <w:locked/>
    <w:rsid w:val="00D96E43"/>
    <w:rPr>
      <w:snapToGrid w:val="0"/>
      <w:kern w:val="28"/>
      <w:sz w:val="22"/>
      <w:lang w:val="en-US" w:eastAsia="en-US"/>
    </w:rPr>
  </w:style>
  <w:style w:type="character" w:customStyle="1" w:styleId="groupheading">
    <w:name w:val="groupheading"/>
    <w:uiPriority w:val="99"/>
    <w:rsid w:val="00D96E43"/>
  </w:style>
  <w:style w:type="character" w:customStyle="1" w:styleId="resultsublistitem">
    <w:name w:val="resultsublistitem"/>
    <w:uiPriority w:val="99"/>
    <w:rsid w:val="00D96E43"/>
  </w:style>
  <w:style w:type="character" w:customStyle="1" w:styleId="FootnoteTextChar1Char">
    <w:name w:val="Footnote Text Char1 Char"/>
    <w:aliases w:val="Footnote Text Char2 Char Char Char,Footnote Text Char1 Char1 Char Char Char,Footnote Text Char1 Char Char Char Char Char Char,Footnote Text Char3,Footnote Text Char3 Char1 Char Char Char,Footnote Text Char1 Char Char Char1 Char"/>
    <w:uiPriority w:val="99"/>
    <w:rsid w:val="00D96E43"/>
    <w:rPr>
      <w:snapToGrid w:val="0"/>
      <w:kern w:val="28"/>
      <w:sz w:val="22"/>
      <w:lang w:val="en-US" w:eastAsia="en-US"/>
    </w:rPr>
  </w:style>
  <w:style w:type="character" w:customStyle="1" w:styleId="resultsublistitemfull">
    <w:name w:val="resultsublistitemfull"/>
    <w:uiPriority w:val="99"/>
    <w:rsid w:val="00D96E43"/>
  </w:style>
  <w:style w:type="character" w:customStyle="1" w:styleId="searchterm">
    <w:name w:val="searchterm"/>
    <w:uiPriority w:val="99"/>
    <w:rsid w:val="00D96E43"/>
  </w:style>
  <w:style w:type="character" w:customStyle="1" w:styleId="bestsection">
    <w:name w:val="bestsection"/>
    <w:uiPriority w:val="99"/>
    <w:rsid w:val="00D96E43"/>
  </w:style>
  <w:style w:type="character" w:customStyle="1" w:styleId="FootnoteTextCharChar1">
    <w:name w:val="Footnote Text Char Char1"/>
    <w:aliases w:val="Footnote Text Char2 Char Char,Footnote Text Char1 Char1 Char Char,Footnote Text Char2 Char Char Char Char Char Char,Footnote Text Char2 Char1 Char,Footnote Text Char Char1 Char2 Char,Footnote Text Char3 Char Char Char1 Char"/>
    <w:uiPriority w:val="99"/>
    <w:rsid w:val="00D96E43"/>
    <w:rPr>
      <w:lang w:val="en-US" w:eastAsia="en-US"/>
    </w:rPr>
  </w:style>
  <w:style w:type="paragraph" w:customStyle="1" w:styleId="Default">
    <w:name w:val="Default"/>
    <w:rsid w:val="00D96E43"/>
    <w:pPr>
      <w:autoSpaceDE w:val="0"/>
      <w:autoSpaceDN w:val="0"/>
      <w:adjustRightInd w:val="0"/>
    </w:pPr>
    <w:rPr>
      <w:rFonts w:ascii="NIJMAB+TimesNewRoman" w:hAnsi="NIJMAB+TimesNewRoman" w:cs="NIJMAB+TimesNewRoman"/>
      <w:color w:val="000000"/>
      <w:sz w:val="24"/>
      <w:szCs w:val="24"/>
    </w:rPr>
  </w:style>
  <w:style w:type="character" w:customStyle="1" w:styleId="ParaNumChar">
    <w:name w:val="ParaNum Char"/>
    <w:link w:val="ParaNum"/>
    <w:locked/>
    <w:rsid w:val="00D96E43"/>
    <w:rPr>
      <w:snapToGrid w:val="0"/>
      <w:kern w:val="28"/>
      <w:szCs w:val="20"/>
    </w:rPr>
  </w:style>
  <w:style w:type="character" w:styleId="Strong">
    <w:name w:val="Strong"/>
    <w:basedOn w:val="DefaultParagraphFont"/>
    <w:uiPriority w:val="99"/>
    <w:qFormat/>
    <w:rsid w:val="00D96E43"/>
    <w:rPr>
      <w:rFonts w:cs="Times New Roman"/>
      <w:b/>
    </w:rPr>
  </w:style>
  <w:style w:type="character" w:customStyle="1" w:styleId="FootnoteTextChar4">
    <w:name w:val="Footnote Text Char4"/>
    <w:aliases w:val="Footnote Text Char2 Char1,Footnote Text Char1 Char1 Char2,Footnote Text Char Char Char Char1,Footnote Text Char1 Char Char Char Char1,Footnote Text Char2 Char Char Char Char Char1,Footnote Text Char Char Char Char Char Char Char1"/>
    <w:link w:val="FootnoteText"/>
    <w:locked/>
    <w:rsid w:val="00D96E43"/>
    <w:rPr>
      <w:sz w:val="20"/>
      <w:szCs w:val="20"/>
    </w:rPr>
  </w:style>
  <w:style w:type="character" w:customStyle="1" w:styleId="FootnoteTextChar3Char">
    <w:name w:val="Footnote Text Char3 Char"/>
    <w:aliases w:val="Footnote Text Char Char Char Char Char,Footnote Text Char1 Char Char Char Char Char,ALTS FOOTNOTE Char1 Char1 Char Char Char Char,fn Char1 Char1 Char Char Char Char,Footnote Text Char2 Char Char1,Footnote Text Char1 Char Char"/>
    <w:uiPriority w:val="99"/>
    <w:rsid w:val="00D96E43"/>
    <w:rPr>
      <w:lang w:val="en-US" w:eastAsia="en-US"/>
    </w:rPr>
  </w:style>
  <w:style w:type="character" w:customStyle="1" w:styleId="FootnoteTextChar5Char">
    <w:name w:val="Footnote Text Char5 Char"/>
    <w:aliases w:val="Footnote Text Char2 Char4 Char,Footnote Text Char5 Char Char Char1,Footnote Text Char3 Char1 Char2 Char Char,Footnote Text Char2 Char1 Char1 Char Char40 Char,Footnote Text Char2 Char4 Char Char Char,Char1 Char"/>
    <w:uiPriority w:val="99"/>
    <w:rsid w:val="00D96E43"/>
    <w:rPr>
      <w:rFonts w:ascii="Times New Roman" w:hAnsi="Times New Roman"/>
      <w:snapToGrid w:val="0"/>
      <w:sz w:val="20"/>
    </w:rPr>
  </w:style>
  <w:style w:type="character" w:customStyle="1" w:styleId="StyleFootnoteReference11pt">
    <w:name w:val="Style Footnote Reference + 11 pt"/>
    <w:uiPriority w:val="99"/>
    <w:rsid w:val="00D96E43"/>
    <w:rPr>
      <w:rFonts w:ascii="Times New Roman" w:hAnsi="Times New Roman"/>
      <w:color w:val="auto"/>
      <w:kern w:val="28"/>
      <w:sz w:val="20"/>
      <w:vertAlign w:val="superscript"/>
      <w:lang w:val="en-US"/>
    </w:rPr>
  </w:style>
  <w:style w:type="character" w:customStyle="1" w:styleId="FootnoteTextCharCharChar1">
    <w:name w:val="Footnote Text Char Char Char1"/>
    <w:aliases w:val="Footnote Text Char2 Char Char Char1,Footnote Text Char3 Char1 Char Char Char1,Footnote Text Char2 Char1 Char1 Char Char Char1,Footnote Text Char3 Char1 Char Char Char Char Char1,fn Char Char"/>
    <w:uiPriority w:val="99"/>
    <w:rsid w:val="00D96E43"/>
    <w:rPr>
      <w:lang w:val="en-US" w:eastAsia="en-US"/>
    </w:rPr>
  </w:style>
  <w:style w:type="character" w:styleId="CommentReference">
    <w:name w:val="annotation reference"/>
    <w:basedOn w:val="DefaultParagraphFont"/>
    <w:uiPriority w:val="99"/>
    <w:semiHidden/>
    <w:rsid w:val="00D96E43"/>
    <w:rPr>
      <w:rFonts w:cs="Times New Roman"/>
      <w:sz w:val="16"/>
    </w:rPr>
  </w:style>
  <w:style w:type="paragraph" w:styleId="CommentText">
    <w:name w:val="annotation text"/>
    <w:basedOn w:val="Normal"/>
    <w:link w:val="CommentTextChar"/>
    <w:uiPriority w:val="99"/>
    <w:semiHidden/>
    <w:rsid w:val="00D96E43"/>
    <w:pPr>
      <w:widowControl/>
    </w:pPr>
    <w:rPr>
      <w:kern w:val="0"/>
      <w:sz w:val="20"/>
    </w:rPr>
  </w:style>
  <w:style w:type="character" w:customStyle="1" w:styleId="CommentTextChar">
    <w:name w:val="Comment Text Char"/>
    <w:basedOn w:val="DefaultParagraphFont"/>
    <w:link w:val="CommentText"/>
    <w:uiPriority w:val="99"/>
    <w:semiHidden/>
    <w:locked/>
    <w:rsid w:val="00D96E43"/>
    <w:rPr>
      <w:rFonts w:cs="Times New Roman"/>
      <w:lang w:val="en-US" w:eastAsia="en-US"/>
    </w:rPr>
  </w:style>
  <w:style w:type="paragraph" w:customStyle="1" w:styleId="ParaNumCharCharCharCharCharCharCharChar">
    <w:name w:val="ParaNum Char Char Char Char Char Char Char Char"/>
    <w:basedOn w:val="Normal"/>
    <w:link w:val="ParaNumCharCharCharCharCharCharCharCharChar"/>
    <w:uiPriority w:val="99"/>
    <w:rsid w:val="00D96E43"/>
    <w:pPr>
      <w:numPr>
        <w:numId w:val="2"/>
      </w:numPr>
      <w:tabs>
        <w:tab w:val="left" w:pos="1440"/>
      </w:tabs>
      <w:spacing w:after="220"/>
      <w:jc w:val="both"/>
    </w:pPr>
    <w:rPr>
      <w:kern w:val="0"/>
    </w:rPr>
  </w:style>
  <w:style w:type="character" w:customStyle="1" w:styleId="ParaNumCharCharCharCharCharCharCharCharChar">
    <w:name w:val="ParaNum Char Char Char Char Char Char Char Char Char"/>
    <w:link w:val="ParaNumCharCharCharCharCharCharCharChar"/>
    <w:uiPriority w:val="99"/>
    <w:locked/>
    <w:rsid w:val="00D96E43"/>
    <w:rPr>
      <w:sz w:val="22"/>
      <w:lang w:val="en-US" w:eastAsia="en-US"/>
    </w:rPr>
  </w:style>
  <w:style w:type="paragraph" w:customStyle="1" w:styleId="ParaNumCharChar">
    <w:name w:val="ParaNum Char Char"/>
    <w:basedOn w:val="Normal"/>
    <w:uiPriority w:val="99"/>
    <w:rsid w:val="00D96E43"/>
    <w:pPr>
      <w:widowControl/>
      <w:numPr>
        <w:numId w:val="3"/>
      </w:numPr>
      <w:tabs>
        <w:tab w:val="left" w:pos="1260"/>
      </w:tabs>
      <w:spacing w:after="220"/>
    </w:pPr>
    <w:rPr>
      <w:szCs w:val="22"/>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D96E43"/>
    <w:pPr>
      <w:widowControl/>
      <w:tabs>
        <w:tab w:val="num" w:pos="720"/>
        <w:tab w:val="left" w:pos="1080"/>
      </w:tabs>
      <w:spacing w:after="240"/>
      <w:ind w:firstLine="360"/>
    </w:pPr>
    <w:rPr>
      <w:kern w:val="0"/>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D96E43"/>
    <w:rPr>
      <w:snapToGrid w:val="0"/>
      <w:sz w:val="22"/>
      <w:lang w:val="en-US" w:eastAsia="en-US"/>
    </w:rPr>
  </w:style>
  <w:style w:type="character" w:customStyle="1" w:styleId="ParaNumChar1">
    <w:name w:val="ParaNum Char1"/>
    <w:uiPriority w:val="99"/>
    <w:rsid w:val="00D96E43"/>
    <w:rPr>
      <w:snapToGrid w:val="0"/>
      <w:kern w:val="28"/>
      <w:sz w:val="22"/>
      <w:lang w:val="en-US" w:eastAsia="en-US"/>
    </w:rPr>
  </w:style>
  <w:style w:type="paragraph" w:styleId="ListParagraph">
    <w:name w:val="List Paragraph"/>
    <w:basedOn w:val="Normal"/>
    <w:uiPriority w:val="99"/>
    <w:qFormat/>
    <w:rsid w:val="00D96E43"/>
    <w:pPr>
      <w:widowControl/>
      <w:ind w:left="720"/>
      <w:contextualSpacing/>
    </w:pPr>
    <w:rPr>
      <w:kern w:val="0"/>
      <w:sz w:val="24"/>
      <w:szCs w:val="24"/>
    </w:rPr>
  </w:style>
  <w:style w:type="paragraph" w:styleId="BodyText">
    <w:name w:val="Body Text"/>
    <w:basedOn w:val="Normal"/>
    <w:link w:val="BodyTextChar"/>
    <w:uiPriority w:val="99"/>
    <w:rsid w:val="00D96E43"/>
    <w:pPr>
      <w:widowControl/>
      <w:spacing w:line="480" w:lineRule="auto"/>
      <w:jc w:val="both"/>
    </w:pPr>
    <w:rPr>
      <w:kern w:val="0"/>
      <w:sz w:val="24"/>
    </w:rPr>
  </w:style>
  <w:style w:type="character" w:customStyle="1" w:styleId="BodyTextChar">
    <w:name w:val="Body Text Char"/>
    <w:basedOn w:val="DefaultParagraphFont"/>
    <w:link w:val="BodyText"/>
    <w:uiPriority w:val="99"/>
    <w:locked/>
    <w:rsid w:val="00D96E43"/>
    <w:rPr>
      <w:rFonts w:cs="Times New Roman"/>
      <w:sz w:val="24"/>
      <w:lang w:val="en-US" w:eastAsia="en-US"/>
    </w:rPr>
  </w:style>
  <w:style w:type="paragraph" w:customStyle="1" w:styleId="Style11ptJustifiedFirstline05After11pt">
    <w:name w:val="Style 11 pt Justified First line:  0.5&quot; After:  11 pt"/>
    <w:basedOn w:val="Normal"/>
    <w:uiPriority w:val="99"/>
    <w:rsid w:val="00D96E43"/>
    <w:pPr>
      <w:widowControl/>
      <w:numPr>
        <w:numId w:val="7"/>
      </w:numPr>
      <w:spacing w:after="220"/>
      <w:jc w:val="both"/>
    </w:pPr>
    <w:rPr>
      <w:rFonts w:eastAsia="Batang"/>
      <w:kern w:val="0"/>
      <w:sz w:val="24"/>
      <w:lang w:eastAsia="ko-KR"/>
    </w:rPr>
  </w:style>
  <w:style w:type="paragraph" w:styleId="BodyTextIndent">
    <w:name w:val="Body Text Indent"/>
    <w:basedOn w:val="Normal"/>
    <w:link w:val="BodyTextIndentChar"/>
    <w:uiPriority w:val="99"/>
    <w:rsid w:val="00D96E43"/>
    <w:pPr>
      <w:widowControl/>
      <w:spacing w:after="240"/>
      <w:ind w:firstLine="576"/>
      <w:jc w:val="both"/>
    </w:pPr>
    <w:rPr>
      <w:kern w:val="0"/>
      <w:sz w:val="24"/>
    </w:rPr>
  </w:style>
  <w:style w:type="character" w:customStyle="1" w:styleId="BodyTextIndentChar">
    <w:name w:val="Body Text Indent Char"/>
    <w:basedOn w:val="DefaultParagraphFont"/>
    <w:link w:val="BodyTextIndent"/>
    <w:uiPriority w:val="99"/>
    <w:locked/>
    <w:rsid w:val="00D96E43"/>
    <w:rPr>
      <w:rFonts w:cs="Times New Roman"/>
      <w:sz w:val="24"/>
      <w:lang w:val="en-US" w:eastAsia="en-US"/>
    </w:rPr>
  </w:style>
  <w:style w:type="paragraph" w:styleId="E-mailSignature">
    <w:name w:val="E-mail Signature"/>
    <w:basedOn w:val="Normal"/>
    <w:link w:val="E-mailSignatureChar"/>
    <w:uiPriority w:val="99"/>
    <w:rsid w:val="00D96E43"/>
    <w:pPr>
      <w:widowControl/>
    </w:pPr>
    <w:rPr>
      <w:kern w:val="0"/>
      <w:sz w:val="24"/>
    </w:rPr>
  </w:style>
  <w:style w:type="character" w:customStyle="1" w:styleId="E-mailSignatureChar">
    <w:name w:val="E-mail Signature Char"/>
    <w:basedOn w:val="DefaultParagraphFont"/>
    <w:link w:val="E-mailSignature"/>
    <w:uiPriority w:val="99"/>
    <w:locked/>
    <w:rsid w:val="00D96E43"/>
    <w:rPr>
      <w:rFonts w:cs="Times New Roman"/>
      <w:sz w:val="24"/>
      <w:lang w:val="en-US" w:eastAsia="en-US"/>
    </w:rPr>
  </w:style>
  <w:style w:type="paragraph" w:styleId="BodyText3">
    <w:name w:val="Body Text 3"/>
    <w:basedOn w:val="Normal"/>
    <w:link w:val="BodyText3Char"/>
    <w:uiPriority w:val="99"/>
    <w:rsid w:val="00D96E43"/>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jc w:val="both"/>
    </w:pPr>
    <w:rPr>
      <w:b/>
      <w:kern w:val="0"/>
      <w:sz w:val="24"/>
      <w:u w:val="single"/>
    </w:rPr>
  </w:style>
  <w:style w:type="character" w:customStyle="1" w:styleId="BodyText3Char">
    <w:name w:val="Body Text 3 Char"/>
    <w:basedOn w:val="DefaultParagraphFont"/>
    <w:link w:val="BodyText3"/>
    <w:uiPriority w:val="99"/>
    <w:locked/>
    <w:rsid w:val="00D96E43"/>
    <w:rPr>
      <w:rFonts w:cs="Times New Roman"/>
      <w:b/>
      <w:sz w:val="24"/>
      <w:u w:val="single"/>
      <w:lang w:val="en-US" w:eastAsia="en-US"/>
    </w:rPr>
  </w:style>
  <w:style w:type="paragraph" w:styleId="CommentSubject">
    <w:name w:val="annotation subject"/>
    <w:basedOn w:val="CommentText"/>
    <w:next w:val="CommentText"/>
    <w:link w:val="CommentSubjectChar"/>
    <w:uiPriority w:val="99"/>
    <w:semiHidden/>
    <w:rsid w:val="00D96E43"/>
    <w:pPr>
      <w:widowControl w:val="0"/>
    </w:pPr>
    <w:rPr>
      <w:b/>
      <w:bCs/>
      <w:kern w:val="28"/>
    </w:rPr>
  </w:style>
  <w:style w:type="character" w:customStyle="1" w:styleId="CommentSubjectChar">
    <w:name w:val="Comment Subject Char"/>
    <w:basedOn w:val="CommentTextChar"/>
    <w:link w:val="CommentSubject"/>
    <w:uiPriority w:val="99"/>
    <w:semiHidden/>
    <w:locked/>
    <w:rsid w:val="00D96E43"/>
    <w:rPr>
      <w:rFonts w:cs="Times New Roman"/>
      <w:b/>
      <w:kern w:val="28"/>
      <w:lang w:val="en-US" w:eastAsia="en-US"/>
    </w:rPr>
  </w:style>
  <w:style w:type="paragraph" w:styleId="Title">
    <w:name w:val="Title"/>
    <w:basedOn w:val="Normal"/>
    <w:link w:val="TitleChar"/>
    <w:uiPriority w:val="99"/>
    <w:qFormat/>
    <w:rsid w:val="00D96E43"/>
    <w:pPr>
      <w:widowControl/>
      <w:jc w:val="center"/>
    </w:pPr>
    <w:rPr>
      <w:rFonts w:ascii="Cambria" w:hAnsi="Cambria"/>
      <w:b/>
      <w:bCs/>
      <w:sz w:val="32"/>
      <w:szCs w:val="32"/>
    </w:rPr>
  </w:style>
  <w:style w:type="character" w:customStyle="1" w:styleId="TitleChar">
    <w:name w:val="Title Char"/>
    <w:basedOn w:val="DefaultParagraphFont"/>
    <w:link w:val="Title"/>
    <w:uiPriority w:val="99"/>
    <w:locked/>
    <w:rsid w:val="00D96E43"/>
    <w:rPr>
      <w:rFonts w:ascii="Cambria" w:hAnsi="Cambria" w:cs="Times New Roman"/>
      <w:b/>
      <w:kern w:val="28"/>
      <w:sz w:val="32"/>
    </w:rPr>
  </w:style>
  <w:style w:type="character" w:customStyle="1" w:styleId="pmterms21">
    <w:name w:val="pmterms21"/>
    <w:uiPriority w:val="99"/>
    <w:rsid w:val="00D96E43"/>
    <w:rPr>
      <w:b/>
      <w:color w:val="000000"/>
    </w:rPr>
  </w:style>
  <w:style w:type="paragraph" w:styleId="Revision">
    <w:name w:val="Revision"/>
    <w:hidden/>
    <w:uiPriority w:val="99"/>
    <w:semiHidden/>
    <w:rsid w:val="00D96E43"/>
    <w:rPr>
      <w:kern w:val="28"/>
      <w:szCs w:val="20"/>
    </w:rPr>
  </w:style>
  <w:style w:type="character" w:customStyle="1" w:styleId="term1">
    <w:name w:val="term1"/>
    <w:uiPriority w:val="99"/>
    <w:rsid w:val="00D96E43"/>
    <w:rPr>
      <w:b/>
    </w:rPr>
  </w:style>
  <w:style w:type="character" w:styleId="Emphasis">
    <w:name w:val="Emphasis"/>
    <w:basedOn w:val="DefaultParagraphFont"/>
    <w:uiPriority w:val="99"/>
    <w:qFormat/>
    <w:rsid w:val="00D96E43"/>
    <w:rPr>
      <w:rFonts w:cs="Times New Roman"/>
      <w:i/>
    </w:rPr>
  </w:style>
  <w:style w:type="character" w:styleId="FollowedHyperlink">
    <w:name w:val="FollowedHyperlink"/>
    <w:basedOn w:val="DefaultParagraphFont"/>
    <w:uiPriority w:val="99"/>
    <w:locked/>
    <w:rsid w:val="00D96E43"/>
    <w:rPr>
      <w:rFonts w:cs="Times New Roman"/>
      <w:color w:val="800080"/>
      <w:u w:val="single"/>
    </w:rPr>
  </w:style>
  <w:style w:type="paragraph" w:customStyle="1" w:styleId="typelabel">
    <w:name w:val="typelabel"/>
    <w:basedOn w:val="Normal"/>
    <w:uiPriority w:val="99"/>
    <w:rsid w:val="00D96E43"/>
    <w:pPr>
      <w:widowControl/>
      <w:spacing w:before="100" w:beforeAutospacing="1" w:after="100" w:afterAutospacing="1"/>
    </w:pPr>
    <w:rPr>
      <w:kern w:val="0"/>
      <w:sz w:val="24"/>
      <w:szCs w:val="24"/>
    </w:rPr>
  </w:style>
  <w:style w:type="paragraph" w:customStyle="1" w:styleId="paranum0">
    <w:name w:val="paranum"/>
    <w:basedOn w:val="Normal"/>
    <w:link w:val="paranumChar0"/>
    <w:uiPriority w:val="99"/>
    <w:rsid w:val="00D96E43"/>
    <w:pPr>
      <w:widowControl/>
      <w:tabs>
        <w:tab w:val="num" w:pos="1080"/>
      </w:tabs>
      <w:spacing w:after="120"/>
      <w:ind w:firstLine="720"/>
    </w:pPr>
    <w:rPr>
      <w:kern w:val="0"/>
    </w:rPr>
  </w:style>
  <w:style w:type="character" w:customStyle="1" w:styleId="pmterms11">
    <w:name w:val="pmterms11"/>
    <w:uiPriority w:val="99"/>
    <w:rsid w:val="00D96E43"/>
    <w:rPr>
      <w:b/>
      <w:color w:val="000000"/>
    </w:rPr>
  </w:style>
  <w:style w:type="character" w:customStyle="1" w:styleId="paranumChar0">
    <w:name w:val="paranum Char"/>
    <w:link w:val="paranum0"/>
    <w:uiPriority w:val="99"/>
    <w:locked/>
    <w:rsid w:val="00D96E43"/>
    <w:rPr>
      <w:snapToGrid w:val="0"/>
      <w:sz w:val="22"/>
      <w:lang w:val="en-US" w:eastAsia="en-US"/>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semiHidden/>
    <w:locked/>
    <w:rsid w:val="00D96E43"/>
    <w:rPr>
      <w:snapToGrid w:val="0"/>
      <w:kern w:val="28"/>
      <w:lang w:val="en-US" w:eastAsia="en-US"/>
    </w:rPr>
  </w:style>
  <w:style w:type="character" w:customStyle="1" w:styleId="Footnote">
    <w:name w:val="Footnote"/>
    <w:uiPriority w:val="99"/>
    <w:rsid w:val="00D96E43"/>
  </w:style>
  <w:style w:type="character" w:customStyle="1" w:styleId="Heading2CharChar2">
    <w:name w:val="Heading 2 Char Char2"/>
    <w:uiPriority w:val="99"/>
    <w:rsid w:val="00D96E43"/>
    <w:rPr>
      <w:b/>
      <w:snapToGrid w:val="0"/>
      <w:kern w:val="28"/>
      <w:sz w:val="24"/>
      <w:lang w:val="en-US" w:eastAsia="en-US"/>
    </w:rPr>
  </w:style>
  <w:style w:type="character" w:customStyle="1" w:styleId="FootnoteTextCharCharCharChar3CharCharChar1">
    <w:name w:val="Footnote Text Char Char Char Char3 Char Char Char1"/>
    <w:aliases w:val="Footnote Text Char Char3 Char,Footnote Text Char1 Char Char3 Char,Footnote Text Char Char Char Char3 Char"/>
    <w:uiPriority w:val="99"/>
    <w:rsid w:val="00D96E43"/>
    <w:rPr>
      <w:lang w:val="en-US" w:eastAsia="en-US"/>
    </w:rPr>
  </w:style>
  <w:style w:type="paragraph" w:customStyle="1" w:styleId="StyleParaNum">
    <w:name w:val="Style ParaNum +"/>
    <w:basedOn w:val="ParaNum"/>
    <w:link w:val="StyleParaNumChar"/>
    <w:autoRedefine/>
    <w:uiPriority w:val="99"/>
    <w:rsid w:val="00A96110"/>
    <w:rPr>
      <w:kern w:val="0"/>
    </w:rPr>
  </w:style>
  <w:style w:type="character" w:customStyle="1" w:styleId="StyleParaNumChar">
    <w:name w:val="Style ParaNum + Char"/>
    <w:basedOn w:val="ParaNumChar"/>
    <w:link w:val="StyleParaNum"/>
    <w:uiPriority w:val="99"/>
    <w:locked/>
    <w:rsid w:val="00D96E43"/>
    <w:rPr>
      <w:snapToGrid w:val="0"/>
      <w:kern w:val="28"/>
      <w:szCs w:val="20"/>
    </w:rPr>
  </w:style>
  <w:style w:type="paragraph" w:customStyle="1" w:styleId="ParaNumAppndx">
    <w:name w:val="ParaNum Appndx"/>
    <w:basedOn w:val="ParaNum"/>
    <w:uiPriority w:val="99"/>
    <w:rsid w:val="00A96110"/>
  </w:style>
  <w:style w:type="paragraph" w:customStyle="1" w:styleId="ParaNumChar1Char">
    <w:name w:val="ParaNum Char1 Char"/>
    <w:basedOn w:val="Normal"/>
    <w:link w:val="ParaNumChar1CharChar"/>
    <w:uiPriority w:val="99"/>
    <w:rsid w:val="00D96E43"/>
    <w:pPr>
      <w:tabs>
        <w:tab w:val="num" w:pos="1080"/>
        <w:tab w:val="left" w:pos="1440"/>
      </w:tabs>
      <w:spacing w:after="220"/>
      <w:ind w:firstLine="720"/>
    </w:pPr>
    <w:rPr>
      <w:kern w:val="0"/>
    </w:rPr>
  </w:style>
  <w:style w:type="character" w:customStyle="1" w:styleId="ParaNumChar1CharChar">
    <w:name w:val="ParaNum Char1 Char Char"/>
    <w:link w:val="ParaNumChar1Char"/>
    <w:uiPriority w:val="99"/>
    <w:locked/>
    <w:rsid w:val="00D96E43"/>
    <w:rPr>
      <w:sz w:val="22"/>
      <w:lang w:val="en-US" w:eastAsia="en-US"/>
    </w:rPr>
  </w:style>
  <w:style w:type="paragraph" w:styleId="Caption">
    <w:name w:val="caption"/>
    <w:basedOn w:val="Normal"/>
    <w:next w:val="Normal"/>
    <w:uiPriority w:val="99"/>
    <w:qFormat/>
    <w:rsid w:val="00D96E43"/>
    <w:rPr>
      <w:b/>
      <w:bCs/>
      <w:sz w:val="20"/>
    </w:rPr>
  </w:style>
  <w:style w:type="character" w:customStyle="1" w:styleId="StyleFootnoteReferenceStyle13Style12NECGFootnoteReferenc">
    <w:name w:val="Style Footnote ReferenceStyle 13Style 12(NECG) Footnote Referenc..."/>
    <w:uiPriority w:val="99"/>
    <w:rsid w:val="00D96E43"/>
    <w:rPr>
      <w:rFonts w:ascii="Times New Roman" w:hAnsi="Times New Roman"/>
      <w:color w:val="auto"/>
      <w:sz w:val="20"/>
      <w:vertAlign w:val="superscript"/>
    </w:rPr>
  </w:style>
  <w:style w:type="paragraph" w:styleId="PlainText">
    <w:name w:val="Plain Text"/>
    <w:basedOn w:val="Normal"/>
    <w:link w:val="PlainTextChar"/>
    <w:uiPriority w:val="99"/>
    <w:locked/>
    <w:rsid w:val="00D96E43"/>
    <w:pPr>
      <w:widowControl/>
    </w:pPr>
    <w:rPr>
      <w:rFonts w:ascii="Courier New" w:hAnsi="Courier New"/>
      <w:kern w:val="0"/>
      <w:sz w:val="20"/>
    </w:rPr>
  </w:style>
  <w:style w:type="character" w:customStyle="1" w:styleId="PlainTextChar">
    <w:name w:val="Plain Text Char"/>
    <w:basedOn w:val="DefaultParagraphFont"/>
    <w:link w:val="PlainText"/>
    <w:uiPriority w:val="99"/>
    <w:locked/>
    <w:rsid w:val="00D96E43"/>
    <w:rPr>
      <w:rFonts w:ascii="Courier New" w:hAnsi="Courier New" w:cs="Times New Roman"/>
    </w:rPr>
  </w:style>
  <w:style w:type="paragraph" w:customStyle="1" w:styleId="Title1">
    <w:name w:val="Title1"/>
    <w:basedOn w:val="Normal"/>
    <w:uiPriority w:val="99"/>
    <w:rsid w:val="00D96E43"/>
    <w:pPr>
      <w:widowControl/>
      <w:spacing w:before="100" w:beforeAutospacing="1" w:after="100" w:afterAutospacing="1"/>
    </w:pPr>
    <w:rPr>
      <w:rFonts w:ascii="Arial" w:hAnsi="Arial" w:cs="Arial"/>
      <w:b/>
      <w:bCs/>
      <w:kern w:val="0"/>
      <w:sz w:val="20"/>
    </w:rPr>
  </w:style>
  <w:style w:type="character" w:customStyle="1" w:styleId="informationalsmall">
    <w:name w:val="informationalsmall"/>
    <w:basedOn w:val="DefaultParagraphFont"/>
    <w:uiPriority w:val="99"/>
    <w:rsid w:val="00D96E43"/>
    <w:rPr>
      <w:rFonts w:cs="Times New Roman"/>
    </w:rPr>
  </w:style>
  <w:style w:type="paragraph" w:customStyle="1" w:styleId="StyleParaNumLeftAfter6pt">
    <w:name w:val="Style ParaNum + Left After:  6 pt"/>
    <w:basedOn w:val="ParaNum"/>
    <w:uiPriority w:val="99"/>
    <w:rsid w:val="00A96110"/>
    <w:pPr>
      <w:numPr>
        <w:numId w:val="0"/>
      </w:numPr>
      <w:tabs>
        <w:tab w:val="left" w:pos="1440"/>
      </w:tabs>
      <w:spacing w:after="220"/>
      <w:ind w:firstLine="720"/>
      <w:jc w:val="both"/>
    </w:p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uiPriority w:val="99"/>
    <w:semiHidden/>
    <w:locked/>
    <w:rsid w:val="00D96E43"/>
  </w:style>
  <w:style w:type="character" w:customStyle="1" w:styleId="CITE">
    <w:name w:val="CITE"/>
    <w:uiPriority w:val="99"/>
    <w:rsid w:val="00D96E43"/>
    <w:rPr>
      <w:i/>
    </w:rPr>
  </w:style>
  <w:style w:type="paragraph" w:customStyle="1" w:styleId="RuleNum">
    <w:name w:val="Rule Num"/>
    <w:basedOn w:val="Normal"/>
    <w:uiPriority w:val="99"/>
    <w:rsid w:val="00D96E43"/>
    <w:pPr>
      <w:widowControl/>
      <w:numPr>
        <w:numId w:val="40"/>
      </w:numPr>
      <w:tabs>
        <w:tab w:val="left" w:pos="0"/>
        <w:tab w:val="left" w:pos="270"/>
        <w:tab w:val="left" w:pos="990"/>
        <w:tab w:val="left" w:pos="2160"/>
        <w:tab w:val="left" w:pos="4320"/>
      </w:tabs>
      <w:suppressAutoHyphens/>
      <w:jc w:val="both"/>
    </w:pPr>
    <w:rPr>
      <w:rFonts w:ascii="Times" w:hAnsi="Times"/>
      <w:spacing w:val="-3"/>
      <w:kern w:val="0"/>
    </w:rPr>
  </w:style>
  <w:style w:type="paragraph" w:customStyle="1" w:styleId="gpotblnote">
    <w:name w:val="gpotbl_note"/>
    <w:basedOn w:val="Normal"/>
    <w:uiPriority w:val="99"/>
    <w:rsid w:val="00D96E43"/>
    <w:pPr>
      <w:widowControl/>
      <w:spacing w:before="100" w:beforeAutospacing="1" w:after="100" w:afterAutospacing="1"/>
    </w:pPr>
    <w:rPr>
      <w:kern w:val="0"/>
      <w:sz w:val="24"/>
      <w:szCs w:val="24"/>
    </w:rPr>
  </w:style>
  <w:style w:type="paragraph" w:customStyle="1" w:styleId="gpotbltitle">
    <w:name w:val="gpotbl_title"/>
    <w:basedOn w:val="Normal"/>
    <w:uiPriority w:val="99"/>
    <w:rsid w:val="00D96E43"/>
    <w:pPr>
      <w:widowControl/>
      <w:spacing w:before="100" w:beforeAutospacing="1" w:after="100" w:afterAutospacing="1"/>
      <w:jc w:val="center"/>
    </w:pPr>
    <w:rPr>
      <w:b/>
      <w:bCs/>
      <w:kern w:val="0"/>
      <w:sz w:val="24"/>
      <w:szCs w:val="24"/>
    </w:rPr>
  </w:style>
  <w:style w:type="paragraph" w:customStyle="1" w:styleId="gpotbldescription">
    <w:name w:val="gpotbl_description"/>
    <w:basedOn w:val="Normal"/>
    <w:uiPriority w:val="99"/>
    <w:rsid w:val="00D96E43"/>
    <w:pPr>
      <w:widowControl/>
      <w:spacing w:before="100" w:beforeAutospacing="1" w:after="100" w:afterAutospacing="1"/>
      <w:jc w:val="center"/>
    </w:pPr>
    <w:rPr>
      <w:kern w:val="0"/>
      <w:sz w:val="24"/>
      <w:szCs w:val="24"/>
    </w:rPr>
  </w:style>
  <w:style w:type="paragraph" w:customStyle="1" w:styleId="date1">
    <w:name w:val="date1"/>
    <w:basedOn w:val="Normal"/>
    <w:uiPriority w:val="99"/>
    <w:rsid w:val="00D96E43"/>
    <w:pPr>
      <w:widowControl/>
      <w:spacing w:after="150"/>
      <w:ind w:left="300" w:right="300"/>
    </w:pPr>
    <w:rPr>
      <w:rFonts w:ascii="Verdana" w:hAnsi="Verdana"/>
      <w:color w:val="666666"/>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6796">
      <w:marLeft w:val="0"/>
      <w:marRight w:val="0"/>
      <w:marTop w:val="0"/>
      <w:marBottom w:val="0"/>
      <w:divBdr>
        <w:top w:val="none" w:sz="0" w:space="0" w:color="auto"/>
        <w:left w:val="none" w:sz="0" w:space="0" w:color="auto"/>
        <w:bottom w:val="none" w:sz="0" w:space="0" w:color="auto"/>
        <w:right w:val="none" w:sz="0" w:space="0" w:color="auto"/>
      </w:divBdr>
      <w:divsChild>
        <w:div w:id="448546797">
          <w:marLeft w:val="0"/>
          <w:marRight w:val="0"/>
          <w:marTop w:val="0"/>
          <w:marBottom w:val="0"/>
          <w:divBdr>
            <w:top w:val="none" w:sz="0" w:space="0" w:color="auto"/>
            <w:left w:val="none" w:sz="0" w:space="0" w:color="auto"/>
            <w:bottom w:val="none" w:sz="0" w:space="0" w:color="auto"/>
            <w:right w:val="none" w:sz="0" w:space="0" w:color="auto"/>
          </w:divBdr>
          <w:divsChild>
            <w:div w:id="448546911">
              <w:marLeft w:val="0"/>
              <w:marRight w:val="0"/>
              <w:marTop w:val="0"/>
              <w:marBottom w:val="0"/>
              <w:divBdr>
                <w:top w:val="none" w:sz="0" w:space="0" w:color="auto"/>
                <w:left w:val="none" w:sz="0" w:space="0" w:color="auto"/>
                <w:bottom w:val="none" w:sz="0" w:space="0" w:color="auto"/>
                <w:right w:val="none" w:sz="0" w:space="0" w:color="auto"/>
              </w:divBdr>
              <w:divsChild>
                <w:div w:id="448546905">
                  <w:marLeft w:val="0"/>
                  <w:marRight w:val="0"/>
                  <w:marTop w:val="0"/>
                  <w:marBottom w:val="0"/>
                  <w:divBdr>
                    <w:top w:val="none" w:sz="0" w:space="0" w:color="auto"/>
                    <w:left w:val="none" w:sz="0" w:space="0" w:color="auto"/>
                    <w:bottom w:val="none" w:sz="0" w:space="0" w:color="auto"/>
                    <w:right w:val="none" w:sz="0" w:space="0" w:color="auto"/>
                  </w:divBdr>
                  <w:divsChild>
                    <w:div w:id="448546907">
                      <w:marLeft w:val="192"/>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799">
      <w:marLeft w:val="0"/>
      <w:marRight w:val="0"/>
      <w:marTop w:val="0"/>
      <w:marBottom w:val="0"/>
      <w:divBdr>
        <w:top w:val="none" w:sz="0" w:space="0" w:color="auto"/>
        <w:left w:val="none" w:sz="0" w:space="0" w:color="auto"/>
        <w:bottom w:val="none" w:sz="0" w:space="0" w:color="auto"/>
        <w:right w:val="none" w:sz="0" w:space="0" w:color="auto"/>
      </w:divBdr>
      <w:divsChild>
        <w:div w:id="448546906">
          <w:marLeft w:val="0"/>
          <w:marRight w:val="0"/>
          <w:marTop w:val="0"/>
          <w:marBottom w:val="0"/>
          <w:divBdr>
            <w:top w:val="none" w:sz="0" w:space="0" w:color="auto"/>
            <w:left w:val="none" w:sz="0" w:space="0" w:color="auto"/>
            <w:bottom w:val="none" w:sz="0" w:space="0" w:color="auto"/>
            <w:right w:val="none" w:sz="0" w:space="0" w:color="auto"/>
          </w:divBdr>
          <w:divsChild>
            <w:div w:id="448546909">
              <w:marLeft w:val="0"/>
              <w:marRight w:val="0"/>
              <w:marTop w:val="0"/>
              <w:marBottom w:val="0"/>
              <w:divBdr>
                <w:top w:val="none" w:sz="0" w:space="0" w:color="auto"/>
                <w:left w:val="none" w:sz="0" w:space="0" w:color="auto"/>
                <w:bottom w:val="none" w:sz="0" w:space="0" w:color="auto"/>
                <w:right w:val="none" w:sz="0" w:space="0" w:color="auto"/>
              </w:divBdr>
              <w:divsChild>
                <w:div w:id="448546840">
                  <w:marLeft w:val="0"/>
                  <w:marRight w:val="0"/>
                  <w:marTop w:val="0"/>
                  <w:marBottom w:val="0"/>
                  <w:divBdr>
                    <w:top w:val="none" w:sz="0" w:space="0" w:color="auto"/>
                    <w:left w:val="none" w:sz="0" w:space="0" w:color="auto"/>
                    <w:bottom w:val="none" w:sz="0" w:space="0" w:color="auto"/>
                    <w:right w:val="none" w:sz="0" w:space="0" w:color="auto"/>
                  </w:divBdr>
                  <w:divsChild>
                    <w:div w:id="44854691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800">
      <w:marLeft w:val="150"/>
      <w:marRight w:val="150"/>
      <w:marTop w:val="150"/>
      <w:marBottom w:val="150"/>
      <w:divBdr>
        <w:top w:val="none" w:sz="0" w:space="0" w:color="auto"/>
        <w:left w:val="none" w:sz="0" w:space="0" w:color="auto"/>
        <w:bottom w:val="none" w:sz="0" w:space="0" w:color="auto"/>
        <w:right w:val="none" w:sz="0" w:space="0" w:color="auto"/>
      </w:divBdr>
    </w:div>
    <w:div w:id="448546803">
      <w:marLeft w:val="0"/>
      <w:marRight w:val="0"/>
      <w:marTop w:val="0"/>
      <w:marBottom w:val="0"/>
      <w:divBdr>
        <w:top w:val="none" w:sz="0" w:space="0" w:color="auto"/>
        <w:left w:val="none" w:sz="0" w:space="0" w:color="auto"/>
        <w:bottom w:val="none" w:sz="0" w:space="0" w:color="auto"/>
        <w:right w:val="none" w:sz="0" w:space="0" w:color="auto"/>
      </w:divBdr>
      <w:divsChild>
        <w:div w:id="448546902">
          <w:marLeft w:val="0"/>
          <w:marRight w:val="0"/>
          <w:marTop w:val="0"/>
          <w:marBottom w:val="0"/>
          <w:divBdr>
            <w:top w:val="none" w:sz="0" w:space="0" w:color="auto"/>
            <w:left w:val="none" w:sz="0" w:space="0" w:color="auto"/>
            <w:bottom w:val="none" w:sz="0" w:space="0" w:color="auto"/>
            <w:right w:val="none" w:sz="0" w:space="0" w:color="auto"/>
          </w:divBdr>
          <w:divsChild>
            <w:div w:id="448546802">
              <w:marLeft w:val="0"/>
              <w:marRight w:val="0"/>
              <w:marTop w:val="0"/>
              <w:marBottom w:val="0"/>
              <w:divBdr>
                <w:top w:val="none" w:sz="0" w:space="0" w:color="auto"/>
                <w:left w:val="none" w:sz="0" w:space="0" w:color="auto"/>
                <w:bottom w:val="none" w:sz="0" w:space="0" w:color="auto"/>
                <w:right w:val="none" w:sz="0" w:space="0" w:color="auto"/>
              </w:divBdr>
              <w:divsChild>
                <w:div w:id="448546915">
                  <w:marLeft w:val="0"/>
                  <w:marRight w:val="0"/>
                  <w:marTop w:val="0"/>
                  <w:marBottom w:val="0"/>
                  <w:divBdr>
                    <w:top w:val="none" w:sz="0" w:space="0" w:color="auto"/>
                    <w:left w:val="none" w:sz="0" w:space="0" w:color="auto"/>
                    <w:bottom w:val="none" w:sz="0" w:space="0" w:color="auto"/>
                    <w:right w:val="none" w:sz="0" w:space="0" w:color="auto"/>
                  </w:divBdr>
                  <w:divsChild>
                    <w:div w:id="4485469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805">
      <w:marLeft w:val="0"/>
      <w:marRight w:val="0"/>
      <w:marTop w:val="0"/>
      <w:marBottom w:val="0"/>
      <w:divBdr>
        <w:top w:val="none" w:sz="0" w:space="0" w:color="auto"/>
        <w:left w:val="none" w:sz="0" w:space="0" w:color="auto"/>
        <w:bottom w:val="none" w:sz="0" w:space="0" w:color="auto"/>
        <w:right w:val="none" w:sz="0" w:space="0" w:color="auto"/>
      </w:divBdr>
    </w:div>
    <w:div w:id="448546808">
      <w:marLeft w:val="0"/>
      <w:marRight w:val="0"/>
      <w:marTop w:val="0"/>
      <w:marBottom w:val="0"/>
      <w:divBdr>
        <w:top w:val="none" w:sz="0" w:space="0" w:color="auto"/>
        <w:left w:val="none" w:sz="0" w:space="0" w:color="auto"/>
        <w:bottom w:val="none" w:sz="0" w:space="0" w:color="auto"/>
        <w:right w:val="none" w:sz="0" w:space="0" w:color="auto"/>
      </w:divBdr>
    </w:div>
    <w:div w:id="448546810">
      <w:marLeft w:val="0"/>
      <w:marRight w:val="0"/>
      <w:marTop w:val="0"/>
      <w:marBottom w:val="0"/>
      <w:divBdr>
        <w:top w:val="none" w:sz="0" w:space="0" w:color="auto"/>
        <w:left w:val="none" w:sz="0" w:space="0" w:color="auto"/>
        <w:bottom w:val="none" w:sz="0" w:space="0" w:color="auto"/>
        <w:right w:val="none" w:sz="0" w:space="0" w:color="auto"/>
      </w:divBdr>
    </w:div>
    <w:div w:id="448546811">
      <w:marLeft w:val="0"/>
      <w:marRight w:val="0"/>
      <w:marTop w:val="0"/>
      <w:marBottom w:val="0"/>
      <w:divBdr>
        <w:top w:val="none" w:sz="0" w:space="0" w:color="auto"/>
        <w:left w:val="none" w:sz="0" w:space="0" w:color="auto"/>
        <w:bottom w:val="none" w:sz="0" w:space="0" w:color="auto"/>
        <w:right w:val="none" w:sz="0" w:space="0" w:color="auto"/>
      </w:divBdr>
    </w:div>
    <w:div w:id="448546816">
      <w:marLeft w:val="0"/>
      <w:marRight w:val="0"/>
      <w:marTop w:val="0"/>
      <w:marBottom w:val="0"/>
      <w:divBdr>
        <w:top w:val="none" w:sz="0" w:space="0" w:color="auto"/>
        <w:left w:val="none" w:sz="0" w:space="0" w:color="auto"/>
        <w:bottom w:val="none" w:sz="0" w:space="0" w:color="auto"/>
        <w:right w:val="none" w:sz="0" w:space="0" w:color="auto"/>
      </w:divBdr>
    </w:div>
    <w:div w:id="448546818">
      <w:marLeft w:val="0"/>
      <w:marRight w:val="0"/>
      <w:marTop w:val="0"/>
      <w:marBottom w:val="0"/>
      <w:divBdr>
        <w:top w:val="none" w:sz="0" w:space="0" w:color="auto"/>
        <w:left w:val="none" w:sz="0" w:space="0" w:color="auto"/>
        <w:bottom w:val="none" w:sz="0" w:space="0" w:color="auto"/>
        <w:right w:val="none" w:sz="0" w:space="0" w:color="auto"/>
      </w:divBdr>
    </w:div>
    <w:div w:id="448546820">
      <w:marLeft w:val="0"/>
      <w:marRight w:val="0"/>
      <w:marTop w:val="0"/>
      <w:marBottom w:val="0"/>
      <w:divBdr>
        <w:top w:val="none" w:sz="0" w:space="0" w:color="auto"/>
        <w:left w:val="none" w:sz="0" w:space="0" w:color="auto"/>
        <w:bottom w:val="none" w:sz="0" w:space="0" w:color="auto"/>
        <w:right w:val="none" w:sz="0" w:space="0" w:color="auto"/>
      </w:divBdr>
      <w:divsChild>
        <w:div w:id="448546809">
          <w:marLeft w:val="0"/>
          <w:marRight w:val="0"/>
          <w:marTop w:val="0"/>
          <w:marBottom w:val="0"/>
          <w:divBdr>
            <w:top w:val="none" w:sz="0" w:space="0" w:color="auto"/>
            <w:left w:val="none" w:sz="0" w:space="0" w:color="auto"/>
            <w:bottom w:val="none" w:sz="0" w:space="0" w:color="auto"/>
            <w:right w:val="none" w:sz="0" w:space="0" w:color="auto"/>
          </w:divBdr>
          <w:divsChild>
            <w:div w:id="448546825">
              <w:marLeft w:val="0"/>
              <w:marRight w:val="0"/>
              <w:marTop w:val="0"/>
              <w:marBottom w:val="0"/>
              <w:divBdr>
                <w:top w:val="none" w:sz="0" w:space="0" w:color="auto"/>
                <w:left w:val="none" w:sz="0" w:space="0" w:color="auto"/>
                <w:bottom w:val="none" w:sz="0" w:space="0" w:color="auto"/>
                <w:right w:val="none" w:sz="0" w:space="0" w:color="auto"/>
              </w:divBdr>
              <w:divsChild>
                <w:div w:id="448546831">
                  <w:marLeft w:val="0"/>
                  <w:marRight w:val="0"/>
                  <w:marTop w:val="0"/>
                  <w:marBottom w:val="0"/>
                  <w:divBdr>
                    <w:top w:val="none" w:sz="0" w:space="0" w:color="auto"/>
                    <w:left w:val="none" w:sz="0" w:space="0" w:color="auto"/>
                    <w:bottom w:val="none" w:sz="0" w:space="0" w:color="auto"/>
                    <w:right w:val="none" w:sz="0" w:space="0" w:color="auto"/>
                  </w:divBdr>
                  <w:divsChild>
                    <w:div w:id="4485468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822">
      <w:marLeft w:val="0"/>
      <w:marRight w:val="0"/>
      <w:marTop w:val="0"/>
      <w:marBottom w:val="0"/>
      <w:divBdr>
        <w:top w:val="none" w:sz="0" w:space="0" w:color="auto"/>
        <w:left w:val="none" w:sz="0" w:space="0" w:color="auto"/>
        <w:bottom w:val="none" w:sz="0" w:space="0" w:color="auto"/>
        <w:right w:val="none" w:sz="0" w:space="0" w:color="auto"/>
      </w:divBdr>
    </w:div>
    <w:div w:id="448546827">
      <w:marLeft w:val="0"/>
      <w:marRight w:val="0"/>
      <w:marTop w:val="0"/>
      <w:marBottom w:val="0"/>
      <w:divBdr>
        <w:top w:val="none" w:sz="0" w:space="0" w:color="auto"/>
        <w:left w:val="none" w:sz="0" w:space="0" w:color="auto"/>
        <w:bottom w:val="none" w:sz="0" w:space="0" w:color="auto"/>
        <w:right w:val="none" w:sz="0" w:space="0" w:color="auto"/>
      </w:divBdr>
      <w:divsChild>
        <w:div w:id="448546832">
          <w:marLeft w:val="0"/>
          <w:marRight w:val="0"/>
          <w:marTop w:val="0"/>
          <w:marBottom w:val="0"/>
          <w:divBdr>
            <w:top w:val="none" w:sz="0" w:space="0" w:color="auto"/>
            <w:left w:val="none" w:sz="0" w:space="0" w:color="auto"/>
            <w:bottom w:val="none" w:sz="0" w:space="0" w:color="auto"/>
            <w:right w:val="none" w:sz="0" w:space="0" w:color="auto"/>
          </w:divBdr>
          <w:divsChild>
            <w:div w:id="448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829">
      <w:marLeft w:val="0"/>
      <w:marRight w:val="0"/>
      <w:marTop w:val="0"/>
      <w:marBottom w:val="0"/>
      <w:divBdr>
        <w:top w:val="none" w:sz="0" w:space="0" w:color="auto"/>
        <w:left w:val="none" w:sz="0" w:space="0" w:color="auto"/>
        <w:bottom w:val="none" w:sz="0" w:space="0" w:color="auto"/>
        <w:right w:val="none" w:sz="0" w:space="0" w:color="auto"/>
      </w:divBdr>
      <w:divsChild>
        <w:div w:id="448546824">
          <w:marLeft w:val="0"/>
          <w:marRight w:val="0"/>
          <w:marTop w:val="0"/>
          <w:marBottom w:val="0"/>
          <w:divBdr>
            <w:top w:val="none" w:sz="0" w:space="0" w:color="auto"/>
            <w:left w:val="none" w:sz="0" w:space="0" w:color="auto"/>
            <w:bottom w:val="none" w:sz="0" w:space="0" w:color="auto"/>
            <w:right w:val="none" w:sz="0" w:space="0" w:color="auto"/>
          </w:divBdr>
          <w:divsChild>
            <w:div w:id="448546814">
              <w:marLeft w:val="0"/>
              <w:marRight w:val="0"/>
              <w:marTop w:val="0"/>
              <w:marBottom w:val="0"/>
              <w:divBdr>
                <w:top w:val="none" w:sz="0" w:space="0" w:color="auto"/>
                <w:left w:val="none" w:sz="0" w:space="0" w:color="auto"/>
                <w:bottom w:val="none" w:sz="0" w:space="0" w:color="auto"/>
                <w:right w:val="none" w:sz="0" w:space="0" w:color="auto"/>
              </w:divBdr>
              <w:divsChild>
                <w:div w:id="448546806">
                  <w:marLeft w:val="0"/>
                  <w:marRight w:val="0"/>
                  <w:marTop w:val="0"/>
                  <w:marBottom w:val="0"/>
                  <w:divBdr>
                    <w:top w:val="none" w:sz="0" w:space="0" w:color="auto"/>
                    <w:left w:val="none" w:sz="0" w:space="0" w:color="auto"/>
                    <w:bottom w:val="none" w:sz="0" w:space="0" w:color="auto"/>
                    <w:right w:val="none" w:sz="0" w:space="0" w:color="auto"/>
                  </w:divBdr>
                  <w:divsChild>
                    <w:div w:id="448546828">
                      <w:marLeft w:val="0"/>
                      <w:marRight w:val="0"/>
                      <w:marTop w:val="0"/>
                      <w:marBottom w:val="0"/>
                      <w:divBdr>
                        <w:top w:val="none" w:sz="0" w:space="0" w:color="auto"/>
                        <w:left w:val="none" w:sz="0" w:space="0" w:color="auto"/>
                        <w:bottom w:val="none" w:sz="0" w:space="0" w:color="auto"/>
                        <w:right w:val="none" w:sz="0" w:space="0" w:color="auto"/>
                      </w:divBdr>
                      <w:divsChild>
                        <w:div w:id="4485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546830">
      <w:marLeft w:val="0"/>
      <w:marRight w:val="0"/>
      <w:marTop w:val="0"/>
      <w:marBottom w:val="0"/>
      <w:divBdr>
        <w:top w:val="none" w:sz="0" w:space="0" w:color="auto"/>
        <w:left w:val="none" w:sz="0" w:space="0" w:color="auto"/>
        <w:bottom w:val="none" w:sz="0" w:space="0" w:color="auto"/>
        <w:right w:val="none" w:sz="0" w:space="0" w:color="auto"/>
      </w:divBdr>
    </w:div>
    <w:div w:id="448546833">
      <w:marLeft w:val="0"/>
      <w:marRight w:val="0"/>
      <w:marTop w:val="0"/>
      <w:marBottom w:val="0"/>
      <w:divBdr>
        <w:top w:val="none" w:sz="0" w:space="0" w:color="auto"/>
        <w:left w:val="none" w:sz="0" w:space="0" w:color="auto"/>
        <w:bottom w:val="none" w:sz="0" w:space="0" w:color="auto"/>
        <w:right w:val="none" w:sz="0" w:space="0" w:color="auto"/>
      </w:divBdr>
      <w:divsChild>
        <w:div w:id="448546836">
          <w:marLeft w:val="0"/>
          <w:marRight w:val="0"/>
          <w:marTop w:val="0"/>
          <w:marBottom w:val="0"/>
          <w:divBdr>
            <w:top w:val="none" w:sz="0" w:space="0" w:color="auto"/>
            <w:left w:val="none" w:sz="0" w:space="0" w:color="auto"/>
            <w:bottom w:val="none" w:sz="0" w:space="0" w:color="auto"/>
            <w:right w:val="none" w:sz="0" w:space="0" w:color="auto"/>
          </w:divBdr>
          <w:divsChild>
            <w:div w:id="448546821">
              <w:marLeft w:val="0"/>
              <w:marRight w:val="0"/>
              <w:marTop w:val="0"/>
              <w:marBottom w:val="0"/>
              <w:divBdr>
                <w:top w:val="none" w:sz="0" w:space="0" w:color="auto"/>
                <w:left w:val="none" w:sz="0" w:space="0" w:color="auto"/>
                <w:bottom w:val="none" w:sz="0" w:space="0" w:color="auto"/>
                <w:right w:val="none" w:sz="0" w:space="0" w:color="auto"/>
              </w:divBdr>
              <w:divsChild>
                <w:div w:id="448546804">
                  <w:marLeft w:val="0"/>
                  <w:marRight w:val="0"/>
                  <w:marTop w:val="0"/>
                  <w:marBottom w:val="0"/>
                  <w:divBdr>
                    <w:top w:val="none" w:sz="0" w:space="0" w:color="auto"/>
                    <w:left w:val="none" w:sz="0" w:space="0" w:color="auto"/>
                    <w:bottom w:val="none" w:sz="0" w:space="0" w:color="auto"/>
                    <w:right w:val="none" w:sz="0" w:space="0" w:color="auto"/>
                  </w:divBdr>
                  <w:divsChild>
                    <w:div w:id="44854681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834">
      <w:marLeft w:val="0"/>
      <w:marRight w:val="0"/>
      <w:marTop w:val="0"/>
      <w:marBottom w:val="0"/>
      <w:divBdr>
        <w:top w:val="none" w:sz="0" w:space="0" w:color="auto"/>
        <w:left w:val="none" w:sz="0" w:space="0" w:color="auto"/>
        <w:bottom w:val="none" w:sz="0" w:space="0" w:color="auto"/>
        <w:right w:val="none" w:sz="0" w:space="0" w:color="auto"/>
      </w:divBdr>
      <w:divsChild>
        <w:div w:id="448546819">
          <w:marLeft w:val="0"/>
          <w:marRight w:val="0"/>
          <w:marTop w:val="0"/>
          <w:marBottom w:val="0"/>
          <w:divBdr>
            <w:top w:val="none" w:sz="0" w:space="0" w:color="auto"/>
            <w:left w:val="none" w:sz="0" w:space="0" w:color="auto"/>
            <w:bottom w:val="none" w:sz="0" w:space="0" w:color="auto"/>
            <w:right w:val="none" w:sz="0" w:space="0" w:color="auto"/>
          </w:divBdr>
          <w:divsChild>
            <w:div w:id="448546823">
              <w:marLeft w:val="0"/>
              <w:marRight w:val="0"/>
              <w:marTop w:val="0"/>
              <w:marBottom w:val="0"/>
              <w:divBdr>
                <w:top w:val="none" w:sz="0" w:space="0" w:color="auto"/>
                <w:left w:val="none" w:sz="0" w:space="0" w:color="auto"/>
                <w:bottom w:val="none" w:sz="0" w:space="0" w:color="auto"/>
                <w:right w:val="none" w:sz="0" w:space="0" w:color="auto"/>
              </w:divBdr>
              <w:divsChild>
                <w:div w:id="448546826">
                  <w:marLeft w:val="0"/>
                  <w:marRight w:val="0"/>
                  <w:marTop w:val="0"/>
                  <w:marBottom w:val="0"/>
                  <w:divBdr>
                    <w:top w:val="single" w:sz="4" w:space="6" w:color="243356"/>
                    <w:left w:val="none" w:sz="0" w:space="0" w:color="auto"/>
                    <w:bottom w:val="none" w:sz="0" w:space="0" w:color="auto"/>
                    <w:right w:val="none" w:sz="0" w:space="0" w:color="auto"/>
                  </w:divBdr>
                  <w:divsChild>
                    <w:div w:id="448546835">
                      <w:marLeft w:val="0"/>
                      <w:marRight w:val="0"/>
                      <w:marTop w:val="0"/>
                      <w:marBottom w:val="0"/>
                      <w:divBdr>
                        <w:top w:val="none" w:sz="0" w:space="0" w:color="auto"/>
                        <w:left w:val="none" w:sz="0" w:space="0" w:color="auto"/>
                        <w:bottom w:val="none" w:sz="0" w:space="0" w:color="auto"/>
                        <w:right w:val="none" w:sz="0" w:space="0" w:color="auto"/>
                      </w:divBdr>
                      <w:divsChild>
                        <w:div w:id="4485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546838">
      <w:marLeft w:val="0"/>
      <w:marRight w:val="0"/>
      <w:marTop w:val="0"/>
      <w:marBottom w:val="0"/>
      <w:divBdr>
        <w:top w:val="none" w:sz="0" w:space="0" w:color="auto"/>
        <w:left w:val="none" w:sz="0" w:space="0" w:color="auto"/>
        <w:bottom w:val="none" w:sz="0" w:space="0" w:color="auto"/>
        <w:right w:val="none" w:sz="0" w:space="0" w:color="auto"/>
      </w:divBdr>
      <w:divsChild>
        <w:div w:id="448546842">
          <w:marLeft w:val="0"/>
          <w:marRight w:val="0"/>
          <w:marTop w:val="0"/>
          <w:marBottom w:val="0"/>
          <w:divBdr>
            <w:top w:val="none" w:sz="0" w:space="0" w:color="auto"/>
            <w:left w:val="none" w:sz="0" w:space="0" w:color="auto"/>
            <w:bottom w:val="none" w:sz="0" w:space="0" w:color="auto"/>
            <w:right w:val="none" w:sz="0" w:space="0" w:color="auto"/>
          </w:divBdr>
          <w:divsChild>
            <w:div w:id="448546913">
              <w:marLeft w:val="0"/>
              <w:marRight w:val="0"/>
              <w:marTop w:val="0"/>
              <w:marBottom w:val="0"/>
              <w:divBdr>
                <w:top w:val="none" w:sz="0" w:space="0" w:color="auto"/>
                <w:left w:val="none" w:sz="0" w:space="0" w:color="auto"/>
                <w:bottom w:val="none" w:sz="0" w:space="0" w:color="auto"/>
                <w:right w:val="none" w:sz="0" w:space="0" w:color="auto"/>
              </w:divBdr>
              <w:divsChild>
                <w:div w:id="448546904">
                  <w:marLeft w:val="0"/>
                  <w:marRight w:val="0"/>
                  <w:marTop w:val="0"/>
                  <w:marBottom w:val="0"/>
                  <w:divBdr>
                    <w:top w:val="none" w:sz="0" w:space="0" w:color="auto"/>
                    <w:left w:val="none" w:sz="0" w:space="0" w:color="auto"/>
                    <w:bottom w:val="none" w:sz="0" w:space="0" w:color="auto"/>
                    <w:right w:val="none" w:sz="0" w:space="0" w:color="auto"/>
                  </w:divBdr>
                  <w:divsChild>
                    <w:div w:id="4485468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839">
      <w:marLeft w:val="0"/>
      <w:marRight w:val="0"/>
      <w:marTop w:val="0"/>
      <w:marBottom w:val="0"/>
      <w:divBdr>
        <w:top w:val="none" w:sz="0" w:space="0" w:color="auto"/>
        <w:left w:val="none" w:sz="0" w:space="0" w:color="auto"/>
        <w:bottom w:val="none" w:sz="0" w:space="0" w:color="auto"/>
        <w:right w:val="none" w:sz="0" w:space="0" w:color="auto"/>
      </w:divBdr>
      <w:divsChild>
        <w:div w:id="448546801">
          <w:marLeft w:val="0"/>
          <w:marRight w:val="0"/>
          <w:marTop w:val="0"/>
          <w:marBottom w:val="360"/>
          <w:divBdr>
            <w:top w:val="single" w:sz="18" w:space="0" w:color="FF3300"/>
            <w:left w:val="none" w:sz="0" w:space="0" w:color="auto"/>
            <w:bottom w:val="none" w:sz="0" w:space="0" w:color="auto"/>
            <w:right w:val="none" w:sz="0" w:space="0" w:color="auto"/>
          </w:divBdr>
          <w:divsChild>
            <w:div w:id="448546798">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 w:id="448546841">
      <w:marLeft w:val="0"/>
      <w:marRight w:val="0"/>
      <w:marTop w:val="0"/>
      <w:marBottom w:val="0"/>
      <w:divBdr>
        <w:top w:val="none" w:sz="0" w:space="0" w:color="auto"/>
        <w:left w:val="none" w:sz="0" w:space="0" w:color="auto"/>
        <w:bottom w:val="none" w:sz="0" w:space="0" w:color="auto"/>
        <w:right w:val="none" w:sz="0" w:space="0" w:color="auto"/>
      </w:divBdr>
    </w:div>
    <w:div w:id="448546844">
      <w:marLeft w:val="0"/>
      <w:marRight w:val="0"/>
      <w:marTop w:val="0"/>
      <w:marBottom w:val="0"/>
      <w:divBdr>
        <w:top w:val="none" w:sz="0" w:space="0" w:color="auto"/>
        <w:left w:val="none" w:sz="0" w:space="0" w:color="auto"/>
        <w:bottom w:val="none" w:sz="0" w:space="0" w:color="auto"/>
        <w:right w:val="none" w:sz="0" w:space="0" w:color="auto"/>
      </w:divBdr>
      <w:divsChild>
        <w:div w:id="448546892">
          <w:marLeft w:val="0"/>
          <w:marRight w:val="0"/>
          <w:marTop w:val="0"/>
          <w:marBottom w:val="0"/>
          <w:divBdr>
            <w:top w:val="none" w:sz="0" w:space="0" w:color="auto"/>
            <w:left w:val="none" w:sz="0" w:space="0" w:color="auto"/>
            <w:bottom w:val="none" w:sz="0" w:space="0" w:color="auto"/>
            <w:right w:val="none" w:sz="0" w:space="0" w:color="auto"/>
          </w:divBdr>
          <w:divsChild>
            <w:div w:id="448546894">
              <w:marLeft w:val="0"/>
              <w:marRight w:val="0"/>
              <w:marTop w:val="0"/>
              <w:marBottom w:val="0"/>
              <w:divBdr>
                <w:top w:val="none" w:sz="0" w:space="0" w:color="auto"/>
                <w:left w:val="none" w:sz="0" w:space="0" w:color="auto"/>
                <w:bottom w:val="none" w:sz="0" w:space="0" w:color="auto"/>
                <w:right w:val="none" w:sz="0" w:space="0" w:color="auto"/>
              </w:divBdr>
              <w:divsChild>
                <w:div w:id="448546885">
                  <w:marLeft w:val="0"/>
                  <w:marRight w:val="0"/>
                  <w:marTop w:val="0"/>
                  <w:marBottom w:val="0"/>
                  <w:divBdr>
                    <w:top w:val="none" w:sz="0" w:space="0" w:color="auto"/>
                    <w:left w:val="none" w:sz="0" w:space="0" w:color="auto"/>
                    <w:bottom w:val="none" w:sz="0" w:space="0" w:color="auto"/>
                    <w:right w:val="none" w:sz="0" w:space="0" w:color="auto"/>
                  </w:divBdr>
                  <w:divsChild>
                    <w:div w:id="4485468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845">
      <w:marLeft w:val="150"/>
      <w:marRight w:val="150"/>
      <w:marTop w:val="150"/>
      <w:marBottom w:val="150"/>
      <w:divBdr>
        <w:top w:val="none" w:sz="0" w:space="0" w:color="auto"/>
        <w:left w:val="none" w:sz="0" w:space="0" w:color="auto"/>
        <w:bottom w:val="none" w:sz="0" w:space="0" w:color="auto"/>
        <w:right w:val="none" w:sz="0" w:space="0" w:color="auto"/>
      </w:divBdr>
    </w:div>
    <w:div w:id="448546848">
      <w:marLeft w:val="0"/>
      <w:marRight w:val="0"/>
      <w:marTop w:val="0"/>
      <w:marBottom w:val="0"/>
      <w:divBdr>
        <w:top w:val="none" w:sz="0" w:space="0" w:color="auto"/>
        <w:left w:val="none" w:sz="0" w:space="0" w:color="auto"/>
        <w:bottom w:val="none" w:sz="0" w:space="0" w:color="auto"/>
        <w:right w:val="none" w:sz="0" w:space="0" w:color="auto"/>
      </w:divBdr>
      <w:divsChild>
        <w:div w:id="448546889">
          <w:marLeft w:val="0"/>
          <w:marRight w:val="0"/>
          <w:marTop w:val="0"/>
          <w:marBottom w:val="0"/>
          <w:divBdr>
            <w:top w:val="none" w:sz="0" w:space="0" w:color="auto"/>
            <w:left w:val="none" w:sz="0" w:space="0" w:color="auto"/>
            <w:bottom w:val="none" w:sz="0" w:space="0" w:color="auto"/>
            <w:right w:val="none" w:sz="0" w:space="0" w:color="auto"/>
          </w:divBdr>
          <w:divsChild>
            <w:div w:id="448546847">
              <w:marLeft w:val="0"/>
              <w:marRight w:val="0"/>
              <w:marTop w:val="0"/>
              <w:marBottom w:val="0"/>
              <w:divBdr>
                <w:top w:val="none" w:sz="0" w:space="0" w:color="auto"/>
                <w:left w:val="none" w:sz="0" w:space="0" w:color="auto"/>
                <w:bottom w:val="none" w:sz="0" w:space="0" w:color="auto"/>
                <w:right w:val="none" w:sz="0" w:space="0" w:color="auto"/>
              </w:divBdr>
              <w:divsChild>
                <w:div w:id="448546899">
                  <w:marLeft w:val="0"/>
                  <w:marRight w:val="0"/>
                  <w:marTop w:val="0"/>
                  <w:marBottom w:val="0"/>
                  <w:divBdr>
                    <w:top w:val="none" w:sz="0" w:space="0" w:color="auto"/>
                    <w:left w:val="none" w:sz="0" w:space="0" w:color="auto"/>
                    <w:bottom w:val="none" w:sz="0" w:space="0" w:color="auto"/>
                    <w:right w:val="none" w:sz="0" w:space="0" w:color="auto"/>
                  </w:divBdr>
                  <w:divsChild>
                    <w:div w:id="4485468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850">
      <w:marLeft w:val="0"/>
      <w:marRight w:val="0"/>
      <w:marTop w:val="0"/>
      <w:marBottom w:val="0"/>
      <w:divBdr>
        <w:top w:val="none" w:sz="0" w:space="0" w:color="auto"/>
        <w:left w:val="none" w:sz="0" w:space="0" w:color="auto"/>
        <w:bottom w:val="none" w:sz="0" w:space="0" w:color="auto"/>
        <w:right w:val="none" w:sz="0" w:space="0" w:color="auto"/>
      </w:divBdr>
    </w:div>
    <w:div w:id="448546853">
      <w:marLeft w:val="0"/>
      <w:marRight w:val="0"/>
      <w:marTop w:val="0"/>
      <w:marBottom w:val="0"/>
      <w:divBdr>
        <w:top w:val="none" w:sz="0" w:space="0" w:color="auto"/>
        <w:left w:val="none" w:sz="0" w:space="0" w:color="auto"/>
        <w:bottom w:val="none" w:sz="0" w:space="0" w:color="auto"/>
        <w:right w:val="none" w:sz="0" w:space="0" w:color="auto"/>
      </w:divBdr>
    </w:div>
    <w:div w:id="448546855">
      <w:marLeft w:val="0"/>
      <w:marRight w:val="0"/>
      <w:marTop w:val="0"/>
      <w:marBottom w:val="0"/>
      <w:divBdr>
        <w:top w:val="none" w:sz="0" w:space="0" w:color="auto"/>
        <w:left w:val="none" w:sz="0" w:space="0" w:color="auto"/>
        <w:bottom w:val="none" w:sz="0" w:space="0" w:color="auto"/>
        <w:right w:val="none" w:sz="0" w:space="0" w:color="auto"/>
      </w:divBdr>
    </w:div>
    <w:div w:id="448546856">
      <w:marLeft w:val="0"/>
      <w:marRight w:val="0"/>
      <w:marTop w:val="0"/>
      <w:marBottom w:val="0"/>
      <w:divBdr>
        <w:top w:val="none" w:sz="0" w:space="0" w:color="auto"/>
        <w:left w:val="none" w:sz="0" w:space="0" w:color="auto"/>
        <w:bottom w:val="none" w:sz="0" w:space="0" w:color="auto"/>
        <w:right w:val="none" w:sz="0" w:space="0" w:color="auto"/>
      </w:divBdr>
    </w:div>
    <w:div w:id="448546861">
      <w:marLeft w:val="0"/>
      <w:marRight w:val="0"/>
      <w:marTop w:val="0"/>
      <w:marBottom w:val="0"/>
      <w:divBdr>
        <w:top w:val="none" w:sz="0" w:space="0" w:color="auto"/>
        <w:left w:val="none" w:sz="0" w:space="0" w:color="auto"/>
        <w:bottom w:val="none" w:sz="0" w:space="0" w:color="auto"/>
        <w:right w:val="none" w:sz="0" w:space="0" w:color="auto"/>
      </w:divBdr>
    </w:div>
    <w:div w:id="448546863">
      <w:marLeft w:val="0"/>
      <w:marRight w:val="0"/>
      <w:marTop w:val="0"/>
      <w:marBottom w:val="0"/>
      <w:divBdr>
        <w:top w:val="none" w:sz="0" w:space="0" w:color="auto"/>
        <w:left w:val="none" w:sz="0" w:space="0" w:color="auto"/>
        <w:bottom w:val="none" w:sz="0" w:space="0" w:color="auto"/>
        <w:right w:val="none" w:sz="0" w:space="0" w:color="auto"/>
      </w:divBdr>
    </w:div>
    <w:div w:id="448546865">
      <w:marLeft w:val="0"/>
      <w:marRight w:val="0"/>
      <w:marTop w:val="0"/>
      <w:marBottom w:val="0"/>
      <w:divBdr>
        <w:top w:val="none" w:sz="0" w:space="0" w:color="auto"/>
        <w:left w:val="none" w:sz="0" w:space="0" w:color="auto"/>
        <w:bottom w:val="none" w:sz="0" w:space="0" w:color="auto"/>
        <w:right w:val="none" w:sz="0" w:space="0" w:color="auto"/>
      </w:divBdr>
      <w:divsChild>
        <w:div w:id="448546854">
          <w:marLeft w:val="0"/>
          <w:marRight w:val="0"/>
          <w:marTop w:val="0"/>
          <w:marBottom w:val="0"/>
          <w:divBdr>
            <w:top w:val="none" w:sz="0" w:space="0" w:color="auto"/>
            <w:left w:val="none" w:sz="0" w:space="0" w:color="auto"/>
            <w:bottom w:val="none" w:sz="0" w:space="0" w:color="auto"/>
            <w:right w:val="none" w:sz="0" w:space="0" w:color="auto"/>
          </w:divBdr>
          <w:divsChild>
            <w:div w:id="448546870">
              <w:marLeft w:val="0"/>
              <w:marRight w:val="0"/>
              <w:marTop w:val="0"/>
              <w:marBottom w:val="0"/>
              <w:divBdr>
                <w:top w:val="none" w:sz="0" w:space="0" w:color="auto"/>
                <w:left w:val="none" w:sz="0" w:space="0" w:color="auto"/>
                <w:bottom w:val="none" w:sz="0" w:space="0" w:color="auto"/>
                <w:right w:val="none" w:sz="0" w:space="0" w:color="auto"/>
              </w:divBdr>
              <w:divsChild>
                <w:div w:id="448546876">
                  <w:marLeft w:val="0"/>
                  <w:marRight w:val="0"/>
                  <w:marTop w:val="0"/>
                  <w:marBottom w:val="0"/>
                  <w:divBdr>
                    <w:top w:val="none" w:sz="0" w:space="0" w:color="auto"/>
                    <w:left w:val="none" w:sz="0" w:space="0" w:color="auto"/>
                    <w:bottom w:val="none" w:sz="0" w:space="0" w:color="auto"/>
                    <w:right w:val="none" w:sz="0" w:space="0" w:color="auto"/>
                  </w:divBdr>
                  <w:divsChild>
                    <w:div w:id="44854685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867">
      <w:marLeft w:val="0"/>
      <w:marRight w:val="0"/>
      <w:marTop w:val="0"/>
      <w:marBottom w:val="0"/>
      <w:divBdr>
        <w:top w:val="none" w:sz="0" w:space="0" w:color="auto"/>
        <w:left w:val="none" w:sz="0" w:space="0" w:color="auto"/>
        <w:bottom w:val="none" w:sz="0" w:space="0" w:color="auto"/>
        <w:right w:val="none" w:sz="0" w:space="0" w:color="auto"/>
      </w:divBdr>
    </w:div>
    <w:div w:id="448546872">
      <w:marLeft w:val="0"/>
      <w:marRight w:val="0"/>
      <w:marTop w:val="0"/>
      <w:marBottom w:val="0"/>
      <w:divBdr>
        <w:top w:val="none" w:sz="0" w:space="0" w:color="auto"/>
        <w:left w:val="none" w:sz="0" w:space="0" w:color="auto"/>
        <w:bottom w:val="none" w:sz="0" w:space="0" w:color="auto"/>
        <w:right w:val="none" w:sz="0" w:space="0" w:color="auto"/>
      </w:divBdr>
      <w:divsChild>
        <w:div w:id="448546877">
          <w:marLeft w:val="0"/>
          <w:marRight w:val="0"/>
          <w:marTop w:val="0"/>
          <w:marBottom w:val="0"/>
          <w:divBdr>
            <w:top w:val="none" w:sz="0" w:space="0" w:color="auto"/>
            <w:left w:val="none" w:sz="0" w:space="0" w:color="auto"/>
            <w:bottom w:val="none" w:sz="0" w:space="0" w:color="auto"/>
            <w:right w:val="none" w:sz="0" w:space="0" w:color="auto"/>
          </w:divBdr>
          <w:divsChild>
            <w:div w:id="4485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874">
      <w:marLeft w:val="0"/>
      <w:marRight w:val="0"/>
      <w:marTop w:val="0"/>
      <w:marBottom w:val="0"/>
      <w:divBdr>
        <w:top w:val="none" w:sz="0" w:space="0" w:color="auto"/>
        <w:left w:val="none" w:sz="0" w:space="0" w:color="auto"/>
        <w:bottom w:val="none" w:sz="0" w:space="0" w:color="auto"/>
        <w:right w:val="none" w:sz="0" w:space="0" w:color="auto"/>
      </w:divBdr>
      <w:divsChild>
        <w:div w:id="448546869">
          <w:marLeft w:val="0"/>
          <w:marRight w:val="0"/>
          <w:marTop w:val="0"/>
          <w:marBottom w:val="0"/>
          <w:divBdr>
            <w:top w:val="none" w:sz="0" w:space="0" w:color="auto"/>
            <w:left w:val="none" w:sz="0" w:space="0" w:color="auto"/>
            <w:bottom w:val="none" w:sz="0" w:space="0" w:color="auto"/>
            <w:right w:val="none" w:sz="0" w:space="0" w:color="auto"/>
          </w:divBdr>
          <w:divsChild>
            <w:div w:id="448546859">
              <w:marLeft w:val="0"/>
              <w:marRight w:val="0"/>
              <w:marTop w:val="0"/>
              <w:marBottom w:val="0"/>
              <w:divBdr>
                <w:top w:val="none" w:sz="0" w:space="0" w:color="auto"/>
                <w:left w:val="none" w:sz="0" w:space="0" w:color="auto"/>
                <w:bottom w:val="none" w:sz="0" w:space="0" w:color="auto"/>
                <w:right w:val="none" w:sz="0" w:space="0" w:color="auto"/>
              </w:divBdr>
              <w:divsChild>
                <w:div w:id="448546851">
                  <w:marLeft w:val="0"/>
                  <w:marRight w:val="0"/>
                  <w:marTop w:val="0"/>
                  <w:marBottom w:val="0"/>
                  <w:divBdr>
                    <w:top w:val="none" w:sz="0" w:space="0" w:color="auto"/>
                    <w:left w:val="none" w:sz="0" w:space="0" w:color="auto"/>
                    <w:bottom w:val="none" w:sz="0" w:space="0" w:color="auto"/>
                    <w:right w:val="none" w:sz="0" w:space="0" w:color="auto"/>
                  </w:divBdr>
                  <w:divsChild>
                    <w:div w:id="448546873">
                      <w:marLeft w:val="0"/>
                      <w:marRight w:val="0"/>
                      <w:marTop w:val="0"/>
                      <w:marBottom w:val="0"/>
                      <w:divBdr>
                        <w:top w:val="none" w:sz="0" w:space="0" w:color="auto"/>
                        <w:left w:val="none" w:sz="0" w:space="0" w:color="auto"/>
                        <w:bottom w:val="none" w:sz="0" w:space="0" w:color="auto"/>
                        <w:right w:val="none" w:sz="0" w:space="0" w:color="auto"/>
                      </w:divBdr>
                      <w:divsChild>
                        <w:div w:id="4485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546875">
      <w:marLeft w:val="0"/>
      <w:marRight w:val="0"/>
      <w:marTop w:val="0"/>
      <w:marBottom w:val="0"/>
      <w:divBdr>
        <w:top w:val="none" w:sz="0" w:space="0" w:color="auto"/>
        <w:left w:val="none" w:sz="0" w:space="0" w:color="auto"/>
        <w:bottom w:val="none" w:sz="0" w:space="0" w:color="auto"/>
        <w:right w:val="none" w:sz="0" w:space="0" w:color="auto"/>
      </w:divBdr>
    </w:div>
    <w:div w:id="448546878">
      <w:marLeft w:val="0"/>
      <w:marRight w:val="0"/>
      <w:marTop w:val="0"/>
      <w:marBottom w:val="0"/>
      <w:divBdr>
        <w:top w:val="none" w:sz="0" w:space="0" w:color="auto"/>
        <w:left w:val="none" w:sz="0" w:space="0" w:color="auto"/>
        <w:bottom w:val="none" w:sz="0" w:space="0" w:color="auto"/>
        <w:right w:val="none" w:sz="0" w:space="0" w:color="auto"/>
      </w:divBdr>
      <w:divsChild>
        <w:div w:id="448546881">
          <w:marLeft w:val="0"/>
          <w:marRight w:val="0"/>
          <w:marTop w:val="0"/>
          <w:marBottom w:val="0"/>
          <w:divBdr>
            <w:top w:val="none" w:sz="0" w:space="0" w:color="auto"/>
            <w:left w:val="none" w:sz="0" w:space="0" w:color="auto"/>
            <w:bottom w:val="none" w:sz="0" w:space="0" w:color="auto"/>
            <w:right w:val="none" w:sz="0" w:space="0" w:color="auto"/>
          </w:divBdr>
          <w:divsChild>
            <w:div w:id="448546866">
              <w:marLeft w:val="0"/>
              <w:marRight w:val="0"/>
              <w:marTop w:val="0"/>
              <w:marBottom w:val="0"/>
              <w:divBdr>
                <w:top w:val="none" w:sz="0" w:space="0" w:color="auto"/>
                <w:left w:val="none" w:sz="0" w:space="0" w:color="auto"/>
                <w:bottom w:val="none" w:sz="0" w:space="0" w:color="auto"/>
                <w:right w:val="none" w:sz="0" w:space="0" w:color="auto"/>
              </w:divBdr>
              <w:divsChild>
                <w:div w:id="448546849">
                  <w:marLeft w:val="0"/>
                  <w:marRight w:val="0"/>
                  <w:marTop w:val="0"/>
                  <w:marBottom w:val="0"/>
                  <w:divBdr>
                    <w:top w:val="none" w:sz="0" w:space="0" w:color="auto"/>
                    <w:left w:val="none" w:sz="0" w:space="0" w:color="auto"/>
                    <w:bottom w:val="none" w:sz="0" w:space="0" w:color="auto"/>
                    <w:right w:val="none" w:sz="0" w:space="0" w:color="auto"/>
                  </w:divBdr>
                  <w:divsChild>
                    <w:div w:id="44854686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879">
      <w:marLeft w:val="0"/>
      <w:marRight w:val="0"/>
      <w:marTop w:val="0"/>
      <w:marBottom w:val="0"/>
      <w:divBdr>
        <w:top w:val="none" w:sz="0" w:space="0" w:color="auto"/>
        <w:left w:val="none" w:sz="0" w:space="0" w:color="auto"/>
        <w:bottom w:val="none" w:sz="0" w:space="0" w:color="auto"/>
        <w:right w:val="none" w:sz="0" w:space="0" w:color="auto"/>
      </w:divBdr>
      <w:divsChild>
        <w:div w:id="448546864">
          <w:marLeft w:val="0"/>
          <w:marRight w:val="0"/>
          <w:marTop w:val="0"/>
          <w:marBottom w:val="0"/>
          <w:divBdr>
            <w:top w:val="none" w:sz="0" w:space="0" w:color="auto"/>
            <w:left w:val="none" w:sz="0" w:space="0" w:color="auto"/>
            <w:bottom w:val="none" w:sz="0" w:space="0" w:color="auto"/>
            <w:right w:val="none" w:sz="0" w:space="0" w:color="auto"/>
          </w:divBdr>
          <w:divsChild>
            <w:div w:id="448546868">
              <w:marLeft w:val="0"/>
              <w:marRight w:val="0"/>
              <w:marTop w:val="0"/>
              <w:marBottom w:val="0"/>
              <w:divBdr>
                <w:top w:val="none" w:sz="0" w:space="0" w:color="auto"/>
                <w:left w:val="none" w:sz="0" w:space="0" w:color="auto"/>
                <w:bottom w:val="none" w:sz="0" w:space="0" w:color="auto"/>
                <w:right w:val="none" w:sz="0" w:space="0" w:color="auto"/>
              </w:divBdr>
              <w:divsChild>
                <w:div w:id="448546871">
                  <w:marLeft w:val="0"/>
                  <w:marRight w:val="0"/>
                  <w:marTop w:val="0"/>
                  <w:marBottom w:val="0"/>
                  <w:divBdr>
                    <w:top w:val="single" w:sz="4" w:space="6" w:color="243356"/>
                    <w:left w:val="none" w:sz="0" w:space="0" w:color="auto"/>
                    <w:bottom w:val="none" w:sz="0" w:space="0" w:color="auto"/>
                    <w:right w:val="none" w:sz="0" w:space="0" w:color="auto"/>
                  </w:divBdr>
                  <w:divsChild>
                    <w:div w:id="448546880">
                      <w:marLeft w:val="0"/>
                      <w:marRight w:val="0"/>
                      <w:marTop w:val="0"/>
                      <w:marBottom w:val="0"/>
                      <w:divBdr>
                        <w:top w:val="none" w:sz="0" w:space="0" w:color="auto"/>
                        <w:left w:val="none" w:sz="0" w:space="0" w:color="auto"/>
                        <w:bottom w:val="none" w:sz="0" w:space="0" w:color="auto"/>
                        <w:right w:val="none" w:sz="0" w:space="0" w:color="auto"/>
                      </w:divBdr>
                      <w:divsChild>
                        <w:div w:id="4485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546883">
      <w:marLeft w:val="0"/>
      <w:marRight w:val="0"/>
      <w:marTop w:val="0"/>
      <w:marBottom w:val="0"/>
      <w:divBdr>
        <w:top w:val="none" w:sz="0" w:space="0" w:color="auto"/>
        <w:left w:val="none" w:sz="0" w:space="0" w:color="auto"/>
        <w:bottom w:val="none" w:sz="0" w:space="0" w:color="auto"/>
        <w:right w:val="none" w:sz="0" w:space="0" w:color="auto"/>
      </w:divBdr>
      <w:divsChild>
        <w:div w:id="448546887">
          <w:marLeft w:val="0"/>
          <w:marRight w:val="0"/>
          <w:marTop w:val="0"/>
          <w:marBottom w:val="0"/>
          <w:divBdr>
            <w:top w:val="none" w:sz="0" w:space="0" w:color="auto"/>
            <w:left w:val="none" w:sz="0" w:space="0" w:color="auto"/>
            <w:bottom w:val="none" w:sz="0" w:space="0" w:color="auto"/>
            <w:right w:val="none" w:sz="0" w:space="0" w:color="auto"/>
          </w:divBdr>
          <w:divsChild>
            <w:div w:id="448546897">
              <w:marLeft w:val="0"/>
              <w:marRight w:val="0"/>
              <w:marTop w:val="0"/>
              <w:marBottom w:val="0"/>
              <w:divBdr>
                <w:top w:val="none" w:sz="0" w:space="0" w:color="auto"/>
                <w:left w:val="none" w:sz="0" w:space="0" w:color="auto"/>
                <w:bottom w:val="none" w:sz="0" w:space="0" w:color="auto"/>
                <w:right w:val="none" w:sz="0" w:space="0" w:color="auto"/>
              </w:divBdr>
              <w:divsChild>
                <w:div w:id="448546891">
                  <w:marLeft w:val="0"/>
                  <w:marRight w:val="0"/>
                  <w:marTop w:val="0"/>
                  <w:marBottom w:val="0"/>
                  <w:divBdr>
                    <w:top w:val="none" w:sz="0" w:space="0" w:color="auto"/>
                    <w:left w:val="none" w:sz="0" w:space="0" w:color="auto"/>
                    <w:bottom w:val="none" w:sz="0" w:space="0" w:color="auto"/>
                    <w:right w:val="none" w:sz="0" w:space="0" w:color="auto"/>
                  </w:divBdr>
                  <w:divsChild>
                    <w:div w:id="44854688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884">
      <w:marLeft w:val="0"/>
      <w:marRight w:val="0"/>
      <w:marTop w:val="0"/>
      <w:marBottom w:val="0"/>
      <w:divBdr>
        <w:top w:val="none" w:sz="0" w:space="0" w:color="auto"/>
        <w:left w:val="none" w:sz="0" w:space="0" w:color="auto"/>
        <w:bottom w:val="none" w:sz="0" w:space="0" w:color="auto"/>
        <w:right w:val="none" w:sz="0" w:space="0" w:color="auto"/>
      </w:divBdr>
      <w:divsChild>
        <w:div w:id="448546846">
          <w:marLeft w:val="0"/>
          <w:marRight w:val="0"/>
          <w:marTop w:val="0"/>
          <w:marBottom w:val="360"/>
          <w:divBdr>
            <w:top w:val="single" w:sz="18" w:space="0" w:color="FF3300"/>
            <w:left w:val="none" w:sz="0" w:space="0" w:color="auto"/>
            <w:bottom w:val="none" w:sz="0" w:space="0" w:color="auto"/>
            <w:right w:val="none" w:sz="0" w:space="0" w:color="auto"/>
          </w:divBdr>
          <w:divsChild>
            <w:div w:id="448546843">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 w:id="448546886">
      <w:marLeft w:val="0"/>
      <w:marRight w:val="0"/>
      <w:marTop w:val="0"/>
      <w:marBottom w:val="0"/>
      <w:divBdr>
        <w:top w:val="none" w:sz="0" w:space="0" w:color="auto"/>
        <w:left w:val="none" w:sz="0" w:space="0" w:color="auto"/>
        <w:bottom w:val="none" w:sz="0" w:space="0" w:color="auto"/>
        <w:right w:val="none" w:sz="0" w:space="0" w:color="auto"/>
      </w:divBdr>
    </w:div>
    <w:div w:id="448546890">
      <w:marLeft w:val="150"/>
      <w:marRight w:val="150"/>
      <w:marTop w:val="150"/>
      <w:marBottom w:val="150"/>
      <w:divBdr>
        <w:top w:val="none" w:sz="0" w:space="0" w:color="auto"/>
        <w:left w:val="none" w:sz="0" w:space="0" w:color="auto"/>
        <w:bottom w:val="none" w:sz="0" w:space="0" w:color="auto"/>
        <w:right w:val="none" w:sz="0" w:space="0" w:color="auto"/>
      </w:divBdr>
    </w:div>
    <w:div w:id="448546893">
      <w:marLeft w:val="0"/>
      <w:marRight w:val="0"/>
      <w:marTop w:val="0"/>
      <w:marBottom w:val="0"/>
      <w:divBdr>
        <w:top w:val="none" w:sz="0" w:space="0" w:color="auto"/>
        <w:left w:val="none" w:sz="0" w:space="0" w:color="auto"/>
        <w:bottom w:val="none" w:sz="0" w:space="0" w:color="auto"/>
        <w:right w:val="none" w:sz="0" w:space="0" w:color="auto"/>
      </w:divBdr>
    </w:div>
    <w:div w:id="448546896">
      <w:marLeft w:val="0"/>
      <w:marRight w:val="0"/>
      <w:marTop w:val="0"/>
      <w:marBottom w:val="0"/>
      <w:divBdr>
        <w:top w:val="none" w:sz="0" w:space="0" w:color="auto"/>
        <w:left w:val="none" w:sz="0" w:space="0" w:color="auto"/>
        <w:bottom w:val="none" w:sz="0" w:space="0" w:color="auto"/>
        <w:right w:val="none" w:sz="0" w:space="0" w:color="auto"/>
      </w:divBdr>
    </w:div>
    <w:div w:id="448546898">
      <w:marLeft w:val="0"/>
      <w:marRight w:val="0"/>
      <w:marTop w:val="0"/>
      <w:marBottom w:val="0"/>
      <w:divBdr>
        <w:top w:val="none" w:sz="0" w:space="0" w:color="auto"/>
        <w:left w:val="none" w:sz="0" w:space="0" w:color="auto"/>
        <w:bottom w:val="none" w:sz="0" w:space="0" w:color="auto"/>
        <w:right w:val="none" w:sz="0" w:space="0" w:color="auto"/>
      </w:divBdr>
    </w:div>
    <w:div w:id="448546900">
      <w:marLeft w:val="0"/>
      <w:marRight w:val="0"/>
      <w:marTop w:val="0"/>
      <w:marBottom w:val="0"/>
      <w:divBdr>
        <w:top w:val="none" w:sz="0" w:space="0" w:color="auto"/>
        <w:left w:val="none" w:sz="0" w:space="0" w:color="auto"/>
        <w:bottom w:val="none" w:sz="0" w:space="0" w:color="auto"/>
        <w:right w:val="none" w:sz="0" w:space="0" w:color="auto"/>
      </w:divBdr>
    </w:div>
    <w:div w:id="448546903">
      <w:marLeft w:val="150"/>
      <w:marRight w:val="150"/>
      <w:marTop w:val="150"/>
      <w:marBottom w:val="150"/>
      <w:divBdr>
        <w:top w:val="none" w:sz="0" w:space="0" w:color="auto"/>
        <w:left w:val="none" w:sz="0" w:space="0" w:color="auto"/>
        <w:bottom w:val="none" w:sz="0" w:space="0" w:color="auto"/>
        <w:right w:val="none" w:sz="0" w:space="0" w:color="auto"/>
      </w:divBdr>
    </w:div>
    <w:div w:id="448546908">
      <w:marLeft w:val="0"/>
      <w:marRight w:val="0"/>
      <w:marTop w:val="0"/>
      <w:marBottom w:val="0"/>
      <w:divBdr>
        <w:top w:val="none" w:sz="0" w:space="0" w:color="auto"/>
        <w:left w:val="none" w:sz="0" w:space="0" w:color="auto"/>
        <w:bottom w:val="none" w:sz="0" w:space="0" w:color="auto"/>
        <w:right w:val="none" w:sz="0" w:space="0" w:color="auto"/>
      </w:divBdr>
    </w:div>
    <w:div w:id="448546912">
      <w:marLeft w:val="0"/>
      <w:marRight w:val="0"/>
      <w:marTop w:val="0"/>
      <w:marBottom w:val="0"/>
      <w:divBdr>
        <w:top w:val="none" w:sz="0" w:space="0" w:color="auto"/>
        <w:left w:val="none" w:sz="0" w:space="0" w:color="auto"/>
        <w:bottom w:val="none" w:sz="0" w:space="0" w:color="auto"/>
        <w:right w:val="none" w:sz="0" w:space="0" w:color="auto"/>
      </w:divBdr>
    </w:div>
    <w:div w:id="448546914">
      <w:marLeft w:val="0"/>
      <w:marRight w:val="0"/>
      <w:marTop w:val="0"/>
      <w:marBottom w:val="0"/>
      <w:divBdr>
        <w:top w:val="none" w:sz="0" w:space="0" w:color="auto"/>
        <w:left w:val="none" w:sz="0" w:space="0" w:color="auto"/>
        <w:bottom w:val="none" w:sz="0" w:space="0" w:color="auto"/>
        <w:right w:val="none" w:sz="0" w:space="0" w:color="auto"/>
      </w:divBdr>
    </w:div>
    <w:div w:id="448546916">
      <w:marLeft w:val="0"/>
      <w:marRight w:val="0"/>
      <w:marTop w:val="0"/>
      <w:marBottom w:val="0"/>
      <w:divBdr>
        <w:top w:val="none" w:sz="0" w:space="0" w:color="auto"/>
        <w:left w:val="none" w:sz="0" w:space="0" w:color="auto"/>
        <w:bottom w:val="none" w:sz="0" w:space="0" w:color="auto"/>
        <w:right w:val="none" w:sz="0" w:space="0" w:color="auto"/>
      </w:divBdr>
    </w:div>
    <w:div w:id="448546918">
      <w:marLeft w:val="0"/>
      <w:marRight w:val="0"/>
      <w:marTop w:val="0"/>
      <w:marBottom w:val="0"/>
      <w:divBdr>
        <w:top w:val="none" w:sz="0" w:space="0" w:color="auto"/>
        <w:left w:val="none" w:sz="0" w:space="0" w:color="auto"/>
        <w:bottom w:val="none" w:sz="0" w:space="0" w:color="auto"/>
        <w:right w:val="none" w:sz="0" w:space="0" w:color="auto"/>
      </w:divBdr>
    </w:div>
    <w:div w:id="448546920">
      <w:marLeft w:val="0"/>
      <w:marRight w:val="0"/>
      <w:marTop w:val="0"/>
      <w:marBottom w:val="0"/>
      <w:divBdr>
        <w:top w:val="none" w:sz="0" w:space="0" w:color="auto"/>
        <w:left w:val="none" w:sz="0" w:space="0" w:color="auto"/>
        <w:bottom w:val="none" w:sz="0" w:space="0" w:color="auto"/>
        <w:right w:val="none" w:sz="0" w:space="0" w:color="auto"/>
      </w:divBdr>
    </w:div>
    <w:div w:id="448546922">
      <w:marLeft w:val="0"/>
      <w:marRight w:val="0"/>
      <w:marTop w:val="0"/>
      <w:marBottom w:val="0"/>
      <w:divBdr>
        <w:top w:val="none" w:sz="0" w:space="0" w:color="auto"/>
        <w:left w:val="none" w:sz="0" w:space="0" w:color="auto"/>
        <w:bottom w:val="none" w:sz="0" w:space="0" w:color="auto"/>
        <w:right w:val="none" w:sz="0" w:space="0" w:color="auto"/>
      </w:divBdr>
      <w:divsChild>
        <w:div w:id="448546923">
          <w:marLeft w:val="0"/>
          <w:marRight w:val="0"/>
          <w:marTop w:val="100"/>
          <w:marBottom w:val="100"/>
          <w:divBdr>
            <w:top w:val="none" w:sz="0" w:space="0" w:color="auto"/>
            <w:left w:val="none" w:sz="0" w:space="0" w:color="auto"/>
            <w:bottom w:val="none" w:sz="0" w:space="0" w:color="auto"/>
            <w:right w:val="none" w:sz="0" w:space="0" w:color="auto"/>
          </w:divBdr>
          <w:divsChild>
            <w:div w:id="448547082">
              <w:marLeft w:val="0"/>
              <w:marRight w:val="0"/>
              <w:marTop w:val="0"/>
              <w:marBottom w:val="0"/>
              <w:divBdr>
                <w:top w:val="none" w:sz="0" w:space="0" w:color="auto"/>
                <w:left w:val="none" w:sz="0" w:space="0" w:color="auto"/>
                <w:bottom w:val="none" w:sz="0" w:space="0" w:color="auto"/>
                <w:right w:val="none" w:sz="0" w:space="0" w:color="auto"/>
              </w:divBdr>
              <w:divsChild>
                <w:div w:id="448547005">
                  <w:marLeft w:val="-6000"/>
                  <w:marRight w:val="0"/>
                  <w:marTop w:val="0"/>
                  <w:marBottom w:val="0"/>
                  <w:divBdr>
                    <w:top w:val="none" w:sz="0" w:space="0" w:color="auto"/>
                    <w:left w:val="none" w:sz="0" w:space="0" w:color="auto"/>
                    <w:bottom w:val="none" w:sz="0" w:space="0" w:color="auto"/>
                    <w:right w:val="none" w:sz="0" w:space="0" w:color="auto"/>
                  </w:divBdr>
                  <w:divsChild>
                    <w:div w:id="448546932">
                      <w:marLeft w:val="3197"/>
                      <w:marRight w:val="0"/>
                      <w:marTop w:val="0"/>
                      <w:marBottom w:val="0"/>
                      <w:divBdr>
                        <w:top w:val="none" w:sz="0" w:space="0" w:color="auto"/>
                        <w:left w:val="none" w:sz="0" w:space="0" w:color="auto"/>
                        <w:bottom w:val="none" w:sz="0" w:space="0" w:color="auto"/>
                        <w:right w:val="none" w:sz="0" w:space="0" w:color="auto"/>
                      </w:divBdr>
                      <w:divsChild>
                        <w:div w:id="448547083">
                          <w:marLeft w:val="240"/>
                          <w:marRight w:val="240"/>
                          <w:marTop w:val="240"/>
                          <w:marBottom w:val="240"/>
                          <w:divBdr>
                            <w:top w:val="none" w:sz="0" w:space="0" w:color="auto"/>
                            <w:left w:val="none" w:sz="0" w:space="0" w:color="auto"/>
                            <w:bottom w:val="none" w:sz="0" w:space="0" w:color="auto"/>
                            <w:right w:val="none" w:sz="0" w:space="0" w:color="auto"/>
                          </w:divBdr>
                          <w:divsChild>
                            <w:div w:id="448547002">
                              <w:marLeft w:val="0"/>
                              <w:marRight w:val="0"/>
                              <w:marTop w:val="0"/>
                              <w:marBottom w:val="0"/>
                              <w:divBdr>
                                <w:top w:val="none" w:sz="0" w:space="0" w:color="auto"/>
                                <w:left w:val="none" w:sz="0" w:space="0" w:color="auto"/>
                                <w:bottom w:val="none" w:sz="0" w:space="0" w:color="auto"/>
                                <w:right w:val="none" w:sz="0" w:space="0" w:color="auto"/>
                              </w:divBdr>
                              <w:divsChild>
                                <w:div w:id="4485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46925">
      <w:marLeft w:val="0"/>
      <w:marRight w:val="0"/>
      <w:marTop w:val="0"/>
      <w:marBottom w:val="0"/>
      <w:divBdr>
        <w:top w:val="none" w:sz="0" w:space="0" w:color="auto"/>
        <w:left w:val="none" w:sz="0" w:space="0" w:color="auto"/>
        <w:bottom w:val="none" w:sz="0" w:space="0" w:color="auto"/>
        <w:right w:val="none" w:sz="0" w:space="0" w:color="auto"/>
      </w:divBdr>
      <w:divsChild>
        <w:div w:id="448547023">
          <w:marLeft w:val="0"/>
          <w:marRight w:val="0"/>
          <w:marTop w:val="0"/>
          <w:marBottom w:val="0"/>
          <w:divBdr>
            <w:top w:val="none" w:sz="0" w:space="0" w:color="auto"/>
            <w:left w:val="none" w:sz="0" w:space="0" w:color="auto"/>
            <w:bottom w:val="none" w:sz="0" w:space="0" w:color="auto"/>
            <w:right w:val="none" w:sz="0" w:space="0" w:color="auto"/>
          </w:divBdr>
          <w:divsChild>
            <w:div w:id="448547033">
              <w:marLeft w:val="0"/>
              <w:marRight w:val="0"/>
              <w:marTop w:val="0"/>
              <w:marBottom w:val="0"/>
              <w:divBdr>
                <w:top w:val="none" w:sz="0" w:space="0" w:color="auto"/>
                <w:left w:val="none" w:sz="0" w:space="0" w:color="auto"/>
                <w:bottom w:val="none" w:sz="0" w:space="0" w:color="auto"/>
                <w:right w:val="none" w:sz="0" w:space="0" w:color="auto"/>
              </w:divBdr>
              <w:divsChild>
                <w:div w:id="448546988">
                  <w:marLeft w:val="0"/>
                  <w:marRight w:val="0"/>
                  <w:marTop w:val="0"/>
                  <w:marBottom w:val="0"/>
                  <w:divBdr>
                    <w:top w:val="none" w:sz="0" w:space="0" w:color="auto"/>
                    <w:left w:val="none" w:sz="0" w:space="0" w:color="auto"/>
                    <w:bottom w:val="none" w:sz="0" w:space="0" w:color="auto"/>
                    <w:right w:val="none" w:sz="0" w:space="0" w:color="auto"/>
                  </w:divBdr>
                  <w:divsChild>
                    <w:div w:id="4485470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929">
      <w:marLeft w:val="0"/>
      <w:marRight w:val="0"/>
      <w:marTop w:val="0"/>
      <w:marBottom w:val="0"/>
      <w:divBdr>
        <w:top w:val="none" w:sz="0" w:space="0" w:color="auto"/>
        <w:left w:val="none" w:sz="0" w:space="0" w:color="auto"/>
        <w:bottom w:val="none" w:sz="0" w:space="0" w:color="auto"/>
        <w:right w:val="none" w:sz="0" w:space="0" w:color="auto"/>
      </w:divBdr>
      <w:divsChild>
        <w:div w:id="448546924">
          <w:marLeft w:val="0"/>
          <w:marRight w:val="0"/>
          <w:marTop w:val="0"/>
          <w:marBottom w:val="0"/>
          <w:divBdr>
            <w:top w:val="none" w:sz="0" w:space="0" w:color="auto"/>
            <w:left w:val="none" w:sz="0" w:space="0" w:color="auto"/>
            <w:bottom w:val="none" w:sz="0" w:space="0" w:color="auto"/>
            <w:right w:val="none" w:sz="0" w:space="0" w:color="auto"/>
          </w:divBdr>
          <w:divsChild>
            <w:div w:id="448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930">
      <w:marLeft w:val="0"/>
      <w:marRight w:val="0"/>
      <w:marTop w:val="0"/>
      <w:marBottom w:val="0"/>
      <w:divBdr>
        <w:top w:val="none" w:sz="0" w:space="0" w:color="auto"/>
        <w:left w:val="none" w:sz="0" w:space="0" w:color="auto"/>
        <w:bottom w:val="none" w:sz="0" w:space="0" w:color="auto"/>
        <w:right w:val="none" w:sz="0" w:space="0" w:color="auto"/>
      </w:divBdr>
      <w:divsChild>
        <w:div w:id="448546994">
          <w:marLeft w:val="0"/>
          <w:marRight w:val="0"/>
          <w:marTop w:val="0"/>
          <w:marBottom w:val="0"/>
          <w:divBdr>
            <w:top w:val="none" w:sz="0" w:space="0" w:color="auto"/>
            <w:left w:val="none" w:sz="0" w:space="0" w:color="auto"/>
            <w:bottom w:val="none" w:sz="0" w:space="0" w:color="auto"/>
            <w:right w:val="none" w:sz="0" w:space="0" w:color="auto"/>
          </w:divBdr>
          <w:divsChild>
            <w:div w:id="448546978">
              <w:marLeft w:val="0"/>
              <w:marRight w:val="0"/>
              <w:marTop w:val="0"/>
              <w:marBottom w:val="0"/>
              <w:divBdr>
                <w:top w:val="single" w:sz="8" w:space="0" w:color="000000"/>
                <w:left w:val="single" w:sz="8" w:space="0" w:color="000000"/>
                <w:bottom w:val="single" w:sz="8" w:space="0" w:color="000000"/>
                <w:right w:val="single" w:sz="8" w:space="0" w:color="000000"/>
              </w:divBdr>
            </w:div>
            <w:div w:id="448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934">
      <w:marLeft w:val="150"/>
      <w:marRight w:val="150"/>
      <w:marTop w:val="150"/>
      <w:marBottom w:val="150"/>
      <w:divBdr>
        <w:top w:val="none" w:sz="0" w:space="0" w:color="auto"/>
        <w:left w:val="none" w:sz="0" w:space="0" w:color="auto"/>
        <w:bottom w:val="none" w:sz="0" w:space="0" w:color="auto"/>
        <w:right w:val="none" w:sz="0" w:space="0" w:color="auto"/>
      </w:divBdr>
    </w:div>
    <w:div w:id="448546935">
      <w:marLeft w:val="0"/>
      <w:marRight w:val="0"/>
      <w:marTop w:val="0"/>
      <w:marBottom w:val="0"/>
      <w:divBdr>
        <w:top w:val="none" w:sz="0" w:space="0" w:color="auto"/>
        <w:left w:val="none" w:sz="0" w:space="0" w:color="auto"/>
        <w:bottom w:val="none" w:sz="0" w:space="0" w:color="auto"/>
        <w:right w:val="none" w:sz="0" w:space="0" w:color="auto"/>
      </w:divBdr>
      <w:divsChild>
        <w:div w:id="448547046">
          <w:marLeft w:val="0"/>
          <w:marRight w:val="0"/>
          <w:marTop w:val="0"/>
          <w:marBottom w:val="0"/>
          <w:divBdr>
            <w:top w:val="none" w:sz="0" w:space="0" w:color="auto"/>
            <w:left w:val="none" w:sz="0" w:space="0" w:color="auto"/>
            <w:bottom w:val="none" w:sz="0" w:space="0" w:color="auto"/>
            <w:right w:val="none" w:sz="0" w:space="0" w:color="auto"/>
          </w:divBdr>
        </w:div>
        <w:div w:id="448547047">
          <w:marLeft w:val="0"/>
          <w:marRight w:val="0"/>
          <w:marTop w:val="0"/>
          <w:marBottom w:val="0"/>
          <w:divBdr>
            <w:top w:val="none" w:sz="0" w:space="0" w:color="auto"/>
            <w:left w:val="none" w:sz="0" w:space="0" w:color="auto"/>
            <w:bottom w:val="none" w:sz="0" w:space="0" w:color="auto"/>
            <w:right w:val="none" w:sz="0" w:space="0" w:color="auto"/>
          </w:divBdr>
        </w:div>
        <w:div w:id="448547084">
          <w:marLeft w:val="0"/>
          <w:marRight w:val="0"/>
          <w:marTop w:val="0"/>
          <w:marBottom w:val="0"/>
          <w:divBdr>
            <w:top w:val="none" w:sz="0" w:space="0" w:color="auto"/>
            <w:left w:val="none" w:sz="0" w:space="0" w:color="auto"/>
            <w:bottom w:val="none" w:sz="0" w:space="0" w:color="auto"/>
            <w:right w:val="none" w:sz="0" w:space="0" w:color="auto"/>
          </w:divBdr>
        </w:div>
      </w:divsChild>
    </w:div>
    <w:div w:id="448546939">
      <w:marLeft w:val="0"/>
      <w:marRight w:val="0"/>
      <w:marTop w:val="0"/>
      <w:marBottom w:val="0"/>
      <w:divBdr>
        <w:top w:val="none" w:sz="0" w:space="0" w:color="auto"/>
        <w:left w:val="none" w:sz="0" w:space="0" w:color="auto"/>
        <w:bottom w:val="none" w:sz="0" w:space="0" w:color="auto"/>
        <w:right w:val="none" w:sz="0" w:space="0" w:color="auto"/>
      </w:divBdr>
      <w:divsChild>
        <w:div w:id="448547003">
          <w:marLeft w:val="0"/>
          <w:marRight w:val="0"/>
          <w:marTop w:val="0"/>
          <w:marBottom w:val="0"/>
          <w:divBdr>
            <w:top w:val="none" w:sz="0" w:space="0" w:color="auto"/>
            <w:left w:val="none" w:sz="0" w:space="0" w:color="auto"/>
            <w:bottom w:val="none" w:sz="0" w:space="0" w:color="auto"/>
            <w:right w:val="none" w:sz="0" w:space="0" w:color="auto"/>
          </w:divBdr>
          <w:divsChild>
            <w:div w:id="448546938">
              <w:marLeft w:val="0"/>
              <w:marRight w:val="0"/>
              <w:marTop w:val="0"/>
              <w:marBottom w:val="0"/>
              <w:divBdr>
                <w:top w:val="none" w:sz="0" w:space="0" w:color="auto"/>
                <w:left w:val="none" w:sz="0" w:space="0" w:color="auto"/>
                <w:bottom w:val="none" w:sz="0" w:space="0" w:color="auto"/>
                <w:right w:val="none" w:sz="0" w:space="0" w:color="auto"/>
              </w:divBdr>
              <w:divsChild>
                <w:div w:id="448547071">
                  <w:marLeft w:val="0"/>
                  <w:marRight w:val="0"/>
                  <w:marTop w:val="0"/>
                  <w:marBottom w:val="0"/>
                  <w:divBdr>
                    <w:top w:val="none" w:sz="0" w:space="0" w:color="auto"/>
                    <w:left w:val="none" w:sz="0" w:space="0" w:color="auto"/>
                    <w:bottom w:val="none" w:sz="0" w:space="0" w:color="auto"/>
                    <w:right w:val="none" w:sz="0" w:space="0" w:color="auto"/>
                  </w:divBdr>
                  <w:divsChild>
                    <w:div w:id="44854699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943">
      <w:marLeft w:val="0"/>
      <w:marRight w:val="0"/>
      <w:marTop w:val="0"/>
      <w:marBottom w:val="0"/>
      <w:divBdr>
        <w:top w:val="none" w:sz="0" w:space="0" w:color="auto"/>
        <w:left w:val="none" w:sz="0" w:space="0" w:color="auto"/>
        <w:bottom w:val="none" w:sz="0" w:space="0" w:color="auto"/>
        <w:right w:val="none" w:sz="0" w:space="0" w:color="auto"/>
      </w:divBdr>
    </w:div>
    <w:div w:id="448546946">
      <w:marLeft w:val="0"/>
      <w:marRight w:val="0"/>
      <w:marTop w:val="0"/>
      <w:marBottom w:val="0"/>
      <w:divBdr>
        <w:top w:val="none" w:sz="0" w:space="0" w:color="auto"/>
        <w:left w:val="none" w:sz="0" w:space="0" w:color="auto"/>
        <w:bottom w:val="none" w:sz="0" w:space="0" w:color="auto"/>
        <w:right w:val="none" w:sz="0" w:space="0" w:color="auto"/>
      </w:divBdr>
    </w:div>
    <w:div w:id="448546948">
      <w:marLeft w:val="0"/>
      <w:marRight w:val="0"/>
      <w:marTop w:val="0"/>
      <w:marBottom w:val="0"/>
      <w:divBdr>
        <w:top w:val="none" w:sz="0" w:space="0" w:color="auto"/>
        <w:left w:val="none" w:sz="0" w:space="0" w:color="auto"/>
        <w:bottom w:val="none" w:sz="0" w:space="0" w:color="auto"/>
        <w:right w:val="none" w:sz="0" w:space="0" w:color="auto"/>
      </w:divBdr>
    </w:div>
    <w:div w:id="448546949">
      <w:marLeft w:val="0"/>
      <w:marRight w:val="0"/>
      <w:marTop w:val="0"/>
      <w:marBottom w:val="0"/>
      <w:divBdr>
        <w:top w:val="none" w:sz="0" w:space="0" w:color="auto"/>
        <w:left w:val="none" w:sz="0" w:space="0" w:color="auto"/>
        <w:bottom w:val="none" w:sz="0" w:space="0" w:color="auto"/>
        <w:right w:val="none" w:sz="0" w:space="0" w:color="auto"/>
      </w:divBdr>
    </w:div>
    <w:div w:id="448546954">
      <w:marLeft w:val="0"/>
      <w:marRight w:val="0"/>
      <w:marTop w:val="0"/>
      <w:marBottom w:val="0"/>
      <w:divBdr>
        <w:top w:val="none" w:sz="0" w:space="0" w:color="auto"/>
        <w:left w:val="none" w:sz="0" w:space="0" w:color="auto"/>
        <w:bottom w:val="none" w:sz="0" w:space="0" w:color="auto"/>
        <w:right w:val="none" w:sz="0" w:space="0" w:color="auto"/>
      </w:divBdr>
    </w:div>
    <w:div w:id="448546956">
      <w:marLeft w:val="0"/>
      <w:marRight w:val="0"/>
      <w:marTop w:val="0"/>
      <w:marBottom w:val="0"/>
      <w:divBdr>
        <w:top w:val="none" w:sz="0" w:space="0" w:color="auto"/>
        <w:left w:val="none" w:sz="0" w:space="0" w:color="auto"/>
        <w:bottom w:val="none" w:sz="0" w:space="0" w:color="auto"/>
        <w:right w:val="none" w:sz="0" w:space="0" w:color="auto"/>
      </w:divBdr>
    </w:div>
    <w:div w:id="448546958">
      <w:marLeft w:val="0"/>
      <w:marRight w:val="0"/>
      <w:marTop w:val="0"/>
      <w:marBottom w:val="0"/>
      <w:divBdr>
        <w:top w:val="none" w:sz="0" w:space="0" w:color="auto"/>
        <w:left w:val="none" w:sz="0" w:space="0" w:color="auto"/>
        <w:bottom w:val="none" w:sz="0" w:space="0" w:color="auto"/>
        <w:right w:val="none" w:sz="0" w:space="0" w:color="auto"/>
      </w:divBdr>
      <w:divsChild>
        <w:div w:id="448546947">
          <w:marLeft w:val="0"/>
          <w:marRight w:val="0"/>
          <w:marTop w:val="0"/>
          <w:marBottom w:val="0"/>
          <w:divBdr>
            <w:top w:val="none" w:sz="0" w:space="0" w:color="auto"/>
            <w:left w:val="none" w:sz="0" w:space="0" w:color="auto"/>
            <w:bottom w:val="none" w:sz="0" w:space="0" w:color="auto"/>
            <w:right w:val="none" w:sz="0" w:space="0" w:color="auto"/>
          </w:divBdr>
          <w:divsChild>
            <w:div w:id="448546963">
              <w:marLeft w:val="0"/>
              <w:marRight w:val="0"/>
              <w:marTop w:val="0"/>
              <w:marBottom w:val="0"/>
              <w:divBdr>
                <w:top w:val="none" w:sz="0" w:space="0" w:color="auto"/>
                <w:left w:val="none" w:sz="0" w:space="0" w:color="auto"/>
                <w:bottom w:val="none" w:sz="0" w:space="0" w:color="auto"/>
                <w:right w:val="none" w:sz="0" w:space="0" w:color="auto"/>
              </w:divBdr>
              <w:divsChild>
                <w:div w:id="448546969">
                  <w:marLeft w:val="0"/>
                  <w:marRight w:val="0"/>
                  <w:marTop w:val="0"/>
                  <w:marBottom w:val="0"/>
                  <w:divBdr>
                    <w:top w:val="none" w:sz="0" w:space="0" w:color="auto"/>
                    <w:left w:val="none" w:sz="0" w:space="0" w:color="auto"/>
                    <w:bottom w:val="none" w:sz="0" w:space="0" w:color="auto"/>
                    <w:right w:val="none" w:sz="0" w:space="0" w:color="auto"/>
                  </w:divBdr>
                  <w:divsChild>
                    <w:div w:id="4485469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960">
      <w:marLeft w:val="0"/>
      <w:marRight w:val="0"/>
      <w:marTop w:val="0"/>
      <w:marBottom w:val="0"/>
      <w:divBdr>
        <w:top w:val="none" w:sz="0" w:space="0" w:color="auto"/>
        <w:left w:val="none" w:sz="0" w:space="0" w:color="auto"/>
        <w:bottom w:val="none" w:sz="0" w:space="0" w:color="auto"/>
        <w:right w:val="none" w:sz="0" w:space="0" w:color="auto"/>
      </w:divBdr>
    </w:div>
    <w:div w:id="448546965">
      <w:marLeft w:val="0"/>
      <w:marRight w:val="0"/>
      <w:marTop w:val="0"/>
      <w:marBottom w:val="0"/>
      <w:divBdr>
        <w:top w:val="none" w:sz="0" w:space="0" w:color="auto"/>
        <w:left w:val="none" w:sz="0" w:space="0" w:color="auto"/>
        <w:bottom w:val="none" w:sz="0" w:space="0" w:color="auto"/>
        <w:right w:val="none" w:sz="0" w:space="0" w:color="auto"/>
      </w:divBdr>
      <w:divsChild>
        <w:div w:id="448546970">
          <w:marLeft w:val="0"/>
          <w:marRight w:val="0"/>
          <w:marTop w:val="0"/>
          <w:marBottom w:val="0"/>
          <w:divBdr>
            <w:top w:val="none" w:sz="0" w:space="0" w:color="auto"/>
            <w:left w:val="none" w:sz="0" w:space="0" w:color="auto"/>
            <w:bottom w:val="none" w:sz="0" w:space="0" w:color="auto"/>
            <w:right w:val="none" w:sz="0" w:space="0" w:color="auto"/>
          </w:divBdr>
          <w:divsChild>
            <w:div w:id="4485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967">
      <w:marLeft w:val="0"/>
      <w:marRight w:val="0"/>
      <w:marTop w:val="0"/>
      <w:marBottom w:val="0"/>
      <w:divBdr>
        <w:top w:val="none" w:sz="0" w:space="0" w:color="auto"/>
        <w:left w:val="none" w:sz="0" w:space="0" w:color="auto"/>
        <w:bottom w:val="none" w:sz="0" w:space="0" w:color="auto"/>
        <w:right w:val="none" w:sz="0" w:space="0" w:color="auto"/>
      </w:divBdr>
      <w:divsChild>
        <w:div w:id="448546962">
          <w:marLeft w:val="0"/>
          <w:marRight w:val="0"/>
          <w:marTop w:val="0"/>
          <w:marBottom w:val="0"/>
          <w:divBdr>
            <w:top w:val="none" w:sz="0" w:space="0" w:color="auto"/>
            <w:left w:val="none" w:sz="0" w:space="0" w:color="auto"/>
            <w:bottom w:val="none" w:sz="0" w:space="0" w:color="auto"/>
            <w:right w:val="none" w:sz="0" w:space="0" w:color="auto"/>
          </w:divBdr>
          <w:divsChild>
            <w:div w:id="448546952">
              <w:marLeft w:val="0"/>
              <w:marRight w:val="0"/>
              <w:marTop w:val="0"/>
              <w:marBottom w:val="0"/>
              <w:divBdr>
                <w:top w:val="none" w:sz="0" w:space="0" w:color="auto"/>
                <w:left w:val="none" w:sz="0" w:space="0" w:color="auto"/>
                <w:bottom w:val="none" w:sz="0" w:space="0" w:color="auto"/>
                <w:right w:val="none" w:sz="0" w:space="0" w:color="auto"/>
              </w:divBdr>
              <w:divsChild>
                <w:div w:id="448546944">
                  <w:marLeft w:val="0"/>
                  <w:marRight w:val="0"/>
                  <w:marTop w:val="0"/>
                  <w:marBottom w:val="0"/>
                  <w:divBdr>
                    <w:top w:val="none" w:sz="0" w:space="0" w:color="auto"/>
                    <w:left w:val="none" w:sz="0" w:space="0" w:color="auto"/>
                    <w:bottom w:val="none" w:sz="0" w:space="0" w:color="auto"/>
                    <w:right w:val="none" w:sz="0" w:space="0" w:color="auto"/>
                  </w:divBdr>
                  <w:divsChild>
                    <w:div w:id="448546966">
                      <w:marLeft w:val="0"/>
                      <w:marRight w:val="0"/>
                      <w:marTop w:val="0"/>
                      <w:marBottom w:val="0"/>
                      <w:divBdr>
                        <w:top w:val="none" w:sz="0" w:space="0" w:color="auto"/>
                        <w:left w:val="none" w:sz="0" w:space="0" w:color="auto"/>
                        <w:bottom w:val="none" w:sz="0" w:space="0" w:color="auto"/>
                        <w:right w:val="none" w:sz="0" w:space="0" w:color="auto"/>
                      </w:divBdr>
                      <w:divsChild>
                        <w:div w:id="4485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546968">
      <w:marLeft w:val="0"/>
      <w:marRight w:val="0"/>
      <w:marTop w:val="0"/>
      <w:marBottom w:val="0"/>
      <w:divBdr>
        <w:top w:val="none" w:sz="0" w:space="0" w:color="auto"/>
        <w:left w:val="none" w:sz="0" w:space="0" w:color="auto"/>
        <w:bottom w:val="none" w:sz="0" w:space="0" w:color="auto"/>
        <w:right w:val="none" w:sz="0" w:space="0" w:color="auto"/>
      </w:divBdr>
    </w:div>
    <w:div w:id="448546971">
      <w:marLeft w:val="0"/>
      <w:marRight w:val="0"/>
      <w:marTop w:val="0"/>
      <w:marBottom w:val="0"/>
      <w:divBdr>
        <w:top w:val="none" w:sz="0" w:space="0" w:color="auto"/>
        <w:left w:val="none" w:sz="0" w:space="0" w:color="auto"/>
        <w:bottom w:val="none" w:sz="0" w:space="0" w:color="auto"/>
        <w:right w:val="none" w:sz="0" w:space="0" w:color="auto"/>
      </w:divBdr>
      <w:divsChild>
        <w:div w:id="448546974">
          <w:marLeft w:val="0"/>
          <w:marRight w:val="0"/>
          <w:marTop w:val="0"/>
          <w:marBottom w:val="0"/>
          <w:divBdr>
            <w:top w:val="none" w:sz="0" w:space="0" w:color="auto"/>
            <w:left w:val="none" w:sz="0" w:space="0" w:color="auto"/>
            <w:bottom w:val="none" w:sz="0" w:space="0" w:color="auto"/>
            <w:right w:val="none" w:sz="0" w:space="0" w:color="auto"/>
          </w:divBdr>
          <w:divsChild>
            <w:div w:id="448546959">
              <w:marLeft w:val="0"/>
              <w:marRight w:val="0"/>
              <w:marTop w:val="0"/>
              <w:marBottom w:val="0"/>
              <w:divBdr>
                <w:top w:val="none" w:sz="0" w:space="0" w:color="auto"/>
                <w:left w:val="none" w:sz="0" w:space="0" w:color="auto"/>
                <w:bottom w:val="none" w:sz="0" w:space="0" w:color="auto"/>
                <w:right w:val="none" w:sz="0" w:space="0" w:color="auto"/>
              </w:divBdr>
              <w:divsChild>
                <w:div w:id="448546942">
                  <w:marLeft w:val="0"/>
                  <w:marRight w:val="0"/>
                  <w:marTop w:val="0"/>
                  <w:marBottom w:val="0"/>
                  <w:divBdr>
                    <w:top w:val="none" w:sz="0" w:space="0" w:color="auto"/>
                    <w:left w:val="none" w:sz="0" w:space="0" w:color="auto"/>
                    <w:bottom w:val="none" w:sz="0" w:space="0" w:color="auto"/>
                    <w:right w:val="none" w:sz="0" w:space="0" w:color="auto"/>
                  </w:divBdr>
                  <w:divsChild>
                    <w:div w:id="44854695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972">
      <w:marLeft w:val="0"/>
      <w:marRight w:val="0"/>
      <w:marTop w:val="0"/>
      <w:marBottom w:val="0"/>
      <w:divBdr>
        <w:top w:val="none" w:sz="0" w:space="0" w:color="auto"/>
        <w:left w:val="none" w:sz="0" w:space="0" w:color="auto"/>
        <w:bottom w:val="none" w:sz="0" w:space="0" w:color="auto"/>
        <w:right w:val="none" w:sz="0" w:space="0" w:color="auto"/>
      </w:divBdr>
      <w:divsChild>
        <w:div w:id="448546957">
          <w:marLeft w:val="0"/>
          <w:marRight w:val="0"/>
          <w:marTop w:val="0"/>
          <w:marBottom w:val="0"/>
          <w:divBdr>
            <w:top w:val="none" w:sz="0" w:space="0" w:color="auto"/>
            <w:left w:val="none" w:sz="0" w:space="0" w:color="auto"/>
            <w:bottom w:val="none" w:sz="0" w:space="0" w:color="auto"/>
            <w:right w:val="none" w:sz="0" w:space="0" w:color="auto"/>
          </w:divBdr>
          <w:divsChild>
            <w:div w:id="448546961">
              <w:marLeft w:val="0"/>
              <w:marRight w:val="0"/>
              <w:marTop w:val="0"/>
              <w:marBottom w:val="0"/>
              <w:divBdr>
                <w:top w:val="none" w:sz="0" w:space="0" w:color="auto"/>
                <w:left w:val="none" w:sz="0" w:space="0" w:color="auto"/>
                <w:bottom w:val="none" w:sz="0" w:space="0" w:color="auto"/>
                <w:right w:val="none" w:sz="0" w:space="0" w:color="auto"/>
              </w:divBdr>
              <w:divsChild>
                <w:div w:id="448546964">
                  <w:marLeft w:val="0"/>
                  <w:marRight w:val="0"/>
                  <w:marTop w:val="0"/>
                  <w:marBottom w:val="0"/>
                  <w:divBdr>
                    <w:top w:val="single" w:sz="4" w:space="6" w:color="243356"/>
                    <w:left w:val="none" w:sz="0" w:space="0" w:color="auto"/>
                    <w:bottom w:val="none" w:sz="0" w:space="0" w:color="auto"/>
                    <w:right w:val="none" w:sz="0" w:space="0" w:color="auto"/>
                  </w:divBdr>
                  <w:divsChild>
                    <w:div w:id="448546973">
                      <w:marLeft w:val="0"/>
                      <w:marRight w:val="0"/>
                      <w:marTop w:val="0"/>
                      <w:marBottom w:val="0"/>
                      <w:divBdr>
                        <w:top w:val="none" w:sz="0" w:space="0" w:color="auto"/>
                        <w:left w:val="none" w:sz="0" w:space="0" w:color="auto"/>
                        <w:bottom w:val="none" w:sz="0" w:space="0" w:color="auto"/>
                        <w:right w:val="none" w:sz="0" w:space="0" w:color="auto"/>
                      </w:divBdr>
                      <w:divsChild>
                        <w:div w:id="448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546975">
      <w:marLeft w:val="0"/>
      <w:marRight w:val="0"/>
      <w:marTop w:val="0"/>
      <w:marBottom w:val="0"/>
      <w:divBdr>
        <w:top w:val="none" w:sz="0" w:space="0" w:color="auto"/>
        <w:left w:val="none" w:sz="0" w:space="0" w:color="auto"/>
        <w:bottom w:val="none" w:sz="0" w:space="0" w:color="auto"/>
        <w:right w:val="none" w:sz="0" w:space="0" w:color="auto"/>
      </w:divBdr>
    </w:div>
    <w:div w:id="448546977">
      <w:marLeft w:val="0"/>
      <w:marRight w:val="0"/>
      <w:marTop w:val="0"/>
      <w:marBottom w:val="0"/>
      <w:divBdr>
        <w:top w:val="none" w:sz="0" w:space="0" w:color="auto"/>
        <w:left w:val="none" w:sz="0" w:space="0" w:color="auto"/>
        <w:bottom w:val="none" w:sz="0" w:space="0" w:color="auto"/>
        <w:right w:val="none" w:sz="0" w:space="0" w:color="auto"/>
      </w:divBdr>
    </w:div>
    <w:div w:id="448546980">
      <w:marLeft w:val="0"/>
      <w:marRight w:val="0"/>
      <w:marTop w:val="0"/>
      <w:marBottom w:val="0"/>
      <w:divBdr>
        <w:top w:val="none" w:sz="0" w:space="0" w:color="auto"/>
        <w:left w:val="none" w:sz="0" w:space="0" w:color="auto"/>
        <w:bottom w:val="none" w:sz="0" w:space="0" w:color="auto"/>
        <w:right w:val="none" w:sz="0" w:space="0" w:color="auto"/>
      </w:divBdr>
      <w:divsChild>
        <w:div w:id="448546990">
          <w:marLeft w:val="0"/>
          <w:marRight w:val="0"/>
          <w:marTop w:val="0"/>
          <w:marBottom w:val="0"/>
          <w:divBdr>
            <w:top w:val="none" w:sz="0" w:space="0" w:color="auto"/>
            <w:left w:val="none" w:sz="0" w:space="0" w:color="auto"/>
            <w:bottom w:val="none" w:sz="0" w:space="0" w:color="auto"/>
            <w:right w:val="none" w:sz="0" w:space="0" w:color="auto"/>
          </w:divBdr>
          <w:divsChild>
            <w:div w:id="448547061">
              <w:marLeft w:val="0"/>
              <w:marRight w:val="0"/>
              <w:marTop w:val="0"/>
              <w:marBottom w:val="0"/>
              <w:divBdr>
                <w:top w:val="none" w:sz="0" w:space="0" w:color="auto"/>
                <w:left w:val="none" w:sz="0" w:space="0" w:color="auto"/>
                <w:bottom w:val="none" w:sz="0" w:space="0" w:color="auto"/>
                <w:right w:val="none" w:sz="0" w:space="0" w:color="auto"/>
              </w:divBdr>
              <w:divsChild>
                <w:div w:id="448547010">
                  <w:marLeft w:val="0"/>
                  <w:marRight w:val="0"/>
                  <w:marTop w:val="0"/>
                  <w:marBottom w:val="0"/>
                  <w:divBdr>
                    <w:top w:val="none" w:sz="0" w:space="0" w:color="auto"/>
                    <w:left w:val="none" w:sz="0" w:space="0" w:color="auto"/>
                    <w:bottom w:val="none" w:sz="0" w:space="0" w:color="auto"/>
                    <w:right w:val="none" w:sz="0" w:space="0" w:color="auto"/>
                  </w:divBdr>
                  <w:divsChild>
                    <w:div w:id="44854697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981">
      <w:marLeft w:val="0"/>
      <w:marRight w:val="0"/>
      <w:marTop w:val="0"/>
      <w:marBottom w:val="0"/>
      <w:divBdr>
        <w:top w:val="none" w:sz="0" w:space="0" w:color="auto"/>
        <w:left w:val="none" w:sz="0" w:space="0" w:color="auto"/>
        <w:bottom w:val="none" w:sz="0" w:space="0" w:color="auto"/>
        <w:right w:val="none" w:sz="0" w:space="0" w:color="auto"/>
      </w:divBdr>
    </w:div>
    <w:div w:id="448546986">
      <w:marLeft w:val="0"/>
      <w:marRight w:val="0"/>
      <w:marTop w:val="0"/>
      <w:marBottom w:val="0"/>
      <w:divBdr>
        <w:top w:val="none" w:sz="0" w:space="0" w:color="auto"/>
        <w:left w:val="none" w:sz="0" w:space="0" w:color="auto"/>
        <w:bottom w:val="none" w:sz="0" w:space="0" w:color="auto"/>
        <w:right w:val="none" w:sz="0" w:space="0" w:color="auto"/>
      </w:divBdr>
      <w:divsChild>
        <w:div w:id="448546936">
          <w:marLeft w:val="0"/>
          <w:marRight w:val="0"/>
          <w:marTop w:val="0"/>
          <w:marBottom w:val="360"/>
          <w:divBdr>
            <w:top w:val="single" w:sz="18" w:space="0" w:color="FF3300"/>
            <w:left w:val="none" w:sz="0" w:space="0" w:color="auto"/>
            <w:bottom w:val="none" w:sz="0" w:space="0" w:color="auto"/>
            <w:right w:val="none" w:sz="0" w:space="0" w:color="auto"/>
          </w:divBdr>
          <w:divsChild>
            <w:div w:id="448546921">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 w:id="448546987">
      <w:marLeft w:val="0"/>
      <w:marRight w:val="0"/>
      <w:marTop w:val="0"/>
      <w:marBottom w:val="0"/>
      <w:divBdr>
        <w:top w:val="none" w:sz="0" w:space="0" w:color="auto"/>
        <w:left w:val="none" w:sz="0" w:space="0" w:color="auto"/>
        <w:bottom w:val="none" w:sz="0" w:space="0" w:color="auto"/>
        <w:right w:val="none" w:sz="0" w:space="0" w:color="auto"/>
      </w:divBdr>
    </w:div>
    <w:div w:id="448546989">
      <w:marLeft w:val="0"/>
      <w:marRight w:val="0"/>
      <w:marTop w:val="0"/>
      <w:marBottom w:val="0"/>
      <w:divBdr>
        <w:top w:val="none" w:sz="0" w:space="0" w:color="auto"/>
        <w:left w:val="none" w:sz="0" w:space="0" w:color="auto"/>
        <w:bottom w:val="none" w:sz="0" w:space="0" w:color="auto"/>
        <w:right w:val="none" w:sz="0" w:space="0" w:color="auto"/>
      </w:divBdr>
    </w:div>
    <w:div w:id="448546991">
      <w:marLeft w:val="0"/>
      <w:marRight w:val="0"/>
      <w:marTop w:val="0"/>
      <w:marBottom w:val="0"/>
      <w:divBdr>
        <w:top w:val="none" w:sz="0" w:space="0" w:color="auto"/>
        <w:left w:val="none" w:sz="0" w:space="0" w:color="auto"/>
        <w:bottom w:val="none" w:sz="0" w:space="0" w:color="auto"/>
        <w:right w:val="none" w:sz="0" w:space="0" w:color="auto"/>
      </w:divBdr>
    </w:div>
    <w:div w:id="448546992">
      <w:marLeft w:val="0"/>
      <w:marRight w:val="0"/>
      <w:marTop w:val="0"/>
      <w:marBottom w:val="0"/>
      <w:divBdr>
        <w:top w:val="none" w:sz="0" w:space="0" w:color="auto"/>
        <w:left w:val="none" w:sz="0" w:space="0" w:color="auto"/>
        <w:bottom w:val="none" w:sz="0" w:space="0" w:color="auto"/>
        <w:right w:val="none" w:sz="0" w:space="0" w:color="auto"/>
      </w:divBdr>
      <w:divsChild>
        <w:div w:id="448547038">
          <w:marLeft w:val="0"/>
          <w:marRight w:val="0"/>
          <w:marTop w:val="0"/>
          <w:marBottom w:val="0"/>
          <w:divBdr>
            <w:top w:val="none" w:sz="0" w:space="0" w:color="auto"/>
            <w:left w:val="none" w:sz="0" w:space="0" w:color="auto"/>
            <w:bottom w:val="none" w:sz="0" w:space="0" w:color="auto"/>
            <w:right w:val="none" w:sz="0" w:space="0" w:color="auto"/>
          </w:divBdr>
          <w:divsChild>
            <w:div w:id="448546983">
              <w:marLeft w:val="0"/>
              <w:marRight w:val="0"/>
              <w:marTop w:val="0"/>
              <w:marBottom w:val="0"/>
              <w:divBdr>
                <w:top w:val="none" w:sz="0" w:space="0" w:color="auto"/>
                <w:left w:val="none" w:sz="0" w:space="0" w:color="auto"/>
                <w:bottom w:val="none" w:sz="0" w:space="0" w:color="auto"/>
                <w:right w:val="none" w:sz="0" w:space="0" w:color="auto"/>
              </w:divBdr>
            </w:div>
            <w:div w:id="448547008">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 w:id="448546993">
      <w:marLeft w:val="0"/>
      <w:marRight w:val="0"/>
      <w:marTop w:val="0"/>
      <w:marBottom w:val="0"/>
      <w:divBdr>
        <w:top w:val="none" w:sz="0" w:space="0" w:color="auto"/>
        <w:left w:val="none" w:sz="0" w:space="0" w:color="auto"/>
        <w:bottom w:val="none" w:sz="0" w:space="0" w:color="auto"/>
        <w:right w:val="none" w:sz="0" w:space="0" w:color="auto"/>
      </w:divBdr>
    </w:div>
    <w:div w:id="448546995">
      <w:marLeft w:val="0"/>
      <w:marRight w:val="0"/>
      <w:marTop w:val="0"/>
      <w:marBottom w:val="0"/>
      <w:divBdr>
        <w:top w:val="none" w:sz="0" w:space="0" w:color="auto"/>
        <w:left w:val="none" w:sz="0" w:space="0" w:color="auto"/>
        <w:bottom w:val="none" w:sz="0" w:space="0" w:color="auto"/>
        <w:right w:val="none" w:sz="0" w:space="0" w:color="auto"/>
      </w:divBdr>
    </w:div>
    <w:div w:id="448546996">
      <w:marLeft w:val="0"/>
      <w:marRight w:val="0"/>
      <w:marTop w:val="0"/>
      <w:marBottom w:val="0"/>
      <w:divBdr>
        <w:top w:val="none" w:sz="0" w:space="0" w:color="auto"/>
        <w:left w:val="none" w:sz="0" w:space="0" w:color="auto"/>
        <w:bottom w:val="none" w:sz="0" w:space="0" w:color="auto"/>
        <w:right w:val="none" w:sz="0" w:space="0" w:color="auto"/>
      </w:divBdr>
    </w:div>
    <w:div w:id="448546998">
      <w:marLeft w:val="0"/>
      <w:marRight w:val="0"/>
      <w:marTop w:val="0"/>
      <w:marBottom w:val="0"/>
      <w:divBdr>
        <w:top w:val="none" w:sz="0" w:space="0" w:color="auto"/>
        <w:left w:val="none" w:sz="0" w:space="0" w:color="auto"/>
        <w:bottom w:val="none" w:sz="0" w:space="0" w:color="auto"/>
        <w:right w:val="none" w:sz="0" w:space="0" w:color="auto"/>
      </w:divBdr>
      <w:divsChild>
        <w:div w:id="448547043">
          <w:marLeft w:val="0"/>
          <w:marRight w:val="0"/>
          <w:marTop w:val="0"/>
          <w:marBottom w:val="0"/>
          <w:divBdr>
            <w:top w:val="none" w:sz="0" w:space="0" w:color="auto"/>
            <w:left w:val="none" w:sz="0" w:space="0" w:color="auto"/>
            <w:bottom w:val="none" w:sz="0" w:space="0" w:color="auto"/>
            <w:right w:val="none" w:sz="0" w:space="0" w:color="auto"/>
          </w:divBdr>
          <w:divsChild>
            <w:div w:id="448546940">
              <w:marLeft w:val="0"/>
              <w:marRight w:val="0"/>
              <w:marTop w:val="0"/>
              <w:marBottom w:val="0"/>
              <w:divBdr>
                <w:top w:val="none" w:sz="0" w:space="0" w:color="auto"/>
                <w:left w:val="none" w:sz="0" w:space="0" w:color="auto"/>
                <w:bottom w:val="none" w:sz="0" w:space="0" w:color="auto"/>
                <w:right w:val="none" w:sz="0" w:space="0" w:color="auto"/>
              </w:divBdr>
              <w:divsChild>
                <w:div w:id="4485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006">
      <w:marLeft w:val="150"/>
      <w:marRight w:val="150"/>
      <w:marTop w:val="150"/>
      <w:marBottom w:val="150"/>
      <w:divBdr>
        <w:top w:val="none" w:sz="0" w:space="0" w:color="auto"/>
        <w:left w:val="none" w:sz="0" w:space="0" w:color="auto"/>
        <w:bottom w:val="none" w:sz="0" w:space="0" w:color="auto"/>
        <w:right w:val="none" w:sz="0" w:space="0" w:color="auto"/>
      </w:divBdr>
    </w:div>
    <w:div w:id="448547014">
      <w:marLeft w:val="0"/>
      <w:marRight w:val="0"/>
      <w:marTop w:val="0"/>
      <w:marBottom w:val="0"/>
      <w:divBdr>
        <w:top w:val="none" w:sz="0" w:space="0" w:color="auto"/>
        <w:left w:val="none" w:sz="0" w:space="0" w:color="auto"/>
        <w:bottom w:val="none" w:sz="0" w:space="0" w:color="auto"/>
        <w:right w:val="none" w:sz="0" w:space="0" w:color="auto"/>
      </w:divBdr>
      <w:divsChild>
        <w:div w:id="448547090">
          <w:marLeft w:val="0"/>
          <w:marRight w:val="0"/>
          <w:marTop w:val="0"/>
          <w:marBottom w:val="0"/>
          <w:divBdr>
            <w:top w:val="none" w:sz="0" w:space="0" w:color="auto"/>
            <w:left w:val="none" w:sz="0" w:space="0" w:color="auto"/>
            <w:bottom w:val="none" w:sz="0" w:space="0" w:color="auto"/>
            <w:right w:val="none" w:sz="0" w:space="0" w:color="auto"/>
          </w:divBdr>
          <w:divsChild>
            <w:div w:id="448547016">
              <w:marLeft w:val="0"/>
              <w:marRight w:val="0"/>
              <w:marTop w:val="0"/>
              <w:marBottom w:val="0"/>
              <w:divBdr>
                <w:top w:val="none" w:sz="0" w:space="0" w:color="auto"/>
                <w:left w:val="none" w:sz="0" w:space="0" w:color="auto"/>
                <w:bottom w:val="none" w:sz="0" w:space="0" w:color="auto"/>
                <w:right w:val="none" w:sz="0" w:space="0" w:color="auto"/>
              </w:divBdr>
            </w:div>
            <w:div w:id="448547051">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 w:id="448547017">
      <w:marLeft w:val="0"/>
      <w:marRight w:val="0"/>
      <w:marTop w:val="0"/>
      <w:marBottom w:val="0"/>
      <w:divBdr>
        <w:top w:val="none" w:sz="0" w:space="0" w:color="auto"/>
        <w:left w:val="none" w:sz="0" w:space="0" w:color="auto"/>
        <w:bottom w:val="none" w:sz="0" w:space="0" w:color="auto"/>
        <w:right w:val="none" w:sz="0" w:space="0" w:color="auto"/>
      </w:divBdr>
    </w:div>
    <w:div w:id="448547019">
      <w:marLeft w:val="0"/>
      <w:marRight w:val="0"/>
      <w:marTop w:val="0"/>
      <w:marBottom w:val="0"/>
      <w:divBdr>
        <w:top w:val="none" w:sz="0" w:space="0" w:color="auto"/>
        <w:left w:val="none" w:sz="0" w:space="0" w:color="auto"/>
        <w:bottom w:val="none" w:sz="0" w:space="0" w:color="auto"/>
        <w:right w:val="none" w:sz="0" w:space="0" w:color="auto"/>
      </w:divBdr>
      <w:divsChild>
        <w:div w:id="448546933">
          <w:marLeft w:val="0"/>
          <w:marRight w:val="0"/>
          <w:marTop w:val="0"/>
          <w:marBottom w:val="0"/>
          <w:divBdr>
            <w:top w:val="none" w:sz="0" w:space="0" w:color="auto"/>
            <w:left w:val="none" w:sz="0" w:space="0" w:color="auto"/>
            <w:bottom w:val="none" w:sz="0" w:space="0" w:color="auto"/>
            <w:right w:val="none" w:sz="0" w:space="0" w:color="auto"/>
          </w:divBdr>
          <w:divsChild>
            <w:div w:id="448547020">
              <w:marLeft w:val="0"/>
              <w:marRight w:val="0"/>
              <w:marTop w:val="0"/>
              <w:marBottom w:val="0"/>
              <w:divBdr>
                <w:top w:val="none" w:sz="0" w:space="0" w:color="auto"/>
                <w:left w:val="none" w:sz="0" w:space="0" w:color="auto"/>
                <w:bottom w:val="none" w:sz="0" w:space="0" w:color="auto"/>
                <w:right w:val="none" w:sz="0" w:space="0" w:color="auto"/>
              </w:divBdr>
            </w:div>
            <w:div w:id="448547042">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 w:id="448547024">
      <w:marLeft w:val="0"/>
      <w:marRight w:val="0"/>
      <w:marTop w:val="0"/>
      <w:marBottom w:val="0"/>
      <w:divBdr>
        <w:top w:val="none" w:sz="0" w:space="0" w:color="auto"/>
        <w:left w:val="none" w:sz="0" w:space="0" w:color="auto"/>
        <w:bottom w:val="none" w:sz="0" w:space="0" w:color="auto"/>
        <w:right w:val="none" w:sz="0" w:space="0" w:color="auto"/>
      </w:divBdr>
      <w:divsChild>
        <w:div w:id="448547007">
          <w:marLeft w:val="0"/>
          <w:marRight w:val="0"/>
          <w:marTop w:val="0"/>
          <w:marBottom w:val="0"/>
          <w:divBdr>
            <w:top w:val="none" w:sz="0" w:space="0" w:color="auto"/>
            <w:left w:val="none" w:sz="0" w:space="0" w:color="auto"/>
            <w:bottom w:val="none" w:sz="0" w:space="0" w:color="auto"/>
            <w:right w:val="none" w:sz="0" w:space="0" w:color="auto"/>
          </w:divBdr>
          <w:divsChild>
            <w:div w:id="448547025">
              <w:marLeft w:val="0"/>
              <w:marRight w:val="0"/>
              <w:marTop w:val="0"/>
              <w:marBottom w:val="0"/>
              <w:divBdr>
                <w:top w:val="single" w:sz="8" w:space="0" w:color="000000"/>
                <w:left w:val="single" w:sz="8" w:space="0" w:color="000000"/>
                <w:bottom w:val="single" w:sz="8" w:space="0" w:color="000000"/>
                <w:right w:val="single" w:sz="8" w:space="0" w:color="000000"/>
              </w:divBdr>
            </w:div>
            <w:div w:id="4485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026">
      <w:marLeft w:val="0"/>
      <w:marRight w:val="0"/>
      <w:marTop w:val="0"/>
      <w:marBottom w:val="0"/>
      <w:divBdr>
        <w:top w:val="none" w:sz="0" w:space="0" w:color="auto"/>
        <w:left w:val="none" w:sz="0" w:space="0" w:color="auto"/>
        <w:bottom w:val="none" w:sz="0" w:space="0" w:color="auto"/>
        <w:right w:val="none" w:sz="0" w:space="0" w:color="auto"/>
      </w:divBdr>
    </w:div>
    <w:div w:id="448547030">
      <w:marLeft w:val="0"/>
      <w:marRight w:val="0"/>
      <w:marTop w:val="0"/>
      <w:marBottom w:val="0"/>
      <w:divBdr>
        <w:top w:val="none" w:sz="0" w:space="0" w:color="auto"/>
        <w:left w:val="none" w:sz="0" w:space="0" w:color="auto"/>
        <w:bottom w:val="none" w:sz="0" w:space="0" w:color="auto"/>
        <w:right w:val="none" w:sz="0" w:space="0" w:color="auto"/>
      </w:divBdr>
      <w:divsChild>
        <w:div w:id="448547004">
          <w:marLeft w:val="0"/>
          <w:marRight w:val="0"/>
          <w:marTop w:val="0"/>
          <w:marBottom w:val="0"/>
          <w:divBdr>
            <w:top w:val="none" w:sz="0" w:space="0" w:color="auto"/>
            <w:left w:val="none" w:sz="0" w:space="0" w:color="auto"/>
            <w:bottom w:val="none" w:sz="0" w:space="0" w:color="auto"/>
            <w:right w:val="none" w:sz="0" w:space="0" w:color="auto"/>
          </w:divBdr>
          <w:divsChild>
            <w:div w:id="448547079">
              <w:marLeft w:val="-66"/>
              <w:marRight w:val="0"/>
              <w:marTop w:val="0"/>
              <w:marBottom w:val="0"/>
              <w:divBdr>
                <w:top w:val="none" w:sz="0" w:space="0" w:color="auto"/>
                <w:left w:val="none" w:sz="0" w:space="0" w:color="auto"/>
                <w:bottom w:val="none" w:sz="0" w:space="0" w:color="auto"/>
                <w:right w:val="none" w:sz="0" w:space="0" w:color="auto"/>
              </w:divBdr>
              <w:divsChild>
                <w:div w:id="448547057">
                  <w:marLeft w:val="0"/>
                  <w:marRight w:val="0"/>
                  <w:marTop w:val="0"/>
                  <w:marBottom w:val="0"/>
                  <w:divBdr>
                    <w:top w:val="none" w:sz="0" w:space="0" w:color="auto"/>
                    <w:left w:val="none" w:sz="0" w:space="0" w:color="auto"/>
                    <w:bottom w:val="none" w:sz="0" w:space="0" w:color="auto"/>
                    <w:right w:val="none" w:sz="0" w:space="0" w:color="auto"/>
                  </w:divBdr>
                  <w:divsChild>
                    <w:div w:id="448546927">
                      <w:marLeft w:val="0"/>
                      <w:marRight w:val="0"/>
                      <w:marTop w:val="0"/>
                      <w:marBottom w:val="0"/>
                      <w:divBdr>
                        <w:top w:val="none" w:sz="0" w:space="0" w:color="auto"/>
                        <w:left w:val="none" w:sz="0" w:space="0" w:color="auto"/>
                        <w:bottom w:val="none" w:sz="0" w:space="0" w:color="auto"/>
                        <w:right w:val="none" w:sz="0" w:space="0" w:color="auto"/>
                      </w:divBdr>
                      <w:divsChild>
                        <w:div w:id="448547058">
                          <w:marLeft w:val="0"/>
                          <w:marRight w:val="0"/>
                          <w:marTop w:val="0"/>
                          <w:marBottom w:val="0"/>
                          <w:divBdr>
                            <w:top w:val="none" w:sz="0" w:space="0" w:color="auto"/>
                            <w:left w:val="none" w:sz="0" w:space="0" w:color="auto"/>
                            <w:bottom w:val="none" w:sz="0" w:space="0" w:color="auto"/>
                            <w:right w:val="none" w:sz="0" w:space="0" w:color="auto"/>
                          </w:divBdr>
                          <w:divsChild>
                            <w:div w:id="448547053">
                              <w:marLeft w:val="132"/>
                              <w:marRight w:val="132"/>
                              <w:marTop w:val="24"/>
                              <w:marBottom w:val="1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547032">
      <w:marLeft w:val="0"/>
      <w:marRight w:val="0"/>
      <w:marTop w:val="0"/>
      <w:marBottom w:val="0"/>
      <w:divBdr>
        <w:top w:val="none" w:sz="0" w:space="0" w:color="auto"/>
        <w:left w:val="none" w:sz="0" w:space="0" w:color="auto"/>
        <w:bottom w:val="none" w:sz="0" w:space="0" w:color="auto"/>
        <w:right w:val="none" w:sz="0" w:space="0" w:color="auto"/>
      </w:divBdr>
      <w:divsChild>
        <w:div w:id="448547077">
          <w:marLeft w:val="0"/>
          <w:marRight w:val="0"/>
          <w:marTop w:val="0"/>
          <w:marBottom w:val="0"/>
          <w:divBdr>
            <w:top w:val="none" w:sz="0" w:space="0" w:color="auto"/>
            <w:left w:val="none" w:sz="0" w:space="0" w:color="auto"/>
            <w:bottom w:val="none" w:sz="0" w:space="0" w:color="auto"/>
            <w:right w:val="none" w:sz="0" w:space="0" w:color="auto"/>
          </w:divBdr>
          <w:divsChild>
            <w:div w:id="448546917">
              <w:marLeft w:val="0"/>
              <w:marRight w:val="0"/>
              <w:marTop w:val="0"/>
              <w:marBottom w:val="0"/>
              <w:divBdr>
                <w:top w:val="none" w:sz="0" w:space="0" w:color="auto"/>
                <w:left w:val="none" w:sz="0" w:space="0" w:color="auto"/>
                <w:bottom w:val="none" w:sz="0" w:space="0" w:color="auto"/>
                <w:right w:val="none" w:sz="0" w:space="0" w:color="auto"/>
              </w:divBdr>
              <w:divsChild>
                <w:div w:id="4485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035">
      <w:marLeft w:val="0"/>
      <w:marRight w:val="0"/>
      <w:marTop w:val="0"/>
      <w:marBottom w:val="0"/>
      <w:divBdr>
        <w:top w:val="none" w:sz="0" w:space="0" w:color="auto"/>
        <w:left w:val="none" w:sz="0" w:space="0" w:color="auto"/>
        <w:bottom w:val="none" w:sz="0" w:space="0" w:color="auto"/>
        <w:right w:val="none" w:sz="0" w:space="0" w:color="auto"/>
      </w:divBdr>
      <w:divsChild>
        <w:div w:id="448546941">
          <w:marLeft w:val="0"/>
          <w:marRight w:val="0"/>
          <w:marTop w:val="0"/>
          <w:marBottom w:val="0"/>
          <w:divBdr>
            <w:top w:val="none" w:sz="0" w:space="0" w:color="auto"/>
            <w:left w:val="none" w:sz="0" w:space="0" w:color="auto"/>
            <w:bottom w:val="none" w:sz="0" w:space="0" w:color="auto"/>
            <w:right w:val="none" w:sz="0" w:space="0" w:color="auto"/>
          </w:divBdr>
          <w:divsChild>
            <w:div w:id="448547062">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 w:id="448547036">
      <w:marLeft w:val="0"/>
      <w:marRight w:val="0"/>
      <w:marTop w:val="0"/>
      <w:marBottom w:val="0"/>
      <w:divBdr>
        <w:top w:val="none" w:sz="0" w:space="0" w:color="auto"/>
        <w:left w:val="none" w:sz="0" w:space="0" w:color="auto"/>
        <w:bottom w:val="none" w:sz="0" w:space="0" w:color="auto"/>
        <w:right w:val="none" w:sz="0" w:space="0" w:color="auto"/>
      </w:divBdr>
      <w:divsChild>
        <w:div w:id="448546926">
          <w:marLeft w:val="0"/>
          <w:marRight w:val="0"/>
          <w:marTop w:val="0"/>
          <w:marBottom w:val="0"/>
          <w:divBdr>
            <w:top w:val="none" w:sz="0" w:space="0" w:color="auto"/>
            <w:left w:val="none" w:sz="0" w:space="0" w:color="auto"/>
            <w:bottom w:val="none" w:sz="0" w:space="0" w:color="auto"/>
            <w:right w:val="none" w:sz="0" w:space="0" w:color="auto"/>
          </w:divBdr>
          <w:divsChild>
            <w:div w:id="448546997">
              <w:marLeft w:val="0"/>
              <w:marRight w:val="0"/>
              <w:marTop w:val="0"/>
              <w:marBottom w:val="0"/>
              <w:divBdr>
                <w:top w:val="none" w:sz="0" w:space="0" w:color="auto"/>
                <w:left w:val="none" w:sz="0" w:space="0" w:color="auto"/>
                <w:bottom w:val="none" w:sz="0" w:space="0" w:color="auto"/>
                <w:right w:val="none" w:sz="0" w:space="0" w:color="auto"/>
              </w:divBdr>
            </w:div>
            <w:div w:id="448547022">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 w:id="448547037">
      <w:marLeft w:val="0"/>
      <w:marRight w:val="0"/>
      <w:marTop w:val="0"/>
      <w:marBottom w:val="0"/>
      <w:divBdr>
        <w:top w:val="none" w:sz="0" w:space="0" w:color="auto"/>
        <w:left w:val="none" w:sz="0" w:space="0" w:color="auto"/>
        <w:bottom w:val="none" w:sz="0" w:space="0" w:color="auto"/>
        <w:right w:val="none" w:sz="0" w:space="0" w:color="auto"/>
      </w:divBdr>
    </w:div>
    <w:div w:id="448547040">
      <w:marLeft w:val="0"/>
      <w:marRight w:val="0"/>
      <w:marTop w:val="0"/>
      <w:marBottom w:val="0"/>
      <w:divBdr>
        <w:top w:val="none" w:sz="0" w:space="0" w:color="auto"/>
        <w:left w:val="none" w:sz="0" w:space="0" w:color="auto"/>
        <w:bottom w:val="none" w:sz="0" w:space="0" w:color="auto"/>
        <w:right w:val="none" w:sz="0" w:space="0" w:color="auto"/>
      </w:divBdr>
      <w:divsChild>
        <w:div w:id="448546928">
          <w:marLeft w:val="0"/>
          <w:marRight w:val="0"/>
          <w:marTop w:val="0"/>
          <w:marBottom w:val="0"/>
          <w:divBdr>
            <w:top w:val="none" w:sz="0" w:space="0" w:color="auto"/>
            <w:left w:val="none" w:sz="0" w:space="0" w:color="auto"/>
            <w:bottom w:val="none" w:sz="0" w:space="0" w:color="auto"/>
            <w:right w:val="none" w:sz="0" w:space="0" w:color="auto"/>
          </w:divBdr>
          <w:divsChild>
            <w:div w:id="448547001">
              <w:marLeft w:val="0"/>
              <w:marRight w:val="0"/>
              <w:marTop w:val="0"/>
              <w:marBottom w:val="0"/>
              <w:divBdr>
                <w:top w:val="none" w:sz="0" w:space="0" w:color="auto"/>
                <w:left w:val="none" w:sz="0" w:space="0" w:color="auto"/>
                <w:bottom w:val="none" w:sz="0" w:space="0" w:color="auto"/>
                <w:right w:val="none" w:sz="0" w:space="0" w:color="auto"/>
              </w:divBdr>
            </w:div>
            <w:div w:id="448547055">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 w:id="448547045">
      <w:marLeft w:val="0"/>
      <w:marRight w:val="0"/>
      <w:marTop w:val="0"/>
      <w:marBottom w:val="0"/>
      <w:divBdr>
        <w:top w:val="none" w:sz="0" w:space="0" w:color="auto"/>
        <w:left w:val="none" w:sz="0" w:space="0" w:color="auto"/>
        <w:bottom w:val="none" w:sz="0" w:space="0" w:color="auto"/>
        <w:right w:val="none" w:sz="0" w:space="0" w:color="auto"/>
      </w:divBdr>
    </w:div>
    <w:div w:id="448547048">
      <w:marLeft w:val="0"/>
      <w:marRight w:val="0"/>
      <w:marTop w:val="0"/>
      <w:marBottom w:val="0"/>
      <w:divBdr>
        <w:top w:val="none" w:sz="0" w:space="0" w:color="auto"/>
        <w:left w:val="none" w:sz="0" w:space="0" w:color="auto"/>
        <w:bottom w:val="none" w:sz="0" w:space="0" w:color="auto"/>
        <w:right w:val="none" w:sz="0" w:space="0" w:color="auto"/>
      </w:divBdr>
    </w:div>
    <w:div w:id="448547049">
      <w:marLeft w:val="0"/>
      <w:marRight w:val="0"/>
      <w:marTop w:val="0"/>
      <w:marBottom w:val="0"/>
      <w:divBdr>
        <w:top w:val="none" w:sz="0" w:space="0" w:color="auto"/>
        <w:left w:val="none" w:sz="0" w:space="0" w:color="auto"/>
        <w:bottom w:val="none" w:sz="0" w:space="0" w:color="auto"/>
        <w:right w:val="none" w:sz="0" w:space="0" w:color="auto"/>
      </w:divBdr>
    </w:div>
    <w:div w:id="448547052">
      <w:marLeft w:val="0"/>
      <w:marRight w:val="0"/>
      <w:marTop w:val="0"/>
      <w:marBottom w:val="0"/>
      <w:divBdr>
        <w:top w:val="none" w:sz="0" w:space="0" w:color="auto"/>
        <w:left w:val="none" w:sz="0" w:space="0" w:color="auto"/>
        <w:bottom w:val="none" w:sz="0" w:space="0" w:color="auto"/>
        <w:right w:val="none" w:sz="0" w:space="0" w:color="auto"/>
      </w:divBdr>
    </w:div>
    <w:div w:id="448547056">
      <w:marLeft w:val="0"/>
      <w:marRight w:val="0"/>
      <w:marTop w:val="0"/>
      <w:marBottom w:val="0"/>
      <w:divBdr>
        <w:top w:val="none" w:sz="0" w:space="0" w:color="auto"/>
        <w:left w:val="none" w:sz="0" w:space="0" w:color="auto"/>
        <w:bottom w:val="none" w:sz="0" w:space="0" w:color="auto"/>
        <w:right w:val="none" w:sz="0" w:space="0" w:color="auto"/>
      </w:divBdr>
      <w:divsChild>
        <w:div w:id="448547065">
          <w:marLeft w:val="0"/>
          <w:marRight w:val="0"/>
          <w:marTop w:val="0"/>
          <w:marBottom w:val="0"/>
          <w:divBdr>
            <w:top w:val="none" w:sz="0" w:space="0" w:color="auto"/>
            <w:left w:val="none" w:sz="0" w:space="0" w:color="auto"/>
            <w:bottom w:val="none" w:sz="0" w:space="0" w:color="auto"/>
            <w:right w:val="none" w:sz="0" w:space="0" w:color="auto"/>
          </w:divBdr>
          <w:divsChild>
            <w:div w:id="448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060">
      <w:marLeft w:val="0"/>
      <w:marRight w:val="0"/>
      <w:marTop w:val="0"/>
      <w:marBottom w:val="0"/>
      <w:divBdr>
        <w:top w:val="none" w:sz="0" w:space="0" w:color="auto"/>
        <w:left w:val="none" w:sz="0" w:space="0" w:color="auto"/>
        <w:bottom w:val="none" w:sz="0" w:space="0" w:color="auto"/>
        <w:right w:val="none" w:sz="0" w:space="0" w:color="auto"/>
      </w:divBdr>
      <w:divsChild>
        <w:div w:id="448547011">
          <w:marLeft w:val="0"/>
          <w:marRight w:val="0"/>
          <w:marTop w:val="0"/>
          <w:marBottom w:val="0"/>
          <w:divBdr>
            <w:top w:val="none" w:sz="0" w:space="0" w:color="auto"/>
            <w:left w:val="none" w:sz="0" w:space="0" w:color="auto"/>
            <w:bottom w:val="none" w:sz="0" w:space="0" w:color="auto"/>
            <w:right w:val="none" w:sz="0" w:space="0" w:color="auto"/>
          </w:divBdr>
          <w:divsChild>
            <w:div w:id="448547034">
              <w:marLeft w:val="0"/>
              <w:marRight w:val="0"/>
              <w:marTop w:val="0"/>
              <w:marBottom w:val="0"/>
              <w:divBdr>
                <w:top w:val="single" w:sz="8" w:space="0" w:color="000000"/>
                <w:left w:val="single" w:sz="8" w:space="0" w:color="000000"/>
                <w:bottom w:val="single" w:sz="8" w:space="0" w:color="000000"/>
                <w:right w:val="single" w:sz="8" w:space="0" w:color="000000"/>
              </w:divBdr>
            </w:div>
            <w:div w:id="4485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063">
      <w:marLeft w:val="0"/>
      <w:marRight w:val="0"/>
      <w:marTop w:val="0"/>
      <w:marBottom w:val="0"/>
      <w:divBdr>
        <w:top w:val="none" w:sz="0" w:space="0" w:color="auto"/>
        <w:left w:val="none" w:sz="0" w:space="0" w:color="auto"/>
        <w:bottom w:val="none" w:sz="0" w:space="0" w:color="auto"/>
        <w:right w:val="none" w:sz="0" w:space="0" w:color="auto"/>
      </w:divBdr>
    </w:div>
    <w:div w:id="448547067">
      <w:marLeft w:val="0"/>
      <w:marRight w:val="0"/>
      <w:marTop w:val="0"/>
      <w:marBottom w:val="0"/>
      <w:divBdr>
        <w:top w:val="none" w:sz="0" w:space="0" w:color="auto"/>
        <w:left w:val="none" w:sz="0" w:space="0" w:color="auto"/>
        <w:bottom w:val="none" w:sz="0" w:space="0" w:color="auto"/>
        <w:right w:val="none" w:sz="0" w:space="0" w:color="auto"/>
      </w:divBdr>
      <w:divsChild>
        <w:div w:id="448546982">
          <w:marLeft w:val="0"/>
          <w:marRight w:val="0"/>
          <w:marTop w:val="0"/>
          <w:marBottom w:val="0"/>
          <w:divBdr>
            <w:top w:val="none" w:sz="0" w:space="0" w:color="auto"/>
            <w:left w:val="none" w:sz="0" w:space="0" w:color="auto"/>
            <w:bottom w:val="none" w:sz="0" w:space="0" w:color="auto"/>
            <w:right w:val="none" w:sz="0" w:space="0" w:color="auto"/>
          </w:divBdr>
          <w:divsChild>
            <w:div w:id="448546931">
              <w:marLeft w:val="0"/>
              <w:marRight w:val="0"/>
              <w:marTop w:val="0"/>
              <w:marBottom w:val="0"/>
              <w:divBdr>
                <w:top w:val="none" w:sz="0" w:space="0" w:color="auto"/>
                <w:left w:val="none" w:sz="0" w:space="0" w:color="auto"/>
                <w:bottom w:val="none" w:sz="0" w:space="0" w:color="auto"/>
                <w:right w:val="none" w:sz="0" w:space="0" w:color="auto"/>
              </w:divBdr>
            </w:div>
            <w:div w:id="448547044">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 w:id="448547069">
      <w:marLeft w:val="0"/>
      <w:marRight w:val="0"/>
      <w:marTop w:val="0"/>
      <w:marBottom w:val="0"/>
      <w:divBdr>
        <w:top w:val="none" w:sz="0" w:space="0" w:color="auto"/>
        <w:left w:val="none" w:sz="0" w:space="0" w:color="auto"/>
        <w:bottom w:val="none" w:sz="0" w:space="0" w:color="auto"/>
        <w:right w:val="none" w:sz="0" w:space="0" w:color="auto"/>
      </w:divBdr>
      <w:divsChild>
        <w:div w:id="448547054">
          <w:marLeft w:val="0"/>
          <w:marRight w:val="0"/>
          <w:marTop w:val="0"/>
          <w:marBottom w:val="0"/>
          <w:divBdr>
            <w:top w:val="none" w:sz="0" w:space="0" w:color="auto"/>
            <w:left w:val="none" w:sz="0" w:space="0" w:color="auto"/>
            <w:bottom w:val="none" w:sz="0" w:space="0" w:color="auto"/>
            <w:right w:val="none" w:sz="0" w:space="0" w:color="auto"/>
          </w:divBdr>
          <w:divsChild>
            <w:div w:id="448546976">
              <w:marLeft w:val="0"/>
              <w:marRight w:val="0"/>
              <w:marTop w:val="0"/>
              <w:marBottom w:val="0"/>
              <w:divBdr>
                <w:top w:val="single" w:sz="8" w:space="0" w:color="000000"/>
                <w:left w:val="single" w:sz="8" w:space="0" w:color="000000"/>
                <w:bottom w:val="single" w:sz="8" w:space="0" w:color="000000"/>
                <w:right w:val="single" w:sz="8" w:space="0" w:color="000000"/>
              </w:divBdr>
            </w:div>
            <w:div w:id="4485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070">
      <w:marLeft w:val="0"/>
      <w:marRight w:val="0"/>
      <w:marTop w:val="0"/>
      <w:marBottom w:val="0"/>
      <w:divBdr>
        <w:top w:val="none" w:sz="0" w:space="0" w:color="auto"/>
        <w:left w:val="none" w:sz="0" w:space="0" w:color="auto"/>
        <w:bottom w:val="none" w:sz="0" w:space="0" w:color="auto"/>
        <w:right w:val="none" w:sz="0" w:space="0" w:color="auto"/>
      </w:divBdr>
    </w:div>
    <w:div w:id="448547072">
      <w:marLeft w:val="0"/>
      <w:marRight w:val="0"/>
      <w:marTop w:val="0"/>
      <w:marBottom w:val="0"/>
      <w:divBdr>
        <w:top w:val="none" w:sz="0" w:space="0" w:color="auto"/>
        <w:left w:val="none" w:sz="0" w:space="0" w:color="auto"/>
        <w:bottom w:val="none" w:sz="0" w:space="0" w:color="auto"/>
        <w:right w:val="none" w:sz="0" w:space="0" w:color="auto"/>
      </w:divBdr>
      <w:divsChild>
        <w:div w:id="448546919">
          <w:marLeft w:val="0"/>
          <w:marRight w:val="0"/>
          <w:marTop w:val="0"/>
          <w:marBottom w:val="0"/>
          <w:divBdr>
            <w:top w:val="none" w:sz="0" w:space="0" w:color="auto"/>
            <w:left w:val="none" w:sz="0" w:space="0" w:color="auto"/>
            <w:bottom w:val="none" w:sz="0" w:space="0" w:color="auto"/>
            <w:right w:val="none" w:sz="0" w:space="0" w:color="auto"/>
          </w:divBdr>
          <w:divsChild>
            <w:div w:id="448546985">
              <w:marLeft w:val="0"/>
              <w:marRight w:val="0"/>
              <w:marTop w:val="0"/>
              <w:marBottom w:val="0"/>
              <w:divBdr>
                <w:top w:val="single" w:sz="8" w:space="0" w:color="000000"/>
                <w:left w:val="single" w:sz="8" w:space="0" w:color="000000"/>
                <w:bottom w:val="single" w:sz="8" w:space="0" w:color="000000"/>
                <w:right w:val="single" w:sz="8" w:space="0" w:color="000000"/>
              </w:divBdr>
            </w:div>
            <w:div w:id="4485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073">
      <w:marLeft w:val="0"/>
      <w:marRight w:val="0"/>
      <w:marTop w:val="0"/>
      <w:marBottom w:val="0"/>
      <w:divBdr>
        <w:top w:val="none" w:sz="0" w:space="0" w:color="auto"/>
        <w:left w:val="none" w:sz="0" w:space="0" w:color="auto"/>
        <w:bottom w:val="none" w:sz="0" w:space="0" w:color="auto"/>
        <w:right w:val="none" w:sz="0" w:space="0" w:color="auto"/>
      </w:divBdr>
      <w:divsChild>
        <w:div w:id="448547015">
          <w:marLeft w:val="0"/>
          <w:marRight w:val="0"/>
          <w:marTop w:val="0"/>
          <w:marBottom w:val="0"/>
          <w:divBdr>
            <w:top w:val="none" w:sz="0" w:space="0" w:color="auto"/>
            <w:left w:val="none" w:sz="0" w:space="0" w:color="auto"/>
            <w:bottom w:val="none" w:sz="0" w:space="0" w:color="auto"/>
            <w:right w:val="none" w:sz="0" w:space="0" w:color="auto"/>
          </w:divBdr>
          <w:divsChild>
            <w:div w:id="448547013">
              <w:marLeft w:val="0"/>
              <w:marRight w:val="0"/>
              <w:marTop w:val="0"/>
              <w:marBottom w:val="0"/>
              <w:divBdr>
                <w:top w:val="single" w:sz="8" w:space="0" w:color="000000"/>
                <w:left w:val="single" w:sz="8" w:space="0" w:color="000000"/>
                <w:bottom w:val="single" w:sz="8" w:space="0" w:color="000000"/>
                <w:right w:val="single" w:sz="8" w:space="0" w:color="000000"/>
              </w:divBdr>
            </w:div>
            <w:div w:id="4485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075">
      <w:marLeft w:val="0"/>
      <w:marRight w:val="0"/>
      <w:marTop w:val="0"/>
      <w:marBottom w:val="0"/>
      <w:divBdr>
        <w:top w:val="none" w:sz="0" w:space="0" w:color="auto"/>
        <w:left w:val="none" w:sz="0" w:space="0" w:color="auto"/>
        <w:bottom w:val="none" w:sz="0" w:space="0" w:color="auto"/>
        <w:right w:val="none" w:sz="0" w:space="0" w:color="auto"/>
      </w:divBdr>
    </w:div>
    <w:div w:id="448547076">
      <w:marLeft w:val="0"/>
      <w:marRight w:val="0"/>
      <w:marTop w:val="0"/>
      <w:marBottom w:val="0"/>
      <w:divBdr>
        <w:top w:val="none" w:sz="0" w:space="0" w:color="auto"/>
        <w:left w:val="none" w:sz="0" w:space="0" w:color="auto"/>
        <w:bottom w:val="none" w:sz="0" w:space="0" w:color="auto"/>
        <w:right w:val="none" w:sz="0" w:space="0" w:color="auto"/>
      </w:divBdr>
    </w:div>
    <w:div w:id="448547078">
      <w:marLeft w:val="0"/>
      <w:marRight w:val="0"/>
      <w:marTop w:val="0"/>
      <w:marBottom w:val="0"/>
      <w:divBdr>
        <w:top w:val="none" w:sz="0" w:space="0" w:color="auto"/>
        <w:left w:val="none" w:sz="0" w:space="0" w:color="auto"/>
        <w:bottom w:val="none" w:sz="0" w:space="0" w:color="auto"/>
        <w:right w:val="none" w:sz="0" w:space="0" w:color="auto"/>
      </w:divBdr>
    </w:div>
    <w:div w:id="448547081">
      <w:marLeft w:val="0"/>
      <w:marRight w:val="0"/>
      <w:marTop w:val="0"/>
      <w:marBottom w:val="0"/>
      <w:divBdr>
        <w:top w:val="none" w:sz="0" w:space="0" w:color="auto"/>
        <w:left w:val="none" w:sz="0" w:space="0" w:color="auto"/>
        <w:bottom w:val="none" w:sz="0" w:space="0" w:color="auto"/>
        <w:right w:val="none" w:sz="0" w:space="0" w:color="auto"/>
      </w:divBdr>
    </w:div>
    <w:div w:id="448547085">
      <w:marLeft w:val="0"/>
      <w:marRight w:val="0"/>
      <w:marTop w:val="0"/>
      <w:marBottom w:val="0"/>
      <w:divBdr>
        <w:top w:val="none" w:sz="0" w:space="0" w:color="auto"/>
        <w:left w:val="none" w:sz="0" w:space="0" w:color="auto"/>
        <w:bottom w:val="none" w:sz="0" w:space="0" w:color="auto"/>
        <w:right w:val="none" w:sz="0" w:space="0" w:color="auto"/>
      </w:divBdr>
    </w:div>
    <w:div w:id="448547086">
      <w:marLeft w:val="0"/>
      <w:marRight w:val="0"/>
      <w:marTop w:val="0"/>
      <w:marBottom w:val="0"/>
      <w:divBdr>
        <w:top w:val="none" w:sz="0" w:space="0" w:color="auto"/>
        <w:left w:val="none" w:sz="0" w:space="0" w:color="auto"/>
        <w:bottom w:val="none" w:sz="0" w:space="0" w:color="auto"/>
        <w:right w:val="none" w:sz="0" w:space="0" w:color="auto"/>
      </w:divBdr>
    </w:div>
    <w:div w:id="448547087">
      <w:marLeft w:val="0"/>
      <w:marRight w:val="0"/>
      <w:marTop w:val="0"/>
      <w:marBottom w:val="0"/>
      <w:divBdr>
        <w:top w:val="none" w:sz="0" w:space="0" w:color="auto"/>
        <w:left w:val="none" w:sz="0" w:space="0" w:color="auto"/>
        <w:bottom w:val="none" w:sz="0" w:space="0" w:color="auto"/>
        <w:right w:val="none" w:sz="0" w:space="0" w:color="auto"/>
      </w:divBdr>
      <w:divsChild>
        <w:div w:id="448547000">
          <w:marLeft w:val="0"/>
          <w:marRight w:val="0"/>
          <w:marTop w:val="0"/>
          <w:marBottom w:val="0"/>
          <w:divBdr>
            <w:top w:val="none" w:sz="0" w:space="0" w:color="auto"/>
            <w:left w:val="none" w:sz="0" w:space="0" w:color="auto"/>
            <w:bottom w:val="none" w:sz="0" w:space="0" w:color="auto"/>
            <w:right w:val="none" w:sz="0" w:space="0" w:color="auto"/>
          </w:divBdr>
          <w:divsChild>
            <w:div w:id="4485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088">
      <w:marLeft w:val="0"/>
      <w:marRight w:val="0"/>
      <w:marTop w:val="0"/>
      <w:marBottom w:val="0"/>
      <w:divBdr>
        <w:top w:val="none" w:sz="0" w:space="0" w:color="auto"/>
        <w:left w:val="none" w:sz="0" w:space="0" w:color="auto"/>
        <w:bottom w:val="none" w:sz="0" w:space="0" w:color="auto"/>
        <w:right w:val="none" w:sz="0" w:space="0" w:color="auto"/>
      </w:divBdr>
      <w:divsChild>
        <w:div w:id="448547059">
          <w:marLeft w:val="0"/>
          <w:marRight w:val="0"/>
          <w:marTop w:val="0"/>
          <w:marBottom w:val="0"/>
          <w:divBdr>
            <w:top w:val="none" w:sz="0" w:space="0" w:color="auto"/>
            <w:left w:val="none" w:sz="0" w:space="0" w:color="auto"/>
            <w:bottom w:val="none" w:sz="0" w:space="0" w:color="auto"/>
            <w:right w:val="none" w:sz="0" w:space="0" w:color="auto"/>
          </w:divBdr>
          <w:divsChild>
            <w:div w:id="448546937">
              <w:marLeft w:val="0"/>
              <w:marRight w:val="0"/>
              <w:marTop w:val="0"/>
              <w:marBottom w:val="0"/>
              <w:divBdr>
                <w:top w:val="single" w:sz="8" w:space="0" w:color="000000"/>
                <w:left w:val="single" w:sz="8" w:space="0" w:color="000000"/>
                <w:bottom w:val="single" w:sz="8" w:space="0" w:color="000000"/>
                <w:right w:val="single" w:sz="8" w:space="0" w:color="000000"/>
              </w:divBdr>
            </w:div>
            <w:div w:id="4485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089">
      <w:marLeft w:val="0"/>
      <w:marRight w:val="0"/>
      <w:marTop w:val="0"/>
      <w:marBottom w:val="0"/>
      <w:divBdr>
        <w:top w:val="none" w:sz="0" w:space="0" w:color="auto"/>
        <w:left w:val="none" w:sz="0" w:space="0" w:color="auto"/>
        <w:bottom w:val="none" w:sz="0" w:space="0" w:color="auto"/>
        <w:right w:val="none" w:sz="0" w:space="0" w:color="auto"/>
      </w:divBdr>
    </w:div>
    <w:div w:id="448547091">
      <w:marLeft w:val="0"/>
      <w:marRight w:val="0"/>
      <w:marTop w:val="0"/>
      <w:marBottom w:val="0"/>
      <w:divBdr>
        <w:top w:val="none" w:sz="0" w:space="0" w:color="auto"/>
        <w:left w:val="none" w:sz="0" w:space="0" w:color="auto"/>
        <w:bottom w:val="none" w:sz="0" w:space="0" w:color="auto"/>
        <w:right w:val="none" w:sz="0" w:space="0" w:color="auto"/>
      </w:divBdr>
      <w:divsChild>
        <w:div w:id="448547028">
          <w:marLeft w:val="0"/>
          <w:marRight w:val="0"/>
          <w:marTop w:val="0"/>
          <w:marBottom w:val="0"/>
          <w:divBdr>
            <w:top w:val="none" w:sz="0" w:space="0" w:color="auto"/>
            <w:left w:val="none" w:sz="0" w:space="0" w:color="auto"/>
            <w:bottom w:val="none" w:sz="0" w:space="0" w:color="auto"/>
            <w:right w:val="none" w:sz="0" w:space="0" w:color="auto"/>
          </w:divBdr>
          <w:divsChild>
            <w:div w:id="448547012">
              <w:marLeft w:val="0"/>
              <w:marRight w:val="0"/>
              <w:marTop w:val="0"/>
              <w:marBottom w:val="0"/>
              <w:divBdr>
                <w:top w:val="single" w:sz="8" w:space="0" w:color="000000"/>
                <w:left w:val="single" w:sz="8" w:space="0" w:color="000000"/>
                <w:bottom w:val="single" w:sz="8" w:space="0" w:color="000000"/>
                <w:right w:val="single" w:sz="8" w:space="0" w:color="000000"/>
              </w:divBdr>
            </w:div>
            <w:div w:id="448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092">
      <w:marLeft w:val="0"/>
      <w:marRight w:val="0"/>
      <w:marTop w:val="0"/>
      <w:marBottom w:val="0"/>
      <w:divBdr>
        <w:top w:val="none" w:sz="0" w:space="0" w:color="auto"/>
        <w:left w:val="none" w:sz="0" w:space="0" w:color="auto"/>
        <w:bottom w:val="none" w:sz="0" w:space="0" w:color="auto"/>
        <w:right w:val="none" w:sz="0" w:space="0" w:color="auto"/>
      </w:divBdr>
    </w:div>
    <w:div w:id="448547093">
      <w:marLeft w:val="0"/>
      <w:marRight w:val="0"/>
      <w:marTop w:val="0"/>
      <w:marBottom w:val="0"/>
      <w:divBdr>
        <w:top w:val="none" w:sz="0" w:space="0" w:color="auto"/>
        <w:left w:val="none" w:sz="0" w:space="0" w:color="auto"/>
        <w:bottom w:val="none" w:sz="0" w:space="0" w:color="auto"/>
        <w:right w:val="none" w:sz="0" w:space="0" w:color="auto"/>
      </w:divBdr>
    </w:div>
    <w:div w:id="448547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hn.evanoff@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allfoss.fcc.gov/ecfs2/" TargetMode="External"/><Relationship Id="rId19" Type="http://schemas.openxmlformats.org/officeDocument/2006/relationships/footer" Target="footer4.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factfinder.census.gov/servlet/IBQTable?_bm=y&amp;-fds_name=EC0700A1&amp;-geo_id=&amp;-_skip=300&amp;-ds_name=EC0731SG2&amp;-_lang=en" TargetMode="External"/><Relationship Id="rId2" Type="http://schemas.openxmlformats.org/officeDocument/2006/relationships/hyperlink" Target="http://www.census.gov/popest/data/cities/totals/2011/index.html" TargetMode="External"/><Relationship Id="rId1" Type="http://schemas.openxmlformats.org/officeDocument/2006/relationships/hyperlink" Target="http://www.census.gov/cgi-bin/sssd/naics/naicsrch?code=517210&amp;search=2007%20NAICS%20Search" TargetMode="External"/><Relationship Id="rId4" Type="http://schemas.openxmlformats.org/officeDocument/2006/relationships/hyperlink" Target="http://factfinder.census.gov/servlet/IBQTable?_bm=y&amp;-geo_id=&amp;-fds_name=EC0700A1&amp;-_skip=4500&amp;-ds_name=EC0731SG3&amp;-_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14041</Words>
  <Characters>67953</Characters>
  <Application>Microsoft Office Word</Application>
  <DocSecurity>0</DocSecurity>
  <Lines>2620</Lines>
  <Paragraphs>1884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80276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2015-02-11T14:14:00Z</dcterms:created>
  <dcterms:modified xsi:type="dcterms:W3CDTF">2015-02-11T14:14:00Z</dcterms:modified>
  <cp:category> </cp:category>
  <cp:contentStatus> </cp:contentStatus>
</cp:coreProperties>
</file>