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87" w:rsidRDefault="00EA5D87">
      <w:pPr>
        <w:jc w:val="center"/>
        <w:rPr>
          <w:b/>
        </w:rPr>
      </w:pPr>
      <w:bookmarkStart w:id="0" w:name="_GoBack"/>
      <w:bookmarkEnd w:id="0"/>
      <w:r>
        <w:rPr>
          <w:b/>
        </w:rPr>
        <w:t>Before the</w:t>
      </w:r>
    </w:p>
    <w:p w:rsidR="00EA5D87" w:rsidRDefault="00EA5D87">
      <w:pPr>
        <w:jc w:val="center"/>
        <w:rPr>
          <w:b/>
        </w:rPr>
      </w:pPr>
      <w:r>
        <w:rPr>
          <w:b/>
        </w:rPr>
        <w:t>Federal Communications Commission</w:t>
      </w:r>
    </w:p>
    <w:p w:rsidR="00EA5D87" w:rsidRDefault="00EA5D87">
      <w:pPr>
        <w:jc w:val="center"/>
        <w:rPr>
          <w:b/>
        </w:rPr>
      </w:pPr>
      <w:r>
        <w:rPr>
          <w:b/>
        </w:rPr>
        <w:t>Washington, D.C. 20554</w:t>
      </w:r>
    </w:p>
    <w:p w:rsidR="00EA5D87" w:rsidRDefault="00EA5D87"/>
    <w:p w:rsidR="00EA5D87" w:rsidRDefault="00EA5D87"/>
    <w:tbl>
      <w:tblPr>
        <w:tblW w:w="0" w:type="auto"/>
        <w:tblLayout w:type="fixed"/>
        <w:tblLook w:val="0000" w:firstRow="0" w:lastRow="0" w:firstColumn="0" w:lastColumn="0" w:noHBand="0" w:noVBand="0"/>
      </w:tblPr>
      <w:tblGrid>
        <w:gridCol w:w="4698"/>
        <w:gridCol w:w="720"/>
        <w:gridCol w:w="4230"/>
      </w:tblGrid>
      <w:tr w:rsidR="00EA5D87">
        <w:tc>
          <w:tcPr>
            <w:tcW w:w="4698" w:type="dxa"/>
          </w:tcPr>
          <w:p w:rsidR="00EA5D87" w:rsidRDefault="00EA5D87">
            <w:pPr>
              <w:ind w:right="-18"/>
            </w:pPr>
            <w:r>
              <w:t xml:space="preserve">In the </w:t>
            </w:r>
            <w:r w:rsidR="00016256">
              <w:t>M</w:t>
            </w:r>
            <w:r>
              <w:t>atter of</w:t>
            </w:r>
          </w:p>
          <w:p w:rsidR="00016256" w:rsidRDefault="00016256">
            <w:pPr>
              <w:ind w:right="-18"/>
            </w:pPr>
          </w:p>
          <w:p w:rsidR="00016256" w:rsidRDefault="00016256">
            <w:pPr>
              <w:ind w:right="-18"/>
            </w:pPr>
            <w:r>
              <w:t xml:space="preserve">Implementation of </w:t>
            </w:r>
            <w:r w:rsidR="00326FC7" w:rsidRPr="00326FC7">
              <w:t xml:space="preserve">Sections 101, 103 and 105 </w:t>
            </w:r>
            <w:r w:rsidR="00326FC7">
              <w:t xml:space="preserve">of </w:t>
            </w:r>
            <w:r>
              <w:t>the S</w:t>
            </w:r>
            <w:r w:rsidR="004238F2">
              <w:t>TELA Reauthorization Act of 201</w:t>
            </w:r>
            <w:r>
              <w:t>4</w:t>
            </w:r>
          </w:p>
          <w:p w:rsidR="00016256" w:rsidRDefault="00016256">
            <w:pPr>
              <w:ind w:right="-18"/>
            </w:pPr>
          </w:p>
          <w:p w:rsidR="00EA5D87" w:rsidRDefault="00EA5D87">
            <w:pPr>
              <w:ind w:right="-18"/>
            </w:pPr>
          </w:p>
        </w:tc>
        <w:tc>
          <w:tcPr>
            <w:tcW w:w="720" w:type="dxa"/>
          </w:tcPr>
          <w:p w:rsidR="00EA5D87" w:rsidRDefault="00EA5D87">
            <w:pPr>
              <w:rPr>
                <w:b/>
              </w:rPr>
            </w:pPr>
            <w:r>
              <w:rPr>
                <w:b/>
              </w:rPr>
              <w:t>)</w:t>
            </w:r>
          </w:p>
          <w:p w:rsidR="00EA5D87" w:rsidRDefault="00EA5D87">
            <w:pPr>
              <w:rPr>
                <w:b/>
              </w:rPr>
            </w:pPr>
            <w:r>
              <w:rPr>
                <w:b/>
              </w:rPr>
              <w:t>)</w:t>
            </w:r>
          </w:p>
          <w:p w:rsidR="00EA5D87" w:rsidRDefault="00EA5D87">
            <w:pPr>
              <w:rPr>
                <w:b/>
              </w:rPr>
            </w:pPr>
            <w:r>
              <w:rPr>
                <w:b/>
              </w:rPr>
              <w:t>)</w:t>
            </w:r>
          </w:p>
          <w:p w:rsidR="00EA5D87" w:rsidRDefault="00EA5D87">
            <w:pPr>
              <w:rPr>
                <w:b/>
              </w:rPr>
            </w:pPr>
            <w:r>
              <w:rPr>
                <w:b/>
              </w:rPr>
              <w:t>)</w:t>
            </w:r>
          </w:p>
          <w:p w:rsidR="00EA5D87" w:rsidRDefault="00EA5D87">
            <w:pPr>
              <w:rPr>
                <w:b/>
              </w:rPr>
            </w:pPr>
            <w:r>
              <w:rPr>
                <w:b/>
              </w:rPr>
              <w:t>)</w:t>
            </w:r>
          </w:p>
          <w:p w:rsidR="00EA5D87" w:rsidRDefault="00EA5D87">
            <w:pPr>
              <w:rPr>
                <w:b/>
              </w:rPr>
            </w:pPr>
            <w:r>
              <w:rPr>
                <w:b/>
              </w:rPr>
              <w:t>)</w:t>
            </w:r>
          </w:p>
          <w:p w:rsidR="00EA5D87" w:rsidRDefault="00EA5D87">
            <w:pPr>
              <w:rPr>
                <w:b/>
              </w:rPr>
            </w:pPr>
          </w:p>
          <w:p w:rsidR="00EA5D87" w:rsidRDefault="00EA5D87">
            <w:pPr>
              <w:rPr>
                <w:b/>
              </w:rPr>
            </w:pPr>
          </w:p>
          <w:p w:rsidR="00EA5D87" w:rsidRDefault="00EA5D87">
            <w:pPr>
              <w:rPr>
                <w:b/>
              </w:rPr>
            </w:pPr>
          </w:p>
        </w:tc>
        <w:tc>
          <w:tcPr>
            <w:tcW w:w="4230" w:type="dxa"/>
          </w:tcPr>
          <w:p w:rsidR="00EA5D87" w:rsidRDefault="00EA5D87"/>
          <w:p w:rsidR="00EA5D87" w:rsidRDefault="00EA5D87"/>
          <w:p w:rsidR="00EA5D87" w:rsidRDefault="00A370A6">
            <w:r>
              <w:t xml:space="preserve">MB Docket No. </w:t>
            </w:r>
            <w:r w:rsidR="00326FC7">
              <w:t>15</w:t>
            </w:r>
            <w:r w:rsidR="00382C43">
              <w:t>-</w:t>
            </w:r>
            <w:r w:rsidR="00AB0CB0">
              <w:t>37</w:t>
            </w:r>
          </w:p>
          <w:p w:rsidR="00EA5D87" w:rsidRDefault="00EA5D87" w:rsidP="004238F2">
            <w:pPr>
              <w:jc w:val="both"/>
            </w:pPr>
          </w:p>
        </w:tc>
      </w:tr>
    </w:tbl>
    <w:p w:rsidR="00EA5D87" w:rsidRDefault="00016256">
      <w:pPr>
        <w:spacing w:before="120"/>
        <w:jc w:val="center"/>
        <w:rPr>
          <w:b/>
        </w:rPr>
      </w:pPr>
      <w:r>
        <w:rPr>
          <w:b/>
          <w:spacing w:val="-2"/>
        </w:rPr>
        <w:t>ORDER</w:t>
      </w:r>
    </w:p>
    <w:p w:rsidR="00EA5D87" w:rsidRDefault="00EA5D87"/>
    <w:p w:rsidR="00F579CA" w:rsidRDefault="00F579CA" w:rsidP="00F579CA">
      <w:pPr>
        <w:tabs>
          <w:tab w:val="left" w:pos="720"/>
          <w:tab w:val="right" w:pos="9360"/>
        </w:tabs>
        <w:suppressAutoHyphens/>
        <w:spacing w:line="227" w:lineRule="auto"/>
        <w:rPr>
          <w:spacing w:val="-2"/>
        </w:rPr>
      </w:pPr>
      <w:r>
        <w:rPr>
          <w:b/>
          <w:spacing w:val="-2"/>
        </w:rPr>
        <w:t>Adopted:</w:t>
      </w:r>
      <w:r w:rsidR="00362EEA">
        <w:rPr>
          <w:b/>
          <w:spacing w:val="-2"/>
        </w:rPr>
        <w:t xml:space="preserve">  February 13, 2015</w:t>
      </w:r>
      <w:r>
        <w:rPr>
          <w:b/>
          <w:spacing w:val="-2"/>
        </w:rPr>
        <w:tab/>
        <w:t>Released:</w:t>
      </w:r>
      <w:r w:rsidR="00362EEA">
        <w:rPr>
          <w:b/>
          <w:spacing w:val="-2"/>
        </w:rPr>
        <w:t xml:space="preserve">  February 18, 2015</w:t>
      </w:r>
    </w:p>
    <w:p w:rsidR="00EA5D87" w:rsidRDefault="00EA5D87">
      <w:pPr>
        <w:tabs>
          <w:tab w:val="left" w:pos="5760"/>
        </w:tabs>
        <w:rPr>
          <w:b/>
        </w:rPr>
      </w:pPr>
      <w:r>
        <w:rPr>
          <w:b/>
        </w:rPr>
        <w:t xml:space="preserve"> </w:t>
      </w:r>
    </w:p>
    <w:p w:rsidR="00EA5D87" w:rsidRDefault="00EA5D87">
      <w:pPr>
        <w:tabs>
          <w:tab w:val="left" w:pos="5760"/>
        </w:tabs>
      </w:pPr>
      <w:r>
        <w:t xml:space="preserve">By the </w:t>
      </w:r>
      <w:r w:rsidR="00016256">
        <w:t>Commission:</w:t>
      </w:r>
    </w:p>
    <w:p w:rsidR="00EA5D87" w:rsidRDefault="00EA5D87"/>
    <w:p w:rsidR="00016256" w:rsidRDefault="00016256" w:rsidP="00115AC1">
      <w:pPr>
        <w:pStyle w:val="Heading1"/>
      </w:pPr>
      <w:r>
        <w:t>INTRODUCTION</w:t>
      </w:r>
    </w:p>
    <w:p w:rsidR="00D546FF" w:rsidRPr="00D546FF" w:rsidRDefault="00016256" w:rsidP="00F00974">
      <w:pPr>
        <w:pStyle w:val="ParaNum"/>
        <w:numPr>
          <w:ilvl w:val="0"/>
          <w:numId w:val="3"/>
        </w:numPr>
        <w:rPr>
          <w:b/>
        </w:rPr>
      </w:pPr>
      <w:r>
        <w:t xml:space="preserve">In this </w:t>
      </w:r>
      <w:r w:rsidR="00DF4A92" w:rsidRPr="00EC44F9">
        <w:rPr>
          <w:i/>
        </w:rPr>
        <w:t>O</w:t>
      </w:r>
      <w:r w:rsidRPr="00EC44F9">
        <w:rPr>
          <w:i/>
        </w:rPr>
        <w:t>rder</w:t>
      </w:r>
      <w:r>
        <w:t>, we a</w:t>
      </w:r>
      <w:r w:rsidR="009A4C9B">
        <w:t>mend our</w:t>
      </w:r>
      <w:r>
        <w:t xml:space="preserve"> rules </w:t>
      </w:r>
      <w:r w:rsidR="00515B90">
        <w:t>to implement three</w:t>
      </w:r>
      <w:r w:rsidR="00B97E72">
        <w:t xml:space="preserve"> provisions of </w:t>
      </w:r>
      <w:r w:rsidR="00E26F5D">
        <w:t>the S</w:t>
      </w:r>
      <w:r w:rsidR="009A4C9B">
        <w:t xml:space="preserve">TELA Reauthorization </w:t>
      </w:r>
      <w:r w:rsidR="00E26F5D">
        <w:t>Act of 20</w:t>
      </w:r>
      <w:r w:rsidR="009A4C9B">
        <w:t>1</w:t>
      </w:r>
      <w:r w:rsidR="00E26F5D">
        <w:t>4 (“</w:t>
      </w:r>
      <w:r w:rsidR="009A4C9B">
        <w:t>STELAR</w:t>
      </w:r>
      <w:r w:rsidR="00E26F5D">
        <w:t>”).</w:t>
      </w:r>
      <w:r w:rsidR="00E26F5D">
        <w:rPr>
          <w:rStyle w:val="FootnoteReference"/>
        </w:rPr>
        <w:footnoteReference w:id="2"/>
      </w:r>
      <w:r w:rsidR="00B97E72">
        <w:t xml:space="preserve">  </w:t>
      </w:r>
      <w:r w:rsidR="00515B90">
        <w:t>Collectively, t</w:t>
      </w:r>
      <w:r w:rsidR="00936EB8">
        <w:t xml:space="preserve">hose </w:t>
      </w:r>
      <w:r w:rsidR="00B97E72">
        <w:t>provisions:  (i)</w:t>
      </w:r>
      <w:r w:rsidR="00E26F5D">
        <w:t xml:space="preserve"> </w:t>
      </w:r>
      <w:r w:rsidR="00B97E72">
        <w:t xml:space="preserve">extend to January 1, 2020 the good faith negotiation requirements applicable to </w:t>
      </w:r>
      <w:r w:rsidR="002A1734">
        <w:t>multichannel video programming distributors (“</w:t>
      </w:r>
      <w:r w:rsidR="00B97E72">
        <w:t>MVPDs</w:t>
      </w:r>
      <w:r w:rsidR="002A1734">
        <w:t>”)</w:t>
      </w:r>
      <w:r w:rsidR="00B97E72">
        <w:t xml:space="preserve"> and </w:t>
      </w:r>
      <w:r w:rsidR="00515B90">
        <w:t xml:space="preserve">television </w:t>
      </w:r>
      <w:r w:rsidR="00B97E72">
        <w:t xml:space="preserve">broadcast stations, and the exclusive contract prohibition applicable to </w:t>
      </w:r>
      <w:r w:rsidR="00515B90">
        <w:t xml:space="preserve">such </w:t>
      </w:r>
      <w:r w:rsidR="00B97E72">
        <w:t>broadcast stations;</w:t>
      </w:r>
      <w:r w:rsidR="00544CC4">
        <w:rPr>
          <w:rStyle w:val="FootnoteReference"/>
        </w:rPr>
        <w:footnoteReference w:id="3"/>
      </w:r>
      <w:r w:rsidR="000B5A4A">
        <w:t xml:space="preserve"> (ii</w:t>
      </w:r>
      <w:r w:rsidR="00B97E72">
        <w:t xml:space="preserve">) </w:t>
      </w:r>
      <w:r w:rsidR="00544CC4">
        <w:t>prohibit same-</w:t>
      </w:r>
      <w:r w:rsidR="002A1734">
        <w:t>market television broadcast stations from coordinating negotiations or negotiating on a joint basis for retransmission consent</w:t>
      </w:r>
      <w:r w:rsidR="00B97E72">
        <w:t xml:space="preserve"> </w:t>
      </w:r>
      <w:r w:rsidR="002A1734">
        <w:t>except under certain conditions;</w:t>
      </w:r>
      <w:r w:rsidR="00544CC4">
        <w:rPr>
          <w:rStyle w:val="FootnoteReference"/>
        </w:rPr>
        <w:footnoteReference w:id="4"/>
      </w:r>
      <w:r w:rsidR="000B5A4A">
        <w:t xml:space="preserve"> (iii</w:t>
      </w:r>
      <w:r w:rsidR="002A1734">
        <w:t>) prohibit a television broadcast station from limiting the ability of an MVPD to carry into its local mar</w:t>
      </w:r>
      <w:r w:rsidR="00F84962">
        <w:t xml:space="preserve">ket television signals </w:t>
      </w:r>
      <w:r w:rsidR="00155C48">
        <w:t xml:space="preserve">that are </w:t>
      </w:r>
      <w:r w:rsidR="00515B90">
        <w:t xml:space="preserve">deemed </w:t>
      </w:r>
      <w:r w:rsidR="002A1734">
        <w:t xml:space="preserve">“significantly viewed” </w:t>
      </w:r>
      <w:r w:rsidR="00B8752D">
        <w:t xml:space="preserve">or </w:t>
      </w:r>
      <w:r w:rsidR="000B5A4A">
        <w:t xml:space="preserve">that otherwise are permitted to be carried by the </w:t>
      </w:r>
      <w:r w:rsidR="00B8752D">
        <w:t xml:space="preserve">MVPD, </w:t>
      </w:r>
      <w:r w:rsidR="00636F48">
        <w:t>with certain e</w:t>
      </w:r>
      <w:r w:rsidR="00617D95">
        <w:t>xcept</w:t>
      </w:r>
      <w:r w:rsidR="00636F48">
        <w:t>ions</w:t>
      </w:r>
      <w:r w:rsidR="00617D95">
        <w:t>;</w:t>
      </w:r>
      <w:r w:rsidR="00544CC4">
        <w:rPr>
          <w:rStyle w:val="FootnoteReference"/>
        </w:rPr>
        <w:footnoteReference w:id="5"/>
      </w:r>
      <w:r w:rsidR="00617D95">
        <w:t xml:space="preserve"> </w:t>
      </w:r>
      <w:r w:rsidR="00636F48">
        <w:t xml:space="preserve">and </w:t>
      </w:r>
      <w:r w:rsidR="00617D95">
        <w:t>(</w:t>
      </w:r>
      <w:r w:rsidR="000B5A4A">
        <w:t>i</w:t>
      </w:r>
      <w:r w:rsidR="00617D95">
        <w:t>v) eliminate the “sweeps prohibition” in Section 614(b)(9) of the Communications Act of 1934, as amended (“the Act”).</w:t>
      </w:r>
      <w:r w:rsidR="00F84962">
        <w:rPr>
          <w:rStyle w:val="FootnoteReference"/>
        </w:rPr>
        <w:footnoteReference w:id="6"/>
      </w:r>
      <w:r w:rsidR="00617D95">
        <w:t xml:space="preserve">  </w:t>
      </w:r>
    </w:p>
    <w:p w:rsidR="00451386" w:rsidRPr="00EC44F9" w:rsidRDefault="000A0EE9" w:rsidP="00F00974">
      <w:pPr>
        <w:pStyle w:val="ParaNum"/>
        <w:numPr>
          <w:ilvl w:val="0"/>
          <w:numId w:val="3"/>
        </w:numPr>
        <w:rPr>
          <w:b/>
        </w:rPr>
      </w:pPr>
      <w:r>
        <w:t>The</w:t>
      </w:r>
      <w:r w:rsidR="00D546FF">
        <w:t xml:space="preserve"> STELAR requires the Commission, among other things, to undertake several proceedings to adopt new rules, </w:t>
      </w:r>
      <w:r>
        <w:t>amend</w:t>
      </w:r>
      <w:r w:rsidR="00D546FF">
        <w:t xml:space="preserve"> or repeal existing rules, and conduct analyses.  This proceeding implements </w:t>
      </w:r>
      <w:r w:rsidR="00515B90">
        <w:t xml:space="preserve">Sections 101, 103 and 105 </w:t>
      </w:r>
      <w:r w:rsidR="00D546FF">
        <w:t>of the STELAR.</w:t>
      </w:r>
      <w:r w:rsidR="00515B90">
        <w:rPr>
          <w:rStyle w:val="FootnoteReference"/>
        </w:rPr>
        <w:footnoteReference w:id="7"/>
      </w:r>
      <w:r w:rsidR="00D546FF">
        <w:t xml:space="preserve">  We address those provisions in one order because their implementation entails no exercise of </w:t>
      </w:r>
      <w:r w:rsidR="00676307">
        <w:t xml:space="preserve">our administrative </w:t>
      </w:r>
      <w:r w:rsidR="00D546FF">
        <w:t xml:space="preserve">discretion and, therefore, notice and comment procedures are unnecessary under the “good cause” exception to the </w:t>
      </w:r>
      <w:r w:rsidR="00D546FF" w:rsidRPr="00451386">
        <w:t>Administrative</w:t>
      </w:r>
      <w:r w:rsidR="00D546FF">
        <w:t xml:space="preserve"> </w:t>
      </w:r>
      <w:r w:rsidR="00D546FF" w:rsidRPr="00451386">
        <w:t>Pro</w:t>
      </w:r>
      <w:r w:rsidR="00D546FF">
        <w:t>cedure Act (“</w:t>
      </w:r>
      <w:r w:rsidR="00D546FF" w:rsidRPr="00451386">
        <w:t>APA</w:t>
      </w:r>
      <w:r w:rsidR="00D546FF">
        <w:t>”</w:t>
      </w:r>
      <w:r w:rsidR="00D546FF" w:rsidRPr="00451386">
        <w:t>).</w:t>
      </w:r>
      <w:r w:rsidR="00D546FF">
        <w:rPr>
          <w:rStyle w:val="FootnoteReference"/>
        </w:rPr>
        <w:footnoteReference w:id="8"/>
      </w:r>
      <w:r w:rsidR="00D546FF">
        <w:t xml:space="preserve">  We </w:t>
      </w:r>
      <w:r w:rsidR="00B41A8C">
        <w:t xml:space="preserve">discuss </w:t>
      </w:r>
      <w:r w:rsidR="009E4177">
        <w:t xml:space="preserve">each </w:t>
      </w:r>
      <w:r w:rsidR="00D546FF">
        <w:t>provision</w:t>
      </w:r>
      <w:r w:rsidR="009E4177">
        <w:t>, in turn</w:t>
      </w:r>
      <w:r w:rsidR="00B41A8C">
        <w:t>.</w:t>
      </w:r>
      <w:r w:rsidR="00D546FF">
        <w:t xml:space="preserve">  </w:t>
      </w:r>
    </w:p>
    <w:p w:rsidR="00EC44F9" w:rsidRDefault="00115AC1" w:rsidP="00115AC1">
      <w:pPr>
        <w:pStyle w:val="Heading1"/>
      </w:pPr>
      <w:r>
        <w:lastRenderedPageBreak/>
        <w:t>DISCUSSION</w:t>
      </w:r>
    </w:p>
    <w:p w:rsidR="00115AC1" w:rsidRPr="00115AC1" w:rsidRDefault="00115AC1" w:rsidP="00115AC1">
      <w:pPr>
        <w:pStyle w:val="Heading2"/>
      </w:pPr>
      <w:r>
        <w:t>Section 101</w:t>
      </w:r>
      <w:r w:rsidR="00A52D38">
        <w:t xml:space="preserve"> of the STELAR</w:t>
      </w:r>
      <w:r w:rsidR="00492569">
        <w:t>:  Extension of</w:t>
      </w:r>
      <w:r w:rsidR="00B41A8C">
        <w:t xml:space="preserve"> S</w:t>
      </w:r>
      <w:r w:rsidR="00492569">
        <w:t>unset Date</w:t>
      </w:r>
      <w:r w:rsidR="006E3657">
        <w:t>s</w:t>
      </w:r>
      <w:r w:rsidR="00492569">
        <w:t xml:space="preserve"> in Retransmission Co</w:t>
      </w:r>
      <w:r w:rsidR="00B41A8C">
        <w:t>n</w:t>
      </w:r>
      <w:r w:rsidR="00492569">
        <w:t>sent Rules</w:t>
      </w:r>
    </w:p>
    <w:p w:rsidR="00005575" w:rsidRPr="00005575" w:rsidRDefault="000B5A4A" w:rsidP="00902CCC">
      <w:pPr>
        <w:pStyle w:val="ParaNum"/>
        <w:numPr>
          <w:ilvl w:val="0"/>
          <w:numId w:val="3"/>
        </w:numPr>
        <w:tabs>
          <w:tab w:val="left" w:pos="1440"/>
        </w:tabs>
        <w:spacing w:after="220"/>
        <w:rPr>
          <w:b/>
          <w:szCs w:val="22"/>
        </w:rPr>
      </w:pPr>
      <w:r>
        <w:t xml:space="preserve">We </w:t>
      </w:r>
      <w:r w:rsidR="00A52D38">
        <w:t xml:space="preserve">revise </w:t>
      </w:r>
      <w:r>
        <w:t>Section 76.64</w:t>
      </w:r>
      <w:r w:rsidR="00217249">
        <w:t>(b)(3)(ii) of our rules (relating to the retransmission consent exemption for carriage of distant network signals by satellite carriers), Section 76.64</w:t>
      </w:r>
      <w:r>
        <w:t xml:space="preserve">(l) (relating to </w:t>
      </w:r>
      <w:r w:rsidR="00902CCC">
        <w:t xml:space="preserve">the </w:t>
      </w:r>
      <w:r w:rsidR="00683D1D" w:rsidRPr="00902CCC">
        <w:t xml:space="preserve">prohibition on </w:t>
      </w:r>
      <w:r>
        <w:t xml:space="preserve">exclusive retransmission consent contracts) and Section 76.65(f) (relating to </w:t>
      </w:r>
      <w:r w:rsidR="003B31C8">
        <w:t xml:space="preserve">the expiration </w:t>
      </w:r>
      <w:r>
        <w:t xml:space="preserve">of </w:t>
      </w:r>
      <w:r w:rsidR="00683D1D">
        <w:t xml:space="preserve">the reciprocal </w:t>
      </w:r>
      <w:r>
        <w:t>good faith negotiation requirements) to reflect the new sunset date</w:t>
      </w:r>
      <w:r w:rsidR="00217249">
        <w:t>s</w:t>
      </w:r>
      <w:r>
        <w:t xml:space="preserve"> established in Section 101 of the STELAR.  </w:t>
      </w:r>
      <w:r w:rsidR="00044636">
        <w:t xml:space="preserve">Section 101 </w:t>
      </w:r>
      <w:r w:rsidR="00086DFD">
        <w:t>amend</w:t>
      </w:r>
      <w:r w:rsidR="00044636">
        <w:t>s</w:t>
      </w:r>
      <w:r w:rsidR="00086DFD">
        <w:t xml:space="preserve"> </w:t>
      </w:r>
      <w:r w:rsidR="00217249">
        <w:t>Section 325(b)(2)(C) of the Act by replacing the previous sunset date of December 31, 2014 with a new sunset date of December 31, 2019</w:t>
      </w:r>
      <w:r w:rsidR="00754184">
        <w:t>.  Section 101 also</w:t>
      </w:r>
      <w:r w:rsidR="00217249">
        <w:t xml:space="preserve"> amends </w:t>
      </w:r>
      <w:r w:rsidR="00086DFD">
        <w:t>Section 325(b)(3)(C) of the Act to replace the previous sunset date of January 1, 2015 with a new sunset date of January 1, 2020.</w:t>
      </w:r>
      <w:r w:rsidR="00086DFD">
        <w:rPr>
          <w:rStyle w:val="FootnoteReference"/>
        </w:rPr>
        <w:footnoteReference w:id="9"/>
      </w:r>
      <w:r w:rsidR="00086DFD">
        <w:t xml:space="preserve">  </w:t>
      </w:r>
      <w:r w:rsidR="00086DFD">
        <w:rPr>
          <w:color w:val="000000"/>
          <w:szCs w:val="22"/>
        </w:rPr>
        <w:t xml:space="preserve">Accordingly, we </w:t>
      </w:r>
      <w:r w:rsidR="00B24139">
        <w:rPr>
          <w:color w:val="000000"/>
          <w:szCs w:val="22"/>
        </w:rPr>
        <w:t xml:space="preserve">amend </w:t>
      </w:r>
      <w:r w:rsidR="00E10849">
        <w:rPr>
          <w:color w:val="000000"/>
          <w:szCs w:val="22"/>
        </w:rPr>
        <w:t>Sections 76.64</w:t>
      </w:r>
      <w:r w:rsidR="00754184">
        <w:rPr>
          <w:color w:val="000000"/>
          <w:szCs w:val="22"/>
        </w:rPr>
        <w:t>(b)(3)(ii), 76.64</w:t>
      </w:r>
      <w:r w:rsidR="00E10849">
        <w:rPr>
          <w:color w:val="000000"/>
          <w:szCs w:val="22"/>
        </w:rPr>
        <w:t>(l)</w:t>
      </w:r>
      <w:r w:rsidR="00754184">
        <w:rPr>
          <w:color w:val="000000"/>
          <w:szCs w:val="22"/>
        </w:rPr>
        <w:t>,</w:t>
      </w:r>
      <w:r w:rsidR="00E10849">
        <w:rPr>
          <w:color w:val="000000"/>
          <w:szCs w:val="22"/>
        </w:rPr>
        <w:t xml:space="preserve"> and 76.65(f) of </w:t>
      </w:r>
      <w:r w:rsidR="00044636">
        <w:rPr>
          <w:color w:val="000000"/>
          <w:szCs w:val="22"/>
        </w:rPr>
        <w:t>our rules to reflect tho</w:t>
      </w:r>
      <w:r w:rsidR="00086DFD">
        <w:rPr>
          <w:color w:val="000000"/>
          <w:szCs w:val="22"/>
        </w:rPr>
        <w:t>se</w:t>
      </w:r>
      <w:r w:rsidR="00B24139">
        <w:rPr>
          <w:color w:val="000000"/>
          <w:szCs w:val="22"/>
        </w:rPr>
        <w:t xml:space="preserve"> new sunset date</w:t>
      </w:r>
      <w:r w:rsidR="00086DFD">
        <w:rPr>
          <w:color w:val="000000"/>
          <w:szCs w:val="22"/>
        </w:rPr>
        <w:t>s</w:t>
      </w:r>
      <w:r w:rsidR="00B24139">
        <w:rPr>
          <w:color w:val="000000"/>
          <w:szCs w:val="22"/>
        </w:rPr>
        <w:t>.</w:t>
      </w:r>
      <w:r w:rsidR="00A52D38">
        <w:rPr>
          <w:rStyle w:val="FootnoteReference"/>
          <w:szCs w:val="22"/>
        </w:rPr>
        <w:footnoteReference w:id="10"/>
      </w:r>
    </w:p>
    <w:p w:rsidR="000215C4" w:rsidRDefault="00115AC1" w:rsidP="00115AC1">
      <w:pPr>
        <w:pStyle w:val="Heading2"/>
      </w:pPr>
      <w:r>
        <w:t>Section 103</w:t>
      </w:r>
      <w:r w:rsidR="00B41A8C">
        <w:t>(a)</w:t>
      </w:r>
      <w:r w:rsidR="00A52D38">
        <w:t xml:space="preserve"> of the STELAR</w:t>
      </w:r>
      <w:r w:rsidR="00B41A8C">
        <w:t>:  Ban on Joint Negotiation for Retra</w:t>
      </w:r>
      <w:r w:rsidR="00492569">
        <w:t>nsmission Consent</w:t>
      </w:r>
    </w:p>
    <w:p w:rsidR="00150B39" w:rsidRDefault="001F1B8B" w:rsidP="00F00974">
      <w:pPr>
        <w:pStyle w:val="ParaNum"/>
        <w:numPr>
          <w:ilvl w:val="0"/>
          <w:numId w:val="3"/>
        </w:numPr>
      </w:pPr>
      <w:r>
        <w:t xml:space="preserve">We </w:t>
      </w:r>
      <w:r w:rsidR="00A52D38">
        <w:t>also revise</w:t>
      </w:r>
      <w:r>
        <w:t xml:space="preserve"> Section 76.65(b) of our rules (</w:t>
      </w:r>
      <w:r w:rsidR="00515B90">
        <w:t>setting forth</w:t>
      </w:r>
      <w:r>
        <w:t xml:space="preserve"> standards for good faith negotiation) to </w:t>
      </w:r>
      <w:r w:rsidR="00A52D38">
        <w:t>incorporate</w:t>
      </w:r>
      <w:r>
        <w:t xml:space="preserve"> new provisions of Section 325 added by the STELAR.  </w:t>
      </w:r>
      <w:r w:rsidR="00515B90">
        <w:t xml:space="preserve">In particular, </w:t>
      </w:r>
      <w:r w:rsidR="00044636">
        <w:t>Section 103</w:t>
      </w:r>
      <w:r w:rsidR="002F1C61">
        <w:t>(a)</w:t>
      </w:r>
      <w:r w:rsidR="00515B90">
        <w:t xml:space="preserve"> of the STELAR revises Section 325 by </w:t>
      </w:r>
      <w:r w:rsidR="00150B39">
        <w:t>add</w:t>
      </w:r>
      <w:r w:rsidR="00515B90">
        <w:t>ing</w:t>
      </w:r>
      <w:r w:rsidR="00150B39">
        <w:t xml:space="preserve"> </w:t>
      </w:r>
      <w:r w:rsidR="00044636">
        <w:t xml:space="preserve">new subsection </w:t>
      </w:r>
      <w:r w:rsidR="00044636" w:rsidRPr="00816286">
        <w:t>3</w:t>
      </w:r>
      <w:r w:rsidR="00150B39">
        <w:t>25</w:t>
      </w:r>
      <w:r w:rsidR="00044636" w:rsidRPr="00816286">
        <w:t>(</w:t>
      </w:r>
      <w:r w:rsidR="00150B39">
        <w:t>b</w:t>
      </w:r>
      <w:r w:rsidR="00044636" w:rsidRPr="00816286">
        <w:t>)(</w:t>
      </w:r>
      <w:r w:rsidR="00150B39">
        <w:t>3</w:t>
      </w:r>
      <w:r w:rsidR="00044636" w:rsidRPr="00816286">
        <w:t>)</w:t>
      </w:r>
      <w:r w:rsidR="00044636">
        <w:t>(</w:t>
      </w:r>
      <w:r w:rsidR="00150B39">
        <w:t>C</w:t>
      </w:r>
      <w:r w:rsidR="00044636">
        <w:t>)</w:t>
      </w:r>
      <w:r w:rsidR="00150B39">
        <w:t>(iv)</w:t>
      </w:r>
      <w:r w:rsidR="00515B90">
        <w:t xml:space="preserve">, </w:t>
      </w:r>
      <w:r w:rsidR="00044636">
        <w:t>which</w:t>
      </w:r>
      <w:r w:rsidR="00515B90">
        <w:t xml:space="preserve">, read as part of Section 325(b)(3)(C) as a whole, </w:t>
      </w:r>
      <w:r w:rsidR="00150B39">
        <w:t>requires the Commission to revise its retransmission consent rules:</w:t>
      </w:r>
    </w:p>
    <w:p w:rsidR="00150B39" w:rsidRDefault="00150B39" w:rsidP="009B37DD">
      <w:pPr>
        <w:pStyle w:val="ParaNum"/>
        <w:numPr>
          <w:ilvl w:val="0"/>
          <w:numId w:val="0"/>
        </w:numPr>
        <w:ind w:left="720" w:right="720"/>
      </w:pPr>
      <w:r>
        <w:t>[to] prohibit a television broadcast station from coordinating negotiations or negotiating on a joint basis with another television broadcast station in the same local market (as defined in section 122(j) of title 17, United States Code) to grant retransmission consent under this section to a [MVPD], unless such stations are directly or indirectly under common de jure control permitted under the regulations of the Commission.</w:t>
      </w:r>
      <w:r>
        <w:rPr>
          <w:rStyle w:val="FootnoteReference"/>
        </w:rPr>
        <w:footnoteReference w:id="11"/>
      </w:r>
    </w:p>
    <w:p w:rsidR="00A450A0" w:rsidRDefault="00A450A0" w:rsidP="00B967DA">
      <w:pPr>
        <w:pStyle w:val="ParaNum"/>
        <w:numPr>
          <w:ilvl w:val="0"/>
          <w:numId w:val="0"/>
        </w:numPr>
        <w:ind w:firstLine="720"/>
      </w:pPr>
      <w:r>
        <w:t xml:space="preserve">In accordance with our statutory mandate in Section 325(b)(3)(C), we revise Section 76.65(b) of our rules to incorporate this new provision virtually verbatim.  Specifically, we repeal Section 76.65(b)(1)(viii) of our rules (governing joint negotiation of retransmission consent) and replace that provision with language implementing new Section </w:t>
      </w:r>
      <w:r w:rsidRPr="00816286">
        <w:t>3</w:t>
      </w:r>
      <w:r>
        <w:t>25</w:t>
      </w:r>
      <w:r w:rsidRPr="00816286">
        <w:t>(</w:t>
      </w:r>
      <w:r>
        <w:t>b</w:t>
      </w:r>
      <w:r w:rsidRPr="00816286">
        <w:t>)(</w:t>
      </w:r>
      <w:r>
        <w:t>3</w:t>
      </w:r>
      <w:r w:rsidRPr="00816286">
        <w:t>)</w:t>
      </w:r>
      <w:r>
        <w:t>(C)(iv) of the Act.</w:t>
      </w:r>
      <w:r>
        <w:rPr>
          <w:rStyle w:val="FootnoteReference"/>
        </w:rPr>
        <w:footnoteReference w:id="12"/>
      </w:r>
      <w:r>
        <w:t xml:space="preserve">  We take this action based on our conclusion that the prohibition on joint negotiation in new Section </w:t>
      </w:r>
      <w:r w:rsidRPr="00816286">
        <w:t>3</w:t>
      </w:r>
      <w:r>
        <w:t>25</w:t>
      </w:r>
      <w:r w:rsidRPr="00816286">
        <w:t>(</w:t>
      </w:r>
      <w:r>
        <w:t>b</w:t>
      </w:r>
      <w:r w:rsidRPr="00816286">
        <w:t>)(</w:t>
      </w:r>
      <w:r>
        <w:t>3</w:t>
      </w:r>
      <w:r w:rsidRPr="00816286">
        <w:t>)</w:t>
      </w:r>
      <w:r>
        <w:t>(C)(iv) is broader than, and thus supersedes, the Commission’s existing prohibition.</w:t>
      </w:r>
      <w:r>
        <w:rPr>
          <w:rStyle w:val="FootnoteReference"/>
        </w:rPr>
        <w:footnoteReference w:id="13"/>
      </w:r>
    </w:p>
    <w:p w:rsidR="00B41A8C" w:rsidRDefault="00B41A8C" w:rsidP="00B967DA">
      <w:pPr>
        <w:pStyle w:val="Heading2"/>
      </w:pPr>
      <w:r w:rsidRPr="00B41A8C">
        <w:lastRenderedPageBreak/>
        <w:t>Section 103(</w:t>
      </w:r>
      <w:r>
        <w:t>b</w:t>
      </w:r>
      <w:r w:rsidRPr="00B41A8C">
        <w:t xml:space="preserve">) of the STELAR:  </w:t>
      </w:r>
      <w:r w:rsidR="005233AB">
        <w:t>P</w:t>
      </w:r>
      <w:r w:rsidR="005233AB" w:rsidRPr="005233AB">
        <w:t xml:space="preserve">rotections for </w:t>
      </w:r>
      <w:r w:rsidR="005233AB">
        <w:t>S</w:t>
      </w:r>
      <w:r w:rsidR="005233AB" w:rsidRPr="005233AB">
        <w:t xml:space="preserve">ignificantly </w:t>
      </w:r>
      <w:r w:rsidR="005233AB">
        <w:t>V</w:t>
      </w:r>
      <w:r w:rsidR="005233AB" w:rsidRPr="005233AB">
        <w:t xml:space="preserve">iewed and </w:t>
      </w:r>
      <w:r w:rsidR="005233AB">
        <w:t>O</w:t>
      </w:r>
      <w:r w:rsidR="005233AB" w:rsidRPr="005233AB">
        <w:t xml:space="preserve">ther </w:t>
      </w:r>
      <w:r w:rsidR="005233AB">
        <w:t>T</w:t>
      </w:r>
      <w:r w:rsidR="005233AB" w:rsidRPr="005233AB">
        <w:t xml:space="preserve">elevision </w:t>
      </w:r>
      <w:r w:rsidR="005233AB">
        <w:t>S</w:t>
      </w:r>
      <w:r w:rsidR="00492569">
        <w:t>ignals</w:t>
      </w:r>
    </w:p>
    <w:p w:rsidR="009B37DD" w:rsidRDefault="00821B96" w:rsidP="00B967DA">
      <w:pPr>
        <w:pStyle w:val="ParaNum"/>
        <w:numPr>
          <w:ilvl w:val="0"/>
          <w:numId w:val="0"/>
        </w:numPr>
        <w:ind w:firstLine="720"/>
      </w:pPr>
      <w:r>
        <w:t xml:space="preserve">In addition, </w:t>
      </w:r>
      <w:r w:rsidR="009B37DD">
        <w:t>Section 103</w:t>
      </w:r>
      <w:r w:rsidR="002F1C61">
        <w:t xml:space="preserve">(b) </w:t>
      </w:r>
      <w:r w:rsidR="00B228CB">
        <w:t xml:space="preserve">of the STELAR </w:t>
      </w:r>
      <w:r w:rsidR="002F1C61">
        <w:t xml:space="preserve">amends Section 325 </w:t>
      </w:r>
      <w:r w:rsidR="009B37DD">
        <w:t>by adding new subsection 325(b)(3)(C)(v)</w:t>
      </w:r>
      <w:r w:rsidR="00515B90">
        <w:t>.  Read as part of Section 325(b)(3)(C) in its entirety,</w:t>
      </w:r>
      <w:r w:rsidR="009B37DD">
        <w:t xml:space="preserve"> </w:t>
      </w:r>
      <w:r w:rsidR="00515B90">
        <w:t xml:space="preserve">that new subsection </w:t>
      </w:r>
      <w:r w:rsidR="009B37DD">
        <w:t xml:space="preserve">directs the Commission to amend its retransmission </w:t>
      </w:r>
      <w:r w:rsidR="00043862">
        <w:t xml:space="preserve">consent </w:t>
      </w:r>
      <w:r w:rsidR="009B37DD">
        <w:t>rules:</w:t>
      </w:r>
    </w:p>
    <w:p w:rsidR="009B37DD" w:rsidRDefault="009B37DD" w:rsidP="00384BA0">
      <w:pPr>
        <w:pStyle w:val="ParaNum"/>
        <w:numPr>
          <w:ilvl w:val="0"/>
          <w:numId w:val="0"/>
        </w:numPr>
        <w:ind w:left="720" w:right="720"/>
      </w:pPr>
      <w:r>
        <w:t>[to] prohibit a television broadcast station from limiting the ability of a [MVPD] to carry into the local market (as defined in section 122(j) of title 17, United States Code) of such station a television signal that has been deemed significantly viewed, within the meaning of section 76.54 of title 47, Code of Federal Regulations, or any successor regulation, or any television broadcast signal such distributor is authorized to carry under section 338, 339, 340, or 614 of [the] Act, unless such stations are directly or indirectly under common de jure control permitted by the Commission.</w:t>
      </w:r>
      <w:r>
        <w:rPr>
          <w:rStyle w:val="FootnoteReference"/>
        </w:rPr>
        <w:footnoteReference w:id="14"/>
      </w:r>
    </w:p>
    <w:p w:rsidR="00273D5B" w:rsidRPr="00ED6ED7" w:rsidRDefault="00492569" w:rsidP="00F00974">
      <w:pPr>
        <w:pStyle w:val="ParaNum"/>
        <w:numPr>
          <w:ilvl w:val="0"/>
          <w:numId w:val="3"/>
        </w:numPr>
        <w:tabs>
          <w:tab w:val="left" w:pos="1440"/>
        </w:tabs>
        <w:spacing w:after="220"/>
        <w:rPr>
          <w:b/>
          <w:szCs w:val="22"/>
        </w:rPr>
      </w:pPr>
      <w:r>
        <w:t>Thus, w</w:t>
      </w:r>
      <w:r w:rsidR="00273D5B">
        <w:t xml:space="preserve">e </w:t>
      </w:r>
      <w:r w:rsidR="000F2CB2">
        <w:t>amend Section 76.65</w:t>
      </w:r>
      <w:r w:rsidR="007D073B">
        <w:t>(b)</w:t>
      </w:r>
      <w:r w:rsidR="000F2CB2">
        <w:t xml:space="preserve"> of our rules by </w:t>
      </w:r>
      <w:r w:rsidR="00273D5B">
        <w:t>add</w:t>
      </w:r>
      <w:r w:rsidR="000F2CB2">
        <w:t>ing</w:t>
      </w:r>
      <w:r w:rsidR="00273D5B">
        <w:t xml:space="preserve"> new </w:t>
      </w:r>
      <w:r w:rsidR="000F2CB2">
        <w:t>subsection 76.65</w:t>
      </w:r>
      <w:r w:rsidR="00273D5B">
        <w:t>(b)(1)</w:t>
      </w:r>
      <w:r w:rsidR="000F2CB2">
        <w:t>(ix), which incorporates the protections for significantly viewed and other television signals established in Section 103(b) of the STELAR.</w:t>
      </w:r>
      <w:r w:rsidR="000F2CB2">
        <w:rPr>
          <w:rStyle w:val="FootnoteReference"/>
        </w:rPr>
        <w:footnoteReference w:id="15"/>
      </w:r>
    </w:p>
    <w:p w:rsidR="00ED6ED7" w:rsidRPr="00273D5B" w:rsidRDefault="00ED6ED7" w:rsidP="00ED6ED7">
      <w:pPr>
        <w:pStyle w:val="Heading2"/>
      </w:pPr>
      <w:r>
        <w:t>Section 105</w:t>
      </w:r>
      <w:r w:rsidR="00A52D38">
        <w:t xml:space="preserve"> of the STELAR</w:t>
      </w:r>
    </w:p>
    <w:p w:rsidR="00ED6ED7" w:rsidRPr="00155C48" w:rsidRDefault="00821B96" w:rsidP="00F00974">
      <w:pPr>
        <w:pStyle w:val="ParaNum"/>
        <w:numPr>
          <w:ilvl w:val="0"/>
          <w:numId w:val="3"/>
        </w:numPr>
        <w:tabs>
          <w:tab w:val="left" w:pos="1440"/>
        </w:tabs>
        <w:spacing w:after="220"/>
        <w:rPr>
          <w:b/>
          <w:szCs w:val="22"/>
        </w:rPr>
      </w:pPr>
      <w:r>
        <w:t>W</w:t>
      </w:r>
      <w:r w:rsidR="008209F1">
        <w:t xml:space="preserve">e amend Section 76.1601 of our rules by </w:t>
      </w:r>
      <w:r>
        <w:t>removing</w:t>
      </w:r>
      <w:r w:rsidR="008209F1">
        <w:t xml:space="preserve"> the prohibition on </w:t>
      </w:r>
      <w:r w:rsidR="008209F1">
        <w:rPr>
          <w:szCs w:val="22"/>
        </w:rPr>
        <w:t xml:space="preserve">deletion or repositioning of local commercial television stations by cable operators during </w:t>
      </w:r>
      <w:r>
        <w:rPr>
          <w:szCs w:val="22"/>
        </w:rPr>
        <w:t xml:space="preserve">periods in which major television ratings services measure such stations’ audience size, otherwise known as the </w:t>
      </w:r>
      <w:r w:rsidR="008209F1">
        <w:rPr>
          <w:szCs w:val="22"/>
        </w:rPr>
        <w:t>“sweeps</w:t>
      </w:r>
      <w:r>
        <w:rPr>
          <w:szCs w:val="22"/>
        </w:rPr>
        <w:t xml:space="preserve"> prohibition.</w:t>
      </w:r>
      <w:r w:rsidR="008209F1">
        <w:rPr>
          <w:szCs w:val="22"/>
        </w:rPr>
        <w:t>”</w:t>
      </w:r>
      <w:r w:rsidR="008209F1">
        <w:rPr>
          <w:rStyle w:val="FootnoteReference"/>
          <w:szCs w:val="22"/>
        </w:rPr>
        <w:footnoteReference w:id="16"/>
      </w:r>
      <w:r w:rsidR="008209F1">
        <w:rPr>
          <w:szCs w:val="22"/>
        </w:rPr>
        <w:t xml:space="preserve">  </w:t>
      </w:r>
      <w:r w:rsidR="0074523F">
        <w:rPr>
          <w:szCs w:val="22"/>
        </w:rPr>
        <w:t>Section 105</w:t>
      </w:r>
      <w:r>
        <w:rPr>
          <w:szCs w:val="22"/>
        </w:rPr>
        <w:t>(a)</w:t>
      </w:r>
      <w:r w:rsidR="0074523F">
        <w:rPr>
          <w:szCs w:val="22"/>
        </w:rPr>
        <w:t xml:space="preserve"> of the STELAR amends Section 614(b)(9) of the Act by eliminating the </w:t>
      </w:r>
      <w:r>
        <w:rPr>
          <w:szCs w:val="22"/>
        </w:rPr>
        <w:t xml:space="preserve">sweeps </w:t>
      </w:r>
      <w:r w:rsidR="008209F1">
        <w:rPr>
          <w:szCs w:val="22"/>
        </w:rPr>
        <w:t>prohibition</w:t>
      </w:r>
      <w:r>
        <w:rPr>
          <w:szCs w:val="22"/>
        </w:rPr>
        <w:t>,</w:t>
      </w:r>
      <w:r w:rsidR="000C4E66">
        <w:rPr>
          <w:rStyle w:val="FootnoteReference"/>
          <w:szCs w:val="22"/>
        </w:rPr>
        <w:footnoteReference w:id="17"/>
      </w:r>
      <w:r>
        <w:rPr>
          <w:szCs w:val="22"/>
        </w:rPr>
        <w:t xml:space="preserve"> and Section 105(b) directs the Commission to conform its rules accordingly.</w:t>
      </w:r>
      <w:r>
        <w:rPr>
          <w:rStyle w:val="FootnoteReference"/>
        </w:rPr>
        <w:footnoteReference w:id="18"/>
      </w:r>
      <w:r>
        <w:rPr>
          <w:szCs w:val="22"/>
        </w:rPr>
        <w:t xml:space="preserve">  </w:t>
      </w:r>
      <w:r>
        <w:t>Pursuant to Congress’s directive in Section 105</w:t>
      </w:r>
      <w:r w:rsidR="001F5437">
        <w:t>(b)</w:t>
      </w:r>
      <w:r>
        <w:t>, therefore, we amend our rules to eliminate Note 1 of</w:t>
      </w:r>
      <w:r w:rsidRPr="00821B96">
        <w:t xml:space="preserve"> </w:t>
      </w:r>
      <w:r>
        <w:t>Section 76.1601.</w:t>
      </w:r>
      <w:r w:rsidR="00110680">
        <w:rPr>
          <w:rStyle w:val="FootnoteReference"/>
        </w:rPr>
        <w:footnoteReference w:id="19"/>
      </w:r>
      <w:r>
        <w:rPr>
          <w:szCs w:val="22"/>
        </w:rPr>
        <w:t xml:space="preserve"> </w:t>
      </w:r>
      <w:r w:rsidR="008209F1">
        <w:rPr>
          <w:szCs w:val="22"/>
        </w:rPr>
        <w:t xml:space="preserve"> </w:t>
      </w:r>
    </w:p>
    <w:p w:rsidR="00155C48" w:rsidRPr="00ED6ED7" w:rsidRDefault="00D242A3" w:rsidP="00155C48">
      <w:pPr>
        <w:pStyle w:val="Heading2"/>
      </w:pPr>
      <w:r>
        <w:t>“</w:t>
      </w:r>
      <w:r w:rsidR="00155C48">
        <w:t>Good Cause</w:t>
      </w:r>
      <w:r>
        <w:t xml:space="preserve">” </w:t>
      </w:r>
      <w:r w:rsidR="00E70E73">
        <w:t>under Section 553(b)(B) of the APA</w:t>
      </w:r>
    </w:p>
    <w:p w:rsidR="00D242A3" w:rsidRDefault="00155C48" w:rsidP="00D242A3">
      <w:pPr>
        <w:pStyle w:val="ParaNum"/>
        <w:numPr>
          <w:ilvl w:val="0"/>
          <w:numId w:val="3"/>
        </w:numPr>
        <w:tabs>
          <w:tab w:val="left" w:pos="1440"/>
        </w:tabs>
        <w:spacing w:after="220"/>
      </w:pPr>
      <w:r>
        <w:t>Consistent with previous decisions, w</w:t>
      </w:r>
      <w:r w:rsidRPr="00451386">
        <w:t>e a</w:t>
      </w:r>
      <w:r>
        <w:t>mend our rules</w:t>
      </w:r>
      <w:r w:rsidRPr="00451386">
        <w:t xml:space="preserve"> </w:t>
      </w:r>
      <w:r>
        <w:t xml:space="preserve">as set forth above </w:t>
      </w:r>
      <w:r w:rsidRPr="00451386">
        <w:t xml:space="preserve">without providing </w:t>
      </w:r>
      <w:r>
        <w:t xml:space="preserve">for </w:t>
      </w:r>
      <w:r w:rsidRPr="00451386">
        <w:t xml:space="preserve">prior </w:t>
      </w:r>
      <w:r>
        <w:t xml:space="preserve">public </w:t>
      </w:r>
      <w:r w:rsidRPr="00451386">
        <w:t>notice and comment</w:t>
      </w:r>
      <w:r>
        <w:t>.</w:t>
      </w:r>
      <w:r>
        <w:rPr>
          <w:rStyle w:val="FootnoteReference"/>
        </w:rPr>
        <w:footnoteReference w:id="20"/>
      </w:r>
      <w:r>
        <w:t xml:space="preserve">  </w:t>
      </w:r>
      <w:r>
        <w:rPr>
          <w:color w:val="000000"/>
          <w:szCs w:val="22"/>
        </w:rPr>
        <w:t>O</w:t>
      </w:r>
      <w:r>
        <w:t>ur action here is</w:t>
      </w:r>
      <w:r w:rsidR="00D546FF">
        <w:t xml:space="preserve"> largely ministerial because it </w:t>
      </w:r>
      <w:r>
        <w:t xml:space="preserve">simply </w:t>
      </w:r>
      <w:r w:rsidR="001F5437">
        <w:t xml:space="preserve">effectuates </w:t>
      </w:r>
      <w:r>
        <w:t xml:space="preserve">new sunset dates or other provisions established by legislation, and requires no exercise of administrative discretion.  For this reason, we </w:t>
      </w:r>
      <w:r w:rsidR="00D546FF">
        <w:t>conclude</w:t>
      </w:r>
      <w:r>
        <w:t xml:space="preserve"> that </w:t>
      </w:r>
      <w:r w:rsidR="00D546FF">
        <w:t xml:space="preserve">prior </w:t>
      </w:r>
      <w:r w:rsidRPr="00451386">
        <w:t xml:space="preserve">notice and comment would serve no </w:t>
      </w:r>
      <w:r>
        <w:t xml:space="preserve">useful purpose and are unnecessary.  </w:t>
      </w:r>
      <w:r w:rsidR="000B5A4A">
        <w:t xml:space="preserve">We, therefore, find that this action </w:t>
      </w:r>
      <w:r>
        <w:t xml:space="preserve">comes </w:t>
      </w:r>
      <w:r w:rsidR="000B5A4A">
        <w:t>within the “good cause” exception to the notice and comment requirements of the APA.</w:t>
      </w:r>
      <w:r w:rsidR="000B5A4A">
        <w:rPr>
          <w:rStyle w:val="FootnoteReference"/>
        </w:rPr>
        <w:footnoteReference w:id="21"/>
      </w:r>
      <w:r w:rsidR="000B5A4A">
        <w:t xml:space="preserve"> </w:t>
      </w:r>
    </w:p>
    <w:p w:rsidR="00FD0C98" w:rsidRDefault="00D242A3" w:rsidP="00D242A3">
      <w:pPr>
        <w:pStyle w:val="Heading1"/>
      </w:pPr>
      <w:r>
        <w:t>PROCEDURAL MATTERS</w:t>
      </w:r>
    </w:p>
    <w:p w:rsidR="00844060" w:rsidRPr="00B967DA" w:rsidRDefault="00844060" w:rsidP="00B967DA">
      <w:pPr>
        <w:pStyle w:val="ParaNum"/>
        <w:numPr>
          <w:ilvl w:val="0"/>
          <w:numId w:val="3"/>
        </w:numPr>
        <w:tabs>
          <w:tab w:val="left" w:pos="1440"/>
        </w:tabs>
        <w:spacing w:after="220"/>
        <w:rPr>
          <w:u w:val="single"/>
        </w:rPr>
      </w:pPr>
      <w:r w:rsidRPr="00B967DA">
        <w:rPr>
          <w:u w:val="single"/>
        </w:rPr>
        <w:t>Regulatory Flexibility Act</w:t>
      </w:r>
      <w:r>
        <w:t xml:space="preserve">.  </w:t>
      </w:r>
      <w:r w:rsidRPr="00844060">
        <w:t>Because</w:t>
      </w:r>
      <w:r>
        <w:t xml:space="preserve"> we adopt this </w:t>
      </w:r>
      <w:r w:rsidRPr="00B967DA">
        <w:rPr>
          <w:i/>
        </w:rPr>
        <w:t>Order</w:t>
      </w:r>
      <w:r>
        <w:t xml:space="preserve"> without notice and comment, the Regulatory Flexibility Act (RFA) does not apply.</w:t>
      </w:r>
      <w:r>
        <w:rPr>
          <w:rStyle w:val="FootnoteReference"/>
        </w:rPr>
        <w:footnoteReference w:id="22"/>
      </w:r>
    </w:p>
    <w:p w:rsidR="008A072D" w:rsidRPr="00697530" w:rsidRDefault="008A072D" w:rsidP="003F3B31">
      <w:pPr>
        <w:pStyle w:val="ParaNum"/>
        <w:keepNext/>
        <w:numPr>
          <w:ilvl w:val="0"/>
          <w:numId w:val="3"/>
        </w:numPr>
        <w:tabs>
          <w:tab w:val="left" w:pos="1440"/>
        </w:tabs>
        <w:spacing w:after="220"/>
      </w:pPr>
      <w:r w:rsidRPr="00697530">
        <w:rPr>
          <w:u w:val="single"/>
        </w:rPr>
        <w:t>Paperwork Reduction Act</w:t>
      </w:r>
      <w:r w:rsidRPr="00697530">
        <w:t xml:space="preserve">.  This document does not contain any </w:t>
      </w:r>
      <w:r w:rsidRPr="00697530">
        <w:rPr>
          <w:bCs/>
        </w:rPr>
        <w:t xml:space="preserve">new or modified </w:t>
      </w:r>
      <w:r w:rsidRPr="00697530">
        <w:t>information collection requirements subject to the Paperwork Reduction Act of 1995 (PRA).</w:t>
      </w:r>
      <w:r w:rsidRPr="00697530">
        <w:rPr>
          <w:rStyle w:val="FootnoteReference"/>
        </w:rPr>
        <w:footnoteReference w:id="23"/>
      </w:r>
      <w:r w:rsidRPr="00697530">
        <w:t xml:space="preserve">  In addition, therefore, it does not contain any information collection burden for small business concerns with fewer than 25 employees, pursuant to the Small Business Paperwork Relief Act of 2002.</w:t>
      </w:r>
      <w:r w:rsidRPr="00697530">
        <w:rPr>
          <w:rStyle w:val="FootnoteReference"/>
        </w:rPr>
        <w:footnoteReference w:id="24"/>
      </w:r>
    </w:p>
    <w:p w:rsidR="008A072D" w:rsidRPr="00697530" w:rsidRDefault="008A072D" w:rsidP="00472640">
      <w:pPr>
        <w:pStyle w:val="ParaNum"/>
        <w:numPr>
          <w:ilvl w:val="0"/>
          <w:numId w:val="3"/>
        </w:numPr>
        <w:tabs>
          <w:tab w:val="left" w:pos="1440"/>
        </w:tabs>
        <w:spacing w:after="220"/>
      </w:pPr>
      <w:r w:rsidRPr="00C96EB4">
        <w:rPr>
          <w:u w:val="single"/>
        </w:rPr>
        <w:t xml:space="preserve">Congressional </w:t>
      </w:r>
      <w:r w:rsidRPr="00697530">
        <w:rPr>
          <w:u w:val="single"/>
        </w:rPr>
        <w:t>Review Act</w:t>
      </w:r>
      <w:r w:rsidRPr="00697530">
        <w:t>.  The Commission will send a copy of this Order in a report to be sent to Congress and the Government Accountability Office, pursuant to the Congressional Review Act.</w:t>
      </w:r>
      <w:r w:rsidRPr="00697530">
        <w:rPr>
          <w:rStyle w:val="FootnoteReference"/>
        </w:rPr>
        <w:footnoteReference w:id="25"/>
      </w:r>
    </w:p>
    <w:p w:rsidR="008A072D" w:rsidRDefault="008A072D" w:rsidP="00472640">
      <w:pPr>
        <w:pStyle w:val="ParaNum"/>
        <w:numPr>
          <w:ilvl w:val="0"/>
          <w:numId w:val="3"/>
        </w:numPr>
        <w:tabs>
          <w:tab w:val="left" w:pos="1440"/>
        </w:tabs>
        <w:spacing w:after="220"/>
      </w:pPr>
      <w:r w:rsidRPr="00B967DA">
        <w:rPr>
          <w:u w:val="single"/>
        </w:rPr>
        <w:t>Additional</w:t>
      </w:r>
      <w:r w:rsidRPr="00697530">
        <w:rPr>
          <w:u w:val="single"/>
        </w:rPr>
        <w:t xml:space="preserve"> Information</w:t>
      </w:r>
      <w:r w:rsidRPr="00697530">
        <w:t xml:space="preserve">.  For more information, contact </w:t>
      </w:r>
      <w:r w:rsidR="00402AA1" w:rsidRPr="00402AA1">
        <w:t xml:space="preserve">Raelynn Remy, </w:t>
      </w:r>
      <w:r w:rsidR="00402AA1">
        <w:t>Raelynn.</w:t>
      </w:r>
      <w:r w:rsidR="00402AA1" w:rsidRPr="00402AA1">
        <w:t>Remy</w:t>
      </w:r>
      <w:r w:rsidR="00402AA1">
        <w:t>@fcc.gov,</w:t>
      </w:r>
      <w:r w:rsidR="00402AA1" w:rsidRPr="00402AA1">
        <w:t xml:space="preserve"> Policy Division, Media Bureau, </w:t>
      </w:r>
      <w:r w:rsidR="00402AA1" w:rsidRPr="00697530">
        <w:t xml:space="preserve">(202) </w:t>
      </w:r>
      <w:r w:rsidR="00402AA1" w:rsidRPr="00402AA1">
        <w:t>418-2936</w:t>
      </w:r>
      <w:r w:rsidR="00402AA1">
        <w:t>.</w:t>
      </w:r>
    </w:p>
    <w:p w:rsidR="00D242A3" w:rsidRPr="00D16F4A" w:rsidRDefault="00D242A3" w:rsidP="00D242A3">
      <w:pPr>
        <w:pStyle w:val="Heading1"/>
      </w:pPr>
      <w:r w:rsidRPr="00D16F4A">
        <w:t>ordering clauses</w:t>
      </w:r>
    </w:p>
    <w:p w:rsidR="00D16F4A" w:rsidRDefault="006E1C2B" w:rsidP="007D073B">
      <w:pPr>
        <w:pStyle w:val="ParaNum"/>
        <w:numPr>
          <w:ilvl w:val="0"/>
          <w:numId w:val="3"/>
        </w:numPr>
      </w:pPr>
      <w:r>
        <w:t xml:space="preserve">Accordingly, </w:t>
      </w:r>
      <w:r w:rsidR="00D16F4A">
        <w:rPr>
          <w:b/>
        </w:rPr>
        <w:t>IT IS ORDERED</w:t>
      </w:r>
      <w:r w:rsidR="00D16F4A">
        <w:t xml:space="preserve"> that, pursuant to </w:t>
      </w:r>
      <w:r w:rsidR="00D16F4A">
        <w:rPr>
          <w:szCs w:val="22"/>
        </w:rPr>
        <w:t xml:space="preserve">the authority found in Sections 4(i), 4(j), 303(r), 325 and 614 of the Communications Act of 1934, as amended, 47 U.S.C. §§ 154(i), 154(j), 303(r), 325, and 534, </w:t>
      </w:r>
      <w:r w:rsidR="00D16F4A">
        <w:t xml:space="preserve">and Sections 101, 103 and 105 of the </w:t>
      </w:r>
      <w:r>
        <w:t>S</w:t>
      </w:r>
      <w:r w:rsidR="007D073B">
        <w:t>TELA Reauthorization Act of 2014</w:t>
      </w:r>
      <w:r>
        <w:t xml:space="preserve">, </w:t>
      </w:r>
      <w:r w:rsidR="007D073B" w:rsidRPr="007D073B">
        <w:t>Pub. L. No. 113-200, 128 Stat. 2059 (2014)</w:t>
      </w:r>
      <w:r w:rsidR="007D073B">
        <w:t xml:space="preserve">, </w:t>
      </w:r>
      <w:r w:rsidR="00D16F4A">
        <w:t xml:space="preserve">this </w:t>
      </w:r>
      <w:r w:rsidR="00D16F4A">
        <w:rPr>
          <w:i/>
        </w:rPr>
        <w:t xml:space="preserve">Order </w:t>
      </w:r>
      <w:r w:rsidR="00D16F4A">
        <w:rPr>
          <w:b/>
        </w:rPr>
        <w:t xml:space="preserve">IS </w:t>
      </w:r>
      <w:r w:rsidR="00D16F4A" w:rsidRPr="00D16F4A">
        <w:rPr>
          <w:b/>
        </w:rPr>
        <w:t>ADOPTED</w:t>
      </w:r>
      <w:r w:rsidR="00C70950">
        <w:rPr>
          <w:b/>
        </w:rPr>
        <w:t xml:space="preserve"> and the Commission’s Rules ARE HEREBY AMENDED as set forth</w:t>
      </w:r>
      <w:r w:rsidR="00885558">
        <w:rPr>
          <w:b/>
        </w:rPr>
        <w:t xml:space="preserve"> in</w:t>
      </w:r>
      <w:r w:rsidR="00C70950">
        <w:rPr>
          <w:b/>
        </w:rPr>
        <w:t xml:space="preserve"> the Appendix</w:t>
      </w:r>
      <w:r w:rsidR="00D16F4A">
        <w:t xml:space="preserve">.  </w:t>
      </w:r>
    </w:p>
    <w:p w:rsidR="007D073B" w:rsidRDefault="00D05755" w:rsidP="00F00974">
      <w:pPr>
        <w:pStyle w:val="ParaNum"/>
        <w:numPr>
          <w:ilvl w:val="0"/>
          <w:numId w:val="3"/>
        </w:numPr>
        <w:tabs>
          <w:tab w:val="num" w:pos="-90"/>
        </w:tabs>
      </w:pPr>
      <w:r w:rsidRPr="007D073B">
        <w:rPr>
          <w:b/>
        </w:rPr>
        <w:t>IT IS FURTHER ORDERED</w:t>
      </w:r>
      <w:r>
        <w:t xml:space="preserve"> that</w:t>
      </w:r>
      <w:r w:rsidR="00D16F4A">
        <w:t>,</w:t>
      </w:r>
      <w:r>
        <w:t xml:space="preserve"> pursuant to </w:t>
      </w:r>
      <w:r w:rsidR="00D16F4A">
        <w:t xml:space="preserve">the authority found in </w:t>
      </w:r>
      <w:r w:rsidR="00D16F4A">
        <w:rPr>
          <w:szCs w:val="22"/>
        </w:rPr>
        <w:t xml:space="preserve">Sections 4(i), 4(j), 303(r), 325 and 614 of the Communications Act of 1934, as amended, 47 U.S.C. §§ 154(i), 154(j), 303(r), 325, and 534, </w:t>
      </w:r>
      <w:r w:rsidR="00D16F4A">
        <w:t xml:space="preserve">and Sections 101, 103 and 105 of the STELA Reauthorization Act of 2014, </w:t>
      </w:r>
      <w:r w:rsidR="00D16F4A" w:rsidRPr="007D073B">
        <w:t>Pub. L. No. 113-200, 128 Stat. 2059 (2014)</w:t>
      </w:r>
      <w:r w:rsidR="00D16F4A">
        <w:t xml:space="preserve">, the rules </w:t>
      </w:r>
      <w:r w:rsidR="00C70950">
        <w:rPr>
          <w:b/>
        </w:rPr>
        <w:t xml:space="preserve">SHALL BE EFFECTIVE thirty (30) days after the date of publication in the </w:t>
      </w:r>
      <w:r w:rsidR="00C70950">
        <w:rPr>
          <w:b/>
          <w:i/>
        </w:rPr>
        <w:t>Federal Register</w:t>
      </w:r>
      <w:r w:rsidR="007D073B">
        <w:t xml:space="preserve">. </w:t>
      </w:r>
    </w:p>
    <w:p w:rsidR="009F340B" w:rsidRDefault="000C4882" w:rsidP="005418B6">
      <w:pPr>
        <w:pStyle w:val="ParaNum"/>
        <w:keepNext/>
        <w:numPr>
          <w:ilvl w:val="0"/>
          <w:numId w:val="3"/>
        </w:numPr>
      </w:pPr>
      <w:r>
        <w:t xml:space="preserve"> </w:t>
      </w:r>
      <w:r w:rsidR="00D16F4A" w:rsidRPr="007D073B">
        <w:rPr>
          <w:b/>
        </w:rPr>
        <w:t>IT IS FURTHER ORDERED</w:t>
      </w:r>
      <w:r w:rsidR="00D16F4A">
        <w:t xml:space="preserve"> that the Commission shall send a copy of this </w:t>
      </w:r>
      <w:r w:rsidR="00D16F4A">
        <w:rPr>
          <w:i/>
        </w:rPr>
        <w:t xml:space="preserve">Order </w:t>
      </w:r>
      <w:r w:rsidR="00A370A6">
        <w:t xml:space="preserve">in MB Docket No. 15-37 </w:t>
      </w:r>
      <w:r w:rsidR="00D16F4A">
        <w:t xml:space="preserve">in a report to be sent to Congress and the Government Accountability Office pursuant to the Congressional Review Act, </w:t>
      </w:r>
      <w:r w:rsidR="00D16F4A">
        <w:rPr>
          <w:i/>
        </w:rPr>
        <w:t xml:space="preserve">see </w:t>
      </w:r>
      <w:r w:rsidR="00D16F4A">
        <w:t xml:space="preserve">5 U.S.C. § 801(a)(1)(A).  </w:t>
      </w:r>
    </w:p>
    <w:p w:rsidR="0073383A" w:rsidRDefault="0073383A" w:rsidP="005418B6">
      <w:pPr>
        <w:pStyle w:val="ParaNum"/>
        <w:keepNext/>
        <w:numPr>
          <w:ilvl w:val="0"/>
          <w:numId w:val="0"/>
        </w:numPr>
        <w:ind w:left="720"/>
      </w:pPr>
    </w:p>
    <w:p w:rsidR="00E954C3" w:rsidRDefault="00D05755" w:rsidP="00B37148">
      <w:pPr>
        <w:keepNext/>
      </w:pPr>
      <w:r>
        <w:tab/>
      </w:r>
      <w:r>
        <w:tab/>
      </w:r>
      <w:r>
        <w:tab/>
      </w:r>
      <w:r w:rsidR="00A0334E">
        <w:tab/>
      </w:r>
      <w:r>
        <w:tab/>
      </w:r>
      <w:r w:rsidR="00E954C3">
        <w:tab/>
        <w:t>FEDERAL COMMUNICATIONS COMMISSION</w:t>
      </w:r>
    </w:p>
    <w:p w:rsidR="00E954C3" w:rsidRDefault="00E954C3" w:rsidP="00E954C3"/>
    <w:p w:rsidR="00E954C3" w:rsidRDefault="00E954C3" w:rsidP="00B37148">
      <w:pPr>
        <w:keepLines/>
      </w:pPr>
    </w:p>
    <w:p w:rsidR="00E954C3" w:rsidRDefault="00E954C3" w:rsidP="00E954C3"/>
    <w:p w:rsidR="00E954C3" w:rsidRDefault="00E954C3" w:rsidP="00E954C3"/>
    <w:p w:rsidR="00E954C3" w:rsidRDefault="00E954C3" w:rsidP="00E954C3">
      <w:r>
        <w:tab/>
      </w:r>
      <w:r>
        <w:tab/>
      </w:r>
      <w:r>
        <w:tab/>
      </w:r>
      <w:r>
        <w:tab/>
      </w:r>
      <w:r>
        <w:tab/>
      </w:r>
      <w:r>
        <w:tab/>
        <w:t>Marlene H. Dortch</w:t>
      </w:r>
    </w:p>
    <w:p w:rsidR="00CF5D2A" w:rsidRDefault="00E954C3" w:rsidP="0073383A">
      <w:pPr>
        <w:pStyle w:val="ParaNum"/>
        <w:numPr>
          <w:ilvl w:val="0"/>
          <w:numId w:val="0"/>
        </w:numPr>
        <w:ind w:left="720"/>
        <w:rPr>
          <w:b/>
        </w:rPr>
      </w:pPr>
      <w:r>
        <w:tab/>
      </w:r>
      <w:r>
        <w:tab/>
      </w:r>
      <w:r>
        <w:tab/>
      </w:r>
      <w:r>
        <w:tab/>
      </w:r>
      <w:r>
        <w:tab/>
        <w:t>Secretary</w:t>
      </w:r>
    </w:p>
    <w:p w:rsidR="00B37148" w:rsidRDefault="00B37148" w:rsidP="000A0EE9">
      <w:pPr>
        <w:pStyle w:val="ParaNum"/>
        <w:numPr>
          <w:ilvl w:val="0"/>
          <w:numId w:val="0"/>
        </w:numPr>
        <w:spacing w:after="0"/>
        <w:jc w:val="center"/>
        <w:rPr>
          <w:b/>
        </w:rPr>
        <w:sectPr w:rsidR="00B37148" w:rsidSect="00AC03C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720" w:left="1440" w:header="720" w:footer="720" w:gutter="0"/>
          <w:pgNumType w:start="1"/>
          <w:cols w:space="720"/>
          <w:titlePg/>
        </w:sectPr>
      </w:pPr>
    </w:p>
    <w:p w:rsidR="000A0EE9" w:rsidRDefault="00F54774" w:rsidP="000A0EE9">
      <w:pPr>
        <w:pStyle w:val="ParaNum"/>
        <w:numPr>
          <w:ilvl w:val="0"/>
          <w:numId w:val="0"/>
        </w:numPr>
        <w:spacing w:after="0"/>
        <w:jc w:val="center"/>
        <w:rPr>
          <w:b/>
        </w:rPr>
      </w:pPr>
      <w:r>
        <w:rPr>
          <w:b/>
        </w:rPr>
        <w:t>APPENDIX</w:t>
      </w:r>
    </w:p>
    <w:p w:rsidR="000A0EE9" w:rsidRDefault="000A0EE9" w:rsidP="000A0EE9">
      <w:pPr>
        <w:pStyle w:val="ParaNum"/>
        <w:numPr>
          <w:ilvl w:val="0"/>
          <w:numId w:val="0"/>
        </w:numPr>
        <w:spacing w:after="0"/>
        <w:jc w:val="center"/>
        <w:rPr>
          <w:b/>
        </w:rPr>
      </w:pPr>
    </w:p>
    <w:p w:rsidR="000A0EE9" w:rsidRDefault="000A0EE9" w:rsidP="000A0EE9">
      <w:pPr>
        <w:pStyle w:val="ParaNum"/>
        <w:numPr>
          <w:ilvl w:val="0"/>
          <w:numId w:val="0"/>
        </w:numPr>
        <w:spacing w:after="0"/>
        <w:jc w:val="center"/>
        <w:rPr>
          <w:b/>
        </w:rPr>
      </w:pPr>
      <w:r>
        <w:rPr>
          <w:b/>
        </w:rPr>
        <w:t>Final Rules</w:t>
      </w:r>
    </w:p>
    <w:p w:rsidR="000A0EE9" w:rsidRDefault="000A0EE9" w:rsidP="000A0EE9">
      <w:pPr>
        <w:pStyle w:val="ParaNum"/>
        <w:numPr>
          <w:ilvl w:val="0"/>
          <w:numId w:val="0"/>
        </w:numPr>
        <w:spacing w:after="0"/>
        <w:rPr>
          <w:b/>
        </w:rPr>
      </w:pPr>
    </w:p>
    <w:p w:rsidR="000A0EE9" w:rsidRDefault="000A0EE9" w:rsidP="000A0EE9">
      <w:pPr>
        <w:pStyle w:val="ParaNum"/>
        <w:numPr>
          <w:ilvl w:val="0"/>
          <w:numId w:val="0"/>
        </w:numPr>
        <w:spacing w:after="0"/>
      </w:pPr>
      <w:r>
        <w:t>The Federal Communications Commission amends 47 CFR part 76 as follows:</w:t>
      </w:r>
    </w:p>
    <w:p w:rsidR="000A0EE9" w:rsidRDefault="000A0EE9" w:rsidP="000A0EE9">
      <w:pPr>
        <w:pStyle w:val="ParaNum"/>
        <w:numPr>
          <w:ilvl w:val="0"/>
          <w:numId w:val="0"/>
        </w:numPr>
        <w:spacing w:after="0"/>
      </w:pPr>
    </w:p>
    <w:p w:rsidR="000A0EE9" w:rsidRDefault="000A0EE9" w:rsidP="000A0EE9">
      <w:pPr>
        <w:pStyle w:val="ParaNum"/>
        <w:numPr>
          <w:ilvl w:val="0"/>
          <w:numId w:val="0"/>
        </w:numPr>
        <w:spacing w:after="0"/>
      </w:pPr>
      <w:r>
        <w:t>PART 76 – Multichannel Video and Cable Television Service</w:t>
      </w:r>
    </w:p>
    <w:p w:rsidR="000A0EE9" w:rsidRDefault="000A0EE9" w:rsidP="000A0EE9">
      <w:pPr>
        <w:pStyle w:val="ParaNum"/>
        <w:numPr>
          <w:ilvl w:val="0"/>
          <w:numId w:val="0"/>
        </w:numPr>
        <w:spacing w:after="0"/>
      </w:pPr>
    </w:p>
    <w:p w:rsidR="000A0EE9" w:rsidRDefault="000A0EE9" w:rsidP="000A0EE9">
      <w:pPr>
        <w:pStyle w:val="ParaNum"/>
        <w:numPr>
          <w:ilvl w:val="0"/>
          <w:numId w:val="0"/>
        </w:numPr>
        <w:spacing w:after="0"/>
      </w:pPr>
      <w:r>
        <w:t>1.</w:t>
      </w:r>
      <w:r>
        <w:tab/>
        <w:t xml:space="preserve">The authority citation for part 76 </w:t>
      </w:r>
      <w:r w:rsidR="005D18C3">
        <w:t>is amended</w:t>
      </w:r>
      <w:r>
        <w:t xml:space="preserve"> to read as follows:</w:t>
      </w:r>
    </w:p>
    <w:p w:rsidR="000A0EE9" w:rsidRDefault="000A0EE9" w:rsidP="000A0EE9">
      <w:pPr>
        <w:pStyle w:val="ParaNum"/>
        <w:numPr>
          <w:ilvl w:val="0"/>
          <w:numId w:val="0"/>
        </w:numPr>
        <w:spacing w:after="0"/>
      </w:pPr>
    </w:p>
    <w:p w:rsidR="006E3657" w:rsidRDefault="000A0EE9" w:rsidP="000A0EE9">
      <w:pPr>
        <w:pStyle w:val="ParaNum"/>
        <w:numPr>
          <w:ilvl w:val="0"/>
          <w:numId w:val="0"/>
        </w:numPr>
        <w:spacing w:after="0"/>
      </w:pPr>
      <w:r>
        <w:t xml:space="preserve">Authority:  47 U.S.C. 151, 152, 153, 154, 301, 302, 302a, 303, 303a, 307, 308, 309, 312, 315, 317, 325, </w:t>
      </w:r>
      <w:r w:rsidRPr="006947D3">
        <w:rPr>
          <w:b/>
          <w:u w:val="single"/>
        </w:rPr>
        <w:t>338</w:t>
      </w:r>
      <w:r>
        <w:t>, 339, 340, 341, 503, 521, 522, 531, 532, 534, 535, 536, 537, 543, 544, 544a, 545, 548, 549, 552, 554, 556, 558, 560, 561, 571, 572, 573.</w:t>
      </w:r>
    </w:p>
    <w:p w:rsidR="000A0EE9" w:rsidRDefault="000A0EE9" w:rsidP="000A0EE9">
      <w:pPr>
        <w:pStyle w:val="ParaNum"/>
        <w:numPr>
          <w:ilvl w:val="0"/>
          <w:numId w:val="0"/>
        </w:numPr>
        <w:spacing w:after="0"/>
      </w:pPr>
    </w:p>
    <w:p w:rsidR="006E3657" w:rsidRDefault="000A0EE9" w:rsidP="006E3657">
      <w:r>
        <w:t>2.</w:t>
      </w:r>
      <w:r>
        <w:tab/>
      </w:r>
      <w:r w:rsidR="006E3657">
        <w:t>Section</w:t>
      </w:r>
      <w:r w:rsidR="006E3657">
        <w:rPr>
          <w:spacing w:val="-2"/>
        </w:rPr>
        <w:t xml:space="preserve"> 76.64 </w:t>
      </w:r>
      <w:r w:rsidR="006E3657">
        <w:t>is amended by revising paragraph (b)(3)(ii) and by revising the third sentence in paragraph (l) to read as follows:</w:t>
      </w:r>
    </w:p>
    <w:p w:rsidR="006E3657" w:rsidRDefault="006E3657" w:rsidP="006E3657"/>
    <w:p w:rsidR="006E3657" w:rsidRDefault="006E3657" w:rsidP="006E3657">
      <w:pPr>
        <w:rPr>
          <w:b/>
          <w:bCs/>
        </w:rPr>
      </w:pPr>
      <w:r>
        <w:rPr>
          <w:b/>
          <w:bCs/>
        </w:rPr>
        <w:t>§ 76.64  Retransmission Consent.</w:t>
      </w:r>
    </w:p>
    <w:p w:rsidR="006E3657" w:rsidRDefault="006E3657" w:rsidP="006E3657">
      <w:pPr>
        <w:rPr>
          <w:b/>
          <w:bCs/>
        </w:rPr>
      </w:pPr>
    </w:p>
    <w:p w:rsidR="006E3657" w:rsidRDefault="006E3657" w:rsidP="006E3657">
      <w:pPr>
        <w:pStyle w:val="CM35"/>
        <w:ind w:right="5040"/>
        <w:rPr>
          <w:sz w:val="22"/>
          <w:szCs w:val="22"/>
        </w:rPr>
      </w:pPr>
      <w:r>
        <w:rPr>
          <w:sz w:val="22"/>
          <w:szCs w:val="22"/>
        </w:rPr>
        <w:t>* * * * *</w:t>
      </w:r>
    </w:p>
    <w:p w:rsidR="006E3657" w:rsidRDefault="006E3657" w:rsidP="006E3657">
      <w:pPr>
        <w:rPr>
          <w:spacing w:val="-2"/>
          <w:szCs w:val="22"/>
        </w:rPr>
      </w:pPr>
    </w:p>
    <w:p w:rsidR="006E3657" w:rsidRDefault="006E3657" w:rsidP="006E3657">
      <w:r>
        <w:rPr>
          <w:spacing w:val="-2"/>
        </w:rPr>
        <w:t xml:space="preserve">(b) </w:t>
      </w:r>
      <w:r>
        <w:t>* * *</w:t>
      </w:r>
    </w:p>
    <w:p w:rsidR="006E3657" w:rsidRDefault="006E3657" w:rsidP="006E3657"/>
    <w:p w:rsidR="006E3657" w:rsidRDefault="006E3657" w:rsidP="006E3657">
      <w:r>
        <w:t>(3) * * *</w:t>
      </w:r>
    </w:p>
    <w:p w:rsidR="006E3657" w:rsidRDefault="006E3657" w:rsidP="006E3657"/>
    <w:p w:rsidR="006E3657" w:rsidRPr="009F1BDF" w:rsidRDefault="006E3657" w:rsidP="006E3657">
      <w:r>
        <w:t xml:space="preserve">(ii)  </w:t>
      </w:r>
      <w:r w:rsidRPr="009F1BDF">
        <w:t>The broadcast station is owned or operated by, or affiliated with a broadcasting network, and the household receiving the signal is an unserved household.  This paragraph shall terminate at midnight on December 31, 2019, provided that if Congress further extends this date, the rules remain in effect until the statutory authorization expires.</w:t>
      </w:r>
    </w:p>
    <w:p w:rsidR="006E3657" w:rsidRDefault="006E3657" w:rsidP="006E3657">
      <w:pPr>
        <w:rPr>
          <w:color w:val="1F497D"/>
        </w:rPr>
      </w:pPr>
    </w:p>
    <w:p w:rsidR="006E3657" w:rsidRDefault="006E3657" w:rsidP="006E3657">
      <w:pPr>
        <w:pStyle w:val="CM35"/>
        <w:ind w:right="5040"/>
        <w:rPr>
          <w:sz w:val="22"/>
          <w:szCs w:val="22"/>
        </w:rPr>
      </w:pPr>
      <w:r>
        <w:rPr>
          <w:sz w:val="22"/>
          <w:szCs w:val="22"/>
        </w:rPr>
        <w:t>* * * * *</w:t>
      </w:r>
    </w:p>
    <w:p w:rsidR="006E3657" w:rsidRDefault="006E3657" w:rsidP="006E3657">
      <w:pPr>
        <w:rPr>
          <w:color w:val="1F497D"/>
        </w:rPr>
      </w:pPr>
    </w:p>
    <w:p w:rsidR="00D95087" w:rsidRPr="00526E14" w:rsidRDefault="006E3657" w:rsidP="009F1BDF">
      <w:pPr>
        <w:rPr>
          <w:snapToGrid/>
          <w:spacing w:val="-2"/>
          <w:kern w:val="0"/>
          <w:szCs w:val="22"/>
        </w:rPr>
      </w:pPr>
      <w:r w:rsidRPr="006E3657">
        <w:rPr>
          <w:szCs w:val="22"/>
        </w:rPr>
        <w:t>(l)</w:t>
      </w:r>
      <w:r w:rsidR="00A05C75">
        <w:rPr>
          <w:szCs w:val="22"/>
        </w:rPr>
        <w:t xml:space="preserve"> </w:t>
      </w:r>
      <w:r w:rsidRPr="006E3657">
        <w:rPr>
          <w:szCs w:val="22"/>
        </w:rPr>
        <w:t>*</w:t>
      </w:r>
      <w:r w:rsidR="00A05C75">
        <w:rPr>
          <w:szCs w:val="22"/>
        </w:rPr>
        <w:t xml:space="preserve"> </w:t>
      </w:r>
      <w:r w:rsidRPr="006E3657">
        <w:rPr>
          <w:szCs w:val="22"/>
        </w:rPr>
        <w:t>*</w:t>
      </w:r>
      <w:r w:rsidR="00A05C75">
        <w:rPr>
          <w:szCs w:val="22"/>
        </w:rPr>
        <w:t xml:space="preserve"> </w:t>
      </w:r>
      <w:r w:rsidRPr="006E3657">
        <w:rPr>
          <w:szCs w:val="22"/>
        </w:rPr>
        <w:t>* This paragraph shall terminate at midnight on January 1, 2020, provided that if Congress further extends this date, the rules remain in effect until the statutory authorization expires.</w:t>
      </w:r>
    </w:p>
    <w:p w:rsidR="00526E14" w:rsidRPr="00526E14" w:rsidRDefault="00526E14" w:rsidP="00526E14">
      <w:pPr>
        <w:widowControl/>
        <w:rPr>
          <w:snapToGrid/>
          <w:spacing w:val="-2"/>
          <w:kern w:val="0"/>
          <w:szCs w:val="22"/>
        </w:rPr>
      </w:pPr>
    </w:p>
    <w:p w:rsidR="000A0EE9" w:rsidRDefault="003035C6" w:rsidP="003035C6">
      <w:pPr>
        <w:pStyle w:val="ParaNum"/>
        <w:numPr>
          <w:ilvl w:val="0"/>
          <w:numId w:val="0"/>
        </w:numPr>
        <w:spacing w:after="0"/>
        <w:rPr>
          <w:szCs w:val="22"/>
        </w:rPr>
      </w:pPr>
      <w:r>
        <w:t>3</w:t>
      </w:r>
      <w:r w:rsidR="00526E14">
        <w:t>.</w:t>
      </w:r>
      <w:r w:rsidR="00526E14">
        <w:tab/>
      </w:r>
      <w:r>
        <w:t>Section</w:t>
      </w:r>
      <w:r w:rsidR="00526E14">
        <w:rPr>
          <w:szCs w:val="22"/>
        </w:rPr>
        <w:t xml:space="preserve"> 76.65 </w:t>
      </w:r>
      <w:r>
        <w:rPr>
          <w:szCs w:val="22"/>
        </w:rPr>
        <w:t xml:space="preserve">is amended </w:t>
      </w:r>
      <w:r w:rsidR="00526E14">
        <w:rPr>
          <w:szCs w:val="22"/>
        </w:rPr>
        <w:t>by revising paragraph (b)</w:t>
      </w:r>
      <w:r w:rsidR="00C96EB4">
        <w:rPr>
          <w:szCs w:val="22"/>
        </w:rPr>
        <w:t>(1)</w:t>
      </w:r>
      <w:r w:rsidR="00526E14">
        <w:rPr>
          <w:szCs w:val="22"/>
        </w:rPr>
        <w:t>(viii) and adding paragraph (b)</w:t>
      </w:r>
      <w:r w:rsidR="00E30FEB">
        <w:rPr>
          <w:szCs w:val="22"/>
        </w:rPr>
        <w:t>(1)</w:t>
      </w:r>
      <w:r w:rsidR="00526E14">
        <w:rPr>
          <w:szCs w:val="22"/>
        </w:rPr>
        <w:t xml:space="preserve">(ix) </w:t>
      </w:r>
      <w:r w:rsidRPr="003035C6">
        <w:rPr>
          <w:szCs w:val="22"/>
        </w:rPr>
        <w:t xml:space="preserve">and revising paragraph (f) </w:t>
      </w:r>
      <w:r w:rsidR="000A0EE9">
        <w:rPr>
          <w:szCs w:val="22"/>
        </w:rPr>
        <w:t>to read as follows:</w:t>
      </w:r>
    </w:p>
    <w:p w:rsidR="003035C6" w:rsidRDefault="003035C6" w:rsidP="00472640">
      <w:pPr>
        <w:rPr>
          <w:b/>
          <w:szCs w:val="22"/>
        </w:rPr>
      </w:pPr>
    </w:p>
    <w:p w:rsidR="000A0EE9" w:rsidRDefault="000A0EE9" w:rsidP="00472640">
      <w:pPr>
        <w:rPr>
          <w:szCs w:val="22"/>
        </w:rPr>
      </w:pPr>
      <w:r>
        <w:rPr>
          <w:b/>
          <w:szCs w:val="22"/>
        </w:rPr>
        <w:t>§ 76.65  Good faith and exclusive retransmission consent complaints.</w:t>
      </w:r>
      <w:r>
        <w:rPr>
          <w:szCs w:val="22"/>
        </w:rPr>
        <w:t xml:space="preserve"> </w:t>
      </w:r>
    </w:p>
    <w:p w:rsidR="000A0EE9" w:rsidRDefault="000A0EE9" w:rsidP="000A0EE9">
      <w:pPr>
        <w:pStyle w:val="CM35"/>
        <w:ind w:right="5040"/>
        <w:rPr>
          <w:sz w:val="22"/>
          <w:szCs w:val="22"/>
        </w:rPr>
      </w:pPr>
    </w:p>
    <w:p w:rsidR="000A0EE9" w:rsidRDefault="000A0EE9" w:rsidP="000A0EE9">
      <w:pPr>
        <w:pStyle w:val="CM35"/>
        <w:ind w:right="5040"/>
        <w:rPr>
          <w:sz w:val="22"/>
          <w:szCs w:val="22"/>
        </w:rPr>
      </w:pPr>
      <w:r>
        <w:rPr>
          <w:sz w:val="22"/>
          <w:szCs w:val="22"/>
        </w:rPr>
        <w:t>* * * * *</w:t>
      </w:r>
    </w:p>
    <w:p w:rsidR="000A0EE9" w:rsidRDefault="000A0EE9" w:rsidP="000A0EE9">
      <w:pPr>
        <w:pStyle w:val="CM35"/>
        <w:ind w:right="5040"/>
        <w:rPr>
          <w:sz w:val="22"/>
          <w:szCs w:val="22"/>
        </w:rPr>
      </w:pPr>
    </w:p>
    <w:p w:rsidR="003035C6" w:rsidRPr="003035C6" w:rsidRDefault="003035C6" w:rsidP="003035C6">
      <w:pPr>
        <w:pStyle w:val="CM35"/>
        <w:ind w:right="5040"/>
        <w:rPr>
          <w:sz w:val="22"/>
          <w:szCs w:val="22"/>
        </w:rPr>
      </w:pPr>
      <w:r w:rsidRPr="003035C6">
        <w:rPr>
          <w:sz w:val="22"/>
          <w:szCs w:val="22"/>
        </w:rPr>
        <w:t>(b) *</w:t>
      </w:r>
      <w:r>
        <w:rPr>
          <w:sz w:val="22"/>
          <w:szCs w:val="22"/>
        </w:rPr>
        <w:t xml:space="preserve"> </w:t>
      </w:r>
      <w:r w:rsidRPr="003035C6">
        <w:rPr>
          <w:sz w:val="22"/>
          <w:szCs w:val="22"/>
        </w:rPr>
        <w:t>*</w:t>
      </w:r>
      <w:r>
        <w:rPr>
          <w:sz w:val="22"/>
          <w:szCs w:val="22"/>
        </w:rPr>
        <w:t xml:space="preserve"> </w:t>
      </w:r>
      <w:r w:rsidRPr="003035C6">
        <w:rPr>
          <w:sz w:val="22"/>
          <w:szCs w:val="22"/>
        </w:rPr>
        <w:t>*</w:t>
      </w:r>
      <w:r>
        <w:rPr>
          <w:sz w:val="22"/>
          <w:szCs w:val="22"/>
        </w:rPr>
        <w:t xml:space="preserve"> </w:t>
      </w:r>
    </w:p>
    <w:p w:rsidR="003035C6" w:rsidRPr="003035C6" w:rsidRDefault="003035C6" w:rsidP="003035C6">
      <w:pPr>
        <w:pStyle w:val="CM35"/>
        <w:ind w:right="5040"/>
        <w:rPr>
          <w:sz w:val="22"/>
          <w:szCs w:val="22"/>
        </w:rPr>
      </w:pPr>
    </w:p>
    <w:p w:rsidR="003035C6" w:rsidRPr="003035C6" w:rsidRDefault="003035C6" w:rsidP="003035C6">
      <w:pPr>
        <w:pStyle w:val="CM35"/>
        <w:ind w:right="5040"/>
        <w:rPr>
          <w:sz w:val="22"/>
          <w:szCs w:val="22"/>
        </w:rPr>
      </w:pPr>
      <w:r w:rsidRPr="003035C6">
        <w:rPr>
          <w:sz w:val="22"/>
          <w:szCs w:val="22"/>
        </w:rPr>
        <w:t>(1)</w:t>
      </w:r>
      <w:r>
        <w:rPr>
          <w:sz w:val="22"/>
          <w:szCs w:val="22"/>
        </w:rPr>
        <w:t xml:space="preserve"> </w:t>
      </w:r>
      <w:r w:rsidRPr="003035C6">
        <w:rPr>
          <w:sz w:val="22"/>
          <w:szCs w:val="22"/>
        </w:rPr>
        <w:t>*</w:t>
      </w:r>
      <w:r>
        <w:rPr>
          <w:sz w:val="22"/>
          <w:szCs w:val="22"/>
        </w:rPr>
        <w:t xml:space="preserve"> </w:t>
      </w:r>
      <w:r w:rsidRPr="003035C6">
        <w:rPr>
          <w:sz w:val="22"/>
          <w:szCs w:val="22"/>
        </w:rPr>
        <w:t>*</w:t>
      </w:r>
      <w:r>
        <w:rPr>
          <w:sz w:val="22"/>
          <w:szCs w:val="22"/>
        </w:rPr>
        <w:t xml:space="preserve"> </w:t>
      </w:r>
      <w:r w:rsidRPr="003035C6">
        <w:rPr>
          <w:sz w:val="22"/>
          <w:szCs w:val="22"/>
        </w:rPr>
        <w:t>*</w:t>
      </w:r>
      <w:r>
        <w:rPr>
          <w:sz w:val="22"/>
          <w:szCs w:val="22"/>
        </w:rPr>
        <w:t xml:space="preserve"> </w:t>
      </w:r>
    </w:p>
    <w:p w:rsidR="000A0EE9" w:rsidRDefault="003035C6" w:rsidP="000A0EE9">
      <w:pPr>
        <w:pStyle w:val="ParaNum"/>
        <w:numPr>
          <w:ilvl w:val="0"/>
          <w:numId w:val="0"/>
        </w:numPr>
        <w:spacing w:after="0"/>
        <w:rPr>
          <w:szCs w:val="22"/>
        </w:rPr>
      </w:pPr>
      <w:r w:rsidRPr="003035C6" w:rsidDel="003035C6">
        <w:rPr>
          <w:szCs w:val="22"/>
        </w:rPr>
        <w:t xml:space="preserve"> </w:t>
      </w:r>
    </w:p>
    <w:p w:rsidR="00526E14" w:rsidRDefault="000A0EE9" w:rsidP="000A0EE9">
      <w:pPr>
        <w:pStyle w:val="ParaNum"/>
        <w:numPr>
          <w:ilvl w:val="0"/>
          <w:numId w:val="0"/>
        </w:numPr>
        <w:spacing w:after="0"/>
        <w:rPr>
          <w:szCs w:val="22"/>
        </w:rPr>
      </w:pPr>
      <w:r>
        <w:rPr>
          <w:szCs w:val="22"/>
        </w:rPr>
        <w:t xml:space="preserve">(viii) </w:t>
      </w:r>
      <w:r w:rsidR="00526E14">
        <w:rPr>
          <w:szCs w:val="22"/>
        </w:rPr>
        <w:t xml:space="preserve">Coordination of negotiations or negotiation on a joint basis by two or more television broadcast stations in the same local market (as defined in </w:t>
      </w:r>
      <w:r w:rsidR="003B31C8">
        <w:rPr>
          <w:szCs w:val="22"/>
        </w:rPr>
        <w:t xml:space="preserve">17 USC </w:t>
      </w:r>
      <w:r w:rsidR="00526E14">
        <w:rPr>
          <w:szCs w:val="22"/>
        </w:rPr>
        <w:t>122(j)) to grant retransmission consent to a multichannel video programming distributor, unless such stations are directly or indirectly under common de jure control permitted under the regulations of the Commission.</w:t>
      </w:r>
    </w:p>
    <w:p w:rsidR="00526E14" w:rsidRDefault="00526E14" w:rsidP="000A0EE9">
      <w:pPr>
        <w:pStyle w:val="ParaNum"/>
        <w:numPr>
          <w:ilvl w:val="0"/>
          <w:numId w:val="0"/>
        </w:numPr>
        <w:spacing w:after="0"/>
        <w:rPr>
          <w:szCs w:val="22"/>
        </w:rPr>
      </w:pPr>
    </w:p>
    <w:p w:rsidR="00526E14" w:rsidRDefault="00526E14" w:rsidP="000A0EE9">
      <w:pPr>
        <w:pStyle w:val="ParaNum"/>
        <w:numPr>
          <w:ilvl w:val="0"/>
          <w:numId w:val="0"/>
        </w:numPr>
        <w:spacing w:after="0"/>
        <w:rPr>
          <w:szCs w:val="22"/>
        </w:rPr>
      </w:pPr>
      <w:r>
        <w:rPr>
          <w:szCs w:val="22"/>
        </w:rPr>
        <w:t xml:space="preserve">(ix)  The imposition by a television broadcast station of limitations on the ability of a multichannel video programming distributor to carry into the local market (as defined in </w:t>
      </w:r>
      <w:r w:rsidR="00742FF2">
        <w:rPr>
          <w:szCs w:val="22"/>
        </w:rPr>
        <w:t>17 USC</w:t>
      </w:r>
      <w:r>
        <w:rPr>
          <w:szCs w:val="22"/>
        </w:rPr>
        <w:t xml:space="preserve"> 122(j)) of such station a television signal that has been deemed significantly viewed, within the meaning of section 76.54 of </w:t>
      </w:r>
      <w:r w:rsidR="00742FF2">
        <w:rPr>
          <w:szCs w:val="22"/>
        </w:rPr>
        <w:t>this part</w:t>
      </w:r>
      <w:r>
        <w:rPr>
          <w:szCs w:val="22"/>
        </w:rPr>
        <w:t xml:space="preserve">, or any successor regulation, or any other television broadcast signal such distributor is authorized to carry under </w:t>
      </w:r>
      <w:r w:rsidR="00742FF2" w:rsidRPr="00742FF2">
        <w:rPr>
          <w:szCs w:val="22"/>
        </w:rPr>
        <w:t xml:space="preserve">47 USC </w:t>
      </w:r>
      <w:r>
        <w:rPr>
          <w:szCs w:val="22"/>
        </w:rPr>
        <w:t>338, 339, 340</w:t>
      </w:r>
      <w:r w:rsidR="00C96EB4">
        <w:rPr>
          <w:szCs w:val="22"/>
        </w:rPr>
        <w:t xml:space="preserve"> or 534</w:t>
      </w:r>
      <w:r>
        <w:rPr>
          <w:szCs w:val="22"/>
        </w:rPr>
        <w:t>, unless such stations are directly or indirectly under common de jure control permitted by the Commission.</w:t>
      </w:r>
    </w:p>
    <w:p w:rsidR="00526E14" w:rsidRDefault="00526E14" w:rsidP="000A0EE9">
      <w:pPr>
        <w:pStyle w:val="ParaNum"/>
        <w:numPr>
          <w:ilvl w:val="0"/>
          <w:numId w:val="0"/>
        </w:numPr>
        <w:spacing w:after="0"/>
        <w:rPr>
          <w:szCs w:val="22"/>
        </w:rPr>
      </w:pPr>
    </w:p>
    <w:p w:rsidR="00526E14" w:rsidRDefault="00526E14" w:rsidP="00526E14">
      <w:pPr>
        <w:pStyle w:val="CM35"/>
        <w:rPr>
          <w:sz w:val="22"/>
          <w:szCs w:val="22"/>
        </w:rPr>
      </w:pPr>
      <w:r>
        <w:rPr>
          <w:sz w:val="22"/>
          <w:szCs w:val="22"/>
        </w:rPr>
        <w:t xml:space="preserve">* * * * * </w:t>
      </w:r>
    </w:p>
    <w:p w:rsidR="003035C6" w:rsidRPr="00526E14" w:rsidRDefault="003035C6" w:rsidP="003035C6">
      <w:pPr>
        <w:widowControl/>
        <w:rPr>
          <w:snapToGrid/>
          <w:kern w:val="0"/>
          <w:szCs w:val="22"/>
        </w:rPr>
      </w:pPr>
    </w:p>
    <w:p w:rsidR="003035C6" w:rsidRPr="00526E14" w:rsidRDefault="003035C6" w:rsidP="003035C6">
      <w:pPr>
        <w:widowControl/>
        <w:rPr>
          <w:snapToGrid/>
          <w:kern w:val="0"/>
        </w:rPr>
      </w:pPr>
      <w:r w:rsidRPr="00526E14">
        <w:rPr>
          <w:snapToGrid/>
          <w:kern w:val="0"/>
        </w:rPr>
        <w:t xml:space="preserve">(f)  Termination of rules.  This section shall terminate </w:t>
      </w:r>
      <w:r>
        <w:rPr>
          <w:snapToGrid/>
          <w:kern w:val="0"/>
        </w:rPr>
        <w:t>at midnight on January 1, 2020</w:t>
      </w:r>
      <w:r w:rsidRPr="00526E14">
        <w:rPr>
          <w:snapToGrid/>
          <w:kern w:val="0"/>
        </w:rPr>
        <w:t>,</w:t>
      </w:r>
      <w:r w:rsidRPr="00526E14">
        <w:rPr>
          <w:snapToGrid/>
          <w:color w:val="000000"/>
          <w:kern w:val="0"/>
          <w:szCs w:val="22"/>
        </w:rPr>
        <w:t xml:space="preserve"> provided that if Congress further extends this date, the rules remain in effect until the statutory authorization expires</w:t>
      </w:r>
      <w:r w:rsidRPr="00526E14">
        <w:rPr>
          <w:snapToGrid/>
          <w:kern w:val="0"/>
        </w:rPr>
        <w:t>.</w:t>
      </w:r>
    </w:p>
    <w:p w:rsidR="00526E14" w:rsidRDefault="00526E14" w:rsidP="000A0EE9">
      <w:pPr>
        <w:pStyle w:val="ParaNum"/>
        <w:numPr>
          <w:ilvl w:val="0"/>
          <w:numId w:val="0"/>
        </w:numPr>
        <w:spacing w:after="0"/>
        <w:rPr>
          <w:szCs w:val="22"/>
        </w:rPr>
      </w:pPr>
    </w:p>
    <w:p w:rsidR="00A577B8" w:rsidRDefault="00C96EB4" w:rsidP="00526E14">
      <w:pPr>
        <w:rPr>
          <w:szCs w:val="22"/>
        </w:rPr>
      </w:pPr>
      <w:r>
        <w:rPr>
          <w:szCs w:val="22"/>
        </w:rPr>
        <w:t>4</w:t>
      </w:r>
      <w:r w:rsidR="00526E14">
        <w:rPr>
          <w:szCs w:val="22"/>
        </w:rPr>
        <w:t>.</w:t>
      </w:r>
      <w:r w:rsidR="00526E14">
        <w:rPr>
          <w:szCs w:val="22"/>
        </w:rPr>
        <w:tab/>
      </w:r>
      <w:r w:rsidR="00526E14" w:rsidRPr="00526E14">
        <w:rPr>
          <w:szCs w:val="22"/>
        </w:rPr>
        <w:t>Amend § 76.</w:t>
      </w:r>
      <w:r w:rsidR="00A577B8">
        <w:rPr>
          <w:szCs w:val="22"/>
        </w:rPr>
        <w:t>1601</w:t>
      </w:r>
      <w:r w:rsidR="00526E14" w:rsidRPr="00526E14">
        <w:rPr>
          <w:szCs w:val="22"/>
        </w:rPr>
        <w:t xml:space="preserve"> </w:t>
      </w:r>
      <w:r w:rsidR="00F54774">
        <w:rPr>
          <w:szCs w:val="22"/>
        </w:rPr>
        <w:t>by</w:t>
      </w:r>
      <w:r w:rsidR="00526E14" w:rsidRPr="00526E14">
        <w:rPr>
          <w:szCs w:val="22"/>
        </w:rPr>
        <w:t xml:space="preserve"> </w:t>
      </w:r>
      <w:r w:rsidR="00677929">
        <w:rPr>
          <w:szCs w:val="22"/>
        </w:rPr>
        <w:t xml:space="preserve">removing </w:t>
      </w:r>
      <w:r w:rsidR="00A577B8">
        <w:rPr>
          <w:szCs w:val="22"/>
        </w:rPr>
        <w:t>Note 1.</w:t>
      </w:r>
    </w:p>
    <w:p w:rsidR="006E3657" w:rsidRDefault="006E3657" w:rsidP="00526E14">
      <w:pPr>
        <w:rPr>
          <w:szCs w:val="22"/>
        </w:rPr>
      </w:pPr>
    </w:p>
    <w:sectPr w:rsidR="006E3657" w:rsidSect="00893123">
      <w:footerReference w:type="first" r:id="rId14"/>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18" w:rsidRDefault="00D85918">
      <w:r>
        <w:separator/>
      </w:r>
    </w:p>
  </w:endnote>
  <w:endnote w:type="continuationSeparator" w:id="0">
    <w:p w:rsidR="00D85918" w:rsidRDefault="00D8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1E" w:rsidRDefault="003419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DF" w:rsidRDefault="008043DF">
    <w:pPr>
      <w:pStyle w:val="Footer"/>
      <w:jc w:val="center"/>
    </w:pPr>
    <w:r>
      <w:rPr>
        <w:rStyle w:val="PageNumber"/>
      </w:rPr>
      <w:fldChar w:fldCharType="begin"/>
    </w:r>
    <w:r>
      <w:rPr>
        <w:rStyle w:val="PageNumber"/>
      </w:rPr>
      <w:instrText xml:space="preserve"> PAGE </w:instrText>
    </w:r>
    <w:r>
      <w:rPr>
        <w:rStyle w:val="PageNumber"/>
      </w:rPr>
      <w:fldChar w:fldCharType="separate"/>
    </w:r>
    <w:r w:rsidR="001E62C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1E" w:rsidRDefault="003419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477343"/>
      <w:docPartObj>
        <w:docPartGallery w:val="Page Numbers (Bottom of Page)"/>
        <w:docPartUnique/>
      </w:docPartObj>
    </w:sdtPr>
    <w:sdtEndPr>
      <w:rPr>
        <w:noProof/>
      </w:rPr>
    </w:sdtEndPr>
    <w:sdtContent>
      <w:p w:rsidR="00893123" w:rsidRDefault="00893123">
        <w:pPr>
          <w:pStyle w:val="Footer"/>
          <w:jc w:val="center"/>
        </w:pPr>
        <w:r>
          <w:fldChar w:fldCharType="begin"/>
        </w:r>
        <w:r>
          <w:instrText xml:space="preserve"> PAGE   \* MERGEFORMAT </w:instrText>
        </w:r>
        <w:r>
          <w:fldChar w:fldCharType="separate"/>
        </w:r>
        <w:r w:rsidR="00A370A6">
          <w:rPr>
            <w:noProof/>
          </w:rPr>
          <w:t>6</w:t>
        </w:r>
        <w:r>
          <w:rPr>
            <w:noProof/>
          </w:rPr>
          <w:fldChar w:fldCharType="end"/>
        </w:r>
      </w:p>
    </w:sdtContent>
  </w:sdt>
  <w:p w:rsidR="00893123" w:rsidRDefault="00893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18" w:rsidRDefault="00D85918">
      <w:pPr>
        <w:rPr>
          <w:sz w:val="20"/>
        </w:rPr>
      </w:pPr>
      <w:r>
        <w:rPr>
          <w:sz w:val="20"/>
        </w:rPr>
        <w:separator/>
      </w:r>
    </w:p>
  </w:footnote>
  <w:footnote w:type="continuationSeparator" w:id="0">
    <w:p w:rsidR="00D85918" w:rsidRPr="0079701B" w:rsidRDefault="00D85918" w:rsidP="0079701B">
      <w:pPr>
        <w:spacing w:before="120"/>
        <w:rPr>
          <w:sz w:val="20"/>
        </w:rPr>
      </w:pPr>
      <w:r>
        <w:rPr>
          <w:sz w:val="20"/>
        </w:rPr>
        <w:t xml:space="preserve">(Continued from previous page)  </w:t>
      </w:r>
      <w:r>
        <w:rPr>
          <w:sz w:val="20"/>
        </w:rPr>
        <w:separator/>
      </w:r>
    </w:p>
  </w:footnote>
  <w:footnote w:type="continuationNotice" w:id="1">
    <w:p w:rsidR="00D85918" w:rsidRDefault="00D85918">
      <w:pPr>
        <w:jc w:val="right"/>
        <w:rPr>
          <w:sz w:val="20"/>
        </w:rPr>
      </w:pPr>
      <w:r>
        <w:rPr>
          <w:sz w:val="20"/>
        </w:rPr>
        <w:t>(continued....)</w:t>
      </w:r>
    </w:p>
  </w:footnote>
  <w:footnote w:id="2">
    <w:p w:rsidR="008043DF" w:rsidRDefault="008043DF" w:rsidP="00E26F5D">
      <w:pPr>
        <w:pStyle w:val="FootnoteText"/>
      </w:pPr>
      <w:r>
        <w:rPr>
          <w:rStyle w:val="FootnoteReference"/>
        </w:rPr>
        <w:footnoteRef/>
      </w:r>
      <w:r>
        <w:t xml:space="preserve"> </w:t>
      </w:r>
      <w:r>
        <w:rPr>
          <w:i/>
        </w:rPr>
        <w:t xml:space="preserve">See </w:t>
      </w:r>
      <w:r w:rsidRPr="00083280">
        <w:t>Pub. L. No. 113-200, 128 Stat. 2059 (2014).  The STELAR was enacted on December 4, 2014 (H.R. 5728, 113th Cong.)</w:t>
      </w:r>
      <w:r>
        <w:t xml:space="preserve">.  </w:t>
      </w:r>
    </w:p>
  </w:footnote>
  <w:footnote w:id="3">
    <w:p w:rsidR="008043DF" w:rsidRPr="00544CC4" w:rsidRDefault="008043DF">
      <w:pPr>
        <w:pStyle w:val="FootnoteText"/>
      </w:pPr>
      <w:r>
        <w:rPr>
          <w:rStyle w:val="FootnoteReference"/>
        </w:rPr>
        <w:footnoteRef/>
      </w:r>
      <w:r>
        <w:t xml:space="preserve"> </w:t>
      </w:r>
      <w:r>
        <w:rPr>
          <w:i/>
        </w:rPr>
        <w:t xml:space="preserve">See </w:t>
      </w:r>
      <w:r w:rsidR="00515B90">
        <w:t xml:space="preserve">47 U.S.C. </w:t>
      </w:r>
      <w:r>
        <w:t>§ 325(b)(3)(C) (</w:t>
      </w:r>
      <w:r w:rsidRPr="00F05102">
        <w:rPr>
          <w:i/>
        </w:rPr>
        <w:t>as amended by</w:t>
      </w:r>
      <w:r>
        <w:t xml:space="preserve"> Section 101 of the STELAR).</w:t>
      </w:r>
    </w:p>
  </w:footnote>
  <w:footnote w:id="4">
    <w:p w:rsidR="008043DF" w:rsidRPr="00544CC4" w:rsidRDefault="008043DF">
      <w:pPr>
        <w:pStyle w:val="FootnoteText"/>
      </w:pPr>
      <w:r>
        <w:rPr>
          <w:rStyle w:val="FootnoteReference"/>
        </w:rPr>
        <w:footnoteRef/>
      </w:r>
      <w:r>
        <w:t xml:space="preserve"> </w:t>
      </w:r>
      <w:r>
        <w:rPr>
          <w:i/>
        </w:rPr>
        <w:t xml:space="preserve">See id. </w:t>
      </w:r>
      <w:r>
        <w:t>(</w:t>
      </w:r>
      <w:r w:rsidRPr="00F05102">
        <w:rPr>
          <w:i/>
        </w:rPr>
        <w:t>as amended by</w:t>
      </w:r>
      <w:r>
        <w:t xml:space="preserve"> Section 103(a) of the STELAR).</w:t>
      </w:r>
    </w:p>
  </w:footnote>
  <w:footnote w:id="5">
    <w:p w:rsidR="008043DF" w:rsidRDefault="008043DF">
      <w:pPr>
        <w:pStyle w:val="FootnoteText"/>
      </w:pPr>
      <w:r>
        <w:rPr>
          <w:rStyle w:val="FootnoteReference"/>
        </w:rPr>
        <w:footnoteRef/>
      </w:r>
      <w:r>
        <w:t xml:space="preserve"> </w:t>
      </w:r>
      <w:r w:rsidRPr="00544CC4">
        <w:rPr>
          <w:i/>
        </w:rPr>
        <w:t>See id.</w:t>
      </w:r>
      <w:r>
        <w:t xml:space="preserve"> (</w:t>
      </w:r>
      <w:r w:rsidRPr="00F05102">
        <w:rPr>
          <w:i/>
        </w:rPr>
        <w:t>as amended by</w:t>
      </w:r>
      <w:r>
        <w:t xml:space="preserve"> Section 103(b</w:t>
      </w:r>
      <w:r w:rsidRPr="00544CC4">
        <w:t>) of the STELAR)</w:t>
      </w:r>
      <w:r>
        <w:t>.</w:t>
      </w:r>
    </w:p>
  </w:footnote>
  <w:footnote w:id="6">
    <w:p w:rsidR="008043DF" w:rsidRPr="00F84962" w:rsidRDefault="008043DF">
      <w:pPr>
        <w:pStyle w:val="FootnoteText"/>
      </w:pPr>
      <w:r>
        <w:rPr>
          <w:rStyle w:val="FootnoteReference"/>
        </w:rPr>
        <w:footnoteRef/>
      </w:r>
      <w:r>
        <w:t xml:space="preserve"> </w:t>
      </w:r>
      <w:r>
        <w:rPr>
          <w:i/>
        </w:rPr>
        <w:t xml:space="preserve">See </w:t>
      </w:r>
      <w:r w:rsidR="00515B90">
        <w:rPr>
          <w:i/>
        </w:rPr>
        <w:t>id.</w:t>
      </w:r>
      <w:r>
        <w:t xml:space="preserve"> § 534(b)(9) (</w:t>
      </w:r>
      <w:r w:rsidRPr="00F05102">
        <w:rPr>
          <w:i/>
        </w:rPr>
        <w:t>as amended by</w:t>
      </w:r>
      <w:r>
        <w:t xml:space="preserve"> Section 105 of the STELAR).</w:t>
      </w:r>
    </w:p>
  </w:footnote>
  <w:footnote w:id="7">
    <w:p w:rsidR="00515B90" w:rsidRDefault="00515B90">
      <w:pPr>
        <w:pStyle w:val="FootnoteText"/>
      </w:pPr>
      <w:r>
        <w:rPr>
          <w:rStyle w:val="FootnoteReference"/>
        </w:rPr>
        <w:footnoteRef/>
      </w:r>
      <w:r>
        <w:t xml:space="preserve"> Provisions of the STELAR that we do not implement in this </w:t>
      </w:r>
      <w:r>
        <w:rPr>
          <w:i/>
        </w:rPr>
        <w:t xml:space="preserve">Order </w:t>
      </w:r>
      <w:r>
        <w:t>will be addressed in other proceedings.</w:t>
      </w:r>
    </w:p>
  </w:footnote>
  <w:footnote w:id="8">
    <w:p w:rsidR="00D546FF" w:rsidRDefault="00D546FF" w:rsidP="00D546FF">
      <w:pPr>
        <w:pStyle w:val="FootnoteText"/>
      </w:pPr>
      <w:r>
        <w:rPr>
          <w:rStyle w:val="FootnoteReference"/>
        </w:rPr>
        <w:footnoteRef/>
      </w:r>
      <w:r>
        <w:t xml:space="preserve"> </w:t>
      </w:r>
      <w:r w:rsidRPr="001472A4">
        <w:rPr>
          <w:i/>
        </w:rPr>
        <w:t>See</w:t>
      </w:r>
      <w:r>
        <w:t xml:space="preserve"> 5 U.S.C. § 553(b)(B).  </w:t>
      </w:r>
      <w:r w:rsidRPr="001472A4">
        <w:rPr>
          <w:i/>
        </w:rPr>
        <w:t>See</w:t>
      </w:r>
      <w:r w:rsidR="00515B90">
        <w:rPr>
          <w:i/>
        </w:rPr>
        <w:t xml:space="preserve"> also</w:t>
      </w:r>
      <w:r>
        <w:rPr>
          <w:i/>
        </w:rPr>
        <w:t xml:space="preserve"> </w:t>
      </w:r>
      <w:r w:rsidRPr="00FC7108">
        <w:rPr>
          <w:i/>
        </w:rPr>
        <w:t>Metzenbaum v. Federal Energy Regulatory Commission</w:t>
      </w:r>
      <w:r w:rsidRPr="00FC7108">
        <w:t>, 675 F.2d 1282, 1291 (D</w:t>
      </w:r>
      <w:r>
        <w:t>.</w:t>
      </w:r>
      <w:r w:rsidRPr="00FC7108">
        <w:t>C</w:t>
      </w:r>
      <w:r>
        <w:t>.</w:t>
      </w:r>
      <w:r w:rsidRPr="00FC7108">
        <w:t xml:space="preserve"> Cir. 1982) (agency order, issued pursuant to </w:t>
      </w:r>
      <w:r>
        <w:t>C</w:t>
      </w:r>
      <w:r w:rsidRPr="00FC7108">
        <w:t xml:space="preserve">ongressional waiver of certain provisions of federal law that otherwise </w:t>
      </w:r>
      <w:r>
        <w:t xml:space="preserve">would </w:t>
      </w:r>
      <w:r w:rsidRPr="00FC7108">
        <w:t xml:space="preserve">have governed construction and operation of Alaskan natural gas pipeline, was appropriately issued without notice and comment </w:t>
      </w:r>
      <w:r>
        <w:t xml:space="preserve">under the APA’s “good cause” exception </w:t>
      </w:r>
      <w:r w:rsidRPr="00FC7108">
        <w:t>as a nondiscretionary ministerial action);</w:t>
      </w:r>
      <w:r w:rsidRPr="00FC7108">
        <w:rPr>
          <w:i/>
        </w:rPr>
        <w:t> </w:t>
      </w:r>
      <w:r w:rsidRPr="007A0E39">
        <w:rPr>
          <w:i/>
        </w:rPr>
        <w:t>Komjathy v. Nat’l Transp. Safety Bd.</w:t>
      </w:r>
      <w:r>
        <w:t>, 832 F.2d 1294, 1296-97 (D.C. Cir. 1987) (notice and comment is un</w:t>
      </w:r>
      <w:r w:rsidR="00515B90">
        <w:t xml:space="preserve">necessary where the regulation </w:t>
      </w:r>
      <w:r>
        <w:t xml:space="preserve">does no more than repeat, virtually verbatim, the statutory grant of authority), </w:t>
      </w:r>
      <w:r>
        <w:rPr>
          <w:i/>
        </w:rPr>
        <w:t>cert. denied,</w:t>
      </w:r>
      <w:r>
        <w:t xml:space="preserve"> 486 U.S. 1057 (1988).  </w:t>
      </w:r>
    </w:p>
  </w:footnote>
  <w:footnote w:id="9">
    <w:p w:rsidR="008043DF" w:rsidRDefault="008043DF">
      <w:pPr>
        <w:pStyle w:val="FootnoteText"/>
      </w:pPr>
      <w:r>
        <w:rPr>
          <w:rStyle w:val="FootnoteReference"/>
        </w:rPr>
        <w:footnoteRef/>
      </w:r>
      <w:r>
        <w:t xml:space="preserve"> </w:t>
      </w:r>
      <w:r>
        <w:rPr>
          <w:i/>
        </w:rPr>
        <w:t xml:space="preserve">See </w:t>
      </w:r>
      <w:r>
        <w:t>47 U.S.C. § 325(b)(3)(C) (</w:t>
      </w:r>
      <w:r>
        <w:rPr>
          <w:i/>
        </w:rPr>
        <w:t xml:space="preserve">as amended by </w:t>
      </w:r>
      <w:r>
        <w:t>Section 101 of the STELAR) (requiring MVPDs and television broadcast stations to negotiate retransmission consent in good faith and prohibiting such stations from engaging in exclusive contracts for carriage).</w:t>
      </w:r>
    </w:p>
  </w:footnote>
  <w:footnote w:id="10">
    <w:p w:rsidR="00A52D38" w:rsidRPr="00A52D38" w:rsidRDefault="00A52D38">
      <w:pPr>
        <w:pStyle w:val="FootnoteText"/>
      </w:pPr>
      <w:r>
        <w:rPr>
          <w:rStyle w:val="FootnoteReference"/>
        </w:rPr>
        <w:footnoteRef/>
      </w:r>
      <w:r>
        <w:t xml:space="preserve"> </w:t>
      </w:r>
      <w:r>
        <w:rPr>
          <w:i/>
        </w:rPr>
        <w:t xml:space="preserve">See </w:t>
      </w:r>
      <w:r w:rsidR="0052131A">
        <w:t>Appendix</w:t>
      </w:r>
      <w:r>
        <w:t>.</w:t>
      </w:r>
    </w:p>
  </w:footnote>
  <w:footnote w:id="11">
    <w:p w:rsidR="008043DF" w:rsidRDefault="008043DF">
      <w:pPr>
        <w:pStyle w:val="FootnoteText"/>
      </w:pPr>
      <w:r>
        <w:rPr>
          <w:rStyle w:val="FootnoteReference"/>
        </w:rPr>
        <w:footnoteRef/>
      </w:r>
      <w:r>
        <w:t xml:space="preserve"> </w:t>
      </w:r>
      <w:r>
        <w:rPr>
          <w:i/>
        </w:rPr>
        <w:t xml:space="preserve">See </w:t>
      </w:r>
      <w:r>
        <w:t>47 U.S.C. § 325(b)(3)(C) (</w:t>
      </w:r>
      <w:r>
        <w:rPr>
          <w:i/>
        </w:rPr>
        <w:t xml:space="preserve">as amended by </w:t>
      </w:r>
      <w:r>
        <w:t>Section 103 of the STELAR).</w:t>
      </w:r>
    </w:p>
  </w:footnote>
  <w:footnote w:id="12">
    <w:p w:rsidR="00A450A0" w:rsidRPr="002F1C61" w:rsidRDefault="00A450A0" w:rsidP="00A450A0">
      <w:pPr>
        <w:pStyle w:val="FootnoteText"/>
      </w:pPr>
      <w:r>
        <w:rPr>
          <w:rStyle w:val="FootnoteReference"/>
        </w:rPr>
        <w:footnoteRef/>
      </w:r>
      <w:r>
        <w:t xml:space="preserve"> </w:t>
      </w:r>
      <w:r>
        <w:rPr>
          <w:i/>
        </w:rPr>
        <w:t xml:space="preserve">See </w:t>
      </w:r>
      <w:r>
        <w:t>Appendix.</w:t>
      </w:r>
    </w:p>
  </w:footnote>
  <w:footnote w:id="13">
    <w:p w:rsidR="00A450A0" w:rsidRDefault="00A450A0" w:rsidP="00A450A0">
      <w:pPr>
        <w:pStyle w:val="FootnoteText"/>
      </w:pPr>
      <w:r>
        <w:rPr>
          <w:rStyle w:val="FootnoteReference"/>
        </w:rPr>
        <w:footnoteRef/>
      </w:r>
      <w:r>
        <w:t xml:space="preserve"> For example, the prohibition on joint negotiation codified in Section 76.65(b)(1)(viii) of our existing rules applies by its terms only to same-market “Top Four” television broadcast stations, whereas the new statutory ban applies to </w:t>
      </w:r>
      <w:r>
        <w:rPr>
          <w:i/>
        </w:rPr>
        <w:t>all</w:t>
      </w:r>
      <w:r>
        <w:t xml:space="preserve"> same-market television broadcast stations.  Moreover, in contrast to the existing ban on joint negotiation (which permits joint negotiation of retransmission consent by stations that are commonly owned, operated or controlled as determined by the Commission’s broadcast attribution rules), the new statutory ban permits joint negotiation only by stations that “are directly or indirectly under common de jure control permitted under the regulations of the Commission.” </w:t>
      </w:r>
      <w:r w:rsidR="00492569">
        <w:t xml:space="preserve"> </w:t>
      </w:r>
      <w:r>
        <w:rPr>
          <w:i/>
        </w:rPr>
        <w:t xml:space="preserve">Compare </w:t>
      </w:r>
      <w:r>
        <w:t xml:space="preserve">47 C.F.R. § 76.65(b)(1)(viii) </w:t>
      </w:r>
      <w:r>
        <w:rPr>
          <w:i/>
        </w:rPr>
        <w:t xml:space="preserve">with </w:t>
      </w:r>
      <w:r>
        <w:t>47 U.S.C. § 325(b)(3)(C) (</w:t>
      </w:r>
      <w:r>
        <w:rPr>
          <w:i/>
        </w:rPr>
        <w:t>as amended by</w:t>
      </w:r>
      <w:r>
        <w:t xml:space="preserve"> Section 103(a) of the STELAR). </w:t>
      </w:r>
    </w:p>
  </w:footnote>
  <w:footnote w:id="14">
    <w:p w:rsidR="008043DF" w:rsidRPr="009B37DD" w:rsidRDefault="008043DF">
      <w:pPr>
        <w:pStyle w:val="FootnoteText"/>
        <w:rPr>
          <w:i/>
        </w:rPr>
      </w:pPr>
      <w:r>
        <w:rPr>
          <w:rStyle w:val="FootnoteReference"/>
        </w:rPr>
        <w:footnoteRef/>
      </w:r>
      <w:r>
        <w:t xml:space="preserve"> </w:t>
      </w:r>
      <w:r w:rsidR="00492569">
        <w:rPr>
          <w:i/>
        </w:rPr>
        <w:t xml:space="preserve">See </w:t>
      </w:r>
      <w:r w:rsidR="00492569">
        <w:t>47 U.S.C. § 325(b)(3)(C) (</w:t>
      </w:r>
      <w:r w:rsidR="00492569">
        <w:rPr>
          <w:i/>
        </w:rPr>
        <w:t xml:space="preserve">as amended by </w:t>
      </w:r>
      <w:r w:rsidR="00492569">
        <w:t>Section 103 of the STELAR).</w:t>
      </w:r>
    </w:p>
  </w:footnote>
  <w:footnote w:id="15">
    <w:p w:rsidR="000F2CB2" w:rsidRDefault="000F2CB2">
      <w:pPr>
        <w:pStyle w:val="FootnoteText"/>
      </w:pPr>
      <w:r>
        <w:rPr>
          <w:rStyle w:val="FootnoteReference"/>
        </w:rPr>
        <w:footnoteRef/>
      </w:r>
      <w:r>
        <w:t xml:space="preserve"> </w:t>
      </w:r>
      <w:r>
        <w:rPr>
          <w:i/>
        </w:rPr>
        <w:t xml:space="preserve">See </w:t>
      </w:r>
      <w:r w:rsidR="0052131A">
        <w:t>Appendix</w:t>
      </w:r>
      <w:r>
        <w:t>.</w:t>
      </w:r>
    </w:p>
  </w:footnote>
  <w:footnote w:id="16">
    <w:p w:rsidR="008209F1" w:rsidRPr="008209F1" w:rsidRDefault="008209F1">
      <w:pPr>
        <w:pStyle w:val="FootnoteText"/>
      </w:pPr>
      <w:r>
        <w:rPr>
          <w:rStyle w:val="FootnoteReference"/>
        </w:rPr>
        <w:footnoteRef/>
      </w:r>
      <w:r>
        <w:t xml:space="preserve"> </w:t>
      </w:r>
      <w:r>
        <w:rPr>
          <w:i/>
        </w:rPr>
        <w:t xml:space="preserve">See </w:t>
      </w:r>
      <w:r>
        <w:t>47 C.F.R. § 76.1601, Note 1.</w:t>
      </w:r>
    </w:p>
  </w:footnote>
  <w:footnote w:id="17">
    <w:p w:rsidR="000C4E66" w:rsidRDefault="000C4E66">
      <w:pPr>
        <w:pStyle w:val="FootnoteText"/>
      </w:pPr>
      <w:r>
        <w:rPr>
          <w:rStyle w:val="FootnoteReference"/>
        </w:rPr>
        <w:footnoteRef/>
      </w:r>
      <w:r>
        <w:t xml:space="preserve"> In particular, Section 105(a) of the STELAR amends Section 614(b)(9) of the Act by striking the second sentence, which states that “[n]o deletion or repositioning of a local commercial television station shall occur during a period in which major television ratings services measure the size of audiences of local television stations.”  47 U.S.C. § 534(b)(9). </w:t>
      </w:r>
    </w:p>
  </w:footnote>
  <w:footnote w:id="18">
    <w:p w:rsidR="00821B96" w:rsidRDefault="00821B96" w:rsidP="00821B96">
      <w:pPr>
        <w:pStyle w:val="FootnoteText"/>
      </w:pPr>
      <w:r>
        <w:rPr>
          <w:rStyle w:val="FootnoteReference"/>
        </w:rPr>
        <w:footnoteRef/>
      </w:r>
      <w:r>
        <w:t xml:space="preserve"> Section 105(b) of the STELAR provides that</w:t>
      </w:r>
      <w:r w:rsidR="000C4E66">
        <w:t xml:space="preserve"> “</w:t>
      </w:r>
      <w:r>
        <w:t>[n]ot later than 90 days after the date of enactment of this Act, the Commission shall revise section 76.1601 of its rules . . .</w:t>
      </w:r>
      <w:r w:rsidR="000C4E66">
        <w:t xml:space="preserve"> and</w:t>
      </w:r>
      <w:r>
        <w:t xml:space="preserve"> any note to such section by removing the </w:t>
      </w:r>
      <w:r w:rsidR="000C4E66">
        <w:t xml:space="preserve">[sweeps </w:t>
      </w:r>
      <w:r>
        <w:t>prohibition</w:t>
      </w:r>
      <w:r w:rsidR="000C4E66">
        <w:t>]</w:t>
      </w:r>
      <w:r>
        <w:t>.</w:t>
      </w:r>
      <w:r w:rsidR="000C4E66">
        <w:t xml:space="preserve">”  </w:t>
      </w:r>
      <w:r>
        <w:rPr>
          <w:i/>
        </w:rPr>
        <w:t xml:space="preserve">See </w:t>
      </w:r>
      <w:r w:rsidRPr="00083280">
        <w:t>Pub. L. No. 113-200, 128 Stat. 2059</w:t>
      </w:r>
      <w:r>
        <w:t>, § 105(b)</w:t>
      </w:r>
      <w:r w:rsidRPr="00083280">
        <w:t xml:space="preserve"> (2014)</w:t>
      </w:r>
      <w:r>
        <w:t>.</w:t>
      </w:r>
    </w:p>
  </w:footnote>
  <w:footnote w:id="19">
    <w:p w:rsidR="00110680" w:rsidRDefault="00110680">
      <w:pPr>
        <w:pStyle w:val="FootnoteText"/>
      </w:pPr>
      <w:r>
        <w:rPr>
          <w:rStyle w:val="FootnoteReference"/>
        </w:rPr>
        <w:footnoteRef/>
      </w:r>
      <w:r>
        <w:t xml:space="preserve"> </w:t>
      </w:r>
      <w:r>
        <w:rPr>
          <w:i/>
        </w:rPr>
        <w:t xml:space="preserve">See </w:t>
      </w:r>
      <w:r w:rsidR="0052131A">
        <w:t>Appendix</w:t>
      </w:r>
      <w:r>
        <w:t>.</w:t>
      </w:r>
    </w:p>
  </w:footnote>
  <w:footnote w:id="20">
    <w:p w:rsidR="00155C48" w:rsidRDefault="00155C48" w:rsidP="00155C48">
      <w:pPr>
        <w:pStyle w:val="FootnoteText"/>
      </w:pPr>
      <w:r>
        <w:rPr>
          <w:rStyle w:val="FootnoteReference"/>
        </w:rPr>
        <w:footnoteRef/>
      </w:r>
      <w:r>
        <w:t xml:space="preserve"> </w:t>
      </w:r>
      <w:r>
        <w:rPr>
          <w:i/>
        </w:rPr>
        <w:t>See, e.g., Implementation of SHVERA of 2004,</w:t>
      </w:r>
      <w:r>
        <w:t xml:space="preserve"> 20 FCC Rcd 7780, ¶ 1 n.3 (2005); </w:t>
      </w:r>
      <w:r w:rsidRPr="00F57906">
        <w:rPr>
          <w:i/>
        </w:rPr>
        <w:t xml:space="preserve">Implementation of Section 505 of the Telecommunications Act of 1996 </w:t>
      </w:r>
      <w:r w:rsidRPr="00F57906">
        <w:t>(Scrambling of Sexually Explicit Adult Video Service Programming)</w:t>
      </w:r>
      <w:r>
        <w:t xml:space="preserve">, 11 FCC Rcd 5386, 5387 (1996); </w:t>
      </w:r>
      <w:r w:rsidRPr="00F57906">
        <w:rPr>
          <w:i/>
        </w:rPr>
        <w:t xml:space="preserve">Implementation of Sections 204(A) and 204(C) of the Telecommunications Act of 1996 </w:t>
      </w:r>
      <w:r w:rsidRPr="00F57906">
        <w:t>(Broadcast License Renewal Procedures)</w:t>
      </w:r>
      <w:r>
        <w:t xml:space="preserve">, 11 FCC Rcd 6363, 6364 (1996); </w:t>
      </w:r>
      <w:r w:rsidRPr="00F57906">
        <w:rPr>
          <w:i/>
        </w:rPr>
        <w:t>Implementation of Sections 202(A) and 202(B)(1) of the Telecommunications Act of 1996</w:t>
      </w:r>
      <w:r>
        <w:t xml:space="preserve"> (Broadcast Radio Ownership), 11 FCC Rcd 12368, 12371 (1996); </w:t>
      </w:r>
      <w:r w:rsidRPr="00F57906">
        <w:rPr>
          <w:i/>
        </w:rPr>
        <w:t>Implementation of Sections 202(c)(1) and 202(e) of the Telecommunications Act of 1996</w:t>
      </w:r>
      <w:r>
        <w:t xml:space="preserve"> (National Broadcast Television Ownership and Dual Network Operations), 11 FCC Rcd 12374, 12377 (1996).</w:t>
      </w:r>
    </w:p>
  </w:footnote>
  <w:footnote w:id="21">
    <w:p w:rsidR="000B5A4A" w:rsidRDefault="000B5A4A" w:rsidP="000B5A4A">
      <w:pPr>
        <w:pStyle w:val="FootnoteText"/>
      </w:pPr>
      <w:r>
        <w:rPr>
          <w:rStyle w:val="FootnoteReference"/>
        </w:rPr>
        <w:footnoteRef/>
      </w:r>
      <w:r>
        <w:t xml:space="preserve"> </w:t>
      </w:r>
      <w:r w:rsidR="00A52D38">
        <w:rPr>
          <w:i/>
        </w:rPr>
        <w:t xml:space="preserve">See </w:t>
      </w:r>
      <w:r w:rsidR="00A52D38">
        <w:t>5 U.S.C. § 553(b)</w:t>
      </w:r>
      <w:r w:rsidR="00D546FF">
        <w:t>(B)</w:t>
      </w:r>
      <w:r w:rsidR="00A52D38">
        <w:t xml:space="preserve">.  </w:t>
      </w:r>
    </w:p>
  </w:footnote>
  <w:footnote w:id="22">
    <w:p w:rsidR="00844060" w:rsidRDefault="00844060">
      <w:pPr>
        <w:pStyle w:val="FootnoteText"/>
      </w:pPr>
      <w:r>
        <w:rPr>
          <w:rStyle w:val="FootnoteReference"/>
        </w:rPr>
        <w:footnoteRef/>
      </w:r>
      <w:r>
        <w:t xml:space="preserve"> </w:t>
      </w:r>
      <w:r>
        <w:rPr>
          <w:i/>
          <w:iCs/>
          <w:color w:val="000000"/>
        </w:rPr>
        <w:t>See</w:t>
      </w:r>
      <w:r>
        <w:rPr>
          <w:color w:val="000000"/>
        </w:rPr>
        <w:t xml:space="preserve"> 5 U.S.C. § 603.  The RFA, </w:t>
      </w:r>
      <w:r>
        <w:rPr>
          <w:i/>
          <w:iCs/>
          <w:color w:val="000000"/>
        </w:rPr>
        <w:t xml:space="preserve">see </w:t>
      </w:r>
      <w:r>
        <w:rPr>
          <w:color w:val="000000"/>
        </w:rPr>
        <w:t xml:space="preserve">5 U.S.C. § 601 </w:t>
      </w:r>
      <w:r>
        <w:rPr>
          <w:i/>
          <w:iCs/>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w:t>
      </w:r>
    </w:p>
  </w:footnote>
  <w:footnote w:id="23">
    <w:p w:rsidR="008A072D" w:rsidRPr="00697530" w:rsidRDefault="008A072D" w:rsidP="008A072D">
      <w:pPr>
        <w:pStyle w:val="FootnoteText"/>
      </w:pPr>
      <w:r w:rsidRPr="00697530">
        <w:rPr>
          <w:rStyle w:val="FootnoteReference"/>
        </w:rPr>
        <w:footnoteRef/>
      </w:r>
      <w:r w:rsidRPr="00697530">
        <w:t xml:space="preserve"> The Paper</w:t>
      </w:r>
      <w:r w:rsidR="00171598">
        <w:t>work Reduction Act of 1995</w:t>
      </w:r>
      <w:r w:rsidRPr="00697530">
        <w:t>, Pub. L. No. 104-13, 109 Stat</w:t>
      </w:r>
      <w:r w:rsidR="00171598">
        <w:t>.</w:t>
      </w:r>
      <w:r w:rsidRPr="00697530">
        <w:t xml:space="preserve"> 163 (1995) (codified in Chapter 35 of title 44 U.S.C.).</w:t>
      </w:r>
    </w:p>
  </w:footnote>
  <w:footnote w:id="24">
    <w:p w:rsidR="008A072D" w:rsidRPr="00697530" w:rsidRDefault="008A072D" w:rsidP="008A072D">
      <w:pPr>
        <w:pStyle w:val="FootnoteText"/>
      </w:pPr>
      <w:r w:rsidRPr="00697530">
        <w:rPr>
          <w:rStyle w:val="FootnoteReference"/>
        </w:rPr>
        <w:footnoteRef/>
      </w:r>
      <w:r w:rsidRPr="00697530">
        <w:t xml:space="preserve"> The Small Business Paperwork Relief Act of 2002 (SBPRA), Pub. L. No. 107-198, 116 Stat</w:t>
      </w:r>
      <w:r w:rsidR="00171598">
        <w:t>.</w:t>
      </w:r>
      <w:r w:rsidRPr="00697530">
        <w:t xml:space="preserve"> 729 (2002) (codified in Chapter 35 of title 44 U.S.C.); </w:t>
      </w:r>
      <w:r w:rsidRPr="00697530">
        <w:rPr>
          <w:i/>
        </w:rPr>
        <w:t>see</w:t>
      </w:r>
      <w:r w:rsidRPr="00697530">
        <w:t xml:space="preserve"> 44 U.S.C. 3506(c)(4).</w:t>
      </w:r>
    </w:p>
  </w:footnote>
  <w:footnote w:id="25">
    <w:p w:rsidR="008A072D" w:rsidRPr="00697530" w:rsidRDefault="008A072D" w:rsidP="008A072D">
      <w:pPr>
        <w:pStyle w:val="FootnoteText"/>
      </w:pPr>
      <w:r w:rsidRPr="00697530">
        <w:rPr>
          <w:rStyle w:val="FootnoteReference"/>
        </w:rPr>
        <w:footnoteRef/>
      </w:r>
      <w:r w:rsidRPr="00697530">
        <w:t xml:space="preserve"> </w:t>
      </w:r>
      <w:r w:rsidRPr="00697530">
        <w:rPr>
          <w:i/>
        </w:rPr>
        <w:t>See</w:t>
      </w:r>
      <w:r w:rsidRPr="00697530">
        <w:t xml:space="preserve"> 5 U.S.C. § 801(a)(1)(A).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91E" w:rsidRDefault="003419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01" w:rsidRDefault="00CB0401" w:rsidP="00CB0401">
    <w:pPr>
      <w:pStyle w:val="Header"/>
      <w:rPr>
        <w:b w:val="0"/>
      </w:rPr>
    </w:pPr>
    <w:r>
      <w:rPr>
        <w:noProof/>
        <w:snapToGrid/>
      </w:rPr>
      <mc:AlternateContent>
        <mc:Choice Requires="wps">
          <w:drawing>
            <wp:anchor distT="0" distB="0" distL="114300" distR="114300" simplePos="0" relativeHeight="251662336" behindDoc="1" locked="0" layoutInCell="0" allowOverlap="1" wp14:anchorId="0C8FD77C" wp14:editId="054A64F3">
              <wp:simplePos x="0" y="0"/>
              <wp:positionH relativeFrom="margin">
                <wp:posOffset>7620</wp:posOffset>
              </wp:positionH>
              <wp:positionV relativeFrom="paragraph">
                <wp:posOffset>160655</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InNU3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w:t>
    </w:r>
    <w:r w:rsidR="0070666A">
      <w:t>unications Commission</w:t>
    </w:r>
    <w:r w:rsidR="0070666A">
      <w:tab/>
      <w:t>FCC 15-21</w:t>
    </w:r>
  </w:p>
  <w:p w:rsidR="008043DF" w:rsidRPr="00CB0401" w:rsidRDefault="008043DF" w:rsidP="00CB04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01" w:rsidRDefault="00CB0401" w:rsidP="00CB0401">
    <w:pPr>
      <w:pStyle w:val="Header"/>
      <w:rPr>
        <w:b w:val="0"/>
      </w:rPr>
    </w:pPr>
    <w:r>
      <w:rPr>
        <w:noProof/>
        <w:snapToGrid/>
      </w:rPr>
      <mc:AlternateContent>
        <mc:Choice Requires="wps">
          <w:drawing>
            <wp:anchor distT="0" distB="0" distL="114300" distR="114300" simplePos="0" relativeHeight="251660288" behindDoc="1" locked="0" layoutInCell="0" allowOverlap="1" wp14:anchorId="1A641AE0" wp14:editId="0D67B595">
              <wp:simplePos x="0" y="0"/>
              <wp:positionH relativeFrom="margin">
                <wp:posOffset>7620</wp:posOffset>
              </wp:positionH>
              <wp:positionV relativeFrom="paragraph">
                <wp:posOffset>160655</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3rhq96gIAADI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w:t>
    </w:r>
    <w:r w:rsidR="0070666A">
      <w:t>unications Commission</w:t>
    </w:r>
    <w:r w:rsidR="0070666A">
      <w:tab/>
      <w:t>FCC 15-21</w:t>
    </w:r>
    <w:r w:rsidR="0070666A">
      <w:tab/>
    </w:r>
  </w:p>
  <w:p w:rsidR="008043DF" w:rsidRPr="00CB0401" w:rsidRDefault="008043DF" w:rsidP="00CB0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240AD6"/>
    <w:multiLevelType w:val="hybridMultilevel"/>
    <w:tmpl w:val="F91C5F4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190B49"/>
    <w:multiLevelType w:val="hybridMultilevel"/>
    <w:tmpl w:val="17E4D214"/>
    <w:lvl w:ilvl="0" w:tplc="9F9471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D9B153C"/>
    <w:multiLevelType w:val="hybridMultilevel"/>
    <w:tmpl w:val="77B281E0"/>
    <w:lvl w:ilvl="0" w:tplc="09D6C538">
      <w:start w:val="1"/>
      <w:numFmt w:val="decimal"/>
      <w:lvlText w:val="%1."/>
      <w:lvlJc w:val="left"/>
      <w:pPr>
        <w:tabs>
          <w:tab w:val="num" w:pos="720"/>
        </w:tabs>
        <w:ind w:left="0" w:firstLine="72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E4E1EA7"/>
    <w:multiLevelType w:val="hybridMultilevel"/>
    <w:tmpl w:val="30E8C0A8"/>
    <w:lvl w:ilvl="0" w:tplc="8662FA68">
      <w:start w:val="1"/>
      <w:numFmt w:val="upperLetter"/>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5"/>
  </w:num>
  <w:num w:numId="3">
    <w:abstractNumId w:val="6"/>
  </w:num>
  <w:num w:numId="4">
    <w:abstractNumId w:val="10"/>
  </w:num>
  <w:num w:numId="5">
    <w:abstractNumId w:val="3"/>
  </w:num>
  <w:num w:numId="6">
    <w:abstractNumId w:val="1"/>
  </w:num>
  <w:num w:numId="7">
    <w:abstractNumId w:val="7"/>
  </w:num>
  <w:num w:numId="8">
    <w:abstractNumId w:val="2"/>
  </w:num>
  <w:num w:numId="9">
    <w:abstractNumId w:val="0"/>
  </w:num>
  <w:num w:numId="10">
    <w:abstractNumId w:val="9"/>
  </w:num>
  <w:num w:numId="11">
    <w:abstractNumId w:val="10"/>
  </w:num>
  <w:num w:numId="12">
    <w:abstractNumId w:val="10"/>
  </w:num>
  <w:num w:numId="13">
    <w:abstractNumId w:val="10"/>
  </w:num>
  <w:num w:numId="14">
    <w:abstractNumId w:val="3"/>
  </w:num>
  <w:num w:numId="15">
    <w:abstractNumId w:val="10"/>
  </w:num>
  <w:num w:numId="16">
    <w:abstractNumId w:val="10"/>
  </w:num>
  <w:num w:numId="17">
    <w:abstractNumId w:val="10"/>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AB"/>
    <w:rsid w:val="00005575"/>
    <w:rsid w:val="0001216E"/>
    <w:rsid w:val="00016256"/>
    <w:rsid w:val="000215C4"/>
    <w:rsid w:val="00043862"/>
    <w:rsid w:val="00044636"/>
    <w:rsid w:val="0005589F"/>
    <w:rsid w:val="00072D55"/>
    <w:rsid w:val="000747FA"/>
    <w:rsid w:val="00083280"/>
    <w:rsid w:val="00084743"/>
    <w:rsid w:val="0008544D"/>
    <w:rsid w:val="00086DFD"/>
    <w:rsid w:val="00087041"/>
    <w:rsid w:val="000A03C0"/>
    <w:rsid w:val="000A0EE9"/>
    <w:rsid w:val="000A1BD0"/>
    <w:rsid w:val="000A481E"/>
    <w:rsid w:val="000B5A4A"/>
    <w:rsid w:val="000B6599"/>
    <w:rsid w:val="000C207F"/>
    <w:rsid w:val="000C4882"/>
    <w:rsid w:val="000C4E66"/>
    <w:rsid w:val="000D1495"/>
    <w:rsid w:val="000F031F"/>
    <w:rsid w:val="000F2CB2"/>
    <w:rsid w:val="00110680"/>
    <w:rsid w:val="0011448C"/>
    <w:rsid w:val="00115AC1"/>
    <w:rsid w:val="0012285F"/>
    <w:rsid w:val="00127712"/>
    <w:rsid w:val="00133F03"/>
    <w:rsid w:val="00146ABF"/>
    <w:rsid w:val="001472A4"/>
    <w:rsid w:val="00150B39"/>
    <w:rsid w:val="00154B57"/>
    <w:rsid w:val="00155C48"/>
    <w:rsid w:val="00160DD6"/>
    <w:rsid w:val="00162376"/>
    <w:rsid w:val="001670C4"/>
    <w:rsid w:val="00171598"/>
    <w:rsid w:val="0017588C"/>
    <w:rsid w:val="001951D9"/>
    <w:rsid w:val="001B0BA9"/>
    <w:rsid w:val="001B175B"/>
    <w:rsid w:val="001B2ED2"/>
    <w:rsid w:val="001B621C"/>
    <w:rsid w:val="001C4D1E"/>
    <w:rsid w:val="001E1A5D"/>
    <w:rsid w:val="001E4013"/>
    <w:rsid w:val="001E62C8"/>
    <w:rsid w:val="001F1216"/>
    <w:rsid w:val="001F1B8B"/>
    <w:rsid w:val="001F2932"/>
    <w:rsid w:val="001F2D55"/>
    <w:rsid w:val="001F5437"/>
    <w:rsid w:val="00207580"/>
    <w:rsid w:val="002104CA"/>
    <w:rsid w:val="002105EF"/>
    <w:rsid w:val="002136C9"/>
    <w:rsid w:val="00217249"/>
    <w:rsid w:val="0022067D"/>
    <w:rsid w:val="00221571"/>
    <w:rsid w:val="0023252D"/>
    <w:rsid w:val="0024032F"/>
    <w:rsid w:val="00240799"/>
    <w:rsid w:val="00242262"/>
    <w:rsid w:val="00244A2C"/>
    <w:rsid w:val="00256572"/>
    <w:rsid w:val="002601E7"/>
    <w:rsid w:val="00267327"/>
    <w:rsid w:val="00272CBF"/>
    <w:rsid w:val="00272DAD"/>
    <w:rsid w:val="00273D5B"/>
    <w:rsid w:val="002749DD"/>
    <w:rsid w:val="00280435"/>
    <w:rsid w:val="00287E78"/>
    <w:rsid w:val="002A1734"/>
    <w:rsid w:val="002B6B1D"/>
    <w:rsid w:val="002B70C3"/>
    <w:rsid w:val="002B765F"/>
    <w:rsid w:val="002C216A"/>
    <w:rsid w:val="002D2368"/>
    <w:rsid w:val="002D3632"/>
    <w:rsid w:val="002D5380"/>
    <w:rsid w:val="002F1C61"/>
    <w:rsid w:val="00301056"/>
    <w:rsid w:val="003035C6"/>
    <w:rsid w:val="003069D9"/>
    <w:rsid w:val="003123A9"/>
    <w:rsid w:val="00314864"/>
    <w:rsid w:val="00315E55"/>
    <w:rsid w:val="003238E2"/>
    <w:rsid w:val="00325B10"/>
    <w:rsid w:val="0032609E"/>
    <w:rsid w:val="00326FC7"/>
    <w:rsid w:val="0034191E"/>
    <w:rsid w:val="00345637"/>
    <w:rsid w:val="00362EEA"/>
    <w:rsid w:val="00375C6F"/>
    <w:rsid w:val="00382C43"/>
    <w:rsid w:val="00384BA0"/>
    <w:rsid w:val="003878AB"/>
    <w:rsid w:val="00395193"/>
    <w:rsid w:val="0039549F"/>
    <w:rsid w:val="003A7FF6"/>
    <w:rsid w:val="003B0361"/>
    <w:rsid w:val="003B07B9"/>
    <w:rsid w:val="003B31C8"/>
    <w:rsid w:val="003B4604"/>
    <w:rsid w:val="003B6BFA"/>
    <w:rsid w:val="003C261D"/>
    <w:rsid w:val="003C5825"/>
    <w:rsid w:val="003D3502"/>
    <w:rsid w:val="003D56D0"/>
    <w:rsid w:val="003D5703"/>
    <w:rsid w:val="003E5EB5"/>
    <w:rsid w:val="003E63F5"/>
    <w:rsid w:val="003F09D4"/>
    <w:rsid w:val="003F3B31"/>
    <w:rsid w:val="003F506C"/>
    <w:rsid w:val="00401FF1"/>
    <w:rsid w:val="00402AA1"/>
    <w:rsid w:val="00402F40"/>
    <w:rsid w:val="00405222"/>
    <w:rsid w:val="004220F6"/>
    <w:rsid w:val="004238F2"/>
    <w:rsid w:val="004324A5"/>
    <w:rsid w:val="004325EF"/>
    <w:rsid w:val="00433742"/>
    <w:rsid w:val="004412CF"/>
    <w:rsid w:val="0044208A"/>
    <w:rsid w:val="00443F61"/>
    <w:rsid w:val="00446EB1"/>
    <w:rsid w:val="00451386"/>
    <w:rsid w:val="00471772"/>
    <w:rsid w:val="00472640"/>
    <w:rsid w:val="00475961"/>
    <w:rsid w:val="00481AB2"/>
    <w:rsid w:val="00482A81"/>
    <w:rsid w:val="00485AC5"/>
    <w:rsid w:val="00492569"/>
    <w:rsid w:val="0049302C"/>
    <w:rsid w:val="0049417A"/>
    <w:rsid w:val="004A0C2D"/>
    <w:rsid w:val="004A6BF1"/>
    <w:rsid w:val="004B3ECD"/>
    <w:rsid w:val="004B517E"/>
    <w:rsid w:val="004B7D75"/>
    <w:rsid w:val="004C4CDC"/>
    <w:rsid w:val="004C6A7C"/>
    <w:rsid w:val="004D0BCA"/>
    <w:rsid w:val="004D7EA7"/>
    <w:rsid w:val="004E49C5"/>
    <w:rsid w:val="004E5108"/>
    <w:rsid w:val="004E7369"/>
    <w:rsid w:val="004F22D6"/>
    <w:rsid w:val="00503234"/>
    <w:rsid w:val="00505967"/>
    <w:rsid w:val="00510036"/>
    <w:rsid w:val="00515B90"/>
    <w:rsid w:val="00520CDB"/>
    <w:rsid w:val="0052131A"/>
    <w:rsid w:val="005233AB"/>
    <w:rsid w:val="005241FA"/>
    <w:rsid w:val="00525C0A"/>
    <w:rsid w:val="00525FB1"/>
    <w:rsid w:val="00526E14"/>
    <w:rsid w:val="00530343"/>
    <w:rsid w:val="00530F90"/>
    <w:rsid w:val="005418B6"/>
    <w:rsid w:val="00542EF2"/>
    <w:rsid w:val="00544CC4"/>
    <w:rsid w:val="00545E16"/>
    <w:rsid w:val="005471DF"/>
    <w:rsid w:val="00547EAE"/>
    <w:rsid w:val="00550416"/>
    <w:rsid w:val="00567371"/>
    <w:rsid w:val="005A12D8"/>
    <w:rsid w:val="005A1E9C"/>
    <w:rsid w:val="005B1AD9"/>
    <w:rsid w:val="005B4DA0"/>
    <w:rsid w:val="005B6CBE"/>
    <w:rsid w:val="005B795B"/>
    <w:rsid w:val="005D18C3"/>
    <w:rsid w:val="005D3036"/>
    <w:rsid w:val="005E712F"/>
    <w:rsid w:val="005F0BB4"/>
    <w:rsid w:val="005F40D6"/>
    <w:rsid w:val="00605A10"/>
    <w:rsid w:val="00615DFC"/>
    <w:rsid w:val="00617D95"/>
    <w:rsid w:val="00620F1C"/>
    <w:rsid w:val="0063056B"/>
    <w:rsid w:val="0063659A"/>
    <w:rsid w:val="00636F48"/>
    <w:rsid w:val="0063770B"/>
    <w:rsid w:val="00650791"/>
    <w:rsid w:val="00653CD4"/>
    <w:rsid w:val="00654A06"/>
    <w:rsid w:val="00656B42"/>
    <w:rsid w:val="0066124A"/>
    <w:rsid w:val="00671D0F"/>
    <w:rsid w:val="00675636"/>
    <w:rsid w:val="00676307"/>
    <w:rsid w:val="00677929"/>
    <w:rsid w:val="00681067"/>
    <w:rsid w:val="0068325B"/>
    <w:rsid w:val="00683D1D"/>
    <w:rsid w:val="0068463B"/>
    <w:rsid w:val="00685512"/>
    <w:rsid w:val="0069059C"/>
    <w:rsid w:val="006947D3"/>
    <w:rsid w:val="006A0451"/>
    <w:rsid w:val="006A6DC5"/>
    <w:rsid w:val="006B0F68"/>
    <w:rsid w:val="006B1D1E"/>
    <w:rsid w:val="006B28AB"/>
    <w:rsid w:val="006B5C40"/>
    <w:rsid w:val="006B5C43"/>
    <w:rsid w:val="006C41CF"/>
    <w:rsid w:val="006C61F2"/>
    <w:rsid w:val="006E11E3"/>
    <w:rsid w:val="006E1C2B"/>
    <w:rsid w:val="006E3657"/>
    <w:rsid w:val="006F6D47"/>
    <w:rsid w:val="007040D8"/>
    <w:rsid w:val="0070666A"/>
    <w:rsid w:val="00714ED5"/>
    <w:rsid w:val="00723AD2"/>
    <w:rsid w:val="0073383A"/>
    <w:rsid w:val="0073530F"/>
    <w:rsid w:val="00742FF2"/>
    <w:rsid w:val="0074523F"/>
    <w:rsid w:val="00745CA5"/>
    <w:rsid w:val="00751355"/>
    <w:rsid w:val="00753A45"/>
    <w:rsid w:val="00754184"/>
    <w:rsid w:val="00763505"/>
    <w:rsid w:val="00767E77"/>
    <w:rsid w:val="00772F8B"/>
    <w:rsid w:val="0077604E"/>
    <w:rsid w:val="0077704D"/>
    <w:rsid w:val="007913D0"/>
    <w:rsid w:val="0079701B"/>
    <w:rsid w:val="007A0923"/>
    <w:rsid w:val="007A0E39"/>
    <w:rsid w:val="007A7C6C"/>
    <w:rsid w:val="007B3CC4"/>
    <w:rsid w:val="007B66D5"/>
    <w:rsid w:val="007C1AFD"/>
    <w:rsid w:val="007C4674"/>
    <w:rsid w:val="007D0030"/>
    <w:rsid w:val="007D073B"/>
    <w:rsid w:val="007D197F"/>
    <w:rsid w:val="007D425C"/>
    <w:rsid w:val="007E3277"/>
    <w:rsid w:val="007E41CB"/>
    <w:rsid w:val="007E507C"/>
    <w:rsid w:val="007E6BCA"/>
    <w:rsid w:val="007E7846"/>
    <w:rsid w:val="007F5DC0"/>
    <w:rsid w:val="007F7F96"/>
    <w:rsid w:val="008043DF"/>
    <w:rsid w:val="00804E4E"/>
    <w:rsid w:val="00812A3D"/>
    <w:rsid w:val="008147B5"/>
    <w:rsid w:val="00816286"/>
    <w:rsid w:val="008168EC"/>
    <w:rsid w:val="00820949"/>
    <w:rsid w:val="008209F1"/>
    <w:rsid w:val="00821B96"/>
    <w:rsid w:val="00832518"/>
    <w:rsid w:val="00832BB6"/>
    <w:rsid w:val="00844060"/>
    <w:rsid w:val="00845136"/>
    <w:rsid w:val="00852334"/>
    <w:rsid w:val="00856ED8"/>
    <w:rsid w:val="00857730"/>
    <w:rsid w:val="008636CF"/>
    <w:rsid w:val="00865CAF"/>
    <w:rsid w:val="00871E62"/>
    <w:rsid w:val="008815B4"/>
    <w:rsid w:val="00884165"/>
    <w:rsid w:val="00885558"/>
    <w:rsid w:val="00893123"/>
    <w:rsid w:val="008A072D"/>
    <w:rsid w:val="008B1D56"/>
    <w:rsid w:val="008B22A9"/>
    <w:rsid w:val="008B69B2"/>
    <w:rsid w:val="008D14E9"/>
    <w:rsid w:val="008D2A1B"/>
    <w:rsid w:val="008D3F82"/>
    <w:rsid w:val="008E6B0E"/>
    <w:rsid w:val="00902CCC"/>
    <w:rsid w:val="00906406"/>
    <w:rsid w:val="00906DC6"/>
    <w:rsid w:val="009116EB"/>
    <w:rsid w:val="00912AB1"/>
    <w:rsid w:val="00923ECE"/>
    <w:rsid w:val="0092474B"/>
    <w:rsid w:val="00933066"/>
    <w:rsid w:val="00936EB8"/>
    <w:rsid w:val="0094179A"/>
    <w:rsid w:val="0095472E"/>
    <w:rsid w:val="00954EED"/>
    <w:rsid w:val="00990417"/>
    <w:rsid w:val="009A0614"/>
    <w:rsid w:val="009A4C9B"/>
    <w:rsid w:val="009B1B3A"/>
    <w:rsid w:val="009B37DD"/>
    <w:rsid w:val="009B4F1B"/>
    <w:rsid w:val="009B608B"/>
    <w:rsid w:val="009C184B"/>
    <w:rsid w:val="009C2FEB"/>
    <w:rsid w:val="009D69E9"/>
    <w:rsid w:val="009D6C6C"/>
    <w:rsid w:val="009E4177"/>
    <w:rsid w:val="009E68AD"/>
    <w:rsid w:val="009F1BDF"/>
    <w:rsid w:val="009F340B"/>
    <w:rsid w:val="00A00E89"/>
    <w:rsid w:val="00A020F6"/>
    <w:rsid w:val="00A0334E"/>
    <w:rsid w:val="00A044F0"/>
    <w:rsid w:val="00A05C75"/>
    <w:rsid w:val="00A1645B"/>
    <w:rsid w:val="00A20895"/>
    <w:rsid w:val="00A2392D"/>
    <w:rsid w:val="00A370A6"/>
    <w:rsid w:val="00A41CA0"/>
    <w:rsid w:val="00A450A0"/>
    <w:rsid w:val="00A52D38"/>
    <w:rsid w:val="00A5428D"/>
    <w:rsid w:val="00A577B8"/>
    <w:rsid w:val="00A6429F"/>
    <w:rsid w:val="00A77D0C"/>
    <w:rsid w:val="00A855BD"/>
    <w:rsid w:val="00A86542"/>
    <w:rsid w:val="00A97544"/>
    <w:rsid w:val="00AA2264"/>
    <w:rsid w:val="00AA73A7"/>
    <w:rsid w:val="00AB0CB0"/>
    <w:rsid w:val="00AB11D8"/>
    <w:rsid w:val="00AB1433"/>
    <w:rsid w:val="00AC03CE"/>
    <w:rsid w:val="00AC2100"/>
    <w:rsid w:val="00AC3706"/>
    <w:rsid w:val="00AD0D35"/>
    <w:rsid w:val="00AE53A2"/>
    <w:rsid w:val="00AE669A"/>
    <w:rsid w:val="00AF0E48"/>
    <w:rsid w:val="00AF2B9C"/>
    <w:rsid w:val="00AF6C68"/>
    <w:rsid w:val="00B00B3B"/>
    <w:rsid w:val="00B019B4"/>
    <w:rsid w:val="00B0425B"/>
    <w:rsid w:val="00B049E9"/>
    <w:rsid w:val="00B1306E"/>
    <w:rsid w:val="00B201E8"/>
    <w:rsid w:val="00B228CB"/>
    <w:rsid w:val="00B24139"/>
    <w:rsid w:val="00B3191F"/>
    <w:rsid w:val="00B37148"/>
    <w:rsid w:val="00B41A8C"/>
    <w:rsid w:val="00B51796"/>
    <w:rsid w:val="00B53DA2"/>
    <w:rsid w:val="00B628A7"/>
    <w:rsid w:val="00B66A4E"/>
    <w:rsid w:val="00B819F1"/>
    <w:rsid w:val="00B8752D"/>
    <w:rsid w:val="00B9310D"/>
    <w:rsid w:val="00B967DA"/>
    <w:rsid w:val="00B97E72"/>
    <w:rsid w:val="00BA4ACF"/>
    <w:rsid w:val="00BA7667"/>
    <w:rsid w:val="00BB2074"/>
    <w:rsid w:val="00BB6143"/>
    <w:rsid w:val="00BB7142"/>
    <w:rsid w:val="00BC04CD"/>
    <w:rsid w:val="00BC3133"/>
    <w:rsid w:val="00BD4B60"/>
    <w:rsid w:val="00BD5D86"/>
    <w:rsid w:val="00BE0F29"/>
    <w:rsid w:val="00BE14D7"/>
    <w:rsid w:val="00BE4082"/>
    <w:rsid w:val="00BE4D9A"/>
    <w:rsid w:val="00BF06D9"/>
    <w:rsid w:val="00BF2DE3"/>
    <w:rsid w:val="00BF6AA0"/>
    <w:rsid w:val="00C015BC"/>
    <w:rsid w:val="00C03998"/>
    <w:rsid w:val="00C17CDD"/>
    <w:rsid w:val="00C23574"/>
    <w:rsid w:val="00C236DD"/>
    <w:rsid w:val="00C26277"/>
    <w:rsid w:val="00C35905"/>
    <w:rsid w:val="00C36A45"/>
    <w:rsid w:val="00C40AB5"/>
    <w:rsid w:val="00C45957"/>
    <w:rsid w:val="00C56187"/>
    <w:rsid w:val="00C6260B"/>
    <w:rsid w:val="00C67802"/>
    <w:rsid w:val="00C70950"/>
    <w:rsid w:val="00C96EB4"/>
    <w:rsid w:val="00C979ED"/>
    <w:rsid w:val="00CB0401"/>
    <w:rsid w:val="00CB3EB7"/>
    <w:rsid w:val="00CC1452"/>
    <w:rsid w:val="00CC3795"/>
    <w:rsid w:val="00CC39B7"/>
    <w:rsid w:val="00CD592E"/>
    <w:rsid w:val="00CE020B"/>
    <w:rsid w:val="00CE1E88"/>
    <w:rsid w:val="00CF5927"/>
    <w:rsid w:val="00CF5D2A"/>
    <w:rsid w:val="00D05755"/>
    <w:rsid w:val="00D1521F"/>
    <w:rsid w:val="00D16F4A"/>
    <w:rsid w:val="00D242A3"/>
    <w:rsid w:val="00D244E2"/>
    <w:rsid w:val="00D32E94"/>
    <w:rsid w:val="00D546FF"/>
    <w:rsid w:val="00D674D1"/>
    <w:rsid w:val="00D80870"/>
    <w:rsid w:val="00D82989"/>
    <w:rsid w:val="00D83AF2"/>
    <w:rsid w:val="00D85546"/>
    <w:rsid w:val="00D85918"/>
    <w:rsid w:val="00D933BE"/>
    <w:rsid w:val="00D95087"/>
    <w:rsid w:val="00DA21A5"/>
    <w:rsid w:val="00DA3D17"/>
    <w:rsid w:val="00DA5121"/>
    <w:rsid w:val="00DA5177"/>
    <w:rsid w:val="00DC3D22"/>
    <w:rsid w:val="00DC7E14"/>
    <w:rsid w:val="00DD53C3"/>
    <w:rsid w:val="00DE1787"/>
    <w:rsid w:val="00DE2A65"/>
    <w:rsid w:val="00DE6112"/>
    <w:rsid w:val="00DF180B"/>
    <w:rsid w:val="00DF2B03"/>
    <w:rsid w:val="00DF4A92"/>
    <w:rsid w:val="00E0715D"/>
    <w:rsid w:val="00E10849"/>
    <w:rsid w:val="00E151A3"/>
    <w:rsid w:val="00E26F5D"/>
    <w:rsid w:val="00E30FEB"/>
    <w:rsid w:val="00E31BDA"/>
    <w:rsid w:val="00E35DB6"/>
    <w:rsid w:val="00E40CCA"/>
    <w:rsid w:val="00E4213F"/>
    <w:rsid w:val="00E47914"/>
    <w:rsid w:val="00E61F52"/>
    <w:rsid w:val="00E67F5E"/>
    <w:rsid w:val="00E70E73"/>
    <w:rsid w:val="00E83388"/>
    <w:rsid w:val="00E848CE"/>
    <w:rsid w:val="00E9111D"/>
    <w:rsid w:val="00E954C3"/>
    <w:rsid w:val="00E96418"/>
    <w:rsid w:val="00EA273A"/>
    <w:rsid w:val="00EA278A"/>
    <w:rsid w:val="00EA5D87"/>
    <w:rsid w:val="00EA7940"/>
    <w:rsid w:val="00EB00F2"/>
    <w:rsid w:val="00EB224F"/>
    <w:rsid w:val="00EC44F9"/>
    <w:rsid w:val="00ED6ED7"/>
    <w:rsid w:val="00EE5658"/>
    <w:rsid w:val="00F00974"/>
    <w:rsid w:val="00F05102"/>
    <w:rsid w:val="00F21BD2"/>
    <w:rsid w:val="00F23097"/>
    <w:rsid w:val="00F4122A"/>
    <w:rsid w:val="00F473D8"/>
    <w:rsid w:val="00F52DB6"/>
    <w:rsid w:val="00F53504"/>
    <w:rsid w:val="00F54774"/>
    <w:rsid w:val="00F57906"/>
    <w:rsid w:val="00F579CA"/>
    <w:rsid w:val="00F72BAC"/>
    <w:rsid w:val="00F84962"/>
    <w:rsid w:val="00F849CC"/>
    <w:rsid w:val="00F90B97"/>
    <w:rsid w:val="00F91F6A"/>
    <w:rsid w:val="00F92C58"/>
    <w:rsid w:val="00FA05B2"/>
    <w:rsid w:val="00FA7CB0"/>
    <w:rsid w:val="00FB0156"/>
    <w:rsid w:val="00FB499F"/>
    <w:rsid w:val="00FB5F89"/>
    <w:rsid w:val="00FC2D3A"/>
    <w:rsid w:val="00FC7108"/>
    <w:rsid w:val="00FD0C98"/>
    <w:rsid w:val="00FD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C8"/>
    <w:pPr>
      <w:widowControl w:val="0"/>
    </w:pPr>
    <w:rPr>
      <w:snapToGrid w:val="0"/>
      <w:kern w:val="28"/>
      <w:sz w:val="22"/>
    </w:rPr>
  </w:style>
  <w:style w:type="paragraph" w:styleId="Heading1">
    <w:name w:val="heading 1"/>
    <w:basedOn w:val="Normal"/>
    <w:next w:val="ParaNum"/>
    <w:qFormat/>
    <w:rsid w:val="001E62C8"/>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E62C8"/>
    <w:pPr>
      <w:keepNext/>
      <w:numPr>
        <w:ilvl w:val="1"/>
        <w:numId w:val="5"/>
      </w:numPr>
      <w:spacing w:after="120"/>
      <w:outlineLvl w:val="1"/>
    </w:pPr>
    <w:rPr>
      <w:b/>
    </w:rPr>
  </w:style>
  <w:style w:type="paragraph" w:styleId="Heading3">
    <w:name w:val="heading 3"/>
    <w:basedOn w:val="Normal"/>
    <w:next w:val="ParaNum"/>
    <w:qFormat/>
    <w:rsid w:val="001E62C8"/>
    <w:pPr>
      <w:keepNext/>
      <w:numPr>
        <w:ilvl w:val="2"/>
        <w:numId w:val="5"/>
      </w:numPr>
      <w:tabs>
        <w:tab w:val="left" w:pos="2160"/>
      </w:tabs>
      <w:spacing w:after="120"/>
      <w:outlineLvl w:val="2"/>
    </w:pPr>
    <w:rPr>
      <w:b/>
    </w:rPr>
  </w:style>
  <w:style w:type="paragraph" w:styleId="Heading4">
    <w:name w:val="heading 4"/>
    <w:basedOn w:val="Normal"/>
    <w:next w:val="ParaNum"/>
    <w:qFormat/>
    <w:rsid w:val="001E62C8"/>
    <w:pPr>
      <w:keepNext/>
      <w:numPr>
        <w:ilvl w:val="3"/>
        <w:numId w:val="5"/>
      </w:numPr>
      <w:tabs>
        <w:tab w:val="left" w:pos="2880"/>
      </w:tabs>
      <w:spacing w:after="120"/>
      <w:outlineLvl w:val="3"/>
    </w:pPr>
    <w:rPr>
      <w:b/>
    </w:rPr>
  </w:style>
  <w:style w:type="paragraph" w:styleId="Heading5">
    <w:name w:val="heading 5"/>
    <w:basedOn w:val="Normal"/>
    <w:next w:val="ParaNum"/>
    <w:qFormat/>
    <w:rsid w:val="001E62C8"/>
    <w:pPr>
      <w:keepNext/>
      <w:numPr>
        <w:ilvl w:val="4"/>
        <w:numId w:val="5"/>
      </w:numPr>
      <w:tabs>
        <w:tab w:val="left" w:pos="3600"/>
      </w:tabs>
      <w:suppressAutoHyphens/>
      <w:spacing w:after="120"/>
      <w:outlineLvl w:val="4"/>
    </w:pPr>
    <w:rPr>
      <w:b/>
    </w:rPr>
  </w:style>
  <w:style w:type="paragraph" w:styleId="Heading6">
    <w:name w:val="heading 6"/>
    <w:aliases w:val="h6"/>
    <w:basedOn w:val="Normal"/>
    <w:next w:val="ParaNum"/>
    <w:qFormat/>
    <w:rsid w:val="001E62C8"/>
    <w:pPr>
      <w:numPr>
        <w:ilvl w:val="5"/>
        <w:numId w:val="5"/>
      </w:numPr>
      <w:tabs>
        <w:tab w:val="left" w:pos="4320"/>
      </w:tabs>
      <w:spacing w:after="120"/>
      <w:outlineLvl w:val="5"/>
    </w:pPr>
    <w:rPr>
      <w:b/>
    </w:rPr>
  </w:style>
  <w:style w:type="paragraph" w:styleId="Heading7">
    <w:name w:val="heading 7"/>
    <w:aliases w:val="Heading 7 Char"/>
    <w:basedOn w:val="Normal"/>
    <w:next w:val="ParaNum"/>
    <w:qFormat/>
    <w:rsid w:val="001E62C8"/>
    <w:pPr>
      <w:numPr>
        <w:ilvl w:val="6"/>
        <w:numId w:val="5"/>
      </w:numPr>
      <w:tabs>
        <w:tab w:val="left" w:pos="5040"/>
      </w:tabs>
      <w:spacing w:after="120"/>
      <w:ind w:left="5040" w:hanging="720"/>
      <w:outlineLvl w:val="6"/>
    </w:pPr>
    <w:rPr>
      <w:b/>
    </w:rPr>
  </w:style>
  <w:style w:type="paragraph" w:styleId="Heading8">
    <w:name w:val="heading 8"/>
    <w:basedOn w:val="Normal"/>
    <w:next w:val="ParaNum"/>
    <w:qFormat/>
    <w:rsid w:val="001E62C8"/>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qFormat/>
    <w:rsid w:val="001E62C8"/>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E62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62C8"/>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1E62C8"/>
    <w:pPr>
      <w:numPr>
        <w:numId w:val="4"/>
      </w:numPr>
      <w:tabs>
        <w:tab w:val="clear" w:pos="1080"/>
        <w:tab w:val="num" w:pos="1440"/>
      </w:tabs>
      <w:spacing w:after="120"/>
    </w:pPr>
  </w:style>
  <w:style w:type="paragraph" w:styleId="FootnoteText">
    <w:name w:val="footnote text"/>
    <w:aliases w:val="Footnote Text Char,Footnote Text Char1 Char,Footnote Text Char Char Char,Footnote Text Char1 Char Char Char,Footnote Text Char Char Char Char Char,Footnote Text Char1 Char Char Char Char Char,Footnote Text Char1 Char Char Char1"/>
    <w:link w:val="FootnoteTextChar1"/>
    <w:rsid w:val="001E62C8"/>
    <w:pPr>
      <w:spacing w:after="120"/>
    </w:pPr>
  </w:style>
  <w:style w:type="paragraph" w:customStyle="1" w:styleId="Bullet">
    <w:name w:val="Bullet"/>
    <w:basedOn w:val="Normal"/>
    <w:rsid w:val="001E62C8"/>
    <w:pPr>
      <w:tabs>
        <w:tab w:val="left" w:pos="2160"/>
      </w:tabs>
      <w:spacing w:after="220"/>
      <w:ind w:left="2160" w:hanging="720"/>
    </w:pPr>
  </w:style>
  <w:style w:type="paragraph" w:styleId="BlockText">
    <w:name w:val="Block Text"/>
    <w:basedOn w:val="Normal"/>
    <w:rsid w:val="001E62C8"/>
    <w:pPr>
      <w:spacing w:after="240"/>
      <w:ind w:left="1440" w:right="1440"/>
    </w:pPr>
  </w:style>
  <w:style w:type="paragraph" w:customStyle="1" w:styleId="TableFormat">
    <w:name w:val="TableFormat"/>
    <w:basedOn w:val="Bullet"/>
    <w:rsid w:val="001E62C8"/>
    <w:pPr>
      <w:tabs>
        <w:tab w:val="clear" w:pos="2160"/>
        <w:tab w:val="left" w:pos="5040"/>
      </w:tabs>
      <w:ind w:left="5040" w:hanging="3600"/>
    </w:pPr>
  </w:style>
  <w:style w:type="character" w:styleId="FootnoteReference">
    <w:name w:val="footnote reference"/>
    <w:aliases w:val="Style 12,(NECG) Footnote Reference,Appel note de bas de p,Style 124,o,fr,Style 3,Style 13,FR,Style 17,Style 6,Footnote Reference/,Style 4,Style 7"/>
    <w:rsid w:val="001E62C8"/>
    <w:rPr>
      <w:rFonts w:ascii="Times New Roman" w:hAnsi="Times New Roman"/>
      <w:dstrike w:val="0"/>
      <w:color w:val="auto"/>
      <w:sz w:val="20"/>
      <w:vertAlign w:val="superscript"/>
    </w:rPr>
  </w:style>
  <w:style w:type="paragraph" w:styleId="Header">
    <w:name w:val="header"/>
    <w:basedOn w:val="Normal"/>
    <w:autoRedefine/>
    <w:rsid w:val="001E62C8"/>
    <w:pPr>
      <w:tabs>
        <w:tab w:val="center" w:pos="4680"/>
        <w:tab w:val="right" w:pos="9360"/>
      </w:tabs>
    </w:pPr>
    <w:rPr>
      <w:b/>
    </w:rPr>
  </w:style>
  <w:style w:type="paragraph" w:styleId="Footer">
    <w:name w:val="footer"/>
    <w:basedOn w:val="Normal"/>
    <w:link w:val="FooterChar"/>
    <w:rsid w:val="001E62C8"/>
    <w:pPr>
      <w:tabs>
        <w:tab w:val="center" w:pos="4320"/>
        <w:tab w:val="right" w:pos="8640"/>
      </w:tabs>
    </w:pPr>
  </w:style>
  <w:style w:type="paragraph" w:styleId="TOC2">
    <w:name w:val="toc 2"/>
    <w:basedOn w:val="Normal"/>
    <w:next w:val="Normal"/>
    <w:semiHidden/>
    <w:rsid w:val="001E62C8"/>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1"/>
      </w:numPr>
      <w:tabs>
        <w:tab w:val="clear" w:pos="1080"/>
      </w:tabs>
      <w:spacing w:after="220"/>
      <w:ind w:firstLine="0"/>
    </w:pPr>
  </w:style>
  <w:style w:type="paragraph" w:styleId="TOC1">
    <w:name w:val="toc 1"/>
    <w:basedOn w:val="Normal"/>
    <w:next w:val="Normal"/>
    <w:semiHidden/>
    <w:rsid w:val="001E62C8"/>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1E62C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E62C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E62C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E62C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E62C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E62C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E62C8"/>
    <w:pPr>
      <w:tabs>
        <w:tab w:val="left" w:pos="3240"/>
        <w:tab w:val="right" w:leader="dot" w:pos="9360"/>
      </w:tabs>
      <w:suppressAutoHyphens/>
      <w:ind w:left="3240" w:hanging="360"/>
    </w:pPr>
    <w:rPr>
      <w:noProof/>
    </w:rPr>
  </w:style>
  <w:style w:type="character" w:styleId="PageNumber">
    <w:name w:val="page number"/>
    <w:basedOn w:val="DefaultParagraphFont"/>
    <w:rsid w:val="001E62C8"/>
  </w:style>
  <w:style w:type="paragraph" w:styleId="Title">
    <w:name w:val="Title"/>
    <w:basedOn w:val="Normal"/>
    <w:qFormat/>
    <w:pPr>
      <w:jc w:val="center"/>
    </w:pPr>
    <w:rPr>
      <w:b/>
    </w:rPr>
  </w:style>
  <w:style w:type="character" w:styleId="Hyperlink">
    <w:name w:val="Hyperlink"/>
    <w:rsid w:val="001E62C8"/>
    <w:rPr>
      <w:color w:val="0000FF"/>
      <w:u w:val="single"/>
    </w:rPr>
  </w:style>
  <w:style w:type="paragraph" w:styleId="HTMLPreformatted">
    <w:name w:val="HTML Preformatted"/>
    <w:basedOn w:val="Normal"/>
    <w:rsid w:val="00451386"/>
    <w:rPr>
      <w:rFonts w:ascii="Courier New" w:hAnsi="Courier New" w:cs="Courier New"/>
      <w:sz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1 Char Char Char Char Char Char"/>
    <w:basedOn w:val="DefaultParagraphFont"/>
    <w:link w:val="FootnoteText"/>
    <w:rsid w:val="00E35DB6"/>
  </w:style>
  <w:style w:type="paragraph" w:styleId="BalloonText">
    <w:name w:val="Balloon Text"/>
    <w:basedOn w:val="Normal"/>
    <w:semiHidden/>
    <w:rsid w:val="005B6CBE"/>
    <w:rPr>
      <w:rFonts w:ascii="Tahoma" w:hAnsi="Tahoma" w:cs="Tahoma"/>
      <w:sz w:val="16"/>
      <w:szCs w:val="16"/>
    </w:rPr>
  </w:style>
  <w:style w:type="paragraph" w:styleId="EndnoteText">
    <w:name w:val="endnote text"/>
    <w:basedOn w:val="Normal"/>
    <w:link w:val="EndnoteTextChar"/>
    <w:semiHidden/>
    <w:rsid w:val="001E62C8"/>
    <w:rPr>
      <w:sz w:val="20"/>
    </w:rPr>
  </w:style>
  <w:style w:type="character" w:customStyle="1" w:styleId="EndnoteTextChar">
    <w:name w:val="Endnote Text Char"/>
    <w:link w:val="EndnoteText"/>
    <w:semiHidden/>
    <w:rsid w:val="004238F2"/>
    <w:rPr>
      <w:snapToGrid w:val="0"/>
      <w:kern w:val="28"/>
    </w:rPr>
  </w:style>
  <w:style w:type="character" w:styleId="EndnoteReference">
    <w:name w:val="endnote reference"/>
    <w:semiHidden/>
    <w:rsid w:val="001E62C8"/>
    <w:rPr>
      <w:vertAlign w:val="superscript"/>
    </w:rPr>
  </w:style>
  <w:style w:type="paragraph" w:styleId="TOAHeading">
    <w:name w:val="toa heading"/>
    <w:basedOn w:val="Normal"/>
    <w:next w:val="Normal"/>
    <w:semiHidden/>
    <w:rsid w:val="001E62C8"/>
    <w:pPr>
      <w:tabs>
        <w:tab w:val="right" w:pos="9360"/>
      </w:tabs>
      <w:suppressAutoHyphens/>
    </w:pPr>
  </w:style>
  <w:style w:type="character" w:customStyle="1" w:styleId="EquationCaption">
    <w:name w:val="_Equation Caption"/>
    <w:rsid w:val="001E62C8"/>
  </w:style>
  <w:style w:type="paragraph" w:customStyle="1" w:styleId="Paratitle">
    <w:name w:val="Para title"/>
    <w:basedOn w:val="Normal"/>
    <w:rsid w:val="001E62C8"/>
    <w:pPr>
      <w:tabs>
        <w:tab w:val="center" w:pos="9270"/>
      </w:tabs>
      <w:spacing w:after="240"/>
    </w:pPr>
    <w:rPr>
      <w:spacing w:val="-2"/>
    </w:rPr>
  </w:style>
  <w:style w:type="paragraph" w:customStyle="1" w:styleId="TOCTitle">
    <w:name w:val="TOC Title"/>
    <w:basedOn w:val="Normal"/>
    <w:rsid w:val="001E62C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E62C8"/>
    <w:pPr>
      <w:jc w:val="center"/>
    </w:pPr>
    <w:rPr>
      <w:rFonts w:ascii="Times New Roman Bold" w:hAnsi="Times New Roman Bold"/>
      <w:b/>
      <w:bCs/>
      <w:caps/>
      <w:szCs w:val="22"/>
    </w:rPr>
  </w:style>
  <w:style w:type="character" w:customStyle="1" w:styleId="ptext-4">
    <w:name w:val="ptext-4"/>
    <w:rsid w:val="00EA7940"/>
    <w:rPr>
      <w:b w:val="0"/>
      <w:bCs w:val="0"/>
    </w:rPr>
  </w:style>
  <w:style w:type="paragraph" w:styleId="ListParagraph">
    <w:name w:val="List Paragraph"/>
    <w:basedOn w:val="Normal"/>
    <w:uiPriority w:val="34"/>
    <w:qFormat/>
    <w:rsid w:val="00E10849"/>
    <w:pPr>
      <w:widowControl/>
      <w:spacing w:after="200" w:line="276" w:lineRule="auto"/>
      <w:ind w:left="720"/>
      <w:contextualSpacing/>
    </w:pPr>
    <w:rPr>
      <w:rFonts w:ascii="Calibri" w:eastAsia="Calibri" w:hAnsi="Calibri"/>
      <w:snapToGrid/>
      <w:kern w:val="0"/>
      <w:szCs w:val="22"/>
    </w:rPr>
  </w:style>
  <w:style w:type="character" w:customStyle="1" w:styleId="ParaNumChar">
    <w:name w:val="ParaNum Char"/>
    <w:link w:val="ParaNum"/>
    <w:rsid w:val="000A0EE9"/>
    <w:rPr>
      <w:snapToGrid w:val="0"/>
      <w:kern w:val="28"/>
      <w:sz w:val="22"/>
    </w:rPr>
  </w:style>
  <w:style w:type="paragraph" w:customStyle="1" w:styleId="ColorfulList-Accent11">
    <w:name w:val="Colorful List - Accent 11"/>
    <w:basedOn w:val="Normal"/>
    <w:uiPriority w:val="34"/>
    <w:qFormat/>
    <w:rsid w:val="000A0EE9"/>
    <w:pPr>
      <w:ind w:left="720"/>
      <w:contextualSpacing/>
    </w:pPr>
    <w:rPr>
      <w:snapToGrid/>
      <w:sz w:val="24"/>
      <w:szCs w:val="24"/>
    </w:rPr>
  </w:style>
  <w:style w:type="paragraph" w:customStyle="1" w:styleId="Default">
    <w:name w:val="Default"/>
    <w:rsid w:val="000A0EE9"/>
    <w:pPr>
      <w:autoSpaceDE w:val="0"/>
      <w:autoSpaceDN w:val="0"/>
      <w:adjustRightInd w:val="0"/>
    </w:pPr>
    <w:rPr>
      <w:color w:val="000000"/>
      <w:sz w:val="24"/>
      <w:szCs w:val="24"/>
    </w:rPr>
  </w:style>
  <w:style w:type="paragraph" w:customStyle="1" w:styleId="CM35">
    <w:name w:val="CM35"/>
    <w:basedOn w:val="Default"/>
    <w:next w:val="Default"/>
    <w:uiPriority w:val="99"/>
    <w:rsid w:val="000A0EE9"/>
    <w:rPr>
      <w:color w:val="auto"/>
    </w:rPr>
  </w:style>
  <w:style w:type="paragraph" w:styleId="NormalWeb">
    <w:name w:val="Normal (Web)"/>
    <w:basedOn w:val="Normal"/>
    <w:uiPriority w:val="99"/>
    <w:semiHidden/>
    <w:unhideWhenUsed/>
    <w:rsid w:val="006947D3"/>
    <w:pPr>
      <w:widowControl/>
      <w:spacing w:before="100" w:beforeAutospacing="1" w:after="100" w:afterAutospacing="1"/>
    </w:pPr>
    <w:rPr>
      <w:snapToGrid/>
      <w:kern w:val="0"/>
      <w:sz w:val="24"/>
      <w:szCs w:val="24"/>
    </w:rPr>
  </w:style>
  <w:style w:type="character" w:customStyle="1" w:styleId="ParaNumChar1">
    <w:name w:val="ParaNum Char1"/>
    <w:rsid w:val="008A072D"/>
    <w:rPr>
      <w:snapToGrid w:val="0"/>
      <w:kern w:val="28"/>
      <w:sz w:val="22"/>
    </w:rPr>
  </w:style>
  <w:style w:type="character" w:styleId="CommentReference">
    <w:name w:val="annotation reference"/>
    <w:basedOn w:val="DefaultParagraphFont"/>
    <w:uiPriority w:val="99"/>
    <w:semiHidden/>
    <w:unhideWhenUsed/>
    <w:rsid w:val="00DC7E14"/>
    <w:rPr>
      <w:sz w:val="16"/>
      <w:szCs w:val="16"/>
    </w:rPr>
  </w:style>
  <w:style w:type="paragraph" w:styleId="CommentText">
    <w:name w:val="annotation text"/>
    <w:basedOn w:val="Normal"/>
    <w:link w:val="CommentTextChar"/>
    <w:uiPriority w:val="99"/>
    <w:semiHidden/>
    <w:unhideWhenUsed/>
    <w:rsid w:val="00DC7E14"/>
    <w:rPr>
      <w:sz w:val="20"/>
    </w:rPr>
  </w:style>
  <w:style w:type="character" w:customStyle="1" w:styleId="CommentTextChar">
    <w:name w:val="Comment Text Char"/>
    <w:basedOn w:val="DefaultParagraphFont"/>
    <w:link w:val="CommentText"/>
    <w:uiPriority w:val="99"/>
    <w:semiHidden/>
    <w:rsid w:val="00DC7E14"/>
    <w:rPr>
      <w:snapToGrid w:val="0"/>
      <w:kern w:val="28"/>
    </w:rPr>
  </w:style>
  <w:style w:type="paragraph" w:styleId="CommentSubject">
    <w:name w:val="annotation subject"/>
    <w:basedOn w:val="CommentText"/>
    <w:next w:val="CommentText"/>
    <w:link w:val="CommentSubjectChar"/>
    <w:uiPriority w:val="99"/>
    <w:semiHidden/>
    <w:unhideWhenUsed/>
    <w:rsid w:val="00DC7E14"/>
    <w:rPr>
      <w:b/>
      <w:bCs/>
    </w:rPr>
  </w:style>
  <w:style w:type="character" w:customStyle="1" w:styleId="CommentSubjectChar">
    <w:name w:val="Comment Subject Char"/>
    <w:basedOn w:val="CommentTextChar"/>
    <w:link w:val="CommentSubject"/>
    <w:uiPriority w:val="99"/>
    <w:semiHidden/>
    <w:rsid w:val="00DC7E14"/>
    <w:rPr>
      <w:b/>
      <w:bCs/>
      <w:snapToGrid w:val="0"/>
      <w:kern w:val="28"/>
    </w:rPr>
  </w:style>
  <w:style w:type="paragraph" w:styleId="Revision">
    <w:name w:val="Revision"/>
    <w:hidden/>
    <w:uiPriority w:val="99"/>
    <w:semiHidden/>
    <w:rsid w:val="00DC7E14"/>
    <w:rPr>
      <w:snapToGrid w:val="0"/>
      <w:kern w:val="28"/>
      <w:sz w:val="22"/>
    </w:rPr>
  </w:style>
  <w:style w:type="character" w:customStyle="1" w:styleId="FooterChar">
    <w:name w:val="Footer Char"/>
    <w:basedOn w:val="DefaultParagraphFont"/>
    <w:link w:val="Footer"/>
    <w:rsid w:val="0089312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C8"/>
    <w:pPr>
      <w:widowControl w:val="0"/>
    </w:pPr>
    <w:rPr>
      <w:snapToGrid w:val="0"/>
      <w:kern w:val="28"/>
      <w:sz w:val="22"/>
    </w:rPr>
  </w:style>
  <w:style w:type="paragraph" w:styleId="Heading1">
    <w:name w:val="heading 1"/>
    <w:basedOn w:val="Normal"/>
    <w:next w:val="ParaNum"/>
    <w:qFormat/>
    <w:rsid w:val="001E62C8"/>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E62C8"/>
    <w:pPr>
      <w:keepNext/>
      <w:numPr>
        <w:ilvl w:val="1"/>
        <w:numId w:val="5"/>
      </w:numPr>
      <w:spacing w:after="120"/>
      <w:outlineLvl w:val="1"/>
    </w:pPr>
    <w:rPr>
      <w:b/>
    </w:rPr>
  </w:style>
  <w:style w:type="paragraph" w:styleId="Heading3">
    <w:name w:val="heading 3"/>
    <w:basedOn w:val="Normal"/>
    <w:next w:val="ParaNum"/>
    <w:qFormat/>
    <w:rsid w:val="001E62C8"/>
    <w:pPr>
      <w:keepNext/>
      <w:numPr>
        <w:ilvl w:val="2"/>
        <w:numId w:val="5"/>
      </w:numPr>
      <w:tabs>
        <w:tab w:val="left" w:pos="2160"/>
      </w:tabs>
      <w:spacing w:after="120"/>
      <w:outlineLvl w:val="2"/>
    </w:pPr>
    <w:rPr>
      <w:b/>
    </w:rPr>
  </w:style>
  <w:style w:type="paragraph" w:styleId="Heading4">
    <w:name w:val="heading 4"/>
    <w:basedOn w:val="Normal"/>
    <w:next w:val="ParaNum"/>
    <w:qFormat/>
    <w:rsid w:val="001E62C8"/>
    <w:pPr>
      <w:keepNext/>
      <w:numPr>
        <w:ilvl w:val="3"/>
        <w:numId w:val="5"/>
      </w:numPr>
      <w:tabs>
        <w:tab w:val="left" w:pos="2880"/>
      </w:tabs>
      <w:spacing w:after="120"/>
      <w:outlineLvl w:val="3"/>
    </w:pPr>
    <w:rPr>
      <w:b/>
    </w:rPr>
  </w:style>
  <w:style w:type="paragraph" w:styleId="Heading5">
    <w:name w:val="heading 5"/>
    <w:basedOn w:val="Normal"/>
    <w:next w:val="ParaNum"/>
    <w:qFormat/>
    <w:rsid w:val="001E62C8"/>
    <w:pPr>
      <w:keepNext/>
      <w:numPr>
        <w:ilvl w:val="4"/>
        <w:numId w:val="5"/>
      </w:numPr>
      <w:tabs>
        <w:tab w:val="left" w:pos="3600"/>
      </w:tabs>
      <w:suppressAutoHyphens/>
      <w:spacing w:after="120"/>
      <w:outlineLvl w:val="4"/>
    </w:pPr>
    <w:rPr>
      <w:b/>
    </w:rPr>
  </w:style>
  <w:style w:type="paragraph" w:styleId="Heading6">
    <w:name w:val="heading 6"/>
    <w:aliases w:val="h6"/>
    <w:basedOn w:val="Normal"/>
    <w:next w:val="ParaNum"/>
    <w:qFormat/>
    <w:rsid w:val="001E62C8"/>
    <w:pPr>
      <w:numPr>
        <w:ilvl w:val="5"/>
        <w:numId w:val="5"/>
      </w:numPr>
      <w:tabs>
        <w:tab w:val="left" w:pos="4320"/>
      </w:tabs>
      <w:spacing w:after="120"/>
      <w:outlineLvl w:val="5"/>
    </w:pPr>
    <w:rPr>
      <w:b/>
    </w:rPr>
  </w:style>
  <w:style w:type="paragraph" w:styleId="Heading7">
    <w:name w:val="heading 7"/>
    <w:aliases w:val="Heading 7 Char"/>
    <w:basedOn w:val="Normal"/>
    <w:next w:val="ParaNum"/>
    <w:qFormat/>
    <w:rsid w:val="001E62C8"/>
    <w:pPr>
      <w:numPr>
        <w:ilvl w:val="6"/>
        <w:numId w:val="5"/>
      </w:numPr>
      <w:tabs>
        <w:tab w:val="left" w:pos="5040"/>
      </w:tabs>
      <w:spacing w:after="120"/>
      <w:ind w:left="5040" w:hanging="720"/>
      <w:outlineLvl w:val="6"/>
    </w:pPr>
    <w:rPr>
      <w:b/>
    </w:rPr>
  </w:style>
  <w:style w:type="paragraph" w:styleId="Heading8">
    <w:name w:val="heading 8"/>
    <w:basedOn w:val="Normal"/>
    <w:next w:val="ParaNum"/>
    <w:qFormat/>
    <w:rsid w:val="001E62C8"/>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qFormat/>
    <w:rsid w:val="001E62C8"/>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E62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62C8"/>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1E62C8"/>
    <w:pPr>
      <w:numPr>
        <w:numId w:val="4"/>
      </w:numPr>
      <w:tabs>
        <w:tab w:val="clear" w:pos="1080"/>
        <w:tab w:val="num" w:pos="1440"/>
      </w:tabs>
      <w:spacing w:after="120"/>
    </w:pPr>
  </w:style>
  <w:style w:type="paragraph" w:styleId="FootnoteText">
    <w:name w:val="footnote text"/>
    <w:aliases w:val="Footnote Text Char,Footnote Text Char1 Char,Footnote Text Char Char Char,Footnote Text Char1 Char Char Char,Footnote Text Char Char Char Char Char,Footnote Text Char1 Char Char Char Char Char,Footnote Text Char1 Char Char Char1"/>
    <w:link w:val="FootnoteTextChar1"/>
    <w:rsid w:val="001E62C8"/>
    <w:pPr>
      <w:spacing w:after="120"/>
    </w:pPr>
  </w:style>
  <w:style w:type="paragraph" w:customStyle="1" w:styleId="Bullet">
    <w:name w:val="Bullet"/>
    <w:basedOn w:val="Normal"/>
    <w:rsid w:val="001E62C8"/>
    <w:pPr>
      <w:tabs>
        <w:tab w:val="left" w:pos="2160"/>
      </w:tabs>
      <w:spacing w:after="220"/>
      <w:ind w:left="2160" w:hanging="720"/>
    </w:pPr>
  </w:style>
  <w:style w:type="paragraph" w:styleId="BlockText">
    <w:name w:val="Block Text"/>
    <w:basedOn w:val="Normal"/>
    <w:rsid w:val="001E62C8"/>
    <w:pPr>
      <w:spacing w:after="240"/>
      <w:ind w:left="1440" w:right="1440"/>
    </w:pPr>
  </w:style>
  <w:style w:type="paragraph" w:customStyle="1" w:styleId="TableFormat">
    <w:name w:val="TableFormat"/>
    <w:basedOn w:val="Bullet"/>
    <w:rsid w:val="001E62C8"/>
    <w:pPr>
      <w:tabs>
        <w:tab w:val="clear" w:pos="2160"/>
        <w:tab w:val="left" w:pos="5040"/>
      </w:tabs>
      <w:ind w:left="5040" w:hanging="3600"/>
    </w:pPr>
  </w:style>
  <w:style w:type="character" w:styleId="FootnoteReference">
    <w:name w:val="footnote reference"/>
    <w:aliases w:val="Style 12,(NECG) Footnote Reference,Appel note de bas de p,Style 124,o,fr,Style 3,Style 13,FR,Style 17,Style 6,Footnote Reference/,Style 4,Style 7"/>
    <w:rsid w:val="001E62C8"/>
    <w:rPr>
      <w:rFonts w:ascii="Times New Roman" w:hAnsi="Times New Roman"/>
      <w:dstrike w:val="0"/>
      <w:color w:val="auto"/>
      <w:sz w:val="20"/>
      <w:vertAlign w:val="superscript"/>
    </w:rPr>
  </w:style>
  <w:style w:type="paragraph" w:styleId="Header">
    <w:name w:val="header"/>
    <w:basedOn w:val="Normal"/>
    <w:autoRedefine/>
    <w:rsid w:val="001E62C8"/>
    <w:pPr>
      <w:tabs>
        <w:tab w:val="center" w:pos="4680"/>
        <w:tab w:val="right" w:pos="9360"/>
      </w:tabs>
    </w:pPr>
    <w:rPr>
      <w:b/>
    </w:rPr>
  </w:style>
  <w:style w:type="paragraph" w:styleId="Footer">
    <w:name w:val="footer"/>
    <w:basedOn w:val="Normal"/>
    <w:link w:val="FooterChar"/>
    <w:rsid w:val="001E62C8"/>
    <w:pPr>
      <w:tabs>
        <w:tab w:val="center" w:pos="4320"/>
        <w:tab w:val="right" w:pos="8640"/>
      </w:tabs>
    </w:pPr>
  </w:style>
  <w:style w:type="paragraph" w:styleId="TOC2">
    <w:name w:val="toc 2"/>
    <w:basedOn w:val="Normal"/>
    <w:next w:val="Normal"/>
    <w:semiHidden/>
    <w:rsid w:val="001E62C8"/>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1"/>
      </w:numPr>
      <w:tabs>
        <w:tab w:val="clear" w:pos="1080"/>
      </w:tabs>
      <w:spacing w:after="220"/>
      <w:ind w:firstLine="0"/>
    </w:pPr>
  </w:style>
  <w:style w:type="paragraph" w:styleId="TOC1">
    <w:name w:val="toc 1"/>
    <w:basedOn w:val="Normal"/>
    <w:next w:val="Normal"/>
    <w:semiHidden/>
    <w:rsid w:val="001E62C8"/>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1E62C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E62C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E62C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E62C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E62C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E62C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E62C8"/>
    <w:pPr>
      <w:tabs>
        <w:tab w:val="left" w:pos="3240"/>
        <w:tab w:val="right" w:leader="dot" w:pos="9360"/>
      </w:tabs>
      <w:suppressAutoHyphens/>
      <w:ind w:left="3240" w:hanging="360"/>
    </w:pPr>
    <w:rPr>
      <w:noProof/>
    </w:rPr>
  </w:style>
  <w:style w:type="character" w:styleId="PageNumber">
    <w:name w:val="page number"/>
    <w:basedOn w:val="DefaultParagraphFont"/>
    <w:rsid w:val="001E62C8"/>
  </w:style>
  <w:style w:type="paragraph" w:styleId="Title">
    <w:name w:val="Title"/>
    <w:basedOn w:val="Normal"/>
    <w:qFormat/>
    <w:pPr>
      <w:jc w:val="center"/>
    </w:pPr>
    <w:rPr>
      <w:b/>
    </w:rPr>
  </w:style>
  <w:style w:type="character" w:styleId="Hyperlink">
    <w:name w:val="Hyperlink"/>
    <w:rsid w:val="001E62C8"/>
    <w:rPr>
      <w:color w:val="0000FF"/>
      <w:u w:val="single"/>
    </w:rPr>
  </w:style>
  <w:style w:type="paragraph" w:styleId="HTMLPreformatted">
    <w:name w:val="HTML Preformatted"/>
    <w:basedOn w:val="Normal"/>
    <w:rsid w:val="00451386"/>
    <w:rPr>
      <w:rFonts w:ascii="Courier New" w:hAnsi="Courier New" w:cs="Courier New"/>
      <w:sz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1 Char Char Char Char Char Char"/>
    <w:basedOn w:val="DefaultParagraphFont"/>
    <w:link w:val="FootnoteText"/>
    <w:rsid w:val="00E35DB6"/>
  </w:style>
  <w:style w:type="paragraph" w:styleId="BalloonText">
    <w:name w:val="Balloon Text"/>
    <w:basedOn w:val="Normal"/>
    <w:semiHidden/>
    <w:rsid w:val="005B6CBE"/>
    <w:rPr>
      <w:rFonts w:ascii="Tahoma" w:hAnsi="Tahoma" w:cs="Tahoma"/>
      <w:sz w:val="16"/>
      <w:szCs w:val="16"/>
    </w:rPr>
  </w:style>
  <w:style w:type="paragraph" w:styleId="EndnoteText">
    <w:name w:val="endnote text"/>
    <w:basedOn w:val="Normal"/>
    <w:link w:val="EndnoteTextChar"/>
    <w:semiHidden/>
    <w:rsid w:val="001E62C8"/>
    <w:rPr>
      <w:sz w:val="20"/>
    </w:rPr>
  </w:style>
  <w:style w:type="character" w:customStyle="1" w:styleId="EndnoteTextChar">
    <w:name w:val="Endnote Text Char"/>
    <w:link w:val="EndnoteText"/>
    <w:semiHidden/>
    <w:rsid w:val="004238F2"/>
    <w:rPr>
      <w:snapToGrid w:val="0"/>
      <w:kern w:val="28"/>
    </w:rPr>
  </w:style>
  <w:style w:type="character" w:styleId="EndnoteReference">
    <w:name w:val="endnote reference"/>
    <w:semiHidden/>
    <w:rsid w:val="001E62C8"/>
    <w:rPr>
      <w:vertAlign w:val="superscript"/>
    </w:rPr>
  </w:style>
  <w:style w:type="paragraph" w:styleId="TOAHeading">
    <w:name w:val="toa heading"/>
    <w:basedOn w:val="Normal"/>
    <w:next w:val="Normal"/>
    <w:semiHidden/>
    <w:rsid w:val="001E62C8"/>
    <w:pPr>
      <w:tabs>
        <w:tab w:val="right" w:pos="9360"/>
      </w:tabs>
      <w:suppressAutoHyphens/>
    </w:pPr>
  </w:style>
  <w:style w:type="character" w:customStyle="1" w:styleId="EquationCaption">
    <w:name w:val="_Equation Caption"/>
    <w:rsid w:val="001E62C8"/>
  </w:style>
  <w:style w:type="paragraph" w:customStyle="1" w:styleId="Paratitle">
    <w:name w:val="Para title"/>
    <w:basedOn w:val="Normal"/>
    <w:rsid w:val="001E62C8"/>
    <w:pPr>
      <w:tabs>
        <w:tab w:val="center" w:pos="9270"/>
      </w:tabs>
      <w:spacing w:after="240"/>
    </w:pPr>
    <w:rPr>
      <w:spacing w:val="-2"/>
    </w:rPr>
  </w:style>
  <w:style w:type="paragraph" w:customStyle="1" w:styleId="TOCTitle">
    <w:name w:val="TOC Title"/>
    <w:basedOn w:val="Normal"/>
    <w:rsid w:val="001E62C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E62C8"/>
    <w:pPr>
      <w:jc w:val="center"/>
    </w:pPr>
    <w:rPr>
      <w:rFonts w:ascii="Times New Roman Bold" w:hAnsi="Times New Roman Bold"/>
      <w:b/>
      <w:bCs/>
      <w:caps/>
      <w:szCs w:val="22"/>
    </w:rPr>
  </w:style>
  <w:style w:type="character" w:customStyle="1" w:styleId="ptext-4">
    <w:name w:val="ptext-4"/>
    <w:rsid w:val="00EA7940"/>
    <w:rPr>
      <w:b w:val="0"/>
      <w:bCs w:val="0"/>
    </w:rPr>
  </w:style>
  <w:style w:type="paragraph" w:styleId="ListParagraph">
    <w:name w:val="List Paragraph"/>
    <w:basedOn w:val="Normal"/>
    <w:uiPriority w:val="34"/>
    <w:qFormat/>
    <w:rsid w:val="00E10849"/>
    <w:pPr>
      <w:widowControl/>
      <w:spacing w:after="200" w:line="276" w:lineRule="auto"/>
      <w:ind w:left="720"/>
      <w:contextualSpacing/>
    </w:pPr>
    <w:rPr>
      <w:rFonts w:ascii="Calibri" w:eastAsia="Calibri" w:hAnsi="Calibri"/>
      <w:snapToGrid/>
      <w:kern w:val="0"/>
      <w:szCs w:val="22"/>
    </w:rPr>
  </w:style>
  <w:style w:type="character" w:customStyle="1" w:styleId="ParaNumChar">
    <w:name w:val="ParaNum Char"/>
    <w:link w:val="ParaNum"/>
    <w:rsid w:val="000A0EE9"/>
    <w:rPr>
      <w:snapToGrid w:val="0"/>
      <w:kern w:val="28"/>
      <w:sz w:val="22"/>
    </w:rPr>
  </w:style>
  <w:style w:type="paragraph" w:customStyle="1" w:styleId="ColorfulList-Accent11">
    <w:name w:val="Colorful List - Accent 11"/>
    <w:basedOn w:val="Normal"/>
    <w:uiPriority w:val="34"/>
    <w:qFormat/>
    <w:rsid w:val="000A0EE9"/>
    <w:pPr>
      <w:ind w:left="720"/>
      <w:contextualSpacing/>
    </w:pPr>
    <w:rPr>
      <w:snapToGrid/>
      <w:sz w:val="24"/>
      <w:szCs w:val="24"/>
    </w:rPr>
  </w:style>
  <w:style w:type="paragraph" w:customStyle="1" w:styleId="Default">
    <w:name w:val="Default"/>
    <w:rsid w:val="000A0EE9"/>
    <w:pPr>
      <w:autoSpaceDE w:val="0"/>
      <w:autoSpaceDN w:val="0"/>
      <w:adjustRightInd w:val="0"/>
    </w:pPr>
    <w:rPr>
      <w:color w:val="000000"/>
      <w:sz w:val="24"/>
      <w:szCs w:val="24"/>
    </w:rPr>
  </w:style>
  <w:style w:type="paragraph" w:customStyle="1" w:styleId="CM35">
    <w:name w:val="CM35"/>
    <w:basedOn w:val="Default"/>
    <w:next w:val="Default"/>
    <w:uiPriority w:val="99"/>
    <w:rsid w:val="000A0EE9"/>
    <w:rPr>
      <w:color w:val="auto"/>
    </w:rPr>
  </w:style>
  <w:style w:type="paragraph" w:styleId="NormalWeb">
    <w:name w:val="Normal (Web)"/>
    <w:basedOn w:val="Normal"/>
    <w:uiPriority w:val="99"/>
    <w:semiHidden/>
    <w:unhideWhenUsed/>
    <w:rsid w:val="006947D3"/>
    <w:pPr>
      <w:widowControl/>
      <w:spacing w:before="100" w:beforeAutospacing="1" w:after="100" w:afterAutospacing="1"/>
    </w:pPr>
    <w:rPr>
      <w:snapToGrid/>
      <w:kern w:val="0"/>
      <w:sz w:val="24"/>
      <w:szCs w:val="24"/>
    </w:rPr>
  </w:style>
  <w:style w:type="character" w:customStyle="1" w:styleId="ParaNumChar1">
    <w:name w:val="ParaNum Char1"/>
    <w:rsid w:val="008A072D"/>
    <w:rPr>
      <w:snapToGrid w:val="0"/>
      <w:kern w:val="28"/>
      <w:sz w:val="22"/>
    </w:rPr>
  </w:style>
  <w:style w:type="character" w:styleId="CommentReference">
    <w:name w:val="annotation reference"/>
    <w:basedOn w:val="DefaultParagraphFont"/>
    <w:uiPriority w:val="99"/>
    <w:semiHidden/>
    <w:unhideWhenUsed/>
    <w:rsid w:val="00DC7E14"/>
    <w:rPr>
      <w:sz w:val="16"/>
      <w:szCs w:val="16"/>
    </w:rPr>
  </w:style>
  <w:style w:type="paragraph" w:styleId="CommentText">
    <w:name w:val="annotation text"/>
    <w:basedOn w:val="Normal"/>
    <w:link w:val="CommentTextChar"/>
    <w:uiPriority w:val="99"/>
    <w:semiHidden/>
    <w:unhideWhenUsed/>
    <w:rsid w:val="00DC7E14"/>
    <w:rPr>
      <w:sz w:val="20"/>
    </w:rPr>
  </w:style>
  <w:style w:type="character" w:customStyle="1" w:styleId="CommentTextChar">
    <w:name w:val="Comment Text Char"/>
    <w:basedOn w:val="DefaultParagraphFont"/>
    <w:link w:val="CommentText"/>
    <w:uiPriority w:val="99"/>
    <w:semiHidden/>
    <w:rsid w:val="00DC7E14"/>
    <w:rPr>
      <w:snapToGrid w:val="0"/>
      <w:kern w:val="28"/>
    </w:rPr>
  </w:style>
  <w:style w:type="paragraph" w:styleId="CommentSubject">
    <w:name w:val="annotation subject"/>
    <w:basedOn w:val="CommentText"/>
    <w:next w:val="CommentText"/>
    <w:link w:val="CommentSubjectChar"/>
    <w:uiPriority w:val="99"/>
    <w:semiHidden/>
    <w:unhideWhenUsed/>
    <w:rsid w:val="00DC7E14"/>
    <w:rPr>
      <w:b/>
      <w:bCs/>
    </w:rPr>
  </w:style>
  <w:style w:type="character" w:customStyle="1" w:styleId="CommentSubjectChar">
    <w:name w:val="Comment Subject Char"/>
    <w:basedOn w:val="CommentTextChar"/>
    <w:link w:val="CommentSubject"/>
    <w:uiPriority w:val="99"/>
    <w:semiHidden/>
    <w:rsid w:val="00DC7E14"/>
    <w:rPr>
      <w:b/>
      <w:bCs/>
      <w:snapToGrid w:val="0"/>
      <w:kern w:val="28"/>
    </w:rPr>
  </w:style>
  <w:style w:type="paragraph" w:styleId="Revision">
    <w:name w:val="Revision"/>
    <w:hidden/>
    <w:uiPriority w:val="99"/>
    <w:semiHidden/>
    <w:rsid w:val="00DC7E14"/>
    <w:rPr>
      <w:snapToGrid w:val="0"/>
      <w:kern w:val="28"/>
      <w:sz w:val="22"/>
    </w:rPr>
  </w:style>
  <w:style w:type="character" w:customStyle="1" w:styleId="FooterChar">
    <w:name w:val="Footer Char"/>
    <w:basedOn w:val="DefaultParagraphFont"/>
    <w:link w:val="Footer"/>
    <w:rsid w:val="0089312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23437">
      <w:bodyDiv w:val="1"/>
      <w:marLeft w:val="0"/>
      <w:marRight w:val="0"/>
      <w:marTop w:val="0"/>
      <w:marBottom w:val="0"/>
      <w:divBdr>
        <w:top w:val="none" w:sz="0" w:space="0" w:color="auto"/>
        <w:left w:val="none" w:sz="0" w:space="0" w:color="auto"/>
        <w:bottom w:val="none" w:sz="0" w:space="0" w:color="auto"/>
        <w:right w:val="none" w:sz="0" w:space="0" w:color="auto"/>
      </w:divBdr>
    </w:div>
    <w:div w:id="459569886">
      <w:bodyDiv w:val="1"/>
      <w:marLeft w:val="0"/>
      <w:marRight w:val="0"/>
      <w:marTop w:val="0"/>
      <w:marBottom w:val="0"/>
      <w:divBdr>
        <w:top w:val="none" w:sz="0" w:space="0" w:color="auto"/>
        <w:left w:val="none" w:sz="0" w:space="0" w:color="auto"/>
        <w:bottom w:val="none" w:sz="0" w:space="0" w:color="auto"/>
        <w:right w:val="none" w:sz="0" w:space="0" w:color="auto"/>
      </w:divBdr>
      <w:divsChild>
        <w:div w:id="1544751986">
          <w:marLeft w:val="0"/>
          <w:marRight w:val="0"/>
          <w:marTop w:val="0"/>
          <w:marBottom w:val="0"/>
          <w:divBdr>
            <w:top w:val="none" w:sz="0" w:space="0" w:color="auto"/>
            <w:left w:val="none" w:sz="0" w:space="0" w:color="auto"/>
            <w:bottom w:val="none" w:sz="0" w:space="0" w:color="auto"/>
            <w:right w:val="none" w:sz="0" w:space="0" w:color="auto"/>
          </w:divBdr>
        </w:div>
      </w:divsChild>
    </w:div>
    <w:div w:id="484130335">
      <w:bodyDiv w:val="1"/>
      <w:marLeft w:val="0"/>
      <w:marRight w:val="0"/>
      <w:marTop w:val="0"/>
      <w:marBottom w:val="0"/>
      <w:divBdr>
        <w:top w:val="none" w:sz="0" w:space="0" w:color="auto"/>
        <w:left w:val="none" w:sz="0" w:space="0" w:color="auto"/>
        <w:bottom w:val="none" w:sz="0" w:space="0" w:color="auto"/>
        <w:right w:val="none" w:sz="0" w:space="0" w:color="auto"/>
      </w:divBdr>
      <w:divsChild>
        <w:div w:id="515071387">
          <w:marLeft w:val="0"/>
          <w:marRight w:val="0"/>
          <w:marTop w:val="0"/>
          <w:marBottom w:val="0"/>
          <w:divBdr>
            <w:top w:val="none" w:sz="0" w:space="0" w:color="auto"/>
            <w:left w:val="none" w:sz="0" w:space="0" w:color="auto"/>
            <w:bottom w:val="none" w:sz="0" w:space="0" w:color="auto"/>
            <w:right w:val="none" w:sz="0" w:space="0" w:color="auto"/>
          </w:divBdr>
        </w:div>
      </w:divsChild>
    </w:div>
    <w:div w:id="603002856">
      <w:bodyDiv w:val="1"/>
      <w:marLeft w:val="0"/>
      <w:marRight w:val="0"/>
      <w:marTop w:val="0"/>
      <w:marBottom w:val="0"/>
      <w:divBdr>
        <w:top w:val="none" w:sz="0" w:space="0" w:color="auto"/>
        <w:left w:val="none" w:sz="0" w:space="0" w:color="auto"/>
        <w:bottom w:val="none" w:sz="0" w:space="0" w:color="auto"/>
        <w:right w:val="none" w:sz="0" w:space="0" w:color="auto"/>
      </w:divBdr>
      <w:divsChild>
        <w:div w:id="948781055">
          <w:marLeft w:val="0"/>
          <w:marRight w:val="0"/>
          <w:marTop w:val="0"/>
          <w:marBottom w:val="0"/>
          <w:divBdr>
            <w:top w:val="none" w:sz="0" w:space="0" w:color="auto"/>
            <w:left w:val="none" w:sz="0" w:space="0" w:color="auto"/>
            <w:bottom w:val="none" w:sz="0" w:space="0" w:color="auto"/>
            <w:right w:val="none" w:sz="0" w:space="0" w:color="auto"/>
          </w:divBdr>
          <w:divsChild>
            <w:div w:id="1396971349">
              <w:marLeft w:val="0"/>
              <w:marRight w:val="0"/>
              <w:marTop w:val="0"/>
              <w:marBottom w:val="0"/>
              <w:divBdr>
                <w:top w:val="none" w:sz="0" w:space="0" w:color="auto"/>
                <w:left w:val="none" w:sz="0" w:space="0" w:color="auto"/>
                <w:bottom w:val="none" w:sz="0" w:space="0" w:color="auto"/>
                <w:right w:val="none" w:sz="0" w:space="0" w:color="auto"/>
              </w:divBdr>
              <w:divsChild>
                <w:div w:id="10573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70949">
      <w:bodyDiv w:val="1"/>
      <w:marLeft w:val="0"/>
      <w:marRight w:val="0"/>
      <w:marTop w:val="0"/>
      <w:marBottom w:val="0"/>
      <w:divBdr>
        <w:top w:val="none" w:sz="0" w:space="0" w:color="auto"/>
        <w:left w:val="none" w:sz="0" w:space="0" w:color="auto"/>
        <w:bottom w:val="none" w:sz="0" w:space="0" w:color="auto"/>
        <w:right w:val="none" w:sz="0" w:space="0" w:color="auto"/>
      </w:divBdr>
    </w:div>
    <w:div w:id="1183086700">
      <w:bodyDiv w:val="1"/>
      <w:marLeft w:val="0"/>
      <w:marRight w:val="0"/>
      <w:marTop w:val="0"/>
      <w:marBottom w:val="0"/>
      <w:divBdr>
        <w:top w:val="none" w:sz="0" w:space="0" w:color="auto"/>
        <w:left w:val="none" w:sz="0" w:space="0" w:color="auto"/>
        <w:bottom w:val="none" w:sz="0" w:space="0" w:color="auto"/>
        <w:right w:val="none" w:sz="0" w:space="0" w:color="auto"/>
      </w:divBdr>
      <w:divsChild>
        <w:div w:id="382875564">
          <w:marLeft w:val="0"/>
          <w:marRight w:val="0"/>
          <w:marTop w:val="0"/>
          <w:marBottom w:val="0"/>
          <w:divBdr>
            <w:top w:val="none" w:sz="0" w:space="0" w:color="auto"/>
            <w:left w:val="none" w:sz="0" w:space="0" w:color="auto"/>
            <w:bottom w:val="none" w:sz="0" w:space="0" w:color="auto"/>
            <w:right w:val="none" w:sz="0" w:space="0" w:color="auto"/>
          </w:divBdr>
        </w:div>
        <w:div w:id="1746755099">
          <w:marLeft w:val="0"/>
          <w:marRight w:val="0"/>
          <w:marTop w:val="0"/>
          <w:marBottom w:val="0"/>
          <w:divBdr>
            <w:top w:val="none" w:sz="0" w:space="0" w:color="auto"/>
            <w:left w:val="none" w:sz="0" w:space="0" w:color="auto"/>
            <w:bottom w:val="none" w:sz="0" w:space="0" w:color="auto"/>
            <w:right w:val="none" w:sz="0" w:space="0" w:color="auto"/>
          </w:divBdr>
        </w:div>
      </w:divsChild>
    </w:div>
    <w:div w:id="1494443588">
      <w:bodyDiv w:val="1"/>
      <w:marLeft w:val="0"/>
      <w:marRight w:val="0"/>
      <w:marTop w:val="0"/>
      <w:marBottom w:val="0"/>
      <w:divBdr>
        <w:top w:val="none" w:sz="0" w:space="0" w:color="auto"/>
        <w:left w:val="none" w:sz="0" w:space="0" w:color="auto"/>
        <w:bottom w:val="none" w:sz="0" w:space="0" w:color="auto"/>
        <w:right w:val="none" w:sz="0" w:space="0" w:color="auto"/>
      </w:divBdr>
      <w:divsChild>
        <w:div w:id="135951970">
          <w:marLeft w:val="0"/>
          <w:marRight w:val="0"/>
          <w:marTop w:val="0"/>
          <w:marBottom w:val="0"/>
          <w:divBdr>
            <w:top w:val="none" w:sz="0" w:space="0" w:color="auto"/>
            <w:left w:val="none" w:sz="0" w:space="0" w:color="auto"/>
            <w:bottom w:val="none" w:sz="0" w:space="0" w:color="auto"/>
            <w:right w:val="none" w:sz="0" w:space="0" w:color="auto"/>
          </w:divBdr>
        </w:div>
        <w:div w:id="1057319842">
          <w:marLeft w:val="0"/>
          <w:marRight w:val="0"/>
          <w:marTop w:val="0"/>
          <w:marBottom w:val="0"/>
          <w:divBdr>
            <w:top w:val="none" w:sz="0" w:space="0" w:color="auto"/>
            <w:left w:val="none" w:sz="0" w:space="0" w:color="auto"/>
            <w:bottom w:val="none" w:sz="0" w:space="0" w:color="auto"/>
            <w:right w:val="none" w:sz="0" w:space="0" w:color="auto"/>
          </w:divBdr>
        </w:div>
      </w:divsChild>
    </w:div>
    <w:div w:id="1527983399">
      <w:bodyDiv w:val="1"/>
      <w:marLeft w:val="0"/>
      <w:marRight w:val="0"/>
      <w:marTop w:val="0"/>
      <w:marBottom w:val="0"/>
      <w:divBdr>
        <w:top w:val="none" w:sz="0" w:space="0" w:color="auto"/>
        <w:left w:val="none" w:sz="0" w:space="0" w:color="auto"/>
        <w:bottom w:val="none" w:sz="0" w:space="0" w:color="auto"/>
        <w:right w:val="none" w:sz="0" w:space="0" w:color="auto"/>
      </w:divBdr>
    </w:div>
    <w:div w:id="1554804619">
      <w:bodyDiv w:val="1"/>
      <w:marLeft w:val="0"/>
      <w:marRight w:val="0"/>
      <w:marTop w:val="0"/>
      <w:marBottom w:val="0"/>
      <w:divBdr>
        <w:top w:val="none" w:sz="0" w:space="0" w:color="auto"/>
        <w:left w:val="none" w:sz="0" w:space="0" w:color="auto"/>
        <w:bottom w:val="none" w:sz="0" w:space="0" w:color="auto"/>
        <w:right w:val="none" w:sz="0" w:space="0" w:color="auto"/>
      </w:divBdr>
    </w:div>
    <w:div w:id="211721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1775</Words>
  <Characters>9595</Characters>
  <Application>Microsoft Office Word</Application>
  <DocSecurity>0</DocSecurity>
  <Lines>206</Lines>
  <Paragraphs>69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11372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2015-02-18T13:55:00Z</cp:lastPrinted>
  <dcterms:created xsi:type="dcterms:W3CDTF">2015-02-18T18:58:00Z</dcterms:created>
  <dcterms:modified xsi:type="dcterms:W3CDTF">2015-02-18T18:58:00Z</dcterms:modified>
  <cp:category> </cp:category>
  <cp:contentStatus> </cp:contentStatus>
</cp:coreProperties>
</file>